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87DA0">
      <w:pPr>
        <w:jc w:val="center"/>
        <w:rPr>
          <w:rFonts w:hint="eastAsia" w:eastAsia="楷体_GB2312"/>
          <w:sz w:val="44"/>
        </w:rPr>
      </w:pPr>
      <w:bookmarkStart w:id="920" w:name="_GoBack"/>
      <w:bookmarkEnd w:id="920"/>
    </w:p>
    <w:p w14:paraId="6B28B042">
      <w:pPr>
        <w:jc w:val="center"/>
        <w:rPr>
          <w:rFonts w:hint="eastAsia" w:eastAsia="楷体_GB2312"/>
          <w:sz w:val="44"/>
        </w:rPr>
      </w:pPr>
    </w:p>
    <w:p w14:paraId="1AF8894B">
      <w:pPr>
        <w:spacing w:line="480" w:lineRule="auto"/>
        <w:ind w:right="41"/>
        <w:jc w:val="center"/>
        <w:rPr>
          <w:rFonts w:hint="eastAsia" w:ascii="华文行楷" w:eastAsia="华文行楷"/>
          <w:sz w:val="84"/>
          <w:szCs w:val="84"/>
        </w:rPr>
      </w:pPr>
      <w:r>
        <w:rPr>
          <w:rFonts w:hint="eastAsia" w:ascii="华文行楷" w:eastAsia="华文行楷"/>
          <w:sz w:val="84"/>
          <w:szCs w:val="84"/>
        </w:rPr>
        <w:t>水城县玉舍大坪煤矿</w:t>
      </w:r>
    </w:p>
    <w:p w14:paraId="33D59A10">
      <w:pPr>
        <w:spacing w:line="480" w:lineRule="auto"/>
        <w:jc w:val="center"/>
        <w:rPr>
          <w:rFonts w:hint="eastAsia" w:ascii="宋体" w:hAnsi="宋体"/>
          <w:b/>
          <w:color w:val="000000"/>
          <w:sz w:val="48"/>
          <w:szCs w:val="48"/>
        </w:rPr>
      </w:pPr>
      <w:r>
        <w:rPr>
          <w:rFonts w:hint="eastAsia" w:ascii="宋体" w:hAnsi="宋体"/>
          <w:b/>
          <w:color w:val="000000"/>
          <w:sz w:val="48"/>
          <w:szCs w:val="48"/>
        </w:rPr>
        <w:t>开采方案设计（变更）</w:t>
      </w:r>
    </w:p>
    <w:p w14:paraId="1353832F">
      <w:pPr>
        <w:jc w:val="center"/>
        <w:rPr>
          <w:rFonts w:hint="eastAsia" w:ascii="宋体" w:hAnsi="宋体"/>
          <w:sz w:val="30"/>
        </w:rPr>
      </w:pPr>
    </w:p>
    <w:p w14:paraId="1D8E075B">
      <w:pPr>
        <w:jc w:val="center"/>
        <w:rPr>
          <w:rFonts w:hint="eastAsia" w:ascii="宋体" w:hAnsi="宋体"/>
          <w:sz w:val="30"/>
        </w:rPr>
      </w:pPr>
    </w:p>
    <w:p w14:paraId="0FC3C3E9">
      <w:pPr>
        <w:jc w:val="center"/>
        <w:rPr>
          <w:rFonts w:hint="eastAsia" w:ascii="宋体" w:hAnsi="宋体"/>
          <w:sz w:val="30"/>
        </w:rPr>
      </w:pPr>
    </w:p>
    <w:p w14:paraId="4E559A04">
      <w:pPr>
        <w:jc w:val="center"/>
        <w:rPr>
          <w:rFonts w:hint="eastAsia" w:ascii="宋体" w:hAnsi="宋体"/>
          <w:sz w:val="30"/>
        </w:rPr>
      </w:pPr>
    </w:p>
    <w:p w14:paraId="0E0664D5">
      <w:pPr>
        <w:jc w:val="center"/>
        <w:rPr>
          <w:rFonts w:hint="eastAsia" w:ascii="宋体" w:hAnsi="宋体"/>
          <w:sz w:val="30"/>
        </w:rPr>
      </w:pPr>
    </w:p>
    <w:p w14:paraId="753132D5">
      <w:pPr>
        <w:jc w:val="center"/>
        <w:rPr>
          <w:rFonts w:hint="eastAsia" w:ascii="宋体" w:hAnsi="宋体"/>
          <w:sz w:val="30"/>
        </w:rPr>
      </w:pPr>
    </w:p>
    <w:p w14:paraId="13A4CBE3">
      <w:pPr>
        <w:jc w:val="center"/>
        <w:rPr>
          <w:rFonts w:hint="eastAsia" w:ascii="宋体" w:hAnsi="宋体"/>
          <w:sz w:val="30"/>
        </w:rPr>
      </w:pPr>
    </w:p>
    <w:p w14:paraId="3BF86BE7">
      <w:pPr>
        <w:jc w:val="center"/>
        <w:rPr>
          <w:rFonts w:hint="eastAsia" w:ascii="宋体" w:hAnsi="宋体"/>
          <w:sz w:val="30"/>
        </w:rPr>
      </w:pPr>
    </w:p>
    <w:p w14:paraId="08DB77CC">
      <w:pPr>
        <w:jc w:val="center"/>
        <w:rPr>
          <w:rFonts w:hint="eastAsia" w:ascii="宋体" w:hAnsi="宋体"/>
          <w:sz w:val="30"/>
        </w:rPr>
      </w:pPr>
    </w:p>
    <w:p w14:paraId="5D76BDCF">
      <w:pPr>
        <w:jc w:val="center"/>
        <w:rPr>
          <w:rFonts w:hint="eastAsia" w:ascii="宋体" w:hAnsi="宋体"/>
          <w:sz w:val="30"/>
        </w:rPr>
      </w:pPr>
    </w:p>
    <w:p w14:paraId="20594201">
      <w:pPr>
        <w:jc w:val="center"/>
        <w:rPr>
          <w:rFonts w:hint="eastAsia" w:ascii="宋体" w:hAnsi="宋体"/>
          <w:sz w:val="30"/>
        </w:rPr>
      </w:pPr>
    </w:p>
    <w:p w14:paraId="512CFEF9">
      <w:pPr>
        <w:jc w:val="center"/>
        <w:rPr>
          <w:rFonts w:hint="eastAsia" w:ascii="宋体" w:hAnsi="宋体"/>
          <w:sz w:val="30"/>
        </w:rPr>
      </w:pPr>
    </w:p>
    <w:p w14:paraId="7F69E496">
      <w:pPr>
        <w:jc w:val="center"/>
        <w:rPr>
          <w:rFonts w:hint="eastAsia" w:ascii="宋体" w:hAnsi="宋体"/>
          <w:sz w:val="30"/>
        </w:rPr>
      </w:pPr>
    </w:p>
    <w:p w14:paraId="4F5265AC">
      <w:pPr>
        <w:jc w:val="center"/>
        <w:rPr>
          <w:rFonts w:hint="eastAsia" w:ascii="宋体" w:hAnsi="宋体"/>
          <w:sz w:val="30"/>
        </w:rPr>
      </w:pPr>
    </w:p>
    <w:p w14:paraId="4C869C67">
      <w:pPr>
        <w:jc w:val="center"/>
        <w:rPr>
          <w:rFonts w:hint="eastAsia" w:ascii="宋体" w:hAnsi="宋体"/>
          <w:sz w:val="30"/>
        </w:rPr>
      </w:pPr>
    </w:p>
    <w:p w14:paraId="3D5B8421">
      <w:pPr>
        <w:jc w:val="center"/>
        <w:rPr>
          <w:rFonts w:hint="eastAsia" w:ascii="宋体" w:hAnsi="宋体"/>
          <w:sz w:val="30"/>
        </w:rPr>
      </w:pPr>
    </w:p>
    <w:p w14:paraId="2EB7C627">
      <w:pPr>
        <w:jc w:val="center"/>
        <w:rPr>
          <w:rFonts w:hint="eastAsia" w:ascii="宋体" w:hAnsi="宋体"/>
          <w:sz w:val="30"/>
        </w:rPr>
      </w:pPr>
    </w:p>
    <w:p w14:paraId="153123EA">
      <w:pPr>
        <w:jc w:val="center"/>
        <w:rPr>
          <w:rFonts w:hint="eastAsia" w:ascii="宋体" w:hAnsi="宋体"/>
          <w:sz w:val="30"/>
        </w:rPr>
      </w:pPr>
    </w:p>
    <w:p w14:paraId="717231F5">
      <w:pPr>
        <w:jc w:val="center"/>
        <w:rPr>
          <w:rFonts w:hint="eastAsia" w:ascii="宋体" w:hAnsi="宋体"/>
          <w:sz w:val="30"/>
        </w:rPr>
      </w:pPr>
    </w:p>
    <w:p w14:paraId="74DC1F8C">
      <w:pPr>
        <w:spacing w:line="360" w:lineRule="auto"/>
        <w:jc w:val="center"/>
        <w:rPr>
          <w:rFonts w:hint="eastAsia" w:eastAsia="隶书"/>
          <w:bCs/>
          <w:sz w:val="36"/>
          <w:szCs w:val="36"/>
        </w:rPr>
      </w:pPr>
      <w:r>
        <w:rPr>
          <w:rFonts w:hint="eastAsia" w:eastAsia="隶书"/>
          <w:bCs/>
          <w:sz w:val="36"/>
          <w:szCs w:val="36"/>
        </w:rPr>
        <w:t>江苏省第一工业设计院有限责任公司</w:t>
      </w:r>
    </w:p>
    <w:p w14:paraId="2AFE2D5A">
      <w:pPr>
        <w:spacing w:line="360" w:lineRule="auto"/>
        <w:jc w:val="center"/>
        <w:rPr>
          <w:rFonts w:hint="eastAsia" w:eastAsia="隶书"/>
          <w:bCs/>
          <w:sz w:val="36"/>
          <w:szCs w:val="36"/>
        </w:rPr>
      </w:pPr>
      <w:r>
        <w:rPr>
          <w:rFonts w:hint="eastAsia" w:eastAsia="隶书"/>
          <w:bCs/>
          <w:sz w:val="36"/>
          <w:szCs w:val="36"/>
        </w:rPr>
        <w:t>二O一O年六月</w:t>
      </w:r>
    </w:p>
    <w:p w14:paraId="2BC7A7C2">
      <w:pPr>
        <w:spacing w:line="360" w:lineRule="auto"/>
        <w:jc w:val="center"/>
        <w:rPr>
          <w:rFonts w:hint="eastAsia" w:eastAsia="隶书"/>
          <w:bCs/>
          <w:sz w:val="36"/>
          <w:szCs w:val="36"/>
        </w:rPr>
      </w:pPr>
    </w:p>
    <w:p w14:paraId="1DB9D96F">
      <w:pPr>
        <w:spacing w:line="360" w:lineRule="auto"/>
        <w:jc w:val="center"/>
        <w:rPr>
          <w:rFonts w:eastAsia="隶书"/>
          <w:bCs/>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304" w:right="1418" w:bottom="1304" w:left="1418" w:header="1021" w:footer="992" w:gutter="0"/>
          <w:pgNumType w:start="0"/>
          <w:cols w:space="720" w:num="1"/>
          <w:titlePg/>
          <w:docGrid w:linePitch="312" w:charSpace="0"/>
        </w:sectPr>
      </w:pPr>
    </w:p>
    <w:p w14:paraId="30F913B7">
      <w:pPr>
        <w:jc w:val="center"/>
        <w:rPr>
          <w:rFonts w:hint="eastAsia" w:eastAsia="楷体_GB2312"/>
          <w:sz w:val="44"/>
        </w:rPr>
      </w:pPr>
    </w:p>
    <w:p w14:paraId="0CA07D8B">
      <w:pPr>
        <w:jc w:val="center"/>
        <w:rPr>
          <w:rFonts w:hint="eastAsia" w:eastAsia="楷体_GB2312"/>
          <w:sz w:val="44"/>
        </w:rPr>
      </w:pPr>
    </w:p>
    <w:p w14:paraId="745F843F">
      <w:pPr>
        <w:spacing w:line="480" w:lineRule="auto"/>
        <w:ind w:right="41"/>
        <w:jc w:val="center"/>
        <w:rPr>
          <w:rFonts w:hint="eastAsia" w:ascii="华文行楷" w:eastAsia="华文行楷"/>
          <w:sz w:val="84"/>
          <w:szCs w:val="84"/>
        </w:rPr>
      </w:pPr>
      <w:r>
        <w:rPr>
          <w:rFonts w:hint="eastAsia" w:ascii="华文行楷" w:eastAsia="华文行楷"/>
          <w:sz w:val="84"/>
          <w:szCs w:val="84"/>
        </w:rPr>
        <w:t>水城县玉舍大坪煤矿</w:t>
      </w:r>
    </w:p>
    <w:p w14:paraId="5290A498">
      <w:pPr>
        <w:spacing w:line="480" w:lineRule="auto"/>
        <w:jc w:val="center"/>
        <w:rPr>
          <w:rFonts w:hint="eastAsia" w:ascii="宋体" w:hAnsi="宋体"/>
          <w:b/>
          <w:color w:val="000000"/>
          <w:sz w:val="48"/>
          <w:szCs w:val="48"/>
        </w:rPr>
      </w:pPr>
      <w:r>
        <w:rPr>
          <w:rFonts w:hint="eastAsia" w:ascii="宋体" w:hAnsi="宋体"/>
          <w:b/>
          <w:color w:val="000000"/>
          <w:sz w:val="48"/>
          <w:szCs w:val="48"/>
        </w:rPr>
        <w:t>开采方案设计（变更）</w:t>
      </w:r>
    </w:p>
    <w:p w14:paraId="79135056">
      <w:pPr>
        <w:spacing w:line="480" w:lineRule="auto"/>
        <w:jc w:val="center"/>
        <w:rPr>
          <w:rFonts w:hint="eastAsia" w:ascii="宋体" w:hAnsi="宋体"/>
          <w:b/>
          <w:color w:val="000000"/>
          <w:kern w:val="15"/>
          <w:sz w:val="40"/>
          <w:szCs w:val="40"/>
        </w:rPr>
      </w:pPr>
      <w:r>
        <w:rPr>
          <w:rFonts w:hint="eastAsia" w:ascii="宋体" w:hAnsi="宋体"/>
          <w:b/>
          <w:color w:val="000000"/>
          <w:kern w:val="15"/>
          <w:sz w:val="40"/>
          <w:szCs w:val="40"/>
        </w:rPr>
        <w:t>工程规模：30万吨/a</w:t>
      </w:r>
    </w:p>
    <w:p w14:paraId="279AAE85">
      <w:pPr>
        <w:jc w:val="center"/>
        <w:rPr>
          <w:rFonts w:hint="eastAsia" w:ascii="宋体" w:hAnsi="宋体"/>
          <w:sz w:val="30"/>
        </w:rPr>
      </w:pPr>
    </w:p>
    <w:p w14:paraId="47CA4CD1">
      <w:pPr>
        <w:jc w:val="center"/>
        <w:rPr>
          <w:rFonts w:hint="eastAsia" w:ascii="宋体" w:hAnsi="宋体"/>
          <w:sz w:val="30"/>
        </w:rPr>
      </w:pPr>
    </w:p>
    <w:p w14:paraId="7DE504A3">
      <w:pPr>
        <w:jc w:val="center"/>
        <w:rPr>
          <w:rFonts w:hint="eastAsia" w:ascii="宋体" w:hAnsi="宋体"/>
          <w:sz w:val="30"/>
        </w:rPr>
      </w:pPr>
    </w:p>
    <w:tbl>
      <w:tblPr>
        <w:tblStyle w:val="6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0"/>
        <w:gridCol w:w="516"/>
        <w:gridCol w:w="1640"/>
      </w:tblGrid>
      <w:tr w14:paraId="3B08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1720" w:type="dxa"/>
            <w:noWrap w:val="0"/>
            <w:vAlign w:val="top"/>
          </w:tcPr>
          <w:p w14:paraId="7AB2B2B3">
            <w:pPr>
              <w:spacing w:line="360" w:lineRule="auto"/>
              <w:jc w:val="distribute"/>
              <w:rPr>
                <w:rFonts w:hint="eastAsia" w:ascii="宋体" w:hAnsi="宋体"/>
                <w:sz w:val="30"/>
              </w:rPr>
            </w:pPr>
          </w:p>
        </w:tc>
        <w:tc>
          <w:tcPr>
            <w:tcW w:w="516" w:type="dxa"/>
            <w:noWrap w:val="0"/>
            <w:vAlign w:val="top"/>
          </w:tcPr>
          <w:p w14:paraId="4F4E4131">
            <w:pPr>
              <w:spacing w:line="360" w:lineRule="auto"/>
              <w:jc w:val="center"/>
              <w:rPr>
                <w:rFonts w:hint="eastAsia" w:ascii="宋体" w:hAnsi="宋体"/>
                <w:sz w:val="30"/>
              </w:rPr>
            </w:pPr>
          </w:p>
        </w:tc>
        <w:tc>
          <w:tcPr>
            <w:tcW w:w="1640" w:type="dxa"/>
            <w:noWrap w:val="0"/>
            <w:vAlign w:val="top"/>
          </w:tcPr>
          <w:p w14:paraId="2E0F5A49">
            <w:pPr>
              <w:spacing w:line="360" w:lineRule="auto"/>
              <w:jc w:val="center"/>
              <w:rPr>
                <w:rFonts w:hint="eastAsia" w:ascii="宋体" w:hAnsi="宋体"/>
                <w:sz w:val="30"/>
              </w:rPr>
            </w:pPr>
          </w:p>
        </w:tc>
      </w:tr>
      <w:tr w14:paraId="2EFBA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1720" w:type="dxa"/>
            <w:noWrap w:val="0"/>
            <w:vAlign w:val="top"/>
          </w:tcPr>
          <w:p w14:paraId="30E90359">
            <w:pPr>
              <w:spacing w:line="360" w:lineRule="auto"/>
              <w:jc w:val="distribute"/>
              <w:rPr>
                <w:rFonts w:hint="eastAsia" w:ascii="宋体" w:hAnsi="宋体"/>
                <w:sz w:val="30"/>
              </w:rPr>
            </w:pPr>
            <w:r>
              <w:rPr>
                <w:rFonts w:hint="eastAsia" w:ascii="宋体" w:hAnsi="宋体"/>
                <w:sz w:val="30"/>
              </w:rPr>
              <w:t>审核</w:t>
            </w:r>
          </w:p>
        </w:tc>
        <w:tc>
          <w:tcPr>
            <w:tcW w:w="516" w:type="dxa"/>
            <w:noWrap w:val="0"/>
            <w:vAlign w:val="top"/>
          </w:tcPr>
          <w:p w14:paraId="506611D0">
            <w:pPr>
              <w:spacing w:line="360" w:lineRule="auto"/>
              <w:rPr>
                <w:rFonts w:hint="eastAsia" w:ascii="宋体" w:hAnsi="宋体"/>
                <w:sz w:val="30"/>
              </w:rPr>
            </w:pPr>
            <w:r>
              <w:rPr>
                <w:rFonts w:hint="eastAsia" w:ascii="宋体" w:hAnsi="宋体"/>
                <w:sz w:val="30"/>
              </w:rPr>
              <w:t>：</w:t>
            </w:r>
          </w:p>
        </w:tc>
        <w:tc>
          <w:tcPr>
            <w:tcW w:w="1640" w:type="dxa"/>
            <w:noWrap w:val="0"/>
            <w:vAlign w:val="top"/>
          </w:tcPr>
          <w:p w14:paraId="77E3F002">
            <w:pPr>
              <w:spacing w:line="360" w:lineRule="auto"/>
              <w:jc w:val="center"/>
              <w:rPr>
                <w:rFonts w:hint="eastAsia" w:ascii="宋体" w:hAnsi="宋体"/>
                <w:sz w:val="30"/>
              </w:rPr>
            </w:pPr>
          </w:p>
        </w:tc>
      </w:tr>
      <w:tr w14:paraId="21BB3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jc w:val="center"/>
        </w:trPr>
        <w:tc>
          <w:tcPr>
            <w:tcW w:w="1720" w:type="dxa"/>
            <w:noWrap w:val="0"/>
            <w:vAlign w:val="top"/>
          </w:tcPr>
          <w:p w14:paraId="6415CCE0">
            <w:pPr>
              <w:spacing w:line="360" w:lineRule="auto"/>
              <w:jc w:val="distribute"/>
              <w:rPr>
                <w:rFonts w:hint="eastAsia" w:ascii="宋体" w:hAnsi="宋体"/>
                <w:sz w:val="30"/>
              </w:rPr>
            </w:pPr>
            <w:r>
              <w:rPr>
                <w:rFonts w:hint="eastAsia" w:ascii="宋体" w:hAnsi="宋体"/>
                <w:sz w:val="30"/>
              </w:rPr>
              <w:t>项目负责</w:t>
            </w:r>
          </w:p>
        </w:tc>
        <w:tc>
          <w:tcPr>
            <w:tcW w:w="516" w:type="dxa"/>
            <w:noWrap w:val="0"/>
            <w:vAlign w:val="top"/>
          </w:tcPr>
          <w:p w14:paraId="6266ADFC">
            <w:pPr>
              <w:spacing w:line="360" w:lineRule="auto"/>
              <w:rPr>
                <w:rFonts w:hint="eastAsia" w:ascii="宋体" w:hAnsi="宋体"/>
                <w:sz w:val="30"/>
              </w:rPr>
            </w:pPr>
            <w:r>
              <w:rPr>
                <w:rFonts w:hint="eastAsia" w:ascii="宋体" w:hAnsi="宋体"/>
                <w:sz w:val="30"/>
              </w:rPr>
              <w:t>：</w:t>
            </w:r>
          </w:p>
        </w:tc>
        <w:tc>
          <w:tcPr>
            <w:tcW w:w="1640" w:type="dxa"/>
            <w:noWrap w:val="0"/>
            <w:vAlign w:val="top"/>
          </w:tcPr>
          <w:p w14:paraId="049F4EF1">
            <w:pPr>
              <w:spacing w:line="360" w:lineRule="auto"/>
              <w:jc w:val="center"/>
              <w:rPr>
                <w:rFonts w:hint="eastAsia" w:ascii="宋体" w:hAnsi="宋体"/>
                <w:sz w:val="30"/>
              </w:rPr>
            </w:pPr>
          </w:p>
        </w:tc>
      </w:tr>
    </w:tbl>
    <w:p w14:paraId="3F8FF13F">
      <w:pPr>
        <w:jc w:val="center"/>
        <w:rPr>
          <w:rFonts w:hint="eastAsia" w:ascii="宋体" w:hAnsi="宋体"/>
          <w:sz w:val="30"/>
        </w:rPr>
      </w:pPr>
    </w:p>
    <w:p w14:paraId="1C32B054">
      <w:pPr>
        <w:jc w:val="center"/>
        <w:rPr>
          <w:rFonts w:hint="eastAsia" w:ascii="宋体" w:hAnsi="宋体"/>
          <w:sz w:val="30"/>
        </w:rPr>
      </w:pPr>
    </w:p>
    <w:p w14:paraId="5534E5C3">
      <w:pPr>
        <w:jc w:val="center"/>
        <w:rPr>
          <w:rFonts w:hint="eastAsia" w:ascii="宋体" w:hAnsi="宋体"/>
          <w:sz w:val="30"/>
        </w:rPr>
      </w:pPr>
    </w:p>
    <w:p w14:paraId="38CF5A93">
      <w:pPr>
        <w:jc w:val="center"/>
        <w:rPr>
          <w:rFonts w:hint="eastAsia" w:ascii="宋体" w:hAnsi="宋体"/>
          <w:sz w:val="30"/>
        </w:rPr>
      </w:pPr>
    </w:p>
    <w:p w14:paraId="1A1F35F4">
      <w:pPr>
        <w:jc w:val="center"/>
        <w:rPr>
          <w:rFonts w:hint="eastAsia" w:ascii="宋体" w:hAnsi="宋体"/>
          <w:sz w:val="30"/>
        </w:rPr>
      </w:pPr>
    </w:p>
    <w:p w14:paraId="41A4605D">
      <w:pPr>
        <w:jc w:val="center"/>
        <w:rPr>
          <w:rFonts w:hint="eastAsia" w:ascii="宋体" w:hAnsi="宋体"/>
          <w:sz w:val="30"/>
        </w:rPr>
      </w:pPr>
    </w:p>
    <w:p w14:paraId="2CE0B76D">
      <w:pPr>
        <w:jc w:val="center"/>
        <w:rPr>
          <w:rFonts w:hint="eastAsia" w:ascii="宋体" w:hAnsi="宋体"/>
          <w:sz w:val="30"/>
        </w:rPr>
      </w:pPr>
    </w:p>
    <w:p w14:paraId="714633D9">
      <w:pPr>
        <w:jc w:val="center"/>
        <w:rPr>
          <w:rFonts w:hint="eastAsia" w:ascii="宋体" w:hAnsi="宋体"/>
          <w:sz w:val="30"/>
        </w:rPr>
      </w:pPr>
    </w:p>
    <w:p w14:paraId="1C9D9F91">
      <w:pPr>
        <w:jc w:val="center"/>
        <w:rPr>
          <w:rFonts w:hint="eastAsia" w:ascii="宋体" w:hAnsi="宋体"/>
          <w:sz w:val="30"/>
        </w:rPr>
      </w:pPr>
    </w:p>
    <w:p w14:paraId="0535F938">
      <w:pPr>
        <w:spacing w:line="360" w:lineRule="auto"/>
        <w:jc w:val="center"/>
        <w:rPr>
          <w:rFonts w:hint="eastAsia" w:eastAsia="隶书"/>
          <w:bCs/>
          <w:sz w:val="36"/>
          <w:szCs w:val="36"/>
        </w:rPr>
      </w:pPr>
      <w:r>
        <w:rPr>
          <w:rFonts w:hint="eastAsia" w:eastAsia="隶书"/>
          <w:bCs/>
          <w:sz w:val="36"/>
          <w:szCs w:val="36"/>
        </w:rPr>
        <w:t>江苏省第一工业设计院有限责任公司</w:t>
      </w:r>
    </w:p>
    <w:p w14:paraId="117B1EF5">
      <w:pPr>
        <w:spacing w:line="360" w:lineRule="auto"/>
        <w:jc w:val="center"/>
        <w:rPr>
          <w:rFonts w:hint="eastAsia" w:eastAsia="隶书"/>
          <w:bCs/>
          <w:sz w:val="36"/>
          <w:szCs w:val="36"/>
        </w:rPr>
      </w:pPr>
      <w:r>
        <w:rPr>
          <w:rFonts w:hint="eastAsia" w:eastAsia="隶书"/>
          <w:bCs/>
          <w:sz w:val="36"/>
          <w:szCs w:val="36"/>
        </w:rPr>
        <w:t>二O一O年六月</w:t>
      </w:r>
    </w:p>
    <w:p w14:paraId="78143BB7">
      <w:pPr>
        <w:jc w:val="center"/>
        <w:rPr>
          <w:rFonts w:hint="eastAsia" w:ascii="宋体" w:hAnsi="宋体"/>
          <w:sz w:val="38"/>
        </w:rPr>
      </w:pPr>
    </w:p>
    <w:p w14:paraId="429D3959">
      <w:pPr>
        <w:jc w:val="center"/>
        <w:rPr>
          <w:rFonts w:hint="eastAsia" w:ascii="宋体" w:hAnsi="宋体"/>
          <w:sz w:val="38"/>
        </w:rPr>
        <w:sectPr>
          <w:footerReference r:id="rId9" w:type="default"/>
          <w:footerReference r:id="rId10" w:type="even"/>
          <w:pgSz w:w="11906" w:h="16838"/>
          <w:pgMar w:top="1304" w:right="1418" w:bottom="1304" w:left="1418" w:header="1021" w:footer="992" w:gutter="0"/>
          <w:pgNumType w:start="0"/>
          <w:cols w:space="720" w:num="1"/>
          <w:titlePg/>
          <w:docGrid w:linePitch="312" w:charSpace="0"/>
        </w:sectPr>
      </w:pPr>
    </w:p>
    <w:p w14:paraId="71777636">
      <w:pPr>
        <w:spacing w:before="120" w:beforeLines="50" w:after="120" w:afterLines="50"/>
        <w:jc w:val="center"/>
        <w:rPr>
          <w:rFonts w:hint="eastAsia"/>
          <w:b/>
          <w:sz w:val="44"/>
          <w:szCs w:val="44"/>
        </w:rPr>
      </w:pPr>
      <w:r>
        <w:rPr>
          <w:rFonts w:hint="eastAsia"/>
          <w:b/>
          <w:sz w:val="44"/>
          <w:szCs w:val="44"/>
        </w:rPr>
        <w:t>参加设计人员名单</w:t>
      </w:r>
    </w:p>
    <w:p w14:paraId="5D883F50">
      <w:pPr>
        <w:jc w:val="center"/>
        <w:rPr>
          <w:rFonts w:hint="eastAsia" w:ascii="宋体" w:hAnsi="宋体"/>
          <w:sz w:val="24"/>
          <w:lang/>
        </w:rPr>
      </w:pPr>
    </w:p>
    <w:p w14:paraId="2630B8C8">
      <w:pPr>
        <w:jc w:val="center"/>
        <w:rPr>
          <w:rFonts w:hint="eastAsia" w:ascii="宋体" w:hAnsi="宋体"/>
          <w:sz w:val="24"/>
          <w:lang/>
        </w:rPr>
      </w:pPr>
    </w:p>
    <w:p w14:paraId="72D92A58">
      <w:pPr>
        <w:jc w:val="center"/>
        <w:rPr>
          <w:rFonts w:hint="eastAsia" w:ascii="宋体" w:hAnsi="宋体"/>
          <w:sz w:val="24"/>
          <w:lang/>
        </w:rPr>
      </w:pPr>
    </w:p>
    <w:p w14:paraId="30AF73D8">
      <w:pPr>
        <w:jc w:val="center"/>
        <w:rPr>
          <w:rFonts w:hint="eastAsia" w:ascii="宋体" w:hAnsi="宋体"/>
          <w:sz w:val="24"/>
          <w:lang/>
        </w:rPr>
      </w:pPr>
    </w:p>
    <w:p w14:paraId="3B52551B">
      <w:pPr>
        <w:jc w:val="center"/>
        <w:rPr>
          <w:rFonts w:hint="eastAsia" w:ascii="宋体" w:hAnsi="宋体"/>
          <w:sz w:val="24"/>
          <w:lang/>
        </w:rPr>
      </w:pPr>
    </w:p>
    <w:p w14:paraId="46F1E028">
      <w:pPr>
        <w:jc w:val="center"/>
        <w:rPr>
          <w:rFonts w:hint="eastAsia" w:ascii="宋体" w:hAnsi="宋体"/>
          <w:sz w:val="24"/>
          <w:lang/>
        </w:rPr>
      </w:pPr>
    </w:p>
    <w:p w14:paraId="39790C25">
      <w:pPr>
        <w:jc w:val="center"/>
        <w:rPr>
          <w:rFonts w:hint="eastAsia" w:ascii="宋体" w:hAnsi="宋体"/>
          <w:sz w:val="24"/>
          <w:lang/>
        </w:rPr>
      </w:pPr>
    </w:p>
    <w:p w14:paraId="7E8CE1E5">
      <w:pPr>
        <w:jc w:val="center"/>
        <w:rPr>
          <w:rFonts w:hint="eastAsia" w:ascii="宋体" w:hAnsi="宋体"/>
          <w:sz w:val="24"/>
          <w:lang/>
        </w:rPr>
      </w:pPr>
    </w:p>
    <w:p w14:paraId="61940F2F">
      <w:pPr>
        <w:jc w:val="center"/>
        <w:rPr>
          <w:rFonts w:hint="eastAsia" w:ascii="宋体" w:hAnsi="宋体"/>
          <w:sz w:val="24"/>
          <w:lang/>
        </w:rPr>
      </w:pPr>
    </w:p>
    <w:p w14:paraId="0151A517">
      <w:pPr>
        <w:jc w:val="center"/>
        <w:rPr>
          <w:rFonts w:hint="eastAsia" w:ascii="宋体" w:hAnsi="宋体"/>
          <w:sz w:val="24"/>
          <w:lang/>
        </w:rPr>
      </w:pPr>
    </w:p>
    <w:p w14:paraId="11A485ED">
      <w:pPr>
        <w:jc w:val="center"/>
        <w:rPr>
          <w:rFonts w:hint="eastAsia" w:ascii="宋体" w:hAnsi="宋体"/>
          <w:sz w:val="24"/>
          <w:lang/>
        </w:rPr>
      </w:pPr>
    </w:p>
    <w:p w14:paraId="7F147872">
      <w:pPr>
        <w:jc w:val="center"/>
        <w:rPr>
          <w:rFonts w:hint="eastAsia" w:ascii="宋体" w:hAnsi="宋体"/>
          <w:sz w:val="24"/>
          <w:lang/>
        </w:rPr>
      </w:pPr>
    </w:p>
    <w:p w14:paraId="434B92A0">
      <w:pPr>
        <w:jc w:val="center"/>
        <w:rPr>
          <w:rFonts w:hint="eastAsia" w:ascii="宋体" w:hAnsi="宋体"/>
          <w:sz w:val="24"/>
          <w:lang/>
        </w:rPr>
      </w:pPr>
    </w:p>
    <w:p w14:paraId="12688EEB">
      <w:pPr>
        <w:jc w:val="center"/>
        <w:rPr>
          <w:rFonts w:hint="eastAsia" w:ascii="宋体" w:hAnsi="宋体"/>
          <w:sz w:val="24"/>
          <w:lang/>
        </w:rPr>
      </w:pPr>
    </w:p>
    <w:p w14:paraId="73EF9767">
      <w:pPr>
        <w:jc w:val="center"/>
        <w:rPr>
          <w:rFonts w:hint="eastAsia" w:ascii="宋体" w:hAnsi="宋体"/>
          <w:sz w:val="24"/>
          <w:lang/>
        </w:rPr>
      </w:pPr>
    </w:p>
    <w:p w14:paraId="508040E4">
      <w:pPr>
        <w:jc w:val="center"/>
        <w:rPr>
          <w:rFonts w:hint="eastAsia" w:ascii="宋体" w:hAnsi="宋体"/>
          <w:sz w:val="24"/>
          <w:lang/>
        </w:rPr>
      </w:pPr>
    </w:p>
    <w:p w14:paraId="0F10D4AA">
      <w:pPr>
        <w:jc w:val="center"/>
        <w:rPr>
          <w:rFonts w:hint="eastAsia" w:ascii="宋体" w:hAnsi="宋体"/>
          <w:sz w:val="24"/>
          <w:lang/>
        </w:rPr>
      </w:pPr>
    </w:p>
    <w:p w14:paraId="13FCFA7C">
      <w:pPr>
        <w:jc w:val="center"/>
        <w:rPr>
          <w:rFonts w:hint="eastAsia" w:ascii="宋体" w:hAnsi="宋体"/>
          <w:sz w:val="24"/>
          <w:lang/>
        </w:rPr>
      </w:pPr>
    </w:p>
    <w:p w14:paraId="7A895525">
      <w:pPr>
        <w:jc w:val="center"/>
        <w:rPr>
          <w:rFonts w:hint="eastAsia" w:ascii="宋体" w:hAnsi="宋体"/>
          <w:sz w:val="24"/>
          <w:lang/>
        </w:rPr>
      </w:pPr>
    </w:p>
    <w:p w14:paraId="6447E836">
      <w:pPr>
        <w:jc w:val="center"/>
        <w:rPr>
          <w:rFonts w:hint="eastAsia" w:ascii="宋体" w:hAnsi="宋体"/>
          <w:sz w:val="24"/>
          <w:lang/>
        </w:rPr>
      </w:pPr>
    </w:p>
    <w:p w14:paraId="2AAEAC42">
      <w:pPr>
        <w:jc w:val="center"/>
        <w:rPr>
          <w:rFonts w:hint="eastAsia" w:ascii="宋体" w:hAnsi="宋体"/>
          <w:sz w:val="24"/>
          <w:lang/>
        </w:rPr>
      </w:pPr>
    </w:p>
    <w:p w14:paraId="4464BAE8">
      <w:pPr>
        <w:jc w:val="center"/>
        <w:rPr>
          <w:rFonts w:hint="eastAsia" w:ascii="宋体" w:hAnsi="宋体"/>
          <w:sz w:val="24"/>
          <w:lang/>
        </w:rPr>
      </w:pPr>
    </w:p>
    <w:p w14:paraId="21DBCF44">
      <w:pPr>
        <w:jc w:val="center"/>
        <w:rPr>
          <w:rFonts w:hint="eastAsia" w:ascii="宋体" w:hAnsi="宋体"/>
          <w:sz w:val="24"/>
          <w:lang/>
        </w:rPr>
      </w:pPr>
    </w:p>
    <w:p w14:paraId="7A97CC2C">
      <w:pPr>
        <w:jc w:val="center"/>
        <w:rPr>
          <w:rFonts w:hint="eastAsia" w:ascii="宋体" w:hAnsi="宋体"/>
          <w:sz w:val="24"/>
          <w:lang/>
        </w:rPr>
      </w:pPr>
    </w:p>
    <w:p w14:paraId="7EFF64E8">
      <w:pPr>
        <w:jc w:val="center"/>
        <w:rPr>
          <w:rFonts w:hint="eastAsia" w:ascii="宋体" w:hAnsi="宋体"/>
          <w:sz w:val="24"/>
          <w:lang/>
        </w:rPr>
      </w:pPr>
    </w:p>
    <w:p w14:paraId="30B158D0">
      <w:pPr>
        <w:jc w:val="center"/>
        <w:rPr>
          <w:rFonts w:hint="eastAsia" w:ascii="宋体" w:hAnsi="宋体"/>
          <w:sz w:val="24"/>
          <w:lang/>
        </w:rPr>
      </w:pPr>
    </w:p>
    <w:p w14:paraId="2199751E">
      <w:pPr>
        <w:jc w:val="center"/>
        <w:rPr>
          <w:rFonts w:hint="eastAsia" w:ascii="宋体" w:hAnsi="宋体"/>
          <w:sz w:val="24"/>
          <w:lang/>
        </w:rPr>
      </w:pPr>
    </w:p>
    <w:p w14:paraId="5B74AB18">
      <w:pPr>
        <w:jc w:val="center"/>
        <w:rPr>
          <w:rFonts w:hint="eastAsia" w:ascii="宋体" w:hAnsi="宋体"/>
          <w:sz w:val="24"/>
          <w:lang/>
        </w:rPr>
      </w:pPr>
    </w:p>
    <w:p w14:paraId="387B7365">
      <w:pPr>
        <w:jc w:val="center"/>
        <w:rPr>
          <w:rFonts w:hint="eastAsia" w:ascii="宋体" w:hAnsi="宋体"/>
          <w:sz w:val="24"/>
          <w:lang/>
        </w:rPr>
      </w:pPr>
    </w:p>
    <w:p w14:paraId="3CC682E9">
      <w:pPr>
        <w:jc w:val="center"/>
        <w:rPr>
          <w:rFonts w:hint="eastAsia" w:ascii="宋体" w:hAnsi="宋体"/>
          <w:sz w:val="24"/>
          <w:lang/>
        </w:rPr>
      </w:pPr>
    </w:p>
    <w:p w14:paraId="2DE94D31">
      <w:pPr>
        <w:jc w:val="center"/>
        <w:rPr>
          <w:rFonts w:hint="eastAsia" w:ascii="宋体" w:hAnsi="宋体"/>
          <w:sz w:val="24"/>
          <w:lang/>
        </w:rPr>
      </w:pPr>
    </w:p>
    <w:p w14:paraId="29114F2C">
      <w:pPr>
        <w:jc w:val="center"/>
        <w:rPr>
          <w:rFonts w:hint="eastAsia" w:ascii="宋体" w:hAnsi="宋体"/>
          <w:sz w:val="24"/>
          <w:lang/>
        </w:rPr>
      </w:pPr>
    </w:p>
    <w:p w14:paraId="315E1E8D">
      <w:pPr>
        <w:jc w:val="center"/>
        <w:rPr>
          <w:rFonts w:hint="eastAsia" w:ascii="宋体" w:hAnsi="宋体"/>
          <w:sz w:val="24"/>
          <w:lang/>
        </w:rPr>
      </w:pPr>
    </w:p>
    <w:p w14:paraId="525DB5BB">
      <w:pPr>
        <w:jc w:val="center"/>
        <w:rPr>
          <w:rFonts w:hint="eastAsia" w:ascii="宋体" w:hAnsi="宋体"/>
          <w:sz w:val="24"/>
          <w:lang/>
        </w:rPr>
      </w:pPr>
    </w:p>
    <w:p w14:paraId="4D53490D">
      <w:pPr>
        <w:jc w:val="center"/>
        <w:rPr>
          <w:rFonts w:hint="eastAsia" w:ascii="宋体" w:hAnsi="宋体"/>
          <w:sz w:val="24"/>
          <w:lang/>
        </w:rPr>
      </w:pPr>
    </w:p>
    <w:p w14:paraId="52418F8C">
      <w:pPr>
        <w:jc w:val="center"/>
        <w:rPr>
          <w:rFonts w:hint="eastAsia" w:ascii="宋体" w:hAnsi="宋体"/>
          <w:sz w:val="24"/>
          <w:lang/>
        </w:rPr>
      </w:pPr>
    </w:p>
    <w:p w14:paraId="3FFDE6E3">
      <w:pPr>
        <w:jc w:val="center"/>
        <w:rPr>
          <w:rFonts w:hint="eastAsia" w:ascii="宋体" w:hAnsi="宋体"/>
          <w:sz w:val="24"/>
          <w:lang/>
        </w:rPr>
      </w:pPr>
    </w:p>
    <w:p w14:paraId="48894463">
      <w:pPr>
        <w:jc w:val="center"/>
        <w:rPr>
          <w:rFonts w:hint="eastAsia" w:ascii="宋体" w:hAnsi="宋体"/>
          <w:sz w:val="24"/>
          <w:lang/>
        </w:rPr>
      </w:pPr>
    </w:p>
    <w:p w14:paraId="704582F6">
      <w:pPr>
        <w:jc w:val="center"/>
        <w:rPr>
          <w:rFonts w:hint="eastAsia" w:ascii="宋体" w:hAnsi="宋体"/>
          <w:sz w:val="24"/>
          <w:lang/>
        </w:rPr>
      </w:pPr>
    </w:p>
    <w:p w14:paraId="0ADCFDAE">
      <w:pPr>
        <w:jc w:val="center"/>
        <w:rPr>
          <w:rFonts w:hint="eastAsia" w:ascii="宋体" w:hAnsi="宋体"/>
          <w:sz w:val="24"/>
          <w:lang/>
        </w:rPr>
      </w:pPr>
    </w:p>
    <w:p w14:paraId="594BA11B">
      <w:pPr>
        <w:jc w:val="center"/>
        <w:rPr>
          <w:rFonts w:hint="eastAsia" w:ascii="宋体" w:hAnsi="宋体"/>
          <w:sz w:val="24"/>
          <w:lang/>
        </w:rPr>
      </w:pPr>
    </w:p>
    <w:p w14:paraId="5CCDFCE2">
      <w:pPr>
        <w:jc w:val="center"/>
        <w:rPr>
          <w:rFonts w:hint="eastAsia" w:ascii="宋体" w:hAnsi="宋体"/>
          <w:sz w:val="24"/>
          <w:lang/>
        </w:rPr>
      </w:pPr>
    </w:p>
    <w:p w14:paraId="1C67EA1B">
      <w:pPr>
        <w:jc w:val="center"/>
        <w:rPr>
          <w:rFonts w:hint="eastAsia" w:ascii="宋体" w:hAnsi="宋体"/>
          <w:sz w:val="24"/>
          <w:lang/>
        </w:rPr>
      </w:pPr>
    </w:p>
    <w:p w14:paraId="628392C0">
      <w:pPr>
        <w:pStyle w:val="40"/>
        <w:spacing w:line="360" w:lineRule="auto"/>
        <w:jc w:val="center"/>
        <w:rPr>
          <w:rFonts w:hint="eastAsia" w:ascii="黑体" w:hAnsi="宋体" w:eastAsia="黑体"/>
          <w:sz w:val="44"/>
          <w:szCs w:val="44"/>
          <w:lang/>
        </w:rPr>
      </w:pPr>
      <w:r>
        <w:rPr>
          <w:rFonts w:hint="eastAsia" w:ascii="黑体" w:hAnsi="宋体" w:eastAsia="黑体"/>
          <w:sz w:val="44"/>
          <w:szCs w:val="44"/>
          <w:lang/>
        </w:rPr>
        <w:t>目　　录</w:t>
      </w:r>
    </w:p>
    <w:p w14:paraId="0B2413B1">
      <w:pPr>
        <w:pStyle w:val="40"/>
        <w:tabs>
          <w:tab w:val="right" w:leader="dot" w:pos="9060"/>
        </w:tabs>
        <w:spacing w:line="360" w:lineRule="auto"/>
        <w:rPr>
          <w:sz w:val="24"/>
          <w:lang/>
        </w:rPr>
      </w:pPr>
      <w:r>
        <w:rPr>
          <w:rFonts w:ascii="宋体" w:hAnsi="宋体"/>
          <w:sz w:val="24"/>
          <w:lang/>
        </w:rPr>
        <w:fldChar w:fldCharType="begin"/>
      </w:r>
      <w:r>
        <w:rPr>
          <w:rFonts w:ascii="宋体" w:hAnsi="宋体"/>
          <w:sz w:val="24"/>
          <w:lang/>
        </w:rPr>
        <w:instrText xml:space="preserve"> TOC \o "1-2" \h \z \u </w:instrText>
      </w:r>
      <w:r>
        <w:rPr>
          <w:rFonts w:ascii="宋体" w:hAnsi="宋体"/>
          <w:sz w:val="24"/>
          <w:lang/>
        </w:rPr>
        <w:fldChar w:fldCharType="separate"/>
      </w:r>
      <w:r>
        <w:rPr>
          <w:sz w:val="24"/>
          <w:lang/>
        </w:rPr>
        <w:fldChar w:fldCharType="begin"/>
      </w:r>
      <w:r>
        <w:rPr>
          <w:rStyle w:val="74"/>
          <w:sz w:val="24"/>
          <w:lang/>
        </w:rPr>
        <w:instrText xml:space="preserve"> </w:instrText>
      </w:r>
      <w:r>
        <w:rPr>
          <w:sz w:val="24"/>
          <w:lang/>
        </w:rPr>
        <w:instrText xml:space="preserve">HYPERLINK \l "_Toc260915250"</w:instrText>
      </w:r>
      <w:r>
        <w:rPr>
          <w:rStyle w:val="74"/>
          <w:sz w:val="24"/>
          <w:lang/>
        </w:rPr>
        <w:instrText xml:space="preserve"> </w:instrText>
      </w:r>
      <w:r>
        <w:rPr>
          <w:sz w:val="24"/>
          <w:lang/>
        </w:rPr>
        <w:fldChar w:fldCharType="separate"/>
      </w:r>
      <w:r>
        <w:rPr>
          <w:rStyle w:val="74"/>
          <w:rFonts w:hint="eastAsia" w:ascii="黑体" w:eastAsia="黑体"/>
          <w:b/>
          <w:kern w:val="44"/>
          <w:sz w:val="24"/>
          <w:lang/>
        </w:rPr>
        <w:t>前　　言</w:t>
      </w:r>
      <w:r>
        <w:rPr>
          <w:sz w:val="24"/>
          <w:lang/>
        </w:rPr>
        <w:tab/>
      </w:r>
      <w:r>
        <w:rPr>
          <w:sz w:val="24"/>
          <w:lang/>
        </w:rPr>
        <w:fldChar w:fldCharType="begin"/>
      </w:r>
      <w:r>
        <w:rPr>
          <w:sz w:val="24"/>
          <w:lang/>
        </w:rPr>
        <w:instrText xml:space="preserve"> PAGEREF _Toc260915250 \h </w:instrText>
      </w:r>
      <w:r>
        <w:rPr>
          <w:sz w:val="24"/>
          <w:lang/>
        </w:rPr>
        <w:fldChar w:fldCharType="separate"/>
      </w:r>
      <w:r>
        <w:rPr>
          <w:sz w:val="24"/>
          <w:lang/>
        </w:rPr>
        <w:t>1</w:t>
      </w:r>
      <w:r>
        <w:rPr>
          <w:sz w:val="24"/>
          <w:lang/>
        </w:rPr>
        <w:fldChar w:fldCharType="end"/>
      </w:r>
      <w:r>
        <w:rPr>
          <w:sz w:val="24"/>
          <w:lang/>
        </w:rPr>
        <w:fldChar w:fldCharType="end"/>
      </w:r>
    </w:p>
    <w:p w14:paraId="30B36393">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"_Toc260915251"</w:instrText>
      </w:r>
      <w:r>
        <w:rPr>
          <w:rStyle w:val="74"/>
          <w:sz w:val="24"/>
          <w:lang/>
        </w:rPr>
        <w:instrText xml:space="preserve"> </w:instrText>
      </w:r>
      <w:r>
        <w:rPr>
          <w:sz w:val="24"/>
          <w:lang/>
        </w:rPr>
        <w:fldChar w:fldCharType="separate"/>
      </w:r>
      <w:r>
        <w:rPr>
          <w:rStyle w:val="74"/>
          <w:rFonts w:hint="eastAsia"/>
          <w:b/>
          <w:sz w:val="24"/>
          <w:lang/>
        </w:rPr>
        <w:t>第一节　　项目背景</w:t>
      </w:r>
      <w:r>
        <w:rPr>
          <w:sz w:val="24"/>
          <w:lang/>
        </w:rPr>
        <w:tab/>
      </w:r>
      <w:r>
        <w:rPr>
          <w:sz w:val="24"/>
          <w:lang/>
        </w:rPr>
        <w:fldChar w:fldCharType="begin"/>
      </w:r>
      <w:r>
        <w:rPr>
          <w:sz w:val="24"/>
          <w:lang/>
        </w:rPr>
        <w:instrText xml:space="preserve"> PAGEREF _Toc260915251 \h </w:instrText>
      </w:r>
      <w:r>
        <w:rPr>
          <w:sz w:val="24"/>
          <w:lang/>
        </w:rPr>
        <w:fldChar w:fldCharType="separate"/>
      </w:r>
      <w:r>
        <w:rPr>
          <w:sz w:val="24"/>
          <w:lang/>
        </w:rPr>
        <w:t>1</w:t>
      </w:r>
      <w:r>
        <w:rPr>
          <w:sz w:val="24"/>
          <w:lang/>
        </w:rPr>
        <w:fldChar w:fldCharType="end"/>
      </w:r>
      <w:r>
        <w:rPr>
          <w:sz w:val="24"/>
          <w:lang/>
        </w:rPr>
        <w:fldChar w:fldCharType="end"/>
      </w:r>
    </w:p>
    <w:p w14:paraId="43FA06BB">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"_Toc260915252"</w:instrText>
      </w:r>
      <w:r>
        <w:rPr>
          <w:rStyle w:val="74"/>
          <w:sz w:val="24"/>
          <w:lang/>
        </w:rPr>
        <w:instrText xml:space="preserve"> </w:instrText>
      </w:r>
      <w:r>
        <w:rPr>
          <w:sz w:val="24"/>
          <w:lang/>
        </w:rPr>
        <w:fldChar w:fldCharType="separate"/>
      </w:r>
      <w:r>
        <w:rPr>
          <w:rStyle w:val="74"/>
          <w:rFonts w:hint="eastAsia"/>
          <w:b/>
          <w:sz w:val="24"/>
          <w:lang/>
        </w:rPr>
        <w:t>第二节　　项目变更主要内容</w:t>
      </w:r>
      <w:r>
        <w:rPr>
          <w:sz w:val="24"/>
          <w:lang/>
        </w:rPr>
        <w:tab/>
      </w:r>
      <w:r>
        <w:rPr>
          <w:sz w:val="24"/>
          <w:lang/>
        </w:rPr>
        <w:fldChar w:fldCharType="begin"/>
      </w:r>
      <w:r>
        <w:rPr>
          <w:sz w:val="24"/>
          <w:lang/>
        </w:rPr>
        <w:instrText xml:space="preserve"> PAGEREF _Toc260915252 \h </w:instrText>
      </w:r>
      <w:r>
        <w:rPr>
          <w:sz w:val="24"/>
          <w:lang/>
        </w:rPr>
        <w:fldChar w:fldCharType="separate"/>
      </w:r>
      <w:r>
        <w:rPr>
          <w:sz w:val="24"/>
          <w:lang/>
        </w:rPr>
        <w:t>2</w:t>
      </w:r>
      <w:r>
        <w:rPr>
          <w:sz w:val="24"/>
          <w:lang/>
        </w:rPr>
        <w:fldChar w:fldCharType="end"/>
      </w:r>
      <w:r>
        <w:rPr>
          <w:sz w:val="24"/>
          <w:lang/>
        </w:rPr>
        <w:fldChar w:fldCharType="end"/>
      </w:r>
    </w:p>
    <w:p w14:paraId="2A054491">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"_Toc260915253"</w:instrText>
      </w:r>
      <w:r>
        <w:rPr>
          <w:rStyle w:val="74"/>
          <w:sz w:val="24"/>
          <w:lang/>
        </w:rPr>
        <w:instrText xml:space="preserve"> </w:instrText>
      </w:r>
      <w:r>
        <w:rPr>
          <w:sz w:val="24"/>
          <w:lang/>
        </w:rPr>
        <w:fldChar w:fldCharType="separate"/>
      </w:r>
      <w:r>
        <w:rPr>
          <w:rStyle w:val="74"/>
          <w:rFonts w:hint="eastAsia"/>
          <w:b/>
          <w:sz w:val="24"/>
          <w:lang/>
        </w:rPr>
        <w:t>第三节　　问题与建议</w:t>
      </w:r>
      <w:r>
        <w:rPr>
          <w:sz w:val="24"/>
          <w:lang/>
        </w:rPr>
        <w:tab/>
      </w:r>
      <w:r>
        <w:rPr>
          <w:sz w:val="24"/>
          <w:lang/>
        </w:rPr>
        <w:fldChar w:fldCharType="begin"/>
      </w:r>
      <w:r>
        <w:rPr>
          <w:sz w:val="24"/>
          <w:lang/>
        </w:rPr>
        <w:instrText xml:space="preserve"> PAGEREF _Toc260915253 \h </w:instrText>
      </w:r>
      <w:r>
        <w:rPr>
          <w:sz w:val="24"/>
          <w:lang/>
        </w:rPr>
        <w:fldChar w:fldCharType="separate"/>
      </w:r>
      <w:r>
        <w:rPr>
          <w:sz w:val="24"/>
          <w:lang/>
        </w:rPr>
        <w:t>8</w:t>
      </w:r>
      <w:r>
        <w:rPr>
          <w:sz w:val="24"/>
          <w:lang/>
        </w:rPr>
        <w:fldChar w:fldCharType="end"/>
      </w:r>
      <w:r>
        <w:rPr>
          <w:sz w:val="24"/>
          <w:lang/>
        </w:rPr>
        <w:fldChar w:fldCharType="end"/>
      </w:r>
    </w:p>
    <w:p w14:paraId="1A2A8040">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"_Toc260915254"</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第一章　　井田概况及资源条件</w:t>
      </w:r>
      <w:r>
        <w:rPr>
          <w:sz w:val="24"/>
          <w:lang/>
        </w:rPr>
        <w:tab/>
      </w:r>
      <w:r>
        <w:rPr>
          <w:sz w:val="24"/>
          <w:lang/>
        </w:rPr>
        <w:fldChar w:fldCharType="begin"/>
      </w:r>
      <w:r>
        <w:rPr>
          <w:sz w:val="24"/>
          <w:lang/>
        </w:rPr>
        <w:instrText xml:space="preserve"> PAGEREF _Toc260915254 \h </w:instrText>
      </w:r>
      <w:r>
        <w:rPr>
          <w:sz w:val="24"/>
          <w:lang/>
        </w:rPr>
        <w:fldChar w:fldCharType="separate"/>
      </w:r>
      <w:r>
        <w:rPr>
          <w:sz w:val="24"/>
          <w:lang/>
        </w:rPr>
        <w:t>9</w:t>
      </w:r>
      <w:r>
        <w:rPr>
          <w:sz w:val="24"/>
          <w:lang/>
        </w:rPr>
        <w:fldChar w:fldCharType="end"/>
      </w:r>
      <w:r>
        <w:rPr>
          <w:sz w:val="24"/>
          <w:lang/>
        </w:rPr>
        <w:fldChar w:fldCharType="end"/>
      </w:r>
    </w:p>
    <w:p w14:paraId="37ACA580">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"_Toc260915255"</w:instrText>
      </w:r>
      <w:r>
        <w:rPr>
          <w:rStyle w:val="74"/>
          <w:sz w:val="24"/>
          <w:lang/>
        </w:rPr>
        <w:instrText xml:space="preserve"> </w:instrText>
      </w:r>
      <w:r>
        <w:rPr>
          <w:sz w:val="24"/>
          <w:lang/>
        </w:rPr>
        <w:fldChar w:fldCharType="separate"/>
      </w:r>
      <w:r>
        <w:rPr>
          <w:rStyle w:val="74"/>
          <w:rFonts w:hint="eastAsia"/>
          <w:b/>
          <w:sz w:val="24"/>
          <w:lang/>
        </w:rPr>
        <w:t>第一节　　井田概况</w:t>
      </w:r>
      <w:r>
        <w:rPr>
          <w:sz w:val="24"/>
          <w:lang/>
        </w:rPr>
        <w:tab/>
      </w:r>
      <w:r>
        <w:rPr>
          <w:sz w:val="24"/>
          <w:lang/>
        </w:rPr>
        <w:fldChar w:fldCharType="begin"/>
      </w:r>
      <w:r>
        <w:rPr>
          <w:sz w:val="24"/>
          <w:lang/>
        </w:rPr>
        <w:instrText xml:space="preserve"> PAGEREF _Toc260915255 \h </w:instrText>
      </w:r>
      <w:r>
        <w:rPr>
          <w:sz w:val="24"/>
          <w:lang/>
        </w:rPr>
        <w:fldChar w:fldCharType="separate"/>
      </w:r>
      <w:r>
        <w:rPr>
          <w:sz w:val="24"/>
          <w:lang/>
        </w:rPr>
        <w:t>9</w:t>
      </w:r>
      <w:r>
        <w:rPr>
          <w:sz w:val="24"/>
          <w:lang/>
        </w:rPr>
        <w:fldChar w:fldCharType="end"/>
      </w:r>
      <w:r>
        <w:rPr>
          <w:sz w:val="24"/>
          <w:lang/>
        </w:rPr>
        <w:fldChar w:fldCharType="end"/>
      </w:r>
    </w:p>
    <w:p w14:paraId="19D635C0">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"_Toc260915256"</w:instrText>
      </w:r>
      <w:r>
        <w:rPr>
          <w:rStyle w:val="74"/>
          <w:sz w:val="24"/>
          <w:lang/>
        </w:rPr>
        <w:instrText xml:space="preserve"> </w:instrText>
      </w:r>
      <w:r>
        <w:rPr>
          <w:sz w:val="24"/>
          <w:lang/>
        </w:rPr>
        <w:fldChar w:fldCharType="separate"/>
      </w:r>
      <w:r>
        <w:rPr>
          <w:rStyle w:val="74"/>
          <w:rFonts w:hint="eastAsia"/>
          <w:b/>
          <w:sz w:val="24"/>
          <w:lang/>
        </w:rPr>
        <w:t>第二节　　资源条件</w:t>
      </w:r>
      <w:r>
        <w:rPr>
          <w:sz w:val="24"/>
          <w:lang/>
        </w:rPr>
        <w:tab/>
      </w:r>
      <w:r>
        <w:rPr>
          <w:sz w:val="24"/>
          <w:lang/>
        </w:rPr>
        <w:fldChar w:fldCharType="begin"/>
      </w:r>
      <w:r>
        <w:rPr>
          <w:sz w:val="24"/>
          <w:lang/>
        </w:rPr>
        <w:instrText xml:space="preserve"> PAGEREF _Toc260915256 \h </w:instrText>
      </w:r>
      <w:r>
        <w:rPr>
          <w:sz w:val="24"/>
          <w:lang/>
        </w:rPr>
        <w:fldChar w:fldCharType="separate"/>
      </w:r>
      <w:r>
        <w:rPr>
          <w:sz w:val="24"/>
          <w:lang/>
        </w:rPr>
        <w:t>15</w:t>
      </w:r>
      <w:r>
        <w:rPr>
          <w:sz w:val="24"/>
          <w:lang/>
        </w:rPr>
        <w:fldChar w:fldCharType="end"/>
      </w:r>
      <w:r>
        <w:rPr>
          <w:sz w:val="24"/>
          <w:lang/>
        </w:rPr>
        <w:fldChar w:fldCharType="end"/>
      </w:r>
    </w:p>
    <w:p w14:paraId="3EA2AA42">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"_Toc260915257"</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第二章　　建设规模与服务年限</w:t>
      </w:r>
      <w:r>
        <w:rPr>
          <w:sz w:val="24"/>
          <w:lang/>
        </w:rPr>
        <w:tab/>
      </w:r>
      <w:r>
        <w:rPr>
          <w:sz w:val="24"/>
          <w:lang/>
        </w:rPr>
        <w:fldChar w:fldCharType="begin"/>
      </w:r>
      <w:r>
        <w:rPr>
          <w:sz w:val="24"/>
          <w:lang/>
        </w:rPr>
        <w:instrText xml:space="preserve"> PAGEREF _Toc260915257 \h </w:instrText>
      </w:r>
      <w:r>
        <w:rPr>
          <w:sz w:val="24"/>
          <w:lang/>
        </w:rPr>
        <w:fldChar w:fldCharType="separate"/>
      </w:r>
      <w:r>
        <w:rPr>
          <w:sz w:val="24"/>
          <w:lang/>
        </w:rPr>
        <w:t>33</w:t>
      </w:r>
      <w:r>
        <w:rPr>
          <w:sz w:val="24"/>
          <w:lang/>
        </w:rPr>
        <w:fldChar w:fldCharType="end"/>
      </w:r>
      <w:r>
        <w:rPr>
          <w:sz w:val="24"/>
          <w:lang/>
        </w:rPr>
        <w:fldChar w:fldCharType="end"/>
      </w:r>
    </w:p>
    <w:p w14:paraId="1DE51B18">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"_Toc260915258"</w:instrText>
      </w:r>
      <w:r>
        <w:rPr>
          <w:rStyle w:val="74"/>
          <w:sz w:val="24"/>
          <w:lang/>
        </w:rPr>
        <w:instrText xml:space="preserve"> </w:instrText>
      </w:r>
      <w:r>
        <w:rPr>
          <w:sz w:val="24"/>
          <w:lang/>
        </w:rPr>
        <w:fldChar w:fldCharType="separate"/>
      </w:r>
      <w:r>
        <w:rPr>
          <w:rStyle w:val="74"/>
          <w:rFonts w:hint="eastAsia"/>
          <w:b/>
          <w:sz w:val="24"/>
          <w:lang/>
        </w:rPr>
        <w:t>第一节　　矿区范围与资源</w:t>
      </w:r>
      <w:r>
        <w:rPr>
          <w:rStyle w:val="74"/>
          <w:b/>
          <w:sz w:val="24"/>
          <w:lang/>
        </w:rPr>
        <w:t>/</w:t>
      </w:r>
      <w:r>
        <w:rPr>
          <w:rStyle w:val="74"/>
          <w:rFonts w:hint="eastAsia"/>
          <w:b/>
          <w:sz w:val="24"/>
          <w:lang/>
        </w:rPr>
        <w:t>储量</w:t>
      </w:r>
      <w:r>
        <w:rPr>
          <w:sz w:val="24"/>
          <w:lang/>
        </w:rPr>
        <w:tab/>
      </w:r>
      <w:r>
        <w:rPr>
          <w:sz w:val="24"/>
          <w:lang/>
        </w:rPr>
        <w:fldChar w:fldCharType="begin"/>
      </w:r>
      <w:r>
        <w:rPr>
          <w:sz w:val="24"/>
          <w:lang/>
        </w:rPr>
        <w:instrText xml:space="preserve"> PAGEREF _Toc260915258 \h </w:instrText>
      </w:r>
      <w:r>
        <w:rPr>
          <w:sz w:val="24"/>
          <w:lang/>
        </w:rPr>
        <w:fldChar w:fldCharType="separate"/>
      </w:r>
      <w:r>
        <w:rPr>
          <w:sz w:val="24"/>
          <w:lang/>
        </w:rPr>
        <w:t>33</w:t>
      </w:r>
      <w:r>
        <w:rPr>
          <w:sz w:val="24"/>
          <w:lang/>
        </w:rPr>
        <w:fldChar w:fldCharType="end"/>
      </w:r>
      <w:r>
        <w:rPr>
          <w:sz w:val="24"/>
          <w:lang/>
        </w:rPr>
        <w:fldChar w:fldCharType="end"/>
      </w:r>
    </w:p>
    <w:p w14:paraId="7D228EDB">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"_Toc260915259"</w:instrText>
      </w:r>
      <w:r>
        <w:rPr>
          <w:rStyle w:val="74"/>
          <w:sz w:val="24"/>
          <w:lang/>
        </w:rPr>
        <w:instrText xml:space="preserve"> </w:instrText>
      </w:r>
      <w:r>
        <w:rPr>
          <w:sz w:val="24"/>
          <w:lang/>
        </w:rPr>
        <w:fldChar w:fldCharType="separate"/>
      </w:r>
      <w:r>
        <w:rPr>
          <w:rStyle w:val="74"/>
          <w:rFonts w:hint="eastAsia"/>
          <w:b/>
          <w:sz w:val="24"/>
          <w:lang/>
        </w:rPr>
        <w:t>第二节　　矿井生产能力及服务年限</w:t>
      </w:r>
      <w:r>
        <w:rPr>
          <w:sz w:val="24"/>
          <w:lang/>
        </w:rPr>
        <w:tab/>
      </w:r>
      <w:r>
        <w:rPr>
          <w:sz w:val="24"/>
          <w:lang/>
        </w:rPr>
        <w:fldChar w:fldCharType="begin"/>
      </w:r>
      <w:r>
        <w:rPr>
          <w:sz w:val="24"/>
          <w:lang/>
        </w:rPr>
        <w:instrText xml:space="preserve"> PAGEREF _Toc260915259 \h </w:instrText>
      </w:r>
      <w:r>
        <w:rPr>
          <w:sz w:val="24"/>
          <w:lang/>
        </w:rPr>
        <w:fldChar w:fldCharType="separate"/>
      </w:r>
      <w:r>
        <w:rPr>
          <w:sz w:val="24"/>
          <w:lang/>
        </w:rPr>
        <w:t>39</w:t>
      </w:r>
      <w:r>
        <w:rPr>
          <w:sz w:val="24"/>
          <w:lang/>
        </w:rPr>
        <w:fldChar w:fldCharType="end"/>
      </w:r>
      <w:r>
        <w:rPr>
          <w:sz w:val="24"/>
          <w:lang/>
        </w:rPr>
        <w:fldChar w:fldCharType="end"/>
      </w:r>
    </w:p>
    <w:p w14:paraId="00793FAF">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"_Toc260915260"</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第三章　　井田开拓与开采</w:t>
      </w:r>
      <w:r>
        <w:rPr>
          <w:sz w:val="24"/>
          <w:lang/>
        </w:rPr>
        <w:tab/>
      </w:r>
      <w:r>
        <w:rPr>
          <w:sz w:val="24"/>
          <w:lang/>
        </w:rPr>
        <w:fldChar w:fldCharType="begin"/>
      </w:r>
      <w:r>
        <w:rPr>
          <w:sz w:val="24"/>
          <w:lang/>
        </w:rPr>
        <w:instrText xml:space="preserve"> PAGEREF _Toc260915260 \h </w:instrText>
      </w:r>
      <w:r>
        <w:rPr>
          <w:sz w:val="24"/>
          <w:lang/>
        </w:rPr>
        <w:fldChar w:fldCharType="separate"/>
      </w:r>
      <w:r>
        <w:rPr>
          <w:sz w:val="24"/>
          <w:lang/>
        </w:rPr>
        <w:t>43</w:t>
      </w:r>
      <w:r>
        <w:rPr>
          <w:sz w:val="24"/>
          <w:lang/>
        </w:rPr>
        <w:fldChar w:fldCharType="end"/>
      </w:r>
      <w:r>
        <w:rPr>
          <w:sz w:val="24"/>
          <w:lang/>
        </w:rPr>
        <w:fldChar w:fldCharType="end"/>
      </w:r>
    </w:p>
    <w:p w14:paraId="58ABFAD3">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"_Toc260915261"</w:instrText>
      </w:r>
      <w:r>
        <w:rPr>
          <w:rStyle w:val="74"/>
          <w:sz w:val="24"/>
          <w:lang/>
        </w:rPr>
        <w:instrText xml:space="preserve"> </w:instrText>
      </w:r>
      <w:r>
        <w:rPr>
          <w:sz w:val="24"/>
          <w:lang/>
        </w:rPr>
        <w:fldChar w:fldCharType="separate"/>
      </w:r>
      <w:r>
        <w:rPr>
          <w:rStyle w:val="74"/>
          <w:rFonts w:hint="eastAsia"/>
          <w:b/>
          <w:sz w:val="24"/>
          <w:lang/>
        </w:rPr>
        <w:t>第一节　　井田开拓</w:t>
      </w:r>
      <w:r>
        <w:rPr>
          <w:sz w:val="24"/>
          <w:lang/>
        </w:rPr>
        <w:tab/>
      </w:r>
      <w:r>
        <w:rPr>
          <w:sz w:val="24"/>
          <w:lang/>
        </w:rPr>
        <w:fldChar w:fldCharType="begin"/>
      </w:r>
      <w:r>
        <w:rPr>
          <w:sz w:val="24"/>
          <w:lang/>
        </w:rPr>
        <w:instrText xml:space="preserve"> PAGEREF _Toc260915261 \h </w:instrText>
      </w:r>
      <w:r>
        <w:rPr>
          <w:sz w:val="24"/>
          <w:lang/>
        </w:rPr>
        <w:fldChar w:fldCharType="separate"/>
      </w:r>
      <w:r>
        <w:rPr>
          <w:sz w:val="24"/>
          <w:lang/>
        </w:rPr>
        <w:t>43</w:t>
      </w:r>
      <w:r>
        <w:rPr>
          <w:sz w:val="24"/>
          <w:lang/>
        </w:rPr>
        <w:fldChar w:fldCharType="end"/>
      </w:r>
      <w:r>
        <w:rPr>
          <w:sz w:val="24"/>
          <w:lang/>
        </w:rPr>
        <w:fldChar w:fldCharType="end"/>
      </w:r>
    </w:p>
    <w:p w14:paraId="673A3E73">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"_Toc260915262"</w:instrText>
      </w:r>
      <w:r>
        <w:rPr>
          <w:rStyle w:val="74"/>
          <w:sz w:val="24"/>
          <w:lang/>
        </w:rPr>
        <w:instrText xml:space="preserve"> </w:instrText>
      </w:r>
      <w:r>
        <w:rPr>
          <w:sz w:val="24"/>
          <w:lang/>
        </w:rPr>
        <w:fldChar w:fldCharType="separate"/>
      </w:r>
      <w:r>
        <w:rPr>
          <w:rStyle w:val="74"/>
          <w:rFonts w:hint="eastAsia"/>
          <w:b/>
          <w:sz w:val="24"/>
          <w:lang/>
        </w:rPr>
        <w:t>第二节　　井下开采</w:t>
      </w:r>
      <w:r>
        <w:rPr>
          <w:sz w:val="24"/>
          <w:lang/>
        </w:rPr>
        <w:tab/>
      </w:r>
      <w:r>
        <w:rPr>
          <w:sz w:val="24"/>
          <w:lang/>
        </w:rPr>
        <w:fldChar w:fldCharType="begin"/>
      </w:r>
      <w:r>
        <w:rPr>
          <w:sz w:val="24"/>
          <w:lang/>
        </w:rPr>
        <w:instrText xml:space="preserve"> PAGEREF _Toc260915262 \h </w:instrText>
      </w:r>
      <w:r>
        <w:rPr>
          <w:sz w:val="24"/>
          <w:lang/>
        </w:rPr>
        <w:fldChar w:fldCharType="separate"/>
      </w:r>
      <w:r>
        <w:rPr>
          <w:sz w:val="24"/>
          <w:lang/>
        </w:rPr>
        <w:t>55</w:t>
      </w:r>
      <w:r>
        <w:rPr>
          <w:sz w:val="24"/>
          <w:lang/>
        </w:rPr>
        <w:fldChar w:fldCharType="end"/>
      </w:r>
      <w:r>
        <w:rPr>
          <w:sz w:val="24"/>
          <w:lang/>
        </w:rPr>
        <w:fldChar w:fldCharType="end"/>
      </w:r>
    </w:p>
    <w:p w14:paraId="53CE1649">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"_Toc260915263"</w:instrText>
      </w:r>
      <w:r>
        <w:rPr>
          <w:rStyle w:val="74"/>
          <w:sz w:val="24"/>
          <w:lang/>
        </w:rPr>
        <w:instrText xml:space="preserve"> </w:instrText>
      </w:r>
      <w:r>
        <w:rPr>
          <w:sz w:val="24"/>
          <w:lang/>
        </w:rPr>
        <w:fldChar w:fldCharType="separate"/>
      </w:r>
      <w:r>
        <w:rPr>
          <w:rStyle w:val="74"/>
          <w:rFonts w:hint="eastAsia"/>
          <w:b/>
          <w:sz w:val="24"/>
          <w:lang/>
        </w:rPr>
        <w:t>第三节　　井下运输</w:t>
      </w:r>
      <w:r>
        <w:rPr>
          <w:sz w:val="24"/>
          <w:lang/>
        </w:rPr>
        <w:tab/>
      </w:r>
      <w:r>
        <w:rPr>
          <w:sz w:val="24"/>
          <w:lang/>
        </w:rPr>
        <w:fldChar w:fldCharType="begin"/>
      </w:r>
      <w:r>
        <w:rPr>
          <w:sz w:val="24"/>
          <w:lang/>
        </w:rPr>
        <w:instrText xml:space="preserve"> PAGEREF _Toc260915263 \h </w:instrText>
      </w:r>
      <w:r>
        <w:rPr>
          <w:sz w:val="24"/>
          <w:lang/>
        </w:rPr>
        <w:fldChar w:fldCharType="separate"/>
      </w:r>
      <w:r>
        <w:rPr>
          <w:sz w:val="24"/>
          <w:lang/>
        </w:rPr>
        <w:t>60</w:t>
      </w:r>
      <w:r>
        <w:rPr>
          <w:sz w:val="24"/>
          <w:lang/>
        </w:rPr>
        <w:fldChar w:fldCharType="end"/>
      </w:r>
      <w:r>
        <w:rPr>
          <w:sz w:val="24"/>
          <w:lang/>
        </w:rPr>
        <w:fldChar w:fldCharType="end"/>
      </w:r>
    </w:p>
    <w:p w14:paraId="3BB816A3">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"_Toc260915264"</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第四章　　通风与安全</w:t>
      </w:r>
      <w:r>
        <w:rPr>
          <w:sz w:val="24"/>
          <w:lang/>
        </w:rPr>
        <w:tab/>
      </w:r>
      <w:r>
        <w:rPr>
          <w:sz w:val="24"/>
          <w:lang/>
        </w:rPr>
        <w:fldChar w:fldCharType="begin"/>
      </w:r>
      <w:r>
        <w:rPr>
          <w:sz w:val="24"/>
          <w:lang/>
        </w:rPr>
        <w:instrText xml:space="preserve"> PAGEREF _Toc260915264 \h </w:instrText>
      </w:r>
      <w:r>
        <w:rPr>
          <w:sz w:val="24"/>
          <w:lang/>
        </w:rPr>
        <w:fldChar w:fldCharType="separate"/>
      </w:r>
      <w:r>
        <w:rPr>
          <w:sz w:val="24"/>
          <w:lang/>
        </w:rPr>
        <w:t>62</w:t>
      </w:r>
      <w:r>
        <w:rPr>
          <w:sz w:val="24"/>
          <w:lang/>
        </w:rPr>
        <w:fldChar w:fldCharType="end"/>
      </w:r>
      <w:r>
        <w:rPr>
          <w:sz w:val="24"/>
          <w:lang/>
        </w:rPr>
        <w:fldChar w:fldCharType="end"/>
      </w:r>
    </w:p>
    <w:p w14:paraId="1685DC37">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"_Toc260915265"</w:instrText>
      </w:r>
      <w:r>
        <w:rPr>
          <w:rStyle w:val="74"/>
          <w:sz w:val="24"/>
          <w:lang/>
        </w:rPr>
        <w:instrText xml:space="preserve"> </w:instrText>
      </w:r>
      <w:r>
        <w:rPr>
          <w:sz w:val="24"/>
          <w:lang/>
        </w:rPr>
        <w:fldChar w:fldCharType="separate"/>
      </w:r>
      <w:r>
        <w:rPr>
          <w:rStyle w:val="74"/>
          <w:rFonts w:hint="eastAsia"/>
          <w:b/>
          <w:sz w:val="24"/>
          <w:lang/>
        </w:rPr>
        <w:t>第一节　　概　况</w:t>
      </w:r>
      <w:r>
        <w:rPr>
          <w:sz w:val="24"/>
          <w:lang/>
        </w:rPr>
        <w:tab/>
      </w:r>
      <w:r>
        <w:rPr>
          <w:sz w:val="24"/>
          <w:lang/>
        </w:rPr>
        <w:fldChar w:fldCharType="begin"/>
      </w:r>
      <w:r>
        <w:rPr>
          <w:sz w:val="24"/>
          <w:lang/>
        </w:rPr>
        <w:instrText xml:space="preserve"> PAGEREF _Toc260915265 \h </w:instrText>
      </w:r>
      <w:r>
        <w:rPr>
          <w:sz w:val="24"/>
          <w:lang/>
        </w:rPr>
        <w:fldChar w:fldCharType="separate"/>
      </w:r>
      <w:r>
        <w:rPr>
          <w:sz w:val="24"/>
          <w:lang/>
        </w:rPr>
        <w:t>62</w:t>
      </w:r>
      <w:r>
        <w:rPr>
          <w:sz w:val="24"/>
          <w:lang/>
        </w:rPr>
        <w:fldChar w:fldCharType="end"/>
      </w:r>
      <w:r>
        <w:rPr>
          <w:sz w:val="24"/>
          <w:lang/>
        </w:rPr>
        <w:fldChar w:fldCharType="end"/>
      </w:r>
    </w:p>
    <w:p w14:paraId="37E7F86C">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"_Toc260915266"</w:instrText>
      </w:r>
      <w:r>
        <w:rPr>
          <w:rStyle w:val="74"/>
          <w:sz w:val="24"/>
          <w:lang/>
        </w:rPr>
        <w:instrText xml:space="preserve"> </w:instrText>
      </w:r>
      <w:r>
        <w:rPr>
          <w:sz w:val="24"/>
          <w:lang/>
        </w:rPr>
        <w:fldChar w:fldCharType="separate"/>
      </w:r>
      <w:r>
        <w:rPr>
          <w:rStyle w:val="74"/>
          <w:rFonts w:hint="eastAsia"/>
          <w:b/>
          <w:sz w:val="24"/>
          <w:lang/>
        </w:rPr>
        <w:t>第二节　　矿井通风</w:t>
      </w:r>
      <w:r>
        <w:rPr>
          <w:sz w:val="24"/>
          <w:lang/>
        </w:rPr>
        <w:tab/>
      </w:r>
      <w:r>
        <w:rPr>
          <w:sz w:val="24"/>
          <w:lang/>
        </w:rPr>
        <w:fldChar w:fldCharType="begin"/>
      </w:r>
      <w:r>
        <w:rPr>
          <w:sz w:val="24"/>
          <w:lang/>
        </w:rPr>
        <w:instrText xml:space="preserve"> PAGEREF _Toc260915266 \h </w:instrText>
      </w:r>
      <w:r>
        <w:rPr>
          <w:sz w:val="24"/>
          <w:lang/>
        </w:rPr>
        <w:fldChar w:fldCharType="separate"/>
      </w:r>
      <w:r>
        <w:rPr>
          <w:sz w:val="24"/>
          <w:lang/>
        </w:rPr>
        <w:t>75</w:t>
      </w:r>
      <w:r>
        <w:rPr>
          <w:sz w:val="24"/>
          <w:lang/>
        </w:rPr>
        <w:fldChar w:fldCharType="end"/>
      </w:r>
      <w:r>
        <w:rPr>
          <w:sz w:val="24"/>
          <w:lang/>
        </w:rPr>
        <w:fldChar w:fldCharType="end"/>
      </w:r>
    </w:p>
    <w:p w14:paraId="70DCDF30">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"_Toc260915267"</w:instrText>
      </w:r>
      <w:r>
        <w:rPr>
          <w:rStyle w:val="74"/>
          <w:sz w:val="24"/>
          <w:lang/>
        </w:rPr>
        <w:instrText xml:space="preserve"> </w:instrText>
      </w:r>
      <w:r>
        <w:rPr>
          <w:sz w:val="24"/>
          <w:lang/>
        </w:rPr>
        <w:fldChar w:fldCharType="separate"/>
      </w:r>
      <w:r>
        <w:rPr>
          <w:rStyle w:val="74"/>
          <w:rFonts w:hint="eastAsia"/>
          <w:b/>
          <w:sz w:val="24"/>
          <w:lang/>
        </w:rPr>
        <w:t>第三节　　灾害预防及安全装备</w:t>
      </w:r>
      <w:r>
        <w:rPr>
          <w:sz w:val="24"/>
          <w:lang/>
        </w:rPr>
        <w:tab/>
      </w:r>
      <w:r>
        <w:rPr>
          <w:sz w:val="24"/>
          <w:lang/>
        </w:rPr>
        <w:fldChar w:fldCharType="begin"/>
      </w:r>
      <w:r>
        <w:rPr>
          <w:sz w:val="24"/>
          <w:lang/>
        </w:rPr>
        <w:instrText xml:space="preserve"> PAGEREF _Toc260915267 \h </w:instrText>
      </w:r>
      <w:r>
        <w:rPr>
          <w:sz w:val="24"/>
          <w:lang/>
        </w:rPr>
        <w:fldChar w:fldCharType="separate"/>
      </w:r>
      <w:r>
        <w:rPr>
          <w:sz w:val="24"/>
          <w:lang/>
        </w:rPr>
        <w:t>86</w:t>
      </w:r>
      <w:r>
        <w:rPr>
          <w:sz w:val="24"/>
          <w:lang/>
        </w:rPr>
        <w:fldChar w:fldCharType="end"/>
      </w:r>
      <w:r>
        <w:rPr>
          <w:sz w:val="24"/>
          <w:lang/>
        </w:rPr>
        <w:fldChar w:fldCharType="end"/>
      </w:r>
    </w:p>
    <w:p w14:paraId="76D341A4">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"_Toc260915268"</w:instrText>
      </w:r>
      <w:r>
        <w:rPr>
          <w:rStyle w:val="74"/>
          <w:sz w:val="24"/>
          <w:lang/>
        </w:rPr>
        <w:instrText xml:space="preserve"> </w:instrText>
      </w:r>
      <w:r>
        <w:rPr>
          <w:sz w:val="24"/>
          <w:lang/>
        </w:rPr>
        <w:fldChar w:fldCharType="separate"/>
      </w:r>
      <w:r>
        <w:rPr>
          <w:rStyle w:val="74"/>
          <w:rFonts w:hint="eastAsia"/>
          <w:b/>
          <w:kern w:val="44"/>
          <w:sz w:val="24"/>
          <w:lang/>
        </w:rPr>
        <w:t>第五章　　矿井主要设备</w:t>
      </w:r>
      <w:r>
        <w:rPr>
          <w:sz w:val="24"/>
          <w:lang/>
        </w:rPr>
        <w:tab/>
      </w:r>
      <w:r>
        <w:rPr>
          <w:sz w:val="24"/>
          <w:lang/>
        </w:rPr>
        <w:fldChar w:fldCharType="begin"/>
      </w:r>
      <w:r>
        <w:rPr>
          <w:sz w:val="24"/>
          <w:lang/>
        </w:rPr>
        <w:instrText xml:space="preserve"> PAGEREF _Toc260915268 \h </w:instrText>
      </w:r>
      <w:r>
        <w:rPr>
          <w:sz w:val="24"/>
          <w:lang/>
        </w:rPr>
        <w:fldChar w:fldCharType="separate"/>
      </w:r>
      <w:r>
        <w:rPr>
          <w:sz w:val="24"/>
          <w:lang/>
        </w:rPr>
        <w:t>166</w:t>
      </w:r>
      <w:r>
        <w:rPr>
          <w:sz w:val="24"/>
          <w:lang/>
        </w:rPr>
        <w:fldChar w:fldCharType="end"/>
      </w:r>
      <w:r>
        <w:rPr>
          <w:sz w:val="24"/>
          <w:lang/>
        </w:rPr>
        <w:fldChar w:fldCharType="end"/>
      </w:r>
    </w:p>
    <w:p w14:paraId="42E71E0E">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"_Toc260915269"</w:instrText>
      </w:r>
      <w:r>
        <w:rPr>
          <w:rStyle w:val="74"/>
          <w:sz w:val="24"/>
          <w:lang/>
        </w:rPr>
        <w:instrText xml:space="preserve"> </w:instrText>
      </w:r>
      <w:r>
        <w:rPr>
          <w:sz w:val="24"/>
          <w:lang/>
        </w:rPr>
        <w:fldChar w:fldCharType="separate"/>
      </w:r>
      <w:r>
        <w:rPr>
          <w:rStyle w:val="74"/>
          <w:rFonts w:hint="eastAsia"/>
          <w:b/>
          <w:sz w:val="24"/>
          <w:lang/>
        </w:rPr>
        <w:t>第一节　　提升运输设备</w:t>
      </w:r>
      <w:r>
        <w:rPr>
          <w:sz w:val="24"/>
          <w:lang/>
        </w:rPr>
        <w:tab/>
      </w:r>
      <w:r>
        <w:rPr>
          <w:sz w:val="24"/>
          <w:lang/>
        </w:rPr>
        <w:fldChar w:fldCharType="begin"/>
      </w:r>
      <w:r>
        <w:rPr>
          <w:sz w:val="24"/>
          <w:lang/>
        </w:rPr>
        <w:instrText xml:space="preserve"> PAGEREF _Toc260915269 \h </w:instrText>
      </w:r>
      <w:r>
        <w:rPr>
          <w:sz w:val="24"/>
          <w:lang/>
        </w:rPr>
        <w:fldChar w:fldCharType="separate"/>
      </w:r>
      <w:r>
        <w:rPr>
          <w:sz w:val="24"/>
          <w:lang/>
        </w:rPr>
        <w:t>166</w:t>
      </w:r>
      <w:r>
        <w:rPr>
          <w:sz w:val="24"/>
          <w:lang/>
        </w:rPr>
        <w:fldChar w:fldCharType="end"/>
      </w:r>
      <w:r>
        <w:rPr>
          <w:sz w:val="24"/>
          <w:lang/>
        </w:rPr>
        <w:fldChar w:fldCharType="end"/>
      </w:r>
    </w:p>
    <w:p w14:paraId="36DC5736">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"_Toc260915270"</w:instrText>
      </w:r>
      <w:r>
        <w:rPr>
          <w:rStyle w:val="74"/>
          <w:sz w:val="24"/>
          <w:lang/>
        </w:rPr>
        <w:instrText xml:space="preserve"> </w:instrText>
      </w:r>
      <w:r>
        <w:rPr>
          <w:sz w:val="24"/>
          <w:lang/>
        </w:rPr>
        <w:fldChar w:fldCharType="separate"/>
      </w:r>
      <w:r>
        <w:rPr>
          <w:rStyle w:val="74"/>
          <w:rFonts w:hint="eastAsia"/>
          <w:b/>
          <w:sz w:val="24"/>
          <w:lang/>
        </w:rPr>
        <w:t>第二节　　通风设备</w:t>
      </w:r>
      <w:r>
        <w:rPr>
          <w:sz w:val="24"/>
          <w:lang/>
        </w:rPr>
        <w:tab/>
      </w:r>
      <w:r>
        <w:rPr>
          <w:sz w:val="24"/>
          <w:lang/>
        </w:rPr>
        <w:fldChar w:fldCharType="begin"/>
      </w:r>
      <w:r>
        <w:rPr>
          <w:sz w:val="24"/>
          <w:lang/>
        </w:rPr>
        <w:instrText xml:space="preserve"> PAGEREF _Toc260915270 \h </w:instrText>
      </w:r>
      <w:r>
        <w:rPr>
          <w:sz w:val="24"/>
          <w:lang/>
        </w:rPr>
        <w:fldChar w:fldCharType="separate"/>
      </w:r>
      <w:r>
        <w:rPr>
          <w:sz w:val="24"/>
          <w:lang/>
        </w:rPr>
        <w:t>173</w:t>
      </w:r>
      <w:r>
        <w:rPr>
          <w:sz w:val="24"/>
          <w:lang/>
        </w:rPr>
        <w:fldChar w:fldCharType="end"/>
      </w:r>
      <w:r>
        <w:rPr>
          <w:sz w:val="24"/>
          <w:lang/>
        </w:rPr>
        <w:fldChar w:fldCharType="end"/>
      </w:r>
    </w:p>
    <w:p w14:paraId="0E70EBF7">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"_Toc260915271"</w:instrText>
      </w:r>
      <w:r>
        <w:rPr>
          <w:rStyle w:val="74"/>
          <w:sz w:val="24"/>
          <w:lang/>
        </w:rPr>
        <w:instrText xml:space="preserve"> </w:instrText>
      </w:r>
      <w:r>
        <w:rPr>
          <w:sz w:val="24"/>
          <w:lang/>
        </w:rPr>
        <w:fldChar w:fldCharType="separate"/>
      </w:r>
      <w:r>
        <w:rPr>
          <w:rStyle w:val="74"/>
          <w:rFonts w:hint="eastAsia"/>
          <w:b/>
          <w:sz w:val="24"/>
          <w:lang/>
        </w:rPr>
        <w:t>第三节　　排水设备</w:t>
      </w:r>
      <w:r>
        <w:rPr>
          <w:sz w:val="24"/>
          <w:lang/>
        </w:rPr>
        <w:tab/>
      </w:r>
      <w:r>
        <w:rPr>
          <w:sz w:val="24"/>
          <w:lang/>
        </w:rPr>
        <w:fldChar w:fldCharType="begin"/>
      </w:r>
      <w:r>
        <w:rPr>
          <w:sz w:val="24"/>
          <w:lang/>
        </w:rPr>
        <w:instrText xml:space="preserve"> PAGEREF _Toc260915271 \h </w:instrText>
      </w:r>
      <w:r>
        <w:rPr>
          <w:sz w:val="24"/>
          <w:lang/>
        </w:rPr>
        <w:fldChar w:fldCharType="separate"/>
      </w:r>
      <w:r>
        <w:rPr>
          <w:sz w:val="24"/>
          <w:lang/>
        </w:rPr>
        <w:t>176</w:t>
      </w:r>
      <w:r>
        <w:rPr>
          <w:sz w:val="24"/>
          <w:lang/>
        </w:rPr>
        <w:fldChar w:fldCharType="end"/>
      </w:r>
      <w:r>
        <w:rPr>
          <w:sz w:val="24"/>
          <w:lang/>
        </w:rPr>
        <w:fldChar w:fldCharType="end"/>
      </w:r>
    </w:p>
    <w:p w14:paraId="32D186B0">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"_Toc260915272"</w:instrText>
      </w:r>
      <w:r>
        <w:rPr>
          <w:rStyle w:val="74"/>
          <w:sz w:val="24"/>
          <w:lang/>
        </w:rPr>
        <w:instrText xml:space="preserve"> </w:instrText>
      </w:r>
      <w:r>
        <w:rPr>
          <w:sz w:val="24"/>
          <w:lang/>
        </w:rPr>
        <w:fldChar w:fldCharType="separate"/>
      </w:r>
      <w:r>
        <w:rPr>
          <w:rStyle w:val="74"/>
          <w:rFonts w:hint="eastAsia"/>
          <w:b/>
          <w:sz w:val="24"/>
          <w:lang/>
        </w:rPr>
        <w:t>第四节　　空气压缩设备</w:t>
      </w:r>
      <w:r>
        <w:rPr>
          <w:sz w:val="24"/>
          <w:lang/>
        </w:rPr>
        <w:tab/>
      </w:r>
      <w:r>
        <w:rPr>
          <w:sz w:val="24"/>
          <w:lang/>
        </w:rPr>
        <w:fldChar w:fldCharType="begin"/>
      </w:r>
      <w:r>
        <w:rPr>
          <w:sz w:val="24"/>
          <w:lang/>
        </w:rPr>
        <w:instrText xml:space="preserve"> PAGEREF _Toc260915272 \h </w:instrText>
      </w:r>
      <w:r>
        <w:rPr>
          <w:sz w:val="24"/>
          <w:lang/>
        </w:rPr>
        <w:fldChar w:fldCharType="separate"/>
      </w:r>
      <w:r>
        <w:rPr>
          <w:sz w:val="24"/>
          <w:lang/>
        </w:rPr>
        <w:t>178</w:t>
      </w:r>
      <w:r>
        <w:rPr>
          <w:sz w:val="24"/>
          <w:lang/>
        </w:rPr>
        <w:fldChar w:fldCharType="end"/>
      </w:r>
      <w:r>
        <w:rPr>
          <w:sz w:val="24"/>
          <w:lang/>
        </w:rPr>
        <w:fldChar w:fldCharType="end"/>
      </w:r>
    </w:p>
    <w:p w14:paraId="6614C960">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"_Toc260915273"</w:instrText>
      </w:r>
      <w:r>
        <w:rPr>
          <w:rStyle w:val="74"/>
          <w:sz w:val="24"/>
          <w:lang/>
        </w:rPr>
        <w:instrText xml:space="preserve"> </w:instrText>
      </w:r>
      <w:r>
        <w:rPr>
          <w:sz w:val="24"/>
          <w:lang/>
        </w:rPr>
        <w:fldChar w:fldCharType="separate"/>
      </w:r>
      <w:r>
        <w:rPr>
          <w:rStyle w:val="74"/>
          <w:rFonts w:hint="eastAsia"/>
          <w:b/>
          <w:sz w:val="24"/>
          <w:lang/>
        </w:rPr>
        <w:t>第五节　　瓦斯抽放设备</w:t>
      </w:r>
      <w:r>
        <w:rPr>
          <w:sz w:val="24"/>
          <w:lang/>
        </w:rPr>
        <w:tab/>
      </w:r>
      <w:r>
        <w:rPr>
          <w:sz w:val="24"/>
          <w:lang/>
        </w:rPr>
        <w:fldChar w:fldCharType="begin"/>
      </w:r>
      <w:r>
        <w:rPr>
          <w:sz w:val="24"/>
          <w:lang/>
        </w:rPr>
        <w:instrText xml:space="preserve"> PAGEREF _Toc260915273 \h </w:instrText>
      </w:r>
      <w:r>
        <w:rPr>
          <w:sz w:val="24"/>
          <w:lang/>
        </w:rPr>
        <w:fldChar w:fldCharType="separate"/>
      </w:r>
      <w:r>
        <w:rPr>
          <w:sz w:val="24"/>
          <w:lang/>
        </w:rPr>
        <w:t>181</w:t>
      </w:r>
      <w:r>
        <w:rPr>
          <w:sz w:val="24"/>
          <w:lang/>
        </w:rPr>
        <w:fldChar w:fldCharType="end"/>
      </w:r>
      <w:r>
        <w:rPr>
          <w:sz w:val="24"/>
          <w:lang/>
        </w:rPr>
        <w:fldChar w:fldCharType="end"/>
      </w:r>
    </w:p>
    <w:p w14:paraId="693A65BD">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"_Toc260915274"</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第六章　　地面设施</w:t>
      </w:r>
      <w:r>
        <w:rPr>
          <w:sz w:val="24"/>
          <w:lang/>
        </w:rPr>
        <w:tab/>
      </w:r>
      <w:r>
        <w:rPr>
          <w:sz w:val="24"/>
          <w:lang/>
        </w:rPr>
        <w:fldChar w:fldCharType="begin"/>
      </w:r>
      <w:r>
        <w:rPr>
          <w:sz w:val="24"/>
          <w:lang/>
        </w:rPr>
        <w:instrText xml:space="preserve"> PAGEREF _Toc260915274 \h </w:instrText>
      </w:r>
      <w:r>
        <w:rPr>
          <w:sz w:val="24"/>
          <w:lang/>
        </w:rPr>
        <w:fldChar w:fldCharType="separate"/>
      </w:r>
      <w:r>
        <w:rPr>
          <w:sz w:val="24"/>
          <w:lang/>
        </w:rPr>
        <w:t>209</w:t>
      </w:r>
      <w:r>
        <w:rPr>
          <w:sz w:val="24"/>
          <w:lang/>
        </w:rPr>
        <w:fldChar w:fldCharType="end"/>
      </w:r>
      <w:r>
        <w:rPr>
          <w:sz w:val="24"/>
          <w:lang/>
        </w:rPr>
        <w:fldChar w:fldCharType="end"/>
      </w:r>
    </w:p>
    <w:p w14:paraId="23125B77">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"_Toc260915275"</w:instrText>
      </w:r>
      <w:r>
        <w:rPr>
          <w:rStyle w:val="74"/>
          <w:sz w:val="24"/>
          <w:lang/>
        </w:rPr>
        <w:instrText xml:space="preserve"> </w:instrText>
      </w:r>
      <w:r>
        <w:rPr>
          <w:sz w:val="24"/>
          <w:lang/>
        </w:rPr>
        <w:fldChar w:fldCharType="separate"/>
      </w:r>
      <w:r>
        <w:rPr>
          <w:rStyle w:val="74"/>
          <w:rFonts w:hint="eastAsia"/>
          <w:b/>
          <w:sz w:val="24"/>
          <w:lang/>
        </w:rPr>
        <w:t>第一节　　地面生产系统</w:t>
      </w:r>
      <w:r>
        <w:rPr>
          <w:sz w:val="24"/>
          <w:lang/>
        </w:rPr>
        <w:tab/>
      </w:r>
      <w:r>
        <w:rPr>
          <w:sz w:val="24"/>
          <w:lang/>
        </w:rPr>
        <w:fldChar w:fldCharType="begin"/>
      </w:r>
      <w:r>
        <w:rPr>
          <w:sz w:val="24"/>
          <w:lang/>
        </w:rPr>
        <w:instrText xml:space="preserve"> PAGEREF _Toc260915275 \h </w:instrText>
      </w:r>
      <w:r>
        <w:rPr>
          <w:sz w:val="24"/>
          <w:lang/>
        </w:rPr>
        <w:fldChar w:fldCharType="separate"/>
      </w:r>
      <w:r>
        <w:rPr>
          <w:sz w:val="24"/>
          <w:lang/>
        </w:rPr>
        <w:t>209</w:t>
      </w:r>
      <w:r>
        <w:rPr>
          <w:sz w:val="24"/>
          <w:lang/>
        </w:rPr>
        <w:fldChar w:fldCharType="end"/>
      </w:r>
      <w:r>
        <w:rPr>
          <w:sz w:val="24"/>
          <w:lang/>
        </w:rPr>
        <w:fldChar w:fldCharType="end"/>
      </w:r>
    </w:p>
    <w:p w14:paraId="6F1F5286">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"_Toc260915276"</w:instrText>
      </w:r>
      <w:r>
        <w:rPr>
          <w:rStyle w:val="74"/>
          <w:sz w:val="24"/>
          <w:lang/>
        </w:rPr>
        <w:instrText xml:space="preserve"> </w:instrText>
      </w:r>
      <w:r>
        <w:rPr>
          <w:sz w:val="24"/>
          <w:lang/>
        </w:rPr>
        <w:fldChar w:fldCharType="separate"/>
      </w:r>
      <w:r>
        <w:rPr>
          <w:rStyle w:val="74"/>
          <w:rFonts w:hint="eastAsia"/>
          <w:b/>
          <w:sz w:val="24"/>
          <w:lang/>
        </w:rPr>
        <w:t>第二节　　地面运输</w:t>
      </w:r>
      <w:r>
        <w:rPr>
          <w:sz w:val="24"/>
          <w:lang/>
        </w:rPr>
        <w:tab/>
      </w:r>
      <w:r>
        <w:rPr>
          <w:sz w:val="24"/>
          <w:lang/>
        </w:rPr>
        <w:fldChar w:fldCharType="begin"/>
      </w:r>
      <w:r>
        <w:rPr>
          <w:sz w:val="24"/>
          <w:lang/>
        </w:rPr>
        <w:instrText xml:space="preserve"> PAGEREF _Toc260915276 \h </w:instrText>
      </w:r>
      <w:r>
        <w:rPr>
          <w:sz w:val="24"/>
          <w:lang/>
        </w:rPr>
        <w:fldChar w:fldCharType="separate"/>
      </w:r>
      <w:r>
        <w:rPr>
          <w:sz w:val="24"/>
          <w:lang/>
        </w:rPr>
        <w:t>215</w:t>
      </w:r>
      <w:r>
        <w:rPr>
          <w:sz w:val="24"/>
          <w:lang/>
        </w:rPr>
        <w:fldChar w:fldCharType="end"/>
      </w:r>
      <w:r>
        <w:rPr>
          <w:sz w:val="24"/>
          <w:lang/>
        </w:rPr>
        <w:fldChar w:fldCharType="end"/>
      </w:r>
    </w:p>
    <w:p w14:paraId="73153CF5">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"_Toc260915277"</w:instrText>
      </w:r>
      <w:r>
        <w:rPr>
          <w:rStyle w:val="74"/>
          <w:sz w:val="24"/>
          <w:lang/>
        </w:rPr>
        <w:instrText xml:space="preserve"> </w:instrText>
      </w:r>
      <w:r>
        <w:rPr>
          <w:sz w:val="24"/>
          <w:lang/>
        </w:rPr>
        <w:fldChar w:fldCharType="separate"/>
      </w:r>
      <w:r>
        <w:rPr>
          <w:rStyle w:val="74"/>
          <w:rFonts w:hint="eastAsia"/>
          <w:b/>
          <w:sz w:val="24"/>
          <w:lang/>
        </w:rPr>
        <w:t>第三节　　工业场地总平面布置</w:t>
      </w:r>
      <w:r>
        <w:rPr>
          <w:sz w:val="24"/>
          <w:lang/>
        </w:rPr>
        <w:tab/>
      </w:r>
      <w:r>
        <w:rPr>
          <w:sz w:val="24"/>
          <w:lang/>
        </w:rPr>
        <w:fldChar w:fldCharType="begin"/>
      </w:r>
      <w:r>
        <w:rPr>
          <w:sz w:val="24"/>
          <w:lang/>
        </w:rPr>
        <w:instrText xml:space="preserve"> PAGEREF _Toc260915277 \h </w:instrText>
      </w:r>
      <w:r>
        <w:rPr>
          <w:sz w:val="24"/>
          <w:lang/>
        </w:rPr>
        <w:fldChar w:fldCharType="separate"/>
      </w:r>
      <w:r>
        <w:rPr>
          <w:sz w:val="24"/>
          <w:lang/>
        </w:rPr>
        <w:t>215</w:t>
      </w:r>
      <w:r>
        <w:rPr>
          <w:sz w:val="24"/>
          <w:lang/>
        </w:rPr>
        <w:fldChar w:fldCharType="end"/>
      </w:r>
      <w:r>
        <w:rPr>
          <w:sz w:val="24"/>
          <w:lang/>
        </w:rPr>
        <w:fldChar w:fldCharType="end"/>
      </w:r>
    </w:p>
    <w:p w14:paraId="5DC0F19F">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"_Toc260915278"</w:instrText>
      </w:r>
      <w:r>
        <w:rPr>
          <w:rStyle w:val="74"/>
          <w:sz w:val="24"/>
          <w:lang/>
        </w:rPr>
        <w:instrText xml:space="preserve"> </w:instrText>
      </w:r>
      <w:r>
        <w:rPr>
          <w:sz w:val="24"/>
          <w:lang/>
        </w:rPr>
        <w:fldChar w:fldCharType="separate"/>
      </w:r>
      <w:r>
        <w:rPr>
          <w:rStyle w:val="74"/>
          <w:rFonts w:hint="eastAsia"/>
          <w:b/>
          <w:sz w:val="24"/>
          <w:lang/>
        </w:rPr>
        <w:t>第四节　　矿井供配电</w:t>
      </w:r>
      <w:r>
        <w:rPr>
          <w:sz w:val="24"/>
          <w:lang/>
        </w:rPr>
        <w:tab/>
      </w:r>
      <w:r>
        <w:rPr>
          <w:sz w:val="24"/>
          <w:lang/>
        </w:rPr>
        <w:fldChar w:fldCharType="begin"/>
      </w:r>
      <w:r>
        <w:rPr>
          <w:sz w:val="24"/>
          <w:lang/>
        </w:rPr>
        <w:instrText xml:space="preserve"> PAGEREF _Toc260915278 \h </w:instrText>
      </w:r>
      <w:r>
        <w:rPr>
          <w:sz w:val="24"/>
          <w:lang/>
        </w:rPr>
        <w:fldChar w:fldCharType="separate"/>
      </w:r>
      <w:r>
        <w:rPr>
          <w:sz w:val="24"/>
          <w:lang/>
        </w:rPr>
        <w:t>222</w:t>
      </w:r>
      <w:r>
        <w:rPr>
          <w:sz w:val="24"/>
          <w:lang/>
        </w:rPr>
        <w:fldChar w:fldCharType="end"/>
      </w:r>
      <w:r>
        <w:rPr>
          <w:sz w:val="24"/>
          <w:lang/>
        </w:rPr>
        <w:fldChar w:fldCharType="end"/>
      </w:r>
    </w:p>
    <w:p w14:paraId="6C8E3E59">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"_Toc260915279"</w:instrText>
      </w:r>
      <w:r>
        <w:rPr>
          <w:rStyle w:val="74"/>
          <w:sz w:val="24"/>
          <w:lang/>
        </w:rPr>
        <w:instrText xml:space="preserve"> </w:instrText>
      </w:r>
      <w:r>
        <w:rPr>
          <w:sz w:val="24"/>
          <w:lang/>
        </w:rPr>
        <w:fldChar w:fldCharType="separate"/>
      </w:r>
      <w:r>
        <w:rPr>
          <w:rStyle w:val="74"/>
          <w:rFonts w:hint="eastAsia"/>
          <w:b/>
          <w:sz w:val="24"/>
          <w:lang/>
        </w:rPr>
        <w:t>第五节</w:t>
      </w:r>
      <w:r>
        <w:rPr>
          <w:rStyle w:val="74"/>
          <w:b/>
          <w:sz w:val="24"/>
          <w:lang/>
        </w:rPr>
        <w:t xml:space="preserve">   </w:t>
      </w:r>
      <w:r>
        <w:rPr>
          <w:rStyle w:val="74"/>
          <w:rFonts w:hint="eastAsia"/>
          <w:b/>
          <w:sz w:val="24"/>
          <w:lang/>
        </w:rPr>
        <w:t>监控与矿井自动化</w:t>
      </w:r>
      <w:r>
        <w:rPr>
          <w:sz w:val="24"/>
          <w:lang/>
        </w:rPr>
        <w:tab/>
      </w:r>
      <w:r>
        <w:rPr>
          <w:sz w:val="24"/>
          <w:lang/>
        </w:rPr>
        <w:fldChar w:fldCharType="begin"/>
      </w:r>
      <w:r>
        <w:rPr>
          <w:sz w:val="24"/>
          <w:lang/>
        </w:rPr>
        <w:instrText xml:space="preserve"> PAGEREF _Toc260915279 \h </w:instrText>
      </w:r>
      <w:r>
        <w:rPr>
          <w:sz w:val="24"/>
          <w:lang/>
        </w:rPr>
        <w:fldChar w:fldCharType="separate"/>
      </w:r>
      <w:r>
        <w:rPr>
          <w:sz w:val="24"/>
          <w:lang/>
        </w:rPr>
        <w:t>236</w:t>
      </w:r>
      <w:r>
        <w:rPr>
          <w:sz w:val="24"/>
          <w:lang/>
        </w:rPr>
        <w:fldChar w:fldCharType="end"/>
      </w:r>
      <w:r>
        <w:rPr>
          <w:sz w:val="24"/>
          <w:lang/>
        </w:rPr>
        <w:fldChar w:fldCharType="end"/>
      </w:r>
    </w:p>
    <w:p w14:paraId="704E35C1">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"_Toc260915280"</w:instrText>
      </w:r>
      <w:r>
        <w:rPr>
          <w:rStyle w:val="74"/>
          <w:sz w:val="24"/>
          <w:lang/>
        </w:rPr>
        <w:instrText xml:space="preserve"> </w:instrText>
      </w:r>
      <w:r>
        <w:rPr>
          <w:sz w:val="24"/>
          <w:lang/>
        </w:rPr>
        <w:fldChar w:fldCharType="separate"/>
      </w:r>
      <w:r>
        <w:rPr>
          <w:rStyle w:val="74"/>
          <w:rFonts w:hint="eastAsia"/>
          <w:b/>
          <w:sz w:val="24"/>
          <w:lang/>
        </w:rPr>
        <w:t>第六节　　给排水</w:t>
      </w:r>
      <w:r>
        <w:rPr>
          <w:sz w:val="24"/>
          <w:lang/>
        </w:rPr>
        <w:tab/>
      </w:r>
      <w:r>
        <w:rPr>
          <w:sz w:val="24"/>
          <w:lang/>
        </w:rPr>
        <w:fldChar w:fldCharType="begin"/>
      </w:r>
      <w:r>
        <w:rPr>
          <w:sz w:val="24"/>
          <w:lang/>
        </w:rPr>
        <w:instrText xml:space="preserve"> PAGEREF _Toc260915280 \h </w:instrText>
      </w:r>
      <w:r>
        <w:rPr>
          <w:sz w:val="24"/>
          <w:lang/>
        </w:rPr>
        <w:fldChar w:fldCharType="separate"/>
      </w:r>
      <w:r>
        <w:rPr>
          <w:sz w:val="24"/>
          <w:lang/>
        </w:rPr>
        <w:t>239</w:t>
      </w:r>
      <w:r>
        <w:rPr>
          <w:sz w:val="24"/>
          <w:lang/>
        </w:rPr>
        <w:fldChar w:fldCharType="end"/>
      </w:r>
      <w:r>
        <w:rPr>
          <w:sz w:val="24"/>
          <w:lang/>
        </w:rPr>
        <w:fldChar w:fldCharType="end"/>
      </w:r>
    </w:p>
    <w:p w14:paraId="1AE898BD">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"_Toc260915281"</w:instrText>
      </w:r>
      <w:r>
        <w:rPr>
          <w:rStyle w:val="74"/>
          <w:sz w:val="24"/>
          <w:lang/>
        </w:rPr>
        <w:instrText xml:space="preserve"> </w:instrText>
      </w:r>
      <w:r>
        <w:rPr>
          <w:sz w:val="24"/>
          <w:lang/>
        </w:rPr>
        <w:fldChar w:fldCharType="separate"/>
      </w:r>
      <w:r>
        <w:rPr>
          <w:rStyle w:val="74"/>
          <w:rFonts w:hint="eastAsia"/>
          <w:b/>
          <w:sz w:val="24"/>
          <w:lang/>
        </w:rPr>
        <w:t>第七节　　采暖通风</w:t>
      </w:r>
      <w:r>
        <w:rPr>
          <w:sz w:val="24"/>
          <w:lang/>
        </w:rPr>
        <w:tab/>
      </w:r>
      <w:r>
        <w:rPr>
          <w:sz w:val="24"/>
          <w:lang/>
        </w:rPr>
        <w:fldChar w:fldCharType="begin"/>
      </w:r>
      <w:r>
        <w:rPr>
          <w:sz w:val="24"/>
          <w:lang/>
        </w:rPr>
        <w:instrText xml:space="preserve"> PAGEREF _Toc260915281 \h </w:instrText>
      </w:r>
      <w:r>
        <w:rPr>
          <w:sz w:val="24"/>
          <w:lang/>
        </w:rPr>
        <w:fldChar w:fldCharType="separate"/>
      </w:r>
      <w:r>
        <w:rPr>
          <w:sz w:val="24"/>
          <w:lang/>
        </w:rPr>
        <w:t>244</w:t>
      </w:r>
      <w:r>
        <w:rPr>
          <w:sz w:val="24"/>
          <w:lang/>
        </w:rPr>
        <w:fldChar w:fldCharType="end"/>
      </w:r>
      <w:r>
        <w:rPr>
          <w:sz w:val="24"/>
          <w:lang/>
        </w:rPr>
        <w:fldChar w:fldCharType="end"/>
      </w:r>
    </w:p>
    <w:p w14:paraId="5691C529">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"_Toc260915282"</w:instrText>
      </w:r>
      <w:r>
        <w:rPr>
          <w:rStyle w:val="74"/>
          <w:sz w:val="24"/>
          <w:lang/>
        </w:rPr>
        <w:instrText xml:space="preserve"> </w:instrText>
      </w:r>
      <w:r>
        <w:rPr>
          <w:sz w:val="24"/>
          <w:lang/>
        </w:rPr>
        <w:fldChar w:fldCharType="separate"/>
      </w:r>
      <w:r>
        <w:rPr>
          <w:rStyle w:val="74"/>
          <w:rFonts w:hint="eastAsia"/>
          <w:b/>
          <w:sz w:val="24"/>
          <w:lang/>
        </w:rPr>
        <w:t>第八节　　地面建筑</w:t>
      </w:r>
      <w:r>
        <w:rPr>
          <w:sz w:val="24"/>
          <w:lang/>
        </w:rPr>
        <w:tab/>
      </w:r>
      <w:r>
        <w:rPr>
          <w:sz w:val="24"/>
          <w:lang/>
        </w:rPr>
        <w:fldChar w:fldCharType="begin"/>
      </w:r>
      <w:r>
        <w:rPr>
          <w:sz w:val="24"/>
          <w:lang/>
        </w:rPr>
        <w:instrText xml:space="preserve"> PAGEREF _Toc260915282 \h </w:instrText>
      </w:r>
      <w:r>
        <w:rPr>
          <w:sz w:val="24"/>
          <w:lang/>
        </w:rPr>
        <w:fldChar w:fldCharType="separate"/>
      </w:r>
      <w:r>
        <w:rPr>
          <w:sz w:val="24"/>
          <w:lang/>
        </w:rPr>
        <w:t>245</w:t>
      </w:r>
      <w:r>
        <w:rPr>
          <w:sz w:val="24"/>
          <w:lang/>
        </w:rPr>
        <w:fldChar w:fldCharType="end"/>
      </w:r>
      <w:r>
        <w:rPr>
          <w:sz w:val="24"/>
          <w:lang/>
        </w:rPr>
        <w:fldChar w:fldCharType="end"/>
      </w:r>
    </w:p>
    <w:p w14:paraId="1CBFF3BE">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"_Toc260915283"</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第七章　　节能减排</w:t>
      </w:r>
      <w:r>
        <w:rPr>
          <w:sz w:val="24"/>
          <w:lang/>
        </w:rPr>
        <w:tab/>
      </w:r>
      <w:r>
        <w:rPr>
          <w:sz w:val="24"/>
          <w:lang/>
        </w:rPr>
        <w:fldChar w:fldCharType="begin"/>
      </w:r>
      <w:r>
        <w:rPr>
          <w:sz w:val="24"/>
          <w:lang/>
        </w:rPr>
        <w:instrText xml:space="preserve"> PAGEREF _Toc260915283 \h </w:instrText>
      </w:r>
      <w:r>
        <w:rPr>
          <w:sz w:val="24"/>
          <w:lang/>
        </w:rPr>
        <w:fldChar w:fldCharType="separate"/>
      </w:r>
      <w:r>
        <w:rPr>
          <w:sz w:val="24"/>
          <w:lang/>
        </w:rPr>
        <w:t>247</w:t>
      </w:r>
      <w:r>
        <w:rPr>
          <w:sz w:val="24"/>
          <w:lang/>
        </w:rPr>
        <w:fldChar w:fldCharType="end"/>
      </w:r>
      <w:r>
        <w:rPr>
          <w:sz w:val="24"/>
          <w:lang/>
        </w:rPr>
        <w:fldChar w:fldCharType="end"/>
      </w:r>
    </w:p>
    <w:p w14:paraId="1426AC89">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"_Toc260915284"</w:instrText>
      </w:r>
      <w:r>
        <w:rPr>
          <w:rStyle w:val="74"/>
          <w:sz w:val="24"/>
          <w:lang/>
        </w:rPr>
        <w:instrText xml:space="preserve"> </w:instrText>
      </w:r>
      <w:r>
        <w:rPr>
          <w:sz w:val="24"/>
          <w:lang/>
        </w:rPr>
        <w:fldChar w:fldCharType="separate"/>
      </w:r>
      <w:r>
        <w:rPr>
          <w:rStyle w:val="74"/>
          <w:rFonts w:hint="eastAsia"/>
          <w:b/>
          <w:sz w:val="24"/>
          <w:lang/>
        </w:rPr>
        <w:t>第一节　　节能分析</w:t>
      </w:r>
      <w:r>
        <w:rPr>
          <w:sz w:val="24"/>
          <w:lang/>
        </w:rPr>
        <w:tab/>
      </w:r>
      <w:r>
        <w:rPr>
          <w:sz w:val="24"/>
          <w:lang/>
        </w:rPr>
        <w:fldChar w:fldCharType="begin"/>
      </w:r>
      <w:r>
        <w:rPr>
          <w:sz w:val="24"/>
          <w:lang/>
        </w:rPr>
        <w:instrText xml:space="preserve"> PAGEREF _Toc260915284 \h </w:instrText>
      </w:r>
      <w:r>
        <w:rPr>
          <w:sz w:val="24"/>
          <w:lang/>
        </w:rPr>
        <w:fldChar w:fldCharType="separate"/>
      </w:r>
      <w:r>
        <w:rPr>
          <w:sz w:val="24"/>
          <w:lang/>
        </w:rPr>
        <w:t>247</w:t>
      </w:r>
      <w:r>
        <w:rPr>
          <w:sz w:val="24"/>
          <w:lang/>
        </w:rPr>
        <w:fldChar w:fldCharType="end"/>
      </w:r>
      <w:r>
        <w:rPr>
          <w:sz w:val="24"/>
          <w:lang/>
        </w:rPr>
        <w:fldChar w:fldCharType="end"/>
      </w:r>
    </w:p>
    <w:p w14:paraId="46E6AACE">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"_Toc260915285"</w:instrText>
      </w:r>
      <w:r>
        <w:rPr>
          <w:rStyle w:val="74"/>
          <w:sz w:val="24"/>
          <w:lang/>
        </w:rPr>
        <w:instrText xml:space="preserve"> </w:instrText>
      </w:r>
      <w:r>
        <w:rPr>
          <w:sz w:val="24"/>
          <w:lang/>
        </w:rPr>
        <w:fldChar w:fldCharType="separate"/>
      </w:r>
      <w:r>
        <w:rPr>
          <w:rStyle w:val="74"/>
          <w:rFonts w:hint="eastAsia"/>
          <w:b/>
          <w:sz w:val="24"/>
          <w:lang/>
        </w:rPr>
        <w:t>第二节　　减排分析</w:t>
      </w:r>
      <w:r>
        <w:rPr>
          <w:sz w:val="24"/>
          <w:lang/>
        </w:rPr>
        <w:tab/>
      </w:r>
      <w:r>
        <w:rPr>
          <w:sz w:val="24"/>
          <w:lang/>
        </w:rPr>
        <w:fldChar w:fldCharType="begin"/>
      </w:r>
      <w:r>
        <w:rPr>
          <w:sz w:val="24"/>
          <w:lang/>
        </w:rPr>
        <w:instrText xml:space="preserve"> PAGEREF _Toc260915285 \h </w:instrText>
      </w:r>
      <w:r>
        <w:rPr>
          <w:sz w:val="24"/>
          <w:lang/>
        </w:rPr>
        <w:fldChar w:fldCharType="separate"/>
      </w:r>
      <w:r>
        <w:rPr>
          <w:sz w:val="24"/>
          <w:lang/>
        </w:rPr>
        <w:t>262</w:t>
      </w:r>
      <w:r>
        <w:rPr>
          <w:sz w:val="24"/>
          <w:lang/>
        </w:rPr>
        <w:fldChar w:fldCharType="end"/>
      </w:r>
      <w:r>
        <w:rPr>
          <w:sz w:val="24"/>
          <w:lang/>
        </w:rPr>
        <w:fldChar w:fldCharType="end"/>
      </w:r>
    </w:p>
    <w:p w14:paraId="58FAE08D">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"_Toc260915286"</w:instrText>
      </w:r>
      <w:r>
        <w:rPr>
          <w:rStyle w:val="74"/>
          <w:sz w:val="24"/>
          <w:lang/>
        </w:rPr>
        <w:instrText xml:space="preserve"> </w:instrText>
      </w:r>
      <w:r>
        <w:rPr>
          <w:sz w:val="24"/>
          <w:lang/>
        </w:rPr>
        <w:fldChar w:fldCharType="separate"/>
      </w:r>
      <w:r>
        <w:rPr>
          <w:rStyle w:val="74"/>
          <w:rFonts w:hint="eastAsia"/>
          <w:b/>
          <w:sz w:val="24"/>
          <w:lang/>
        </w:rPr>
        <w:t>第三节　　节水分析</w:t>
      </w:r>
      <w:r>
        <w:rPr>
          <w:sz w:val="24"/>
          <w:lang/>
        </w:rPr>
        <w:tab/>
      </w:r>
      <w:r>
        <w:rPr>
          <w:sz w:val="24"/>
          <w:lang/>
        </w:rPr>
        <w:fldChar w:fldCharType="begin"/>
      </w:r>
      <w:r>
        <w:rPr>
          <w:sz w:val="24"/>
          <w:lang/>
        </w:rPr>
        <w:instrText xml:space="preserve"> PAGEREF _Toc260915286 \h </w:instrText>
      </w:r>
      <w:r>
        <w:rPr>
          <w:sz w:val="24"/>
          <w:lang/>
        </w:rPr>
        <w:fldChar w:fldCharType="separate"/>
      </w:r>
      <w:r>
        <w:rPr>
          <w:sz w:val="24"/>
          <w:lang/>
        </w:rPr>
        <w:t>263</w:t>
      </w:r>
      <w:r>
        <w:rPr>
          <w:sz w:val="24"/>
          <w:lang/>
        </w:rPr>
        <w:fldChar w:fldCharType="end"/>
      </w:r>
      <w:r>
        <w:rPr>
          <w:sz w:val="24"/>
          <w:lang/>
        </w:rPr>
        <w:fldChar w:fldCharType="end"/>
      </w:r>
    </w:p>
    <w:p w14:paraId="5351AEF8">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"_Toc260915287"</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第八章　　环境保护与水土保持</w:t>
      </w:r>
      <w:r>
        <w:rPr>
          <w:sz w:val="24"/>
          <w:lang/>
        </w:rPr>
        <w:tab/>
      </w:r>
      <w:r>
        <w:rPr>
          <w:sz w:val="24"/>
          <w:lang/>
        </w:rPr>
        <w:fldChar w:fldCharType="begin"/>
      </w:r>
      <w:r>
        <w:rPr>
          <w:sz w:val="24"/>
          <w:lang/>
        </w:rPr>
        <w:instrText xml:space="preserve"> PAGEREF _Toc260915287 \h </w:instrText>
      </w:r>
      <w:r>
        <w:rPr>
          <w:sz w:val="24"/>
          <w:lang/>
        </w:rPr>
        <w:fldChar w:fldCharType="separate"/>
      </w:r>
      <w:r>
        <w:rPr>
          <w:sz w:val="24"/>
          <w:lang/>
        </w:rPr>
        <w:t>264</w:t>
      </w:r>
      <w:r>
        <w:rPr>
          <w:sz w:val="24"/>
          <w:lang/>
        </w:rPr>
        <w:fldChar w:fldCharType="end"/>
      </w:r>
      <w:r>
        <w:rPr>
          <w:sz w:val="24"/>
          <w:lang/>
        </w:rPr>
        <w:fldChar w:fldCharType="end"/>
      </w:r>
    </w:p>
    <w:p w14:paraId="4386092D">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"_Toc260915288"</w:instrText>
      </w:r>
      <w:r>
        <w:rPr>
          <w:rStyle w:val="74"/>
          <w:sz w:val="24"/>
          <w:lang/>
        </w:rPr>
        <w:instrText xml:space="preserve"> </w:instrText>
      </w:r>
      <w:r>
        <w:rPr>
          <w:sz w:val="24"/>
          <w:lang/>
        </w:rPr>
        <w:fldChar w:fldCharType="separate"/>
      </w:r>
      <w:r>
        <w:rPr>
          <w:rStyle w:val="74"/>
          <w:rFonts w:hint="eastAsia"/>
          <w:b/>
          <w:sz w:val="24"/>
          <w:lang/>
        </w:rPr>
        <w:t>第一节　　环境现状</w:t>
      </w:r>
      <w:r>
        <w:rPr>
          <w:sz w:val="24"/>
          <w:lang/>
        </w:rPr>
        <w:tab/>
      </w:r>
      <w:r>
        <w:rPr>
          <w:sz w:val="24"/>
          <w:lang/>
        </w:rPr>
        <w:fldChar w:fldCharType="begin"/>
      </w:r>
      <w:r>
        <w:rPr>
          <w:sz w:val="24"/>
          <w:lang/>
        </w:rPr>
        <w:instrText xml:space="preserve"> PAGEREF _Toc260915288 \h </w:instrText>
      </w:r>
      <w:r>
        <w:rPr>
          <w:sz w:val="24"/>
          <w:lang/>
        </w:rPr>
        <w:fldChar w:fldCharType="separate"/>
      </w:r>
      <w:r>
        <w:rPr>
          <w:sz w:val="24"/>
          <w:lang/>
        </w:rPr>
        <w:t>264</w:t>
      </w:r>
      <w:r>
        <w:rPr>
          <w:sz w:val="24"/>
          <w:lang/>
        </w:rPr>
        <w:fldChar w:fldCharType="end"/>
      </w:r>
      <w:r>
        <w:rPr>
          <w:sz w:val="24"/>
          <w:lang/>
        </w:rPr>
        <w:fldChar w:fldCharType="end"/>
      </w:r>
    </w:p>
    <w:p w14:paraId="501B65BE">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"_Toc260915289"</w:instrText>
      </w:r>
      <w:r>
        <w:rPr>
          <w:rStyle w:val="74"/>
          <w:sz w:val="24"/>
          <w:lang/>
        </w:rPr>
        <w:instrText xml:space="preserve"> </w:instrText>
      </w:r>
      <w:r>
        <w:rPr>
          <w:sz w:val="24"/>
          <w:lang/>
        </w:rPr>
        <w:fldChar w:fldCharType="separate"/>
      </w:r>
      <w:r>
        <w:rPr>
          <w:rStyle w:val="74"/>
          <w:rFonts w:hint="eastAsia"/>
          <w:b/>
          <w:sz w:val="24"/>
          <w:lang/>
        </w:rPr>
        <w:t>第二节　　环境保护与水土保持执行标准</w:t>
      </w:r>
      <w:r>
        <w:rPr>
          <w:sz w:val="24"/>
          <w:lang/>
        </w:rPr>
        <w:tab/>
      </w:r>
      <w:r>
        <w:rPr>
          <w:sz w:val="24"/>
          <w:lang/>
        </w:rPr>
        <w:fldChar w:fldCharType="begin"/>
      </w:r>
      <w:r>
        <w:rPr>
          <w:sz w:val="24"/>
          <w:lang/>
        </w:rPr>
        <w:instrText xml:space="preserve"> PAGEREF _Toc260915289 \h </w:instrText>
      </w:r>
      <w:r>
        <w:rPr>
          <w:sz w:val="24"/>
          <w:lang/>
        </w:rPr>
        <w:fldChar w:fldCharType="separate"/>
      </w:r>
      <w:r>
        <w:rPr>
          <w:sz w:val="24"/>
          <w:lang/>
        </w:rPr>
        <w:t>266</w:t>
      </w:r>
      <w:r>
        <w:rPr>
          <w:sz w:val="24"/>
          <w:lang/>
        </w:rPr>
        <w:fldChar w:fldCharType="end"/>
      </w:r>
      <w:r>
        <w:rPr>
          <w:sz w:val="24"/>
          <w:lang/>
        </w:rPr>
        <w:fldChar w:fldCharType="end"/>
      </w:r>
    </w:p>
    <w:p w14:paraId="732FA4A0">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"_Toc260915290"</w:instrText>
      </w:r>
      <w:r>
        <w:rPr>
          <w:rStyle w:val="74"/>
          <w:sz w:val="24"/>
          <w:lang/>
        </w:rPr>
        <w:instrText xml:space="preserve"> </w:instrText>
      </w:r>
      <w:r>
        <w:rPr>
          <w:sz w:val="24"/>
          <w:lang/>
        </w:rPr>
        <w:fldChar w:fldCharType="separate"/>
      </w:r>
      <w:r>
        <w:rPr>
          <w:rStyle w:val="74"/>
          <w:rFonts w:hint="eastAsia"/>
          <w:b/>
          <w:sz w:val="24"/>
          <w:lang/>
        </w:rPr>
        <w:t>第三节　　项目建设和生产对环境的影响</w:t>
      </w:r>
      <w:r>
        <w:rPr>
          <w:sz w:val="24"/>
          <w:lang/>
        </w:rPr>
        <w:tab/>
      </w:r>
      <w:r>
        <w:rPr>
          <w:sz w:val="24"/>
          <w:lang/>
        </w:rPr>
        <w:fldChar w:fldCharType="begin"/>
      </w:r>
      <w:r>
        <w:rPr>
          <w:sz w:val="24"/>
          <w:lang/>
        </w:rPr>
        <w:instrText xml:space="preserve"> PAGEREF _Toc260915290 \h </w:instrText>
      </w:r>
      <w:r>
        <w:rPr>
          <w:sz w:val="24"/>
          <w:lang/>
        </w:rPr>
        <w:fldChar w:fldCharType="separate"/>
      </w:r>
      <w:r>
        <w:rPr>
          <w:sz w:val="24"/>
          <w:lang/>
        </w:rPr>
        <w:t>267</w:t>
      </w:r>
      <w:r>
        <w:rPr>
          <w:sz w:val="24"/>
          <w:lang/>
        </w:rPr>
        <w:fldChar w:fldCharType="end"/>
      </w:r>
      <w:r>
        <w:rPr>
          <w:sz w:val="24"/>
          <w:lang/>
        </w:rPr>
        <w:fldChar w:fldCharType="end"/>
      </w:r>
    </w:p>
    <w:p w14:paraId="6C00B99B">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"_Toc260915291"</w:instrText>
      </w:r>
      <w:r>
        <w:rPr>
          <w:rStyle w:val="74"/>
          <w:sz w:val="24"/>
          <w:lang/>
        </w:rPr>
        <w:instrText xml:space="preserve"> </w:instrText>
      </w:r>
      <w:r>
        <w:rPr>
          <w:sz w:val="24"/>
          <w:lang/>
        </w:rPr>
        <w:fldChar w:fldCharType="separate"/>
      </w:r>
      <w:r>
        <w:rPr>
          <w:rStyle w:val="74"/>
          <w:rFonts w:hint="eastAsia"/>
          <w:b/>
          <w:sz w:val="24"/>
          <w:lang/>
        </w:rPr>
        <w:t>第四节　　环境保护与水土保持措施</w:t>
      </w:r>
      <w:r>
        <w:rPr>
          <w:sz w:val="24"/>
          <w:lang/>
        </w:rPr>
        <w:tab/>
      </w:r>
      <w:r>
        <w:rPr>
          <w:sz w:val="24"/>
          <w:lang/>
        </w:rPr>
        <w:fldChar w:fldCharType="begin"/>
      </w:r>
      <w:r>
        <w:rPr>
          <w:sz w:val="24"/>
          <w:lang/>
        </w:rPr>
        <w:instrText xml:space="preserve"> PAGEREF _Toc260915291 \h </w:instrText>
      </w:r>
      <w:r>
        <w:rPr>
          <w:sz w:val="24"/>
          <w:lang/>
        </w:rPr>
        <w:fldChar w:fldCharType="separate"/>
      </w:r>
      <w:r>
        <w:rPr>
          <w:sz w:val="24"/>
          <w:lang/>
        </w:rPr>
        <w:t>269</w:t>
      </w:r>
      <w:r>
        <w:rPr>
          <w:sz w:val="24"/>
          <w:lang/>
        </w:rPr>
        <w:fldChar w:fldCharType="end"/>
      </w:r>
      <w:r>
        <w:rPr>
          <w:sz w:val="24"/>
          <w:lang/>
        </w:rPr>
        <w:fldChar w:fldCharType="end"/>
      </w:r>
    </w:p>
    <w:p w14:paraId="1A5D08CB">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"_Toc260915292"</w:instrText>
      </w:r>
      <w:r>
        <w:rPr>
          <w:rStyle w:val="74"/>
          <w:sz w:val="24"/>
          <w:lang/>
        </w:rPr>
        <w:instrText xml:space="preserve"> </w:instrText>
      </w:r>
      <w:r>
        <w:rPr>
          <w:sz w:val="24"/>
          <w:lang/>
        </w:rPr>
        <w:fldChar w:fldCharType="separate"/>
      </w:r>
      <w:r>
        <w:rPr>
          <w:rStyle w:val="74"/>
          <w:rFonts w:hint="eastAsia"/>
          <w:b/>
          <w:sz w:val="24"/>
          <w:lang/>
        </w:rPr>
        <w:t>第五节　　环境保护与水土保持投资</w:t>
      </w:r>
      <w:r>
        <w:rPr>
          <w:sz w:val="24"/>
          <w:lang/>
        </w:rPr>
        <w:tab/>
      </w:r>
      <w:r>
        <w:rPr>
          <w:sz w:val="24"/>
          <w:lang/>
        </w:rPr>
        <w:fldChar w:fldCharType="begin"/>
      </w:r>
      <w:r>
        <w:rPr>
          <w:sz w:val="24"/>
          <w:lang/>
        </w:rPr>
        <w:instrText xml:space="preserve"> PAGEREF _Toc260915292 \h </w:instrText>
      </w:r>
      <w:r>
        <w:rPr>
          <w:sz w:val="24"/>
          <w:lang/>
        </w:rPr>
        <w:fldChar w:fldCharType="separate"/>
      </w:r>
      <w:r>
        <w:rPr>
          <w:sz w:val="24"/>
          <w:lang/>
        </w:rPr>
        <w:t>274</w:t>
      </w:r>
      <w:r>
        <w:rPr>
          <w:sz w:val="24"/>
          <w:lang/>
        </w:rPr>
        <w:fldChar w:fldCharType="end"/>
      </w:r>
      <w:r>
        <w:rPr>
          <w:sz w:val="24"/>
          <w:lang/>
        </w:rPr>
        <w:fldChar w:fldCharType="end"/>
      </w:r>
    </w:p>
    <w:p w14:paraId="635EB6A7">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"_Toc260915293"</w:instrText>
      </w:r>
      <w:r>
        <w:rPr>
          <w:rStyle w:val="74"/>
          <w:sz w:val="24"/>
          <w:lang/>
        </w:rPr>
        <w:instrText xml:space="preserve"> </w:instrText>
      </w:r>
      <w:r>
        <w:rPr>
          <w:sz w:val="24"/>
          <w:lang/>
        </w:rPr>
        <w:fldChar w:fldCharType="separate"/>
      </w:r>
      <w:r>
        <w:rPr>
          <w:rStyle w:val="74"/>
          <w:rFonts w:hint="eastAsia"/>
          <w:b/>
          <w:sz w:val="24"/>
          <w:lang/>
        </w:rPr>
        <w:t>第六节　　环境影响评价</w:t>
      </w:r>
      <w:r>
        <w:rPr>
          <w:sz w:val="24"/>
          <w:lang/>
        </w:rPr>
        <w:tab/>
      </w:r>
      <w:r>
        <w:rPr>
          <w:sz w:val="24"/>
          <w:lang/>
        </w:rPr>
        <w:fldChar w:fldCharType="begin"/>
      </w:r>
      <w:r>
        <w:rPr>
          <w:sz w:val="24"/>
          <w:lang/>
        </w:rPr>
        <w:instrText xml:space="preserve"> PAGEREF _Toc260915293 \h </w:instrText>
      </w:r>
      <w:r>
        <w:rPr>
          <w:sz w:val="24"/>
          <w:lang/>
        </w:rPr>
        <w:fldChar w:fldCharType="separate"/>
      </w:r>
      <w:r>
        <w:rPr>
          <w:sz w:val="24"/>
          <w:lang/>
        </w:rPr>
        <w:t>275</w:t>
      </w:r>
      <w:r>
        <w:rPr>
          <w:sz w:val="24"/>
          <w:lang/>
        </w:rPr>
        <w:fldChar w:fldCharType="end"/>
      </w:r>
      <w:r>
        <w:rPr>
          <w:sz w:val="24"/>
          <w:lang/>
        </w:rPr>
        <w:fldChar w:fldCharType="end"/>
      </w:r>
    </w:p>
    <w:p w14:paraId="6D9F5BE9">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"_Toc260915294"</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第九章　　项目实施计划</w:t>
      </w:r>
      <w:r>
        <w:rPr>
          <w:sz w:val="24"/>
          <w:lang/>
        </w:rPr>
        <w:tab/>
      </w:r>
      <w:r>
        <w:rPr>
          <w:sz w:val="24"/>
          <w:lang/>
        </w:rPr>
        <w:fldChar w:fldCharType="begin"/>
      </w:r>
      <w:r>
        <w:rPr>
          <w:sz w:val="24"/>
          <w:lang/>
        </w:rPr>
        <w:instrText xml:space="preserve"> PAGEREF _Toc260915294 \h </w:instrText>
      </w:r>
      <w:r>
        <w:rPr>
          <w:sz w:val="24"/>
          <w:lang/>
        </w:rPr>
        <w:fldChar w:fldCharType="separate"/>
      </w:r>
      <w:r>
        <w:rPr>
          <w:sz w:val="24"/>
          <w:lang/>
        </w:rPr>
        <w:t>280</w:t>
      </w:r>
      <w:r>
        <w:rPr>
          <w:sz w:val="24"/>
          <w:lang/>
        </w:rPr>
        <w:fldChar w:fldCharType="end"/>
      </w:r>
      <w:r>
        <w:rPr>
          <w:sz w:val="24"/>
          <w:lang/>
        </w:rPr>
        <w:fldChar w:fldCharType="end"/>
      </w:r>
    </w:p>
    <w:p w14:paraId="6891BB06">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"_Toc260915295"</w:instrText>
      </w:r>
      <w:r>
        <w:rPr>
          <w:rStyle w:val="74"/>
          <w:sz w:val="24"/>
          <w:lang/>
        </w:rPr>
        <w:instrText xml:space="preserve"> </w:instrText>
      </w:r>
      <w:r>
        <w:rPr>
          <w:sz w:val="24"/>
          <w:lang/>
        </w:rPr>
        <w:fldChar w:fldCharType="separate"/>
      </w:r>
      <w:r>
        <w:rPr>
          <w:rStyle w:val="74"/>
          <w:rFonts w:hint="eastAsia"/>
          <w:b/>
          <w:sz w:val="24"/>
          <w:lang/>
        </w:rPr>
        <w:t>第一节　　建井工期</w:t>
      </w:r>
      <w:r>
        <w:rPr>
          <w:sz w:val="24"/>
          <w:lang/>
        </w:rPr>
        <w:tab/>
      </w:r>
      <w:r>
        <w:rPr>
          <w:sz w:val="24"/>
          <w:lang/>
        </w:rPr>
        <w:fldChar w:fldCharType="begin"/>
      </w:r>
      <w:r>
        <w:rPr>
          <w:sz w:val="24"/>
          <w:lang/>
        </w:rPr>
        <w:instrText xml:space="preserve"> PAGEREF _Toc260915295 \h </w:instrText>
      </w:r>
      <w:r>
        <w:rPr>
          <w:sz w:val="24"/>
          <w:lang/>
        </w:rPr>
        <w:fldChar w:fldCharType="separate"/>
      </w:r>
      <w:r>
        <w:rPr>
          <w:sz w:val="24"/>
          <w:lang/>
        </w:rPr>
        <w:t>280</w:t>
      </w:r>
      <w:r>
        <w:rPr>
          <w:sz w:val="24"/>
          <w:lang/>
        </w:rPr>
        <w:fldChar w:fldCharType="end"/>
      </w:r>
      <w:r>
        <w:rPr>
          <w:sz w:val="24"/>
          <w:lang/>
        </w:rPr>
        <w:fldChar w:fldCharType="end"/>
      </w:r>
    </w:p>
    <w:p w14:paraId="6A20EF45">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"_Toc260915296"</w:instrText>
      </w:r>
      <w:r>
        <w:rPr>
          <w:rStyle w:val="74"/>
          <w:sz w:val="24"/>
          <w:lang/>
        </w:rPr>
        <w:instrText xml:space="preserve"> </w:instrText>
      </w:r>
      <w:r>
        <w:rPr>
          <w:sz w:val="24"/>
          <w:lang/>
        </w:rPr>
        <w:fldChar w:fldCharType="separate"/>
      </w:r>
      <w:r>
        <w:rPr>
          <w:rStyle w:val="74"/>
          <w:rFonts w:hint="eastAsia" w:ascii="黑体" w:eastAsia="黑体"/>
          <w:b/>
          <w:kern w:val="44"/>
          <w:sz w:val="24"/>
          <w:lang/>
        </w:rPr>
        <w:t>第十章　　技术经济</w:t>
      </w:r>
      <w:r>
        <w:rPr>
          <w:sz w:val="24"/>
          <w:lang/>
        </w:rPr>
        <w:tab/>
      </w:r>
      <w:r>
        <w:rPr>
          <w:sz w:val="24"/>
          <w:lang/>
        </w:rPr>
        <w:fldChar w:fldCharType="begin"/>
      </w:r>
      <w:r>
        <w:rPr>
          <w:sz w:val="24"/>
          <w:lang/>
        </w:rPr>
        <w:instrText xml:space="preserve"> PAGEREF _Toc260915296 \h </w:instrText>
      </w:r>
      <w:r>
        <w:rPr>
          <w:sz w:val="24"/>
          <w:lang/>
        </w:rPr>
        <w:fldChar w:fldCharType="separate"/>
      </w:r>
      <w:r>
        <w:rPr>
          <w:sz w:val="24"/>
          <w:lang/>
        </w:rPr>
        <w:t>283</w:t>
      </w:r>
      <w:r>
        <w:rPr>
          <w:sz w:val="24"/>
          <w:lang/>
        </w:rPr>
        <w:fldChar w:fldCharType="end"/>
      </w:r>
      <w:r>
        <w:rPr>
          <w:sz w:val="24"/>
          <w:lang/>
        </w:rPr>
        <w:fldChar w:fldCharType="end"/>
      </w:r>
    </w:p>
    <w:p w14:paraId="5527966F">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"_Toc260915297"</w:instrText>
      </w:r>
      <w:r>
        <w:rPr>
          <w:rStyle w:val="74"/>
          <w:sz w:val="24"/>
          <w:lang/>
        </w:rPr>
        <w:instrText xml:space="preserve"> </w:instrText>
      </w:r>
      <w:r>
        <w:rPr>
          <w:sz w:val="24"/>
          <w:lang/>
        </w:rPr>
        <w:fldChar w:fldCharType="separate"/>
      </w:r>
      <w:r>
        <w:rPr>
          <w:rStyle w:val="74"/>
          <w:rFonts w:hint="eastAsia"/>
          <w:b/>
          <w:sz w:val="24"/>
          <w:lang/>
        </w:rPr>
        <w:t>第一节　　组织机构及人力资源配置</w:t>
      </w:r>
      <w:r>
        <w:rPr>
          <w:sz w:val="24"/>
          <w:lang/>
        </w:rPr>
        <w:tab/>
      </w:r>
      <w:r>
        <w:rPr>
          <w:sz w:val="24"/>
          <w:lang/>
        </w:rPr>
        <w:fldChar w:fldCharType="begin"/>
      </w:r>
      <w:r>
        <w:rPr>
          <w:sz w:val="24"/>
          <w:lang/>
        </w:rPr>
        <w:instrText xml:space="preserve"> PAGEREF _Toc260915297 \h </w:instrText>
      </w:r>
      <w:r>
        <w:rPr>
          <w:sz w:val="24"/>
          <w:lang/>
        </w:rPr>
        <w:fldChar w:fldCharType="separate"/>
      </w:r>
      <w:r>
        <w:rPr>
          <w:sz w:val="24"/>
          <w:lang/>
        </w:rPr>
        <w:t>283</w:t>
      </w:r>
      <w:r>
        <w:rPr>
          <w:sz w:val="24"/>
          <w:lang/>
        </w:rPr>
        <w:fldChar w:fldCharType="end"/>
      </w:r>
      <w:r>
        <w:rPr>
          <w:sz w:val="24"/>
          <w:lang/>
        </w:rPr>
        <w:fldChar w:fldCharType="end"/>
      </w:r>
    </w:p>
    <w:p w14:paraId="19C3DF43">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"_Toc260915298"</w:instrText>
      </w:r>
      <w:r>
        <w:rPr>
          <w:rStyle w:val="74"/>
          <w:sz w:val="24"/>
          <w:lang/>
        </w:rPr>
        <w:instrText xml:space="preserve"> </w:instrText>
      </w:r>
      <w:r>
        <w:rPr>
          <w:sz w:val="24"/>
          <w:lang/>
        </w:rPr>
        <w:fldChar w:fldCharType="separate"/>
      </w:r>
      <w:r>
        <w:rPr>
          <w:rStyle w:val="74"/>
          <w:rFonts w:hint="eastAsia"/>
          <w:b/>
          <w:sz w:val="24"/>
          <w:lang/>
        </w:rPr>
        <w:t>第二节　　投资估算及资金筹措</w:t>
      </w:r>
      <w:r>
        <w:rPr>
          <w:sz w:val="24"/>
          <w:lang/>
        </w:rPr>
        <w:tab/>
      </w:r>
      <w:r>
        <w:rPr>
          <w:sz w:val="24"/>
          <w:lang/>
        </w:rPr>
        <w:fldChar w:fldCharType="begin"/>
      </w:r>
      <w:r>
        <w:rPr>
          <w:sz w:val="24"/>
          <w:lang/>
        </w:rPr>
        <w:instrText xml:space="preserve"> PAGEREF _Toc260915298 \h </w:instrText>
      </w:r>
      <w:r>
        <w:rPr>
          <w:sz w:val="24"/>
          <w:lang/>
        </w:rPr>
        <w:fldChar w:fldCharType="separate"/>
      </w:r>
      <w:r>
        <w:rPr>
          <w:sz w:val="24"/>
          <w:lang/>
        </w:rPr>
        <w:t>285</w:t>
      </w:r>
      <w:r>
        <w:rPr>
          <w:sz w:val="24"/>
          <w:lang/>
        </w:rPr>
        <w:fldChar w:fldCharType="end"/>
      </w:r>
      <w:r>
        <w:rPr>
          <w:sz w:val="24"/>
          <w:lang/>
        </w:rPr>
        <w:fldChar w:fldCharType="end"/>
      </w:r>
    </w:p>
    <w:p w14:paraId="1AB30929">
      <w:pPr>
        <w:pStyle w:val="51"/>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"_Toc260915299"</w:instrText>
      </w:r>
      <w:r>
        <w:rPr>
          <w:rStyle w:val="74"/>
          <w:sz w:val="24"/>
          <w:lang/>
        </w:rPr>
        <w:instrText xml:space="preserve"> </w:instrText>
      </w:r>
      <w:r>
        <w:rPr>
          <w:sz w:val="24"/>
          <w:lang/>
        </w:rPr>
        <w:fldChar w:fldCharType="separate"/>
      </w:r>
      <w:r>
        <w:rPr>
          <w:rStyle w:val="74"/>
          <w:rFonts w:hint="eastAsia"/>
          <w:b/>
          <w:sz w:val="24"/>
          <w:lang/>
        </w:rPr>
        <w:t>第三节　　经济效益初步测算及分析</w:t>
      </w:r>
      <w:r>
        <w:rPr>
          <w:sz w:val="24"/>
          <w:lang/>
        </w:rPr>
        <w:tab/>
      </w:r>
      <w:r>
        <w:rPr>
          <w:sz w:val="24"/>
          <w:lang/>
        </w:rPr>
        <w:fldChar w:fldCharType="begin"/>
      </w:r>
      <w:r>
        <w:rPr>
          <w:sz w:val="24"/>
          <w:lang/>
        </w:rPr>
        <w:instrText xml:space="preserve"> PAGEREF _Toc260915299 \h </w:instrText>
      </w:r>
      <w:r>
        <w:rPr>
          <w:sz w:val="24"/>
          <w:lang/>
        </w:rPr>
        <w:fldChar w:fldCharType="separate"/>
      </w:r>
      <w:r>
        <w:rPr>
          <w:sz w:val="24"/>
          <w:lang/>
        </w:rPr>
        <w:t>286</w:t>
      </w:r>
      <w:r>
        <w:rPr>
          <w:sz w:val="24"/>
          <w:lang/>
        </w:rPr>
        <w:fldChar w:fldCharType="end"/>
      </w:r>
      <w:r>
        <w:rPr>
          <w:sz w:val="24"/>
          <w:lang/>
        </w:rPr>
        <w:fldChar w:fldCharType="end"/>
      </w:r>
    </w:p>
    <w:p w14:paraId="5B9CD679">
      <w:pPr>
        <w:pStyle w:val="40"/>
        <w:tabs>
          <w:tab w:val="right" w:leader="dot" w:pos="9060"/>
        </w:tabs>
        <w:spacing w:line="360" w:lineRule="auto"/>
        <w:rPr>
          <w:sz w:val="24"/>
          <w:lang/>
        </w:rPr>
      </w:pPr>
      <w:r>
        <w:rPr>
          <w:sz w:val="24"/>
          <w:lang/>
        </w:rPr>
        <w:fldChar w:fldCharType="begin"/>
      </w:r>
      <w:r>
        <w:rPr>
          <w:rStyle w:val="74"/>
          <w:sz w:val="24"/>
          <w:lang/>
        </w:rPr>
        <w:instrText xml:space="preserve"> </w:instrText>
      </w:r>
      <w:r>
        <w:rPr>
          <w:sz w:val="24"/>
          <w:lang/>
        </w:rPr>
        <w:instrText xml:space="preserve">HYPERLINK \l "_Toc260915300"</w:instrText>
      </w:r>
      <w:r>
        <w:rPr>
          <w:rStyle w:val="74"/>
          <w:sz w:val="24"/>
          <w:lang/>
        </w:rPr>
        <w:instrText xml:space="preserve"> </w:instrText>
      </w:r>
      <w:r>
        <w:rPr>
          <w:sz w:val="24"/>
          <w:lang/>
        </w:rPr>
        <w:fldChar w:fldCharType="separate"/>
      </w:r>
      <w:r>
        <w:rPr>
          <w:rStyle w:val="74"/>
          <w:rFonts w:hint="eastAsia" w:ascii="黑体" w:eastAsia="黑体"/>
          <w:b/>
          <w:kern w:val="44"/>
          <w:sz w:val="24"/>
          <w:lang/>
        </w:rPr>
        <w:t>附表：主要技术经济指标表</w:t>
      </w:r>
      <w:r>
        <w:rPr>
          <w:sz w:val="24"/>
          <w:lang/>
        </w:rPr>
        <w:tab/>
      </w:r>
      <w:r>
        <w:rPr>
          <w:sz w:val="24"/>
          <w:lang/>
        </w:rPr>
        <w:fldChar w:fldCharType="begin"/>
      </w:r>
      <w:r>
        <w:rPr>
          <w:sz w:val="24"/>
          <w:lang/>
        </w:rPr>
        <w:instrText xml:space="preserve"> PAGEREF _Toc260915300 \h </w:instrText>
      </w:r>
      <w:r>
        <w:rPr>
          <w:sz w:val="24"/>
          <w:lang/>
        </w:rPr>
        <w:fldChar w:fldCharType="separate"/>
      </w:r>
      <w:r>
        <w:rPr>
          <w:sz w:val="24"/>
          <w:lang/>
        </w:rPr>
        <w:t>290</w:t>
      </w:r>
      <w:r>
        <w:rPr>
          <w:sz w:val="24"/>
          <w:lang/>
        </w:rPr>
        <w:fldChar w:fldCharType="end"/>
      </w:r>
      <w:r>
        <w:rPr>
          <w:sz w:val="24"/>
          <w:lang/>
        </w:rPr>
        <w:fldChar w:fldCharType="end"/>
      </w:r>
    </w:p>
    <w:p w14:paraId="048C84A5">
      <w:pPr>
        <w:spacing w:line="360" w:lineRule="auto"/>
        <w:jc w:val="center"/>
        <w:rPr>
          <w:rFonts w:hint="eastAsia" w:ascii="宋体" w:hAnsi="宋体"/>
          <w:sz w:val="24"/>
          <w:lang/>
        </w:rPr>
      </w:pPr>
      <w:r>
        <w:rPr>
          <w:rFonts w:ascii="宋体" w:hAnsi="宋体"/>
          <w:sz w:val="24"/>
          <w:lang/>
        </w:rPr>
        <w:fldChar w:fldCharType="end"/>
      </w:r>
    </w:p>
    <w:p w14:paraId="578F8ACC">
      <w:pPr>
        <w:jc w:val="center"/>
        <w:rPr>
          <w:rFonts w:hint="eastAsia" w:ascii="宋体" w:hAnsi="宋体"/>
          <w:sz w:val="24"/>
          <w:lang/>
        </w:rPr>
      </w:pPr>
    </w:p>
    <w:p w14:paraId="43FB951C">
      <w:pPr>
        <w:jc w:val="center"/>
        <w:rPr>
          <w:rFonts w:hint="eastAsia" w:ascii="宋体" w:hAnsi="宋体"/>
          <w:sz w:val="24"/>
          <w:lang/>
        </w:rPr>
      </w:pPr>
    </w:p>
    <w:p w14:paraId="1A0D2535">
      <w:pPr>
        <w:jc w:val="center"/>
        <w:rPr>
          <w:rFonts w:hint="eastAsia" w:ascii="宋体" w:hAnsi="宋体"/>
          <w:sz w:val="24"/>
          <w:lang/>
        </w:rPr>
      </w:pPr>
    </w:p>
    <w:p w14:paraId="1B0BCED6">
      <w:pPr>
        <w:jc w:val="center"/>
        <w:rPr>
          <w:rFonts w:hint="eastAsia" w:ascii="宋体" w:hAnsi="宋体"/>
          <w:sz w:val="24"/>
          <w:lang/>
        </w:rPr>
      </w:pPr>
    </w:p>
    <w:p w14:paraId="7CF8ED9C">
      <w:pPr>
        <w:jc w:val="center"/>
        <w:rPr>
          <w:rFonts w:hint="eastAsia" w:ascii="宋体" w:hAnsi="宋体"/>
          <w:sz w:val="24"/>
          <w:lang/>
        </w:rPr>
      </w:pPr>
    </w:p>
    <w:p w14:paraId="24FBB542">
      <w:pPr>
        <w:jc w:val="center"/>
        <w:rPr>
          <w:rFonts w:hint="eastAsia" w:ascii="宋体" w:hAnsi="宋体"/>
          <w:sz w:val="24"/>
          <w:lang/>
        </w:rPr>
      </w:pPr>
    </w:p>
    <w:p w14:paraId="38582DC4">
      <w:pPr>
        <w:jc w:val="center"/>
        <w:rPr>
          <w:rFonts w:hint="eastAsia" w:ascii="宋体" w:hAnsi="宋体"/>
          <w:sz w:val="24"/>
          <w:lang/>
        </w:rPr>
      </w:pPr>
    </w:p>
    <w:p w14:paraId="2A25CDE4">
      <w:pPr>
        <w:jc w:val="center"/>
        <w:rPr>
          <w:rFonts w:ascii="宋体" w:hAnsi="宋体"/>
          <w:sz w:val="24"/>
          <w:lang/>
        </w:rPr>
        <w:sectPr>
          <w:pgSz w:w="11906" w:h="16838"/>
          <w:pgMar w:top="1304" w:right="1418" w:bottom="1304" w:left="1418" w:header="1021" w:footer="992" w:gutter="0"/>
          <w:pgNumType w:start="0"/>
          <w:cols w:space="720" w:num="1"/>
          <w:titlePg/>
          <w:docGrid w:linePitch="312" w:charSpace="0"/>
        </w:sectPr>
      </w:pPr>
    </w:p>
    <w:p w14:paraId="6D570034">
      <w:pPr>
        <w:pStyle w:val="40"/>
        <w:tabs>
          <w:tab w:val="right" w:leader="dot" w:pos="9073"/>
        </w:tabs>
        <w:spacing w:before="240" w:after="120" w:line="360" w:lineRule="auto"/>
        <w:jc w:val="left"/>
        <w:rPr>
          <w:rFonts w:hint="eastAsia" w:ascii="黑体" w:eastAsia="黑体"/>
          <w:b/>
          <w:caps/>
          <w:sz w:val="28"/>
          <w:szCs w:val="28"/>
          <w:lang/>
        </w:rPr>
      </w:pPr>
      <w:r>
        <w:rPr>
          <w:rFonts w:hint="eastAsia" w:ascii="黑体" w:eastAsia="黑体"/>
          <w:b/>
          <w:caps/>
          <w:sz w:val="28"/>
          <w:szCs w:val="28"/>
          <w:lang/>
        </w:rPr>
        <w:t>附件：</w:t>
      </w:r>
    </w:p>
    <w:p w14:paraId="498E2B9B">
      <w:pPr>
        <w:spacing w:line="360" w:lineRule="auto"/>
        <w:ind w:firstLine="480" w:firstLineChars="200"/>
        <w:jc w:val="left"/>
        <w:rPr>
          <w:rFonts w:hint="eastAsia" w:ascii="宋体" w:hAnsi="宋体"/>
          <w:sz w:val="24"/>
        </w:rPr>
      </w:pPr>
      <w:r>
        <w:rPr>
          <w:rFonts w:ascii="宋体" w:hAnsi="宋体"/>
          <w:sz w:val="24"/>
        </w:rPr>
        <w:t>1</w:t>
      </w:r>
      <w:r>
        <w:rPr>
          <w:rFonts w:hint="eastAsia" w:ascii="宋体" w:hAnsi="宋体"/>
          <w:sz w:val="24"/>
        </w:rPr>
        <w:t>、水城县玉舍大坪煤矿开采方案设计（变更）委托书；</w:t>
      </w:r>
    </w:p>
    <w:p w14:paraId="7F152131">
      <w:pPr>
        <w:spacing w:line="360" w:lineRule="auto"/>
        <w:ind w:firstLine="480" w:firstLineChars="200"/>
        <w:jc w:val="left"/>
        <w:rPr>
          <w:rFonts w:hint="eastAsia" w:ascii="宋体" w:hAnsi="宋体"/>
          <w:sz w:val="24"/>
        </w:rPr>
      </w:pPr>
      <w:r>
        <w:rPr>
          <w:rFonts w:hint="eastAsia" w:ascii="宋体" w:hAnsi="宋体"/>
          <w:sz w:val="24"/>
        </w:rPr>
        <w:t>2、贵州省国土资源厅2007年8月颁发的水城县玉舍大坪煤矿《采矿许可证》(副本，证号：5200000711555)；</w:t>
      </w:r>
    </w:p>
    <w:p w14:paraId="27B2F73D">
      <w:pPr>
        <w:spacing w:line="360" w:lineRule="auto"/>
        <w:ind w:firstLine="480" w:firstLineChars="200"/>
        <w:jc w:val="left"/>
        <w:rPr>
          <w:rFonts w:hint="eastAsia" w:ascii="宋体" w:hAnsi="宋体"/>
          <w:sz w:val="24"/>
        </w:rPr>
      </w:pPr>
      <w:r>
        <w:rPr>
          <w:rFonts w:hint="eastAsia" w:ascii="宋体" w:hAnsi="宋体"/>
          <w:sz w:val="24"/>
        </w:rPr>
        <w:t>3、贵州省国土资源厅2008年12月颁发的水城县玉舍大坪煤矿《采矿许可证》(副本，证号：5200000831143)；</w:t>
      </w:r>
    </w:p>
    <w:p w14:paraId="44B89ABC">
      <w:pPr>
        <w:spacing w:line="360" w:lineRule="auto"/>
        <w:ind w:firstLine="480" w:firstLineChars="200"/>
        <w:jc w:val="left"/>
        <w:rPr>
          <w:rFonts w:hint="eastAsia" w:ascii="宋体" w:hAnsi="宋体"/>
          <w:sz w:val="24"/>
        </w:rPr>
      </w:pPr>
      <w:r>
        <w:rPr>
          <w:rFonts w:hint="eastAsia" w:ascii="宋体" w:hAnsi="宋体"/>
          <w:sz w:val="24"/>
        </w:rPr>
        <w:t>4、贵州省国土资源厅（黔国土资储备字【2008】689号关于《贵州省水城县玉舍大坪煤矿资源/储量核实报告》矿产资源储量评审备案的证明文件；</w:t>
      </w:r>
    </w:p>
    <w:p w14:paraId="4B313A18">
      <w:pPr>
        <w:spacing w:line="360" w:lineRule="auto"/>
        <w:ind w:firstLine="480" w:firstLineChars="200"/>
        <w:jc w:val="left"/>
        <w:rPr>
          <w:rFonts w:hint="eastAsia" w:ascii="宋体" w:hAnsi="宋体"/>
          <w:color w:val="FF0000"/>
          <w:sz w:val="24"/>
        </w:rPr>
      </w:pPr>
      <w:r>
        <w:rPr>
          <w:rFonts w:hint="eastAsia" w:ascii="宋体" w:hAnsi="宋体"/>
          <w:color w:val="FF0000"/>
          <w:sz w:val="24"/>
        </w:rPr>
        <w:t>5、贵州省国土资源勘测规划院（黔国土规划院储审字【2008】800号）《贵州省</w:t>
      </w:r>
      <w:r>
        <w:rPr>
          <w:rFonts w:hint="eastAsia" w:ascii="宋体" w:hAnsi="宋体"/>
          <w:sz w:val="24"/>
        </w:rPr>
        <w:t>水城县玉舍大坪煤矿</w:t>
      </w:r>
      <w:r>
        <w:rPr>
          <w:rFonts w:hint="eastAsia" w:ascii="宋体" w:hAnsi="宋体"/>
          <w:color w:val="FF0000"/>
          <w:sz w:val="24"/>
        </w:rPr>
        <w:t>资源/储量核实报告》矿产资源储量评审意见书；</w:t>
      </w:r>
    </w:p>
    <w:p w14:paraId="467C5761">
      <w:pPr>
        <w:spacing w:line="360" w:lineRule="auto"/>
        <w:ind w:firstLine="480" w:firstLineChars="200"/>
        <w:rPr>
          <w:rFonts w:hint="eastAsia" w:ascii="宋体" w:hAnsi="宋体"/>
          <w:kern w:val="10"/>
          <w:sz w:val="24"/>
        </w:rPr>
      </w:pPr>
      <w:r>
        <w:rPr>
          <w:rFonts w:hint="eastAsia" w:ascii="宋体" w:hAnsi="宋体"/>
          <w:sz w:val="24"/>
        </w:rPr>
        <w:t>6、</w:t>
      </w:r>
      <w:bookmarkStart w:id="0" w:name="OLE_LINK13"/>
      <w:bookmarkStart w:id="1" w:name="OLE_LINK5"/>
      <w:r>
        <w:rPr>
          <w:rFonts w:hint="eastAsia" w:ascii="宋体" w:hAnsi="宋体"/>
          <w:sz w:val="24"/>
        </w:rPr>
        <w:t>贵州省煤炭管理局黔煤行管字[2007]67号《对六盘水市煤矿2006年度瓦斯等级鉴定报告的批复》</w:t>
      </w:r>
      <w:r>
        <w:rPr>
          <w:rFonts w:hint="eastAsia" w:ascii="宋体" w:hAnsi="宋体"/>
          <w:kern w:val="10"/>
          <w:sz w:val="24"/>
        </w:rPr>
        <w:t>；</w:t>
      </w:r>
    </w:p>
    <w:bookmarkEnd w:id="0"/>
    <w:bookmarkEnd w:id="1"/>
    <w:p w14:paraId="3B92CD4E">
      <w:pPr>
        <w:spacing w:line="360" w:lineRule="auto"/>
        <w:ind w:firstLine="480" w:firstLineChars="200"/>
        <w:rPr>
          <w:rFonts w:hint="eastAsia" w:ascii="宋体" w:hAnsi="宋体"/>
          <w:kern w:val="10"/>
          <w:sz w:val="24"/>
        </w:rPr>
      </w:pPr>
      <w:r>
        <w:rPr>
          <w:rFonts w:hint="eastAsia" w:ascii="宋体" w:hAnsi="宋体"/>
          <w:kern w:val="10"/>
          <w:sz w:val="24"/>
        </w:rPr>
        <w:t>7、</w:t>
      </w:r>
      <w:r>
        <w:rPr>
          <w:rFonts w:hint="eastAsia" w:ascii="宋体" w:hAnsi="宋体"/>
          <w:sz w:val="24"/>
          <w:lang w:val="zh-CN"/>
        </w:rPr>
        <w:t>贵州省六枝工矿(集团)恒达设计有限公司实验室提供的《煤尘爆炸性鉴定报告》、《煤炭</w:t>
      </w:r>
      <w:r>
        <w:rPr>
          <w:rFonts w:hint="eastAsia" w:ascii="宋体" w:hAnsi="宋体"/>
          <w:sz w:val="24"/>
        </w:rPr>
        <w:t>自燃倾向性</w:t>
      </w:r>
      <w:r>
        <w:rPr>
          <w:rFonts w:hint="eastAsia" w:ascii="宋体" w:hAnsi="宋体"/>
          <w:sz w:val="24"/>
          <w:lang w:val="zh-CN"/>
        </w:rPr>
        <w:t>鉴定报告》</w:t>
      </w:r>
      <w:r>
        <w:rPr>
          <w:rFonts w:hint="eastAsia" w:ascii="宋体" w:hAnsi="宋体"/>
          <w:kern w:val="10"/>
          <w:sz w:val="24"/>
        </w:rPr>
        <w:t>。</w:t>
      </w:r>
    </w:p>
    <w:p w14:paraId="6686F038">
      <w:pPr>
        <w:spacing w:line="360" w:lineRule="auto"/>
        <w:ind w:firstLine="480" w:firstLineChars="200"/>
        <w:rPr>
          <w:rFonts w:hint="eastAsia" w:ascii="宋体" w:hAnsi="宋体"/>
          <w:sz w:val="24"/>
        </w:rPr>
      </w:pPr>
      <w:r>
        <w:rPr>
          <w:rFonts w:hint="eastAsia" w:ascii="宋体" w:hAnsi="宋体"/>
          <w:kern w:val="10"/>
          <w:sz w:val="24"/>
        </w:rPr>
        <w:t>8、</w:t>
      </w:r>
      <w:r>
        <w:rPr>
          <w:rFonts w:hint="eastAsia" w:ascii="宋体" w:hAnsi="宋体"/>
          <w:sz w:val="24"/>
        </w:rPr>
        <w:t>贵州省煤炭管理局文件（黔煤规字【2008】456号）《关于对水城县玉舍大坪煤矿（整合）开采方案设计的批复》；</w:t>
      </w:r>
    </w:p>
    <w:p w14:paraId="0745D8E3">
      <w:pPr>
        <w:spacing w:line="360" w:lineRule="auto"/>
        <w:ind w:firstLine="480" w:firstLineChars="200"/>
        <w:rPr>
          <w:rFonts w:hint="eastAsia" w:ascii="宋体" w:hAnsi="宋体"/>
          <w:sz w:val="24"/>
        </w:rPr>
      </w:pPr>
      <w:r>
        <w:rPr>
          <w:rFonts w:hint="eastAsia" w:ascii="宋体" w:hAnsi="宋体"/>
          <w:sz w:val="24"/>
        </w:rPr>
        <w:t>9、贵州煤矿安全监察局水城监察分局文件（黔煤安监水字【2008】246号）“关于对水城县玉舍大坪煤矿安全设施设计的批复”；</w:t>
      </w:r>
    </w:p>
    <w:p w14:paraId="1D3681E0">
      <w:pPr>
        <w:pStyle w:val="89"/>
        <w:tabs>
          <w:tab w:val="left" w:pos="4500"/>
        </w:tabs>
        <w:ind w:firstLine="480" w:firstLineChars="200"/>
        <w:rPr>
          <w:rFonts w:hint="eastAsia" w:hAnsi="宋体"/>
          <w:szCs w:val="24"/>
        </w:rPr>
      </w:pPr>
      <w:r>
        <w:rPr>
          <w:rFonts w:hint="eastAsia" w:hAnsi="宋体"/>
          <w:szCs w:val="24"/>
        </w:rPr>
        <w:t>10、水城县</w:t>
      </w:r>
      <w:r>
        <w:rPr>
          <w:rFonts w:hint="eastAsia" w:hAnsi="宋体"/>
        </w:rPr>
        <w:t>玉舍大坪</w:t>
      </w:r>
      <w:r>
        <w:rPr>
          <w:rFonts w:hint="eastAsia" w:hAnsi="宋体"/>
          <w:szCs w:val="24"/>
        </w:rPr>
        <w:t>煤矿与水城县供电局签定的供电协议；</w:t>
      </w:r>
    </w:p>
    <w:p w14:paraId="3BE22811">
      <w:pPr>
        <w:pStyle w:val="89"/>
        <w:tabs>
          <w:tab w:val="left" w:pos="4500"/>
        </w:tabs>
        <w:ind w:firstLine="480" w:firstLineChars="200"/>
        <w:rPr>
          <w:rFonts w:hint="eastAsia" w:hAnsi="宋体"/>
          <w:szCs w:val="24"/>
        </w:rPr>
      </w:pPr>
      <w:r>
        <w:rPr>
          <w:rFonts w:hint="eastAsia" w:hAnsi="宋体"/>
          <w:szCs w:val="24"/>
        </w:rPr>
        <w:t>11、矿山救援技术服务协议书；</w:t>
      </w:r>
    </w:p>
    <w:p w14:paraId="237F2A28">
      <w:pPr>
        <w:spacing w:line="360" w:lineRule="auto"/>
        <w:ind w:firstLine="480" w:firstLineChars="200"/>
        <w:rPr>
          <w:rFonts w:hint="eastAsia" w:ascii="宋体" w:hAnsi="宋体"/>
          <w:sz w:val="24"/>
        </w:rPr>
      </w:pPr>
      <w:r>
        <w:rPr>
          <w:rFonts w:hint="eastAsia" w:ascii="宋体" w:hAnsi="宋体"/>
          <w:sz w:val="24"/>
        </w:rPr>
        <w:t>12、贵州省安全生产监督管理局、贵州煤矿安全监察局、贵州省煤炭管理局文件(黔安监管办字【2007】345号“关于加强煤矿建设项目煤与瓦斯突出防治工作的意见”；</w:t>
      </w:r>
    </w:p>
    <w:p w14:paraId="30FEA978">
      <w:pPr>
        <w:jc w:val="center"/>
        <w:rPr>
          <w:rFonts w:hint="eastAsia" w:ascii="宋体" w:hAnsi="宋体"/>
          <w:sz w:val="24"/>
          <w:lang/>
        </w:rPr>
      </w:pPr>
    </w:p>
    <w:p w14:paraId="157D6E43">
      <w:pPr>
        <w:jc w:val="center"/>
        <w:rPr>
          <w:rFonts w:hint="eastAsia" w:ascii="宋体" w:hAnsi="宋体"/>
          <w:sz w:val="24"/>
          <w:lang/>
        </w:rPr>
      </w:pPr>
    </w:p>
    <w:p w14:paraId="72901135">
      <w:pPr>
        <w:jc w:val="center"/>
        <w:rPr>
          <w:rFonts w:hint="eastAsia" w:ascii="宋体" w:hAnsi="宋体"/>
          <w:sz w:val="24"/>
          <w:lang/>
        </w:rPr>
      </w:pPr>
    </w:p>
    <w:p w14:paraId="1DFE3698">
      <w:pPr>
        <w:jc w:val="center"/>
        <w:rPr>
          <w:rFonts w:hint="eastAsia" w:ascii="宋体" w:hAnsi="宋体"/>
          <w:sz w:val="24"/>
          <w:lang/>
        </w:rPr>
      </w:pPr>
    </w:p>
    <w:p w14:paraId="5EE91351">
      <w:pPr>
        <w:jc w:val="center"/>
        <w:rPr>
          <w:rFonts w:hint="eastAsia" w:ascii="宋体" w:hAnsi="宋体"/>
          <w:sz w:val="24"/>
          <w:lang/>
        </w:rPr>
      </w:pPr>
    </w:p>
    <w:p w14:paraId="3C36978A">
      <w:pPr>
        <w:jc w:val="center"/>
        <w:rPr>
          <w:rFonts w:hint="eastAsia" w:ascii="宋体" w:hAnsi="宋体"/>
          <w:sz w:val="24"/>
          <w:lang/>
        </w:rPr>
      </w:pPr>
    </w:p>
    <w:p w14:paraId="1EFB41AD">
      <w:pPr>
        <w:jc w:val="center"/>
        <w:rPr>
          <w:rFonts w:hint="eastAsia" w:ascii="宋体" w:hAnsi="宋体"/>
          <w:sz w:val="24"/>
          <w:lang/>
        </w:rPr>
      </w:pPr>
    </w:p>
    <w:p w14:paraId="5E632732">
      <w:pPr>
        <w:jc w:val="center"/>
        <w:rPr>
          <w:rFonts w:hint="eastAsia" w:ascii="宋体" w:hAnsi="宋体"/>
          <w:sz w:val="24"/>
          <w:lang/>
        </w:rPr>
      </w:pPr>
    </w:p>
    <w:p w14:paraId="741D00ED">
      <w:pPr>
        <w:jc w:val="center"/>
        <w:rPr>
          <w:rFonts w:hint="eastAsia" w:ascii="宋体" w:hAnsi="宋体"/>
          <w:sz w:val="24"/>
          <w:lang/>
        </w:rPr>
      </w:pPr>
    </w:p>
    <w:p w14:paraId="7F2860DD">
      <w:pPr>
        <w:jc w:val="center"/>
        <w:rPr>
          <w:rFonts w:ascii="宋体" w:hAnsi="宋体"/>
          <w:sz w:val="24"/>
          <w:lang/>
        </w:rPr>
        <w:sectPr>
          <w:pgSz w:w="11906" w:h="16838"/>
          <w:pgMar w:top="1304" w:right="1418" w:bottom="1304" w:left="1418" w:header="1021" w:footer="992" w:gutter="0"/>
          <w:pgNumType w:start="0"/>
          <w:cols w:space="720" w:num="1"/>
          <w:titlePg/>
          <w:docGrid w:linePitch="312" w:charSpace="0"/>
        </w:sectPr>
      </w:pPr>
    </w:p>
    <w:p w14:paraId="74D1D513">
      <w:pPr>
        <w:spacing w:before="100" w:beforeAutospacing="1" w:after="100" w:afterAutospacing="1" w:line="360" w:lineRule="auto"/>
        <w:jc w:val="center"/>
        <w:rPr>
          <w:rFonts w:hint="eastAsia" w:ascii="宋体" w:hAnsi="宋体"/>
          <w:sz w:val="28"/>
        </w:rPr>
      </w:pPr>
      <w:r>
        <w:rPr>
          <w:rFonts w:hint="eastAsia" w:ascii="宋体" w:hAnsi="宋体"/>
          <w:b/>
          <w:sz w:val="32"/>
        </w:rPr>
        <w:t>附　图　目　录</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4"/>
        <w:gridCol w:w="5434"/>
        <w:gridCol w:w="1313"/>
        <w:gridCol w:w="1444"/>
      </w:tblGrid>
      <w:tr w14:paraId="6136E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7C55A781">
            <w:pPr>
              <w:jc w:val="center"/>
              <w:rPr>
                <w:rFonts w:hint="eastAsia" w:ascii="宋体" w:hAnsi="宋体"/>
                <w:sz w:val="24"/>
              </w:rPr>
            </w:pPr>
            <w:r>
              <w:rPr>
                <w:rFonts w:hint="eastAsia" w:ascii="宋体" w:hAnsi="宋体"/>
                <w:sz w:val="24"/>
              </w:rPr>
              <w:t>序号</w:t>
            </w:r>
          </w:p>
        </w:tc>
        <w:tc>
          <w:tcPr>
            <w:tcW w:w="5434" w:type="dxa"/>
            <w:noWrap w:val="0"/>
            <w:vAlign w:val="center"/>
          </w:tcPr>
          <w:p w14:paraId="4E52BB7F">
            <w:pPr>
              <w:jc w:val="center"/>
              <w:rPr>
                <w:rFonts w:hint="eastAsia" w:ascii="宋体" w:hAnsi="宋体"/>
                <w:sz w:val="24"/>
              </w:rPr>
            </w:pPr>
            <w:r>
              <w:rPr>
                <w:rFonts w:hint="eastAsia" w:ascii="宋体" w:hAnsi="宋体"/>
                <w:sz w:val="24"/>
              </w:rPr>
              <w:t>图　纸　目　录</w:t>
            </w:r>
          </w:p>
        </w:tc>
        <w:tc>
          <w:tcPr>
            <w:tcW w:w="1313" w:type="dxa"/>
            <w:noWrap w:val="0"/>
            <w:vAlign w:val="center"/>
          </w:tcPr>
          <w:p w14:paraId="4AF3262C">
            <w:pPr>
              <w:jc w:val="center"/>
              <w:rPr>
                <w:rFonts w:hint="eastAsia" w:ascii="宋体" w:hAnsi="宋体"/>
                <w:sz w:val="24"/>
              </w:rPr>
            </w:pPr>
            <w:r>
              <w:rPr>
                <w:rFonts w:hint="eastAsia" w:ascii="宋体" w:hAnsi="宋体"/>
                <w:sz w:val="24"/>
              </w:rPr>
              <w:t>比　例</w:t>
            </w:r>
          </w:p>
        </w:tc>
        <w:tc>
          <w:tcPr>
            <w:tcW w:w="1444" w:type="dxa"/>
            <w:noWrap w:val="0"/>
            <w:vAlign w:val="center"/>
          </w:tcPr>
          <w:p w14:paraId="2F10E13E">
            <w:pPr>
              <w:jc w:val="center"/>
              <w:rPr>
                <w:rFonts w:hint="eastAsia" w:ascii="宋体" w:hAnsi="宋体"/>
                <w:sz w:val="24"/>
              </w:rPr>
            </w:pPr>
            <w:r>
              <w:rPr>
                <w:rFonts w:hint="eastAsia" w:ascii="宋体" w:hAnsi="宋体"/>
                <w:sz w:val="24"/>
              </w:rPr>
              <w:t>备　注</w:t>
            </w:r>
          </w:p>
        </w:tc>
      </w:tr>
      <w:tr w14:paraId="43259A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04B2EA9B">
            <w:pPr>
              <w:jc w:val="center"/>
              <w:rPr>
                <w:rFonts w:hint="eastAsia" w:ascii="宋体" w:hAnsi="宋体"/>
                <w:sz w:val="24"/>
              </w:rPr>
            </w:pPr>
            <w:r>
              <w:rPr>
                <w:rFonts w:hint="eastAsia" w:ascii="宋体" w:hAnsi="宋体"/>
                <w:sz w:val="24"/>
              </w:rPr>
              <w:t>1</w:t>
            </w:r>
          </w:p>
        </w:tc>
        <w:tc>
          <w:tcPr>
            <w:tcW w:w="5434" w:type="dxa"/>
            <w:noWrap w:val="0"/>
            <w:vAlign w:val="center"/>
          </w:tcPr>
          <w:p w14:paraId="08EE5B60">
            <w:pPr>
              <w:rPr>
                <w:rFonts w:hint="eastAsia" w:ascii="宋体" w:hAnsi="宋体"/>
                <w:sz w:val="24"/>
              </w:rPr>
            </w:pPr>
            <w:r>
              <w:rPr>
                <w:rFonts w:hint="eastAsia" w:ascii="宋体" w:hAnsi="宋体"/>
                <w:sz w:val="24"/>
              </w:rPr>
              <w:t>井上、下对照图</w:t>
            </w:r>
          </w:p>
        </w:tc>
        <w:tc>
          <w:tcPr>
            <w:tcW w:w="1313" w:type="dxa"/>
            <w:noWrap w:val="0"/>
            <w:vAlign w:val="center"/>
          </w:tcPr>
          <w:p w14:paraId="5FD903F3">
            <w:pPr>
              <w:jc w:val="center"/>
              <w:rPr>
                <w:rFonts w:hint="eastAsia" w:ascii="宋体" w:hAnsi="宋体"/>
                <w:sz w:val="24"/>
              </w:rPr>
            </w:pPr>
            <w:r>
              <w:rPr>
                <w:rFonts w:hint="eastAsia" w:ascii="宋体" w:hAnsi="宋体"/>
                <w:sz w:val="24"/>
              </w:rPr>
              <w:t>1：2000</w:t>
            </w:r>
          </w:p>
        </w:tc>
        <w:tc>
          <w:tcPr>
            <w:tcW w:w="1444" w:type="dxa"/>
            <w:noWrap w:val="0"/>
            <w:vAlign w:val="center"/>
          </w:tcPr>
          <w:p w14:paraId="236CE8CE">
            <w:pPr>
              <w:jc w:val="center"/>
              <w:rPr>
                <w:rFonts w:hint="eastAsia" w:ascii="宋体" w:hAnsi="宋体"/>
                <w:sz w:val="24"/>
              </w:rPr>
            </w:pPr>
            <w:r>
              <w:rPr>
                <w:rFonts w:hint="eastAsia" w:ascii="宋体" w:hAnsi="宋体"/>
                <w:sz w:val="24"/>
              </w:rPr>
              <w:t>图1</w:t>
            </w:r>
          </w:p>
        </w:tc>
      </w:tr>
      <w:tr w14:paraId="784E6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521D8F29">
            <w:pPr>
              <w:jc w:val="center"/>
              <w:rPr>
                <w:rFonts w:hint="eastAsia" w:ascii="宋体" w:hAnsi="宋体"/>
                <w:sz w:val="24"/>
              </w:rPr>
            </w:pPr>
            <w:r>
              <w:rPr>
                <w:rFonts w:hint="eastAsia" w:ascii="宋体" w:hAnsi="宋体"/>
                <w:sz w:val="24"/>
              </w:rPr>
              <w:t>2</w:t>
            </w:r>
          </w:p>
        </w:tc>
        <w:tc>
          <w:tcPr>
            <w:tcW w:w="5434" w:type="dxa"/>
            <w:noWrap w:val="0"/>
            <w:vAlign w:val="center"/>
          </w:tcPr>
          <w:p w14:paraId="5E5A0E7F">
            <w:pPr>
              <w:rPr>
                <w:rFonts w:hint="eastAsia" w:ascii="宋体" w:hAnsi="宋体"/>
                <w:sz w:val="24"/>
              </w:rPr>
            </w:pPr>
            <w:r>
              <w:rPr>
                <w:rFonts w:hint="eastAsia" w:ascii="宋体" w:hAnsi="宋体"/>
                <w:sz w:val="24"/>
              </w:rPr>
              <w:t>开拓系统平面图</w:t>
            </w:r>
          </w:p>
        </w:tc>
        <w:tc>
          <w:tcPr>
            <w:tcW w:w="1313" w:type="dxa"/>
            <w:noWrap w:val="0"/>
            <w:vAlign w:val="center"/>
          </w:tcPr>
          <w:p w14:paraId="57BE405D">
            <w:pPr>
              <w:jc w:val="center"/>
              <w:rPr>
                <w:rFonts w:hint="eastAsia" w:ascii="宋体" w:hAnsi="宋体"/>
                <w:sz w:val="24"/>
              </w:rPr>
            </w:pPr>
            <w:r>
              <w:rPr>
                <w:rFonts w:hint="eastAsia" w:ascii="宋体" w:hAnsi="宋体"/>
                <w:sz w:val="24"/>
              </w:rPr>
              <w:t>1：2000</w:t>
            </w:r>
          </w:p>
        </w:tc>
        <w:tc>
          <w:tcPr>
            <w:tcW w:w="1444" w:type="dxa"/>
            <w:noWrap w:val="0"/>
            <w:vAlign w:val="center"/>
          </w:tcPr>
          <w:p w14:paraId="7589D1EB">
            <w:pPr>
              <w:jc w:val="center"/>
              <w:rPr>
                <w:rFonts w:hint="eastAsia" w:ascii="宋体" w:hAnsi="宋体"/>
                <w:sz w:val="24"/>
              </w:rPr>
            </w:pPr>
            <w:r>
              <w:rPr>
                <w:rFonts w:hint="eastAsia" w:ascii="宋体" w:hAnsi="宋体"/>
                <w:sz w:val="24"/>
              </w:rPr>
              <w:t>图2</w:t>
            </w:r>
          </w:p>
        </w:tc>
      </w:tr>
      <w:tr w14:paraId="04E81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29307AF4">
            <w:pPr>
              <w:jc w:val="center"/>
              <w:rPr>
                <w:rFonts w:hint="eastAsia" w:ascii="宋体" w:hAnsi="宋体"/>
                <w:sz w:val="24"/>
              </w:rPr>
            </w:pPr>
            <w:r>
              <w:rPr>
                <w:rFonts w:hint="eastAsia" w:ascii="宋体" w:hAnsi="宋体"/>
                <w:sz w:val="24"/>
              </w:rPr>
              <w:t>3</w:t>
            </w:r>
          </w:p>
        </w:tc>
        <w:tc>
          <w:tcPr>
            <w:tcW w:w="5434" w:type="dxa"/>
            <w:noWrap w:val="0"/>
            <w:vAlign w:val="center"/>
          </w:tcPr>
          <w:p w14:paraId="57873052">
            <w:pPr>
              <w:rPr>
                <w:rFonts w:hint="eastAsia" w:ascii="宋体" w:hAnsi="宋体"/>
                <w:sz w:val="24"/>
              </w:rPr>
            </w:pPr>
            <w:r>
              <w:rPr>
                <w:rFonts w:hint="eastAsia" w:ascii="宋体" w:hAnsi="宋体"/>
                <w:sz w:val="24"/>
              </w:rPr>
              <w:t>开拓系统剖面图</w:t>
            </w:r>
          </w:p>
        </w:tc>
        <w:tc>
          <w:tcPr>
            <w:tcW w:w="1313" w:type="dxa"/>
            <w:noWrap w:val="0"/>
            <w:vAlign w:val="center"/>
          </w:tcPr>
          <w:p w14:paraId="23755509">
            <w:pPr>
              <w:jc w:val="center"/>
              <w:rPr>
                <w:rFonts w:hint="eastAsia" w:ascii="宋体" w:hAnsi="宋体"/>
                <w:sz w:val="24"/>
              </w:rPr>
            </w:pPr>
            <w:r>
              <w:rPr>
                <w:rFonts w:hint="eastAsia" w:ascii="宋体" w:hAnsi="宋体"/>
                <w:sz w:val="24"/>
              </w:rPr>
              <w:t>1：2000</w:t>
            </w:r>
          </w:p>
        </w:tc>
        <w:tc>
          <w:tcPr>
            <w:tcW w:w="1444" w:type="dxa"/>
            <w:noWrap w:val="0"/>
            <w:vAlign w:val="center"/>
          </w:tcPr>
          <w:p w14:paraId="6A17889F">
            <w:pPr>
              <w:jc w:val="center"/>
              <w:rPr>
                <w:rFonts w:hint="eastAsia" w:ascii="宋体" w:hAnsi="宋体"/>
                <w:sz w:val="24"/>
              </w:rPr>
            </w:pPr>
            <w:r>
              <w:rPr>
                <w:rFonts w:hint="eastAsia" w:ascii="宋体" w:hAnsi="宋体"/>
                <w:sz w:val="24"/>
              </w:rPr>
              <w:t>图3</w:t>
            </w:r>
          </w:p>
        </w:tc>
      </w:tr>
      <w:tr w14:paraId="0B32A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4442653F">
            <w:pPr>
              <w:jc w:val="center"/>
              <w:rPr>
                <w:rFonts w:hint="eastAsia" w:ascii="宋体" w:hAnsi="宋体"/>
                <w:sz w:val="24"/>
              </w:rPr>
            </w:pPr>
            <w:r>
              <w:rPr>
                <w:rFonts w:hint="eastAsia" w:ascii="宋体" w:hAnsi="宋体"/>
                <w:sz w:val="24"/>
              </w:rPr>
              <w:t>4</w:t>
            </w:r>
          </w:p>
        </w:tc>
        <w:tc>
          <w:tcPr>
            <w:tcW w:w="5434" w:type="dxa"/>
            <w:noWrap w:val="0"/>
            <w:vAlign w:val="center"/>
          </w:tcPr>
          <w:p w14:paraId="20B02CDB">
            <w:pPr>
              <w:jc w:val="left"/>
              <w:rPr>
                <w:rFonts w:hint="eastAsia" w:ascii="宋体" w:hAnsi="宋体"/>
                <w:sz w:val="24"/>
              </w:rPr>
            </w:pPr>
            <w:r>
              <w:rPr>
                <w:rFonts w:hint="eastAsia" w:ascii="宋体" w:hAnsi="宋体"/>
                <w:sz w:val="24"/>
              </w:rPr>
              <w:t>工业场地总平面布置图</w:t>
            </w:r>
          </w:p>
        </w:tc>
        <w:tc>
          <w:tcPr>
            <w:tcW w:w="1313" w:type="dxa"/>
            <w:noWrap w:val="0"/>
            <w:vAlign w:val="center"/>
          </w:tcPr>
          <w:p w14:paraId="308FD743">
            <w:pPr>
              <w:jc w:val="center"/>
              <w:rPr>
                <w:rFonts w:hint="eastAsia" w:ascii="宋体" w:hAnsi="宋体"/>
                <w:sz w:val="24"/>
              </w:rPr>
            </w:pPr>
            <w:r>
              <w:rPr>
                <w:rFonts w:hint="eastAsia" w:ascii="宋体" w:hAnsi="宋体"/>
                <w:sz w:val="24"/>
              </w:rPr>
              <w:t>1：500</w:t>
            </w:r>
          </w:p>
        </w:tc>
        <w:tc>
          <w:tcPr>
            <w:tcW w:w="1444" w:type="dxa"/>
            <w:noWrap w:val="0"/>
            <w:vAlign w:val="center"/>
          </w:tcPr>
          <w:p w14:paraId="7887F8EE">
            <w:pPr>
              <w:jc w:val="center"/>
              <w:rPr>
                <w:rFonts w:hint="eastAsia" w:ascii="宋体" w:hAnsi="宋体"/>
                <w:sz w:val="24"/>
              </w:rPr>
            </w:pPr>
            <w:r>
              <w:rPr>
                <w:rFonts w:hint="eastAsia" w:ascii="宋体" w:hAnsi="宋体"/>
                <w:sz w:val="24"/>
              </w:rPr>
              <w:t>图4</w:t>
            </w:r>
          </w:p>
        </w:tc>
      </w:tr>
      <w:tr w14:paraId="2595F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737FB497">
            <w:pPr>
              <w:jc w:val="center"/>
              <w:rPr>
                <w:rFonts w:hint="eastAsia" w:ascii="宋体" w:hAnsi="宋体"/>
                <w:sz w:val="24"/>
              </w:rPr>
            </w:pPr>
            <w:r>
              <w:rPr>
                <w:rFonts w:hint="eastAsia" w:ascii="宋体" w:hAnsi="宋体"/>
                <w:sz w:val="24"/>
              </w:rPr>
              <w:t>5</w:t>
            </w:r>
          </w:p>
        </w:tc>
        <w:tc>
          <w:tcPr>
            <w:tcW w:w="5434" w:type="dxa"/>
            <w:noWrap w:val="0"/>
            <w:vAlign w:val="center"/>
          </w:tcPr>
          <w:p w14:paraId="4C49B248">
            <w:pPr>
              <w:rPr>
                <w:rFonts w:hint="eastAsia" w:ascii="宋体" w:hAnsi="宋体"/>
                <w:sz w:val="24"/>
              </w:rPr>
            </w:pPr>
            <w:r>
              <w:rPr>
                <w:rFonts w:hint="eastAsia" w:ascii="宋体" w:hAnsi="宋体"/>
                <w:sz w:val="24"/>
              </w:rPr>
              <w:t>采区巷道布置及机械配备平、剖面图</w:t>
            </w:r>
          </w:p>
        </w:tc>
        <w:tc>
          <w:tcPr>
            <w:tcW w:w="1313" w:type="dxa"/>
            <w:noWrap w:val="0"/>
            <w:vAlign w:val="center"/>
          </w:tcPr>
          <w:p w14:paraId="14637AD9">
            <w:pPr>
              <w:jc w:val="center"/>
              <w:rPr>
                <w:rFonts w:hint="eastAsia" w:ascii="宋体" w:hAnsi="宋体"/>
                <w:sz w:val="24"/>
              </w:rPr>
            </w:pPr>
            <w:r>
              <w:rPr>
                <w:rFonts w:hint="eastAsia" w:ascii="宋体" w:hAnsi="宋体"/>
                <w:sz w:val="24"/>
              </w:rPr>
              <w:t>1：2000</w:t>
            </w:r>
          </w:p>
        </w:tc>
        <w:tc>
          <w:tcPr>
            <w:tcW w:w="1444" w:type="dxa"/>
            <w:noWrap w:val="0"/>
            <w:vAlign w:val="center"/>
          </w:tcPr>
          <w:p w14:paraId="77359AAA">
            <w:pPr>
              <w:jc w:val="center"/>
              <w:rPr>
                <w:rFonts w:hint="eastAsia" w:ascii="宋体" w:hAnsi="宋体"/>
                <w:sz w:val="24"/>
              </w:rPr>
            </w:pPr>
            <w:r>
              <w:rPr>
                <w:rFonts w:hint="eastAsia" w:ascii="宋体" w:hAnsi="宋体"/>
                <w:sz w:val="24"/>
              </w:rPr>
              <w:t>图5</w:t>
            </w:r>
          </w:p>
        </w:tc>
      </w:tr>
      <w:tr w14:paraId="39761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0189D145">
            <w:pPr>
              <w:jc w:val="center"/>
              <w:rPr>
                <w:rFonts w:hint="eastAsia" w:ascii="宋体" w:hAnsi="宋体"/>
                <w:sz w:val="24"/>
              </w:rPr>
            </w:pPr>
            <w:r>
              <w:rPr>
                <w:rFonts w:hint="eastAsia" w:ascii="宋体" w:hAnsi="宋体"/>
                <w:sz w:val="24"/>
              </w:rPr>
              <w:t>6</w:t>
            </w:r>
          </w:p>
        </w:tc>
        <w:tc>
          <w:tcPr>
            <w:tcW w:w="5434" w:type="dxa"/>
            <w:noWrap w:val="0"/>
            <w:vAlign w:val="center"/>
          </w:tcPr>
          <w:p w14:paraId="7F812582">
            <w:pPr>
              <w:jc w:val="left"/>
              <w:rPr>
                <w:rFonts w:hint="eastAsia" w:ascii="宋体" w:hAnsi="宋体"/>
                <w:sz w:val="24"/>
              </w:rPr>
            </w:pPr>
            <w:r>
              <w:rPr>
                <w:rFonts w:hint="eastAsia" w:ascii="宋体" w:hAnsi="宋体"/>
                <w:sz w:val="24"/>
              </w:rPr>
              <w:t>通风系统和通风网络图</w:t>
            </w:r>
          </w:p>
        </w:tc>
        <w:tc>
          <w:tcPr>
            <w:tcW w:w="1313" w:type="dxa"/>
            <w:noWrap w:val="0"/>
            <w:vAlign w:val="center"/>
          </w:tcPr>
          <w:p w14:paraId="56C13220">
            <w:pPr>
              <w:jc w:val="center"/>
              <w:rPr>
                <w:rFonts w:hint="eastAsia" w:ascii="宋体" w:hAnsi="宋体"/>
                <w:sz w:val="24"/>
              </w:rPr>
            </w:pPr>
            <w:r>
              <w:rPr>
                <w:rFonts w:hint="eastAsia" w:ascii="宋体" w:hAnsi="宋体"/>
                <w:sz w:val="24"/>
              </w:rPr>
              <w:t>示意图</w:t>
            </w:r>
          </w:p>
        </w:tc>
        <w:tc>
          <w:tcPr>
            <w:tcW w:w="1444" w:type="dxa"/>
            <w:noWrap w:val="0"/>
            <w:vAlign w:val="center"/>
          </w:tcPr>
          <w:p w14:paraId="0156E730">
            <w:pPr>
              <w:jc w:val="center"/>
              <w:rPr>
                <w:rFonts w:hint="eastAsia" w:ascii="宋体" w:hAnsi="宋体"/>
                <w:sz w:val="24"/>
              </w:rPr>
            </w:pPr>
            <w:r>
              <w:rPr>
                <w:rFonts w:hint="eastAsia" w:ascii="宋体" w:hAnsi="宋体"/>
                <w:sz w:val="24"/>
              </w:rPr>
              <w:t>图6</w:t>
            </w:r>
          </w:p>
        </w:tc>
      </w:tr>
      <w:tr w14:paraId="7931C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4BD1CBE8">
            <w:pPr>
              <w:jc w:val="center"/>
              <w:rPr>
                <w:rFonts w:hint="eastAsia" w:ascii="宋体" w:hAnsi="宋体"/>
                <w:sz w:val="24"/>
              </w:rPr>
            </w:pPr>
            <w:r>
              <w:rPr>
                <w:rFonts w:hint="eastAsia" w:ascii="宋体" w:hAnsi="宋体"/>
                <w:sz w:val="24"/>
              </w:rPr>
              <w:t>7</w:t>
            </w:r>
          </w:p>
        </w:tc>
        <w:tc>
          <w:tcPr>
            <w:tcW w:w="5434" w:type="dxa"/>
            <w:noWrap w:val="0"/>
            <w:vAlign w:val="center"/>
          </w:tcPr>
          <w:p w14:paraId="5C43EFBE">
            <w:pPr>
              <w:rPr>
                <w:rFonts w:hint="eastAsia" w:ascii="宋体" w:hAnsi="宋体"/>
                <w:sz w:val="24"/>
              </w:rPr>
            </w:pPr>
            <w:r>
              <w:rPr>
                <w:rFonts w:hint="eastAsia" w:ascii="宋体" w:hAnsi="宋体"/>
                <w:sz w:val="24"/>
              </w:rPr>
              <w:t>井下运输系统图</w:t>
            </w:r>
          </w:p>
        </w:tc>
        <w:tc>
          <w:tcPr>
            <w:tcW w:w="1313" w:type="dxa"/>
            <w:noWrap w:val="0"/>
            <w:vAlign w:val="center"/>
          </w:tcPr>
          <w:p w14:paraId="3DE93C33">
            <w:pPr>
              <w:jc w:val="center"/>
              <w:rPr>
                <w:rFonts w:hint="eastAsia" w:ascii="宋体" w:hAnsi="宋体"/>
                <w:sz w:val="24"/>
              </w:rPr>
            </w:pPr>
            <w:r>
              <w:rPr>
                <w:rFonts w:hint="eastAsia" w:ascii="宋体" w:hAnsi="宋体"/>
                <w:sz w:val="24"/>
              </w:rPr>
              <w:t>示意图</w:t>
            </w:r>
          </w:p>
        </w:tc>
        <w:tc>
          <w:tcPr>
            <w:tcW w:w="1444" w:type="dxa"/>
            <w:noWrap w:val="0"/>
            <w:vAlign w:val="center"/>
          </w:tcPr>
          <w:p w14:paraId="338FEF6D">
            <w:pPr>
              <w:jc w:val="center"/>
              <w:rPr>
                <w:rFonts w:hint="eastAsia" w:ascii="宋体" w:hAnsi="宋体"/>
                <w:sz w:val="24"/>
              </w:rPr>
            </w:pPr>
            <w:r>
              <w:rPr>
                <w:rFonts w:hint="eastAsia" w:ascii="宋体" w:hAnsi="宋体"/>
                <w:sz w:val="24"/>
              </w:rPr>
              <w:t>图7</w:t>
            </w:r>
          </w:p>
        </w:tc>
      </w:tr>
      <w:tr w14:paraId="60E4B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3D2B0B01">
            <w:pPr>
              <w:jc w:val="center"/>
              <w:rPr>
                <w:rFonts w:hint="eastAsia" w:ascii="宋体" w:hAnsi="宋体"/>
                <w:sz w:val="24"/>
              </w:rPr>
            </w:pPr>
            <w:r>
              <w:rPr>
                <w:rFonts w:hint="eastAsia" w:ascii="宋体" w:hAnsi="宋体"/>
                <w:sz w:val="24"/>
              </w:rPr>
              <w:t>8</w:t>
            </w:r>
          </w:p>
        </w:tc>
        <w:tc>
          <w:tcPr>
            <w:tcW w:w="5434" w:type="dxa"/>
            <w:noWrap w:val="0"/>
            <w:vAlign w:val="center"/>
          </w:tcPr>
          <w:p w14:paraId="5B8924B8">
            <w:pPr>
              <w:rPr>
                <w:rFonts w:hint="eastAsia" w:ascii="宋体" w:hAnsi="宋体"/>
                <w:sz w:val="24"/>
              </w:rPr>
            </w:pPr>
            <w:r>
              <w:rPr>
                <w:rFonts w:hint="eastAsia" w:ascii="宋体" w:hAnsi="宋体"/>
                <w:sz w:val="24"/>
              </w:rPr>
              <w:t>井下避灾线路图</w:t>
            </w:r>
          </w:p>
        </w:tc>
        <w:tc>
          <w:tcPr>
            <w:tcW w:w="1313" w:type="dxa"/>
            <w:noWrap w:val="0"/>
            <w:vAlign w:val="center"/>
          </w:tcPr>
          <w:p w14:paraId="27071A79">
            <w:pPr>
              <w:jc w:val="center"/>
              <w:rPr>
                <w:rFonts w:hint="eastAsia" w:ascii="宋体" w:hAnsi="宋体"/>
                <w:sz w:val="24"/>
              </w:rPr>
            </w:pPr>
            <w:r>
              <w:rPr>
                <w:rFonts w:hint="eastAsia" w:ascii="宋体" w:hAnsi="宋体"/>
                <w:sz w:val="24"/>
              </w:rPr>
              <w:t>1：2000</w:t>
            </w:r>
          </w:p>
        </w:tc>
        <w:tc>
          <w:tcPr>
            <w:tcW w:w="1444" w:type="dxa"/>
            <w:noWrap w:val="0"/>
            <w:vAlign w:val="center"/>
          </w:tcPr>
          <w:p w14:paraId="64C93EB8">
            <w:pPr>
              <w:jc w:val="center"/>
              <w:rPr>
                <w:rFonts w:hint="eastAsia" w:ascii="宋体" w:hAnsi="宋体"/>
                <w:sz w:val="24"/>
              </w:rPr>
            </w:pPr>
            <w:r>
              <w:rPr>
                <w:rFonts w:hint="eastAsia" w:ascii="宋体" w:hAnsi="宋体"/>
                <w:sz w:val="24"/>
              </w:rPr>
              <w:t>图8</w:t>
            </w:r>
          </w:p>
        </w:tc>
      </w:tr>
      <w:tr w14:paraId="252FB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4C2C2B38">
            <w:pPr>
              <w:jc w:val="center"/>
              <w:rPr>
                <w:rFonts w:hint="eastAsia" w:ascii="宋体" w:hAnsi="宋体"/>
                <w:sz w:val="24"/>
              </w:rPr>
            </w:pPr>
            <w:r>
              <w:rPr>
                <w:rFonts w:hint="eastAsia" w:ascii="宋体" w:hAnsi="宋体"/>
                <w:sz w:val="24"/>
              </w:rPr>
              <w:t>9</w:t>
            </w:r>
          </w:p>
        </w:tc>
        <w:tc>
          <w:tcPr>
            <w:tcW w:w="5434" w:type="dxa"/>
            <w:noWrap w:val="0"/>
            <w:vAlign w:val="center"/>
          </w:tcPr>
          <w:p w14:paraId="70D51D22">
            <w:pPr>
              <w:rPr>
                <w:rFonts w:hint="eastAsia" w:ascii="宋体" w:hAnsi="宋体"/>
                <w:sz w:val="24"/>
              </w:rPr>
            </w:pPr>
            <w:r>
              <w:rPr>
                <w:rFonts w:hint="eastAsia" w:ascii="宋体" w:hAnsi="宋体"/>
                <w:sz w:val="24"/>
              </w:rPr>
              <w:t>井下排水系统图</w:t>
            </w:r>
          </w:p>
        </w:tc>
        <w:tc>
          <w:tcPr>
            <w:tcW w:w="1313" w:type="dxa"/>
            <w:noWrap w:val="0"/>
            <w:vAlign w:val="center"/>
          </w:tcPr>
          <w:p w14:paraId="76E69CCC">
            <w:pPr>
              <w:jc w:val="center"/>
              <w:rPr>
                <w:rFonts w:ascii="宋体" w:hAnsi="宋体"/>
                <w:sz w:val="24"/>
              </w:rPr>
            </w:pPr>
            <w:r>
              <w:rPr>
                <w:rFonts w:ascii="宋体" w:hAnsi="宋体"/>
                <w:sz w:val="24"/>
              </w:rPr>
              <w:t>1:2000</w:t>
            </w:r>
          </w:p>
        </w:tc>
        <w:tc>
          <w:tcPr>
            <w:tcW w:w="1444" w:type="dxa"/>
            <w:noWrap w:val="0"/>
            <w:vAlign w:val="center"/>
          </w:tcPr>
          <w:p w14:paraId="529F7A14">
            <w:pPr>
              <w:jc w:val="center"/>
              <w:rPr>
                <w:rFonts w:hint="eastAsia" w:ascii="宋体" w:hAnsi="宋体"/>
                <w:sz w:val="24"/>
              </w:rPr>
            </w:pPr>
            <w:r>
              <w:rPr>
                <w:rFonts w:hint="eastAsia" w:ascii="宋体" w:hAnsi="宋体"/>
                <w:sz w:val="24"/>
              </w:rPr>
              <w:t>图9</w:t>
            </w:r>
          </w:p>
        </w:tc>
      </w:tr>
      <w:tr w14:paraId="7E057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5EE56614">
            <w:pPr>
              <w:jc w:val="center"/>
              <w:rPr>
                <w:rFonts w:hint="eastAsia" w:ascii="宋体" w:hAnsi="宋体"/>
                <w:sz w:val="24"/>
              </w:rPr>
            </w:pPr>
            <w:r>
              <w:rPr>
                <w:rFonts w:ascii="宋体" w:hAnsi="宋体"/>
                <w:sz w:val="24"/>
              </w:rPr>
              <w:t>1</w:t>
            </w:r>
            <w:r>
              <w:rPr>
                <w:rFonts w:hint="eastAsia" w:ascii="宋体" w:hAnsi="宋体"/>
                <w:sz w:val="24"/>
              </w:rPr>
              <w:t>0</w:t>
            </w:r>
          </w:p>
        </w:tc>
        <w:tc>
          <w:tcPr>
            <w:tcW w:w="5434" w:type="dxa"/>
            <w:noWrap w:val="0"/>
            <w:vAlign w:val="center"/>
          </w:tcPr>
          <w:p w14:paraId="63064030">
            <w:pPr>
              <w:jc w:val="left"/>
              <w:rPr>
                <w:rFonts w:hint="eastAsia" w:ascii="宋体" w:hAnsi="宋体"/>
                <w:sz w:val="24"/>
              </w:rPr>
            </w:pPr>
            <w:r>
              <w:rPr>
                <w:rFonts w:hint="eastAsia" w:ascii="宋体" w:hAnsi="宋体"/>
                <w:sz w:val="24"/>
              </w:rPr>
              <w:t>井下消防、防尘洒水系统布置图</w:t>
            </w:r>
          </w:p>
        </w:tc>
        <w:tc>
          <w:tcPr>
            <w:tcW w:w="1313" w:type="dxa"/>
            <w:noWrap w:val="0"/>
            <w:vAlign w:val="center"/>
          </w:tcPr>
          <w:p w14:paraId="5996F078">
            <w:pPr>
              <w:jc w:val="center"/>
              <w:rPr>
                <w:rFonts w:ascii="宋体" w:hAnsi="宋体"/>
                <w:sz w:val="24"/>
              </w:rPr>
            </w:pPr>
            <w:r>
              <w:rPr>
                <w:rFonts w:ascii="宋体" w:hAnsi="宋体"/>
                <w:sz w:val="24"/>
              </w:rPr>
              <w:t>1:2000</w:t>
            </w:r>
          </w:p>
        </w:tc>
        <w:tc>
          <w:tcPr>
            <w:tcW w:w="1444" w:type="dxa"/>
            <w:noWrap w:val="0"/>
            <w:vAlign w:val="center"/>
          </w:tcPr>
          <w:p w14:paraId="68C83CB2">
            <w:pPr>
              <w:jc w:val="center"/>
              <w:rPr>
                <w:rFonts w:hint="eastAsia" w:ascii="宋体" w:hAnsi="宋体"/>
                <w:sz w:val="24"/>
              </w:rPr>
            </w:pPr>
            <w:r>
              <w:rPr>
                <w:rFonts w:hint="eastAsia" w:ascii="宋体" w:hAnsi="宋体"/>
                <w:sz w:val="24"/>
              </w:rPr>
              <w:t>图10</w:t>
            </w:r>
          </w:p>
        </w:tc>
      </w:tr>
      <w:tr w14:paraId="66E0D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73C65668">
            <w:pPr>
              <w:jc w:val="center"/>
              <w:rPr>
                <w:rFonts w:hint="eastAsia" w:ascii="宋体" w:hAnsi="宋体"/>
                <w:sz w:val="24"/>
              </w:rPr>
            </w:pPr>
            <w:r>
              <w:rPr>
                <w:rFonts w:hint="eastAsia" w:ascii="宋体" w:hAnsi="宋体"/>
                <w:sz w:val="24"/>
              </w:rPr>
              <w:t>11</w:t>
            </w:r>
          </w:p>
        </w:tc>
        <w:tc>
          <w:tcPr>
            <w:tcW w:w="5434" w:type="dxa"/>
            <w:noWrap w:val="0"/>
            <w:vAlign w:val="center"/>
          </w:tcPr>
          <w:p w14:paraId="2B6EB6DE">
            <w:pPr>
              <w:jc w:val="left"/>
              <w:rPr>
                <w:rFonts w:hint="eastAsia" w:ascii="宋体" w:hAnsi="宋体"/>
                <w:sz w:val="24"/>
              </w:rPr>
            </w:pPr>
            <w:r>
              <w:rPr>
                <w:rFonts w:hint="eastAsia" w:ascii="宋体" w:hAnsi="宋体"/>
                <w:sz w:val="24"/>
              </w:rPr>
              <w:t>井下隔爆水棚布置平面图</w:t>
            </w:r>
          </w:p>
        </w:tc>
        <w:tc>
          <w:tcPr>
            <w:tcW w:w="1313" w:type="dxa"/>
            <w:noWrap w:val="0"/>
            <w:vAlign w:val="center"/>
          </w:tcPr>
          <w:p w14:paraId="511BAA51">
            <w:pPr>
              <w:jc w:val="center"/>
              <w:rPr>
                <w:rFonts w:hint="eastAsia" w:ascii="宋体" w:hAnsi="宋体"/>
                <w:sz w:val="24"/>
              </w:rPr>
            </w:pPr>
            <w:r>
              <w:rPr>
                <w:rFonts w:ascii="宋体" w:hAnsi="宋体"/>
                <w:sz w:val="24"/>
              </w:rPr>
              <w:t>1:2000</w:t>
            </w:r>
          </w:p>
        </w:tc>
        <w:tc>
          <w:tcPr>
            <w:tcW w:w="1444" w:type="dxa"/>
            <w:noWrap w:val="0"/>
            <w:vAlign w:val="center"/>
          </w:tcPr>
          <w:p w14:paraId="09E5212C">
            <w:pPr>
              <w:jc w:val="center"/>
              <w:rPr>
                <w:rFonts w:hint="eastAsia" w:ascii="宋体" w:hAnsi="宋体"/>
                <w:sz w:val="24"/>
              </w:rPr>
            </w:pPr>
            <w:r>
              <w:rPr>
                <w:rFonts w:hint="eastAsia" w:ascii="宋体" w:hAnsi="宋体"/>
                <w:sz w:val="24"/>
              </w:rPr>
              <w:t>图11</w:t>
            </w:r>
          </w:p>
        </w:tc>
      </w:tr>
      <w:tr w14:paraId="4B6DB9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14DFC8A7">
            <w:pPr>
              <w:jc w:val="center"/>
              <w:rPr>
                <w:rFonts w:hint="eastAsia" w:ascii="宋体" w:hAnsi="宋体"/>
                <w:sz w:val="24"/>
              </w:rPr>
            </w:pPr>
            <w:r>
              <w:rPr>
                <w:rFonts w:hint="eastAsia" w:ascii="宋体" w:hAnsi="宋体"/>
                <w:sz w:val="24"/>
              </w:rPr>
              <w:t>12</w:t>
            </w:r>
          </w:p>
        </w:tc>
        <w:tc>
          <w:tcPr>
            <w:tcW w:w="5434" w:type="dxa"/>
            <w:noWrap w:val="0"/>
            <w:vAlign w:val="center"/>
          </w:tcPr>
          <w:p w14:paraId="053E647D">
            <w:pPr>
              <w:rPr>
                <w:rFonts w:hint="eastAsia" w:ascii="宋体" w:hAnsi="宋体"/>
                <w:sz w:val="24"/>
              </w:rPr>
            </w:pPr>
            <w:r>
              <w:rPr>
                <w:rFonts w:hint="eastAsia" w:ascii="宋体" w:hAnsi="宋体"/>
                <w:sz w:val="24"/>
              </w:rPr>
              <w:t>瓦斯抽放系统图</w:t>
            </w:r>
          </w:p>
        </w:tc>
        <w:tc>
          <w:tcPr>
            <w:tcW w:w="1313" w:type="dxa"/>
            <w:noWrap w:val="0"/>
            <w:vAlign w:val="center"/>
          </w:tcPr>
          <w:p w14:paraId="63B777AE">
            <w:pPr>
              <w:jc w:val="center"/>
              <w:rPr>
                <w:rFonts w:hint="eastAsia" w:ascii="宋体" w:hAnsi="宋体"/>
                <w:sz w:val="24"/>
              </w:rPr>
            </w:pPr>
            <w:r>
              <w:rPr>
                <w:rFonts w:ascii="宋体" w:hAnsi="宋体"/>
                <w:sz w:val="24"/>
              </w:rPr>
              <w:t>1:2000</w:t>
            </w:r>
          </w:p>
        </w:tc>
        <w:tc>
          <w:tcPr>
            <w:tcW w:w="1444" w:type="dxa"/>
            <w:noWrap w:val="0"/>
            <w:vAlign w:val="center"/>
          </w:tcPr>
          <w:p w14:paraId="66E0B383">
            <w:pPr>
              <w:jc w:val="center"/>
              <w:rPr>
                <w:rFonts w:hint="eastAsia" w:ascii="宋体" w:hAnsi="宋体"/>
                <w:sz w:val="24"/>
              </w:rPr>
            </w:pPr>
            <w:r>
              <w:rPr>
                <w:rFonts w:hint="eastAsia" w:ascii="宋体" w:hAnsi="宋体"/>
                <w:sz w:val="24"/>
              </w:rPr>
              <w:t>图12</w:t>
            </w:r>
          </w:p>
        </w:tc>
      </w:tr>
      <w:tr w14:paraId="65E68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3E1DE2C7">
            <w:pPr>
              <w:jc w:val="center"/>
              <w:rPr>
                <w:rFonts w:hint="eastAsia" w:ascii="宋体" w:hAnsi="宋体"/>
                <w:sz w:val="24"/>
              </w:rPr>
            </w:pPr>
            <w:r>
              <w:rPr>
                <w:rFonts w:hint="eastAsia" w:ascii="宋体" w:hAnsi="宋体"/>
                <w:sz w:val="24"/>
              </w:rPr>
              <w:t>13</w:t>
            </w:r>
          </w:p>
        </w:tc>
        <w:tc>
          <w:tcPr>
            <w:tcW w:w="5434" w:type="dxa"/>
            <w:noWrap w:val="0"/>
            <w:vAlign w:val="center"/>
          </w:tcPr>
          <w:p w14:paraId="27109E98">
            <w:pPr>
              <w:rPr>
                <w:rFonts w:hint="eastAsia" w:ascii="宋体" w:hAnsi="宋体"/>
                <w:sz w:val="24"/>
              </w:rPr>
            </w:pPr>
            <w:r>
              <w:rPr>
                <w:rFonts w:hint="eastAsia" w:ascii="宋体" w:hAnsi="宋体"/>
                <w:sz w:val="24"/>
              </w:rPr>
              <w:t>压风管路及压风自救系统布置图</w:t>
            </w:r>
          </w:p>
        </w:tc>
        <w:tc>
          <w:tcPr>
            <w:tcW w:w="1313" w:type="dxa"/>
            <w:noWrap w:val="0"/>
            <w:vAlign w:val="center"/>
          </w:tcPr>
          <w:p w14:paraId="4A1F898C">
            <w:pPr>
              <w:jc w:val="center"/>
              <w:rPr>
                <w:rFonts w:hint="eastAsia" w:ascii="宋体" w:hAnsi="宋体"/>
                <w:sz w:val="24"/>
              </w:rPr>
            </w:pPr>
            <w:r>
              <w:rPr>
                <w:rFonts w:hint="eastAsia" w:ascii="宋体" w:hAnsi="宋体"/>
                <w:sz w:val="24"/>
              </w:rPr>
              <w:t>1：2000</w:t>
            </w:r>
          </w:p>
        </w:tc>
        <w:tc>
          <w:tcPr>
            <w:tcW w:w="1444" w:type="dxa"/>
            <w:noWrap w:val="0"/>
            <w:vAlign w:val="center"/>
          </w:tcPr>
          <w:p w14:paraId="272E1738">
            <w:pPr>
              <w:jc w:val="center"/>
              <w:rPr>
                <w:rFonts w:hint="eastAsia" w:ascii="宋体" w:hAnsi="宋体"/>
                <w:sz w:val="24"/>
              </w:rPr>
            </w:pPr>
            <w:r>
              <w:rPr>
                <w:rFonts w:hint="eastAsia" w:ascii="宋体" w:hAnsi="宋体"/>
                <w:sz w:val="24"/>
              </w:rPr>
              <w:t>图13</w:t>
            </w:r>
          </w:p>
        </w:tc>
      </w:tr>
      <w:tr w14:paraId="17A4E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1D51A6EE">
            <w:pPr>
              <w:jc w:val="center"/>
              <w:rPr>
                <w:rFonts w:hint="eastAsia" w:ascii="宋体" w:hAnsi="宋体"/>
                <w:sz w:val="24"/>
              </w:rPr>
            </w:pPr>
            <w:r>
              <w:rPr>
                <w:rFonts w:hint="eastAsia" w:ascii="宋体" w:hAnsi="宋体"/>
                <w:sz w:val="24"/>
              </w:rPr>
              <w:t>14</w:t>
            </w:r>
          </w:p>
        </w:tc>
        <w:tc>
          <w:tcPr>
            <w:tcW w:w="5434" w:type="dxa"/>
            <w:noWrap w:val="0"/>
            <w:vAlign w:val="center"/>
          </w:tcPr>
          <w:p w14:paraId="1A4D3E3C">
            <w:pPr>
              <w:jc w:val="left"/>
              <w:rPr>
                <w:rFonts w:hint="eastAsia" w:ascii="宋体" w:hAnsi="宋体"/>
                <w:sz w:val="24"/>
              </w:rPr>
            </w:pPr>
            <w:r>
              <w:rPr>
                <w:rFonts w:hint="eastAsia" w:ascii="宋体" w:hAnsi="宋体"/>
                <w:sz w:val="24"/>
              </w:rPr>
              <w:t>井上、下通信系统图</w:t>
            </w:r>
          </w:p>
        </w:tc>
        <w:tc>
          <w:tcPr>
            <w:tcW w:w="1313" w:type="dxa"/>
            <w:noWrap w:val="0"/>
            <w:vAlign w:val="center"/>
          </w:tcPr>
          <w:p w14:paraId="63D43745">
            <w:pPr>
              <w:jc w:val="center"/>
              <w:rPr>
                <w:rFonts w:hint="eastAsia" w:ascii="宋体" w:hAnsi="宋体"/>
                <w:sz w:val="24"/>
              </w:rPr>
            </w:pPr>
            <w:r>
              <w:rPr>
                <w:rFonts w:hint="eastAsia" w:ascii="宋体" w:hAnsi="宋体"/>
                <w:sz w:val="24"/>
              </w:rPr>
              <w:t>示意图</w:t>
            </w:r>
          </w:p>
        </w:tc>
        <w:tc>
          <w:tcPr>
            <w:tcW w:w="1444" w:type="dxa"/>
            <w:noWrap w:val="0"/>
            <w:vAlign w:val="center"/>
          </w:tcPr>
          <w:p w14:paraId="1E55B26F">
            <w:pPr>
              <w:jc w:val="center"/>
              <w:rPr>
                <w:rFonts w:hint="eastAsia" w:ascii="宋体" w:hAnsi="宋体"/>
                <w:sz w:val="24"/>
              </w:rPr>
            </w:pPr>
            <w:r>
              <w:rPr>
                <w:rFonts w:hint="eastAsia" w:ascii="宋体" w:hAnsi="宋体"/>
                <w:sz w:val="24"/>
              </w:rPr>
              <w:t>图14</w:t>
            </w:r>
          </w:p>
        </w:tc>
      </w:tr>
      <w:tr w14:paraId="6307D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vMerge w:val="restart"/>
            <w:noWrap w:val="0"/>
            <w:vAlign w:val="center"/>
          </w:tcPr>
          <w:p w14:paraId="697C1623">
            <w:pPr>
              <w:jc w:val="center"/>
              <w:rPr>
                <w:rFonts w:hint="eastAsia" w:ascii="宋体" w:hAnsi="宋体"/>
                <w:sz w:val="24"/>
              </w:rPr>
            </w:pPr>
            <w:r>
              <w:rPr>
                <w:rFonts w:hint="eastAsia" w:ascii="宋体" w:hAnsi="宋体"/>
                <w:sz w:val="24"/>
              </w:rPr>
              <w:t>15</w:t>
            </w:r>
          </w:p>
        </w:tc>
        <w:tc>
          <w:tcPr>
            <w:tcW w:w="5434" w:type="dxa"/>
            <w:noWrap w:val="0"/>
            <w:vAlign w:val="center"/>
          </w:tcPr>
          <w:p w14:paraId="0DD38BF6">
            <w:pPr>
              <w:jc w:val="left"/>
              <w:rPr>
                <w:rFonts w:hint="eastAsia" w:ascii="宋体" w:hAnsi="宋体"/>
                <w:sz w:val="24"/>
              </w:rPr>
            </w:pPr>
            <w:r>
              <w:rPr>
                <w:rFonts w:hint="eastAsia" w:ascii="宋体" w:hAnsi="宋体"/>
                <w:sz w:val="24"/>
              </w:rPr>
              <w:t>地面供电系统图</w:t>
            </w:r>
          </w:p>
        </w:tc>
        <w:tc>
          <w:tcPr>
            <w:tcW w:w="1313" w:type="dxa"/>
            <w:noWrap w:val="0"/>
            <w:vAlign w:val="center"/>
          </w:tcPr>
          <w:p w14:paraId="3DB01273">
            <w:pPr>
              <w:jc w:val="center"/>
              <w:rPr>
                <w:rFonts w:hint="eastAsia" w:ascii="宋体" w:hAnsi="宋体"/>
                <w:sz w:val="24"/>
              </w:rPr>
            </w:pPr>
            <w:r>
              <w:rPr>
                <w:rFonts w:hint="eastAsia" w:ascii="宋体" w:hAnsi="宋体"/>
                <w:sz w:val="24"/>
              </w:rPr>
              <w:t>示意图</w:t>
            </w:r>
          </w:p>
        </w:tc>
        <w:tc>
          <w:tcPr>
            <w:tcW w:w="1444" w:type="dxa"/>
            <w:noWrap w:val="0"/>
            <w:vAlign w:val="center"/>
          </w:tcPr>
          <w:p w14:paraId="5E93D0EE">
            <w:pPr>
              <w:jc w:val="center"/>
              <w:rPr>
                <w:rFonts w:hint="eastAsia" w:ascii="宋体" w:hAnsi="宋体"/>
                <w:sz w:val="24"/>
              </w:rPr>
            </w:pPr>
            <w:r>
              <w:rPr>
                <w:rFonts w:hint="eastAsia" w:ascii="宋体" w:hAnsi="宋体"/>
                <w:sz w:val="24"/>
              </w:rPr>
              <w:t>图15－1</w:t>
            </w:r>
          </w:p>
        </w:tc>
      </w:tr>
      <w:tr w14:paraId="411B7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vMerge w:val="continue"/>
            <w:noWrap w:val="0"/>
            <w:vAlign w:val="center"/>
          </w:tcPr>
          <w:p w14:paraId="7771CD73">
            <w:pPr>
              <w:jc w:val="center"/>
              <w:rPr>
                <w:rFonts w:hint="eastAsia" w:ascii="宋体" w:hAnsi="宋体"/>
                <w:sz w:val="24"/>
              </w:rPr>
            </w:pPr>
          </w:p>
        </w:tc>
        <w:tc>
          <w:tcPr>
            <w:tcW w:w="5434" w:type="dxa"/>
            <w:noWrap w:val="0"/>
            <w:vAlign w:val="center"/>
          </w:tcPr>
          <w:p w14:paraId="33CDD12D">
            <w:pPr>
              <w:jc w:val="left"/>
              <w:rPr>
                <w:rFonts w:hint="eastAsia" w:ascii="宋体" w:hAnsi="宋体"/>
                <w:sz w:val="24"/>
              </w:rPr>
            </w:pPr>
            <w:r>
              <w:rPr>
                <w:rFonts w:hint="eastAsia" w:ascii="宋体" w:hAnsi="宋体"/>
                <w:sz w:val="24"/>
              </w:rPr>
              <w:t>井下供电系统图</w:t>
            </w:r>
          </w:p>
        </w:tc>
        <w:tc>
          <w:tcPr>
            <w:tcW w:w="1313" w:type="dxa"/>
            <w:noWrap w:val="0"/>
            <w:vAlign w:val="center"/>
          </w:tcPr>
          <w:p w14:paraId="19E56466">
            <w:pPr>
              <w:jc w:val="center"/>
              <w:rPr>
                <w:rFonts w:hint="eastAsia" w:ascii="宋体" w:hAnsi="宋体"/>
                <w:sz w:val="24"/>
              </w:rPr>
            </w:pPr>
            <w:r>
              <w:rPr>
                <w:rFonts w:hint="eastAsia" w:ascii="宋体" w:hAnsi="宋体"/>
                <w:sz w:val="24"/>
              </w:rPr>
              <w:t>示意图</w:t>
            </w:r>
          </w:p>
        </w:tc>
        <w:tc>
          <w:tcPr>
            <w:tcW w:w="1444" w:type="dxa"/>
            <w:noWrap w:val="0"/>
            <w:vAlign w:val="center"/>
          </w:tcPr>
          <w:p w14:paraId="296EC083">
            <w:pPr>
              <w:jc w:val="center"/>
              <w:rPr>
                <w:rFonts w:hint="eastAsia" w:ascii="宋体" w:hAnsi="宋体"/>
                <w:sz w:val="24"/>
              </w:rPr>
            </w:pPr>
            <w:r>
              <w:rPr>
                <w:rFonts w:hint="eastAsia" w:ascii="宋体" w:hAnsi="宋体"/>
                <w:sz w:val="24"/>
              </w:rPr>
              <w:t>图15－2</w:t>
            </w:r>
          </w:p>
        </w:tc>
      </w:tr>
      <w:tr w14:paraId="2CE4D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62D24B9A">
            <w:pPr>
              <w:jc w:val="center"/>
              <w:rPr>
                <w:rFonts w:hint="eastAsia" w:ascii="宋体" w:hAnsi="宋体"/>
                <w:sz w:val="24"/>
              </w:rPr>
            </w:pPr>
            <w:r>
              <w:rPr>
                <w:rFonts w:hint="eastAsia" w:ascii="宋体" w:hAnsi="宋体"/>
                <w:sz w:val="24"/>
              </w:rPr>
              <w:t>16</w:t>
            </w:r>
          </w:p>
        </w:tc>
        <w:tc>
          <w:tcPr>
            <w:tcW w:w="5434" w:type="dxa"/>
            <w:noWrap w:val="0"/>
            <w:vAlign w:val="center"/>
          </w:tcPr>
          <w:p w14:paraId="4FD29F68">
            <w:pPr>
              <w:jc w:val="left"/>
              <w:rPr>
                <w:rFonts w:hint="eastAsia" w:ascii="宋体" w:hAnsi="宋体"/>
                <w:sz w:val="24"/>
              </w:rPr>
            </w:pPr>
            <w:r>
              <w:rPr>
                <w:rFonts w:hint="eastAsia" w:ascii="宋体" w:hAnsi="宋体"/>
                <w:sz w:val="24"/>
              </w:rPr>
              <w:t>开拓系统及采区采掘工程平面图</w:t>
            </w:r>
          </w:p>
        </w:tc>
        <w:tc>
          <w:tcPr>
            <w:tcW w:w="1313" w:type="dxa"/>
            <w:noWrap w:val="0"/>
            <w:vAlign w:val="center"/>
          </w:tcPr>
          <w:p w14:paraId="29ED295A">
            <w:pPr>
              <w:jc w:val="center"/>
              <w:rPr>
                <w:rFonts w:hint="eastAsia" w:ascii="宋体" w:hAnsi="宋体"/>
                <w:sz w:val="24"/>
              </w:rPr>
            </w:pPr>
            <w:r>
              <w:rPr>
                <w:rFonts w:hint="eastAsia" w:ascii="宋体" w:hAnsi="宋体"/>
                <w:sz w:val="24"/>
              </w:rPr>
              <w:t>1：1000</w:t>
            </w:r>
          </w:p>
        </w:tc>
        <w:tc>
          <w:tcPr>
            <w:tcW w:w="1444" w:type="dxa"/>
            <w:noWrap w:val="0"/>
            <w:vAlign w:val="center"/>
          </w:tcPr>
          <w:p w14:paraId="0E0610C0">
            <w:pPr>
              <w:jc w:val="center"/>
              <w:rPr>
                <w:rFonts w:hint="eastAsia" w:ascii="宋体" w:hAnsi="宋体"/>
                <w:sz w:val="24"/>
              </w:rPr>
            </w:pPr>
            <w:r>
              <w:rPr>
                <w:rFonts w:hint="eastAsia" w:ascii="宋体" w:hAnsi="宋体"/>
                <w:sz w:val="24"/>
              </w:rPr>
              <w:t>图16</w:t>
            </w:r>
          </w:p>
        </w:tc>
      </w:tr>
      <w:tr w14:paraId="78378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25" w:hRule="atLeast"/>
          <w:jc w:val="center"/>
        </w:trPr>
        <w:tc>
          <w:tcPr>
            <w:tcW w:w="864" w:type="dxa"/>
            <w:noWrap w:val="0"/>
            <w:vAlign w:val="center"/>
          </w:tcPr>
          <w:p w14:paraId="2C293899">
            <w:pPr>
              <w:jc w:val="center"/>
              <w:rPr>
                <w:rFonts w:hint="eastAsia" w:ascii="宋体" w:hAnsi="宋体"/>
                <w:sz w:val="24"/>
              </w:rPr>
            </w:pPr>
            <w:r>
              <w:rPr>
                <w:rFonts w:hint="eastAsia" w:ascii="宋体" w:hAnsi="宋体"/>
                <w:sz w:val="24"/>
              </w:rPr>
              <w:t>17</w:t>
            </w:r>
          </w:p>
        </w:tc>
        <w:tc>
          <w:tcPr>
            <w:tcW w:w="5434" w:type="dxa"/>
            <w:noWrap w:val="0"/>
            <w:vAlign w:val="center"/>
          </w:tcPr>
          <w:p w14:paraId="443F9601">
            <w:pPr>
              <w:jc w:val="left"/>
              <w:rPr>
                <w:rFonts w:hint="eastAsia" w:ascii="宋体" w:hAnsi="宋体"/>
                <w:sz w:val="24"/>
              </w:rPr>
            </w:pPr>
            <w:r>
              <w:rPr>
                <w:rFonts w:hint="eastAsia" w:ascii="宋体" w:hAnsi="宋体"/>
                <w:sz w:val="24"/>
              </w:rPr>
              <w:t>整合前后矿区范围关系及各矿采掘工程平面图</w:t>
            </w:r>
          </w:p>
        </w:tc>
        <w:tc>
          <w:tcPr>
            <w:tcW w:w="1313" w:type="dxa"/>
            <w:noWrap w:val="0"/>
            <w:vAlign w:val="center"/>
          </w:tcPr>
          <w:p w14:paraId="217D30DC">
            <w:pPr>
              <w:jc w:val="center"/>
              <w:rPr>
                <w:rFonts w:hint="eastAsia" w:ascii="宋体" w:hAnsi="宋体"/>
                <w:sz w:val="24"/>
              </w:rPr>
            </w:pPr>
            <w:r>
              <w:rPr>
                <w:rFonts w:hint="eastAsia" w:ascii="宋体" w:hAnsi="宋体"/>
                <w:sz w:val="24"/>
              </w:rPr>
              <w:t>1：2000</w:t>
            </w:r>
          </w:p>
        </w:tc>
        <w:tc>
          <w:tcPr>
            <w:tcW w:w="1444" w:type="dxa"/>
            <w:noWrap w:val="0"/>
            <w:vAlign w:val="center"/>
          </w:tcPr>
          <w:p w14:paraId="6951C936">
            <w:pPr>
              <w:jc w:val="center"/>
              <w:rPr>
                <w:rFonts w:hint="eastAsia" w:ascii="宋体" w:hAnsi="宋体"/>
                <w:sz w:val="24"/>
              </w:rPr>
            </w:pPr>
            <w:r>
              <w:rPr>
                <w:rFonts w:hint="eastAsia" w:ascii="宋体" w:hAnsi="宋体"/>
                <w:sz w:val="24"/>
              </w:rPr>
              <w:t>图17</w:t>
            </w:r>
          </w:p>
        </w:tc>
      </w:tr>
    </w:tbl>
    <w:p w14:paraId="51862B36">
      <w:pPr>
        <w:jc w:val="center"/>
        <w:rPr>
          <w:rFonts w:hint="eastAsia"/>
          <w:sz w:val="32"/>
          <w:szCs w:val="32"/>
        </w:rPr>
      </w:pPr>
    </w:p>
    <w:p w14:paraId="5B389959">
      <w:pPr>
        <w:jc w:val="center"/>
        <w:rPr>
          <w:rFonts w:hint="eastAsia"/>
          <w:sz w:val="32"/>
          <w:szCs w:val="32"/>
        </w:rPr>
      </w:pPr>
    </w:p>
    <w:p w14:paraId="49EA41B9">
      <w:pPr>
        <w:jc w:val="center"/>
        <w:rPr>
          <w:rFonts w:hint="eastAsia"/>
          <w:sz w:val="32"/>
          <w:szCs w:val="32"/>
        </w:rPr>
      </w:pPr>
    </w:p>
    <w:p w14:paraId="26047240">
      <w:pPr>
        <w:jc w:val="center"/>
        <w:rPr>
          <w:rFonts w:hint="eastAsia"/>
          <w:sz w:val="32"/>
          <w:szCs w:val="32"/>
        </w:rPr>
      </w:pPr>
    </w:p>
    <w:p w14:paraId="447E9FBC">
      <w:pPr>
        <w:jc w:val="center"/>
        <w:rPr>
          <w:rFonts w:hint="eastAsia"/>
          <w:sz w:val="32"/>
          <w:szCs w:val="32"/>
        </w:rPr>
      </w:pPr>
    </w:p>
    <w:p w14:paraId="6C47ADA1">
      <w:pPr>
        <w:jc w:val="center"/>
        <w:rPr>
          <w:rFonts w:hint="eastAsia"/>
          <w:sz w:val="32"/>
          <w:szCs w:val="32"/>
        </w:rPr>
      </w:pPr>
    </w:p>
    <w:p w14:paraId="6638F1CE">
      <w:pPr>
        <w:jc w:val="center"/>
        <w:rPr>
          <w:rFonts w:hint="eastAsia"/>
          <w:sz w:val="32"/>
          <w:szCs w:val="32"/>
        </w:rPr>
      </w:pPr>
    </w:p>
    <w:p w14:paraId="1DC47665">
      <w:pPr>
        <w:jc w:val="center"/>
        <w:rPr>
          <w:rFonts w:hint="eastAsia"/>
          <w:sz w:val="32"/>
          <w:szCs w:val="32"/>
        </w:rPr>
      </w:pPr>
    </w:p>
    <w:p w14:paraId="4A3AA8E6">
      <w:pPr>
        <w:jc w:val="center"/>
        <w:rPr>
          <w:rFonts w:hint="eastAsia"/>
          <w:sz w:val="32"/>
          <w:szCs w:val="32"/>
        </w:rPr>
      </w:pPr>
    </w:p>
    <w:p w14:paraId="49153916">
      <w:pPr>
        <w:jc w:val="center"/>
        <w:rPr>
          <w:rFonts w:hint="eastAsia"/>
          <w:sz w:val="32"/>
          <w:szCs w:val="32"/>
        </w:rPr>
      </w:pPr>
    </w:p>
    <w:p w14:paraId="64C37631">
      <w:pPr>
        <w:jc w:val="center"/>
        <w:rPr>
          <w:rFonts w:hint="eastAsia"/>
          <w:sz w:val="32"/>
          <w:szCs w:val="32"/>
        </w:rPr>
      </w:pPr>
    </w:p>
    <w:p w14:paraId="529D42F9">
      <w:pPr>
        <w:jc w:val="center"/>
        <w:rPr>
          <w:rFonts w:hint="eastAsia"/>
          <w:sz w:val="32"/>
          <w:szCs w:val="32"/>
        </w:rPr>
      </w:pPr>
    </w:p>
    <w:p w14:paraId="5C2F93F9">
      <w:pPr>
        <w:jc w:val="center"/>
        <w:rPr>
          <w:rFonts w:hint="eastAsia"/>
          <w:sz w:val="32"/>
          <w:szCs w:val="32"/>
        </w:rPr>
      </w:pPr>
    </w:p>
    <w:p w14:paraId="6EF2CD86">
      <w:pPr>
        <w:jc w:val="center"/>
        <w:rPr>
          <w:rFonts w:hint="eastAsia"/>
          <w:sz w:val="32"/>
          <w:szCs w:val="32"/>
        </w:rPr>
        <w:sectPr>
          <w:pgSz w:w="11906" w:h="16838"/>
          <w:pgMar w:top="1304" w:right="1418" w:bottom="1304" w:left="1418" w:header="1021" w:footer="992" w:gutter="0"/>
          <w:pgNumType w:start="0"/>
          <w:cols w:space="720" w:num="1"/>
          <w:titlePg/>
          <w:docGrid w:linePitch="312" w:charSpace="0"/>
        </w:sectPr>
      </w:pPr>
    </w:p>
    <w:p w14:paraId="7D933D82">
      <w:pPr>
        <w:pStyle w:val="2"/>
        <w:keepLines/>
        <w:spacing w:before="240" w:after="120" w:line="360" w:lineRule="auto"/>
        <w:ind w:firstLine="0" w:firstLineChars="0"/>
        <w:rPr>
          <w:rFonts w:hint="eastAsia" w:ascii="黑体" w:eastAsia="黑体"/>
          <w:b/>
          <w:color w:val="000000"/>
          <w:kern w:val="44"/>
          <w:sz w:val="36"/>
          <w:szCs w:val="36"/>
        </w:rPr>
      </w:pPr>
      <w:bookmarkStart w:id="2" w:name="_Toc246661619"/>
      <w:bookmarkStart w:id="3" w:name="_Toc234440539"/>
      <w:bookmarkStart w:id="4" w:name="_Toc242905925"/>
      <w:bookmarkStart w:id="5" w:name="_Toc260915250"/>
      <w:bookmarkStart w:id="6" w:name="_Toc259438185"/>
      <w:bookmarkStart w:id="7" w:name="_Toc173869153"/>
      <w:r>
        <w:rPr>
          <w:rFonts w:hint="eastAsia" w:ascii="黑体" w:eastAsia="黑体"/>
          <w:b/>
          <w:color w:val="000000"/>
          <w:kern w:val="44"/>
          <w:sz w:val="36"/>
          <w:szCs w:val="36"/>
        </w:rPr>
        <w:t>前　　言</w:t>
      </w:r>
      <w:bookmarkEnd w:id="2"/>
      <w:bookmarkEnd w:id="3"/>
      <w:bookmarkEnd w:id="4"/>
      <w:bookmarkEnd w:id="5"/>
      <w:bookmarkEnd w:id="6"/>
    </w:p>
    <w:p w14:paraId="4EE5DFDB">
      <w:pPr>
        <w:pStyle w:val="3"/>
        <w:keepLines/>
        <w:spacing w:before="240" w:after="240" w:line="360" w:lineRule="auto"/>
        <w:ind w:firstLine="0" w:firstLineChars="0"/>
        <w:jc w:val="center"/>
        <w:rPr>
          <w:rFonts w:hint="eastAsia"/>
          <w:b/>
          <w:color w:val="000000"/>
          <w:sz w:val="32"/>
          <w:szCs w:val="32"/>
        </w:rPr>
      </w:pPr>
      <w:bookmarkStart w:id="8" w:name="_Toc199729434"/>
      <w:bookmarkStart w:id="9" w:name="_Toc535045336"/>
      <w:bookmarkStart w:id="10" w:name="_Toc260915251"/>
      <w:bookmarkStart w:id="11" w:name="_Toc246661620"/>
      <w:r>
        <w:rPr>
          <w:rFonts w:hint="eastAsia"/>
          <w:b/>
          <w:color w:val="000000"/>
          <w:sz w:val="32"/>
          <w:szCs w:val="32"/>
        </w:rPr>
        <w:t>第一节　　项目背景</w:t>
      </w:r>
      <w:bookmarkEnd w:id="8"/>
      <w:bookmarkEnd w:id="9"/>
      <w:bookmarkEnd w:id="10"/>
      <w:bookmarkEnd w:id="11"/>
    </w:p>
    <w:p w14:paraId="05EF270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一、项目名称、所在位置及隶属关系</w:t>
      </w:r>
    </w:p>
    <w:p w14:paraId="5C4213A9">
      <w:pPr>
        <w:spacing w:line="360" w:lineRule="auto"/>
        <w:ind w:firstLine="480" w:firstLineChars="200"/>
        <w:rPr>
          <w:rFonts w:hint="eastAsia" w:ascii="宋体" w:hAnsi="宋体"/>
          <w:sz w:val="24"/>
        </w:rPr>
      </w:pPr>
      <w:r>
        <w:rPr>
          <w:rFonts w:hint="eastAsia" w:ascii="宋体" w:hAnsi="宋体"/>
          <w:sz w:val="24"/>
        </w:rPr>
        <w:t>水城县玉舍大坪煤矿位于水城县玉舍乡境内，属水城县玉舍乡所辖。</w:t>
      </w:r>
      <w:r>
        <w:rPr>
          <w:rFonts w:ascii="宋体" w:hAnsi="宋体"/>
          <w:sz w:val="24"/>
        </w:rPr>
        <w:t>位于六盘水市中心城区</w:t>
      </w:r>
      <w:r>
        <w:rPr>
          <w:rFonts w:hint="eastAsia" w:ascii="宋体" w:hAnsi="宋体"/>
          <w:sz w:val="24"/>
        </w:rPr>
        <w:t>的南部，</w:t>
      </w:r>
      <w:r>
        <w:rPr>
          <w:rFonts w:ascii="宋体" w:hAnsi="宋体"/>
          <w:sz w:val="24"/>
        </w:rPr>
        <w:t>直距约2</w:t>
      </w:r>
      <w:r>
        <w:rPr>
          <w:rFonts w:hint="eastAsia" w:ascii="宋体" w:hAnsi="宋体"/>
          <w:sz w:val="24"/>
        </w:rPr>
        <w:t>0</w:t>
      </w:r>
      <w:r>
        <w:rPr>
          <w:rFonts w:ascii="宋体" w:hAnsi="宋体"/>
          <w:sz w:val="24"/>
        </w:rPr>
        <w:t>km，</w:t>
      </w:r>
      <w:r>
        <w:rPr>
          <w:rFonts w:hint="eastAsia" w:ascii="宋体" w:hAnsi="宋体"/>
          <w:sz w:val="24"/>
        </w:rPr>
        <w:t>从乡政府到矿区约2</w:t>
      </w:r>
      <w:r>
        <w:rPr>
          <w:rFonts w:ascii="宋体" w:hAnsi="宋体"/>
          <w:sz w:val="24"/>
        </w:rPr>
        <w:t>km</w:t>
      </w:r>
      <w:r>
        <w:rPr>
          <w:rFonts w:hint="eastAsia" w:ascii="宋体" w:hAnsi="宋体"/>
          <w:sz w:val="24"/>
        </w:rPr>
        <w:t>，矿山</w:t>
      </w:r>
      <w:r>
        <w:rPr>
          <w:rFonts w:ascii="宋体" w:hAnsi="宋体"/>
          <w:sz w:val="24"/>
        </w:rPr>
        <w:t>距六盘水火车站约</w:t>
      </w:r>
      <w:r>
        <w:rPr>
          <w:rFonts w:hint="eastAsia" w:ascii="宋体" w:hAnsi="宋体"/>
          <w:sz w:val="24"/>
        </w:rPr>
        <w:t>25</w:t>
      </w:r>
      <w:r>
        <w:rPr>
          <w:rFonts w:ascii="宋体" w:hAnsi="宋体"/>
          <w:sz w:val="24"/>
        </w:rPr>
        <w:t>km，</w:t>
      </w:r>
      <w:r>
        <w:rPr>
          <w:rFonts w:hint="eastAsia" w:ascii="宋体" w:hAnsi="宋体"/>
          <w:sz w:val="24"/>
        </w:rPr>
        <w:t>距水（城）—红（果）铁路玉舍</w:t>
      </w:r>
      <w:r>
        <w:rPr>
          <w:rFonts w:ascii="宋体" w:hAnsi="宋体"/>
          <w:sz w:val="24"/>
        </w:rPr>
        <w:t>火车站</w:t>
      </w:r>
      <w:r>
        <w:rPr>
          <w:rFonts w:hint="eastAsia" w:ascii="宋体" w:hAnsi="宋体"/>
          <w:sz w:val="24"/>
        </w:rPr>
        <w:t>约7</w:t>
      </w:r>
      <w:r>
        <w:rPr>
          <w:rFonts w:ascii="宋体" w:hAnsi="宋体"/>
          <w:sz w:val="24"/>
        </w:rPr>
        <w:t>km</w:t>
      </w:r>
      <w:r>
        <w:rPr>
          <w:rFonts w:hint="eastAsia" w:ascii="宋体" w:hAnsi="宋体"/>
          <w:sz w:val="24"/>
        </w:rPr>
        <w:t>。矿区</w:t>
      </w:r>
      <w:r>
        <w:rPr>
          <w:rFonts w:ascii="宋体" w:hAnsi="宋体"/>
          <w:sz w:val="24"/>
        </w:rPr>
        <w:t>地理坐标为：</w:t>
      </w:r>
      <w:r>
        <w:rPr>
          <w:rFonts w:hint="eastAsia" w:ascii="宋体" w:hAnsi="宋体"/>
          <w:sz w:val="24"/>
        </w:rPr>
        <w:t>东经104°44′18″～104°45′22″,北纬26°30′20″～26°31′07″。</w:t>
      </w:r>
    </w:p>
    <w:p w14:paraId="21CD8E8E">
      <w:pPr>
        <w:spacing w:line="360" w:lineRule="auto"/>
        <w:ind w:firstLine="480" w:firstLineChars="200"/>
        <w:rPr>
          <w:rFonts w:hint="eastAsia" w:ascii="宋体" w:hAnsi="宋体"/>
          <w:sz w:val="24"/>
        </w:rPr>
      </w:pPr>
      <w:r>
        <w:rPr>
          <w:rFonts w:hint="eastAsia" w:ascii="宋体" w:hAnsi="宋体"/>
          <w:sz w:val="24"/>
        </w:rPr>
        <w:t>水城县玉舍大坪煤矿为私营合伙企业，行业管理隶属水城县煤炭工业管理局。</w:t>
      </w:r>
    </w:p>
    <w:p w14:paraId="1EFC8B6D">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二、煤矿项目法人组建情况</w:t>
      </w:r>
    </w:p>
    <w:p w14:paraId="085033AE">
      <w:pPr>
        <w:spacing w:line="360" w:lineRule="auto"/>
        <w:ind w:firstLine="480" w:firstLineChars="200"/>
        <w:rPr>
          <w:rFonts w:hint="eastAsia" w:ascii="宋体" w:hAnsi="宋体"/>
          <w:sz w:val="24"/>
        </w:rPr>
      </w:pPr>
      <w:r>
        <w:rPr>
          <w:rFonts w:hint="eastAsia" w:ascii="宋体" w:hAnsi="宋体"/>
          <w:sz w:val="24"/>
        </w:rPr>
        <w:t>水城县玉舍大坪煤矿为一整合矿井</w:t>
      </w:r>
      <w:r>
        <w:rPr>
          <w:rFonts w:ascii="宋体" w:hAnsi="宋体"/>
          <w:sz w:val="24"/>
        </w:rPr>
        <w:t>，</w:t>
      </w:r>
      <w:r>
        <w:rPr>
          <w:rFonts w:hint="eastAsia" w:ascii="宋体" w:hAnsi="宋体"/>
          <w:sz w:val="24"/>
        </w:rPr>
        <w:t>该矿于2008年12月获得</w:t>
      </w:r>
      <w:r>
        <w:rPr>
          <w:rFonts w:ascii="宋体" w:hAnsi="宋体"/>
          <w:color w:val="000000"/>
          <w:sz w:val="24"/>
        </w:rPr>
        <w:t>贵州省国土资源厅颁发的</w:t>
      </w:r>
      <w:r>
        <w:rPr>
          <w:rFonts w:hint="eastAsia" w:ascii="宋体" w:hAnsi="宋体"/>
          <w:color w:val="000000"/>
          <w:sz w:val="24"/>
        </w:rPr>
        <w:t>水城县玉舍大坪煤矿《</w:t>
      </w:r>
      <w:r>
        <w:rPr>
          <w:rFonts w:ascii="宋体" w:hAnsi="宋体"/>
          <w:color w:val="000000"/>
          <w:sz w:val="24"/>
        </w:rPr>
        <w:t>采矿许可证</w:t>
      </w:r>
      <w:r>
        <w:rPr>
          <w:rFonts w:hint="eastAsia" w:ascii="宋体" w:hAnsi="宋体"/>
          <w:color w:val="000000"/>
          <w:sz w:val="24"/>
        </w:rPr>
        <w:t>》</w:t>
      </w:r>
      <w:r>
        <w:rPr>
          <w:rFonts w:ascii="宋体" w:hAnsi="宋体"/>
          <w:color w:val="000000"/>
          <w:sz w:val="24"/>
        </w:rPr>
        <w:t>（证号：</w:t>
      </w:r>
      <w:r>
        <w:rPr>
          <w:rFonts w:ascii="宋体" w:hAnsi="宋体"/>
          <w:sz w:val="24"/>
        </w:rPr>
        <w:t>5200000831143</w:t>
      </w:r>
      <w:r>
        <w:rPr>
          <w:rFonts w:ascii="宋体" w:hAnsi="宋体"/>
          <w:color w:val="000000"/>
          <w:kern w:val="10"/>
          <w:sz w:val="24"/>
        </w:rPr>
        <w:t>）</w:t>
      </w:r>
      <w:r>
        <w:rPr>
          <w:rFonts w:hint="eastAsia" w:ascii="宋体" w:hAnsi="宋体"/>
          <w:color w:val="000000"/>
          <w:kern w:val="10"/>
          <w:sz w:val="24"/>
        </w:rPr>
        <w:t>，</w:t>
      </w:r>
      <w:r>
        <w:rPr>
          <w:rFonts w:hint="eastAsia" w:ascii="宋体" w:hAnsi="宋体"/>
          <w:sz w:val="24"/>
        </w:rPr>
        <w:t>有效期10年，采矿权</w:t>
      </w:r>
      <w:r>
        <w:rPr>
          <w:rFonts w:ascii="宋体" w:hAnsi="宋体"/>
          <w:sz w:val="24"/>
        </w:rPr>
        <w:t>人</w:t>
      </w:r>
      <w:r>
        <w:rPr>
          <w:rFonts w:hint="eastAsia" w:ascii="宋体" w:hAnsi="宋体"/>
          <w:sz w:val="24"/>
        </w:rPr>
        <w:t>：水城县玉舍大坪煤矿（单明国）</w:t>
      </w:r>
      <w:r>
        <w:rPr>
          <w:rFonts w:ascii="宋体" w:hAnsi="宋体"/>
          <w:sz w:val="24"/>
        </w:rPr>
        <w:t>，</w:t>
      </w:r>
      <w:r>
        <w:rPr>
          <w:rFonts w:hint="eastAsia" w:ascii="宋体" w:hAnsi="宋体"/>
          <w:sz w:val="24"/>
        </w:rPr>
        <w:t>地址：水城县，矿山名称：水城县玉舍大坪煤矿，</w:t>
      </w:r>
      <w:r>
        <w:rPr>
          <w:rFonts w:ascii="宋体" w:hAnsi="宋体"/>
          <w:sz w:val="24"/>
        </w:rPr>
        <w:t>企业性质</w:t>
      </w:r>
      <w:r>
        <w:rPr>
          <w:rFonts w:hint="eastAsia" w:ascii="宋体" w:hAnsi="宋体"/>
          <w:sz w:val="24"/>
        </w:rPr>
        <w:t>：</w:t>
      </w:r>
      <w:r>
        <w:rPr>
          <w:rFonts w:ascii="宋体" w:hAnsi="宋体"/>
          <w:sz w:val="24"/>
        </w:rPr>
        <w:t>私营合伙企业，开采矿种</w:t>
      </w:r>
      <w:r>
        <w:rPr>
          <w:rFonts w:hint="eastAsia" w:ascii="宋体" w:hAnsi="宋体"/>
          <w:sz w:val="24"/>
        </w:rPr>
        <w:t>：</w:t>
      </w:r>
      <w:r>
        <w:rPr>
          <w:rFonts w:ascii="宋体" w:hAnsi="宋体"/>
          <w:sz w:val="24"/>
        </w:rPr>
        <w:t>煤</w:t>
      </w:r>
      <w:r>
        <w:rPr>
          <w:rFonts w:hint="eastAsia" w:ascii="宋体" w:hAnsi="宋体"/>
          <w:sz w:val="24"/>
        </w:rPr>
        <w:t>，开采方式：地下开采。矿区</w:t>
      </w:r>
      <w:r>
        <w:rPr>
          <w:rFonts w:ascii="宋体" w:hAnsi="宋体"/>
          <w:sz w:val="24"/>
        </w:rPr>
        <w:t>采矿权范围由</w:t>
      </w:r>
      <w:r>
        <w:rPr>
          <w:rFonts w:hint="eastAsia" w:ascii="宋体" w:hAnsi="宋体"/>
          <w:sz w:val="24"/>
        </w:rPr>
        <w:t>9个拐点</w:t>
      </w:r>
      <w:r>
        <w:rPr>
          <w:rFonts w:ascii="宋体" w:hAnsi="宋体"/>
          <w:sz w:val="24"/>
        </w:rPr>
        <w:t>坐标圈定</w:t>
      </w:r>
      <w:r>
        <w:rPr>
          <w:rFonts w:hint="eastAsia" w:ascii="宋体" w:hAnsi="宋体"/>
          <w:sz w:val="24"/>
        </w:rPr>
        <w:t>，</w:t>
      </w:r>
      <w:r>
        <w:rPr>
          <w:rFonts w:ascii="宋体" w:hAnsi="宋体"/>
          <w:sz w:val="24"/>
        </w:rPr>
        <w:t>矿区面积</w:t>
      </w:r>
      <w:r>
        <w:rPr>
          <w:rFonts w:hint="eastAsia" w:ascii="宋体" w:hAnsi="宋体"/>
          <w:sz w:val="24"/>
        </w:rPr>
        <w:t>：1.2268km</w:t>
      </w:r>
      <w:r>
        <w:rPr>
          <w:rFonts w:ascii="宋体" w:hAnsi="宋体"/>
          <w:sz w:val="24"/>
          <w:vertAlign w:val="superscript"/>
        </w:rPr>
        <w:t>2</w:t>
      </w:r>
      <w:r>
        <w:rPr>
          <w:rFonts w:ascii="宋体" w:hAnsi="宋体"/>
          <w:sz w:val="24"/>
        </w:rPr>
        <w:t>，开采深度：</w:t>
      </w:r>
      <w:r>
        <w:rPr>
          <w:rFonts w:hint="eastAsia" w:ascii="宋体" w:hAnsi="宋体"/>
          <w:sz w:val="24"/>
        </w:rPr>
        <w:t>1450～2040m</w:t>
      </w:r>
      <w:r>
        <w:rPr>
          <w:rFonts w:ascii="宋体" w:hAnsi="宋体"/>
          <w:sz w:val="24"/>
        </w:rPr>
        <w:t>标高，</w:t>
      </w:r>
      <w:r>
        <w:rPr>
          <w:rFonts w:hint="eastAsia" w:ascii="宋体" w:hAnsi="宋体"/>
          <w:sz w:val="24"/>
        </w:rPr>
        <w:t>矿区走向长约1800m，倾向宽约700m，</w:t>
      </w:r>
      <w:r>
        <w:rPr>
          <w:rFonts w:ascii="宋体" w:hAnsi="宋体"/>
          <w:sz w:val="24"/>
        </w:rPr>
        <w:t>生产规模</w:t>
      </w:r>
      <w:r>
        <w:rPr>
          <w:rFonts w:hint="eastAsia" w:ascii="宋体" w:hAnsi="宋体"/>
          <w:sz w:val="24"/>
        </w:rPr>
        <w:t>：30万吨/年。本项目投资资金为企业自筹。</w:t>
      </w:r>
    </w:p>
    <w:p w14:paraId="145604B4">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三、设计编制依据</w:t>
      </w:r>
    </w:p>
    <w:p w14:paraId="7ACE1EC0">
      <w:pPr>
        <w:spacing w:line="360" w:lineRule="auto"/>
        <w:ind w:firstLine="480" w:firstLineChars="200"/>
        <w:jc w:val="left"/>
        <w:rPr>
          <w:rFonts w:hint="eastAsia" w:ascii="宋体" w:hAnsi="宋体"/>
          <w:sz w:val="24"/>
        </w:rPr>
      </w:pPr>
      <w:r>
        <w:rPr>
          <w:rFonts w:hint="eastAsia" w:ascii="宋体" w:hAnsi="宋体"/>
          <w:sz w:val="24"/>
        </w:rPr>
        <w:t>1、贵州省国土资源厅2007年8月颁发的水城县玉舍大坪煤矿《采矿许可证》(副本，证号：5200000711555)；</w:t>
      </w:r>
    </w:p>
    <w:p w14:paraId="4480AB6F">
      <w:pPr>
        <w:spacing w:line="360" w:lineRule="auto"/>
        <w:ind w:firstLine="480" w:firstLineChars="200"/>
        <w:jc w:val="left"/>
        <w:rPr>
          <w:rFonts w:hint="eastAsia" w:ascii="宋体" w:hAnsi="宋体"/>
          <w:sz w:val="24"/>
        </w:rPr>
      </w:pPr>
      <w:r>
        <w:rPr>
          <w:rFonts w:hint="eastAsia" w:ascii="宋体" w:hAnsi="宋体"/>
          <w:sz w:val="24"/>
        </w:rPr>
        <w:t>2、贵州省国土资源厅2008年12月颁发的水城县玉舍大坪煤矿《采矿许可证》(副本，证号：5200000831143)；</w:t>
      </w:r>
    </w:p>
    <w:p w14:paraId="4C21C2A3">
      <w:pPr>
        <w:spacing w:line="360" w:lineRule="auto"/>
        <w:ind w:firstLine="480" w:firstLineChars="200"/>
        <w:rPr>
          <w:rFonts w:hint="eastAsia" w:ascii="宋体" w:hAnsi="宋体"/>
          <w:sz w:val="24"/>
        </w:rPr>
      </w:pPr>
      <w:r>
        <w:rPr>
          <w:rFonts w:hint="eastAsia" w:ascii="宋体" w:hAnsi="宋体"/>
          <w:sz w:val="24"/>
        </w:rPr>
        <w:t>3、贵州省地矿局一一三地质大队2008年6月编制的《贵州省水城县玉舍大坪煤矿资源/储量核实报告》。</w:t>
      </w:r>
    </w:p>
    <w:p w14:paraId="58E3607A">
      <w:pPr>
        <w:spacing w:line="360" w:lineRule="auto"/>
        <w:ind w:firstLine="480" w:firstLineChars="200"/>
        <w:jc w:val="left"/>
        <w:rPr>
          <w:rFonts w:hint="eastAsia" w:ascii="宋体" w:hAnsi="宋体"/>
          <w:sz w:val="24"/>
        </w:rPr>
      </w:pPr>
      <w:r>
        <w:rPr>
          <w:rFonts w:hint="eastAsia" w:ascii="宋体" w:hAnsi="宋体"/>
          <w:sz w:val="24"/>
        </w:rPr>
        <w:t>4、贵州省国土资源厅（黔国土资储备字【2008】689号关于《贵州省水城县玉舍大坪煤矿资源/储量核实报告》矿产资源储量评审备案的证明文件；</w:t>
      </w:r>
    </w:p>
    <w:p w14:paraId="0960C072">
      <w:pPr>
        <w:spacing w:line="460" w:lineRule="exact"/>
        <w:ind w:firstLine="480" w:firstLineChars="200"/>
        <w:jc w:val="left"/>
        <w:rPr>
          <w:rFonts w:hint="eastAsia" w:ascii="宋体" w:hAnsi="宋体"/>
          <w:color w:val="FF0000"/>
          <w:sz w:val="24"/>
        </w:rPr>
      </w:pPr>
      <w:r>
        <w:rPr>
          <w:rFonts w:hint="eastAsia" w:ascii="宋体" w:hAnsi="宋体"/>
          <w:color w:val="FF0000"/>
          <w:sz w:val="24"/>
        </w:rPr>
        <w:t>5、贵州省国土资源勘测规划院（黔国土规划院储审字【2008】800号）《贵州省</w:t>
      </w:r>
      <w:r>
        <w:rPr>
          <w:rFonts w:hint="eastAsia" w:ascii="宋体" w:hAnsi="宋体"/>
          <w:sz w:val="24"/>
        </w:rPr>
        <w:t>水城县玉舍大坪煤矿</w:t>
      </w:r>
      <w:r>
        <w:rPr>
          <w:rFonts w:hint="eastAsia" w:ascii="宋体" w:hAnsi="宋体"/>
          <w:color w:val="FF0000"/>
          <w:sz w:val="24"/>
        </w:rPr>
        <w:t>资源/储量核实报告》矿产资源储量评审意见书；</w:t>
      </w:r>
    </w:p>
    <w:p w14:paraId="22780C52">
      <w:pPr>
        <w:spacing w:line="460" w:lineRule="exact"/>
        <w:ind w:firstLine="480" w:firstLineChars="200"/>
        <w:rPr>
          <w:rFonts w:hint="eastAsia" w:ascii="宋体" w:hAnsi="宋体"/>
          <w:kern w:val="10"/>
          <w:sz w:val="24"/>
        </w:rPr>
      </w:pPr>
      <w:r>
        <w:rPr>
          <w:rFonts w:hint="eastAsia" w:ascii="宋体" w:hAnsi="宋体"/>
          <w:sz w:val="24"/>
        </w:rPr>
        <w:t>6、贵州省煤炭管理局黔煤行管字[2007]67号《对六盘水市煤矿2006年度瓦斯等级鉴定报告的批复》</w:t>
      </w:r>
      <w:r>
        <w:rPr>
          <w:rFonts w:hint="eastAsia" w:ascii="宋体" w:hAnsi="宋体"/>
          <w:kern w:val="10"/>
          <w:sz w:val="24"/>
        </w:rPr>
        <w:t>；</w:t>
      </w:r>
    </w:p>
    <w:p w14:paraId="61C56E5F">
      <w:pPr>
        <w:spacing w:line="460" w:lineRule="exact"/>
        <w:ind w:firstLine="480" w:firstLineChars="200"/>
        <w:rPr>
          <w:rFonts w:hint="eastAsia" w:ascii="宋体" w:hAnsi="宋体"/>
          <w:kern w:val="10"/>
          <w:sz w:val="24"/>
        </w:rPr>
      </w:pPr>
      <w:r>
        <w:rPr>
          <w:rFonts w:hint="eastAsia" w:ascii="宋体" w:hAnsi="宋体"/>
          <w:kern w:val="10"/>
          <w:sz w:val="24"/>
        </w:rPr>
        <w:t>7、</w:t>
      </w:r>
      <w:r>
        <w:rPr>
          <w:rFonts w:hint="eastAsia" w:ascii="宋体" w:hAnsi="宋体"/>
          <w:sz w:val="24"/>
          <w:lang w:val="zh-CN"/>
        </w:rPr>
        <w:t>贵州省六枝工矿(集团)恒达设计有限公司实验室提供的《煤尘爆炸性鉴定报告》、《煤炭</w:t>
      </w:r>
      <w:r>
        <w:rPr>
          <w:rFonts w:hint="eastAsia" w:ascii="宋体" w:hAnsi="宋体"/>
          <w:sz w:val="24"/>
        </w:rPr>
        <w:t>自燃倾向性</w:t>
      </w:r>
      <w:r>
        <w:rPr>
          <w:rFonts w:hint="eastAsia" w:ascii="宋体" w:hAnsi="宋体"/>
          <w:sz w:val="24"/>
          <w:lang w:val="zh-CN"/>
        </w:rPr>
        <w:t>鉴定报告》</w:t>
      </w:r>
      <w:r>
        <w:rPr>
          <w:rFonts w:hint="eastAsia" w:ascii="宋体" w:hAnsi="宋体"/>
          <w:kern w:val="10"/>
          <w:sz w:val="24"/>
        </w:rPr>
        <w:t>。</w:t>
      </w:r>
    </w:p>
    <w:p w14:paraId="40F4A928">
      <w:pPr>
        <w:spacing w:line="460" w:lineRule="exact"/>
        <w:ind w:firstLine="480" w:firstLineChars="200"/>
        <w:rPr>
          <w:rFonts w:hint="eastAsia" w:ascii="宋体" w:hAnsi="宋体"/>
          <w:sz w:val="24"/>
        </w:rPr>
      </w:pPr>
      <w:r>
        <w:rPr>
          <w:rFonts w:hint="eastAsia" w:ascii="宋体" w:hAnsi="宋体"/>
          <w:kern w:val="10"/>
          <w:sz w:val="24"/>
        </w:rPr>
        <w:t>8、</w:t>
      </w:r>
      <w:r>
        <w:rPr>
          <w:rFonts w:hint="eastAsia" w:ascii="宋体" w:hAnsi="宋体"/>
          <w:sz w:val="24"/>
        </w:rPr>
        <w:t>贵州省煤炭管理局文件（黔煤规字【2008】456号）《关于对水城县玉舍大坪煤矿（整合）开采方案设计的批复》；</w:t>
      </w:r>
    </w:p>
    <w:p w14:paraId="4FBBBF14">
      <w:pPr>
        <w:spacing w:line="460" w:lineRule="exact"/>
        <w:ind w:firstLine="480" w:firstLineChars="200"/>
        <w:rPr>
          <w:rFonts w:hint="eastAsia" w:ascii="宋体" w:hAnsi="宋体"/>
          <w:sz w:val="24"/>
        </w:rPr>
      </w:pPr>
      <w:r>
        <w:rPr>
          <w:rFonts w:hint="eastAsia" w:ascii="宋体" w:hAnsi="宋体"/>
          <w:sz w:val="24"/>
        </w:rPr>
        <w:t>9、贵州煤矿安全监察局水城监察分局文件（黔煤安监水字【2008】246号）“关于对水城县玉舍大坪煤矿安全设施设计的批复”；</w:t>
      </w:r>
    </w:p>
    <w:p w14:paraId="279E2E7C">
      <w:pPr>
        <w:pStyle w:val="89"/>
        <w:tabs>
          <w:tab w:val="left" w:pos="4500"/>
        </w:tabs>
        <w:spacing w:line="460" w:lineRule="exact"/>
        <w:ind w:firstLine="480" w:firstLineChars="200"/>
        <w:rPr>
          <w:rFonts w:hint="eastAsia" w:hAnsi="宋体"/>
          <w:szCs w:val="24"/>
        </w:rPr>
      </w:pPr>
      <w:r>
        <w:rPr>
          <w:rFonts w:hint="eastAsia" w:hAnsi="宋体"/>
          <w:szCs w:val="24"/>
        </w:rPr>
        <w:t>10、水城县</w:t>
      </w:r>
      <w:r>
        <w:rPr>
          <w:rFonts w:hint="eastAsia" w:hAnsi="宋体"/>
        </w:rPr>
        <w:t>玉舍大坪</w:t>
      </w:r>
      <w:r>
        <w:rPr>
          <w:rFonts w:hint="eastAsia" w:hAnsi="宋体"/>
          <w:szCs w:val="24"/>
        </w:rPr>
        <w:t>煤矿与水城县供电局签定的供电协议；</w:t>
      </w:r>
    </w:p>
    <w:p w14:paraId="3793B531">
      <w:pPr>
        <w:pStyle w:val="89"/>
        <w:tabs>
          <w:tab w:val="left" w:pos="4500"/>
        </w:tabs>
        <w:spacing w:line="460" w:lineRule="exact"/>
        <w:ind w:firstLine="480" w:firstLineChars="200"/>
        <w:rPr>
          <w:rFonts w:hint="eastAsia" w:hAnsi="宋体"/>
          <w:szCs w:val="24"/>
        </w:rPr>
      </w:pPr>
      <w:r>
        <w:rPr>
          <w:rFonts w:hint="eastAsia" w:hAnsi="宋体"/>
          <w:szCs w:val="24"/>
        </w:rPr>
        <w:t>11、矿山救援技术服务协议书；</w:t>
      </w:r>
    </w:p>
    <w:p w14:paraId="17013E1F">
      <w:pPr>
        <w:spacing w:line="460" w:lineRule="exact"/>
        <w:ind w:firstLine="480" w:firstLineChars="200"/>
        <w:rPr>
          <w:rFonts w:hint="eastAsia" w:ascii="宋体" w:hAnsi="宋体"/>
          <w:sz w:val="24"/>
        </w:rPr>
      </w:pPr>
      <w:r>
        <w:rPr>
          <w:rFonts w:hint="eastAsia" w:ascii="宋体" w:hAnsi="宋体"/>
          <w:sz w:val="24"/>
        </w:rPr>
        <w:t>12、贵州省安全生产监督管理局、贵州煤矿安全监察局、贵州省煤炭管理局文件(黔安监管办字【2007】345号“关于加强煤矿建设项目煤与瓦斯突出防治工作的意见”；</w:t>
      </w:r>
    </w:p>
    <w:p w14:paraId="0910B03C">
      <w:pPr>
        <w:spacing w:line="460" w:lineRule="exact"/>
        <w:ind w:firstLine="480" w:firstLineChars="200"/>
        <w:rPr>
          <w:rFonts w:hint="eastAsia" w:ascii="宋体" w:hAnsi="宋体"/>
          <w:color w:val="000000"/>
          <w:sz w:val="24"/>
        </w:rPr>
      </w:pPr>
      <w:r>
        <w:rPr>
          <w:rFonts w:hint="eastAsia" w:ascii="宋体" w:hAnsi="宋体"/>
          <w:color w:val="000000"/>
          <w:sz w:val="24"/>
        </w:rPr>
        <w:t>13、水城县玉舍大坪煤矿（变更）提供的现有矿井有关资料；</w:t>
      </w:r>
    </w:p>
    <w:p w14:paraId="7C39C90C">
      <w:pPr>
        <w:spacing w:line="460" w:lineRule="exact"/>
        <w:ind w:firstLine="480" w:firstLineChars="200"/>
        <w:rPr>
          <w:rFonts w:hint="eastAsia" w:ascii="宋体" w:hAnsi="宋体"/>
          <w:color w:val="000000"/>
          <w:sz w:val="24"/>
        </w:rPr>
      </w:pPr>
      <w:r>
        <w:rPr>
          <w:rFonts w:hint="eastAsia" w:ascii="宋体" w:hAnsi="宋体"/>
          <w:color w:val="000000"/>
          <w:sz w:val="24"/>
        </w:rPr>
        <w:t>14、设计人员现场调查，收集了设计所用的相关资料；</w:t>
      </w:r>
    </w:p>
    <w:p w14:paraId="21F16021">
      <w:pPr>
        <w:spacing w:line="460" w:lineRule="exact"/>
        <w:ind w:firstLine="480" w:firstLineChars="200"/>
        <w:rPr>
          <w:rFonts w:hint="eastAsia" w:ascii="宋体" w:hAnsi="宋体"/>
          <w:color w:val="000000"/>
          <w:sz w:val="24"/>
        </w:rPr>
      </w:pPr>
      <w:r>
        <w:rPr>
          <w:rFonts w:hint="eastAsia" w:ascii="宋体" w:hAnsi="宋体"/>
          <w:color w:val="000000"/>
          <w:sz w:val="24"/>
        </w:rPr>
        <w:t>15、《煤炭工业小型矿井设计规范》（GB50399－2006）2006年版；</w:t>
      </w:r>
    </w:p>
    <w:p w14:paraId="2BF17B9D">
      <w:pPr>
        <w:spacing w:line="460" w:lineRule="exact"/>
        <w:ind w:firstLine="480" w:firstLineChars="200"/>
        <w:rPr>
          <w:rFonts w:hint="eastAsia" w:ascii="宋体" w:hAnsi="宋体"/>
          <w:color w:val="000000"/>
          <w:sz w:val="24"/>
        </w:rPr>
      </w:pPr>
      <w:r>
        <w:rPr>
          <w:rFonts w:hint="eastAsia" w:ascii="宋体" w:hAnsi="宋体"/>
          <w:color w:val="000000"/>
          <w:sz w:val="24"/>
        </w:rPr>
        <w:t>16、《中华人民共和国煤炭法》（1996.8）；</w:t>
      </w:r>
    </w:p>
    <w:p w14:paraId="522F9CB3">
      <w:pPr>
        <w:spacing w:line="460" w:lineRule="exact"/>
        <w:ind w:firstLine="480" w:firstLineChars="200"/>
        <w:rPr>
          <w:rFonts w:hint="eastAsia" w:ascii="宋体" w:hAnsi="宋体"/>
          <w:color w:val="000000"/>
          <w:sz w:val="24"/>
        </w:rPr>
      </w:pPr>
      <w:r>
        <w:rPr>
          <w:rFonts w:hint="eastAsia" w:ascii="宋体" w:hAnsi="宋体"/>
          <w:color w:val="000000"/>
          <w:sz w:val="24"/>
        </w:rPr>
        <w:t>17、《中华人民共和国安全生产法》（2002.6.29）；</w:t>
      </w:r>
    </w:p>
    <w:p w14:paraId="50E629BA">
      <w:pPr>
        <w:spacing w:line="460" w:lineRule="exact"/>
        <w:ind w:firstLine="480" w:firstLineChars="200"/>
        <w:rPr>
          <w:rFonts w:hint="eastAsia" w:ascii="宋体" w:hAnsi="宋体"/>
          <w:color w:val="000000"/>
          <w:sz w:val="24"/>
        </w:rPr>
      </w:pPr>
      <w:r>
        <w:rPr>
          <w:rFonts w:hint="eastAsia" w:ascii="宋体" w:hAnsi="宋体"/>
          <w:color w:val="000000"/>
          <w:sz w:val="24"/>
        </w:rPr>
        <w:t>18、《中华人民共和国矿山安全法》（1992.11.7）；</w:t>
      </w:r>
    </w:p>
    <w:p w14:paraId="66F107E5">
      <w:pPr>
        <w:spacing w:line="460" w:lineRule="exact"/>
        <w:ind w:firstLine="480" w:firstLineChars="200"/>
        <w:rPr>
          <w:rFonts w:hint="eastAsia" w:ascii="宋体" w:hAnsi="宋体"/>
          <w:color w:val="000000"/>
          <w:sz w:val="24"/>
        </w:rPr>
      </w:pPr>
      <w:r>
        <w:rPr>
          <w:rFonts w:hint="eastAsia" w:ascii="宋体" w:hAnsi="宋体"/>
          <w:color w:val="000000"/>
          <w:sz w:val="24"/>
        </w:rPr>
        <w:t>19、《建筑物、水体、铁路及主要井巷煤柱留设与压煤开采规程》；</w:t>
      </w:r>
    </w:p>
    <w:p w14:paraId="794730A2">
      <w:pPr>
        <w:spacing w:line="460" w:lineRule="exact"/>
        <w:ind w:firstLine="480" w:firstLineChars="200"/>
        <w:rPr>
          <w:rFonts w:hint="eastAsia" w:ascii="宋体" w:hAnsi="宋体"/>
          <w:color w:val="000000"/>
          <w:sz w:val="24"/>
        </w:rPr>
      </w:pPr>
      <w:r>
        <w:rPr>
          <w:rFonts w:hint="eastAsia" w:ascii="宋体" w:hAnsi="宋体"/>
          <w:color w:val="000000"/>
          <w:sz w:val="24"/>
        </w:rPr>
        <w:t>20、我国现行煤炭工业的其它有关规定、文件、规程、规范；</w:t>
      </w:r>
    </w:p>
    <w:p w14:paraId="2AA5DAE8">
      <w:pPr>
        <w:spacing w:line="460" w:lineRule="exact"/>
        <w:ind w:firstLine="480" w:firstLineChars="200"/>
        <w:rPr>
          <w:rFonts w:hint="eastAsia" w:ascii="宋体" w:hAnsi="宋体"/>
          <w:color w:val="000000"/>
          <w:sz w:val="24"/>
        </w:rPr>
      </w:pPr>
      <w:r>
        <w:rPr>
          <w:rFonts w:hint="eastAsia" w:ascii="宋体" w:hAnsi="宋体"/>
          <w:color w:val="000000"/>
          <w:sz w:val="24"/>
        </w:rPr>
        <w:t>21、《煤矿安全规程》（2010版）；</w:t>
      </w:r>
    </w:p>
    <w:p w14:paraId="558D41DB">
      <w:pPr>
        <w:spacing w:line="460" w:lineRule="exact"/>
        <w:ind w:firstLine="480" w:firstLineChars="200"/>
        <w:rPr>
          <w:rFonts w:hint="eastAsia" w:ascii="宋体" w:hAnsi="宋体"/>
          <w:color w:val="000000"/>
          <w:sz w:val="24"/>
          <w:u w:val="single"/>
        </w:rPr>
      </w:pPr>
      <w:r>
        <w:rPr>
          <w:rFonts w:hint="eastAsia" w:ascii="宋体" w:hAnsi="宋体"/>
          <w:color w:val="000000"/>
          <w:sz w:val="24"/>
          <w:u w:val="single"/>
        </w:rPr>
        <w:t>22、</w:t>
      </w:r>
      <w:r>
        <w:rPr>
          <w:rFonts w:hint="eastAsia" w:ascii="仿宋_GB2312"/>
          <w:sz w:val="24"/>
          <w:u w:val="single"/>
        </w:rPr>
        <w:t>《防治煤与瓦斯突出规定》</w:t>
      </w:r>
      <w:r>
        <w:rPr>
          <w:rFonts w:hint="eastAsia" w:ascii="宋体" w:hAnsi="宋体"/>
          <w:color w:val="000000"/>
          <w:sz w:val="24"/>
          <w:u w:val="single"/>
        </w:rPr>
        <w:t>（2009版）；</w:t>
      </w:r>
    </w:p>
    <w:p w14:paraId="49E77B06">
      <w:pPr>
        <w:spacing w:line="460" w:lineRule="exact"/>
        <w:ind w:firstLine="480" w:firstLineChars="200"/>
        <w:rPr>
          <w:rFonts w:hint="eastAsia" w:ascii="宋体" w:hAnsi="宋体"/>
          <w:color w:val="000000"/>
          <w:sz w:val="24"/>
          <w:u w:val="single"/>
        </w:rPr>
      </w:pPr>
      <w:r>
        <w:rPr>
          <w:rFonts w:hint="eastAsia" w:ascii="宋体" w:hAnsi="宋体"/>
          <w:color w:val="000000"/>
          <w:sz w:val="24"/>
          <w:u w:val="single"/>
        </w:rPr>
        <w:t>23、《煤矿防治水规定》（2009版）；</w:t>
      </w:r>
    </w:p>
    <w:p w14:paraId="4A0CDC44">
      <w:pPr>
        <w:pStyle w:val="3"/>
        <w:keepLines/>
        <w:spacing w:before="240" w:after="240" w:line="360" w:lineRule="auto"/>
        <w:ind w:firstLine="0" w:firstLineChars="0"/>
        <w:jc w:val="center"/>
        <w:rPr>
          <w:rFonts w:hint="eastAsia"/>
          <w:b/>
          <w:color w:val="000000"/>
          <w:sz w:val="32"/>
          <w:szCs w:val="32"/>
        </w:rPr>
      </w:pPr>
      <w:bookmarkStart w:id="12" w:name="_Toc199729435"/>
      <w:bookmarkStart w:id="13" w:name="_Toc535045337"/>
      <w:bookmarkStart w:id="14" w:name="_Toc246661621"/>
      <w:bookmarkStart w:id="15" w:name="_Toc260915252"/>
      <w:r>
        <w:rPr>
          <w:rFonts w:hint="eastAsia"/>
          <w:b/>
          <w:color w:val="000000"/>
          <w:sz w:val="32"/>
          <w:szCs w:val="32"/>
        </w:rPr>
        <w:t>第二节</w:t>
      </w:r>
      <w:bookmarkEnd w:id="12"/>
      <w:r>
        <w:rPr>
          <w:rFonts w:hint="eastAsia"/>
          <w:b/>
          <w:color w:val="000000"/>
          <w:sz w:val="32"/>
          <w:szCs w:val="32"/>
        </w:rPr>
        <w:t>　　项目变更</w:t>
      </w:r>
      <w:bookmarkEnd w:id="13"/>
      <w:bookmarkEnd w:id="14"/>
      <w:r>
        <w:rPr>
          <w:rFonts w:hint="eastAsia"/>
          <w:b/>
          <w:color w:val="000000"/>
          <w:sz w:val="32"/>
          <w:szCs w:val="32"/>
        </w:rPr>
        <w:t>主要内容</w:t>
      </w:r>
      <w:bookmarkEnd w:id="15"/>
    </w:p>
    <w:p w14:paraId="334EF766">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一、原设计主要内容</w:t>
      </w:r>
    </w:p>
    <w:p w14:paraId="52E385C6">
      <w:pPr>
        <w:spacing w:line="360" w:lineRule="auto"/>
        <w:ind w:firstLine="480" w:firstLineChars="200"/>
        <w:rPr>
          <w:rFonts w:hint="eastAsia" w:ascii="宋体" w:hAnsi="宋体"/>
          <w:sz w:val="24"/>
        </w:rPr>
      </w:pPr>
      <w:r>
        <w:rPr>
          <w:rFonts w:hint="eastAsia" w:ascii="宋体" w:hAnsi="宋体"/>
          <w:sz w:val="24"/>
        </w:rPr>
        <w:t>本次方案设计变更是在《水城县玉舍大坪煤矿（整合）开采方案设计》基础上进行的，原设计已经省煤炭管理局评审通过，并完成施工项目核准登记。</w:t>
      </w:r>
    </w:p>
    <w:p w14:paraId="502F51BC">
      <w:pPr>
        <w:pStyle w:val="89"/>
        <w:tabs>
          <w:tab w:val="left" w:pos="4500"/>
        </w:tabs>
        <w:ind w:firstLine="480" w:firstLineChars="200"/>
        <w:rPr>
          <w:rFonts w:hint="eastAsia" w:hAnsi="宋体"/>
          <w:szCs w:val="24"/>
        </w:rPr>
      </w:pPr>
      <w:r>
        <w:rPr>
          <w:rFonts w:hint="eastAsia" w:hAnsi="宋体"/>
          <w:szCs w:val="24"/>
        </w:rPr>
        <w:t>水城县玉舍大坪煤矿为一整合矿井，由水城县玉舍大坪煤矿（生产规模3万吨/年）、水城县玉舍华兴煤矿（生产规模3万吨/年）、水城县玉舍山林沟煤矿（生产规模3万吨/年）、水城县玉舍铜厂沟煤矿（生产规模3万吨/年）和水城宏盛矿业有限公司发达煤矿（生产规模3万吨/年）5个煤矿整合而成，于2008年1月编制完成《水城县玉舍大坪煤矿（整合）开采方案设计》，设计生产能力为15万吨/年，于2008年6月5日获得贵州省煤炭管理局文件（黔煤规字【2008】456号）《关于对水城县玉舍大坪煤矿（整合）开采方案设计的批复》。</w:t>
      </w:r>
    </w:p>
    <w:p w14:paraId="6D80BDC5">
      <w:pPr>
        <w:pStyle w:val="89"/>
        <w:tabs>
          <w:tab w:val="left" w:pos="4500"/>
        </w:tabs>
        <w:ind w:firstLine="480" w:firstLineChars="200"/>
        <w:rPr>
          <w:rFonts w:hint="eastAsia" w:hAnsi="宋体"/>
          <w:szCs w:val="24"/>
        </w:rPr>
      </w:pPr>
      <w:r>
        <w:rPr>
          <w:rFonts w:hint="eastAsia" w:hAnsi="宋体"/>
          <w:szCs w:val="24"/>
        </w:rPr>
        <w:t>原设计是在整合后的新矿界内进行的，井口及工业场地选择在井田南东面矿界附近地形较为平坦的坡地上，新掘主斜井，对原主斜井进行改造后作为副斜井使用，报废并关闭原副斜井及原1号风井，对2号风井进行改造后仍作为风井使用，采用斜井开拓。</w:t>
      </w:r>
    </w:p>
    <w:p w14:paraId="624DF5A4">
      <w:pPr>
        <w:spacing w:line="360" w:lineRule="auto"/>
        <w:ind w:firstLine="480" w:firstLineChars="200"/>
        <w:rPr>
          <w:rFonts w:hint="eastAsia" w:ascii="宋体" w:hAnsi="宋体"/>
          <w:sz w:val="24"/>
        </w:rPr>
      </w:pPr>
      <w:r>
        <w:rPr>
          <w:rFonts w:hint="eastAsia" w:ascii="宋体" w:hAnsi="宋体"/>
          <w:sz w:val="24"/>
        </w:rPr>
        <w:t>新掘主斜井，井口坐标：X=2933008.0，Y=35475037.0，Z=1979.00，方位角227°、倾角19°。主斜井井筒布置在K35-b煤层底板岩层中，一直延伸到+1760m水平标高，井筒长度为656m。对原主井进行改造后作为副井使用，井口坐标：X=2933012.0，Y=35475172.0，Z=1988，方位角222°，原井筒井口段有13m为平硐，13m处为变坡点，在方位不变情况下，以倾角16°向下施工，井筒长190m揭露K35-b煤层，揭露K35-b煤层后井筒沿K35-b煤层倾向布置。煤层段井筒倾角28°，井筒已布置到开采水平+1760m标高。方案对上述巷道进行维修、改造后利用，改造长度约565m。2号风井井口坐标：X=2933055.0，Y=35475150.0，Z=2010，方位角234°、倾角28°，井筒布置在K35-b煤层中，井筒已布置到开采水平+1760m标高。方案对上述巷道进行维修、改造后利用，改造长度约570m。</w:t>
      </w:r>
    </w:p>
    <w:p w14:paraId="1BB4A7F9">
      <w:pPr>
        <w:spacing w:line="360" w:lineRule="auto"/>
        <w:ind w:firstLine="480" w:firstLineChars="200"/>
        <w:rPr>
          <w:rFonts w:hint="eastAsia" w:ascii="宋体" w:hAnsi="宋体"/>
          <w:sz w:val="24"/>
        </w:rPr>
      </w:pPr>
      <w:r>
        <w:rPr>
          <w:rFonts w:hint="eastAsia" w:ascii="宋体" w:hAnsi="宋体"/>
          <w:sz w:val="24"/>
        </w:rPr>
        <w:t>矿井划分为两个采区开采。采区划分是以矿区中部的斜交F26逆断层为界，F26断层走向100-280度，倾向10度，倾角67-78度，落差70米，全长583米。将断层南东侧划为一采区，断层北西侧划为二采区。</w:t>
      </w:r>
    </w:p>
    <w:p w14:paraId="3E98E8EF">
      <w:pPr>
        <w:spacing w:line="360" w:lineRule="auto"/>
        <w:ind w:firstLine="480" w:firstLineChars="200"/>
        <w:rPr>
          <w:rFonts w:hint="eastAsia" w:ascii="宋体" w:hAnsi="宋体"/>
          <w:sz w:val="24"/>
        </w:rPr>
      </w:pPr>
      <w:r>
        <w:rPr>
          <w:rFonts w:hint="eastAsia" w:ascii="宋体" w:hAnsi="宋体"/>
          <w:sz w:val="24"/>
        </w:rPr>
        <w:t>本方案首先对一采区进行开采。开采二采区时，设计在+1760m标高在K35-b煤层底板布置井底运输大巷至二采区走向中部，作为二采区原煤运输的通道。对原铜厂沟煤矿的主平硐改造后作二采区回风井，对暗斜井进行改造后，作为二采区轨道上山使用。</w:t>
      </w:r>
    </w:p>
    <w:p w14:paraId="6D721786">
      <w:pPr>
        <w:spacing w:line="360" w:lineRule="auto"/>
        <w:ind w:firstLine="480" w:firstLineChars="200"/>
        <w:rPr>
          <w:rFonts w:hint="eastAsia" w:ascii="宋体" w:hAnsi="宋体"/>
          <w:sz w:val="24"/>
        </w:rPr>
      </w:pPr>
      <w:r>
        <w:rPr>
          <w:rFonts w:hint="eastAsia" w:ascii="宋体" w:hAnsi="宋体"/>
          <w:sz w:val="24"/>
        </w:rPr>
        <w:t>矿井可采煤层从下至上分别为K35-b、K18、K9、K1-b煤层，煤层层间距分别为47m、39m、28m，设计按区段从上至下依次进行开采，采用联合布置开采。</w:t>
      </w:r>
    </w:p>
    <w:p w14:paraId="622959C1">
      <w:pPr>
        <w:spacing w:line="360" w:lineRule="auto"/>
        <w:ind w:firstLine="480" w:firstLineChars="200"/>
        <w:rPr>
          <w:rFonts w:hint="eastAsia" w:ascii="宋体" w:hAnsi="宋体"/>
          <w:sz w:val="24"/>
        </w:rPr>
      </w:pPr>
      <w:r>
        <w:rPr>
          <w:rFonts w:hint="eastAsia" w:ascii="宋体" w:hAnsi="宋体"/>
          <w:sz w:val="24"/>
        </w:rPr>
        <w:t>移交生产时井巷工程量4873m，其中岩巷2378m。</w:t>
      </w:r>
    </w:p>
    <w:p w14:paraId="2FDCECCF">
      <w:pPr>
        <w:pStyle w:val="4"/>
        <w:keepLines/>
        <w:adjustRightInd w:val="0"/>
        <w:snapToGrid w:val="0"/>
        <w:spacing w:before="240" w:after="240" w:line="360" w:lineRule="auto"/>
        <w:ind w:firstLine="562" w:firstLineChars="200"/>
        <w:jc w:val="both"/>
        <w:rPr>
          <w:rFonts w:hint="eastAsia"/>
          <w:b/>
          <w:color w:val="000000"/>
          <w:kern w:val="0"/>
          <w:szCs w:val="20"/>
        </w:rPr>
      </w:pPr>
      <w:bookmarkStart w:id="16" w:name="_Toc234440541"/>
      <w:bookmarkStart w:id="17" w:name="_Toc242905927"/>
      <w:r>
        <w:rPr>
          <w:rFonts w:hint="eastAsia"/>
          <w:b/>
          <w:color w:val="000000"/>
          <w:kern w:val="0"/>
          <w:szCs w:val="20"/>
        </w:rPr>
        <w:t>二、矿井开采现状</w:t>
      </w:r>
      <w:bookmarkEnd w:id="16"/>
      <w:bookmarkEnd w:id="17"/>
    </w:p>
    <w:p w14:paraId="7839B078">
      <w:pPr>
        <w:pStyle w:val="89"/>
        <w:tabs>
          <w:tab w:val="left" w:pos="4500"/>
        </w:tabs>
        <w:ind w:firstLine="480" w:firstLineChars="200"/>
        <w:rPr>
          <w:rFonts w:hint="eastAsia" w:hAnsi="宋体"/>
          <w:color w:val="auto"/>
          <w:szCs w:val="24"/>
        </w:rPr>
      </w:pPr>
      <w:r>
        <w:rPr>
          <w:rFonts w:hint="eastAsia" w:hAnsi="宋体"/>
          <w:color w:val="auto"/>
          <w:szCs w:val="24"/>
        </w:rPr>
        <w:t>水城县玉舍大坪煤矿为一整合矿井，由水城县玉舍大坪煤矿（生产规模3万吨/年）、水城县玉舍华兴煤矿（生产规模3万吨/年）、水城县玉舍山林沟煤矿（生产规模3万吨/年）、水城县玉舍铜厂沟煤矿（生产规模3万吨/年）和水城宏盛矿业有限公司发达煤矿（生产规模3万吨/年）5个煤矿整合而成，原5个矿井均为生产矿井，</w:t>
      </w:r>
      <w:r>
        <w:rPr>
          <w:rFonts w:hint="eastAsia" w:hAnsi="宋体"/>
          <w:color w:val="auto"/>
        </w:rPr>
        <w:t>均</w:t>
      </w:r>
      <w:r>
        <w:rPr>
          <w:rFonts w:hint="eastAsia" w:hAnsi="宋体"/>
          <w:color w:val="auto"/>
          <w:szCs w:val="24"/>
        </w:rPr>
        <w:t>采用炮采工艺，走向长壁后退式采煤法，机械运输。根据业主反应，原发达煤矿、铜厂沟煤矿主要对K1-b、K9、K18煤层进行了开采，其他煤层未进行开采，目前K1-b、K9、K18煤层+1904m标高以上已全部采空；原华兴煤矿、山林沟煤矿、大坪煤矿主要开采K1-b、K13、K18、K26、K35-b煤层，目前K1-b、K13、K18、K26、K35-b煤层+1904m标高以上已全部采空，K3、K9、K10煤层由于煤层较薄，不具备开采条件，因此，矿井未对K3、K9、K10煤层进行开采，采空</w:t>
      </w:r>
      <w:r>
        <w:rPr>
          <w:rFonts w:hAnsi="宋体"/>
          <w:color w:val="auto"/>
          <w:szCs w:val="24"/>
        </w:rPr>
        <w:t>资源量为</w:t>
      </w:r>
      <w:r>
        <w:rPr>
          <w:rFonts w:hint="eastAsia" w:hAnsi="宋体"/>
          <w:color w:val="auto"/>
          <w:szCs w:val="24"/>
        </w:rPr>
        <w:t>343.1</w:t>
      </w:r>
      <w:r>
        <w:rPr>
          <w:rFonts w:hAnsi="宋体"/>
          <w:color w:val="auto"/>
          <w:szCs w:val="24"/>
        </w:rPr>
        <w:t>万吨</w:t>
      </w:r>
      <w:r>
        <w:rPr>
          <w:rFonts w:hint="eastAsia" w:hAnsi="宋体"/>
          <w:color w:val="auto"/>
          <w:szCs w:val="24"/>
        </w:rPr>
        <w:t>，采空范围详见图2 开拓系统平面图、图3 开拓系统剖面图。</w:t>
      </w:r>
    </w:p>
    <w:p w14:paraId="3E7AB42B">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三、项目进展简介</w:t>
      </w:r>
    </w:p>
    <w:p w14:paraId="69F80954">
      <w:pPr>
        <w:pStyle w:val="89"/>
        <w:tabs>
          <w:tab w:val="left" w:pos="4500"/>
        </w:tabs>
        <w:ind w:firstLine="480" w:firstLineChars="200"/>
        <w:rPr>
          <w:rFonts w:hint="eastAsia" w:hAnsi="宋体"/>
        </w:rPr>
      </w:pPr>
      <w:r>
        <w:rPr>
          <w:rFonts w:hint="eastAsia" w:hAnsi="宋体"/>
        </w:rPr>
        <w:t>本矿于2008年6月编制完成《</w:t>
      </w:r>
      <w:r>
        <w:rPr>
          <w:rFonts w:hint="eastAsia" w:hAnsi="宋体"/>
          <w:szCs w:val="24"/>
        </w:rPr>
        <w:t>水城县玉舍大坪煤矿安全设施设计</w:t>
      </w:r>
      <w:r>
        <w:rPr>
          <w:rFonts w:hint="eastAsia" w:hAnsi="宋体"/>
        </w:rPr>
        <w:t>》，于2008年7月获得</w:t>
      </w:r>
      <w:r>
        <w:rPr>
          <w:rFonts w:hint="eastAsia" w:hAnsi="宋体"/>
          <w:szCs w:val="24"/>
        </w:rPr>
        <w:t>贵州煤矿安全监察局水城监察分局文件（黔煤安监水字【200</w:t>
      </w:r>
      <w:r>
        <w:rPr>
          <w:rFonts w:hint="eastAsia" w:hAnsi="宋体"/>
        </w:rPr>
        <w:t>8</w:t>
      </w:r>
      <w:r>
        <w:rPr>
          <w:rFonts w:hint="eastAsia" w:hAnsi="宋体"/>
          <w:szCs w:val="24"/>
        </w:rPr>
        <w:t>】</w:t>
      </w:r>
      <w:r>
        <w:rPr>
          <w:rFonts w:hint="eastAsia" w:hAnsi="宋体"/>
        </w:rPr>
        <w:t>246</w:t>
      </w:r>
      <w:r>
        <w:rPr>
          <w:rFonts w:hint="eastAsia" w:hAnsi="宋体"/>
          <w:szCs w:val="24"/>
        </w:rPr>
        <w:t>号）“关于对水城县</w:t>
      </w:r>
      <w:r>
        <w:rPr>
          <w:rFonts w:hint="eastAsia" w:hAnsi="宋体"/>
        </w:rPr>
        <w:t>玉舍大坪</w:t>
      </w:r>
      <w:r>
        <w:rPr>
          <w:rFonts w:hint="eastAsia" w:hAnsi="宋体"/>
          <w:szCs w:val="24"/>
        </w:rPr>
        <w:t>煤矿</w:t>
      </w:r>
      <w:r>
        <w:rPr>
          <w:rFonts w:hint="eastAsia" w:hAnsi="宋体"/>
        </w:rPr>
        <w:t>安全设施设计</w:t>
      </w:r>
      <w:r>
        <w:rPr>
          <w:rFonts w:hint="eastAsia" w:hAnsi="宋体"/>
          <w:szCs w:val="24"/>
        </w:rPr>
        <w:t>的</w:t>
      </w:r>
      <w:r>
        <w:rPr>
          <w:rFonts w:hint="eastAsia" w:hAnsi="宋体"/>
        </w:rPr>
        <w:t>批复”。</w:t>
      </w:r>
    </w:p>
    <w:p w14:paraId="21EBE201">
      <w:pPr>
        <w:pStyle w:val="89"/>
        <w:tabs>
          <w:tab w:val="left" w:pos="4500"/>
        </w:tabs>
        <w:ind w:firstLine="480" w:firstLineChars="200"/>
        <w:rPr>
          <w:rFonts w:hint="eastAsia" w:hAnsi="宋体"/>
        </w:rPr>
      </w:pPr>
      <w:r>
        <w:rPr>
          <w:rFonts w:hint="eastAsia" w:hAnsi="宋体"/>
        </w:rPr>
        <w:t>矿井获得施工资格后并未按原设计施工，而是对新主斜井井筒参数进行了调整之后方开始施工，目前矿井一采区开拓系统已形成，首采工作面部份石门已形成，矿井井巷施工情况详见</w:t>
      </w:r>
      <w:r>
        <w:rPr>
          <w:rFonts w:hint="eastAsia" w:hAnsi="宋体"/>
          <w:b/>
        </w:rPr>
        <w:t>图2 开拓系统平面图、图16 开拓系统及采区采掘工程平面图</w:t>
      </w:r>
      <w:r>
        <w:rPr>
          <w:rFonts w:hint="eastAsia" w:hAnsi="宋体"/>
        </w:rPr>
        <w:t>。</w:t>
      </w:r>
    </w:p>
    <w:p w14:paraId="430E5157">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四、项目变更的主要原因</w:t>
      </w:r>
    </w:p>
    <w:p w14:paraId="094E44CA">
      <w:pPr>
        <w:pStyle w:val="89"/>
        <w:tabs>
          <w:tab w:val="left" w:pos="4500"/>
        </w:tabs>
        <w:ind w:firstLine="480" w:firstLineChars="200"/>
        <w:rPr>
          <w:rFonts w:hint="eastAsia" w:hAnsi="宋体"/>
          <w:szCs w:val="24"/>
        </w:rPr>
      </w:pPr>
      <w:r>
        <w:rPr>
          <w:rFonts w:hint="eastAsia" w:hAnsi="宋体"/>
          <w:szCs w:val="24"/>
        </w:rPr>
        <w:t>水城县玉舍大坪煤矿</w:t>
      </w:r>
      <w:r>
        <w:rPr>
          <w:rFonts w:hint="eastAsia" w:hAnsi="宋体"/>
        </w:rPr>
        <w:t>为一整合矿井，为了矿井发展，矿井根据贵州省国土资源厅2008年12月颁发的《采矿许可证》</w:t>
      </w:r>
      <w:r>
        <w:rPr>
          <w:rFonts w:hint="eastAsia" w:hAnsi="宋体"/>
          <w:szCs w:val="24"/>
        </w:rPr>
        <w:t>，请</w:t>
      </w:r>
      <w:r>
        <w:rPr>
          <w:rFonts w:hint="eastAsia" w:hAnsi="宋体"/>
        </w:rPr>
        <w:t>贵州省地矿局一一三地质大队于2008年6月编制完成《贵州省水城县玉舍大坪煤矿资源/储量核实报告》</w:t>
      </w:r>
      <w:r>
        <w:rPr>
          <w:rFonts w:hint="eastAsia" w:hAnsi="宋体"/>
          <w:szCs w:val="24"/>
        </w:rPr>
        <w:t>，并</w:t>
      </w:r>
      <w:r>
        <w:rPr>
          <w:rFonts w:hint="eastAsia" w:hAnsi="宋体"/>
        </w:rPr>
        <w:t>2008年7月21日获得贵州省国土资源厅（黔国土资储备字【2008】689号）矿产资源储量评审备案证明</w:t>
      </w:r>
      <w:r>
        <w:rPr>
          <w:rFonts w:hint="eastAsia" w:hAnsi="宋体"/>
          <w:szCs w:val="24"/>
        </w:rPr>
        <w:t>文件，由于下述原因矿井需进行开采方案设计变更：</w:t>
      </w:r>
    </w:p>
    <w:p w14:paraId="7511D4D5">
      <w:pPr>
        <w:pStyle w:val="89"/>
        <w:tabs>
          <w:tab w:val="left" w:pos="4500"/>
        </w:tabs>
        <w:ind w:firstLine="480" w:firstLineChars="200"/>
        <w:rPr>
          <w:rFonts w:hint="eastAsia" w:hAnsi="宋体"/>
          <w:szCs w:val="24"/>
        </w:rPr>
      </w:pPr>
      <w:r>
        <w:rPr>
          <w:rFonts w:hint="eastAsia" w:hAnsi="宋体"/>
          <w:szCs w:val="24"/>
        </w:rPr>
        <w:t>1、矿井准采标高发生变化，矿区范围内可采煤层层数增加；</w:t>
      </w:r>
    </w:p>
    <w:p w14:paraId="71FD98CE">
      <w:pPr>
        <w:pStyle w:val="89"/>
        <w:tabs>
          <w:tab w:val="left" w:pos="4500"/>
        </w:tabs>
        <w:ind w:firstLine="480" w:firstLineChars="200"/>
        <w:rPr>
          <w:rFonts w:hint="eastAsia" w:hAnsi="宋体"/>
          <w:szCs w:val="24"/>
        </w:rPr>
      </w:pPr>
      <w:r>
        <w:rPr>
          <w:rFonts w:hint="eastAsia" w:hAnsi="宋体"/>
          <w:szCs w:val="24"/>
        </w:rPr>
        <w:t>2、矿井资源储量发生了较大变化；</w:t>
      </w:r>
    </w:p>
    <w:p w14:paraId="1A87F2BF">
      <w:pPr>
        <w:pStyle w:val="89"/>
        <w:tabs>
          <w:tab w:val="left" w:pos="4500"/>
        </w:tabs>
        <w:ind w:firstLine="480" w:firstLineChars="200"/>
        <w:rPr>
          <w:rFonts w:hint="eastAsia" w:hAnsi="宋体"/>
          <w:szCs w:val="24"/>
        </w:rPr>
      </w:pPr>
      <w:r>
        <w:rPr>
          <w:rFonts w:hint="eastAsia" w:hAnsi="宋体"/>
          <w:szCs w:val="24"/>
        </w:rPr>
        <w:t>3、</w:t>
      </w:r>
      <w:r>
        <w:rPr>
          <w:rFonts w:hint="eastAsia" w:hAnsi="宋体"/>
        </w:rPr>
        <w:t>根据贵州省有关技改、扩能的文件精神，矿井设计生产能力发生变化；</w:t>
      </w:r>
    </w:p>
    <w:p w14:paraId="5AA244DB">
      <w:pPr>
        <w:pStyle w:val="89"/>
        <w:tabs>
          <w:tab w:val="left" w:pos="4500"/>
        </w:tabs>
        <w:ind w:firstLine="480" w:firstLineChars="200"/>
        <w:rPr>
          <w:rFonts w:hint="eastAsia" w:hAnsi="宋体"/>
          <w:szCs w:val="24"/>
        </w:rPr>
      </w:pPr>
      <w:r>
        <w:rPr>
          <w:rFonts w:hint="eastAsia" w:hAnsi="宋体"/>
          <w:szCs w:val="24"/>
        </w:rPr>
        <w:t>4、原开拓方案不适应扩界后矿井的整体开拓及矿井现实情况；</w:t>
      </w:r>
    </w:p>
    <w:p w14:paraId="743FC97F">
      <w:pPr>
        <w:pStyle w:val="89"/>
        <w:tabs>
          <w:tab w:val="left" w:pos="4500"/>
        </w:tabs>
        <w:ind w:firstLine="480" w:firstLineChars="200"/>
        <w:rPr>
          <w:rFonts w:hint="eastAsia" w:hAnsi="宋体"/>
          <w:szCs w:val="24"/>
        </w:rPr>
      </w:pPr>
      <w:r>
        <w:rPr>
          <w:rFonts w:hint="eastAsia" w:hAnsi="宋体"/>
          <w:szCs w:val="24"/>
        </w:rPr>
        <w:t>5、原设计方案回采工艺不适应扩能后矿井生产需求；</w:t>
      </w:r>
    </w:p>
    <w:p w14:paraId="4FC38B5D">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五、变更设计的主要内容</w:t>
      </w:r>
    </w:p>
    <w:p w14:paraId="5840DFA0">
      <w:pPr>
        <w:spacing w:line="360" w:lineRule="auto"/>
        <w:ind w:firstLine="480" w:firstLineChars="200"/>
        <w:rPr>
          <w:rFonts w:hint="eastAsia" w:ascii="宋体" w:hAnsi="宋体"/>
          <w:kern w:val="0"/>
          <w:sz w:val="24"/>
        </w:rPr>
      </w:pPr>
      <w:r>
        <w:rPr>
          <w:rFonts w:hint="eastAsia"/>
          <w:sz w:val="24"/>
        </w:rPr>
        <w:t>由于上述变化，为满足矿井变更后的生产能力，矿井提升、运输、通风、排水、供电等同步进行变更设计选型，</w:t>
      </w:r>
      <w:r>
        <w:rPr>
          <w:rFonts w:hint="eastAsia" w:ascii="宋体" w:hAnsi="宋体"/>
          <w:kern w:val="0"/>
          <w:sz w:val="24"/>
        </w:rPr>
        <w:t>其变更主要内容如下：</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
        <w:gridCol w:w="1715"/>
        <w:gridCol w:w="12"/>
        <w:gridCol w:w="3004"/>
        <w:gridCol w:w="12"/>
        <w:gridCol w:w="4268"/>
        <w:gridCol w:w="8"/>
      </w:tblGrid>
      <w:tr w14:paraId="5614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336976CD">
            <w:pPr>
              <w:pStyle w:val="89"/>
              <w:tabs>
                <w:tab w:val="left" w:pos="4500"/>
              </w:tabs>
              <w:spacing w:line="300" w:lineRule="exact"/>
              <w:ind w:firstLine="0"/>
              <w:jc w:val="center"/>
              <w:rPr>
                <w:rFonts w:hint="eastAsia" w:hAnsi="宋体"/>
                <w:sz w:val="21"/>
                <w:szCs w:val="21"/>
              </w:rPr>
            </w:pPr>
            <w:r>
              <w:rPr>
                <w:rFonts w:hint="eastAsia" w:hAnsi="宋体"/>
                <w:sz w:val="21"/>
                <w:szCs w:val="21"/>
              </w:rPr>
              <w:t>变更项目</w:t>
            </w:r>
          </w:p>
        </w:tc>
        <w:tc>
          <w:tcPr>
            <w:tcW w:w="7292" w:type="dxa"/>
            <w:gridSpan w:val="4"/>
            <w:noWrap w:val="0"/>
            <w:vAlign w:val="center"/>
          </w:tcPr>
          <w:p w14:paraId="7E976360">
            <w:pPr>
              <w:pStyle w:val="89"/>
              <w:tabs>
                <w:tab w:val="left" w:pos="4500"/>
              </w:tabs>
              <w:spacing w:line="300" w:lineRule="exact"/>
              <w:ind w:firstLine="0"/>
              <w:jc w:val="center"/>
              <w:rPr>
                <w:rFonts w:hint="eastAsia" w:hAnsi="宋体"/>
                <w:sz w:val="21"/>
                <w:szCs w:val="21"/>
              </w:rPr>
            </w:pPr>
            <w:r>
              <w:rPr>
                <w:rFonts w:hint="eastAsia" w:hAnsi="宋体"/>
                <w:sz w:val="21"/>
                <w:szCs w:val="21"/>
              </w:rPr>
              <w:t>主要变更内容</w:t>
            </w:r>
          </w:p>
        </w:tc>
      </w:tr>
      <w:tr w14:paraId="4897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8" w:type="dxa"/>
          <w:trHeight w:val="425" w:hRule="atLeast"/>
          <w:jc w:val="center"/>
        </w:trPr>
        <w:tc>
          <w:tcPr>
            <w:tcW w:w="1730" w:type="dxa"/>
            <w:gridSpan w:val="2"/>
            <w:noWrap w:val="0"/>
            <w:vAlign w:val="center"/>
          </w:tcPr>
          <w:p w14:paraId="2B9E088E">
            <w:pPr>
              <w:pStyle w:val="89"/>
              <w:tabs>
                <w:tab w:val="left" w:pos="4500"/>
              </w:tabs>
              <w:spacing w:line="300" w:lineRule="exact"/>
              <w:ind w:firstLine="0"/>
              <w:jc w:val="center"/>
              <w:rPr>
                <w:rFonts w:hint="eastAsia" w:hAnsi="宋体"/>
                <w:sz w:val="21"/>
                <w:szCs w:val="21"/>
              </w:rPr>
            </w:pPr>
          </w:p>
        </w:tc>
        <w:tc>
          <w:tcPr>
            <w:tcW w:w="3016" w:type="dxa"/>
            <w:gridSpan w:val="2"/>
            <w:noWrap w:val="0"/>
            <w:vAlign w:val="center"/>
          </w:tcPr>
          <w:p w14:paraId="2D004629">
            <w:pPr>
              <w:pStyle w:val="89"/>
              <w:tabs>
                <w:tab w:val="left" w:pos="4500"/>
              </w:tabs>
              <w:spacing w:line="300" w:lineRule="exact"/>
              <w:ind w:firstLine="0"/>
              <w:jc w:val="center"/>
              <w:rPr>
                <w:rFonts w:hint="eastAsia" w:hAnsi="宋体"/>
                <w:sz w:val="21"/>
                <w:szCs w:val="21"/>
              </w:rPr>
            </w:pPr>
            <w:r>
              <w:rPr>
                <w:rFonts w:hint="eastAsia" w:hAnsi="宋体"/>
                <w:sz w:val="21"/>
                <w:szCs w:val="21"/>
              </w:rPr>
              <w:t>原设计</w:t>
            </w:r>
          </w:p>
        </w:tc>
        <w:tc>
          <w:tcPr>
            <w:tcW w:w="4280" w:type="dxa"/>
            <w:gridSpan w:val="2"/>
            <w:noWrap w:val="0"/>
            <w:vAlign w:val="center"/>
          </w:tcPr>
          <w:p w14:paraId="725CD572">
            <w:pPr>
              <w:pStyle w:val="89"/>
              <w:tabs>
                <w:tab w:val="left" w:pos="4500"/>
              </w:tabs>
              <w:spacing w:line="300" w:lineRule="exact"/>
              <w:ind w:firstLine="0"/>
              <w:jc w:val="center"/>
              <w:rPr>
                <w:rFonts w:hint="eastAsia" w:hAnsi="宋体"/>
                <w:sz w:val="21"/>
                <w:szCs w:val="21"/>
              </w:rPr>
            </w:pPr>
            <w:r>
              <w:rPr>
                <w:rFonts w:hint="eastAsia" w:hAnsi="宋体"/>
                <w:sz w:val="21"/>
                <w:szCs w:val="21"/>
              </w:rPr>
              <w:t>变更后</w:t>
            </w:r>
          </w:p>
        </w:tc>
      </w:tr>
      <w:tr w14:paraId="15CF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8" w:type="dxa"/>
          <w:trHeight w:val="425" w:hRule="atLeast"/>
          <w:jc w:val="center"/>
        </w:trPr>
        <w:tc>
          <w:tcPr>
            <w:tcW w:w="1730" w:type="dxa"/>
            <w:gridSpan w:val="2"/>
            <w:noWrap w:val="0"/>
            <w:vAlign w:val="center"/>
          </w:tcPr>
          <w:p w14:paraId="4FE61611">
            <w:pPr>
              <w:pStyle w:val="89"/>
              <w:tabs>
                <w:tab w:val="left" w:pos="4500"/>
              </w:tabs>
              <w:spacing w:line="300" w:lineRule="exact"/>
              <w:ind w:firstLine="0"/>
              <w:rPr>
                <w:rFonts w:hint="eastAsia" w:hAnsi="宋体"/>
                <w:sz w:val="21"/>
                <w:szCs w:val="21"/>
              </w:rPr>
            </w:pPr>
            <w:r>
              <w:rPr>
                <w:rFonts w:hint="eastAsia" w:hAnsi="宋体"/>
                <w:sz w:val="21"/>
                <w:szCs w:val="21"/>
              </w:rPr>
              <w:t>矿井准采标高</w:t>
            </w:r>
          </w:p>
        </w:tc>
        <w:tc>
          <w:tcPr>
            <w:tcW w:w="3016" w:type="dxa"/>
            <w:gridSpan w:val="2"/>
            <w:noWrap w:val="0"/>
            <w:vAlign w:val="center"/>
          </w:tcPr>
          <w:p w14:paraId="7DE44BC6">
            <w:pPr>
              <w:pStyle w:val="89"/>
              <w:tabs>
                <w:tab w:val="left" w:pos="4500"/>
              </w:tabs>
              <w:spacing w:line="300" w:lineRule="exact"/>
              <w:ind w:firstLine="0"/>
              <w:rPr>
                <w:rFonts w:hint="eastAsia" w:hAnsi="宋体"/>
                <w:sz w:val="21"/>
                <w:szCs w:val="21"/>
              </w:rPr>
            </w:pPr>
            <w:r>
              <w:rPr>
                <w:rFonts w:hint="eastAsia" w:hAnsi="宋体"/>
                <w:sz w:val="21"/>
                <w:szCs w:val="21"/>
              </w:rPr>
              <w:t>+2040～+1760m标高</w:t>
            </w:r>
          </w:p>
        </w:tc>
        <w:tc>
          <w:tcPr>
            <w:tcW w:w="4280" w:type="dxa"/>
            <w:gridSpan w:val="2"/>
            <w:noWrap w:val="0"/>
            <w:vAlign w:val="center"/>
          </w:tcPr>
          <w:p w14:paraId="32FE224C">
            <w:pPr>
              <w:pStyle w:val="89"/>
              <w:tabs>
                <w:tab w:val="left" w:pos="4500"/>
              </w:tabs>
              <w:spacing w:line="300" w:lineRule="exact"/>
              <w:ind w:firstLine="0"/>
              <w:rPr>
                <w:rFonts w:hint="eastAsia" w:hAnsi="宋体"/>
                <w:sz w:val="21"/>
                <w:szCs w:val="21"/>
              </w:rPr>
            </w:pPr>
            <w:r>
              <w:rPr>
                <w:rFonts w:hint="eastAsia" w:hAnsi="宋体"/>
                <w:sz w:val="21"/>
                <w:szCs w:val="21"/>
              </w:rPr>
              <w:t>＋2040～＋1450m标高</w:t>
            </w:r>
          </w:p>
        </w:tc>
      </w:tr>
      <w:tr w14:paraId="73B5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8" w:type="dxa"/>
          <w:trHeight w:val="425" w:hRule="atLeast"/>
          <w:jc w:val="center"/>
        </w:trPr>
        <w:tc>
          <w:tcPr>
            <w:tcW w:w="1730" w:type="dxa"/>
            <w:gridSpan w:val="2"/>
            <w:noWrap w:val="0"/>
            <w:vAlign w:val="center"/>
          </w:tcPr>
          <w:p w14:paraId="7D59030A">
            <w:pPr>
              <w:pStyle w:val="89"/>
              <w:tabs>
                <w:tab w:val="left" w:pos="4500"/>
              </w:tabs>
              <w:spacing w:line="300" w:lineRule="exact"/>
              <w:ind w:firstLine="0"/>
              <w:rPr>
                <w:rFonts w:hint="eastAsia" w:hAnsi="宋体"/>
                <w:sz w:val="21"/>
                <w:szCs w:val="21"/>
              </w:rPr>
            </w:pPr>
            <w:r>
              <w:rPr>
                <w:rFonts w:hint="eastAsia" w:hAnsi="宋体"/>
                <w:sz w:val="21"/>
                <w:szCs w:val="21"/>
              </w:rPr>
              <w:t>可采煤层层数</w:t>
            </w:r>
          </w:p>
        </w:tc>
        <w:tc>
          <w:tcPr>
            <w:tcW w:w="3016" w:type="dxa"/>
            <w:gridSpan w:val="2"/>
            <w:noWrap w:val="0"/>
            <w:vAlign w:val="center"/>
          </w:tcPr>
          <w:p w14:paraId="2A5F69E7">
            <w:pPr>
              <w:pStyle w:val="89"/>
              <w:tabs>
                <w:tab w:val="left" w:pos="4500"/>
              </w:tabs>
              <w:spacing w:line="300" w:lineRule="exact"/>
              <w:ind w:firstLine="0"/>
              <w:rPr>
                <w:rFonts w:hint="eastAsia" w:hAnsi="宋体"/>
                <w:sz w:val="21"/>
                <w:szCs w:val="21"/>
              </w:rPr>
            </w:pPr>
            <w:r>
              <w:rPr>
                <w:rFonts w:hint="eastAsia" w:hAnsi="宋体"/>
                <w:sz w:val="21"/>
                <w:szCs w:val="21"/>
              </w:rPr>
              <w:t>可采煤层四层，即K1－b、K9、K18、K35－b煤层</w:t>
            </w:r>
          </w:p>
        </w:tc>
        <w:tc>
          <w:tcPr>
            <w:tcW w:w="4280" w:type="dxa"/>
            <w:gridSpan w:val="2"/>
            <w:noWrap w:val="0"/>
            <w:vAlign w:val="center"/>
          </w:tcPr>
          <w:p w14:paraId="382B5266">
            <w:pPr>
              <w:pStyle w:val="89"/>
              <w:tabs>
                <w:tab w:val="left" w:pos="4500"/>
              </w:tabs>
              <w:spacing w:line="300" w:lineRule="exact"/>
              <w:ind w:firstLine="0"/>
              <w:rPr>
                <w:rFonts w:hint="eastAsia" w:hAnsi="宋体"/>
                <w:sz w:val="21"/>
                <w:szCs w:val="21"/>
              </w:rPr>
            </w:pPr>
            <w:r>
              <w:rPr>
                <w:rFonts w:hint="eastAsia" w:hAnsi="宋体"/>
                <w:sz w:val="21"/>
                <w:szCs w:val="21"/>
              </w:rPr>
              <w:t>可采煤层十一层，即K1-b</w:t>
            </w:r>
            <w:r>
              <w:rPr>
                <w:rFonts w:hAnsi="宋体"/>
                <w:sz w:val="21"/>
                <w:szCs w:val="21"/>
              </w:rPr>
              <w:t>、</w:t>
            </w:r>
            <w:r>
              <w:rPr>
                <w:rFonts w:hint="eastAsia" w:hAnsi="宋体"/>
                <w:sz w:val="21"/>
                <w:szCs w:val="21"/>
              </w:rPr>
              <w:t>K</w:t>
            </w:r>
            <w:r>
              <w:rPr>
                <w:rFonts w:hAnsi="宋体"/>
                <w:sz w:val="21"/>
                <w:szCs w:val="21"/>
              </w:rPr>
              <w:t>3、</w:t>
            </w:r>
            <w:r>
              <w:rPr>
                <w:rFonts w:hint="eastAsia" w:hAnsi="宋体"/>
                <w:sz w:val="21"/>
                <w:szCs w:val="21"/>
              </w:rPr>
              <w:t>K9</w:t>
            </w:r>
            <w:r>
              <w:rPr>
                <w:rFonts w:hAnsi="宋体"/>
                <w:sz w:val="21"/>
                <w:szCs w:val="21"/>
              </w:rPr>
              <w:t>、</w:t>
            </w:r>
            <w:r>
              <w:rPr>
                <w:rFonts w:hint="eastAsia" w:hAnsi="宋体"/>
                <w:sz w:val="21"/>
                <w:szCs w:val="21"/>
              </w:rPr>
              <w:t>K10</w:t>
            </w:r>
            <w:r>
              <w:rPr>
                <w:rFonts w:hAnsi="宋体"/>
                <w:sz w:val="21"/>
                <w:szCs w:val="21"/>
              </w:rPr>
              <w:t>、</w:t>
            </w:r>
            <w:r>
              <w:rPr>
                <w:rFonts w:hint="eastAsia" w:hAnsi="宋体"/>
                <w:sz w:val="21"/>
                <w:szCs w:val="21"/>
              </w:rPr>
              <w:t>K13</w:t>
            </w:r>
            <w:r>
              <w:rPr>
                <w:rFonts w:hAnsi="宋体"/>
                <w:sz w:val="21"/>
                <w:szCs w:val="21"/>
              </w:rPr>
              <w:t>、</w:t>
            </w:r>
            <w:r>
              <w:rPr>
                <w:rFonts w:hint="eastAsia" w:hAnsi="宋体"/>
                <w:sz w:val="21"/>
                <w:szCs w:val="21"/>
              </w:rPr>
              <w:t>K18</w:t>
            </w:r>
            <w:r>
              <w:rPr>
                <w:rFonts w:hAnsi="宋体"/>
                <w:sz w:val="21"/>
                <w:szCs w:val="21"/>
              </w:rPr>
              <w:t>、</w:t>
            </w:r>
            <w:r>
              <w:rPr>
                <w:rFonts w:hint="eastAsia" w:hAnsi="宋体"/>
                <w:sz w:val="21"/>
                <w:szCs w:val="21"/>
              </w:rPr>
              <w:t>K26</w:t>
            </w:r>
            <w:r>
              <w:rPr>
                <w:rFonts w:hAnsi="宋体"/>
                <w:sz w:val="21"/>
                <w:szCs w:val="21"/>
              </w:rPr>
              <w:t>、</w:t>
            </w:r>
            <w:r>
              <w:rPr>
                <w:rFonts w:hint="eastAsia" w:hAnsi="宋体"/>
                <w:sz w:val="21"/>
                <w:szCs w:val="21"/>
              </w:rPr>
              <w:t>K35-b</w:t>
            </w:r>
            <w:r>
              <w:rPr>
                <w:rFonts w:hAnsi="宋体"/>
                <w:sz w:val="21"/>
                <w:szCs w:val="21"/>
              </w:rPr>
              <w:t>、</w:t>
            </w:r>
            <w:r>
              <w:rPr>
                <w:rFonts w:hint="eastAsia" w:hAnsi="宋体"/>
                <w:sz w:val="21"/>
                <w:szCs w:val="21"/>
              </w:rPr>
              <w:t>K106-b</w:t>
            </w:r>
            <w:r>
              <w:rPr>
                <w:rFonts w:hAnsi="宋体"/>
                <w:sz w:val="21"/>
                <w:szCs w:val="21"/>
              </w:rPr>
              <w:t>、</w:t>
            </w:r>
            <w:r>
              <w:rPr>
                <w:rFonts w:hint="eastAsia" w:hAnsi="宋体"/>
                <w:sz w:val="21"/>
                <w:szCs w:val="21"/>
              </w:rPr>
              <w:t>K109-b、K111-a</w:t>
            </w:r>
            <w:r>
              <w:rPr>
                <w:rFonts w:hAnsi="宋体"/>
                <w:sz w:val="21"/>
                <w:szCs w:val="21"/>
              </w:rPr>
              <w:t>层煤</w:t>
            </w:r>
          </w:p>
        </w:tc>
      </w:tr>
      <w:tr w14:paraId="1371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8" w:type="dxa"/>
          <w:trHeight w:val="425" w:hRule="atLeast"/>
          <w:jc w:val="center"/>
        </w:trPr>
        <w:tc>
          <w:tcPr>
            <w:tcW w:w="1730" w:type="dxa"/>
            <w:gridSpan w:val="2"/>
            <w:noWrap w:val="0"/>
            <w:vAlign w:val="center"/>
          </w:tcPr>
          <w:p w14:paraId="21B49AEA">
            <w:pPr>
              <w:pStyle w:val="89"/>
              <w:tabs>
                <w:tab w:val="left" w:pos="4500"/>
              </w:tabs>
              <w:spacing w:line="300" w:lineRule="exact"/>
              <w:ind w:firstLine="0"/>
              <w:rPr>
                <w:rFonts w:hint="eastAsia" w:hAnsi="宋体"/>
                <w:sz w:val="21"/>
                <w:szCs w:val="21"/>
              </w:rPr>
            </w:pPr>
            <w:r>
              <w:rPr>
                <w:rFonts w:hint="eastAsia" w:hAnsi="宋体"/>
                <w:sz w:val="21"/>
                <w:szCs w:val="21"/>
              </w:rPr>
              <w:t>资源储量</w:t>
            </w:r>
          </w:p>
        </w:tc>
        <w:tc>
          <w:tcPr>
            <w:tcW w:w="3016" w:type="dxa"/>
            <w:gridSpan w:val="2"/>
            <w:noWrap w:val="0"/>
            <w:vAlign w:val="center"/>
          </w:tcPr>
          <w:p w14:paraId="24BCBB9E">
            <w:pPr>
              <w:pStyle w:val="89"/>
              <w:tabs>
                <w:tab w:val="left" w:pos="4500"/>
              </w:tabs>
              <w:spacing w:line="300" w:lineRule="exact"/>
              <w:ind w:firstLine="0"/>
              <w:rPr>
                <w:rFonts w:hint="eastAsia" w:hAnsi="宋体"/>
                <w:sz w:val="21"/>
                <w:szCs w:val="21"/>
              </w:rPr>
            </w:pPr>
            <w:r>
              <w:rPr>
                <w:rFonts w:hint="eastAsia" w:hAnsi="宋体"/>
                <w:sz w:val="21"/>
                <w:szCs w:val="21"/>
              </w:rPr>
              <w:t>矿界范围内总资源575.17万吨，其中控制的经济基础储量（122b）为112.68万吨；推断的内蕴经济资源量（333）为165.42万吨；预测的资源量（334？）为38.97万吨；采空量为258.10万吨</w:t>
            </w:r>
          </w:p>
        </w:tc>
        <w:tc>
          <w:tcPr>
            <w:tcW w:w="4280" w:type="dxa"/>
            <w:gridSpan w:val="2"/>
            <w:noWrap w:val="0"/>
            <w:vAlign w:val="center"/>
          </w:tcPr>
          <w:p w14:paraId="16C1FEC4">
            <w:pPr>
              <w:pStyle w:val="89"/>
              <w:tabs>
                <w:tab w:val="left" w:pos="4500"/>
              </w:tabs>
              <w:spacing w:line="300" w:lineRule="exact"/>
              <w:ind w:firstLine="0"/>
              <w:rPr>
                <w:rFonts w:hint="eastAsia" w:hAnsi="宋体"/>
                <w:sz w:val="21"/>
                <w:szCs w:val="21"/>
              </w:rPr>
            </w:pPr>
            <w:r>
              <w:rPr>
                <w:rFonts w:hint="eastAsia" w:hAnsi="宋体"/>
                <w:sz w:val="21"/>
                <w:szCs w:val="21"/>
              </w:rPr>
              <w:t>矿界范围内总资源1600.2万吨，保有资源量总和为1257.1万吨，其中：探明的内蕴经济资源量（331）579.3万吨，控制的内蕴经济资源量（332）183.6万吨，推断的内蕴经济资源量（333）494.2万吨，采空损失量（112b）343.1万吨</w:t>
            </w:r>
          </w:p>
        </w:tc>
      </w:tr>
      <w:tr w14:paraId="021D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1BCC8BB2">
            <w:pPr>
              <w:pStyle w:val="89"/>
              <w:tabs>
                <w:tab w:val="left" w:pos="4500"/>
              </w:tabs>
              <w:spacing w:line="300" w:lineRule="exact"/>
              <w:ind w:firstLine="0"/>
              <w:rPr>
                <w:rFonts w:hint="eastAsia" w:hAnsi="宋体"/>
                <w:sz w:val="21"/>
                <w:szCs w:val="21"/>
              </w:rPr>
            </w:pPr>
            <w:r>
              <w:rPr>
                <w:rFonts w:hint="eastAsia" w:hAnsi="宋体"/>
                <w:sz w:val="21"/>
                <w:szCs w:val="21"/>
              </w:rPr>
              <w:t>生产规模</w:t>
            </w:r>
          </w:p>
        </w:tc>
        <w:tc>
          <w:tcPr>
            <w:tcW w:w="3016" w:type="dxa"/>
            <w:gridSpan w:val="2"/>
            <w:noWrap w:val="0"/>
            <w:vAlign w:val="center"/>
          </w:tcPr>
          <w:p w14:paraId="0BC3F26D">
            <w:pPr>
              <w:pStyle w:val="89"/>
              <w:tabs>
                <w:tab w:val="left" w:pos="4500"/>
              </w:tabs>
              <w:spacing w:line="300" w:lineRule="exact"/>
              <w:ind w:firstLine="0"/>
              <w:rPr>
                <w:rFonts w:hint="eastAsia" w:hAnsi="宋体"/>
                <w:sz w:val="21"/>
                <w:szCs w:val="21"/>
              </w:rPr>
            </w:pPr>
            <w:r>
              <w:rPr>
                <w:rFonts w:hint="eastAsia" w:hAnsi="宋体"/>
                <w:sz w:val="21"/>
                <w:szCs w:val="21"/>
              </w:rPr>
              <w:t>15万吨/年</w:t>
            </w:r>
          </w:p>
        </w:tc>
        <w:tc>
          <w:tcPr>
            <w:tcW w:w="4276" w:type="dxa"/>
            <w:gridSpan w:val="2"/>
            <w:noWrap w:val="0"/>
            <w:vAlign w:val="center"/>
          </w:tcPr>
          <w:p w14:paraId="33BCE6A9">
            <w:pPr>
              <w:pStyle w:val="89"/>
              <w:tabs>
                <w:tab w:val="left" w:pos="4500"/>
              </w:tabs>
              <w:spacing w:line="300" w:lineRule="exact"/>
              <w:ind w:firstLine="0"/>
              <w:rPr>
                <w:rFonts w:hint="eastAsia" w:hAnsi="宋体"/>
                <w:sz w:val="21"/>
                <w:szCs w:val="21"/>
              </w:rPr>
            </w:pPr>
            <w:r>
              <w:rPr>
                <w:rFonts w:hint="eastAsia" w:hAnsi="宋体"/>
                <w:sz w:val="21"/>
                <w:szCs w:val="21"/>
              </w:rPr>
              <w:t>30万吨/年</w:t>
            </w:r>
          </w:p>
        </w:tc>
      </w:tr>
      <w:tr w14:paraId="60965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1455F500">
            <w:pPr>
              <w:pStyle w:val="89"/>
              <w:tabs>
                <w:tab w:val="left" w:pos="4500"/>
              </w:tabs>
              <w:spacing w:line="300" w:lineRule="exact"/>
              <w:ind w:firstLine="0"/>
              <w:rPr>
                <w:rFonts w:hint="eastAsia" w:hAnsi="宋体"/>
                <w:sz w:val="21"/>
                <w:szCs w:val="21"/>
              </w:rPr>
            </w:pPr>
            <w:r>
              <w:rPr>
                <w:rFonts w:hint="eastAsia" w:hAnsi="宋体"/>
                <w:sz w:val="21"/>
                <w:szCs w:val="21"/>
              </w:rPr>
              <w:t>回采工艺</w:t>
            </w:r>
          </w:p>
        </w:tc>
        <w:tc>
          <w:tcPr>
            <w:tcW w:w="3016" w:type="dxa"/>
            <w:gridSpan w:val="2"/>
            <w:noWrap w:val="0"/>
            <w:vAlign w:val="center"/>
          </w:tcPr>
          <w:p w14:paraId="3F3D7B88">
            <w:pPr>
              <w:pStyle w:val="89"/>
              <w:tabs>
                <w:tab w:val="left" w:pos="4500"/>
              </w:tabs>
              <w:spacing w:line="300" w:lineRule="exact"/>
              <w:ind w:firstLine="0"/>
              <w:rPr>
                <w:rFonts w:hint="eastAsia" w:hAnsi="宋体"/>
                <w:sz w:val="21"/>
                <w:szCs w:val="21"/>
              </w:rPr>
            </w:pPr>
            <w:r>
              <w:rPr>
                <w:rFonts w:hint="eastAsia" w:hAnsi="宋体"/>
                <w:sz w:val="21"/>
                <w:szCs w:val="21"/>
              </w:rPr>
              <w:t>炮采工艺</w:t>
            </w:r>
          </w:p>
        </w:tc>
        <w:tc>
          <w:tcPr>
            <w:tcW w:w="4276" w:type="dxa"/>
            <w:gridSpan w:val="2"/>
            <w:noWrap w:val="0"/>
            <w:vAlign w:val="center"/>
          </w:tcPr>
          <w:p w14:paraId="4E406648">
            <w:pPr>
              <w:pStyle w:val="89"/>
              <w:tabs>
                <w:tab w:val="left" w:pos="4500"/>
              </w:tabs>
              <w:spacing w:line="300" w:lineRule="exact"/>
              <w:ind w:firstLine="0"/>
              <w:rPr>
                <w:rFonts w:hint="eastAsia" w:hAnsi="宋体"/>
                <w:sz w:val="21"/>
                <w:szCs w:val="21"/>
              </w:rPr>
            </w:pPr>
            <w:r>
              <w:rPr>
                <w:rFonts w:hint="eastAsia" w:hAnsi="宋体"/>
                <w:sz w:val="21"/>
                <w:szCs w:val="21"/>
              </w:rPr>
              <w:t>普通机械化采煤工艺</w:t>
            </w:r>
          </w:p>
        </w:tc>
      </w:tr>
      <w:tr w14:paraId="6978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10085898">
            <w:pPr>
              <w:pStyle w:val="89"/>
              <w:tabs>
                <w:tab w:val="left" w:pos="4500"/>
              </w:tabs>
              <w:spacing w:line="300" w:lineRule="exact"/>
              <w:ind w:firstLine="0"/>
              <w:rPr>
                <w:rFonts w:hint="eastAsia" w:hAnsi="宋体"/>
                <w:sz w:val="21"/>
                <w:szCs w:val="21"/>
              </w:rPr>
            </w:pPr>
            <w:r>
              <w:rPr>
                <w:rFonts w:hint="eastAsia" w:hAnsi="宋体"/>
                <w:sz w:val="21"/>
                <w:szCs w:val="21"/>
              </w:rPr>
              <w:t>主斜井井筒</w:t>
            </w:r>
          </w:p>
        </w:tc>
        <w:tc>
          <w:tcPr>
            <w:tcW w:w="3016" w:type="dxa"/>
            <w:gridSpan w:val="2"/>
            <w:noWrap w:val="0"/>
            <w:vAlign w:val="center"/>
          </w:tcPr>
          <w:p w14:paraId="38D98113">
            <w:pPr>
              <w:pStyle w:val="89"/>
              <w:tabs>
                <w:tab w:val="left" w:pos="4500"/>
              </w:tabs>
              <w:spacing w:line="300" w:lineRule="exact"/>
              <w:ind w:firstLine="0"/>
              <w:rPr>
                <w:rFonts w:hAnsi="宋体"/>
                <w:sz w:val="21"/>
                <w:szCs w:val="21"/>
              </w:rPr>
            </w:pPr>
            <w:r>
              <w:rPr>
                <w:rFonts w:hint="eastAsia" w:hAnsi="宋体"/>
                <w:sz w:val="21"/>
                <w:szCs w:val="21"/>
              </w:rPr>
              <w:t>主斜井：</w:t>
            </w:r>
          </w:p>
          <w:p w14:paraId="68CE9C98">
            <w:pPr>
              <w:pStyle w:val="89"/>
              <w:tabs>
                <w:tab w:val="left" w:pos="4500"/>
              </w:tabs>
              <w:spacing w:line="300" w:lineRule="exact"/>
              <w:ind w:firstLine="0"/>
              <w:rPr>
                <w:rFonts w:hAnsi="宋体"/>
                <w:sz w:val="21"/>
                <w:szCs w:val="21"/>
              </w:rPr>
            </w:pPr>
            <w:r>
              <w:rPr>
                <w:rFonts w:hAnsi="宋体"/>
                <w:sz w:val="21"/>
                <w:szCs w:val="21"/>
              </w:rPr>
              <w:t>X=</w:t>
            </w:r>
            <w:r>
              <w:rPr>
                <w:rFonts w:hint="eastAsia" w:hAnsi="宋体"/>
                <w:color w:val="000000"/>
                <w:sz w:val="21"/>
                <w:szCs w:val="21"/>
              </w:rPr>
              <w:t>2933008.0</w:t>
            </w:r>
          </w:p>
          <w:p w14:paraId="01980AE7">
            <w:pPr>
              <w:pStyle w:val="89"/>
              <w:tabs>
                <w:tab w:val="left" w:pos="4500"/>
              </w:tabs>
              <w:spacing w:line="300" w:lineRule="exact"/>
              <w:ind w:firstLine="0"/>
              <w:rPr>
                <w:rFonts w:hAnsi="宋体"/>
                <w:sz w:val="21"/>
                <w:szCs w:val="21"/>
              </w:rPr>
            </w:pPr>
            <w:r>
              <w:rPr>
                <w:rFonts w:hAnsi="宋体"/>
                <w:sz w:val="21"/>
                <w:szCs w:val="21"/>
              </w:rPr>
              <w:t>Y=</w:t>
            </w:r>
            <w:r>
              <w:rPr>
                <w:rFonts w:hint="eastAsia" w:hAnsi="宋体"/>
                <w:color w:val="000000"/>
                <w:sz w:val="21"/>
                <w:szCs w:val="21"/>
              </w:rPr>
              <w:t>35475037.0</w:t>
            </w:r>
          </w:p>
          <w:p w14:paraId="5EFC3A88">
            <w:pPr>
              <w:pStyle w:val="89"/>
              <w:tabs>
                <w:tab w:val="left" w:pos="4500"/>
              </w:tabs>
              <w:spacing w:line="300" w:lineRule="exact"/>
              <w:ind w:firstLine="0"/>
              <w:rPr>
                <w:rFonts w:hAnsi="宋体"/>
                <w:sz w:val="21"/>
                <w:szCs w:val="21"/>
              </w:rPr>
            </w:pPr>
            <w:r>
              <w:rPr>
                <w:rFonts w:hAnsi="宋体"/>
                <w:sz w:val="21"/>
                <w:szCs w:val="21"/>
              </w:rPr>
              <w:t>Z=</w:t>
            </w:r>
            <w:r>
              <w:rPr>
                <w:rFonts w:hint="eastAsia" w:hAnsi="宋体"/>
                <w:color w:val="000000"/>
                <w:sz w:val="21"/>
                <w:szCs w:val="21"/>
              </w:rPr>
              <w:t>+1979.0</w:t>
            </w:r>
            <w:r>
              <w:rPr>
                <w:rFonts w:hAnsi="宋体"/>
                <w:sz w:val="21"/>
                <w:szCs w:val="21"/>
              </w:rPr>
              <w:t>m</w:t>
            </w:r>
          </w:p>
          <w:p w14:paraId="7FFB00E0">
            <w:pPr>
              <w:pStyle w:val="89"/>
              <w:tabs>
                <w:tab w:val="left" w:pos="4500"/>
              </w:tabs>
              <w:spacing w:line="300" w:lineRule="exact"/>
              <w:ind w:firstLine="0"/>
              <w:rPr>
                <w:rFonts w:hint="eastAsia" w:hAnsi="宋体"/>
                <w:sz w:val="21"/>
                <w:szCs w:val="21"/>
              </w:rPr>
            </w:pPr>
            <w:r>
              <w:rPr>
                <w:rFonts w:hAnsi="宋体"/>
                <w:sz w:val="21"/>
                <w:szCs w:val="21"/>
              </w:rPr>
              <w:t>a=</w:t>
            </w:r>
            <w:r>
              <w:rPr>
                <w:rFonts w:hint="eastAsia" w:hAnsi="宋体"/>
                <w:sz w:val="21"/>
                <w:szCs w:val="21"/>
              </w:rPr>
              <w:t>227°</w:t>
            </w:r>
          </w:p>
          <w:p w14:paraId="7B6C48F2">
            <w:pPr>
              <w:pStyle w:val="89"/>
              <w:tabs>
                <w:tab w:val="left" w:pos="4500"/>
              </w:tabs>
              <w:spacing w:line="300" w:lineRule="exact"/>
              <w:ind w:firstLine="0"/>
              <w:rPr>
                <w:rFonts w:hint="eastAsia" w:hAnsi="宋体"/>
                <w:sz w:val="21"/>
                <w:szCs w:val="21"/>
              </w:rPr>
            </w:pPr>
            <w:r>
              <w:rPr>
                <w:rFonts w:hint="eastAsia" w:hAnsi="宋体"/>
                <w:sz w:val="21"/>
                <w:szCs w:val="21"/>
              </w:rPr>
              <w:t>β</w:t>
            </w:r>
            <w:r>
              <w:rPr>
                <w:rFonts w:hAnsi="宋体"/>
                <w:sz w:val="21"/>
                <w:szCs w:val="21"/>
              </w:rPr>
              <w:t>=</w:t>
            </w:r>
            <w:r>
              <w:rPr>
                <w:rFonts w:hint="eastAsia" w:hAnsi="宋体"/>
                <w:sz w:val="21"/>
                <w:szCs w:val="21"/>
              </w:rPr>
              <w:t>19°</w:t>
            </w:r>
          </w:p>
        </w:tc>
        <w:tc>
          <w:tcPr>
            <w:tcW w:w="4276" w:type="dxa"/>
            <w:gridSpan w:val="2"/>
            <w:noWrap w:val="0"/>
            <w:vAlign w:val="center"/>
          </w:tcPr>
          <w:p w14:paraId="3930087E">
            <w:pPr>
              <w:pStyle w:val="89"/>
              <w:tabs>
                <w:tab w:val="left" w:pos="4500"/>
              </w:tabs>
              <w:spacing w:line="300" w:lineRule="exact"/>
              <w:ind w:firstLine="0"/>
              <w:rPr>
                <w:rFonts w:hAnsi="宋体"/>
                <w:sz w:val="21"/>
                <w:szCs w:val="21"/>
              </w:rPr>
            </w:pPr>
            <w:r>
              <w:rPr>
                <w:rFonts w:hint="eastAsia" w:hAnsi="宋体"/>
                <w:sz w:val="21"/>
                <w:szCs w:val="21"/>
              </w:rPr>
              <w:t>主斜井：</w:t>
            </w:r>
          </w:p>
          <w:p w14:paraId="3C9CFCFE">
            <w:pPr>
              <w:pStyle w:val="89"/>
              <w:tabs>
                <w:tab w:val="left" w:pos="4500"/>
              </w:tabs>
              <w:spacing w:line="300" w:lineRule="exact"/>
              <w:ind w:firstLine="0"/>
              <w:rPr>
                <w:rFonts w:hAnsi="宋体"/>
                <w:sz w:val="21"/>
                <w:szCs w:val="21"/>
              </w:rPr>
            </w:pPr>
            <w:r>
              <w:rPr>
                <w:rFonts w:hAnsi="宋体"/>
                <w:sz w:val="21"/>
                <w:szCs w:val="21"/>
              </w:rPr>
              <w:t>X=</w:t>
            </w:r>
            <w:r>
              <w:rPr>
                <w:rFonts w:hint="eastAsia" w:hAnsi="宋体"/>
                <w:kern w:val="0"/>
                <w:sz w:val="21"/>
                <w:szCs w:val="21"/>
              </w:rPr>
              <w:t>2933008.9</w:t>
            </w:r>
          </w:p>
          <w:p w14:paraId="11DBBD91">
            <w:pPr>
              <w:pStyle w:val="89"/>
              <w:tabs>
                <w:tab w:val="left" w:pos="4500"/>
              </w:tabs>
              <w:spacing w:line="300" w:lineRule="exact"/>
              <w:ind w:firstLine="0"/>
              <w:rPr>
                <w:rFonts w:hint="eastAsia" w:hAnsi="宋体"/>
                <w:sz w:val="21"/>
                <w:szCs w:val="21"/>
              </w:rPr>
            </w:pPr>
            <w:r>
              <w:rPr>
                <w:rFonts w:hAnsi="宋体"/>
                <w:sz w:val="21"/>
                <w:szCs w:val="21"/>
              </w:rPr>
              <w:t>Y=</w:t>
            </w:r>
            <w:r>
              <w:rPr>
                <w:rFonts w:hint="eastAsia" w:hAnsi="宋体"/>
                <w:kern w:val="0"/>
                <w:sz w:val="21"/>
                <w:szCs w:val="21"/>
              </w:rPr>
              <w:t>35475035.0</w:t>
            </w:r>
          </w:p>
          <w:p w14:paraId="3147B110">
            <w:pPr>
              <w:pStyle w:val="89"/>
              <w:tabs>
                <w:tab w:val="left" w:pos="4500"/>
              </w:tabs>
              <w:spacing w:line="300" w:lineRule="exact"/>
              <w:ind w:firstLine="0"/>
              <w:rPr>
                <w:rFonts w:hAnsi="宋体"/>
                <w:sz w:val="21"/>
                <w:szCs w:val="21"/>
              </w:rPr>
            </w:pPr>
            <w:r>
              <w:rPr>
                <w:rFonts w:hAnsi="宋体"/>
                <w:sz w:val="21"/>
                <w:szCs w:val="21"/>
              </w:rPr>
              <w:t>Z=</w:t>
            </w:r>
            <w:r>
              <w:rPr>
                <w:rFonts w:hAnsi="宋体"/>
                <w:kern w:val="0"/>
                <w:sz w:val="21"/>
                <w:szCs w:val="21"/>
              </w:rPr>
              <w:t>+</w:t>
            </w:r>
            <w:r>
              <w:rPr>
                <w:rFonts w:hint="eastAsia" w:hAnsi="宋体"/>
                <w:kern w:val="0"/>
                <w:sz w:val="21"/>
                <w:szCs w:val="21"/>
              </w:rPr>
              <w:t>1979.4</w:t>
            </w:r>
            <w:r>
              <w:rPr>
                <w:rFonts w:hAnsi="宋体"/>
                <w:sz w:val="21"/>
                <w:szCs w:val="21"/>
              </w:rPr>
              <w:t>m</w:t>
            </w:r>
          </w:p>
          <w:p w14:paraId="5B089E50">
            <w:pPr>
              <w:pStyle w:val="89"/>
              <w:tabs>
                <w:tab w:val="left" w:pos="4500"/>
              </w:tabs>
              <w:spacing w:line="300" w:lineRule="exact"/>
              <w:ind w:firstLine="0"/>
              <w:rPr>
                <w:rFonts w:hint="eastAsia" w:hAnsi="宋体"/>
                <w:sz w:val="21"/>
                <w:szCs w:val="21"/>
              </w:rPr>
            </w:pPr>
            <w:r>
              <w:rPr>
                <w:rFonts w:hAnsi="宋体"/>
                <w:sz w:val="21"/>
                <w:szCs w:val="21"/>
              </w:rPr>
              <w:t>a=</w:t>
            </w:r>
            <w:r>
              <w:rPr>
                <w:rFonts w:hint="eastAsia" w:hAnsi="宋体"/>
                <w:sz w:val="21"/>
                <w:szCs w:val="21"/>
              </w:rPr>
              <w:t>222°</w:t>
            </w:r>
          </w:p>
          <w:p w14:paraId="2E7C80A4">
            <w:pPr>
              <w:pStyle w:val="89"/>
              <w:tabs>
                <w:tab w:val="left" w:pos="4500"/>
              </w:tabs>
              <w:spacing w:line="300" w:lineRule="exact"/>
              <w:ind w:firstLine="0"/>
              <w:rPr>
                <w:rFonts w:hint="eastAsia" w:hAnsi="宋体"/>
                <w:sz w:val="21"/>
                <w:szCs w:val="21"/>
              </w:rPr>
            </w:pPr>
            <w:r>
              <w:rPr>
                <w:rFonts w:hint="eastAsia" w:hAnsi="宋体"/>
                <w:sz w:val="21"/>
                <w:szCs w:val="21"/>
              </w:rPr>
              <w:t>β</w:t>
            </w:r>
            <w:r>
              <w:rPr>
                <w:rFonts w:hAnsi="宋体"/>
                <w:sz w:val="21"/>
                <w:szCs w:val="21"/>
              </w:rPr>
              <w:t>=</w:t>
            </w:r>
            <w:r>
              <w:rPr>
                <w:rFonts w:hint="eastAsia" w:hAnsi="宋体"/>
                <w:sz w:val="21"/>
                <w:szCs w:val="21"/>
              </w:rPr>
              <w:t>19°</w:t>
            </w:r>
          </w:p>
        </w:tc>
      </w:tr>
      <w:tr w14:paraId="1A19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5A63999B">
            <w:pPr>
              <w:pStyle w:val="89"/>
              <w:tabs>
                <w:tab w:val="left" w:pos="4500"/>
              </w:tabs>
              <w:spacing w:line="300" w:lineRule="exact"/>
              <w:ind w:firstLine="0"/>
              <w:rPr>
                <w:rFonts w:hint="eastAsia" w:hAnsi="宋体"/>
                <w:sz w:val="21"/>
                <w:szCs w:val="21"/>
              </w:rPr>
            </w:pPr>
            <w:r>
              <w:rPr>
                <w:rFonts w:hint="eastAsia" w:hAnsi="宋体"/>
                <w:sz w:val="21"/>
                <w:szCs w:val="21"/>
              </w:rPr>
              <w:t>水平及采区划分</w:t>
            </w:r>
          </w:p>
        </w:tc>
        <w:tc>
          <w:tcPr>
            <w:tcW w:w="3016" w:type="dxa"/>
            <w:gridSpan w:val="2"/>
            <w:noWrap w:val="0"/>
            <w:vAlign w:val="center"/>
          </w:tcPr>
          <w:p w14:paraId="49A0921E">
            <w:pPr>
              <w:pStyle w:val="89"/>
              <w:tabs>
                <w:tab w:val="left" w:pos="4500"/>
              </w:tabs>
              <w:spacing w:line="300" w:lineRule="exact"/>
              <w:ind w:firstLine="0"/>
              <w:jc w:val="left"/>
              <w:rPr>
                <w:rFonts w:hint="eastAsia" w:hAnsi="宋体"/>
                <w:sz w:val="21"/>
                <w:szCs w:val="21"/>
              </w:rPr>
            </w:pPr>
            <w:r>
              <w:rPr>
                <w:rFonts w:hint="eastAsia" w:hAnsi="宋体"/>
                <w:sz w:val="21"/>
                <w:szCs w:val="21"/>
              </w:rPr>
              <w:t>矿井划分为一个水平两个采区开采，水平标高：+1760m标高</w:t>
            </w:r>
          </w:p>
        </w:tc>
        <w:tc>
          <w:tcPr>
            <w:tcW w:w="4276" w:type="dxa"/>
            <w:gridSpan w:val="2"/>
            <w:noWrap w:val="0"/>
            <w:vAlign w:val="center"/>
          </w:tcPr>
          <w:p w14:paraId="666E7EEF">
            <w:pPr>
              <w:pStyle w:val="89"/>
              <w:tabs>
                <w:tab w:val="left" w:pos="4500"/>
              </w:tabs>
              <w:spacing w:line="300" w:lineRule="exact"/>
              <w:ind w:firstLine="0"/>
              <w:jc w:val="left"/>
              <w:rPr>
                <w:rFonts w:hint="eastAsia" w:hAnsi="宋体"/>
                <w:sz w:val="21"/>
                <w:szCs w:val="21"/>
              </w:rPr>
            </w:pPr>
            <w:r>
              <w:rPr>
                <w:rFonts w:hint="eastAsia" w:hAnsi="宋体"/>
                <w:sz w:val="21"/>
                <w:szCs w:val="21"/>
              </w:rPr>
              <w:t>矿井划分为两个水平五个采区开采，</w:t>
            </w:r>
            <w:r>
              <w:rPr>
                <w:rFonts w:hint="eastAsia" w:hAnsi="宋体"/>
                <w:kern w:val="0"/>
                <w:sz w:val="21"/>
                <w:szCs w:val="21"/>
              </w:rPr>
              <w:t>一水平标高：+1834m标高，二水平标高：+1658m标高。</w:t>
            </w:r>
          </w:p>
        </w:tc>
      </w:tr>
      <w:tr w14:paraId="35D5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3E3A0CAA">
            <w:pPr>
              <w:pStyle w:val="89"/>
              <w:tabs>
                <w:tab w:val="left" w:pos="4500"/>
              </w:tabs>
              <w:spacing w:line="300" w:lineRule="exact"/>
              <w:ind w:firstLine="0"/>
              <w:rPr>
                <w:rFonts w:hint="eastAsia" w:hAnsi="宋体"/>
                <w:sz w:val="21"/>
                <w:szCs w:val="21"/>
              </w:rPr>
            </w:pPr>
            <w:r>
              <w:rPr>
                <w:rFonts w:hint="eastAsia" w:hAnsi="宋体"/>
                <w:sz w:val="21"/>
                <w:szCs w:val="21"/>
              </w:rPr>
              <w:t>接替工作</w:t>
            </w:r>
          </w:p>
        </w:tc>
        <w:tc>
          <w:tcPr>
            <w:tcW w:w="3016" w:type="dxa"/>
            <w:gridSpan w:val="2"/>
            <w:noWrap w:val="0"/>
            <w:vAlign w:val="center"/>
          </w:tcPr>
          <w:p w14:paraId="3249D133">
            <w:pPr>
              <w:pStyle w:val="89"/>
              <w:tabs>
                <w:tab w:val="left" w:pos="4500"/>
              </w:tabs>
              <w:spacing w:line="300" w:lineRule="exact"/>
              <w:ind w:firstLine="0"/>
              <w:jc w:val="left"/>
              <w:rPr>
                <w:rFonts w:hint="eastAsia" w:hAnsi="宋体"/>
                <w:sz w:val="21"/>
                <w:szCs w:val="21"/>
              </w:rPr>
            </w:pPr>
            <w:r>
              <w:rPr>
                <w:rFonts w:hint="eastAsia" w:hAnsi="宋体"/>
                <w:kern w:val="0"/>
                <w:sz w:val="21"/>
                <w:szCs w:val="21"/>
              </w:rPr>
              <w:t>K1-b煤层</w:t>
            </w:r>
            <w:r>
              <w:rPr>
                <w:rFonts w:hint="eastAsia" w:hAnsi="宋体"/>
                <w:sz w:val="21"/>
                <w:szCs w:val="21"/>
              </w:rPr>
              <w:t>井筒东面</w:t>
            </w:r>
            <w:r>
              <w:rPr>
                <w:rFonts w:hint="eastAsia" w:hAnsi="宋体"/>
                <w:kern w:val="0"/>
                <w:sz w:val="21"/>
                <w:szCs w:val="21"/>
              </w:rPr>
              <w:t>101b02运输顺槽掘进工作面和K9煤层井筒西面10901回风顺槽掘进工作面。</w:t>
            </w:r>
          </w:p>
        </w:tc>
        <w:tc>
          <w:tcPr>
            <w:tcW w:w="4276" w:type="dxa"/>
            <w:gridSpan w:val="2"/>
            <w:noWrap w:val="0"/>
            <w:vAlign w:val="center"/>
          </w:tcPr>
          <w:p w14:paraId="328DA8F7">
            <w:pPr>
              <w:pStyle w:val="89"/>
              <w:tabs>
                <w:tab w:val="left" w:pos="4500"/>
              </w:tabs>
              <w:spacing w:line="300" w:lineRule="exact"/>
              <w:ind w:firstLine="0"/>
              <w:jc w:val="left"/>
              <w:rPr>
                <w:rFonts w:hint="eastAsia" w:hAnsi="宋体"/>
                <w:sz w:val="21"/>
                <w:szCs w:val="21"/>
              </w:rPr>
            </w:pPr>
            <w:r>
              <w:rPr>
                <w:rFonts w:hint="eastAsia" w:hAnsi="宋体"/>
                <w:kern w:val="0"/>
                <w:sz w:val="21"/>
                <w:szCs w:val="21"/>
              </w:rPr>
              <w:t>K13煤层井筒西面11135回风顺槽掘进工作面和11135运输顺槽掘进工作面。</w:t>
            </w:r>
          </w:p>
        </w:tc>
      </w:tr>
      <w:tr w14:paraId="5F6A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7673BA10">
            <w:pPr>
              <w:pStyle w:val="89"/>
              <w:tabs>
                <w:tab w:val="left" w:pos="4500"/>
              </w:tabs>
              <w:spacing w:line="300" w:lineRule="exact"/>
              <w:ind w:firstLine="0"/>
              <w:rPr>
                <w:rFonts w:hint="eastAsia" w:hAnsi="宋体"/>
                <w:sz w:val="21"/>
                <w:szCs w:val="21"/>
              </w:rPr>
            </w:pPr>
            <w:r>
              <w:rPr>
                <w:rFonts w:hint="eastAsia" w:hAnsi="宋体"/>
                <w:sz w:val="21"/>
                <w:szCs w:val="21"/>
              </w:rPr>
              <w:t>服务年限</w:t>
            </w:r>
          </w:p>
        </w:tc>
        <w:tc>
          <w:tcPr>
            <w:tcW w:w="3016" w:type="dxa"/>
            <w:gridSpan w:val="2"/>
            <w:noWrap w:val="0"/>
            <w:vAlign w:val="center"/>
          </w:tcPr>
          <w:p w14:paraId="790985AD">
            <w:pPr>
              <w:pStyle w:val="89"/>
              <w:tabs>
                <w:tab w:val="left" w:pos="4500"/>
              </w:tabs>
              <w:spacing w:line="300" w:lineRule="exact"/>
              <w:ind w:firstLine="0"/>
              <w:jc w:val="left"/>
              <w:rPr>
                <w:rFonts w:hint="eastAsia" w:hAnsi="宋体"/>
                <w:kern w:val="0"/>
                <w:sz w:val="21"/>
                <w:szCs w:val="21"/>
              </w:rPr>
            </w:pPr>
            <w:r>
              <w:rPr>
                <w:rFonts w:hint="eastAsia" w:hAnsi="宋体"/>
                <w:kern w:val="0"/>
                <w:sz w:val="21"/>
                <w:szCs w:val="21"/>
              </w:rPr>
              <w:t>9年</w:t>
            </w:r>
          </w:p>
        </w:tc>
        <w:tc>
          <w:tcPr>
            <w:tcW w:w="4276" w:type="dxa"/>
            <w:gridSpan w:val="2"/>
            <w:noWrap w:val="0"/>
            <w:vAlign w:val="center"/>
          </w:tcPr>
          <w:p w14:paraId="3B5BD84A">
            <w:pPr>
              <w:pStyle w:val="89"/>
              <w:tabs>
                <w:tab w:val="left" w:pos="4500"/>
              </w:tabs>
              <w:spacing w:line="300" w:lineRule="exact"/>
              <w:ind w:firstLine="0"/>
              <w:jc w:val="left"/>
              <w:rPr>
                <w:rFonts w:hint="eastAsia" w:hAnsi="宋体"/>
                <w:kern w:val="0"/>
                <w:sz w:val="21"/>
                <w:szCs w:val="21"/>
              </w:rPr>
            </w:pPr>
            <w:r>
              <w:rPr>
                <w:rFonts w:hint="eastAsia" w:hAnsi="宋体"/>
                <w:kern w:val="0"/>
                <w:sz w:val="21"/>
                <w:szCs w:val="21"/>
              </w:rPr>
              <w:t>17.6年</w:t>
            </w:r>
          </w:p>
        </w:tc>
      </w:tr>
      <w:tr w14:paraId="6567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7BC64E6C">
            <w:pPr>
              <w:pStyle w:val="89"/>
              <w:tabs>
                <w:tab w:val="left" w:pos="4500"/>
              </w:tabs>
              <w:spacing w:line="300" w:lineRule="exact"/>
              <w:ind w:firstLine="0"/>
              <w:rPr>
                <w:rFonts w:hint="eastAsia" w:hAnsi="宋体"/>
                <w:sz w:val="21"/>
                <w:szCs w:val="21"/>
              </w:rPr>
            </w:pPr>
            <w:r>
              <w:rPr>
                <w:rFonts w:hint="eastAsia" w:hAnsi="宋体"/>
                <w:sz w:val="21"/>
                <w:szCs w:val="21"/>
              </w:rPr>
              <w:t>建井工期</w:t>
            </w:r>
          </w:p>
        </w:tc>
        <w:tc>
          <w:tcPr>
            <w:tcW w:w="3016" w:type="dxa"/>
            <w:gridSpan w:val="2"/>
            <w:noWrap w:val="0"/>
            <w:vAlign w:val="center"/>
          </w:tcPr>
          <w:p w14:paraId="174FDAB8">
            <w:pPr>
              <w:pStyle w:val="89"/>
              <w:tabs>
                <w:tab w:val="left" w:pos="4500"/>
              </w:tabs>
              <w:spacing w:line="300" w:lineRule="exact"/>
              <w:ind w:firstLine="0"/>
              <w:rPr>
                <w:rFonts w:hint="eastAsia" w:hAnsi="宋体"/>
                <w:sz w:val="21"/>
                <w:szCs w:val="21"/>
              </w:rPr>
            </w:pPr>
            <w:r>
              <w:rPr>
                <w:rFonts w:hint="eastAsia" w:hAnsi="宋体"/>
                <w:sz w:val="21"/>
                <w:szCs w:val="21"/>
              </w:rPr>
              <w:t>建设工期为：24.0个月</w:t>
            </w:r>
          </w:p>
        </w:tc>
        <w:tc>
          <w:tcPr>
            <w:tcW w:w="4276" w:type="dxa"/>
            <w:gridSpan w:val="2"/>
            <w:noWrap w:val="0"/>
            <w:vAlign w:val="center"/>
          </w:tcPr>
          <w:p w14:paraId="555F3134">
            <w:pPr>
              <w:pStyle w:val="89"/>
              <w:tabs>
                <w:tab w:val="left" w:pos="4500"/>
              </w:tabs>
              <w:spacing w:line="300" w:lineRule="exact"/>
              <w:ind w:firstLine="0"/>
              <w:rPr>
                <w:rFonts w:hint="eastAsia" w:hAnsi="宋体"/>
                <w:sz w:val="21"/>
                <w:szCs w:val="21"/>
              </w:rPr>
            </w:pPr>
            <w:r>
              <w:rPr>
                <w:rFonts w:hint="eastAsia" w:hAnsi="宋体"/>
                <w:sz w:val="21"/>
                <w:szCs w:val="21"/>
              </w:rPr>
              <w:t>剩余建设工期：15个月</w:t>
            </w:r>
          </w:p>
        </w:tc>
      </w:tr>
      <w:tr w14:paraId="646F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wAfter w:w="0" w:type="dxa"/>
          <w:trHeight w:val="425" w:hRule="atLeast"/>
          <w:jc w:val="center"/>
        </w:trPr>
        <w:tc>
          <w:tcPr>
            <w:tcW w:w="1727" w:type="dxa"/>
            <w:gridSpan w:val="2"/>
            <w:noWrap w:val="0"/>
            <w:vAlign w:val="center"/>
          </w:tcPr>
          <w:p w14:paraId="34D95B52">
            <w:pPr>
              <w:pStyle w:val="89"/>
              <w:tabs>
                <w:tab w:val="left" w:pos="4500"/>
              </w:tabs>
              <w:spacing w:line="300" w:lineRule="exact"/>
              <w:ind w:firstLine="0"/>
              <w:rPr>
                <w:rFonts w:hint="eastAsia" w:hAnsi="宋体"/>
                <w:sz w:val="21"/>
                <w:szCs w:val="21"/>
              </w:rPr>
            </w:pPr>
            <w:r>
              <w:rPr>
                <w:rFonts w:hint="eastAsia" w:hAnsi="宋体"/>
                <w:sz w:val="21"/>
                <w:szCs w:val="21"/>
              </w:rPr>
              <w:t>项目总投资</w:t>
            </w:r>
          </w:p>
        </w:tc>
        <w:tc>
          <w:tcPr>
            <w:tcW w:w="3016" w:type="dxa"/>
            <w:gridSpan w:val="2"/>
            <w:noWrap w:val="0"/>
            <w:vAlign w:val="center"/>
          </w:tcPr>
          <w:p w14:paraId="0D0CEE82">
            <w:pPr>
              <w:pStyle w:val="89"/>
              <w:tabs>
                <w:tab w:val="left" w:pos="4500"/>
              </w:tabs>
              <w:spacing w:line="300" w:lineRule="exact"/>
              <w:ind w:firstLine="0"/>
              <w:rPr>
                <w:rFonts w:hint="eastAsia" w:hAnsi="宋体"/>
                <w:sz w:val="21"/>
                <w:szCs w:val="21"/>
              </w:rPr>
            </w:pPr>
            <w:r>
              <w:rPr>
                <w:rFonts w:hint="eastAsia" w:hAnsi="宋体"/>
                <w:sz w:val="21"/>
                <w:szCs w:val="21"/>
              </w:rPr>
              <w:t>项目总投资：2786.0万元</w:t>
            </w:r>
          </w:p>
        </w:tc>
        <w:tc>
          <w:tcPr>
            <w:tcW w:w="4276" w:type="dxa"/>
            <w:gridSpan w:val="2"/>
            <w:noWrap w:val="0"/>
            <w:vAlign w:val="center"/>
          </w:tcPr>
          <w:p w14:paraId="0EE23043">
            <w:pPr>
              <w:pStyle w:val="89"/>
              <w:tabs>
                <w:tab w:val="left" w:pos="4500"/>
              </w:tabs>
              <w:spacing w:line="300" w:lineRule="exact"/>
              <w:ind w:firstLine="0"/>
              <w:rPr>
                <w:rFonts w:hint="eastAsia" w:hAnsi="宋体"/>
                <w:sz w:val="21"/>
                <w:szCs w:val="21"/>
              </w:rPr>
            </w:pPr>
            <w:r>
              <w:rPr>
                <w:rFonts w:hint="eastAsia" w:hAnsi="宋体"/>
                <w:sz w:val="21"/>
                <w:szCs w:val="21"/>
              </w:rPr>
              <w:t>项目总投资：10265.62万元</w:t>
            </w:r>
          </w:p>
        </w:tc>
      </w:tr>
    </w:tbl>
    <w:p w14:paraId="2731A4A8">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六</w:t>
      </w:r>
      <w:r>
        <w:rPr>
          <w:b/>
          <w:color w:val="000000"/>
          <w:kern w:val="0"/>
          <w:szCs w:val="20"/>
        </w:rPr>
        <w:t>、</w:t>
      </w:r>
      <w:r>
        <w:rPr>
          <w:rFonts w:hint="eastAsia"/>
          <w:b/>
          <w:color w:val="000000"/>
          <w:kern w:val="0"/>
          <w:szCs w:val="20"/>
        </w:rPr>
        <w:t>变更后的</w:t>
      </w:r>
      <w:r>
        <w:rPr>
          <w:b/>
          <w:color w:val="000000"/>
          <w:kern w:val="0"/>
          <w:szCs w:val="20"/>
        </w:rPr>
        <w:t>主要技术特征</w:t>
      </w:r>
    </w:p>
    <w:p w14:paraId="0C6137CB">
      <w:pPr>
        <w:spacing w:before="120" w:beforeLines="50" w:after="120" w:afterLines="50" w:line="360" w:lineRule="auto"/>
        <w:ind w:firstLine="480" w:firstLineChars="200"/>
        <w:rPr>
          <w:rFonts w:hint="eastAsia" w:ascii="宋体" w:hAnsi="宋体"/>
          <w:sz w:val="24"/>
        </w:rPr>
      </w:pPr>
      <w:r>
        <w:rPr>
          <w:rFonts w:hint="eastAsia" w:ascii="宋体" w:hAnsi="宋体"/>
          <w:sz w:val="24"/>
        </w:rPr>
        <w:t>1、变更后矿井主要技术特征</w:t>
      </w:r>
    </w:p>
    <w:p w14:paraId="5B2459E4">
      <w:pPr>
        <w:spacing w:line="360" w:lineRule="auto"/>
        <w:ind w:firstLine="480" w:firstLineChars="200"/>
        <w:rPr>
          <w:rFonts w:hint="eastAsia" w:ascii="宋体" w:hAnsi="宋体"/>
          <w:sz w:val="24"/>
        </w:rPr>
      </w:pPr>
      <w:r>
        <w:rPr>
          <w:rFonts w:ascii="宋体" w:hAnsi="宋体"/>
          <w:sz w:val="24"/>
        </w:rPr>
        <w:t>水城县玉舍大坪煤矿建设规模为</w:t>
      </w:r>
      <w:r>
        <w:rPr>
          <w:rFonts w:hint="eastAsia" w:ascii="宋体" w:hAnsi="宋体"/>
          <w:sz w:val="24"/>
        </w:rPr>
        <w:t>30万吨/年</w:t>
      </w:r>
      <w:r>
        <w:rPr>
          <w:rFonts w:ascii="宋体" w:hAnsi="宋体"/>
          <w:sz w:val="24"/>
        </w:rPr>
        <w:t>，</w:t>
      </w:r>
      <w:r>
        <w:rPr>
          <w:rFonts w:hint="eastAsia" w:ascii="宋体" w:hAnsi="宋体"/>
          <w:sz w:val="24"/>
        </w:rPr>
        <w:t>矿区为一不规则九边形，矿区走向长约1800m，倾向宽约700m</w:t>
      </w:r>
      <w:r>
        <w:rPr>
          <w:rFonts w:ascii="宋体" w:hAnsi="宋体"/>
          <w:sz w:val="24"/>
        </w:rPr>
        <w:t>，面积</w:t>
      </w:r>
      <w:r>
        <w:rPr>
          <w:rFonts w:hint="eastAsia" w:ascii="宋体" w:hAnsi="宋体"/>
          <w:sz w:val="24"/>
        </w:rPr>
        <w:t>1.2268km</w:t>
      </w:r>
      <w:r>
        <w:rPr>
          <w:rFonts w:ascii="宋体" w:hAnsi="宋体"/>
          <w:sz w:val="24"/>
          <w:vertAlign w:val="superscript"/>
        </w:rPr>
        <w:t>2</w:t>
      </w:r>
      <w:r>
        <w:rPr>
          <w:rFonts w:hint="eastAsia" w:ascii="宋体" w:hAnsi="宋体"/>
          <w:sz w:val="24"/>
        </w:rPr>
        <w:t>，准采标高为1450～2040m标高</w:t>
      </w:r>
      <w:r>
        <w:rPr>
          <w:rFonts w:ascii="宋体" w:hAnsi="宋体"/>
          <w:sz w:val="24"/>
        </w:rPr>
        <w:t>之间。</w:t>
      </w:r>
    </w:p>
    <w:p w14:paraId="03689071">
      <w:pPr>
        <w:spacing w:line="360" w:lineRule="auto"/>
        <w:ind w:firstLine="480" w:firstLineChars="200"/>
        <w:rPr>
          <w:rFonts w:hint="eastAsia" w:ascii="宋体" w:hAnsi="宋体"/>
          <w:sz w:val="24"/>
        </w:rPr>
      </w:pPr>
      <w:r>
        <w:rPr>
          <w:rFonts w:hint="eastAsia" w:ascii="宋体" w:hAnsi="宋体"/>
          <w:sz w:val="24"/>
        </w:rPr>
        <w:t>利用</w:t>
      </w:r>
      <w:r>
        <w:rPr>
          <w:rFonts w:ascii="宋体" w:hAnsi="宋体"/>
          <w:sz w:val="24"/>
        </w:rPr>
        <w:t>水城县玉舍大坪煤矿</w:t>
      </w:r>
      <w:r>
        <w:rPr>
          <w:rFonts w:hint="eastAsia" w:ascii="宋体" w:hAnsi="宋体"/>
          <w:sz w:val="24"/>
        </w:rPr>
        <w:t>原</w:t>
      </w:r>
      <w:r>
        <w:rPr>
          <w:rFonts w:ascii="宋体" w:hAnsi="宋体"/>
          <w:sz w:val="24"/>
        </w:rPr>
        <w:t>工业场地</w:t>
      </w:r>
      <w:r>
        <w:rPr>
          <w:rFonts w:hint="eastAsia" w:ascii="宋体" w:hAnsi="宋体"/>
          <w:sz w:val="24"/>
        </w:rPr>
        <w:t>及开拓系统进行改造，采用斜井开拓全井田。</w:t>
      </w:r>
    </w:p>
    <w:p w14:paraId="05286CE8">
      <w:pPr>
        <w:spacing w:line="360" w:lineRule="auto"/>
        <w:ind w:firstLine="480" w:firstLineChars="200"/>
        <w:rPr>
          <w:rFonts w:hint="eastAsia" w:ascii="宋体" w:hAnsi="宋体"/>
          <w:sz w:val="24"/>
        </w:rPr>
      </w:pPr>
      <w:r>
        <w:rPr>
          <w:rFonts w:hint="eastAsia" w:ascii="宋体" w:hAnsi="宋体"/>
          <w:sz w:val="24"/>
        </w:rPr>
        <w:t>主斜井井口坐标：X＝2933009，Y＝</w:t>
      </w:r>
      <w:r>
        <w:rPr>
          <w:rFonts w:ascii="宋体" w:hAnsi="宋体"/>
          <w:sz w:val="24"/>
        </w:rPr>
        <w:t>35475035</w:t>
      </w:r>
      <w:r>
        <w:rPr>
          <w:rFonts w:hint="eastAsia" w:ascii="宋体" w:hAnsi="宋体"/>
          <w:sz w:val="24"/>
        </w:rPr>
        <w:t>，Z＝+</w:t>
      </w:r>
      <w:r>
        <w:rPr>
          <w:rFonts w:ascii="宋体" w:hAnsi="宋体"/>
          <w:sz w:val="24"/>
        </w:rPr>
        <w:t xml:space="preserve"> 1979</w:t>
      </w:r>
      <w:r>
        <w:rPr>
          <w:rFonts w:hint="eastAsia" w:ascii="宋体" w:hAnsi="宋体"/>
          <w:sz w:val="24"/>
        </w:rPr>
        <w:t>m；主斜井在K35-b煤层底板开口，采用穿层布置，以222°的方位，19°的倾角穿层至+1818.0m标高落平。</w:t>
      </w:r>
    </w:p>
    <w:p w14:paraId="056AC927">
      <w:pPr>
        <w:spacing w:line="360" w:lineRule="auto"/>
        <w:ind w:firstLine="480" w:firstLineChars="200"/>
        <w:rPr>
          <w:rFonts w:hint="eastAsia" w:ascii="宋体" w:hAnsi="宋体"/>
          <w:sz w:val="24"/>
        </w:rPr>
      </w:pPr>
      <w:r>
        <w:rPr>
          <w:rFonts w:hint="eastAsia" w:ascii="宋体" w:hAnsi="宋体"/>
          <w:sz w:val="24"/>
        </w:rPr>
        <w:t>副斜井井口坐标：X＝2933012，Y＝</w:t>
      </w:r>
      <w:r>
        <w:rPr>
          <w:rFonts w:ascii="宋体" w:hAnsi="宋体"/>
          <w:sz w:val="24"/>
        </w:rPr>
        <w:t>35475171</w:t>
      </w:r>
      <w:r>
        <w:rPr>
          <w:rFonts w:hint="eastAsia" w:ascii="宋体" w:hAnsi="宋体"/>
          <w:sz w:val="24"/>
        </w:rPr>
        <w:t>，Z＝+</w:t>
      </w:r>
      <w:r>
        <w:rPr>
          <w:rFonts w:ascii="宋体" w:hAnsi="宋体"/>
          <w:sz w:val="24"/>
        </w:rPr>
        <w:t xml:space="preserve"> 1988</w:t>
      </w:r>
      <w:r>
        <w:rPr>
          <w:rFonts w:hint="eastAsia" w:ascii="宋体" w:hAnsi="宋体"/>
          <w:sz w:val="24"/>
        </w:rPr>
        <w:t xml:space="preserve"> m；副斜井在K35-b煤层底板开口，沿K35-b煤层底板布置，以222°的方位，25°的倾角穿层至+1835.0m标高落平。</w:t>
      </w:r>
    </w:p>
    <w:p w14:paraId="3217F675">
      <w:pPr>
        <w:spacing w:line="360" w:lineRule="auto"/>
        <w:ind w:firstLine="480" w:firstLineChars="200"/>
        <w:rPr>
          <w:rFonts w:hint="eastAsia" w:ascii="宋体" w:hAnsi="宋体"/>
          <w:sz w:val="24"/>
        </w:rPr>
      </w:pPr>
      <w:r>
        <w:rPr>
          <w:rFonts w:hint="eastAsia" w:ascii="宋体" w:hAnsi="宋体"/>
          <w:sz w:val="24"/>
        </w:rPr>
        <w:t>回风斜井井口坐标：X＝2933054，Y＝</w:t>
      </w:r>
      <w:r>
        <w:rPr>
          <w:rFonts w:ascii="宋体" w:hAnsi="宋体"/>
          <w:sz w:val="24"/>
        </w:rPr>
        <w:t>35475157</w:t>
      </w:r>
      <w:r>
        <w:rPr>
          <w:rFonts w:hint="eastAsia" w:ascii="宋体" w:hAnsi="宋体"/>
          <w:sz w:val="24"/>
        </w:rPr>
        <w:t>，Z＝＋</w:t>
      </w:r>
      <w:r>
        <w:rPr>
          <w:rFonts w:ascii="宋体" w:hAnsi="宋体"/>
          <w:sz w:val="24"/>
        </w:rPr>
        <w:t>1998</w:t>
      </w:r>
      <w:r>
        <w:rPr>
          <w:rFonts w:hint="eastAsia" w:ascii="宋体" w:hAnsi="宋体"/>
          <w:sz w:val="24"/>
        </w:rPr>
        <w:t>m；回风斜井在K26煤层底板开口，采用穿层布置，以227°的方位，26°的倾角穿层至+1835.0m标高落平。</w:t>
      </w:r>
    </w:p>
    <w:p w14:paraId="56794A94">
      <w:pPr>
        <w:spacing w:line="360" w:lineRule="auto"/>
        <w:ind w:firstLine="480" w:firstLineChars="200"/>
        <w:rPr>
          <w:rFonts w:hint="eastAsia" w:ascii="宋体" w:hAnsi="宋体"/>
          <w:sz w:val="24"/>
        </w:rPr>
      </w:pPr>
      <w:r>
        <w:rPr>
          <w:rFonts w:hint="eastAsia" w:ascii="宋体" w:hAnsi="宋体"/>
          <w:sz w:val="24"/>
        </w:rPr>
        <w:t>主斜井、副斜井、回风斜井落平后通过联络斜巷、联络巷及石门连接，在+1835.0m标高运输石门与轨道石门之间布置水泵房、主副水仓，在133轨道石门与回风斜井之间布置变电所形成矿井一采区开拓系统，目前矿井一采区开拓系统已经形成。</w:t>
      </w:r>
    </w:p>
    <w:p w14:paraId="109383B3">
      <w:pPr>
        <w:spacing w:line="360" w:lineRule="auto"/>
        <w:ind w:firstLine="480" w:firstLineChars="200"/>
        <w:rPr>
          <w:rFonts w:hint="eastAsia"/>
          <w:sz w:val="24"/>
        </w:rPr>
      </w:pPr>
      <w:r>
        <w:rPr>
          <w:rFonts w:hint="eastAsia" w:ascii="宋体" w:hAnsi="宋体"/>
          <w:sz w:val="24"/>
        </w:rPr>
        <w:t>主斜井、副斜井、回风斜井通过石门连接各煤层，再沿煤层走向布置回采工作面运输顺槽、回风顺槽至采区（井田）边界，通过切眼勾通上、下顺槽，构成回采工作面进、回风系统，形成矿井一采区生产系统</w:t>
      </w:r>
      <w:r>
        <w:rPr>
          <w:rFonts w:hint="eastAsia"/>
          <w:sz w:val="24"/>
        </w:rPr>
        <w:t>。</w:t>
      </w:r>
    </w:p>
    <w:p w14:paraId="06DC8D8C">
      <w:pPr>
        <w:spacing w:line="360" w:lineRule="auto"/>
        <w:ind w:firstLine="480" w:firstLineChars="200"/>
        <w:rPr>
          <w:rFonts w:hint="eastAsia" w:ascii="宋体" w:hAnsi="宋体"/>
          <w:sz w:val="24"/>
        </w:rPr>
      </w:pPr>
      <w:r>
        <w:rPr>
          <w:rFonts w:hint="eastAsia" w:ascii="宋体" w:hAnsi="宋体"/>
          <w:sz w:val="24"/>
        </w:rPr>
        <w:t>全矿井划分为两个水平五个采区开采，设计</w:t>
      </w:r>
      <w:r>
        <w:rPr>
          <w:rFonts w:hint="eastAsia" w:ascii="宋体" w:hAnsi="宋体" w:cs="宋体"/>
          <w:sz w:val="24"/>
        </w:rPr>
        <w:t>矿井东面上、下组煤划分为</w:t>
      </w:r>
      <w:r>
        <w:rPr>
          <w:rFonts w:hint="eastAsia" w:ascii="宋体" w:hAnsi="宋体"/>
          <w:sz w:val="24"/>
        </w:rPr>
        <w:t>两个水平三个采区开采，水平标高：一水平标高+1835.0m、二水平标高+1658.0m；矿井西面上、下组煤划分为一个水平两个采区上、下山开采，水平标高：+1835.0m；矿井东、西面通过+1835.0m水平运输大巷连接，设计以一个普采工作面，两个掘进工作面达到设计生产能力，采煤方法为走向长壁后退式采煤法。</w:t>
      </w:r>
    </w:p>
    <w:p w14:paraId="41B7583D">
      <w:pPr>
        <w:spacing w:line="360" w:lineRule="auto"/>
        <w:ind w:firstLine="480" w:firstLineChars="200"/>
        <w:rPr>
          <w:rFonts w:hint="eastAsia" w:ascii="宋体" w:hAnsi="宋体"/>
          <w:sz w:val="24"/>
        </w:rPr>
      </w:pPr>
      <w:r>
        <w:rPr>
          <w:rFonts w:hint="eastAsia" w:ascii="宋体" w:hAnsi="宋体"/>
          <w:sz w:val="24"/>
        </w:rPr>
        <w:t>主体工程量：主斜井506m、副斜井327m、回风斜井376m。矿井采用机械通风，通风方式：中央并列式，通风方法：抽出式。</w:t>
      </w:r>
    </w:p>
    <w:p w14:paraId="0E8DA30A">
      <w:pPr>
        <w:spacing w:line="360" w:lineRule="auto"/>
        <w:ind w:firstLine="480" w:firstLineChars="200"/>
        <w:rPr>
          <w:rFonts w:hint="eastAsia" w:ascii="宋体" w:hAnsi="宋体"/>
          <w:sz w:val="24"/>
        </w:rPr>
      </w:pPr>
      <w:r>
        <w:rPr>
          <w:rFonts w:hint="eastAsia" w:ascii="宋体" w:hAnsi="宋体"/>
          <w:sz w:val="24"/>
        </w:rPr>
        <w:t>主斜井铺设带式输送机运输，担负矿井辅助进风、煤炭运输、管线铺设等任务，副斜井铺设30kg/m轨道，轨道距600mm，担负矿井主要进风、设备、材料、矸石运输、人员运送及管线铺设等任务，回风斜井为矿井专用回风井，担负矿井专用回风任务，原煤通过主斜井胶带输送机运输至地面工业场地储煤场装车外运</w:t>
      </w:r>
      <w:r>
        <w:rPr>
          <w:rFonts w:ascii="宋体" w:hAnsi="宋体"/>
          <w:sz w:val="24"/>
        </w:rPr>
        <w:t>。</w:t>
      </w:r>
    </w:p>
    <w:p w14:paraId="221AAA28">
      <w:pPr>
        <w:spacing w:line="360" w:lineRule="auto"/>
        <w:ind w:firstLine="480" w:firstLineChars="200"/>
        <w:rPr>
          <w:rFonts w:hint="eastAsia" w:ascii="宋体" w:hAnsi="宋体"/>
          <w:sz w:val="24"/>
        </w:rPr>
      </w:pPr>
      <w:r>
        <w:rPr>
          <w:rFonts w:hint="eastAsia" w:ascii="宋体" w:hAnsi="宋体"/>
          <w:sz w:val="24"/>
        </w:rPr>
        <w:t>斜井开拓方案，详见</w:t>
      </w:r>
      <w:r>
        <w:rPr>
          <w:rFonts w:hint="eastAsia" w:ascii="宋体" w:hAnsi="宋体"/>
          <w:b/>
          <w:sz w:val="24"/>
        </w:rPr>
        <w:t>图2 开拓系统平面图、图3 开拓系统剖面图</w:t>
      </w:r>
      <w:r>
        <w:rPr>
          <w:rFonts w:ascii="宋体" w:hAnsi="宋体"/>
          <w:sz w:val="24"/>
        </w:rPr>
        <w:t>。</w:t>
      </w:r>
    </w:p>
    <w:p w14:paraId="2B6B34F0">
      <w:pPr>
        <w:spacing w:before="120" w:beforeLines="50" w:after="120" w:afterLines="50" w:line="360" w:lineRule="auto"/>
        <w:ind w:firstLine="480" w:firstLineChars="200"/>
        <w:rPr>
          <w:rFonts w:hint="eastAsia" w:ascii="宋体" w:hAnsi="宋体"/>
          <w:sz w:val="24"/>
        </w:rPr>
      </w:pPr>
      <w:r>
        <w:rPr>
          <w:rFonts w:hint="eastAsia" w:ascii="宋体" w:hAnsi="宋体"/>
          <w:sz w:val="24"/>
        </w:rPr>
        <w:t>2</w:t>
      </w:r>
      <w:r>
        <w:rPr>
          <w:rFonts w:ascii="宋体" w:hAnsi="宋体"/>
          <w:sz w:val="24"/>
        </w:rPr>
        <w:t>、</w:t>
      </w:r>
      <w:r>
        <w:rPr>
          <w:rFonts w:hint="eastAsia" w:ascii="宋体" w:hAnsi="宋体"/>
          <w:sz w:val="24"/>
        </w:rPr>
        <w:t>变更后矿井</w:t>
      </w:r>
      <w:r>
        <w:rPr>
          <w:rFonts w:ascii="宋体" w:hAnsi="宋体"/>
          <w:sz w:val="24"/>
        </w:rPr>
        <w:t>投资及效益情况</w:t>
      </w:r>
    </w:p>
    <w:p w14:paraId="7DE2FEDC">
      <w:pPr>
        <w:spacing w:line="360" w:lineRule="auto"/>
        <w:ind w:firstLine="480" w:firstLineChars="200"/>
        <w:rPr>
          <w:rFonts w:ascii="宋体" w:hAnsi="宋体"/>
          <w:kern w:val="10"/>
          <w:sz w:val="24"/>
          <w:szCs w:val="20"/>
        </w:rPr>
      </w:pPr>
      <w:r>
        <w:rPr>
          <w:rFonts w:ascii="宋体" w:hAnsi="宋体"/>
          <w:kern w:val="10"/>
          <w:sz w:val="24"/>
          <w:szCs w:val="20"/>
        </w:rPr>
        <w:t>项目总投资</w:t>
      </w:r>
      <w:r>
        <w:rPr>
          <w:rFonts w:hint="eastAsia" w:ascii="宋体" w:hAnsi="宋体"/>
          <w:sz w:val="24"/>
        </w:rPr>
        <w:t>10265.62</w:t>
      </w:r>
      <w:r>
        <w:rPr>
          <w:rFonts w:ascii="宋体" w:hAnsi="宋体"/>
          <w:kern w:val="10"/>
          <w:sz w:val="24"/>
          <w:szCs w:val="20"/>
        </w:rPr>
        <w:t>万元，吨煤投资</w:t>
      </w:r>
      <w:r>
        <w:rPr>
          <w:rFonts w:hint="eastAsia" w:ascii="宋体" w:hAnsi="宋体"/>
          <w:kern w:val="10"/>
          <w:sz w:val="24"/>
          <w:szCs w:val="20"/>
        </w:rPr>
        <w:t>342.19</w:t>
      </w:r>
      <w:r>
        <w:rPr>
          <w:rFonts w:ascii="宋体" w:hAnsi="宋体"/>
          <w:kern w:val="10"/>
          <w:sz w:val="24"/>
          <w:szCs w:val="20"/>
        </w:rPr>
        <w:t>元。经估算，矿井达到设计生产能力后，年总成本费用为</w:t>
      </w:r>
      <w:r>
        <w:rPr>
          <w:rFonts w:hint="eastAsia" w:ascii="宋体" w:hAnsi="宋体"/>
          <w:kern w:val="10"/>
          <w:sz w:val="24"/>
          <w:szCs w:val="20"/>
        </w:rPr>
        <w:t>5837.1</w:t>
      </w:r>
      <w:r>
        <w:rPr>
          <w:rFonts w:ascii="宋体" w:hAnsi="宋体"/>
          <w:kern w:val="10"/>
          <w:sz w:val="24"/>
          <w:szCs w:val="20"/>
        </w:rPr>
        <w:t>万元，单位总成本</w:t>
      </w:r>
      <w:r>
        <w:rPr>
          <w:rFonts w:hint="eastAsia" w:ascii="宋体" w:hAnsi="宋体"/>
          <w:kern w:val="10"/>
          <w:sz w:val="24"/>
          <w:szCs w:val="20"/>
        </w:rPr>
        <w:t>194.57</w:t>
      </w:r>
      <w:r>
        <w:rPr>
          <w:rFonts w:ascii="宋体" w:hAnsi="宋体"/>
          <w:kern w:val="10"/>
          <w:sz w:val="24"/>
          <w:szCs w:val="20"/>
        </w:rPr>
        <w:t>元/吨，经营成本</w:t>
      </w:r>
      <w:r>
        <w:rPr>
          <w:rFonts w:hint="eastAsia" w:ascii="宋体" w:hAnsi="宋体"/>
          <w:kern w:val="10"/>
          <w:sz w:val="24"/>
          <w:szCs w:val="20"/>
        </w:rPr>
        <w:t>144.91</w:t>
      </w:r>
      <w:r>
        <w:rPr>
          <w:rFonts w:ascii="宋体" w:hAnsi="宋体"/>
          <w:kern w:val="10"/>
          <w:sz w:val="24"/>
          <w:szCs w:val="20"/>
        </w:rPr>
        <w:t>元/吨；年销售收入</w:t>
      </w:r>
      <w:r>
        <w:rPr>
          <w:rFonts w:hint="eastAsia" w:ascii="宋体" w:hAnsi="宋体"/>
          <w:kern w:val="10"/>
          <w:sz w:val="24"/>
          <w:szCs w:val="20"/>
        </w:rPr>
        <w:t>10500</w:t>
      </w:r>
      <w:r>
        <w:rPr>
          <w:rFonts w:ascii="宋体" w:hAnsi="宋体"/>
          <w:kern w:val="10"/>
          <w:sz w:val="24"/>
          <w:szCs w:val="20"/>
        </w:rPr>
        <w:t>万元，年销售税金及附加为</w:t>
      </w:r>
      <w:r>
        <w:rPr>
          <w:rFonts w:hint="eastAsia" w:ascii="宋体" w:hAnsi="宋体"/>
          <w:kern w:val="10"/>
          <w:sz w:val="24"/>
          <w:szCs w:val="20"/>
        </w:rPr>
        <w:t>515.1</w:t>
      </w:r>
      <w:r>
        <w:rPr>
          <w:rFonts w:ascii="宋体" w:hAnsi="宋体"/>
          <w:kern w:val="10"/>
          <w:sz w:val="24"/>
          <w:szCs w:val="20"/>
        </w:rPr>
        <w:t>万元；项目的各项财务评价指标均可行，具有</w:t>
      </w:r>
      <w:r>
        <w:rPr>
          <w:rFonts w:hint="eastAsia" w:ascii="宋体" w:hAnsi="宋体"/>
          <w:kern w:val="10"/>
          <w:sz w:val="24"/>
          <w:szCs w:val="20"/>
        </w:rPr>
        <w:t>较好</w:t>
      </w:r>
      <w:r>
        <w:rPr>
          <w:rFonts w:ascii="宋体" w:hAnsi="宋体"/>
          <w:kern w:val="10"/>
          <w:sz w:val="24"/>
          <w:szCs w:val="20"/>
        </w:rPr>
        <w:t>的投资效益</w:t>
      </w:r>
      <w:r>
        <w:rPr>
          <w:rFonts w:hint="eastAsia" w:ascii="宋体" w:hAnsi="宋体"/>
          <w:kern w:val="10"/>
          <w:sz w:val="24"/>
          <w:szCs w:val="20"/>
        </w:rPr>
        <w:t>，较强的盈利能力、清偿能力</w:t>
      </w:r>
      <w:r>
        <w:rPr>
          <w:rFonts w:ascii="宋体" w:hAnsi="宋体"/>
          <w:kern w:val="10"/>
          <w:sz w:val="24"/>
          <w:szCs w:val="20"/>
        </w:rPr>
        <w:t>和抗风险能力。</w:t>
      </w:r>
    </w:p>
    <w:p w14:paraId="2FA3B889">
      <w:pPr>
        <w:spacing w:before="120" w:beforeLines="50" w:after="120" w:afterLines="50"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变更后</w:t>
      </w:r>
      <w:r>
        <w:rPr>
          <w:rFonts w:ascii="宋体" w:hAnsi="宋体"/>
          <w:sz w:val="24"/>
        </w:rPr>
        <w:t>主要技术经济指标</w:t>
      </w:r>
    </w:p>
    <w:p w14:paraId="15A36DB5">
      <w:pPr>
        <w:spacing w:line="360" w:lineRule="auto"/>
        <w:ind w:firstLine="480" w:firstLineChars="200"/>
        <w:rPr>
          <w:rFonts w:ascii="宋体" w:hAnsi="宋体"/>
          <w:sz w:val="24"/>
        </w:rPr>
      </w:pPr>
      <w:r>
        <w:rPr>
          <w:rFonts w:ascii="宋体" w:hAnsi="宋体"/>
          <w:sz w:val="24"/>
        </w:rPr>
        <w:t>（1）矿井建设规模：</w:t>
      </w:r>
      <w:r>
        <w:rPr>
          <w:rFonts w:hint="eastAsia" w:ascii="宋体" w:hAnsi="宋体"/>
          <w:sz w:val="24"/>
        </w:rPr>
        <w:t>30</w:t>
      </w:r>
      <w:r>
        <w:rPr>
          <w:rFonts w:ascii="宋体" w:hAnsi="宋体"/>
          <w:sz w:val="24"/>
        </w:rPr>
        <w:t>万吨/年；</w:t>
      </w:r>
    </w:p>
    <w:p w14:paraId="5C1729ED">
      <w:pPr>
        <w:spacing w:line="360" w:lineRule="auto"/>
        <w:ind w:firstLine="480" w:firstLineChars="200"/>
        <w:rPr>
          <w:rFonts w:ascii="宋体" w:hAnsi="宋体"/>
          <w:sz w:val="24"/>
        </w:rPr>
      </w:pPr>
      <w:r>
        <w:rPr>
          <w:rFonts w:ascii="宋体" w:hAnsi="宋体"/>
          <w:sz w:val="24"/>
        </w:rPr>
        <w:t>（2）矿井服务年限：</w:t>
      </w:r>
      <w:r>
        <w:rPr>
          <w:rFonts w:hint="eastAsia" w:ascii="宋体" w:hAnsi="宋体"/>
          <w:sz w:val="24"/>
        </w:rPr>
        <w:t>17.6</w:t>
      </w:r>
      <w:r>
        <w:rPr>
          <w:rFonts w:ascii="宋体" w:hAnsi="宋体"/>
          <w:sz w:val="24"/>
        </w:rPr>
        <w:t>a；</w:t>
      </w:r>
    </w:p>
    <w:p w14:paraId="27B45176">
      <w:pPr>
        <w:spacing w:line="360" w:lineRule="auto"/>
        <w:ind w:firstLine="480" w:firstLineChars="200"/>
        <w:rPr>
          <w:rFonts w:ascii="宋体" w:hAnsi="宋体"/>
          <w:sz w:val="24"/>
        </w:rPr>
      </w:pPr>
      <w:r>
        <w:rPr>
          <w:rFonts w:ascii="宋体" w:hAnsi="宋体"/>
          <w:sz w:val="24"/>
        </w:rPr>
        <w:t>（3）开拓方式：</w:t>
      </w:r>
      <w:r>
        <w:rPr>
          <w:rFonts w:hint="eastAsia" w:ascii="宋体" w:hAnsi="宋体"/>
          <w:sz w:val="24"/>
        </w:rPr>
        <w:t>斜井开拓</w:t>
      </w:r>
      <w:r>
        <w:rPr>
          <w:rFonts w:ascii="宋体" w:hAnsi="宋体"/>
          <w:sz w:val="24"/>
        </w:rPr>
        <w:t>；</w:t>
      </w:r>
    </w:p>
    <w:p w14:paraId="535B271D">
      <w:pPr>
        <w:spacing w:line="360" w:lineRule="auto"/>
        <w:ind w:firstLine="480" w:firstLineChars="200"/>
        <w:rPr>
          <w:rFonts w:ascii="宋体" w:hAnsi="宋体"/>
          <w:sz w:val="24"/>
        </w:rPr>
      </w:pPr>
      <w:r>
        <w:rPr>
          <w:rFonts w:ascii="宋体" w:hAnsi="宋体"/>
          <w:sz w:val="24"/>
        </w:rPr>
        <w:t>（4）</w:t>
      </w:r>
      <w:r>
        <w:rPr>
          <w:rFonts w:hint="eastAsia" w:ascii="宋体" w:hAnsi="宋体"/>
          <w:sz w:val="24"/>
        </w:rPr>
        <w:t>达产时</w:t>
      </w:r>
      <w:r>
        <w:rPr>
          <w:rFonts w:ascii="宋体" w:hAnsi="宋体"/>
          <w:sz w:val="24"/>
        </w:rPr>
        <w:t>采区及工作面个数：</w:t>
      </w:r>
      <w:r>
        <w:rPr>
          <w:rFonts w:hint="eastAsia" w:ascii="宋体" w:hAnsi="宋体"/>
          <w:sz w:val="24"/>
        </w:rPr>
        <w:t>一个采区生产、一个普采工作面，二个掘工作面</w:t>
      </w:r>
      <w:r>
        <w:rPr>
          <w:rFonts w:ascii="宋体" w:hAnsi="宋体"/>
          <w:sz w:val="24"/>
        </w:rPr>
        <w:t>；</w:t>
      </w:r>
    </w:p>
    <w:p w14:paraId="097B4FAA">
      <w:pPr>
        <w:spacing w:line="360" w:lineRule="auto"/>
        <w:ind w:firstLine="480" w:firstLineChars="200"/>
        <w:rPr>
          <w:rFonts w:hint="eastAsia" w:ascii="宋体" w:hAnsi="宋体"/>
        </w:rPr>
      </w:pPr>
      <w:r>
        <w:rPr>
          <w:rFonts w:ascii="宋体" w:hAnsi="宋体"/>
          <w:sz w:val="24"/>
        </w:rPr>
        <w:t>（5）采煤方法：</w:t>
      </w:r>
      <w:r>
        <w:rPr>
          <w:rFonts w:hint="eastAsia" w:ascii="宋体" w:hAnsi="宋体"/>
          <w:sz w:val="24"/>
        </w:rPr>
        <w:t>走向长壁</w:t>
      </w:r>
      <w:r>
        <w:rPr>
          <w:rFonts w:ascii="宋体" w:hAnsi="宋体"/>
          <w:sz w:val="24"/>
        </w:rPr>
        <w:t>采煤法，后退式回采，全部垮落法管理顶板</w:t>
      </w:r>
      <w:r>
        <w:rPr>
          <w:rFonts w:hint="eastAsia" w:ascii="宋体" w:hAnsi="宋体"/>
          <w:sz w:val="24"/>
        </w:rPr>
        <w:t>；</w:t>
      </w:r>
    </w:p>
    <w:p w14:paraId="1D5E2932">
      <w:pPr>
        <w:spacing w:line="360" w:lineRule="auto"/>
        <w:ind w:firstLine="480" w:firstLineChars="200"/>
        <w:rPr>
          <w:rFonts w:hint="eastAsia" w:ascii="宋体" w:hAnsi="宋体"/>
          <w:sz w:val="24"/>
        </w:rPr>
      </w:pPr>
      <w:r>
        <w:rPr>
          <w:rFonts w:ascii="宋体" w:hAnsi="宋体"/>
          <w:sz w:val="24"/>
        </w:rPr>
        <w:t>（6）井巷工程量：矿井移交时井巷工程量为</w:t>
      </w:r>
      <w:r>
        <w:rPr>
          <w:rFonts w:hint="eastAsia" w:ascii="宋体" w:hAnsi="宋体"/>
          <w:sz w:val="24"/>
        </w:rPr>
        <w:t>4806m</w:t>
      </w:r>
      <w:r>
        <w:rPr>
          <w:rFonts w:ascii="宋体" w:hAnsi="宋体"/>
          <w:sz w:val="24"/>
        </w:rPr>
        <w:t>，其中</w:t>
      </w:r>
      <w:r>
        <w:rPr>
          <w:rFonts w:hint="eastAsia" w:ascii="宋体" w:hAnsi="宋体"/>
          <w:sz w:val="24"/>
        </w:rPr>
        <w:t>：煤巷1675m</w:t>
      </w:r>
      <w:r>
        <w:rPr>
          <w:rFonts w:ascii="宋体" w:hAnsi="宋体"/>
          <w:sz w:val="24"/>
        </w:rPr>
        <w:t>，岩巷</w:t>
      </w:r>
      <w:r>
        <w:rPr>
          <w:rFonts w:hint="eastAsia" w:ascii="宋体" w:hAnsi="宋体"/>
          <w:sz w:val="24"/>
        </w:rPr>
        <w:t>3131m（新掘巷道2104m、利用原有巷道2702m）；</w:t>
      </w:r>
      <w:r>
        <w:rPr>
          <w:rFonts w:ascii="宋体" w:hAnsi="宋体"/>
          <w:sz w:val="24"/>
        </w:rPr>
        <w:t>掘进体积</w:t>
      </w:r>
      <w:r>
        <w:rPr>
          <w:rFonts w:hint="eastAsia" w:ascii="宋体" w:hAnsi="宋体"/>
          <w:sz w:val="24"/>
        </w:rPr>
        <w:t>为37921.3m</w:t>
      </w:r>
      <w:r>
        <w:rPr>
          <w:rFonts w:ascii="宋体" w:hAnsi="宋体"/>
          <w:sz w:val="24"/>
          <w:vertAlign w:val="superscript"/>
        </w:rPr>
        <w:t>3</w:t>
      </w:r>
      <w:r>
        <w:rPr>
          <w:rFonts w:hint="eastAsia" w:ascii="宋体" w:hAnsi="宋体"/>
          <w:sz w:val="24"/>
        </w:rPr>
        <w:t>。</w:t>
      </w:r>
    </w:p>
    <w:p w14:paraId="5D8D08A0">
      <w:pPr>
        <w:spacing w:line="360" w:lineRule="auto"/>
        <w:ind w:firstLine="480" w:firstLineChars="200"/>
        <w:rPr>
          <w:rFonts w:ascii="宋体" w:hAnsi="宋体"/>
          <w:sz w:val="24"/>
        </w:rPr>
      </w:pPr>
      <w:r>
        <w:rPr>
          <w:rFonts w:ascii="宋体" w:hAnsi="宋体"/>
          <w:sz w:val="24"/>
        </w:rPr>
        <w:t>（7）万</w:t>
      </w:r>
      <w:r>
        <w:rPr>
          <w:rFonts w:hint="eastAsia" w:ascii="宋体" w:hAnsi="宋体"/>
          <w:sz w:val="24"/>
        </w:rPr>
        <w:t>吨</w:t>
      </w:r>
      <w:r>
        <w:rPr>
          <w:rFonts w:ascii="宋体" w:hAnsi="宋体"/>
          <w:sz w:val="24"/>
        </w:rPr>
        <w:t>掘进率：</w:t>
      </w:r>
      <w:r>
        <w:rPr>
          <w:rFonts w:hint="eastAsia" w:ascii="宋体" w:hAnsi="宋体"/>
          <w:sz w:val="24"/>
        </w:rPr>
        <w:t>160.2m/万吨</w:t>
      </w:r>
      <w:r>
        <w:rPr>
          <w:rFonts w:ascii="宋体" w:hAnsi="宋体"/>
          <w:sz w:val="24"/>
        </w:rPr>
        <w:t>；</w:t>
      </w:r>
    </w:p>
    <w:p w14:paraId="51C376BE">
      <w:pPr>
        <w:spacing w:line="360" w:lineRule="auto"/>
        <w:ind w:firstLine="480" w:firstLineChars="200"/>
        <w:rPr>
          <w:rFonts w:ascii="宋体" w:hAnsi="宋体"/>
          <w:sz w:val="24"/>
        </w:rPr>
      </w:pPr>
      <w:r>
        <w:rPr>
          <w:rFonts w:ascii="宋体" w:hAnsi="宋体"/>
          <w:sz w:val="24"/>
        </w:rPr>
        <w:t>（8）矿井全员效率：</w:t>
      </w:r>
      <w:r>
        <w:rPr>
          <w:rFonts w:hint="eastAsia" w:ascii="宋体" w:hAnsi="宋体"/>
          <w:sz w:val="24"/>
        </w:rPr>
        <w:t>4.08</w:t>
      </w:r>
      <w:r>
        <w:rPr>
          <w:rFonts w:ascii="宋体" w:hAnsi="宋体"/>
          <w:sz w:val="24"/>
        </w:rPr>
        <w:t>t/工；</w:t>
      </w:r>
    </w:p>
    <w:p w14:paraId="3205B949">
      <w:pPr>
        <w:spacing w:line="360" w:lineRule="auto"/>
        <w:ind w:firstLine="480" w:firstLineChars="200"/>
        <w:rPr>
          <w:rFonts w:ascii="宋体" w:hAnsi="宋体"/>
          <w:sz w:val="24"/>
        </w:rPr>
      </w:pPr>
      <w:r>
        <w:rPr>
          <w:rFonts w:ascii="宋体" w:hAnsi="宋体"/>
          <w:sz w:val="24"/>
        </w:rPr>
        <w:t>（10）项目总投资：</w:t>
      </w:r>
      <w:r>
        <w:rPr>
          <w:rFonts w:hint="eastAsia" w:ascii="宋体" w:hAnsi="宋体"/>
          <w:sz w:val="24"/>
        </w:rPr>
        <w:t>10265.62</w:t>
      </w:r>
      <w:r>
        <w:rPr>
          <w:rFonts w:ascii="宋体" w:hAnsi="宋体"/>
          <w:sz w:val="24"/>
        </w:rPr>
        <w:t>万元；</w:t>
      </w:r>
    </w:p>
    <w:p w14:paraId="249A854C">
      <w:pPr>
        <w:spacing w:line="360" w:lineRule="auto"/>
        <w:ind w:firstLine="480" w:firstLineChars="200"/>
        <w:rPr>
          <w:rFonts w:ascii="宋体" w:hAnsi="宋体"/>
          <w:sz w:val="24"/>
        </w:rPr>
      </w:pPr>
      <w:r>
        <w:rPr>
          <w:rFonts w:ascii="宋体" w:hAnsi="宋体"/>
          <w:sz w:val="24"/>
        </w:rPr>
        <w:t>（11）吨煤投资：</w:t>
      </w:r>
      <w:r>
        <w:rPr>
          <w:rFonts w:hint="eastAsia" w:ascii="宋体" w:hAnsi="宋体"/>
          <w:sz w:val="24"/>
        </w:rPr>
        <w:t>342.19元</w:t>
      </w:r>
      <w:r>
        <w:rPr>
          <w:rFonts w:ascii="宋体" w:hAnsi="宋体"/>
          <w:sz w:val="24"/>
        </w:rPr>
        <w:t>；</w:t>
      </w:r>
    </w:p>
    <w:p w14:paraId="100EFC81">
      <w:pPr>
        <w:spacing w:line="360" w:lineRule="auto"/>
        <w:ind w:firstLine="480" w:firstLineChars="200"/>
        <w:rPr>
          <w:rFonts w:hint="eastAsia" w:ascii="宋体" w:hAnsi="宋体"/>
          <w:sz w:val="24"/>
        </w:rPr>
      </w:pPr>
      <w:r>
        <w:rPr>
          <w:rFonts w:ascii="宋体" w:hAnsi="宋体"/>
          <w:sz w:val="24"/>
        </w:rPr>
        <w:t>（12）项目</w:t>
      </w:r>
      <w:r>
        <w:rPr>
          <w:rFonts w:hint="eastAsia" w:ascii="宋体" w:hAnsi="宋体"/>
          <w:sz w:val="24"/>
        </w:rPr>
        <w:t>剩余</w:t>
      </w:r>
      <w:r>
        <w:rPr>
          <w:rFonts w:ascii="宋体" w:hAnsi="宋体"/>
          <w:sz w:val="24"/>
        </w:rPr>
        <w:t>建设工期：</w:t>
      </w:r>
      <w:r>
        <w:rPr>
          <w:rFonts w:hint="eastAsia" w:ascii="宋体" w:hAnsi="宋体"/>
          <w:sz w:val="24"/>
        </w:rPr>
        <w:t>15个月</w:t>
      </w:r>
      <w:r>
        <w:rPr>
          <w:rFonts w:ascii="宋体" w:hAnsi="宋体"/>
          <w:sz w:val="24"/>
        </w:rPr>
        <w:t>；</w:t>
      </w:r>
    </w:p>
    <w:p w14:paraId="48F4D563">
      <w:pPr>
        <w:spacing w:line="360" w:lineRule="auto"/>
        <w:ind w:firstLine="480" w:firstLineChars="200"/>
        <w:rPr>
          <w:rFonts w:hint="eastAsia" w:ascii="宋体" w:hAnsi="宋体"/>
          <w:sz w:val="24"/>
        </w:rPr>
      </w:pPr>
      <w:r>
        <w:rPr>
          <w:rFonts w:hint="eastAsia" w:ascii="宋体" w:hAnsi="宋体"/>
          <w:sz w:val="24"/>
        </w:rPr>
        <w:t>（13）投资回收期（税后/税前）：4.2</w:t>
      </w:r>
      <w:r>
        <w:rPr>
          <w:rFonts w:ascii="宋体" w:hAnsi="宋体"/>
          <w:sz w:val="24"/>
        </w:rPr>
        <w:t>/</w:t>
      </w:r>
      <w:r>
        <w:rPr>
          <w:rFonts w:hint="eastAsia" w:ascii="宋体" w:hAnsi="宋体"/>
          <w:sz w:val="24"/>
        </w:rPr>
        <w:t>5.4年；</w:t>
      </w:r>
    </w:p>
    <w:p w14:paraId="3B44FDCE">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七、开采方案设计（变更）与原整合煤矿的关系</w:t>
      </w:r>
    </w:p>
    <w:p w14:paraId="77085E4B">
      <w:pPr>
        <w:spacing w:line="360" w:lineRule="auto"/>
        <w:ind w:firstLine="480" w:firstLineChars="200"/>
        <w:rPr>
          <w:rFonts w:hint="eastAsia" w:ascii="宋体" w:hAnsi="宋体"/>
          <w:sz w:val="24"/>
          <w:u w:val="single"/>
        </w:rPr>
      </w:pPr>
      <w:r>
        <w:rPr>
          <w:rFonts w:hint="eastAsia" w:ascii="宋体" w:hAnsi="宋体"/>
          <w:sz w:val="24"/>
          <w:u w:val="single"/>
        </w:rPr>
        <w:t xml:space="preserve">水城县玉舍大坪煤矿由水城县玉舍大坪煤矿（生产规模3万吨/年）、水城县玉舍华兴煤矿（生产规模3万吨/年）、水城县玉舍山林沟煤矿（生产规模3万吨/年）、水城县玉舍铜厂沟煤矿（生产规模3万吨/年）和水城宏盛矿业有限公司发达煤矿（生产规模3万吨/年）5个煤矿整合而成，整合前后矿区关系、整合前各矿井筒位置及开采情况详见 </w:t>
      </w:r>
      <w:r>
        <w:rPr>
          <w:rFonts w:hint="eastAsia" w:ascii="宋体" w:hAnsi="宋体"/>
          <w:b/>
          <w:sz w:val="24"/>
          <w:u w:val="single"/>
        </w:rPr>
        <w:t>图17 整合前后矿区范围关系及各矿采掘工程平面图</w:t>
      </w:r>
      <w:r>
        <w:rPr>
          <w:rFonts w:hint="eastAsia" w:ascii="宋体" w:hAnsi="宋体"/>
          <w:sz w:val="24"/>
          <w:u w:val="single"/>
        </w:rPr>
        <w:t>。</w:t>
      </w:r>
    </w:p>
    <w:p w14:paraId="4E78DA9E">
      <w:pPr>
        <w:spacing w:line="360" w:lineRule="auto"/>
        <w:ind w:firstLine="480" w:firstLineChars="200"/>
        <w:rPr>
          <w:rFonts w:hint="eastAsia" w:ascii="宋体" w:hAnsi="宋体"/>
          <w:color w:val="000000"/>
          <w:sz w:val="24"/>
          <w:u w:val="single"/>
        </w:rPr>
      </w:pPr>
      <w:r>
        <w:rPr>
          <w:rFonts w:hint="eastAsia" w:ascii="宋体" w:hAnsi="宋体"/>
          <w:color w:val="000000"/>
          <w:sz w:val="24"/>
          <w:u w:val="single"/>
        </w:rPr>
        <w:t>原整合开采方案设计投产初期为利用原大坪煤矿的主斜井和回风斜井进行改造，新建副斜井，后期为利用原铜厂沟煤矿的主平硐、暗斜井和回风斜井进行改造，井下新建部分巷道完善开拓系统，目前矿井已按整合开采方案设计完成了一采区开拓系统。</w:t>
      </w:r>
    </w:p>
    <w:p w14:paraId="0EC8D500">
      <w:pPr>
        <w:spacing w:line="360" w:lineRule="auto"/>
        <w:ind w:firstLine="480" w:firstLineChars="200"/>
        <w:rPr>
          <w:rFonts w:hint="eastAsia" w:ascii="宋体" w:hAnsi="宋体"/>
          <w:color w:val="000000"/>
          <w:sz w:val="24"/>
          <w:u w:val="single"/>
        </w:rPr>
      </w:pPr>
      <w:r>
        <w:rPr>
          <w:rFonts w:hint="eastAsia" w:ascii="宋体" w:hAnsi="宋体"/>
          <w:color w:val="000000"/>
          <w:sz w:val="24"/>
          <w:u w:val="single"/>
        </w:rPr>
        <w:t>本次开采方案设计（变更）是根据矿井实际施工的情况，投产初期利用矿井现有开拓系统进行改造，后期为利用原铜厂沟煤矿的主平硐、暗斜井和回风斜井进行改造，井下新建部分巷道完善开拓系统。</w:t>
      </w:r>
      <w:r>
        <w:rPr>
          <w:rFonts w:hint="eastAsia"/>
          <w:sz w:val="24"/>
          <w:u w:val="single"/>
        </w:rPr>
        <w:t>根据国家安全监管总局、国家煤矿安监局“关于两起违法生产煤矿重大事故情况的通报”（2010.5.23文件）〔安监总煤调〔2010〕82号〕“进一步加大对技改整合矿井的安全管理”文件精神，对</w:t>
      </w:r>
      <w:r>
        <w:rPr>
          <w:rFonts w:hint="eastAsia" w:ascii="宋体" w:hAnsi="宋体"/>
          <w:color w:val="000000"/>
          <w:sz w:val="24"/>
          <w:u w:val="single"/>
        </w:rPr>
        <w:t>原发达煤矿、山林沟煤矿、华新煤矿</w:t>
      </w:r>
      <w:r>
        <w:rPr>
          <w:rFonts w:hint="eastAsia"/>
          <w:sz w:val="24"/>
          <w:u w:val="single"/>
        </w:rPr>
        <w:t>彻底拆除其提升运输设施设备，炸毁、填实井筒，对原大坪煤矿和铜厂沟煤矿中不利用的采区或巷道，进行永久密闭。</w:t>
      </w:r>
    </w:p>
    <w:p w14:paraId="43D810A6">
      <w:pPr>
        <w:pStyle w:val="3"/>
        <w:keepLines/>
        <w:spacing w:before="240" w:after="240" w:line="360" w:lineRule="auto"/>
        <w:ind w:firstLine="0" w:firstLineChars="0"/>
        <w:jc w:val="center"/>
        <w:rPr>
          <w:rFonts w:hint="eastAsia"/>
          <w:b/>
          <w:color w:val="000000"/>
          <w:sz w:val="32"/>
          <w:szCs w:val="32"/>
        </w:rPr>
      </w:pPr>
      <w:bookmarkStart w:id="18" w:name="_Toc199729436"/>
      <w:bookmarkStart w:id="19" w:name="_Toc260915253"/>
      <w:bookmarkStart w:id="20" w:name="_Toc535045338"/>
      <w:bookmarkStart w:id="21" w:name="_Toc246661622"/>
      <w:r>
        <w:rPr>
          <w:rFonts w:hint="eastAsia"/>
          <w:b/>
          <w:color w:val="000000"/>
          <w:sz w:val="32"/>
          <w:szCs w:val="32"/>
        </w:rPr>
        <w:t>第三节　　问题与建议</w:t>
      </w:r>
      <w:bookmarkEnd w:id="18"/>
      <w:bookmarkEnd w:id="19"/>
      <w:bookmarkEnd w:id="20"/>
      <w:bookmarkEnd w:id="21"/>
    </w:p>
    <w:p w14:paraId="3C1B469A">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加强对井田内老窑和采空积水情况的调查，在采掘过程中，严格执行“预测预报、有疑必探、先探后掘、先治后采”水害防治十六字原则，防止老窑、采空积水对矿井开采的影响。必须对采空区积水进行疏放，并对可能的突水区域采取相应的预防措施，防止突水</w:t>
      </w:r>
      <w:r>
        <w:rPr>
          <w:rFonts w:hint="eastAsia" w:ascii="宋体" w:hAnsi="宋体"/>
          <w:color w:val="000000"/>
          <w:sz w:val="24"/>
        </w:rPr>
        <w:t>事故</w:t>
      </w:r>
      <w:r>
        <w:rPr>
          <w:rFonts w:ascii="宋体" w:hAnsi="宋体"/>
          <w:color w:val="000000"/>
          <w:sz w:val="24"/>
        </w:rPr>
        <w:t>，保证矿井安全生产。</w:t>
      </w:r>
    </w:p>
    <w:p w14:paraId="17A54DEF">
      <w:pPr>
        <w:spacing w:line="360" w:lineRule="auto"/>
        <w:ind w:firstLine="480" w:firstLineChars="200"/>
        <w:rPr>
          <w:rFonts w:hint="eastAsia" w:ascii="宋体" w:hAnsi="宋体"/>
          <w:color w:val="000000"/>
          <w:sz w:val="24"/>
        </w:rPr>
      </w:pPr>
      <w:r>
        <w:rPr>
          <w:rFonts w:hint="eastAsia" w:ascii="宋体" w:hAnsi="宋体"/>
          <w:color w:val="000000"/>
          <w:sz w:val="24"/>
        </w:rPr>
        <w:t>2、在生产过程中必须做好一年一度的矿井瓦斯等级鉴定工作，并根据鉴定结果及时调整通风、瓦斯管理方案。</w:t>
      </w:r>
    </w:p>
    <w:p w14:paraId="08CC3A9D">
      <w:pPr>
        <w:spacing w:line="360" w:lineRule="auto"/>
        <w:ind w:firstLine="480" w:firstLineChars="200"/>
        <w:rPr>
          <w:rFonts w:hint="eastAsia" w:ascii="宋体" w:hAnsi="宋体"/>
          <w:color w:val="000000"/>
          <w:sz w:val="24"/>
        </w:rPr>
      </w:pPr>
      <w:r>
        <w:rPr>
          <w:rFonts w:hint="eastAsia" w:ascii="宋体" w:hAnsi="宋体"/>
          <w:color w:val="000000"/>
          <w:sz w:val="24"/>
        </w:rPr>
        <w:t>3、井田勘探程度相对低，对井田内的构造查明程度不够，对矿区内构造的富含水性掌握不够，建议业主在今后开采过程中，加强井田地质勘查工作，不断收集补充和完善井田的水文地质资料，更好地指导矿井安全、高效的生产。</w:t>
      </w:r>
    </w:p>
    <w:p w14:paraId="27529A03">
      <w:pPr>
        <w:spacing w:line="360" w:lineRule="auto"/>
        <w:ind w:firstLine="480" w:firstLineChars="200"/>
        <w:rPr>
          <w:rFonts w:hint="eastAsia" w:ascii="宋体" w:hAnsi="宋体"/>
          <w:color w:val="000000"/>
          <w:sz w:val="24"/>
        </w:rPr>
      </w:pPr>
      <w:r>
        <w:rPr>
          <w:rFonts w:hint="eastAsia" w:ascii="宋体" w:hAnsi="宋体"/>
          <w:color w:val="000000"/>
          <w:sz w:val="24"/>
        </w:rPr>
        <w:t>4、由于矿井四周小井较多，且已封闭时间较长，因此，矿井必须做好“雨季三防”工作，完善“雨季三防”的各项安全措施，并制定针对性的防水及探放水措施，做好定期对地面各小井及地面河流的巡查工作。</w:t>
      </w:r>
    </w:p>
    <w:p w14:paraId="2CB1D970">
      <w:pPr>
        <w:spacing w:line="360" w:lineRule="auto"/>
        <w:ind w:firstLine="480" w:firstLineChars="200"/>
        <w:rPr>
          <w:rFonts w:hint="eastAsia" w:ascii="宋体" w:hAnsi="宋体"/>
          <w:color w:val="000000"/>
          <w:sz w:val="24"/>
        </w:rPr>
      </w:pPr>
    </w:p>
    <w:p w14:paraId="07C8912D">
      <w:pPr>
        <w:spacing w:line="360" w:lineRule="auto"/>
        <w:ind w:firstLine="480" w:firstLineChars="200"/>
        <w:rPr>
          <w:rFonts w:hint="eastAsia" w:ascii="宋体" w:hAnsi="宋体"/>
          <w:color w:val="000000"/>
          <w:sz w:val="24"/>
        </w:rPr>
      </w:pPr>
    </w:p>
    <w:p w14:paraId="685801E4">
      <w:pPr>
        <w:spacing w:line="360" w:lineRule="auto"/>
        <w:ind w:firstLine="480" w:firstLineChars="200"/>
        <w:rPr>
          <w:rFonts w:hint="eastAsia" w:ascii="宋体" w:hAnsi="宋体"/>
          <w:color w:val="000000"/>
          <w:sz w:val="24"/>
        </w:rPr>
      </w:pPr>
    </w:p>
    <w:p w14:paraId="41EA5036">
      <w:pPr>
        <w:spacing w:line="360" w:lineRule="auto"/>
        <w:ind w:firstLine="480" w:firstLineChars="200"/>
        <w:rPr>
          <w:rFonts w:hint="eastAsia" w:ascii="宋体" w:hAnsi="宋体"/>
          <w:color w:val="000000"/>
          <w:sz w:val="24"/>
        </w:rPr>
      </w:pPr>
    </w:p>
    <w:p w14:paraId="351F1A1C">
      <w:pPr>
        <w:spacing w:line="360" w:lineRule="auto"/>
        <w:ind w:firstLine="480" w:firstLineChars="200"/>
        <w:rPr>
          <w:rFonts w:hint="eastAsia" w:ascii="宋体" w:hAnsi="宋体"/>
          <w:color w:val="000000"/>
          <w:sz w:val="24"/>
        </w:rPr>
      </w:pPr>
    </w:p>
    <w:p w14:paraId="724FB886">
      <w:pPr>
        <w:spacing w:line="360" w:lineRule="auto"/>
        <w:ind w:firstLine="480" w:firstLineChars="200"/>
        <w:rPr>
          <w:rFonts w:hint="eastAsia" w:ascii="宋体" w:hAnsi="宋体"/>
          <w:color w:val="000000"/>
          <w:sz w:val="24"/>
        </w:rPr>
      </w:pPr>
    </w:p>
    <w:p w14:paraId="6970A5EA">
      <w:pPr>
        <w:spacing w:line="360" w:lineRule="auto"/>
        <w:ind w:firstLine="480" w:firstLineChars="200"/>
        <w:rPr>
          <w:rFonts w:hint="eastAsia" w:ascii="宋体" w:hAnsi="宋体"/>
          <w:color w:val="000000"/>
          <w:sz w:val="24"/>
        </w:rPr>
      </w:pPr>
    </w:p>
    <w:p w14:paraId="46B2DC8D">
      <w:pPr>
        <w:spacing w:line="360" w:lineRule="auto"/>
        <w:ind w:firstLine="480" w:firstLineChars="200"/>
        <w:rPr>
          <w:rFonts w:ascii="宋体" w:hAnsi="宋体"/>
          <w:color w:val="000000"/>
          <w:sz w:val="24"/>
        </w:rPr>
        <w:sectPr>
          <w:headerReference r:id="rId11" w:type="default"/>
          <w:footerReference r:id="rId12" w:type="default"/>
          <w:pgSz w:w="11906" w:h="16838"/>
          <w:pgMar w:top="1304" w:right="1418" w:bottom="1304" w:left="1418" w:header="1134" w:footer="992" w:gutter="0"/>
          <w:pgNumType w:start="1"/>
          <w:cols w:space="720" w:num="1"/>
          <w:docGrid w:linePitch="312" w:charSpace="0"/>
        </w:sectPr>
      </w:pPr>
    </w:p>
    <w:bookmarkEnd w:id="7"/>
    <w:p w14:paraId="4ED2FDD1">
      <w:pPr>
        <w:pStyle w:val="2"/>
        <w:keepLines/>
        <w:spacing w:before="240" w:after="120" w:line="360" w:lineRule="auto"/>
        <w:ind w:firstLine="0" w:firstLineChars="0"/>
        <w:rPr>
          <w:rFonts w:hint="eastAsia" w:ascii="黑体" w:eastAsia="黑体"/>
          <w:b/>
          <w:color w:val="000000"/>
          <w:kern w:val="44"/>
          <w:sz w:val="36"/>
          <w:szCs w:val="36"/>
        </w:rPr>
      </w:pPr>
      <w:bookmarkStart w:id="22" w:name="_Toc260915254"/>
      <w:bookmarkStart w:id="23" w:name="_Toc259438186"/>
      <w:r>
        <w:rPr>
          <w:rFonts w:hint="eastAsia" w:ascii="黑体" w:eastAsia="黑体"/>
          <w:b/>
          <w:color w:val="000000"/>
          <w:kern w:val="44"/>
          <w:sz w:val="36"/>
          <w:szCs w:val="36"/>
        </w:rPr>
        <w:t>第一章　　井田</w:t>
      </w:r>
      <w:r>
        <w:rPr>
          <w:rFonts w:ascii="黑体" w:eastAsia="黑体"/>
          <w:b/>
          <w:color w:val="000000"/>
          <w:kern w:val="44"/>
          <w:sz w:val="36"/>
          <w:szCs w:val="36"/>
        </w:rPr>
        <w:t>概况</w:t>
      </w:r>
      <w:r>
        <w:rPr>
          <w:rFonts w:hint="eastAsia" w:ascii="黑体" w:eastAsia="黑体"/>
          <w:b/>
          <w:color w:val="000000"/>
          <w:kern w:val="44"/>
          <w:sz w:val="36"/>
          <w:szCs w:val="36"/>
        </w:rPr>
        <w:t>及资源条件</w:t>
      </w:r>
      <w:bookmarkEnd w:id="22"/>
      <w:bookmarkEnd w:id="23"/>
    </w:p>
    <w:p w14:paraId="0E0BA9FD">
      <w:pPr>
        <w:spacing w:line="360" w:lineRule="auto"/>
        <w:ind w:firstLine="480" w:firstLineChars="200"/>
        <w:rPr>
          <w:rFonts w:hint="eastAsia"/>
        </w:rPr>
      </w:pPr>
      <w:r>
        <w:rPr>
          <w:rFonts w:hint="eastAsia" w:ascii="宋体" w:hAnsi="宋体"/>
          <w:sz w:val="24"/>
        </w:rPr>
        <w:t>本章主要变更内容：1、由于矿井开采范围及煤层层数增加，经补勘，矿井资源储量增加。</w:t>
      </w:r>
    </w:p>
    <w:p w14:paraId="5D230548">
      <w:pPr>
        <w:pStyle w:val="3"/>
        <w:keepLines/>
        <w:spacing w:before="240" w:after="240" w:line="360" w:lineRule="auto"/>
        <w:ind w:firstLine="0" w:firstLineChars="0"/>
        <w:jc w:val="center"/>
        <w:rPr>
          <w:rFonts w:hint="eastAsia"/>
          <w:b/>
          <w:color w:val="000000"/>
          <w:sz w:val="32"/>
          <w:szCs w:val="32"/>
        </w:rPr>
      </w:pPr>
      <w:bookmarkStart w:id="24" w:name="_Toc246661624"/>
      <w:bookmarkStart w:id="25" w:name="_Toc260915255"/>
      <w:r>
        <w:rPr>
          <w:rFonts w:hint="eastAsia"/>
          <w:b/>
          <w:color w:val="000000"/>
          <w:sz w:val="32"/>
          <w:szCs w:val="32"/>
        </w:rPr>
        <w:t>第一节　　井田概况</w:t>
      </w:r>
      <w:bookmarkEnd w:id="24"/>
      <w:bookmarkEnd w:id="25"/>
    </w:p>
    <w:p w14:paraId="52D17894">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一、交通位置</w:t>
      </w:r>
    </w:p>
    <w:p w14:paraId="05CF650B">
      <w:pPr>
        <w:pStyle w:val="32"/>
        <w:rPr>
          <w:rFonts w:hint="eastAsia" w:ascii="宋体" w:hAnsi="宋体"/>
        </w:rPr>
      </w:pPr>
      <w:r>
        <w:rPr>
          <w:rFonts w:hint="eastAsia" w:ascii="宋体" w:hAnsi="宋体"/>
          <w:szCs w:val="20"/>
        </w:rPr>
        <w:t>大坪煤矿</w:t>
      </w:r>
      <w:r>
        <w:rPr>
          <w:rFonts w:ascii="宋体" w:hAnsi="宋体"/>
          <w:szCs w:val="20"/>
        </w:rPr>
        <w:t>位于六盘水市中心城区</w:t>
      </w:r>
      <w:r>
        <w:rPr>
          <w:rFonts w:hint="eastAsia" w:ascii="宋体" w:hAnsi="宋体"/>
          <w:szCs w:val="20"/>
        </w:rPr>
        <w:t>的南部，</w:t>
      </w:r>
      <w:r>
        <w:rPr>
          <w:rFonts w:ascii="宋体" w:hAnsi="宋体"/>
          <w:szCs w:val="20"/>
        </w:rPr>
        <w:t>直距约2</w:t>
      </w:r>
      <w:r>
        <w:rPr>
          <w:rFonts w:hint="eastAsia" w:ascii="宋体" w:hAnsi="宋体"/>
          <w:szCs w:val="20"/>
        </w:rPr>
        <w:t>0</w:t>
      </w:r>
      <w:r>
        <w:rPr>
          <w:rFonts w:ascii="宋体" w:hAnsi="宋体"/>
          <w:szCs w:val="20"/>
        </w:rPr>
        <w:t>km，水城</w:t>
      </w:r>
      <w:r>
        <w:rPr>
          <w:rFonts w:hint="eastAsia" w:ascii="宋体" w:hAnsi="宋体"/>
          <w:szCs w:val="20"/>
        </w:rPr>
        <w:t>至盘县</w:t>
      </w:r>
      <w:r>
        <w:rPr>
          <w:rFonts w:ascii="宋体" w:hAnsi="宋体"/>
          <w:szCs w:val="20"/>
        </w:rPr>
        <w:t>公路从矿区</w:t>
      </w:r>
      <w:r>
        <w:rPr>
          <w:rFonts w:hint="eastAsia" w:ascii="宋体" w:hAnsi="宋体"/>
          <w:szCs w:val="20"/>
        </w:rPr>
        <w:t>北东</w:t>
      </w:r>
      <w:r>
        <w:rPr>
          <w:rFonts w:ascii="宋体" w:hAnsi="宋体"/>
          <w:szCs w:val="20"/>
        </w:rPr>
        <w:t>部</w:t>
      </w:r>
      <w:r>
        <w:rPr>
          <w:rFonts w:hint="eastAsia" w:ascii="宋体" w:hAnsi="宋体"/>
          <w:szCs w:val="20"/>
        </w:rPr>
        <w:t>的玉舍乡政府住地通过</w:t>
      </w:r>
      <w:r>
        <w:rPr>
          <w:rFonts w:ascii="宋体" w:hAnsi="宋体"/>
          <w:szCs w:val="20"/>
        </w:rPr>
        <w:t>，</w:t>
      </w:r>
      <w:r>
        <w:rPr>
          <w:rFonts w:hint="eastAsia" w:ascii="宋体" w:hAnsi="宋体"/>
          <w:szCs w:val="20"/>
        </w:rPr>
        <w:t>从乡政府到矿区有约2</w:t>
      </w:r>
      <w:r>
        <w:rPr>
          <w:rFonts w:ascii="宋体" w:hAnsi="宋体"/>
          <w:szCs w:val="20"/>
        </w:rPr>
        <w:t>km</w:t>
      </w:r>
      <w:r>
        <w:rPr>
          <w:rFonts w:hint="eastAsia" w:ascii="宋体" w:hAnsi="宋体"/>
          <w:szCs w:val="20"/>
        </w:rPr>
        <w:t>的矿山公路。矿山</w:t>
      </w:r>
      <w:r>
        <w:rPr>
          <w:rFonts w:ascii="宋体" w:hAnsi="宋体"/>
          <w:szCs w:val="20"/>
        </w:rPr>
        <w:t>距六盘水火车站约</w:t>
      </w:r>
      <w:r>
        <w:rPr>
          <w:rFonts w:hint="eastAsia" w:ascii="宋体" w:hAnsi="宋体"/>
          <w:szCs w:val="20"/>
        </w:rPr>
        <w:t>25</w:t>
      </w:r>
      <w:r>
        <w:rPr>
          <w:rFonts w:ascii="宋体" w:hAnsi="宋体"/>
          <w:szCs w:val="20"/>
        </w:rPr>
        <w:t>km，</w:t>
      </w:r>
      <w:r>
        <w:rPr>
          <w:rFonts w:hint="eastAsia" w:ascii="宋体" w:hAnsi="宋体"/>
          <w:szCs w:val="20"/>
        </w:rPr>
        <w:t>距水（城）—红（果）铁路玉舍</w:t>
      </w:r>
      <w:r>
        <w:rPr>
          <w:rFonts w:ascii="宋体" w:hAnsi="宋体"/>
          <w:szCs w:val="20"/>
        </w:rPr>
        <w:t>火车站</w:t>
      </w:r>
      <w:r>
        <w:rPr>
          <w:rFonts w:hint="eastAsia" w:ascii="宋体" w:hAnsi="宋体"/>
          <w:szCs w:val="20"/>
        </w:rPr>
        <w:t>约7</w:t>
      </w:r>
      <w:r>
        <w:rPr>
          <w:rFonts w:ascii="宋体" w:hAnsi="宋体"/>
          <w:szCs w:val="20"/>
        </w:rPr>
        <w:t>km</w:t>
      </w:r>
      <w:r>
        <w:rPr>
          <w:rFonts w:hint="eastAsia" w:ascii="宋体" w:hAnsi="宋体"/>
          <w:szCs w:val="20"/>
        </w:rPr>
        <w:t>，</w:t>
      </w:r>
      <w:r>
        <w:rPr>
          <w:rFonts w:ascii="宋体" w:hAnsi="宋体"/>
          <w:szCs w:val="20"/>
        </w:rPr>
        <w:t>交通</w:t>
      </w:r>
      <w:r>
        <w:rPr>
          <w:rFonts w:hint="eastAsia" w:ascii="宋体" w:hAnsi="宋体"/>
          <w:szCs w:val="20"/>
        </w:rPr>
        <w:t>较</w:t>
      </w:r>
      <w:r>
        <w:rPr>
          <w:rFonts w:ascii="宋体" w:hAnsi="宋体"/>
          <w:szCs w:val="20"/>
        </w:rPr>
        <w:t>方便，</w:t>
      </w:r>
      <w:r>
        <w:rPr>
          <w:rFonts w:hint="eastAsia" w:ascii="宋体" w:hAnsi="宋体"/>
          <w:szCs w:val="20"/>
        </w:rPr>
        <w:t>交通详见</w:t>
      </w:r>
      <w:r>
        <w:rPr>
          <w:rFonts w:hint="eastAsia" w:ascii="宋体" w:hAnsi="宋体"/>
        </w:rPr>
        <w:t>水城县玉舍大坪煤矿</w:t>
      </w:r>
      <w:r>
        <w:rPr>
          <w:rFonts w:hint="eastAsia" w:ascii="宋体" w:hAnsi="宋体"/>
          <w:szCs w:val="20"/>
        </w:rPr>
        <w:t>交通位置图</w:t>
      </w:r>
      <w:r>
        <w:rPr>
          <w:rFonts w:hint="eastAsia" w:ascii="宋体" w:hAnsi="宋体"/>
          <w:b/>
        </w:rPr>
        <w:t xml:space="preserve"> 图1－1－1</w:t>
      </w:r>
      <w:r>
        <w:rPr>
          <w:rFonts w:hint="eastAsia" w:ascii="宋体" w:hAnsi="宋体"/>
        </w:rPr>
        <w:t>。</w:t>
      </w:r>
    </w:p>
    <w:p w14:paraId="139782CB">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二</w:t>
      </w:r>
      <w:r>
        <w:rPr>
          <w:b/>
          <w:color w:val="000000"/>
          <w:kern w:val="0"/>
          <w:szCs w:val="20"/>
        </w:rPr>
        <w:t>、井田自然概况</w:t>
      </w:r>
    </w:p>
    <w:p w14:paraId="795650E2">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1、地形地貌</w:t>
      </w:r>
    </w:p>
    <w:p w14:paraId="077825FF">
      <w:pPr>
        <w:spacing w:line="360" w:lineRule="auto"/>
        <w:ind w:firstLine="480" w:firstLineChars="200"/>
        <w:rPr>
          <w:rFonts w:hint="eastAsia" w:ascii="宋体" w:hAnsi="宋体"/>
          <w:sz w:val="24"/>
          <w:szCs w:val="20"/>
        </w:rPr>
      </w:pPr>
      <w:r>
        <w:rPr>
          <w:rFonts w:hint="eastAsia" w:ascii="宋体" w:hAnsi="宋体"/>
          <w:sz w:val="24"/>
          <w:szCs w:val="20"/>
        </w:rPr>
        <w:t>矿区地处云贵高原东部，属中高山溶蚀、侵蚀、剥蚀高—中山地貌，地形切割强烈，最高海拨2265.5米（矿区东面山峰），最低海拨1947.1米（矿区南西面沟谷中），最大高差314.8米。矿区北、东部高，南、西部低，山脉走向呈北西西-南东东向延展。总观全区，其地貌景观受地层岩性、地质构造控制比较明显，地形上多为山峦斜坡，其间发育有一系列较大冲沟，坡度一般20-40度。</w:t>
      </w:r>
    </w:p>
    <w:p w14:paraId="22101F65">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2、水系</w:t>
      </w:r>
    </w:p>
    <w:p w14:paraId="17BB5859">
      <w:pPr>
        <w:spacing w:line="360" w:lineRule="auto"/>
        <w:ind w:firstLine="480" w:firstLineChars="200"/>
        <w:rPr>
          <w:rFonts w:hint="eastAsia" w:ascii="宋体" w:hAnsi="宋体"/>
          <w:sz w:val="24"/>
        </w:rPr>
      </w:pPr>
      <w:r>
        <w:rPr>
          <w:rFonts w:hint="eastAsia" w:ascii="宋体" w:hAnsi="宋体"/>
          <w:sz w:val="24"/>
        </w:rPr>
        <w:t>矿区地处珠江流域北盘江水系。矿区内地表水系不发育，季节性流水的冲沟较多，有季节性流量变化大的源头性水流特征。矿区内无长年性地表水流，主要受季节性的水流影响。矿区属碎屑岩侵蚀和溶蚀地貌，南高北低，洪瀑期间的地表水由高点向低处排泄汇集流向当地的河流，最终汇入北盘江。</w:t>
      </w:r>
    </w:p>
    <w:p w14:paraId="431149EE">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3、气象</w:t>
      </w:r>
    </w:p>
    <w:p w14:paraId="6D68BE7C">
      <w:pPr>
        <w:spacing w:line="360" w:lineRule="auto"/>
        <w:ind w:firstLine="480" w:firstLineChars="200"/>
        <w:rPr>
          <w:rFonts w:hint="eastAsia" w:ascii="宋体" w:hAnsi="宋体"/>
          <w:snapToGrid w:val="0"/>
          <w:kern w:val="0"/>
          <w:sz w:val="24"/>
        </w:rPr>
      </w:pPr>
      <w:r>
        <w:rPr>
          <w:rFonts w:hint="eastAsia" w:ascii="宋体" w:hAnsi="宋体"/>
          <w:sz w:val="24"/>
        </w:rPr>
        <w:t>本区属中亚热带季风气候区，年平均气温为13℃，最高34</w:t>
      </w:r>
      <w:r>
        <w:rPr>
          <w:rFonts w:ascii="宋体" w:hAnsi="宋体"/>
          <w:sz w:val="24"/>
        </w:rPr>
        <w:t>.1</w:t>
      </w:r>
      <w:r>
        <w:rPr>
          <w:rFonts w:hint="eastAsia" w:ascii="宋体" w:hAnsi="宋体"/>
          <w:sz w:val="24"/>
        </w:rPr>
        <w:t>℃、最低-9</w:t>
      </w:r>
      <w:r>
        <w:rPr>
          <w:rFonts w:ascii="宋体" w:hAnsi="宋体"/>
          <w:sz w:val="24"/>
        </w:rPr>
        <w:t>.6</w:t>
      </w:r>
      <w:r>
        <w:rPr>
          <w:rFonts w:hint="eastAsia" w:ascii="宋体" w:hAnsi="宋体"/>
          <w:sz w:val="24"/>
        </w:rPr>
        <w:t>℃。年平均降雨量1243mm，多集中在6-8月，此段时间内降雨量累计可达670-680</w:t>
      </w:r>
      <w:r>
        <w:rPr>
          <w:rFonts w:ascii="宋体" w:hAnsi="宋体"/>
          <w:sz w:val="24"/>
        </w:rPr>
        <w:t>mm</w:t>
      </w:r>
      <w:r>
        <w:rPr>
          <w:rFonts w:hint="eastAsia" w:ascii="宋体" w:hAnsi="宋体"/>
          <w:sz w:val="24"/>
        </w:rPr>
        <w:t>。平均风速为</w:t>
      </w:r>
      <w:r>
        <w:rPr>
          <w:rFonts w:ascii="宋体" w:hAnsi="宋体"/>
          <w:sz w:val="24"/>
        </w:rPr>
        <w:t>2.3m/s</w:t>
      </w:r>
      <w:r>
        <w:rPr>
          <w:rFonts w:hint="eastAsia" w:ascii="宋体" w:hAnsi="宋体"/>
          <w:sz w:val="24"/>
        </w:rPr>
        <w:t>，最高风速为20</w:t>
      </w:r>
      <w:r>
        <w:rPr>
          <w:rFonts w:ascii="宋体" w:hAnsi="宋体"/>
          <w:sz w:val="24"/>
        </w:rPr>
        <w:t>.0m/s</w:t>
      </w:r>
      <w:r>
        <w:rPr>
          <w:rFonts w:hint="eastAsia" w:ascii="宋体" w:hAnsi="宋体"/>
          <w:sz w:val="24"/>
        </w:rPr>
        <w:t>，</w:t>
      </w:r>
      <w:r>
        <w:rPr>
          <w:rFonts w:hint="eastAsia" w:ascii="宋体" w:hAnsi="宋体"/>
          <w:snapToGrid w:val="0"/>
          <w:kern w:val="0"/>
          <w:sz w:val="24"/>
        </w:rPr>
        <w:t>多为东风。</w:t>
      </w:r>
    </w:p>
    <w:p w14:paraId="6B41915C">
      <w:pPr>
        <w:spacing w:line="360" w:lineRule="auto"/>
        <w:ind w:firstLine="420" w:firstLineChars="200"/>
        <w:rPr>
          <w:rFonts w:hint="eastAsia" w:ascii="宋体" w:hAnsi="宋体"/>
          <w:sz w:val="24"/>
        </w:rPr>
      </w:pPr>
      <w:r>
        <w:rPr>
          <w:lang/>
        </w:rPr>
        <w:drawing>
          <wp:anchor distT="0" distB="0" distL="114300" distR="114300" simplePos="0" relativeHeight="251659264" behindDoc="0" locked="0" layoutInCell="1" allowOverlap="1">
            <wp:simplePos x="0" y="0"/>
            <wp:positionH relativeFrom="column">
              <wp:posOffset>39370</wp:posOffset>
            </wp:positionH>
            <wp:positionV relativeFrom="paragraph">
              <wp:posOffset>39370</wp:posOffset>
            </wp:positionV>
            <wp:extent cx="5717540" cy="7598410"/>
            <wp:effectExtent l="25400" t="25400" r="29210" b="34290"/>
            <wp:wrapNone/>
            <wp:docPr id="1" name="图片 541" descr="水城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41" descr="水城县"/>
                    <pic:cNvPicPr>
                      <a:picLocks noChangeAspect="1"/>
                    </pic:cNvPicPr>
                  </pic:nvPicPr>
                  <pic:blipFill>
                    <a:blip r:embed="rId15"/>
                    <a:srcRect t="1729" b="2962"/>
                    <a:stretch>
                      <a:fillRect/>
                    </a:stretch>
                  </pic:blipFill>
                  <pic:spPr>
                    <a:xfrm>
                      <a:off x="0" y="0"/>
                      <a:ext cx="5717540" cy="7598410"/>
                    </a:xfrm>
                    <a:prstGeom prst="rect">
                      <a:avLst/>
                    </a:prstGeom>
                    <a:solidFill>
                      <a:srgbClr val="000000"/>
                    </a:solidFill>
                    <a:ln w="25400" cap="flat" cmpd="sng">
                      <a:solidFill>
                        <a:srgbClr val="000000"/>
                      </a:solidFill>
                      <a:prstDash val="solid"/>
                      <a:miter/>
                      <a:headEnd type="none" w="med" len="med"/>
                      <a:tailEnd type="none" w="med" len="med"/>
                    </a:ln>
                  </pic:spPr>
                </pic:pic>
              </a:graphicData>
            </a:graphic>
          </wp:anchor>
        </w:drawing>
      </w:r>
    </w:p>
    <w:p w14:paraId="23BA74C1">
      <w:pPr>
        <w:spacing w:line="360" w:lineRule="auto"/>
        <w:ind w:firstLine="480" w:firstLineChars="200"/>
        <w:rPr>
          <w:rFonts w:hint="eastAsia" w:ascii="宋体" w:hAnsi="宋体"/>
          <w:sz w:val="24"/>
        </w:rPr>
      </w:pPr>
    </w:p>
    <w:p w14:paraId="52A35F3B">
      <w:pPr>
        <w:spacing w:line="360" w:lineRule="auto"/>
        <w:ind w:firstLine="480" w:firstLineChars="200"/>
        <w:rPr>
          <w:rFonts w:hint="eastAsia" w:ascii="宋体" w:hAnsi="宋体"/>
          <w:sz w:val="24"/>
        </w:rPr>
      </w:pPr>
    </w:p>
    <w:p w14:paraId="1461BAF4">
      <w:pPr>
        <w:spacing w:line="360" w:lineRule="auto"/>
        <w:ind w:firstLine="480" w:firstLineChars="200"/>
        <w:rPr>
          <w:rFonts w:hint="eastAsia" w:ascii="宋体" w:hAnsi="宋体"/>
          <w:sz w:val="24"/>
        </w:rPr>
      </w:pPr>
    </w:p>
    <w:p w14:paraId="56083998">
      <w:pPr>
        <w:spacing w:line="360" w:lineRule="auto"/>
        <w:ind w:firstLine="480" w:firstLineChars="200"/>
        <w:rPr>
          <w:rFonts w:hint="eastAsia" w:ascii="宋体" w:hAnsi="宋体"/>
          <w:sz w:val="24"/>
        </w:rPr>
      </w:pPr>
    </w:p>
    <w:p w14:paraId="07055C75">
      <w:pPr>
        <w:spacing w:line="360" w:lineRule="auto"/>
        <w:ind w:firstLine="480" w:firstLineChars="200"/>
        <w:rPr>
          <w:rFonts w:hint="eastAsia" w:ascii="宋体" w:hAnsi="宋体"/>
          <w:sz w:val="24"/>
        </w:rPr>
      </w:pPr>
    </w:p>
    <w:p w14:paraId="6B8941B9">
      <w:pPr>
        <w:spacing w:line="360" w:lineRule="auto"/>
        <w:ind w:firstLine="480" w:firstLineChars="200"/>
        <w:rPr>
          <w:rFonts w:hint="eastAsia" w:ascii="宋体" w:hAnsi="宋体"/>
          <w:sz w:val="24"/>
        </w:rPr>
      </w:pPr>
    </w:p>
    <w:p w14:paraId="2BD19752">
      <w:pPr>
        <w:spacing w:line="360" w:lineRule="auto"/>
        <w:ind w:firstLine="480" w:firstLineChars="200"/>
        <w:rPr>
          <w:rFonts w:hint="eastAsia" w:ascii="宋体" w:hAnsi="宋体"/>
          <w:sz w:val="24"/>
        </w:rPr>
      </w:pPr>
    </w:p>
    <w:p w14:paraId="0E79BFF8">
      <w:pPr>
        <w:spacing w:line="360" w:lineRule="auto"/>
        <w:ind w:firstLine="480" w:firstLineChars="200"/>
        <w:rPr>
          <w:rFonts w:hint="eastAsia" w:ascii="宋体" w:hAnsi="宋体"/>
          <w:sz w:val="24"/>
        </w:rPr>
      </w:pPr>
    </w:p>
    <w:p w14:paraId="02244C99">
      <w:pPr>
        <w:spacing w:line="360" w:lineRule="auto"/>
        <w:ind w:firstLine="480" w:firstLineChars="200"/>
        <w:rPr>
          <w:rFonts w:hint="eastAsia" w:ascii="宋体" w:hAnsi="宋体"/>
          <w:sz w:val="24"/>
        </w:rPr>
      </w:pPr>
    </w:p>
    <w:p w14:paraId="3E0404BA">
      <w:pPr>
        <w:spacing w:line="360" w:lineRule="auto"/>
        <w:ind w:firstLine="480" w:firstLineChars="200"/>
        <w:rPr>
          <w:rFonts w:hint="eastAsia" w:ascii="宋体" w:hAnsi="宋体"/>
          <w:sz w:val="24"/>
        </w:rPr>
      </w:pPr>
    </w:p>
    <w:p w14:paraId="5AC5EB73">
      <w:pPr>
        <w:spacing w:line="360" w:lineRule="auto"/>
        <w:ind w:firstLine="480" w:firstLineChars="200"/>
        <w:rPr>
          <w:rFonts w:hint="eastAsia" w:ascii="宋体" w:hAnsi="宋体"/>
          <w:sz w:val="24"/>
        </w:rPr>
      </w:pPr>
    </w:p>
    <w:p w14:paraId="69BAFB10">
      <w:pPr>
        <w:spacing w:line="360" w:lineRule="auto"/>
        <w:ind w:firstLine="480" w:firstLineChars="200"/>
        <w:rPr>
          <w:rFonts w:hint="eastAsia" w:ascii="宋体" w:hAnsi="宋体"/>
          <w:sz w:val="24"/>
        </w:rPr>
      </w:pPr>
      <w:r>
        <w:rPr>
          <w:rFonts w:hint="eastAsia" w:ascii="宋体" w:hAnsi="宋体"/>
          <w:sz w:val="24"/>
          <w:lang/>
        </w:rPr>
        <mc:AlternateContent>
          <mc:Choice Requires="wps">
            <w:drawing>
              <wp:anchor distT="0" distB="0" distL="114300" distR="114300" simplePos="0" relativeHeight="251660288" behindDoc="0" locked="0" layoutInCell="1" allowOverlap="1">
                <wp:simplePos x="0" y="0"/>
                <wp:positionH relativeFrom="column">
                  <wp:posOffset>1597660</wp:posOffset>
                </wp:positionH>
                <wp:positionV relativeFrom="paragraph">
                  <wp:posOffset>114935</wp:posOffset>
                </wp:positionV>
                <wp:extent cx="60960" cy="59055"/>
                <wp:effectExtent l="4445" t="4445" r="10795" b="12700"/>
                <wp:wrapNone/>
                <wp:docPr id="2" name="矩形 542"/>
                <wp:cNvGraphicFramePr/>
                <a:graphic xmlns:a="http://schemas.openxmlformats.org/drawingml/2006/main">
                  <a:graphicData uri="http://schemas.microsoft.com/office/word/2010/wordprocessingShape">
                    <wps:wsp>
                      <wps:cNvSpPr/>
                      <wps:spPr>
                        <a:xfrm>
                          <a:off x="0" y="0"/>
                          <a:ext cx="60960" cy="5905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542" o:spid="_x0000_s1026" o:spt="1" style="position:absolute;left:0pt;margin-left:125.8pt;margin-top:9.05pt;height:4.65pt;width:4.8pt;z-index:251660288;mso-width-relative:page;mso-height-relative:page;" fillcolor="#FFFFFF" filled="t" stroked="t" coordsize="21600,21600" o:gfxdata="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daVtdcAAAAJAQAADwAAAAAAAAABACAAAAAiAAAAZHJzL2Rv&#10;d25yZXYueG1sUEsBAhQAFAAAAAgAh07iQKi1K7wCAgAAKwQAAA4AAAAAAAAAAQAgAAAAJgEAAGRy&#10;cy9lMm9Eb2MueG1sUEsFBgAAAAAGAAYAWQEAAJoFAAAAAA==&#10;">
                <v:fill on="t" focussize="0,0"/>
                <v:stroke color="#000000" joinstyle="miter"/>
                <v:imagedata o:title=""/>
                <o:lock v:ext="edit" aspectratio="f"/>
              </v:rect>
            </w:pict>
          </mc:Fallback>
        </mc:AlternateContent>
      </w:r>
    </w:p>
    <w:p w14:paraId="70F1B7BB">
      <w:pPr>
        <w:spacing w:line="360" w:lineRule="auto"/>
        <w:ind w:firstLine="480" w:firstLineChars="200"/>
        <w:rPr>
          <w:rFonts w:hint="eastAsia" w:ascii="宋体" w:hAnsi="宋体"/>
          <w:sz w:val="24"/>
        </w:rPr>
      </w:pPr>
    </w:p>
    <w:p w14:paraId="298EFC52">
      <w:pPr>
        <w:spacing w:line="360" w:lineRule="auto"/>
        <w:ind w:firstLine="480" w:firstLineChars="200"/>
        <w:rPr>
          <w:rFonts w:hint="eastAsia" w:ascii="宋体" w:hAnsi="宋体"/>
          <w:sz w:val="24"/>
        </w:rPr>
      </w:pPr>
      <w:r>
        <w:rPr>
          <w:rFonts w:hint="eastAsia" w:ascii="宋体" w:hAnsi="宋体"/>
          <w:sz w:val="24"/>
          <w:lang/>
        </w:rPr>
        <mc:AlternateContent>
          <mc:Choice Requires="wps">
            <w:drawing>
              <wp:anchor distT="0" distB="0" distL="114300" distR="114300" simplePos="0" relativeHeight="251661312" behindDoc="0" locked="0" layoutInCell="1" allowOverlap="1">
                <wp:simplePos x="0" y="0"/>
                <wp:positionH relativeFrom="column">
                  <wp:posOffset>264160</wp:posOffset>
                </wp:positionH>
                <wp:positionV relativeFrom="paragraph">
                  <wp:posOffset>-6985</wp:posOffset>
                </wp:positionV>
                <wp:extent cx="739140" cy="255905"/>
                <wp:effectExtent l="5080" t="468630" r="684530" b="18415"/>
                <wp:wrapNone/>
                <wp:docPr id="3" name="自选图形 543"/>
                <wp:cNvGraphicFramePr/>
                <a:graphic xmlns:a="http://schemas.openxmlformats.org/drawingml/2006/main">
                  <a:graphicData uri="http://schemas.microsoft.com/office/word/2010/wordprocessingShape">
                    <wps:wsp>
                      <wps:cNvSpPr/>
                      <wps:spPr>
                        <a:xfrm>
                          <a:off x="0" y="0"/>
                          <a:ext cx="739140" cy="255905"/>
                        </a:xfrm>
                        <a:prstGeom prst="wedgeRectCallout">
                          <a:avLst>
                            <a:gd name="adj1" fmla="val 135824"/>
                            <a:gd name="adj2" fmla="val -225185"/>
                          </a:avLst>
                        </a:prstGeom>
                        <a:solidFill>
                          <a:srgbClr val="FFFFFF"/>
                        </a:solidFill>
                        <a:ln w="9525" cap="flat" cmpd="sng">
                          <a:solidFill>
                            <a:srgbClr val="000000"/>
                          </a:solidFill>
                          <a:prstDash val="solid"/>
                          <a:miter/>
                          <a:headEnd type="none" w="med" len="med"/>
                          <a:tailEnd type="none" w="med" len="med"/>
                        </a:ln>
                      </wps:spPr>
                      <wps:txbx>
                        <w:txbxContent>
                          <w:p w14:paraId="176D128D">
                            <w:pPr>
                              <w:rPr>
                                <w:rFonts w:hint="eastAsia"/>
                              </w:rPr>
                            </w:pPr>
                            <w:r>
                              <w:rPr>
                                <w:rFonts w:hint="eastAsia"/>
                              </w:rPr>
                              <w:t>大坪煤矿</w:t>
                            </w:r>
                          </w:p>
                        </w:txbxContent>
                      </wps:txbx>
                      <wps:bodyPr wrap="square" upright="1"/>
                    </wps:wsp>
                  </a:graphicData>
                </a:graphic>
              </wp:anchor>
            </w:drawing>
          </mc:Choice>
          <mc:Fallback>
            <w:pict>
              <v:shape id="自选图形 543" o:spid="_x0000_s1026" o:spt="61" type="#_x0000_t61" style="position:absolute;left:0pt;margin-left:20.8pt;margin-top:-0.55pt;height:20.15pt;width:58.2pt;z-index:251661312;mso-width-relative:page;mso-height-relative:page;" fillcolor="#FFFFFF" filled="t" stroked="t" coordsize="21600,21600" o:gfxdata="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fKotgAAAAIAQAADwAAAAAAAAABACAA&#10;AAAiAAAAZHJzL2Rvd25yZXYueG1sUEsBAhQAFAAAAAgAh07iQHWW4S9GAgAAngQAAA4AAAAAAAAA&#10;AQAgAAAAJwEAAGRycy9lMm9Eb2MueG1sUEsFBgAAAAAGAAYAWQEAAN8FAAAAAA==&#10;" adj="40138,-37840">
                <v:fill on="t" focussize="0,0"/>
                <v:stroke color="#000000" joinstyle="miter"/>
                <v:imagedata o:title=""/>
                <o:lock v:ext="edit" aspectratio="f"/>
                <v:textbox>
                  <w:txbxContent>
                    <w:p w14:paraId="176D128D">
                      <w:pPr>
                        <w:rPr>
                          <w:rFonts w:hint="eastAsia"/>
                        </w:rPr>
                      </w:pPr>
                      <w:r>
                        <w:rPr>
                          <w:rFonts w:hint="eastAsia"/>
                        </w:rPr>
                        <w:t>大坪煤矿</w:t>
                      </w:r>
                    </w:p>
                  </w:txbxContent>
                </v:textbox>
              </v:shape>
            </w:pict>
          </mc:Fallback>
        </mc:AlternateContent>
      </w:r>
    </w:p>
    <w:p w14:paraId="551EAB68">
      <w:pPr>
        <w:spacing w:line="360" w:lineRule="auto"/>
        <w:ind w:firstLine="480" w:firstLineChars="200"/>
        <w:rPr>
          <w:rFonts w:hint="eastAsia" w:ascii="宋体" w:hAnsi="宋体"/>
          <w:sz w:val="24"/>
        </w:rPr>
      </w:pPr>
    </w:p>
    <w:p w14:paraId="4A994683">
      <w:pPr>
        <w:spacing w:line="360" w:lineRule="auto"/>
        <w:ind w:firstLine="480" w:firstLineChars="200"/>
        <w:rPr>
          <w:rFonts w:hint="eastAsia" w:ascii="宋体" w:hAnsi="宋体"/>
          <w:sz w:val="24"/>
        </w:rPr>
      </w:pPr>
    </w:p>
    <w:p w14:paraId="69FD4B3A">
      <w:pPr>
        <w:spacing w:line="360" w:lineRule="auto"/>
        <w:ind w:firstLine="480" w:firstLineChars="200"/>
        <w:rPr>
          <w:rFonts w:hint="eastAsia" w:ascii="宋体" w:hAnsi="宋体"/>
          <w:sz w:val="24"/>
        </w:rPr>
      </w:pPr>
    </w:p>
    <w:p w14:paraId="48650AE4">
      <w:pPr>
        <w:spacing w:line="360" w:lineRule="auto"/>
        <w:ind w:firstLine="480" w:firstLineChars="200"/>
        <w:rPr>
          <w:rFonts w:hint="eastAsia" w:ascii="宋体" w:hAnsi="宋体"/>
          <w:sz w:val="24"/>
        </w:rPr>
      </w:pPr>
    </w:p>
    <w:p w14:paraId="77EE9329">
      <w:pPr>
        <w:spacing w:line="360" w:lineRule="auto"/>
        <w:ind w:firstLine="480" w:firstLineChars="200"/>
        <w:rPr>
          <w:rFonts w:hint="eastAsia" w:ascii="宋体" w:hAnsi="宋体"/>
          <w:sz w:val="24"/>
        </w:rPr>
      </w:pPr>
    </w:p>
    <w:p w14:paraId="12B01243">
      <w:pPr>
        <w:spacing w:line="360" w:lineRule="auto"/>
        <w:ind w:firstLine="480" w:firstLineChars="200"/>
        <w:rPr>
          <w:rFonts w:hint="eastAsia" w:ascii="宋体" w:hAnsi="宋体"/>
          <w:sz w:val="24"/>
        </w:rPr>
      </w:pPr>
    </w:p>
    <w:p w14:paraId="44C9A5E5">
      <w:pPr>
        <w:spacing w:line="360" w:lineRule="auto"/>
        <w:ind w:firstLine="480" w:firstLineChars="200"/>
        <w:rPr>
          <w:rFonts w:hint="eastAsia" w:ascii="宋体" w:hAnsi="宋体"/>
          <w:sz w:val="24"/>
        </w:rPr>
      </w:pPr>
    </w:p>
    <w:p w14:paraId="1E1E2E12">
      <w:pPr>
        <w:spacing w:line="360" w:lineRule="auto"/>
        <w:ind w:firstLine="480" w:firstLineChars="200"/>
        <w:rPr>
          <w:rFonts w:hint="eastAsia" w:ascii="宋体" w:hAnsi="宋体"/>
          <w:sz w:val="24"/>
        </w:rPr>
      </w:pPr>
    </w:p>
    <w:p w14:paraId="504BEBC9">
      <w:pPr>
        <w:spacing w:line="360" w:lineRule="auto"/>
        <w:ind w:firstLine="480" w:firstLineChars="200"/>
        <w:rPr>
          <w:rFonts w:hint="eastAsia" w:ascii="宋体" w:hAnsi="宋体"/>
          <w:sz w:val="24"/>
        </w:rPr>
      </w:pPr>
    </w:p>
    <w:p w14:paraId="36FA2465">
      <w:pPr>
        <w:spacing w:line="360" w:lineRule="auto"/>
        <w:ind w:firstLine="480" w:firstLineChars="200"/>
        <w:rPr>
          <w:rFonts w:hint="eastAsia" w:ascii="宋体" w:hAnsi="宋体"/>
          <w:sz w:val="24"/>
        </w:rPr>
      </w:pPr>
    </w:p>
    <w:p w14:paraId="1CD085EF">
      <w:pPr>
        <w:spacing w:line="360" w:lineRule="auto"/>
        <w:ind w:firstLine="480" w:firstLineChars="200"/>
        <w:rPr>
          <w:rFonts w:hint="eastAsia" w:ascii="宋体" w:hAnsi="宋体"/>
          <w:sz w:val="24"/>
        </w:rPr>
      </w:pPr>
    </w:p>
    <w:p w14:paraId="07AC0778">
      <w:pPr>
        <w:spacing w:line="360" w:lineRule="auto"/>
        <w:jc w:val="center"/>
        <w:rPr>
          <w:rFonts w:hint="eastAsia" w:ascii="宋体" w:hAnsi="宋体"/>
          <w:b/>
          <w:color w:val="000000"/>
          <w:sz w:val="24"/>
        </w:rPr>
      </w:pPr>
      <w:r>
        <w:rPr>
          <w:rFonts w:hint="eastAsia" w:ascii="宋体" w:hAnsi="宋体"/>
          <w:b/>
          <w:color w:val="000000"/>
          <w:sz w:val="24"/>
        </w:rPr>
        <w:t>图1－1－1　　水城县玉舍大坪煤矿交通位置图</w:t>
      </w:r>
    </w:p>
    <w:p w14:paraId="39E2DB97">
      <w:pPr>
        <w:spacing w:line="360" w:lineRule="auto"/>
        <w:ind w:firstLine="480" w:firstLineChars="200"/>
        <w:rPr>
          <w:rFonts w:ascii="宋体" w:hAnsi="宋体"/>
          <w:color w:val="000000"/>
          <w:sz w:val="24"/>
        </w:rPr>
      </w:pPr>
      <w:r>
        <w:rPr>
          <w:rFonts w:hint="eastAsia" w:ascii="宋体" w:hAnsi="宋体"/>
          <w:sz w:val="24"/>
        </w:rPr>
        <w:t>4、</w:t>
      </w:r>
      <w:r>
        <w:rPr>
          <w:rFonts w:ascii="宋体" w:hAnsi="宋体"/>
          <w:color w:val="000000"/>
          <w:sz w:val="24"/>
        </w:rPr>
        <w:t>环境状况</w:t>
      </w:r>
    </w:p>
    <w:p w14:paraId="7CDE7742">
      <w:pPr>
        <w:spacing w:line="360" w:lineRule="auto"/>
        <w:ind w:firstLine="480" w:firstLineChars="200"/>
        <w:rPr>
          <w:rFonts w:hint="eastAsia" w:ascii="宋体" w:hAnsi="宋体"/>
          <w:sz w:val="24"/>
        </w:rPr>
      </w:pPr>
      <w:r>
        <w:rPr>
          <w:rFonts w:ascii="宋体" w:hAnsi="宋体"/>
          <w:sz w:val="24"/>
        </w:rPr>
        <w:t>区内工业以煤炭工业为主，小煤矿较多</w:t>
      </w:r>
      <w:r>
        <w:rPr>
          <w:rFonts w:hint="eastAsia" w:ascii="宋体" w:hAnsi="宋体"/>
          <w:sz w:val="24"/>
        </w:rPr>
        <w:t>，</w:t>
      </w:r>
      <w:r>
        <w:rPr>
          <w:rFonts w:ascii="宋体" w:hAnsi="宋体"/>
          <w:sz w:val="24"/>
        </w:rPr>
        <w:t>煤矿井下水、工业污废水及居民生活污水的排放，</w:t>
      </w:r>
      <w:r>
        <w:rPr>
          <w:rFonts w:hint="eastAsia" w:ascii="宋体" w:hAnsi="宋体"/>
          <w:sz w:val="24"/>
        </w:rPr>
        <w:t>将会</w:t>
      </w:r>
      <w:r>
        <w:rPr>
          <w:rFonts w:ascii="宋体" w:hAnsi="宋体"/>
          <w:sz w:val="24"/>
        </w:rPr>
        <w:t>使区内河</w:t>
      </w:r>
      <w:r>
        <w:rPr>
          <w:rFonts w:hint="eastAsia" w:ascii="宋体" w:hAnsi="宋体"/>
          <w:sz w:val="24"/>
        </w:rPr>
        <w:t>流</w:t>
      </w:r>
      <w:r>
        <w:rPr>
          <w:rFonts w:ascii="宋体" w:hAnsi="宋体"/>
          <w:sz w:val="24"/>
        </w:rPr>
        <w:t>水质受到一定程度的污染。</w:t>
      </w:r>
    </w:p>
    <w:p w14:paraId="5028880A">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5、</w:t>
      </w:r>
      <w:r>
        <w:rPr>
          <w:rFonts w:ascii="宋体" w:hAnsi="宋体"/>
          <w:snapToGrid w:val="0"/>
          <w:kern w:val="0"/>
          <w:sz w:val="24"/>
        </w:rPr>
        <w:t>经济概况</w:t>
      </w:r>
    </w:p>
    <w:p w14:paraId="4887BC14">
      <w:pPr>
        <w:spacing w:line="360" w:lineRule="auto"/>
        <w:ind w:firstLine="468" w:firstLineChars="200"/>
        <w:rPr>
          <w:rFonts w:hint="eastAsia" w:ascii="宋体" w:hAnsi="宋体"/>
          <w:spacing w:val="-3"/>
          <w:sz w:val="24"/>
        </w:rPr>
      </w:pPr>
      <w:r>
        <w:rPr>
          <w:rFonts w:hint="eastAsia" w:ascii="宋体" w:hAnsi="宋体"/>
          <w:spacing w:val="-3"/>
          <w:sz w:val="24"/>
        </w:rPr>
        <w:t>区内为多民族杂居，有汉、彝、苗、回等。工农业基础薄弱，工业主要有煤炭及其加工业。但规模较小。农业欠发达，主要农作物有玉米、马玲薯、水稻、无深加工产品。煤炭生产及其加工业是该居民生活的主要经济来源，也是地方财政收入的重要渠道和保证。</w:t>
      </w:r>
    </w:p>
    <w:p w14:paraId="31BC4800">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6、地震烈度</w:t>
      </w:r>
    </w:p>
    <w:p w14:paraId="69C09604">
      <w:pPr>
        <w:spacing w:line="360" w:lineRule="auto"/>
        <w:ind w:firstLine="480" w:firstLineChars="200"/>
        <w:rPr>
          <w:rFonts w:hint="eastAsia" w:ascii="仿宋_GB2312" w:eastAsia="仿宋_GB2312"/>
          <w:sz w:val="28"/>
          <w:szCs w:val="28"/>
        </w:rPr>
      </w:pPr>
      <w:r>
        <w:rPr>
          <w:rFonts w:hint="eastAsia" w:ascii="宋体" w:hAnsi="宋体"/>
          <w:kern w:val="10"/>
          <w:sz w:val="24"/>
        </w:rPr>
        <w:t>根</w:t>
      </w:r>
      <w:r>
        <w:rPr>
          <w:rFonts w:hint="eastAsia" w:ascii="宋体" w:hAnsi="宋体"/>
          <w:sz w:val="24"/>
        </w:rPr>
        <w:t>据《建筑抗震设计规范》GB50011-2006，水城县抗震设防烈度为6度。有记载以来本地区没有发生过破坏性地震。</w:t>
      </w:r>
    </w:p>
    <w:p w14:paraId="5A2C01F9">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三、矿井</w:t>
      </w:r>
      <w:r>
        <w:rPr>
          <w:b/>
          <w:color w:val="000000"/>
          <w:kern w:val="0"/>
          <w:szCs w:val="20"/>
        </w:rPr>
        <w:t>开</w:t>
      </w:r>
      <w:r>
        <w:rPr>
          <w:rFonts w:hint="eastAsia"/>
          <w:b/>
          <w:color w:val="000000"/>
          <w:kern w:val="0"/>
          <w:szCs w:val="20"/>
        </w:rPr>
        <w:t>发现状</w:t>
      </w:r>
    </w:p>
    <w:p w14:paraId="03EE9E8E">
      <w:pPr>
        <w:pStyle w:val="89"/>
        <w:tabs>
          <w:tab w:val="left" w:pos="4500"/>
        </w:tabs>
        <w:ind w:firstLine="480" w:firstLineChars="200"/>
        <w:rPr>
          <w:rFonts w:hint="eastAsia" w:hAnsi="宋体"/>
          <w:color w:val="000000"/>
          <w:szCs w:val="24"/>
        </w:rPr>
      </w:pPr>
      <w:r>
        <w:rPr>
          <w:rFonts w:hint="eastAsia" w:hAnsi="宋体"/>
          <w:szCs w:val="24"/>
        </w:rPr>
        <w:t>水城县玉舍大坪煤矿为一整合矿井，由水城县玉舍大坪煤矿（生产规模3万吨/年）、水城县玉舍华兴煤矿（生产规模3万吨/年）、水城县玉舍山林沟煤矿（生产规模3万吨/年）、水城县玉舍铜厂沟煤矿（生产规模3万吨/年）和水城宏盛矿业有限公司发达煤矿（生产规模3万吨/年）5个煤矿整合而成。于</w:t>
      </w:r>
      <w:r>
        <w:rPr>
          <w:rFonts w:hint="eastAsia" w:hAnsi="宋体"/>
        </w:rPr>
        <w:t>2007年8月获得贵州省国土资源厅颁发的水城县玉舍大坪煤矿《采矿许可证》(副本，证号：5200000711555)，有效期1年；</w:t>
      </w:r>
      <w:r>
        <w:rPr>
          <w:rFonts w:hint="eastAsia" w:hAnsi="宋体"/>
          <w:szCs w:val="24"/>
        </w:rPr>
        <w:t>于2008年1月编制完成《水城县玉舍大坪煤矿（整合）开采方案设计》，设计生产能力为15万吨/年；于2008年6月5日获得贵州省煤炭管理局文件（黔煤规字【2008】456号）《关于对水城县玉舍大坪煤矿（整合）开采方案设计的批复》；</w:t>
      </w:r>
      <w:r>
        <w:rPr>
          <w:rFonts w:hint="eastAsia" w:hAnsi="宋体"/>
        </w:rPr>
        <w:t>于2008年6月编制完成《水城县玉舍大坪煤矿安全设施设计》，于2008年7月获得</w:t>
      </w:r>
      <w:r>
        <w:rPr>
          <w:rFonts w:hint="eastAsia" w:hAnsi="宋体"/>
          <w:szCs w:val="24"/>
        </w:rPr>
        <w:t>贵州煤矿安全监察局水城监察分局文件（黔煤安监水字【200</w:t>
      </w:r>
      <w:r>
        <w:rPr>
          <w:rFonts w:hint="eastAsia" w:hAnsi="宋体"/>
        </w:rPr>
        <w:t>8</w:t>
      </w:r>
      <w:r>
        <w:rPr>
          <w:rFonts w:hint="eastAsia" w:hAnsi="宋体"/>
          <w:szCs w:val="24"/>
        </w:rPr>
        <w:t>】</w:t>
      </w:r>
      <w:r>
        <w:rPr>
          <w:rFonts w:hint="eastAsia" w:hAnsi="宋体"/>
        </w:rPr>
        <w:t>246</w:t>
      </w:r>
      <w:r>
        <w:rPr>
          <w:rFonts w:hint="eastAsia" w:hAnsi="宋体"/>
          <w:szCs w:val="24"/>
        </w:rPr>
        <w:t>号）“关于对水城县</w:t>
      </w:r>
      <w:r>
        <w:rPr>
          <w:rFonts w:hint="eastAsia" w:hAnsi="宋体"/>
        </w:rPr>
        <w:t>玉舍大坪</w:t>
      </w:r>
      <w:r>
        <w:rPr>
          <w:rFonts w:hint="eastAsia" w:hAnsi="宋体"/>
          <w:szCs w:val="24"/>
        </w:rPr>
        <w:t>煤矿</w:t>
      </w:r>
      <w:r>
        <w:rPr>
          <w:rFonts w:hint="eastAsia" w:hAnsi="宋体"/>
        </w:rPr>
        <w:t>安全设施设计</w:t>
      </w:r>
      <w:r>
        <w:rPr>
          <w:rFonts w:hint="eastAsia" w:hAnsi="宋体"/>
          <w:szCs w:val="24"/>
        </w:rPr>
        <w:t>的</w:t>
      </w:r>
      <w:r>
        <w:rPr>
          <w:rFonts w:hint="eastAsia" w:hAnsi="宋体"/>
        </w:rPr>
        <w:t>批复”；</w:t>
      </w:r>
      <w:r>
        <w:rPr>
          <w:rFonts w:hint="eastAsia" w:hAnsi="宋体"/>
          <w:szCs w:val="24"/>
        </w:rPr>
        <w:t>于</w:t>
      </w:r>
      <w:r>
        <w:rPr>
          <w:rFonts w:hint="eastAsia" w:hAnsi="宋体"/>
        </w:rPr>
        <w:t>2008年12月获得贵州省国土资源厅颁发的水城县玉舍大坪煤矿《采矿许可证》(副本，证号：5200000831143)</w:t>
      </w:r>
      <w:r>
        <w:rPr>
          <w:rFonts w:hint="eastAsia" w:hAnsi="宋体"/>
          <w:szCs w:val="24"/>
        </w:rPr>
        <w:t>，</w:t>
      </w:r>
      <w:r>
        <w:rPr>
          <w:rFonts w:hint="eastAsia" w:hAnsi="宋体"/>
          <w:color w:val="000000"/>
          <w:kern w:val="10"/>
        </w:rPr>
        <w:t>生产规模</w:t>
      </w:r>
      <w:r>
        <w:rPr>
          <w:rFonts w:hAnsi="宋体"/>
          <w:color w:val="000000"/>
          <w:szCs w:val="24"/>
        </w:rPr>
        <w:t>为</w:t>
      </w:r>
      <w:r>
        <w:rPr>
          <w:rFonts w:hint="eastAsia" w:hAnsi="宋体"/>
          <w:color w:val="000000"/>
          <w:szCs w:val="24"/>
        </w:rPr>
        <w:t>15万吨/年，有效期10年。</w:t>
      </w:r>
    </w:p>
    <w:p w14:paraId="2101EC4D">
      <w:pPr>
        <w:pStyle w:val="89"/>
        <w:tabs>
          <w:tab w:val="left" w:pos="4500"/>
        </w:tabs>
        <w:ind w:firstLine="480" w:firstLineChars="200"/>
        <w:rPr>
          <w:rFonts w:hint="eastAsia"/>
        </w:rPr>
      </w:pPr>
      <w:r>
        <w:rPr>
          <w:rFonts w:hint="eastAsia"/>
        </w:rPr>
        <w:t>矿区内</w:t>
      </w:r>
      <w:r>
        <w:rPr>
          <w:rFonts w:hint="eastAsia" w:hAnsi="宋体"/>
          <w:szCs w:val="24"/>
        </w:rPr>
        <w:t>原5个矿井均为生产矿井，</w:t>
      </w:r>
      <w:r>
        <w:rPr>
          <w:rFonts w:hint="eastAsia" w:hAnsi="宋体"/>
        </w:rPr>
        <w:t>均</w:t>
      </w:r>
      <w:r>
        <w:rPr>
          <w:rFonts w:hint="eastAsia" w:hAnsi="宋体"/>
          <w:szCs w:val="24"/>
        </w:rPr>
        <w:t>采用炮采工艺，走向长壁后退式采煤法，机械运输。根据业主反应，原发达煤矿、铜厂沟煤矿主要对K1-b、K9、K18煤层进行了开采，其他煤层未进行开采，目前K1-b、K9、K18煤层+1904m标高以上已全部采空；原华兴煤矿、山林沟煤矿、大坪煤矿主要开采K1-b、K13、K18、K26、K35-b煤层，目前K1-b、K13、K18、K26、K35-b煤层+1904m标高以上已全部采空，K3、K9、K10煤层由于煤层较薄，不具备开采条件，因此，矿井未对K3、K9、K10煤层进行开采，采空</w:t>
      </w:r>
      <w:r>
        <w:rPr>
          <w:rFonts w:hAnsi="宋体"/>
          <w:szCs w:val="24"/>
        </w:rPr>
        <w:t>资源量为</w:t>
      </w:r>
      <w:r>
        <w:rPr>
          <w:rFonts w:hint="eastAsia" w:hAnsi="宋体"/>
          <w:szCs w:val="24"/>
        </w:rPr>
        <w:t>343.1</w:t>
      </w:r>
      <w:r>
        <w:rPr>
          <w:rFonts w:hAnsi="宋体"/>
          <w:szCs w:val="24"/>
        </w:rPr>
        <w:t>万吨</w:t>
      </w:r>
      <w:r>
        <w:rPr>
          <w:rFonts w:hint="eastAsia" w:hAnsi="宋体"/>
          <w:szCs w:val="24"/>
        </w:rPr>
        <w:t>，</w:t>
      </w:r>
      <w:r>
        <w:rPr>
          <w:rFonts w:hint="eastAsia"/>
        </w:rPr>
        <w:t>采空范围详见</w:t>
      </w:r>
      <w:r>
        <w:rPr>
          <w:rFonts w:hint="eastAsia"/>
          <w:b/>
        </w:rPr>
        <w:t>图2 开拓系统平面图、图3 开拓系统剖面图</w:t>
      </w:r>
      <w:r>
        <w:rPr>
          <w:rFonts w:hint="eastAsia"/>
        </w:rPr>
        <w:t>。</w:t>
      </w:r>
    </w:p>
    <w:p w14:paraId="31C27D9A">
      <w:pPr>
        <w:pStyle w:val="89"/>
        <w:tabs>
          <w:tab w:val="left" w:pos="4500"/>
        </w:tabs>
        <w:ind w:firstLine="480" w:firstLineChars="200"/>
        <w:rPr>
          <w:rFonts w:hint="eastAsia" w:hAnsi="宋体"/>
        </w:rPr>
      </w:pPr>
      <w:r>
        <w:rPr>
          <w:rFonts w:hint="eastAsia" w:hAnsi="宋体"/>
        </w:rPr>
        <w:t>本矿获得施工资格后并未按原设计施工，而是对新主斜井井筒参数进行了调整之后方开始施工，目前矿井一采区开拓系统已形成，首采工作面部份石门已形成，矿井井巷施工情况详见</w:t>
      </w:r>
      <w:r>
        <w:rPr>
          <w:rFonts w:hint="eastAsia" w:hAnsi="宋体"/>
          <w:b/>
        </w:rPr>
        <w:t>图2 开拓系统平面图、图16 开拓系统及采区采掘工程平面图</w:t>
      </w:r>
      <w:r>
        <w:rPr>
          <w:rFonts w:hint="eastAsia" w:hAnsi="宋体"/>
        </w:rPr>
        <w:t>。</w:t>
      </w:r>
    </w:p>
    <w:p w14:paraId="102FA57E">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四、矿井规划及审批情况</w:t>
      </w:r>
    </w:p>
    <w:p w14:paraId="088DB95F">
      <w:pPr>
        <w:spacing w:line="360" w:lineRule="auto"/>
        <w:ind w:firstLine="480" w:firstLineChars="200"/>
        <w:rPr>
          <w:rFonts w:hint="eastAsia" w:ascii="宋体" w:hAnsi="宋体"/>
          <w:sz w:val="24"/>
        </w:rPr>
      </w:pPr>
      <w:r>
        <w:rPr>
          <w:rFonts w:hint="eastAsia" w:ascii="宋体" w:hAnsi="宋体"/>
          <w:sz w:val="24"/>
        </w:rPr>
        <w:t>水城县玉舍大坪煤矿为一整合矿井，于2008年12月获得贵州省国土资源厅颁发的颁发的水城县玉舍大坪煤矿《采矿许可证》(副本，证号：5200000831143)，矿区</w:t>
      </w:r>
      <w:r>
        <w:rPr>
          <w:rFonts w:ascii="宋体" w:hAnsi="宋体"/>
          <w:sz w:val="24"/>
        </w:rPr>
        <w:t>采矿权范围由</w:t>
      </w:r>
      <w:r>
        <w:rPr>
          <w:rFonts w:hint="eastAsia" w:ascii="宋体" w:hAnsi="宋体"/>
          <w:sz w:val="24"/>
        </w:rPr>
        <w:t>9个拐</w:t>
      </w:r>
      <w:r>
        <w:rPr>
          <w:rFonts w:ascii="宋体" w:hAnsi="宋体"/>
          <w:sz w:val="24"/>
        </w:rPr>
        <w:t>点坐标圈定</w:t>
      </w:r>
      <w:r>
        <w:rPr>
          <w:rFonts w:hint="eastAsia" w:ascii="宋体" w:hAnsi="宋体"/>
          <w:sz w:val="24"/>
        </w:rPr>
        <w:t>，为一不规则九边形，</w:t>
      </w:r>
      <w:r>
        <w:rPr>
          <w:rFonts w:ascii="宋体" w:hAnsi="宋体"/>
          <w:sz w:val="24"/>
        </w:rPr>
        <w:t>矿区面积为</w:t>
      </w:r>
      <w:r>
        <w:rPr>
          <w:rFonts w:hint="eastAsia" w:ascii="宋体" w:hAnsi="宋体"/>
          <w:sz w:val="24"/>
        </w:rPr>
        <w:t>1.2268km</w:t>
      </w:r>
      <w:r>
        <w:rPr>
          <w:rFonts w:ascii="宋体" w:hAnsi="宋体"/>
          <w:sz w:val="24"/>
          <w:vertAlign w:val="superscript"/>
        </w:rPr>
        <w:t>2</w:t>
      </w:r>
      <w:r>
        <w:rPr>
          <w:rFonts w:ascii="宋体" w:hAnsi="宋体"/>
          <w:sz w:val="24"/>
        </w:rPr>
        <w:t>，</w:t>
      </w:r>
      <w:r>
        <w:rPr>
          <w:rFonts w:hint="eastAsia" w:ascii="宋体" w:hAnsi="宋体"/>
          <w:sz w:val="24"/>
        </w:rPr>
        <w:t>开采深度为＋2040～＋1450m标高</w:t>
      </w:r>
      <w:r>
        <w:rPr>
          <w:rFonts w:ascii="宋体" w:hAnsi="宋体"/>
          <w:sz w:val="24"/>
        </w:rPr>
        <w:t>，</w:t>
      </w:r>
      <w:r>
        <w:rPr>
          <w:rFonts w:hint="eastAsia" w:ascii="宋体" w:hAnsi="宋体"/>
          <w:sz w:val="24"/>
        </w:rPr>
        <w:t>矿区走向长约1800m，倾向宽约700m。</w:t>
      </w:r>
    </w:p>
    <w:p w14:paraId="7ED19420">
      <w:pPr>
        <w:pStyle w:val="132"/>
        <w:spacing w:line="360" w:lineRule="auto"/>
        <w:ind w:firstLine="480" w:firstLineChars="200"/>
        <w:rPr>
          <w:rFonts w:hint="eastAsia" w:ascii="宋体" w:hAnsi="宋体"/>
        </w:rPr>
      </w:pPr>
      <w:r>
        <w:rPr>
          <w:rFonts w:hint="eastAsia" w:ascii="宋体" w:hAnsi="宋体"/>
        </w:rPr>
        <w:t xml:space="preserve">根据水城县煤炭资源开发总体规划，水城县玉舍大坪煤矿属规划建设项目之一，水城县玉舍大坪煤矿与周围规划和保留生产矿井之间无矿界重叠，无矿权纠分，矿区拐点坐标（北京坐标系）见 </w:t>
      </w:r>
      <w:r>
        <w:rPr>
          <w:rFonts w:hint="eastAsia" w:ascii="宋体" w:hAnsi="宋体"/>
          <w:b/>
        </w:rPr>
        <w:t>表1-1-1</w:t>
      </w:r>
      <w:r>
        <w:rPr>
          <w:rFonts w:hint="eastAsia" w:ascii="宋体" w:hAnsi="宋体"/>
        </w:rPr>
        <w:t>。</w:t>
      </w:r>
    </w:p>
    <w:p w14:paraId="4524C698">
      <w:pPr>
        <w:pStyle w:val="89"/>
        <w:tabs>
          <w:tab w:val="left" w:pos="4500"/>
        </w:tabs>
        <w:ind w:firstLine="482" w:firstLineChars="200"/>
        <w:jc w:val="center"/>
        <w:rPr>
          <w:rFonts w:hint="eastAsia" w:hAnsi="宋体"/>
          <w:b/>
        </w:rPr>
      </w:pPr>
      <w:r>
        <w:rPr>
          <w:rFonts w:hint="eastAsia" w:hAnsi="宋体"/>
          <w:b/>
          <w:szCs w:val="24"/>
        </w:rPr>
        <w:t>矿区范围拐点坐标及开采深度表　　表1-1-1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3385"/>
        <w:gridCol w:w="3386"/>
      </w:tblGrid>
      <w:tr w14:paraId="0EA5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5EE73607">
            <w:pPr>
              <w:ind w:firstLine="170"/>
              <w:jc w:val="center"/>
              <w:rPr>
                <w:rFonts w:hint="eastAsia" w:ascii="宋体" w:hAnsi="宋体"/>
                <w:snapToGrid w:val="0"/>
                <w:kern w:val="0"/>
                <w:sz w:val="24"/>
              </w:rPr>
            </w:pPr>
            <w:r>
              <w:rPr>
                <w:rFonts w:hint="eastAsia" w:ascii="宋体" w:hAnsi="宋体"/>
                <w:snapToGrid w:val="0"/>
                <w:kern w:val="0"/>
                <w:sz w:val="24"/>
              </w:rPr>
              <w:t>拐点</w:t>
            </w:r>
          </w:p>
        </w:tc>
        <w:tc>
          <w:tcPr>
            <w:tcW w:w="3385" w:type="dxa"/>
            <w:noWrap w:val="0"/>
            <w:vAlign w:val="center"/>
          </w:tcPr>
          <w:p w14:paraId="332556F8">
            <w:pPr>
              <w:ind w:firstLine="170"/>
              <w:jc w:val="center"/>
              <w:rPr>
                <w:rFonts w:hint="eastAsia" w:ascii="宋体" w:hAnsi="宋体"/>
                <w:snapToGrid w:val="0"/>
                <w:kern w:val="0"/>
                <w:sz w:val="24"/>
              </w:rPr>
            </w:pPr>
            <w:r>
              <w:rPr>
                <w:rFonts w:hint="eastAsia" w:ascii="宋体" w:hAnsi="宋体"/>
                <w:snapToGrid w:val="0"/>
                <w:kern w:val="0"/>
                <w:sz w:val="24"/>
              </w:rPr>
              <w:t>X</w:t>
            </w:r>
          </w:p>
        </w:tc>
        <w:tc>
          <w:tcPr>
            <w:tcW w:w="3386" w:type="dxa"/>
            <w:noWrap w:val="0"/>
            <w:vAlign w:val="center"/>
          </w:tcPr>
          <w:p w14:paraId="095AACA9">
            <w:pPr>
              <w:ind w:firstLine="170"/>
              <w:jc w:val="center"/>
              <w:rPr>
                <w:rFonts w:hint="eastAsia" w:ascii="宋体" w:hAnsi="宋体"/>
                <w:snapToGrid w:val="0"/>
                <w:kern w:val="0"/>
                <w:sz w:val="24"/>
              </w:rPr>
            </w:pPr>
            <w:r>
              <w:rPr>
                <w:rFonts w:hint="eastAsia" w:ascii="宋体" w:hAnsi="宋体"/>
                <w:snapToGrid w:val="0"/>
                <w:kern w:val="0"/>
                <w:sz w:val="24"/>
              </w:rPr>
              <w:t>Y</w:t>
            </w:r>
          </w:p>
        </w:tc>
      </w:tr>
      <w:tr w14:paraId="455F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2793779F">
            <w:pPr>
              <w:jc w:val="center"/>
              <w:rPr>
                <w:rFonts w:hint="eastAsia" w:ascii="宋体" w:hAnsi="宋体"/>
                <w:snapToGrid w:val="0"/>
                <w:kern w:val="0"/>
                <w:sz w:val="24"/>
              </w:rPr>
            </w:pPr>
            <w:r>
              <w:rPr>
                <w:rFonts w:hint="eastAsia" w:ascii="宋体" w:hAnsi="宋体"/>
                <w:snapToGrid w:val="0"/>
                <w:kern w:val="0"/>
                <w:sz w:val="24"/>
              </w:rPr>
              <w:t>1</w:t>
            </w:r>
          </w:p>
        </w:tc>
        <w:tc>
          <w:tcPr>
            <w:tcW w:w="3385" w:type="dxa"/>
            <w:noWrap w:val="0"/>
            <w:vAlign w:val="center"/>
          </w:tcPr>
          <w:p w14:paraId="7FF96DD1">
            <w:pPr>
              <w:jc w:val="center"/>
              <w:rPr>
                <w:rFonts w:hint="eastAsia" w:ascii="宋体" w:hAnsi="宋体"/>
                <w:snapToGrid w:val="0"/>
                <w:kern w:val="0"/>
                <w:sz w:val="24"/>
              </w:rPr>
            </w:pPr>
            <w:r>
              <w:rPr>
                <w:rFonts w:hint="eastAsia" w:ascii="宋体" w:hAnsi="宋体"/>
                <w:snapToGrid w:val="0"/>
                <w:kern w:val="0"/>
                <w:sz w:val="24"/>
              </w:rPr>
              <w:t>2933202</w:t>
            </w:r>
          </w:p>
        </w:tc>
        <w:tc>
          <w:tcPr>
            <w:tcW w:w="3386" w:type="dxa"/>
            <w:noWrap w:val="0"/>
            <w:vAlign w:val="center"/>
          </w:tcPr>
          <w:p w14:paraId="32A3C6DA">
            <w:pPr>
              <w:jc w:val="center"/>
              <w:rPr>
                <w:rFonts w:hint="eastAsia" w:ascii="宋体" w:hAnsi="宋体"/>
                <w:snapToGrid w:val="0"/>
                <w:kern w:val="0"/>
                <w:sz w:val="24"/>
              </w:rPr>
            </w:pPr>
            <w:r>
              <w:rPr>
                <w:rFonts w:hint="eastAsia" w:ascii="宋体" w:hAnsi="宋体"/>
                <w:snapToGrid w:val="0"/>
                <w:kern w:val="0"/>
                <w:sz w:val="24"/>
              </w:rPr>
              <w:t>35475700</w:t>
            </w:r>
          </w:p>
        </w:tc>
      </w:tr>
      <w:tr w14:paraId="06BE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7A38A264">
            <w:pPr>
              <w:jc w:val="center"/>
              <w:rPr>
                <w:rFonts w:hint="eastAsia" w:ascii="宋体" w:hAnsi="宋体"/>
                <w:snapToGrid w:val="0"/>
                <w:kern w:val="0"/>
                <w:sz w:val="24"/>
              </w:rPr>
            </w:pPr>
            <w:r>
              <w:rPr>
                <w:rFonts w:hint="eastAsia" w:ascii="宋体" w:hAnsi="宋体"/>
                <w:snapToGrid w:val="0"/>
                <w:kern w:val="0"/>
                <w:sz w:val="24"/>
              </w:rPr>
              <w:t>2</w:t>
            </w:r>
          </w:p>
        </w:tc>
        <w:tc>
          <w:tcPr>
            <w:tcW w:w="3385" w:type="dxa"/>
            <w:noWrap w:val="0"/>
            <w:vAlign w:val="center"/>
          </w:tcPr>
          <w:p w14:paraId="5CF2D962">
            <w:pPr>
              <w:jc w:val="center"/>
              <w:rPr>
                <w:rFonts w:hint="eastAsia" w:ascii="宋体" w:hAnsi="宋体"/>
                <w:snapToGrid w:val="0"/>
                <w:kern w:val="0"/>
                <w:sz w:val="24"/>
              </w:rPr>
            </w:pPr>
            <w:r>
              <w:rPr>
                <w:rFonts w:hint="eastAsia" w:ascii="宋体" w:hAnsi="宋体"/>
                <w:snapToGrid w:val="0"/>
                <w:kern w:val="0"/>
                <w:sz w:val="24"/>
              </w:rPr>
              <w:t>2932929</w:t>
            </w:r>
          </w:p>
        </w:tc>
        <w:tc>
          <w:tcPr>
            <w:tcW w:w="3386" w:type="dxa"/>
            <w:noWrap w:val="0"/>
            <w:vAlign w:val="center"/>
          </w:tcPr>
          <w:p w14:paraId="3F44647F">
            <w:pPr>
              <w:jc w:val="center"/>
              <w:rPr>
                <w:rFonts w:hint="eastAsia" w:ascii="宋体" w:hAnsi="宋体"/>
                <w:snapToGrid w:val="0"/>
                <w:kern w:val="0"/>
                <w:sz w:val="24"/>
              </w:rPr>
            </w:pPr>
            <w:r>
              <w:rPr>
                <w:rFonts w:hint="eastAsia" w:ascii="宋体" w:hAnsi="宋体"/>
                <w:snapToGrid w:val="0"/>
                <w:kern w:val="0"/>
                <w:sz w:val="24"/>
              </w:rPr>
              <w:t>35475135</w:t>
            </w:r>
          </w:p>
        </w:tc>
      </w:tr>
      <w:tr w14:paraId="7253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76C37B35">
            <w:pPr>
              <w:jc w:val="center"/>
              <w:rPr>
                <w:rFonts w:hint="eastAsia" w:ascii="宋体" w:hAnsi="宋体"/>
                <w:snapToGrid w:val="0"/>
                <w:kern w:val="0"/>
                <w:sz w:val="24"/>
              </w:rPr>
            </w:pPr>
            <w:r>
              <w:rPr>
                <w:rFonts w:hint="eastAsia" w:ascii="宋体" w:hAnsi="宋体"/>
                <w:snapToGrid w:val="0"/>
                <w:kern w:val="0"/>
                <w:sz w:val="24"/>
              </w:rPr>
              <w:t>3</w:t>
            </w:r>
          </w:p>
        </w:tc>
        <w:tc>
          <w:tcPr>
            <w:tcW w:w="3385" w:type="dxa"/>
            <w:noWrap w:val="0"/>
            <w:vAlign w:val="center"/>
          </w:tcPr>
          <w:p w14:paraId="47367417">
            <w:pPr>
              <w:jc w:val="center"/>
              <w:rPr>
                <w:rFonts w:hint="eastAsia" w:ascii="宋体" w:hAnsi="宋体"/>
                <w:snapToGrid w:val="0"/>
                <w:kern w:val="0"/>
                <w:sz w:val="24"/>
              </w:rPr>
            </w:pPr>
            <w:r>
              <w:rPr>
                <w:rFonts w:hint="eastAsia" w:ascii="宋体" w:hAnsi="宋体"/>
                <w:snapToGrid w:val="0"/>
                <w:kern w:val="0"/>
                <w:sz w:val="24"/>
              </w:rPr>
              <w:t>2933772</w:t>
            </w:r>
          </w:p>
        </w:tc>
        <w:tc>
          <w:tcPr>
            <w:tcW w:w="3386" w:type="dxa"/>
            <w:noWrap w:val="0"/>
            <w:vAlign w:val="center"/>
          </w:tcPr>
          <w:p w14:paraId="2E4EF9DE">
            <w:pPr>
              <w:jc w:val="center"/>
              <w:rPr>
                <w:rFonts w:hint="eastAsia" w:ascii="宋体" w:hAnsi="宋体"/>
                <w:snapToGrid w:val="0"/>
                <w:kern w:val="0"/>
                <w:sz w:val="24"/>
              </w:rPr>
            </w:pPr>
            <w:r>
              <w:rPr>
                <w:rFonts w:hint="eastAsia" w:ascii="宋体" w:hAnsi="宋体"/>
                <w:snapToGrid w:val="0"/>
                <w:kern w:val="0"/>
                <w:sz w:val="24"/>
              </w:rPr>
              <w:t>35473913</w:t>
            </w:r>
          </w:p>
        </w:tc>
      </w:tr>
      <w:tr w14:paraId="449A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50B09FB7">
            <w:pPr>
              <w:jc w:val="center"/>
              <w:rPr>
                <w:rFonts w:hint="eastAsia" w:ascii="宋体" w:hAnsi="宋体"/>
                <w:snapToGrid w:val="0"/>
                <w:kern w:val="0"/>
                <w:sz w:val="24"/>
              </w:rPr>
            </w:pPr>
            <w:r>
              <w:rPr>
                <w:rFonts w:hint="eastAsia" w:ascii="宋体" w:hAnsi="宋体"/>
                <w:snapToGrid w:val="0"/>
                <w:kern w:val="0"/>
                <w:sz w:val="24"/>
              </w:rPr>
              <w:t>4</w:t>
            </w:r>
          </w:p>
        </w:tc>
        <w:tc>
          <w:tcPr>
            <w:tcW w:w="3385" w:type="dxa"/>
            <w:noWrap w:val="0"/>
            <w:vAlign w:val="center"/>
          </w:tcPr>
          <w:p w14:paraId="74D15495">
            <w:pPr>
              <w:jc w:val="center"/>
              <w:rPr>
                <w:rFonts w:hint="eastAsia" w:ascii="宋体" w:hAnsi="宋体"/>
                <w:snapToGrid w:val="0"/>
                <w:kern w:val="0"/>
                <w:sz w:val="24"/>
              </w:rPr>
            </w:pPr>
            <w:r>
              <w:rPr>
                <w:rFonts w:hint="eastAsia" w:ascii="宋体" w:hAnsi="宋体"/>
                <w:snapToGrid w:val="0"/>
                <w:kern w:val="0"/>
                <w:sz w:val="24"/>
              </w:rPr>
              <w:t>2934369</w:t>
            </w:r>
          </w:p>
        </w:tc>
        <w:tc>
          <w:tcPr>
            <w:tcW w:w="3386" w:type="dxa"/>
            <w:noWrap w:val="0"/>
            <w:vAlign w:val="center"/>
          </w:tcPr>
          <w:p w14:paraId="4E152DA9">
            <w:pPr>
              <w:jc w:val="center"/>
              <w:rPr>
                <w:rFonts w:hint="eastAsia" w:ascii="宋体" w:hAnsi="宋体"/>
                <w:snapToGrid w:val="0"/>
                <w:kern w:val="0"/>
                <w:sz w:val="24"/>
              </w:rPr>
            </w:pPr>
            <w:r>
              <w:rPr>
                <w:rFonts w:hint="eastAsia" w:ascii="宋体" w:hAnsi="宋体"/>
                <w:snapToGrid w:val="0"/>
                <w:kern w:val="0"/>
                <w:sz w:val="24"/>
              </w:rPr>
              <w:t>35474019</w:t>
            </w:r>
          </w:p>
        </w:tc>
      </w:tr>
      <w:tr w14:paraId="556D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2259CB9B">
            <w:pPr>
              <w:jc w:val="center"/>
              <w:rPr>
                <w:rFonts w:hint="eastAsia" w:ascii="宋体" w:hAnsi="宋体"/>
                <w:snapToGrid w:val="0"/>
                <w:kern w:val="0"/>
                <w:sz w:val="24"/>
              </w:rPr>
            </w:pPr>
            <w:r>
              <w:rPr>
                <w:rFonts w:hint="eastAsia" w:ascii="宋体" w:hAnsi="宋体"/>
                <w:snapToGrid w:val="0"/>
                <w:kern w:val="0"/>
                <w:sz w:val="24"/>
              </w:rPr>
              <w:t>5</w:t>
            </w:r>
          </w:p>
        </w:tc>
        <w:tc>
          <w:tcPr>
            <w:tcW w:w="3385" w:type="dxa"/>
            <w:noWrap w:val="0"/>
            <w:vAlign w:val="center"/>
          </w:tcPr>
          <w:p w14:paraId="53C7DD15">
            <w:pPr>
              <w:jc w:val="center"/>
              <w:rPr>
                <w:rFonts w:hint="eastAsia" w:ascii="宋体" w:hAnsi="宋体"/>
                <w:snapToGrid w:val="0"/>
                <w:kern w:val="0"/>
                <w:sz w:val="24"/>
              </w:rPr>
            </w:pPr>
            <w:r>
              <w:rPr>
                <w:rFonts w:hint="eastAsia" w:ascii="宋体" w:hAnsi="宋体"/>
                <w:snapToGrid w:val="0"/>
                <w:kern w:val="0"/>
                <w:sz w:val="24"/>
              </w:rPr>
              <w:t>2934075</w:t>
            </w:r>
          </w:p>
        </w:tc>
        <w:tc>
          <w:tcPr>
            <w:tcW w:w="3386" w:type="dxa"/>
            <w:noWrap w:val="0"/>
            <w:vAlign w:val="center"/>
          </w:tcPr>
          <w:p w14:paraId="4DED6B1B">
            <w:pPr>
              <w:jc w:val="center"/>
              <w:rPr>
                <w:rFonts w:hint="eastAsia" w:ascii="宋体" w:hAnsi="宋体"/>
                <w:snapToGrid w:val="0"/>
                <w:kern w:val="0"/>
                <w:sz w:val="24"/>
              </w:rPr>
            </w:pPr>
            <w:r>
              <w:rPr>
                <w:rFonts w:hint="eastAsia" w:ascii="宋体" w:hAnsi="宋体"/>
                <w:snapToGrid w:val="0"/>
                <w:kern w:val="0"/>
                <w:sz w:val="24"/>
              </w:rPr>
              <w:t>35474405</w:t>
            </w:r>
          </w:p>
        </w:tc>
      </w:tr>
      <w:tr w14:paraId="4187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7958FB9E">
            <w:pPr>
              <w:jc w:val="center"/>
              <w:rPr>
                <w:rFonts w:hint="eastAsia" w:ascii="宋体" w:hAnsi="宋体"/>
                <w:snapToGrid w:val="0"/>
                <w:kern w:val="0"/>
                <w:sz w:val="24"/>
              </w:rPr>
            </w:pPr>
            <w:r>
              <w:rPr>
                <w:rFonts w:hint="eastAsia" w:ascii="宋体" w:hAnsi="宋体"/>
                <w:snapToGrid w:val="0"/>
                <w:kern w:val="0"/>
                <w:sz w:val="24"/>
              </w:rPr>
              <w:t>6</w:t>
            </w:r>
          </w:p>
        </w:tc>
        <w:tc>
          <w:tcPr>
            <w:tcW w:w="3385" w:type="dxa"/>
            <w:noWrap w:val="0"/>
            <w:vAlign w:val="center"/>
          </w:tcPr>
          <w:p w14:paraId="14D8E72C">
            <w:pPr>
              <w:jc w:val="center"/>
              <w:rPr>
                <w:rFonts w:hint="eastAsia" w:ascii="宋体" w:hAnsi="宋体"/>
                <w:snapToGrid w:val="0"/>
                <w:kern w:val="0"/>
                <w:sz w:val="24"/>
              </w:rPr>
            </w:pPr>
            <w:r>
              <w:rPr>
                <w:rFonts w:hint="eastAsia" w:ascii="宋体" w:hAnsi="宋体"/>
                <w:snapToGrid w:val="0"/>
                <w:kern w:val="0"/>
                <w:sz w:val="24"/>
              </w:rPr>
              <w:t>2934120</w:t>
            </w:r>
          </w:p>
        </w:tc>
        <w:tc>
          <w:tcPr>
            <w:tcW w:w="3386" w:type="dxa"/>
            <w:noWrap w:val="0"/>
            <w:vAlign w:val="center"/>
          </w:tcPr>
          <w:p w14:paraId="400B8A1E">
            <w:pPr>
              <w:jc w:val="center"/>
              <w:rPr>
                <w:rFonts w:hint="eastAsia" w:ascii="宋体" w:hAnsi="宋体"/>
                <w:snapToGrid w:val="0"/>
                <w:kern w:val="0"/>
                <w:sz w:val="24"/>
              </w:rPr>
            </w:pPr>
            <w:r>
              <w:rPr>
                <w:rFonts w:hint="eastAsia" w:ascii="宋体" w:hAnsi="宋体"/>
                <w:snapToGrid w:val="0"/>
                <w:kern w:val="0"/>
                <w:sz w:val="24"/>
              </w:rPr>
              <w:t>35474610</w:t>
            </w:r>
          </w:p>
        </w:tc>
      </w:tr>
      <w:tr w14:paraId="1FA7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139AA1FF">
            <w:pPr>
              <w:jc w:val="center"/>
              <w:rPr>
                <w:rFonts w:hint="eastAsia" w:ascii="宋体" w:hAnsi="宋体"/>
                <w:snapToGrid w:val="0"/>
                <w:kern w:val="0"/>
                <w:sz w:val="24"/>
              </w:rPr>
            </w:pPr>
            <w:r>
              <w:rPr>
                <w:rFonts w:hint="eastAsia" w:ascii="宋体" w:hAnsi="宋体"/>
                <w:snapToGrid w:val="0"/>
                <w:kern w:val="0"/>
                <w:sz w:val="24"/>
              </w:rPr>
              <w:t>7</w:t>
            </w:r>
          </w:p>
        </w:tc>
        <w:tc>
          <w:tcPr>
            <w:tcW w:w="3385" w:type="dxa"/>
            <w:noWrap w:val="0"/>
            <w:vAlign w:val="center"/>
          </w:tcPr>
          <w:p w14:paraId="0119EB32">
            <w:pPr>
              <w:jc w:val="center"/>
              <w:rPr>
                <w:rFonts w:hint="eastAsia" w:ascii="宋体" w:hAnsi="宋体"/>
                <w:snapToGrid w:val="0"/>
                <w:kern w:val="0"/>
                <w:sz w:val="24"/>
              </w:rPr>
            </w:pPr>
            <w:r>
              <w:rPr>
                <w:rFonts w:hint="eastAsia" w:ascii="宋体" w:hAnsi="宋体"/>
                <w:snapToGrid w:val="0"/>
                <w:kern w:val="0"/>
                <w:sz w:val="24"/>
              </w:rPr>
              <w:t>2933870</w:t>
            </w:r>
          </w:p>
        </w:tc>
        <w:tc>
          <w:tcPr>
            <w:tcW w:w="3386" w:type="dxa"/>
            <w:noWrap w:val="0"/>
            <w:vAlign w:val="center"/>
          </w:tcPr>
          <w:p w14:paraId="03A792D6">
            <w:pPr>
              <w:jc w:val="center"/>
              <w:rPr>
                <w:rFonts w:hint="eastAsia" w:ascii="宋体" w:hAnsi="宋体"/>
                <w:snapToGrid w:val="0"/>
                <w:kern w:val="0"/>
                <w:sz w:val="24"/>
              </w:rPr>
            </w:pPr>
            <w:r>
              <w:rPr>
                <w:rFonts w:hint="eastAsia" w:ascii="宋体" w:hAnsi="宋体"/>
                <w:snapToGrid w:val="0"/>
                <w:kern w:val="0"/>
                <w:sz w:val="24"/>
              </w:rPr>
              <w:t>35474790</w:t>
            </w:r>
          </w:p>
        </w:tc>
      </w:tr>
      <w:tr w14:paraId="5749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3A788311">
            <w:pPr>
              <w:jc w:val="center"/>
              <w:rPr>
                <w:rFonts w:hint="eastAsia" w:ascii="宋体" w:hAnsi="宋体"/>
                <w:snapToGrid w:val="0"/>
                <w:kern w:val="0"/>
                <w:sz w:val="24"/>
              </w:rPr>
            </w:pPr>
            <w:r>
              <w:rPr>
                <w:rFonts w:hint="eastAsia" w:ascii="宋体" w:hAnsi="宋体"/>
                <w:snapToGrid w:val="0"/>
                <w:kern w:val="0"/>
                <w:sz w:val="24"/>
              </w:rPr>
              <w:t>8</w:t>
            </w:r>
          </w:p>
        </w:tc>
        <w:tc>
          <w:tcPr>
            <w:tcW w:w="3385" w:type="dxa"/>
            <w:noWrap w:val="0"/>
            <w:vAlign w:val="center"/>
          </w:tcPr>
          <w:p w14:paraId="047E936E">
            <w:pPr>
              <w:jc w:val="center"/>
              <w:rPr>
                <w:rFonts w:hint="eastAsia" w:ascii="宋体" w:hAnsi="宋体"/>
                <w:snapToGrid w:val="0"/>
                <w:kern w:val="0"/>
                <w:sz w:val="24"/>
              </w:rPr>
            </w:pPr>
            <w:r>
              <w:rPr>
                <w:rFonts w:hint="eastAsia" w:ascii="宋体" w:hAnsi="宋体"/>
                <w:snapToGrid w:val="0"/>
                <w:kern w:val="0"/>
                <w:sz w:val="24"/>
              </w:rPr>
              <w:t>2933950</w:t>
            </w:r>
          </w:p>
        </w:tc>
        <w:tc>
          <w:tcPr>
            <w:tcW w:w="3386" w:type="dxa"/>
            <w:noWrap w:val="0"/>
            <w:vAlign w:val="center"/>
          </w:tcPr>
          <w:p w14:paraId="3ED056AD">
            <w:pPr>
              <w:jc w:val="center"/>
              <w:rPr>
                <w:rFonts w:hint="eastAsia" w:ascii="宋体" w:hAnsi="宋体"/>
                <w:snapToGrid w:val="0"/>
                <w:kern w:val="0"/>
                <w:sz w:val="24"/>
              </w:rPr>
            </w:pPr>
            <w:r>
              <w:rPr>
                <w:rFonts w:hint="eastAsia" w:ascii="宋体" w:hAnsi="宋体"/>
                <w:snapToGrid w:val="0"/>
                <w:kern w:val="0"/>
                <w:sz w:val="24"/>
              </w:rPr>
              <w:t>35475110</w:t>
            </w:r>
          </w:p>
        </w:tc>
      </w:tr>
      <w:tr w14:paraId="5904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2257" w:type="dxa"/>
            <w:noWrap w:val="0"/>
            <w:vAlign w:val="center"/>
          </w:tcPr>
          <w:p w14:paraId="0CFA96DB">
            <w:pPr>
              <w:jc w:val="center"/>
              <w:rPr>
                <w:rFonts w:hint="eastAsia" w:ascii="宋体" w:hAnsi="宋体"/>
                <w:snapToGrid w:val="0"/>
                <w:kern w:val="0"/>
                <w:sz w:val="24"/>
              </w:rPr>
            </w:pPr>
            <w:r>
              <w:rPr>
                <w:rFonts w:hint="eastAsia" w:ascii="宋体" w:hAnsi="宋体"/>
                <w:snapToGrid w:val="0"/>
                <w:kern w:val="0"/>
                <w:sz w:val="24"/>
              </w:rPr>
              <w:t>9</w:t>
            </w:r>
          </w:p>
        </w:tc>
        <w:tc>
          <w:tcPr>
            <w:tcW w:w="3385" w:type="dxa"/>
            <w:noWrap w:val="0"/>
            <w:vAlign w:val="center"/>
          </w:tcPr>
          <w:p w14:paraId="1330FDCF">
            <w:pPr>
              <w:jc w:val="center"/>
              <w:rPr>
                <w:rFonts w:hint="eastAsia" w:ascii="宋体" w:hAnsi="宋体"/>
                <w:snapToGrid w:val="0"/>
                <w:kern w:val="0"/>
                <w:sz w:val="24"/>
              </w:rPr>
            </w:pPr>
            <w:r>
              <w:rPr>
                <w:rFonts w:hint="eastAsia" w:ascii="宋体" w:hAnsi="宋体"/>
                <w:snapToGrid w:val="0"/>
                <w:kern w:val="0"/>
                <w:sz w:val="24"/>
              </w:rPr>
              <w:t>2933585</w:t>
            </w:r>
          </w:p>
        </w:tc>
        <w:tc>
          <w:tcPr>
            <w:tcW w:w="3386" w:type="dxa"/>
            <w:noWrap w:val="0"/>
            <w:vAlign w:val="center"/>
          </w:tcPr>
          <w:p w14:paraId="18BE06BE">
            <w:pPr>
              <w:jc w:val="center"/>
              <w:rPr>
                <w:rFonts w:hint="eastAsia" w:ascii="宋体" w:hAnsi="宋体"/>
                <w:snapToGrid w:val="0"/>
                <w:kern w:val="0"/>
                <w:sz w:val="24"/>
              </w:rPr>
            </w:pPr>
            <w:r>
              <w:rPr>
                <w:rFonts w:hint="eastAsia" w:ascii="宋体" w:hAnsi="宋体"/>
                <w:snapToGrid w:val="0"/>
                <w:kern w:val="0"/>
                <w:sz w:val="24"/>
              </w:rPr>
              <w:t>35475590</w:t>
            </w:r>
          </w:p>
        </w:tc>
      </w:tr>
      <w:tr w14:paraId="09EA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4" w:hRule="atLeast"/>
          <w:jc w:val="center"/>
        </w:trPr>
        <w:tc>
          <w:tcPr>
            <w:tcW w:w="9028" w:type="dxa"/>
            <w:gridSpan w:val="3"/>
            <w:noWrap w:val="0"/>
            <w:vAlign w:val="center"/>
          </w:tcPr>
          <w:p w14:paraId="0FBCE29D">
            <w:pPr>
              <w:jc w:val="center"/>
              <w:rPr>
                <w:rFonts w:hint="eastAsia" w:ascii="宋体" w:hAnsi="宋体"/>
                <w:snapToGrid w:val="0"/>
                <w:kern w:val="0"/>
                <w:sz w:val="24"/>
              </w:rPr>
            </w:pPr>
            <w:r>
              <w:rPr>
                <w:rFonts w:hint="eastAsia" w:ascii="宋体" w:hAnsi="宋体"/>
                <w:sz w:val="24"/>
              </w:rPr>
              <w:t>矿区面积：1.2268km</w:t>
            </w:r>
            <w:r>
              <w:rPr>
                <w:rFonts w:hint="eastAsia" w:ascii="宋体" w:hAnsi="宋体"/>
                <w:sz w:val="24"/>
                <w:vertAlign w:val="superscript"/>
              </w:rPr>
              <w:t>2</w:t>
            </w:r>
            <w:r>
              <w:rPr>
                <w:rFonts w:hint="eastAsia" w:ascii="宋体" w:hAnsi="宋体"/>
                <w:sz w:val="24"/>
              </w:rPr>
              <w:t>；开采深度：＋2040～＋1450m标高</w:t>
            </w:r>
          </w:p>
        </w:tc>
      </w:tr>
    </w:tbl>
    <w:p w14:paraId="734B1AC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五、资源/储量及煤质情况</w:t>
      </w:r>
    </w:p>
    <w:p w14:paraId="401448AB">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1、资源/储量</w:t>
      </w:r>
    </w:p>
    <w:p w14:paraId="59EEEFA6">
      <w:pPr>
        <w:spacing w:line="360" w:lineRule="auto"/>
        <w:ind w:firstLine="480" w:firstLineChars="200"/>
        <w:rPr>
          <w:rFonts w:hint="eastAsia" w:ascii="宋体" w:hAnsi="宋体"/>
          <w:sz w:val="24"/>
        </w:rPr>
      </w:pPr>
      <w:r>
        <w:rPr>
          <w:rFonts w:hint="eastAsia" w:ascii="宋体" w:hAnsi="宋体"/>
          <w:sz w:val="24"/>
        </w:rPr>
        <w:t>根据贵州省地矿局一一三地质大队2008年6月编制的《贵州省水城县玉舍大坪煤矿资源/储量核实报告》及2008年7月21日贵州省国土资源厅（黔国土资储备字【2008】689号关于《贵州省水城县玉舍大坪煤矿资源/储量核实报告》矿产资源储量评审备案证明；核实截至2007年5月31日止，水城县玉舍大坪煤矿矿区范围内保有资源量总和为1257.1万吨（其中：探明的内蕴经济资源量（331）579.3万吨，控制的内蕴经济资源量（332）183.6万吨，推断的内蕴经济资源量（333）494.2万吨，采空损失量（112b）343.1万吨。</w:t>
      </w:r>
    </w:p>
    <w:p w14:paraId="62047F28">
      <w:pPr>
        <w:spacing w:line="360" w:lineRule="auto"/>
        <w:ind w:firstLine="480" w:firstLineChars="200"/>
        <w:rPr>
          <w:rFonts w:hint="eastAsia" w:ascii="宋体" w:hAnsi="宋体"/>
          <w:sz w:val="24"/>
        </w:rPr>
      </w:pPr>
      <w:r>
        <w:rPr>
          <w:rFonts w:hint="eastAsia" w:ascii="宋体" w:hAnsi="宋体"/>
          <w:sz w:val="24"/>
        </w:rPr>
        <w:t>2、煤质</w:t>
      </w:r>
    </w:p>
    <w:p w14:paraId="09E48508">
      <w:pPr>
        <w:spacing w:line="360" w:lineRule="auto"/>
        <w:ind w:firstLine="480" w:firstLineChars="200"/>
        <w:rPr>
          <w:rFonts w:hint="eastAsia" w:ascii="宋体" w:hAnsi="宋体"/>
          <w:sz w:val="24"/>
        </w:rPr>
      </w:pPr>
      <w:r>
        <w:rPr>
          <w:rFonts w:hint="eastAsia" w:ascii="宋体" w:hAnsi="宋体"/>
          <w:sz w:val="24"/>
        </w:rPr>
        <w:t>根据原煤分析结果，按中华人民共和国国家标准，煤炭质量分级，第1部分：灰分（GB/T 15224.1-2004</w:t>
      </w:r>
      <w:r>
        <w:rPr>
          <w:rFonts w:ascii="宋体" w:hAnsi="宋体"/>
          <w:sz w:val="24"/>
        </w:rPr>
        <w:t>）</w:t>
      </w:r>
      <w:r>
        <w:rPr>
          <w:rFonts w:hint="eastAsia" w:ascii="宋体" w:hAnsi="宋体"/>
          <w:sz w:val="24"/>
        </w:rPr>
        <w:t>的规定；第2部分：硫分（GB/T 15224.2-2004</w:t>
      </w:r>
      <w:r>
        <w:rPr>
          <w:rFonts w:ascii="宋体" w:hAnsi="宋体"/>
          <w:sz w:val="24"/>
        </w:rPr>
        <w:t>）</w:t>
      </w:r>
      <w:r>
        <w:rPr>
          <w:rFonts w:hint="eastAsia" w:ascii="宋体" w:hAnsi="宋体"/>
          <w:sz w:val="24"/>
        </w:rPr>
        <w:t>的规定；第3部分：发热量（GB/T 15224.3-2004</w:t>
      </w:r>
      <w:r>
        <w:rPr>
          <w:rFonts w:ascii="宋体" w:hAnsi="宋体"/>
          <w:sz w:val="24"/>
        </w:rPr>
        <w:t>）</w:t>
      </w:r>
      <w:r>
        <w:rPr>
          <w:rFonts w:hint="eastAsia" w:ascii="宋体" w:hAnsi="宋体"/>
          <w:sz w:val="24"/>
        </w:rPr>
        <w:t>的规定，矿区内主要开采煤层</w:t>
      </w:r>
      <w:r>
        <w:rPr>
          <w:rFonts w:ascii="宋体" w:hAnsi="宋体"/>
          <w:color w:val="000000"/>
          <w:sz w:val="24"/>
        </w:rPr>
        <w:t>多属低～中灰</w:t>
      </w:r>
      <w:r>
        <w:rPr>
          <w:rFonts w:hint="eastAsia" w:ascii="宋体" w:hAnsi="宋体"/>
          <w:color w:val="000000"/>
          <w:sz w:val="24"/>
        </w:rPr>
        <w:t>，</w:t>
      </w:r>
      <w:r>
        <w:rPr>
          <w:rFonts w:ascii="宋体" w:hAnsi="宋体"/>
          <w:color w:val="000000"/>
          <w:sz w:val="24"/>
        </w:rPr>
        <w:t>特低～中高硫</w:t>
      </w:r>
      <w:r>
        <w:rPr>
          <w:rFonts w:hint="eastAsia" w:ascii="宋体" w:hAnsi="宋体"/>
          <w:color w:val="000000"/>
          <w:sz w:val="24"/>
        </w:rPr>
        <w:t>，高～</w:t>
      </w:r>
      <w:r>
        <w:rPr>
          <w:rFonts w:ascii="宋体" w:hAnsi="宋体"/>
          <w:color w:val="000000"/>
          <w:sz w:val="24"/>
        </w:rPr>
        <w:t>特高热值煤</w:t>
      </w:r>
      <w:r>
        <w:rPr>
          <w:rFonts w:hint="eastAsia" w:ascii="宋体" w:hAnsi="宋体"/>
          <w:color w:val="000000"/>
          <w:sz w:val="24"/>
        </w:rPr>
        <w:t>。其中：K1-b为</w:t>
      </w:r>
      <w:r>
        <w:rPr>
          <w:rFonts w:ascii="宋体" w:hAnsi="宋体"/>
          <w:color w:val="000000"/>
          <w:sz w:val="24"/>
        </w:rPr>
        <w:t>中灰</w:t>
      </w:r>
      <w:r>
        <w:rPr>
          <w:rFonts w:hint="eastAsia" w:ascii="宋体" w:hAnsi="宋体"/>
          <w:color w:val="000000"/>
          <w:sz w:val="24"/>
        </w:rPr>
        <w:t>、</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；K3为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；K9为</w:t>
      </w:r>
      <w:r>
        <w:rPr>
          <w:rFonts w:ascii="宋体" w:hAnsi="宋体"/>
          <w:color w:val="000000"/>
          <w:sz w:val="24"/>
        </w:rPr>
        <w:t>中灰</w:t>
      </w:r>
      <w:r>
        <w:rPr>
          <w:rFonts w:hint="eastAsia" w:ascii="宋体" w:hAnsi="宋体"/>
          <w:color w:val="000000"/>
          <w:sz w:val="24"/>
        </w:rPr>
        <w:t>、中</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；K13为低</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；K18为低</w:t>
      </w:r>
      <w:r>
        <w:rPr>
          <w:rFonts w:ascii="宋体" w:hAnsi="宋体"/>
          <w:color w:val="000000"/>
          <w:sz w:val="24"/>
        </w:rPr>
        <w:t>中灰</w:t>
      </w:r>
      <w:r>
        <w:rPr>
          <w:rFonts w:hint="eastAsia" w:ascii="宋体" w:hAnsi="宋体"/>
          <w:color w:val="000000"/>
          <w:sz w:val="24"/>
        </w:rPr>
        <w:t>、</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；K26为</w:t>
      </w:r>
      <w:r>
        <w:rPr>
          <w:rFonts w:ascii="宋体" w:hAnsi="宋体"/>
          <w:color w:val="000000"/>
          <w:sz w:val="24"/>
        </w:rPr>
        <w:t>中灰</w:t>
      </w:r>
      <w:r>
        <w:rPr>
          <w:rFonts w:hint="eastAsia" w:ascii="宋体" w:hAnsi="宋体"/>
          <w:color w:val="000000"/>
          <w:sz w:val="24"/>
        </w:rPr>
        <w:t>、特</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；K35-b为</w:t>
      </w:r>
      <w:r>
        <w:rPr>
          <w:rFonts w:ascii="宋体" w:hAnsi="宋体"/>
          <w:color w:val="000000"/>
          <w:sz w:val="24"/>
        </w:rPr>
        <w:t>中灰</w:t>
      </w:r>
      <w:r>
        <w:rPr>
          <w:rFonts w:hint="eastAsia" w:ascii="宋体" w:hAnsi="宋体"/>
          <w:color w:val="000000"/>
          <w:sz w:val="24"/>
        </w:rPr>
        <w:t>、特</w:t>
      </w:r>
      <w:r>
        <w:rPr>
          <w:rFonts w:ascii="宋体" w:hAnsi="宋体"/>
          <w:color w:val="000000"/>
          <w:sz w:val="24"/>
        </w:rPr>
        <w:t>低硫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；K106-b为</w:t>
      </w:r>
      <w:r>
        <w:rPr>
          <w:rFonts w:ascii="宋体" w:hAnsi="宋体"/>
          <w:color w:val="000000"/>
          <w:sz w:val="24"/>
        </w:rPr>
        <w:t>中灰</w:t>
      </w:r>
      <w:r>
        <w:rPr>
          <w:rFonts w:hint="eastAsia" w:ascii="宋体" w:hAnsi="宋体"/>
          <w:color w:val="000000"/>
          <w:sz w:val="24"/>
        </w:rPr>
        <w:t>、中</w:t>
      </w:r>
      <w:r>
        <w:rPr>
          <w:rFonts w:ascii="宋体" w:hAnsi="宋体"/>
          <w:color w:val="000000"/>
          <w:sz w:val="24"/>
        </w:rPr>
        <w:t>硫</w:t>
      </w:r>
      <w:r>
        <w:rPr>
          <w:rFonts w:hint="eastAsia" w:ascii="宋体" w:hAnsi="宋体"/>
          <w:color w:val="000000"/>
          <w:sz w:val="24"/>
        </w:rPr>
        <w:t>、</w:t>
      </w:r>
      <w:r>
        <w:rPr>
          <w:rFonts w:ascii="宋体" w:hAnsi="宋体"/>
          <w:color w:val="000000"/>
          <w:sz w:val="24"/>
        </w:rPr>
        <w:t>高热值</w:t>
      </w:r>
      <w:r>
        <w:rPr>
          <w:rFonts w:ascii="宋体" w:hAnsi="宋体"/>
          <w:sz w:val="24"/>
        </w:rPr>
        <w:t>煤</w:t>
      </w:r>
      <w:r>
        <w:rPr>
          <w:rFonts w:hint="eastAsia" w:ascii="宋体" w:hAnsi="宋体"/>
          <w:sz w:val="24"/>
        </w:rPr>
        <w:t>；K109-b为低</w:t>
      </w:r>
      <w:r>
        <w:rPr>
          <w:rFonts w:ascii="宋体" w:hAnsi="宋体"/>
          <w:sz w:val="24"/>
        </w:rPr>
        <w:t>中灰</w:t>
      </w:r>
      <w:r>
        <w:rPr>
          <w:rFonts w:hint="eastAsia" w:ascii="宋体" w:hAnsi="宋体"/>
          <w:sz w:val="24"/>
        </w:rPr>
        <w:t>、中高</w:t>
      </w:r>
      <w:r>
        <w:rPr>
          <w:rFonts w:ascii="宋体" w:hAnsi="宋体"/>
          <w:sz w:val="24"/>
        </w:rPr>
        <w:t>硫</w:t>
      </w:r>
      <w:r>
        <w:rPr>
          <w:rFonts w:hint="eastAsia" w:ascii="宋体" w:hAnsi="宋体"/>
          <w:sz w:val="24"/>
        </w:rPr>
        <w:t>、</w:t>
      </w:r>
      <w:r>
        <w:rPr>
          <w:rFonts w:ascii="宋体" w:hAnsi="宋体"/>
          <w:sz w:val="24"/>
        </w:rPr>
        <w:t>特高热值煤</w:t>
      </w:r>
      <w:r>
        <w:rPr>
          <w:rFonts w:hint="eastAsia" w:ascii="宋体" w:hAnsi="宋体"/>
          <w:sz w:val="24"/>
        </w:rPr>
        <w:t>；K110-a为</w:t>
      </w:r>
      <w:r>
        <w:rPr>
          <w:rFonts w:ascii="宋体" w:hAnsi="宋体"/>
          <w:sz w:val="24"/>
        </w:rPr>
        <w:t>中灰</w:t>
      </w:r>
      <w:r>
        <w:rPr>
          <w:rFonts w:hint="eastAsia" w:ascii="宋体" w:hAnsi="宋体"/>
          <w:sz w:val="24"/>
        </w:rPr>
        <w:t>、中高</w:t>
      </w:r>
      <w:r>
        <w:rPr>
          <w:rFonts w:ascii="宋体" w:hAnsi="宋体"/>
          <w:sz w:val="24"/>
        </w:rPr>
        <w:t>硫</w:t>
      </w:r>
      <w:r>
        <w:rPr>
          <w:rFonts w:hint="eastAsia" w:ascii="宋体" w:hAnsi="宋体"/>
          <w:sz w:val="24"/>
        </w:rPr>
        <w:t>、</w:t>
      </w:r>
      <w:r>
        <w:rPr>
          <w:rFonts w:ascii="宋体" w:hAnsi="宋体"/>
          <w:sz w:val="24"/>
        </w:rPr>
        <w:t>高热值煤</w:t>
      </w:r>
      <w:r>
        <w:rPr>
          <w:rFonts w:hint="eastAsia" w:ascii="宋体" w:hAnsi="宋体"/>
          <w:sz w:val="24"/>
        </w:rPr>
        <w:t>。</w:t>
      </w:r>
    </w:p>
    <w:p w14:paraId="2D3EB949">
      <w:pPr>
        <w:spacing w:line="360" w:lineRule="auto"/>
        <w:ind w:firstLine="480" w:firstLineChars="200"/>
        <w:rPr>
          <w:rFonts w:hint="eastAsia" w:ascii="宋体" w:hAnsi="宋体"/>
          <w:sz w:val="24"/>
        </w:rPr>
      </w:pPr>
      <w:r>
        <w:rPr>
          <w:rFonts w:ascii="宋体" w:hAnsi="宋体"/>
          <w:sz w:val="24"/>
        </w:rPr>
        <w:t>根据煤层的化学性质和工艺性能，井田煤层具有广泛用途，可作为炼焦配煤、化工用煤、动力用煤和民用煤等</w:t>
      </w:r>
      <w:r>
        <w:rPr>
          <w:rFonts w:hint="eastAsia" w:ascii="宋体" w:hAnsi="宋体"/>
          <w:sz w:val="24"/>
        </w:rPr>
        <w:t>。</w:t>
      </w:r>
    </w:p>
    <w:p w14:paraId="7E18A123">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六、市场条件</w:t>
      </w:r>
    </w:p>
    <w:p w14:paraId="5355D85C">
      <w:pPr>
        <w:spacing w:line="360" w:lineRule="auto"/>
        <w:ind w:firstLine="480" w:firstLineChars="200"/>
        <w:rPr>
          <w:rFonts w:hint="eastAsia" w:ascii="宋体" w:hAnsi="宋体"/>
          <w:kern w:val="10"/>
          <w:sz w:val="24"/>
        </w:rPr>
      </w:pPr>
      <w:r>
        <w:rPr>
          <w:rFonts w:ascii="宋体" w:hAnsi="宋体"/>
          <w:kern w:val="10"/>
          <w:sz w:val="24"/>
        </w:rPr>
        <w:t>1</w:t>
      </w:r>
      <w:r>
        <w:rPr>
          <w:rFonts w:hint="eastAsia" w:ascii="宋体" w:hAnsi="宋体"/>
          <w:kern w:val="10"/>
          <w:sz w:val="24"/>
        </w:rPr>
        <w:t>、我省实施“西电东送”战略</w:t>
      </w:r>
    </w:p>
    <w:p w14:paraId="6F0A9C16">
      <w:pPr>
        <w:spacing w:line="360" w:lineRule="auto"/>
        <w:ind w:firstLine="480" w:firstLineChars="200"/>
        <w:rPr>
          <w:rFonts w:hint="eastAsia" w:ascii="宋体" w:hAnsi="宋体"/>
          <w:sz w:val="24"/>
        </w:rPr>
      </w:pPr>
      <w:r>
        <w:rPr>
          <w:rFonts w:hint="eastAsia" w:ascii="宋体" w:hAnsi="宋体"/>
          <w:kern w:val="10"/>
          <w:sz w:val="24"/>
        </w:rPr>
        <w:t>西部大开发，我省实施“西电东送”战略，2005年总装机容量为10110MW，到2010年总装机容量将达到25500MW以上，需消耗电煤8400万吨。按照贵州省对电煤供应的总体部署，水城县煤炭主要供水城发电厂。水城县现有生产矿井生产的粉煤不能满足电厂的用煤需求。</w:t>
      </w:r>
    </w:p>
    <w:p w14:paraId="0B2AE84D">
      <w:pPr>
        <w:spacing w:line="360" w:lineRule="auto"/>
        <w:ind w:firstLine="480" w:firstLineChars="200"/>
        <w:rPr>
          <w:rFonts w:hint="eastAsia" w:ascii="宋体" w:hAnsi="宋体"/>
          <w:kern w:val="10"/>
          <w:sz w:val="24"/>
        </w:rPr>
      </w:pPr>
      <w:r>
        <w:rPr>
          <w:rFonts w:hint="eastAsia" w:ascii="宋体" w:hAnsi="宋体"/>
          <w:kern w:val="10"/>
          <w:sz w:val="24"/>
        </w:rPr>
        <w:t>2、本县工矿企业、城镇居民及农村用煤</w:t>
      </w:r>
    </w:p>
    <w:p w14:paraId="47791DBC">
      <w:pPr>
        <w:spacing w:line="360" w:lineRule="auto"/>
        <w:ind w:firstLine="480" w:firstLineChars="200"/>
        <w:rPr>
          <w:rFonts w:hint="eastAsia" w:ascii="宋体" w:hAnsi="宋体"/>
          <w:kern w:val="10"/>
          <w:sz w:val="24"/>
        </w:rPr>
      </w:pPr>
      <w:r>
        <w:rPr>
          <w:rFonts w:hint="eastAsia" w:ascii="宋体" w:hAnsi="宋体"/>
          <w:kern w:val="10"/>
          <w:sz w:val="24"/>
        </w:rPr>
        <w:t>水城县乡镇企业不多，规模较小，自身用煤量不大。根据水城县现有工矿企业实际以及未来的发展趋势，预计将来水城县工矿企业用煤量为50～60万吨。</w:t>
      </w:r>
    </w:p>
    <w:p w14:paraId="3CD3ED6A">
      <w:pPr>
        <w:spacing w:line="360" w:lineRule="auto"/>
        <w:ind w:firstLine="480" w:firstLineChars="200"/>
        <w:rPr>
          <w:rFonts w:hint="eastAsia" w:ascii="宋体" w:hAnsi="宋体"/>
          <w:kern w:val="10"/>
          <w:sz w:val="24"/>
        </w:rPr>
      </w:pPr>
      <w:r>
        <w:rPr>
          <w:rFonts w:hint="eastAsia" w:ascii="宋体" w:hAnsi="宋体"/>
          <w:kern w:val="10"/>
          <w:sz w:val="24"/>
        </w:rPr>
        <w:t>由于水城县双水新城区目前未有城市管道煤气，城市居民除部分使用石油液化气和电外，多数居民和公共服务行业以及各乡镇和农村仍是使用煤炭作为生活直接能源，加上烤烟用煤，预计近年内共需耗煤量约100～120万吨。</w:t>
      </w:r>
    </w:p>
    <w:p w14:paraId="514FDC69">
      <w:pPr>
        <w:spacing w:line="360" w:lineRule="auto"/>
        <w:ind w:firstLine="480" w:firstLineChars="200"/>
        <w:rPr>
          <w:rFonts w:hint="eastAsia" w:ascii="宋体" w:hAnsi="宋体"/>
          <w:kern w:val="10"/>
          <w:sz w:val="24"/>
        </w:rPr>
      </w:pPr>
      <w:r>
        <w:rPr>
          <w:rFonts w:hint="eastAsia" w:ascii="宋体" w:hAnsi="宋体"/>
          <w:kern w:val="10"/>
          <w:sz w:val="24"/>
        </w:rPr>
        <w:t>3、省内市场需求量预测</w:t>
      </w:r>
    </w:p>
    <w:p w14:paraId="38310B1F">
      <w:pPr>
        <w:spacing w:line="360" w:lineRule="auto"/>
        <w:ind w:firstLine="480" w:firstLineChars="200"/>
        <w:rPr>
          <w:rFonts w:hint="eastAsia" w:ascii="宋体" w:hAnsi="宋体"/>
          <w:kern w:val="10"/>
          <w:sz w:val="24"/>
        </w:rPr>
      </w:pPr>
      <w:r>
        <w:rPr>
          <w:rFonts w:hint="eastAsia" w:ascii="宋体" w:hAnsi="宋体"/>
          <w:kern w:val="10"/>
          <w:sz w:val="24"/>
        </w:rPr>
        <w:t>水城县同威宁、赫章、纳雍、六枝、普安、盘县等县相邻。当纳雍电厂、盘南电厂供煤不足时，水城县的煤炭可向这些电厂供煤。</w:t>
      </w:r>
    </w:p>
    <w:p w14:paraId="034F7B44">
      <w:pPr>
        <w:spacing w:line="360" w:lineRule="auto"/>
        <w:ind w:firstLine="480" w:firstLineChars="200"/>
        <w:rPr>
          <w:rFonts w:hint="eastAsia" w:ascii="宋体" w:hAnsi="宋体"/>
          <w:kern w:val="10"/>
          <w:sz w:val="24"/>
        </w:rPr>
      </w:pPr>
      <w:r>
        <w:rPr>
          <w:rFonts w:hint="eastAsia" w:ascii="宋体" w:hAnsi="宋体"/>
          <w:kern w:val="10"/>
          <w:sz w:val="24"/>
        </w:rPr>
        <w:t>4、省外市场需求量预测</w:t>
      </w:r>
    </w:p>
    <w:p w14:paraId="7D91D73B">
      <w:pPr>
        <w:spacing w:line="360" w:lineRule="auto"/>
        <w:ind w:left="-13" w:leftChars="-6" w:firstLine="480" w:firstLineChars="200"/>
        <w:rPr>
          <w:rFonts w:hint="eastAsia" w:ascii="宋体" w:hAnsi="宋体"/>
          <w:sz w:val="24"/>
        </w:rPr>
      </w:pPr>
      <w:r>
        <w:rPr>
          <w:rFonts w:hint="eastAsia" w:ascii="宋体" w:hAnsi="宋体"/>
          <w:kern w:val="10"/>
          <w:sz w:val="24"/>
        </w:rPr>
        <w:t>我省煤炭的省外市场主要是周边的四川、重庆、广东、广西、湖南和云南等省（市</w:t>
      </w:r>
      <w:r>
        <w:rPr>
          <w:rFonts w:ascii="宋体" w:hAnsi="宋体"/>
          <w:kern w:val="10"/>
          <w:sz w:val="24"/>
        </w:rPr>
        <w:t>、</w:t>
      </w:r>
      <w:r>
        <w:rPr>
          <w:rFonts w:hint="eastAsia" w:ascii="宋体" w:hAnsi="宋体"/>
          <w:kern w:val="10"/>
          <w:sz w:val="24"/>
        </w:rPr>
        <w:t>区）。煤炭消费主要是电力、建材、冶金、化工等行业和城乡生活用煤，根据对周边省（市、区）的煤炭市场调查，省外对我省贫煤、无烟煤的需求量极大。</w:t>
      </w:r>
    </w:p>
    <w:p w14:paraId="6828543C">
      <w:pPr>
        <w:spacing w:line="360" w:lineRule="auto"/>
        <w:ind w:firstLine="480" w:firstLineChars="200"/>
        <w:rPr>
          <w:rFonts w:hint="eastAsia" w:ascii="宋体" w:hAnsi="宋体"/>
          <w:kern w:val="10"/>
          <w:sz w:val="24"/>
        </w:rPr>
      </w:pPr>
      <w:r>
        <w:rPr>
          <w:rFonts w:hint="eastAsia" w:ascii="宋体" w:hAnsi="宋体"/>
          <w:kern w:val="10"/>
          <w:sz w:val="24"/>
        </w:rPr>
        <w:t>综上所述，大坪煤矿的建设，作为电煤、化工用煤和居民生活用煤均有较可靠的用户和市场。</w:t>
      </w:r>
    </w:p>
    <w:p w14:paraId="268340C1">
      <w:pPr>
        <w:spacing w:line="360" w:lineRule="auto"/>
        <w:ind w:firstLine="480" w:firstLineChars="200"/>
        <w:rPr>
          <w:rFonts w:hint="eastAsia" w:ascii="宋体" w:hAnsi="宋体"/>
          <w:kern w:val="10"/>
          <w:sz w:val="24"/>
        </w:rPr>
      </w:pPr>
      <w:r>
        <w:rPr>
          <w:rFonts w:hint="eastAsia" w:ascii="宋体" w:hAnsi="宋体"/>
          <w:kern w:val="10"/>
          <w:sz w:val="24"/>
        </w:rPr>
        <w:t>5、产品价格分析</w:t>
      </w:r>
    </w:p>
    <w:p w14:paraId="4FE843A3">
      <w:pPr>
        <w:spacing w:line="360" w:lineRule="auto"/>
        <w:ind w:firstLine="480" w:firstLineChars="200"/>
        <w:rPr>
          <w:rFonts w:hint="eastAsia" w:ascii="宋体" w:hAnsi="宋体"/>
          <w:kern w:val="10"/>
          <w:sz w:val="24"/>
        </w:rPr>
      </w:pPr>
      <w:r>
        <w:rPr>
          <w:rFonts w:hint="eastAsia" w:ascii="宋体" w:hAnsi="宋体"/>
          <w:kern w:val="10"/>
          <w:sz w:val="24"/>
        </w:rPr>
        <w:t>随着经济的发展，以及随着对煤矿加强安全管理等，我国低落一段时间的煤价将会出现连续上升的走势。据金阳时讯消息，记者从省经贸委获悉，2006年，我省煤炭产量达1.2亿吨，煤炭市场价格将在高位运行。“大煤保大电”的格局尚未形成，省内省外对我省的煤炭需求将进一步增长区省电煤消耗量预计将达4400万吨，比2005年增加1200万吨左右，行业用煤和民用煤也将有所增加，预计省内煤炭消耗将达到7500万吨，调往省外原煤4500万吨。</w:t>
      </w:r>
    </w:p>
    <w:p w14:paraId="38A7EFCE">
      <w:pPr>
        <w:spacing w:line="360" w:lineRule="auto"/>
        <w:ind w:firstLine="480" w:firstLineChars="200"/>
        <w:rPr>
          <w:rFonts w:hint="eastAsia" w:ascii="宋体" w:hAnsi="宋体"/>
          <w:kern w:val="10"/>
          <w:sz w:val="24"/>
        </w:rPr>
      </w:pPr>
      <w:r>
        <w:rPr>
          <w:rFonts w:hint="eastAsia" w:ascii="宋体" w:hAnsi="宋体"/>
          <w:kern w:val="10"/>
          <w:sz w:val="24"/>
        </w:rPr>
        <w:t>由于我省煤炭生产主力仍是地方中小煤矿，安全生产设施薄弱，煤炭安全生产压力较大稳定增产的基础不牢靠，加之今年全国煤炭供应总体趋缓，预计煤炭价格将在高位小幅调整。我省目前煤炭价格每吨在240元左右。</w:t>
      </w:r>
    </w:p>
    <w:p w14:paraId="03BC3E85">
      <w:pPr>
        <w:spacing w:line="360" w:lineRule="auto"/>
        <w:ind w:firstLine="480" w:firstLineChars="200"/>
        <w:rPr>
          <w:rFonts w:hint="eastAsia" w:ascii="宋体" w:hAnsi="宋体"/>
          <w:sz w:val="24"/>
        </w:rPr>
      </w:pPr>
      <w:r>
        <w:rPr>
          <w:rFonts w:hint="eastAsia" w:ascii="宋体" w:hAnsi="宋体"/>
          <w:sz w:val="24"/>
        </w:rPr>
        <w:t>总之</w:t>
      </w:r>
      <w:r>
        <w:rPr>
          <w:rFonts w:ascii="宋体" w:hAnsi="宋体"/>
          <w:sz w:val="24"/>
        </w:rPr>
        <w:t>，开发建设水城县玉舍大坪煤矿的外部</w:t>
      </w:r>
      <w:r>
        <w:rPr>
          <w:rFonts w:hint="eastAsia" w:ascii="宋体" w:hAnsi="宋体"/>
          <w:sz w:val="24"/>
        </w:rPr>
        <w:t>建设</w:t>
      </w:r>
      <w:r>
        <w:rPr>
          <w:rFonts w:ascii="宋体" w:hAnsi="宋体"/>
          <w:sz w:val="24"/>
        </w:rPr>
        <w:t>条件已基本具备。</w:t>
      </w:r>
    </w:p>
    <w:p w14:paraId="7D7734F6">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七、</w:t>
      </w:r>
      <w:r>
        <w:rPr>
          <w:b/>
          <w:color w:val="000000"/>
          <w:kern w:val="0"/>
          <w:szCs w:val="20"/>
        </w:rPr>
        <w:t>矿井建设的外部条件</w:t>
      </w:r>
    </w:p>
    <w:p w14:paraId="6A2E2E58">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1、交通运输条件</w:t>
      </w:r>
    </w:p>
    <w:p w14:paraId="0EA3FA52">
      <w:pPr>
        <w:spacing w:line="360" w:lineRule="auto"/>
        <w:ind w:firstLine="480" w:firstLineChars="200"/>
        <w:rPr>
          <w:rFonts w:hint="eastAsia" w:ascii="宋体" w:hAnsi="宋体"/>
          <w:sz w:val="24"/>
        </w:rPr>
      </w:pPr>
      <w:r>
        <w:rPr>
          <w:rFonts w:hint="eastAsia" w:ascii="宋体" w:hAnsi="宋体"/>
          <w:sz w:val="24"/>
        </w:rPr>
        <w:t>水城县玉舍乡大坪矿工业场地选择在水城县玉舍乡北西侧S212省道西面。矿井主井工业场地至六盘水市22km，至盘县（红果新城区）171km。水柏铁路由东向南从矿井东侧通过，在矿井南面设有发耳车站，矿井主井工业场地至发耳站51.0km，距发耳电厂约61.0km；从发耳站到六盘水站83km，至贵阳南站337km，至南宁站754km，至昆明站411km，交通运输较为方便。</w:t>
      </w:r>
    </w:p>
    <w:p w14:paraId="7FA7FF32">
      <w:pPr>
        <w:spacing w:line="360" w:lineRule="auto"/>
        <w:ind w:firstLine="480" w:firstLineChars="200"/>
        <w:rPr>
          <w:rFonts w:hint="eastAsia" w:ascii="宋体" w:hAnsi="宋体"/>
          <w:sz w:val="24"/>
        </w:rPr>
      </w:pPr>
      <w:r>
        <w:rPr>
          <w:rFonts w:hint="eastAsia" w:ascii="宋体" w:hAnsi="宋体"/>
          <w:sz w:val="24"/>
        </w:rPr>
        <w:t>交通运输以公路为主，由六盘水市至周边县公路较多，S102省道由东面六枝特区经水城通往威宁，S314省道由水城通往黄果树，S307省道由北东通往纳雍，S212省道由北面的赫章县经水城县通往南面盘县的两头河，其余为县道及乡村公路。</w:t>
      </w:r>
    </w:p>
    <w:p w14:paraId="3BD182B7">
      <w:pPr>
        <w:spacing w:line="360" w:lineRule="auto"/>
        <w:ind w:firstLine="480" w:firstLineChars="200"/>
        <w:rPr>
          <w:rFonts w:hint="eastAsia" w:ascii="宋体" w:hAnsi="宋体"/>
          <w:sz w:val="24"/>
        </w:rPr>
      </w:pPr>
      <w:r>
        <w:rPr>
          <w:rFonts w:hint="eastAsia" w:ascii="宋体" w:hAnsi="宋体"/>
          <w:sz w:val="24"/>
        </w:rPr>
        <w:t>水城县城经S102省道至六枝特区86km，至威宁87km，经S307省道至纳雍83km，经S212省道至赫章县107km，至盘县两头河103km。</w:t>
      </w:r>
    </w:p>
    <w:p w14:paraId="76C984D1">
      <w:pPr>
        <w:spacing w:line="360" w:lineRule="auto"/>
        <w:ind w:firstLine="480" w:firstLineChars="200"/>
        <w:rPr>
          <w:rFonts w:hint="eastAsia" w:ascii="宋体" w:hAnsi="宋体"/>
          <w:sz w:val="24"/>
        </w:rPr>
      </w:pPr>
      <w:r>
        <w:rPr>
          <w:rFonts w:hint="eastAsia" w:ascii="宋体" w:hAnsi="宋体"/>
          <w:sz w:val="24"/>
        </w:rPr>
        <w:t>矿区原煤运输主要通道之一两水公路（两头河～水城）水城段从本矿井东侧经过。</w:t>
      </w:r>
    </w:p>
    <w:p w14:paraId="25CE938B">
      <w:pPr>
        <w:spacing w:line="360" w:lineRule="auto"/>
        <w:ind w:firstLine="480" w:firstLineChars="200"/>
        <w:rPr>
          <w:rFonts w:hint="eastAsia" w:ascii="宋体" w:hAnsi="宋体"/>
          <w:sz w:val="24"/>
        </w:rPr>
      </w:pPr>
      <w:r>
        <w:rPr>
          <w:rFonts w:hint="eastAsia" w:ascii="宋体" w:hAnsi="宋体"/>
          <w:sz w:val="24"/>
        </w:rPr>
        <w:t>该县境内河流不具备通航能力。</w:t>
      </w:r>
    </w:p>
    <w:p w14:paraId="7718D28C">
      <w:pPr>
        <w:spacing w:line="360" w:lineRule="auto"/>
        <w:ind w:firstLine="480" w:firstLineChars="200"/>
        <w:rPr>
          <w:rFonts w:hint="eastAsia" w:ascii="宋体" w:hAnsi="宋体"/>
          <w:sz w:val="24"/>
        </w:rPr>
      </w:pPr>
      <w:r>
        <w:rPr>
          <w:rFonts w:hint="eastAsia" w:ascii="宋体" w:hAnsi="宋体"/>
          <w:sz w:val="24"/>
        </w:rPr>
        <w:t>目前本县煤炭外运主要由S212省道和玉舍火车站。</w:t>
      </w:r>
    </w:p>
    <w:p w14:paraId="36201E62">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2、电源条件</w:t>
      </w:r>
    </w:p>
    <w:p w14:paraId="79C6D090">
      <w:pPr>
        <w:spacing w:line="360" w:lineRule="auto"/>
        <w:ind w:firstLine="480" w:firstLineChars="200"/>
        <w:rPr>
          <w:rFonts w:hint="eastAsia" w:ascii="宋体" w:hAnsi="宋体"/>
          <w:sz w:val="24"/>
          <w:szCs w:val="20"/>
        </w:rPr>
      </w:pPr>
      <w:r>
        <w:rPr>
          <w:rFonts w:hint="eastAsia" w:ascii="宋体" w:hAnsi="宋体"/>
          <w:sz w:val="24"/>
          <w:szCs w:val="20"/>
        </w:rPr>
        <w:t>大坪煤矿位于水城县玉舍乡，根据电力部门规划。大坪煤矿一回10kV电源引自玉舍110kV变电站，矿井距玉舍110kV变电站4km，二回10kV电源引自勺米35kV变电站，矿井距勺米35kV变电站8km。由此可见，本矿的开发建设在供电上是有可靠保证的。</w:t>
      </w:r>
    </w:p>
    <w:p w14:paraId="2292764F">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3、水源条件</w:t>
      </w:r>
    </w:p>
    <w:p w14:paraId="6FF23EB8">
      <w:pPr>
        <w:spacing w:line="360" w:lineRule="auto"/>
        <w:ind w:firstLine="480" w:firstLineChars="200"/>
        <w:rPr>
          <w:rFonts w:hint="eastAsia" w:ascii="宋体" w:hAnsi="宋体"/>
          <w:color w:val="000000"/>
          <w:sz w:val="24"/>
        </w:rPr>
      </w:pPr>
      <w:r>
        <w:rPr>
          <w:rFonts w:hint="eastAsia" w:ascii="宋体" w:hAnsi="宋体"/>
          <w:color w:val="000000"/>
          <w:sz w:val="24"/>
        </w:rPr>
        <w:t>（1）矿井生产、生活用水</w:t>
      </w:r>
    </w:p>
    <w:p w14:paraId="40E0B2CA">
      <w:pPr>
        <w:spacing w:line="360" w:lineRule="auto"/>
        <w:ind w:firstLine="480" w:firstLineChars="200"/>
        <w:rPr>
          <w:rFonts w:hint="eastAsia" w:ascii="宋体" w:hAnsi="宋体"/>
          <w:sz w:val="24"/>
        </w:rPr>
      </w:pPr>
      <w:r>
        <w:rPr>
          <w:rFonts w:hint="eastAsia" w:ascii="宋体" w:hAnsi="宋体"/>
          <w:color w:val="000000"/>
          <w:sz w:val="24"/>
        </w:rPr>
        <w:t>大坪煤矿生产、生活用水水源主要引自</w:t>
      </w:r>
      <w:r>
        <w:rPr>
          <w:rFonts w:hint="eastAsia" w:ascii="宋体" w:hAnsi="宋体"/>
          <w:sz w:val="24"/>
        </w:rPr>
        <w:t>距矿井工业场地南东方向约1km处的一股泉水，泉水水质好、流量大，泉水点海拔标高约+2250m，经化验可作为生产、生活用水水源，泉水流量约14m</w:t>
      </w:r>
      <w:r>
        <w:rPr>
          <w:rFonts w:hint="eastAsia" w:ascii="宋体" w:hAnsi="宋体"/>
          <w:sz w:val="24"/>
          <w:vertAlign w:val="superscript"/>
        </w:rPr>
        <w:t>3</w:t>
      </w:r>
      <w:r>
        <w:rPr>
          <w:rFonts w:hint="eastAsia" w:ascii="宋体" w:hAnsi="宋体"/>
          <w:sz w:val="24"/>
        </w:rPr>
        <w:t>/h。矿井已在泉水点修建取水点，并已安装管路将泉水引入矿井工业场地100m</w:t>
      </w:r>
      <w:r>
        <w:rPr>
          <w:rFonts w:hint="eastAsia" w:ascii="宋体" w:hAnsi="宋体"/>
          <w:sz w:val="24"/>
          <w:vertAlign w:val="superscript"/>
        </w:rPr>
        <w:t>3</w:t>
      </w:r>
      <w:r>
        <w:rPr>
          <w:rFonts w:hint="eastAsia" w:ascii="宋体" w:hAnsi="宋体"/>
          <w:sz w:val="24"/>
        </w:rPr>
        <w:t>高位水池。</w:t>
      </w:r>
    </w:p>
    <w:p w14:paraId="07A23EC8">
      <w:pPr>
        <w:spacing w:line="360" w:lineRule="auto"/>
        <w:ind w:firstLine="480" w:firstLineChars="200"/>
        <w:rPr>
          <w:rFonts w:hint="eastAsia" w:ascii="宋体" w:hAnsi="宋体"/>
          <w:color w:val="000000"/>
          <w:sz w:val="24"/>
        </w:rPr>
      </w:pPr>
      <w:r>
        <w:rPr>
          <w:rFonts w:hint="eastAsia" w:ascii="宋体" w:hAnsi="宋体"/>
          <w:color w:val="000000"/>
          <w:sz w:val="24"/>
        </w:rPr>
        <w:t>（2）矿井防尘、消防用水</w:t>
      </w:r>
    </w:p>
    <w:p w14:paraId="38C6D690">
      <w:pPr>
        <w:spacing w:line="360" w:lineRule="auto"/>
        <w:ind w:firstLine="480" w:firstLineChars="200"/>
        <w:rPr>
          <w:rFonts w:hint="eastAsia"/>
          <w:sz w:val="24"/>
        </w:rPr>
      </w:pPr>
      <w:r>
        <w:rPr>
          <w:rFonts w:hint="eastAsia" w:ascii="宋体" w:hAnsi="宋体"/>
          <w:sz w:val="24"/>
        </w:rPr>
        <w:t>大坪煤矿防尘、消防用水水源与生产、生活用水水源为同一个水源，但矿井防尘、消防用水主要由生产、生活及井下水经处理后复用，不够时由生产、生活水池补给。</w:t>
      </w:r>
    </w:p>
    <w:p w14:paraId="677EA483">
      <w:pPr>
        <w:spacing w:line="360" w:lineRule="auto"/>
        <w:ind w:firstLine="480" w:firstLineChars="200"/>
        <w:rPr>
          <w:rFonts w:hint="eastAsia" w:ascii="宋体" w:hAnsi="宋体"/>
          <w:sz w:val="24"/>
          <w:szCs w:val="20"/>
        </w:rPr>
      </w:pPr>
      <w:r>
        <w:rPr>
          <w:rFonts w:hint="eastAsia" w:ascii="宋体" w:hAnsi="宋体"/>
          <w:sz w:val="24"/>
          <w:szCs w:val="20"/>
        </w:rPr>
        <w:t>4、其他建设条件</w:t>
      </w:r>
    </w:p>
    <w:p w14:paraId="39ADF800">
      <w:pPr>
        <w:spacing w:line="360" w:lineRule="auto"/>
        <w:ind w:firstLine="480" w:firstLineChars="200"/>
        <w:rPr>
          <w:rFonts w:hint="eastAsia" w:ascii="宋体" w:hAnsi="宋体"/>
          <w:sz w:val="24"/>
        </w:rPr>
      </w:pPr>
      <w:r>
        <w:rPr>
          <w:rFonts w:hint="eastAsia" w:ascii="宋体" w:hAnsi="宋体"/>
          <w:sz w:val="24"/>
        </w:rPr>
        <w:t>建材供应：矿井开发及建设所需要的主要材料有：钢材、木材、水泥、砖瓦、砂石等，除钢材需由周边市、县调入外，其余建材均可由本县提供。</w:t>
      </w:r>
    </w:p>
    <w:p w14:paraId="0014DD51">
      <w:pPr>
        <w:spacing w:line="360" w:lineRule="auto"/>
        <w:ind w:firstLine="480" w:firstLineChars="200"/>
        <w:rPr>
          <w:rFonts w:hint="eastAsia" w:ascii="宋体" w:hAnsi="宋体"/>
          <w:sz w:val="24"/>
        </w:rPr>
      </w:pPr>
      <w:r>
        <w:rPr>
          <w:rFonts w:hint="eastAsia" w:ascii="宋体" w:hAnsi="宋体"/>
          <w:sz w:val="24"/>
        </w:rPr>
        <w:t>通信条件：水城县已形成了由光缆或微波传输的通讯网，通讯系统均已实现程控化。通讯畅捷。</w:t>
      </w:r>
    </w:p>
    <w:p w14:paraId="1EE78722">
      <w:pPr>
        <w:pStyle w:val="32"/>
        <w:ind w:firstLine="480" w:firstLineChars="200"/>
        <w:rPr>
          <w:rFonts w:hint="eastAsia"/>
        </w:rPr>
      </w:pPr>
      <w:r>
        <w:rPr>
          <w:color w:val="000000"/>
        </w:rPr>
        <w:t>环境条件</w:t>
      </w:r>
      <w:r>
        <w:rPr>
          <w:rFonts w:hint="eastAsia"/>
          <w:color w:val="000000"/>
        </w:rPr>
        <w:t>：</w:t>
      </w:r>
      <w:r>
        <w:t>区内工业以煤炭工业为主，小煤矿较多</w:t>
      </w:r>
      <w:r>
        <w:rPr>
          <w:rFonts w:hint="eastAsia"/>
        </w:rPr>
        <w:t>，</w:t>
      </w:r>
      <w:r>
        <w:t>煤矿井下水、工业污废水及居民生活污水的排放，</w:t>
      </w:r>
      <w:r>
        <w:rPr>
          <w:rFonts w:hint="eastAsia"/>
        </w:rPr>
        <w:t>将会</w:t>
      </w:r>
      <w:r>
        <w:t>使区内河</w:t>
      </w:r>
      <w:r>
        <w:rPr>
          <w:rFonts w:hint="eastAsia"/>
        </w:rPr>
        <w:t>流</w:t>
      </w:r>
      <w:r>
        <w:t>水质受到一定程度的污染。</w:t>
      </w:r>
    </w:p>
    <w:p w14:paraId="018AC536">
      <w:pPr>
        <w:spacing w:line="360" w:lineRule="auto"/>
        <w:ind w:firstLine="480" w:firstLineChars="200"/>
        <w:rPr>
          <w:rFonts w:hint="eastAsia" w:ascii="宋体" w:hAnsi="宋体"/>
          <w:color w:val="000000"/>
          <w:sz w:val="24"/>
        </w:rPr>
      </w:pPr>
      <w:r>
        <w:rPr>
          <w:rFonts w:ascii="宋体" w:hAnsi="宋体"/>
          <w:color w:val="000000"/>
          <w:sz w:val="24"/>
        </w:rPr>
        <w:t>由于地处云贵高原山区农村，矿井工业场地相对开阔，就近无环境特殊敏感点，矿井开采后地表不会产生连续变形</w:t>
      </w:r>
      <w:r>
        <w:rPr>
          <w:rFonts w:hint="eastAsia" w:ascii="宋体" w:hAnsi="宋体"/>
          <w:color w:val="000000"/>
          <w:sz w:val="24"/>
        </w:rPr>
        <w:t>，</w:t>
      </w:r>
      <w:r>
        <w:rPr>
          <w:rFonts w:ascii="宋体" w:hAnsi="宋体"/>
          <w:color w:val="000000"/>
          <w:sz w:val="24"/>
        </w:rPr>
        <w:t>另外</w:t>
      </w:r>
      <w:r>
        <w:rPr>
          <w:rFonts w:hint="eastAsia" w:ascii="宋体" w:hAnsi="宋体"/>
          <w:color w:val="000000"/>
          <w:sz w:val="24"/>
        </w:rPr>
        <w:t>，</w:t>
      </w:r>
      <w:r>
        <w:rPr>
          <w:rFonts w:ascii="宋体" w:hAnsi="宋体"/>
          <w:color w:val="000000"/>
          <w:sz w:val="24"/>
        </w:rPr>
        <w:t>工程投产后的主要废水为井下污水及地面生产、生活污水；废气主要为燃煤锅炉烟气及生产性粉尘；固体废弃物主要为矿井及选煤厂矸石；噪声主要为矿井的设备噪声，这些污染属一般性污染，在设计中均考虑采取一定的治理措施加以防治，所以，本工程建设及今后的生产不会给环境带来大的污染。</w:t>
      </w:r>
    </w:p>
    <w:p w14:paraId="56EB8EAA">
      <w:pPr>
        <w:pStyle w:val="3"/>
        <w:keepLines/>
        <w:spacing w:before="240" w:after="240" w:line="360" w:lineRule="auto"/>
        <w:ind w:firstLine="0" w:firstLineChars="0"/>
        <w:jc w:val="center"/>
        <w:rPr>
          <w:rFonts w:hint="eastAsia"/>
          <w:b/>
          <w:color w:val="000000"/>
          <w:sz w:val="32"/>
          <w:szCs w:val="32"/>
        </w:rPr>
      </w:pPr>
      <w:bookmarkStart w:id="26" w:name="_Toc260915256"/>
      <w:r>
        <w:rPr>
          <w:rFonts w:hint="eastAsia"/>
          <w:b/>
          <w:color w:val="000000"/>
          <w:sz w:val="32"/>
          <w:szCs w:val="32"/>
        </w:rPr>
        <w:t>第二节　　资源条件</w:t>
      </w:r>
      <w:bookmarkEnd w:id="26"/>
    </w:p>
    <w:p w14:paraId="3F5370AE">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一、矿区地质及煤层</w:t>
      </w:r>
    </w:p>
    <w:p w14:paraId="2A7B0F01">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（一）地层及地质构造</w:t>
      </w:r>
    </w:p>
    <w:p w14:paraId="73B5A62C">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1、地层</w:t>
      </w:r>
    </w:p>
    <w:p w14:paraId="2EFEC6F7">
      <w:pPr>
        <w:pStyle w:val="23"/>
        <w:rPr>
          <w:snapToGrid w:val="0"/>
          <w:kern w:val="0"/>
        </w:rPr>
      </w:pPr>
      <w:r>
        <w:rPr>
          <w:snapToGrid w:val="0"/>
          <w:kern w:val="0"/>
        </w:rPr>
        <w:t>区</w:t>
      </w:r>
      <w:r>
        <w:rPr>
          <w:rFonts w:hint="eastAsia"/>
          <w:snapToGrid w:val="0"/>
          <w:kern w:val="0"/>
        </w:rPr>
        <w:t>内</w:t>
      </w:r>
      <w:r>
        <w:rPr>
          <w:snapToGrid w:val="0"/>
          <w:kern w:val="0"/>
        </w:rPr>
        <w:t>出露地层有上二叠统峨眉山玄武岩组（P</w:t>
      </w:r>
      <w:r>
        <w:rPr>
          <w:snapToGrid w:val="0"/>
          <w:kern w:val="0"/>
          <w:vertAlign w:val="subscript"/>
        </w:rPr>
        <w:t>3</w:t>
      </w:r>
      <w:r>
        <w:rPr>
          <w:snapToGrid w:val="0"/>
          <w:kern w:val="0"/>
        </w:rPr>
        <w:t>β）、龙潭组（P</w:t>
      </w:r>
      <w:r>
        <w:rPr>
          <w:snapToGrid w:val="0"/>
          <w:kern w:val="0"/>
          <w:vertAlign w:val="subscript"/>
        </w:rPr>
        <w:t>3</w:t>
      </w:r>
      <w:r>
        <w:rPr>
          <w:snapToGrid w:val="0"/>
          <w:kern w:val="0"/>
        </w:rPr>
        <w:t>l），下三叠统飞仙关组（T</w:t>
      </w:r>
      <w:r>
        <w:rPr>
          <w:snapToGrid w:val="0"/>
          <w:kern w:val="0"/>
          <w:vertAlign w:val="subscript"/>
        </w:rPr>
        <w:t>1</w:t>
      </w:r>
      <w:r>
        <w:rPr>
          <w:snapToGrid w:val="0"/>
          <w:kern w:val="0"/>
        </w:rPr>
        <w:t>f）、永宁镇组（T</w:t>
      </w:r>
      <w:r>
        <w:rPr>
          <w:snapToGrid w:val="0"/>
          <w:kern w:val="0"/>
          <w:vertAlign w:val="subscript"/>
        </w:rPr>
        <w:t>1</w:t>
      </w:r>
      <w:r>
        <w:rPr>
          <w:snapToGrid w:val="0"/>
          <w:kern w:val="0"/>
        </w:rPr>
        <w:t>yn）及第四系（Q）等。现由老至新分述如下：</w:t>
      </w:r>
    </w:p>
    <w:p w14:paraId="57E65D51">
      <w:pPr>
        <w:pStyle w:val="61"/>
        <w:spacing w:after="0" w:line="360" w:lineRule="auto"/>
        <w:ind w:firstLine="480" w:firstLineChars="200"/>
        <w:rPr>
          <w:rFonts w:hint="eastAsia" w:ascii="宋体" w:hAnsi="宋体"/>
          <w:snapToGrid w:val="0"/>
          <w:kern w:val="0"/>
          <w:sz w:val="24"/>
        </w:rPr>
      </w:pPr>
      <w:r>
        <w:rPr>
          <w:rFonts w:hint="eastAsia" w:ascii="宋体" w:hAnsi="宋体"/>
          <w:snapToGrid w:val="0"/>
          <w:kern w:val="0"/>
          <w:sz w:val="24"/>
        </w:rPr>
        <w:t>（1）</w:t>
      </w:r>
      <w:r>
        <w:rPr>
          <w:rFonts w:ascii="宋体" w:hAnsi="宋体"/>
          <w:snapToGrid w:val="0"/>
          <w:kern w:val="0"/>
          <w:sz w:val="24"/>
        </w:rPr>
        <w:t>上二叠统峨眉山玄武岩组（P</w:t>
      </w:r>
      <w:r>
        <w:rPr>
          <w:rFonts w:ascii="宋体" w:hAnsi="宋体"/>
          <w:snapToGrid w:val="0"/>
          <w:kern w:val="0"/>
          <w:sz w:val="24"/>
          <w:vertAlign w:val="subscript"/>
        </w:rPr>
        <w:t>3</w:t>
      </w:r>
      <w:r>
        <w:rPr>
          <w:rFonts w:ascii="宋体" w:hAnsi="宋体"/>
          <w:snapToGrid w:val="0"/>
          <w:kern w:val="0"/>
          <w:sz w:val="24"/>
        </w:rPr>
        <w:t>β）：岩性一般为灰黑色或灰绿色具杏仁状构造的致密玄武岩、拉斑玄武岩。中间常夹有紫灰色、黄褐色、褐红色或灰白色的凝灰岩。偶夹灰黑色页岩和煤线。玄武岩中柱状节理发育。该组厚</w:t>
      </w:r>
      <w:r>
        <w:rPr>
          <w:rFonts w:hint="eastAsia" w:ascii="宋体" w:hAnsi="宋体"/>
          <w:snapToGrid w:val="0"/>
          <w:kern w:val="0"/>
          <w:sz w:val="24"/>
        </w:rPr>
        <w:t>度大于</w:t>
      </w:r>
      <w:r>
        <w:rPr>
          <w:rFonts w:ascii="宋体" w:hAnsi="宋体"/>
          <w:snapToGrid w:val="0"/>
          <w:kern w:val="0"/>
          <w:sz w:val="24"/>
        </w:rPr>
        <w:t>100m。</w:t>
      </w:r>
    </w:p>
    <w:p w14:paraId="2C207F38">
      <w:pPr>
        <w:spacing w:line="360" w:lineRule="auto"/>
        <w:ind w:firstLine="480" w:firstLineChars="200"/>
        <w:rPr>
          <w:rFonts w:hint="eastAsia" w:ascii="宋体" w:hAnsi="宋体"/>
          <w:sz w:val="24"/>
        </w:rPr>
      </w:pPr>
      <w:r>
        <w:rPr>
          <w:rFonts w:hint="eastAsia" w:ascii="宋体" w:hAnsi="宋体"/>
          <w:bCs/>
          <w:snapToGrid w:val="0"/>
          <w:kern w:val="0"/>
          <w:sz w:val="24"/>
        </w:rPr>
        <w:t>（2）</w:t>
      </w:r>
      <w:r>
        <w:rPr>
          <w:rFonts w:ascii="宋体" w:hAnsi="宋体"/>
          <w:snapToGrid w:val="0"/>
          <w:kern w:val="0"/>
          <w:sz w:val="24"/>
        </w:rPr>
        <w:t>上二叠统龙潭组（P</w:t>
      </w:r>
      <w:r>
        <w:rPr>
          <w:rFonts w:ascii="宋体" w:hAnsi="宋体"/>
          <w:snapToGrid w:val="0"/>
          <w:kern w:val="0"/>
          <w:sz w:val="24"/>
          <w:vertAlign w:val="subscript"/>
        </w:rPr>
        <w:t>3</w:t>
      </w:r>
      <w:r>
        <w:rPr>
          <w:rFonts w:ascii="宋体" w:hAnsi="宋体"/>
          <w:snapToGrid w:val="0"/>
          <w:kern w:val="0"/>
          <w:sz w:val="24"/>
        </w:rPr>
        <w:t>l）：</w:t>
      </w:r>
      <w:r>
        <w:rPr>
          <w:rFonts w:ascii="宋体" w:hAnsi="宋体"/>
          <w:sz w:val="24"/>
        </w:rPr>
        <w:t>为浅灰色至灰绿色细砂岩、粉砂岩、粉砂质泥岩、泥岩、粘土岩夹煤层组成。厚400</w:t>
      </w:r>
      <w:r>
        <w:rPr>
          <w:rFonts w:hint="eastAsia" w:ascii="宋体" w:hAnsi="宋体"/>
          <w:sz w:val="24"/>
        </w:rPr>
        <w:t>～</w:t>
      </w:r>
      <w:r>
        <w:rPr>
          <w:rFonts w:ascii="宋体" w:hAnsi="宋体"/>
          <w:sz w:val="24"/>
        </w:rPr>
        <w:t>485</w:t>
      </w:r>
      <w:r>
        <w:rPr>
          <w:rFonts w:hint="eastAsia" w:ascii="宋体" w:hAnsi="宋体"/>
          <w:sz w:val="24"/>
        </w:rPr>
        <w:t>m</w:t>
      </w:r>
      <w:r>
        <w:rPr>
          <w:rFonts w:ascii="宋体" w:hAnsi="宋体"/>
          <w:sz w:val="24"/>
        </w:rPr>
        <w:t>。根据龙潭组的岩性，化石及含煤情况，将其划分为四个岩性段：</w:t>
      </w:r>
    </w:p>
    <w:p w14:paraId="304EAA15">
      <w:pPr>
        <w:spacing w:line="360" w:lineRule="auto"/>
        <w:ind w:firstLine="480" w:firstLineChars="200"/>
        <w:rPr>
          <w:rFonts w:hint="eastAsia" w:ascii="宋体" w:hAnsi="宋体"/>
          <w:sz w:val="24"/>
        </w:rPr>
      </w:pPr>
      <w:r>
        <w:rPr>
          <w:rFonts w:ascii="宋体" w:hAnsi="宋体"/>
          <w:sz w:val="24"/>
        </w:rPr>
        <w:t>龙潭组第一段（P</w:t>
      </w:r>
      <w:r>
        <w:rPr>
          <w:rFonts w:ascii="宋体" w:hAnsi="宋体"/>
          <w:sz w:val="24"/>
          <w:vertAlign w:val="subscript"/>
        </w:rPr>
        <w:t>3</w:t>
      </w:r>
      <w:r>
        <w:rPr>
          <w:rFonts w:ascii="宋体" w:hAnsi="宋体"/>
          <w:sz w:val="24"/>
        </w:rPr>
        <w:t>l</w:t>
      </w:r>
      <w:r>
        <w:rPr>
          <w:rFonts w:ascii="宋体" w:hAnsi="宋体"/>
          <w:sz w:val="24"/>
          <w:vertAlign w:val="superscript"/>
        </w:rPr>
        <w:t>1</w:t>
      </w:r>
      <w:r>
        <w:rPr>
          <w:rFonts w:ascii="宋体" w:hAnsi="宋体"/>
          <w:sz w:val="24"/>
        </w:rPr>
        <w:t>）：下界为峨眉山玄武岩顶，上界为K106</w:t>
      </w:r>
      <w:r>
        <w:rPr>
          <w:rFonts w:hint="eastAsia" w:ascii="宋体" w:hAnsi="宋体"/>
          <w:sz w:val="24"/>
        </w:rPr>
        <w:t>-</w:t>
      </w:r>
      <w:r>
        <w:rPr>
          <w:rFonts w:ascii="宋体" w:hAnsi="宋体"/>
          <w:sz w:val="24"/>
        </w:rPr>
        <w:t>b煤层</w:t>
      </w:r>
      <w:r>
        <w:rPr>
          <w:rFonts w:hint="eastAsia" w:ascii="宋体" w:hAnsi="宋体"/>
          <w:sz w:val="24"/>
        </w:rPr>
        <w:t>顶。由于</w:t>
      </w:r>
      <w:r>
        <w:rPr>
          <w:rFonts w:ascii="宋体" w:hAnsi="宋体"/>
          <w:sz w:val="24"/>
        </w:rPr>
        <w:t>K106</w:t>
      </w:r>
      <w:r>
        <w:rPr>
          <w:rFonts w:hint="eastAsia" w:ascii="宋体" w:hAnsi="宋体"/>
          <w:sz w:val="24"/>
        </w:rPr>
        <w:t>-</w:t>
      </w:r>
      <w:r>
        <w:rPr>
          <w:rFonts w:ascii="宋体" w:hAnsi="宋体"/>
          <w:sz w:val="24"/>
        </w:rPr>
        <w:t>b</w:t>
      </w:r>
      <w:r>
        <w:rPr>
          <w:rFonts w:hint="eastAsia" w:ascii="宋体" w:hAnsi="宋体"/>
          <w:sz w:val="24"/>
        </w:rPr>
        <w:t>煤层直接顶板为在全井田内稳定存在的浅绿色泥岩（</w:t>
      </w:r>
      <w:r>
        <w:rPr>
          <w:rFonts w:ascii="宋体" w:hAnsi="宋体"/>
          <w:sz w:val="24"/>
        </w:rPr>
        <w:t>B</w:t>
      </w:r>
      <w:r>
        <w:rPr>
          <w:rFonts w:hint="eastAsia" w:ascii="宋体" w:hAnsi="宋体"/>
          <w:sz w:val="24"/>
        </w:rPr>
        <w:t>7</w:t>
      </w:r>
      <w:r>
        <w:rPr>
          <w:rFonts w:ascii="宋体" w:hAnsi="宋体"/>
          <w:sz w:val="24"/>
        </w:rPr>
        <w:t>标志层</w:t>
      </w:r>
      <w:r>
        <w:rPr>
          <w:rFonts w:hint="eastAsia" w:ascii="宋体" w:hAnsi="宋体"/>
          <w:sz w:val="24"/>
        </w:rPr>
        <w:t>）易于与第二段划分。其</w:t>
      </w:r>
      <w:r>
        <w:rPr>
          <w:rFonts w:ascii="宋体" w:hAnsi="宋体"/>
          <w:sz w:val="24"/>
        </w:rPr>
        <w:t>岩性以泥岩、粉砂质泥岩等细粒级岩石为主、上部夹一层厚3</w:t>
      </w:r>
      <w:r>
        <w:rPr>
          <w:rFonts w:hint="eastAsia" w:ascii="宋体" w:hAnsi="宋体"/>
          <w:sz w:val="24"/>
        </w:rPr>
        <w:t>～</w:t>
      </w:r>
      <w:r>
        <w:rPr>
          <w:rFonts w:ascii="宋体" w:hAnsi="宋体"/>
          <w:sz w:val="24"/>
        </w:rPr>
        <w:t>4</w:t>
      </w:r>
      <w:r>
        <w:rPr>
          <w:rFonts w:hint="eastAsia" w:ascii="宋体" w:hAnsi="宋体"/>
          <w:sz w:val="24"/>
        </w:rPr>
        <w:t>m</w:t>
      </w:r>
      <w:r>
        <w:rPr>
          <w:rFonts w:ascii="宋体" w:hAnsi="宋体"/>
          <w:sz w:val="24"/>
        </w:rPr>
        <w:t>的花斑状钙质细砂岩（B8标志层），</w:t>
      </w:r>
      <w:r>
        <w:rPr>
          <w:rFonts w:hint="eastAsia" w:ascii="宋体" w:hAnsi="宋体"/>
          <w:sz w:val="24"/>
        </w:rPr>
        <w:t>主要发育水平及微波状层理。</w:t>
      </w:r>
      <w:r>
        <w:rPr>
          <w:rFonts w:ascii="宋体" w:hAnsi="宋体"/>
          <w:sz w:val="24"/>
        </w:rPr>
        <w:t>含煤6</w:t>
      </w:r>
      <w:r>
        <w:rPr>
          <w:rFonts w:hint="eastAsia" w:ascii="宋体" w:hAnsi="宋体"/>
          <w:sz w:val="24"/>
        </w:rPr>
        <w:t>～</w:t>
      </w:r>
      <w:r>
        <w:rPr>
          <w:rFonts w:ascii="宋体" w:hAnsi="宋体"/>
          <w:sz w:val="24"/>
        </w:rPr>
        <w:t>8层，可采及局部可采</w:t>
      </w:r>
      <w:r>
        <w:rPr>
          <w:rFonts w:hint="eastAsia" w:ascii="宋体" w:hAnsi="宋体"/>
          <w:sz w:val="24"/>
        </w:rPr>
        <w:t>3</w:t>
      </w:r>
      <w:r>
        <w:rPr>
          <w:rFonts w:ascii="宋体" w:hAnsi="宋体"/>
          <w:sz w:val="24"/>
        </w:rPr>
        <w:t>层</w:t>
      </w:r>
      <w:r>
        <w:rPr>
          <w:rFonts w:hint="eastAsia" w:ascii="宋体" w:hAnsi="宋体"/>
          <w:sz w:val="24"/>
        </w:rPr>
        <w:t>。本段</w:t>
      </w:r>
      <w:r>
        <w:rPr>
          <w:rFonts w:ascii="宋体" w:hAnsi="宋体"/>
          <w:sz w:val="24"/>
        </w:rPr>
        <w:t>厚50</w:t>
      </w:r>
      <w:r>
        <w:rPr>
          <w:rFonts w:hint="eastAsia" w:ascii="宋体" w:hAnsi="宋体"/>
          <w:sz w:val="24"/>
        </w:rPr>
        <w:t>～</w:t>
      </w:r>
      <w:r>
        <w:rPr>
          <w:rFonts w:ascii="宋体" w:hAnsi="宋体"/>
          <w:sz w:val="24"/>
        </w:rPr>
        <w:t>80</w:t>
      </w:r>
      <w:r>
        <w:rPr>
          <w:rFonts w:hint="eastAsia" w:ascii="宋体" w:hAnsi="宋体"/>
          <w:sz w:val="24"/>
        </w:rPr>
        <w:t>m</w:t>
      </w:r>
      <w:r>
        <w:rPr>
          <w:rFonts w:ascii="宋体" w:hAnsi="宋体"/>
          <w:sz w:val="24"/>
        </w:rPr>
        <w:t>。</w:t>
      </w:r>
    </w:p>
    <w:p w14:paraId="62D9EA35">
      <w:pPr>
        <w:spacing w:line="360" w:lineRule="auto"/>
        <w:ind w:firstLine="480" w:firstLineChars="200"/>
        <w:rPr>
          <w:rFonts w:ascii="宋体" w:hAnsi="宋体"/>
          <w:sz w:val="24"/>
        </w:rPr>
      </w:pPr>
      <w:r>
        <w:rPr>
          <w:rFonts w:ascii="宋体" w:hAnsi="宋体"/>
          <w:sz w:val="24"/>
        </w:rPr>
        <w:t>龙潭组第二段（P</w:t>
      </w:r>
      <w:r>
        <w:rPr>
          <w:rFonts w:ascii="宋体" w:hAnsi="宋体"/>
          <w:sz w:val="24"/>
          <w:vertAlign w:val="subscript"/>
        </w:rPr>
        <w:t>3</w:t>
      </w:r>
      <w:r>
        <w:rPr>
          <w:rFonts w:ascii="宋体" w:hAnsi="宋体"/>
          <w:sz w:val="24"/>
        </w:rPr>
        <w:t>l</w:t>
      </w:r>
      <w:r>
        <w:rPr>
          <w:rFonts w:ascii="宋体" w:hAnsi="宋体"/>
          <w:sz w:val="24"/>
          <w:vertAlign w:val="superscript"/>
        </w:rPr>
        <w:t>2</w:t>
      </w:r>
      <w:r>
        <w:rPr>
          <w:rFonts w:ascii="宋体" w:hAnsi="宋体"/>
          <w:sz w:val="24"/>
        </w:rPr>
        <w:t>）：</w:t>
      </w:r>
      <w:r>
        <w:rPr>
          <w:rFonts w:hint="eastAsia" w:ascii="宋体" w:hAnsi="宋体"/>
          <w:sz w:val="24"/>
        </w:rPr>
        <w:t>下界为“下绿层”，上界为B5标志层（</w:t>
      </w:r>
      <w:r>
        <w:rPr>
          <w:rFonts w:ascii="宋体" w:hAnsi="宋体"/>
          <w:sz w:val="24"/>
        </w:rPr>
        <w:t>P</w:t>
      </w:r>
      <w:r>
        <w:rPr>
          <w:rFonts w:ascii="宋体" w:hAnsi="宋体"/>
          <w:sz w:val="24"/>
          <w:vertAlign w:val="subscript"/>
        </w:rPr>
        <w:t>3</w:t>
      </w:r>
      <w:r>
        <w:rPr>
          <w:rFonts w:ascii="宋体" w:hAnsi="宋体"/>
          <w:sz w:val="24"/>
        </w:rPr>
        <w:t>l</w:t>
      </w:r>
      <w:r>
        <w:rPr>
          <w:rFonts w:ascii="宋体" w:hAnsi="宋体"/>
          <w:sz w:val="24"/>
          <w:vertAlign w:val="superscript"/>
        </w:rPr>
        <w:t>3</w:t>
      </w:r>
      <w:r>
        <w:rPr>
          <w:rFonts w:hint="eastAsia" w:ascii="宋体" w:hAnsi="宋体"/>
          <w:sz w:val="24"/>
        </w:rPr>
        <w:t>段最下部的一层厚13m左右的灰色细砂岩）底。B5标志层在地表易成“小陡坎”地形，地下则以其颜色及厚度为特征而易于识别。</w:t>
      </w:r>
      <w:r>
        <w:rPr>
          <w:rFonts w:ascii="宋体" w:hAnsi="宋体"/>
          <w:sz w:val="24"/>
        </w:rPr>
        <w:t>岩性以灰色细砂岩、粉砂岩、粉砂质泥岩、泥岩、粘土岩及煤层组成，</w:t>
      </w:r>
      <w:r>
        <w:rPr>
          <w:rFonts w:hint="eastAsia" w:ascii="宋体" w:hAnsi="宋体"/>
          <w:sz w:val="24"/>
        </w:rPr>
        <w:t>含较多菱铁矿结核，常发育槽状斜层理及波状层理。</w:t>
      </w:r>
      <w:r>
        <w:rPr>
          <w:rFonts w:ascii="宋体" w:hAnsi="宋体"/>
          <w:sz w:val="24"/>
        </w:rPr>
        <w:t>含煤14</w:t>
      </w:r>
      <w:r>
        <w:rPr>
          <w:rFonts w:hint="eastAsia" w:ascii="宋体" w:hAnsi="宋体"/>
          <w:sz w:val="24"/>
        </w:rPr>
        <w:t>～</w:t>
      </w:r>
      <w:r>
        <w:rPr>
          <w:rFonts w:ascii="宋体" w:hAnsi="宋体"/>
          <w:sz w:val="24"/>
        </w:rPr>
        <w:t>30层，均不可采。</w:t>
      </w:r>
      <w:r>
        <w:rPr>
          <w:rFonts w:hint="eastAsia" w:ascii="宋体" w:hAnsi="宋体"/>
          <w:sz w:val="24"/>
        </w:rPr>
        <w:t>本段</w:t>
      </w:r>
      <w:r>
        <w:rPr>
          <w:rFonts w:ascii="宋体" w:hAnsi="宋体"/>
          <w:sz w:val="24"/>
        </w:rPr>
        <w:t>厚150</w:t>
      </w:r>
      <w:r>
        <w:rPr>
          <w:rFonts w:hint="eastAsia" w:ascii="宋体" w:hAnsi="宋体"/>
          <w:sz w:val="24"/>
        </w:rPr>
        <w:t>～</w:t>
      </w:r>
      <w:r>
        <w:rPr>
          <w:rFonts w:ascii="宋体" w:hAnsi="宋体"/>
          <w:sz w:val="24"/>
        </w:rPr>
        <w:t>200</w:t>
      </w:r>
      <w:r>
        <w:rPr>
          <w:rFonts w:hint="eastAsia" w:ascii="宋体" w:hAnsi="宋体"/>
          <w:sz w:val="24"/>
        </w:rPr>
        <w:t>m</w:t>
      </w:r>
      <w:r>
        <w:rPr>
          <w:rFonts w:ascii="宋体" w:hAnsi="宋体"/>
          <w:sz w:val="24"/>
        </w:rPr>
        <w:t>。</w:t>
      </w:r>
    </w:p>
    <w:p w14:paraId="00AC5F9F">
      <w:pPr>
        <w:spacing w:line="360" w:lineRule="auto"/>
        <w:ind w:firstLine="480" w:firstLineChars="200"/>
        <w:rPr>
          <w:rFonts w:ascii="宋体" w:hAnsi="宋体"/>
          <w:sz w:val="24"/>
        </w:rPr>
      </w:pPr>
      <w:r>
        <w:rPr>
          <w:rFonts w:ascii="宋体" w:hAnsi="宋体"/>
          <w:sz w:val="24"/>
        </w:rPr>
        <w:t>龙潭组第三段（P</w:t>
      </w:r>
      <w:r>
        <w:rPr>
          <w:rFonts w:ascii="宋体" w:hAnsi="宋体"/>
          <w:sz w:val="24"/>
          <w:vertAlign w:val="subscript"/>
        </w:rPr>
        <w:t>3</w:t>
      </w:r>
      <w:r>
        <w:rPr>
          <w:rFonts w:ascii="宋体" w:hAnsi="宋体"/>
          <w:sz w:val="24"/>
        </w:rPr>
        <w:t>l</w:t>
      </w:r>
      <w:r>
        <w:rPr>
          <w:rFonts w:ascii="宋体" w:hAnsi="宋体"/>
          <w:sz w:val="24"/>
          <w:vertAlign w:val="superscript"/>
        </w:rPr>
        <w:t>3</w:t>
      </w:r>
      <w:r>
        <w:rPr>
          <w:rFonts w:ascii="宋体" w:hAnsi="宋体"/>
          <w:sz w:val="24"/>
        </w:rPr>
        <w:t>）：下界为B5标</w:t>
      </w:r>
      <w:r>
        <w:rPr>
          <w:rFonts w:hint="eastAsia" w:ascii="宋体" w:hAnsi="宋体"/>
          <w:sz w:val="24"/>
        </w:rPr>
        <w:t>志</w:t>
      </w:r>
      <w:r>
        <w:rPr>
          <w:rFonts w:ascii="宋体" w:hAnsi="宋体"/>
          <w:sz w:val="24"/>
        </w:rPr>
        <w:t>层底，上界为K18煤层（B</w:t>
      </w:r>
      <w:r>
        <w:rPr>
          <w:rFonts w:hint="eastAsia" w:ascii="宋体" w:hAnsi="宋体"/>
          <w:sz w:val="24"/>
        </w:rPr>
        <w:t>4</w:t>
      </w:r>
      <w:r>
        <w:rPr>
          <w:rFonts w:ascii="宋体" w:hAnsi="宋体"/>
          <w:sz w:val="24"/>
        </w:rPr>
        <w:t>标志层）顶。</w:t>
      </w:r>
      <w:r>
        <w:rPr>
          <w:rFonts w:hint="eastAsia" w:ascii="宋体" w:hAnsi="宋体"/>
          <w:sz w:val="24"/>
        </w:rPr>
        <w:t>K18煤层在井田内厚度大且稳定，含灰、硫极低，加上其直接顶板为一层在井田内较特殊的含菱铁矿逶镜体较多的深灰色粉砂岩</w:t>
      </w:r>
      <w:r>
        <w:rPr>
          <w:rFonts w:ascii="宋体" w:hAnsi="宋体"/>
          <w:sz w:val="24"/>
        </w:rPr>
        <w:t>（</w:t>
      </w:r>
      <w:r>
        <w:rPr>
          <w:rFonts w:hint="eastAsia" w:ascii="宋体" w:hAnsi="宋体"/>
          <w:sz w:val="24"/>
        </w:rPr>
        <w:t>即</w:t>
      </w:r>
      <w:r>
        <w:rPr>
          <w:rFonts w:ascii="宋体" w:hAnsi="宋体"/>
          <w:sz w:val="24"/>
        </w:rPr>
        <w:t>B</w:t>
      </w:r>
      <w:r>
        <w:rPr>
          <w:rFonts w:hint="eastAsia" w:ascii="宋体" w:hAnsi="宋体"/>
          <w:sz w:val="24"/>
        </w:rPr>
        <w:t>3</w:t>
      </w:r>
      <w:r>
        <w:rPr>
          <w:rFonts w:ascii="宋体" w:hAnsi="宋体"/>
          <w:sz w:val="24"/>
        </w:rPr>
        <w:t>标志层</w:t>
      </w:r>
      <w:r>
        <w:rPr>
          <w:rFonts w:hint="eastAsia" w:ascii="宋体" w:hAnsi="宋体"/>
          <w:sz w:val="24"/>
        </w:rPr>
        <w:t>，俗称“排骨层”</w:t>
      </w:r>
      <w:r>
        <w:rPr>
          <w:rFonts w:ascii="宋体" w:hAnsi="宋体"/>
          <w:sz w:val="24"/>
        </w:rPr>
        <w:t>）</w:t>
      </w:r>
      <w:r>
        <w:rPr>
          <w:rFonts w:hint="eastAsia" w:ascii="宋体" w:hAnsi="宋体"/>
          <w:sz w:val="24"/>
        </w:rPr>
        <w:t>。其</w:t>
      </w:r>
      <w:r>
        <w:rPr>
          <w:rFonts w:ascii="宋体" w:hAnsi="宋体"/>
          <w:sz w:val="24"/>
        </w:rPr>
        <w:t>岩性</w:t>
      </w:r>
      <w:r>
        <w:rPr>
          <w:rFonts w:hint="eastAsia" w:ascii="宋体" w:hAnsi="宋体"/>
          <w:sz w:val="24"/>
        </w:rPr>
        <w:t>主要</w:t>
      </w:r>
      <w:r>
        <w:rPr>
          <w:rFonts w:ascii="宋体" w:hAnsi="宋体"/>
          <w:sz w:val="24"/>
        </w:rPr>
        <w:t>为灰绿色细砂岩、灰色粉砂岩、粘土岩及煤层组成。</w:t>
      </w:r>
      <w:r>
        <w:rPr>
          <w:rFonts w:hint="eastAsia" w:ascii="宋体" w:hAnsi="宋体"/>
          <w:sz w:val="24"/>
        </w:rPr>
        <w:t>岩石中普遍含菱铁矿结核，粘土岩中常见菱铁矿鲕粒，砂岩中常见槽状斜层理及水平层。</w:t>
      </w:r>
      <w:r>
        <w:rPr>
          <w:rFonts w:ascii="宋体" w:hAnsi="宋体"/>
          <w:sz w:val="24"/>
        </w:rPr>
        <w:t>含煤8</w:t>
      </w:r>
      <w:r>
        <w:rPr>
          <w:rFonts w:hint="eastAsia" w:ascii="宋体" w:hAnsi="宋体"/>
          <w:sz w:val="24"/>
        </w:rPr>
        <w:t>～</w:t>
      </w:r>
      <w:r>
        <w:rPr>
          <w:rFonts w:ascii="宋体" w:hAnsi="宋体"/>
          <w:sz w:val="24"/>
        </w:rPr>
        <w:t>13层，可采及局部可采3层，分布于本段中、上部，</w:t>
      </w:r>
      <w:r>
        <w:rPr>
          <w:rFonts w:hint="eastAsia" w:ascii="宋体" w:hAnsi="宋体"/>
          <w:sz w:val="24"/>
        </w:rPr>
        <w:t>煤中灰、硫份含量均较低。本段</w:t>
      </w:r>
      <w:r>
        <w:rPr>
          <w:rFonts w:ascii="宋体" w:hAnsi="宋体"/>
          <w:sz w:val="24"/>
        </w:rPr>
        <w:t>厚70</w:t>
      </w:r>
      <w:r>
        <w:rPr>
          <w:rFonts w:hint="eastAsia" w:ascii="宋体" w:hAnsi="宋体"/>
          <w:sz w:val="24"/>
        </w:rPr>
        <w:t>～</w:t>
      </w:r>
      <w:r>
        <w:rPr>
          <w:rFonts w:ascii="宋体" w:hAnsi="宋体"/>
          <w:sz w:val="24"/>
        </w:rPr>
        <w:t>110</w:t>
      </w:r>
      <w:r>
        <w:rPr>
          <w:rFonts w:hint="eastAsia" w:ascii="宋体" w:hAnsi="宋体"/>
          <w:sz w:val="24"/>
        </w:rPr>
        <w:t>m</w:t>
      </w:r>
      <w:r>
        <w:rPr>
          <w:rFonts w:ascii="宋体" w:hAnsi="宋体"/>
          <w:sz w:val="24"/>
        </w:rPr>
        <w:t>。</w:t>
      </w:r>
    </w:p>
    <w:p w14:paraId="3A3C3F8A">
      <w:pPr>
        <w:spacing w:line="360" w:lineRule="auto"/>
        <w:ind w:firstLine="480" w:firstLineChars="200"/>
        <w:rPr>
          <w:rFonts w:ascii="宋体" w:hAnsi="宋体"/>
          <w:sz w:val="24"/>
        </w:rPr>
      </w:pPr>
      <w:r>
        <w:rPr>
          <w:rFonts w:ascii="宋体" w:hAnsi="宋体"/>
          <w:sz w:val="24"/>
        </w:rPr>
        <w:t>龙潭组第四段（P</w:t>
      </w:r>
      <w:r>
        <w:rPr>
          <w:rFonts w:ascii="宋体" w:hAnsi="宋体"/>
          <w:sz w:val="24"/>
          <w:vertAlign w:val="subscript"/>
        </w:rPr>
        <w:t>3</w:t>
      </w:r>
      <w:r>
        <w:rPr>
          <w:rFonts w:ascii="宋体" w:hAnsi="宋体"/>
          <w:sz w:val="24"/>
        </w:rPr>
        <w:t>l</w:t>
      </w:r>
      <w:r>
        <w:rPr>
          <w:rFonts w:ascii="宋体" w:hAnsi="宋体"/>
          <w:sz w:val="24"/>
          <w:vertAlign w:val="superscript"/>
        </w:rPr>
        <w:t>4</w:t>
      </w:r>
      <w:r>
        <w:rPr>
          <w:rFonts w:ascii="宋体" w:hAnsi="宋体"/>
          <w:sz w:val="24"/>
        </w:rPr>
        <w:t>）：下界为B4标志层顶，上界为飞仙关组第一段之底。岩性以浅灰色、灰色</w:t>
      </w:r>
      <w:r>
        <w:rPr>
          <w:rFonts w:hint="eastAsia" w:ascii="宋体" w:hAnsi="宋体"/>
          <w:sz w:val="24"/>
        </w:rPr>
        <w:t>普遍</w:t>
      </w:r>
      <w:r>
        <w:rPr>
          <w:rFonts w:ascii="宋体" w:hAnsi="宋体"/>
          <w:sz w:val="24"/>
        </w:rPr>
        <w:t>含钙质的细砂岩、粉砂岩</w:t>
      </w:r>
      <w:r>
        <w:rPr>
          <w:rFonts w:hint="eastAsia" w:ascii="宋体" w:hAnsi="宋体"/>
          <w:sz w:val="24"/>
        </w:rPr>
        <w:t>为主，</w:t>
      </w:r>
      <w:r>
        <w:rPr>
          <w:rFonts w:ascii="宋体" w:hAnsi="宋体"/>
          <w:sz w:val="24"/>
        </w:rPr>
        <w:t>夹</w:t>
      </w:r>
      <w:r>
        <w:rPr>
          <w:rFonts w:hint="eastAsia" w:ascii="宋体" w:hAnsi="宋体"/>
          <w:sz w:val="24"/>
        </w:rPr>
        <w:t>粉</w:t>
      </w:r>
      <w:r>
        <w:rPr>
          <w:rFonts w:ascii="宋体" w:hAnsi="宋体"/>
          <w:sz w:val="24"/>
        </w:rPr>
        <w:t>砂质泥岩、粘土岩及煤层组成，</w:t>
      </w:r>
      <w:r>
        <w:rPr>
          <w:rFonts w:hint="eastAsia" w:ascii="宋体" w:hAnsi="宋体"/>
          <w:sz w:val="24"/>
        </w:rPr>
        <w:t>局部见薄层灰岩。砂岩中常见斜层理及脉状、波状层理。</w:t>
      </w:r>
      <w:r>
        <w:rPr>
          <w:rFonts w:ascii="宋体" w:hAnsi="宋体"/>
          <w:sz w:val="24"/>
        </w:rPr>
        <w:t>含煤10</w:t>
      </w:r>
      <w:r>
        <w:rPr>
          <w:rFonts w:hint="eastAsia" w:ascii="宋体" w:hAnsi="宋体"/>
          <w:sz w:val="24"/>
        </w:rPr>
        <w:t>～</w:t>
      </w:r>
      <w:r>
        <w:rPr>
          <w:rFonts w:ascii="宋体" w:hAnsi="宋体"/>
          <w:sz w:val="24"/>
        </w:rPr>
        <w:t>15层，可采及局部可采</w:t>
      </w:r>
      <w:r>
        <w:rPr>
          <w:rFonts w:hint="eastAsia" w:ascii="宋体" w:hAnsi="宋体"/>
          <w:sz w:val="24"/>
        </w:rPr>
        <w:t>5～11层</w:t>
      </w:r>
      <w:r>
        <w:rPr>
          <w:rFonts w:ascii="宋体" w:hAnsi="宋体"/>
          <w:sz w:val="24"/>
        </w:rPr>
        <w:t>。</w:t>
      </w:r>
      <w:r>
        <w:rPr>
          <w:rFonts w:hint="eastAsia" w:ascii="宋体" w:hAnsi="宋体"/>
          <w:sz w:val="24"/>
        </w:rPr>
        <w:t>本段</w:t>
      </w:r>
      <w:r>
        <w:rPr>
          <w:rFonts w:ascii="宋体" w:hAnsi="宋体"/>
          <w:sz w:val="24"/>
        </w:rPr>
        <w:t>厚70</w:t>
      </w:r>
      <w:r>
        <w:rPr>
          <w:rFonts w:hint="eastAsia" w:ascii="宋体" w:hAnsi="宋体"/>
          <w:sz w:val="24"/>
        </w:rPr>
        <w:t>～</w:t>
      </w:r>
      <w:r>
        <w:rPr>
          <w:rFonts w:ascii="宋体" w:hAnsi="宋体"/>
          <w:sz w:val="24"/>
        </w:rPr>
        <w:t>110</w:t>
      </w:r>
      <w:r>
        <w:rPr>
          <w:rFonts w:hint="eastAsia" w:ascii="宋体" w:hAnsi="宋体"/>
          <w:sz w:val="24"/>
        </w:rPr>
        <w:t>m</w:t>
      </w:r>
      <w:r>
        <w:rPr>
          <w:rFonts w:ascii="宋体" w:hAnsi="宋体"/>
          <w:sz w:val="24"/>
        </w:rPr>
        <w:t>。</w:t>
      </w:r>
    </w:p>
    <w:p w14:paraId="0481B6D0">
      <w:pPr>
        <w:pStyle w:val="23"/>
        <w:rPr>
          <w:snapToGrid w:val="0"/>
          <w:kern w:val="0"/>
        </w:rPr>
      </w:pPr>
      <w:r>
        <w:rPr>
          <w:rFonts w:hint="eastAsia"/>
          <w:snapToGrid w:val="0"/>
          <w:kern w:val="0"/>
        </w:rPr>
        <w:t>（3）</w:t>
      </w:r>
      <w:r>
        <w:rPr>
          <w:snapToGrid w:val="0"/>
          <w:kern w:val="0"/>
        </w:rPr>
        <w:t>下三叠系飞仙关组（T</w:t>
      </w:r>
      <w:r>
        <w:rPr>
          <w:snapToGrid w:val="0"/>
          <w:kern w:val="0"/>
          <w:vertAlign w:val="subscript"/>
        </w:rPr>
        <w:t>1</w:t>
      </w:r>
      <w:r>
        <w:rPr>
          <w:snapToGrid w:val="0"/>
          <w:kern w:val="0"/>
        </w:rPr>
        <w:t>f）：根据其岩性变化情况可划分为</w:t>
      </w:r>
      <w:r>
        <w:rPr>
          <w:rFonts w:hint="eastAsia"/>
          <w:snapToGrid w:val="0"/>
          <w:kern w:val="0"/>
        </w:rPr>
        <w:t>二</w:t>
      </w:r>
      <w:r>
        <w:rPr>
          <w:snapToGrid w:val="0"/>
          <w:kern w:val="0"/>
        </w:rPr>
        <w:t>段。</w:t>
      </w:r>
    </w:p>
    <w:p w14:paraId="1D19A777">
      <w:pPr>
        <w:pStyle w:val="23"/>
        <w:rPr>
          <w:snapToGrid w:val="0"/>
          <w:kern w:val="0"/>
        </w:rPr>
      </w:pPr>
      <w:r>
        <w:rPr>
          <w:snapToGrid w:val="0"/>
          <w:kern w:val="0"/>
        </w:rPr>
        <w:t>第一段（T</w:t>
      </w:r>
      <w:r>
        <w:rPr>
          <w:snapToGrid w:val="0"/>
          <w:kern w:val="0"/>
          <w:vertAlign w:val="subscript"/>
        </w:rPr>
        <w:t>1</w:t>
      </w:r>
      <w:r>
        <w:rPr>
          <w:snapToGrid w:val="0"/>
          <w:kern w:val="0"/>
        </w:rPr>
        <w:t>f</w:t>
      </w:r>
      <w:r>
        <w:rPr>
          <w:snapToGrid w:val="0"/>
          <w:kern w:val="0"/>
          <w:vertAlign w:val="superscript"/>
        </w:rPr>
        <w:t>1</w:t>
      </w:r>
      <w:r>
        <w:rPr>
          <w:snapToGrid w:val="0"/>
          <w:kern w:val="0"/>
        </w:rPr>
        <w:t>）：下部浅绿色粉砂质泥岩，</w:t>
      </w:r>
      <w:r>
        <w:t>厚约50m</w:t>
      </w:r>
      <w:r>
        <w:rPr>
          <w:snapToGrid w:val="0"/>
          <w:kern w:val="0"/>
        </w:rPr>
        <w:t>；上部暗紫及灰绿色薄至中厚层粉砂岩，夹薄层灰绿色细砂岩，</w:t>
      </w:r>
      <w:r>
        <w:t>厚480m</w:t>
      </w:r>
      <w:r>
        <w:rPr>
          <w:snapToGrid w:val="0"/>
          <w:kern w:val="0"/>
        </w:rPr>
        <w:t>。</w:t>
      </w:r>
    </w:p>
    <w:p w14:paraId="0255C9DA">
      <w:pPr>
        <w:spacing w:line="360" w:lineRule="auto"/>
        <w:ind w:firstLine="480" w:firstLineChars="200"/>
        <w:rPr>
          <w:rFonts w:hint="eastAsia" w:ascii="宋体" w:hAnsi="宋体"/>
          <w:snapToGrid w:val="0"/>
          <w:kern w:val="0"/>
          <w:sz w:val="24"/>
        </w:rPr>
      </w:pPr>
      <w:r>
        <w:rPr>
          <w:rFonts w:ascii="宋体" w:hAnsi="宋体"/>
          <w:snapToGrid w:val="0"/>
          <w:kern w:val="0"/>
          <w:sz w:val="24"/>
        </w:rPr>
        <w:t>第二段（T</w:t>
      </w:r>
      <w:r>
        <w:rPr>
          <w:rFonts w:ascii="宋体" w:hAnsi="宋体"/>
          <w:snapToGrid w:val="0"/>
          <w:kern w:val="0"/>
          <w:sz w:val="24"/>
          <w:vertAlign w:val="subscript"/>
        </w:rPr>
        <w:t>1</w:t>
      </w:r>
      <w:r>
        <w:rPr>
          <w:rFonts w:ascii="宋体" w:hAnsi="宋体"/>
          <w:snapToGrid w:val="0"/>
          <w:kern w:val="0"/>
          <w:sz w:val="24"/>
        </w:rPr>
        <w:t>f</w:t>
      </w:r>
      <w:r>
        <w:rPr>
          <w:rFonts w:ascii="宋体" w:hAnsi="宋体"/>
          <w:snapToGrid w:val="0"/>
          <w:kern w:val="0"/>
          <w:sz w:val="24"/>
          <w:vertAlign w:val="superscript"/>
        </w:rPr>
        <w:t>2</w:t>
      </w:r>
      <w:r>
        <w:rPr>
          <w:rFonts w:ascii="宋体" w:hAnsi="宋体"/>
          <w:snapToGrid w:val="0"/>
          <w:kern w:val="0"/>
          <w:sz w:val="24"/>
        </w:rPr>
        <w:t>）：</w:t>
      </w:r>
      <w:r>
        <w:rPr>
          <w:rFonts w:hint="eastAsia" w:ascii="宋体" w:hAnsi="宋体"/>
          <w:snapToGrid w:val="0"/>
          <w:kern w:val="0"/>
          <w:sz w:val="24"/>
        </w:rPr>
        <w:t>暗</w:t>
      </w:r>
      <w:r>
        <w:rPr>
          <w:rFonts w:ascii="宋体" w:hAnsi="宋体"/>
          <w:snapToGrid w:val="0"/>
          <w:kern w:val="0"/>
          <w:sz w:val="24"/>
        </w:rPr>
        <w:t>紫</w:t>
      </w:r>
      <w:r>
        <w:rPr>
          <w:rFonts w:hint="eastAsia" w:ascii="宋体" w:hAnsi="宋体"/>
          <w:snapToGrid w:val="0"/>
          <w:kern w:val="0"/>
          <w:sz w:val="24"/>
        </w:rPr>
        <w:t>及</w:t>
      </w:r>
      <w:r>
        <w:rPr>
          <w:rFonts w:ascii="宋体" w:hAnsi="宋体"/>
          <w:snapToGrid w:val="0"/>
          <w:kern w:val="0"/>
          <w:sz w:val="24"/>
        </w:rPr>
        <w:t>紫</w:t>
      </w:r>
      <w:r>
        <w:rPr>
          <w:rFonts w:hint="eastAsia" w:ascii="宋体" w:hAnsi="宋体"/>
          <w:snapToGrid w:val="0"/>
          <w:kern w:val="0"/>
          <w:sz w:val="24"/>
        </w:rPr>
        <w:t>红</w:t>
      </w:r>
      <w:r>
        <w:rPr>
          <w:rFonts w:ascii="宋体" w:hAnsi="宋体"/>
          <w:snapToGrid w:val="0"/>
          <w:kern w:val="0"/>
          <w:sz w:val="24"/>
        </w:rPr>
        <w:t>色</w:t>
      </w:r>
      <w:r>
        <w:rPr>
          <w:rFonts w:hint="eastAsia" w:ascii="宋体" w:hAnsi="宋体"/>
          <w:snapToGrid w:val="0"/>
          <w:kern w:val="0"/>
          <w:sz w:val="24"/>
        </w:rPr>
        <w:t>中厚层粉砂岩及泥岩，夹薄层灰绿色</w:t>
      </w:r>
      <w:r>
        <w:rPr>
          <w:rFonts w:ascii="宋体" w:hAnsi="宋体"/>
          <w:snapToGrid w:val="0"/>
          <w:kern w:val="0"/>
          <w:sz w:val="24"/>
        </w:rPr>
        <w:t>细砂岩</w:t>
      </w:r>
      <w:r>
        <w:rPr>
          <w:rFonts w:hint="eastAsia" w:ascii="宋体" w:hAnsi="宋体"/>
          <w:snapToGrid w:val="0"/>
          <w:kern w:val="0"/>
          <w:sz w:val="24"/>
        </w:rPr>
        <w:t>，局部地段夹泥灰岩。</w:t>
      </w:r>
      <w:r>
        <w:rPr>
          <w:rFonts w:ascii="宋体" w:hAnsi="宋体"/>
          <w:snapToGrid w:val="0"/>
          <w:kern w:val="0"/>
          <w:sz w:val="24"/>
        </w:rPr>
        <w:t>该段厚</w:t>
      </w:r>
      <w:r>
        <w:rPr>
          <w:rFonts w:hint="eastAsia" w:ascii="宋体" w:hAnsi="宋体"/>
          <w:snapToGrid w:val="0"/>
          <w:kern w:val="0"/>
          <w:sz w:val="24"/>
        </w:rPr>
        <w:t>168</w:t>
      </w:r>
      <w:r>
        <w:rPr>
          <w:rFonts w:ascii="宋体" w:hAnsi="宋体"/>
          <w:snapToGrid w:val="0"/>
          <w:kern w:val="0"/>
          <w:sz w:val="24"/>
        </w:rPr>
        <w:t>m。</w:t>
      </w:r>
    </w:p>
    <w:p w14:paraId="65458933">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（4）</w:t>
      </w:r>
      <w:r>
        <w:rPr>
          <w:rFonts w:ascii="宋体" w:hAnsi="宋体"/>
          <w:snapToGrid w:val="0"/>
          <w:kern w:val="0"/>
          <w:sz w:val="24"/>
        </w:rPr>
        <w:t>三叠系下统永宁镇组（T</w:t>
      </w:r>
      <w:r>
        <w:rPr>
          <w:rFonts w:ascii="宋体" w:hAnsi="宋体"/>
          <w:snapToGrid w:val="0"/>
          <w:kern w:val="0"/>
          <w:sz w:val="24"/>
          <w:vertAlign w:val="subscript"/>
        </w:rPr>
        <w:t>1</w:t>
      </w:r>
      <w:r>
        <w:rPr>
          <w:rFonts w:ascii="宋体" w:hAnsi="宋体"/>
          <w:snapToGrid w:val="0"/>
          <w:kern w:val="0"/>
          <w:sz w:val="24"/>
        </w:rPr>
        <w:t>yn）：根据其岩性变化情况可划分为</w:t>
      </w:r>
      <w:r>
        <w:rPr>
          <w:rFonts w:hint="eastAsia" w:ascii="宋体" w:hAnsi="宋体"/>
          <w:snapToGrid w:val="0"/>
          <w:kern w:val="0"/>
          <w:sz w:val="24"/>
        </w:rPr>
        <w:t>二</w:t>
      </w:r>
      <w:r>
        <w:rPr>
          <w:rFonts w:ascii="宋体" w:hAnsi="宋体"/>
          <w:snapToGrid w:val="0"/>
          <w:kern w:val="0"/>
          <w:sz w:val="24"/>
        </w:rPr>
        <w:t>段。</w:t>
      </w:r>
    </w:p>
    <w:p w14:paraId="43EB01FA">
      <w:pPr>
        <w:spacing w:line="360" w:lineRule="auto"/>
        <w:ind w:firstLine="480" w:firstLineChars="200"/>
        <w:rPr>
          <w:rFonts w:hint="eastAsia" w:ascii="宋体" w:hAnsi="宋体"/>
          <w:snapToGrid w:val="0"/>
          <w:kern w:val="0"/>
          <w:sz w:val="24"/>
        </w:rPr>
      </w:pPr>
      <w:r>
        <w:rPr>
          <w:rFonts w:ascii="宋体" w:hAnsi="宋体"/>
          <w:snapToGrid w:val="0"/>
          <w:kern w:val="0"/>
          <w:sz w:val="24"/>
        </w:rPr>
        <w:t>第一段（T</w:t>
      </w:r>
      <w:r>
        <w:rPr>
          <w:rFonts w:ascii="宋体" w:hAnsi="宋体"/>
          <w:snapToGrid w:val="0"/>
          <w:kern w:val="0"/>
          <w:sz w:val="24"/>
          <w:vertAlign w:val="subscript"/>
        </w:rPr>
        <w:t>1</w:t>
      </w:r>
      <w:r>
        <w:rPr>
          <w:rFonts w:ascii="宋体" w:hAnsi="宋体"/>
          <w:snapToGrid w:val="0"/>
          <w:kern w:val="0"/>
          <w:sz w:val="24"/>
        </w:rPr>
        <w:t>yn</w:t>
      </w:r>
      <w:r>
        <w:rPr>
          <w:rFonts w:hint="eastAsia" w:ascii="宋体" w:hAnsi="宋体"/>
          <w:snapToGrid w:val="0"/>
          <w:kern w:val="0"/>
          <w:sz w:val="24"/>
          <w:vertAlign w:val="superscript"/>
        </w:rPr>
        <w:t>1</w:t>
      </w:r>
      <w:r>
        <w:rPr>
          <w:rFonts w:ascii="宋体" w:hAnsi="宋体"/>
          <w:snapToGrid w:val="0"/>
          <w:kern w:val="0"/>
          <w:sz w:val="24"/>
        </w:rPr>
        <w:t>）</w:t>
      </w:r>
      <w:r>
        <w:rPr>
          <w:rFonts w:hint="eastAsia" w:ascii="宋体" w:hAnsi="宋体"/>
          <w:snapToGrid w:val="0"/>
          <w:kern w:val="0"/>
          <w:sz w:val="24"/>
        </w:rPr>
        <w:t>：浅灰至灰黄色薄至中厚层石灰岩、泥灰岩，局部层段面上常见虫迹，</w:t>
      </w:r>
      <w:r>
        <w:rPr>
          <w:rFonts w:ascii="宋体" w:hAnsi="宋体"/>
          <w:sz w:val="24"/>
        </w:rPr>
        <w:t>厚</w:t>
      </w:r>
      <w:r>
        <w:rPr>
          <w:rFonts w:hint="eastAsia" w:ascii="宋体" w:hAnsi="宋体"/>
          <w:sz w:val="24"/>
        </w:rPr>
        <w:t>116</w:t>
      </w:r>
      <w:r>
        <w:rPr>
          <w:rFonts w:ascii="宋体" w:hAnsi="宋体"/>
          <w:sz w:val="24"/>
        </w:rPr>
        <w:t>m</w:t>
      </w:r>
      <w:r>
        <w:rPr>
          <w:rFonts w:hint="eastAsia" w:ascii="宋体" w:hAnsi="宋体"/>
          <w:sz w:val="24"/>
        </w:rPr>
        <w:t>。</w:t>
      </w:r>
    </w:p>
    <w:p w14:paraId="0DDE529B">
      <w:pPr>
        <w:spacing w:line="360" w:lineRule="auto"/>
        <w:ind w:firstLine="480" w:firstLineChars="200"/>
        <w:rPr>
          <w:rFonts w:ascii="宋体" w:hAnsi="宋体"/>
          <w:snapToGrid w:val="0"/>
          <w:kern w:val="0"/>
          <w:sz w:val="24"/>
          <w:lang w:val="en-GB"/>
        </w:rPr>
      </w:pPr>
      <w:r>
        <w:rPr>
          <w:rFonts w:ascii="宋体" w:hAnsi="宋体"/>
          <w:snapToGrid w:val="0"/>
          <w:kern w:val="0"/>
          <w:sz w:val="24"/>
        </w:rPr>
        <w:t>第</w:t>
      </w:r>
      <w:r>
        <w:rPr>
          <w:rFonts w:hint="eastAsia" w:ascii="宋体" w:hAnsi="宋体"/>
          <w:snapToGrid w:val="0"/>
          <w:kern w:val="0"/>
          <w:sz w:val="24"/>
        </w:rPr>
        <w:t>二</w:t>
      </w:r>
      <w:r>
        <w:rPr>
          <w:rFonts w:ascii="宋体" w:hAnsi="宋体"/>
          <w:snapToGrid w:val="0"/>
          <w:kern w:val="0"/>
          <w:sz w:val="24"/>
        </w:rPr>
        <w:t>段（T</w:t>
      </w:r>
      <w:r>
        <w:rPr>
          <w:rFonts w:ascii="宋体" w:hAnsi="宋体"/>
          <w:snapToGrid w:val="0"/>
          <w:kern w:val="0"/>
          <w:sz w:val="24"/>
          <w:vertAlign w:val="subscript"/>
        </w:rPr>
        <w:t>1</w:t>
      </w:r>
      <w:r>
        <w:rPr>
          <w:rFonts w:ascii="宋体" w:hAnsi="宋体"/>
          <w:snapToGrid w:val="0"/>
          <w:kern w:val="0"/>
          <w:sz w:val="24"/>
        </w:rPr>
        <w:t>yn</w:t>
      </w:r>
      <w:r>
        <w:rPr>
          <w:rFonts w:hint="eastAsia" w:ascii="宋体" w:hAnsi="宋体"/>
          <w:snapToGrid w:val="0"/>
          <w:kern w:val="0"/>
          <w:sz w:val="24"/>
          <w:vertAlign w:val="superscript"/>
        </w:rPr>
        <w:t>2</w:t>
      </w:r>
      <w:r>
        <w:rPr>
          <w:rFonts w:ascii="宋体" w:hAnsi="宋体"/>
          <w:snapToGrid w:val="0"/>
          <w:kern w:val="0"/>
          <w:sz w:val="24"/>
        </w:rPr>
        <w:t>）</w:t>
      </w:r>
      <w:r>
        <w:rPr>
          <w:rFonts w:hint="eastAsia" w:ascii="宋体" w:hAnsi="宋体"/>
          <w:snapToGrid w:val="0"/>
          <w:kern w:val="0"/>
          <w:sz w:val="24"/>
        </w:rPr>
        <w:t>：</w:t>
      </w:r>
      <w:r>
        <w:rPr>
          <w:rFonts w:ascii="宋体" w:hAnsi="宋体"/>
          <w:snapToGrid w:val="0"/>
          <w:kern w:val="0"/>
          <w:sz w:val="24"/>
          <w:lang w:val="en-GB"/>
        </w:rPr>
        <w:t>紫</w:t>
      </w:r>
      <w:r>
        <w:rPr>
          <w:rFonts w:hint="eastAsia" w:ascii="宋体" w:hAnsi="宋体"/>
          <w:snapToGrid w:val="0"/>
          <w:kern w:val="0"/>
          <w:sz w:val="24"/>
          <w:lang w:val="en-GB"/>
        </w:rPr>
        <w:t>红</w:t>
      </w:r>
      <w:r>
        <w:rPr>
          <w:rFonts w:ascii="宋体" w:hAnsi="宋体"/>
          <w:snapToGrid w:val="0"/>
          <w:kern w:val="0"/>
          <w:sz w:val="24"/>
          <w:lang w:val="en-GB"/>
        </w:rPr>
        <w:t>色</w:t>
      </w:r>
      <w:r>
        <w:rPr>
          <w:rFonts w:hint="eastAsia" w:ascii="宋体" w:hAnsi="宋体"/>
          <w:snapToGrid w:val="0"/>
          <w:kern w:val="0"/>
          <w:sz w:val="24"/>
          <w:lang w:val="en-GB"/>
        </w:rPr>
        <w:t>地及灰绿色细砂岩，局部为浅黄色泥质粉砂岩。</w:t>
      </w:r>
      <w:r>
        <w:rPr>
          <w:rFonts w:ascii="宋体" w:hAnsi="宋体"/>
          <w:snapToGrid w:val="0"/>
          <w:kern w:val="0"/>
          <w:sz w:val="24"/>
          <w:lang w:val="en-GB"/>
        </w:rPr>
        <w:t>厚20</w:t>
      </w:r>
      <w:r>
        <w:rPr>
          <w:rFonts w:hint="eastAsia" w:ascii="宋体" w:hAnsi="宋体"/>
          <w:snapToGrid w:val="0"/>
          <w:kern w:val="0"/>
          <w:sz w:val="24"/>
          <w:lang w:val="en-GB"/>
        </w:rPr>
        <w:t>1</w:t>
      </w:r>
      <w:r>
        <w:rPr>
          <w:rFonts w:ascii="宋体" w:hAnsi="宋体"/>
          <w:snapToGrid w:val="0"/>
          <w:kern w:val="0"/>
          <w:sz w:val="24"/>
          <w:lang w:val="en-GB"/>
        </w:rPr>
        <w:t xml:space="preserve"> m</w:t>
      </w:r>
      <w:r>
        <w:rPr>
          <w:rFonts w:ascii="宋体" w:hAnsi="宋体"/>
          <w:snapToGrid w:val="0"/>
          <w:kern w:val="0"/>
          <w:sz w:val="24"/>
        </w:rPr>
        <w:t>。</w:t>
      </w:r>
    </w:p>
    <w:p w14:paraId="5A5CCAE8">
      <w:pPr>
        <w:spacing w:line="360" w:lineRule="auto"/>
        <w:ind w:firstLine="480" w:firstLineChars="200"/>
        <w:rPr>
          <w:rFonts w:ascii="宋体" w:hAnsi="宋体"/>
          <w:bCs/>
          <w:snapToGrid w:val="0"/>
          <w:kern w:val="0"/>
          <w:sz w:val="24"/>
        </w:rPr>
      </w:pPr>
      <w:r>
        <w:rPr>
          <w:rFonts w:hint="eastAsia" w:ascii="宋体" w:hAnsi="宋体"/>
          <w:bCs/>
          <w:snapToGrid w:val="0"/>
          <w:kern w:val="0"/>
          <w:sz w:val="24"/>
        </w:rPr>
        <w:t>（5）</w:t>
      </w:r>
      <w:r>
        <w:rPr>
          <w:rFonts w:ascii="宋体" w:hAnsi="宋体"/>
          <w:bCs/>
          <w:snapToGrid w:val="0"/>
          <w:kern w:val="0"/>
          <w:sz w:val="24"/>
        </w:rPr>
        <w:t>第四系（Q）</w:t>
      </w:r>
    </w:p>
    <w:p w14:paraId="5B00D303">
      <w:pPr>
        <w:pStyle w:val="15"/>
        <w:spacing w:line="360" w:lineRule="auto"/>
        <w:ind w:firstLine="480"/>
        <w:rPr>
          <w:rFonts w:hint="eastAsia" w:ascii="宋体" w:hAnsi="宋体"/>
          <w:snapToGrid w:val="0"/>
          <w:kern w:val="0"/>
          <w:sz w:val="24"/>
          <w:szCs w:val="24"/>
        </w:rPr>
      </w:pPr>
      <w:r>
        <w:rPr>
          <w:rFonts w:hint="eastAsia" w:ascii="宋体" w:hAnsi="宋体"/>
          <w:snapToGrid w:val="0"/>
          <w:kern w:val="0"/>
          <w:sz w:val="24"/>
          <w:szCs w:val="24"/>
        </w:rPr>
        <w:t>主要为残坡积、冲洪积层的粘土、粉质粘土、砂砾石、碎石土等组成，在区内分布较广，厚度变化较大，厚0～10m，主要分布在河流、沟谷两岸、地形低洼地段。</w:t>
      </w:r>
    </w:p>
    <w:p w14:paraId="0503DC97">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2、地质构造</w:t>
      </w:r>
    </w:p>
    <w:p w14:paraId="726E7F41">
      <w:pPr>
        <w:spacing w:line="360" w:lineRule="auto"/>
        <w:ind w:firstLine="480" w:firstLineChars="200"/>
        <w:rPr>
          <w:rFonts w:ascii="宋体" w:hAnsi="宋体"/>
          <w:snapToGrid w:val="0"/>
          <w:kern w:val="0"/>
          <w:sz w:val="24"/>
        </w:rPr>
      </w:pPr>
      <w:bookmarkStart w:id="27" w:name="_Toc147218657"/>
      <w:r>
        <w:rPr>
          <w:rFonts w:ascii="宋体" w:hAnsi="宋体"/>
          <w:snapToGrid w:val="0"/>
          <w:kern w:val="0"/>
          <w:sz w:val="24"/>
        </w:rPr>
        <w:t>该矿所处构造单元为：杨子准地台黔北台隆六盘水断陷威宁北西向构造变形区，位于格目底向斜南西翼西段，其总体构造形态呈单斜岩层。地层走向北西—南东，在A4线以西转为近东西向，倾向北东、北，倾角25～40°。</w:t>
      </w:r>
    </w:p>
    <w:p w14:paraId="31FAAA0C">
      <w:pPr>
        <w:spacing w:line="360" w:lineRule="auto"/>
        <w:ind w:firstLine="480" w:firstLineChars="200"/>
        <w:rPr>
          <w:rFonts w:ascii="宋体" w:hAnsi="宋体"/>
          <w:snapToGrid w:val="0"/>
          <w:kern w:val="0"/>
          <w:sz w:val="24"/>
        </w:rPr>
      </w:pPr>
      <w:r>
        <w:rPr>
          <w:rFonts w:ascii="宋体" w:hAnsi="宋体"/>
          <w:snapToGrid w:val="0"/>
          <w:kern w:val="0"/>
          <w:sz w:val="24"/>
        </w:rPr>
        <w:t>井田内发现的大小断层共19条，其中以作为井田南东边界的F40断层规模最大，其余断层规模均较小，垂直断距均小于30m，且多数断距在10m以内。现将位于本矿山中部的</w:t>
      </w:r>
      <w:r>
        <w:rPr>
          <w:rFonts w:hint="eastAsia" w:ascii="宋体" w:hAnsi="宋体"/>
          <w:snapToGrid w:val="0"/>
          <w:kern w:val="0"/>
          <w:sz w:val="24"/>
        </w:rPr>
        <w:t>F6、F7和</w:t>
      </w:r>
      <w:r>
        <w:rPr>
          <w:rFonts w:ascii="宋体" w:hAnsi="宋体"/>
          <w:snapToGrid w:val="0"/>
          <w:kern w:val="0"/>
          <w:sz w:val="24"/>
        </w:rPr>
        <w:t>F</w:t>
      </w:r>
      <w:r>
        <w:rPr>
          <w:rFonts w:hint="eastAsia" w:ascii="宋体" w:hAnsi="宋体"/>
          <w:snapToGrid w:val="0"/>
          <w:kern w:val="0"/>
          <w:sz w:val="24"/>
        </w:rPr>
        <w:t>3</w:t>
      </w:r>
      <w:r>
        <w:rPr>
          <w:rFonts w:ascii="宋体" w:hAnsi="宋体"/>
          <w:snapToGrid w:val="0"/>
          <w:kern w:val="0"/>
          <w:sz w:val="24"/>
        </w:rPr>
        <w:t>0断层叙述如下：</w:t>
      </w:r>
    </w:p>
    <w:p w14:paraId="18F632F2">
      <w:pPr>
        <w:spacing w:line="360" w:lineRule="auto"/>
        <w:ind w:firstLine="480" w:firstLineChars="200"/>
        <w:rPr>
          <w:rFonts w:ascii="宋体" w:hAnsi="宋体"/>
          <w:snapToGrid w:val="0"/>
          <w:kern w:val="0"/>
          <w:sz w:val="24"/>
        </w:rPr>
      </w:pPr>
      <w:r>
        <w:rPr>
          <w:rFonts w:hint="eastAsia" w:ascii="宋体" w:hAnsi="宋体"/>
          <w:snapToGrid w:val="0"/>
          <w:kern w:val="0"/>
          <w:sz w:val="24"/>
        </w:rPr>
        <w:t>F6</w:t>
      </w:r>
      <w:r>
        <w:rPr>
          <w:rFonts w:ascii="宋体" w:hAnsi="宋体"/>
          <w:snapToGrid w:val="0"/>
          <w:kern w:val="0"/>
          <w:sz w:val="24"/>
        </w:rPr>
        <w:t>正断层：位于A</w:t>
      </w:r>
      <w:r>
        <w:rPr>
          <w:rFonts w:hint="eastAsia" w:ascii="宋体" w:hAnsi="宋体"/>
          <w:snapToGrid w:val="0"/>
          <w:kern w:val="0"/>
          <w:sz w:val="24"/>
        </w:rPr>
        <w:t>5</w:t>
      </w:r>
      <w:r>
        <w:rPr>
          <w:rFonts w:ascii="宋体" w:hAnsi="宋体"/>
          <w:snapToGrid w:val="0"/>
          <w:kern w:val="0"/>
          <w:sz w:val="24"/>
        </w:rPr>
        <w:t>线</w:t>
      </w:r>
      <w:r>
        <w:rPr>
          <w:rFonts w:hint="eastAsia" w:ascii="宋体" w:hAnsi="宋体"/>
          <w:snapToGrid w:val="0"/>
          <w:kern w:val="0"/>
          <w:sz w:val="24"/>
        </w:rPr>
        <w:t>附近</w:t>
      </w:r>
      <w:r>
        <w:rPr>
          <w:rFonts w:ascii="宋体" w:hAnsi="宋体"/>
          <w:snapToGrid w:val="0"/>
          <w:kern w:val="0"/>
          <w:sz w:val="24"/>
        </w:rPr>
        <w:t>，该断层在矿区</w:t>
      </w:r>
      <w:r>
        <w:rPr>
          <w:rFonts w:hint="eastAsia" w:ascii="宋体" w:hAnsi="宋体"/>
          <w:snapToGrid w:val="0"/>
          <w:kern w:val="0"/>
          <w:sz w:val="24"/>
        </w:rPr>
        <w:t>中</w:t>
      </w:r>
      <w:r>
        <w:rPr>
          <w:rFonts w:ascii="宋体" w:hAnsi="宋体"/>
          <w:snapToGrid w:val="0"/>
          <w:kern w:val="0"/>
          <w:sz w:val="24"/>
        </w:rPr>
        <w:t>部，走向</w:t>
      </w:r>
      <w:r>
        <w:rPr>
          <w:rFonts w:hint="eastAsia" w:ascii="宋体" w:hAnsi="宋体"/>
          <w:snapToGrid w:val="0"/>
          <w:kern w:val="0"/>
          <w:sz w:val="24"/>
        </w:rPr>
        <w:t>南西—北东向，</w:t>
      </w:r>
      <w:r>
        <w:rPr>
          <w:rFonts w:ascii="宋体" w:hAnsi="宋体"/>
          <w:snapToGrid w:val="0"/>
          <w:kern w:val="0"/>
          <w:sz w:val="24"/>
        </w:rPr>
        <w:t>延伸约</w:t>
      </w:r>
      <w:r>
        <w:rPr>
          <w:rFonts w:hint="eastAsia" w:ascii="宋体" w:hAnsi="宋体"/>
          <w:snapToGrid w:val="0"/>
          <w:kern w:val="0"/>
          <w:sz w:val="24"/>
        </w:rPr>
        <w:t>40</w:t>
      </w:r>
      <w:r>
        <w:rPr>
          <w:rFonts w:ascii="宋体" w:hAnsi="宋体"/>
          <w:snapToGrid w:val="0"/>
          <w:kern w:val="0"/>
          <w:sz w:val="24"/>
        </w:rPr>
        <w:t>0m，倾向</w:t>
      </w:r>
      <w:r>
        <w:rPr>
          <w:rFonts w:hint="eastAsia" w:ascii="宋体" w:hAnsi="宋体"/>
          <w:snapToGrid w:val="0"/>
          <w:kern w:val="0"/>
          <w:sz w:val="24"/>
        </w:rPr>
        <w:t>北东</w:t>
      </w:r>
      <w:r>
        <w:rPr>
          <w:rFonts w:ascii="宋体" w:hAnsi="宋体"/>
          <w:snapToGrid w:val="0"/>
          <w:kern w:val="0"/>
          <w:sz w:val="24"/>
        </w:rPr>
        <w:t>。</w:t>
      </w:r>
    </w:p>
    <w:p w14:paraId="60261DBE">
      <w:pPr>
        <w:spacing w:line="360" w:lineRule="auto"/>
        <w:ind w:firstLine="480" w:firstLineChars="200"/>
        <w:rPr>
          <w:rFonts w:ascii="宋体" w:hAnsi="宋体"/>
          <w:snapToGrid w:val="0"/>
          <w:kern w:val="0"/>
          <w:sz w:val="24"/>
        </w:rPr>
      </w:pPr>
      <w:r>
        <w:rPr>
          <w:rFonts w:hint="eastAsia" w:ascii="宋体" w:hAnsi="宋体"/>
          <w:snapToGrid w:val="0"/>
          <w:kern w:val="0"/>
          <w:sz w:val="24"/>
        </w:rPr>
        <w:t>F7</w:t>
      </w:r>
      <w:r>
        <w:rPr>
          <w:rFonts w:ascii="宋体" w:hAnsi="宋体"/>
          <w:snapToGrid w:val="0"/>
          <w:kern w:val="0"/>
          <w:sz w:val="24"/>
        </w:rPr>
        <w:t>正断层：位于A</w:t>
      </w:r>
      <w:r>
        <w:rPr>
          <w:rFonts w:hint="eastAsia" w:ascii="宋体" w:hAnsi="宋体"/>
          <w:snapToGrid w:val="0"/>
          <w:kern w:val="0"/>
          <w:sz w:val="24"/>
        </w:rPr>
        <w:t>7</w:t>
      </w:r>
      <w:r>
        <w:rPr>
          <w:rFonts w:ascii="宋体" w:hAnsi="宋体"/>
          <w:snapToGrid w:val="0"/>
          <w:kern w:val="0"/>
          <w:sz w:val="24"/>
        </w:rPr>
        <w:t>线</w:t>
      </w:r>
      <w:r>
        <w:rPr>
          <w:rFonts w:hint="eastAsia" w:ascii="宋体" w:hAnsi="宋体"/>
          <w:snapToGrid w:val="0"/>
          <w:kern w:val="0"/>
          <w:sz w:val="24"/>
        </w:rPr>
        <w:t>附近</w:t>
      </w:r>
      <w:r>
        <w:rPr>
          <w:rFonts w:ascii="宋体" w:hAnsi="宋体"/>
          <w:snapToGrid w:val="0"/>
          <w:kern w:val="0"/>
          <w:sz w:val="24"/>
        </w:rPr>
        <w:t>，该断层在矿区</w:t>
      </w:r>
      <w:r>
        <w:rPr>
          <w:rFonts w:hint="eastAsia" w:ascii="宋体" w:hAnsi="宋体"/>
          <w:snapToGrid w:val="0"/>
          <w:kern w:val="0"/>
          <w:sz w:val="24"/>
        </w:rPr>
        <w:t>东</w:t>
      </w:r>
      <w:r>
        <w:rPr>
          <w:rFonts w:ascii="宋体" w:hAnsi="宋体"/>
          <w:snapToGrid w:val="0"/>
          <w:kern w:val="0"/>
          <w:sz w:val="24"/>
        </w:rPr>
        <w:t>部，深部由ZK</w:t>
      </w:r>
      <w:r>
        <w:rPr>
          <w:rFonts w:hint="eastAsia" w:ascii="宋体" w:hAnsi="宋体"/>
          <w:snapToGrid w:val="0"/>
          <w:kern w:val="0"/>
          <w:sz w:val="24"/>
        </w:rPr>
        <w:t>704</w:t>
      </w:r>
      <w:r>
        <w:rPr>
          <w:rFonts w:ascii="宋体" w:hAnsi="宋体"/>
          <w:snapToGrid w:val="0"/>
          <w:kern w:val="0"/>
          <w:sz w:val="24"/>
        </w:rPr>
        <w:t>钻孔控制到1</w:t>
      </w:r>
      <w:r>
        <w:rPr>
          <w:rFonts w:hint="eastAsia" w:ascii="宋体" w:hAnsi="宋体"/>
          <w:snapToGrid w:val="0"/>
          <w:kern w:val="0"/>
          <w:sz w:val="24"/>
        </w:rPr>
        <w:t>9</w:t>
      </w:r>
      <w:r>
        <w:rPr>
          <w:rFonts w:ascii="宋体" w:hAnsi="宋体"/>
          <w:snapToGrid w:val="0"/>
          <w:kern w:val="0"/>
          <w:sz w:val="24"/>
        </w:rPr>
        <w:t>00m标高以下。走向延伸约</w:t>
      </w:r>
      <w:r>
        <w:rPr>
          <w:rFonts w:hint="eastAsia" w:ascii="宋体" w:hAnsi="宋体"/>
          <w:snapToGrid w:val="0"/>
          <w:kern w:val="0"/>
          <w:sz w:val="24"/>
        </w:rPr>
        <w:t>285</w:t>
      </w:r>
      <w:r>
        <w:rPr>
          <w:rFonts w:ascii="宋体" w:hAnsi="宋体"/>
          <w:snapToGrid w:val="0"/>
          <w:kern w:val="0"/>
          <w:sz w:val="24"/>
        </w:rPr>
        <w:t>m，由南西往北东区外延伸，垂直断距约</w:t>
      </w:r>
      <w:r>
        <w:rPr>
          <w:rFonts w:hint="eastAsia" w:ascii="宋体" w:hAnsi="宋体"/>
          <w:snapToGrid w:val="0"/>
          <w:kern w:val="0"/>
          <w:sz w:val="24"/>
        </w:rPr>
        <w:t>6</w:t>
      </w:r>
      <w:r>
        <w:rPr>
          <w:rFonts w:ascii="宋体" w:hAnsi="宋体"/>
          <w:snapToGrid w:val="0"/>
          <w:kern w:val="0"/>
          <w:sz w:val="24"/>
        </w:rPr>
        <w:t>m左右，向浅部断距逐渐减小，</w:t>
      </w:r>
      <w:r>
        <w:rPr>
          <w:rFonts w:hint="eastAsia" w:ascii="宋体" w:hAnsi="宋体"/>
          <w:snapToGrid w:val="0"/>
          <w:kern w:val="0"/>
          <w:sz w:val="24"/>
        </w:rPr>
        <w:t>受影响的</w:t>
      </w:r>
      <w:r>
        <w:rPr>
          <w:rFonts w:ascii="宋体" w:hAnsi="宋体"/>
          <w:snapToGrid w:val="0"/>
          <w:kern w:val="0"/>
          <w:sz w:val="24"/>
        </w:rPr>
        <w:t>煤层及地层</w:t>
      </w:r>
      <w:r>
        <w:rPr>
          <w:rFonts w:hint="eastAsia" w:ascii="宋体" w:hAnsi="宋体"/>
          <w:snapToGrid w:val="0"/>
          <w:kern w:val="0"/>
          <w:sz w:val="24"/>
        </w:rPr>
        <w:t>（T</w:t>
      </w:r>
      <w:r>
        <w:rPr>
          <w:rFonts w:hint="eastAsia" w:ascii="宋体" w:hAnsi="宋体"/>
          <w:snapToGrid w:val="0"/>
          <w:kern w:val="0"/>
          <w:sz w:val="24"/>
          <w:vertAlign w:val="subscript"/>
        </w:rPr>
        <w:t>1</w:t>
      </w:r>
      <w:r>
        <w:rPr>
          <w:rFonts w:hint="eastAsia" w:ascii="宋体" w:hAnsi="宋体"/>
          <w:snapToGrid w:val="0"/>
          <w:kern w:val="0"/>
          <w:sz w:val="24"/>
        </w:rPr>
        <w:t>f-K13）</w:t>
      </w:r>
      <w:r>
        <w:rPr>
          <w:rFonts w:ascii="宋体" w:hAnsi="宋体"/>
          <w:snapToGrid w:val="0"/>
          <w:kern w:val="0"/>
          <w:sz w:val="24"/>
        </w:rPr>
        <w:t>。断层走向约</w:t>
      </w:r>
      <w:r>
        <w:rPr>
          <w:rFonts w:hint="eastAsia" w:ascii="宋体" w:hAnsi="宋体"/>
          <w:snapToGrid w:val="0"/>
          <w:kern w:val="0"/>
          <w:sz w:val="24"/>
        </w:rPr>
        <w:t>10</w:t>
      </w:r>
      <w:r>
        <w:rPr>
          <w:rFonts w:ascii="宋体" w:hAnsi="宋体"/>
          <w:snapToGrid w:val="0"/>
          <w:kern w:val="0"/>
          <w:sz w:val="24"/>
        </w:rPr>
        <w:t>8°</w:t>
      </w:r>
      <w:r>
        <w:rPr>
          <w:rFonts w:hint="eastAsia" w:ascii="宋体" w:hAnsi="宋体"/>
          <w:snapToGrid w:val="0"/>
          <w:kern w:val="0"/>
          <w:sz w:val="24"/>
        </w:rPr>
        <w:t>～</w:t>
      </w:r>
      <w:r>
        <w:rPr>
          <w:rFonts w:ascii="宋体" w:hAnsi="宋体"/>
          <w:snapToGrid w:val="0"/>
          <w:kern w:val="0"/>
          <w:sz w:val="24"/>
        </w:rPr>
        <w:t>88°，倾向</w:t>
      </w:r>
      <w:r>
        <w:rPr>
          <w:rFonts w:hint="eastAsia" w:ascii="宋体" w:hAnsi="宋体"/>
          <w:snapToGrid w:val="0"/>
          <w:kern w:val="0"/>
          <w:sz w:val="24"/>
        </w:rPr>
        <w:t>1</w:t>
      </w:r>
      <w:r>
        <w:rPr>
          <w:rFonts w:ascii="宋体" w:hAnsi="宋体"/>
          <w:snapToGrid w:val="0"/>
          <w:kern w:val="0"/>
          <w:sz w:val="24"/>
        </w:rPr>
        <w:t>8°，倾角76°。</w:t>
      </w:r>
    </w:p>
    <w:p w14:paraId="19FB0A61">
      <w:pPr>
        <w:spacing w:line="360" w:lineRule="auto"/>
        <w:ind w:firstLine="480" w:firstLineChars="200"/>
        <w:rPr>
          <w:rFonts w:ascii="宋体" w:hAnsi="宋体"/>
          <w:snapToGrid w:val="0"/>
          <w:kern w:val="0"/>
          <w:sz w:val="24"/>
        </w:rPr>
      </w:pPr>
      <w:r>
        <w:rPr>
          <w:rFonts w:ascii="宋体" w:hAnsi="宋体"/>
          <w:snapToGrid w:val="0"/>
          <w:kern w:val="0"/>
          <w:sz w:val="24"/>
        </w:rPr>
        <w:t>F30逆断层：位于A4线附近，该断层在矿区西部，深部由ZK404钻孔控制到1800m标高。走向延伸约270m，垂直断距约9m左右，受影响的煤层（K13～K18），断层走向约105°～285°，倾向15°，倾角72°左右。</w:t>
      </w:r>
    </w:p>
    <w:p w14:paraId="63A9B739">
      <w:pPr>
        <w:spacing w:line="360" w:lineRule="auto"/>
        <w:ind w:firstLine="480" w:firstLineChars="200"/>
        <w:rPr>
          <w:rFonts w:ascii="宋体" w:hAnsi="宋体"/>
          <w:snapToGrid w:val="0"/>
          <w:kern w:val="0"/>
          <w:sz w:val="24"/>
        </w:rPr>
      </w:pPr>
      <w:r>
        <w:rPr>
          <w:rFonts w:ascii="宋体" w:hAnsi="宋体"/>
          <w:snapToGrid w:val="0"/>
          <w:kern w:val="0"/>
          <w:sz w:val="24"/>
        </w:rPr>
        <w:t>总之，矿山构造复杂程度为中等类型。</w:t>
      </w:r>
    </w:p>
    <w:bookmarkEnd w:id="27"/>
    <w:p w14:paraId="05C3A826">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（二）煤层</w:t>
      </w:r>
    </w:p>
    <w:p w14:paraId="29A87A9B">
      <w:pPr>
        <w:spacing w:line="360" w:lineRule="auto"/>
        <w:ind w:firstLine="480" w:firstLineChars="200"/>
        <w:rPr>
          <w:rFonts w:hint="eastAsia" w:ascii="宋体" w:hAnsi="宋体"/>
          <w:snapToGrid w:val="0"/>
          <w:kern w:val="0"/>
          <w:sz w:val="24"/>
        </w:rPr>
      </w:pPr>
      <w:bookmarkStart w:id="28" w:name="_Toc202492909"/>
      <w:bookmarkStart w:id="29" w:name="_Toc147218658"/>
      <w:r>
        <w:rPr>
          <w:rFonts w:hint="eastAsia" w:ascii="宋体" w:hAnsi="宋体"/>
          <w:snapToGrid w:val="0"/>
          <w:kern w:val="0"/>
          <w:sz w:val="24"/>
        </w:rPr>
        <w:t>1、含煤岩系</w:t>
      </w:r>
      <w:bookmarkEnd w:id="28"/>
      <w:bookmarkEnd w:id="29"/>
    </w:p>
    <w:p w14:paraId="59855BF2">
      <w:pPr>
        <w:spacing w:line="360" w:lineRule="auto"/>
        <w:ind w:firstLine="480" w:firstLineChars="200"/>
        <w:rPr>
          <w:rFonts w:ascii="宋体" w:hAnsi="宋体"/>
          <w:snapToGrid w:val="0"/>
          <w:kern w:val="0"/>
          <w:sz w:val="24"/>
        </w:rPr>
      </w:pPr>
      <w:r>
        <w:rPr>
          <w:rFonts w:hint="eastAsia" w:ascii="宋体" w:hAnsi="宋体"/>
          <w:snapToGrid w:val="0"/>
          <w:kern w:val="0"/>
          <w:sz w:val="24"/>
        </w:rPr>
        <w:t>（1</w:t>
      </w:r>
      <w:r>
        <w:rPr>
          <w:rFonts w:ascii="宋体" w:hAnsi="宋体"/>
          <w:snapToGrid w:val="0"/>
          <w:kern w:val="0"/>
          <w:sz w:val="24"/>
        </w:rPr>
        <w:t>）含煤性</w:t>
      </w:r>
    </w:p>
    <w:p w14:paraId="643A92AB">
      <w:pPr>
        <w:spacing w:line="360" w:lineRule="auto"/>
        <w:ind w:firstLine="480" w:firstLineChars="200"/>
        <w:rPr>
          <w:rFonts w:ascii="宋体" w:hAnsi="宋体"/>
          <w:snapToGrid w:val="0"/>
          <w:kern w:val="0"/>
          <w:sz w:val="24"/>
        </w:rPr>
      </w:pPr>
      <w:r>
        <w:rPr>
          <w:rFonts w:ascii="宋体" w:hAnsi="宋体"/>
          <w:snapToGrid w:val="0"/>
          <w:kern w:val="0"/>
          <w:sz w:val="24"/>
        </w:rPr>
        <w:t>井田内含煤岩系为上二叠统龙潭组（P</w:t>
      </w:r>
      <w:r>
        <w:rPr>
          <w:rFonts w:ascii="宋体" w:hAnsi="宋体"/>
          <w:snapToGrid w:val="0"/>
          <w:kern w:val="0"/>
          <w:sz w:val="24"/>
          <w:vertAlign w:val="subscript"/>
        </w:rPr>
        <w:t>3</w:t>
      </w:r>
      <w:r>
        <w:rPr>
          <w:rFonts w:ascii="宋体" w:hAnsi="宋体"/>
          <w:snapToGrid w:val="0"/>
          <w:kern w:val="0"/>
          <w:sz w:val="24"/>
        </w:rPr>
        <w:t>l），煤系厚4</w:t>
      </w:r>
      <w:r>
        <w:rPr>
          <w:rFonts w:hint="eastAsia" w:ascii="宋体" w:hAnsi="宋体"/>
          <w:snapToGrid w:val="0"/>
          <w:kern w:val="0"/>
          <w:sz w:val="24"/>
        </w:rPr>
        <w:t>00</w:t>
      </w:r>
      <w:r>
        <w:rPr>
          <w:rFonts w:ascii="宋体" w:hAnsi="宋体"/>
          <w:snapToGrid w:val="0"/>
          <w:kern w:val="0"/>
          <w:sz w:val="24"/>
        </w:rPr>
        <w:t>～48</w:t>
      </w:r>
      <w:r>
        <w:rPr>
          <w:rFonts w:hint="eastAsia" w:ascii="宋体" w:hAnsi="宋体"/>
          <w:snapToGrid w:val="0"/>
          <w:kern w:val="0"/>
          <w:sz w:val="24"/>
        </w:rPr>
        <w:t>5</w:t>
      </w:r>
      <w:r>
        <w:rPr>
          <w:rFonts w:ascii="宋体" w:hAnsi="宋体"/>
          <w:snapToGrid w:val="0"/>
          <w:kern w:val="0"/>
          <w:sz w:val="24"/>
        </w:rPr>
        <w:t>m，</w:t>
      </w:r>
      <w:r>
        <w:rPr>
          <w:rFonts w:hint="eastAsia" w:ascii="宋体" w:hAnsi="宋体"/>
          <w:snapToGrid w:val="0"/>
          <w:kern w:val="0"/>
          <w:sz w:val="24"/>
        </w:rPr>
        <w:t>平均452</w:t>
      </w:r>
      <w:r>
        <w:rPr>
          <w:rFonts w:ascii="宋体" w:hAnsi="宋体"/>
          <w:snapToGrid w:val="0"/>
          <w:kern w:val="0"/>
          <w:sz w:val="24"/>
        </w:rPr>
        <w:t>m</w:t>
      </w:r>
      <w:r>
        <w:rPr>
          <w:rFonts w:hint="eastAsia" w:ascii="宋体" w:hAnsi="宋体"/>
          <w:snapToGrid w:val="0"/>
          <w:kern w:val="0"/>
          <w:sz w:val="24"/>
        </w:rPr>
        <w:t>。</w:t>
      </w:r>
      <w:r>
        <w:rPr>
          <w:rFonts w:ascii="宋体" w:hAnsi="宋体"/>
          <w:snapToGrid w:val="0"/>
          <w:kern w:val="0"/>
          <w:sz w:val="24"/>
        </w:rPr>
        <w:t>含煤</w:t>
      </w:r>
      <w:r>
        <w:rPr>
          <w:rFonts w:hint="eastAsia" w:ascii="宋体" w:hAnsi="宋体"/>
          <w:snapToGrid w:val="0"/>
          <w:kern w:val="0"/>
          <w:sz w:val="24"/>
        </w:rPr>
        <w:t>一般为40～6</w:t>
      </w:r>
      <w:r>
        <w:rPr>
          <w:rFonts w:ascii="宋体" w:hAnsi="宋体"/>
          <w:snapToGrid w:val="0"/>
          <w:kern w:val="0"/>
          <w:sz w:val="24"/>
        </w:rPr>
        <w:t>0层，</w:t>
      </w:r>
      <w:r>
        <w:rPr>
          <w:rFonts w:hint="eastAsia" w:ascii="宋体" w:hAnsi="宋体"/>
          <w:snapToGrid w:val="0"/>
          <w:kern w:val="0"/>
          <w:sz w:val="24"/>
        </w:rPr>
        <w:t>煤层</w:t>
      </w:r>
      <w:r>
        <w:rPr>
          <w:rFonts w:ascii="宋体" w:hAnsi="宋体"/>
          <w:snapToGrid w:val="0"/>
          <w:kern w:val="0"/>
          <w:sz w:val="24"/>
        </w:rPr>
        <w:t>总厚</w:t>
      </w:r>
      <w:r>
        <w:rPr>
          <w:rFonts w:hint="eastAsia" w:ascii="宋体" w:hAnsi="宋体"/>
          <w:snapToGrid w:val="0"/>
          <w:kern w:val="0"/>
          <w:sz w:val="24"/>
        </w:rPr>
        <w:t>度为28～36</w:t>
      </w:r>
      <w:r>
        <w:rPr>
          <w:rFonts w:ascii="宋体" w:hAnsi="宋体"/>
          <w:snapToGrid w:val="0"/>
          <w:kern w:val="0"/>
          <w:sz w:val="24"/>
        </w:rPr>
        <w:t>m</w:t>
      </w:r>
      <w:r>
        <w:rPr>
          <w:rFonts w:hint="eastAsia" w:ascii="宋体" w:hAnsi="宋体"/>
          <w:snapToGrid w:val="0"/>
          <w:kern w:val="0"/>
          <w:sz w:val="24"/>
        </w:rPr>
        <w:t>，平均32</w:t>
      </w:r>
      <w:r>
        <w:rPr>
          <w:rFonts w:ascii="宋体" w:hAnsi="宋体"/>
          <w:snapToGrid w:val="0"/>
          <w:kern w:val="0"/>
          <w:sz w:val="24"/>
        </w:rPr>
        <w:t>m</w:t>
      </w:r>
      <w:r>
        <w:rPr>
          <w:rFonts w:hint="eastAsia" w:ascii="宋体" w:hAnsi="宋体"/>
          <w:snapToGrid w:val="0"/>
          <w:kern w:val="0"/>
          <w:sz w:val="24"/>
        </w:rPr>
        <w:t>。其中全区</w:t>
      </w:r>
      <w:r>
        <w:rPr>
          <w:rFonts w:ascii="宋体" w:hAnsi="宋体"/>
          <w:snapToGrid w:val="0"/>
          <w:kern w:val="0"/>
          <w:sz w:val="24"/>
        </w:rPr>
        <w:t>可采</w:t>
      </w:r>
      <w:r>
        <w:rPr>
          <w:rFonts w:hint="eastAsia" w:ascii="宋体" w:hAnsi="宋体"/>
          <w:snapToGrid w:val="0"/>
          <w:kern w:val="0"/>
          <w:sz w:val="24"/>
        </w:rPr>
        <w:t>煤层3层，大</w:t>
      </w:r>
      <w:r>
        <w:rPr>
          <w:rFonts w:ascii="宋体" w:hAnsi="宋体"/>
          <w:snapToGrid w:val="0"/>
          <w:kern w:val="0"/>
          <w:sz w:val="24"/>
        </w:rPr>
        <w:t>部可采煤层11层，</w:t>
      </w:r>
      <w:r>
        <w:rPr>
          <w:rFonts w:hint="eastAsia" w:ascii="宋体" w:hAnsi="宋体"/>
          <w:snapToGrid w:val="0"/>
          <w:kern w:val="0"/>
          <w:sz w:val="24"/>
        </w:rPr>
        <w:t>局部可采煤层2层，可采煤层中单层最大厚度6</w:t>
      </w:r>
      <w:r>
        <w:rPr>
          <w:rFonts w:ascii="宋体" w:hAnsi="宋体"/>
          <w:snapToGrid w:val="0"/>
          <w:kern w:val="0"/>
          <w:sz w:val="24"/>
        </w:rPr>
        <w:t>.</w:t>
      </w:r>
      <w:r>
        <w:rPr>
          <w:rFonts w:hint="eastAsia" w:ascii="宋体" w:hAnsi="宋体"/>
          <w:snapToGrid w:val="0"/>
          <w:kern w:val="0"/>
          <w:sz w:val="24"/>
        </w:rPr>
        <w:t>5</w:t>
      </w:r>
      <w:r>
        <w:rPr>
          <w:rFonts w:ascii="宋体" w:hAnsi="宋体"/>
          <w:snapToGrid w:val="0"/>
          <w:kern w:val="0"/>
          <w:sz w:val="24"/>
        </w:rPr>
        <w:t>4m</w:t>
      </w:r>
      <w:r>
        <w:rPr>
          <w:rFonts w:hint="eastAsia" w:ascii="宋体" w:hAnsi="宋体"/>
          <w:snapToGrid w:val="0"/>
          <w:kern w:val="0"/>
          <w:sz w:val="24"/>
        </w:rPr>
        <w:t>，一般厚1.5～2.5</w:t>
      </w:r>
      <w:r>
        <w:rPr>
          <w:rFonts w:ascii="宋体" w:hAnsi="宋体"/>
          <w:snapToGrid w:val="0"/>
          <w:kern w:val="0"/>
          <w:sz w:val="24"/>
        </w:rPr>
        <w:t>m</w:t>
      </w:r>
      <w:r>
        <w:rPr>
          <w:rFonts w:hint="eastAsia" w:ascii="宋体" w:hAnsi="宋体"/>
          <w:snapToGrid w:val="0"/>
          <w:kern w:val="0"/>
          <w:sz w:val="24"/>
        </w:rPr>
        <w:t>，可采</w:t>
      </w:r>
      <w:r>
        <w:rPr>
          <w:rFonts w:ascii="宋体" w:hAnsi="宋体"/>
          <w:snapToGrid w:val="0"/>
          <w:kern w:val="0"/>
          <w:sz w:val="24"/>
        </w:rPr>
        <w:t>总厚</w:t>
      </w:r>
      <w:r>
        <w:rPr>
          <w:rFonts w:hint="eastAsia" w:ascii="宋体" w:hAnsi="宋体"/>
          <w:snapToGrid w:val="0"/>
          <w:kern w:val="0"/>
          <w:sz w:val="24"/>
        </w:rPr>
        <w:t>1</w:t>
      </w:r>
      <w:r>
        <w:rPr>
          <w:rFonts w:ascii="宋体" w:hAnsi="宋体"/>
          <w:snapToGrid w:val="0"/>
          <w:kern w:val="0"/>
          <w:sz w:val="24"/>
        </w:rPr>
        <w:t>8.</w:t>
      </w:r>
      <w:r>
        <w:rPr>
          <w:rFonts w:hint="eastAsia" w:ascii="宋体" w:hAnsi="宋体"/>
          <w:snapToGrid w:val="0"/>
          <w:kern w:val="0"/>
          <w:sz w:val="24"/>
        </w:rPr>
        <w:t>21</w:t>
      </w:r>
      <w:r>
        <w:rPr>
          <w:rFonts w:ascii="宋体" w:hAnsi="宋体"/>
          <w:snapToGrid w:val="0"/>
          <w:kern w:val="0"/>
          <w:sz w:val="24"/>
        </w:rPr>
        <w:t>m，</w:t>
      </w:r>
      <w:r>
        <w:rPr>
          <w:rFonts w:hint="eastAsia" w:ascii="宋体" w:hAnsi="宋体"/>
          <w:snapToGrid w:val="0"/>
          <w:kern w:val="0"/>
          <w:sz w:val="24"/>
        </w:rPr>
        <w:t>含煤系数为7%。以上煤层</w:t>
      </w:r>
      <w:r>
        <w:rPr>
          <w:rFonts w:ascii="宋体" w:hAnsi="宋体"/>
          <w:snapToGrid w:val="0"/>
          <w:kern w:val="0"/>
          <w:sz w:val="24"/>
        </w:rPr>
        <w:t>主要集中在</w:t>
      </w:r>
      <w:r>
        <w:rPr>
          <w:rFonts w:hint="eastAsia" w:ascii="宋体" w:hAnsi="宋体"/>
          <w:snapToGrid w:val="0"/>
          <w:kern w:val="0"/>
          <w:sz w:val="24"/>
        </w:rPr>
        <w:t>分布在</w:t>
      </w:r>
      <w:r>
        <w:rPr>
          <w:rFonts w:ascii="宋体" w:hAnsi="宋体"/>
          <w:snapToGrid w:val="0"/>
          <w:kern w:val="0"/>
          <w:sz w:val="24"/>
        </w:rPr>
        <w:t>煤系上部</w:t>
      </w:r>
      <w:r>
        <w:rPr>
          <w:rFonts w:hint="eastAsia" w:ascii="宋体" w:hAnsi="宋体"/>
          <w:snapToGrid w:val="0"/>
          <w:kern w:val="0"/>
          <w:sz w:val="24"/>
        </w:rPr>
        <w:t>的</w:t>
      </w:r>
      <w:r>
        <w:rPr>
          <w:rFonts w:ascii="宋体" w:hAnsi="宋体"/>
          <w:snapToGrid w:val="0"/>
          <w:kern w:val="0"/>
          <w:sz w:val="24"/>
        </w:rPr>
        <w:t>第</w:t>
      </w:r>
      <w:r>
        <w:rPr>
          <w:rFonts w:hint="eastAsia" w:ascii="宋体" w:hAnsi="宋体"/>
          <w:snapToGrid w:val="0"/>
          <w:kern w:val="0"/>
          <w:sz w:val="24"/>
        </w:rPr>
        <w:t>四</w:t>
      </w:r>
      <w:r>
        <w:rPr>
          <w:rFonts w:ascii="宋体" w:hAnsi="宋体"/>
          <w:snapToGrid w:val="0"/>
          <w:kern w:val="0"/>
          <w:sz w:val="24"/>
        </w:rPr>
        <w:t>段（P</w:t>
      </w:r>
      <w:r>
        <w:rPr>
          <w:rFonts w:ascii="宋体" w:hAnsi="宋体"/>
          <w:snapToGrid w:val="0"/>
          <w:kern w:val="0"/>
          <w:sz w:val="24"/>
          <w:vertAlign w:val="subscript"/>
        </w:rPr>
        <w:t>3</w:t>
      </w:r>
      <w:r>
        <w:rPr>
          <w:rFonts w:ascii="宋体" w:hAnsi="宋体"/>
          <w:snapToGrid w:val="0"/>
          <w:kern w:val="0"/>
          <w:sz w:val="24"/>
        </w:rPr>
        <w:t>l</w:t>
      </w:r>
      <w:r>
        <w:rPr>
          <w:rFonts w:hint="eastAsia" w:ascii="宋体" w:hAnsi="宋体"/>
          <w:snapToGrid w:val="0"/>
          <w:kern w:val="0"/>
          <w:sz w:val="24"/>
          <w:vertAlign w:val="superscript"/>
        </w:rPr>
        <w:t>4</w:t>
      </w:r>
      <w:r>
        <w:rPr>
          <w:rFonts w:ascii="宋体" w:hAnsi="宋体"/>
          <w:snapToGrid w:val="0"/>
          <w:kern w:val="0"/>
          <w:sz w:val="24"/>
        </w:rPr>
        <w:t>）</w:t>
      </w:r>
      <w:r>
        <w:rPr>
          <w:rFonts w:hint="eastAsia" w:ascii="宋体" w:hAnsi="宋体"/>
          <w:snapToGrid w:val="0"/>
          <w:kern w:val="0"/>
          <w:sz w:val="24"/>
        </w:rPr>
        <w:t>、</w:t>
      </w:r>
      <w:r>
        <w:rPr>
          <w:rFonts w:ascii="宋体" w:hAnsi="宋体"/>
          <w:snapToGrid w:val="0"/>
          <w:kern w:val="0"/>
          <w:sz w:val="24"/>
        </w:rPr>
        <w:t>第三段（P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3</w:t>
      </w:r>
      <w:r>
        <w:rPr>
          <w:rFonts w:ascii="宋体" w:hAnsi="宋体"/>
          <w:snapToGrid w:val="0"/>
          <w:kern w:val="0"/>
          <w:sz w:val="24"/>
        </w:rPr>
        <w:t>），其次是第一段（P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1</w:t>
      </w:r>
      <w:r>
        <w:rPr>
          <w:rFonts w:ascii="宋体" w:hAnsi="宋体"/>
          <w:snapToGrid w:val="0"/>
          <w:kern w:val="0"/>
          <w:sz w:val="24"/>
        </w:rPr>
        <w:t>）。</w:t>
      </w:r>
    </w:p>
    <w:p w14:paraId="4943A90D">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w:t>
      </w:r>
      <w:r>
        <w:rPr>
          <w:rFonts w:ascii="宋体" w:hAnsi="宋体"/>
          <w:snapToGrid w:val="0"/>
          <w:kern w:val="0"/>
          <w:sz w:val="24"/>
        </w:rPr>
        <w:t>）煤层对比及煤层特征</w:t>
      </w:r>
    </w:p>
    <w:p w14:paraId="02814A4D">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1）煤层对比</w:t>
      </w:r>
    </w:p>
    <w:p w14:paraId="0C3E19D2">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煤层对比主要对可采及局部可采煤层进行对比，主要采取了标志层辅以煤层的层间距及其它辅助标志进行对比。标志层特征如下：</w:t>
      </w:r>
    </w:p>
    <w:p w14:paraId="5E6B4FA8">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⑴ </w:t>
      </w:r>
      <w:r>
        <w:rPr>
          <w:rFonts w:hint="eastAsia" w:ascii="宋体" w:hAnsi="宋体"/>
          <w:snapToGrid w:val="0"/>
          <w:kern w:val="0"/>
          <w:sz w:val="24"/>
        </w:rPr>
        <w:t>B1标志</w:t>
      </w:r>
      <w:r>
        <w:rPr>
          <w:rFonts w:ascii="宋体" w:hAnsi="宋体"/>
          <w:snapToGrid w:val="0"/>
          <w:kern w:val="0"/>
          <w:sz w:val="24"/>
        </w:rPr>
        <w:t>层</w:t>
      </w:r>
      <w:r>
        <w:rPr>
          <w:rFonts w:hint="eastAsia" w:ascii="宋体" w:hAnsi="宋体"/>
          <w:snapToGrid w:val="0"/>
          <w:kern w:val="0"/>
          <w:sz w:val="24"/>
        </w:rPr>
        <w:t>（</w:t>
      </w:r>
      <w:r>
        <w:rPr>
          <w:rFonts w:hint="eastAsia" w:ascii="宋体" w:hAnsi="宋体"/>
          <w:sz w:val="24"/>
        </w:rPr>
        <w:t>即K1-b煤层</w:t>
      </w:r>
      <w:r>
        <w:rPr>
          <w:rFonts w:hint="eastAsia" w:ascii="宋体" w:hAnsi="宋体"/>
          <w:snapToGrid w:val="0"/>
          <w:kern w:val="0"/>
          <w:sz w:val="24"/>
        </w:rPr>
        <w:t>）</w:t>
      </w:r>
      <w:r>
        <w:rPr>
          <w:rFonts w:ascii="宋体" w:hAnsi="宋体"/>
          <w:snapToGrid w:val="0"/>
          <w:kern w:val="0"/>
          <w:sz w:val="24"/>
        </w:rPr>
        <w:t>：</w:t>
      </w:r>
      <w:r>
        <w:rPr>
          <w:rFonts w:hint="eastAsia" w:ascii="宋体" w:hAnsi="宋体"/>
          <w:snapToGrid w:val="0"/>
          <w:kern w:val="0"/>
          <w:sz w:val="24"/>
        </w:rPr>
        <w:t>上距T</w:t>
      </w:r>
      <w:r>
        <w:rPr>
          <w:rFonts w:hint="eastAsia" w:ascii="宋体" w:hAnsi="宋体"/>
          <w:snapToGrid w:val="0"/>
          <w:kern w:val="0"/>
          <w:sz w:val="24"/>
          <w:vertAlign w:val="subscript"/>
        </w:rPr>
        <w:t>1</w:t>
      </w:r>
      <w:r>
        <w:rPr>
          <w:rFonts w:hint="eastAsia" w:ascii="宋体" w:hAnsi="宋体"/>
          <w:snapToGrid w:val="0"/>
          <w:kern w:val="0"/>
          <w:sz w:val="24"/>
        </w:rPr>
        <w:t>f</w:t>
      </w:r>
      <w:r>
        <w:rPr>
          <w:rFonts w:ascii="宋体" w:hAnsi="宋体"/>
          <w:snapToGrid w:val="0"/>
          <w:kern w:val="0"/>
          <w:sz w:val="24"/>
          <w:vertAlign w:val="superscript"/>
        </w:rPr>
        <w:t>1</w:t>
      </w:r>
      <w:r>
        <w:rPr>
          <w:rFonts w:hint="eastAsia" w:ascii="宋体" w:hAnsi="宋体"/>
          <w:snapToGrid w:val="0"/>
          <w:kern w:val="0"/>
          <w:sz w:val="24"/>
        </w:rPr>
        <w:t>底界15～25</w:t>
      </w:r>
      <w:r>
        <w:rPr>
          <w:rFonts w:ascii="宋体" w:hAnsi="宋体"/>
          <w:snapToGrid w:val="0"/>
          <w:kern w:val="0"/>
          <w:sz w:val="24"/>
        </w:rPr>
        <w:t>m</w:t>
      </w:r>
      <w:r>
        <w:rPr>
          <w:rFonts w:hint="eastAsia" w:ascii="宋体" w:hAnsi="宋体"/>
          <w:snapToGrid w:val="0"/>
          <w:kern w:val="0"/>
          <w:sz w:val="24"/>
        </w:rPr>
        <w:t>，为含煤地层的最上一层可采厚煤层，平均厚度2.30</w:t>
      </w:r>
      <w:r>
        <w:rPr>
          <w:rFonts w:ascii="宋体" w:hAnsi="宋体"/>
          <w:snapToGrid w:val="0"/>
          <w:kern w:val="0"/>
          <w:sz w:val="24"/>
        </w:rPr>
        <w:t>m</w:t>
      </w:r>
      <w:r>
        <w:rPr>
          <w:rFonts w:hint="eastAsia" w:ascii="宋体" w:hAnsi="宋体"/>
          <w:snapToGrid w:val="0"/>
          <w:kern w:val="0"/>
          <w:sz w:val="24"/>
        </w:rPr>
        <w:t>，为结构复杂煤层，一般为1～2层夹矸，少数为3～4层，上层一般位于煤层的上部，距煤层顶约0.20m，为深灰或灰黑色含炭质的高岭石粘土岩，条痕为白色，厚约0.10m，其上为劣质煤；下层一般距离底板约0.80m，为褐灰色含隐晶高岭石粘土岩，条痕为白色，厚约0.15m。</w:t>
      </w:r>
    </w:p>
    <w:p w14:paraId="2EEA82DA">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⑵ </w:t>
      </w:r>
      <w:r>
        <w:rPr>
          <w:rFonts w:hint="eastAsia" w:ascii="宋体" w:hAnsi="宋体"/>
          <w:snapToGrid w:val="0"/>
          <w:kern w:val="0"/>
          <w:sz w:val="24"/>
        </w:rPr>
        <w:t>B2标志</w:t>
      </w:r>
      <w:r>
        <w:rPr>
          <w:rFonts w:ascii="宋体" w:hAnsi="宋体"/>
          <w:snapToGrid w:val="0"/>
          <w:kern w:val="0"/>
          <w:sz w:val="24"/>
        </w:rPr>
        <w:t>层：</w:t>
      </w:r>
      <w:r>
        <w:rPr>
          <w:rFonts w:hint="eastAsia" w:ascii="宋体" w:hAnsi="宋体"/>
          <w:snapToGrid w:val="0"/>
          <w:kern w:val="0"/>
          <w:sz w:val="24"/>
        </w:rPr>
        <w:t>距B1标志</w:t>
      </w:r>
      <w:r>
        <w:rPr>
          <w:rFonts w:ascii="宋体" w:hAnsi="宋体"/>
          <w:snapToGrid w:val="0"/>
          <w:kern w:val="0"/>
          <w:sz w:val="24"/>
        </w:rPr>
        <w:t>层</w:t>
      </w:r>
      <w:r>
        <w:rPr>
          <w:rFonts w:hint="eastAsia" w:ascii="宋体" w:hAnsi="宋体"/>
          <w:snapToGrid w:val="0"/>
          <w:kern w:val="0"/>
          <w:sz w:val="24"/>
        </w:rPr>
        <w:t>约35</w:t>
      </w:r>
      <w:r>
        <w:rPr>
          <w:rFonts w:ascii="宋体" w:hAnsi="宋体"/>
          <w:snapToGrid w:val="0"/>
          <w:kern w:val="0"/>
          <w:sz w:val="24"/>
        </w:rPr>
        <w:t>m</w:t>
      </w:r>
      <w:r>
        <w:rPr>
          <w:rFonts w:hint="eastAsia" w:ascii="宋体" w:hAnsi="宋体"/>
          <w:snapToGrid w:val="0"/>
          <w:kern w:val="0"/>
          <w:sz w:val="24"/>
        </w:rPr>
        <w:t>，为一层厚2～5m深灰色、黑灰色含大量动物化石的粉砂质泥岩，局部夹有厚0.2～0.5</w:t>
      </w:r>
      <w:r>
        <w:rPr>
          <w:rFonts w:ascii="宋体" w:hAnsi="宋体"/>
          <w:snapToGrid w:val="0"/>
          <w:kern w:val="0"/>
          <w:sz w:val="24"/>
        </w:rPr>
        <w:t>m</w:t>
      </w:r>
      <w:r>
        <w:rPr>
          <w:rFonts w:hint="eastAsia" w:ascii="宋体" w:hAnsi="宋体"/>
          <w:snapToGrid w:val="0"/>
          <w:kern w:val="0"/>
          <w:sz w:val="24"/>
        </w:rPr>
        <w:t>的灰岩、泥灰岩。在全井田稳定。</w:t>
      </w:r>
    </w:p>
    <w:p w14:paraId="2141F679">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⑶ </w:t>
      </w:r>
      <w:r>
        <w:rPr>
          <w:rFonts w:hint="eastAsia" w:ascii="宋体" w:hAnsi="宋体"/>
          <w:snapToGrid w:val="0"/>
          <w:kern w:val="0"/>
          <w:sz w:val="24"/>
        </w:rPr>
        <w:t>B3标志</w:t>
      </w:r>
      <w:r>
        <w:rPr>
          <w:rFonts w:ascii="宋体" w:hAnsi="宋体"/>
          <w:snapToGrid w:val="0"/>
          <w:kern w:val="0"/>
          <w:sz w:val="24"/>
        </w:rPr>
        <w:t>层：</w:t>
      </w:r>
      <w:r>
        <w:rPr>
          <w:rFonts w:hint="eastAsia" w:ascii="宋体" w:hAnsi="宋体"/>
          <w:snapToGrid w:val="0"/>
          <w:kern w:val="0"/>
          <w:sz w:val="24"/>
        </w:rPr>
        <w:t>上距B2标志</w:t>
      </w:r>
      <w:r>
        <w:rPr>
          <w:rFonts w:ascii="宋体" w:hAnsi="宋体"/>
          <w:snapToGrid w:val="0"/>
          <w:kern w:val="0"/>
          <w:sz w:val="24"/>
        </w:rPr>
        <w:t>层</w:t>
      </w:r>
      <w:r>
        <w:rPr>
          <w:rFonts w:hint="eastAsia" w:ascii="宋体" w:hAnsi="宋体"/>
          <w:snapToGrid w:val="0"/>
          <w:kern w:val="0"/>
          <w:sz w:val="24"/>
        </w:rPr>
        <w:t>约70</w:t>
      </w:r>
      <w:r>
        <w:rPr>
          <w:rFonts w:ascii="宋体" w:hAnsi="宋体"/>
          <w:snapToGrid w:val="0"/>
          <w:kern w:val="0"/>
          <w:sz w:val="24"/>
        </w:rPr>
        <w:t>m</w:t>
      </w:r>
      <w:r>
        <w:rPr>
          <w:rFonts w:hint="eastAsia" w:ascii="宋体" w:hAnsi="宋体"/>
          <w:snapToGrid w:val="0"/>
          <w:kern w:val="0"/>
          <w:sz w:val="24"/>
        </w:rPr>
        <w:t>，为一层厚约5m灰色粉砂质泥岩，中含厚0.05～0.1</w:t>
      </w:r>
      <w:r>
        <w:rPr>
          <w:rFonts w:ascii="宋体" w:hAnsi="宋体"/>
          <w:snapToGrid w:val="0"/>
          <w:kern w:val="0"/>
          <w:sz w:val="24"/>
        </w:rPr>
        <w:t>m</w:t>
      </w:r>
      <w:r>
        <w:rPr>
          <w:rFonts w:hint="eastAsia" w:ascii="宋体" w:hAnsi="宋体"/>
          <w:snapToGrid w:val="0"/>
          <w:kern w:val="0"/>
          <w:sz w:val="24"/>
        </w:rPr>
        <w:t>的沿层分布的透镜状、结核状黑色菱铁矿。在全井田稳定。风化后，菱铁矿变成的褐铁矿透镜钵及结核常凸出于岩石表面形成排骨状，俗称“排骨层”。</w:t>
      </w:r>
    </w:p>
    <w:p w14:paraId="07AD6273">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⑷ </w:t>
      </w:r>
      <w:r>
        <w:rPr>
          <w:rFonts w:hint="eastAsia" w:ascii="宋体" w:hAnsi="宋体"/>
          <w:snapToGrid w:val="0"/>
          <w:kern w:val="0"/>
          <w:sz w:val="24"/>
        </w:rPr>
        <w:t>B4标志</w:t>
      </w:r>
      <w:r>
        <w:rPr>
          <w:rFonts w:ascii="宋体" w:hAnsi="宋体"/>
          <w:snapToGrid w:val="0"/>
          <w:kern w:val="0"/>
          <w:sz w:val="24"/>
        </w:rPr>
        <w:t>层：</w:t>
      </w:r>
      <w:r>
        <w:rPr>
          <w:rFonts w:hint="eastAsia" w:ascii="宋体" w:hAnsi="宋体"/>
          <w:snapToGrid w:val="0"/>
          <w:kern w:val="0"/>
          <w:sz w:val="24"/>
        </w:rPr>
        <w:t>位于B3标志</w:t>
      </w:r>
      <w:r>
        <w:rPr>
          <w:rFonts w:ascii="宋体" w:hAnsi="宋体"/>
          <w:snapToGrid w:val="0"/>
          <w:kern w:val="0"/>
          <w:sz w:val="24"/>
        </w:rPr>
        <w:t>层</w:t>
      </w:r>
      <w:r>
        <w:rPr>
          <w:rFonts w:hint="eastAsia" w:ascii="宋体" w:hAnsi="宋体"/>
          <w:snapToGrid w:val="0"/>
          <w:kern w:val="0"/>
          <w:sz w:val="24"/>
        </w:rPr>
        <w:t>之下并与其紧邻，</w:t>
      </w:r>
      <w:r>
        <w:rPr>
          <w:rFonts w:hint="eastAsia" w:ascii="宋体" w:hAnsi="宋体"/>
          <w:sz w:val="24"/>
        </w:rPr>
        <w:t>即K18煤层</w:t>
      </w:r>
      <w:r>
        <w:rPr>
          <w:rFonts w:hint="eastAsia" w:ascii="宋体" w:hAnsi="宋体"/>
          <w:snapToGrid w:val="0"/>
          <w:kern w:val="0"/>
          <w:sz w:val="24"/>
        </w:rPr>
        <w:t>。它是含煤地层中最厚的煤层，平均厚度3.12</w:t>
      </w:r>
      <w:r>
        <w:rPr>
          <w:rFonts w:ascii="宋体" w:hAnsi="宋体"/>
          <w:snapToGrid w:val="0"/>
          <w:kern w:val="0"/>
          <w:sz w:val="24"/>
        </w:rPr>
        <w:t>m</w:t>
      </w:r>
      <w:r>
        <w:rPr>
          <w:rFonts w:hint="eastAsia" w:ascii="宋体" w:hAnsi="宋体"/>
          <w:snapToGrid w:val="0"/>
          <w:kern w:val="0"/>
          <w:sz w:val="24"/>
        </w:rPr>
        <w:t>，全区稳定可采，结构较简单，仅局部含1～3层夹矸，煤岩类型为光亮型煤；该煤层原煤灰份一般为15%左右。</w:t>
      </w:r>
    </w:p>
    <w:p w14:paraId="34E77F93">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⑸ </w:t>
      </w:r>
      <w:r>
        <w:rPr>
          <w:rFonts w:hint="eastAsia" w:ascii="宋体" w:hAnsi="宋体"/>
          <w:snapToGrid w:val="0"/>
          <w:kern w:val="0"/>
          <w:sz w:val="24"/>
        </w:rPr>
        <w:t>B5标志</w:t>
      </w:r>
      <w:r>
        <w:rPr>
          <w:rFonts w:ascii="宋体" w:hAnsi="宋体"/>
          <w:snapToGrid w:val="0"/>
          <w:kern w:val="0"/>
          <w:sz w:val="24"/>
        </w:rPr>
        <w:t>层：</w:t>
      </w:r>
      <w:r>
        <w:rPr>
          <w:rFonts w:hint="eastAsia" w:ascii="宋体" w:hAnsi="宋体"/>
          <w:snapToGrid w:val="0"/>
          <w:kern w:val="0"/>
          <w:sz w:val="24"/>
        </w:rPr>
        <w:t>上距B4标志</w:t>
      </w:r>
      <w:r>
        <w:rPr>
          <w:rFonts w:ascii="宋体" w:hAnsi="宋体"/>
          <w:snapToGrid w:val="0"/>
          <w:kern w:val="0"/>
          <w:sz w:val="24"/>
        </w:rPr>
        <w:t>层</w:t>
      </w:r>
      <w:r>
        <w:rPr>
          <w:rFonts w:hint="eastAsia" w:ascii="宋体" w:hAnsi="宋体"/>
          <w:snapToGrid w:val="0"/>
          <w:kern w:val="0"/>
          <w:sz w:val="24"/>
        </w:rPr>
        <w:t>约100</w:t>
      </w:r>
      <w:r>
        <w:rPr>
          <w:rFonts w:ascii="宋体" w:hAnsi="宋体"/>
          <w:snapToGrid w:val="0"/>
          <w:kern w:val="0"/>
          <w:sz w:val="24"/>
        </w:rPr>
        <w:t>m</w:t>
      </w:r>
      <w:r>
        <w:rPr>
          <w:rFonts w:hint="eastAsia" w:ascii="宋体" w:hAnsi="宋体"/>
          <w:snapToGrid w:val="0"/>
          <w:kern w:val="0"/>
          <w:sz w:val="24"/>
        </w:rPr>
        <w:t>，为一层浅灰色或灰绿色的厚厚3～5</w:t>
      </w:r>
      <w:r>
        <w:rPr>
          <w:rFonts w:ascii="宋体" w:hAnsi="宋体"/>
          <w:snapToGrid w:val="0"/>
          <w:kern w:val="0"/>
          <w:sz w:val="24"/>
        </w:rPr>
        <w:t>m</w:t>
      </w:r>
      <w:r>
        <w:rPr>
          <w:rFonts w:hint="eastAsia" w:ascii="宋体" w:hAnsi="宋体"/>
          <w:snapToGrid w:val="0"/>
          <w:kern w:val="0"/>
          <w:sz w:val="24"/>
        </w:rPr>
        <w:t>的细砂岩，抗风化力较强，在地表常在龙潭组总的凹槽地貌背景上局部凸出而成小陡坎而易于识别。</w:t>
      </w:r>
    </w:p>
    <w:p w14:paraId="3BB1EA65">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⑹ </w:t>
      </w:r>
      <w:r>
        <w:rPr>
          <w:rFonts w:hint="eastAsia" w:ascii="宋体" w:hAnsi="宋体"/>
          <w:snapToGrid w:val="0"/>
          <w:kern w:val="0"/>
          <w:sz w:val="24"/>
        </w:rPr>
        <w:t>B6标志</w:t>
      </w:r>
      <w:r>
        <w:rPr>
          <w:rFonts w:ascii="宋体" w:hAnsi="宋体"/>
          <w:snapToGrid w:val="0"/>
          <w:kern w:val="0"/>
          <w:sz w:val="24"/>
        </w:rPr>
        <w:t>层：</w:t>
      </w:r>
      <w:r>
        <w:rPr>
          <w:rFonts w:hint="eastAsia" w:ascii="宋体" w:hAnsi="宋体"/>
          <w:snapToGrid w:val="0"/>
          <w:kern w:val="0"/>
          <w:sz w:val="24"/>
        </w:rPr>
        <w:t>位于含煤地层第二段下部，上距B5标志</w:t>
      </w:r>
      <w:r>
        <w:rPr>
          <w:rFonts w:ascii="宋体" w:hAnsi="宋体"/>
          <w:snapToGrid w:val="0"/>
          <w:kern w:val="0"/>
          <w:sz w:val="24"/>
        </w:rPr>
        <w:t>层</w:t>
      </w:r>
      <w:r>
        <w:rPr>
          <w:rFonts w:hint="eastAsia" w:ascii="宋体" w:hAnsi="宋体"/>
          <w:snapToGrid w:val="0"/>
          <w:kern w:val="0"/>
          <w:sz w:val="24"/>
        </w:rPr>
        <w:t>约200</w:t>
      </w:r>
      <w:r>
        <w:rPr>
          <w:rFonts w:ascii="宋体" w:hAnsi="宋体"/>
          <w:snapToGrid w:val="0"/>
          <w:kern w:val="0"/>
          <w:sz w:val="24"/>
        </w:rPr>
        <w:t>m</w:t>
      </w:r>
      <w:r>
        <w:rPr>
          <w:rFonts w:hint="eastAsia" w:ascii="宋体" w:hAnsi="宋体"/>
          <w:snapToGrid w:val="0"/>
          <w:kern w:val="0"/>
          <w:sz w:val="24"/>
        </w:rPr>
        <w:t>，为一层浅绿色泥岩或粉砂质泥岩，称为“上绿色层”，厚4</w:t>
      </w:r>
      <w:r>
        <w:rPr>
          <w:rFonts w:ascii="宋体" w:hAnsi="宋体"/>
          <w:snapToGrid w:val="0"/>
          <w:kern w:val="0"/>
          <w:sz w:val="24"/>
        </w:rPr>
        <w:t>m</w:t>
      </w:r>
      <w:r>
        <w:rPr>
          <w:rFonts w:hint="eastAsia" w:ascii="宋体" w:hAnsi="宋体"/>
          <w:snapToGrid w:val="0"/>
          <w:kern w:val="0"/>
          <w:sz w:val="24"/>
        </w:rPr>
        <w:t>左右，其显微鉴定为伊利石、蒙脱石粘土岩，在全井田稳定，易于识别。</w:t>
      </w:r>
    </w:p>
    <w:p w14:paraId="077081BF">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⑺ </w:t>
      </w:r>
      <w:r>
        <w:rPr>
          <w:rFonts w:hint="eastAsia" w:ascii="宋体" w:hAnsi="宋体"/>
          <w:snapToGrid w:val="0"/>
          <w:kern w:val="0"/>
          <w:sz w:val="24"/>
        </w:rPr>
        <w:t>B7标志</w:t>
      </w:r>
      <w:r>
        <w:rPr>
          <w:rFonts w:ascii="宋体" w:hAnsi="宋体"/>
          <w:snapToGrid w:val="0"/>
          <w:kern w:val="0"/>
          <w:sz w:val="24"/>
        </w:rPr>
        <w:t>层：</w:t>
      </w:r>
      <w:r>
        <w:rPr>
          <w:rFonts w:hint="eastAsia" w:ascii="宋体" w:hAnsi="宋体"/>
          <w:snapToGrid w:val="0"/>
          <w:kern w:val="0"/>
          <w:sz w:val="24"/>
        </w:rPr>
        <w:t>位于含煤地层第二段底部，上距B6标志</w:t>
      </w:r>
      <w:r>
        <w:rPr>
          <w:rFonts w:ascii="宋体" w:hAnsi="宋体"/>
          <w:snapToGrid w:val="0"/>
          <w:kern w:val="0"/>
          <w:sz w:val="24"/>
        </w:rPr>
        <w:t>层</w:t>
      </w:r>
      <w:r>
        <w:rPr>
          <w:rFonts w:hint="eastAsia" w:ascii="宋体" w:hAnsi="宋体"/>
          <w:snapToGrid w:val="0"/>
          <w:kern w:val="0"/>
          <w:sz w:val="24"/>
        </w:rPr>
        <w:t>约50</w:t>
      </w:r>
      <w:r>
        <w:rPr>
          <w:rFonts w:ascii="宋体" w:hAnsi="宋体"/>
          <w:snapToGrid w:val="0"/>
          <w:kern w:val="0"/>
          <w:sz w:val="24"/>
        </w:rPr>
        <w:t>m</w:t>
      </w:r>
      <w:r>
        <w:rPr>
          <w:rFonts w:hint="eastAsia" w:ascii="宋体" w:hAnsi="宋体"/>
          <w:snapToGrid w:val="0"/>
          <w:kern w:val="0"/>
          <w:sz w:val="24"/>
        </w:rPr>
        <w:t>，为浅绿色泥岩，称为“下绿色层”，厚度一般2～3</w:t>
      </w:r>
      <w:r>
        <w:rPr>
          <w:rFonts w:ascii="宋体" w:hAnsi="宋体"/>
          <w:snapToGrid w:val="0"/>
          <w:kern w:val="0"/>
          <w:sz w:val="24"/>
        </w:rPr>
        <w:t>m</w:t>
      </w:r>
      <w:r>
        <w:rPr>
          <w:rFonts w:hint="eastAsia" w:ascii="宋体" w:hAnsi="宋体"/>
          <w:snapToGrid w:val="0"/>
          <w:kern w:val="0"/>
          <w:sz w:val="24"/>
        </w:rPr>
        <w:t>，其微观特征与上绿色层一致，也为伊利石、蒙脱石粘土岩。它位于两煤层之间，顶板为一层厚约0.3m的薄煤层，底板为K106-b煤层。在全井田稳定，特征明显，易于识别。</w:t>
      </w:r>
    </w:p>
    <w:p w14:paraId="744899D3">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⑻ </w:t>
      </w:r>
      <w:r>
        <w:rPr>
          <w:rFonts w:hint="eastAsia" w:ascii="宋体" w:hAnsi="宋体"/>
          <w:snapToGrid w:val="0"/>
          <w:kern w:val="0"/>
          <w:sz w:val="24"/>
        </w:rPr>
        <w:t>B8标志</w:t>
      </w:r>
      <w:r>
        <w:rPr>
          <w:rFonts w:ascii="宋体" w:hAnsi="宋体"/>
          <w:snapToGrid w:val="0"/>
          <w:kern w:val="0"/>
          <w:sz w:val="24"/>
        </w:rPr>
        <w:t>层：</w:t>
      </w:r>
      <w:r>
        <w:rPr>
          <w:rFonts w:hint="eastAsia" w:ascii="宋体" w:hAnsi="宋体"/>
          <w:snapToGrid w:val="0"/>
          <w:kern w:val="0"/>
          <w:sz w:val="24"/>
        </w:rPr>
        <w:t>位于K106-b～K109-b煤层之间，为浅灰色、灰色钙质细砂岩，局部为钙质粉砂岩，厚7～8</w:t>
      </w:r>
      <w:r>
        <w:rPr>
          <w:rFonts w:ascii="宋体" w:hAnsi="宋体"/>
          <w:snapToGrid w:val="0"/>
          <w:kern w:val="0"/>
          <w:sz w:val="24"/>
        </w:rPr>
        <w:t>m</w:t>
      </w:r>
      <w:r>
        <w:rPr>
          <w:rFonts w:hint="eastAsia" w:ascii="宋体" w:hAnsi="宋体"/>
          <w:snapToGrid w:val="0"/>
          <w:kern w:val="0"/>
          <w:sz w:val="24"/>
        </w:rPr>
        <w:t>。其中浅色的钙质呈团块或薄膜状出现，在全井田稳定。</w:t>
      </w:r>
    </w:p>
    <w:p w14:paraId="5E45489D">
      <w:pPr>
        <w:spacing w:line="360" w:lineRule="auto"/>
        <w:ind w:firstLine="480" w:firstLineChars="200"/>
        <w:rPr>
          <w:rFonts w:hint="eastAsia" w:ascii="宋体" w:hAnsi="宋体"/>
          <w:sz w:val="24"/>
        </w:rPr>
      </w:pPr>
      <w:r>
        <w:rPr>
          <w:rFonts w:hint="eastAsia" w:ascii="宋体" w:hAnsi="宋体" w:cs="宋体"/>
          <w:snapToGrid w:val="0"/>
          <w:kern w:val="0"/>
          <w:sz w:val="24"/>
        </w:rPr>
        <w:t xml:space="preserve">⑼ </w:t>
      </w:r>
      <w:r>
        <w:rPr>
          <w:rFonts w:hint="eastAsia" w:ascii="宋体" w:hAnsi="宋体"/>
          <w:snapToGrid w:val="0"/>
          <w:kern w:val="0"/>
          <w:sz w:val="24"/>
        </w:rPr>
        <w:t>B9标志</w:t>
      </w:r>
      <w:r>
        <w:rPr>
          <w:rFonts w:ascii="宋体" w:hAnsi="宋体"/>
          <w:snapToGrid w:val="0"/>
          <w:kern w:val="0"/>
          <w:sz w:val="24"/>
        </w:rPr>
        <w:t>层：</w:t>
      </w:r>
      <w:r>
        <w:rPr>
          <w:rFonts w:hint="eastAsia" w:ascii="宋体" w:hAnsi="宋体"/>
          <w:sz w:val="24"/>
        </w:rPr>
        <w:t>即K110-a煤层，它的特点是由于其中含2～4层夹矸。</w:t>
      </w:r>
    </w:p>
    <w:p w14:paraId="51B10473">
      <w:pPr>
        <w:spacing w:line="360" w:lineRule="auto"/>
        <w:ind w:firstLine="480" w:firstLineChars="200"/>
        <w:rPr>
          <w:rFonts w:ascii="宋体" w:hAnsi="宋体"/>
          <w:snapToGrid w:val="0"/>
          <w:kern w:val="0"/>
          <w:sz w:val="24"/>
        </w:rPr>
      </w:pPr>
      <w:r>
        <w:rPr>
          <w:rFonts w:hint="eastAsia" w:ascii="宋体" w:hAnsi="宋体"/>
          <w:sz w:val="24"/>
        </w:rPr>
        <w:t>煤层对比的可靠程度：K1-b、K9、K18、K106-b和K110-a共5层煤层对比可靠；K3、K10、K13、K26、K35-b和K109-b共11层煤层对比较可靠。</w:t>
      </w:r>
    </w:p>
    <w:p w14:paraId="2CF5CA0A">
      <w:pPr>
        <w:spacing w:line="360" w:lineRule="auto"/>
        <w:ind w:firstLine="480" w:firstLineChars="200"/>
        <w:rPr>
          <w:rFonts w:hint="eastAsia" w:ascii="宋体" w:hAnsi="宋体"/>
          <w:snapToGrid w:val="0"/>
          <w:kern w:val="0"/>
          <w:sz w:val="24"/>
        </w:rPr>
      </w:pPr>
      <w:r>
        <w:rPr>
          <w:rFonts w:hint="eastAsia" w:ascii="宋体" w:hAnsi="宋体" w:cs="宋体"/>
          <w:snapToGrid w:val="0"/>
          <w:kern w:val="0"/>
          <w:sz w:val="24"/>
        </w:rPr>
        <w:t>2）</w:t>
      </w:r>
      <w:r>
        <w:rPr>
          <w:rFonts w:hint="eastAsia" w:ascii="宋体" w:hAnsi="宋体"/>
          <w:snapToGrid w:val="0"/>
          <w:kern w:val="0"/>
          <w:sz w:val="24"/>
        </w:rPr>
        <w:t>煤层特征</w:t>
      </w:r>
    </w:p>
    <w:p w14:paraId="2393DABC">
      <w:pPr>
        <w:spacing w:line="360" w:lineRule="auto"/>
        <w:ind w:firstLine="480" w:firstLineChars="200"/>
        <w:jc w:val="left"/>
        <w:rPr>
          <w:rFonts w:hint="eastAsia" w:ascii="宋体" w:hAnsi="宋体"/>
          <w:snapToGrid w:val="0"/>
          <w:kern w:val="0"/>
          <w:sz w:val="24"/>
        </w:rPr>
      </w:pPr>
      <w:r>
        <w:rPr>
          <w:rFonts w:hint="eastAsia" w:ascii="宋体" w:hAnsi="宋体" w:cs="宋体"/>
          <w:snapToGrid w:val="0"/>
          <w:kern w:val="0"/>
          <w:sz w:val="24"/>
        </w:rPr>
        <w:t xml:space="preserve">⑴ </w:t>
      </w:r>
      <w:r>
        <w:rPr>
          <w:rFonts w:ascii="宋体" w:hAnsi="宋体"/>
          <w:snapToGrid w:val="0"/>
          <w:kern w:val="0"/>
          <w:sz w:val="24"/>
        </w:rPr>
        <w:t>K1-b煤层：位于龙潭组第四段，距飞仙关组下界15</w:t>
      </w:r>
      <w:r>
        <w:rPr>
          <w:rFonts w:hint="eastAsia" w:ascii="宋体" w:hAnsi="宋体"/>
          <w:snapToGrid w:val="0"/>
          <w:kern w:val="0"/>
          <w:sz w:val="24"/>
        </w:rPr>
        <w:t>～</w:t>
      </w:r>
      <w:r>
        <w:rPr>
          <w:rFonts w:ascii="宋体" w:hAnsi="宋体"/>
          <w:snapToGrid w:val="0"/>
          <w:kern w:val="0"/>
          <w:sz w:val="24"/>
        </w:rPr>
        <w:t>25</w:t>
      </w:r>
      <w:r>
        <w:rPr>
          <w:rFonts w:hint="eastAsia" w:ascii="宋体" w:hAnsi="宋体"/>
          <w:snapToGrid w:val="0"/>
          <w:kern w:val="0"/>
          <w:sz w:val="24"/>
        </w:rPr>
        <w:t>m</w:t>
      </w:r>
      <w:r>
        <w:rPr>
          <w:rFonts w:ascii="宋体" w:hAnsi="宋体"/>
          <w:snapToGrid w:val="0"/>
          <w:kern w:val="0"/>
          <w:sz w:val="24"/>
        </w:rPr>
        <w:t>，是含煤地层中的最上一层可采煤层。</w:t>
      </w:r>
      <w:r>
        <w:rPr>
          <w:rFonts w:hint="eastAsia" w:ascii="宋体" w:hAnsi="宋体"/>
          <w:snapToGrid w:val="0"/>
          <w:kern w:val="0"/>
          <w:sz w:val="24"/>
        </w:rPr>
        <w:t>两极</w:t>
      </w:r>
      <w:r>
        <w:rPr>
          <w:rFonts w:ascii="宋体" w:hAnsi="宋体"/>
          <w:snapToGrid w:val="0"/>
          <w:kern w:val="0"/>
          <w:sz w:val="24"/>
        </w:rPr>
        <w:t>厚</w:t>
      </w:r>
      <w:r>
        <w:rPr>
          <w:rFonts w:hint="eastAsia" w:ascii="宋体" w:hAnsi="宋体"/>
          <w:snapToGrid w:val="0"/>
          <w:kern w:val="0"/>
          <w:sz w:val="24"/>
        </w:rPr>
        <w:t>度</w:t>
      </w:r>
      <w:r>
        <w:rPr>
          <w:rFonts w:ascii="宋体" w:hAnsi="宋体"/>
          <w:snapToGrid w:val="0"/>
          <w:kern w:val="0"/>
          <w:sz w:val="24"/>
        </w:rPr>
        <w:t>为</w:t>
      </w:r>
      <w:r>
        <w:rPr>
          <w:rFonts w:hint="eastAsia" w:ascii="宋体" w:hAnsi="宋体"/>
          <w:snapToGrid w:val="0"/>
          <w:kern w:val="0"/>
          <w:sz w:val="24"/>
        </w:rPr>
        <w:t>1</w:t>
      </w:r>
      <w:r>
        <w:rPr>
          <w:rFonts w:ascii="宋体" w:hAnsi="宋体"/>
          <w:snapToGrid w:val="0"/>
          <w:kern w:val="0"/>
          <w:sz w:val="24"/>
        </w:rPr>
        <w:t>.</w:t>
      </w:r>
      <w:r>
        <w:rPr>
          <w:rFonts w:hint="eastAsia" w:ascii="宋体" w:hAnsi="宋体"/>
          <w:snapToGrid w:val="0"/>
          <w:kern w:val="0"/>
          <w:sz w:val="24"/>
        </w:rPr>
        <w:t>15～4</w:t>
      </w:r>
      <w:r>
        <w:rPr>
          <w:rFonts w:ascii="宋体" w:hAnsi="宋体"/>
          <w:snapToGrid w:val="0"/>
          <w:kern w:val="0"/>
          <w:sz w:val="24"/>
        </w:rPr>
        <w:t>.</w:t>
      </w:r>
      <w:r>
        <w:rPr>
          <w:rFonts w:hint="eastAsia" w:ascii="宋体" w:hAnsi="宋体"/>
          <w:snapToGrid w:val="0"/>
          <w:kern w:val="0"/>
          <w:sz w:val="24"/>
        </w:rPr>
        <w:t>41m</w:t>
      </w:r>
      <w:r>
        <w:rPr>
          <w:rFonts w:ascii="宋体" w:hAnsi="宋体"/>
          <w:snapToGrid w:val="0"/>
          <w:kern w:val="0"/>
          <w:sz w:val="24"/>
        </w:rPr>
        <w:t>，平均厚度</w:t>
      </w:r>
      <w:r>
        <w:rPr>
          <w:rFonts w:hint="eastAsia" w:ascii="宋体" w:hAnsi="宋体"/>
          <w:snapToGrid w:val="0"/>
          <w:kern w:val="0"/>
          <w:sz w:val="24"/>
        </w:rPr>
        <w:t>为2</w:t>
      </w:r>
      <w:r>
        <w:rPr>
          <w:rFonts w:ascii="宋体" w:hAnsi="宋体"/>
          <w:snapToGrid w:val="0"/>
          <w:kern w:val="0"/>
          <w:sz w:val="24"/>
        </w:rPr>
        <w:t>.</w:t>
      </w:r>
      <w:r>
        <w:rPr>
          <w:rFonts w:hint="eastAsia" w:ascii="宋体" w:hAnsi="宋体"/>
          <w:snapToGrid w:val="0"/>
          <w:kern w:val="0"/>
          <w:sz w:val="24"/>
        </w:rPr>
        <w:t>30m</w:t>
      </w:r>
      <w:r>
        <w:rPr>
          <w:rFonts w:ascii="宋体" w:hAnsi="宋体"/>
          <w:snapToGrid w:val="0"/>
          <w:kern w:val="0"/>
          <w:sz w:val="24"/>
        </w:rPr>
        <w:t>，</w:t>
      </w:r>
      <w:r>
        <w:rPr>
          <w:rFonts w:hint="eastAsia" w:ascii="宋体" w:hAnsi="宋体"/>
          <w:snapToGrid w:val="0"/>
          <w:kern w:val="0"/>
          <w:sz w:val="24"/>
        </w:rPr>
        <w:t>属中厚煤层，</w:t>
      </w:r>
      <w:r>
        <w:rPr>
          <w:rFonts w:ascii="宋体" w:hAnsi="宋体"/>
          <w:snapToGrid w:val="0"/>
          <w:kern w:val="0"/>
          <w:sz w:val="24"/>
        </w:rPr>
        <w:t>全区稳定可采，煤层结构较复杂，含1</w:t>
      </w:r>
      <w:r>
        <w:rPr>
          <w:rFonts w:hint="eastAsia" w:ascii="宋体" w:hAnsi="宋体"/>
          <w:snapToGrid w:val="0"/>
          <w:kern w:val="0"/>
          <w:sz w:val="24"/>
        </w:rPr>
        <w:t>～</w:t>
      </w:r>
      <w:r>
        <w:rPr>
          <w:rFonts w:ascii="宋体" w:hAnsi="宋体"/>
          <w:snapToGrid w:val="0"/>
          <w:kern w:val="0"/>
          <w:sz w:val="24"/>
        </w:rPr>
        <w:t>2层</w:t>
      </w:r>
      <w:r>
        <w:rPr>
          <w:rFonts w:hint="eastAsia" w:ascii="宋体" w:hAnsi="宋体"/>
          <w:snapToGrid w:val="0"/>
          <w:kern w:val="0"/>
          <w:sz w:val="24"/>
        </w:rPr>
        <w:t>高岭石粘土岩</w:t>
      </w:r>
      <w:r>
        <w:rPr>
          <w:rFonts w:ascii="宋体" w:hAnsi="宋体"/>
          <w:snapToGrid w:val="0"/>
          <w:kern w:val="0"/>
          <w:sz w:val="24"/>
        </w:rPr>
        <w:t>夹矸，顶板一般为粉砂岩次为粉砂质泥岩及细砂岩，局部地段有0.05米厚的粘土岩伪顶，底板为粘土岩。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w:t>
      </w:r>
      <w:r>
        <w:rPr>
          <w:rFonts w:ascii="宋体" w:hAnsi="宋体"/>
          <w:snapToGrid w:val="0"/>
          <w:kern w:val="0"/>
          <w:sz w:val="24"/>
        </w:rPr>
        <w:t>可采</w:t>
      </w:r>
      <w:r>
        <w:rPr>
          <w:rFonts w:hint="eastAsia" w:ascii="宋体" w:hAnsi="宋体"/>
          <w:snapToGrid w:val="0"/>
          <w:kern w:val="0"/>
          <w:sz w:val="24"/>
        </w:rPr>
        <w:t>。</w:t>
      </w:r>
    </w:p>
    <w:p w14:paraId="331C800A">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⑵ </w:t>
      </w:r>
      <w:r>
        <w:rPr>
          <w:rFonts w:ascii="宋体" w:hAnsi="宋体"/>
          <w:snapToGrid w:val="0"/>
          <w:kern w:val="0"/>
          <w:sz w:val="24"/>
        </w:rPr>
        <w:t>K3煤层：位于P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4</w:t>
      </w:r>
      <w:r>
        <w:rPr>
          <w:rFonts w:ascii="宋体" w:hAnsi="宋体"/>
          <w:snapToGrid w:val="0"/>
          <w:kern w:val="0"/>
          <w:sz w:val="24"/>
        </w:rPr>
        <w:t>上部，距K1-b煤层一般7</w:t>
      </w:r>
      <w:r>
        <w:rPr>
          <w:rFonts w:hint="eastAsia" w:ascii="宋体" w:hAnsi="宋体"/>
          <w:snapToGrid w:val="0"/>
          <w:kern w:val="0"/>
          <w:sz w:val="24"/>
        </w:rPr>
        <w:t>～</w:t>
      </w:r>
      <w:r>
        <w:rPr>
          <w:rFonts w:ascii="宋体" w:hAnsi="宋体"/>
          <w:snapToGrid w:val="0"/>
          <w:kern w:val="0"/>
          <w:sz w:val="24"/>
        </w:rPr>
        <w:t>15</w:t>
      </w:r>
      <w:r>
        <w:rPr>
          <w:rFonts w:hint="eastAsia" w:ascii="宋体" w:hAnsi="宋体"/>
          <w:snapToGrid w:val="0"/>
          <w:kern w:val="0"/>
          <w:sz w:val="24"/>
        </w:rPr>
        <w:t>m</w:t>
      </w:r>
      <w:r>
        <w:rPr>
          <w:rFonts w:ascii="宋体" w:hAnsi="宋体"/>
          <w:snapToGrid w:val="0"/>
          <w:kern w:val="0"/>
          <w:sz w:val="24"/>
        </w:rPr>
        <w:t>，一般10</w:t>
      </w:r>
      <w:r>
        <w:rPr>
          <w:rFonts w:hint="eastAsia" w:ascii="宋体" w:hAnsi="宋体"/>
          <w:snapToGrid w:val="0"/>
          <w:kern w:val="0"/>
          <w:sz w:val="24"/>
        </w:rPr>
        <w:t>m</w:t>
      </w:r>
      <w:r>
        <w:rPr>
          <w:rFonts w:ascii="宋体" w:hAnsi="宋体"/>
          <w:snapToGrid w:val="0"/>
          <w:kern w:val="0"/>
          <w:sz w:val="24"/>
        </w:rPr>
        <w:t>。西部（A9线以西）可采，东部一般不可采（仅极个别点达可采厚度），两极厚度0.00</w:t>
      </w:r>
      <w:r>
        <w:rPr>
          <w:rFonts w:hint="eastAsia" w:ascii="宋体" w:hAnsi="宋体"/>
          <w:snapToGrid w:val="0"/>
          <w:kern w:val="0"/>
          <w:sz w:val="24"/>
        </w:rPr>
        <w:t>～</w:t>
      </w:r>
      <w:r>
        <w:rPr>
          <w:rFonts w:ascii="宋体" w:hAnsi="宋体"/>
          <w:snapToGrid w:val="0"/>
          <w:kern w:val="0"/>
          <w:sz w:val="24"/>
        </w:rPr>
        <w:t>2.49</w:t>
      </w:r>
      <w:r>
        <w:rPr>
          <w:rFonts w:hint="eastAsia" w:ascii="宋体" w:hAnsi="宋体"/>
          <w:snapToGrid w:val="0"/>
          <w:kern w:val="0"/>
          <w:sz w:val="24"/>
        </w:rPr>
        <w:t>m</w:t>
      </w:r>
      <w:r>
        <w:rPr>
          <w:rFonts w:ascii="宋体" w:hAnsi="宋体"/>
          <w:snapToGrid w:val="0"/>
          <w:kern w:val="0"/>
          <w:sz w:val="24"/>
        </w:rPr>
        <w:t>，平均约1.13</w:t>
      </w:r>
      <w:r>
        <w:rPr>
          <w:rFonts w:hint="eastAsia" w:ascii="宋体" w:hAnsi="宋体"/>
          <w:snapToGrid w:val="0"/>
          <w:kern w:val="0"/>
          <w:sz w:val="24"/>
        </w:rPr>
        <w:t>m</w:t>
      </w:r>
      <w:r>
        <w:rPr>
          <w:rFonts w:ascii="宋体" w:hAnsi="宋体"/>
          <w:snapToGrid w:val="0"/>
          <w:kern w:val="0"/>
          <w:sz w:val="24"/>
        </w:rPr>
        <w:t>，属薄煤层，</w:t>
      </w:r>
      <w:r>
        <w:rPr>
          <w:rFonts w:hint="eastAsia" w:ascii="宋体" w:hAnsi="宋体"/>
          <w:snapToGrid w:val="0"/>
          <w:kern w:val="0"/>
          <w:sz w:val="24"/>
        </w:rPr>
        <w:t>结构简单，仅局部</w:t>
      </w:r>
      <w:r>
        <w:rPr>
          <w:rFonts w:ascii="宋体" w:hAnsi="宋体"/>
          <w:snapToGrid w:val="0"/>
          <w:kern w:val="0"/>
          <w:sz w:val="24"/>
        </w:rPr>
        <w:t>含1</w:t>
      </w:r>
      <w:r>
        <w:rPr>
          <w:rFonts w:hint="eastAsia" w:ascii="宋体" w:hAnsi="宋体"/>
          <w:snapToGrid w:val="0"/>
          <w:kern w:val="0"/>
          <w:sz w:val="24"/>
        </w:rPr>
        <w:t>～</w:t>
      </w:r>
      <w:r>
        <w:rPr>
          <w:rFonts w:ascii="宋体" w:hAnsi="宋体"/>
          <w:snapToGrid w:val="0"/>
          <w:kern w:val="0"/>
          <w:sz w:val="24"/>
        </w:rPr>
        <w:t>2层隐晶高岭石粘土岩夹矸，为不稳定煤层。顶板以粉砂岩为主，次为</w:t>
      </w:r>
      <w:r>
        <w:rPr>
          <w:rFonts w:hint="eastAsia" w:ascii="宋体" w:hAnsi="宋体"/>
          <w:snapToGrid w:val="0"/>
          <w:kern w:val="0"/>
          <w:sz w:val="24"/>
        </w:rPr>
        <w:t>细</w:t>
      </w:r>
      <w:r>
        <w:rPr>
          <w:rFonts w:ascii="宋体" w:hAnsi="宋体"/>
          <w:snapToGrid w:val="0"/>
          <w:kern w:val="0"/>
          <w:sz w:val="24"/>
        </w:rPr>
        <w:t>砂岩及粉砂质泥岩，底板为粘土岩。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w:t>
      </w:r>
      <w:r>
        <w:rPr>
          <w:rFonts w:ascii="宋体" w:hAnsi="宋体"/>
          <w:snapToGrid w:val="0"/>
          <w:kern w:val="0"/>
          <w:sz w:val="24"/>
        </w:rPr>
        <w:t>可采</w:t>
      </w:r>
      <w:r>
        <w:rPr>
          <w:rFonts w:hint="eastAsia" w:ascii="宋体" w:hAnsi="宋体"/>
          <w:snapToGrid w:val="0"/>
          <w:kern w:val="0"/>
          <w:sz w:val="24"/>
        </w:rPr>
        <w:t>。</w:t>
      </w:r>
    </w:p>
    <w:p w14:paraId="0E81FAAF">
      <w:pPr>
        <w:spacing w:line="360" w:lineRule="auto"/>
        <w:ind w:firstLine="480" w:firstLineChars="200"/>
        <w:jc w:val="left"/>
        <w:rPr>
          <w:rFonts w:ascii="宋体" w:hAnsi="宋体"/>
          <w:snapToGrid w:val="0"/>
          <w:kern w:val="0"/>
          <w:sz w:val="24"/>
        </w:rPr>
      </w:pPr>
      <w:r>
        <w:rPr>
          <w:rFonts w:hint="eastAsia" w:ascii="宋体" w:hAnsi="宋体" w:cs="宋体"/>
          <w:snapToGrid w:val="0"/>
          <w:kern w:val="0"/>
          <w:sz w:val="24"/>
        </w:rPr>
        <w:t xml:space="preserve">⑶ </w:t>
      </w:r>
      <w:r>
        <w:rPr>
          <w:rFonts w:ascii="宋体" w:hAnsi="宋体"/>
          <w:snapToGrid w:val="0"/>
          <w:kern w:val="0"/>
          <w:sz w:val="24"/>
        </w:rPr>
        <w:t>K9煤层：位于P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4</w:t>
      </w:r>
      <w:r>
        <w:rPr>
          <w:rFonts w:ascii="宋体" w:hAnsi="宋体"/>
          <w:snapToGrid w:val="0"/>
          <w:kern w:val="0"/>
          <w:sz w:val="24"/>
        </w:rPr>
        <w:t>中部，上距B2标志层3</w:t>
      </w:r>
      <w:r>
        <w:rPr>
          <w:rFonts w:hint="eastAsia" w:ascii="宋体" w:hAnsi="宋体"/>
          <w:snapToGrid w:val="0"/>
          <w:kern w:val="0"/>
          <w:sz w:val="24"/>
        </w:rPr>
        <w:t>～</w:t>
      </w:r>
      <w:r>
        <w:rPr>
          <w:rFonts w:ascii="宋体" w:hAnsi="宋体"/>
          <w:snapToGrid w:val="0"/>
          <w:kern w:val="0"/>
          <w:sz w:val="24"/>
        </w:rPr>
        <w:t>5</w:t>
      </w:r>
      <w:r>
        <w:rPr>
          <w:rFonts w:hint="eastAsia" w:ascii="宋体" w:hAnsi="宋体"/>
          <w:snapToGrid w:val="0"/>
          <w:kern w:val="0"/>
          <w:sz w:val="24"/>
        </w:rPr>
        <w:t>m</w:t>
      </w:r>
      <w:r>
        <w:rPr>
          <w:rFonts w:ascii="宋体" w:hAnsi="宋体"/>
          <w:snapToGrid w:val="0"/>
          <w:kern w:val="0"/>
          <w:sz w:val="24"/>
        </w:rPr>
        <w:t>，距K3煤层一般20</w:t>
      </w:r>
      <w:r>
        <w:rPr>
          <w:rFonts w:hint="eastAsia" w:ascii="宋体" w:hAnsi="宋体"/>
          <w:snapToGrid w:val="0"/>
          <w:kern w:val="0"/>
          <w:sz w:val="24"/>
        </w:rPr>
        <w:t>～</w:t>
      </w:r>
      <w:r>
        <w:rPr>
          <w:rFonts w:ascii="宋体" w:hAnsi="宋体"/>
          <w:snapToGrid w:val="0"/>
          <w:kern w:val="0"/>
          <w:sz w:val="24"/>
        </w:rPr>
        <w:t>35</w:t>
      </w:r>
      <w:r>
        <w:rPr>
          <w:rFonts w:hint="eastAsia" w:ascii="宋体" w:hAnsi="宋体"/>
          <w:snapToGrid w:val="0"/>
          <w:kern w:val="0"/>
          <w:sz w:val="24"/>
        </w:rPr>
        <w:t>m</w:t>
      </w:r>
      <w:r>
        <w:rPr>
          <w:rFonts w:ascii="宋体" w:hAnsi="宋体"/>
          <w:snapToGrid w:val="0"/>
          <w:kern w:val="0"/>
          <w:sz w:val="24"/>
        </w:rPr>
        <w:t>，两极厚度0.</w:t>
      </w:r>
      <w:r>
        <w:rPr>
          <w:rFonts w:hint="eastAsia" w:ascii="宋体" w:hAnsi="宋体"/>
          <w:snapToGrid w:val="0"/>
          <w:kern w:val="0"/>
          <w:sz w:val="24"/>
        </w:rPr>
        <w:t>27～4</w:t>
      </w:r>
      <w:r>
        <w:rPr>
          <w:rFonts w:ascii="宋体" w:hAnsi="宋体"/>
          <w:snapToGrid w:val="0"/>
          <w:kern w:val="0"/>
          <w:sz w:val="24"/>
        </w:rPr>
        <w:t>.</w:t>
      </w:r>
      <w:r>
        <w:rPr>
          <w:rFonts w:hint="eastAsia" w:ascii="宋体" w:hAnsi="宋体"/>
          <w:snapToGrid w:val="0"/>
          <w:kern w:val="0"/>
          <w:sz w:val="24"/>
        </w:rPr>
        <w:t>18m</w:t>
      </w:r>
      <w:r>
        <w:rPr>
          <w:rFonts w:ascii="宋体" w:hAnsi="宋体"/>
          <w:snapToGrid w:val="0"/>
          <w:kern w:val="0"/>
          <w:sz w:val="24"/>
        </w:rPr>
        <w:t>，平均约1.</w:t>
      </w:r>
      <w:r>
        <w:rPr>
          <w:rFonts w:hint="eastAsia" w:ascii="宋体" w:hAnsi="宋体"/>
          <w:snapToGrid w:val="0"/>
          <w:kern w:val="0"/>
          <w:sz w:val="24"/>
        </w:rPr>
        <w:t>32m</w:t>
      </w:r>
      <w:r>
        <w:rPr>
          <w:rFonts w:ascii="宋体" w:hAnsi="宋体"/>
          <w:snapToGrid w:val="0"/>
          <w:kern w:val="0"/>
          <w:sz w:val="24"/>
        </w:rPr>
        <w:t>，属薄煤层，</w:t>
      </w:r>
      <w:r>
        <w:rPr>
          <w:rFonts w:hint="eastAsia" w:ascii="宋体" w:hAnsi="宋体"/>
          <w:snapToGrid w:val="0"/>
          <w:kern w:val="0"/>
          <w:sz w:val="24"/>
        </w:rPr>
        <w:t>结构简单，仅个别地段有</w:t>
      </w:r>
      <w:r>
        <w:rPr>
          <w:rFonts w:ascii="宋体" w:hAnsi="宋体"/>
          <w:snapToGrid w:val="0"/>
          <w:kern w:val="0"/>
          <w:sz w:val="24"/>
        </w:rPr>
        <w:t>1</w:t>
      </w:r>
      <w:r>
        <w:rPr>
          <w:rFonts w:hint="eastAsia" w:ascii="宋体" w:hAnsi="宋体"/>
          <w:snapToGrid w:val="0"/>
          <w:kern w:val="0"/>
          <w:sz w:val="24"/>
        </w:rPr>
        <w:t>～</w:t>
      </w:r>
      <w:r>
        <w:rPr>
          <w:rFonts w:ascii="宋体" w:hAnsi="宋体"/>
          <w:snapToGrid w:val="0"/>
          <w:kern w:val="0"/>
          <w:sz w:val="24"/>
        </w:rPr>
        <w:t>2层隐晶高岭石粘土岩夹矸，为较稳定煤层。顶板以细砂岩为主，次为粉砂岩及粉砂质泥岩，底板为粘土岩。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w:t>
      </w:r>
      <w:r>
        <w:rPr>
          <w:rFonts w:ascii="宋体" w:hAnsi="宋体"/>
          <w:snapToGrid w:val="0"/>
          <w:kern w:val="0"/>
          <w:sz w:val="24"/>
        </w:rPr>
        <w:t>可采</w:t>
      </w:r>
      <w:r>
        <w:rPr>
          <w:rFonts w:hint="eastAsia" w:ascii="宋体" w:hAnsi="宋体"/>
          <w:snapToGrid w:val="0"/>
          <w:kern w:val="0"/>
          <w:sz w:val="24"/>
        </w:rPr>
        <w:t>。</w:t>
      </w:r>
      <w:r>
        <w:rPr>
          <w:rFonts w:hint="eastAsia" w:ascii="宋体" w:hAnsi="宋体"/>
          <w:snapToGrid w:val="0"/>
          <w:kern w:val="0"/>
          <w:sz w:val="24"/>
          <w:lang w:val="en-US" w:eastAsia="zh-CN"/>
        </w:rPr>
        <w:t xml:space="preserve">  </w:t>
      </w:r>
    </w:p>
    <w:p w14:paraId="06983373">
      <w:pPr>
        <w:spacing w:line="360" w:lineRule="auto"/>
        <w:ind w:firstLine="480" w:firstLineChars="200"/>
        <w:jc w:val="left"/>
        <w:rPr>
          <w:rFonts w:ascii="宋体" w:hAnsi="宋体"/>
          <w:snapToGrid w:val="0"/>
          <w:kern w:val="0"/>
          <w:sz w:val="24"/>
        </w:rPr>
      </w:pPr>
      <w:r>
        <w:rPr>
          <w:rFonts w:hint="eastAsia" w:ascii="宋体" w:hAnsi="宋体" w:cs="宋体"/>
          <w:snapToGrid w:val="0"/>
          <w:kern w:val="0"/>
          <w:sz w:val="24"/>
        </w:rPr>
        <w:t xml:space="preserve">⑷ </w:t>
      </w:r>
      <w:r>
        <w:rPr>
          <w:rFonts w:ascii="宋体" w:hAnsi="宋体"/>
          <w:snapToGrid w:val="0"/>
          <w:kern w:val="0"/>
          <w:sz w:val="24"/>
        </w:rPr>
        <w:t>K10煤层：位于P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4</w:t>
      </w:r>
      <w:r>
        <w:rPr>
          <w:rFonts w:ascii="宋体" w:hAnsi="宋体"/>
          <w:snapToGrid w:val="0"/>
          <w:kern w:val="0"/>
          <w:sz w:val="24"/>
        </w:rPr>
        <w:t>中部</w:t>
      </w:r>
      <w:r>
        <w:rPr>
          <w:rFonts w:hint="eastAsia" w:ascii="宋体" w:hAnsi="宋体"/>
          <w:snapToGrid w:val="0"/>
          <w:kern w:val="0"/>
          <w:sz w:val="24"/>
        </w:rPr>
        <w:t>，</w:t>
      </w:r>
      <w:r>
        <w:rPr>
          <w:rFonts w:ascii="宋体" w:hAnsi="宋体"/>
          <w:snapToGrid w:val="0"/>
          <w:kern w:val="0"/>
          <w:sz w:val="24"/>
        </w:rPr>
        <w:t>上距K9煤层8</w:t>
      </w:r>
      <w:r>
        <w:rPr>
          <w:rFonts w:hint="eastAsia" w:ascii="宋体" w:hAnsi="宋体"/>
          <w:snapToGrid w:val="0"/>
          <w:kern w:val="0"/>
          <w:sz w:val="24"/>
        </w:rPr>
        <w:t>～</w:t>
      </w:r>
      <w:r>
        <w:rPr>
          <w:rFonts w:ascii="宋体" w:hAnsi="宋体"/>
          <w:snapToGrid w:val="0"/>
          <w:kern w:val="0"/>
          <w:sz w:val="24"/>
        </w:rPr>
        <w:t>15</w:t>
      </w:r>
      <w:r>
        <w:rPr>
          <w:rFonts w:hint="eastAsia" w:ascii="宋体" w:hAnsi="宋体"/>
          <w:snapToGrid w:val="0"/>
          <w:kern w:val="0"/>
          <w:sz w:val="24"/>
        </w:rPr>
        <w:t>m</w:t>
      </w:r>
      <w:r>
        <w:rPr>
          <w:rFonts w:ascii="宋体" w:hAnsi="宋体"/>
          <w:snapToGrid w:val="0"/>
          <w:kern w:val="0"/>
          <w:sz w:val="24"/>
        </w:rPr>
        <w:t>，一般10</w:t>
      </w:r>
      <w:r>
        <w:rPr>
          <w:rFonts w:hint="eastAsia" w:ascii="宋体" w:hAnsi="宋体"/>
          <w:snapToGrid w:val="0"/>
          <w:kern w:val="0"/>
          <w:sz w:val="24"/>
        </w:rPr>
        <w:t>m</w:t>
      </w:r>
      <w:r>
        <w:rPr>
          <w:rFonts w:ascii="宋体" w:hAnsi="宋体"/>
          <w:snapToGrid w:val="0"/>
          <w:kern w:val="0"/>
          <w:sz w:val="24"/>
        </w:rPr>
        <w:t>左右，</w:t>
      </w:r>
      <w:r>
        <w:rPr>
          <w:rFonts w:hint="eastAsia" w:ascii="宋体" w:hAnsi="宋体"/>
          <w:snapToGrid w:val="0"/>
          <w:kern w:val="0"/>
          <w:sz w:val="24"/>
        </w:rPr>
        <w:t>东部较</w:t>
      </w:r>
      <w:r>
        <w:rPr>
          <w:rFonts w:ascii="宋体" w:hAnsi="宋体"/>
          <w:snapToGrid w:val="0"/>
          <w:kern w:val="0"/>
          <w:sz w:val="24"/>
        </w:rPr>
        <w:t>厚</w:t>
      </w:r>
      <w:r>
        <w:rPr>
          <w:rFonts w:hint="eastAsia" w:ascii="宋体" w:hAnsi="宋体"/>
          <w:snapToGrid w:val="0"/>
          <w:kern w:val="0"/>
          <w:sz w:val="24"/>
        </w:rPr>
        <w:t>可采，向西变至不可采并渐尖灭。煤层</w:t>
      </w:r>
      <w:r>
        <w:rPr>
          <w:rFonts w:ascii="宋体" w:hAnsi="宋体"/>
          <w:snapToGrid w:val="0"/>
          <w:kern w:val="0"/>
          <w:sz w:val="24"/>
        </w:rPr>
        <w:t>两极厚度0.</w:t>
      </w:r>
      <w:r>
        <w:rPr>
          <w:rFonts w:hint="eastAsia" w:ascii="宋体" w:hAnsi="宋体"/>
          <w:snapToGrid w:val="0"/>
          <w:kern w:val="0"/>
          <w:sz w:val="24"/>
        </w:rPr>
        <w:t>00～</w:t>
      </w:r>
      <w:r>
        <w:rPr>
          <w:rFonts w:ascii="宋体" w:hAnsi="宋体"/>
          <w:snapToGrid w:val="0"/>
          <w:kern w:val="0"/>
          <w:sz w:val="24"/>
        </w:rPr>
        <w:t>4.78</w:t>
      </w:r>
      <w:r>
        <w:rPr>
          <w:rFonts w:hint="eastAsia" w:ascii="宋体" w:hAnsi="宋体"/>
          <w:snapToGrid w:val="0"/>
          <w:kern w:val="0"/>
          <w:sz w:val="24"/>
        </w:rPr>
        <w:t>m</w:t>
      </w:r>
      <w:r>
        <w:rPr>
          <w:rFonts w:ascii="宋体" w:hAnsi="宋体"/>
          <w:snapToGrid w:val="0"/>
          <w:kern w:val="0"/>
          <w:sz w:val="24"/>
        </w:rPr>
        <w:t>，平均厚度约为1.</w:t>
      </w:r>
      <w:r>
        <w:rPr>
          <w:rFonts w:hint="eastAsia" w:ascii="宋体" w:hAnsi="宋体"/>
          <w:snapToGrid w:val="0"/>
          <w:kern w:val="0"/>
          <w:sz w:val="24"/>
        </w:rPr>
        <w:t>17m</w:t>
      </w:r>
      <w:r>
        <w:rPr>
          <w:rFonts w:ascii="宋体" w:hAnsi="宋体"/>
          <w:snapToGrid w:val="0"/>
          <w:kern w:val="0"/>
          <w:sz w:val="24"/>
        </w:rPr>
        <w:t>，为局部可采的中厚煤层，</w:t>
      </w:r>
      <w:r>
        <w:rPr>
          <w:rFonts w:hint="eastAsia" w:ascii="宋体" w:hAnsi="宋体"/>
          <w:snapToGrid w:val="0"/>
          <w:kern w:val="0"/>
          <w:sz w:val="24"/>
        </w:rPr>
        <w:t>其结构较简单，仅局部</w:t>
      </w:r>
      <w:r>
        <w:rPr>
          <w:rFonts w:ascii="宋体" w:hAnsi="宋体"/>
          <w:snapToGrid w:val="0"/>
          <w:kern w:val="0"/>
          <w:sz w:val="24"/>
        </w:rPr>
        <w:t>含2</w:t>
      </w:r>
      <w:r>
        <w:rPr>
          <w:rFonts w:hint="eastAsia" w:ascii="宋体" w:hAnsi="宋体"/>
          <w:snapToGrid w:val="0"/>
          <w:kern w:val="0"/>
          <w:sz w:val="24"/>
        </w:rPr>
        <w:t>～</w:t>
      </w:r>
      <w:r>
        <w:rPr>
          <w:rFonts w:ascii="宋体" w:hAnsi="宋体"/>
          <w:snapToGrid w:val="0"/>
          <w:kern w:val="0"/>
          <w:sz w:val="24"/>
        </w:rPr>
        <w:t>3层粘土岩夹矸</w:t>
      </w:r>
      <w:r>
        <w:rPr>
          <w:rFonts w:hint="eastAsia" w:ascii="宋体" w:hAnsi="宋体"/>
          <w:snapToGrid w:val="0"/>
          <w:kern w:val="0"/>
          <w:sz w:val="24"/>
        </w:rPr>
        <w:t>。</w:t>
      </w:r>
      <w:r>
        <w:rPr>
          <w:rFonts w:ascii="宋体" w:hAnsi="宋体"/>
          <w:snapToGrid w:val="0"/>
          <w:kern w:val="0"/>
          <w:sz w:val="24"/>
        </w:rPr>
        <w:t>其厚度变化较大，属不稳定煤层，顶板主要为粉砂岩及泥质粉砂岩，次为细砂岩，底板为</w:t>
      </w:r>
      <w:r>
        <w:rPr>
          <w:rFonts w:hint="eastAsia" w:ascii="宋体" w:hAnsi="宋体"/>
          <w:snapToGrid w:val="0"/>
          <w:kern w:val="0"/>
          <w:sz w:val="24"/>
        </w:rPr>
        <w:t>粘土</w:t>
      </w:r>
      <w:r>
        <w:rPr>
          <w:rFonts w:ascii="宋体" w:hAnsi="宋体"/>
          <w:snapToGrid w:val="0"/>
          <w:kern w:val="0"/>
          <w:sz w:val="24"/>
        </w:rPr>
        <w:t>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内为局部</w:t>
      </w:r>
      <w:r>
        <w:rPr>
          <w:rFonts w:ascii="宋体" w:hAnsi="宋体"/>
          <w:snapToGrid w:val="0"/>
          <w:kern w:val="0"/>
          <w:sz w:val="24"/>
        </w:rPr>
        <w:t>可采</w:t>
      </w:r>
      <w:r>
        <w:rPr>
          <w:rFonts w:hint="eastAsia" w:ascii="宋体" w:hAnsi="宋体"/>
          <w:snapToGrid w:val="0"/>
          <w:kern w:val="0"/>
          <w:sz w:val="24"/>
        </w:rPr>
        <w:t>煤层。</w:t>
      </w:r>
    </w:p>
    <w:p w14:paraId="27227D0A">
      <w:pPr>
        <w:spacing w:line="360" w:lineRule="auto"/>
        <w:ind w:firstLine="480" w:firstLineChars="200"/>
        <w:jc w:val="left"/>
        <w:rPr>
          <w:rFonts w:ascii="宋体" w:hAnsi="宋体"/>
          <w:snapToGrid w:val="0"/>
          <w:kern w:val="0"/>
          <w:sz w:val="24"/>
        </w:rPr>
      </w:pPr>
      <w:r>
        <w:rPr>
          <w:rFonts w:hint="eastAsia" w:ascii="宋体" w:hAnsi="宋体" w:cs="宋体"/>
          <w:snapToGrid w:val="0"/>
          <w:kern w:val="0"/>
          <w:sz w:val="24"/>
        </w:rPr>
        <w:t xml:space="preserve">⑸ </w:t>
      </w:r>
      <w:r>
        <w:rPr>
          <w:rFonts w:ascii="宋体" w:hAnsi="宋体"/>
          <w:snapToGrid w:val="0"/>
          <w:kern w:val="0"/>
          <w:sz w:val="24"/>
        </w:rPr>
        <w:t>K13煤层：位于P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4</w:t>
      </w:r>
      <w:r>
        <w:rPr>
          <w:rFonts w:ascii="宋体" w:hAnsi="宋体"/>
          <w:snapToGrid w:val="0"/>
          <w:kern w:val="0"/>
          <w:sz w:val="24"/>
        </w:rPr>
        <w:t>下部，上距K10煤层10</w:t>
      </w:r>
      <w:r>
        <w:rPr>
          <w:rFonts w:hint="eastAsia" w:ascii="宋体" w:hAnsi="宋体"/>
          <w:snapToGrid w:val="0"/>
          <w:kern w:val="0"/>
          <w:sz w:val="24"/>
        </w:rPr>
        <w:t>～</w:t>
      </w:r>
      <w:r>
        <w:rPr>
          <w:rFonts w:ascii="宋体" w:hAnsi="宋体"/>
          <w:snapToGrid w:val="0"/>
          <w:kern w:val="0"/>
          <w:sz w:val="24"/>
        </w:rPr>
        <w:t>24</w:t>
      </w:r>
      <w:r>
        <w:rPr>
          <w:rFonts w:hint="eastAsia" w:ascii="宋体" w:hAnsi="宋体"/>
          <w:snapToGrid w:val="0"/>
          <w:kern w:val="0"/>
          <w:sz w:val="24"/>
        </w:rPr>
        <w:t>m</w:t>
      </w:r>
      <w:r>
        <w:rPr>
          <w:rFonts w:ascii="宋体" w:hAnsi="宋体"/>
          <w:snapToGrid w:val="0"/>
          <w:kern w:val="0"/>
          <w:sz w:val="24"/>
        </w:rPr>
        <w:t>，一般约15</w:t>
      </w:r>
      <w:r>
        <w:rPr>
          <w:rFonts w:hint="eastAsia" w:ascii="宋体" w:hAnsi="宋体"/>
          <w:snapToGrid w:val="0"/>
          <w:kern w:val="0"/>
          <w:sz w:val="24"/>
        </w:rPr>
        <w:t>m</w:t>
      </w:r>
      <w:r>
        <w:rPr>
          <w:rFonts w:ascii="宋体" w:hAnsi="宋体"/>
          <w:snapToGrid w:val="0"/>
          <w:kern w:val="0"/>
          <w:sz w:val="24"/>
        </w:rPr>
        <w:t>，煤层</w:t>
      </w:r>
      <w:r>
        <w:rPr>
          <w:rFonts w:hint="eastAsia" w:ascii="宋体" w:hAnsi="宋体"/>
          <w:snapToGrid w:val="0"/>
          <w:kern w:val="0"/>
          <w:sz w:val="24"/>
        </w:rPr>
        <w:t>两</w:t>
      </w:r>
      <w:r>
        <w:rPr>
          <w:rFonts w:ascii="宋体" w:hAnsi="宋体"/>
          <w:snapToGrid w:val="0"/>
          <w:kern w:val="0"/>
          <w:sz w:val="24"/>
        </w:rPr>
        <w:t>极厚度为0.71</w:t>
      </w:r>
      <w:r>
        <w:rPr>
          <w:rFonts w:hint="eastAsia" w:ascii="宋体" w:hAnsi="宋体"/>
          <w:snapToGrid w:val="0"/>
          <w:kern w:val="0"/>
          <w:sz w:val="24"/>
        </w:rPr>
        <w:t>～</w:t>
      </w:r>
      <w:r>
        <w:rPr>
          <w:rFonts w:ascii="宋体" w:hAnsi="宋体"/>
          <w:snapToGrid w:val="0"/>
          <w:kern w:val="0"/>
          <w:sz w:val="24"/>
        </w:rPr>
        <w:t>3.</w:t>
      </w:r>
      <w:r>
        <w:rPr>
          <w:rFonts w:hint="eastAsia" w:ascii="宋体" w:hAnsi="宋体"/>
          <w:snapToGrid w:val="0"/>
          <w:kern w:val="0"/>
          <w:sz w:val="24"/>
        </w:rPr>
        <w:t>90m</w:t>
      </w:r>
      <w:r>
        <w:rPr>
          <w:rFonts w:ascii="宋体" w:hAnsi="宋体"/>
          <w:snapToGrid w:val="0"/>
          <w:kern w:val="0"/>
          <w:sz w:val="24"/>
        </w:rPr>
        <w:t>，平均厚度约</w:t>
      </w:r>
      <w:r>
        <w:rPr>
          <w:rFonts w:hint="eastAsia" w:ascii="宋体" w:hAnsi="宋体"/>
          <w:snapToGrid w:val="0"/>
          <w:kern w:val="0"/>
          <w:sz w:val="24"/>
        </w:rPr>
        <w:t>1</w:t>
      </w:r>
      <w:r>
        <w:rPr>
          <w:rFonts w:ascii="宋体" w:hAnsi="宋体"/>
          <w:snapToGrid w:val="0"/>
          <w:kern w:val="0"/>
          <w:sz w:val="24"/>
        </w:rPr>
        <w:t>.</w:t>
      </w:r>
      <w:r>
        <w:rPr>
          <w:rFonts w:hint="eastAsia" w:ascii="宋体" w:hAnsi="宋体"/>
          <w:snapToGrid w:val="0"/>
          <w:kern w:val="0"/>
          <w:sz w:val="24"/>
        </w:rPr>
        <w:t>69m</w:t>
      </w:r>
      <w:r>
        <w:rPr>
          <w:rFonts w:ascii="宋体" w:hAnsi="宋体"/>
          <w:snapToGrid w:val="0"/>
          <w:kern w:val="0"/>
          <w:sz w:val="24"/>
        </w:rPr>
        <w:t>，属中厚煤层</w:t>
      </w:r>
      <w:r>
        <w:rPr>
          <w:rFonts w:hint="eastAsia" w:ascii="宋体" w:hAnsi="宋体"/>
          <w:snapToGrid w:val="0"/>
          <w:kern w:val="0"/>
          <w:sz w:val="24"/>
        </w:rPr>
        <w:t>，</w:t>
      </w:r>
      <w:r>
        <w:rPr>
          <w:rFonts w:ascii="宋体" w:hAnsi="宋体"/>
          <w:snapToGrid w:val="0"/>
          <w:kern w:val="0"/>
          <w:sz w:val="24"/>
        </w:rPr>
        <w:t>全区可采。</w:t>
      </w:r>
      <w:r>
        <w:rPr>
          <w:rFonts w:hint="eastAsia" w:ascii="宋体" w:hAnsi="宋体"/>
          <w:snapToGrid w:val="0"/>
          <w:kern w:val="0"/>
          <w:sz w:val="24"/>
        </w:rPr>
        <w:t>结构较简单，一般常见</w:t>
      </w:r>
      <w:r>
        <w:rPr>
          <w:rFonts w:ascii="宋体" w:hAnsi="宋体"/>
          <w:snapToGrid w:val="0"/>
          <w:kern w:val="0"/>
          <w:sz w:val="24"/>
        </w:rPr>
        <w:t>1</w:t>
      </w:r>
      <w:r>
        <w:rPr>
          <w:rFonts w:hint="eastAsia" w:ascii="宋体" w:hAnsi="宋体"/>
          <w:snapToGrid w:val="0"/>
          <w:kern w:val="0"/>
          <w:sz w:val="24"/>
        </w:rPr>
        <w:t>～</w:t>
      </w:r>
      <w:r>
        <w:rPr>
          <w:rFonts w:ascii="宋体" w:hAnsi="宋体"/>
          <w:snapToGrid w:val="0"/>
          <w:kern w:val="0"/>
          <w:sz w:val="24"/>
        </w:rPr>
        <w:t>2层粘土</w:t>
      </w:r>
      <w:r>
        <w:rPr>
          <w:rFonts w:hint="eastAsia" w:ascii="宋体" w:hAnsi="宋体"/>
          <w:snapToGrid w:val="0"/>
          <w:kern w:val="0"/>
          <w:sz w:val="24"/>
        </w:rPr>
        <w:t>岩</w:t>
      </w:r>
      <w:r>
        <w:rPr>
          <w:rFonts w:ascii="宋体" w:hAnsi="宋体"/>
          <w:snapToGrid w:val="0"/>
          <w:kern w:val="0"/>
          <w:sz w:val="24"/>
        </w:rPr>
        <w:t>夹矸，夹矸厚度较大，一般为0.30</w:t>
      </w:r>
      <w:r>
        <w:rPr>
          <w:rFonts w:hint="eastAsia" w:ascii="宋体" w:hAnsi="宋体"/>
          <w:snapToGrid w:val="0"/>
          <w:kern w:val="0"/>
          <w:sz w:val="24"/>
        </w:rPr>
        <w:t>～</w:t>
      </w:r>
      <w:r>
        <w:rPr>
          <w:rFonts w:ascii="宋体" w:hAnsi="宋体"/>
          <w:snapToGrid w:val="0"/>
          <w:kern w:val="0"/>
          <w:sz w:val="24"/>
        </w:rPr>
        <w:t>0.50</w:t>
      </w:r>
      <w:r>
        <w:rPr>
          <w:rFonts w:hint="eastAsia" w:ascii="宋体" w:hAnsi="宋体"/>
          <w:snapToGrid w:val="0"/>
          <w:kern w:val="0"/>
          <w:sz w:val="24"/>
        </w:rPr>
        <w:t>m</w:t>
      </w:r>
      <w:r>
        <w:rPr>
          <w:rFonts w:ascii="宋体" w:hAnsi="宋体"/>
          <w:snapToGrid w:val="0"/>
          <w:kern w:val="0"/>
          <w:sz w:val="24"/>
        </w:rPr>
        <w:t>之间，为较稳定煤层。煤层顶板以细砂岩为主，</w:t>
      </w:r>
      <w:r>
        <w:rPr>
          <w:rFonts w:hint="eastAsia" w:ascii="宋体" w:hAnsi="宋体"/>
          <w:snapToGrid w:val="0"/>
          <w:kern w:val="0"/>
          <w:sz w:val="24"/>
        </w:rPr>
        <w:t>次为粉砂岩及泥质粉砂岩，还可见到粘土岩、炭质泥岩伪顶，</w:t>
      </w:r>
      <w:r>
        <w:rPr>
          <w:rFonts w:ascii="宋体" w:hAnsi="宋体"/>
          <w:snapToGrid w:val="0"/>
          <w:kern w:val="0"/>
          <w:sz w:val="24"/>
        </w:rPr>
        <w:t>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w:t>
      </w:r>
      <w:r>
        <w:rPr>
          <w:rFonts w:ascii="宋体" w:hAnsi="宋体"/>
          <w:snapToGrid w:val="0"/>
          <w:kern w:val="0"/>
          <w:sz w:val="24"/>
        </w:rPr>
        <w:t>可采</w:t>
      </w:r>
      <w:r>
        <w:rPr>
          <w:rFonts w:hint="eastAsia" w:ascii="宋体" w:hAnsi="宋体"/>
          <w:snapToGrid w:val="0"/>
          <w:kern w:val="0"/>
          <w:sz w:val="24"/>
        </w:rPr>
        <w:t>煤层。</w:t>
      </w:r>
    </w:p>
    <w:p w14:paraId="5823615C">
      <w:pPr>
        <w:spacing w:line="360" w:lineRule="auto"/>
        <w:ind w:firstLine="480" w:firstLineChars="200"/>
        <w:jc w:val="left"/>
        <w:rPr>
          <w:rFonts w:ascii="宋体" w:hAnsi="宋体"/>
          <w:snapToGrid w:val="0"/>
          <w:kern w:val="0"/>
          <w:sz w:val="24"/>
        </w:rPr>
      </w:pPr>
      <w:r>
        <w:rPr>
          <w:rFonts w:hint="eastAsia" w:ascii="宋体" w:hAnsi="宋体" w:cs="宋体"/>
          <w:snapToGrid w:val="0"/>
          <w:kern w:val="0"/>
          <w:sz w:val="24"/>
        </w:rPr>
        <w:t xml:space="preserve">⑹ </w:t>
      </w:r>
      <w:r>
        <w:rPr>
          <w:rFonts w:ascii="宋体" w:hAnsi="宋体"/>
          <w:snapToGrid w:val="0"/>
          <w:kern w:val="0"/>
          <w:sz w:val="24"/>
        </w:rPr>
        <w:t>K18煤层：位于P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3</w:t>
      </w:r>
      <w:r>
        <w:rPr>
          <w:rFonts w:ascii="宋体" w:hAnsi="宋体"/>
          <w:snapToGrid w:val="0"/>
          <w:kern w:val="0"/>
          <w:sz w:val="24"/>
        </w:rPr>
        <w:t>顶部，B3标志层为其直接顶板</w:t>
      </w:r>
      <w:r>
        <w:rPr>
          <w:rFonts w:hint="eastAsia" w:ascii="宋体" w:hAnsi="宋体"/>
          <w:snapToGrid w:val="0"/>
          <w:kern w:val="0"/>
          <w:sz w:val="24"/>
        </w:rPr>
        <w:t>。</w:t>
      </w:r>
      <w:r>
        <w:rPr>
          <w:rFonts w:ascii="宋体" w:hAnsi="宋体"/>
          <w:snapToGrid w:val="0"/>
          <w:kern w:val="0"/>
          <w:sz w:val="24"/>
        </w:rPr>
        <w:t>上距K13煤层20</w:t>
      </w:r>
      <w:r>
        <w:rPr>
          <w:rFonts w:hint="eastAsia" w:ascii="宋体" w:hAnsi="宋体"/>
          <w:snapToGrid w:val="0"/>
          <w:kern w:val="0"/>
          <w:sz w:val="24"/>
        </w:rPr>
        <w:t>～</w:t>
      </w:r>
      <w:r>
        <w:rPr>
          <w:rFonts w:ascii="宋体" w:hAnsi="宋体"/>
          <w:snapToGrid w:val="0"/>
          <w:kern w:val="0"/>
          <w:sz w:val="24"/>
        </w:rPr>
        <w:t>40</w:t>
      </w:r>
      <w:r>
        <w:rPr>
          <w:rFonts w:hint="eastAsia" w:ascii="宋体" w:hAnsi="宋体"/>
          <w:snapToGrid w:val="0"/>
          <w:kern w:val="0"/>
          <w:sz w:val="24"/>
        </w:rPr>
        <w:t>m</w:t>
      </w:r>
      <w:r>
        <w:rPr>
          <w:rFonts w:ascii="宋体" w:hAnsi="宋体"/>
          <w:snapToGrid w:val="0"/>
          <w:kern w:val="0"/>
          <w:sz w:val="24"/>
        </w:rPr>
        <w:t>，一般约为30</w:t>
      </w:r>
      <w:r>
        <w:rPr>
          <w:rFonts w:hint="eastAsia" w:ascii="宋体" w:hAnsi="宋体"/>
          <w:snapToGrid w:val="0"/>
          <w:kern w:val="0"/>
          <w:sz w:val="24"/>
        </w:rPr>
        <w:t>m</w:t>
      </w:r>
      <w:r>
        <w:rPr>
          <w:rFonts w:ascii="宋体" w:hAnsi="宋体"/>
          <w:snapToGrid w:val="0"/>
          <w:kern w:val="0"/>
          <w:sz w:val="24"/>
        </w:rPr>
        <w:t>，煤层</w:t>
      </w:r>
      <w:r>
        <w:rPr>
          <w:rFonts w:hint="eastAsia" w:ascii="宋体" w:hAnsi="宋体"/>
          <w:snapToGrid w:val="0"/>
          <w:kern w:val="0"/>
          <w:sz w:val="24"/>
        </w:rPr>
        <w:t>两极</w:t>
      </w:r>
      <w:r>
        <w:rPr>
          <w:rFonts w:ascii="宋体" w:hAnsi="宋体"/>
          <w:snapToGrid w:val="0"/>
          <w:kern w:val="0"/>
          <w:sz w:val="24"/>
        </w:rPr>
        <w:t>厚</w:t>
      </w:r>
      <w:r>
        <w:rPr>
          <w:rFonts w:hint="eastAsia" w:ascii="宋体" w:hAnsi="宋体"/>
          <w:snapToGrid w:val="0"/>
          <w:kern w:val="0"/>
          <w:sz w:val="24"/>
        </w:rPr>
        <w:t>度0</w:t>
      </w:r>
      <w:r>
        <w:rPr>
          <w:rFonts w:ascii="宋体" w:hAnsi="宋体"/>
          <w:snapToGrid w:val="0"/>
          <w:kern w:val="0"/>
          <w:sz w:val="24"/>
        </w:rPr>
        <w:t>.</w:t>
      </w:r>
      <w:r>
        <w:rPr>
          <w:rFonts w:hint="eastAsia" w:ascii="宋体" w:hAnsi="宋体"/>
          <w:snapToGrid w:val="0"/>
          <w:kern w:val="0"/>
          <w:sz w:val="24"/>
        </w:rPr>
        <w:t>77～6</w:t>
      </w:r>
      <w:r>
        <w:rPr>
          <w:rFonts w:ascii="宋体" w:hAnsi="宋体"/>
          <w:snapToGrid w:val="0"/>
          <w:kern w:val="0"/>
          <w:sz w:val="24"/>
        </w:rPr>
        <w:t>.</w:t>
      </w:r>
      <w:r>
        <w:rPr>
          <w:rFonts w:hint="eastAsia" w:ascii="宋体" w:hAnsi="宋体"/>
          <w:snapToGrid w:val="0"/>
          <w:kern w:val="0"/>
          <w:sz w:val="24"/>
        </w:rPr>
        <w:t>54m</w:t>
      </w:r>
      <w:r>
        <w:rPr>
          <w:rFonts w:ascii="宋体" w:hAnsi="宋体"/>
          <w:snapToGrid w:val="0"/>
          <w:kern w:val="0"/>
          <w:sz w:val="24"/>
        </w:rPr>
        <w:t>，平均厚度</w:t>
      </w:r>
      <w:r>
        <w:rPr>
          <w:rFonts w:hint="eastAsia" w:ascii="宋体" w:hAnsi="宋体"/>
          <w:snapToGrid w:val="0"/>
          <w:kern w:val="0"/>
          <w:sz w:val="24"/>
        </w:rPr>
        <w:t>3</w:t>
      </w:r>
      <w:r>
        <w:rPr>
          <w:rFonts w:ascii="宋体" w:hAnsi="宋体"/>
          <w:snapToGrid w:val="0"/>
          <w:kern w:val="0"/>
          <w:sz w:val="24"/>
        </w:rPr>
        <w:t>.</w:t>
      </w:r>
      <w:r>
        <w:rPr>
          <w:rFonts w:hint="eastAsia" w:ascii="宋体" w:hAnsi="宋体"/>
          <w:snapToGrid w:val="0"/>
          <w:kern w:val="0"/>
          <w:sz w:val="24"/>
        </w:rPr>
        <w:t>12m</w:t>
      </w:r>
      <w:r>
        <w:rPr>
          <w:rFonts w:ascii="宋体" w:hAnsi="宋体"/>
          <w:snapToGrid w:val="0"/>
          <w:kern w:val="0"/>
          <w:sz w:val="24"/>
        </w:rPr>
        <w:t>，全区可采</w:t>
      </w:r>
      <w:r>
        <w:rPr>
          <w:rFonts w:hint="eastAsia" w:ascii="宋体" w:hAnsi="宋体"/>
          <w:snapToGrid w:val="0"/>
          <w:kern w:val="0"/>
          <w:sz w:val="24"/>
        </w:rPr>
        <w:t>，其厚度在井田东曾一般均大于平均厚度，向西有变薄的趋势，大部分煤层厚度小于平均厚度。煤层</w:t>
      </w:r>
      <w:r>
        <w:rPr>
          <w:rFonts w:ascii="宋体" w:hAnsi="宋体"/>
          <w:snapToGrid w:val="0"/>
          <w:kern w:val="0"/>
          <w:sz w:val="24"/>
        </w:rPr>
        <w:t>结构较</w:t>
      </w:r>
      <w:r>
        <w:rPr>
          <w:rFonts w:hint="eastAsia" w:ascii="宋体" w:hAnsi="宋体"/>
          <w:snapToGrid w:val="0"/>
          <w:kern w:val="0"/>
          <w:sz w:val="24"/>
        </w:rPr>
        <w:t>简单</w:t>
      </w:r>
      <w:r>
        <w:rPr>
          <w:rFonts w:ascii="宋体" w:hAnsi="宋体"/>
          <w:snapToGrid w:val="0"/>
          <w:kern w:val="0"/>
          <w:sz w:val="24"/>
        </w:rPr>
        <w:t>，</w:t>
      </w:r>
      <w:r>
        <w:rPr>
          <w:rFonts w:hint="eastAsia" w:ascii="宋体" w:hAnsi="宋体"/>
          <w:snapToGrid w:val="0"/>
          <w:kern w:val="0"/>
          <w:sz w:val="24"/>
        </w:rPr>
        <w:t>仅局部见</w:t>
      </w:r>
      <w:r>
        <w:rPr>
          <w:rFonts w:ascii="宋体" w:hAnsi="宋体"/>
          <w:snapToGrid w:val="0"/>
          <w:kern w:val="0"/>
          <w:sz w:val="24"/>
        </w:rPr>
        <w:t>2</w:t>
      </w:r>
      <w:r>
        <w:rPr>
          <w:rFonts w:hint="eastAsia" w:ascii="宋体" w:hAnsi="宋体"/>
          <w:snapToGrid w:val="0"/>
          <w:kern w:val="0"/>
          <w:sz w:val="24"/>
        </w:rPr>
        <w:t>～</w:t>
      </w:r>
      <w:r>
        <w:rPr>
          <w:rFonts w:ascii="宋体" w:hAnsi="宋体"/>
          <w:snapToGrid w:val="0"/>
          <w:kern w:val="0"/>
          <w:sz w:val="24"/>
        </w:rPr>
        <w:t>3层高岭石粘土岩夹矸，属稳定煤层。顶板为粉砂质泥岩，底板为粘土岩。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w:t>
      </w:r>
      <w:r>
        <w:rPr>
          <w:rFonts w:ascii="宋体" w:hAnsi="宋体"/>
          <w:snapToGrid w:val="0"/>
          <w:kern w:val="0"/>
          <w:sz w:val="24"/>
        </w:rPr>
        <w:t>可采</w:t>
      </w:r>
      <w:r>
        <w:rPr>
          <w:rFonts w:hint="eastAsia" w:ascii="宋体" w:hAnsi="宋体"/>
          <w:snapToGrid w:val="0"/>
          <w:kern w:val="0"/>
          <w:sz w:val="24"/>
        </w:rPr>
        <w:t>煤层。</w:t>
      </w:r>
    </w:p>
    <w:p w14:paraId="3C3A07F9">
      <w:pPr>
        <w:spacing w:line="360" w:lineRule="auto"/>
        <w:ind w:firstLine="480" w:firstLineChars="200"/>
        <w:jc w:val="left"/>
        <w:rPr>
          <w:rFonts w:ascii="宋体" w:hAnsi="宋体"/>
          <w:snapToGrid w:val="0"/>
          <w:kern w:val="0"/>
          <w:sz w:val="24"/>
        </w:rPr>
      </w:pPr>
      <w:r>
        <w:rPr>
          <w:rFonts w:hint="eastAsia" w:ascii="宋体" w:hAnsi="宋体" w:cs="宋体"/>
          <w:snapToGrid w:val="0"/>
          <w:kern w:val="0"/>
          <w:sz w:val="24"/>
        </w:rPr>
        <w:t xml:space="preserve">⑺ </w:t>
      </w:r>
      <w:r>
        <w:rPr>
          <w:rFonts w:ascii="宋体" w:hAnsi="宋体"/>
          <w:snapToGrid w:val="0"/>
          <w:kern w:val="0"/>
          <w:sz w:val="24"/>
        </w:rPr>
        <w:t>K26煤层：位于P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3</w:t>
      </w:r>
      <w:r>
        <w:rPr>
          <w:rFonts w:ascii="宋体" w:hAnsi="宋体"/>
          <w:snapToGrid w:val="0"/>
          <w:kern w:val="0"/>
          <w:sz w:val="24"/>
        </w:rPr>
        <w:t>上部，上距K18煤层20</w:t>
      </w:r>
      <w:r>
        <w:rPr>
          <w:rFonts w:hint="eastAsia" w:ascii="宋体" w:hAnsi="宋体"/>
          <w:snapToGrid w:val="0"/>
          <w:kern w:val="0"/>
          <w:sz w:val="24"/>
        </w:rPr>
        <w:t>～</w:t>
      </w:r>
      <w:r>
        <w:rPr>
          <w:rFonts w:ascii="宋体" w:hAnsi="宋体"/>
          <w:snapToGrid w:val="0"/>
          <w:kern w:val="0"/>
          <w:sz w:val="24"/>
        </w:rPr>
        <w:t>45</w:t>
      </w:r>
      <w:r>
        <w:rPr>
          <w:rFonts w:hint="eastAsia" w:ascii="宋体" w:hAnsi="宋体"/>
          <w:snapToGrid w:val="0"/>
          <w:kern w:val="0"/>
          <w:sz w:val="24"/>
        </w:rPr>
        <w:t>m</w:t>
      </w:r>
      <w:r>
        <w:rPr>
          <w:rFonts w:ascii="宋体" w:hAnsi="宋体"/>
          <w:snapToGrid w:val="0"/>
          <w:kern w:val="0"/>
          <w:sz w:val="24"/>
        </w:rPr>
        <w:t>，一般25</w:t>
      </w:r>
      <w:r>
        <w:rPr>
          <w:rFonts w:hint="eastAsia" w:ascii="宋体" w:hAnsi="宋体"/>
          <w:snapToGrid w:val="0"/>
          <w:kern w:val="0"/>
          <w:sz w:val="24"/>
        </w:rPr>
        <w:t>～</w:t>
      </w:r>
      <w:r>
        <w:rPr>
          <w:rFonts w:ascii="宋体" w:hAnsi="宋体"/>
          <w:snapToGrid w:val="0"/>
          <w:kern w:val="0"/>
          <w:sz w:val="24"/>
        </w:rPr>
        <w:t>30</w:t>
      </w:r>
      <w:r>
        <w:rPr>
          <w:rFonts w:hint="eastAsia" w:ascii="宋体" w:hAnsi="宋体"/>
          <w:snapToGrid w:val="0"/>
          <w:kern w:val="0"/>
          <w:sz w:val="24"/>
        </w:rPr>
        <w:t>m</w:t>
      </w:r>
      <w:r>
        <w:rPr>
          <w:rFonts w:ascii="宋体" w:hAnsi="宋体"/>
          <w:snapToGrid w:val="0"/>
          <w:kern w:val="0"/>
          <w:sz w:val="24"/>
        </w:rPr>
        <w:t>，煤层</w:t>
      </w:r>
      <w:r>
        <w:rPr>
          <w:rFonts w:hint="eastAsia" w:ascii="宋体" w:hAnsi="宋体"/>
          <w:snapToGrid w:val="0"/>
          <w:kern w:val="0"/>
          <w:sz w:val="24"/>
        </w:rPr>
        <w:t>两极</w:t>
      </w:r>
      <w:r>
        <w:rPr>
          <w:rFonts w:ascii="宋体" w:hAnsi="宋体"/>
          <w:snapToGrid w:val="0"/>
          <w:kern w:val="0"/>
          <w:sz w:val="24"/>
        </w:rPr>
        <w:t>厚</w:t>
      </w:r>
      <w:r>
        <w:rPr>
          <w:rFonts w:hint="eastAsia" w:ascii="宋体" w:hAnsi="宋体"/>
          <w:snapToGrid w:val="0"/>
          <w:kern w:val="0"/>
          <w:sz w:val="24"/>
        </w:rPr>
        <w:t>度为</w:t>
      </w:r>
      <w:r>
        <w:rPr>
          <w:rFonts w:ascii="宋体" w:hAnsi="宋体"/>
          <w:snapToGrid w:val="0"/>
          <w:kern w:val="0"/>
          <w:sz w:val="24"/>
        </w:rPr>
        <w:t>0.</w:t>
      </w:r>
      <w:r>
        <w:rPr>
          <w:rFonts w:hint="eastAsia" w:ascii="宋体" w:hAnsi="宋体"/>
          <w:snapToGrid w:val="0"/>
          <w:kern w:val="0"/>
          <w:sz w:val="24"/>
        </w:rPr>
        <w:t>30～5</w:t>
      </w:r>
      <w:r>
        <w:rPr>
          <w:rFonts w:ascii="宋体" w:hAnsi="宋体"/>
          <w:snapToGrid w:val="0"/>
          <w:kern w:val="0"/>
          <w:sz w:val="24"/>
        </w:rPr>
        <w:t>.</w:t>
      </w:r>
      <w:r>
        <w:rPr>
          <w:rFonts w:hint="eastAsia" w:ascii="宋体" w:hAnsi="宋体"/>
          <w:snapToGrid w:val="0"/>
          <w:kern w:val="0"/>
          <w:sz w:val="24"/>
        </w:rPr>
        <w:t>25m</w:t>
      </w:r>
      <w:r>
        <w:rPr>
          <w:rFonts w:ascii="宋体" w:hAnsi="宋体"/>
          <w:snapToGrid w:val="0"/>
          <w:kern w:val="0"/>
          <w:sz w:val="24"/>
        </w:rPr>
        <w:t>，平均厚度约1.</w:t>
      </w:r>
      <w:r>
        <w:rPr>
          <w:rFonts w:hint="eastAsia" w:ascii="宋体" w:hAnsi="宋体"/>
          <w:snapToGrid w:val="0"/>
          <w:kern w:val="0"/>
          <w:sz w:val="24"/>
        </w:rPr>
        <w:t>57m</w:t>
      </w:r>
      <w:r>
        <w:rPr>
          <w:rFonts w:ascii="宋体" w:hAnsi="宋体"/>
          <w:snapToGrid w:val="0"/>
          <w:kern w:val="0"/>
          <w:sz w:val="24"/>
        </w:rPr>
        <w:t>，属薄煤层，煤层</w:t>
      </w:r>
      <w:r>
        <w:rPr>
          <w:rFonts w:hint="eastAsia" w:ascii="宋体" w:hAnsi="宋体"/>
          <w:snapToGrid w:val="0"/>
          <w:kern w:val="0"/>
          <w:sz w:val="24"/>
        </w:rPr>
        <w:t>厚度</w:t>
      </w:r>
      <w:r>
        <w:rPr>
          <w:rFonts w:ascii="宋体" w:hAnsi="宋体"/>
          <w:snapToGrid w:val="0"/>
          <w:kern w:val="0"/>
          <w:sz w:val="24"/>
        </w:rPr>
        <w:t>变化较大，</w:t>
      </w:r>
      <w:r>
        <w:rPr>
          <w:rFonts w:hint="eastAsia" w:ascii="宋体" w:hAnsi="宋体"/>
          <w:snapToGrid w:val="0"/>
          <w:kern w:val="0"/>
          <w:sz w:val="24"/>
        </w:rPr>
        <w:t>且局部地段不可采，为大部可采煤层。煤层</w:t>
      </w:r>
      <w:r>
        <w:rPr>
          <w:rFonts w:ascii="宋体" w:hAnsi="宋体"/>
          <w:snapToGrid w:val="0"/>
          <w:kern w:val="0"/>
          <w:sz w:val="24"/>
        </w:rPr>
        <w:t>结构</w:t>
      </w:r>
      <w:r>
        <w:rPr>
          <w:rFonts w:hint="eastAsia" w:ascii="宋体" w:hAnsi="宋体"/>
          <w:snapToGrid w:val="0"/>
          <w:kern w:val="0"/>
          <w:sz w:val="24"/>
        </w:rPr>
        <w:t>简单</w:t>
      </w:r>
      <w:r>
        <w:rPr>
          <w:rFonts w:ascii="宋体" w:hAnsi="宋体"/>
          <w:snapToGrid w:val="0"/>
          <w:kern w:val="0"/>
          <w:sz w:val="24"/>
        </w:rPr>
        <w:t>，</w:t>
      </w:r>
      <w:r>
        <w:rPr>
          <w:rFonts w:hint="eastAsia" w:ascii="宋体" w:hAnsi="宋体"/>
          <w:snapToGrid w:val="0"/>
          <w:kern w:val="0"/>
          <w:sz w:val="24"/>
        </w:rPr>
        <w:t>仅局部含</w:t>
      </w:r>
      <w:r>
        <w:rPr>
          <w:rFonts w:ascii="宋体" w:hAnsi="宋体"/>
          <w:snapToGrid w:val="0"/>
          <w:kern w:val="0"/>
          <w:sz w:val="24"/>
        </w:rPr>
        <w:t>2</w:t>
      </w:r>
      <w:r>
        <w:rPr>
          <w:rFonts w:hint="eastAsia" w:ascii="宋体" w:hAnsi="宋体"/>
          <w:snapToGrid w:val="0"/>
          <w:kern w:val="0"/>
          <w:sz w:val="24"/>
        </w:rPr>
        <w:t>～</w:t>
      </w:r>
      <w:r>
        <w:rPr>
          <w:rFonts w:ascii="宋体" w:hAnsi="宋体"/>
          <w:snapToGrid w:val="0"/>
          <w:kern w:val="0"/>
          <w:sz w:val="24"/>
        </w:rPr>
        <w:t>3层高岭石粘土岩夹矸</w:t>
      </w:r>
      <w:r>
        <w:rPr>
          <w:rFonts w:hint="eastAsia" w:ascii="宋体" w:hAnsi="宋体"/>
          <w:snapToGrid w:val="0"/>
          <w:kern w:val="0"/>
          <w:sz w:val="24"/>
        </w:rPr>
        <w:t>。</w:t>
      </w:r>
      <w:r>
        <w:rPr>
          <w:rFonts w:ascii="宋体" w:hAnsi="宋体"/>
          <w:snapToGrid w:val="0"/>
          <w:kern w:val="0"/>
          <w:sz w:val="24"/>
        </w:rPr>
        <w:t>为较稳定煤层</w:t>
      </w:r>
      <w:r>
        <w:rPr>
          <w:rFonts w:hint="eastAsia" w:ascii="宋体" w:hAnsi="宋体"/>
          <w:snapToGrid w:val="0"/>
          <w:kern w:val="0"/>
          <w:sz w:val="24"/>
        </w:rPr>
        <w:t>。</w:t>
      </w:r>
      <w:r>
        <w:rPr>
          <w:rFonts w:ascii="宋体" w:hAnsi="宋体"/>
          <w:snapToGrid w:val="0"/>
          <w:kern w:val="0"/>
          <w:sz w:val="24"/>
        </w:rPr>
        <w:t>顶板以粉砂岩为主</w:t>
      </w:r>
      <w:r>
        <w:rPr>
          <w:rFonts w:hint="eastAsia" w:ascii="宋体" w:hAnsi="宋体"/>
          <w:snapToGrid w:val="0"/>
          <w:kern w:val="0"/>
          <w:sz w:val="24"/>
        </w:rPr>
        <w:t>、局部为细砂岩和粉砂质泥岩</w:t>
      </w:r>
      <w:r>
        <w:rPr>
          <w:rFonts w:ascii="宋体" w:hAnsi="宋体"/>
          <w:snapToGrid w:val="0"/>
          <w:kern w:val="0"/>
          <w:sz w:val="24"/>
        </w:rPr>
        <w:t>，底板为粘土岩。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w:t>
      </w:r>
      <w:r>
        <w:rPr>
          <w:rFonts w:ascii="宋体" w:hAnsi="宋体"/>
          <w:snapToGrid w:val="0"/>
          <w:kern w:val="0"/>
          <w:sz w:val="24"/>
        </w:rPr>
        <w:t>可采</w:t>
      </w:r>
      <w:r>
        <w:rPr>
          <w:rFonts w:hint="eastAsia" w:ascii="宋体" w:hAnsi="宋体"/>
          <w:snapToGrid w:val="0"/>
          <w:kern w:val="0"/>
          <w:sz w:val="24"/>
        </w:rPr>
        <w:t>煤层。</w:t>
      </w:r>
    </w:p>
    <w:p w14:paraId="2A1250BD">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⑻ </w:t>
      </w:r>
      <w:r>
        <w:rPr>
          <w:rFonts w:ascii="宋体" w:hAnsi="宋体"/>
          <w:snapToGrid w:val="0"/>
          <w:kern w:val="0"/>
          <w:sz w:val="24"/>
        </w:rPr>
        <w:t>K35</w:t>
      </w:r>
      <w:r>
        <w:rPr>
          <w:rFonts w:hint="eastAsia" w:ascii="宋体" w:hAnsi="宋体"/>
          <w:snapToGrid w:val="0"/>
          <w:kern w:val="0"/>
          <w:sz w:val="24"/>
        </w:rPr>
        <w:t>-</w:t>
      </w:r>
      <w:r>
        <w:rPr>
          <w:rFonts w:ascii="宋体" w:hAnsi="宋体"/>
          <w:snapToGrid w:val="0"/>
          <w:kern w:val="0"/>
          <w:sz w:val="24"/>
        </w:rPr>
        <w:t>b煤层：上距K26煤层15</w:t>
      </w:r>
      <w:r>
        <w:rPr>
          <w:rFonts w:hint="eastAsia" w:ascii="宋体" w:hAnsi="宋体"/>
          <w:snapToGrid w:val="0"/>
          <w:kern w:val="0"/>
          <w:sz w:val="24"/>
        </w:rPr>
        <w:t>～</w:t>
      </w:r>
      <w:r>
        <w:rPr>
          <w:rFonts w:ascii="宋体" w:hAnsi="宋体"/>
          <w:snapToGrid w:val="0"/>
          <w:kern w:val="0"/>
          <w:sz w:val="24"/>
        </w:rPr>
        <w:t>25</w:t>
      </w:r>
      <w:r>
        <w:rPr>
          <w:rFonts w:hint="eastAsia" w:ascii="宋体" w:hAnsi="宋体"/>
          <w:snapToGrid w:val="0"/>
          <w:kern w:val="0"/>
          <w:sz w:val="24"/>
        </w:rPr>
        <w:t>m</w:t>
      </w:r>
      <w:r>
        <w:rPr>
          <w:rFonts w:ascii="宋体" w:hAnsi="宋体"/>
          <w:snapToGrid w:val="0"/>
          <w:kern w:val="0"/>
          <w:sz w:val="24"/>
        </w:rPr>
        <w:t>，一般20</w:t>
      </w:r>
      <w:r>
        <w:rPr>
          <w:rFonts w:hint="eastAsia" w:ascii="宋体" w:hAnsi="宋体"/>
          <w:snapToGrid w:val="0"/>
          <w:kern w:val="0"/>
          <w:sz w:val="24"/>
        </w:rPr>
        <w:t>m</w:t>
      </w:r>
      <w:r>
        <w:rPr>
          <w:rFonts w:ascii="宋体" w:hAnsi="宋体"/>
          <w:snapToGrid w:val="0"/>
          <w:kern w:val="0"/>
          <w:sz w:val="24"/>
        </w:rPr>
        <w:t>左右，</w:t>
      </w:r>
      <w:r>
        <w:rPr>
          <w:rFonts w:hint="eastAsia" w:ascii="宋体" w:hAnsi="宋体"/>
          <w:snapToGrid w:val="0"/>
          <w:kern w:val="0"/>
          <w:sz w:val="24"/>
        </w:rPr>
        <w:t>两极</w:t>
      </w:r>
      <w:r>
        <w:rPr>
          <w:rFonts w:ascii="宋体" w:hAnsi="宋体"/>
          <w:snapToGrid w:val="0"/>
          <w:kern w:val="0"/>
          <w:sz w:val="24"/>
        </w:rPr>
        <w:t>厚</w:t>
      </w:r>
      <w:r>
        <w:rPr>
          <w:rFonts w:hint="eastAsia" w:ascii="宋体" w:hAnsi="宋体"/>
          <w:snapToGrid w:val="0"/>
          <w:kern w:val="0"/>
          <w:sz w:val="24"/>
        </w:rPr>
        <w:t>度为</w:t>
      </w:r>
      <w:r>
        <w:rPr>
          <w:rFonts w:ascii="宋体" w:hAnsi="宋体"/>
          <w:snapToGrid w:val="0"/>
          <w:kern w:val="0"/>
          <w:sz w:val="24"/>
        </w:rPr>
        <w:t>0.00</w:t>
      </w:r>
      <w:r>
        <w:rPr>
          <w:rFonts w:hint="eastAsia" w:ascii="宋体" w:hAnsi="宋体"/>
          <w:snapToGrid w:val="0"/>
          <w:kern w:val="0"/>
          <w:sz w:val="24"/>
        </w:rPr>
        <w:t>～</w:t>
      </w:r>
      <w:r>
        <w:rPr>
          <w:rFonts w:ascii="宋体" w:hAnsi="宋体"/>
          <w:snapToGrid w:val="0"/>
          <w:kern w:val="0"/>
          <w:sz w:val="24"/>
        </w:rPr>
        <w:t>4.46</w:t>
      </w:r>
      <w:r>
        <w:rPr>
          <w:rFonts w:hint="eastAsia" w:ascii="宋体" w:hAnsi="宋体"/>
          <w:snapToGrid w:val="0"/>
          <w:kern w:val="0"/>
          <w:sz w:val="24"/>
        </w:rPr>
        <w:t>m</w:t>
      </w:r>
      <w:r>
        <w:rPr>
          <w:rFonts w:ascii="宋体" w:hAnsi="宋体"/>
          <w:snapToGrid w:val="0"/>
          <w:kern w:val="0"/>
          <w:sz w:val="24"/>
        </w:rPr>
        <w:t>，平均厚度约0.81</w:t>
      </w:r>
      <w:r>
        <w:rPr>
          <w:rFonts w:hint="eastAsia" w:ascii="宋体" w:hAnsi="宋体"/>
          <w:snapToGrid w:val="0"/>
          <w:kern w:val="0"/>
          <w:sz w:val="24"/>
        </w:rPr>
        <w:t>m</w:t>
      </w:r>
      <w:r>
        <w:rPr>
          <w:rFonts w:ascii="宋体" w:hAnsi="宋体"/>
          <w:snapToGrid w:val="0"/>
          <w:kern w:val="0"/>
          <w:sz w:val="24"/>
        </w:rPr>
        <w:t>，为局部可采煤层。总的看来，煤层厚度变化较大，可采范围小，为不稳定煤层，顶板以粉砂岩及粉砂质泥岩为主，</w:t>
      </w:r>
      <w:r>
        <w:rPr>
          <w:rFonts w:hint="eastAsia" w:ascii="宋体" w:hAnsi="宋体"/>
          <w:snapToGrid w:val="0"/>
          <w:kern w:val="0"/>
          <w:sz w:val="24"/>
        </w:rPr>
        <w:t>次为细砂岩，</w:t>
      </w:r>
      <w:r>
        <w:rPr>
          <w:rFonts w:ascii="宋体" w:hAnsi="宋体"/>
          <w:snapToGrid w:val="0"/>
          <w:kern w:val="0"/>
          <w:sz w:val="24"/>
        </w:rPr>
        <w:t>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内为局部</w:t>
      </w:r>
      <w:r>
        <w:rPr>
          <w:rFonts w:ascii="宋体" w:hAnsi="宋体"/>
          <w:snapToGrid w:val="0"/>
          <w:kern w:val="0"/>
          <w:sz w:val="24"/>
        </w:rPr>
        <w:t>可采</w:t>
      </w:r>
      <w:r>
        <w:rPr>
          <w:rFonts w:hint="eastAsia" w:ascii="宋体" w:hAnsi="宋体"/>
          <w:snapToGrid w:val="0"/>
          <w:kern w:val="0"/>
          <w:sz w:val="24"/>
        </w:rPr>
        <w:t>煤层。</w:t>
      </w:r>
    </w:p>
    <w:p w14:paraId="73C58B9E">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⑼ </w:t>
      </w:r>
      <w:r>
        <w:rPr>
          <w:rFonts w:ascii="宋体" w:hAnsi="宋体"/>
          <w:snapToGrid w:val="0"/>
          <w:kern w:val="0"/>
          <w:sz w:val="24"/>
        </w:rPr>
        <w:t>K106-b煤层：位于P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1</w:t>
      </w:r>
      <w:r>
        <w:rPr>
          <w:rFonts w:ascii="宋体" w:hAnsi="宋体"/>
          <w:snapToGrid w:val="0"/>
          <w:kern w:val="0"/>
          <w:sz w:val="24"/>
        </w:rPr>
        <w:t>顶部，上距K35-b煤层230</w:t>
      </w:r>
      <w:r>
        <w:rPr>
          <w:rFonts w:hint="eastAsia" w:ascii="宋体" w:hAnsi="宋体"/>
          <w:snapToGrid w:val="0"/>
          <w:kern w:val="0"/>
          <w:sz w:val="24"/>
        </w:rPr>
        <w:t>～</w:t>
      </w:r>
      <w:r>
        <w:rPr>
          <w:rFonts w:ascii="宋体" w:hAnsi="宋体"/>
          <w:snapToGrid w:val="0"/>
          <w:kern w:val="0"/>
          <w:sz w:val="24"/>
        </w:rPr>
        <w:t>260</w:t>
      </w:r>
      <w:r>
        <w:rPr>
          <w:rFonts w:hint="eastAsia" w:ascii="宋体" w:hAnsi="宋体"/>
          <w:snapToGrid w:val="0"/>
          <w:kern w:val="0"/>
          <w:sz w:val="24"/>
        </w:rPr>
        <w:t>m</w:t>
      </w:r>
      <w:r>
        <w:rPr>
          <w:rFonts w:ascii="宋体" w:hAnsi="宋体"/>
          <w:snapToGrid w:val="0"/>
          <w:kern w:val="0"/>
          <w:sz w:val="24"/>
        </w:rPr>
        <w:t>，B7标志层为其顶板。煤层</w:t>
      </w:r>
      <w:r>
        <w:rPr>
          <w:rFonts w:hint="eastAsia" w:ascii="宋体" w:hAnsi="宋体"/>
          <w:snapToGrid w:val="0"/>
          <w:kern w:val="0"/>
          <w:sz w:val="24"/>
        </w:rPr>
        <w:t>两极</w:t>
      </w:r>
      <w:r>
        <w:rPr>
          <w:rFonts w:ascii="宋体" w:hAnsi="宋体"/>
          <w:snapToGrid w:val="0"/>
          <w:kern w:val="0"/>
          <w:sz w:val="24"/>
        </w:rPr>
        <w:t>厚</w:t>
      </w:r>
      <w:r>
        <w:rPr>
          <w:rFonts w:hint="eastAsia" w:ascii="宋体" w:hAnsi="宋体"/>
          <w:snapToGrid w:val="0"/>
          <w:kern w:val="0"/>
          <w:sz w:val="24"/>
        </w:rPr>
        <w:t>度为</w:t>
      </w:r>
      <w:r>
        <w:rPr>
          <w:rFonts w:ascii="宋体" w:hAnsi="宋体"/>
          <w:snapToGrid w:val="0"/>
          <w:kern w:val="0"/>
          <w:sz w:val="24"/>
        </w:rPr>
        <w:t>0.00</w:t>
      </w:r>
      <w:r>
        <w:rPr>
          <w:rFonts w:hint="eastAsia" w:ascii="宋体" w:hAnsi="宋体"/>
          <w:snapToGrid w:val="0"/>
          <w:kern w:val="0"/>
          <w:sz w:val="24"/>
        </w:rPr>
        <w:t>～</w:t>
      </w:r>
      <w:r>
        <w:rPr>
          <w:rFonts w:ascii="宋体" w:hAnsi="宋体"/>
          <w:snapToGrid w:val="0"/>
          <w:kern w:val="0"/>
          <w:sz w:val="24"/>
        </w:rPr>
        <w:t>3.29</w:t>
      </w:r>
      <w:r>
        <w:rPr>
          <w:rFonts w:hint="eastAsia" w:ascii="宋体" w:hAnsi="宋体"/>
          <w:snapToGrid w:val="0"/>
          <w:kern w:val="0"/>
          <w:sz w:val="24"/>
        </w:rPr>
        <w:t>m</w:t>
      </w:r>
      <w:r>
        <w:rPr>
          <w:rFonts w:ascii="宋体" w:hAnsi="宋体"/>
          <w:snapToGrid w:val="0"/>
          <w:kern w:val="0"/>
          <w:sz w:val="24"/>
        </w:rPr>
        <w:t>，平均厚度约1.72</w:t>
      </w:r>
      <w:r>
        <w:rPr>
          <w:rFonts w:hint="eastAsia" w:ascii="宋体" w:hAnsi="宋体"/>
          <w:snapToGrid w:val="0"/>
          <w:kern w:val="0"/>
          <w:sz w:val="24"/>
        </w:rPr>
        <w:t>m</w:t>
      </w:r>
      <w:r>
        <w:rPr>
          <w:rFonts w:ascii="宋体" w:hAnsi="宋体"/>
          <w:snapToGrid w:val="0"/>
          <w:kern w:val="0"/>
          <w:sz w:val="24"/>
        </w:rPr>
        <w:t>，属</w:t>
      </w:r>
      <w:r>
        <w:rPr>
          <w:rFonts w:hint="eastAsia" w:ascii="宋体" w:hAnsi="宋体"/>
          <w:snapToGrid w:val="0"/>
          <w:kern w:val="0"/>
          <w:sz w:val="24"/>
        </w:rPr>
        <w:t>中厚</w:t>
      </w:r>
      <w:r>
        <w:rPr>
          <w:rFonts w:ascii="宋体" w:hAnsi="宋体"/>
          <w:snapToGrid w:val="0"/>
          <w:kern w:val="0"/>
          <w:sz w:val="24"/>
        </w:rPr>
        <w:t>煤层</w:t>
      </w:r>
      <w:r>
        <w:rPr>
          <w:rFonts w:hint="eastAsia" w:ascii="宋体" w:hAnsi="宋体"/>
          <w:snapToGrid w:val="0"/>
          <w:kern w:val="0"/>
          <w:sz w:val="24"/>
        </w:rPr>
        <w:t>。煤层</w:t>
      </w:r>
      <w:r>
        <w:rPr>
          <w:rFonts w:ascii="宋体" w:hAnsi="宋体"/>
          <w:snapToGrid w:val="0"/>
          <w:kern w:val="0"/>
          <w:sz w:val="24"/>
        </w:rPr>
        <w:t>结构</w:t>
      </w:r>
      <w:r>
        <w:rPr>
          <w:rFonts w:hint="eastAsia" w:ascii="宋体" w:hAnsi="宋体"/>
          <w:snapToGrid w:val="0"/>
          <w:kern w:val="0"/>
          <w:sz w:val="24"/>
        </w:rPr>
        <w:t>较复杂，常有</w:t>
      </w:r>
      <w:r>
        <w:rPr>
          <w:rFonts w:ascii="宋体" w:hAnsi="宋体"/>
          <w:snapToGrid w:val="0"/>
          <w:kern w:val="0"/>
          <w:sz w:val="24"/>
        </w:rPr>
        <w:t>2</w:t>
      </w:r>
      <w:r>
        <w:rPr>
          <w:rFonts w:hint="eastAsia" w:ascii="宋体" w:hAnsi="宋体"/>
          <w:snapToGrid w:val="0"/>
          <w:kern w:val="0"/>
          <w:sz w:val="24"/>
        </w:rPr>
        <w:t>～</w:t>
      </w:r>
      <w:r>
        <w:rPr>
          <w:rFonts w:ascii="宋体" w:hAnsi="宋体"/>
          <w:snapToGrid w:val="0"/>
          <w:kern w:val="0"/>
          <w:sz w:val="24"/>
        </w:rPr>
        <w:t>3层高岭石粘土岩夹矸</w:t>
      </w:r>
      <w:r>
        <w:rPr>
          <w:rFonts w:hint="eastAsia" w:ascii="宋体" w:hAnsi="宋体"/>
          <w:snapToGrid w:val="0"/>
          <w:kern w:val="0"/>
          <w:sz w:val="24"/>
        </w:rPr>
        <w:t>。</w:t>
      </w:r>
      <w:r>
        <w:rPr>
          <w:rFonts w:ascii="宋体" w:hAnsi="宋体"/>
          <w:snapToGrid w:val="0"/>
          <w:kern w:val="0"/>
          <w:sz w:val="24"/>
        </w:rPr>
        <w:t>为</w:t>
      </w:r>
      <w:r>
        <w:rPr>
          <w:rFonts w:hint="eastAsia" w:ascii="宋体" w:hAnsi="宋体"/>
          <w:snapToGrid w:val="0"/>
          <w:kern w:val="0"/>
          <w:sz w:val="24"/>
        </w:rPr>
        <w:t>较</w:t>
      </w:r>
      <w:r>
        <w:rPr>
          <w:rFonts w:ascii="宋体" w:hAnsi="宋体"/>
          <w:snapToGrid w:val="0"/>
          <w:kern w:val="0"/>
          <w:sz w:val="24"/>
        </w:rPr>
        <w:t>稳定</w:t>
      </w:r>
      <w:r>
        <w:rPr>
          <w:rFonts w:hint="eastAsia" w:ascii="宋体" w:hAnsi="宋体"/>
          <w:snapToGrid w:val="0"/>
          <w:kern w:val="0"/>
          <w:sz w:val="24"/>
        </w:rPr>
        <w:t>的大部可采</w:t>
      </w:r>
      <w:r>
        <w:rPr>
          <w:rFonts w:ascii="宋体" w:hAnsi="宋体"/>
          <w:snapToGrid w:val="0"/>
          <w:kern w:val="0"/>
          <w:sz w:val="24"/>
        </w:rPr>
        <w:t>煤层，顶板以泥岩为主，底板为粘土岩。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内为局部</w:t>
      </w:r>
      <w:r>
        <w:rPr>
          <w:rFonts w:ascii="宋体" w:hAnsi="宋体"/>
          <w:snapToGrid w:val="0"/>
          <w:kern w:val="0"/>
          <w:sz w:val="24"/>
        </w:rPr>
        <w:t>可采</w:t>
      </w:r>
      <w:r>
        <w:rPr>
          <w:rFonts w:hint="eastAsia" w:ascii="宋体" w:hAnsi="宋体"/>
          <w:snapToGrid w:val="0"/>
          <w:kern w:val="0"/>
          <w:sz w:val="24"/>
        </w:rPr>
        <w:t>煤层。</w:t>
      </w:r>
    </w:p>
    <w:p w14:paraId="36D7DC72">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⑽ </w:t>
      </w:r>
      <w:r>
        <w:rPr>
          <w:rFonts w:ascii="宋体" w:hAnsi="宋体"/>
          <w:snapToGrid w:val="0"/>
          <w:kern w:val="0"/>
          <w:sz w:val="24"/>
        </w:rPr>
        <w:t>K109-b煤层：位于P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1</w:t>
      </w:r>
      <w:r>
        <w:rPr>
          <w:rFonts w:ascii="宋体" w:hAnsi="宋体"/>
          <w:snapToGrid w:val="0"/>
          <w:kern w:val="0"/>
          <w:sz w:val="24"/>
        </w:rPr>
        <w:t>中部，上距K106-b煤层一般20</w:t>
      </w:r>
      <w:r>
        <w:rPr>
          <w:rFonts w:hint="eastAsia" w:ascii="宋体" w:hAnsi="宋体"/>
          <w:snapToGrid w:val="0"/>
          <w:kern w:val="0"/>
          <w:sz w:val="24"/>
        </w:rPr>
        <w:t>～</w:t>
      </w:r>
      <w:r>
        <w:rPr>
          <w:rFonts w:ascii="宋体" w:hAnsi="宋体"/>
          <w:snapToGrid w:val="0"/>
          <w:kern w:val="0"/>
          <w:sz w:val="24"/>
        </w:rPr>
        <w:t>30</w:t>
      </w:r>
      <w:r>
        <w:rPr>
          <w:rFonts w:hint="eastAsia" w:ascii="宋体" w:hAnsi="宋体"/>
          <w:snapToGrid w:val="0"/>
          <w:kern w:val="0"/>
          <w:sz w:val="24"/>
        </w:rPr>
        <w:t>m</w:t>
      </w:r>
      <w:r>
        <w:rPr>
          <w:rFonts w:ascii="宋体" w:hAnsi="宋体"/>
          <w:snapToGrid w:val="0"/>
          <w:kern w:val="0"/>
          <w:sz w:val="24"/>
        </w:rPr>
        <w:t>，煤层</w:t>
      </w:r>
      <w:r>
        <w:rPr>
          <w:rFonts w:hint="eastAsia" w:ascii="宋体" w:hAnsi="宋体"/>
          <w:snapToGrid w:val="0"/>
          <w:kern w:val="0"/>
          <w:sz w:val="24"/>
        </w:rPr>
        <w:t>两极</w:t>
      </w:r>
      <w:r>
        <w:rPr>
          <w:rFonts w:ascii="宋体" w:hAnsi="宋体"/>
          <w:snapToGrid w:val="0"/>
          <w:kern w:val="0"/>
          <w:sz w:val="24"/>
        </w:rPr>
        <w:t>厚</w:t>
      </w:r>
      <w:r>
        <w:rPr>
          <w:rFonts w:hint="eastAsia" w:ascii="宋体" w:hAnsi="宋体"/>
          <w:snapToGrid w:val="0"/>
          <w:kern w:val="0"/>
          <w:sz w:val="24"/>
        </w:rPr>
        <w:t>度为</w:t>
      </w:r>
      <w:r>
        <w:rPr>
          <w:rFonts w:ascii="宋体" w:hAnsi="宋体"/>
          <w:snapToGrid w:val="0"/>
          <w:kern w:val="0"/>
          <w:sz w:val="24"/>
        </w:rPr>
        <w:t>0.</w:t>
      </w:r>
      <w:r>
        <w:rPr>
          <w:rFonts w:hint="eastAsia" w:ascii="宋体" w:hAnsi="宋体"/>
          <w:snapToGrid w:val="0"/>
          <w:kern w:val="0"/>
          <w:sz w:val="24"/>
        </w:rPr>
        <w:t>00～5</w:t>
      </w:r>
      <w:r>
        <w:rPr>
          <w:rFonts w:ascii="宋体" w:hAnsi="宋体"/>
          <w:snapToGrid w:val="0"/>
          <w:kern w:val="0"/>
          <w:sz w:val="24"/>
        </w:rPr>
        <w:t>.</w:t>
      </w:r>
      <w:r>
        <w:rPr>
          <w:rFonts w:hint="eastAsia" w:ascii="宋体" w:hAnsi="宋体"/>
          <w:snapToGrid w:val="0"/>
          <w:kern w:val="0"/>
          <w:sz w:val="24"/>
        </w:rPr>
        <w:t>10m</w:t>
      </w:r>
      <w:r>
        <w:rPr>
          <w:rFonts w:ascii="宋体" w:hAnsi="宋体"/>
          <w:snapToGrid w:val="0"/>
          <w:kern w:val="0"/>
          <w:sz w:val="24"/>
        </w:rPr>
        <w:t>，平均厚度约1.</w:t>
      </w:r>
      <w:r>
        <w:rPr>
          <w:rFonts w:hint="eastAsia" w:ascii="宋体" w:hAnsi="宋体"/>
          <w:snapToGrid w:val="0"/>
          <w:kern w:val="0"/>
          <w:sz w:val="24"/>
        </w:rPr>
        <w:t>58m</w:t>
      </w:r>
      <w:r>
        <w:rPr>
          <w:rFonts w:ascii="宋体" w:hAnsi="宋体"/>
          <w:snapToGrid w:val="0"/>
          <w:kern w:val="0"/>
          <w:sz w:val="24"/>
        </w:rPr>
        <w:t>，煤层</w:t>
      </w:r>
      <w:r>
        <w:rPr>
          <w:rFonts w:hint="eastAsia" w:ascii="宋体" w:hAnsi="宋体"/>
          <w:snapToGrid w:val="0"/>
          <w:kern w:val="0"/>
          <w:sz w:val="24"/>
        </w:rPr>
        <w:t>厚度</w:t>
      </w:r>
      <w:r>
        <w:rPr>
          <w:rFonts w:ascii="宋体" w:hAnsi="宋体"/>
          <w:snapToGrid w:val="0"/>
          <w:kern w:val="0"/>
          <w:sz w:val="24"/>
        </w:rPr>
        <w:t>变化较大，</w:t>
      </w:r>
      <w:r>
        <w:rPr>
          <w:rFonts w:hint="eastAsia" w:ascii="宋体" w:hAnsi="宋体"/>
          <w:snapToGrid w:val="0"/>
          <w:kern w:val="0"/>
          <w:sz w:val="24"/>
        </w:rPr>
        <w:t>不可采点分布比较零星，为大部可采煤层。煤层</w:t>
      </w:r>
      <w:r>
        <w:rPr>
          <w:rFonts w:ascii="宋体" w:hAnsi="宋体"/>
          <w:snapToGrid w:val="0"/>
          <w:kern w:val="0"/>
          <w:sz w:val="24"/>
        </w:rPr>
        <w:t>结构</w:t>
      </w:r>
      <w:r>
        <w:rPr>
          <w:rFonts w:hint="eastAsia" w:ascii="宋体" w:hAnsi="宋体"/>
          <w:snapToGrid w:val="0"/>
          <w:kern w:val="0"/>
          <w:sz w:val="24"/>
        </w:rPr>
        <w:t>较简单，仅见一层粘土岩夹矸，</w:t>
      </w:r>
      <w:r>
        <w:rPr>
          <w:rFonts w:ascii="宋体" w:hAnsi="宋体"/>
          <w:snapToGrid w:val="0"/>
          <w:kern w:val="0"/>
          <w:sz w:val="24"/>
        </w:rPr>
        <w:t>为不稳定煤层，顶板以泥岩为主，底板为粘土岩。</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内为大部</w:t>
      </w:r>
      <w:r>
        <w:rPr>
          <w:rFonts w:ascii="宋体" w:hAnsi="宋体"/>
          <w:snapToGrid w:val="0"/>
          <w:kern w:val="0"/>
          <w:sz w:val="24"/>
        </w:rPr>
        <w:t>可采</w:t>
      </w:r>
      <w:r>
        <w:rPr>
          <w:rFonts w:hint="eastAsia" w:ascii="宋体" w:hAnsi="宋体"/>
          <w:snapToGrid w:val="0"/>
          <w:kern w:val="0"/>
          <w:sz w:val="24"/>
        </w:rPr>
        <w:t>煤层。</w:t>
      </w:r>
    </w:p>
    <w:p w14:paraId="02728C46">
      <w:pPr>
        <w:spacing w:line="360" w:lineRule="auto"/>
        <w:ind w:firstLine="480" w:firstLineChars="200"/>
        <w:rPr>
          <w:rFonts w:ascii="宋体" w:hAnsi="宋体"/>
          <w:snapToGrid w:val="0"/>
          <w:kern w:val="0"/>
          <w:sz w:val="24"/>
        </w:rPr>
      </w:pPr>
      <w:r>
        <w:rPr>
          <w:rFonts w:hint="eastAsia" w:ascii="宋体" w:hAnsi="宋体" w:cs="宋体"/>
          <w:snapToGrid w:val="0"/>
          <w:kern w:val="0"/>
          <w:sz w:val="24"/>
        </w:rPr>
        <w:t xml:space="preserve">⑾ </w:t>
      </w:r>
      <w:r>
        <w:rPr>
          <w:rFonts w:ascii="宋体" w:hAnsi="宋体"/>
          <w:snapToGrid w:val="0"/>
          <w:kern w:val="0"/>
          <w:sz w:val="24"/>
        </w:rPr>
        <w:t>K110</w:t>
      </w:r>
      <w:r>
        <w:rPr>
          <w:rFonts w:hint="eastAsia" w:ascii="宋体" w:hAnsi="宋体"/>
          <w:snapToGrid w:val="0"/>
          <w:kern w:val="0"/>
          <w:sz w:val="24"/>
        </w:rPr>
        <w:t>-</w:t>
      </w:r>
      <w:r>
        <w:rPr>
          <w:rFonts w:ascii="宋体" w:hAnsi="宋体"/>
          <w:snapToGrid w:val="0"/>
          <w:kern w:val="0"/>
          <w:sz w:val="24"/>
        </w:rPr>
        <w:t>a：位于P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1</w:t>
      </w:r>
      <w:r>
        <w:rPr>
          <w:rFonts w:ascii="宋体" w:hAnsi="宋体"/>
          <w:snapToGrid w:val="0"/>
          <w:kern w:val="0"/>
          <w:sz w:val="24"/>
        </w:rPr>
        <w:t>底部，上距K109-b煤层10</w:t>
      </w:r>
      <w:r>
        <w:rPr>
          <w:rFonts w:hint="eastAsia" w:ascii="宋体" w:hAnsi="宋体"/>
          <w:snapToGrid w:val="0"/>
          <w:kern w:val="0"/>
          <w:sz w:val="24"/>
        </w:rPr>
        <w:t>～</w:t>
      </w:r>
      <w:r>
        <w:rPr>
          <w:rFonts w:ascii="宋体" w:hAnsi="宋体"/>
          <w:snapToGrid w:val="0"/>
          <w:kern w:val="0"/>
          <w:sz w:val="24"/>
        </w:rPr>
        <w:t>15</w:t>
      </w:r>
      <w:r>
        <w:rPr>
          <w:rFonts w:hint="eastAsia" w:ascii="宋体" w:hAnsi="宋体"/>
          <w:snapToGrid w:val="0"/>
          <w:kern w:val="0"/>
          <w:sz w:val="24"/>
        </w:rPr>
        <w:t>m</w:t>
      </w:r>
      <w:r>
        <w:rPr>
          <w:rFonts w:ascii="宋体" w:hAnsi="宋体"/>
          <w:snapToGrid w:val="0"/>
          <w:kern w:val="0"/>
          <w:sz w:val="24"/>
        </w:rPr>
        <w:t>，</w:t>
      </w:r>
      <w:r>
        <w:rPr>
          <w:rFonts w:hint="eastAsia" w:ascii="宋体" w:hAnsi="宋体"/>
          <w:snapToGrid w:val="0"/>
          <w:kern w:val="0"/>
          <w:sz w:val="24"/>
        </w:rPr>
        <w:t>煤层</w:t>
      </w:r>
      <w:r>
        <w:rPr>
          <w:rFonts w:ascii="宋体" w:hAnsi="宋体"/>
          <w:snapToGrid w:val="0"/>
          <w:kern w:val="0"/>
          <w:sz w:val="24"/>
        </w:rPr>
        <w:t>两极厚</w:t>
      </w:r>
      <w:r>
        <w:rPr>
          <w:rFonts w:hint="eastAsia" w:ascii="宋体" w:hAnsi="宋体"/>
          <w:snapToGrid w:val="0"/>
          <w:kern w:val="0"/>
          <w:sz w:val="24"/>
        </w:rPr>
        <w:t>度为</w:t>
      </w:r>
      <w:r>
        <w:rPr>
          <w:rFonts w:ascii="宋体" w:hAnsi="宋体"/>
          <w:snapToGrid w:val="0"/>
          <w:kern w:val="0"/>
          <w:sz w:val="24"/>
        </w:rPr>
        <w:t>0.00</w:t>
      </w:r>
      <w:r>
        <w:rPr>
          <w:rFonts w:hint="eastAsia" w:ascii="宋体" w:hAnsi="宋体"/>
          <w:snapToGrid w:val="0"/>
          <w:kern w:val="0"/>
          <w:sz w:val="24"/>
        </w:rPr>
        <w:t>～</w:t>
      </w:r>
      <w:r>
        <w:rPr>
          <w:rFonts w:ascii="宋体" w:hAnsi="宋体"/>
          <w:snapToGrid w:val="0"/>
          <w:kern w:val="0"/>
          <w:sz w:val="24"/>
        </w:rPr>
        <w:t>5.71</w:t>
      </w:r>
      <w:r>
        <w:rPr>
          <w:rFonts w:hint="eastAsia" w:ascii="宋体" w:hAnsi="宋体"/>
          <w:snapToGrid w:val="0"/>
          <w:kern w:val="0"/>
          <w:sz w:val="24"/>
        </w:rPr>
        <w:t>m</w:t>
      </w:r>
      <w:r>
        <w:rPr>
          <w:rFonts w:ascii="宋体" w:hAnsi="宋体"/>
          <w:snapToGrid w:val="0"/>
          <w:kern w:val="0"/>
          <w:sz w:val="24"/>
        </w:rPr>
        <w:t>，平均厚度约1.48</w:t>
      </w:r>
      <w:r>
        <w:rPr>
          <w:rFonts w:hint="eastAsia" w:ascii="宋体" w:hAnsi="宋体"/>
          <w:snapToGrid w:val="0"/>
          <w:kern w:val="0"/>
          <w:sz w:val="24"/>
        </w:rPr>
        <w:t>m</w:t>
      </w:r>
      <w:r>
        <w:rPr>
          <w:rFonts w:ascii="宋体" w:hAnsi="宋体"/>
          <w:snapToGrid w:val="0"/>
          <w:kern w:val="0"/>
          <w:sz w:val="24"/>
        </w:rPr>
        <w:t>，煤层变化较大，为不稳定煤层，顶板以泥岩为主，底板为粘土岩。该煤层西部较厚，向东逐渐变薄，至A12线以东已不可采或尖灭</w:t>
      </w:r>
      <w:r>
        <w:rPr>
          <w:rFonts w:hint="eastAsia" w:ascii="宋体" w:hAnsi="宋体"/>
          <w:snapToGrid w:val="0"/>
          <w:kern w:val="0"/>
          <w:sz w:val="24"/>
        </w:rPr>
        <w:t>，为大部</w:t>
      </w:r>
      <w:r>
        <w:rPr>
          <w:rFonts w:ascii="宋体" w:hAnsi="宋体"/>
          <w:snapToGrid w:val="0"/>
          <w:kern w:val="0"/>
          <w:sz w:val="24"/>
        </w:rPr>
        <w:t>可采</w:t>
      </w:r>
      <w:r>
        <w:rPr>
          <w:rFonts w:hint="eastAsia" w:ascii="宋体" w:hAnsi="宋体"/>
          <w:snapToGrid w:val="0"/>
          <w:kern w:val="0"/>
          <w:sz w:val="24"/>
        </w:rPr>
        <w:t>煤层</w:t>
      </w:r>
      <w:r>
        <w:rPr>
          <w:rFonts w:ascii="宋体" w:hAnsi="宋体"/>
          <w:snapToGrid w:val="0"/>
          <w:kern w:val="0"/>
          <w:sz w:val="24"/>
        </w:rPr>
        <w:t>。</w:t>
      </w:r>
      <w:r>
        <w:rPr>
          <w:rFonts w:hint="eastAsia" w:ascii="宋体" w:hAnsi="宋体"/>
          <w:snapToGrid w:val="0"/>
          <w:kern w:val="0"/>
          <w:sz w:val="24"/>
        </w:rPr>
        <w:t>煤层</w:t>
      </w:r>
      <w:r>
        <w:rPr>
          <w:rFonts w:ascii="宋体" w:hAnsi="宋体"/>
          <w:snapToGrid w:val="0"/>
          <w:kern w:val="0"/>
          <w:sz w:val="24"/>
        </w:rPr>
        <w:t>结构</w:t>
      </w:r>
      <w:r>
        <w:rPr>
          <w:rFonts w:hint="eastAsia" w:ascii="宋体" w:hAnsi="宋体"/>
          <w:snapToGrid w:val="0"/>
          <w:kern w:val="0"/>
          <w:sz w:val="24"/>
        </w:rPr>
        <w:t>较复杂，常含</w:t>
      </w:r>
      <w:r>
        <w:rPr>
          <w:rFonts w:ascii="宋体" w:hAnsi="宋体"/>
          <w:snapToGrid w:val="0"/>
          <w:kern w:val="0"/>
          <w:sz w:val="24"/>
        </w:rPr>
        <w:t>2</w:t>
      </w:r>
      <w:r>
        <w:rPr>
          <w:rFonts w:hint="eastAsia" w:ascii="宋体" w:hAnsi="宋体"/>
          <w:snapToGrid w:val="0"/>
          <w:kern w:val="0"/>
          <w:sz w:val="24"/>
        </w:rPr>
        <w:t>～4</w:t>
      </w:r>
      <w:r>
        <w:rPr>
          <w:rFonts w:ascii="宋体" w:hAnsi="宋体"/>
          <w:snapToGrid w:val="0"/>
          <w:kern w:val="0"/>
          <w:sz w:val="24"/>
        </w:rPr>
        <w:t>层粘土岩夹矸</w:t>
      </w:r>
      <w:r>
        <w:rPr>
          <w:rFonts w:hint="eastAsia" w:ascii="宋体" w:hAnsi="宋体"/>
          <w:snapToGrid w:val="0"/>
          <w:kern w:val="0"/>
          <w:sz w:val="24"/>
        </w:rPr>
        <w:t>。</w:t>
      </w:r>
      <w:r>
        <w:rPr>
          <w:rFonts w:ascii="宋体" w:hAnsi="宋体"/>
          <w:snapToGrid w:val="0"/>
          <w:kern w:val="0"/>
          <w:sz w:val="24"/>
        </w:rPr>
        <w:t>为</w:t>
      </w:r>
      <w:r>
        <w:rPr>
          <w:rFonts w:hint="eastAsia" w:ascii="宋体" w:hAnsi="宋体"/>
          <w:snapToGrid w:val="0"/>
          <w:kern w:val="0"/>
          <w:sz w:val="24"/>
        </w:rPr>
        <w:t>较</w:t>
      </w:r>
      <w:r>
        <w:rPr>
          <w:rFonts w:ascii="宋体" w:hAnsi="宋体"/>
          <w:snapToGrid w:val="0"/>
          <w:kern w:val="0"/>
          <w:sz w:val="24"/>
        </w:rPr>
        <w:t>稳定煤层，</w:t>
      </w:r>
      <w:r>
        <w:rPr>
          <w:rFonts w:hint="eastAsia" w:ascii="宋体" w:hAnsi="宋体"/>
          <w:snapToGrid w:val="0"/>
          <w:kern w:val="0"/>
          <w:sz w:val="24"/>
        </w:rPr>
        <w:t>其</w:t>
      </w:r>
      <w:r>
        <w:rPr>
          <w:rFonts w:ascii="宋体" w:hAnsi="宋体"/>
          <w:snapToGrid w:val="0"/>
          <w:kern w:val="0"/>
          <w:sz w:val="24"/>
        </w:rPr>
        <w:t>顶板</w:t>
      </w:r>
      <w:r>
        <w:rPr>
          <w:rFonts w:hint="eastAsia" w:ascii="宋体" w:hAnsi="宋体"/>
          <w:snapToGrid w:val="0"/>
          <w:kern w:val="0"/>
          <w:sz w:val="24"/>
        </w:rPr>
        <w:t>为</w:t>
      </w:r>
      <w:r>
        <w:rPr>
          <w:rFonts w:ascii="宋体" w:hAnsi="宋体"/>
          <w:snapToGrid w:val="0"/>
          <w:kern w:val="0"/>
          <w:sz w:val="24"/>
        </w:rPr>
        <w:t>泥岩</w:t>
      </w:r>
      <w:r>
        <w:rPr>
          <w:rFonts w:hint="eastAsia" w:ascii="宋体" w:hAnsi="宋体"/>
          <w:snapToGrid w:val="0"/>
          <w:kern w:val="0"/>
          <w:sz w:val="24"/>
        </w:rPr>
        <w:t>，少数为粉砂质泥岩及炭质泥岩</w:t>
      </w:r>
      <w:r>
        <w:rPr>
          <w:rFonts w:ascii="宋体" w:hAnsi="宋体"/>
          <w:snapToGrid w:val="0"/>
          <w:kern w:val="0"/>
          <w:sz w:val="24"/>
        </w:rPr>
        <w:t>，底板为粘土岩</w:t>
      </w:r>
      <w:r>
        <w:rPr>
          <w:rFonts w:hint="eastAsia" w:ascii="宋体" w:hAnsi="宋体"/>
          <w:snapToGrid w:val="0"/>
          <w:kern w:val="0"/>
          <w:sz w:val="24"/>
        </w:rPr>
        <w:t>，少数为泥岩</w:t>
      </w:r>
      <w:r>
        <w:rPr>
          <w:rFonts w:ascii="宋体" w:hAnsi="宋体"/>
          <w:snapToGrid w:val="0"/>
          <w:kern w:val="0"/>
          <w:sz w:val="24"/>
        </w:rPr>
        <w:t>。</w:t>
      </w:r>
      <w:r>
        <w:rPr>
          <w:rFonts w:hint="eastAsia" w:ascii="宋体" w:hAnsi="宋体"/>
          <w:snapToGrid w:val="0"/>
          <w:kern w:val="0"/>
          <w:sz w:val="24"/>
        </w:rPr>
        <w:t>在大坪</w:t>
      </w:r>
      <w:r>
        <w:rPr>
          <w:rFonts w:ascii="宋体" w:hAnsi="宋体"/>
          <w:snapToGrid w:val="0"/>
          <w:kern w:val="0"/>
          <w:sz w:val="24"/>
        </w:rPr>
        <w:t>煤矿矿权范围</w:t>
      </w:r>
      <w:r>
        <w:rPr>
          <w:rFonts w:hint="eastAsia" w:ascii="宋体" w:hAnsi="宋体"/>
          <w:snapToGrid w:val="0"/>
          <w:kern w:val="0"/>
          <w:sz w:val="24"/>
        </w:rPr>
        <w:t>内为</w:t>
      </w:r>
      <w:r>
        <w:rPr>
          <w:rFonts w:ascii="宋体" w:hAnsi="宋体"/>
          <w:snapToGrid w:val="0"/>
          <w:kern w:val="0"/>
          <w:sz w:val="24"/>
        </w:rPr>
        <w:t>可采</w:t>
      </w:r>
      <w:r>
        <w:rPr>
          <w:rFonts w:hint="eastAsia" w:ascii="宋体" w:hAnsi="宋体"/>
          <w:snapToGrid w:val="0"/>
          <w:kern w:val="0"/>
          <w:sz w:val="24"/>
        </w:rPr>
        <w:t>煤层。</w:t>
      </w:r>
    </w:p>
    <w:p w14:paraId="3D7D2C09">
      <w:pPr>
        <w:autoSpaceDE w:val="0"/>
        <w:autoSpaceDN w:val="0"/>
        <w:adjustRightInd w:val="0"/>
        <w:spacing w:line="360" w:lineRule="auto"/>
        <w:ind w:firstLine="480" w:firstLineChars="200"/>
        <w:textAlignment w:val="center"/>
        <w:rPr>
          <w:rFonts w:hint="eastAsia" w:ascii="宋体" w:hAnsi="宋体" w:cs="宋体"/>
          <w:color w:val="000000"/>
          <w:kern w:val="24"/>
          <w:sz w:val="24"/>
        </w:rPr>
      </w:pPr>
      <w:r>
        <w:rPr>
          <w:rFonts w:ascii="宋体" w:hAnsi="宋体"/>
          <w:snapToGrid w:val="0"/>
          <w:kern w:val="0"/>
          <w:sz w:val="24"/>
        </w:rPr>
        <w:t>综上所述，</w:t>
      </w:r>
      <w:r>
        <w:rPr>
          <w:rFonts w:hint="eastAsia" w:ascii="宋体" w:hAnsi="宋体"/>
          <w:snapToGrid w:val="0"/>
          <w:kern w:val="0"/>
          <w:sz w:val="24"/>
        </w:rPr>
        <w:t>通过大量的地质综合对比工作，井田内可采与局部可采煤层已经查明。主要煤层比较稳定，标志层多也比较稳定，确定参与储量计算的煤层依据充分，对比可靠。</w:t>
      </w:r>
      <w:r>
        <w:rPr>
          <w:rFonts w:hint="eastAsia" w:ascii="宋体" w:hAnsi="宋体" w:cs="宋体"/>
          <w:color w:val="000000"/>
          <w:kern w:val="24"/>
          <w:sz w:val="24"/>
        </w:rPr>
        <w:t>各煤层情况见</w:t>
      </w:r>
      <w:r>
        <w:rPr>
          <w:rFonts w:hint="eastAsia" w:ascii="宋体" w:hAnsi="宋体" w:cs="宋体"/>
          <w:b/>
          <w:color w:val="000000"/>
          <w:kern w:val="24"/>
          <w:sz w:val="24"/>
        </w:rPr>
        <w:t>表1－2－1</w:t>
      </w:r>
      <w:r>
        <w:rPr>
          <w:rFonts w:hint="eastAsia" w:ascii="宋体" w:hAnsi="宋体" w:cs="宋体"/>
          <w:color w:val="000000"/>
          <w:kern w:val="24"/>
          <w:sz w:val="24"/>
        </w:rPr>
        <w:t>可采煤层特征表。</w:t>
      </w:r>
    </w:p>
    <w:p w14:paraId="16362133">
      <w:pPr>
        <w:spacing w:line="360" w:lineRule="auto"/>
        <w:ind w:firstLine="482" w:firstLineChars="200"/>
        <w:jc w:val="center"/>
        <w:rPr>
          <w:rFonts w:hint="eastAsia" w:ascii="宋体" w:hAnsi="宋体"/>
          <w:b/>
          <w:color w:val="000000"/>
          <w:kern w:val="24"/>
          <w:sz w:val="24"/>
        </w:rPr>
      </w:pPr>
      <w:r>
        <w:rPr>
          <w:rFonts w:hint="eastAsia" w:ascii="宋体" w:hAnsi="宋体"/>
          <w:b/>
          <w:color w:val="000000"/>
          <w:kern w:val="24"/>
          <w:sz w:val="24"/>
        </w:rPr>
        <w:t>表1－2－1　　可采煤层特征表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560"/>
        <w:gridCol w:w="1489"/>
        <w:gridCol w:w="1489"/>
        <w:gridCol w:w="930"/>
        <w:gridCol w:w="744"/>
        <w:gridCol w:w="930"/>
        <w:gridCol w:w="744"/>
        <w:gridCol w:w="1303"/>
      </w:tblGrid>
      <w:tr w14:paraId="7CE7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2082E11B">
            <w:pPr>
              <w:jc w:val="center"/>
              <w:rPr>
                <w:rFonts w:ascii="宋体" w:hAnsi="宋体"/>
                <w:snapToGrid w:val="0"/>
                <w:kern w:val="0"/>
                <w:szCs w:val="21"/>
                <w:lang w:val="en-GB"/>
              </w:rPr>
            </w:pPr>
            <w:r>
              <w:rPr>
                <w:rFonts w:ascii="宋体" w:hAnsi="宋体"/>
                <w:snapToGrid w:val="0"/>
                <w:kern w:val="0"/>
                <w:szCs w:val="21"/>
                <w:lang w:val="en-GB"/>
              </w:rPr>
              <w:t>煤层</w:t>
            </w:r>
          </w:p>
          <w:p w14:paraId="3DE525C9">
            <w:pPr>
              <w:jc w:val="center"/>
              <w:rPr>
                <w:rFonts w:ascii="宋体" w:hAnsi="宋体"/>
                <w:snapToGrid w:val="0"/>
                <w:kern w:val="0"/>
                <w:szCs w:val="21"/>
                <w:lang w:val="en-GB"/>
              </w:rPr>
            </w:pPr>
            <w:r>
              <w:rPr>
                <w:rFonts w:ascii="宋体" w:hAnsi="宋体"/>
                <w:snapToGrid w:val="0"/>
                <w:kern w:val="0"/>
                <w:szCs w:val="21"/>
                <w:lang w:val="en-GB"/>
              </w:rPr>
              <w:t>编号</w:t>
            </w:r>
          </w:p>
        </w:tc>
        <w:tc>
          <w:tcPr>
            <w:tcW w:w="560" w:type="dxa"/>
            <w:vMerge w:val="restart"/>
            <w:noWrap w:val="0"/>
            <w:vAlign w:val="center"/>
          </w:tcPr>
          <w:p w14:paraId="164D5D10">
            <w:pPr>
              <w:jc w:val="center"/>
              <w:rPr>
                <w:rFonts w:hint="eastAsia" w:ascii="宋体" w:hAnsi="宋体"/>
                <w:snapToGrid w:val="0"/>
                <w:kern w:val="0"/>
                <w:szCs w:val="21"/>
                <w:lang w:val="en-GB"/>
              </w:rPr>
            </w:pPr>
            <w:r>
              <w:rPr>
                <w:rFonts w:hint="eastAsia" w:ascii="宋体" w:hAnsi="宋体"/>
                <w:snapToGrid w:val="0"/>
                <w:kern w:val="0"/>
                <w:szCs w:val="21"/>
                <w:lang w:val="en-GB"/>
              </w:rPr>
              <w:t>位置</w:t>
            </w:r>
          </w:p>
        </w:tc>
        <w:tc>
          <w:tcPr>
            <w:tcW w:w="1489" w:type="dxa"/>
            <w:noWrap w:val="0"/>
            <w:vAlign w:val="center"/>
          </w:tcPr>
          <w:p w14:paraId="47816A12">
            <w:pPr>
              <w:jc w:val="center"/>
              <w:rPr>
                <w:rFonts w:ascii="宋体" w:hAnsi="宋体"/>
                <w:snapToGrid w:val="0"/>
                <w:kern w:val="0"/>
                <w:szCs w:val="21"/>
                <w:lang w:val="en-GB"/>
              </w:rPr>
            </w:pPr>
            <w:r>
              <w:rPr>
                <w:rFonts w:hint="eastAsia" w:ascii="宋体" w:hAnsi="宋体"/>
                <w:snapToGrid w:val="0"/>
                <w:kern w:val="0"/>
                <w:szCs w:val="21"/>
                <w:lang w:val="en-GB"/>
              </w:rPr>
              <w:t>煤层厚度</w:t>
            </w:r>
            <w:r>
              <w:rPr>
                <w:rFonts w:ascii="宋体" w:hAnsi="宋体"/>
                <w:snapToGrid w:val="0"/>
                <w:kern w:val="0"/>
                <w:szCs w:val="21"/>
                <w:lang w:val="en-GB"/>
              </w:rPr>
              <w:t>（m）</w:t>
            </w:r>
          </w:p>
        </w:tc>
        <w:tc>
          <w:tcPr>
            <w:tcW w:w="1489" w:type="dxa"/>
            <w:noWrap w:val="0"/>
            <w:vAlign w:val="center"/>
          </w:tcPr>
          <w:p w14:paraId="6F6A64C0">
            <w:pPr>
              <w:jc w:val="center"/>
              <w:rPr>
                <w:rFonts w:ascii="宋体" w:hAnsi="宋体"/>
                <w:snapToGrid w:val="0"/>
                <w:kern w:val="0"/>
                <w:szCs w:val="21"/>
                <w:lang w:val="en-GB"/>
              </w:rPr>
            </w:pPr>
            <w:r>
              <w:rPr>
                <w:rFonts w:ascii="宋体" w:hAnsi="宋体"/>
                <w:snapToGrid w:val="0"/>
                <w:kern w:val="0"/>
                <w:szCs w:val="21"/>
                <w:lang w:val="en-GB"/>
              </w:rPr>
              <w:t>层间距（m）</w:t>
            </w:r>
          </w:p>
        </w:tc>
        <w:tc>
          <w:tcPr>
            <w:tcW w:w="930" w:type="dxa"/>
            <w:vMerge w:val="restart"/>
            <w:noWrap w:val="0"/>
            <w:vAlign w:val="center"/>
          </w:tcPr>
          <w:p w14:paraId="3DC85B6F">
            <w:pPr>
              <w:jc w:val="center"/>
              <w:rPr>
                <w:rFonts w:ascii="宋体" w:hAnsi="宋体"/>
                <w:szCs w:val="21"/>
              </w:rPr>
            </w:pPr>
            <w:r>
              <w:rPr>
                <w:rFonts w:ascii="宋体" w:hAnsi="宋体"/>
                <w:szCs w:val="21"/>
              </w:rPr>
              <w:t>煤</w:t>
            </w:r>
            <w:r>
              <w:rPr>
                <w:rFonts w:hint="eastAsia" w:ascii="宋体" w:hAnsi="宋体"/>
                <w:szCs w:val="21"/>
              </w:rPr>
              <w:t xml:space="preserve"> </w:t>
            </w:r>
            <w:r>
              <w:rPr>
                <w:rFonts w:ascii="宋体" w:hAnsi="宋体"/>
                <w:szCs w:val="21"/>
              </w:rPr>
              <w:t>层</w:t>
            </w:r>
          </w:p>
          <w:p w14:paraId="61642B07">
            <w:pPr>
              <w:jc w:val="center"/>
              <w:rPr>
                <w:rFonts w:ascii="宋体" w:hAnsi="宋体"/>
                <w:szCs w:val="21"/>
              </w:rPr>
            </w:pPr>
            <w:r>
              <w:rPr>
                <w:rFonts w:ascii="宋体" w:hAnsi="宋体"/>
                <w:szCs w:val="21"/>
              </w:rPr>
              <w:t>稳定性</w:t>
            </w:r>
          </w:p>
        </w:tc>
        <w:tc>
          <w:tcPr>
            <w:tcW w:w="744" w:type="dxa"/>
            <w:vMerge w:val="restart"/>
            <w:noWrap w:val="0"/>
            <w:vAlign w:val="center"/>
          </w:tcPr>
          <w:p w14:paraId="5A20E7D6">
            <w:pPr>
              <w:jc w:val="center"/>
              <w:rPr>
                <w:rFonts w:ascii="宋体" w:hAnsi="宋体"/>
                <w:szCs w:val="21"/>
              </w:rPr>
            </w:pPr>
            <w:r>
              <w:rPr>
                <w:rFonts w:ascii="宋体" w:hAnsi="宋体"/>
                <w:szCs w:val="21"/>
              </w:rPr>
              <w:t>夹矸</w:t>
            </w:r>
          </w:p>
          <w:p w14:paraId="7800BC50">
            <w:pPr>
              <w:jc w:val="center"/>
              <w:rPr>
                <w:rFonts w:ascii="宋体" w:hAnsi="宋体"/>
                <w:szCs w:val="21"/>
              </w:rPr>
            </w:pPr>
            <w:r>
              <w:rPr>
                <w:rFonts w:ascii="宋体" w:hAnsi="宋体"/>
                <w:szCs w:val="21"/>
              </w:rPr>
              <w:t>（层）</w:t>
            </w:r>
          </w:p>
        </w:tc>
        <w:tc>
          <w:tcPr>
            <w:tcW w:w="930" w:type="dxa"/>
            <w:vMerge w:val="restart"/>
            <w:noWrap w:val="0"/>
            <w:vAlign w:val="center"/>
          </w:tcPr>
          <w:p w14:paraId="0D1A0D7D">
            <w:pPr>
              <w:jc w:val="center"/>
              <w:rPr>
                <w:rFonts w:hint="eastAsia" w:ascii="宋体" w:hAnsi="宋体"/>
                <w:szCs w:val="21"/>
              </w:rPr>
            </w:pPr>
            <w:r>
              <w:rPr>
                <w:rFonts w:ascii="宋体" w:hAnsi="宋体"/>
                <w:szCs w:val="21"/>
              </w:rPr>
              <w:t>煤层</w:t>
            </w:r>
          </w:p>
          <w:p w14:paraId="1B13D02D">
            <w:pPr>
              <w:jc w:val="center"/>
              <w:rPr>
                <w:rFonts w:ascii="宋体" w:hAnsi="宋体"/>
                <w:szCs w:val="21"/>
              </w:rPr>
            </w:pPr>
            <w:r>
              <w:rPr>
                <w:rFonts w:ascii="宋体" w:hAnsi="宋体"/>
                <w:szCs w:val="21"/>
              </w:rPr>
              <w:t>结构</w:t>
            </w:r>
          </w:p>
        </w:tc>
        <w:tc>
          <w:tcPr>
            <w:tcW w:w="744" w:type="dxa"/>
            <w:vMerge w:val="restart"/>
            <w:noWrap w:val="0"/>
            <w:vAlign w:val="center"/>
          </w:tcPr>
          <w:p w14:paraId="254F5E92">
            <w:pPr>
              <w:jc w:val="center"/>
              <w:rPr>
                <w:rFonts w:hint="eastAsia" w:ascii="宋体" w:hAnsi="宋体"/>
                <w:szCs w:val="21"/>
              </w:rPr>
            </w:pPr>
            <w:r>
              <w:rPr>
                <w:rFonts w:hint="eastAsia" w:ascii="宋体" w:hAnsi="宋体"/>
                <w:szCs w:val="21"/>
              </w:rPr>
              <w:t>可采性</w:t>
            </w:r>
          </w:p>
        </w:tc>
        <w:tc>
          <w:tcPr>
            <w:tcW w:w="1303" w:type="dxa"/>
            <w:vMerge w:val="restart"/>
            <w:noWrap w:val="0"/>
            <w:vAlign w:val="center"/>
          </w:tcPr>
          <w:p w14:paraId="4F7DB9A0">
            <w:pPr>
              <w:jc w:val="center"/>
              <w:rPr>
                <w:rFonts w:hint="eastAsia" w:ascii="宋体" w:hAnsi="宋体"/>
                <w:szCs w:val="21"/>
              </w:rPr>
            </w:pPr>
            <w:r>
              <w:rPr>
                <w:rFonts w:hint="eastAsia" w:ascii="宋体" w:hAnsi="宋体"/>
                <w:szCs w:val="21"/>
              </w:rPr>
              <w:t>矿区范围</w:t>
            </w:r>
          </w:p>
          <w:p w14:paraId="3ED001F4">
            <w:pPr>
              <w:jc w:val="center"/>
              <w:rPr>
                <w:rFonts w:hint="eastAsia" w:ascii="宋体" w:hAnsi="宋体"/>
                <w:szCs w:val="21"/>
              </w:rPr>
            </w:pPr>
            <w:r>
              <w:rPr>
                <w:rFonts w:hint="eastAsia" w:ascii="宋体" w:hAnsi="宋体"/>
                <w:szCs w:val="21"/>
              </w:rPr>
              <w:t>可采性</w:t>
            </w:r>
          </w:p>
        </w:tc>
      </w:tr>
      <w:tr w14:paraId="7D79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2B87726B">
            <w:pPr>
              <w:rPr>
                <w:rFonts w:ascii="宋体" w:hAnsi="宋体"/>
                <w:snapToGrid w:val="0"/>
                <w:kern w:val="0"/>
                <w:szCs w:val="21"/>
                <w:lang w:val="en-GB"/>
              </w:rPr>
            </w:pPr>
          </w:p>
        </w:tc>
        <w:tc>
          <w:tcPr>
            <w:tcW w:w="560" w:type="dxa"/>
            <w:vMerge w:val="continue"/>
            <w:noWrap w:val="0"/>
            <w:vAlign w:val="center"/>
          </w:tcPr>
          <w:p w14:paraId="1877564E">
            <w:pPr>
              <w:rPr>
                <w:rFonts w:ascii="宋体" w:hAnsi="宋体"/>
                <w:snapToGrid w:val="0"/>
                <w:kern w:val="0"/>
                <w:szCs w:val="21"/>
                <w:lang w:val="en-GB"/>
              </w:rPr>
            </w:pPr>
          </w:p>
        </w:tc>
        <w:tc>
          <w:tcPr>
            <w:tcW w:w="1489" w:type="dxa"/>
            <w:noWrap w:val="0"/>
            <w:vAlign w:val="center"/>
          </w:tcPr>
          <w:p w14:paraId="7528FDD5">
            <w:pPr>
              <w:rPr>
                <w:rFonts w:ascii="宋体" w:hAnsi="宋体"/>
                <w:snapToGrid w:val="0"/>
                <w:kern w:val="0"/>
                <w:szCs w:val="21"/>
                <w:lang w:val="en-GB"/>
              </w:rPr>
            </w:pPr>
            <w:r>
              <w:rPr>
                <w:rFonts w:ascii="宋体" w:hAnsi="宋体"/>
                <w:snapToGrid w:val="0"/>
                <w:kern w:val="0"/>
                <w:szCs w:val="21"/>
                <w:lang w:val="en-GB"/>
              </w:rPr>
              <w:t>最小～最大</w:t>
            </w:r>
          </w:p>
        </w:tc>
        <w:tc>
          <w:tcPr>
            <w:tcW w:w="1489" w:type="dxa"/>
            <w:noWrap w:val="0"/>
            <w:vAlign w:val="center"/>
          </w:tcPr>
          <w:p w14:paraId="7F5A4485">
            <w:pPr>
              <w:rPr>
                <w:rFonts w:ascii="宋体" w:hAnsi="宋体"/>
                <w:snapToGrid w:val="0"/>
                <w:kern w:val="0"/>
                <w:szCs w:val="21"/>
                <w:lang w:val="en-GB"/>
              </w:rPr>
            </w:pPr>
            <w:r>
              <w:rPr>
                <w:rFonts w:ascii="宋体" w:hAnsi="宋体"/>
                <w:snapToGrid w:val="0"/>
                <w:kern w:val="0"/>
                <w:szCs w:val="21"/>
                <w:lang w:val="en-GB"/>
              </w:rPr>
              <w:t>最小～最大</w:t>
            </w:r>
          </w:p>
        </w:tc>
        <w:tc>
          <w:tcPr>
            <w:tcW w:w="930" w:type="dxa"/>
            <w:vMerge w:val="continue"/>
            <w:noWrap w:val="0"/>
            <w:vAlign w:val="center"/>
          </w:tcPr>
          <w:p w14:paraId="49C0F0D1">
            <w:pPr>
              <w:rPr>
                <w:rFonts w:ascii="宋体" w:hAnsi="宋体"/>
                <w:szCs w:val="21"/>
              </w:rPr>
            </w:pPr>
          </w:p>
        </w:tc>
        <w:tc>
          <w:tcPr>
            <w:tcW w:w="744" w:type="dxa"/>
            <w:vMerge w:val="continue"/>
            <w:noWrap w:val="0"/>
            <w:vAlign w:val="center"/>
          </w:tcPr>
          <w:p w14:paraId="16776155">
            <w:pPr>
              <w:rPr>
                <w:rFonts w:ascii="宋体" w:hAnsi="宋体"/>
                <w:szCs w:val="21"/>
              </w:rPr>
            </w:pPr>
          </w:p>
        </w:tc>
        <w:tc>
          <w:tcPr>
            <w:tcW w:w="930" w:type="dxa"/>
            <w:vMerge w:val="continue"/>
            <w:noWrap w:val="0"/>
            <w:vAlign w:val="center"/>
          </w:tcPr>
          <w:p w14:paraId="695649B4">
            <w:pPr>
              <w:jc w:val="center"/>
              <w:rPr>
                <w:rFonts w:ascii="宋体" w:hAnsi="宋体"/>
                <w:szCs w:val="21"/>
              </w:rPr>
            </w:pPr>
          </w:p>
        </w:tc>
        <w:tc>
          <w:tcPr>
            <w:tcW w:w="744" w:type="dxa"/>
            <w:vMerge w:val="continue"/>
            <w:noWrap w:val="0"/>
            <w:vAlign w:val="center"/>
          </w:tcPr>
          <w:p w14:paraId="084B2862">
            <w:pPr>
              <w:jc w:val="center"/>
              <w:rPr>
                <w:rFonts w:ascii="宋体" w:hAnsi="宋体"/>
                <w:szCs w:val="21"/>
              </w:rPr>
            </w:pPr>
          </w:p>
        </w:tc>
        <w:tc>
          <w:tcPr>
            <w:tcW w:w="1303" w:type="dxa"/>
            <w:vMerge w:val="continue"/>
            <w:noWrap w:val="0"/>
            <w:vAlign w:val="center"/>
          </w:tcPr>
          <w:p w14:paraId="0976CA3D">
            <w:pPr>
              <w:rPr>
                <w:rFonts w:ascii="宋体" w:hAnsi="宋体"/>
                <w:szCs w:val="21"/>
              </w:rPr>
            </w:pPr>
          </w:p>
        </w:tc>
      </w:tr>
      <w:tr w14:paraId="684E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5A239479">
            <w:pPr>
              <w:rPr>
                <w:rFonts w:ascii="宋体" w:hAnsi="宋体"/>
                <w:snapToGrid w:val="0"/>
                <w:kern w:val="0"/>
                <w:szCs w:val="21"/>
                <w:lang w:val="en-GB"/>
              </w:rPr>
            </w:pPr>
          </w:p>
        </w:tc>
        <w:tc>
          <w:tcPr>
            <w:tcW w:w="560" w:type="dxa"/>
            <w:vMerge w:val="continue"/>
            <w:noWrap w:val="0"/>
            <w:vAlign w:val="center"/>
          </w:tcPr>
          <w:p w14:paraId="63F82C22">
            <w:pPr>
              <w:jc w:val="center"/>
              <w:rPr>
                <w:rFonts w:ascii="宋体" w:hAnsi="宋体"/>
                <w:snapToGrid w:val="0"/>
                <w:kern w:val="0"/>
                <w:szCs w:val="21"/>
                <w:lang w:val="en-GB"/>
              </w:rPr>
            </w:pPr>
          </w:p>
        </w:tc>
        <w:tc>
          <w:tcPr>
            <w:tcW w:w="1489" w:type="dxa"/>
            <w:noWrap w:val="0"/>
            <w:vAlign w:val="center"/>
          </w:tcPr>
          <w:p w14:paraId="35E267C6">
            <w:pPr>
              <w:jc w:val="center"/>
              <w:rPr>
                <w:rFonts w:ascii="宋体" w:hAnsi="宋体"/>
                <w:snapToGrid w:val="0"/>
                <w:kern w:val="0"/>
                <w:szCs w:val="21"/>
                <w:lang w:val="en-GB"/>
              </w:rPr>
            </w:pPr>
            <w:r>
              <w:rPr>
                <w:rFonts w:ascii="宋体" w:hAnsi="宋体"/>
                <w:snapToGrid w:val="0"/>
                <w:kern w:val="0"/>
                <w:szCs w:val="21"/>
                <w:lang w:val="en-GB"/>
              </w:rPr>
              <w:t>平均</w:t>
            </w:r>
          </w:p>
        </w:tc>
        <w:tc>
          <w:tcPr>
            <w:tcW w:w="1489" w:type="dxa"/>
            <w:noWrap w:val="0"/>
            <w:vAlign w:val="center"/>
          </w:tcPr>
          <w:p w14:paraId="7CE60D7C">
            <w:pPr>
              <w:jc w:val="center"/>
              <w:rPr>
                <w:rFonts w:ascii="宋体" w:hAnsi="宋体"/>
                <w:snapToGrid w:val="0"/>
                <w:kern w:val="0"/>
                <w:szCs w:val="21"/>
                <w:lang w:val="en-GB"/>
              </w:rPr>
            </w:pPr>
            <w:r>
              <w:rPr>
                <w:rFonts w:ascii="宋体" w:hAnsi="宋体"/>
                <w:snapToGrid w:val="0"/>
                <w:kern w:val="0"/>
                <w:szCs w:val="21"/>
                <w:lang w:val="en-GB"/>
              </w:rPr>
              <w:t>平均</w:t>
            </w:r>
          </w:p>
        </w:tc>
        <w:tc>
          <w:tcPr>
            <w:tcW w:w="930" w:type="dxa"/>
            <w:vMerge w:val="continue"/>
            <w:noWrap w:val="0"/>
            <w:vAlign w:val="center"/>
          </w:tcPr>
          <w:p w14:paraId="5447D8D8">
            <w:pPr>
              <w:jc w:val="center"/>
              <w:rPr>
                <w:rFonts w:ascii="宋体" w:hAnsi="宋体"/>
                <w:szCs w:val="21"/>
              </w:rPr>
            </w:pPr>
          </w:p>
        </w:tc>
        <w:tc>
          <w:tcPr>
            <w:tcW w:w="744" w:type="dxa"/>
            <w:vMerge w:val="continue"/>
            <w:noWrap w:val="0"/>
            <w:vAlign w:val="center"/>
          </w:tcPr>
          <w:p w14:paraId="4DA603FA">
            <w:pPr>
              <w:jc w:val="center"/>
              <w:rPr>
                <w:rFonts w:ascii="宋体" w:hAnsi="宋体"/>
                <w:szCs w:val="21"/>
              </w:rPr>
            </w:pPr>
          </w:p>
        </w:tc>
        <w:tc>
          <w:tcPr>
            <w:tcW w:w="930" w:type="dxa"/>
            <w:vMerge w:val="continue"/>
            <w:noWrap w:val="0"/>
            <w:vAlign w:val="center"/>
          </w:tcPr>
          <w:p w14:paraId="539ECC9B">
            <w:pPr>
              <w:jc w:val="center"/>
              <w:rPr>
                <w:rFonts w:ascii="宋体" w:hAnsi="宋体"/>
                <w:szCs w:val="21"/>
              </w:rPr>
            </w:pPr>
          </w:p>
        </w:tc>
        <w:tc>
          <w:tcPr>
            <w:tcW w:w="744" w:type="dxa"/>
            <w:vMerge w:val="continue"/>
            <w:noWrap w:val="0"/>
            <w:vAlign w:val="center"/>
          </w:tcPr>
          <w:p w14:paraId="40AFF9CF">
            <w:pPr>
              <w:jc w:val="center"/>
              <w:rPr>
                <w:rFonts w:ascii="宋体" w:hAnsi="宋体"/>
                <w:szCs w:val="21"/>
              </w:rPr>
            </w:pPr>
          </w:p>
        </w:tc>
        <w:tc>
          <w:tcPr>
            <w:tcW w:w="1303" w:type="dxa"/>
            <w:vMerge w:val="continue"/>
            <w:noWrap w:val="0"/>
            <w:vAlign w:val="center"/>
          </w:tcPr>
          <w:p w14:paraId="2BD7248D">
            <w:pPr>
              <w:jc w:val="center"/>
              <w:rPr>
                <w:rFonts w:ascii="宋体" w:hAnsi="宋体"/>
                <w:szCs w:val="21"/>
              </w:rPr>
            </w:pPr>
          </w:p>
        </w:tc>
      </w:tr>
      <w:tr w14:paraId="530A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0DC9DBF2">
            <w:pPr>
              <w:jc w:val="center"/>
              <w:rPr>
                <w:rFonts w:hint="eastAsia" w:ascii="宋体" w:hAnsi="宋体"/>
                <w:snapToGrid w:val="0"/>
                <w:kern w:val="0"/>
                <w:szCs w:val="21"/>
              </w:rPr>
            </w:pPr>
            <w:r>
              <w:rPr>
                <w:rFonts w:hint="eastAsia" w:ascii="宋体" w:hAnsi="宋体"/>
                <w:snapToGrid w:val="0"/>
                <w:kern w:val="0"/>
                <w:szCs w:val="21"/>
              </w:rPr>
              <w:t>K</w:t>
            </w:r>
            <w:r>
              <w:rPr>
                <w:rFonts w:ascii="宋体" w:hAnsi="宋体"/>
                <w:snapToGrid w:val="0"/>
                <w:kern w:val="0"/>
                <w:szCs w:val="21"/>
              </w:rPr>
              <w:t>1</w:t>
            </w:r>
            <w:r>
              <w:rPr>
                <w:rFonts w:hint="eastAsia" w:ascii="宋体" w:hAnsi="宋体"/>
                <w:snapToGrid w:val="0"/>
                <w:kern w:val="0"/>
                <w:szCs w:val="21"/>
              </w:rPr>
              <w:t>-b</w:t>
            </w:r>
          </w:p>
        </w:tc>
        <w:tc>
          <w:tcPr>
            <w:tcW w:w="560" w:type="dxa"/>
            <w:vMerge w:val="restart"/>
            <w:noWrap w:val="0"/>
            <w:vAlign w:val="center"/>
          </w:tcPr>
          <w:p w14:paraId="6EBD50A7">
            <w:pPr>
              <w:jc w:val="center"/>
              <w:rPr>
                <w:rFonts w:hint="eastAsia"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4ADF8884">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25" o:spt="75" type="#_x0000_t75" style="height:31pt;width:57pt;" o:ole="t" filled="f" o:preferrelative="t" stroked="f" coordsize="21600,21600">
                  <v:path/>
                  <v:fill on="f" alignshape="1" focussize="0,0"/>
                  <v:stroke on="f"/>
                  <v:imagedata r:id="rId17" o:title=""/>
                  <o:lock v:ext="edit" aspectratio="t"/>
                  <w10:wrap type="none"/>
                  <w10:anchorlock/>
                </v:shape>
                <o:OLEObject Type="Embed" ProgID="Equation.3" ShapeID="_x0000_i1025" DrawAspect="Content" ObjectID="_1468075725" r:id="rId16">
                  <o:LockedField>false</o:LockedField>
                </o:OLEObject>
              </w:object>
            </w:r>
          </w:p>
        </w:tc>
        <w:tc>
          <w:tcPr>
            <w:tcW w:w="1489" w:type="dxa"/>
            <w:noWrap w:val="0"/>
            <w:vAlign w:val="center"/>
          </w:tcPr>
          <w:p w14:paraId="28DF6EE8">
            <w:pPr>
              <w:jc w:val="center"/>
              <w:rPr>
                <w:rFonts w:ascii="宋体" w:hAnsi="宋体"/>
                <w:snapToGrid w:val="0"/>
                <w:kern w:val="0"/>
                <w:szCs w:val="21"/>
                <w:lang w:val="en-GB"/>
              </w:rPr>
            </w:pPr>
            <w:r>
              <w:rPr>
                <w:rFonts w:ascii="宋体" w:hAnsi="宋体"/>
                <w:snapToGrid w:val="0"/>
                <w:kern w:val="0"/>
                <w:szCs w:val="21"/>
              </w:rPr>
              <w:t>距</w:t>
            </w:r>
            <w:r>
              <w:rPr>
                <w:rFonts w:ascii="宋体" w:hAnsi="宋体"/>
                <w:bCs/>
                <w:snapToGrid w:val="0"/>
                <w:kern w:val="0"/>
                <w:szCs w:val="21"/>
              </w:rPr>
              <w:t>顶界</w:t>
            </w:r>
            <w:r>
              <w:rPr>
                <w:rFonts w:hint="eastAsia" w:ascii="宋体" w:hAnsi="宋体"/>
                <w:bCs/>
                <w:snapToGrid w:val="0"/>
                <w:kern w:val="0"/>
                <w:szCs w:val="21"/>
              </w:rPr>
              <w:t>15-25m</w:t>
            </w:r>
            <w:r>
              <w:rPr>
                <w:rFonts w:ascii="宋体" w:hAnsi="宋体"/>
                <w:snapToGrid w:val="0"/>
                <w:kern w:val="0"/>
                <w:szCs w:val="21"/>
                <w:lang w:val="en-GB"/>
              </w:rPr>
              <w:t xml:space="preserve"> </w:t>
            </w:r>
          </w:p>
        </w:tc>
        <w:tc>
          <w:tcPr>
            <w:tcW w:w="930" w:type="dxa"/>
            <w:vMerge w:val="restart"/>
            <w:noWrap w:val="0"/>
            <w:vAlign w:val="center"/>
          </w:tcPr>
          <w:p w14:paraId="6738E2AB">
            <w:pPr>
              <w:jc w:val="center"/>
              <w:rPr>
                <w:rFonts w:ascii="宋体" w:hAnsi="宋体"/>
                <w:snapToGrid w:val="0"/>
                <w:kern w:val="0"/>
                <w:szCs w:val="21"/>
                <w:lang w:val="en-GB"/>
              </w:rPr>
            </w:pPr>
            <w:r>
              <w:rPr>
                <w:rFonts w:ascii="宋体" w:hAnsi="宋体"/>
                <w:snapToGrid w:val="0"/>
                <w:kern w:val="0"/>
                <w:szCs w:val="21"/>
                <w:lang w:val="en-GB"/>
              </w:rPr>
              <w:t>稳定</w:t>
            </w:r>
          </w:p>
        </w:tc>
        <w:tc>
          <w:tcPr>
            <w:tcW w:w="744" w:type="dxa"/>
            <w:vMerge w:val="restart"/>
            <w:noWrap w:val="0"/>
            <w:vAlign w:val="center"/>
          </w:tcPr>
          <w:p w14:paraId="27F5C6CE">
            <w:pPr>
              <w:jc w:val="center"/>
              <w:rPr>
                <w:rFonts w:hint="eastAsia" w:ascii="宋体" w:hAnsi="宋体"/>
                <w:snapToGrid w:val="0"/>
                <w:kern w:val="0"/>
                <w:szCs w:val="21"/>
                <w:lang w:val="en-GB"/>
              </w:rPr>
            </w:pPr>
            <w:r>
              <w:rPr>
                <w:rFonts w:hint="eastAsia" w:ascii="宋体" w:hAnsi="宋体"/>
                <w:snapToGrid w:val="0"/>
                <w:kern w:val="0"/>
                <w:szCs w:val="21"/>
                <w:lang w:val="en-GB"/>
              </w:rPr>
              <w:t>1</w:t>
            </w:r>
            <w:r>
              <w:rPr>
                <w:rFonts w:ascii="宋体" w:hAnsi="宋体"/>
                <w:snapToGrid w:val="0"/>
                <w:kern w:val="0"/>
                <w:szCs w:val="21"/>
                <w:lang w:val="en-GB"/>
              </w:rPr>
              <w:t>～</w:t>
            </w:r>
            <w:r>
              <w:rPr>
                <w:rFonts w:hint="eastAsia" w:ascii="宋体" w:hAnsi="宋体"/>
                <w:snapToGrid w:val="0"/>
                <w:kern w:val="0"/>
                <w:szCs w:val="21"/>
                <w:lang w:val="en-GB"/>
              </w:rPr>
              <w:t>2</w:t>
            </w:r>
          </w:p>
        </w:tc>
        <w:tc>
          <w:tcPr>
            <w:tcW w:w="930" w:type="dxa"/>
            <w:vMerge w:val="restart"/>
            <w:noWrap w:val="0"/>
            <w:vAlign w:val="center"/>
          </w:tcPr>
          <w:p w14:paraId="6E769794">
            <w:pPr>
              <w:jc w:val="center"/>
              <w:rPr>
                <w:rFonts w:hint="eastAsia" w:ascii="宋体" w:hAnsi="宋体"/>
                <w:snapToGrid w:val="0"/>
                <w:kern w:val="0"/>
                <w:szCs w:val="21"/>
                <w:lang w:val="en-GB"/>
              </w:rPr>
            </w:pPr>
            <w:r>
              <w:rPr>
                <w:rFonts w:ascii="宋体" w:hAnsi="宋体"/>
                <w:snapToGrid w:val="0"/>
                <w:kern w:val="0"/>
                <w:szCs w:val="21"/>
                <w:lang w:val="en-GB"/>
              </w:rPr>
              <w:t>较</w:t>
            </w:r>
            <w:r>
              <w:rPr>
                <w:rFonts w:hint="eastAsia" w:ascii="宋体" w:hAnsi="宋体"/>
                <w:snapToGrid w:val="0"/>
                <w:kern w:val="0"/>
                <w:szCs w:val="21"/>
                <w:lang w:val="en-GB"/>
              </w:rPr>
              <w:t>复杂</w:t>
            </w:r>
          </w:p>
        </w:tc>
        <w:tc>
          <w:tcPr>
            <w:tcW w:w="744" w:type="dxa"/>
            <w:vMerge w:val="restart"/>
            <w:noWrap w:val="0"/>
            <w:vAlign w:val="center"/>
          </w:tcPr>
          <w:p w14:paraId="1D11D469">
            <w:pPr>
              <w:jc w:val="center"/>
              <w:rPr>
                <w:rFonts w:hint="eastAsia" w:ascii="宋体" w:hAnsi="宋体"/>
                <w:szCs w:val="21"/>
              </w:rPr>
            </w:pPr>
            <w:r>
              <w:rPr>
                <w:rFonts w:hint="eastAsia" w:ascii="宋体" w:hAnsi="宋体"/>
                <w:szCs w:val="21"/>
              </w:rPr>
              <w:t>全区</w:t>
            </w:r>
          </w:p>
          <w:p w14:paraId="63CE4149">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6479BC28">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6D1E9C6C">
            <w:pPr>
              <w:jc w:val="center"/>
              <w:rPr>
                <w:rFonts w:hint="eastAsia" w:ascii="宋体" w:hAnsi="宋体"/>
                <w:snapToGrid w:val="0"/>
                <w:kern w:val="0"/>
                <w:szCs w:val="21"/>
                <w:lang w:val="en-GB"/>
              </w:rPr>
            </w:pPr>
            <w:r>
              <w:rPr>
                <w:rFonts w:ascii="宋体" w:hAnsi="宋体"/>
                <w:snapToGrid w:val="0"/>
                <w:kern w:val="0"/>
                <w:szCs w:val="21"/>
              </w:rPr>
              <w:t>内</w:t>
            </w:r>
            <w:r>
              <w:rPr>
                <w:rFonts w:hint="eastAsia" w:ascii="宋体" w:hAnsi="宋体"/>
                <w:snapToGrid w:val="0"/>
                <w:kern w:val="0"/>
                <w:szCs w:val="21"/>
              </w:rPr>
              <w:t>可采</w:t>
            </w:r>
          </w:p>
        </w:tc>
      </w:tr>
      <w:tr w14:paraId="63A6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6B78ED00">
            <w:pPr>
              <w:jc w:val="center"/>
              <w:rPr>
                <w:rFonts w:ascii="宋体" w:hAnsi="宋体"/>
                <w:snapToGrid w:val="0"/>
                <w:kern w:val="0"/>
                <w:szCs w:val="21"/>
                <w:lang w:val="en-GB"/>
              </w:rPr>
            </w:pPr>
          </w:p>
        </w:tc>
        <w:tc>
          <w:tcPr>
            <w:tcW w:w="560" w:type="dxa"/>
            <w:vMerge w:val="continue"/>
            <w:noWrap w:val="0"/>
            <w:vAlign w:val="center"/>
          </w:tcPr>
          <w:p w14:paraId="3346A731">
            <w:pPr>
              <w:jc w:val="center"/>
              <w:rPr>
                <w:rFonts w:ascii="宋体" w:hAnsi="宋体"/>
                <w:snapToGrid w:val="0"/>
                <w:kern w:val="0"/>
                <w:szCs w:val="21"/>
                <w:lang w:val="en-GB"/>
              </w:rPr>
            </w:pPr>
          </w:p>
        </w:tc>
        <w:tc>
          <w:tcPr>
            <w:tcW w:w="1489" w:type="dxa"/>
            <w:vMerge w:val="continue"/>
            <w:noWrap w:val="0"/>
            <w:vAlign w:val="center"/>
          </w:tcPr>
          <w:p w14:paraId="1BA20FCC">
            <w:pPr>
              <w:jc w:val="center"/>
              <w:rPr>
                <w:rFonts w:ascii="宋体" w:hAnsi="宋体"/>
                <w:snapToGrid w:val="0"/>
                <w:color w:val="FF0000"/>
                <w:kern w:val="0"/>
                <w:szCs w:val="21"/>
                <w:lang w:val="en-GB"/>
              </w:rPr>
            </w:pPr>
          </w:p>
        </w:tc>
        <w:tc>
          <w:tcPr>
            <w:tcW w:w="1489" w:type="dxa"/>
            <w:vMerge w:val="restart"/>
            <w:noWrap w:val="0"/>
            <w:vAlign w:val="center"/>
          </w:tcPr>
          <w:p w14:paraId="08F3AF2B">
            <w:pPr>
              <w:jc w:val="center"/>
              <w:rPr>
                <w:rFonts w:ascii="宋体" w:hAnsi="宋体"/>
                <w:snapToGrid w:val="0"/>
                <w:kern w:val="0"/>
                <w:szCs w:val="21"/>
                <w:lang w:val="en-GB"/>
              </w:rPr>
            </w:pPr>
            <w:r>
              <w:rPr>
                <w:rFonts w:ascii="宋体" w:hAnsi="宋体"/>
                <w:snapToGrid w:val="0"/>
                <w:kern w:val="0"/>
                <w:szCs w:val="21"/>
              </w:rPr>
              <w:object>
                <v:shape id="_x0000_i1026" o:spt="75" type="#_x0000_t75" style="height:31pt;width:33pt;" o:ole="t" filled="f" o:preferrelative="t" stroked="f" coordsize="21600,21600">
                  <v:path/>
                  <v:fill on="f" alignshape="1" focussize="0,0"/>
                  <v:stroke on="f"/>
                  <v:imagedata r:id="rId19" o:title=""/>
                  <o:lock v:ext="edit" aspectratio="t"/>
                  <w10:wrap type="none"/>
                  <w10:anchorlock/>
                </v:shape>
                <o:OLEObject Type="Embed" ProgID="Equation.3" ShapeID="_x0000_i1026" DrawAspect="Content" ObjectID="_1468075726" r:id="rId18">
                  <o:LockedField>false</o:LockedField>
                </o:OLEObject>
              </w:object>
            </w:r>
          </w:p>
        </w:tc>
        <w:tc>
          <w:tcPr>
            <w:tcW w:w="930" w:type="dxa"/>
            <w:vMerge w:val="continue"/>
            <w:noWrap w:val="0"/>
            <w:vAlign w:val="center"/>
          </w:tcPr>
          <w:p w14:paraId="29F2FC75">
            <w:pPr>
              <w:jc w:val="center"/>
              <w:rPr>
                <w:rFonts w:ascii="宋体" w:hAnsi="宋体"/>
                <w:snapToGrid w:val="0"/>
                <w:kern w:val="0"/>
                <w:szCs w:val="21"/>
                <w:lang w:val="en-GB"/>
              </w:rPr>
            </w:pPr>
          </w:p>
        </w:tc>
        <w:tc>
          <w:tcPr>
            <w:tcW w:w="744" w:type="dxa"/>
            <w:vMerge w:val="continue"/>
            <w:noWrap w:val="0"/>
            <w:vAlign w:val="center"/>
          </w:tcPr>
          <w:p w14:paraId="3AD75BFA">
            <w:pPr>
              <w:jc w:val="center"/>
              <w:rPr>
                <w:rFonts w:ascii="宋体" w:hAnsi="宋体"/>
                <w:snapToGrid w:val="0"/>
                <w:kern w:val="0"/>
                <w:szCs w:val="21"/>
                <w:lang w:val="en-GB"/>
              </w:rPr>
            </w:pPr>
          </w:p>
        </w:tc>
        <w:tc>
          <w:tcPr>
            <w:tcW w:w="930" w:type="dxa"/>
            <w:vMerge w:val="continue"/>
            <w:noWrap w:val="0"/>
            <w:vAlign w:val="center"/>
          </w:tcPr>
          <w:p w14:paraId="27887786">
            <w:pPr>
              <w:jc w:val="center"/>
              <w:rPr>
                <w:rFonts w:ascii="宋体" w:hAnsi="宋体"/>
                <w:snapToGrid w:val="0"/>
                <w:kern w:val="0"/>
                <w:szCs w:val="21"/>
                <w:lang w:val="en-GB"/>
              </w:rPr>
            </w:pPr>
          </w:p>
        </w:tc>
        <w:tc>
          <w:tcPr>
            <w:tcW w:w="744" w:type="dxa"/>
            <w:vMerge w:val="continue"/>
            <w:noWrap w:val="0"/>
            <w:vAlign w:val="center"/>
          </w:tcPr>
          <w:p w14:paraId="7234020B">
            <w:pPr>
              <w:jc w:val="center"/>
              <w:rPr>
                <w:rFonts w:ascii="宋体" w:hAnsi="宋体"/>
                <w:snapToGrid w:val="0"/>
                <w:kern w:val="0"/>
                <w:szCs w:val="21"/>
                <w:lang w:val="en-GB"/>
              </w:rPr>
            </w:pPr>
          </w:p>
        </w:tc>
        <w:tc>
          <w:tcPr>
            <w:tcW w:w="1303" w:type="dxa"/>
            <w:vMerge w:val="continue"/>
            <w:noWrap w:val="0"/>
            <w:vAlign w:val="center"/>
          </w:tcPr>
          <w:p w14:paraId="5CF1B659">
            <w:pPr>
              <w:jc w:val="center"/>
              <w:rPr>
                <w:rFonts w:ascii="宋体" w:hAnsi="宋体"/>
                <w:snapToGrid w:val="0"/>
                <w:kern w:val="0"/>
                <w:szCs w:val="21"/>
                <w:lang w:val="en-GB"/>
              </w:rPr>
            </w:pPr>
          </w:p>
        </w:tc>
      </w:tr>
      <w:tr w14:paraId="592B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0B82391C">
            <w:pPr>
              <w:jc w:val="center"/>
              <w:rPr>
                <w:rFonts w:hint="eastAsia" w:ascii="宋体" w:hAnsi="宋体"/>
                <w:snapToGrid w:val="0"/>
                <w:kern w:val="0"/>
                <w:szCs w:val="21"/>
              </w:rPr>
            </w:pPr>
            <w:r>
              <w:rPr>
                <w:rFonts w:hint="eastAsia" w:ascii="宋体" w:hAnsi="宋体"/>
                <w:snapToGrid w:val="0"/>
                <w:kern w:val="0"/>
                <w:szCs w:val="21"/>
              </w:rPr>
              <w:t>K3</w:t>
            </w:r>
          </w:p>
        </w:tc>
        <w:tc>
          <w:tcPr>
            <w:tcW w:w="560" w:type="dxa"/>
            <w:vMerge w:val="restart"/>
            <w:noWrap w:val="0"/>
            <w:vAlign w:val="center"/>
          </w:tcPr>
          <w:p w14:paraId="5737A5AD">
            <w:pPr>
              <w:jc w:val="center"/>
              <w:rPr>
                <w:rFonts w:ascii="宋体" w:hAnsi="宋体"/>
                <w:snapToGrid w:val="0"/>
                <w:kern w:val="0"/>
                <w:szCs w:val="21"/>
                <w:lang w:val="en-GB"/>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08C5683B">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27" o:spt="75" type="#_x0000_t75" style="height:31pt;width:59pt;" o:ole="t" filled="f" o:preferrelative="t" stroked="f" coordsize="21600,21600">
                  <v:path/>
                  <v:fill on="f" alignshape="1" focussize="0,0"/>
                  <v:stroke on="f"/>
                  <v:imagedata r:id="rId21" o:title=""/>
                  <o:lock v:ext="edit" aspectratio="t"/>
                  <w10:wrap type="none"/>
                  <w10:anchorlock/>
                </v:shape>
                <o:OLEObject Type="Embed" ProgID="Equation.3" ShapeID="_x0000_i1027" DrawAspect="Content" ObjectID="_1468075727" r:id="rId20">
                  <o:LockedField>false</o:LockedField>
                </o:OLEObject>
              </w:object>
            </w:r>
          </w:p>
        </w:tc>
        <w:tc>
          <w:tcPr>
            <w:tcW w:w="1489" w:type="dxa"/>
            <w:vMerge w:val="continue"/>
            <w:noWrap w:val="0"/>
            <w:vAlign w:val="center"/>
          </w:tcPr>
          <w:p w14:paraId="1D14BBF0">
            <w:pPr>
              <w:jc w:val="center"/>
              <w:rPr>
                <w:rFonts w:ascii="宋体" w:hAnsi="宋体"/>
                <w:snapToGrid w:val="0"/>
                <w:kern w:val="0"/>
                <w:szCs w:val="21"/>
                <w:lang w:val="en-GB"/>
              </w:rPr>
            </w:pPr>
          </w:p>
        </w:tc>
        <w:tc>
          <w:tcPr>
            <w:tcW w:w="930" w:type="dxa"/>
            <w:vMerge w:val="restart"/>
            <w:noWrap w:val="0"/>
            <w:vAlign w:val="center"/>
          </w:tcPr>
          <w:p w14:paraId="24BB0346">
            <w:pPr>
              <w:jc w:val="center"/>
              <w:rPr>
                <w:rFonts w:ascii="宋体" w:hAnsi="宋体"/>
                <w:snapToGrid w:val="0"/>
                <w:kern w:val="0"/>
                <w:szCs w:val="21"/>
              </w:rPr>
            </w:pPr>
            <w:r>
              <w:rPr>
                <w:rFonts w:hint="eastAsia" w:ascii="宋体" w:hAnsi="宋体"/>
                <w:snapToGrid w:val="0"/>
                <w:kern w:val="0"/>
                <w:szCs w:val="21"/>
                <w:lang w:val="en-GB"/>
              </w:rPr>
              <w:t>不</w:t>
            </w:r>
            <w:r>
              <w:rPr>
                <w:rFonts w:ascii="宋体" w:hAnsi="宋体"/>
                <w:snapToGrid w:val="0"/>
                <w:kern w:val="0"/>
                <w:szCs w:val="21"/>
                <w:lang w:val="en-GB"/>
              </w:rPr>
              <w:t>稳定</w:t>
            </w:r>
          </w:p>
        </w:tc>
        <w:tc>
          <w:tcPr>
            <w:tcW w:w="744" w:type="dxa"/>
            <w:vMerge w:val="restart"/>
            <w:noWrap w:val="0"/>
            <w:vAlign w:val="center"/>
          </w:tcPr>
          <w:p w14:paraId="24770A7E">
            <w:pPr>
              <w:jc w:val="center"/>
              <w:rPr>
                <w:rFonts w:ascii="宋体" w:hAnsi="宋体"/>
                <w:snapToGrid w:val="0"/>
                <w:kern w:val="0"/>
                <w:szCs w:val="21"/>
              </w:rPr>
            </w:pPr>
            <w:r>
              <w:rPr>
                <w:rFonts w:hint="eastAsia" w:ascii="宋体" w:hAnsi="宋体"/>
                <w:snapToGrid w:val="0"/>
                <w:kern w:val="0"/>
                <w:szCs w:val="21"/>
                <w:lang w:val="en-GB"/>
              </w:rPr>
              <w:t>局部1</w:t>
            </w:r>
            <w:r>
              <w:rPr>
                <w:rFonts w:ascii="宋体" w:hAnsi="宋体"/>
                <w:snapToGrid w:val="0"/>
                <w:kern w:val="0"/>
                <w:szCs w:val="21"/>
                <w:lang w:val="en-GB"/>
              </w:rPr>
              <w:t>～</w:t>
            </w:r>
            <w:r>
              <w:rPr>
                <w:rFonts w:hint="eastAsia" w:ascii="宋体" w:hAnsi="宋体"/>
                <w:snapToGrid w:val="0"/>
                <w:kern w:val="0"/>
                <w:szCs w:val="21"/>
                <w:lang w:val="en-GB"/>
              </w:rPr>
              <w:t>2</w:t>
            </w:r>
          </w:p>
        </w:tc>
        <w:tc>
          <w:tcPr>
            <w:tcW w:w="930" w:type="dxa"/>
            <w:vMerge w:val="restart"/>
            <w:noWrap w:val="0"/>
            <w:vAlign w:val="center"/>
          </w:tcPr>
          <w:p w14:paraId="5BD2829D">
            <w:pPr>
              <w:jc w:val="center"/>
              <w:rPr>
                <w:rFonts w:ascii="宋体" w:hAnsi="宋体"/>
                <w:snapToGrid w:val="0"/>
                <w:kern w:val="0"/>
                <w:szCs w:val="21"/>
                <w:lang w:val="en-GB"/>
              </w:rPr>
            </w:pPr>
            <w:r>
              <w:rPr>
                <w:rFonts w:ascii="宋体" w:hAnsi="宋体"/>
                <w:snapToGrid w:val="0"/>
                <w:kern w:val="0"/>
                <w:szCs w:val="21"/>
                <w:lang w:val="en-GB"/>
              </w:rPr>
              <w:t>简单</w:t>
            </w:r>
          </w:p>
        </w:tc>
        <w:tc>
          <w:tcPr>
            <w:tcW w:w="744" w:type="dxa"/>
            <w:vMerge w:val="restart"/>
            <w:noWrap w:val="0"/>
            <w:vAlign w:val="center"/>
          </w:tcPr>
          <w:p w14:paraId="156BA4D7">
            <w:pPr>
              <w:jc w:val="center"/>
              <w:rPr>
                <w:rFonts w:hint="eastAsia" w:ascii="宋体" w:hAnsi="宋体"/>
                <w:szCs w:val="21"/>
              </w:rPr>
            </w:pPr>
            <w:r>
              <w:rPr>
                <w:rFonts w:hint="eastAsia" w:ascii="宋体" w:hAnsi="宋体"/>
                <w:szCs w:val="21"/>
              </w:rPr>
              <w:t>局部</w:t>
            </w:r>
          </w:p>
          <w:p w14:paraId="19820A6D">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67B5487A">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14FB729D">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57F4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3ADD01BA">
            <w:pPr>
              <w:jc w:val="center"/>
              <w:rPr>
                <w:rFonts w:ascii="宋体" w:hAnsi="宋体"/>
                <w:snapToGrid w:val="0"/>
                <w:kern w:val="0"/>
                <w:szCs w:val="21"/>
                <w:lang w:val="en-GB"/>
              </w:rPr>
            </w:pPr>
          </w:p>
        </w:tc>
        <w:tc>
          <w:tcPr>
            <w:tcW w:w="560" w:type="dxa"/>
            <w:vMerge w:val="continue"/>
            <w:noWrap w:val="0"/>
            <w:vAlign w:val="center"/>
          </w:tcPr>
          <w:p w14:paraId="1F82DC70">
            <w:pPr>
              <w:jc w:val="center"/>
              <w:rPr>
                <w:rFonts w:ascii="宋体" w:hAnsi="宋体"/>
                <w:snapToGrid w:val="0"/>
                <w:kern w:val="0"/>
                <w:szCs w:val="21"/>
                <w:lang w:val="en-GB"/>
              </w:rPr>
            </w:pPr>
          </w:p>
        </w:tc>
        <w:tc>
          <w:tcPr>
            <w:tcW w:w="1489" w:type="dxa"/>
            <w:vMerge w:val="continue"/>
            <w:noWrap w:val="0"/>
            <w:vAlign w:val="center"/>
          </w:tcPr>
          <w:p w14:paraId="201EC6C8">
            <w:pPr>
              <w:jc w:val="center"/>
              <w:rPr>
                <w:rFonts w:ascii="宋体" w:hAnsi="宋体"/>
                <w:snapToGrid w:val="0"/>
                <w:color w:val="FF0000"/>
                <w:kern w:val="0"/>
                <w:szCs w:val="21"/>
                <w:lang w:val="en-GB"/>
              </w:rPr>
            </w:pPr>
          </w:p>
        </w:tc>
        <w:tc>
          <w:tcPr>
            <w:tcW w:w="1489" w:type="dxa"/>
            <w:vMerge w:val="restart"/>
            <w:noWrap w:val="0"/>
            <w:vAlign w:val="center"/>
          </w:tcPr>
          <w:p w14:paraId="59A431E3">
            <w:pPr>
              <w:jc w:val="center"/>
              <w:rPr>
                <w:rFonts w:ascii="宋体" w:hAnsi="宋体"/>
                <w:snapToGrid w:val="0"/>
                <w:kern w:val="0"/>
                <w:szCs w:val="21"/>
                <w:lang w:val="en-GB"/>
              </w:rPr>
            </w:pPr>
            <w:r>
              <w:rPr>
                <w:rFonts w:ascii="宋体" w:hAnsi="宋体"/>
                <w:snapToGrid w:val="0"/>
                <w:kern w:val="0"/>
                <w:position w:val="-24"/>
                <w:szCs w:val="21"/>
              </w:rPr>
              <w:object>
                <v:shape id="_x0000_i1028" o:spt="75" type="#_x0000_t75" style="height:31pt;width:40pt;" o:ole="t" filled="f" o:preferrelative="t" stroked="f" coordsize="21600,21600">
                  <v:path/>
                  <v:fill on="f" alignshape="1" focussize="0,0"/>
                  <v:stroke on="f"/>
                  <v:imagedata r:id="rId23" o:title=""/>
                  <o:lock v:ext="edit" aspectratio="t"/>
                  <w10:wrap type="none"/>
                  <w10:anchorlock/>
                </v:shape>
                <o:OLEObject Type="Embed" ProgID="Equation.3" ShapeID="_x0000_i1028" DrawAspect="Content" ObjectID="_1468075728" r:id="rId22">
                  <o:LockedField>false</o:LockedField>
                </o:OLEObject>
              </w:object>
            </w:r>
          </w:p>
        </w:tc>
        <w:tc>
          <w:tcPr>
            <w:tcW w:w="930" w:type="dxa"/>
            <w:vMerge w:val="continue"/>
            <w:noWrap w:val="0"/>
            <w:vAlign w:val="center"/>
          </w:tcPr>
          <w:p w14:paraId="5AEB9B01">
            <w:pPr>
              <w:jc w:val="center"/>
              <w:rPr>
                <w:rFonts w:ascii="宋体" w:hAnsi="宋体"/>
                <w:snapToGrid w:val="0"/>
                <w:kern w:val="0"/>
                <w:szCs w:val="21"/>
                <w:lang w:val="en-GB"/>
              </w:rPr>
            </w:pPr>
          </w:p>
        </w:tc>
        <w:tc>
          <w:tcPr>
            <w:tcW w:w="744" w:type="dxa"/>
            <w:vMerge w:val="continue"/>
            <w:noWrap w:val="0"/>
            <w:vAlign w:val="center"/>
          </w:tcPr>
          <w:p w14:paraId="5B36A294">
            <w:pPr>
              <w:jc w:val="center"/>
              <w:rPr>
                <w:rFonts w:ascii="宋体" w:hAnsi="宋体"/>
                <w:snapToGrid w:val="0"/>
                <w:kern w:val="0"/>
                <w:szCs w:val="21"/>
                <w:lang w:val="en-GB"/>
              </w:rPr>
            </w:pPr>
          </w:p>
        </w:tc>
        <w:tc>
          <w:tcPr>
            <w:tcW w:w="930" w:type="dxa"/>
            <w:vMerge w:val="continue"/>
            <w:noWrap w:val="0"/>
            <w:vAlign w:val="center"/>
          </w:tcPr>
          <w:p w14:paraId="2E920CED">
            <w:pPr>
              <w:jc w:val="center"/>
              <w:rPr>
                <w:rFonts w:ascii="宋体" w:hAnsi="宋体"/>
                <w:snapToGrid w:val="0"/>
                <w:kern w:val="0"/>
                <w:szCs w:val="21"/>
                <w:lang w:val="en-GB"/>
              </w:rPr>
            </w:pPr>
          </w:p>
        </w:tc>
        <w:tc>
          <w:tcPr>
            <w:tcW w:w="744" w:type="dxa"/>
            <w:vMerge w:val="continue"/>
            <w:noWrap w:val="0"/>
            <w:vAlign w:val="center"/>
          </w:tcPr>
          <w:p w14:paraId="1C6AAC7B">
            <w:pPr>
              <w:jc w:val="center"/>
              <w:rPr>
                <w:rFonts w:ascii="宋体" w:hAnsi="宋体"/>
                <w:snapToGrid w:val="0"/>
                <w:kern w:val="0"/>
                <w:szCs w:val="21"/>
                <w:lang w:val="en-GB"/>
              </w:rPr>
            </w:pPr>
          </w:p>
        </w:tc>
        <w:tc>
          <w:tcPr>
            <w:tcW w:w="1303" w:type="dxa"/>
            <w:vMerge w:val="continue"/>
            <w:noWrap w:val="0"/>
            <w:vAlign w:val="center"/>
          </w:tcPr>
          <w:p w14:paraId="1A261EB4">
            <w:pPr>
              <w:jc w:val="center"/>
              <w:rPr>
                <w:rFonts w:ascii="宋体" w:hAnsi="宋体"/>
                <w:snapToGrid w:val="0"/>
                <w:kern w:val="0"/>
                <w:szCs w:val="21"/>
                <w:lang w:val="en-GB"/>
              </w:rPr>
            </w:pPr>
          </w:p>
        </w:tc>
      </w:tr>
      <w:tr w14:paraId="5D08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7042062E">
            <w:pPr>
              <w:jc w:val="center"/>
              <w:rPr>
                <w:rFonts w:hint="eastAsia" w:ascii="宋体" w:hAnsi="宋体"/>
                <w:snapToGrid w:val="0"/>
                <w:kern w:val="0"/>
                <w:szCs w:val="21"/>
              </w:rPr>
            </w:pPr>
            <w:r>
              <w:rPr>
                <w:rFonts w:hint="eastAsia" w:ascii="宋体" w:hAnsi="宋体"/>
                <w:snapToGrid w:val="0"/>
                <w:kern w:val="0"/>
                <w:szCs w:val="21"/>
              </w:rPr>
              <w:t>K9</w:t>
            </w:r>
          </w:p>
        </w:tc>
        <w:tc>
          <w:tcPr>
            <w:tcW w:w="560" w:type="dxa"/>
            <w:vMerge w:val="restart"/>
            <w:noWrap w:val="0"/>
            <w:vAlign w:val="center"/>
          </w:tcPr>
          <w:p w14:paraId="18D78142">
            <w:pPr>
              <w:jc w:val="center"/>
              <w:rPr>
                <w:rFonts w:ascii="宋体" w:hAnsi="宋体"/>
                <w:snapToGrid w:val="0"/>
                <w:kern w:val="0"/>
                <w:szCs w:val="21"/>
                <w:lang w:val="en-GB"/>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23FD00C5">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29" o:spt="75" type="#_x0000_t75" style="height:31pt;width:59pt;" o:ole="t" filled="f" o:preferrelative="t" stroked="f" coordsize="21600,21600">
                  <v:path/>
                  <v:fill on="f" alignshape="1" focussize="0,0"/>
                  <v:stroke on="f"/>
                  <v:imagedata r:id="rId25" o:title=""/>
                  <o:lock v:ext="edit" aspectratio="t"/>
                  <w10:wrap type="none"/>
                  <w10:anchorlock/>
                </v:shape>
                <o:OLEObject Type="Embed" ProgID="Equation.3" ShapeID="_x0000_i1029" DrawAspect="Content" ObjectID="_1468075729" r:id="rId24">
                  <o:LockedField>false</o:LockedField>
                </o:OLEObject>
              </w:object>
            </w:r>
          </w:p>
        </w:tc>
        <w:tc>
          <w:tcPr>
            <w:tcW w:w="1489" w:type="dxa"/>
            <w:vMerge w:val="continue"/>
            <w:noWrap w:val="0"/>
            <w:vAlign w:val="center"/>
          </w:tcPr>
          <w:p w14:paraId="209E45D0">
            <w:pPr>
              <w:jc w:val="center"/>
              <w:rPr>
                <w:rFonts w:ascii="宋体" w:hAnsi="宋体"/>
                <w:snapToGrid w:val="0"/>
                <w:kern w:val="0"/>
                <w:szCs w:val="21"/>
                <w:lang w:val="en-GB"/>
              </w:rPr>
            </w:pPr>
          </w:p>
        </w:tc>
        <w:tc>
          <w:tcPr>
            <w:tcW w:w="930" w:type="dxa"/>
            <w:vMerge w:val="restart"/>
            <w:noWrap w:val="0"/>
            <w:vAlign w:val="center"/>
          </w:tcPr>
          <w:p w14:paraId="5E44BFD4">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6A7E68C7">
            <w:pPr>
              <w:jc w:val="center"/>
              <w:rPr>
                <w:rFonts w:ascii="宋体" w:hAnsi="宋体"/>
                <w:snapToGrid w:val="0"/>
                <w:kern w:val="0"/>
                <w:szCs w:val="21"/>
              </w:rPr>
            </w:pPr>
            <w:r>
              <w:rPr>
                <w:rFonts w:hint="eastAsia" w:ascii="宋体" w:hAnsi="宋体"/>
                <w:snapToGrid w:val="0"/>
                <w:kern w:val="0"/>
                <w:szCs w:val="21"/>
                <w:lang w:val="en-GB"/>
              </w:rPr>
              <w:t>局部1</w:t>
            </w:r>
            <w:r>
              <w:rPr>
                <w:rFonts w:ascii="宋体" w:hAnsi="宋体"/>
                <w:snapToGrid w:val="0"/>
                <w:kern w:val="0"/>
                <w:szCs w:val="21"/>
                <w:lang w:val="en-GB"/>
              </w:rPr>
              <w:t>～2</w:t>
            </w:r>
          </w:p>
        </w:tc>
        <w:tc>
          <w:tcPr>
            <w:tcW w:w="930" w:type="dxa"/>
            <w:vMerge w:val="restart"/>
            <w:noWrap w:val="0"/>
            <w:vAlign w:val="center"/>
          </w:tcPr>
          <w:p w14:paraId="6CE7DB1F">
            <w:pPr>
              <w:jc w:val="center"/>
              <w:rPr>
                <w:rFonts w:ascii="宋体" w:hAnsi="宋体"/>
                <w:snapToGrid w:val="0"/>
                <w:kern w:val="0"/>
                <w:szCs w:val="21"/>
                <w:lang w:val="en-GB"/>
              </w:rPr>
            </w:pPr>
            <w:r>
              <w:rPr>
                <w:rFonts w:ascii="宋体" w:hAnsi="宋体"/>
                <w:snapToGrid w:val="0"/>
                <w:kern w:val="0"/>
                <w:szCs w:val="21"/>
                <w:lang w:val="en-GB"/>
              </w:rPr>
              <w:t>简单</w:t>
            </w:r>
          </w:p>
        </w:tc>
        <w:tc>
          <w:tcPr>
            <w:tcW w:w="744" w:type="dxa"/>
            <w:vMerge w:val="restart"/>
            <w:noWrap w:val="0"/>
            <w:vAlign w:val="center"/>
          </w:tcPr>
          <w:p w14:paraId="291C36FD">
            <w:pPr>
              <w:jc w:val="center"/>
              <w:rPr>
                <w:rFonts w:hint="eastAsia" w:ascii="宋体" w:hAnsi="宋体"/>
                <w:szCs w:val="21"/>
              </w:rPr>
            </w:pPr>
            <w:r>
              <w:rPr>
                <w:rFonts w:hint="eastAsia" w:ascii="宋体" w:hAnsi="宋体"/>
                <w:szCs w:val="21"/>
              </w:rPr>
              <w:t>大部</w:t>
            </w:r>
          </w:p>
          <w:p w14:paraId="32300C3D">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3C3BCE03">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6177033E">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1E79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0E0E2286">
            <w:pPr>
              <w:jc w:val="center"/>
              <w:rPr>
                <w:rFonts w:ascii="宋体" w:hAnsi="宋体"/>
                <w:snapToGrid w:val="0"/>
                <w:kern w:val="0"/>
                <w:szCs w:val="21"/>
                <w:lang w:val="en-GB"/>
              </w:rPr>
            </w:pPr>
          </w:p>
        </w:tc>
        <w:tc>
          <w:tcPr>
            <w:tcW w:w="560" w:type="dxa"/>
            <w:vMerge w:val="continue"/>
            <w:noWrap w:val="0"/>
            <w:vAlign w:val="center"/>
          </w:tcPr>
          <w:p w14:paraId="515C81EA">
            <w:pPr>
              <w:jc w:val="center"/>
              <w:rPr>
                <w:rFonts w:ascii="宋体" w:hAnsi="宋体"/>
                <w:snapToGrid w:val="0"/>
                <w:kern w:val="0"/>
                <w:szCs w:val="21"/>
                <w:lang w:val="en-GB"/>
              </w:rPr>
            </w:pPr>
          </w:p>
        </w:tc>
        <w:tc>
          <w:tcPr>
            <w:tcW w:w="1489" w:type="dxa"/>
            <w:vMerge w:val="continue"/>
            <w:noWrap w:val="0"/>
            <w:vAlign w:val="center"/>
          </w:tcPr>
          <w:p w14:paraId="2F2B1A74">
            <w:pPr>
              <w:jc w:val="center"/>
              <w:rPr>
                <w:rFonts w:ascii="宋体" w:hAnsi="宋体"/>
                <w:snapToGrid w:val="0"/>
                <w:color w:val="FF0000"/>
                <w:kern w:val="0"/>
                <w:szCs w:val="21"/>
                <w:lang w:val="en-GB"/>
              </w:rPr>
            </w:pPr>
          </w:p>
        </w:tc>
        <w:tc>
          <w:tcPr>
            <w:tcW w:w="1489" w:type="dxa"/>
            <w:vMerge w:val="restart"/>
            <w:noWrap w:val="0"/>
            <w:vAlign w:val="center"/>
          </w:tcPr>
          <w:p w14:paraId="58ACD6C3">
            <w:pPr>
              <w:jc w:val="center"/>
              <w:rPr>
                <w:rFonts w:ascii="宋体" w:hAnsi="宋体"/>
                <w:snapToGrid w:val="0"/>
                <w:kern w:val="0"/>
                <w:szCs w:val="21"/>
                <w:lang w:val="en-GB"/>
              </w:rPr>
            </w:pPr>
            <w:r>
              <w:rPr>
                <w:rFonts w:ascii="宋体" w:hAnsi="宋体"/>
                <w:snapToGrid w:val="0"/>
                <w:kern w:val="0"/>
                <w:szCs w:val="21"/>
              </w:rPr>
              <w:object>
                <v:shape id="_x0000_i1030" o:spt="75" type="#_x0000_t75" style="height:31pt;width:33pt;" o:ole="t" filled="f" o:preferrelative="t" stroked="f" coordsize="21600,21600">
                  <v:path/>
                  <v:fill on="f" alignshape="1" focussize="0,0"/>
                  <v:stroke on="f"/>
                  <v:imagedata r:id="rId27" o:title=""/>
                  <o:lock v:ext="edit" aspectratio="t"/>
                  <w10:wrap type="none"/>
                  <w10:anchorlock/>
                </v:shape>
                <o:OLEObject Type="Embed" ProgID="Equation.3" ShapeID="_x0000_i1030" DrawAspect="Content" ObjectID="_1468075730" r:id="rId26">
                  <o:LockedField>false</o:LockedField>
                </o:OLEObject>
              </w:object>
            </w:r>
          </w:p>
        </w:tc>
        <w:tc>
          <w:tcPr>
            <w:tcW w:w="930" w:type="dxa"/>
            <w:vMerge w:val="continue"/>
            <w:noWrap w:val="0"/>
            <w:vAlign w:val="center"/>
          </w:tcPr>
          <w:p w14:paraId="00B8BA69">
            <w:pPr>
              <w:jc w:val="center"/>
              <w:rPr>
                <w:rFonts w:ascii="宋体" w:hAnsi="宋体"/>
                <w:snapToGrid w:val="0"/>
                <w:kern w:val="0"/>
                <w:szCs w:val="21"/>
                <w:lang w:val="en-GB"/>
              </w:rPr>
            </w:pPr>
          </w:p>
        </w:tc>
        <w:tc>
          <w:tcPr>
            <w:tcW w:w="744" w:type="dxa"/>
            <w:vMerge w:val="continue"/>
            <w:noWrap w:val="0"/>
            <w:vAlign w:val="center"/>
          </w:tcPr>
          <w:p w14:paraId="7B2BD422">
            <w:pPr>
              <w:jc w:val="center"/>
              <w:rPr>
                <w:rFonts w:ascii="宋体" w:hAnsi="宋体"/>
                <w:snapToGrid w:val="0"/>
                <w:kern w:val="0"/>
                <w:szCs w:val="21"/>
                <w:lang w:val="en-GB"/>
              </w:rPr>
            </w:pPr>
          </w:p>
        </w:tc>
        <w:tc>
          <w:tcPr>
            <w:tcW w:w="930" w:type="dxa"/>
            <w:vMerge w:val="continue"/>
            <w:noWrap w:val="0"/>
            <w:vAlign w:val="center"/>
          </w:tcPr>
          <w:p w14:paraId="32930604">
            <w:pPr>
              <w:jc w:val="center"/>
              <w:rPr>
                <w:rFonts w:ascii="宋体" w:hAnsi="宋体"/>
                <w:snapToGrid w:val="0"/>
                <w:kern w:val="0"/>
                <w:szCs w:val="21"/>
                <w:lang w:val="en-GB"/>
              </w:rPr>
            </w:pPr>
          </w:p>
        </w:tc>
        <w:tc>
          <w:tcPr>
            <w:tcW w:w="744" w:type="dxa"/>
            <w:vMerge w:val="continue"/>
            <w:noWrap w:val="0"/>
            <w:vAlign w:val="center"/>
          </w:tcPr>
          <w:p w14:paraId="3B550F3C">
            <w:pPr>
              <w:jc w:val="center"/>
              <w:rPr>
                <w:rFonts w:ascii="宋体" w:hAnsi="宋体"/>
                <w:snapToGrid w:val="0"/>
                <w:kern w:val="0"/>
                <w:szCs w:val="21"/>
                <w:lang w:val="en-GB"/>
              </w:rPr>
            </w:pPr>
          </w:p>
        </w:tc>
        <w:tc>
          <w:tcPr>
            <w:tcW w:w="1303" w:type="dxa"/>
            <w:vMerge w:val="continue"/>
            <w:noWrap w:val="0"/>
            <w:vAlign w:val="center"/>
          </w:tcPr>
          <w:p w14:paraId="220286C5">
            <w:pPr>
              <w:jc w:val="center"/>
              <w:rPr>
                <w:rFonts w:ascii="宋体" w:hAnsi="宋体"/>
                <w:snapToGrid w:val="0"/>
                <w:kern w:val="0"/>
                <w:szCs w:val="21"/>
                <w:lang w:val="en-GB"/>
              </w:rPr>
            </w:pPr>
          </w:p>
        </w:tc>
      </w:tr>
      <w:tr w14:paraId="5D53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0244B84B">
            <w:pPr>
              <w:jc w:val="center"/>
              <w:rPr>
                <w:rFonts w:hint="eastAsia" w:ascii="宋体" w:hAnsi="宋体"/>
                <w:snapToGrid w:val="0"/>
                <w:kern w:val="0"/>
                <w:szCs w:val="21"/>
              </w:rPr>
            </w:pPr>
            <w:r>
              <w:rPr>
                <w:rFonts w:hint="eastAsia" w:ascii="宋体" w:hAnsi="宋体"/>
                <w:snapToGrid w:val="0"/>
                <w:kern w:val="0"/>
                <w:szCs w:val="21"/>
              </w:rPr>
              <w:t>K10</w:t>
            </w:r>
          </w:p>
        </w:tc>
        <w:tc>
          <w:tcPr>
            <w:tcW w:w="560" w:type="dxa"/>
            <w:vMerge w:val="restart"/>
            <w:noWrap w:val="0"/>
            <w:vAlign w:val="center"/>
          </w:tcPr>
          <w:p w14:paraId="2D9705E4">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49B0D0B3">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31" o:spt="75" type="#_x0000_t75" style="height:31pt;width:59pt;" o:ole="t" filled="f" o:preferrelative="t" stroked="f" coordsize="21600,21600">
                  <v:path/>
                  <v:fill on="f" alignshape="1" focussize="0,0"/>
                  <v:stroke on="f"/>
                  <v:imagedata r:id="rId29" o:title=""/>
                  <o:lock v:ext="edit" aspectratio="t"/>
                  <w10:wrap type="none"/>
                  <w10:anchorlock/>
                </v:shape>
                <o:OLEObject Type="Embed" ProgID="Equation.3" ShapeID="_x0000_i1031" DrawAspect="Content" ObjectID="_1468075731" r:id="rId28">
                  <o:LockedField>false</o:LockedField>
                </o:OLEObject>
              </w:object>
            </w:r>
          </w:p>
        </w:tc>
        <w:tc>
          <w:tcPr>
            <w:tcW w:w="1489" w:type="dxa"/>
            <w:vMerge w:val="continue"/>
            <w:noWrap w:val="0"/>
            <w:vAlign w:val="center"/>
          </w:tcPr>
          <w:p w14:paraId="147EC0DC">
            <w:pPr>
              <w:jc w:val="center"/>
              <w:rPr>
                <w:rFonts w:ascii="宋体" w:hAnsi="宋体"/>
                <w:snapToGrid w:val="0"/>
                <w:kern w:val="0"/>
                <w:szCs w:val="21"/>
                <w:lang w:val="en-GB"/>
              </w:rPr>
            </w:pPr>
          </w:p>
        </w:tc>
        <w:tc>
          <w:tcPr>
            <w:tcW w:w="930" w:type="dxa"/>
            <w:vMerge w:val="restart"/>
            <w:noWrap w:val="0"/>
            <w:vAlign w:val="center"/>
          </w:tcPr>
          <w:p w14:paraId="3EEDCBE9">
            <w:pPr>
              <w:jc w:val="center"/>
              <w:rPr>
                <w:rFonts w:ascii="宋体" w:hAnsi="宋体"/>
                <w:snapToGrid w:val="0"/>
                <w:kern w:val="0"/>
                <w:szCs w:val="21"/>
              </w:rPr>
            </w:pPr>
            <w:r>
              <w:rPr>
                <w:rFonts w:hint="eastAsia" w:ascii="宋体" w:hAnsi="宋体"/>
                <w:snapToGrid w:val="0"/>
                <w:kern w:val="0"/>
                <w:szCs w:val="21"/>
                <w:lang w:val="en-GB"/>
              </w:rPr>
              <w:t>不</w:t>
            </w:r>
            <w:r>
              <w:rPr>
                <w:rFonts w:ascii="宋体" w:hAnsi="宋体"/>
                <w:snapToGrid w:val="0"/>
                <w:kern w:val="0"/>
                <w:szCs w:val="21"/>
                <w:lang w:val="en-GB"/>
              </w:rPr>
              <w:t>稳定</w:t>
            </w:r>
          </w:p>
        </w:tc>
        <w:tc>
          <w:tcPr>
            <w:tcW w:w="744" w:type="dxa"/>
            <w:vMerge w:val="restart"/>
            <w:noWrap w:val="0"/>
            <w:vAlign w:val="center"/>
          </w:tcPr>
          <w:p w14:paraId="1453782C">
            <w:pPr>
              <w:jc w:val="center"/>
              <w:rPr>
                <w:rFonts w:ascii="宋体" w:hAnsi="宋体"/>
                <w:snapToGrid w:val="0"/>
                <w:kern w:val="0"/>
                <w:szCs w:val="21"/>
              </w:rPr>
            </w:pPr>
            <w:r>
              <w:rPr>
                <w:rFonts w:hint="eastAsia" w:ascii="宋体" w:hAnsi="宋体"/>
                <w:snapToGrid w:val="0"/>
                <w:kern w:val="0"/>
                <w:szCs w:val="21"/>
                <w:lang w:val="en-GB"/>
              </w:rPr>
              <w:t>局部2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05671252">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简单</w:t>
            </w:r>
          </w:p>
        </w:tc>
        <w:tc>
          <w:tcPr>
            <w:tcW w:w="744" w:type="dxa"/>
            <w:vMerge w:val="restart"/>
            <w:noWrap w:val="0"/>
            <w:vAlign w:val="center"/>
          </w:tcPr>
          <w:p w14:paraId="53310D91">
            <w:pPr>
              <w:jc w:val="center"/>
              <w:rPr>
                <w:rFonts w:hint="eastAsia" w:ascii="宋体" w:hAnsi="宋体"/>
                <w:szCs w:val="21"/>
              </w:rPr>
            </w:pPr>
            <w:r>
              <w:rPr>
                <w:rFonts w:hint="eastAsia" w:ascii="宋体" w:hAnsi="宋体"/>
                <w:szCs w:val="21"/>
              </w:rPr>
              <w:t>局部</w:t>
            </w:r>
          </w:p>
          <w:p w14:paraId="75E2050F">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5D1895AD">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345DE22F">
            <w:pPr>
              <w:jc w:val="center"/>
              <w:rPr>
                <w:rFonts w:ascii="宋体" w:hAnsi="宋体"/>
                <w:szCs w:val="21"/>
              </w:rPr>
            </w:pPr>
            <w:r>
              <w:rPr>
                <w:rFonts w:hint="eastAsia" w:ascii="宋体" w:hAnsi="宋体"/>
                <w:snapToGrid w:val="0"/>
                <w:kern w:val="0"/>
                <w:szCs w:val="21"/>
              </w:rPr>
              <w:t>局部可采</w:t>
            </w:r>
          </w:p>
        </w:tc>
      </w:tr>
      <w:tr w14:paraId="7CD2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41B1CD0B">
            <w:pPr>
              <w:jc w:val="center"/>
              <w:rPr>
                <w:rFonts w:ascii="宋体" w:hAnsi="宋体"/>
                <w:snapToGrid w:val="0"/>
                <w:kern w:val="0"/>
                <w:szCs w:val="21"/>
                <w:lang w:val="en-GB"/>
              </w:rPr>
            </w:pPr>
          </w:p>
        </w:tc>
        <w:tc>
          <w:tcPr>
            <w:tcW w:w="560" w:type="dxa"/>
            <w:vMerge w:val="continue"/>
            <w:noWrap w:val="0"/>
            <w:vAlign w:val="center"/>
          </w:tcPr>
          <w:p w14:paraId="54FBDBFE">
            <w:pPr>
              <w:jc w:val="center"/>
              <w:rPr>
                <w:rFonts w:ascii="宋体" w:hAnsi="宋体"/>
                <w:snapToGrid w:val="0"/>
                <w:kern w:val="0"/>
                <w:szCs w:val="21"/>
                <w:lang w:val="en-GB"/>
              </w:rPr>
            </w:pPr>
          </w:p>
        </w:tc>
        <w:tc>
          <w:tcPr>
            <w:tcW w:w="1489" w:type="dxa"/>
            <w:vMerge w:val="continue"/>
            <w:noWrap w:val="0"/>
            <w:vAlign w:val="center"/>
          </w:tcPr>
          <w:p w14:paraId="26BDE2EC">
            <w:pPr>
              <w:jc w:val="center"/>
              <w:rPr>
                <w:rFonts w:ascii="宋体" w:hAnsi="宋体"/>
                <w:snapToGrid w:val="0"/>
                <w:color w:val="FF0000"/>
                <w:kern w:val="0"/>
                <w:szCs w:val="21"/>
                <w:lang w:val="en-GB"/>
              </w:rPr>
            </w:pPr>
          </w:p>
        </w:tc>
        <w:tc>
          <w:tcPr>
            <w:tcW w:w="1489" w:type="dxa"/>
            <w:vMerge w:val="restart"/>
            <w:noWrap w:val="0"/>
            <w:vAlign w:val="center"/>
          </w:tcPr>
          <w:p w14:paraId="11669A9C">
            <w:pPr>
              <w:jc w:val="center"/>
              <w:rPr>
                <w:rFonts w:ascii="宋体" w:hAnsi="宋体"/>
                <w:snapToGrid w:val="0"/>
                <w:kern w:val="0"/>
                <w:szCs w:val="21"/>
                <w:lang w:val="en-GB"/>
              </w:rPr>
            </w:pPr>
            <w:r>
              <w:rPr>
                <w:rFonts w:ascii="宋体" w:hAnsi="宋体"/>
                <w:snapToGrid w:val="0"/>
                <w:kern w:val="0"/>
                <w:szCs w:val="21"/>
              </w:rPr>
              <w:object>
                <v:shape id="_x0000_i1032" o:spt="75" type="#_x0000_t75" style="height:31pt;width:40pt;" o:ole="t" filled="f" o:preferrelative="t" stroked="f" coordsize="21600,21600">
                  <v:path/>
                  <v:fill on="f" alignshape="1" focussize="0,0"/>
                  <v:stroke on="f"/>
                  <v:imagedata r:id="rId31" o:title=""/>
                  <o:lock v:ext="edit" aspectratio="t"/>
                  <w10:wrap type="none"/>
                  <w10:anchorlock/>
                </v:shape>
                <o:OLEObject Type="Embed" ProgID="Equation.3" ShapeID="_x0000_i1032" DrawAspect="Content" ObjectID="_1468075732" r:id="rId30">
                  <o:LockedField>false</o:LockedField>
                </o:OLEObject>
              </w:object>
            </w:r>
          </w:p>
        </w:tc>
        <w:tc>
          <w:tcPr>
            <w:tcW w:w="930" w:type="dxa"/>
            <w:vMerge w:val="continue"/>
            <w:noWrap w:val="0"/>
            <w:vAlign w:val="center"/>
          </w:tcPr>
          <w:p w14:paraId="67DFFC5A">
            <w:pPr>
              <w:jc w:val="center"/>
              <w:rPr>
                <w:rFonts w:ascii="宋体" w:hAnsi="宋体"/>
                <w:snapToGrid w:val="0"/>
                <w:kern w:val="0"/>
                <w:szCs w:val="21"/>
                <w:lang w:val="en-GB"/>
              </w:rPr>
            </w:pPr>
          </w:p>
        </w:tc>
        <w:tc>
          <w:tcPr>
            <w:tcW w:w="744" w:type="dxa"/>
            <w:vMerge w:val="continue"/>
            <w:noWrap w:val="0"/>
            <w:vAlign w:val="center"/>
          </w:tcPr>
          <w:p w14:paraId="2D1DF2E4">
            <w:pPr>
              <w:jc w:val="center"/>
              <w:rPr>
                <w:rFonts w:ascii="宋体" w:hAnsi="宋体"/>
                <w:snapToGrid w:val="0"/>
                <w:kern w:val="0"/>
                <w:szCs w:val="21"/>
                <w:lang w:val="en-GB"/>
              </w:rPr>
            </w:pPr>
          </w:p>
        </w:tc>
        <w:tc>
          <w:tcPr>
            <w:tcW w:w="930" w:type="dxa"/>
            <w:vMerge w:val="continue"/>
            <w:noWrap w:val="0"/>
            <w:vAlign w:val="center"/>
          </w:tcPr>
          <w:p w14:paraId="05010167">
            <w:pPr>
              <w:jc w:val="center"/>
              <w:rPr>
                <w:rFonts w:ascii="宋体" w:hAnsi="宋体"/>
                <w:snapToGrid w:val="0"/>
                <w:kern w:val="0"/>
                <w:szCs w:val="21"/>
                <w:lang w:val="en-GB"/>
              </w:rPr>
            </w:pPr>
          </w:p>
        </w:tc>
        <w:tc>
          <w:tcPr>
            <w:tcW w:w="744" w:type="dxa"/>
            <w:vMerge w:val="continue"/>
            <w:noWrap w:val="0"/>
            <w:vAlign w:val="center"/>
          </w:tcPr>
          <w:p w14:paraId="0F7BE225">
            <w:pPr>
              <w:jc w:val="center"/>
              <w:rPr>
                <w:rFonts w:ascii="宋体" w:hAnsi="宋体"/>
                <w:snapToGrid w:val="0"/>
                <w:kern w:val="0"/>
                <w:szCs w:val="21"/>
                <w:lang w:val="en-GB"/>
              </w:rPr>
            </w:pPr>
          </w:p>
        </w:tc>
        <w:tc>
          <w:tcPr>
            <w:tcW w:w="1303" w:type="dxa"/>
            <w:vMerge w:val="continue"/>
            <w:noWrap w:val="0"/>
            <w:vAlign w:val="center"/>
          </w:tcPr>
          <w:p w14:paraId="77C999E4">
            <w:pPr>
              <w:jc w:val="center"/>
              <w:rPr>
                <w:rFonts w:ascii="宋体" w:hAnsi="宋体"/>
                <w:snapToGrid w:val="0"/>
                <w:kern w:val="0"/>
                <w:szCs w:val="21"/>
                <w:lang w:val="en-GB"/>
              </w:rPr>
            </w:pPr>
          </w:p>
        </w:tc>
      </w:tr>
      <w:tr w14:paraId="452F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00785BCE">
            <w:pPr>
              <w:jc w:val="center"/>
              <w:rPr>
                <w:rFonts w:hint="eastAsia" w:ascii="宋体" w:hAnsi="宋体"/>
                <w:snapToGrid w:val="0"/>
                <w:kern w:val="0"/>
                <w:szCs w:val="21"/>
              </w:rPr>
            </w:pPr>
            <w:r>
              <w:rPr>
                <w:rFonts w:hint="eastAsia" w:ascii="宋体" w:hAnsi="宋体"/>
                <w:snapToGrid w:val="0"/>
                <w:kern w:val="0"/>
                <w:szCs w:val="21"/>
              </w:rPr>
              <w:t>K13</w:t>
            </w:r>
          </w:p>
        </w:tc>
        <w:tc>
          <w:tcPr>
            <w:tcW w:w="560" w:type="dxa"/>
            <w:vMerge w:val="restart"/>
            <w:noWrap w:val="0"/>
            <w:vAlign w:val="center"/>
          </w:tcPr>
          <w:p w14:paraId="23F87D64">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00A87AF3">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33" o:spt="75" type="#_x0000_t75" style="height:31pt;width:57pt;" o:ole="t" filled="f" o:preferrelative="t" stroked="f" coordsize="21600,21600">
                  <v:path/>
                  <v:fill on="f" alignshape="1" focussize="0,0"/>
                  <v:stroke on="f"/>
                  <v:imagedata r:id="rId33" o:title=""/>
                  <o:lock v:ext="edit" aspectratio="t"/>
                  <w10:wrap type="none"/>
                  <w10:anchorlock/>
                </v:shape>
                <o:OLEObject Type="Embed" ProgID="Equation.3" ShapeID="_x0000_i1033" DrawAspect="Content" ObjectID="_1468075733" r:id="rId32">
                  <o:LockedField>false</o:LockedField>
                </o:OLEObject>
              </w:object>
            </w:r>
          </w:p>
        </w:tc>
        <w:tc>
          <w:tcPr>
            <w:tcW w:w="1489" w:type="dxa"/>
            <w:vMerge w:val="continue"/>
            <w:noWrap w:val="0"/>
            <w:vAlign w:val="center"/>
          </w:tcPr>
          <w:p w14:paraId="6FEAAC9C">
            <w:pPr>
              <w:jc w:val="center"/>
              <w:rPr>
                <w:rFonts w:ascii="宋体" w:hAnsi="宋体"/>
                <w:snapToGrid w:val="0"/>
                <w:kern w:val="0"/>
                <w:szCs w:val="21"/>
                <w:lang w:val="en-GB"/>
              </w:rPr>
            </w:pPr>
          </w:p>
        </w:tc>
        <w:tc>
          <w:tcPr>
            <w:tcW w:w="930" w:type="dxa"/>
            <w:vMerge w:val="restart"/>
            <w:noWrap w:val="0"/>
            <w:vAlign w:val="center"/>
          </w:tcPr>
          <w:p w14:paraId="65EEFFC6">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5C5FA806">
            <w:pPr>
              <w:jc w:val="center"/>
              <w:rPr>
                <w:rFonts w:ascii="宋体" w:hAnsi="宋体"/>
                <w:snapToGrid w:val="0"/>
                <w:kern w:val="0"/>
                <w:szCs w:val="21"/>
              </w:rPr>
            </w:pPr>
            <w:r>
              <w:rPr>
                <w:rFonts w:hint="eastAsia" w:ascii="宋体" w:hAnsi="宋体"/>
                <w:snapToGrid w:val="0"/>
                <w:kern w:val="0"/>
                <w:szCs w:val="21"/>
                <w:lang w:val="en-GB"/>
              </w:rPr>
              <w:t>1</w:t>
            </w:r>
            <w:r>
              <w:rPr>
                <w:rFonts w:ascii="宋体" w:hAnsi="宋体"/>
                <w:snapToGrid w:val="0"/>
                <w:kern w:val="0"/>
                <w:szCs w:val="21"/>
                <w:lang w:val="en-GB"/>
              </w:rPr>
              <w:t>～</w:t>
            </w:r>
            <w:r>
              <w:rPr>
                <w:rFonts w:hint="eastAsia" w:ascii="宋体" w:hAnsi="宋体"/>
                <w:snapToGrid w:val="0"/>
                <w:kern w:val="0"/>
                <w:szCs w:val="21"/>
                <w:lang w:val="en-GB"/>
              </w:rPr>
              <w:t>2</w:t>
            </w:r>
          </w:p>
        </w:tc>
        <w:tc>
          <w:tcPr>
            <w:tcW w:w="930" w:type="dxa"/>
            <w:vMerge w:val="restart"/>
            <w:noWrap w:val="0"/>
            <w:vAlign w:val="center"/>
          </w:tcPr>
          <w:p w14:paraId="2BA7E36E">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简单</w:t>
            </w:r>
          </w:p>
        </w:tc>
        <w:tc>
          <w:tcPr>
            <w:tcW w:w="744" w:type="dxa"/>
            <w:vMerge w:val="restart"/>
            <w:noWrap w:val="0"/>
            <w:vAlign w:val="center"/>
          </w:tcPr>
          <w:p w14:paraId="7721756C">
            <w:pPr>
              <w:jc w:val="center"/>
              <w:rPr>
                <w:rFonts w:hint="eastAsia" w:ascii="宋体" w:hAnsi="宋体"/>
                <w:szCs w:val="21"/>
              </w:rPr>
            </w:pPr>
            <w:r>
              <w:rPr>
                <w:rFonts w:hint="eastAsia" w:ascii="宋体" w:hAnsi="宋体"/>
                <w:szCs w:val="21"/>
              </w:rPr>
              <w:t>全区</w:t>
            </w:r>
          </w:p>
          <w:p w14:paraId="4BFA0693">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3F2E5117">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5DFA542B">
            <w:pPr>
              <w:jc w:val="center"/>
              <w:rPr>
                <w:rFonts w:hint="eastAsia"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1670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42DB0A0D">
            <w:pPr>
              <w:jc w:val="center"/>
              <w:rPr>
                <w:rFonts w:ascii="宋体" w:hAnsi="宋体"/>
                <w:snapToGrid w:val="0"/>
                <w:kern w:val="0"/>
                <w:szCs w:val="21"/>
                <w:lang w:val="en-GB"/>
              </w:rPr>
            </w:pPr>
          </w:p>
        </w:tc>
        <w:tc>
          <w:tcPr>
            <w:tcW w:w="560" w:type="dxa"/>
            <w:vMerge w:val="continue"/>
            <w:noWrap w:val="0"/>
            <w:vAlign w:val="center"/>
          </w:tcPr>
          <w:p w14:paraId="7E7BB8FD">
            <w:pPr>
              <w:jc w:val="center"/>
              <w:rPr>
                <w:rFonts w:ascii="宋体" w:hAnsi="宋体"/>
                <w:snapToGrid w:val="0"/>
                <w:kern w:val="0"/>
                <w:szCs w:val="21"/>
                <w:lang w:val="en-GB"/>
              </w:rPr>
            </w:pPr>
          </w:p>
        </w:tc>
        <w:tc>
          <w:tcPr>
            <w:tcW w:w="1489" w:type="dxa"/>
            <w:vMerge w:val="continue"/>
            <w:noWrap w:val="0"/>
            <w:vAlign w:val="center"/>
          </w:tcPr>
          <w:p w14:paraId="73F24046">
            <w:pPr>
              <w:jc w:val="center"/>
              <w:rPr>
                <w:rFonts w:ascii="宋体" w:hAnsi="宋体"/>
                <w:snapToGrid w:val="0"/>
                <w:color w:val="FF0000"/>
                <w:kern w:val="0"/>
                <w:szCs w:val="21"/>
                <w:lang w:val="en-GB"/>
              </w:rPr>
            </w:pPr>
          </w:p>
        </w:tc>
        <w:tc>
          <w:tcPr>
            <w:tcW w:w="1489" w:type="dxa"/>
            <w:vMerge w:val="restart"/>
            <w:noWrap w:val="0"/>
            <w:vAlign w:val="center"/>
          </w:tcPr>
          <w:p w14:paraId="402C4909">
            <w:pPr>
              <w:jc w:val="center"/>
              <w:rPr>
                <w:rFonts w:ascii="宋体" w:hAnsi="宋体"/>
                <w:snapToGrid w:val="0"/>
                <w:kern w:val="0"/>
                <w:szCs w:val="21"/>
                <w:lang w:val="en-GB"/>
              </w:rPr>
            </w:pPr>
            <w:r>
              <w:rPr>
                <w:rFonts w:ascii="宋体" w:hAnsi="宋体"/>
                <w:snapToGrid w:val="0"/>
                <w:kern w:val="0"/>
                <w:szCs w:val="21"/>
              </w:rPr>
              <w:object>
                <v:shape id="_x0000_i1034" o:spt="75" type="#_x0000_t75" style="height:31pt;width:41pt;" o:ole="t" filled="f" o:preferrelative="t" stroked="f" coordsize="21600,21600">
                  <v:path/>
                  <v:fill on="f" alignshape="1" focussize="0,0"/>
                  <v:stroke on="f"/>
                  <v:imagedata r:id="rId35" o:title=""/>
                  <o:lock v:ext="edit" aspectratio="t"/>
                  <w10:wrap type="none"/>
                  <w10:anchorlock/>
                </v:shape>
                <o:OLEObject Type="Embed" ProgID="Equation.3" ShapeID="_x0000_i1034" DrawAspect="Content" ObjectID="_1468075734" r:id="rId34">
                  <o:LockedField>false</o:LockedField>
                </o:OLEObject>
              </w:object>
            </w:r>
          </w:p>
        </w:tc>
        <w:tc>
          <w:tcPr>
            <w:tcW w:w="930" w:type="dxa"/>
            <w:vMerge w:val="continue"/>
            <w:noWrap w:val="0"/>
            <w:vAlign w:val="center"/>
          </w:tcPr>
          <w:p w14:paraId="672685AC">
            <w:pPr>
              <w:jc w:val="center"/>
              <w:rPr>
                <w:rFonts w:ascii="宋体" w:hAnsi="宋体"/>
                <w:snapToGrid w:val="0"/>
                <w:kern w:val="0"/>
                <w:szCs w:val="21"/>
                <w:lang w:val="en-GB"/>
              </w:rPr>
            </w:pPr>
          </w:p>
        </w:tc>
        <w:tc>
          <w:tcPr>
            <w:tcW w:w="744" w:type="dxa"/>
            <w:vMerge w:val="continue"/>
            <w:noWrap w:val="0"/>
            <w:vAlign w:val="center"/>
          </w:tcPr>
          <w:p w14:paraId="06E45CE2">
            <w:pPr>
              <w:jc w:val="center"/>
              <w:rPr>
                <w:rFonts w:ascii="宋体" w:hAnsi="宋体"/>
                <w:snapToGrid w:val="0"/>
                <w:kern w:val="0"/>
                <w:szCs w:val="21"/>
                <w:lang w:val="en-GB"/>
              </w:rPr>
            </w:pPr>
          </w:p>
        </w:tc>
        <w:tc>
          <w:tcPr>
            <w:tcW w:w="930" w:type="dxa"/>
            <w:vMerge w:val="continue"/>
            <w:noWrap w:val="0"/>
            <w:vAlign w:val="center"/>
          </w:tcPr>
          <w:p w14:paraId="53F865C2">
            <w:pPr>
              <w:jc w:val="center"/>
              <w:rPr>
                <w:rFonts w:ascii="宋体" w:hAnsi="宋体"/>
                <w:snapToGrid w:val="0"/>
                <w:kern w:val="0"/>
                <w:szCs w:val="21"/>
                <w:lang w:val="en-GB"/>
              </w:rPr>
            </w:pPr>
          </w:p>
        </w:tc>
        <w:tc>
          <w:tcPr>
            <w:tcW w:w="744" w:type="dxa"/>
            <w:vMerge w:val="continue"/>
            <w:noWrap w:val="0"/>
            <w:vAlign w:val="center"/>
          </w:tcPr>
          <w:p w14:paraId="3F4A4EA8">
            <w:pPr>
              <w:jc w:val="center"/>
              <w:rPr>
                <w:rFonts w:ascii="宋体" w:hAnsi="宋体"/>
                <w:snapToGrid w:val="0"/>
                <w:kern w:val="0"/>
                <w:szCs w:val="21"/>
                <w:lang w:val="en-GB"/>
              </w:rPr>
            </w:pPr>
          </w:p>
        </w:tc>
        <w:tc>
          <w:tcPr>
            <w:tcW w:w="1303" w:type="dxa"/>
            <w:vMerge w:val="continue"/>
            <w:noWrap w:val="0"/>
            <w:vAlign w:val="center"/>
          </w:tcPr>
          <w:p w14:paraId="24CEF0F2">
            <w:pPr>
              <w:jc w:val="center"/>
              <w:rPr>
                <w:rFonts w:ascii="宋体" w:hAnsi="宋体"/>
                <w:snapToGrid w:val="0"/>
                <w:kern w:val="0"/>
                <w:szCs w:val="21"/>
                <w:lang w:val="en-GB"/>
              </w:rPr>
            </w:pPr>
          </w:p>
        </w:tc>
      </w:tr>
      <w:tr w14:paraId="51D2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61D1B52C">
            <w:pPr>
              <w:jc w:val="center"/>
              <w:rPr>
                <w:rFonts w:hint="eastAsia" w:ascii="宋体" w:hAnsi="宋体"/>
                <w:snapToGrid w:val="0"/>
                <w:kern w:val="0"/>
                <w:szCs w:val="21"/>
              </w:rPr>
            </w:pPr>
            <w:r>
              <w:rPr>
                <w:rFonts w:hint="eastAsia" w:ascii="宋体" w:hAnsi="宋体"/>
                <w:snapToGrid w:val="0"/>
                <w:kern w:val="0"/>
                <w:szCs w:val="21"/>
              </w:rPr>
              <w:t>K18</w:t>
            </w:r>
          </w:p>
        </w:tc>
        <w:tc>
          <w:tcPr>
            <w:tcW w:w="560" w:type="dxa"/>
            <w:vMerge w:val="restart"/>
            <w:noWrap w:val="0"/>
            <w:vAlign w:val="center"/>
          </w:tcPr>
          <w:p w14:paraId="586ACB62">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3</w:t>
            </w:r>
          </w:p>
        </w:tc>
        <w:tc>
          <w:tcPr>
            <w:tcW w:w="1489" w:type="dxa"/>
            <w:vMerge w:val="restart"/>
            <w:noWrap w:val="0"/>
            <w:vAlign w:val="center"/>
          </w:tcPr>
          <w:p w14:paraId="0DD48317">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35" o:spt="75" type="#_x0000_t75" style="height:31pt;width:59pt;" o:ole="t" filled="f" o:preferrelative="t" stroked="f" coordsize="21600,21600">
                  <v:path/>
                  <v:fill on="f" alignshape="1" focussize="0,0"/>
                  <v:stroke on="f"/>
                  <v:imagedata r:id="rId37" o:title=""/>
                  <o:lock v:ext="edit" aspectratio="t"/>
                  <w10:wrap type="none"/>
                  <w10:anchorlock/>
                </v:shape>
                <o:OLEObject Type="Embed" ProgID="Equation.3" ShapeID="_x0000_i1035" DrawAspect="Content" ObjectID="_1468075735" r:id="rId36">
                  <o:LockedField>false</o:LockedField>
                </o:OLEObject>
              </w:object>
            </w:r>
          </w:p>
        </w:tc>
        <w:tc>
          <w:tcPr>
            <w:tcW w:w="1489" w:type="dxa"/>
            <w:vMerge w:val="continue"/>
            <w:noWrap w:val="0"/>
            <w:vAlign w:val="center"/>
          </w:tcPr>
          <w:p w14:paraId="5B398512">
            <w:pPr>
              <w:jc w:val="center"/>
              <w:rPr>
                <w:rFonts w:ascii="宋体" w:hAnsi="宋体"/>
                <w:snapToGrid w:val="0"/>
                <w:kern w:val="0"/>
                <w:szCs w:val="21"/>
                <w:lang w:val="en-GB"/>
              </w:rPr>
            </w:pPr>
          </w:p>
        </w:tc>
        <w:tc>
          <w:tcPr>
            <w:tcW w:w="930" w:type="dxa"/>
            <w:vMerge w:val="restart"/>
            <w:noWrap w:val="0"/>
            <w:vAlign w:val="center"/>
          </w:tcPr>
          <w:p w14:paraId="4596204F">
            <w:pPr>
              <w:jc w:val="center"/>
              <w:rPr>
                <w:rFonts w:ascii="宋体" w:hAnsi="宋体"/>
                <w:snapToGrid w:val="0"/>
                <w:kern w:val="0"/>
                <w:szCs w:val="21"/>
              </w:rPr>
            </w:pPr>
            <w:r>
              <w:rPr>
                <w:rFonts w:ascii="宋体" w:hAnsi="宋体"/>
                <w:snapToGrid w:val="0"/>
                <w:kern w:val="0"/>
                <w:szCs w:val="21"/>
                <w:lang w:val="en-GB"/>
              </w:rPr>
              <w:t>稳定</w:t>
            </w:r>
          </w:p>
        </w:tc>
        <w:tc>
          <w:tcPr>
            <w:tcW w:w="744" w:type="dxa"/>
            <w:vMerge w:val="restart"/>
            <w:noWrap w:val="0"/>
            <w:vAlign w:val="center"/>
          </w:tcPr>
          <w:p w14:paraId="4A137F3C">
            <w:pPr>
              <w:jc w:val="center"/>
              <w:rPr>
                <w:rFonts w:ascii="宋体" w:hAnsi="宋体"/>
                <w:snapToGrid w:val="0"/>
                <w:kern w:val="0"/>
                <w:szCs w:val="21"/>
              </w:rPr>
            </w:pPr>
            <w:r>
              <w:rPr>
                <w:rFonts w:hint="eastAsia" w:ascii="宋体" w:hAnsi="宋体"/>
                <w:snapToGrid w:val="0"/>
                <w:kern w:val="0"/>
                <w:szCs w:val="21"/>
                <w:lang w:val="en-GB"/>
              </w:rPr>
              <w:t>局部2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0E09BE3B">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简单</w:t>
            </w:r>
          </w:p>
        </w:tc>
        <w:tc>
          <w:tcPr>
            <w:tcW w:w="744" w:type="dxa"/>
            <w:vMerge w:val="restart"/>
            <w:noWrap w:val="0"/>
            <w:vAlign w:val="center"/>
          </w:tcPr>
          <w:p w14:paraId="43C760E9">
            <w:pPr>
              <w:jc w:val="center"/>
              <w:rPr>
                <w:rFonts w:hint="eastAsia" w:ascii="宋体" w:hAnsi="宋体"/>
                <w:szCs w:val="21"/>
              </w:rPr>
            </w:pPr>
            <w:r>
              <w:rPr>
                <w:rFonts w:hint="eastAsia" w:ascii="宋体" w:hAnsi="宋体"/>
                <w:szCs w:val="21"/>
              </w:rPr>
              <w:t>全区</w:t>
            </w:r>
          </w:p>
          <w:p w14:paraId="0DA86953">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2B15D3CA">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32B224C4">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439F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190B640D">
            <w:pPr>
              <w:jc w:val="center"/>
              <w:rPr>
                <w:rFonts w:ascii="宋体" w:hAnsi="宋体"/>
                <w:snapToGrid w:val="0"/>
                <w:kern w:val="0"/>
                <w:szCs w:val="21"/>
                <w:lang w:val="en-GB"/>
              </w:rPr>
            </w:pPr>
          </w:p>
        </w:tc>
        <w:tc>
          <w:tcPr>
            <w:tcW w:w="560" w:type="dxa"/>
            <w:vMerge w:val="continue"/>
            <w:noWrap w:val="0"/>
            <w:vAlign w:val="center"/>
          </w:tcPr>
          <w:p w14:paraId="1716165A">
            <w:pPr>
              <w:jc w:val="center"/>
              <w:rPr>
                <w:rFonts w:ascii="宋体" w:hAnsi="宋体"/>
                <w:snapToGrid w:val="0"/>
                <w:kern w:val="0"/>
                <w:szCs w:val="21"/>
                <w:lang w:val="en-GB"/>
              </w:rPr>
            </w:pPr>
          </w:p>
        </w:tc>
        <w:tc>
          <w:tcPr>
            <w:tcW w:w="1489" w:type="dxa"/>
            <w:vMerge w:val="continue"/>
            <w:noWrap w:val="0"/>
            <w:vAlign w:val="center"/>
          </w:tcPr>
          <w:p w14:paraId="709A789B">
            <w:pPr>
              <w:jc w:val="center"/>
              <w:rPr>
                <w:rFonts w:ascii="宋体" w:hAnsi="宋体"/>
                <w:snapToGrid w:val="0"/>
                <w:color w:val="FF0000"/>
                <w:kern w:val="0"/>
                <w:szCs w:val="21"/>
                <w:lang w:val="en-GB"/>
              </w:rPr>
            </w:pPr>
          </w:p>
        </w:tc>
        <w:tc>
          <w:tcPr>
            <w:tcW w:w="1489" w:type="dxa"/>
            <w:vMerge w:val="restart"/>
            <w:noWrap w:val="0"/>
            <w:vAlign w:val="center"/>
          </w:tcPr>
          <w:p w14:paraId="7F3F89DF">
            <w:pPr>
              <w:jc w:val="center"/>
              <w:rPr>
                <w:rFonts w:ascii="宋体" w:hAnsi="宋体"/>
                <w:snapToGrid w:val="0"/>
                <w:kern w:val="0"/>
                <w:szCs w:val="21"/>
                <w:lang w:val="en-GB"/>
              </w:rPr>
            </w:pPr>
            <w:r>
              <w:rPr>
                <w:rFonts w:ascii="宋体" w:hAnsi="宋体"/>
                <w:snapToGrid w:val="0"/>
                <w:kern w:val="0"/>
                <w:szCs w:val="21"/>
              </w:rPr>
              <w:object>
                <v:shape id="_x0000_i1036" o:spt="75" type="#_x0000_t75" style="height:31pt;width:41pt;" o:ole="t" filled="f" o:preferrelative="t" stroked="f" coordsize="21600,21600">
                  <v:path/>
                  <v:fill on="f" alignshape="1" focussize="0,0"/>
                  <v:stroke on="f"/>
                  <v:imagedata r:id="rId39" o:title=""/>
                  <o:lock v:ext="edit" aspectratio="t"/>
                  <w10:wrap type="none"/>
                  <w10:anchorlock/>
                </v:shape>
                <o:OLEObject Type="Embed" ProgID="Equation.3" ShapeID="_x0000_i1036" DrawAspect="Content" ObjectID="_1468075736" r:id="rId38">
                  <o:LockedField>false</o:LockedField>
                </o:OLEObject>
              </w:object>
            </w:r>
          </w:p>
        </w:tc>
        <w:tc>
          <w:tcPr>
            <w:tcW w:w="930" w:type="dxa"/>
            <w:vMerge w:val="continue"/>
            <w:noWrap w:val="0"/>
            <w:vAlign w:val="center"/>
          </w:tcPr>
          <w:p w14:paraId="049ABB7B">
            <w:pPr>
              <w:jc w:val="center"/>
              <w:rPr>
                <w:rFonts w:ascii="宋体" w:hAnsi="宋体"/>
                <w:snapToGrid w:val="0"/>
                <w:kern w:val="0"/>
                <w:szCs w:val="21"/>
                <w:lang w:val="en-GB"/>
              </w:rPr>
            </w:pPr>
          </w:p>
        </w:tc>
        <w:tc>
          <w:tcPr>
            <w:tcW w:w="744" w:type="dxa"/>
            <w:vMerge w:val="continue"/>
            <w:noWrap w:val="0"/>
            <w:vAlign w:val="center"/>
          </w:tcPr>
          <w:p w14:paraId="3834339B">
            <w:pPr>
              <w:jc w:val="center"/>
              <w:rPr>
                <w:rFonts w:ascii="宋体" w:hAnsi="宋体"/>
                <w:snapToGrid w:val="0"/>
                <w:kern w:val="0"/>
                <w:szCs w:val="21"/>
                <w:lang w:val="en-GB"/>
              </w:rPr>
            </w:pPr>
          </w:p>
        </w:tc>
        <w:tc>
          <w:tcPr>
            <w:tcW w:w="930" w:type="dxa"/>
            <w:vMerge w:val="continue"/>
            <w:noWrap w:val="0"/>
            <w:vAlign w:val="center"/>
          </w:tcPr>
          <w:p w14:paraId="5ED08646">
            <w:pPr>
              <w:jc w:val="center"/>
              <w:rPr>
                <w:rFonts w:ascii="宋体" w:hAnsi="宋体"/>
                <w:snapToGrid w:val="0"/>
                <w:kern w:val="0"/>
                <w:szCs w:val="21"/>
                <w:lang w:val="en-GB"/>
              </w:rPr>
            </w:pPr>
          </w:p>
        </w:tc>
        <w:tc>
          <w:tcPr>
            <w:tcW w:w="744" w:type="dxa"/>
            <w:vMerge w:val="continue"/>
            <w:noWrap w:val="0"/>
            <w:vAlign w:val="center"/>
          </w:tcPr>
          <w:p w14:paraId="5203A868">
            <w:pPr>
              <w:jc w:val="center"/>
              <w:rPr>
                <w:rFonts w:ascii="宋体" w:hAnsi="宋体"/>
                <w:snapToGrid w:val="0"/>
                <w:kern w:val="0"/>
                <w:szCs w:val="21"/>
                <w:lang w:val="en-GB"/>
              </w:rPr>
            </w:pPr>
          </w:p>
        </w:tc>
        <w:tc>
          <w:tcPr>
            <w:tcW w:w="1303" w:type="dxa"/>
            <w:vMerge w:val="continue"/>
            <w:noWrap w:val="0"/>
            <w:vAlign w:val="center"/>
          </w:tcPr>
          <w:p w14:paraId="47ED0D60">
            <w:pPr>
              <w:jc w:val="center"/>
              <w:rPr>
                <w:rFonts w:ascii="宋体" w:hAnsi="宋体"/>
                <w:snapToGrid w:val="0"/>
                <w:kern w:val="0"/>
                <w:szCs w:val="21"/>
                <w:lang w:val="en-GB"/>
              </w:rPr>
            </w:pPr>
          </w:p>
        </w:tc>
      </w:tr>
      <w:tr w14:paraId="4066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30190D0D">
            <w:pPr>
              <w:jc w:val="center"/>
              <w:rPr>
                <w:rFonts w:hint="eastAsia" w:ascii="宋体" w:hAnsi="宋体"/>
                <w:snapToGrid w:val="0"/>
                <w:kern w:val="0"/>
                <w:szCs w:val="21"/>
              </w:rPr>
            </w:pPr>
            <w:r>
              <w:rPr>
                <w:rFonts w:hint="eastAsia" w:ascii="宋体" w:hAnsi="宋体"/>
                <w:snapToGrid w:val="0"/>
                <w:kern w:val="0"/>
                <w:szCs w:val="21"/>
              </w:rPr>
              <w:t>K26</w:t>
            </w:r>
          </w:p>
        </w:tc>
        <w:tc>
          <w:tcPr>
            <w:tcW w:w="560" w:type="dxa"/>
            <w:vMerge w:val="restart"/>
            <w:noWrap w:val="0"/>
            <w:vAlign w:val="center"/>
          </w:tcPr>
          <w:p w14:paraId="5B536C1A">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3</w:t>
            </w:r>
          </w:p>
        </w:tc>
        <w:tc>
          <w:tcPr>
            <w:tcW w:w="1489" w:type="dxa"/>
            <w:vMerge w:val="restart"/>
            <w:noWrap w:val="0"/>
            <w:vAlign w:val="center"/>
          </w:tcPr>
          <w:p w14:paraId="7CE3B915">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37" o:spt="75" type="#_x0000_t75" style="height:31pt;width:58pt;" o:ole="t" filled="f" o:preferrelative="t" stroked="f" coordsize="21600,21600">
                  <v:path/>
                  <v:fill on="f" alignshape="1" focussize="0,0"/>
                  <v:stroke on="f"/>
                  <v:imagedata r:id="rId41" o:title=""/>
                  <o:lock v:ext="edit" aspectratio="t"/>
                  <w10:wrap type="none"/>
                  <w10:anchorlock/>
                </v:shape>
                <o:OLEObject Type="Embed" ProgID="Equation.3" ShapeID="_x0000_i1037" DrawAspect="Content" ObjectID="_1468075737" r:id="rId40">
                  <o:LockedField>false</o:LockedField>
                </o:OLEObject>
              </w:object>
            </w:r>
          </w:p>
        </w:tc>
        <w:tc>
          <w:tcPr>
            <w:tcW w:w="1489" w:type="dxa"/>
            <w:vMerge w:val="continue"/>
            <w:noWrap w:val="0"/>
            <w:vAlign w:val="center"/>
          </w:tcPr>
          <w:p w14:paraId="6F3CC373">
            <w:pPr>
              <w:jc w:val="center"/>
              <w:rPr>
                <w:rFonts w:ascii="宋体" w:hAnsi="宋体"/>
                <w:snapToGrid w:val="0"/>
                <w:kern w:val="0"/>
                <w:szCs w:val="21"/>
                <w:lang w:val="en-GB"/>
              </w:rPr>
            </w:pPr>
          </w:p>
        </w:tc>
        <w:tc>
          <w:tcPr>
            <w:tcW w:w="930" w:type="dxa"/>
            <w:vMerge w:val="restart"/>
            <w:noWrap w:val="0"/>
            <w:vAlign w:val="center"/>
          </w:tcPr>
          <w:p w14:paraId="723B8A36">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2FD7EE1E">
            <w:pPr>
              <w:jc w:val="center"/>
              <w:rPr>
                <w:rFonts w:hint="eastAsia" w:ascii="宋体" w:hAnsi="宋体"/>
                <w:snapToGrid w:val="0"/>
                <w:kern w:val="0"/>
                <w:szCs w:val="21"/>
              </w:rPr>
            </w:pPr>
            <w:r>
              <w:rPr>
                <w:rFonts w:hint="eastAsia" w:ascii="宋体" w:hAnsi="宋体"/>
                <w:snapToGrid w:val="0"/>
                <w:kern w:val="0"/>
                <w:szCs w:val="21"/>
                <w:lang w:val="en-GB"/>
              </w:rPr>
              <w:t>局部2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4D415A75">
            <w:pPr>
              <w:jc w:val="center"/>
              <w:rPr>
                <w:rFonts w:ascii="宋体" w:hAnsi="宋体"/>
                <w:snapToGrid w:val="0"/>
                <w:kern w:val="0"/>
                <w:szCs w:val="21"/>
                <w:lang w:val="en-GB"/>
              </w:rPr>
            </w:pPr>
            <w:r>
              <w:rPr>
                <w:rFonts w:hint="eastAsia" w:ascii="宋体" w:hAnsi="宋体"/>
                <w:snapToGrid w:val="0"/>
                <w:kern w:val="0"/>
                <w:szCs w:val="21"/>
                <w:lang w:val="en-GB"/>
              </w:rPr>
              <w:t>简单</w:t>
            </w:r>
          </w:p>
        </w:tc>
        <w:tc>
          <w:tcPr>
            <w:tcW w:w="744" w:type="dxa"/>
            <w:vMerge w:val="restart"/>
            <w:noWrap w:val="0"/>
            <w:vAlign w:val="center"/>
          </w:tcPr>
          <w:p w14:paraId="131C114D">
            <w:pPr>
              <w:jc w:val="center"/>
              <w:rPr>
                <w:rFonts w:hint="eastAsia" w:ascii="宋体" w:hAnsi="宋体"/>
                <w:szCs w:val="21"/>
              </w:rPr>
            </w:pPr>
            <w:r>
              <w:rPr>
                <w:rFonts w:hint="eastAsia" w:ascii="宋体" w:hAnsi="宋体"/>
                <w:szCs w:val="21"/>
              </w:rPr>
              <w:t>大部</w:t>
            </w:r>
          </w:p>
          <w:p w14:paraId="68031D43">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3EA886BF">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07A92C00">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6F80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3F8E3DEF">
            <w:pPr>
              <w:jc w:val="center"/>
              <w:rPr>
                <w:rFonts w:ascii="宋体" w:hAnsi="宋体"/>
                <w:snapToGrid w:val="0"/>
                <w:kern w:val="0"/>
                <w:szCs w:val="21"/>
                <w:lang w:val="en-GB"/>
              </w:rPr>
            </w:pPr>
          </w:p>
        </w:tc>
        <w:tc>
          <w:tcPr>
            <w:tcW w:w="560" w:type="dxa"/>
            <w:vMerge w:val="continue"/>
            <w:noWrap w:val="0"/>
            <w:vAlign w:val="center"/>
          </w:tcPr>
          <w:p w14:paraId="3882684C">
            <w:pPr>
              <w:jc w:val="center"/>
              <w:rPr>
                <w:rFonts w:ascii="宋体" w:hAnsi="宋体"/>
                <w:snapToGrid w:val="0"/>
                <w:kern w:val="0"/>
                <w:szCs w:val="21"/>
                <w:lang w:val="en-GB"/>
              </w:rPr>
            </w:pPr>
          </w:p>
        </w:tc>
        <w:tc>
          <w:tcPr>
            <w:tcW w:w="1489" w:type="dxa"/>
            <w:vMerge w:val="continue"/>
            <w:noWrap w:val="0"/>
            <w:vAlign w:val="center"/>
          </w:tcPr>
          <w:p w14:paraId="75FDA0A9">
            <w:pPr>
              <w:jc w:val="center"/>
              <w:rPr>
                <w:rFonts w:ascii="宋体" w:hAnsi="宋体"/>
                <w:snapToGrid w:val="0"/>
                <w:color w:val="FF0000"/>
                <w:kern w:val="0"/>
                <w:szCs w:val="21"/>
                <w:lang w:val="en-GB"/>
              </w:rPr>
            </w:pPr>
          </w:p>
        </w:tc>
        <w:tc>
          <w:tcPr>
            <w:tcW w:w="1489" w:type="dxa"/>
            <w:vMerge w:val="restart"/>
            <w:noWrap w:val="0"/>
            <w:vAlign w:val="center"/>
          </w:tcPr>
          <w:p w14:paraId="48E93261">
            <w:pPr>
              <w:jc w:val="center"/>
              <w:rPr>
                <w:rFonts w:ascii="宋体" w:hAnsi="宋体"/>
                <w:snapToGrid w:val="0"/>
                <w:kern w:val="0"/>
                <w:szCs w:val="21"/>
                <w:lang w:val="en-GB"/>
              </w:rPr>
            </w:pPr>
            <w:r>
              <w:rPr>
                <w:rFonts w:ascii="宋体" w:hAnsi="宋体"/>
                <w:snapToGrid w:val="0"/>
                <w:kern w:val="0"/>
                <w:szCs w:val="21"/>
              </w:rPr>
              <w:object>
                <v:shape id="_x0000_i1038" o:spt="75" type="#_x0000_t75" style="height:31pt;width:39pt;" o:ole="t" filled="f" o:preferrelative="t" stroked="f" coordsize="21600,21600">
                  <v:path/>
                  <v:fill on="f" alignshape="1" focussize="0,0"/>
                  <v:stroke on="f"/>
                  <v:imagedata r:id="rId43" o:title=""/>
                  <o:lock v:ext="edit" aspectratio="t"/>
                  <w10:wrap type="none"/>
                  <w10:anchorlock/>
                </v:shape>
                <o:OLEObject Type="Embed" ProgID="Equation.3" ShapeID="_x0000_i1038" DrawAspect="Content" ObjectID="_1468075738" r:id="rId42">
                  <o:LockedField>false</o:LockedField>
                </o:OLEObject>
              </w:object>
            </w:r>
          </w:p>
        </w:tc>
        <w:tc>
          <w:tcPr>
            <w:tcW w:w="930" w:type="dxa"/>
            <w:vMerge w:val="continue"/>
            <w:noWrap w:val="0"/>
            <w:vAlign w:val="center"/>
          </w:tcPr>
          <w:p w14:paraId="1974BC82">
            <w:pPr>
              <w:jc w:val="center"/>
              <w:rPr>
                <w:rFonts w:ascii="宋体" w:hAnsi="宋体"/>
                <w:snapToGrid w:val="0"/>
                <w:kern w:val="0"/>
                <w:szCs w:val="21"/>
                <w:lang w:val="en-GB"/>
              </w:rPr>
            </w:pPr>
          </w:p>
        </w:tc>
        <w:tc>
          <w:tcPr>
            <w:tcW w:w="744" w:type="dxa"/>
            <w:vMerge w:val="continue"/>
            <w:noWrap w:val="0"/>
            <w:vAlign w:val="center"/>
          </w:tcPr>
          <w:p w14:paraId="486621CC">
            <w:pPr>
              <w:jc w:val="center"/>
              <w:rPr>
                <w:rFonts w:ascii="宋体" w:hAnsi="宋体"/>
                <w:snapToGrid w:val="0"/>
                <w:kern w:val="0"/>
                <w:szCs w:val="21"/>
                <w:lang w:val="en-GB"/>
              </w:rPr>
            </w:pPr>
          </w:p>
        </w:tc>
        <w:tc>
          <w:tcPr>
            <w:tcW w:w="930" w:type="dxa"/>
            <w:vMerge w:val="continue"/>
            <w:noWrap w:val="0"/>
            <w:vAlign w:val="center"/>
          </w:tcPr>
          <w:p w14:paraId="4E55856A">
            <w:pPr>
              <w:jc w:val="center"/>
              <w:rPr>
                <w:rFonts w:ascii="宋体" w:hAnsi="宋体"/>
                <w:snapToGrid w:val="0"/>
                <w:kern w:val="0"/>
                <w:szCs w:val="21"/>
                <w:lang w:val="en-GB"/>
              </w:rPr>
            </w:pPr>
          </w:p>
        </w:tc>
        <w:tc>
          <w:tcPr>
            <w:tcW w:w="744" w:type="dxa"/>
            <w:vMerge w:val="continue"/>
            <w:noWrap w:val="0"/>
            <w:vAlign w:val="center"/>
          </w:tcPr>
          <w:p w14:paraId="1043F180">
            <w:pPr>
              <w:jc w:val="center"/>
              <w:rPr>
                <w:rFonts w:ascii="宋体" w:hAnsi="宋体"/>
                <w:snapToGrid w:val="0"/>
                <w:kern w:val="0"/>
                <w:szCs w:val="21"/>
                <w:lang w:val="en-GB"/>
              </w:rPr>
            </w:pPr>
          </w:p>
        </w:tc>
        <w:tc>
          <w:tcPr>
            <w:tcW w:w="1303" w:type="dxa"/>
            <w:vMerge w:val="continue"/>
            <w:noWrap w:val="0"/>
            <w:vAlign w:val="center"/>
          </w:tcPr>
          <w:p w14:paraId="086C03B5">
            <w:pPr>
              <w:jc w:val="center"/>
              <w:rPr>
                <w:rFonts w:ascii="宋体" w:hAnsi="宋体"/>
                <w:snapToGrid w:val="0"/>
                <w:kern w:val="0"/>
                <w:szCs w:val="21"/>
                <w:lang w:val="en-GB"/>
              </w:rPr>
            </w:pPr>
          </w:p>
        </w:tc>
      </w:tr>
      <w:tr w14:paraId="3B01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1EF1A8E2">
            <w:pPr>
              <w:jc w:val="center"/>
              <w:rPr>
                <w:rFonts w:hint="eastAsia" w:ascii="宋体" w:hAnsi="宋体"/>
                <w:snapToGrid w:val="0"/>
                <w:kern w:val="0"/>
                <w:szCs w:val="21"/>
              </w:rPr>
            </w:pPr>
            <w:r>
              <w:rPr>
                <w:rFonts w:hint="eastAsia" w:ascii="宋体" w:hAnsi="宋体"/>
                <w:snapToGrid w:val="0"/>
                <w:kern w:val="0"/>
                <w:szCs w:val="21"/>
              </w:rPr>
              <w:t>K35-b</w:t>
            </w:r>
          </w:p>
        </w:tc>
        <w:tc>
          <w:tcPr>
            <w:tcW w:w="560" w:type="dxa"/>
            <w:vMerge w:val="restart"/>
            <w:noWrap w:val="0"/>
            <w:vAlign w:val="center"/>
          </w:tcPr>
          <w:p w14:paraId="7FCF1B5D">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3</w:t>
            </w:r>
          </w:p>
        </w:tc>
        <w:tc>
          <w:tcPr>
            <w:tcW w:w="1489" w:type="dxa"/>
            <w:vMerge w:val="restart"/>
            <w:noWrap w:val="0"/>
            <w:vAlign w:val="center"/>
          </w:tcPr>
          <w:p w14:paraId="1F8FB3DF">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39" o:spt="75" type="#_x0000_t75" style="height:31pt;width:59pt;" o:ole="t" filled="f" o:preferrelative="t" stroked="f" coordsize="21600,21600">
                  <v:path/>
                  <v:fill on="f" alignshape="1" focussize="0,0"/>
                  <v:stroke on="f"/>
                  <v:imagedata r:id="rId45" o:title=""/>
                  <o:lock v:ext="edit" aspectratio="t"/>
                  <w10:wrap type="none"/>
                  <w10:anchorlock/>
                </v:shape>
                <o:OLEObject Type="Embed" ProgID="Equation.3" ShapeID="_x0000_i1039" DrawAspect="Content" ObjectID="_1468075739" r:id="rId44">
                  <o:LockedField>false</o:LockedField>
                </o:OLEObject>
              </w:object>
            </w:r>
          </w:p>
        </w:tc>
        <w:tc>
          <w:tcPr>
            <w:tcW w:w="1489" w:type="dxa"/>
            <w:vMerge w:val="continue"/>
            <w:noWrap w:val="0"/>
            <w:vAlign w:val="center"/>
          </w:tcPr>
          <w:p w14:paraId="3C540F3B">
            <w:pPr>
              <w:jc w:val="center"/>
              <w:rPr>
                <w:rFonts w:ascii="宋体" w:hAnsi="宋体"/>
                <w:snapToGrid w:val="0"/>
                <w:kern w:val="0"/>
                <w:szCs w:val="21"/>
                <w:lang w:val="en-GB"/>
              </w:rPr>
            </w:pPr>
          </w:p>
        </w:tc>
        <w:tc>
          <w:tcPr>
            <w:tcW w:w="930" w:type="dxa"/>
            <w:vMerge w:val="restart"/>
            <w:noWrap w:val="0"/>
            <w:vAlign w:val="center"/>
          </w:tcPr>
          <w:p w14:paraId="10358217">
            <w:pPr>
              <w:jc w:val="center"/>
              <w:rPr>
                <w:rFonts w:ascii="宋体" w:hAnsi="宋体"/>
                <w:snapToGrid w:val="0"/>
                <w:kern w:val="0"/>
                <w:szCs w:val="21"/>
              </w:rPr>
            </w:pPr>
            <w:r>
              <w:rPr>
                <w:rFonts w:hint="eastAsia" w:ascii="宋体" w:hAnsi="宋体"/>
                <w:snapToGrid w:val="0"/>
                <w:kern w:val="0"/>
                <w:szCs w:val="21"/>
                <w:lang w:val="en-GB"/>
              </w:rPr>
              <w:t>不</w:t>
            </w:r>
            <w:r>
              <w:rPr>
                <w:rFonts w:ascii="宋体" w:hAnsi="宋体"/>
                <w:snapToGrid w:val="0"/>
                <w:kern w:val="0"/>
                <w:szCs w:val="21"/>
                <w:lang w:val="en-GB"/>
              </w:rPr>
              <w:t>稳定</w:t>
            </w:r>
          </w:p>
        </w:tc>
        <w:tc>
          <w:tcPr>
            <w:tcW w:w="744" w:type="dxa"/>
            <w:vMerge w:val="restart"/>
            <w:noWrap w:val="0"/>
            <w:vAlign w:val="center"/>
          </w:tcPr>
          <w:p w14:paraId="75907D8A">
            <w:pPr>
              <w:jc w:val="center"/>
              <w:rPr>
                <w:rFonts w:ascii="宋体" w:hAnsi="宋体"/>
                <w:snapToGrid w:val="0"/>
                <w:kern w:val="0"/>
                <w:szCs w:val="21"/>
              </w:rPr>
            </w:pPr>
          </w:p>
        </w:tc>
        <w:tc>
          <w:tcPr>
            <w:tcW w:w="930" w:type="dxa"/>
            <w:vMerge w:val="restart"/>
            <w:noWrap w:val="0"/>
            <w:vAlign w:val="center"/>
          </w:tcPr>
          <w:p w14:paraId="7908FB48">
            <w:pPr>
              <w:jc w:val="center"/>
              <w:rPr>
                <w:rFonts w:ascii="宋体" w:hAnsi="宋体"/>
                <w:snapToGrid w:val="0"/>
                <w:kern w:val="0"/>
                <w:szCs w:val="21"/>
                <w:lang w:val="en-GB"/>
              </w:rPr>
            </w:pPr>
            <w:r>
              <w:rPr>
                <w:rFonts w:ascii="宋体" w:hAnsi="宋体"/>
                <w:snapToGrid w:val="0"/>
                <w:kern w:val="0"/>
                <w:szCs w:val="21"/>
                <w:lang w:val="en-GB"/>
              </w:rPr>
              <w:t>较简单</w:t>
            </w:r>
          </w:p>
        </w:tc>
        <w:tc>
          <w:tcPr>
            <w:tcW w:w="744" w:type="dxa"/>
            <w:vMerge w:val="restart"/>
            <w:noWrap w:val="0"/>
            <w:vAlign w:val="center"/>
          </w:tcPr>
          <w:p w14:paraId="6798F8D4">
            <w:pPr>
              <w:jc w:val="center"/>
              <w:rPr>
                <w:rFonts w:hint="eastAsia" w:ascii="宋体" w:hAnsi="宋体"/>
                <w:szCs w:val="21"/>
              </w:rPr>
            </w:pPr>
            <w:r>
              <w:rPr>
                <w:rFonts w:hint="eastAsia" w:ascii="宋体" w:hAnsi="宋体"/>
                <w:szCs w:val="21"/>
              </w:rPr>
              <w:t>局部</w:t>
            </w:r>
          </w:p>
          <w:p w14:paraId="71D9EAEC">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4E9449B3">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32976960">
            <w:pPr>
              <w:jc w:val="center"/>
              <w:rPr>
                <w:rFonts w:ascii="宋体" w:hAnsi="宋体"/>
                <w:szCs w:val="21"/>
              </w:rPr>
            </w:pPr>
            <w:r>
              <w:rPr>
                <w:rFonts w:hint="eastAsia" w:ascii="宋体" w:hAnsi="宋体"/>
                <w:snapToGrid w:val="0"/>
                <w:kern w:val="0"/>
                <w:szCs w:val="21"/>
              </w:rPr>
              <w:t>局部可采</w:t>
            </w:r>
          </w:p>
        </w:tc>
      </w:tr>
      <w:tr w14:paraId="2737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06670B95">
            <w:pPr>
              <w:jc w:val="center"/>
              <w:rPr>
                <w:rFonts w:ascii="宋体" w:hAnsi="宋体"/>
                <w:snapToGrid w:val="0"/>
                <w:kern w:val="0"/>
                <w:szCs w:val="21"/>
                <w:lang w:val="en-GB"/>
              </w:rPr>
            </w:pPr>
          </w:p>
        </w:tc>
        <w:tc>
          <w:tcPr>
            <w:tcW w:w="560" w:type="dxa"/>
            <w:vMerge w:val="continue"/>
            <w:noWrap w:val="0"/>
            <w:vAlign w:val="center"/>
          </w:tcPr>
          <w:p w14:paraId="7F5BD35D">
            <w:pPr>
              <w:jc w:val="center"/>
              <w:rPr>
                <w:rFonts w:ascii="宋体" w:hAnsi="宋体"/>
                <w:snapToGrid w:val="0"/>
                <w:kern w:val="0"/>
                <w:szCs w:val="21"/>
                <w:lang w:val="en-GB"/>
              </w:rPr>
            </w:pPr>
          </w:p>
        </w:tc>
        <w:tc>
          <w:tcPr>
            <w:tcW w:w="1489" w:type="dxa"/>
            <w:vMerge w:val="continue"/>
            <w:noWrap w:val="0"/>
            <w:vAlign w:val="center"/>
          </w:tcPr>
          <w:p w14:paraId="67E65B68">
            <w:pPr>
              <w:jc w:val="center"/>
              <w:rPr>
                <w:rFonts w:ascii="宋体" w:hAnsi="宋体"/>
                <w:snapToGrid w:val="0"/>
                <w:color w:val="FF0000"/>
                <w:kern w:val="0"/>
                <w:szCs w:val="21"/>
                <w:lang w:val="en-GB"/>
              </w:rPr>
            </w:pPr>
          </w:p>
        </w:tc>
        <w:tc>
          <w:tcPr>
            <w:tcW w:w="1489" w:type="dxa"/>
            <w:vMerge w:val="restart"/>
            <w:noWrap w:val="0"/>
            <w:vAlign w:val="center"/>
          </w:tcPr>
          <w:p w14:paraId="07E8A187">
            <w:pPr>
              <w:jc w:val="center"/>
              <w:rPr>
                <w:rFonts w:ascii="宋体" w:hAnsi="宋体"/>
                <w:snapToGrid w:val="0"/>
                <w:kern w:val="0"/>
                <w:szCs w:val="21"/>
                <w:lang w:val="en-GB"/>
              </w:rPr>
            </w:pPr>
            <w:r>
              <w:rPr>
                <w:rFonts w:ascii="宋体" w:hAnsi="宋体"/>
                <w:snapToGrid w:val="0"/>
                <w:kern w:val="0"/>
                <w:szCs w:val="21"/>
              </w:rPr>
              <w:object>
                <v:shape id="_x0000_i1040" o:spt="75" type="#_x0000_t75" style="height:31pt;width:53pt;" o:ole="t" filled="f" o:preferrelative="t" stroked="f" coordsize="21600,21600">
                  <v:path/>
                  <v:fill on="f" alignshape="1" focussize="0,0"/>
                  <v:stroke on="f"/>
                  <v:imagedata r:id="rId47" o:title=""/>
                  <o:lock v:ext="edit" aspectratio="t"/>
                  <w10:wrap type="none"/>
                  <w10:anchorlock/>
                </v:shape>
                <o:OLEObject Type="Embed" ProgID="Equation.3" ShapeID="_x0000_i1040" DrawAspect="Content" ObjectID="_1468075740" r:id="rId46">
                  <o:LockedField>false</o:LockedField>
                </o:OLEObject>
              </w:object>
            </w:r>
          </w:p>
        </w:tc>
        <w:tc>
          <w:tcPr>
            <w:tcW w:w="930" w:type="dxa"/>
            <w:vMerge w:val="continue"/>
            <w:noWrap w:val="0"/>
            <w:vAlign w:val="center"/>
          </w:tcPr>
          <w:p w14:paraId="55999988">
            <w:pPr>
              <w:jc w:val="center"/>
              <w:rPr>
                <w:rFonts w:ascii="宋体" w:hAnsi="宋体"/>
                <w:snapToGrid w:val="0"/>
                <w:kern w:val="0"/>
                <w:szCs w:val="21"/>
                <w:lang w:val="en-GB"/>
              </w:rPr>
            </w:pPr>
          </w:p>
        </w:tc>
        <w:tc>
          <w:tcPr>
            <w:tcW w:w="744" w:type="dxa"/>
            <w:vMerge w:val="continue"/>
            <w:noWrap w:val="0"/>
            <w:vAlign w:val="center"/>
          </w:tcPr>
          <w:p w14:paraId="22ACCDFE">
            <w:pPr>
              <w:jc w:val="center"/>
              <w:rPr>
                <w:rFonts w:ascii="宋体" w:hAnsi="宋体"/>
                <w:snapToGrid w:val="0"/>
                <w:kern w:val="0"/>
                <w:szCs w:val="21"/>
                <w:lang w:val="en-GB"/>
              </w:rPr>
            </w:pPr>
          </w:p>
        </w:tc>
        <w:tc>
          <w:tcPr>
            <w:tcW w:w="930" w:type="dxa"/>
            <w:vMerge w:val="continue"/>
            <w:noWrap w:val="0"/>
            <w:vAlign w:val="center"/>
          </w:tcPr>
          <w:p w14:paraId="1E74560A">
            <w:pPr>
              <w:jc w:val="center"/>
              <w:rPr>
                <w:rFonts w:ascii="宋体" w:hAnsi="宋体"/>
                <w:snapToGrid w:val="0"/>
                <w:kern w:val="0"/>
                <w:szCs w:val="21"/>
                <w:lang w:val="en-GB"/>
              </w:rPr>
            </w:pPr>
          </w:p>
        </w:tc>
        <w:tc>
          <w:tcPr>
            <w:tcW w:w="744" w:type="dxa"/>
            <w:vMerge w:val="continue"/>
            <w:noWrap w:val="0"/>
            <w:vAlign w:val="center"/>
          </w:tcPr>
          <w:p w14:paraId="663AAF8C">
            <w:pPr>
              <w:jc w:val="center"/>
              <w:rPr>
                <w:rFonts w:ascii="宋体" w:hAnsi="宋体"/>
                <w:snapToGrid w:val="0"/>
                <w:kern w:val="0"/>
                <w:szCs w:val="21"/>
                <w:lang w:val="en-GB"/>
              </w:rPr>
            </w:pPr>
          </w:p>
        </w:tc>
        <w:tc>
          <w:tcPr>
            <w:tcW w:w="1303" w:type="dxa"/>
            <w:vMerge w:val="continue"/>
            <w:noWrap w:val="0"/>
            <w:vAlign w:val="center"/>
          </w:tcPr>
          <w:p w14:paraId="372B3A27">
            <w:pPr>
              <w:jc w:val="center"/>
              <w:rPr>
                <w:rFonts w:ascii="宋体" w:hAnsi="宋体"/>
                <w:snapToGrid w:val="0"/>
                <w:kern w:val="0"/>
                <w:szCs w:val="21"/>
                <w:lang w:val="en-GB"/>
              </w:rPr>
            </w:pPr>
          </w:p>
        </w:tc>
      </w:tr>
      <w:tr w14:paraId="1A0B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11FF7655">
            <w:pPr>
              <w:jc w:val="center"/>
              <w:rPr>
                <w:rFonts w:hint="eastAsia" w:ascii="宋体" w:hAnsi="宋体"/>
                <w:snapToGrid w:val="0"/>
                <w:kern w:val="0"/>
                <w:szCs w:val="21"/>
              </w:rPr>
            </w:pPr>
            <w:r>
              <w:rPr>
                <w:rFonts w:hint="eastAsia" w:ascii="宋体" w:hAnsi="宋体"/>
                <w:snapToGrid w:val="0"/>
                <w:kern w:val="0"/>
                <w:szCs w:val="21"/>
              </w:rPr>
              <w:t>K106-b</w:t>
            </w:r>
          </w:p>
        </w:tc>
        <w:tc>
          <w:tcPr>
            <w:tcW w:w="560" w:type="dxa"/>
            <w:vMerge w:val="restart"/>
            <w:noWrap w:val="0"/>
            <w:vAlign w:val="center"/>
          </w:tcPr>
          <w:p w14:paraId="271C2421">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1</w:t>
            </w:r>
          </w:p>
        </w:tc>
        <w:tc>
          <w:tcPr>
            <w:tcW w:w="1489" w:type="dxa"/>
            <w:vMerge w:val="restart"/>
            <w:noWrap w:val="0"/>
            <w:vAlign w:val="center"/>
          </w:tcPr>
          <w:p w14:paraId="43DBAE12">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41" o:spt="75" type="#_x0000_t75" style="height:31pt;width:58pt;" o:ole="t" filled="f" o:preferrelative="t" stroked="f" coordsize="21600,21600">
                  <v:path/>
                  <v:fill on="f" alignshape="1" focussize="0,0"/>
                  <v:stroke on="f"/>
                  <v:imagedata r:id="rId49" o:title=""/>
                  <o:lock v:ext="edit" aspectratio="t"/>
                  <w10:wrap type="none"/>
                  <w10:anchorlock/>
                </v:shape>
                <o:OLEObject Type="Embed" ProgID="Equation.3" ShapeID="_x0000_i1041" DrawAspect="Content" ObjectID="_1468075741" r:id="rId48">
                  <o:LockedField>false</o:LockedField>
                </o:OLEObject>
              </w:object>
            </w:r>
          </w:p>
        </w:tc>
        <w:tc>
          <w:tcPr>
            <w:tcW w:w="1489" w:type="dxa"/>
            <w:vMerge w:val="continue"/>
            <w:noWrap w:val="0"/>
            <w:vAlign w:val="center"/>
          </w:tcPr>
          <w:p w14:paraId="171EA9BE">
            <w:pPr>
              <w:jc w:val="center"/>
              <w:rPr>
                <w:rFonts w:ascii="宋体" w:hAnsi="宋体"/>
                <w:snapToGrid w:val="0"/>
                <w:kern w:val="0"/>
                <w:szCs w:val="21"/>
                <w:lang w:val="en-GB"/>
              </w:rPr>
            </w:pPr>
          </w:p>
        </w:tc>
        <w:tc>
          <w:tcPr>
            <w:tcW w:w="930" w:type="dxa"/>
            <w:vMerge w:val="restart"/>
            <w:noWrap w:val="0"/>
            <w:vAlign w:val="center"/>
          </w:tcPr>
          <w:p w14:paraId="06EAE029">
            <w:pPr>
              <w:jc w:val="center"/>
              <w:rPr>
                <w:rFonts w:ascii="宋体" w:hAnsi="宋体"/>
                <w:snapToGrid w:val="0"/>
                <w:kern w:val="0"/>
                <w:szCs w:val="21"/>
              </w:rPr>
            </w:pPr>
            <w:r>
              <w:rPr>
                <w:rFonts w:hint="eastAsia" w:ascii="宋体" w:hAnsi="宋体"/>
                <w:snapToGrid w:val="0"/>
                <w:kern w:val="0"/>
                <w:szCs w:val="21"/>
                <w:lang w:val="en-GB"/>
              </w:rPr>
              <w:t>较</w:t>
            </w:r>
            <w:r>
              <w:rPr>
                <w:rFonts w:ascii="宋体" w:hAnsi="宋体"/>
                <w:snapToGrid w:val="0"/>
                <w:kern w:val="0"/>
                <w:szCs w:val="21"/>
                <w:lang w:val="en-GB"/>
              </w:rPr>
              <w:t>稳定</w:t>
            </w:r>
          </w:p>
        </w:tc>
        <w:tc>
          <w:tcPr>
            <w:tcW w:w="744" w:type="dxa"/>
            <w:vMerge w:val="restart"/>
            <w:noWrap w:val="0"/>
            <w:vAlign w:val="center"/>
          </w:tcPr>
          <w:p w14:paraId="6297416D">
            <w:pPr>
              <w:jc w:val="center"/>
              <w:rPr>
                <w:rFonts w:hint="eastAsia" w:ascii="宋体" w:hAnsi="宋体"/>
                <w:snapToGrid w:val="0"/>
                <w:kern w:val="0"/>
                <w:szCs w:val="21"/>
              </w:rPr>
            </w:pPr>
            <w:r>
              <w:rPr>
                <w:rFonts w:hint="eastAsia" w:ascii="宋体" w:hAnsi="宋体"/>
                <w:snapToGrid w:val="0"/>
                <w:kern w:val="0"/>
                <w:szCs w:val="21"/>
                <w:lang w:val="en-GB"/>
              </w:rPr>
              <w:t>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13B2B2D0">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复杂</w:t>
            </w:r>
          </w:p>
        </w:tc>
        <w:tc>
          <w:tcPr>
            <w:tcW w:w="744" w:type="dxa"/>
            <w:vMerge w:val="restart"/>
            <w:noWrap w:val="0"/>
            <w:vAlign w:val="center"/>
          </w:tcPr>
          <w:p w14:paraId="1BCFD7A7">
            <w:pPr>
              <w:jc w:val="center"/>
              <w:rPr>
                <w:rFonts w:hint="eastAsia" w:ascii="宋体" w:hAnsi="宋体"/>
                <w:szCs w:val="21"/>
              </w:rPr>
            </w:pPr>
            <w:r>
              <w:rPr>
                <w:rFonts w:hint="eastAsia" w:ascii="宋体" w:hAnsi="宋体"/>
                <w:szCs w:val="21"/>
              </w:rPr>
              <w:t>局部</w:t>
            </w:r>
          </w:p>
          <w:p w14:paraId="72B74AD9">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4B93C53F">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1B93A909">
            <w:pPr>
              <w:jc w:val="center"/>
              <w:rPr>
                <w:rFonts w:ascii="宋体" w:hAnsi="宋体"/>
                <w:szCs w:val="21"/>
              </w:rPr>
            </w:pPr>
            <w:r>
              <w:rPr>
                <w:rFonts w:hint="eastAsia" w:ascii="宋体" w:hAnsi="宋体"/>
                <w:snapToGrid w:val="0"/>
                <w:kern w:val="0"/>
                <w:szCs w:val="21"/>
              </w:rPr>
              <w:t>局部可采</w:t>
            </w:r>
          </w:p>
        </w:tc>
      </w:tr>
      <w:tr w14:paraId="6640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599E7562">
            <w:pPr>
              <w:jc w:val="center"/>
              <w:rPr>
                <w:rFonts w:ascii="宋体" w:hAnsi="宋体"/>
                <w:snapToGrid w:val="0"/>
                <w:kern w:val="0"/>
                <w:szCs w:val="21"/>
                <w:lang w:val="en-GB"/>
              </w:rPr>
            </w:pPr>
          </w:p>
        </w:tc>
        <w:tc>
          <w:tcPr>
            <w:tcW w:w="560" w:type="dxa"/>
            <w:vMerge w:val="continue"/>
            <w:noWrap w:val="0"/>
            <w:vAlign w:val="center"/>
          </w:tcPr>
          <w:p w14:paraId="7A3300F5">
            <w:pPr>
              <w:jc w:val="center"/>
              <w:rPr>
                <w:rFonts w:ascii="宋体" w:hAnsi="宋体"/>
                <w:snapToGrid w:val="0"/>
                <w:kern w:val="0"/>
                <w:szCs w:val="21"/>
                <w:lang w:val="en-GB"/>
              </w:rPr>
            </w:pPr>
          </w:p>
        </w:tc>
        <w:tc>
          <w:tcPr>
            <w:tcW w:w="1489" w:type="dxa"/>
            <w:vMerge w:val="continue"/>
            <w:noWrap w:val="0"/>
            <w:vAlign w:val="center"/>
          </w:tcPr>
          <w:p w14:paraId="7D1F83CF">
            <w:pPr>
              <w:jc w:val="center"/>
              <w:rPr>
                <w:rFonts w:ascii="宋体" w:hAnsi="宋体"/>
                <w:snapToGrid w:val="0"/>
                <w:color w:val="FF0000"/>
                <w:kern w:val="0"/>
                <w:szCs w:val="21"/>
                <w:lang w:val="en-GB"/>
              </w:rPr>
            </w:pPr>
          </w:p>
        </w:tc>
        <w:tc>
          <w:tcPr>
            <w:tcW w:w="1489" w:type="dxa"/>
            <w:vMerge w:val="restart"/>
            <w:noWrap w:val="0"/>
            <w:vAlign w:val="center"/>
          </w:tcPr>
          <w:p w14:paraId="5FAF40B9">
            <w:pPr>
              <w:jc w:val="center"/>
              <w:rPr>
                <w:rFonts w:ascii="宋体" w:hAnsi="宋体"/>
                <w:snapToGrid w:val="0"/>
                <w:kern w:val="0"/>
                <w:szCs w:val="21"/>
                <w:lang w:val="en-GB"/>
              </w:rPr>
            </w:pPr>
            <w:r>
              <w:rPr>
                <w:rFonts w:ascii="宋体" w:hAnsi="宋体"/>
                <w:snapToGrid w:val="0"/>
                <w:kern w:val="0"/>
                <w:szCs w:val="21"/>
              </w:rPr>
              <w:object>
                <v:shape id="_x0000_i1042" o:spt="75" type="#_x0000_t75" style="height:31pt;width:41pt;" o:ole="t" filled="f" o:preferrelative="t" stroked="f" coordsize="21600,21600">
                  <v:path/>
                  <v:fill on="f" alignshape="1" focussize="0,0"/>
                  <v:stroke on="f"/>
                  <v:imagedata r:id="rId51" o:title=""/>
                  <o:lock v:ext="edit" aspectratio="t"/>
                  <w10:wrap type="none"/>
                  <w10:anchorlock/>
                </v:shape>
                <o:OLEObject Type="Embed" ProgID="Equation.3" ShapeID="_x0000_i1042" DrawAspect="Content" ObjectID="_1468075742" r:id="rId50">
                  <o:LockedField>false</o:LockedField>
                </o:OLEObject>
              </w:object>
            </w:r>
          </w:p>
        </w:tc>
        <w:tc>
          <w:tcPr>
            <w:tcW w:w="930" w:type="dxa"/>
            <w:vMerge w:val="continue"/>
            <w:noWrap w:val="0"/>
            <w:vAlign w:val="center"/>
          </w:tcPr>
          <w:p w14:paraId="5086CA1A">
            <w:pPr>
              <w:jc w:val="center"/>
              <w:rPr>
                <w:rFonts w:ascii="宋体" w:hAnsi="宋体"/>
                <w:snapToGrid w:val="0"/>
                <w:kern w:val="0"/>
                <w:szCs w:val="21"/>
                <w:lang w:val="en-GB"/>
              </w:rPr>
            </w:pPr>
          </w:p>
        </w:tc>
        <w:tc>
          <w:tcPr>
            <w:tcW w:w="744" w:type="dxa"/>
            <w:vMerge w:val="continue"/>
            <w:noWrap w:val="0"/>
            <w:vAlign w:val="center"/>
          </w:tcPr>
          <w:p w14:paraId="09380201">
            <w:pPr>
              <w:jc w:val="center"/>
              <w:rPr>
                <w:rFonts w:ascii="宋体" w:hAnsi="宋体"/>
                <w:snapToGrid w:val="0"/>
                <w:kern w:val="0"/>
                <w:szCs w:val="21"/>
                <w:lang w:val="en-GB"/>
              </w:rPr>
            </w:pPr>
          </w:p>
        </w:tc>
        <w:tc>
          <w:tcPr>
            <w:tcW w:w="930" w:type="dxa"/>
            <w:vMerge w:val="continue"/>
            <w:noWrap w:val="0"/>
            <w:vAlign w:val="center"/>
          </w:tcPr>
          <w:p w14:paraId="36D6B524">
            <w:pPr>
              <w:jc w:val="center"/>
              <w:rPr>
                <w:rFonts w:ascii="宋体" w:hAnsi="宋体"/>
                <w:snapToGrid w:val="0"/>
                <w:kern w:val="0"/>
                <w:szCs w:val="21"/>
                <w:lang w:val="en-GB"/>
              </w:rPr>
            </w:pPr>
          </w:p>
        </w:tc>
        <w:tc>
          <w:tcPr>
            <w:tcW w:w="744" w:type="dxa"/>
            <w:vMerge w:val="continue"/>
            <w:noWrap w:val="0"/>
            <w:vAlign w:val="center"/>
          </w:tcPr>
          <w:p w14:paraId="454DE7BB">
            <w:pPr>
              <w:jc w:val="center"/>
              <w:rPr>
                <w:rFonts w:ascii="宋体" w:hAnsi="宋体"/>
                <w:snapToGrid w:val="0"/>
                <w:kern w:val="0"/>
                <w:szCs w:val="21"/>
                <w:lang w:val="en-GB"/>
              </w:rPr>
            </w:pPr>
          </w:p>
        </w:tc>
        <w:tc>
          <w:tcPr>
            <w:tcW w:w="1303" w:type="dxa"/>
            <w:vMerge w:val="continue"/>
            <w:noWrap w:val="0"/>
            <w:vAlign w:val="center"/>
          </w:tcPr>
          <w:p w14:paraId="6357BA78">
            <w:pPr>
              <w:jc w:val="center"/>
              <w:rPr>
                <w:rFonts w:ascii="宋体" w:hAnsi="宋体"/>
                <w:snapToGrid w:val="0"/>
                <w:kern w:val="0"/>
                <w:szCs w:val="21"/>
                <w:lang w:val="en-GB"/>
              </w:rPr>
            </w:pPr>
          </w:p>
        </w:tc>
      </w:tr>
      <w:tr w14:paraId="3CA3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1ABD4F16">
            <w:pPr>
              <w:jc w:val="center"/>
              <w:rPr>
                <w:rFonts w:hint="eastAsia" w:ascii="宋体" w:hAnsi="宋体"/>
                <w:snapToGrid w:val="0"/>
                <w:kern w:val="0"/>
                <w:szCs w:val="21"/>
              </w:rPr>
            </w:pPr>
            <w:r>
              <w:rPr>
                <w:rFonts w:hint="eastAsia" w:ascii="宋体" w:hAnsi="宋体"/>
                <w:snapToGrid w:val="0"/>
                <w:kern w:val="0"/>
                <w:szCs w:val="21"/>
              </w:rPr>
              <w:t>K109-b</w:t>
            </w:r>
          </w:p>
        </w:tc>
        <w:tc>
          <w:tcPr>
            <w:tcW w:w="560" w:type="dxa"/>
            <w:vMerge w:val="restart"/>
            <w:noWrap w:val="0"/>
            <w:vAlign w:val="center"/>
          </w:tcPr>
          <w:p w14:paraId="1422FA2E">
            <w:pPr>
              <w:jc w:val="center"/>
              <w:rPr>
                <w:rFonts w:ascii="宋体" w:hAnsi="宋体"/>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1</w:t>
            </w:r>
          </w:p>
        </w:tc>
        <w:tc>
          <w:tcPr>
            <w:tcW w:w="1489" w:type="dxa"/>
            <w:vMerge w:val="restart"/>
            <w:noWrap w:val="0"/>
            <w:vAlign w:val="center"/>
          </w:tcPr>
          <w:p w14:paraId="07935B08">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43" o:spt="75" type="#_x0000_t75" style="height:31pt;width:58pt;" o:ole="t" filled="f" o:preferrelative="t" stroked="f" coordsize="21600,21600">
                  <v:path/>
                  <v:fill on="f" alignshape="1" focussize="0,0"/>
                  <v:stroke on="f"/>
                  <v:imagedata r:id="rId53" o:title=""/>
                  <o:lock v:ext="edit" aspectratio="t"/>
                  <w10:wrap type="none"/>
                  <w10:anchorlock/>
                </v:shape>
                <o:OLEObject Type="Embed" ProgID="Equation.3" ShapeID="_x0000_i1043" DrawAspect="Content" ObjectID="_1468075743" r:id="rId52">
                  <o:LockedField>false</o:LockedField>
                </o:OLEObject>
              </w:object>
            </w:r>
          </w:p>
        </w:tc>
        <w:tc>
          <w:tcPr>
            <w:tcW w:w="1489" w:type="dxa"/>
            <w:vMerge w:val="continue"/>
            <w:noWrap w:val="0"/>
            <w:vAlign w:val="center"/>
          </w:tcPr>
          <w:p w14:paraId="0D1E0703">
            <w:pPr>
              <w:jc w:val="center"/>
              <w:rPr>
                <w:rFonts w:ascii="宋体" w:hAnsi="宋体"/>
                <w:snapToGrid w:val="0"/>
                <w:kern w:val="0"/>
                <w:szCs w:val="21"/>
                <w:lang w:val="en-GB"/>
              </w:rPr>
            </w:pPr>
          </w:p>
        </w:tc>
        <w:tc>
          <w:tcPr>
            <w:tcW w:w="930" w:type="dxa"/>
            <w:vMerge w:val="restart"/>
            <w:noWrap w:val="0"/>
            <w:vAlign w:val="center"/>
          </w:tcPr>
          <w:p w14:paraId="378AF4DA">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654F4377">
            <w:pPr>
              <w:jc w:val="center"/>
              <w:rPr>
                <w:rFonts w:hint="eastAsia" w:ascii="宋体" w:hAnsi="宋体"/>
                <w:snapToGrid w:val="0"/>
                <w:kern w:val="0"/>
                <w:szCs w:val="21"/>
              </w:rPr>
            </w:pPr>
            <w:r>
              <w:rPr>
                <w:rFonts w:hint="eastAsia" w:ascii="宋体" w:hAnsi="宋体"/>
                <w:snapToGrid w:val="0"/>
                <w:kern w:val="0"/>
                <w:szCs w:val="21"/>
                <w:lang w:val="en-GB"/>
              </w:rPr>
              <w:t>1</w:t>
            </w:r>
          </w:p>
        </w:tc>
        <w:tc>
          <w:tcPr>
            <w:tcW w:w="930" w:type="dxa"/>
            <w:vMerge w:val="restart"/>
            <w:noWrap w:val="0"/>
            <w:vAlign w:val="center"/>
          </w:tcPr>
          <w:p w14:paraId="17A40548">
            <w:pPr>
              <w:jc w:val="center"/>
              <w:rPr>
                <w:rFonts w:ascii="宋体" w:hAnsi="宋体"/>
                <w:snapToGrid w:val="0"/>
                <w:kern w:val="0"/>
                <w:szCs w:val="21"/>
                <w:lang w:val="en-GB"/>
              </w:rPr>
            </w:pPr>
            <w:r>
              <w:rPr>
                <w:rFonts w:ascii="宋体" w:hAnsi="宋体"/>
                <w:snapToGrid w:val="0"/>
                <w:kern w:val="0"/>
                <w:szCs w:val="21"/>
                <w:lang w:val="en-GB"/>
              </w:rPr>
              <w:t>较简单</w:t>
            </w:r>
          </w:p>
        </w:tc>
        <w:tc>
          <w:tcPr>
            <w:tcW w:w="744" w:type="dxa"/>
            <w:vMerge w:val="restart"/>
            <w:noWrap w:val="0"/>
            <w:vAlign w:val="center"/>
          </w:tcPr>
          <w:p w14:paraId="4ED0CF47">
            <w:pPr>
              <w:jc w:val="center"/>
              <w:rPr>
                <w:rFonts w:hint="eastAsia" w:ascii="宋体" w:hAnsi="宋体"/>
                <w:szCs w:val="21"/>
              </w:rPr>
            </w:pPr>
            <w:r>
              <w:rPr>
                <w:rFonts w:hint="eastAsia" w:ascii="宋体" w:hAnsi="宋体"/>
                <w:szCs w:val="21"/>
              </w:rPr>
              <w:t>大部</w:t>
            </w:r>
          </w:p>
          <w:p w14:paraId="57D56244">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5EBEF3AE">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4EE84FCD">
            <w:pPr>
              <w:jc w:val="center"/>
              <w:rPr>
                <w:rFonts w:ascii="宋体" w:hAnsi="宋体"/>
                <w:szCs w:val="21"/>
              </w:rPr>
            </w:pPr>
            <w:r>
              <w:rPr>
                <w:rFonts w:hint="eastAsia" w:ascii="宋体" w:hAnsi="宋体"/>
                <w:snapToGrid w:val="0"/>
                <w:kern w:val="0"/>
                <w:szCs w:val="21"/>
              </w:rPr>
              <w:t>局部可采</w:t>
            </w:r>
          </w:p>
        </w:tc>
      </w:tr>
      <w:tr w14:paraId="0632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6BD8E183">
            <w:pPr>
              <w:jc w:val="center"/>
              <w:rPr>
                <w:rFonts w:ascii="宋体" w:hAnsi="宋体"/>
                <w:snapToGrid w:val="0"/>
                <w:kern w:val="0"/>
                <w:szCs w:val="21"/>
                <w:lang w:val="en-GB"/>
              </w:rPr>
            </w:pPr>
          </w:p>
        </w:tc>
        <w:tc>
          <w:tcPr>
            <w:tcW w:w="560" w:type="dxa"/>
            <w:vMerge w:val="continue"/>
            <w:noWrap w:val="0"/>
            <w:vAlign w:val="center"/>
          </w:tcPr>
          <w:p w14:paraId="77436451">
            <w:pPr>
              <w:jc w:val="center"/>
              <w:rPr>
                <w:rFonts w:ascii="宋体" w:hAnsi="宋体"/>
                <w:snapToGrid w:val="0"/>
                <w:kern w:val="0"/>
                <w:szCs w:val="21"/>
                <w:lang w:val="en-GB"/>
              </w:rPr>
            </w:pPr>
          </w:p>
        </w:tc>
        <w:tc>
          <w:tcPr>
            <w:tcW w:w="1489" w:type="dxa"/>
            <w:vMerge w:val="continue"/>
            <w:noWrap w:val="0"/>
            <w:vAlign w:val="center"/>
          </w:tcPr>
          <w:p w14:paraId="3CB99801">
            <w:pPr>
              <w:jc w:val="center"/>
              <w:rPr>
                <w:rFonts w:ascii="宋体" w:hAnsi="宋体"/>
                <w:snapToGrid w:val="0"/>
                <w:color w:val="FF0000"/>
                <w:kern w:val="0"/>
                <w:szCs w:val="21"/>
                <w:lang w:val="en-GB"/>
              </w:rPr>
            </w:pPr>
          </w:p>
        </w:tc>
        <w:tc>
          <w:tcPr>
            <w:tcW w:w="1489" w:type="dxa"/>
            <w:vMerge w:val="restart"/>
            <w:noWrap w:val="0"/>
            <w:vAlign w:val="center"/>
          </w:tcPr>
          <w:p w14:paraId="28BF8A35">
            <w:pPr>
              <w:jc w:val="center"/>
              <w:rPr>
                <w:rFonts w:ascii="宋体" w:hAnsi="宋体"/>
                <w:snapToGrid w:val="0"/>
                <w:kern w:val="0"/>
                <w:szCs w:val="21"/>
                <w:lang w:val="en-GB"/>
              </w:rPr>
            </w:pPr>
            <w:r>
              <w:rPr>
                <w:rFonts w:ascii="宋体" w:hAnsi="宋体"/>
                <w:snapToGrid w:val="0"/>
                <w:kern w:val="0"/>
                <w:szCs w:val="21"/>
              </w:rPr>
              <w:object>
                <v:shape id="_x0000_i1044" o:spt="75" type="#_x0000_t75" style="height:31pt;width:38pt;" o:ole="t" filled="f" o:preferrelative="t" stroked="f" coordsize="21600,21600">
                  <v:path/>
                  <v:fill on="f" alignshape="1" focussize="0,0"/>
                  <v:stroke on="f"/>
                  <v:imagedata r:id="rId55" o:title=""/>
                  <o:lock v:ext="edit" aspectratio="t"/>
                  <w10:wrap type="none"/>
                  <w10:anchorlock/>
                </v:shape>
                <o:OLEObject Type="Embed" ProgID="Equation.3" ShapeID="_x0000_i1044" DrawAspect="Content" ObjectID="_1468075744" r:id="rId54">
                  <o:LockedField>false</o:LockedField>
                </o:OLEObject>
              </w:object>
            </w:r>
          </w:p>
        </w:tc>
        <w:tc>
          <w:tcPr>
            <w:tcW w:w="930" w:type="dxa"/>
            <w:vMerge w:val="continue"/>
            <w:noWrap w:val="0"/>
            <w:vAlign w:val="center"/>
          </w:tcPr>
          <w:p w14:paraId="3587DAC1">
            <w:pPr>
              <w:jc w:val="center"/>
              <w:rPr>
                <w:rFonts w:ascii="宋体" w:hAnsi="宋体"/>
                <w:snapToGrid w:val="0"/>
                <w:kern w:val="0"/>
                <w:szCs w:val="21"/>
                <w:lang w:val="en-GB"/>
              </w:rPr>
            </w:pPr>
          </w:p>
        </w:tc>
        <w:tc>
          <w:tcPr>
            <w:tcW w:w="744" w:type="dxa"/>
            <w:vMerge w:val="continue"/>
            <w:noWrap w:val="0"/>
            <w:vAlign w:val="center"/>
          </w:tcPr>
          <w:p w14:paraId="625FA81E">
            <w:pPr>
              <w:jc w:val="center"/>
              <w:rPr>
                <w:rFonts w:ascii="宋体" w:hAnsi="宋体"/>
                <w:snapToGrid w:val="0"/>
                <w:kern w:val="0"/>
                <w:szCs w:val="21"/>
                <w:lang w:val="en-GB"/>
              </w:rPr>
            </w:pPr>
          </w:p>
        </w:tc>
        <w:tc>
          <w:tcPr>
            <w:tcW w:w="930" w:type="dxa"/>
            <w:vMerge w:val="continue"/>
            <w:noWrap w:val="0"/>
            <w:vAlign w:val="center"/>
          </w:tcPr>
          <w:p w14:paraId="49ABB7EE">
            <w:pPr>
              <w:jc w:val="center"/>
              <w:rPr>
                <w:rFonts w:ascii="宋体" w:hAnsi="宋体"/>
                <w:snapToGrid w:val="0"/>
                <w:kern w:val="0"/>
                <w:szCs w:val="21"/>
                <w:lang w:val="en-GB"/>
              </w:rPr>
            </w:pPr>
          </w:p>
        </w:tc>
        <w:tc>
          <w:tcPr>
            <w:tcW w:w="744" w:type="dxa"/>
            <w:vMerge w:val="continue"/>
            <w:noWrap w:val="0"/>
            <w:vAlign w:val="center"/>
          </w:tcPr>
          <w:p w14:paraId="1E4A2C9F">
            <w:pPr>
              <w:jc w:val="center"/>
              <w:rPr>
                <w:rFonts w:ascii="宋体" w:hAnsi="宋体"/>
                <w:snapToGrid w:val="0"/>
                <w:kern w:val="0"/>
                <w:szCs w:val="21"/>
                <w:lang w:val="en-GB"/>
              </w:rPr>
            </w:pPr>
          </w:p>
        </w:tc>
        <w:tc>
          <w:tcPr>
            <w:tcW w:w="1303" w:type="dxa"/>
            <w:vMerge w:val="continue"/>
            <w:noWrap w:val="0"/>
            <w:vAlign w:val="center"/>
          </w:tcPr>
          <w:p w14:paraId="2E2DCEE1">
            <w:pPr>
              <w:jc w:val="center"/>
              <w:rPr>
                <w:rFonts w:ascii="宋体" w:hAnsi="宋体"/>
                <w:snapToGrid w:val="0"/>
                <w:kern w:val="0"/>
                <w:szCs w:val="21"/>
                <w:lang w:val="en-GB"/>
              </w:rPr>
            </w:pPr>
          </w:p>
        </w:tc>
      </w:tr>
      <w:tr w14:paraId="6681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restart"/>
            <w:noWrap w:val="0"/>
            <w:vAlign w:val="center"/>
          </w:tcPr>
          <w:p w14:paraId="4CD31371">
            <w:pPr>
              <w:jc w:val="center"/>
              <w:rPr>
                <w:rFonts w:hint="eastAsia" w:ascii="宋体" w:hAnsi="宋体"/>
                <w:snapToGrid w:val="0"/>
                <w:kern w:val="0"/>
                <w:szCs w:val="21"/>
              </w:rPr>
            </w:pPr>
            <w:r>
              <w:rPr>
                <w:rFonts w:hint="eastAsia" w:ascii="宋体" w:hAnsi="宋体"/>
                <w:snapToGrid w:val="0"/>
                <w:kern w:val="0"/>
                <w:szCs w:val="21"/>
              </w:rPr>
              <w:t>K110-a</w:t>
            </w:r>
          </w:p>
        </w:tc>
        <w:tc>
          <w:tcPr>
            <w:tcW w:w="560" w:type="dxa"/>
            <w:vMerge w:val="restart"/>
            <w:noWrap w:val="0"/>
            <w:vAlign w:val="center"/>
          </w:tcPr>
          <w:p w14:paraId="3C176361">
            <w:pPr>
              <w:jc w:val="center"/>
              <w:rPr>
                <w:rFonts w:ascii="宋体" w:hAnsi="宋体"/>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1</w:t>
            </w:r>
          </w:p>
        </w:tc>
        <w:tc>
          <w:tcPr>
            <w:tcW w:w="1489" w:type="dxa"/>
            <w:vMerge w:val="restart"/>
            <w:noWrap w:val="0"/>
            <w:vAlign w:val="center"/>
          </w:tcPr>
          <w:p w14:paraId="76964411">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45" o:spt="75" type="#_x0000_t75" style="height:31pt;width:57pt;" o:ole="t" filled="f" o:preferrelative="t" stroked="f" coordsize="21600,21600">
                  <v:path/>
                  <v:fill on="f" alignshape="1" focussize="0,0"/>
                  <v:stroke on="f"/>
                  <v:imagedata r:id="rId57" o:title=""/>
                  <o:lock v:ext="edit" aspectratio="t"/>
                  <w10:wrap type="none"/>
                  <w10:anchorlock/>
                </v:shape>
                <o:OLEObject Type="Embed" ProgID="Equation.3" ShapeID="_x0000_i1045" DrawAspect="Content" ObjectID="_1468075745" r:id="rId56">
                  <o:LockedField>false</o:LockedField>
                </o:OLEObject>
              </w:object>
            </w:r>
          </w:p>
        </w:tc>
        <w:tc>
          <w:tcPr>
            <w:tcW w:w="1489" w:type="dxa"/>
            <w:vMerge w:val="continue"/>
            <w:noWrap w:val="0"/>
            <w:vAlign w:val="center"/>
          </w:tcPr>
          <w:p w14:paraId="2AA624AB">
            <w:pPr>
              <w:jc w:val="center"/>
              <w:rPr>
                <w:rFonts w:ascii="宋体" w:hAnsi="宋体"/>
                <w:snapToGrid w:val="0"/>
                <w:kern w:val="0"/>
                <w:szCs w:val="21"/>
                <w:lang w:val="en-GB"/>
              </w:rPr>
            </w:pPr>
          </w:p>
        </w:tc>
        <w:tc>
          <w:tcPr>
            <w:tcW w:w="930" w:type="dxa"/>
            <w:vMerge w:val="restart"/>
            <w:noWrap w:val="0"/>
            <w:vAlign w:val="center"/>
          </w:tcPr>
          <w:p w14:paraId="39983CA0">
            <w:pPr>
              <w:jc w:val="center"/>
              <w:rPr>
                <w:rFonts w:ascii="宋体" w:hAnsi="宋体"/>
                <w:snapToGrid w:val="0"/>
                <w:kern w:val="0"/>
                <w:szCs w:val="21"/>
              </w:rPr>
            </w:pPr>
            <w:r>
              <w:rPr>
                <w:rFonts w:hint="eastAsia" w:ascii="宋体" w:hAnsi="宋体"/>
                <w:snapToGrid w:val="0"/>
                <w:kern w:val="0"/>
                <w:szCs w:val="21"/>
                <w:lang w:val="en-GB"/>
              </w:rPr>
              <w:t>较</w:t>
            </w:r>
            <w:r>
              <w:rPr>
                <w:rFonts w:ascii="宋体" w:hAnsi="宋体"/>
                <w:snapToGrid w:val="0"/>
                <w:kern w:val="0"/>
                <w:szCs w:val="21"/>
                <w:lang w:val="en-GB"/>
              </w:rPr>
              <w:t>稳定</w:t>
            </w:r>
          </w:p>
        </w:tc>
        <w:tc>
          <w:tcPr>
            <w:tcW w:w="744" w:type="dxa"/>
            <w:vMerge w:val="restart"/>
            <w:noWrap w:val="0"/>
            <w:vAlign w:val="center"/>
          </w:tcPr>
          <w:p w14:paraId="40F4BA23">
            <w:pPr>
              <w:jc w:val="center"/>
              <w:rPr>
                <w:rFonts w:hint="eastAsia" w:ascii="宋体" w:hAnsi="宋体"/>
                <w:snapToGrid w:val="0"/>
                <w:kern w:val="0"/>
                <w:szCs w:val="21"/>
              </w:rPr>
            </w:pPr>
            <w:r>
              <w:rPr>
                <w:rFonts w:hint="eastAsia" w:ascii="宋体" w:hAnsi="宋体"/>
                <w:snapToGrid w:val="0"/>
                <w:kern w:val="0"/>
                <w:szCs w:val="21"/>
                <w:lang w:val="en-GB"/>
              </w:rPr>
              <w:t>2</w:t>
            </w:r>
            <w:r>
              <w:rPr>
                <w:rFonts w:ascii="宋体" w:hAnsi="宋体"/>
                <w:snapToGrid w:val="0"/>
                <w:kern w:val="0"/>
                <w:szCs w:val="21"/>
                <w:lang w:val="en-GB"/>
              </w:rPr>
              <w:t>～</w:t>
            </w:r>
            <w:r>
              <w:rPr>
                <w:rFonts w:hint="eastAsia" w:ascii="宋体" w:hAnsi="宋体"/>
                <w:snapToGrid w:val="0"/>
                <w:kern w:val="0"/>
                <w:szCs w:val="21"/>
                <w:lang w:val="en-GB"/>
              </w:rPr>
              <w:t>4</w:t>
            </w:r>
          </w:p>
        </w:tc>
        <w:tc>
          <w:tcPr>
            <w:tcW w:w="930" w:type="dxa"/>
            <w:vMerge w:val="restart"/>
            <w:noWrap w:val="0"/>
            <w:vAlign w:val="center"/>
          </w:tcPr>
          <w:p w14:paraId="390BD7C4">
            <w:pPr>
              <w:jc w:val="center"/>
              <w:rPr>
                <w:rFonts w:hint="eastAsia" w:ascii="宋体" w:hAnsi="宋体"/>
                <w:snapToGrid w:val="0"/>
                <w:kern w:val="0"/>
                <w:szCs w:val="21"/>
                <w:lang w:val="en-GB"/>
              </w:rPr>
            </w:pPr>
            <w:r>
              <w:rPr>
                <w:rFonts w:ascii="宋体" w:hAnsi="宋体"/>
                <w:snapToGrid w:val="0"/>
                <w:kern w:val="0"/>
                <w:szCs w:val="21"/>
                <w:lang w:val="en-GB"/>
              </w:rPr>
              <w:t>较</w:t>
            </w:r>
            <w:r>
              <w:rPr>
                <w:rFonts w:hint="eastAsia" w:ascii="宋体" w:hAnsi="宋体"/>
                <w:snapToGrid w:val="0"/>
                <w:kern w:val="0"/>
                <w:szCs w:val="21"/>
                <w:lang w:val="en-GB"/>
              </w:rPr>
              <w:t>复杂</w:t>
            </w:r>
          </w:p>
        </w:tc>
        <w:tc>
          <w:tcPr>
            <w:tcW w:w="744" w:type="dxa"/>
            <w:vMerge w:val="restart"/>
            <w:noWrap w:val="0"/>
            <w:vAlign w:val="center"/>
          </w:tcPr>
          <w:p w14:paraId="4D6A5226">
            <w:pPr>
              <w:jc w:val="center"/>
              <w:rPr>
                <w:rFonts w:hint="eastAsia" w:ascii="宋体" w:hAnsi="宋体"/>
                <w:szCs w:val="21"/>
              </w:rPr>
            </w:pPr>
            <w:r>
              <w:rPr>
                <w:rFonts w:hint="eastAsia" w:ascii="宋体" w:hAnsi="宋体"/>
                <w:szCs w:val="21"/>
              </w:rPr>
              <w:t>大部</w:t>
            </w:r>
          </w:p>
          <w:p w14:paraId="0680AF8B">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4870CFFA">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7989F062">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1DF9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891" w:type="dxa"/>
            <w:vMerge w:val="continue"/>
            <w:noWrap w:val="0"/>
            <w:vAlign w:val="center"/>
          </w:tcPr>
          <w:p w14:paraId="255FB6B4">
            <w:pPr>
              <w:jc w:val="center"/>
              <w:rPr>
                <w:rFonts w:hint="eastAsia" w:ascii="宋体" w:hAnsi="宋体"/>
                <w:snapToGrid w:val="0"/>
                <w:kern w:val="0"/>
                <w:szCs w:val="21"/>
              </w:rPr>
            </w:pPr>
          </w:p>
        </w:tc>
        <w:tc>
          <w:tcPr>
            <w:tcW w:w="560" w:type="dxa"/>
            <w:vMerge w:val="continue"/>
            <w:noWrap w:val="0"/>
            <w:vAlign w:val="center"/>
          </w:tcPr>
          <w:p w14:paraId="25CEBB1C">
            <w:pPr>
              <w:jc w:val="center"/>
              <w:rPr>
                <w:rFonts w:hint="eastAsia" w:ascii="宋体" w:hAnsi="宋体"/>
                <w:snapToGrid w:val="0"/>
                <w:kern w:val="0"/>
                <w:szCs w:val="21"/>
              </w:rPr>
            </w:pPr>
          </w:p>
        </w:tc>
        <w:tc>
          <w:tcPr>
            <w:tcW w:w="1489" w:type="dxa"/>
            <w:vMerge w:val="continue"/>
            <w:noWrap w:val="0"/>
            <w:vAlign w:val="center"/>
          </w:tcPr>
          <w:p w14:paraId="4A3BF227">
            <w:pPr>
              <w:jc w:val="center"/>
              <w:rPr>
                <w:rFonts w:ascii="宋体" w:hAnsi="宋体"/>
                <w:snapToGrid w:val="0"/>
                <w:color w:val="FF0000"/>
                <w:kern w:val="0"/>
                <w:szCs w:val="21"/>
              </w:rPr>
            </w:pPr>
          </w:p>
        </w:tc>
        <w:tc>
          <w:tcPr>
            <w:tcW w:w="1489" w:type="dxa"/>
            <w:noWrap w:val="0"/>
            <w:vAlign w:val="center"/>
          </w:tcPr>
          <w:p w14:paraId="5CE9C39E">
            <w:pPr>
              <w:jc w:val="center"/>
              <w:rPr>
                <w:rFonts w:ascii="宋体" w:hAnsi="宋体"/>
                <w:snapToGrid w:val="0"/>
                <w:kern w:val="0"/>
                <w:szCs w:val="21"/>
                <w:lang w:val="en-GB"/>
              </w:rPr>
            </w:pPr>
            <w:r>
              <w:rPr>
                <w:rFonts w:ascii="宋体" w:hAnsi="宋体"/>
                <w:snapToGrid w:val="0"/>
                <w:kern w:val="0"/>
                <w:szCs w:val="21"/>
              </w:rPr>
              <w:t>距</w:t>
            </w:r>
            <w:r>
              <w:rPr>
                <w:rFonts w:hint="eastAsia" w:ascii="宋体" w:hAnsi="宋体"/>
                <w:bCs/>
                <w:snapToGrid w:val="0"/>
                <w:kern w:val="0"/>
                <w:szCs w:val="21"/>
              </w:rPr>
              <w:t>底</w:t>
            </w:r>
            <w:r>
              <w:rPr>
                <w:rFonts w:ascii="宋体" w:hAnsi="宋体"/>
                <w:bCs/>
                <w:snapToGrid w:val="0"/>
                <w:kern w:val="0"/>
                <w:szCs w:val="21"/>
              </w:rPr>
              <w:t>界</w:t>
            </w:r>
            <w:r>
              <w:rPr>
                <w:rFonts w:hint="eastAsia" w:ascii="宋体" w:hAnsi="宋体"/>
                <w:bCs/>
                <w:snapToGrid w:val="0"/>
                <w:kern w:val="0"/>
                <w:szCs w:val="21"/>
              </w:rPr>
              <w:t>6-15m</w:t>
            </w:r>
          </w:p>
        </w:tc>
        <w:tc>
          <w:tcPr>
            <w:tcW w:w="930" w:type="dxa"/>
            <w:vMerge w:val="continue"/>
            <w:noWrap w:val="0"/>
            <w:vAlign w:val="center"/>
          </w:tcPr>
          <w:p w14:paraId="2E76256F">
            <w:pPr>
              <w:jc w:val="center"/>
              <w:rPr>
                <w:rFonts w:hint="eastAsia" w:ascii="宋体" w:hAnsi="宋体"/>
                <w:snapToGrid w:val="0"/>
                <w:kern w:val="0"/>
                <w:szCs w:val="21"/>
                <w:lang w:val="en-GB"/>
              </w:rPr>
            </w:pPr>
          </w:p>
        </w:tc>
        <w:tc>
          <w:tcPr>
            <w:tcW w:w="744" w:type="dxa"/>
            <w:vMerge w:val="continue"/>
            <w:noWrap w:val="0"/>
            <w:vAlign w:val="center"/>
          </w:tcPr>
          <w:p w14:paraId="3EF8FFD6">
            <w:pPr>
              <w:jc w:val="center"/>
              <w:rPr>
                <w:rFonts w:hint="eastAsia" w:ascii="宋体" w:hAnsi="宋体"/>
                <w:snapToGrid w:val="0"/>
                <w:kern w:val="0"/>
                <w:szCs w:val="21"/>
                <w:lang w:val="en-GB"/>
              </w:rPr>
            </w:pPr>
          </w:p>
        </w:tc>
        <w:tc>
          <w:tcPr>
            <w:tcW w:w="930" w:type="dxa"/>
            <w:vMerge w:val="continue"/>
            <w:noWrap w:val="0"/>
            <w:vAlign w:val="center"/>
          </w:tcPr>
          <w:p w14:paraId="493036A3">
            <w:pPr>
              <w:jc w:val="center"/>
              <w:rPr>
                <w:rFonts w:ascii="宋体" w:hAnsi="宋体"/>
                <w:snapToGrid w:val="0"/>
                <w:kern w:val="0"/>
                <w:szCs w:val="21"/>
                <w:lang w:val="en-GB"/>
              </w:rPr>
            </w:pPr>
          </w:p>
        </w:tc>
        <w:tc>
          <w:tcPr>
            <w:tcW w:w="744" w:type="dxa"/>
            <w:vMerge w:val="continue"/>
            <w:noWrap w:val="0"/>
            <w:vAlign w:val="center"/>
          </w:tcPr>
          <w:p w14:paraId="15052E15">
            <w:pPr>
              <w:jc w:val="center"/>
              <w:rPr>
                <w:rFonts w:hint="eastAsia" w:ascii="宋体" w:hAnsi="宋体"/>
                <w:szCs w:val="21"/>
              </w:rPr>
            </w:pPr>
          </w:p>
        </w:tc>
        <w:tc>
          <w:tcPr>
            <w:tcW w:w="1303" w:type="dxa"/>
            <w:vMerge w:val="continue"/>
            <w:noWrap w:val="0"/>
            <w:vAlign w:val="center"/>
          </w:tcPr>
          <w:p w14:paraId="36C07F42">
            <w:pPr>
              <w:jc w:val="center"/>
              <w:rPr>
                <w:rFonts w:hint="eastAsia" w:ascii="宋体" w:hAnsi="宋体"/>
                <w:snapToGrid w:val="0"/>
                <w:kern w:val="0"/>
                <w:szCs w:val="21"/>
              </w:rPr>
            </w:pPr>
          </w:p>
        </w:tc>
      </w:tr>
    </w:tbl>
    <w:p w14:paraId="453C7C5B">
      <w:pPr>
        <w:spacing w:line="360" w:lineRule="auto"/>
        <w:ind w:firstLine="480" w:firstLineChars="200"/>
        <w:rPr>
          <w:rFonts w:hint="eastAsia" w:ascii="宋体" w:hAnsi="宋体"/>
          <w:sz w:val="24"/>
        </w:rPr>
      </w:pPr>
      <w:r>
        <w:rPr>
          <w:rFonts w:hint="eastAsia" w:ascii="宋体" w:hAnsi="宋体"/>
          <w:sz w:val="24"/>
        </w:rPr>
        <w:t>表中数据来源于《贵州省水城县玉舍大坪煤矿资源/储量核实报告》</w:t>
      </w:r>
    </w:p>
    <w:p w14:paraId="6D279D58">
      <w:pPr>
        <w:pStyle w:val="4"/>
        <w:keepLines/>
        <w:adjustRightInd w:val="0"/>
        <w:snapToGrid w:val="0"/>
        <w:spacing w:before="240" w:after="240" w:line="360" w:lineRule="auto"/>
        <w:ind w:firstLine="562" w:firstLineChars="200"/>
        <w:jc w:val="both"/>
        <w:rPr>
          <w:b/>
          <w:color w:val="000000"/>
          <w:kern w:val="0"/>
          <w:szCs w:val="20"/>
        </w:rPr>
      </w:pPr>
      <w:bookmarkStart w:id="30" w:name="_Toc173918853"/>
      <w:bookmarkStart w:id="31" w:name="_Toc173869178"/>
      <w:bookmarkStart w:id="32" w:name="_Toc173893614"/>
      <w:r>
        <w:rPr>
          <w:rFonts w:hint="eastAsia"/>
          <w:b/>
          <w:color w:val="000000"/>
          <w:kern w:val="0"/>
          <w:szCs w:val="20"/>
        </w:rPr>
        <w:t>二</w:t>
      </w:r>
      <w:r>
        <w:rPr>
          <w:b/>
          <w:color w:val="000000"/>
          <w:kern w:val="0"/>
          <w:szCs w:val="20"/>
        </w:rPr>
        <w:t>、煤类、煤质与煤的用途</w:t>
      </w:r>
      <w:bookmarkEnd w:id="30"/>
      <w:bookmarkEnd w:id="31"/>
      <w:bookmarkEnd w:id="32"/>
    </w:p>
    <w:p w14:paraId="1A3F98CB">
      <w:pPr>
        <w:spacing w:line="360" w:lineRule="auto"/>
        <w:ind w:firstLine="480" w:firstLineChars="200"/>
        <w:rPr>
          <w:rFonts w:ascii="宋体" w:hAnsi="宋体" w:cs="宋体"/>
          <w:kern w:val="0"/>
          <w:sz w:val="24"/>
        </w:rPr>
      </w:pPr>
      <w:r>
        <w:rPr>
          <w:rFonts w:ascii="宋体" w:hAnsi="宋体" w:cs="宋体"/>
          <w:kern w:val="0"/>
          <w:sz w:val="24"/>
        </w:rPr>
        <w:t>矿区内可采及局部可采煤层为</w:t>
      </w:r>
      <w:r>
        <w:rPr>
          <w:rFonts w:hint="eastAsia" w:ascii="宋体" w:hAnsi="宋体" w:cs="宋体"/>
          <w:kern w:val="0"/>
          <w:sz w:val="24"/>
        </w:rPr>
        <w:t>K1-b</w:t>
      </w:r>
      <w:r>
        <w:rPr>
          <w:rFonts w:ascii="宋体" w:hAnsi="宋体" w:cs="宋体"/>
          <w:kern w:val="0"/>
          <w:sz w:val="24"/>
        </w:rPr>
        <w:t>、</w:t>
      </w:r>
      <w:r>
        <w:rPr>
          <w:rFonts w:hint="eastAsia" w:ascii="宋体" w:hAnsi="宋体" w:cs="宋体"/>
          <w:kern w:val="0"/>
          <w:sz w:val="24"/>
        </w:rPr>
        <w:t>K</w:t>
      </w:r>
      <w:r>
        <w:rPr>
          <w:rFonts w:ascii="宋体" w:hAnsi="宋体" w:cs="宋体"/>
          <w:kern w:val="0"/>
          <w:sz w:val="24"/>
        </w:rPr>
        <w:t>3、</w:t>
      </w:r>
      <w:r>
        <w:rPr>
          <w:rFonts w:hint="eastAsia" w:ascii="宋体" w:hAnsi="宋体" w:cs="宋体"/>
          <w:kern w:val="0"/>
          <w:sz w:val="24"/>
        </w:rPr>
        <w:t>K9</w:t>
      </w:r>
      <w:r>
        <w:rPr>
          <w:rFonts w:ascii="宋体" w:hAnsi="宋体" w:cs="宋体"/>
          <w:kern w:val="0"/>
          <w:sz w:val="24"/>
        </w:rPr>
        <w:t>、</w:t>
      </w:r>
      <w:r>
        <w:rPr>
          <w:rFonts w:hint="eastAsia" w:ascii="宋体" w:hAnsi="宋体" w:cs="宋体"/>
          <w:kern w:val="0"/>
          <w:sz w:val="24"/>
        </w:rPr>
        <w:t>K10</w:t>
      </w:r>
      <w:r>
        <w:rPr>
          <w:rFonts w:ascii="宋体" w:hAnsi="宋体" w:cs="宋体"/>
          <w:kern w:val="0"/>
          <w:sz w:val="24"/>
        </w:rPr>
        <w:t>、</w:t>
      </w:r>
      <w:r>
        <w:rPr>
          <w:rFonts w:hint="eastAsia" w:ascii="宋体" w:hAnsi="宋体" w:cs="宋体"/>
          <w:kern w:val="0"/>
          <w:sz w:val="24"/>
        </w:rPr>
        <w:t>K13</w:t>
      </w:r>
      <w:r>
        <w:rPr>
          <w:rFonts w:ascii="宋体" w:hAnsi="宋体" w:cs="宋体"/>
          <w:kern w:val="0"/>
          <w:sz w:val="24"/>
        </w:rPr>
        <w:t>、</w:t>
      </w:r>
      <w:r>
        <w:rPr>
          <w:rFonts w:hint="eastAsia" w:ascii="宋体" w:hAnsi="宋体" w:cs="宋体"/>
          <w:kern w:val="0"/>
          <w:sz w:val="24"/>
        </w:rPr>
        <w:t>K18</w:t>
      </w:r>
      <w:r>
        <w:rPr>
          <w:rFonts w:ascii="宋体" w:hAnsi="宋体" w:cs="宋体"/>
          <w:kern w:val="0"/>
          <w:sz w:val="24"/>
        </w:rPr>
        <w:t>、</w:t>
      </w:r>
      <w:r>
        <w:rPr>
          <w:rFonts w:hint="eastAsia" w:ascii="宋体" w:hAnsi="宋体" w:cs="宋体"/>
          <w:kern w:val="0"/>
          <w:sz w:val="24"/>
        </w:rPr>
        <w:t>K26</w:t>
      </w:r>
      <w:r>
        <w:rPr>
          <w:rFonts w:ascii="宋体" w:hAnsi="宋体" w:cs="宋体"/>
          <w:kern w:val="0"/>
          <w:sz w:val="24"/>
        </w:rPr>
        <w:t>、</w:t>
      </w:r>
      <w:r>
        <w:rPr>
          <w:rFonts w:hint="eastAsia" w:ascii="宋体" w:hAnsi="宋体" w:cs="宋体"/>
          <w:kern w:val="0"/>
          <w:sz w:val="24"/>
        </w:rPr>
        <w:t>K35-b</w:t>
      </w:r>
      <w:r>
        <w:rPr>
          <w:rFonts w:ascii="宋体" w:hAnsi="宋体" w:cs="宋体"/>
          <w:kern w:val="0"/>
          <w:sz w:val="24"/>
        </w:rPr>
        <w:t>、</w:t>
      </w:r>
      <w:r>
        <w:rPr>
          <w:rFonts w:hint="eastAsia" w:ascii="宋体" w:hAnsi="宋体" w:cs="宋体"/>
          <w:kern w:val="0"/>
          <w:sz w:val="24"/>
        </w:rPr>
        <w:t>K106-b</w:t>
      </w:r>
      <w:r>
        <w:rPr>
          <w:rFonts w:ascii="宋体" w:hAnsi="宋体" w:cs="宋体"/>
          <w:kern w:val="0"/>
          <w:sz w:val="24"/>
        </w:rPr>
        <w:t>、</w:t>
      </w:r>
      <w:r>
        <w:rPr>
          <w:rFonts w:hint="eastAsia" w:ascii="宋体" w:hAnsi="宋体" w:cs="宋体"/>
          <w:kern w:val="0"/>
          <w:sz w:val="24"/>
        </w:rPr>
        <w:t>K109-b和K111-a</w:t>
      </w:r>
      <w:r>
        <w:rPr>
          <w:rFonts w:ascii="宋体" w:hAnsi="宋体" w:cs="宋体"/>
          <w:kern w:val="0"/>
          <w:sz w:val="24"/>
        </w:rPr>
        <w:t>共11层煤。</w:t>
      </w:r>
      <w:r>
        <w:rPr>
          <w:rFonts w:hint="eastAsia" w:ascii="宋体" w:hAnsi="宋体" w:cs="宋体"/>
          <w:kern w:val="0"/>
          <w:sz w:val="24"/>
        </w:rPr>
        <w:t>其煤质特征</w:t>
      </w:r>
      <w:r>
        <w:rPr>
          <w:rFonts w:ascii="宋体" w:hAnsi="宋体" w:cs="宋体"/>
          <w:kern w:val="0"/>
          <w:sz w:val="24"/>
        </w:rPr>
        <w:t>详见</w:t>
      </w:r>
      <w:r>
        <w:rPr>
          <w:rFonts w:hint="eastAsia" w:ascii="宋体" w:hAnsi="宋体" w:cs="宋体"/>
          <w:kern w:val="0"/>
          <w:sz w:val="24"/>
        </w:rPr>
        <w:t xml:space="preserve"> </w:t>
      </w:r>
      <w:r>
        <w:rPr>
          <w:rFonts w:hint="eastAsia" w:ascii="宋体" w:hAnsi="宋体" w:cs="宋体"/>
          <w:b/>
          <w:kern w:val="0"/>
          <w:sz w:val="24"/>
        </w:rPr>
        <w:t>表1-2-2</w:t>
      </w:r>
      <w:r>
        <w:rPr>
          <w:rFonts w:ascii="宋体" w:hAnsi="宋体" w:cs="宋体"/>
          <w:kern w:val="0"/>
          <w:sz w:val="24"/>
        </w:rPr>
        <w:t>。</w:t>
      </w:r>
    </w:p>
    <w:p w14:paraId="65FCCBD0">
      <w:pPr>
        <w:spacing w:line="360" w:lineRule="auto"/>
        <w:ind w:firstLine="480" w:firstLineChars="200"/>
        <w:rPr>
          <w:rFonts w:hint="eastAsia" w:ascii="宋体" w:hAnsi="宋体" w:cs="宋体"/>
          <w:kern w:val="0"/>
          <w:sz w:val="24"/>
        </w:rPr>
      </w:pPr>
      <w:r>
        <w:rPr>
          <w:rFonts w:hint="eastAsia" w:ascii="宋体" w:hAnsi="宋体" w:cs="宋体"/>
          <w:kern w:val="0"/>
          <w:sz w:val="24"/>
        </w:rPr>
        <w:t>1、</w:t>
      </w:r>
      <w:r>
        <w:rPr>
          <w:rFonts w:ascii="宋体" w:hAnsi="宋体" w:cs="宋体"/>
          <w:kern w:val="0"/>
          <w:sz w:val="24"/>
        </w:rPr>
        <w:t>煤的物理性质</w:t>
      </w:r>
      <w:r>
        <w:rPr>
          <w:rFonts w:hint="eastAsia" w:ascii="宋体" w:hAnsi="宋体" w:cs="宋体"/>
          <w:kern w:val="0"/>
          <w:sz w:val="24"/>
        </w:rPr>
        <w:t>和煤岩特征</w:t>
      </w:r>
    </w:p>
    <w:p w14:paraId="4B2074E9">
      <w:pPr>
        <w:spacing w:line="360" w:lineRule="auto"/>
        <w:ind w:firstLine="480" w:firstLineChars="200"/>
        <w:rPr>
          <w:rFonts w:hint="eastAsia" w:ascii="宋体" w:hAnsi="宋体" w:cs="宋体"/>
          <w:kern w:val="0"/>
          <w:sz w:val="24"/>
        </w:rPr>
      </w:pPr>
      <w:r>
        <w:rPr>
          <w:rFonts w:ascii="宋体" w:hAnsi="宋体" w:cs="宋体"/>
          <w:kern w:val="0"/>
          <w:sz w:val="24"/>
        </w:rPr>
        <w:t>井田内煤层物理性质较一致，颜色、条痕均为黑色，玻璃光泽，镜煤上的断口为贝壳状，而由多种煤岩组分组成的煤，则多为参差状断口，仅K18煤层偶见贝壳状断口。</w:t>
      </w:r>
    </w:p>
    <w:p w14:paraId="2AC23499">
      <w:pPr>
        <w:spacing w:line="360" w:lineRule="auto"/>
        <w:ind w:firstLine="482" w:firstLineChars="200"/>
        <w:jc w:val="center"/>
        <w:rPr>
          <w:rFonts w:hint="eastAsia" w:ascii="宋体" w:hAnsi="宋体"/>
          <w:b/>
          <w:sz w:val="24"/>
        </w:rPr>
      </w:pPr>
      <w:r>
        <w:rPr>
          <w:rFonts w:hint="eastAsia" w:ascii="宋体" w:hAnsi="宋体"/>
          <w:b/>
          <w:sz w:val="24"/>
        </w:rPr>
        <w:t>表1-2-2              可采煤层煤质特征表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24"/>
        <w:gridCol w:w="1262"/>
        <w:gridCol w:w="1360"/>
        <w:gridCol w:w="1360"/>
        <w:gridCol w:w="1260"/>
        <w:gridCol w:w="1620"/>
        <w:gridCol w:w="800"/>
      </w:tblGrid>
      <w:tr w14:paraId="4CF6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1D082D30">
            <w:pPr>
              <w:jc w:val="center"/>
              <w:rPr>
                <w:rFonts w:ascii="宋体" w:hAnsi="宋体"/>
                <w:sz w:val="18"/>
                <w:szCs w:val="18"/>
              </w:rPr>
            </w:pPr>
            <w:r>
              <w:rPr>
                <w:rFonts w:ascii="宋体" w:hAnsi="宋体"/>
                <w:sz w:val="18"/>
                <w:szCs w:val="18"/>
              </w:rPr>
              <w:t>煤层</w:t>
            </w:r>
          </w:p>
          <w:p w14:paraId="0500D6E6">
            <w:pPr>
              <w:jc w:val="center"/>
              <w:rPr>
                <w:rFonts w:ascii="宋体" w:hAnsi="宋体"/>
                <w:sz w:val="18"/>
                <w:szCs w:val="18"/>
              </w:rPr>
            </w:pPr>
            <w:r>
              <w:rPr>
                <w:rFonts w:ascii="宋体" w:hAnsi="宋体"/>
                <w:sz w:val="18"/>
                <w:szCs w:val="18"/>
              </w:rPr>
              <w:t>编号</w:t>
            </w:r>
          </w:p>
        </w:tc>
        <w:tc>
          <w:tcPr>
            <w:tcW w:w="624" w:type="dxa"/>
            <w:vMerge w:val="restart"/>
            <w:noWrap w:val="0"/>
            <w:vAlign w:val="center"/>
          </w:tcPr>
          <w:p w14:paraId="3E5049C7">
            <w:pPr>
              <w:jc w:val="center"/>
              <w:rPr>
                <w:rFonts w:ascii="宋体" w:hAnsi="宋体"/>
                <w:sz w:val="18"/>
                <w:szCs w:val="18"/>
              </w:rPr>
            </w:pPr>
            <w:r>
              <w:rPr>
                <w:rFonts w:ascii="宋体" w:hAnsi="宋体"/>
                <w:sz w:val="18"/>
                <w:szCs w:val="18"/>
              </w:rPr>
              <w:t>煤样类别</w:t>
            </w:r>
          </w:p>
        </w:tc>
        <w:tc>
          <w:tcPr>
            <w:tcW w:w="7662" w:type="dxa"/>
            <w:gridSpan w:val="6"/>
            <w:tcBorders>
              <w:bottom w:val="single" w:color="auto" w:sz="4" w:space="0"/>
            </w:tcBorders>
            <w:noWrap w:val="0"/>
            <w:vAlign w:val="center"/>
          </w:tcPr>
          <w:p w14:paraId="23FEF8E9">
            <w:pPr>
              <w:jc w:val="center"/>
              <w:rPr>
                <w:rFonts w:ascii="宋体" w:hAnsi="宋体"/>
                <w:sz w:val="18"/>
                <w:szCs w:val="18"/>
              </w:rPr>
            </w:pPr>
            <w:r>
              <w:rPr>
                <w:rFonts w:ascii="宋体" w:hAnsi="宋体"/>
                <w:sz w:val="18"/>
                <w:szCs w:val="18"/>
              </w:rPr>
              <w:t>工业指标及可选性质</w:t>
            </w:r>
          </w:p>
        </w:tc>
      </w:tr>
      <w:tr w14:paraId="0F39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42" w:hRule="exact"/>
          <w:tblHeader/>
        </w:trPr>
        <w:tc>
          <w:tcPr>
            <w:tcW w:w="802" w:type="dxa"/>
            <w:vMerge w:val="continue"/>
            <w:noWrap w:val="0"/>
            <w:vAlign w:val="center"/>
          </w:tcPr>
          <w:p w14:paraId="5FD5736C">
            <w:pPr>
              <w:jc w:val="center"/>
              <w:rPr>
                <w:rFonts w:ascii="宋体" w:hAnsi="宋体"/>
                <w:sz w:val="18"/>
                <w:szCs w:val="18"/>
              </w:rPr>
            </w:pPr>
          </w:p>
        </w:tc>
        <w:tc>
          <w:tcPr>
            <w:tcW w:w="624" w:type="dxa"/>
            <w:vMerge w:val="continue"/>
            <w:noWrap w:val="0"/>
            <w:vAlign w:val="center"/>
          </w:tcPr>
          <w:p w14:paraId="06489E6F">
            <w:pPr>
              <w:jc w:val="center"/>
              <w:rPr>
                <w:rFonts w:ascii="宋体" w:hAnsi="宋体"/>
                <w:sz w:val="18"/>
                <w:szCs w:val="18"/>
              </w:rPr>
            </w:pPr>
          </w:p>
        </w:tc>
        <w:tc>
          <w:tcPr>
            <w:tcW w:w="1262" w:type="dxa"/>
            <w:noWrap w:val="0"/>
            <w:vAlign w:val="center"/>
          </w:tcPr>
          <w:p w14:paraId="3EF56969">
            <w:pPr>
              <w:jc w:val="center"/>
              <w:rPr>
                <w:rFonts w:hint="eastAsia" w:ascii="宋体" w:hAnsi="宋体"/>
                <w:sz w:val="18"/>
                <w:szCs w:val="18"/>
                <w:vertAlign w:val="superscript"/>
              </w:rPr>
            </w:pPr>
            <w:r>
              <w:rPr>
                <w:rFonts w:ascii="宋体" w:hAnsi="宋体"/>
                <w:sz w:val="18"/>
                <w:szCs w:val="18"/>
              </w:rPr>
              <w:t>水份W</w:t>
            </w:r>
            <w:r>
              <w:rPr>
                <w:rFonts w:ascii="宋体" w:hAnsi="宋体"/>
                <w:sz w:val="18"/>
                <w:szCs w:val="18"/>
                <w:vertAlign w:val="superscript"/>
              </w:rPr>
              <w:t>f</w:t>
            </w:r>
          </w:p>
          <w:p w14:paraId="27CE201C">
            <w:pPr>
              <w:jc w:val="center"/>
              <w:rPr>
                <w:rFonts w:ascii="宋体" w:hAnsi="宋体"/>
                <w:sz w:val="18"/>
                <w:szCs w:val="18"/>
              </w:rPr>
            </w:pPr>
            <w:r>
              <w:rPr>
                <w:rFonts w:ascii="宋体" w:hAnsi="宋体"/>
                <w:sz w:val="18"/>
                <w:szCs w:val="18"/>
              </w:rPr>
              <w:t>（%）</w:t>
            </w:r>
          </w:p>
        </w:tc>
        <w:tc>
          <w:tcPr>
            <w:tcW w:w="1360" w:type="dxa"/>
            <w:noWrap w:val="0"/>
            <w:vAlign w:val="center"/>
          </w:tcPr>
          <w:p w14:paraId="63B9719C">
            <w:pPr>
              <w:ind w:firstLine="180" w:firstLineChars="100"/>
              <w:jc w:val="center"/>
              <w:rPr>
                <w:rFonts w:hint="eastAsia" w:ascii="宋体" w:hAnsi="宋体"/>
                <w:sz w:val="18"/>
                <w:szCs w:val="18"/>
              </w:rPr>
            </w:pPr>
            <w:r>
              <w:rPr>
                <w:rFonts w:ascii="宋体" w:hAnsi="宋体"/>
                <w:sz w:val="18"/>
                <w:szCs w:val="18"/>
              </w:rPr>
              <w:t>灰份Ad</w:t>
            </w:r>
          </w:p>
          <w:p w14:paraId="15C34E94">
            <w:pPr>
              <w:ind w:firstLine="180" w:firstLineChars="100"/>
              <w:jc w:val="center"/>
              <w:rPr>
                <w:rFonts w:ascii="宋体" w:hAnsi="宋体"/>
                <w:sz w:val="18"/>
                <w:szCs w:val="18"/>
              </w:rPr>
            </w:pPr>
            <w:r>
              <w:rPr>
                <w:rFonts w:ascii="宋体" w:hAnsi="宋体"/>
                <w:sz w:val="18"/>
                <w:szCs w:val="18"/>
              </w:rPr>
              <w:t>（%）</w:t>
            </w:r>
          </w:p>
        </w:tc>
        <w:tc>
          <w:tcPr>
            <w:tcW w:w="1360" w:type="dxa"/>
            <w:noWrap w:val="0"/>
            <w:vAlign w:val="center"/>
          </w:tcPr>
          <w:p w14:paraId="7A21A2EF">
            <w:pPr>
              <w:ind w:firstLine="180" w:firstLineChars="100"/>
              <w:jc w:val="center"/>
              <w:rPr>
                <w:rFonts w:ascii="宋体" w:hAnsi="宋体"/>
                <w:sz w:val="18"/>
                <w:szCs w:val="18"/>
              </w:rPr>
            </w:pPr>
            <w:r>
              <w:rPr>
                <w:rFonts w:ascii="宋体" w:hAnsi="宋体"/>
                <w:sz w:val="18"/>
                <w:szCs w:val="18"/>
              </w:rPr>
              <w:t>挥发分Vdaf (%)</w:t>
            </w:r>
          </w:p>
        </w:tc>
        <w:tc>
          <w:tcPr>
            <w:tcW w:w="1260" w:type="dxa"/>
            <w:noWrap w:val="0"/>
            <w:vAlign w:val="center"/>
          </w:tcPr>
          <w:p w14:paraId="20ABB5DB">
            <w:pPr>
              <w:ind w:firstLine="180" w:firstLineChars="100"/>
              <w:jc w:val="center"/>
              <w:rPr>
                <w:rFonts w:ascii="宋体" w:hAnsi="宋体"/>
                <w:sz w:val="18"/>
                <w:szCs w:val="18"/>
              </w:rPr>
            </w:pPr>
            <w:r>
              <w:rPr>
                <w:rFonts w:ascii="宋体" w:hAnsi="宋体"/>
                <w:sz w:val="18"/>
                <w:szCs w:val="18"/>
              </w:rPr>
              <w:t>硫份St,d (%)</w:t>
            </w:r>
          </w:p>
        </w:tc>
        <w:tc>
          <w:tcPr>
            <w:tcW w:w="1620" w:type="dxa"/>
            <w:tcBorders>
              <w:top w:val="nil"/>
            </w:tcBorders>
            <w:noWrap w:val="0"/>
            <w:vAlign w:val="center"/>
          </w:tcPr>
          <w:p w14:paraId="2F32DCCC">
            <w:pPr>
              <w:jc w:val="center"/>
              <w:rPr>
                <w:rFonts w:ascii="宋体" w:hAnsi="宋体"/>
                <w:sz w:val="18"/>
                <w:szCs w:val="18"/>
              </w:rPr>
            </w:pPr>
            <w:r>
              <w:rPr>
                <w:rFonts w:ascii="宋体" w:hAnsi="宋体"/>
                <w:sz w:val="18"/>
                <w:szCs w:val="18"/>
              </w:rPr>
              <w:t>发热量</w:t>
            </w:r>
          </w:p>
          <w:p w14:paraId="5A4A765C">
            <w:pPr>
              <w:jc w:val="center"/>
              <w:rPr>
                <w:rFonts w:ascii="宋体" w:hAnsi="宋体"/>
                <w:sz w:val="18"/>
                <w:szCs w:val="18"/>
              </w:rPr>
            </w:pPr>
            <w:r>
              <w:rPr>
                <w:rFonts w:ascii="宋体" w:hAnsi="宋体"/>
                <w:snapToGrid w:val="0"/>
                <w:kern w:val="0"/>
                <w:sz w:val="18"/>
                <w:szCs w:val="18"/>
              </w:rPr>
              <w:t>Qnet.d (MJ/kg)</w:t>
            </w:r>
          </w:p>
        </w:tc>
        <w:tc>
          <w:tcPr>
            <w:tcW w:w="800" w:type="dxa"/>
            <w:tcBorders>
              <w:top w:val="nil"/>
            </w:tcBorders>
            <w:noWrap w:val="0"/>
            <w:vAlign w:val="center"/>
          </w:tcPr>
          <w:p w14:paraId="2EFA3D70">
            <w:pPr>
              <w:jc w:val="center"/>
              <w:rPr>
                <w:rFonts w:ascii="宋体" w:hAnsi="宋体"/>
                <w:sz w:val="18"/>
                <w:szCs w:val="18"/>
              </w:rPr>
            </w:pPr>
            <w:r>
              <w:rPr>
                <w:rFonts w:ascii="宋体" w:hAnsi="宋体"/>
                <w:sz w:val="18"/>
                <w:szCs w:val="18"/>
              </w:rPr>
              <w:t>煤类</w:t>
            </w:r>
          </w:p>
        </w:tc>
      </w:tr>
      <w:tr w14:paraId="33E4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483C145C">
            <w:pPr>
              <w:jc w:val="center"/>
              <w:rPr>
                <w:rFonts w:ascii="宋体" w:hAnsi="宋体"/>
                <w:sz w:val="18"/>
                <w:szCs w:val="18"/>
              </w:rPr>
            </w:pPr>
            <w:r>
              <w:rPr>
                <w:rFonts w:ascii="宋体" w:hAnsi="宋体"/>
                <w:sz w:val="18"/>
                <w:szCs w:val="18"/>
              </w:rPr>
              <w:t>K1-b</w:t>
            </w:r>
          </w:p>
        </w:tc>
        <w:tc>
          <w:tcPr>
            <w:tcW w:w="624" w:type="dxa"/>
            <w:vMerge w:val="restart"/>
            <w:noWrap w:val="0"/>
            <w:vAlign w:val="center"/>
          </w:tcPr>
          <w:p w14:paraId="1A5C4503">
            <w:pPr>
              <w:jc w:val="center"/>
              <w:rPr>
                <w:rFonts w:ascii="宋体" w:hAnsi="宋体"/>
                <w:sz w:val="18"/>
                <w:szCs w:val="18"/>
              </w:rPr>
            </w:pPr>
            <w:r>
              <w:rPr>
                <w:rFonts w:ascii="宋体" w:hAnsi="宋体"/>
                <w:sz w:val="18"/>
                <w:szCs w:val="18"/>
              </w:rPr>
              <w:t>原煤</w:t>
            </w:r>
          </w:p>
        </w:tc>
        <w:tc>
          <w:tcPr>
            <w:tcW w:w="1262" w:type="dxa"/>
            <w:noWrap w:val="0"/>
            <w:vAlign w:val="center"/>
          </w:tcPr>
          <w:p w14:paraId="0332052B">
            <w:pPr>
              <w:jc w:val="center"/>
              <w:rPr>
                <w:rFonts w:ascii="宋体" w:hAnsi="宋体"/>
                <w:sz w:val="18"/>
                <w:szCs w:val="18"/>
              </w:rPr>
            </w:pPr>
            <w:r>
              <w:rPr>
                <w:rFonts w:ascii="宋体" w:hAnsi="宋体"/>
                <w:sz w:val="18"/>
                <w:szCs w:val="18"/>
              </w:rPr>
              <w:t>0.72～1.25</w:t>
            </w:r>
          </w:p>
        </w:tc>
        <w:tc>
          <w:tcPr>
            <w:tcW w:w="1360" w:type="dxa"/>
            <w:noWrap w:val="0"/>
            <w:vAlign w:val="center"/>
          </w:tcPr>
          <w:p w14:paraId="31487C23">
            <w:pPr>
              <w:rPr>
                <w:rFonts w:ascii="宋体" w:hAnsi="宋体"/>
                <w:sz w:val="18"/>
                <w:szCs w:val="18"/>
              </w:rPr>
            </w:pPr>
            <w:r>
              <w:rPr>
                <w:rFonts w:ascii="宋体" w:hAnsi="宋体"/>
                <w:sz w:val="18"/>
                <w:szCs w:val="18"/>
              </w:rPr>
              <w:t>13.35～37.06</w:t>
            </w:r>
          </w:p>
        </w:tc>
        <w:tc>
          <w:tcPr>
            <w:tcW w:w="1360" w:type="dxa"/>
            <w:noWrap w:val="0"/>
            <w:vAlign w:val="center"/>
          </w:tcPr>
          <w:p w14:paraId="618D93A2">
            <w:pPr>
              <w:jc w:val="center"/>
              <w:rPr>
                <w:rFonts w:ascii="宋体" w:hAnsi="宋体"/>
                <w:sz w:val="18"/>
                <w:szCs w:val="18"/>
              </w:rPr>
            </w:pPr>
            <w:r>
              <w:rPr>
                <w:rFonts w:ascii="宋体" w:hAnsi="宋体"/>
                <w:sz w:val="18"/>
                <w:szCs w:val="18"/>
              </w:rPr>
              <w:t>10.34～19.88</w:t>
            </w:r>
          </w:p>
        </w:tc>
        <w:tc>
          <w:tcPr>
            <w:tcW w:w="1260" w:type="dxa"/>
            <w:noWrap w:val="0"/>
            <w:vAlign w:val="center"/>
          </w:tcPr>
          <w:p w14:paraId="573137D5">
            <w:pPr>
              <w:jc w:val="center"/>
              <w:rPr>
                <w:rFonts w:ascii="宋体" w:hAnsi="宋体"/>
                <w:sz w:val="18"/>
                <w:szCs w:val="18"/>
              </w:rPr>
            </w:pPr>
            <w:r>
              <w:rPr>
                <w:rFonts w:ascii="宋体" w:hAnsi="宋体"/>
                <w:sz w:val="18"/>
                <w:szCs w:val="18"/>
              </w:rPr>
              <w:t>0.21～1.98</w:t>
            </w:r>
          </w:p>
        </w:tc>
        <w:tc>
          <w:tcPr>
            <w:tcW w:w="1620" w:type="dxa"/>
            <w:noWrap w:val="0"/>
            <w:vAlign w:val="center"/>
          </w:tcPr>
          <w:p w14:paraId="60DC8B74">
            <w:pPr>
              <w:jc w:val="center"/>
              <w:rPr>
                <w:rFonts w:hint="eastAsia" w:ascii="宋体" w:hAnsi="宋体"/>
                <w:sz w:val="18"/>
                <w:szCs w:val="18"/>
              </w:rPr>
            </w:pPr>
            <w:r>
              <w:rPr>
                <w:rFonts w:ascii="宋体" w:hAnsi="宋体"/>
                <w:sz w:val="18"/>
                <w:szCs w:val="18"/>
              </w:rPr>
              <w:t>21.0</w:t>
            </w:r>
            <w:r>
              <w:rPr>
                <w:rFonts w:hint="eastAsia" w:ascii="宋体" w:hAnsi="宋体"/>
                <w:sz w:val="18"/>
                <w:szCs w:val="18"/>
              </w:rPr>
              <w:t>0</w:t>
            </w:r>
            <w:r>
              <w:rPr>
                <w:rFonts w:ascii="宋体" w:hAnsi="宋体"/>
                <w:sz w:val="18"/>
                <w:szCs w:val="18"/>
              </w:rPr>
              <w:t>～39.7</w:t>
            </w:r>
            <w:r>
              <w:rPr>
                <w:rFonts w:hint="eastAsia" w:ascii="宋体" w:hAnsi="宋体"/>
                <w:sz w:val="18"/>
                <w:szCs w:val="18"/>
              </w:rPr>
              <w:t>5</w:t>
            </w:r>
          </w:p>
        </w:tc>
        <w:tc>
          <w:tcPr>
            <w:tcW w:w="800" w:type="dxa"/>
            <w:vMerge w:val="restart"/>
            <w:noWrap w:val="0"/>
            <w:vAlign w:val="center"/>
          </w:tcPr>
          <w:p w14:paraId="7564A7BF">
            <w:pPr>
              <w:jc w:val="center"/>
              <w:rPr>
                <w:rFonts w:hint="eastAsia" w:ascii="宋体" w:hAnsi="宋体"/>
                <w:sz w:val="18"/>
                <w:szCs w:val="18"/>
              </w:rPr>
            </w:pPr>
            <w:r>
              <w:rPr>
                <w:rFonts w:hint="eastAsia" w:ascii="宋体" w:hAnsi="宋体"/>
                <w:sz w:val="18"/>
                <w:szCs w:val="18"/>
              </w:rPr>
              <w:t>贫煤</w:t>
            </w:r>
          </w:p>
        </w:tc>
      </w:tr>
      <w:tr w14:paraId="1ACE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393145C">
            <w:pPr>
              <w:jc w:val="center"/>
              <w:rPr>
                <w:rFonts w:ascii="宋体" w:hAnsi="宋体"/>
                <w:sz w:val="18"/>
                <w:szCs w:val="18"/>
              </w:rPr>
            </w:pPr>
          </w:p>
        </w:tc>
        <w:tc>
          <w:tcPr>
            <w:tcW w:w="624" w:type="dxa"/>
            <w:vMerge w:val="continue"/>
            <w:noWrap w:val="0"/>
            <w:vAlign w:val="center"/>
          </w:tcPr>
          <w:p w14:paraId="6900B077">
            <w:pPr>
              <w:jc w:val="center"/>
              <w:rPr>
                <w:rFonts w:ascii="宋体" w:hAnsi="宋体"/>
                <w:sz w:val="18"/>
                <w:szCs w:val="18"/>
              </w:rPr>
            </w:pPr>
          </w:p>
        </w:tc>
        <w:tc>
          <w:tcPr>
            <w:tcW w:w="1262" w:type="dxa"/>
            <w:noWrap w:val="0"/>
            <w:vAlign w:val="center"/>
          </w:tcPr>
          <w:p w14:paraId="6CB28DC6">
            <w:pPr>
              <w:jc w:val="center"/>
              <w:rPr>
                <w:rFonts w:ascii="宋体" w:hAnsi="宋体"/>
                <w:sz w:val="18"/>
                <w:szCs w:val="18"/>
              </w:rPr>
            </w:pPr>
            <w:r>
              <w:rPr>
                <w:rFonts w:ascii="宋体" w:hAnsi="宋体"/>
                <w:sz w:val="18"/>
                <w:szCs w:val="18"/>
              </w:rPr>
              <w:t>1.02</w:t>
            </w:r>
          </w:p>
        </w:tc>
        <w:tc>
          <w:tcPr>
            <w:tcW w:w="1360" w:type="dxa"/>
            <w:noWrap w:val="0"/>
            <w:vAlign w:val="center"/>
          </w:tcPr>
          <w:p w14:paraId="2CD12A02">
            <w:pPr>
              <w:jc w:val="center"/>
              <w:rPr>
                <w:rFonts w:ascii="宋体" w:hAnsi="宋体"/>
                <w:sz w:val="18"/>
                <w:szCs w:val="18"/>
              </w:rPr>
            </w:pPr>
            <w:r>
              <w:rPr>
                <w:rFonts w:ascii="宋体" w:hAnsi="宋体"/>
                <w:sz w:val="18"/>
                <w:szCs w:val="18"/>
              </w:rPr>
              <w:t>22.09</w:t>
            </w:r>
          </w:p>
        </w:tc>
        <w:tc>
          <w:tcPr>
            <w:tcW w:w="1360" w:type="dxa"/>
            <w:noWrap w:val="0"/>
            <w:vAlign w:val="center"/>
          </w:tcPr>
          <w:p w14:paraId="305297CC">
            <w:pPr>
              <w:jc w:val="center"/>
              <w:rPr>
                <w:rFonts w:ascii="宋体" w:hAnsi="宋体"/>
                <w:sz w:val="18"/>
                <w:szCs w:val="18"/>
              </w:rPr>
            </w:pPr>
            <w:r>
              <w:rPr>
                <w:rFonts w:ascii="宋体" w:hAnsi="宋体"/>
                <w:sz w:val="18"/>
                <w:szCs w:val="18"/>
              </w:rPr>
              <w:t>14.43</w:t>
            </w:r>
          </w:p>
        </w:tc>
        <w:tc>
          <w:tcPr>
            <w:tcW w:w="1260" w:type="dxa"/>
            <w:noWrap w:val="0"/>
            <w:vAlign w:val="center"/>
          </w:tcPr>
          <w:p w14:paraId="412ABDB8">
            <w:pPr>
              <w:jc w:val="center"/>
              <w:rPr>
                <w:rFonts w:ascii="宋体" w:hAnsi="宋体"/>
                <w:sz w:val="18"/>
                <w:szCs w:val="18"/>
              </w:rPr>
            </w:pPr>
            <w:r>
              <w:rPr>
                <w:rFonts w:ascii="宋体" w:hAnsi="宋体"/>
                <w:sz w:val="18"/>
                <w:szCs w:val="18"/>
              </w:rPr>
              <w:t>0.60</w:t>
            </w:r>
          </w:p>
        </w:tc>
        <w:tc>
          <w:tcPr>
            <w:tcW w:w="1620" w:type="dxa"/>
            <w:noWrap w:val="0"/>
            <w:vAlign w:val="center"/>
          </w:tcPr>
          <w:p w14:paraId="27D8920F">
            <w:pPr>
              <w:jc w:val="center"/>
              <w:rPr>
                <w:rFonts w:hint="eastAsia" w:ascii="宋体" w:hAnsi="宋体"/>
                <w:sz w:val="18"/>
                <w:szCs w:val="18"/>
              </w:rPr>
            </w:pPr>
            <w:r>
              <w:rPr>
                <w:rFonts w:ascii="宋体" w:hAnsi="宋体"/>
                <w:sz w:val="18"/>
                <w:szCs w:val="18"/>
              </w:rPr>
              <w:t>27.</w:t>
            </w:r>
            <w:r>
              <w:rPr>
                <w:rFonts w:hint="eastAsia" w:ascii="宋体" w:hAnsi="宋体"/>
                <w:sz w:val="18"/>
                <w:szCs w:val="18"/>
              </w:rPr>
              <w:t>39</w:t>
            </w:r>
          </w:p>
        </w:tc>
        <w:tc>
          <w:tcPr>
            <w:tcW w:w="800" w:type="dxa"/>
            <w:vMerge w:val="continue"/>
            <w:noWrap w:val="0"/>
            <w:vAlign w:val="center"/>
          </w:tcPr>
          <w:p w14:paraId="680FEBC1">
            <w:pPr>
              <w:jc w:val="center"/>
              <w:rPr>
                <w:rFonts w:ascii="宋体" w:hAnsi="宋体"/>
                <w:sz w:val="18"/>
                <w:szCs w:val="18"/>
              </w:rPr>
            </w:pPr>
          </w:p>
        </w:tc>
      </w:tr>
      <w:tr w14:paraId="47F2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2961CDD9">
            <w:pPr>
              <w:jc w:val="center"/>
              <w:rPr>
                <w:rFonts w:ascii="宋体" w:hAnsi="宋体"/>
                <w:sz w:val="18"/>
                <w:szCs w:val="18"/>
              </w:rPr>
            </w:pPr>
          </w:p>
        </w:tc>
        <w:tc>
          <w:tcPr>
            <w:tcW w:w="624" w:type="dxa"/>
            <w:vMerge w:val="restart"/>
            <w:noWrap w:val="0"/>
            <w:vAlign w:val="center"/>
          </w:tcPr>
          <w:p w14:paraId="5CCB7C5B">
            <w:pPr>
              <w:jc w:val="center"/>
              <w:rPr>
                <w:rFonts w:ascii="宋体" w:hAnsi="宋体"/>
                <w:sz w:val="18"/>
                <w:szCs w:val="18"/>
              </w:rPr>
            </w:pPr>
            <w:r>
              <w:rPr>
                <w:rFonts w:ascii="宋体" w:hAnsi="宋体"/>
                <w:sz w:val="18"/>
                <w:szCs w:val="18"/>
              </w:rPr>
              <w:t>洗煤</w:t>
            </w:r>
          </w:p>
        </w:tc>
        <w:tc>
          <w:tcPr>
            <w:tcW w:w="1262" w:type="dxa"/>
            <w:noWrap w:val="0"/>
            <w:vAlign w:val="center"/>
          </w:tcPr>
          <w:p w14:paraId="1B9F4ADF">
            <w:pPr>
              <w:jc w:val="center"/>
              <w:rPr>
                <w:rFonts w:ascii="宋体" w:hAnsi="宋体"/>
                <w:sz w:val="18"/>
                <w:szCs w:val="18"/>
              </w:rPr>
            </w:pPr>
            <w:r>
              <w:rPr>
                <w:rFonts w:ascii="宋体" w:hAnsi="宋体"/>
                <w:sz w:val="18"/>
                <w:szCs w:val="18"/>
              </w:rPr>
              <w:t>0.41～1.37</w:t>
            </w:r>
          </w:p>
        </w:tc>
        <w:tc>
          <w:tcPr>
            <w:tcW w:w="1360" w:type="dxa"/>
            <w:noWrap w:val="0"/>
            <w:vAlign w:val="center"/>
          </w:tcPr>
          <w:p w14:paraId="56DC41FF">
            <w:pPr>
              <w:jc w:val="center"/>
              <w:rPr>
                <w:rFonts w:ascii="宋体" w:hAnsi="宋体"/>
                <w:sz w:val="18"/>
                <w:szCs w:val="18"/>
              </w:rPr>
            </w:pPr>
            <w:r>
              <w:rPr>
                <w:rFonts w:ascii="宋体" w:hAnsi="宋体"/>
                <w:sz w:val="18"/>
                <w:szCs w:val="18"/>
              </w:rPr>
              <w:t>6.41～13.46</w:t>
            </w:r>
          </w:p>
        </w:tc>
        <w:tc>
          <w:tcPr>
            <w:tcW w:w="1360" w:type="dxa"/>
            <w:noWrap w:val="0"/>
            <w:vAlign w:val="center"/>
          </w:tcPr>
          <w:p w14:paraId="0D9EEA0C">
            <w:pPr>
              <w:jc w:val="center"/>
              <w:rPr>
                <w:rFonts w:ascii="宋体" w:hAnsi="宋体"/>
                <w:sz w:val="18"/>
                <w:szCs w:val="18"/>
              </w:rPr>
            </w:pPr>
            <w:r>
              <w:rPr>
                <w:rFonts w:ascii="宋体" w:hAnsi="宋体"/>
                <w:sz w:val="18"/>
                <w:szCs w:val="18"/>
              </w:rPr>
              <w:t>10.89～16.22</w:t>
            </w:r>
          </w:p>
        </w:tc>
        <w:tc>
          <w:tcPr>
            <w:tcW w:w="1260" w:type="dxa"/>
            <w:noWrap w:val="0"/>
            <w:vAlign w:val="center"/>
          </w:tcPr>
          <w:p w14:paraId="37167A39">
            <w:pPr>
              <w:jc w:val="center"/>
              <w:rPr>
                <w:rFonts w:ascii="宋体" w:hAnsi="宋体"/>
                <w:sz w:val="18"/>
                <w:szCs w:val="18"/>
              </w:rPr>
            </w:pPr>
            <w:r>
              <w:rPr>
                <w:rFonts w:ascii="宋体" w:hAnsi="宋体"/>
                <w:sz w:val="18"/>
                <w:szCs w:val="18"/>
              </w:rPr>
              <w:t>0.28～1.40</w:t>
            </w:r>
          </w:p>
        </w:tc>
        <w:tc>
          <w:tcPr>
            <w:tcW w:w="1620" w:type="dxa"/>
            <w:noWrap w:val="0"/>
            <w:vAlign w:val="center"/>
          </w:tcPr>
          <w:p w14:paraId="00FBD552">
            <w:pPr>
              <w:rPr>
                <w:rFonts w:hint="eastAsia" w:ascii="宋体" w:hAnsi="宋体"/>
                <w:sz w:val="18"/>
                <w:szCs w:val="18"/>
              </w:rPr>
            </w:pPr>
            <w:r>
              <w:rPr>
                <w:rFonts w:ascii="宋体" w:hAnsi="宋体"/>
                <w:sz w:val="18"/>
                <w:szCs w:val="18"/>
              </w:rPr>
              <w:t>32.9</w:t>
            </w:r>
            <w:r>
              <w:rPr>
                <w:rFonts w:hint="eastAsia" w:ascii="宋体" w:hAnsi="宋体"/>
                <w:sz w:val="18"/>
                <w:szCs w:val="18"/>
              </w:rPr>
              <w:t>2</w:t>
            </w:r>
            <w:r>
              <w:rPr>
                <w:rFonts w:ascii="宋体" w:hAnsi="宋体"/>
                <w:sz w:val="18"/>
                <w:szCs w:val="18"/>
              </w:rPr>
              <w:t>～34.1</w:t>
            </w:r>
            <w:r>
              <w:rPr>
                <w:rFonts w:hint="eastAsia" w:ascii="宋体" w:hAnsi="宋体"/>
                <w:sz w:val="18"/>
                <w:szCs w:val="18"/>
              </w:rPr>
              <w:t>4</w:t>
            </w:r>
          </w:p>
        </w:tc>
        <w:tc>
          <w:tcPr>
            <w:tcW w:w="800" w:type="dxa"/>
            <w:vMerge w:val="continue"/>
            <w:noWrap w:val="0"/>
            <w:vAlign w:val="center"/>
          </w:tcPr>
          <w:p w14:paraId="46C4056C">
            <w:pPr>
              <w:jc w:val="center"/>
              <w:rPr>
                <w:rFonts w:ascii="宋体" w:hAnsi="宋体"/>
                <w:sz w:val="18"/>
                <w:szCs w:val="18"/>
              </w:rPr>
            </w:pPr>
          </w:p>
        </w:tc>
      </w:tr>
      <w:tr w14:paraId="1BF3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47E45948">
            <w:pPr>
              <w:jc w:val="center"/>
              <w:rPr>
                <w:rFonts w:ascii="宋体" w:hAnsi="宋体"/>
                <w:sz w:val="18"/>
                <w:szCs w:val="18"/>
              </w:rPr>
            </w:pPr>
          </w:p>
        </w:tc>
        <w:tc>
          <w:tcPr>
            <w:tcW w:w="624" w:type="dxa"/>
            <w:vMerge w:val="continue"/>
            <w:noWrap w:val="0"/>
            <w:vAlign w:val="center"/>
          </w:tcPr>
          <w:p w14:paraId="259B6F83">
            <w:pPr>
              <w:jc w:val="center"/>
              <w:rPr>
                <w:rFonts w:ascii="宋体" w:hAnsi="宋体"/>
                <w:sz w:val="18"/>
                <w:szCs w:val="18"/>
              </w:rPr>
            </w:pPr>
          </w:p>
        </w:tc>
        <w:tc>
          <w:tcPr>
            <w:tcW w:w="1262" w:type="dxa"/>
            <w:noWrap w:val="0"/>
            <w:vAlign w:val="center"/>
          </w:tcPr>
          <w:p w14:paraId="40F58298">
            <w:pPr>
              <w:jc w:val="center"/>
              <w:rPr>
                <w:rFonts w:ascii="宋体" w:hAnsi="宋体"/>
                <w:sz w:val="18"/>
                <w:szCs w:val="18"/>
              </w:rPr>
            </w:pPr>
            <w:r>
              <w:rPr>
                <w:rFonts w:ascii="宋体" w:hAnsi="宋体"/>
                <w:sz w:val="18"/>
                <w:szCs w:val="18"/>
              </w:rPr>
              <w:t>1.03</w:t>
            </w:r>
          </w:p>
        </w:tc>
        <w:tc>
          <w:tcPr>
            <w:tcW w:w="1360" w:type="dxa"/>
            <w:noWrap w:val="0"/>
            <w:vAlign w:val="center"/>
          </w:tcPr>
          <w:p w14:paraId="5AF1D91B">
            <w:pPr>
              <w:jc w:val="center"/>
              <w:rPr>
                <w:rFonts w:ascii="宋体" w:hAnsi="宋体"/>
                <w:sz w:val="18"/>
                <w:szCs w:val="18"/>
              </w:rPr>
            </w:pPr>
            <w:r>
              <w:rPr>
                <w:rFonts w:ascii="宋体" w:hAnsi="宋体"/>
                <w:sz w:val="18"/>
                <w:szCs w:val="18"/>
              </w:rPr>
              <w:t>7.84</w:t>
            </w:r>
          </w:p>
        </w:tc>
        <w:tc>
          <w:tcPr>
            <w:tcW w:w="1360" w:type="dxa"/>
            <w:noWrap w:val="0"/>
            <w:vAlign w:val="center"/>
          </w:tcPr>
          <w:p w14:paraId="52718532">
            <w:pPr>
              <w:jc w:val="center"/>
              <w:rPr>
                <w:rFonts w:ascii="宋体" w:hAnsi="宋体"/>
                <w:sz w:val="18"/>
                <w:szCs w:val="18"/>
              </w:rPr>
            </w:pPr>
            <w:r>
              <w:rPr>
                <w:rFonts w:ascii="宋体" w:hAnsi="宋体"/>
                <w:sz w:val="18"/>
                <w:szCs w:val="18"/>
              </w:rPr>
              <w:t>13.12</w:t>
            </w:r>
          </w:p>
        </w:tc>
        <w:tc>
          <w:tcPr>
            <w:tcW w:w="1260" w:type="dxa"/>
            <w:noWrap w:val="0"/>
            <w:vAlign w:val="center"/>
          </w:tcPr>
          <w:p w14:paraId="49FA3685">
            <w:pPr>
              <w:jc w:val="center"/>
              <w:rPr>
                <w:rFonts w:ascii="宋体" w:hAnsi="宋体"/>
                <w:sz w:val="18"/>
                <w:szCs w:val="18"/>
              </w:rPr>
            </w:pPr>
            <w:r>
              <w:rPr>
                <w:rFonts w:ascii="宋体" w:hAnsi="宋体"/>
                <w:sz w:val="18"/>
                <w:szCs w:val="18"/>
              </w:rPr>
              <w:t>0.52</w:t>
            </w:r>
          </w:p>
        </w:tc>
        <w:tc>
          <w:tcPr>
            <w:tcW w:w="1620" w:type="dxa"/>
            <w:noWrap w:val="0"/>
            <w:vAlign w:val="center"/>
          </w:tcPr>
          <w:p w14:paraId="40CF7A1E">
            <w:pPr>
              <w:jc w:val="center"/>
              <w:rPr>
                <w:rFonts w:hint="eastAsia" w:ascii="宋体" w:hAnsi="宋体"/>
                <w:sz w:val="18"/>
                <w:szCs w:val="18"/>
              </w:rPr>
            </w:pPr>
            <w:r>
              <w:rPr>
                <w:rFonts w:ascii="宋体" w:hAnsi="宋体"/>
                <w:sz w:val="18"/>
                <w:szCs w:val="18"/>
              </w:rPr>
              <w:t>33.3</w:t>
            </w:r>
            <w:r>
              <w:rPr>
                <w:rFonts w:hint="eastAsia" w:ascii="宋体" w:hAnsi="宋体"/>
                <w:sz w:val="18"/>
                <w:szCs w:val="18"/>
              </w:rPr>
              <w:t>0</w:t>
            </w:r>
          </w:p>
        </w:tc>
        <w:tc>
          <w:tcPr>
            <w:tcW w:w="800" w:type="dxa"/>
            <w:vMerge w:val="continue"/>
            <w:noWrap w:val="0"/>
            <w:vAlign w:val="center"/>
          </w:tcPr>
          <w:p w14:paraId="1D9FEA2B">
            <w:pPr>
              <w:jc w:val="center"/>
              <w:rPr>
                <w:rFonts w:ascii="宋体" w:hAnsi="宋体"/>
                <w:sz w:val="18"/>
                <w:szCs w:val="18"/>
              </w:rPr>
            </w:pPr>
          </w:p>
        </w:tc>
      </w:tr>
      <w:tr w14:paraId="2C93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56A7AFFF">
            <w:pPr>
              <w:jc w:val="center"/>
              <w:rPr>
                <w:rFonts w:hint="eastAsia" w:ascii="宋体" w:hAnsi="宋体"/>
                <w:sz w:val="18"/>
                <w:szCs w:val="18"/>
              </w:rPr>
            </w:pPr>
            <w:r>
              <w:rPr>
                <w:rFonts w:hint="eastAsia" w:ascii="宋体" w:hAnsi="宋体"/>
                <w:sz w:val="18"/>
                <w:szCs w:val="18"/>
              </w:rPr>
              <w:t>K3</w:t>
            </w:r>
          </w:p>
        </w:tc>
        <w:tc>
          <w:tcPr>
            <w:tcW w:w="624" w:type="dxa"/>
            <w:vMerge w:val="restart"/>
            <w:noWrap w:val="0"/>
            <w:vAlign w:val="center"/>
          </w:tcPr>
          <w:p w14:paraId="1F6E1C3B">
            <w:pPr>
              <w:jc w:val="center"/>
              <w:rPr>
                <w:rFonts w:ascii="宋体" w:hAnsi="宋体"/>
                <w:sz w:val="18"/>
                <w:szCs w:val="18"/>
              </w:rPr>
            </w:pPr>
            <w:r>
              <w:rPr>
                <w:rFonts w:ascii="宋体" w:hAnsi="宋体"/>
                <w:sz w:val="18"/>
                <w:szCs w:val="18"/>
              </w:rPr>
              <w:t>原煤</w:t>
            </w:r>
          </w:p>
        </w:tc>
        <w:tc>
          <w:tcPr>
            <w:tcW w:w="1262" w:type="dxa"/>
            <w:noWrap w:val="0"/>
            <w:vAlign w:val="center"/>
          </w:tcPr>
          <w:p w14:paraId="098C9FBB">
            <w:pPr>
              <w:jc w:val="center"/>
              <w:rPr>
                <w:rFonts w:ascii="宋体" w:hAnsi="宋体"/>
                <w:sz w:val="18"/>
                <w:szCs w:val="18"/>
              </w:rPr>
            </w:pPr>
            <w:r>
              <w:rPr>
                <w:rFonts w:ascii="宋体" w:hAnsi="宋体"/>
                <w:sz w:val="18"/>
                <w:szCs w:val="18"/>
              </w:rPr>
              <w:t>0.34～7.00</w:t>
            </w:r>
          </w:p>
        </w:tc>
        <w:tc>
          <w:tcPr>
            <w:tcW w:w="1360" w:type="dxa"/>
            <w:noWrap w:val="0"/>
            <w:vAlign w:val="center"/>
          </w:tcPr>
          <w:p w14:paraId="295289ED">
            <w:pPr>
              <w:jc w:val="center"/>
              <w:rPr>
                <w:rFonts w:ascii="宋体" w:hAnsi="宋体"/>
                <w:sz w:val="18"/>
                <w:szCs w:val="18"/>
              </w:rPr>
            </w:pPr>
            <w:r>
              <w:rPr>
                <w:rFonts w:ascii="宋体" w:hAnsi="宋体"/>
                <w:sz w:val="18"/>
                <w:szCs w:val="18"/>
              </w:rPr>
              <w:t>18.71～30.22</w:t>
            </w:r>
          </w:p>
        </w:tc>
        <w:tc>
          <w:tcPr>
            <w:tcW w:w="1360" w:type="dxa"/>
            <w:noWrap w:val="0"/>
            <w:vAlign w:val="center"/>
          </w:tcPr>
          <w:p w14:paraId="3FB66D3F">
            <w:pPr>
              <w:jc w:val="center"/>
              <w:rPr>
                <w:rFonts w:ascii="宋体" w:hAnsi="宋体"/>
                <w:sz w:val="18"/>
                <w:szCs w:val="18"/>
              </w:rPr>
            </w:pPr>
            <w:r>
              <w:rPr>
                <w:rFonts w:ascii="宋体" w:hAnsi="宋体"/>
                <w:sz w:val="18"/>
                <w:szCs w:val="18"/>
              </w:rPr>
              <w:t>11.40～17.75</w:t>
            </w:r>
          </w:p>
        </w:tc>
        <w:tc>
          <w:tcPr>
            <w:tcW w:w="1260" w:type="dxa"/>
            <w:noWrap w:val="0"/>
            <w:vAlign w:val="center"/>
          </w:tcPr>
          <w:p w14:paraId="2F7DD0A6">
            <w:pPr>
              <w:jc w:val="center"/>
              <w:rPr>
                <w:rFonts w:ascii="宋体" w:hAnsi="宋体"/>
                <w:sz w:val="18"/>
                <w:szCs w:val="18"/>
              </w:rPr>
            </w:pPr>
            <w:r>
              <w:rPr>
                <w:rFonts w:ascii="宋体" w:hAnsi="宋体"/>
                <w:sz w:val="18"/>
                <w:szCs w:val="18"/>
              </w:rPr>
              <w:t>0.23～4.99</w:t>
            </w:r>
          </w:p>
        </w:tc>
        <w:tc>
          <w:tcPr>
            <w:tcW w:w="1620" w:type="dxa"/>
            <w:noWrap w:val="0"/>
            <w:vAlign w:val="center"/>
          </w:tcPr>
          <w:p w14:paraId="68BA293B">
            <w:pPr>
              <w:jc w:val="center"/>
              <w:rPr>
                <w:rFonts w:hint="eastAsia" w:ascii="宋体" w:hAnsi="宋体"/>
                <w:sz w:val="18"/>
                <w:szCs w:val="18"/>
              </w:rPr>
            </w:pPr>
            <w:r>
              <w:rPr>
                <w:rFonts w:ascii="宋体" w:hAnsi="宋体"/>
                <w:sz w:val="18"/>
                <w:szCs w:val="18"/>
              </w:rPr>
              <w:t>24.</w:t>
            </w:r>
            <w:r>
              <w:rPr>
                <w:rFonts w:hint="eastAsia" w:ascii="宋体" w:hAnsi="宋体"/>
                <w:sz w:val="18"/>
                <w:szCs w:val="18"/>
              </w:rPr>
              <w:t>19</w:t>
            </w:r>
            <w:r>
              <w:rPr>
                <w:rFonts w:ascii="宋体" w:hAnsi="宋体"/>
                <w:sz w:val="18"/>
                <w:szCs w:val="18"/>
              </w:rPr>
              <w:t>～29.1</w:t>
            </w:r>
            <w:r>
              <w:rPr>
                <w:rFonts w:hint="eastAsia" w:ascii="宋体" w:hAnsi="宋体"/>
                <w:sz w:val="18"/>
                <w:szCs w:val="18"/>
              </w:rPr>
              <w:t>4</w:t>
            </w:r>
          </w:p>
        </w:tc>
        <w:tc>
          <w:tcPr>
            <w:tcW w:w="800" w:type="dxa"/>
            <w:vMerge w:val="restart"/>
            <w:noWrap w:val="0"/>
            <w:vAlign w:val="center"/>
          </w:tcPr>
          <w:p w14:paraId="399DDD4C">
            <w:pPr>
              <w:jc w:val="center"/>
              <w:rPr>
                <w:rFonts w:ascii="宋体" w:hAnsi="宋体"/>
                <w:sz w:val="18"/>
                <w:szCs w:val="18"/>
              </w:rPr>
            </w:pPr>
            <w:r>
              <w:rPr>
                <w:rFonts w:hint="eastAsia" w:ascii="宋体" w:hAnsi="宋体"/>
                <w:sz w:val="18"/>
                <w:szCs w:val="18"/>
              </w:rPr>
              <w:t>贫煤</w:t>
            </w:r>
          </w:p>
        </w:tc>
      </w:tr>
      <w:tr w14:paraId="343E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4FE62038">
            <w:pPr>
              <w:jc w:val="center"/>
              <w:rPr>
                <w:rFonts w:ascii="宋体" w:hAnsi="宋体"/>
                <w:sz w:val="18"/>
                <w:szCs w:val="18"/>
              </w:rPr>
            </w:pPr>
          </w:p>
        </w:tc>
        <w:tc>
          <w:tcPr>
            <w:tcW w:w="624" w:type="dxa"/>
            <w:vMerge w:val="continue"/>
            <w:noWrap w:val="0"/>
            <w:vAlign w:val="center"/>
          </w:tcPr>
          <w:p w14:paraId="6854718E">
            <w:pPr>
              <w:jc w:val="center"/>
              <w:rPr>
                <w:rFonts w:ascii="宋体" w:hAnsi="宋体"/>
                <w:sz w:val="18"/>
                <w:szCs w:val="18"/>
              </w:rPr>
            </w:pPr>
          </w:p>
        </w:tc>
        <w:tc>
          <w:tcPr>
            <w:tcW w:w="1262" w:type="dxa"/>
            <w:noWrap w:val="0"/>
            <w:vAlign w:val="center"/>
          </w:tcPr>
          <w:p w14:paraId="03300567">
            <w:pPr>
              <w:jc w:val="center"/>
              <w:rPr>
                <w:rFonts w:ascii="宋体" w:hAnsi="宋体"/>
                <w:sz w:val="18"/>
                <w:szCs w:val="18"/>
              </w:rPr>
            </w:pPr>
            <w:r>
              <w:rPr>
                <w:rFonts w:ascii="宋体" w:hAnsi="宋体"/>
                <w:sz w:val="18"/>
                <w:szCs w:val="18"/>
              </w:rPr>
              <w:t>1.53</w:t>
            </w:r>
          </w:p>
        </w:tc>
        <w:tc>
          <w:tcPr>
            <w:tcW w:w="1360" w:type="dxa"/>
            <w:noWrap w:val="0"/>
            <w:vAlign w:val="center"/>
          </w:tcPr>
          <w:p w14:paraId="3CFE0C72">
            <w:pPr>
              <w:jc w:val="center"/>
              <w:rPr>
                <w:rFonts w:ascii="宋体" w:hAnsi="宋体"/>
                <w:sz w:val="18"/>
                <w:szCs w:val="18"/>
              </w:rPr>
            </w:pPr>
            <w:r>
              <w:rPr>
                <w:rFonts w:ascii="宋体" w:hAnsi="宋体"/>
                <w:sz w:val="18"/>
                <w:szCs w:val="18"/>
              </w:rPr>
              <w:t>24.48</w:t>
            </w:r>
          </w:p>
        </w:tc>
        <w:tc>
          <w:tcPr>
            <w:tcW w:w="1360" w:type="dxa"/>
            <w:noWrap w:val="0"/>
            <w:vAlign w:val="center"/>
          </w:tcPr>
          <w:p w14:paraId="6E55E378">
            <w:pPr>
              <w:jc w:val="center"/>
              <w:rPr>
                <w:rFonts w:ascii="宋体" w:hAnsi="宋体"/>
                <w:sz w:val="18"/>
                <w:szCs w:val="18"/>
              </w:rPr>
            </w:pPr>
            <w:r>
              <w:rPr>
                <w:rFonts w:ascii="宋体" w:hAnsi="宋体"/>
                <w:sz w:val="18"/>
                <w:szCs w:val="18"/>
              </w:rPr>
              <w:t>14.31</w:t>
            </w:r>
          </w:p>
        </w:tc>
        <w:tc>
          <w:tcPr>
            <w:tcW w:w="1260" w:type="dxa"/>
            <w:noWrap w:val="0"/>
            <w:vAlign w:val="center"/>
          </w:tcPr>
          <w:p w14:paraId="03E8ABEF">
            <w:pPr>
              <w:jc w:val="center"/>
              <w:rPr>
                <w:rFonts w:ascii="宋体" w:hAnsi="宋体"/>
                <w:sz w:val="18"/>
                <w:szCs w:val="18"/>
              </w:rPr>
            </w:pPr>
            <w:r>
              <w:rPr>
                <w:rFonts w:ascii="宋体" w:hAnsi="宋体"/>
                <w:sz w:val="18"/>
                <w:szCs w:val="18"/>
              </w:rPr>
              <w:t>2.23</w:t>
            </w:r>
          </w:p>
        </w:tc>
        <w:tc>
          <w:tcPr>
            <w:tcW w:w="1620" w:type="dxa"/>
            <w:noWrap w:val="0"/>
            <w:vAlign w:val="center"/>
          </w:tcPr>
          <w:p w14:paraId="4A7581E0">
            <w:pPr>
              <w:jc w:val="center"/>
              <w:rPr>
                <w:rFonts w:hint="eastAsia" w:ascii="宋体" w:hAnsi="宋体"/>
                <w:sz w:val="18"/>
                <w:szCs w:val="18"/>
              </w:rPr>
            </w:pPr>
            <w:r>
              <w:rPr>
                <w:rFonts w:ascii="宋体" w:hAnsi="宋体"/>
                <w:sz w:val="18"/>
                <w:szCs w:val="18"/>
              </w:rPr>
              <w:t>26.6</w:t>
            </w:r>
            <w:r>
              <w:rPr>
                <w:rFonts w:hint="eastAsia" w:ascii="宋体" w:hAnsi="宋体"/>
                <w:sz w:val="18"/>
                <w:szCs w:val="18"/>
              </w:rPr>
              <w:t>4</w:t>
            </w:r>
          </w:p>
        </w:tc>
        <w:tc>
          <w:tcPr>
            <w:tcW w:w="800" w:type="dxa"/>
            <w:vMerge w:val="continue"/>
            <w:noWrap w:val="0"/>
            <w:vAlign w:val="center"/>
          </w:tcPr>
          <w:p w14:paraId="0A0A004E">
            <w:pPr>
              <w:jc w:val="center"/>
              <w:rPr>
                <w:rFonts w:ascii="宋体" w:hAnsi="宋体"/>
                <w:sz w:val="18"/>
                <w:szCs w:val="18"/>
              </w:rPr>
            </w:pPr>
          </w:p>
        </w:tc>
      </w:tr>
      <w:tr w14:paraId="52B8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1B7F035E">
            <w:pPr>
              <w:jc w:val="center"/>
              <w:rPr>
                <w:rFonts w:ascii="宋体" w:hAnsi="宋体"/>
                <w:color w:val="FF0000"/>
                <w:sz w:val="18"/>
                <w:szCs w:val="18"/>
              </w:rPr>
            </w:pPr>
          </w:p>
        </w:tc>
        <w:tc>
          <w:tcPr>
            <w:tcW w:w="624" w:type="dxa"/>
            <w:vMerge w:val="restart"/>
            <w:noWrap w:val="0"/>
            <w:vAlign w:val="center"/>
          </w:tcPr>
          <w:p w14:paraId="79A2B67E">
            <w:pPr>
              <w:jc w:val="center"/>
              <w:rPr>
                <w:rFonts w:ascii="宋体" w:hAnsi="宋体"/>
                <w:sz w:val="18"/>
                <w:szCs w:val="18"/>
              </w:rPr>
            </w:pPr>
            <w:r>
              <w:rPr>
                <w:rFonts w:ascii="宋体" w:hAnsi="宋体"/>
                <w:sz w:val="18"/>
                <w:szCs w:val="18"/>
              </w:rPr>
              <w:t>洗煤</w:t>
            </w:r>
          </w:p>
        </w:tc>
        <w:tc>
          <w:tcPr>
            <w:tcW w:w="1262" w:type="dxa"/>
            <w:noWrap w:val="0"/>
            <w:vAlign w:val="center"/>
          </w:tcPr>
          <w:p w14:paraId="3F54716E">
            <w:pPr>
              <w:jc w:val="center"/>
              <w:rPr>
                <w:rFonts w:ascii="宋体" w:hAnsi="宋体"/>
                <w:sz w:val="18"/>
                <w:szCs w:val="18"/>
              </w:rPr>
            </w:pPr>
            <w:r>
              <w:rPr>
                <w:rFonts w:ascii="宋体" w:hAnsi="宋体"/>
                <w:sz w:val="18"/>
                <w:szCs w:val="18"/>
              </w:rPr>
              <w:t>0.32～1.13</w:t>
            </w:r>
          </w:p>
        </w:tc>
        <w:tc>
          <w:tcPr>
            <w:tcW w:w="1360" w:type="dxa"/>
            <w:noWrap w:val="0"/>
            <w:vAlign w:val="center"/>
          </w:tcPr>
          <w:p w14:paraId="11408E51">
            <w:pPr>
              <w:jc w:val="center"/>
              <w:rPr>
                <w:rFonts w:ascii="宋体" w:hAnsi="宋体"/>
                <w:sz w:val="18"/>
                <w:szCs w:val="18"/>
              </w:rPr>
            </w:pPr>
            <w:r>
              <w:rPr>
                <w:rFonts w:ascii="宋体" w:hAnsi="宋体"/>
                <w:sz w:val="18"/>
                <w:szCs w:val="18"/>
              </w:rPr>
              <w:t>8.67～20.27</w:t>
            </w:r>
          </w:p>
        </w:tc>
        <w:tc>
          <w:tcPr>
            <w:tcW w:w="1360" w:type="dxa"/>
            <w:noWrap w:val="0"/>
            <w:vAlign w:val="center"/>
          </w:tcPr>
          <w:p w14:paraId="1ADB4C9A">
            <w:pPr>
              <w:jc w:val="center"/>
              <w:rPr>
                <w:rFonts w:ascii="宋体" w:hAnsi="宋体"/>
                <w:sz w:val="18"/>
                <w:szCs w:val="18"/>
              </w:rPr>
            </w:pPr>
            <w:r>
              <w:rPr>
                <w:rFonts w:ascii="宋体" w:hAnsi="宋体"/>
                <w:sz w:val="18"/>
                <w:szCs w:val="18"/>
              </w:rPr>
              <w:t>10.68～15.63</w:t>
            </w:r>
          </w:p>
        </w:tc>
        <w:tc>
          <w:tcPr>
            <w:tcW w:w="1260" w:type="dxa"/>
            <w:noWrap w:val="0"/>
            <w:vAlign w:val="center"/>
          </w:tcPr>
          <w:p w14:paraId="5DBB8F88">
            <w:pPr>
              <w:jc w:val="center"/>
              <w:rPr>
                <w:rFonts w:ascii="宋体" w:hAnsi="宋体"/>
                <w:sz w:val="18"/>
                <w:szCs w:val="18"/>
              </w:rPr>
            </w:pPr>
            <w:r>
              <w:rPr>
                <w:rFonts w:ascii="宋体" w:hAnsi="宋体"/>
                <w:sz w:val="18"/>
                <w:szCs w:val="18"/>
              </w:rPr>
              <w:t>0.20～1.80</w:t>
            </w:r>
          </w:p>
        </w:tc>
        <w:tc>
          <w:tcPr>
            <w:tcW w:w="1620" w:type="dxa"/>
            <w:noWrap w:val="0"/>
            <w:vAlign w:val="center"/>
          </w:tcPr>
          <w:p w14:paraId="536DCEBF">
            <w:pPr>
              <w:jc w:val="center"/>
              <w:rPr>
                <w:rFonts w:hint="eastAsia" w:ascii="宋体" w:hAnsi="宋体"/>
                <w:sz w:val="18"/>
                <w:szCs w:val="18"/>
              </w:rPr>
            </w:pPr>
            <w:r>
              <w:rPr>
                <w:rFonts w:ascii="宋体" w:hAnsi="宋体"/>
                <w:sz w:val="18"/>
                <w:szCs w:val="18"/>
              </w:rPr>
              <w:t>31.2</w:t>
            </w:r>
            <w:r>
              <w:rPr>
                <w:rFonts w:hint="eastAsia" w:ascii="宋体" w:hAnsi="宋体"/>
                <w:sz w:val="18"/>
                <w:szCs w:val="18"/>
              </w:rPr>
              <w:t>5</w:t>
            </w:r>
            <w:r>
              <w:rPr>
                <w:rFonts w:ascii="宋体" w:hAnsi="宋体"/>
                <w:sz w:val="18"/>
                <w:szCs w:val="18"/>
              </w:rPr>
              <w:t>～33.</w:t>
            </w:r>
            <w:r>
              <w:rPr>
                <w:rFonts w:hint="eastAsia" w:ascii="宋体" w:hAnsi="宋体"/>
                <w:sz w:val="18"/>
                <w:szCs w:val="18"/>
              </w:rPr>
              <w:t>17</w:t>
            </w:r>
          </w:p>
        </w:tc>
        <w:tc>
          <w:tcPr>
            <w:tcW w:w="800" w:type="dxa"/>
            <w:vMerge w:val="continue"/>
            <w:noWrap w:val="0"/>
            <w:vAlign w:val="center"/>
          </w:tcPr>
          <w:p w14:paraId="6683CEAF">
            <w:pPr>
              <w:jc w:val="center"/>
              <w:rPr>
                <w:rFonts w:ascii="宋体" w:hAnsi="宋体"/>
                <w:sz w:val="18"/>
                <w:szCs w:val="18"/>
              </w:rPr>
            </w:pPr>
          </w:p>
        </w:tc>
      </w:tr>
      <w:tr w14:paraId="2F53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736A4965">
            <w:pPr>
              <w:jc w:val="center"/>
              <w:rPr>
                <w:rFonts w:ascii="宋体" w:hAnsi="宋体"/>
                <w:color w:val="FF0000"/>
                <w:sz w:val="18"/>
                <w:szCs w:val="18"/>
              </w:rPr>
            </w:pPr>
          </w:p>
        </w:tc>
        <w:tc>
          <w:tcPr>
            <w:tcW w:w="624" w:type="dxa"/>
            <w:vMerge w:val="continue"/>
            <w:noWrap w:val="0"/>
            <w:vAlign w:val="center"/>
          </w:tcPr>
          <w:p w14:paraId="267BE232">
            <w:pPr>
              <w:jc w:val="center"/>
              <w:rPr>
                <w:rFonts w:ascii="宋体" w:hAnsi="宋体"/>
                <w:sz w:val="18"/>
                <w:szCs w:val="18"/>
              </w:rPr>
            </w:pPr>
          </w:p>
        </w:tc>
        <w:tc>
          <w:tcPr>
            <w:tcW w:w="1262" w:type="dxa"/>
            <w:noWrap w:val="0"/>
            <w:vAlign w:val="center"/>
          </w:tcPr>
          <w:p w14:paraId="035AAAE5">
            <w:pPr>
              <w:jc w:val="center"/>
              <w:rPr>
                <w:rFonts w:ascii="宋体" w:hAnsi="宋体"/>
                <w:sz w:val="18"/>
                <w:szCs w:val="18"/>
              </w:rPr>
            </w:pPr>
            <w:r>
              <w:rPr>
                <w:rFonts w:ascii="宋体" w:hAnsi="宋体"/>
                <w:sz w:val="18"/>
                <w:szCs w:val="18"/>
              </w:rPr>
              <w:t>0.92</w:t>
            </w:r>
          </w:p>
        </w:tc>
        <w:tc>
          <w:tcPr>
            <w:tcW w:w="1360" w:type="dxa"/>
            <w:noWrap w:val="0"/>
            <w:vAlign w:val="center"/>
          </w:tcPr>
          <w:p w14:paraId="6E61E3B4">
            <w:pPr>
              <w:jc w:val="center"/>
              <w:rPr>
                <w:rFonts w:ascii="宋体" w:hAnsi="宋体"/>
                <w:sz w:val="18"/>
                <w:szCs w:val="18"/>
              </w:rPr>
            </w:pPr>
            <w:r>
              <w:rPr>
                <w:rFonts w:ascii="宋体" w:hAnsi="宋体"/>
                <w:sz w:val="18"/>
                <w:szCs w:val="18"/>
              </w:rPr>
              <w:t>11.47</w:t>
            </w:r>
          </w:p>
        </w:tc>
        <w:tc>
          <w:tcPr>
            <w:tcW w:w="1360" w:type="dxa"/>
            <w:noWrap w:val="0"/>
            <w:vAlign w:val="center"/>
          </w:tcPr>
          <w:p w14:paraId="3890E0C5">
            <w:pPr>
              <w:jc w:val="center"/>
              <w:rPr>
                <w:rFonts w:ascii="宋体" w:hAnsi="宋体"/>
                <w:sz w:val="18"/>
                <w:szCs w:val="18"/>
              </w:rPr>
            </w:pPr>
            <w:r>
              <w:rPr>
                <w:rFonts w:ascii="宋体" w:hAnsi="宋体"/>
                <w:sz w:val="18"/>
                <w:szCs w:val="18"/>
              </w:rPr>
              <w:t>12.89</w:t>
            </w:r>
          </w:p>
        </w:tc>
        <w:tc>
          <w:tcPr>
            <w:tcW w:w="1260" w:type="dxa"/>
            <w:noWrap w:val="0"/>
            <w:vAlign w:val="center"/>
          </w:tcPr>
          <w:p w14:paraId="55AADAC3">
            <w:pPr>
              <w:jc w:val="center"/>
              <w:rPr>
                <w:rFonts w:ascii="宋体" w:hAnsi="宋体"/>
                <w:sz w:val="18"/>
                <w:szCs w:val="18"/>
              </w:rPr>
            </w:pPr>
            <w:r>
              <w:rPr>
                <w:rFonts w:ascii="宋体" w:hAnsi="宋体"/>
                <w:sz w:val="18"/>
                <w:szCs w:val="18"/>
              </w:rPr>
              <w:t>1.05</w:t>
            </w:r>
          </w:p>
        </w:tc>
        <w:tc>
          <w:tcPr>
            <w:tcW w:w="1620" w:type="dxa"/>
            <w:noWrap w:val="0"/>
            <w:vAlign w:val="center"/>
          </w:tcPr>
          <w:p w14:paraId="12BD9F45">
            <w:pPr>
              <w:jc w:val="center"/>
              <w:rPr>
                <w:rFonts w:hint="eastAsia" w:ascii="宋体" w:hAnsi="宋体"/>
                <w:sz w:val="18"/>
                <w:szCs w:val="18"/>
              </w:rPr>
            </w:pPr>
            <w:r>
              <w:rPr>
                <w:rFonts w:ascii="宋体" w:hAnsi="宋体"/>
                <w:sz w:val="18"/>
                <w:szCs w:val="18"/>
              </w:rPr>
              <w:t>32.2</w:t>
            </w:r>
            <w:r>
              <w:rPr>
                <w:rFonts w:hint="eastAsia" w:ascii="宋体" w:hAnsi="宋体"/>
                <w:sz w:val="18"/>
                <w:szCs w:val="18"/>
              </w:rPr>
              <w:t>1</w:t>
            </w:r>
          </w:p>
        </w:tc>
        <w:tc>
          <w:tcPr>
            <w:tcW w:w="800" w:type="dxa"/>
            <w:vMerge w:val="continue"/>
            <w:noWrap w:val="0"/>
            <w:vAlign w:val="center"/>
          </w:tcPr>
          <w:p w14:paraId="2CB0DAC2">
            <w:pPr>
              <w:jc w:val="center"/>
              <w:rPr>
                <w:rFonts w:ascii="宋体" w:hAnsi="宋体"/>
                <w:sz w:val="18"/>
                <w:szCs w:val="18"/>
              </w:rPr>
            </w:pPr>
          </w:p>
        </w:tc>
      </w:tr>
      <w:tr w14:paraId="7988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2C8DD374">
            <w:pPr>
              <w:jc w:val="center"/>
              <w:rPr>
                <w:rFonts w:ascii="宋体" w:hAnsi="宋体"/>
                <w:sz w:val="18"/>
                <w:szCs w:val="18"/>
              </w:rPr>
            </w:pPr>
            <w:r>
              <w:rPr>
                <w:rFonts w:ascii="宋体" w:hAnsi="宋体"/>
                <w:sz w:val="18"/>
                <w:szCs w:val="18"/>
              </w:rPr>
              <w:t>K9</w:t>
            </w:r>
          </w:p>
        </w:tc>
        <w:tc>
          <w:tcPr>
            <w:tcW w:w="624" w:type="dxa"/>
            <w:vMerge w:val="restart"/>
            <w:noWrap w:val="0"/>
            <w:vAlign w:val="center"/>
          </w:tcPr>
          <w:p w14:paraId="3D7AE09F">
            <w:pPr>
              <w:jc w:val="center"/>
              <w:rPr>
                <w:rFonts w:ascii="宋体" w:hAnsi="宋体"/>
                <w:sz w:val="18"/>
                <w:szCs w:val="18"/>
              </w:rPr>
            </w:pPr>
            <w:r>
              <w:rPr>
                <w:rFonts w:ascii="宋体" w:hAnsi="宋体"/>
                <w:sz w:val="18"/>
                <w:szCs w:val="18"/>
              </w:rPr>
              <w:t>原煤</w:t>
            </w:r>
          </w:p>
        </w:tc>
        <w:tc>
          <w:tcPr>
            <w:tcW w:w="1262" w:type="dxa"/>
            <w:noWrap w:val="0"/>
            <w:vAlign w:val="center"/>
          </w:tcPr>
          <w:p w14:paraId="4CA2A110">
            <w:pPr>
              <w:jc w:val="center"/>
              <w:rPr>
                <w:rFonts w:ascii="宋体" w:hAnsi="宋体"/>
                <w:sz w:val="18"/>
                <w:szCs w:val="18"/>
              </w:rPr>
            </w:pPr>
            <w:r>
              <w:rPr>
                <w:rFonts w:ascii="宋体" w:hAnsi="宋体"/>
                <w:sz w:val="18"/>
                <w:szCs w:val="18"/>
              </w:rPr>
              <w:t>0.46～1.83</w:t>
            </w:r>
          </w:p>
        </w:tc>
        <w:tc>
          <w:tcPr>
            <w:tcW w:w="1360" w:type="dxa"/>
            <w:noWrap w:val="0"/>
            <w:vAlign w:val="center"/>
          </w:tcPr>
          <w:p w14:paraId="640C774E">
            <w:pPr>
              <w:jc w:val="center"/>
              <w:rPr>
                <w:rFonts w:ascii="宋体" w:hAnsi="宋体"/>
                <w:sz w:val="18"/>
                <w:szCs w:val="18"/>
              </w:rPr>
            </w:pPr>
            <w:r>
              <w:rPr>
                <w:rFonts w:ascii="宋体" w:hAnsi="宋体"/>
                <w:sz w:val="18"/>
                <w:szCs w:val="18"/>
              </w:rPr>
              <w:t>11.88～33.64</w:t>
            </w:r>
          </w:p>
        </w:tc>
        <w:tc>
          <w:tcPr>
            <w:tcW w:w="1360" w:type="dxa"/>
            <w:noWrap w:val="0"/>
            <w:vAlign w:val="center"/>
          </w:tcPr>
          <w:p w14:paraId="48C52923">
            <w:pPr>
              <w:jc w:val="center"/>
              <w:rPr>
                <w:rFonts w:ascii="宋体" w:hAnsi="宋体"/>
                <w:sz w:val="18"/>
                <w:szCs w:val="18"/>
              </w:rPr>
            </w:pPr>
            <w:r>
              <w:rPr>
                <w:rFonts w:ascii="宋体" w:hAnsi="宋体"/>
                <w:sz w:val="18"/>
                <w:szCs w:val="18"/>
              </w:rPr>
              <w:t>10.29～19.48</w:t>
            </w:r>
          </w:p>
        </w:tc>
        <w:tc>
          <w:tcPr>
            <w:tcW w:w="1260" w:type="dxa"/>
            <w:noWrap w:val="0"/>
            <w:vAlign w:val="center"/>
          </w:tcPr>
          <w:p w14:paraId="790ED75C">
            <w:pPr>
              <w:jc w:val="center"/>
              <w:rPr>
                <w:rFonts w:ascii="宋体" w:hAnsi="宋体"/>
                <w:sz w:val="18"/>
                <w:szCs w:val="18"/>
              </w:rPr>
            </w:pPr>
            <w:r>
              <w:rPr>
                <w:rFonts w:ascii="宋体" w:hAnsi="宋体"/>
                <w:sz w:val="18"/>
                <w:szCs w:val="18"/>
              </w:rPr>
              <w:t>0.38～3.71</w:t>
            </w:r>
          </w:p>
        </w:tc>
        <w:tc>
          <w:tcPr>
            <w:tcW w:w="1620" w:type="dxa"/>
            <w:noWrap w:val="0"/>
            <w:vAlign w:val="center"/>
          </w:tcPr>
          <w:p w14:paraId="2C3AAB22">
            <w:pPr>
              <w:jc w:val="center"/>
              <w:rPr>
                <w:rFonts w:ascii="宋体" w:hAnsi="宋体"/>
                <w:sz w:val="18"/>
                <w:szCs w:val="18"/>
              </w:rPr>
            </w:pPr>
            <w:r>
              <w:rPr>
                <w:rFonts w:ascii="宋体" w:hAnsi="宋体"/>
                <w:sz w:val="18"/>
                <w:szCs w:val="18"/>
              </w:rPr>
              <w:t>22.26～35.87</w:t>
            </w:r>
          </w:p>
        </w:tc>
        <w:tc>
          <w:tcPr>
            <w:tcW w:w="800" w:type="dxa"/>
            <w:vMerge w:val="restart"/>
            <w:noWrap w:val="0"/>
            <w:vAlign w:val="center"/>
          </w:tcPr>
          <w:p w14:paraId="0D208B19">
            <w:pPr>
              <w:jc w:val="center"/>
              <w:rPr>
                <w:rFonts w:ascii="宋体" w:hAnsi="宋体"/>
                <w:sz w:val="18"/>
                <w:szCs w:val="18"/>
              </w:rPr>
            </w:pPr>
            <w:r>
              <w:rPr>
                <w:rFonts w:hint="eastAsia" w:ascii="宋体" w:hAnsi="宋体"/>
                <w:sz w:val="18"/>
                <w:szCs w:val="18"/>
              </w:rPr>
              <w:t>贫煤</w:t>
            </w:r>
          </w:p>
        </w:tc>
      </w:tr>
      <w:tr w14:paraId="04FF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607D74A">
            <w:pPr>
              <w:jc w:val="center"/>
              <w:rPr>
                <w:rFonts w:ascii="宋体" w:hAnsi="宋体"/>
                <w:sz w:val="18"/>
                <w:szCs w:val="18"/>
              </w:rPr>
            </w:pPr>
          </w:p>
        </w:tc>
        <w:tc>
          <w:tcPr>
            <w:tcW w:w="624" w:type="dxa"/>
            <w:vMerge w:val="continue"/>
            <w:noWrap w:val="0"/>
            <w:vAlign w:val="center"/>
          </w:tcPr>
          <w:p w14:paraId="7BB6C35F">
            <w:pPr>
              <w:jc w:val="center"/>
              <w:rPr>
                <w:rFonts w:ascii="宋体" w:hAnsi="宋体"/>
                <w:sz w:val="18"/>
                <w:szCs w:val="18"/>
              </w:rPr>
            </w:pPr>
          </w:p>
        </w:tc>
        <w:tc>
          <w:tcPr>
            <w:tcW w:w="1262" w:type="dxa"/>
            <w:noWrap w:val="0"/>
            <w:vAlign w:val="center"/>
          </w:tcPr>
          <w:p w14:paraId="6BBFBDB7">
            <w:pPr>
              <w:jc w:val="center"/>
              <w:rPr>
                <w:rFonts w:ascii="宋体" w:hAnsi="宋体"/>
                <w:sz w:val="18"/>
                <w:szCs w:val="18"/>
              </w:rPr>
            </w:pPr>
            <w:r>
              <w:rPr>
                <w:rFonts w:ascii="宋体" w:hAnsi="宋体"/>
                <w:sz w:val="18"/>
                <w:szCs w:val="18"/>
              </w:rPr>
              <w:t>1.01</w:t>
            </w:r>
          </w:p>
        </w:tc>
        <w:tc>
          <w:tcPr>
            <w:tcW w:w="1360" w:type="dxa"/>
            <w:noWrap w:val="0"/>
            <w:vAlign w:val="center"/>
          </w:tcPr>
          <w:p w14:paraId="6D432B8A">
            <w:pPr>
              <w:jc w:val="center"/>
              <w:rPr>
                <w:rFonts w:ascii="宋体" w:hAnsi="宋体"/>
                <w:sz w:val="18"/>
                <w:szCs w:val="18"/>
              </w:rPr>
            </w:pPr>
            <w:r>
              <w:rPr>
                <w:rFonts w:ascii="宋体" w:hAnsi="宋体"/>
                <w:sz w:val="18"/>
                <w:szCs w:val="18"/>
              </w:rPr>
              <w:t>26.67</w:t>
            </w:r>
          </w:p>
        </w:tc>
        <w:tc>
          <w:tcPr>
            <w:tcW w:w="1360" w:type="dxa"/>
            <w:noWrap w:val="0"/>
            <w:vAlign w:val="center"/>
          </w:tcPr>
          <w:p w14:paraId="4D562775">
            <w:pPr>
              <w:jc w:val="center"/>
              <w:rPr>
                <w:rFonts w:ascii="宋体" w:hAnsi="宋体"/>
                <w:sz w:val="18"/>
                <w:szCs w:val="18"/>
              </w:rPr>
            </w:pPr>
            <w:r>
              <w:rPr>
                <w:rFonts w:ascii="宋体" w:hAnsi="宋体"/>
                <w:sz w:val="18"/>
                <w:szCs w:val="18"/>
              </w:rPr>
              <w:t>13.66</w:t>
            </w:r>
          </w:p>
        </w:tc>
        <w:tc>
          <w:tcPr>
            <w:tcW w:w="1260" w:type="dxa"/>
            <w:noWrap w:val="0"/>
            <w:vAlign w:val="center"/>
          </w:tcPr>
          <w:p w14:paraId="397353FF">
            <w:pPr>
              <w:jc w:val="center"/>
              <w:rPr>
                <w:rFonts w:ascii="宋体" w:hAnsi="宋体"/>
                <w:sz w:val="18"/>
                <w:szCs w:val="18"/>
              </w:rPr>
            </w:pPr>
            <w:r>
              <w:rPr>
                <w:rFonts w:ascii="宋体" w:hAnsi="宋体"/>
                <w:sz w:val="18"/>
                <w:szCs w:val="18"/>
              </w:rPr>
              <w:t>1.76</w:t>
            </w:r>
          </w:p>
        </w:tc>
        <w:tc>
          <w:tcPr>
            <w:tcW w:w="1620" w:type="dxa"/>
            <w:noWrap w:val="0"/>
            <w:vAlign w:val="center"/>
          </w:tcPr>
          <w:p w14:paraId="3140E3E3">
            <w:pPr>
              <w:jc w:val="center"/>
              <w:rPr>
                <w:rFonts w:ascii="宋体" w:hAnsi="宋体"/>
                <w:sz w:val="18"/>
                <w:szCs w:val="18"/>
              </w:rPr>
            </w:pPr>
            <w:r>
              <w:rPr>
                <w:rFonts w:ascii="宋体" w:hAnsi="宋体"/>
                <w:sz w:val="18"/>
                <w:szCs w:val="18"/>
              </w:rPr>
              <w:t>26.27</w:t>
            </w:r>
          </w:p>
        </w:tc>
        <w:tc>
          <w:tcPr>
            <w:tcW w:w="800" w:type="dxa"/>
            <w:vMerge w:val="continue"/>
            <w:noWrap w:val="0"/>
            <w:vAlign w:val="center"/>
          </w:tcPr>
          <w:p w14:paraId="54B250F0">
            <w:pPr>
              <w:jc w:val="center"/>
              <w:rPr>
                <w:rFonts w:ascii="宋体" w:hAnsi="宋体"/>
                <w:sz w:val="18"/>
                <w:szCs w:val="18"/>
              </w:rPr>
            </w:pPr>
          </w:p>
        </w:tc>
      </w:tr>
      <w:tr w14:paraId="3A9B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915BAB2">
            <w:pPr>
              <w:jc w:val="center"/>
              <w:rPr>
                <w:rFonts w:ascii="宋体" w:hAnsi="宋体"/>
                <w:sz w:val="18"/>
                <w:szCs w:val="18"/>
              </w:rPr>
            </w:pPr>
          </w:p>
        </w:tc>
        <w:tc>
          <w:tcPr>
            <w:tcW w:w="624" w:type="dxa"/>
            <w:vMerge w:val="restart"/>
            <w:noWrap w:val="0"/>
            <w:vAlign w:val="center"/>
          </w:tcPr>
          <w:p w14:paraId="4E768A8B">
            <w:pPr>
              <w:jc w:val="center"/>
              <w:rPr>
                <w:rFonts w:ascii="宋体" w:hAnsi="宋体"/>
                <w:sz w:val="18"/>
                <w:szCs w:val="18"/>
              </w:rPr>
            </w:pPr>
            <w:r>
              <w:rPr>
                <w:rFonts w:ascii="宋体" w:hAnsi="宋体"/>
                <w:sz w:val="18"/>
                <w:szCs w:val="18"/>
              </w:rPr>
              <w:t>洗煤</w:t>
            </w:r>
          </w:p>
        </w:tc>
        <w:tc>
          <w:tcPr>
            <w:tcW w:w="1262" w:type="dxa"/>
            <w:noWrap w:val="0"/>
            <w:vAlign w:val="center"/>
          </w:tcPr>
          <w:p w14:paraId="37AB506C">
            <w:pPr>
              <w:jc w:val="center"/>
              <w:rPr>
                <w:rFonts w:ascii="宋体" w:hAnsi="宋体"/>
                <w:sz w:val="18"/>
                <w:szCs w:val="18"/>
              </w:rPr>
            </w:pPr>
            <w:r>
              <w:rPr>
                <w:rFonts w:ascii="宋体" w:hAnsi="宋体"/>
                <w:sz w:val="18"/>
                <w:szCs w:val="18"/>
              </w:rPr>
              <w:t>0.34～1.57</w:t>
            </w:r>
          </w:p>
        </w:tc>
        <w:tc>
          <w:tcPr>
            <w:tcW w:w="1360" w:type="dxa"/>
            <w:noWrap w:val="0"/>
            <w:vAlign w:val="center"/>
          </w:tcPr>
          <w:p w14:paraId="26D669B3">
            <w:pPr>
              <w:jc w:val="center"/>
              <w:rPr>
                <w:rFonts w:ascii="宋体" w:hAnsi="宋体"/>
                <w:sz w:val="18"/>
                <w:szCs w:val="18"/>
              </w:rPr>
            </w:pPr>
            <w:r>
              <w:rPr>
                <w:rFonts w:ascii="宋体" w:hAnsi="宋体"/>
                <w:sz w:val="18"/>
                <w:szCs w:val="18"/>
              </w:rPr>
              <w:t>5.95～17.48</w:t>
            </w:r>
          </w:p>
        </w:tc>
        <w:tc>
          <w:tcPr>
            <w:tcW w:w="1360" w:type="dxa"/>
            <w:noWrap w:val="0"/>
            <w:vAlign w:val="center"/>
          </w:tcPr>
          <w:p w14:paraId="03DA5E82">
            <w:pPr>
              <w:jc w:val="center"/>
              <w:rPr>
                <w:rFonts w:ascii="宋体" w:hAnsi="宋体"/>
                <w:sz w:val="18"/>
                <w:szCs w:val="18"/>
              </w:rPr>
            </w:pPr>
            <w:r>
              <w:rPr>
                <w:rFonts w:ascii="宋体" w:hAnsi="宋体"/>
                <w:sz w:val="18"/>
                <w:szCs w:val="18"/>
              </w:rPr>
              <w:t>10.87～14.19</w:t>
            </w:r>
          </w:p>
        </w:tc>
        <w:tc>
          <w:tcPr>
            <w:tcW w:w="1260" w:type="dxa"/>
            <w:noWrap w:val="0"/>
            <w:vAlign w:val="center"/>
          </w:tcPr>
          <w:p w14:paraId="7136BCB1">
            <w:pPr>
              <w:jc w:val="center"/>
              <w:rPr>
                <w:rFonts w:ascii="宋体" w:hAnsi="宋体"/>
                <w:sz w:val="18"/>
                <w:szCs w:val="18"/>
              </w:rPr>
            </w:pPr>
            <w:r>
              <w:rPr>
                <w:rFonts w:ascii="宋体" w:hAnsi="宋体"/>
                <w:sz w:val="18"/>
                <w:szCs w:val="18"/>
              </w:rPr>
              <w:t>0.74～1.67</w:t>
            </w:r>
          </w:p>
        </w:tc>
        <w:tc>
          <w:tcPr>
            <w:tcW w:w="1620" w:type="dxa"/>
            <w:noWrap w:val="0"/>
            <w:vAlign w:val="center"/>
          </w:tcPr>
          <w:p w14:paraId="599B3730">
            <w:pPr>
              <w:jc w:val="center"/>
              <w:rPr>
                <w:rFonts w:ascii="宋体" w:hAnsi="宋体"/>
                <w:sz w:val="18"/>
                <w:szCs w:val="18"/>
              </w:rPr>
            </w:pPr>
            <w:r>
              <w:rPr>
                <w:rFonts w:ascii="宋体" w:hAnsi="宋体"/>
                <w:sz w:val="18"/>
                <w:szCs w:val="18"/>
              </w:rPr>
              <w:t>31.22～33.36</w:t>
            </w:r>
          </w:p>
        </w:tc>
        <w:tc>
          <w:tcPr>
            <w:tcW w:w="800" w:type="dxa"/>
            <w:vMerge w:val="continue"/>
            <w:noWrap w:val="0"/>
            <w:vAlign w:val="center"/>
          </w:tcPr>
          <w:p w14:paraId="723CFCD4">
            <w:pPr>
              <w:jc w:val="center"/>
              <w:rPr>
                <w:rFonts w:ascii="宋体" w:hAnsi="宋体"/>
                <w:sz w:val="18"/>
                <w:szCs w:val="18"/>
              </w:rPr>
            </w:pPr>
          </w:p>
        </w:tc>
      </w:tr>
      <w:tr w14:paraId="06E8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776D5056">
            <w:pPr>
              <w:jc w:val="center"/>
              <w:rPr>
                <w:rFonts w:ascii="宋体" w:hAnsi="宋体"/>
                <w:sz w:val="18"/>
                <w:szCs w:val="18"/>
              </w:rPr>
            </w:pPr>
          </w:p>
        </w:tc>
        <w:tc>
          <w:tcPr>
            <w:tcW w:w="624" w:type="dxa"/>
            <w:vMerge w:val="continue"/>
            <w:noWrap w:val="0"/>
            <w:vAlign w:val="center"/>
          </w:tcPr>
          <w:p w14:paraId="456896C8">
            <w:pPr>
              <w:jc w:val="center"/>
              <w:rPr>
                <w:rFonts w:ascii="宋体" w:hAnsi="宋体"/>
                <w:sz w:val="18"/>
                <w:szCs w:val="18"/>
              </w:rPr>
            </w:pPr>
          </w:p>
        </w:tc>
        <w:tc>
          <w:tcPr>
            <w:tcW w:w="1262" w:type="dxa"/>
            <w:noWrap w:val="0"/>
            <w:vAlign w:val="center"/>
          </w:tcPr>
          <w:p w14:paraId="0F53529C">
            <w:pPr>
              <w:jc w:val="center"/>
              <w:rPr>
                <w:rFonts w:ascii="宋体" w:hAnsi="宋体"/>
                <w:sz w:val="18"/>
                <w:szCs w:val="18"/>
              </w:rPr>
            </w:pPr>
            <w:r>
              <w:rPr>
                <w:rFonts w:ascii="宋体" w:hAnsi="宋体"/>
                <w:sz w:val="18"/>
                <w:szCs w:val="18"/>
              </w:rPr>
              <w:t>1.03</w:t>
            </w:r>
          </w:p>
        </w:tc>
        <w:tc>
          <w:tcPr>
            <w:tcW w:w="1360" w:type="dxa"/>
            <w:noWrap w:val="0"/>
            <w:vAlign w:val="center"/>
          </w:tcPr>
          <w:p w14:paraId="416D8BD1">
            <w:pPr>
              <w:jc w:val="center"/>
              <w:rPr>
                <w:rFonts w:ascii="宋体" w:hAnsi="宋体"/>
                <w:sz w:val="18"/>
                <w:szCs w:val="18"/>
              </w:rPr>
            </w:pPr>
            <w:r>
              <w:rPr>
                <w:rFonts w:ascii="宋体" w:hAnsi="宋体"/>
                <w:sz w:val="18"/>
                <w:szCs w:val="18"/>
              </w:rPr>
              <w:t>10.58</w:t>
            </w:r>
          </w:p>
        </w:tc>
        <w:tc>
          <w:tcPr>
            <w:tcW w:w="1360" w:type="dxa"/>
            <w:noWrap w:val="0"/>
            <w:vAlign w:val="center"/>
          </w:tcPr>
          <w:p w14:paraId="681A9C27">
            <w:pPr>
              <w:jc w:val="center"/>
              <w:rPr>
                <w:rFonts w:ascii="宋体" w:hAnsi="宋体"/>
                <w:sz w:val="18"/>
                <w:szCs w:val="18"/>
              </w:rPr>
            </w:pPr>
            <w:r>
              <w:rPr>
                <w:rFonts w:ascii="宋体" w:hAnsi="宋体"/>
                <w:sz w:val="18"/>
                <w:szCs w:val="18"/>
              </w:rPr>
              <w:t>12.55</w:t>
            </w:r>
          </w:p>
        </w:tc>
        <w:tc>
          <w:tcPr>
            <w:tcW w:w="1260" w:type="dxa"/>
            <w:noWrap w:val="0"/>
            <w:vAlign w:val="center"/>
          </w:tcPr>
          <w:p w14:paraId="09C938E3">
            <w:pPr>
              <w:jc w:val="center"/>
              <w:rPr>
                <w:rFonts w:ascii="宋体" w:hAnsi="宋体"/>
                <w:sz w:val="18"/>
                <w:szCs w:val="18"/>
              </w:rPr>
            </w:pPr>
            <w:r>
              <w:rPr>
                <w:rFonts w:ascii="宋体" w:hAnsi="宋体"/>
                <w:sz w:val="18"/>
                <w:szCs w:val="18"/>
              </w:rPr>
              <w:t>1.18</w:t>
            </w:r>
          </w:p>
        </w:tc>
        <w:tc>
          <w:tcPr>
            <w:tcW w:w="1620" w:type="dxa"/>
            <w:noWrap w:val="0"/>
            <w:vAlign w:val="center"/>
          </w:tcPr>
          <w:p w14:paraId="672C6E74">
            <w:pPr>
              <w:jc w:val="center"/>
              <w:rPr>
                <w:rFonts w:ascii="宋体" w:hAnsi="宋体"/>
                <w:sz w:val="18"/>
                <w:szCs w:val="18"/>
              </w:rPr>
            </w:pPr>
            <w:r>
              <w:rPr>
                <w:rFonts w:ascii="宋体" w:hAnsi="宋体"/>
                <w:sz w:val="18"/>
                <w:szCs w:val="18"/>
              </w:rPr>
              <w:t>32.46</w:t>
            </w:r>
          </w:p>
        </w:tc>
        <w:tc>
          <w:tcPr>
            <w:tcW w:w="800" w:type="dxa"/>
            <w:vMerge w:val="continue"/>
            <w:noWrap w:val="0"/>
            <w:vAlign w:val="center"/>
          </w:tcPr>
          <w:p w14:paraId="16CEE2EF">
            <w:pPr>
              <w:jc w:val="center"/>
              <w:rPr>
                <w:rFonts w:ascii="宋体" w:hAnsi="宋体"/>
                <w:sz w:val="18"/>
                <w:szCs w:val="18"/>
              </w:rPr>
            </w:pPr>
          </w:p>
        </w:tc>
      </w:tr>
      <w:tr w14:paraId="67A5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6F0025A6">
            <w:pPr>
              <w:jc w:val="center"/>
              <w:rPr>
                <w:rFonts w:ascii="宋体" w:hAnsi="宋体"/>
                <w:sz w:val="18"/>
                <w:szCs w:val="18"/>
              </w:rPr>
            </w:pPr>
            <w:r>
              <w:rPr>
                <w:rFonts w:ascii="宋体" w:hAnsi="宋体"/>
                <w:sz w:val="18"/>
                <w:szCs w:val="18"/>
              </w:rPr>
              <w:t>K10</w:t>
            </w:r>
          </w:p>
        </w:tc>
        <w:tc>
          <w:tcPr>
            <w:tcW w:w="624" w:type="dxa"/>
            <w:vMerge w:val="restart"/>
            <w:noWrap w:val="0"/>
            <w:vAlign w:val="center"/>
          </w:tcPr>
          <w:p w14:paraId="003806A7">
            <w:pPr>
              <w:jc w:val="center"/>
              <w:rPr>
                <w:rFonts w:ascii="宋体" w:hAnsi="宋体"/>
                <w:sz w:val="18"/>
                <w:szCs w:val="18"/>
              </w:rPr>
            </w:pPr>
            <w:r>
              <w:rPr>
                <w:rFonts w:ascii="宋体" w:hAnsi="宋体"/>
                <w:sz w:val="18"/>
                <w:szCs w:val="18"/>
              </w:rPr>
              <w:t>原煤</w:t>
            </w:r>
          </w:p>
        </w:tc>
        <w:tc>
          <w:tcPr>
            <w:tcW w:w="1262" w:type="dxa"/>
            <w:noWrap w:val="0"/>
            <w:vAlign w:val="center"/>
          </w:tcPr>
          <w:p w14:paraId="2FE34D53">
            <w:pPr>
              <w:jc w:val="center"/>
              <w:rPr>
                <w:rFonts w:ascii="宋体" w:hAnsi="宋体"/>
                <w:sz w:val="18"/>
                <w:szCs w:val="18"/>
              </w:rPr>
            </w:pPr>
            <w:r>
              <w:rPr>
                <w:rFonts w:ascii="宋体" w:hAnsi="宋体"/>
                <w:sz w:val="18"/>
                <w:szCs w:val="18"/>
              </w:rPr>
              <w:t>0.18～1.93</w:t>
            </w:r>
          </w:p>
        </w:tc>
        <w:tc>
          <w:tcPr>
            <w:tcW w:w="1360" w:type="dxa"/>
            <w:noWrap w:val="0"/>
            <w:vAlign w:val="center"/>
          </w:tcPr>
          <w:p w14:paraId="0697B04B">
            <w:pPr>
              <w:jc w:val="center"/>
              <w:rPr>
                <w:rFonts w:ascii="宋体" w:hAnsi="宋体"/>
                <w:sz w:val="18"/>
                <w:szCs w:val="18"/>
              </w:rPr>
            </w:pPr>
            <w:r>
              <w:rPr>
                <w:rFonts w:ascii="宋体" w:hAnsi="宋体"/>
                <w:sz w:val="18"/>
                <w:szCs w:val="18"/>
              </w:rPr>
              <w:t>18.03～33.64</w:t>
            </w:r>
          </w:p>
        </w:tc>
        <w:tc>
          <w:tcPr>
            <w:tcW w:w="1360" w:type="dxa"/>
            <w:noWrap w:val="0"/>
            <w:vAlign w:val="center"/>
          </w:tcPr>
          <w:p w14:paraId="586B0742">
            <w:pPr>
              <w:jc w:val="center"/>
              <w:rPr>
                <w:rFonts w:ascii="宋体" w:hAnsi="宋体"/>
                <w:sz w:val="18"/>
                <w:szCs w:val="18"/>
              </w:rPr>
            </w:pPr>
            <w:r>
              <w:rPr>
                <w:rFonts w:ascii="宋体" w:hAnsi="宋体"/>
                <w:sz w:val="18"/>
                <w:szCs w:val="18"/>
              </w:rPr>
              <w:t>10.67～16.45</w:t>
            </w:r>
          </w:p>
        </w:tc>
        <w:tc>
          <w:tcPr>
            <w:tcW w:w="1260" w:type="dxa"/>
            <w:noWrap w:val="0"/>
            <w:vAlign w:val="center"/>
          </w:tcPr>
          <w:p w14:paraId="56DD5C26">
            <w:pPr>
              <w:jc w:val="center"/>
              <w:rPr>
                <w:rFonts w:ascii="宋体" w:hAnsi="宋体"/>
                <w:sz w:val="18"/>
                <w:szCs w:val="18"/>
              </w:rPr>
            </w:pPr>
            <w:r>
              <w:rPr>
                <w:rFonts w:ascii="宋体" w:hAnsi="宋体"/>
                <w:sz w:val="18"/>
                <w:szCs w:val="18"/>
              </w:rPr>
              <w:t>0.15～4.93</w:t>
            </w:r>
          </w:p>
        </w:tc>
        <w:tc>
          <w:tcPr>
            <w:tcW w:w="1620" w:type="dxa"/>
            <w:noWrap w:val="0"/>
            <w:vAlign w:val="center"/>
          </w:tcPr>
          <w:p w14:paraId="3B956075">
            <w:pPr>
              <w:jc w:val="center"/>
              <w:rPr>
                <w:rFonts w:ascii="宋体" w:hAnsi="宋体"/>
                <w:sz w:val="18"/>
                <w:szCs w:val="18"/>
              </w:rPr>
            </w:pPr>
            <w:r>
              <w:rPr>
                <w:rFonts w:ascii="宋体" w:hAnsi="宋体"/>
                <w:sz w:val="18"/>
                <w:szCs w:val="18"/>
              </w:rPr>
              <w:t>22.75～29.26</w:t>
            </w:r>
          </w:p>
        </w:tc>
        <w:tc>
          <w:tcPr>
            <w:tcW w:w="800" w:type="dxa"/>
            <w:vMerge w:val="restart"/>
            <w:noWrap w:val="0"/>
            <w:vAlign w:val="center"/>
          </w:tcPr>
          <w:p w14:paraId="4A3CFBC3">
            <w:pPr>
              <w:jc w:val="center"/>
              <w:rPr>
                <w:rFonts w:ascii="宋体" w:hAnsi="宋体"/>
                <w:sz w:val="18"/>
                <w:szCs w:val="18"/>
              </w:rPr>
            </w:pPr>
            <w:r>
              <w:rPr>
                <w:rFonts w:hint="eastAsia" w:ascii="宋体" w:hAnsi="宋体"/>
                <w:sz w:val="18"/>
                <w:szCs w:val="18"/>
              </w:rPr>
              <w:t>贫煤</w:t>
            </w:r>
          </w:p>
        </w:tc>
      </w:tr>
      <w:tr w14:paraId="711E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223BC05F">
            <w:pPr>
              <w:jc w:val="center"/>
              <w:rPr>
                <w:rFonts w:ascii="宋体" w:hAnsi="宋体"/>
                <w:sz w:val="18"/>
                <w:szCs w:val="18"/>
              </w:rPr>
            </w:pPr>
          </w:p>
        </w:tc>
        <w:tc>
          <w:tcPr>
            <w:tcW w:w="624" w:type="dxa"/>
            <w:vMerge w:val="continue"/>
            <w:noWrap w:val="0"/>
            <w:vAlign w:val="center"/>
          </w:tcPr>
          <w:p w14:paraId="255087F5">
            <w:pPr>
              <w:jc w:val="center"/>
              <w:rPr>
                <w:rFonts w:ascii="宋体" w:hAnsi="宋体"/>
                <w:sz w:val="18"/>
                <w:szCs w:val="18"/>
              </w:rPr>
            </w:pPr>
          </w:p>
        </w:tc>
        <w:tc>
          <w:tcPr>
            <w:tcW w:w="1262" w:type="dxa"/>
            <w:noWrap w:val="0"/>
            <w:vAlign w:val="center"/>
          </w:tcPr>
          <w:p w14:paraId="6F3B02F7">
            <w:pPr>
              <w:jc w:val="center"/>
              <w:rPr>
                <w:rFonts w:ascii="宋体" w:hAnsi="宋体"/>
                <w:sz w:val="18"/>
                <w:szCs w:val="18"/>
              </w:rPr>
            </w:pPr>
            <w:r>
              <w:rPr>
                <w:rFonts w:ascii="宋体" w:hAnsi="宋体"/>
                <w:sz w:val="18"/>
                <w:szCs w:val="18"/>
              </w:rPr>
              <w:t>1.10</w:t>
            </w:r>
          </w:p>
        </w:tc>
        <w:tc>
          <w:tcPr>
            <w:tcW w:w="1360" w:type="dxa"/>
            <w:noWrap w:val="0"/>
            <w:vAlign w:val="center"/>
          </w:tcPr>
          <w:p w14:paraId="291B8FDC">
            <w:pPr>
              <w:jc w:val="center"/>
              <w:rPr>
                <w:rFonts w:ascii="宋体" w:hAnsi="宋体"/>
                <w:sz w:val="18"/>
                <w:szCs w:val="18"/>
              </w:rPr>
            </w:pPr>
            <w:r>
              <w:rPr>
                <w:rFonts w:ascii="宋体" w:hAnsi="宋体"/>
                <w:sz w:val="18"/>
                <w:szCs w:val="18"/>
              </w:rPr>
              <w:t>23.73</w:t>
            </w:r>
          </w:p>
        </w:tc>
        <w:tc>
          <w:tcPr>
            <w:tcW w:w="1360" w:type="dxa"/>
            <w:noWrap w:val="0"/>
            <w:vAlign w:val="center"/>
          </w:tcPr>
          <w:p w14:paraId="36970391">
            <w:pPr>
              <w:jc w:val="center"/>
              <w:rPr>
                <w:rFonts w:ascii="宋体" w:hAnsi="宋体"/>
                <w:sz w:val="18"/>
                <w:szCs w:val="18"/>
              </w:rPr>
            </w:pPr>
            <w:r>
              <w:rPr>
                <w:rFonts w:ascii="宋体" w:hAnsi="宋体"/>
                <w:sz w:val="18"/>
                <w:szCs w:val="18"/>
              </w:rPr>
              <w:t>13.65</w:t>
            </w:r>
          </w:p>
        </w:tc>
        <w:tc>
          <w:tcPr>
            <w:tcW w:w="1260" w:type="dxa"/>
            <w:noWrap w:val="0"/>
            <w:vAlign w:val="center"/>
          </w:tcPr>
          <w:p w14:paraId="31FE4B7C">
            <w:pPr>
              <w:jc w:val="center"/>
              <w:rPr>
                <w:rFonts w:ascii="宋体" w:hAnsi="宋体"/>
                <w:sz w:val="18"/>
                <w:szCs w:val="18"/>
              </w:rPr>
            </w:pPr>
            <w:r>
              <w:rPr>
                <w:rFonts w:ascii="宋体" w:hAnsi="宋体"/>
                <w:sz w:val="18"/>
                <w:szCs w:val="18"/>
              </w:rPr>
              <w:t>2.81</w:t>
            </w:r>
          </w:p>
        </w:tc>
        <w:tc>
          <w:tcPr>
            <w:tcW w:w="1620" w:type="dxa"/>
            <w:noWrap w:val="0"/>
            <w:vAlign w:val="center"/>
          </w:tcPr>
          <w:p w14:paraId="37EF6581">
            <w:pPr>
              <w:jc w:val="center"/>
              <w:rPr>
                <w:rFonts w:ascii="宋体" w:hAnsi="宋体"/>
                <w:sz w:val="18"/>
                <w:szCs w:val="18"/>
              </w:rPr>
            </w:pPr>
            <w:r>
              <w:rPr>
                <w:rFonts w:ascii="宋体" w:hAnsi="宋体"/>
                <w:sz w:val="18"/>
                <w:szCs w:val="18"/>
              </w:rPr>
              <w:t>26.67</w:t>
            </w:r>
          </w:p>
        </w:tc>
        <w:tc>
          <w:tcPr>
            <w:tcW w:w="800" w:type="dxa"/>
            <w:vMerge w:val="continue"/>
            <w:noWrap w:val="0"/>
            <w:vAlign w:val="center"/>
          </w:tcPr>
          <w:p w14:paraId="50B1E19E">
            <w:pPr>
              <w:jc w:val="center"/>
              <w:rPr>
                <w:rFonts w:ascii="宋体" w:hAnsi="宋体"/>
                <w:sz w:val="18"/>
                <w:szCs w:val="18"/>
              </w:rPr>
            </w:pPr>
          </w:p>
        </w:tc>
      </w:tr>
      <w:tr w14:paraId="489E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080AC8E7">
            <w:pPr>
              <w:jc w:val="center"/>
              <w:rPr>
                <w:rFonts w:ascii="宋体" w:hAnsi="宋体"/>
                <w:sz w:val="18"/>
                <w:szCs w:val="18"/>
              </w:rPr>
            </w:pPr>
          </w:p>
        </w:tc>
        <w:tc>
          <w:tcPr>
            <w:tcW w:w="624" w:type="dxa"/>
            <w:vMerge w:val="restart"/>
            <w:noWrap w:val="0"/>
            <w:vAlign w:val="center"/>
          </w:tcPr>
          <w:p w14:paraId="1325A186">
            <w:pPr>
              <w:jc w:val="center"/>
              <w:rPr>
                <w:rFonts w:ascii="宋体" w:hAnsi="宋体"/>
                <w:sz w:val="18"/>
                <w:szCs w:val="18"/>
              </w:rPr>
            </w:pPr>
            <w:r>
              <w:rPr>
                <w:rFonts w:ascii="宋体" w:hAnsi="宋体"/>
                <w:sz w:val="18"/>
                <w:szCs w:val="18"/>
              </w:rPr>
              <w:t>洗煤</w:t>
            </w:r>
          </w:p>
        </w:tc>
        <w:tc>
          <w:tcPr>
            <w:tcW w:w="1262" w:type="dxa"/>
            <w:noWrap w:val="0"/>
            <w:vAlign w:val="center"/>
          </w:tcPr>
          <w:p w14:paraId="5BBF044B">
            <w:pPr>
              <w:jc w:val="center"/>
              <w:rPr>
                <w:rFonts w:ascii="宋体" w:hAnsi="宋体"/>
                <w:sz w:val="18"/>
                <w:szCs w:val="18"/>
              </w:rPr>
            </w:pPr>
            <w:r>
              <w:rPr>
                <w:rFonts w:ascii="宋体" w:hAnsi="宋体"/>
                <w:sz w:val="18"/>
                <w:szCs w:val="18"/>
              </w:rPr>
              <w:t>0.27～1.89</w:t>
            </w:r>
          </w:p>
        </w:tc>
        <w:tc>
          <w:tcPr>
            <w:tcW w:w="1360" w:type="dxa"/>
            <w:noWrap w:val="0"/>
            <w:vAlign w:val="center"/>
          </w:tcPr>
          <w:p w14:paraId="25EE1A6F">
            <w:pPr>
              <w:jc w:val="center"/>
              <w:rPr>
                <w:rFonts w:ascii="宋体" w:hAnsi="宋体"/>
                <w:sz w:val="18"/>
                <w:szCs w:val="18"/>
              </w:rPr>
            </w:pPr>
            <w:r>
              <w:rPr>
                <w:rFonts w:ascii="宋体" w:hAnsi="宋体"/>
                <w:sz w:val="18"/>
                <w:szCs w:val="18"/>
              </w:rPr>
              <w:t>5.99～15.21</w:t>
            </w:r>
          </w:p>
        </w:tc>
        <w:tc>
          <w:tcPr>
            <w:tcW w:w="1360" w:type="dxa"/>
            <w:noWrap w:val="0"/>
            <w:vAlign w:val="center"/>
          </w:tcPr>
          <w:p w14:paraId="4826F471">
            <w:pPr>
              <w:jc w:val="center"/>
              <w:rPr>
                <w:rFonts w:ascii="宋体" w:hAnsi="宋体"/>
                <w:sz w:val="18"/>
                <w:szCs w:val="18"/>
              </w:rPr>
            </w:pPr>
            <w:r>
              <w:rPr>
                <w:rFonts w:ascii="宋体" w:hAnsi="宋体"/>
                <w:sz w:val="18"/>
                <w:szCs w:val="18"/>
              </w:rPr>
              <w:t>10.49～13.47</w:t>
            </w:r>
          </w:p>
        </w:tc>
        <w:tc>
          <w:tcPr>
            <w:tcW w:w="1260" w:type="dxa"/>
            <w:noWrap w:val="0"/>
            <w:vAlign w:val="center"/>
          </w:tcPr>
          <w:p w14:paraId="066A2CF8">
            <w:pPr>
              <w:jc w:val="center"/>
              <w:rPr>
                <w:rFonts w:ascii="宋体" w:hAnsi="宋体"/>
                <w:sz w:val="18"/>
                <w:szCs w:val="18"/>
              </w:rPr>
            </w:pPr>
            <w:r>
              <w:rPr>
                <w:rFonts w:ascii="宋体" w:hAnsi="宋体"/>
                <w:sz w:val="18"/>
                <w:szCs w:val="18"/>
              </w:rPr>
              <w:t>0.54～6.88</w:t>
            </w:r>
          </w:p>
        </w:tc>
        <w:tc>
          <w:tcPr>
            <w:tcW w:w="1620" w:type="dxa"/>
            <w:noWrap w:val="0"/>
            <w:vAlign w:val="center"/>
          </w:tcPr>
          <w:p w14:paraId="0E22DDC6">
            <w:pPr>
              <w:jc w:val="center"/>
              <w:rPr>
                <w:rFonts w:ascii="宋体" w:hAnsi="宋体"/>
                <w:sz w:val="18"/>
                <w:szCs w:val="18"/>
              </w:rPr>
            </w:pPr>
            <w:r>
              <w:rPr>
                <w:rFonts w:ascii="宋体" w:hAnsi="宋体"/>
                <w:sz w:val="18"/>
                <w:szCs w:val="18"/>
              </w:rPr>
              <w:t>30.52～33.82</w:t>
            </w:r>
          </w:p>
        </w:tc>
        <w:tc>
          <w:tcPr>
            <w:tcW w:w="800" w:type="dxa"/>
            <w:vMerge w:val="continue"/>
            <w:noWrap w:val="0"/>
            <w:vAlign w:val="center"/>
          </w:tcPr>
          <w:p w14:paraId="130F10A8">
            <w:pPr>
              <w:jc w:val="center"/>
              <w:rPr>
                <w:rFonts w:hint="eastAsia" w:ascii="宋体" w:hAnsi="宋体"/>
                <w:sz w:val="18"/>
                <w:szCs w:val="18"/>
              </w:rPr>
            </w:pPr>
          </w:p>
        </w:tc>
      </w:tr>
      <w:tr w14:paraId="4F5B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66CDCC7">
            <w:pPr>
              <w:jc w:val="center"/>
              <w:rPr>
                <w:rFonts w:ascii="宋体" w:hAnsi="宋体"/>
                <w:sz w:val="18"/>
                <w:szCs w:val="18"/>
              </w:rPr>
            </w:pPr>
          </w:p>
        </w:tc>
        <w:tc>
          <w:tcPr>
            <w:tcW w:w="624" w:type="dxa"/>
            <w:vMerge w:val="continue"/>
            <w:noWrap w:val="0"/>
            <w:vAlign w:val="center"/>
          </w:tcPr>
          <w:p w14:paraId="114CD8BD">
            <w:pPr>
              <w:jc w:val="center"/>
              <w:rPr>
                <w:rFonts w:ascii="宋体" w:hAnsi="宋体"/>
                <w:sz w:val="18"/>
                <w:szCs w:val="18"/>
              </w:rPr>
            </w:pPr>
          </w:p>
        </w:tc>
        <w:tc>
          <w:tcPr>
            <w:tcW w:w="1262" w:type="dxa"/>
            <w:noWrap w:val="0"/>
            <w:vAlign w:val="center"/>
          </w:tcPr>
          <w:p w14:paraId="22061F0E">
            <w:pPr>
              <w:jc w:val="center"/>
              <w:rPr>
                <w:rFonts w:ascii="宋体" w:hAnsi="宋体"/>
                <w:sz w:val="18"/>
                <w:szCs w:val="18"/>
              </w:rPr>
            </w:pPr>
            <w:r>
              <w:rPr>
                <w:rFonts w:ascii="宋体" w:hAnsi="宋体"/>
                <w:sz w:val="18"/>
                <w:szCs w:val="18"/>
              </w:rPr>
              <w:t>1.02</w:t>
            </w:r>
          </w:p>
        </w:tc>
        <w:tc>
          <w:tcPr>
            <w:tcW w:w="1360" w:type="dxa"/>
            <w:noWrap w:val="0"/>
            <w:vAlign w:val="center"/>
          </w:tcPr>
          <w:p w14:paraId="5C67D633">
            <w:pPr>
              <w:jc w:val="center"/>
              <w:rPr>
                <w:rFonts w:ascii="宋体" w:hAnsi="宋体"/>
                <w:sz w:val="18"/>
                <w:szCs w:val="18"/>
              </w:rPr>
            </w:pPr>
            <w:r>
              <w:rPr>
                <w:rFonts w:ascii="宋体" w:hAnsi="宋体"/>
                <w:sz w:val="18"/>
                <w:szCs w:val="18"/>
              </w:rPr>
              <w:t>9.03</w:t>
            </w:r>
          </w:p>
        </w:tc>
        <w:tc>
          <w:tcPr>
            <w:tcW w:w="1360" w:type="dxa"/>
            <w:noWrap w:val="0"/>
            <w:vAlign w:val="center"/>
          </w:tcPr>
          <w:p w14:paraId="3CC03063">
            <w:pPr>
              <w:jc w:val="center"/>
              <w:rPr>
                <w:rFonts w:ascii="宋体" w:hAnsi="宋体"/>
                <w:sz w:val="18"/>
                <w:szCs w:val="18"/>
              </w:rPr>
            </w:pPr>
            <w:r>
              <w:rPr>
                <w:rFonts w:ascii="宋体" w:hAnsi="宋体"/>
                <w:sz w:val="18"/>
                <w:szCs w:val="18"/>
              </w:rPr>
              <w:t>12.31</w:t>
            </w:r>
          </w:p>
        </w:tc>
        <w:tc>
          <w:tcPr>
            <w:tcW w:w="1260" w:type="dxa"/>
            <w:noWrap w:val="0"/>
            <w:vAlign w:val="center"/>
          </w:tcPr>
          <w:p w14:paraId="70E70E7A">
            <w:pPr>
              <w:jc w:val="center"/>
              <w:rPr>
                <w:rFonts w:ascii="宋体" w:hAnsi="宋体"/>
                <w:sz w:val="18"/>
                <w:szCs w:val="18"/>
              </w:rPr>
            </w:pPr>
            <w:r>
              <w:rPr>
                <w:rFonts w:ascii="宋体" w:hAnsi="宋体"/>
                <w:sz w:val="18"/>
                <w:szCs w:val="18"/>
              </w:rPr>
              <w:t>1.13</w:t>
            </w:r>
          </w:p>
        </w:tc>
        <w:tc>
          <w:tcPr>
            <w:tcW w:w="1620" w:type="dxa"/>
            <w:noWrap w:val="0"/>
            <w:vAlign w:val="center"/>
          </w:tcPr>
          <w:p w14:paraId="5D8EBA66">
            <w:pPr>
              <w:jc w:val="center"/>
              <w:rPr>
                <w:rFonts w:ascii="宋体" w:hAnsi="宋体"/>
                <w:sz w:val="18"/>
                <w:szCs w:val="18"/>
              </w:rPr>
            </w:pPr>
            <w:r>
              <w:rPr>
                <w:rFonts w:ascii="宋体" w:hAnsi="宋体"/>
                <w:sz w:val="18"/>
                <w:szCs w:val="18"/>
              </w:rPr>
              <w:t>32.25</w:t>
            </w:r>
          </w:p>
        </w:tc>
        <w:tc>
          <w:tcPr>
            <w:tcW w:w="800" w:type="dxa"/>
            <w:vMerge w:val="continue"/>
            <w:noWrap w:val="0"/>
            <w:vAlign w:val="center"/>
          </w:tcPr>
          <w:p w14:paraId="0218A97C">
            <w:pPr>
              <w:jc w:val="center"/>
              <w:rPr>
                <w:rFonts w:ascii="宋体" w:hAnsi="宋体"/>
                <w:sz w:val="18"/>
                <w:szCs w:val="18"/>
              </w:rPr>
            </w:pPr>
          </w:p>
        </w:tc>
      </w:tr>
      <w:tr w14:paraId="7E05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27B18684">
            <w:pPr>
              <w:jc w:val="center"/>
              <w:rPr>
                <w:rFonts w:ascii="宋体" w:hAnsi="宋体"/>
                <w:sz w:val="18"/>
                <w:szCs w:val="18"/>
              </w:rPr>
            </w:pPr>
            <w:r>
              <w:rPr>
                <w:rFonts w:ascii="宋体" w:hAnsi="宋体"/>
                <w:sz w:val="18"/>
                <w:szCs w:val="18"/>
              </w:rPr>
              <w:t>K13</w:t>
            </w:r>
          </w:p>
        </w:tc>
        <w:tc>
          <w:tcPr>
            <w:tcW w:w="624" w:type="dxa"/>
            <w:vMerge w:val="restart"/>
            <w:noWrap w:val="0"/>
            <w:vAlign w:val="center"/>
          </w:tcPr>
          <w:p w14:paraId="74E3E338">
            <w:pPr>
              <w:jc w:val="center"/>
              <w:rPr>
                <w:rFonts w:ascii="宋体" w:hAnsi="宋体"/>
                <w:sz w:val="18"/>
                <w:szCs w:val="18"/>
              </w:rPr>
            </w:pPr>
            <w:r>
              <w:rPr>
                <w:rFonts w:ascii="宋体" w:hAnsi="宋体"/>
                <w:sz w:val="18"/>
                <w:szCs w:val="18"/>
              </w:rPr>
              <w:t>原煤</w:t>
            </w:r>
          </w:p>
        </w:tc>
        <w:tc>
          <w:tcPr>
            <w:tcW w:w="1262" w:type="dxa"/>
            <w:noWrap w:val="0"/>
            <w:vAlign w:val="center"/>
          </w:tcPr>
          <w:p w14:paraId="11B39161">
            <w:pPr>
              <w:jc w:val="center"/>
              <w:rPr>
                <w:rFonts w:ascii="宋体" w:hAnsi="宋体"/>
                <w:sz w:val="18"/>
                <w:szCs w:val="18"/>
              </w:rPr>
            </w:pPr>
            <w:r>
              <w:rPr>
                <w:rFonts w:ascii="宋体" w:hAnsi="宋体"/>
                <w:sz w:val="18"/>
                <w:szCs w:val="18"/>
              </w:rPr>
              <w:t>0.53～1.45</w:t>
            </w:r>
          </w:p>
        </w:tc>
        <w:tc>
          <w:tcPr>
            <w:tcW w:w="1360" w:type="dxa"/>
            <w:noWrap w:val="0"/>
            <w:vAlign w:val="center"/>
          </w:tcPr>
          <w:p w14:paraId="19BB9013">
            <w:pPr>
              <w:jc w:val="center"/>
              <w:rPr>
                <w:rFonts w:ascii="宋体" w:hAnsi="宋体"/>
                <w:sz w:val="18"/>
                <w:szCs w:val="18"/>
              </w:rPr>
            </w:pPr>
            <w:r>
              <w:rPr>
                <w:rFonts w:ascii="宋体" w:hAnsi="宋体"/>
                <w:sz w:val="18"/>
                <w:szCs w:val="18"/>
              </w:rPr>
              <w:t>7.48～28.87</w:t>
            </w:r>
          </w:p>
        </w:tc>
        <w:tc>
          <w:tcPr>
            <w:tcW w:w="1360" w:type="dxa"/>
            <w:noWrap w:val="0"/>
            <w:vAlign w:val="center"/>
          </w:tcPr>
          <w:p w14:paraId="1621DC58">
            <w:pPr>
              <w:jc w:val="center"/>
              <w:rPr>
                <w:rFonts w:ascii="宋体" w:hAnsi="宋体"/>
                <w:sz w:val="18"/>
                <w:szCs w:val="18"/>
              </w:rPr>
            </w:pPr>
            <w:r>
              <w:rPr>
                <w:rFonts w:ascii="宋体" w:hAnsi="宋体"/>
                <w:sz w:val="18"/>
                <w:szCs w:val="18"/>
              </w:rPr>
              <w:t>11.01～15.25</w:t>
            </w:r>
          </w:p>
        </w:tc>
        <w:tc>
          <w:tcPr>
            <w:tcW w:w="1260" w:type="dxa"/>
            <w:noWrap w:val="0"/>
            <w:vAlign w:val="center"/>
          </w:tcPr>
          <w:p w14:paraId="28B5453C">
            <w:pPr>
              <w:jc w:val="center"/>
              <w:rPr>
                <w:rFonts w:ascii="宋体" w:hAnsi="宋体"/>
                <w:sz w:val="18"/>
                <w:szCs w:val="18"/>
              </w:rPr>
            </w:pPr>
            <w:r>
              <w:rPr>
                <w:rFonts w:ascii="宋体" w:hAnsi="宋体"/>
                <w:sz w:val="18"/>
                <w:szCs w:val="18"/>
              </w:rPr>
              <w:t>0.37～4.93</w:t>
            </w:r>
          </w:p>
        </w:tc>
        <w:tc>
          <w:tcPr>
            <w:tcW w:w="1620" w:type="dxa"/>
            <w:noWrap w:val="0"/>
            <w:vAlign w:val="center"/>
          </w:tcPr>
          <w:p w14:paraId="6F7733C9">
            <w:pPr>
              <w:jc w:val="center"/>
              <w:rPr>
                <w:rFonts w:ascii="宋体" w:hAnsi="宋体"/>
                <w:sz w:val="18"/>
                <w:szCs w:val="18"/>
              </w:rPr>
            </w:pPr>
            <w:r>
              <w:rPr>
                <w:rFonts w:ascii="宋体" w:hAnsi="宋体"/>
                <w:sz w:val="18"/>
                <w:szCs w:val="18"/>
              </w:rPr>
              <w:t>25.33～33.56</w:t>
            </w:r>
          </w:p>
        </w:tc>
        <w:tc>
          <w:tcPr>
            <w:tcW w:w="800" w:type="dxa"/>
            <w:vMerge w:val="restart"/>
            <w:noWrap w:val="0"/>
            <w:vAlign w:val="center"/>
          </w:tcPr>
          <w:p w14:paraId="2328C853">
            <w:pPr>
              <w:jc w:val="center"/>
              <w:rPr>
                <w:rFonts w:ascii="宋体" w:hAnsi="宋体"/>
                <w:sz w:val="18"/>
                <w:szCs w:val="18"/>
              </w:rPr>
            </w:pPr>
            <w:r>
              <w:rPr>
                <w:rFonts w:hint="eastAsia" w:ascii="宋体" w:hAnsi="宋体"/>
                <w:sz w:val="18"/>
                <w:szCs w:val="18"/>
              </w:rPr>
              <w:t>贫煤</w:t>
            </w:r>
          </w:p>
        </w:tc>
      </w:tr>
      <w:tr w14:paraId="0700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550AD41">
            <w:pPr>
              <w:jc w:val="center"/>
              <w:rPr>
                <w:rFonts w:ascii="宋体" w:hAnsi="宋体"/>
                <w:sz w:val="18"/>
                <w:szCs w:val="18"/>
              </w:rPr>
            </w:pPr>
          </w:p>
        </w:tc>
        <w:tc>
          <w:tcPr>
            <w:tcW w:w="624" w:type="dxa"/>
            <w:vMerge w:val="continue"/>
            <w:noWrap w:val="0"/>
            <w:vAlign w:val="center"/>
          </w:tcPr>
          <w:p w14:paraId="6A37144B">
            <w:pPr>
              <w:jc w:val="center"/>
              <w:rPr>
                <w:rFonts w:ascii="宋体" w:hAnsi="宋体"/>
                <w:sz w:val="18"/>
                <w:szCs w:val="18"/>
              </w:rPr>
            </w:pPr>
          </w:p>
        </w:tc>
        <w:tc>
          <w:tcPr>
            <w:tcW w:w="1262" w:type="dxa"/>
            <w:noWrap w:val="0"/>
            <w:vAlign w:val="center"/>
          </w:tcPr>
          <w:p w14:paraId="3D8AE765">
            <w:pPr>
              <w:jc w:val="center"/>
              <w:rPr>
                <w:rFonts w:ascii="宋体" w:hAnsi="宋体"/>
                <w:sz w:val="18"/>
                <w:szCs w:val="18"/>
              </w:rPr>
            </w:pPr>
            <w:r>
              <w:rPr>
                <w:rFonts w:ascii="宋体" w:hAnsi="宋体"/>
                <w:sz w:val="18"/>
                <w:szCs w:val="18"/>
              </w:rPr>
              <w:t>1.06</w:t>
            </w:r>
          </w:p>
        </w:tc>
        <w:tc>
          <w:tcPr>
            <w:tcW w:w="1360" w:type="dxa"/>
            <w:noWrap w:val="0"/>
            <w:vAlign w:val="center"/>
          </w:tcPr>
          <w:p w14:paraId="527194B6">
            <w:pPr>
              <w:jc w:val="center"/>
              <w:rPr>
                <w:rFonts w:ascii="宋体" w:hAnsi="宋体"/>
                <w:sz w:val="18"/>
                <w:szCs w:val="18"/>
              </w:rPr>
            </w:pPr>
            <w:r>
              <w:rPr>
                <w:rFonts w:ascii="宋体" w:hAnsi="宋体"/>
                <w:sz w:val="18"/>
                <w:szCs w:val="18"/>
              </w:rPr>
              <w:t>19.49</w:t>
            </w:r>
          </w:p>
        </w:tc>
        <w:tc>
          <w:tcPr>
            <w:tcW w:w="1360" w:type="dxa"/>
            <w:noWrap w:val="0"/>
            <w:vAlign w:val="center"/>
          </w:tcPr>
          <w:p w14:paraId="09D7C998">
            <w:pPr>
              <w:jc w:val="center"/>
              <w:rPr>
                <w:rFonts w:ascii="宋体" w:hAnsi="宋体"/>
                <w:sz w:val="18"/>
                <w:szCs w:val="18"/>
              </w:rPr>
            </w:pPr>
            <w:r>
              <w:rPr>
                <w:rFonts w:ascii="宋体" w:hAnsi="宋体"/>
                <w:sz w:val="18"/>
                <w:szCs w:val="18"/>
              </w:rPr>
              <w:t>13.00</w:t>
            </w:r>
          </w:p>
        </w:tc>
        <w:tc>
          <w:tcPr>
            <w:tcW w:w="1260" w:type="dxa"/>
            <w:noWrap w:val="0"/>
            <w:vAlign w:val="center"/>
          </w:tcPr>
          <w:p w14:paraId="05D61FF6">
            <w:pPr>
              <w:jc w:val="center"/>
              <w:rPr>
                <w:rFonts w:ascii="宋体" w:hAnsi="宋体"/>
                <w:sz w:val="18"/>
                <w:szCs w:val="18"/>
              </w:rPr>
            </w:pPr>
            <w:r>
              <w:rPr>
                <w:rFonts w:ascii="宋体" w:hAnsi="宋体"/>
                <w:sz w:val="18"/>
                <w:szCs w:val="18"/>
              </w:rPr>
              <w:t>2.22</w:t>
            </w:r>
          </w:p>
        </w:tc>
        <w:tc>
          <w:tcPr>
            <w:tcW w:w="1620" w:type="dxa"/>
            <w:noWrap w:val="0"/>
            <w:vAlign w:val="center"/>
          </w:tcPr>
          <w:p w14:paraId="299E9ED4">
            <w:pPr>
              <w:jc w:val="center"/>
              <w:rPr>
                <w:rFonts w:ascii="宋体" w:hAnsi="宋体"/>
                <w:sz w:val="18"/>
                <w:szCs w:val="18"/>
              </w:rPr>
            </w:pPr>
            <w:r>
              <w:rPr>
                <w:rFonts w:ascii="宋体" w:hAnsi="宋体"/>
                <w:sz w:val="18"/>
                <w:szCs w:val="18"/>
              </w:rPr>
              <w:t>28.61</w:t>
            </w:r>
          </w:p>
        </w:tc>
        <w:tc>
          <w:tcPr>
            <w:tcW w:w="800" w:type="dxa"/>
            <w:vMerge w:val="continue"/>
            <w:noWrap w:val="0"/>
            <w:vAlign w:val="center"/>
          </w:tcPr>
          <w:p w14:paraId="7B1E9D8C">
            <w:pPr>
              <w:jc w:val="center"/>
              <w:rPr>
                <w:rFonts w:ascii="宋体" w:hAnsi="宋体"/>
                <w:sz w:val="18"/>
                <w:szCs w:val="18"/>
              </w:rPr>
            </w:pPr>
          </w:p>
        </w:tc>
      </w:tr>
      <w:tr w14:paraId="08FD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7E4E6DC">
            <w:pPr>
              <w:jc w:val="center"/>
              <w:rPr>
                <w:rFonts w:ascii="宋体" w:hAnsi="宋体"/>
                <w:sz w:val="18"/>
                <w:szCs w:val="18"/>
              </w:rPr>
            </w:pPr>
          </w:p>
        </w:tc>
        <w:tc>
          <w:tcPr>
            <w:tcW w:w="624" w:type="dxa"/>
            <w:vMerge w:val="restart"/>
            <w:noWrap w:val="0"/>
            <w:vAlign w:val="center"/>
          </w:tcPr>
          <w:p w14:paraId="0AA437C5">
            <w:pPr>
              <w:jc w:val="center"/>
              <w:rPr>
                <w:rFonts w:ascii="宋体" w:hAnsi="宋体"/>
                <w:sz w:val="18"/>
                <w:szCs w:val="18"/>
              </w:rPr>
            </w:pPr>
            <w:r>
              <w:rPr>
                <w:rFonts w:ascii="宋体" w:hAnsi="宋体"/>
                <w:sz w:val="18"/>
                <w:szCs w:val="18"/>
              </w:rPr>
              <w:t>洗煤</w:t>
            </w:r>
          </w:p>
        </w:tc>
        <w:tc>
          <w:tcPr>
            <w:tcW w:w="1262" w:type="dxa"/>
            <w:noWrap w:val="0"/>
            <w:vAlign w:val="center"/>
          </w:tcPr>
          <w:p w14:paraId="733F4B98">
            <w:pPr>
              <w:jc w:val="center"/>
              <w:rPr>
                <w:rFonts w:ascii="宋体" w:hAnsi="宋体"/>
                <w:sz w:val="18"/>
                <w:szCs w:val="18"/>
              </w:rPr>
            </w:pPr>
            <w:r>
              <w:rPr>
                <w:rFonts w:ascii="宋体" w:hAnsi="宋体"/>
                <w:sz w:val="18"/>
                <w:szCs w:val="18"/>
              </w:rPr>
              <w:t>0.53～1.89</w:t>
            </w:r>
          </w:p>
        </w:tc>
        <w:tc>
          <w:tcPr>
            <w:tcW w:w="1360" w:type="dxa"/>
            <w:noWrap w:val="0"/>
            <w:vAlign w:val="center"/>
          </w:tcPr>
          <w:p w14:paraId="4F44BAAC">
            <w:pPr>
              <w:jc w:val="center"/>
              <w:rPr>
                <w:rFonts w:ascii="宋体" w:hAnsi="宋体"/>
                <w:sz w:val="18"/>
                <w:szCs w:val="18"/>
              </w:rPr>
            </w:pPr>
            <w:r>
              <w:rPr>
                <w:rFonts w:ascii="宋体" w:hAnsi="宋体"/>
                <w:sz w:val="18"/>
                <w:szCs w:val="18"/>
              </w:rPr>
              <w:t>6.16～12.75</w:t>
            </w:r>
          </w:p>
        </w:tc>
        <w:tc>
          <w:tcPr>
            <w:tcW w:w="1360" w:type="dxa"/>
            <w:noWrap w:val="0"/>
            <w:vAlign w:val="center"/>
          </w:tcPr>
          <w:p w14:paraId="3772E28B">
            <w:pPr>
              <w:jc w:val="center"/>
              <w:rPr>
                <w:rFonts w:ascii="宋体" w:hAnsi="宋体"/>
                <w:sz w:val="18"/>
                <w:szCs w:val="18"/>
              </w:rPr>
            </w:pPr>
            <w:r>
              <w:rPr>
                <w:rFonts w:ascii="宋体" w:hAnsi="宋体"/>
                <w:sz w:val="18"/>
                <w:szCs w:val="18"/>
              </w:rPr>
              <w:t>10.55～14.13</w:t>
            </w:r>
          </w:p>
        </w:tc>
        <w:tc>
          <w:tcPr>
            <w:tcW w:w="1260" w:type="dxa"/>
            <w:noWrap w:val="0"/>
            <w:vAlign w:val="center"/>
          </w:tcPr>
          <w:p w14:paraId="7CA3F771">
            <w:pPr>
              <w:jc w:val="center"/>
              <w:rPr>
                <w:rFonts w:ascii="宋体" w:hAnsi="宋体"/>
                <w:sz w:val="18"/>
                <w:szCs w:val="18"/>
              </w:rPr>
            </w:pPr>
            <w:r>
              <w:rPr>
                <w:rFonts w:ascii="宋体" w:hAnsi="宋体"/>
                <w:sz w:val="18"/>
                <w:szCs w:val="18"/>
              </w:rPr>
              <w:t>0.31～2.21</w:t>
            </w:r>
          </w:p>
        </w:tc>
        <w:tc>
          <w:tcPr>
            <w:tcW w:w="1620" w:type="dxa"/>
            <w:noWrap w:val="0"/>
            <w:vAlign w:val="center"/>
          </w:tcPr>
          <w:p w14:paraId="13870128">
            <w:pPr>
              <w:jc w:val="center"/>
              <w:rPr>
                <w:rFonts w:ascii="宋体" w:hAnsi="宋体"/>
                <w:sz w:val="18"/>
                <w:szCs w:val="18"/>
              </w:rPr>
            </w:pPr>
            <w:r>
              <w:rPr>
                <w:rFonts w:ascii="宋体" w:hAnsi="宋体"/>
                <w:sz w:val="18"/>
                <w:szCs w:val="18"/>
              </w:rPr>
              <w:t>31.79～33.68</w:t>
            </w:r>
          </w:p>
        </w:tc>
        <w:tc>
          <w:tcPr>
            <w:tcW w:w="800" w:type="dxa"/>
            <w:vMerge w:val="continue"/>
            <w:noWrap w:val="0"/>
            <w:vAlign w:val="center"/>
          </w:tcPr>
          <w:p w14:paraId="09209309">
            <w:pPr>
              <w:jc w:val="center"/>
              <w:rPr>
                <w:rFonts w:ascii="宋体" w:hAnsi="宋体"/>
                <w:sz w:val="18"/>
                <w:szCs w:val="18"/>
              </w:rPr>
            </w:pPr>
          </w:p>
        </w:tc>
      </w:tr>
      <w:tr w14:paraId="0C54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00A60EE1">
            <w:pPr>
              <w:jc w:val="center"/>
              <w:rPr>
                <w:rFonts w:ascii="宋体" w:hAnsi="宋体"/>
                <w:sz w:val="18"/>
                <w:szCs w:val="18"/>
              </w:rPr>
            </w:pPr>
          </w:p>
        </w:tc>
        <w:tc>
          <w:tcPr>
            <w:tcW w:w="624" w:type="dxa"/>
            <w:vMerge w:val="continue"/>
            <w:noWrap w:val="0"/>
            <w:vAlign w:val="center"/>
          </w:tcPr>
          <w:p w14:paraId="630AE5C3">
            <w:pPr>
              <w:jc w:val="center"/>
              <w:rPr>
                <w:rFonts w:ascii="宋体" w:hAnsi="宋体"/>
                <w:sz w:val="18"/>
                <w:szCs w:val="18"/>
              </w:rPr>
            </w:pPr>
          </w:p>
        </w:tc>
        <w:tc>
          <w:tcPr>
            <w:tcW w:w="1262" w:type="dxa"/>
            <w:noWrap w:val="0"/>
            <w:vAlign w:val="center"/>
          </w:tcPr>
          <w:p w14:paraId="63C43E83">
            <w:pPr>
              <w:jc w:val="center"/>
              <w:rPr>
                <w:rFonts w:ascii="宋体" w:hAnsi="宋体"/>
                <w:sz w:val="18"/>
                <w:szCs w:val="18"/>
              </w:rPr>
            </w:pPr>
            <w:r>
              <w:rPr>
                <w:rFonts w:ascii="宋体" w:hAnsi="宋体"/>
                <w:sz w:val="18"/>
                <w:szCs w:val="18"/>
              </w:rPr>
              <w:t>1.15</w:t>
            </w:r>
          </w:p>
        </w:tc>
        <w:tc>
          <w:tcPr>
            <w:tcW w:w="1360" w:type="dxa"/>
            <w:noWrap w:val="0"/>
            <w:vAlign w:val="center"/>
          </w:tcPr>
          <w:p w14:paraId="77D60911">
            <w:pPr>
              <w:jc w:val="center"/>
              <w:rPr>
                <w:rFonts w:ascii="宋体" w:hAnsi="宋体"/>
                <w:sz w:val="18"/>
                <w:szCs w:val="18"/>
              </w:rPr>
            </w:pPr>
            <w:r>
              <w:rPr>
                <w:rFonts w:ascii="宋体" w:hAnsi="宋体"/>
                <w:sz w:val="18"/>
                <w:szCs w:val="18"/>
              </w:rPr>
              <w:t>8.59</w:t>
            </w:r>
          </w:p>
        </w:tc>
        <w:tc>
          <w:tcPr>
            <w:tcW w:w="1360" w:type="dxa"/>
            <w:noWrap w:val="0"/>
            <w:vAlign w:val="center"/>
          </w:tcPr>
          <w:p w14:paraId="03233C4A">
            <w:pPr>
              <w:jc w:val="center"/>
              <w:rPr>
                <w:rFonts w:ascii="宋体" w:hAnsi="宋体"/>
                <w:sz w:val="18"/>
                <w:szCs w:val="18"/>
              </w:rPr>
            </w:pPr>
            <w:r>
              <w:rPr>
                <w:rFonts w:ascii="宋体" w:hAnsi="宋体"/>
                <w:sz w:val="18"/>
                <w:szCs w:val="18"/>
              </w:rPr>
              <w:t>12.04</w:t>
            </w:r>
          </w:p>
        </w:tc>
        <w:tc>
          <w:tcPr>
            <w:tcW w:w="1260" w:type="dxa"/>
            <w:noWrap w:val="0"/>
            <w:vAlign w:val="center"/>
          </w:tcPr>
          <w:p w14:paraId="0F1BA491">
            <w:pPr>
              <w:jc w:val="center"/>
              <w:rPr>
                <w:rFonts w:ascii="宋体" w:hAnsi="宋体"/>
                <w:sz w:val="18"/>
                <w:szCs w:val="18"/>
              </w:rPr>
            </w:pPr>
            <w:r>
              <w:rPr>
                <w:rFonts w:ascii="宋体" w:hAnsi="宋体"/>
                <w:sz w:val="18"/>
                <w:szCs w:val="18"/>
              </w:rPr>
              <w:t>1.23</w:t>
            </w:r>
          </w:p>
        </w:tc>
        <w:tc>
          <w:tcPr>
            <w:tcW w:w="1620" w:type="dxa"/>
            <w:noWrap w:val="0"/>
            <w:vAlign w:val="center"/>
          </w:tcPr>
          <w:p w14:paraId="7C7690C3">
            <w:pPr>
              <w:jc w:val="center"/>
              <w:rPr>
                <w:rFonts w:ascii="宋体" w:hAnsi="宋体"/>
                <w:sz w:val="18"/>
                <w:szCs w:val="18"/>
              </w:rPr>
            </w:pPr>
            <w:r>
              <w:rPr>
                <w:rFonts w:ascii="宋体" w:hAnsi="宋体"/>
                <w:sz w:val="18"/>
                <w:szCs w:val="18"/>
              </w:rPr>
              <w:t>33.15</w:t>
            </w:r>
          </w:p>
        </w:tc>
        <w:tc>
          <w:tcPr>
            <w:tcW w:w="800" w:type="dxa"/>
            <w:vMerge w:val="continue"/>
            <w:noWrap w:val="0"/>
            <w:vAlign w:val="center"/>
          </w:tcPr>
          <w:p w14:paraId="089E2CAB">
            <w:pPr>
              <w:jc w:val="center"/>
              <w:rPr>
                <w:rFonts w:ascii="宋体" w:hAnsi="宋体"/>
                <w:sz w:val="18"/>
                <w:szCs w:val="18"/>
              </w:rPr>
            </w:pPr>
          </w:p>
        </w:tc>
      </w:tr>
      <w:tr w14:paraId="09E9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3526C34F">
            <w:pPr>
              <w:jc w:val="center"/>
              <w:rPr>
                <w:rFonts w:ascii="宋体" w:hAnsi="宋体"/>
                <w:sz w:val="18"/>
                <w:szCs w:val="18"/>
              </w:rPr>
            </w:pPr>
            <w:r>
              <w:rPr>
                <w:rFonts w:ascii="宋体" w:hAnsi="宋体"/>
                <w:sz w:val="18"/>
                <w:szCs w:val="18"/>
              </w:rPr>
              <w:t>K18</w:t>
            </w:r>
          </w:p>
        </w:tc>
        <w:tc>
          <w:tcPr>
            <w:tcW w:w="624" w:type="dxa"/>
            <w:vMerge w:val="restart"/>
            <w:noWrap w:val="0"/>
            <w:vAlign w:val="center"/>
          </w:tcPr>
          <w:p w14:paraId="024191FD">
            <w:pPr>
              <w:jc w:val="center"/>
              <w:rPr>
                <w:rFonts w:ascii="宋体" w:hAnsi="宋体"/>
                <w:sz w:val="18"/>
                <w:szCs w:val="18"/>
              </w:rPr>
            </w:pPr>
            <w:r>
              <w:rPr>
                <w:rFonts w:ascii="宋体" w:hAnsi="宋体"/>
                <w:sz w:val="18"/>
                <w:szCs w:val="18"/>
              </w:rPr>
              <w:t>原煤</w:t>
            </w:r>
          </w:p>
        </w:tc>
        <w:tc>
          <w:tcPr>
            <w:tcW w:w="1262" w:type="dxa"/>
            <w:noWrap w:val="0"/>
            <w:vAlign w:val="center"/>
          </w:tcPr>
          <w:p w14:paraId="146B4748">
            <w:pPr>
              <w:jc w:val="center"/>
              <w:rPr>
                <w:rFonts w:ascii="宋体" w:hAnsi="宋体"/>
                <w:sz w:val="18"/>
                <w:szCs w:val="18"/>
              </w:rPr>
            </w:pPr>
            <w:r>
              <w:rPr>
                <w:rFonts w:ascii="宋体" w:hAnsi="宋体"/>
                <w:sz w:val="18"/>
                <w:szCs w:val="18"/>
              </w:rPr>
              <w:t>0.65～1.68</w:t>
            </w:r>
          </w:p>
        </w:tc>
        <w:tc>
          <w:tcPr>
            <w:tcW w:w="1360" w:type="dxa"/>
            <w:noWrap w:val="0"/>
            <w:vAlign w:val="center"/>
          </w:tcPr>
          <w:p w14:paraId="4303F7F8">
            <w:pPr>
              <w:jc w:val="center"/>
              <w:rPr>
                <w:rFonts w:ascii="宋体" w:hAnsi="宋体"/>
                <w:sz w:val="18"/>
                <w:szCs w:val="18"/>
              </w:rPr>
            </w:pPr>
            <w:r>
              <w:rPr>
                <w:rFonts w:ascii="宋体" w:hAnsi="宋体"/>
                <w:sz w:val="18"/>
                <w:szCs w:val="18"/>
              </w:rPr>
              <w:t>9.71～34.26</w:t>
            </w:r>
          </w:p>
        </w:tc>
        <w:tc>
          <w:tcPr>
            <w:tcW w:w="1360" w:type="dxa"/>
            <w:noWrap w:val="0"/>
            <w:vAlign w:val="center"/>
          </w:tcPr>
          <w:p w14:paraId="6C15D7DB">
            <w:pPr>
              <w:jc w:val="center"/>
              <w:rPr>
                <w:rFonts w:ascii="宋体" w:hAnsi="宋体"/>
                <w:sz w:val="18"/>
                <w:szCs w:val="18"/>
              </w:rPr>
            </w:pPr>
            <w:r>
              <w:rPr>
                <w:rFonts w:ascii="宋体" w:hAnsi="宋体"/>
                <w:sz w:val="18"/>
                <w:szCs w:val="18"/>
              </w:rPr>
              <w:t>10.73～14.92</w:t>
            </w:r>
          </w:p>
        </w:tc>
        <w:tc>
          <w:tcPr>
            <w:tcW w:w="1260" w:type="dxa"/>
            <w:noWrap w:val="0"/>
            <w:vAlign w:val="center"/>
          </w:tcPr>
          <w:p w14:paraId="0FB59FB2">
            <w:pPr>
              <w:jc w:val="center"/>
              <w:rPr>
                <w:rFonts w:ascii="宋体" w:hAnsi="宋体"/>
                <w:sz w:val="18"/>
                <w:szCs w:val="18"/>
              </w:rPr>
            </w:pPr>
            <w:r>
              <w:rPr>
                <w:rFonts w:ascii="宋体" w:hAnsi="宋体"/>
                <w:sz w:val="18"/>
                <w:szCs w:val="18"/>
              </w:rPr>
              <w:t>0.10～2.28</w:t>
            </w:r>
          </w:p>
          <w:p w14:paraId="69BC1860">
            <w:pPr>
              <w:jc w:val="center"/>
              <w:rPr>
                <w:rFonts w:ascii="宋体" w:hAnsi="宋体"/>
                <w:sz w:val="18"/>
                <w:szCs w:val="18"/>
              </w:rPr>
            </w:pPr>
            <w:r>
              <w:rPr>
                <w:rFonts w:ascii="宋体" w:hAnsi="宋体"/>
                <w:sz w:val="18"/>
                <w:szCs w:val="18"/>
              </w:rPr>
              <w:t>1.14</w:t>
            </w:r>
          </w:p>
        </w:tc>
        <w:tc>
          <w:tcPr>
            <w:tcW w:w="1620" w:type="dxa"/>
            <w:noWrap w:val="0"/>
            <w:vAlign w:val="center"/>
          </w:tcPr>
          <w:p w14:paraId="1C3AD569">
            <w:pPr>
              <w:jc w:val="center"/>
              <w:rPr>
                <w:rFonts w:ascii="宋体" w:hAnsi="宋体"/>
                <w:sz w:val="18"/>
                <w:szCs w:val="18"/>
              </w:rPr>
            </w:pPr>
            <w:r>
              <w:rPr>
                <w:rFonts w:ascii="宋体" w:hAnsi="宋体"/>
                <w:sz w:val="18"/>
                <w:szCs w:val="18"/>
              </w:rPr>
              <w:t>22.67～32.53</w:t>
            </w:r>
          </w:p>
        </w:tc>
        <w:tc>
          <w:tcPr>
            <w:tcW w:w="800" w:type="dxa"/>
            <w:vMerge w:val="restart"/>
            <w:noWrap w:val="0"/>
            <w:vAlign w:val="center"/>
          </w:tcPr>
          <w:p w14:paraId="22FB54C4">
            <w:pPr>
              <w:jc w:val="center"/>
              <w:rPr>
                <w:rFonts w:ascii="宋体" w:hAnsi="宋体"/>
                <w:sz w:val="18"/>
                <w:szCs w:val="18"/>
              </w:rPr>
            </w:pPr>
            <w:r>
              <w:rPr>
                <w:rFonts w:hint="eastAsia" w:ascii="宋体" w:hAnsi="宋体"/>
                <w:sz w:val="18"/>
                <w:szCs w:val="18"/>
              </w:rPr>
              <w:t>贫煤</w:t>
            </w:r>
          </w:p>
        </w:tc>
      </w:tr>
      <w:tr w14:paraId="2BDD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6339AE35">
            <w:pPr>
              <w:jc w:val="center"/>
              <w:rPr>
                <w:rFonts w:ascii="宋体" w:hAnsi="宋体"/>
                <w:sz w:val="18"/>
                <w:szCs w:val="18"/>
              </w:rPr>
            </w:pPr>
          </w:p>
        </w:tc>
        <w:tc>
          <w:tcPr>
            <w:tcW w:w="624" w:type="dxa"/>
            <w:vMerge w:val="continue"/>
            <w:noWrap w:val="0"/>
            <w:vAlign w:val="center"/>
          </w:tcPr>
          <w:p w14:paraId="0130C764">
            <w:pPr>
              <w:jc w:val="center"/>
              <w:rPr>
                <w:rFonts w:ascii="宋体" w:hAnsi="宋体"/>
                <w:sz w:val="18"/>
                <w:szCs w:val="18"/>
              </w:rPr>
            </w:pPr>
          </w:p>
        </w:tc>
        <w:tc>
          <w:tcPr>
            <w:tcW w:w="1262" w:type="dxa"/>
            <w:noWrap w:val="0"/>
            <w:vAlign w:val="center"/>
          </w:tcPr>
          <w:p w14:paraId="04ABB5C7">
            <w:pPr>
              <w:jc w:val="center"/>
              <w:rPr>
                <w:rFonts w:ascii="宋体" w:hAnsi="宋体"/>
                <w:sz w:val="18"/>
                <w:szCs w:val="18"/>
              </w:rPr>
            </w:pPr>
            <w:r>
              <w:rPr>
                <w:rFonts w:ascii="宋体" w:hAnsi="宋体"/>
                <w:sz w:val="18"/>
                <w:szCs w:val="18"/>
              </w:rPr>
              <w:t>1.22</w:t>
            </w:r>
          </w:p>
        </w:tc>
        <w:tc>
          <w:tcPr>
            <w:tcW w:w="1360" w:type="dxa"/>
            <w:noWrap w:val="0"/>
            <w:vAlign w:val="center"/>
          </w:tcPr>
          <w:p w14:paraId="05458379">
            <w:pPr>
              <w:jc w:val="center"/>
              <w:rPr>
                <w:rFonts w:ascii="宋体" w:hAnsi="宋体"/>
                <w:sz w:val="18"/>
                <w:szCs w:val="18"/>
              </w:rPr>
            </w:pPr>
            <w:r>
              <w:rPr>
                <w:rFonts w:ascii="宋体" w:hAnsi="宋体"/>
                <w:sz w:val="18"/>
                <w:szCs w:val="18"/>
              </w:rPr>
              <w:t>17.04</w:t>
            </w:r>
          </w:p>
        </w:tc>
        <w:tc>
          <w:tcPr>
            <w:tcW w:w="1360" w:type="dxa"/>
            <w:noWrap w:val="0"/>
            <w:vAlign w:val="center"/>
          </w:tcPr>
          <w:p w14:paraId="14D57ACD">
            <w:pPr>
              <w:jc w:val="center"/>
              <w:rPr>
                <w:rFonts w:ascii="宋体" w:hAnsi="宋体"/>
                <w:sz w:val="18"/>
                <w:szCs w:val="18"/>
              </w:rPr>
            </w:pPr>
            <w:r>
              <w:rPr>
                <w:rFonts w:ascii="宋体" w:hAnsi="宋体"/>
                <w:sz w:val="18"/>
                <w:szCs w:val="18"/>
              </w:rPr>
              <w:t>13.08</w:t>
            </w:r>
          </w:p>
        </w:tc>
        <w:tc>
          <w:tcPr>
            <w:tcW w:w="1260" w:type="dxa"/>
            <w:noWrap w:val="0"/>
            <w:vAlign w:val="center"/>
          </w:tcPr>
          <w:p w14:paraId="3D6ED65B">
            <w:pPr>
              <w:jc w:val="center"/>
              <w:rPr>
                <w:rFonts w:ascii="宋体" w:hAnsi="宋体"/>
                <w:sz w:val="18"/>
                <w:szCs w:val="18"/>
              </w:rPr>
            </w:pPr>
            <w:r>
              <w:rPr>
                <w:rFonts w:ascii="宋体" w:hAnsi="宋体"/>
                <w:sz w:val="18"/>
                <w:szCs w:val="18"/>
              </w:rPr>
              <w:t>0.53</w:t>
            </w:r>
          </w:p>
        </w:tc>
        <w:tc>
          <w:tcPr>
            <w:tcW w:w="1620" w:type="dxa"/>
            <w:noWrap w:val="0"/>
            <w:vAlign w:val="center"/>
          </w:tcPr>
          <w:p w14:paraId="61A0E1B1">
            <w:pPr>
              <w:jc w:val="center"/>
              <w:rPr>
                <w:rFonts w:ascii="宋体" w:hAnsi="宋体"/>
                <w:sz w:val="18"/>
                <w:szCs w:val="18"/>
              </w:rPr>
            </w:pPr>
            <w:r>
              <w:rPr>
                <w:rFonts w:ascii="宋体" w:hAnsi="宋体"/>
                <w:sz w:val="18"/>
                <w:szCs w:val="18"/>
              </w:rPr>
              <w:t>28.50</w:t>
            </w:r>
          </w:p>
        </w:tc>
        <w:tc>
          <w:tcPr>
            <w:tcW w:w="800" w:type="dxa"/>
            <w:vMerge w:val="continue"/>
            <w:noWrap w:val="0"/>
            <w:vAlign w:val="center"/>
          </w:tcPr>
          <w:p w14:paraId="1B87CEC1">
            <w:pPr>
              <w:jc w:val="center"/>
              <w:rPr>
                <w:rFonts w:ascii="宋体" w:hAnsi="宋体"/>
                <w:sz w:val="18"/>
                <w:szCs w:val="18"/>
              </w:rPr>
            </w:pPr>
          </w:p>
        </w:tc>
      </w:tr>
      <w:tr w14:paraId="37F6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139E8BA0">
            <w:pPr>
              <w:jc w:val="center"/>
              <w:rPr>
                <w:rFonts w:ascii="宋体" w:hAnsi="宋体"/>
                <w:sz w:val="18"/>
                <w:szCs w:val="18"/>
              </w:rPr>
            </w:pPr>
          </w:p>
        </w:tc>
        <w:tc>
          <w:tcPr>
            <w:tcW w:w="624" w:type="dxa"/>
            <w:vMerge w:val="restart"/>
            <w:noWrap w:val="0"/>
            <w:vAlign w:val="center"/>
          </w:tcPr>
          <w:p w14:paraId="2E738E84">
            <w:pPr>
              <w:jc w:val="center"/>
              <w:rPr>
                <w:rFonts w:ascii="宋体" w:hAnsi="宋体"/>
                <w:sz w:val="18"/>
                <w:szCs w:val="18"/>
              </w:rPr>
            </w:pPr>
            <w:r>
              <w:rPr>
                <w:rFonts w:ascii="宋体" w:hAnsi="宋体"/>
                <w:sz w:val="18"/>
                <w:szCs w:val="18"/>
              </w:rPr>
              <w:t>洗煤</w:t>
            </w:r>
          </w:p>
        </w:tc>
        <w:tc>
          <w:tcPr>
            <w:tcW w:w="1262" w:type="dxa"/>
            <w:noWrap w:val="0"/>
            <w:vAlign w:val="center"/>
          </w:tcPr>
          <w:p w14:paraId="00893C5B">
            <w:pPr>
              <w:jc w:val="center"/>
              <w:rPr>
                <w:rFonts w:ascii="宋体" w:hAnsi="宋体"/>
                <w:sz w:val="18"/>
                <w:szCs w:val="18"/>
              </w:rPr>
            </w:pPr>
            <w:r>
              <w:rPr>
                <w:rFonts w:ascii="宋体" w:hAnsi="宋体"/>
                <w:sz w:val="18"/>
                <w:szCs w:val="18"/>
              </w:rPr>
              <w:t>0.53～1.57</w:t>
            </w:r>
          </w:p>
        </w:tc>
        <w:tc>
          <w:tcPr>
            <w:tcW w:w="1360" w:type="dxa"/>
            <w:noWrap w:val="0"/>
            <w:vAlign w:val="center"/>
          </w:tcPr>
          <w:p w14:paraId="256185D5">
            <w:pPr>
              <w:jc w:val="center"/>
              <w:rPr>
                <w:rFonts w:ascii="宋体" w:hAnsi="宋体"/>
                <w:sz w:val="18"/>
                <w:szCs w:val="18"/>
              </w:rPr>
            </w:pPr>
            <w:r>
              <w:rPr>
                <w:rFonts w:ascii="宋体" w:hAnsi="宋体"/>
                <w:sz w:val="18"/>
                <w:szCs w:val="18"/>
              </w:rPr>
              <w:t>4.62～12.57</w:t>
            </w:r>
          </w:p>
        </w:tc>
        <w:tc>
          <w:tcPr>
            <w:tcW w:w="1360" w:type="dxa"/>
            <w:noWrap w:val="0"/>
            <w:vAlign w:val="center"/>
          </w:tcPr>
          <w:p w14:paraId="2F323B5D">
            <w:pPr>
              <w:jc w:val="center"/>
              <w:rPr>
                <w:rFonts w:ascii="宋体" w:hAnsi="宋体"/>
                <w:sz w:val="18"/>
                <w:szCs w:val="18"/>
              </w:rPr>
            </w:pPr>
            <w:r>
              <w:rPr>
                <w:rFonts w:ascii="宋体" w:hAnsi="宋体"/>
                <w:sz w:val="18"/>
                <w:szCs w:val="18"/>
              </w:rPr>
              <w:t>10.17～13.59</w:t>
            </w:r>
          </w:p>
        </w:tc>
        <w:tc>
          <w:tcPr>
            <w:tcW w:w="1260" w:type="dxa"/>
            <w:noWrap w:val="0"/>
            <w:vAlign w:val="center"/>
          </w:tcPr>
          <w:p w14:paraId="246BAEC9">
            <w:pPr>
              <w:jc w:val="center"/>
              <w:rPr>
                <w:rFonts w:ascii="宋体" w:hAnsi="宋体"/>
                <w:sz w:val="18"/>
                <w:szCs w:val="18"/>
              </w:rPr>
            </w:pPr>
            <w:r>
              <w:rPr>
                <w:rFonts w:ascii="宋体" w:hAnsi="宋体"/>
                <w:sz w:val="18"/>
                <w:szCs w:val="18"/>
              </w:rPr>
              <w:t>0.11～1.63</w:t>
            </w:r>
          </w:p>
        </w:tc>
        <w:tc>
          <w:tcPr>
            <w:tcW w:w="1620" w:type="dxa"/>
            <w:noWrap w:val="0"/>
            <w:vAlign w:val="center"/>
          </w:tcPr>
          <w:p w14:paraId="3CB57EAC">
            <w:pPr>
              <w:jc w:val="center"/>
              <w:rPr>
                <w:rFonts w:ascii="宋体" w:hAnsi="宋体"/>
                <w:sz w:val="18"/>
                <w:szCs w:val="18"/>
              </w:rPr>
            </w:pPr>
            <w:r>
              <w:rPr>
                <w:rFonts w:ascii="宋体" w:hAnsi="宋体"/>
                <w:sz w:val="18"/>
                <w:szCs w:val="18"/>
              </w:rPr>
              <w:t>31.71～34.56</w:t>
            </w:r>
          </w:p>
        </w:tc>
        <w:tc>
          <w:tcPr>
            <w:tcW w:w="800" w:type="dxa"/>
            <w:vMerge w:val="continue"/>
            <w:noWrap w:val="0"/>
            <w:vAlign w:val="center"/>
          </w:tcPr>
          <w:p w14:paraId="6D58F053">
            <w:pPr>
              <w:jc w:val="center"/>
              <w:rPr>
                <w:rFonts w:ascii="宋体" w:hAnsi="宋体"/>
                <w:sz w:val="18"/>
                <w:szCs w:val="18"/>
              </w:rPr>
            </w:pPr>
          </w:p>
        </w:tc>
      </w:tr>
      <w:tr w14:paraId="05E7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666B1912">
            <w:pPr>
              <w:jc w:val="center"/>
              <w:rPr>
                <w:rFonts w:ascii="宋体" w:hAnsi="宋体"/>
                <w:sz w:val="18"/>
                <w:szCs w:val="18"/>
              </w:rPr>
            </w:pPr>
          </w:p>
        </w:tc>
        <w:tc>
          <w:tcPr>
            <w:tcW w:w="624" w:type="dxa"/>
            <w:vMerge w:val="continue"/>
            <w:noWrap w:val="0"/>
            <w:vAlign w:val="center"/>
          </w:tcPr>
          <w:p w14:paraId="69D29D8A">
            <w:pPr>
              <w:jc w:val="center"/>
              <w:rPr>
                <w:rFonts w:ascii="宋体" w:hAnsi="宋体"/>
                <w:sz w:val="18"/>
                <w:szCs w:val="18"/>
              </w:rPr>
            </w:pPr>
          </w:p>
        </w:tc>
        <w:tc>
          <w:tcPr>
            <w:tcW w:w="1262" w:type="dxa"/>
            <w:noWrap w:val="0"/>
            <w:vAlign w:val="center"/>
          </w:tcPr>
          <w:p w14:paraId="1E87873F">
            <w:pPr>
              <w:jc w:val="center"/>
              <w:rPr>
                <w:rFonts w:ascii="宋体" w:hAnsi="宋体"/>
                <w:sz w:val="18"/>
                <w:szCs w:val="18"/>
              </w:rPr>
            </w:pPr>
            <w:r>
              <w:rPr>
                <w:rFonts w:ascii="宋体" w:hAnsi="宋体"/>
                <w:sz w:val="18"/>
                <w:szCs w:val="18"/>
              </w:rPr>
              <w:t>1.09</w:t>
            </w:r>
          </w:p>
        </w:tc>
        <w:tc>
          <w:tcPr>
            <w:tcW w:w="1360" w:type="dxa"/>
            <w:noWrap w:val="0"/>
            <w:vAlign w:val="center"/>
          </w:tcPr>
          <w:p w14:paraId="3E7A3DDF">
            <w:pPr>
              <w:jc w:val="center"/>
              <w:rPr>
                <w:rFonts w:ascii="宋体" w:hAnsi="宋体"/>
                <w:sz w:val="18"/>
                <w:szCs w:val="18"/>
              </w:rPr>
            </w:pPr>
            <w:r>
              <w:rPr>
                <w:rFonts w:ascii="宋体" w:hAnsi="宋体"/>
                <w:sz w:val="18"/>
                <w:szCs w:val="18"/>
              </w:rPr>
              <w:t>6.70</w:t>
            </w:r>
          </w:p>
        </w:tc>
        <w:tc>
          <w:tcPr>
            <w:tcW w:w="1360" w:type="dxa"/>
            <w:noWrap w:val="0"/>
            <w:vAlign w:val="center"/>
          </w:tcPr>
          <w:p w14:paraId="77C6C508">
            <w:pPr>
              <w:jc w:val="center"/>
              <w:rPr>
                <w:rFonts w:ascii="宋体" w:hAnsi="宋体"/>
                <w:sz w:val="18"/>
                <w:szCs w:val="18"/>
              </w:rPr>
            </w:pPr>
            <w:r>
              <w:rPr>
                <w:rFonts w:ascii="宋体" w:hAnsi="宋体"/>
                <w:sz w:val="18"/>
                <w:szCs w:val="18"/>
              </w:rPr>
              <w:t>12.23</w:t>
            </w:r>
          </w:p>
        </w:tc>
        <w:tc>
          <w:tcPr>
            <w:tcW w:w="1260" w:type="dxa"/>
            <w:noWrap w:val="0"/>
            <w:vAlign w:val="center"/>
          </w:tcPr>
          <w:p w14:paraId="51008819">
            <w:pPr>
              <w:jc w:val="center"/>
              <w:rPr>
                <w:rFonts w:ascii="宋体" w:hAnsi="宋体"/>
                <w:sz w:val="18"/>
                <w:szCs w:val="18"/>
              </w:rPr>
            </w:pPr>
            <w:r>
              <w:rPr>
                <w:rFonts w:ascii="宋体" w:hAnsi="宋体"/>
                <w:sz w:val="18"/>
                <w:szCs w:val="18"/>
              </w:rPr>
              <w:t>0.40</w:t>
            </w:r>
          </w:p>
        </w:tc>
        <w:tc>
          <w:tcPr>
            <w:tcW w:w="1620" w:type="dxa"/>
            <w:noWrap w:val="0"/>
            <w:vAlign w:val="center"/>
          </w:tcPr>
          <w:p w14:paraId="6E598340">
            <w:pPr>
              <w:jc w:val="center"/>
              <w:rPr>
                <w:rFonts w:ascii="宋体" w:hAnsi="宋体"/>
                <w:sz w:val="18"/>
                <w:szCs w:val="18"/>
              </w:rPr>
            </w:pPr>
            <w:r>
              <w:rPr>
                <w:rFonts w:ascii="宋体" w:hAnsi="宋体"/>
                <w:sz w:val="18"/>
                <w:szCs w:val="18"/>
              </w:rPr>
              <w:t>33.60</w:t>
            </w:r>
          </w:p>
        </w:tc>
        <w:tc>
          <w:tcPr>
            <w:tcW w:w="800" w:type="dxa"/>
            <w:vMerge w:val="continue"/>
            <w:noWrap w:val="0"/>
            <w:vAlign w:val="center"/>
          </w:tcPr>
          <w:p w14:paraId="6E87D9AA">
            <w:pPr>
              <w:jc w:val="center"/>
              <w:rPr>
                <w:rFonts w:ascii="宋体" w:hAnsi="宋体"/>
                <w:sz w:val="18"/>
                <w:szCs w:val="18"/>
              </w:rPr>
            </w:pPr>
          </w:p>
        </w:tc>
      </w:tr>
      <w:tr w14:paraId="002F6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79CC70A3">
            <w:pPr>
              <w:jc w:val="center"/>
              <w:rPr>
                <w:rFonts w:ascii="宋体" w:hAnsi="宋体"/>
                <w:sz w:val="18"/>
                <w:szCs w:val="18"/>
              </w:rPr>
            </w:pPr>
            <w:r>
              <w:rPr>
                <w:rFonts w:ascii="宋体" w:hAnsi="宋体"/>
                <w:sz w:val="18"/>
                <w:szCs w:val="18"/>
              </w:rPr>
              <w:t>K26</w:t>
            </w:r>
          </w:p>
        </w:tc>
        <w:tc>
          <w:tcPr>
            <w:tcW w:w="624" w:type="dxa"/>
            <w:vMerge w:val="restart"/>
            <w:noWrap w:val="0"/>
            <w:vAlign w:val="center"/>
          </w:tcPr>
          <w:p w14:paraId="3E532974">
            <w:pPr>
              <w:jc w:val="center"/>
              <w:rPr>
                <w:rFonts w:ascii="宋体" w:hAnsi="宋体"/>
                <w:sz w:val="18"/>
                <w:szCs w:val="18"/>
              </w:rPr>
            </w:pPr>
            <w:r>
              <w:rPr>
                <w:rFonts w:ascii="宋体" w:hAnsi="宋体"/>
                <w:sz w:val="18"/>
                <w:szCs w:val="18"/>
              </w:rPr>
              <w:t>原煤</w:t>
            </w:r>
          </w:p>
        </w:tc>
        <w:tc>
          <w:tcPr>
            <w:tcW w:w="1262" w:type="dxa"/>
            <w:noWrap w:val="0"/>
            <w:vAlign w:val="center"/>
          </w:tcPr>
          <w:p w14:paraId="1ADD8079">
            <w:pPr>
              <w:jc w:val="center"/>
              <w:rPr>
                <w:rFonts w:ascii="宋体" w:hAnsi="宋体"/>
                <w:sz w:val="18"/>
                <w:szCs w:val="18"/>
              </w:rPr>
            </w:pPr>
            <w:r>
              <w:rPr>
                <w:rFonts w:ascii="宋体" w:hAnsi="宋体"/>
                <w:sz w:val="18"/>
                <w:szCs w:val="18"/>
              </w:rPr>
              <w:t>0.73～1.61</w:t>
            </w:r>
          </w:p>
        </w:tc>
        <w:tc>
          <w:tcPr>
            <w:tcW w:w="1360" w:type="dxa"/>
            <w:noWrap w:val="0"/>
            <w:vAlign w:val="center"/>
          </w:tcPr>
          <w:p w14:paraId="10839FE6">
            <w:pPr>
              <w:jc w:val="center"/>
              <w:rPr>
                <w:rFonts w:ascii="宋体" w:hAnsi="宋体"/>
                <w:sz w:val="18"/>
                <w:szCs w:val="18"/>
              </w:rPr>
            </w:pPr>
            <w:r>
              <w:rPr>
                <w:rFonts w:ascii="宋体" w:hAnsi="宋体"/>
                <w:sz w:val="18"/>
                <w:szCs w:val="18"/>
              </w:rPr>
              <w:t>10.76～39.80</w:t>
            </w:r>
          </w:p>
        </w:tc>
        <w:tc>
          <w:tcPr>
            <w:tcW w:w="1360" w:type="dxa"/>
            <w:noWrap w:val="0"/>
            <w:vAlign w:val="center"/>
          </w:tcPr>
          <w:p w14:paraId="30A51951">
            <w:pPr>
              <w:jc w:val="center"/>
              <w:rPr>
                <w:rFonts w:ascii="宋体" w:hAnsi="宋体"/>
                <w:sz w:val="18"/>
                <w:szCs w:val="18"/>
              </w:rPr>
            </w:pPr>
            <w:r>
              <w:rPr>
                <w:rFonts w:ascii="宋体" w:hAnsi="宋体"/>
                <w:sz w:val="18"/>
                <w:szCs w:val="18"/>
              </w:rPr>
              <w:t>11.72～17.67</w:t>
            </w:r>
          </w:p>
        </w:tc>
        <w:tc>
          <w:tcPr>
            <w:tcW w:w="1260" w:type="dxa"/>
            <w:noWrap w:val="0"/>
            <w:vAlign w:val="center"/>
          </w:tcPr>
          <w:p w14:paraId="1503AFCC">
            <w:pPr>
              <w:jc w:val="center"/>
              <w:rPr>
                <w:rFonts w:ascii="宋体" w:hAnsi="宋体"/>
                <w:sz w:val="18"/>
                <w:szCs w:val="18"/>
              </w:rPr>
            </w:pPr>
            <w:r>
              <w:rPr>
                <w:rFonts w:ascii="宋体" w:hAnsi="宋体"/>
                <w:sz w:val="18"/>
                <w:szCs w:val="18"/>
              </w:rPr>
              <w:t>0.10～0.48</w:t>
            </w:r>
          </w:p>
        </w:tc>
        <w:tc>
          <w:tcPr>
            <w:tcW w:w="1620" w:type="dxa"/>
            <w:noWrap w:val="0"/>
            <w:vAlign w:val="center"/>
          </w:tcPr>
          <w:p w14:paraId="68EE22B5">
            <w:pPr>
              <w:jc w:val="center"/>
              <w:rPr>
                <w:rFonts w:ascii="宋体" w:hAnsi="宋体"/>
                <w:sz w:val="18"/>
                <w:szCs w:val="18"/>
              </w:rPr>
            </w:pPr>
            <w:r>
              <w:rPr>
                <w:rFonts w:ascii="宋体" w:hAnsi="宋体"/>
                <w:sz w:val="18"/>
                <w:szCs w:val="18"/>
              </w:rPr>
              <w:t>24.72～32.05</w:t>
            </w:r>
          </w:p>
        </w:tc>
        <w:tc>
          <w:tcPr>
            <w:tcW w:w="800" w:type="dxa"/>
            <w:vMerge w:val="restart"/>
            <w:noWrap w:val="0"/>
            <w:vAlign w:val="center"/>
          </w:tcPr>
          <w:p w14:paraId="520323B5">
            <w:pPr>
              <w:jc w:val="center"/>
              <w:rPr>
                <w:rFonts w:ascii="宋体" w:hAnsi="宋体"/>
                <w:sz w:val="18"/>
                <w:szCs w:val="18"/>
              </w:rPr>
            </w:pPr>
            <w:r>
              <w:rPr>
                <w:rFonts w:hint="eastAsia" w:ascii="宋体" w:hAnsi="宋体"/>
                <w:sz w:val="18"/>
                <w:szCs w:val="18"/>
              </w:rPr>
              <w:t>贫煤</w:t>
            </w:r>
          </w:p>
        </w:tc>
      </w:tr>
      <w:tr w14:paraId="63AE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67F7EF41">
            <w:pPr>
              <w:jc w:val="center"/>
              <w:rPr>
                <w:rFonts w:ascii="宋体" w:hAnsi="宋体"/>
                <w:sz w:val="18"/>
                <w:szCs w:val="18"/>
              </w:rPr>
            </w:pPr>
          </w:p>
        </w:tc>
        <w:tc>
          <w:tcPr>
            <w:tcW w:w="624" w:type="dxa"/>
            <w:vMerge w:val="continue"/>
            <w:noWrap w:val="0"/>
            <w:vAlign w:val="center"/>
          </w:tcPr>
          <w:p w14:paraId="50AF47A7">
            <w:pPr>
              <w:jc w:val="center"/>
              <w:rPr>
                <w:rFonts w:ascii="宋体" w:hAnsi="宋体"/>
                <w:sz w:val="18"/>
                <w:szCs w:val="18"/>
              </w:rPr>
            </w:pPr>
          </w:p>
        </w:tc>
        <w:tc>
          <w:tcPr>
            <w:tcW w:w="1262" w:type="dxa"/>
            <w:noWrap w:val="0"/>
            <w:vAlign w:val="center"/>
          </w:tcPr>
          <w:p w14:paraId="4FC29CF2">
            <w:pPr>
              <w:jc w:val="center"/>
              <w:rPr>
                <w:rFonts w:ascii="宋体" w:hAnsi="宋体"/>
                <w:sz w:val="18"/>
                <w:szCs w:val="18"/>
              </w:rPr>
            </w:pPr>
            <w:r>
              <w:rPr>
                <w:rFonts w:ascii="宋体" w:hAnsi="宋体"/>
                <w:sz w:val="18"/>
                <w:szCs w:val="18"/>
              </w:rPr>
              <w:t>1.14</w:t>
            </w:r>
          </w:p>
        </w:tc>
        <w:tc>
          <w:tcPr>
            <w:tcW w:w="1360" w:type="dxa"/>
            <w:noWrap w:val="0"/>
            <w:vAlign w:val="center"/>
          </w:tcPr>
          <w:p w14:paraId="17FB8376">
            <w:pPr>
              <w:jc w:val="center"/>
              <w:rPr>
                <w:rFonts w:ascii="宋体" w:hAnsi="宋体"/>
                <w:sz w:val="18"/>
                <w:szCs w:val="18"/>
              </w:rPr>
            </w:pPr>
            <w:r>
              <w:rPr>
                <w:rFonts w:ascii="宋体" w:hAnsi="宋体"/>
                <w:sz w:val="18"/>
                <w:szCs w:val="18"/>
              </w:rPr>
              <w:t>21.21</w:t>
            </w:r>
          </w:p>
        </w:tc>
        <w:tc>
          <w:tcPr>
            <w:tcW w:w="1360" w:type="dxa"/>
            <w:noWrap w:val="0"/>
            <w:vAlign w:val="center"/>
          </w:tcPr>
          <w:p w14:paraId="2E8A3091">
            <w:pPr>
              <w:jc w:val="center"/>
              <w:rPr>
                <w:rFonts w:ascii="宋体" w:hAnsi="宋体"/>
                <w:sz w:val="18"/>
                <w:szCs w:val="18"/>
              </w:rPr>
            </w:pPr>
            <w:r>
              <w:rPr>
                <w:rFonts w:ascii="宋体" w:hAnsi="宋体"/>
                <w:sz w:val="18"/>
                <w:szCs w:val="18"/>
              </w:rPr>
              <w:t>12.99</w:t>
            </w:r>
          </w:p>
        </w:tc>
        <w:tc>
          <w:tcPr>
            <w:tcW w:w="1260" w:type="dxa"/>
            <w:noWrap w:val="0"/>
            <w:vAlign w:val="center"/>
          </w:tcPr>
          <w:p w14:paraId="5F95BC63">
            <w:pPr>
              <w:jc w:val="center"/>
              <w:rPr>
                <w:rFonts w:ascii="宋体" w:hAnsi="宋体"/>
                <w:sz w:val="18"/>
                <w:szCs w:val="18"/>
              </w:rPr>
            </w:pPr>
            <w:r>
              <w:rPr>
                <w:rFonts w:ascii="宋体" w:hAnsi="宋体"/>
                <w:sz w:val="18"/>
                <w:szCs w:val="18"/>
              </w:rPr>
              <w:t>0.19</w:t>
            </w:r>
          </w:p>
        </w:tc>
        <w:tc>
          <w:tcPr>
            <w:tcW w:w="1620" w:type="dxa"/>
            <w:noWrap w:val="0"/>
            <w:vAlign w:val="center"/>
          </w:tcPr>
          <w:p w14:paraId="42B1EA9A">
            <w:pPr>
              <w:jc w:val="center"/>
              <w:rPr>
                <w:rFonts w:ascii="宋体" w:hAnsi="宋体"/>
                <w:sz w:val="18"/>
                <w:szCs w:val="18"/>
              </w:rPr>
            </w:pPr>
            <w:r>
              <w:rPr>
                <w:rFonts w:ascii="宋体" w:hAnsi="宋体"/>
                <w:sz w:val="18"/>
                <w:szCs w:val="18"/>
              </w:rPr>
              <w:t>27.72</w:t>
            </w:r>
          </w:p>
        </w:tc>
        <w:tc>
          <w:tcPr>
            <w:tcW w:w="800" w:type="dxa"/>
            <w:vMerge w:val="continue"/>
            <w:noWrap w:val="0"/>
            <w:vAlign w:val="center"/>
          </w:tcPr>
          <w:p w14:paraId="321AB207">
            <w:pPr>
              <w:jc w:val="center"/>
              <w:rPr>
                <w:rFonts w:ascii="宋体" w:hAnsi="宋体"/>
                <w:sz w:val="18"/>
                <w:szCs w:val="18"/>
              </w:rPr>
            </w:pPr>
          </w:p>
        </w:tc>
      </w:tr>
      <w:tr w14:paraId="293B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6426ECDA">
            <w:pPr>
              <w:jc w:val="center"/>
              <w:rPr>
                <w:rFonts w:ascii="宋体" w:hAnsi="宋体"/>
                <w:sz w:val="18"/>
                <w:szCs w:val="18"/>
              </w:rPr>
            </w:pPr>
          </w:p>
        </w:tc>
        <w:tc>
          <w:tcPr>
            <w:tcW w:w="624" w:type="dxa"/>
            <w:vMerge w:val="restart"/>
            <w:noWrap w:val="0"/>
            <w:vAlign w:val="center"/>
          </w:tcPr>
          <w:p w14:paraId="1CEB70D8">
            <w:pPr>
              <w:jc w:val="center"/>
              <w:rPr>
                <w:rFonts w:ascii="宋体" w:hAnsi="宋体"/>
                <w:sz w:val="18"/>
                <w:szCs w:val="18"/>
              </w:rPr>
            </w:pPr>
            <w:r>
              <w:rPr>
                <w:rFonts w:ascii="宋体" w:hAnsi="宋体"/>
                <w:sz w:val="18"/>
                <w:szCs w:val="18"/>
              </w:rPr>
              <w:t>洗煤</w:t>
            </w:r>
          </w:p>
        </w:tc>
        <w:tc>
          <w:tcPr>
            <w:tcW w:w="1262" w:type="dxa"/>
            <w:noWrap w:val="0"/>
            <w:vAlign w:val="center"/>
          </w:tcPr>
          <w:p w14:paraId="642CAF3E">
            <w:pPr>
              <w:jc w:val="center"/>
              <w:rPr>
                <w:rFonts w:ascii="宋体" w:hAnsi="宋体"/>
                <w:sz w:val="18"/>
                <w:szCs w:val="18"/>
              </w:rPr>
            </w:pPr>
            <w:r>
              <w:rPr>
                <w:rFonts w:ascii="宋体" w:hAnsi="宋体"/>
                <w:sz w:val="18"/>
                <w:szCs w:val="18"/>
              </w:rPr>
              <w:t>0.74～1.64</w:t>
            </w:r>
          </w:p>
        </w:tc>
        <w:tc>
          <w:tcPr>
            <w:tcW w:w="1360" w:type="dxa"/>
            <w:noWrap w:val="0"/>
            <w:vAlign w:val="center"/>
          </w:tcPr>
          <w:p w14:paraId="53485BB5">
            <w:pPr>
              <w:jc w:val="center"/>
              <w:rPr>
                <w:rFonts w:ascii="宋体" w:hAnsi="宋体"/>
                <w:sz w:val="18"/>
                <w:szCs w:val="18"/>
              </w:rPr>
            </w:pPr>
            <w:r>
              <w:rPr>
                <w:rFonts w:ascii="宋体" w:hAnsi="宋体"/>
                <w:sz w:val="18"/>
                <w:szCs w:val="18"/>
              </w:rPr>
              <w:t>5.46～11.20</w:t>
            </w:r>
          </w:p>
        </w:tc>
        <w:tc>
          <w:tcPr>
            <w:tcW w:w="1360" w:type="dxa"/>
            <w:noWrap w:val="0"/>
            <w:vAlign w:val="center"/>
          </w:tcPr>
          <w:p w14:paraId="3CFBE6DE">
            <w:pPr>
              <w:jc w:val="center"/>
              <w:rPr>
                <w:rFonts w:ascii="宋体" w:hAnsi="宋体"/>
                <w:sz w:val="18"/>
                <w:szCs w:val="18"/>
              </w:rPr>
            </w:pPr>
            <w:r>
              <w:rPr>
                <w:rFonts w:ascii="宋体" w:hAnsi="宋体"/>
                <w:sz w:val="18"/>
                <w:szCs w:val="18"/>
              </w:rPr>
              <w:t>10.11～12.47</w:t>
            </w:r>
          </w:p>
        </w:tc>
        <w:tc>
          <w:tcPr>
            <w:tcW w:w="1260" w:type="dxa"/>
            <w:noWrap w:val="0"/>
            <w:vAlign w:val="center"/>
          </w:tcPr>
          <w:p w14:paraId="5F168235">
            <w:pPr>
              <w:jc w:val="center"/>
              <w:rPr>
                <w:rFonts w:ascii="宋体" w:hAnsi="宋体"/>
                <w:sz w:val="18"/>
                <w:szCs w:val="18"/>
              </w:rPr>
            </w:pPr>
            <w:r>
              <w:rPr>
                <w:rFonts w:ascii="宋体" w:hAnsi="宋体"/>
                <w:sz w:val="18"/>
                <w:szCs w:val="18"/>
              </w:rPr>
              <w:t>0.14～0.32</w:t>
            </w:r>
          </w:p>
        </w:tc>
        <w:tc>
          <w:tcPr>
            <w:tcW w:w="1620" w:type="dxa"/>
            <w:noWrap w:val="0"/>
            <w:vAlign w:val="center"/>
          </w:tcPr>
          <w:p w14:paraId="703791B1">
            <w:pPr>
              <w:jc w:val="center"/>
              <w:rPr>
                <w:rFonts w:ascii="宋体" w:hAnsi="宋体"/>
                <w:sz w:val="18"/>
                <w:szCs w:val="18"/>
              </w:rPr>
            </w:pPr>
            <w:r>
              <w:rPr>
                <w:rFonts w:ascii="宋体" w:hAnsi="宋体"/>
                <w:sz w:val="18"/>
                <w:szCs w:val="18"/>
              </w:rPr>
              <w:t>32.46～33.96</w:t>
            </w:r>
          </w:p>
        </w:tc>
        <w:tc>
          <w:tcPr>
            <w:tcW w:w="800" w:type="dxa"/>
            <w:vMerge w:val="continue"/>
            <w:noWrap w:val="0"/>
            <w:vAlign w:val="center"/>
          </w:tcPr>
          <w:p w14:paraId="797929BA">
            <w:pPr>
              <w:jc w:val="center"/>
              <w:rPr>
                <w:rFonts w:ascii="宋体" w:hAnsi="宋体"/>
                <w:sz w:val="18"/>
                <w:szCs w:val="18"/>
              </w:rPr>
            </w:pPr>
          </w:p>
        </w:tc>
      </w:tr>
      <w:tr w14:paraId="0E37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4088E137">
            <w:pPr>
              <w:jc w:val="center"/>
              <w:rPr>
                <w:rFonts w:ascii="宋体" w:hAnsi="宋体"/>
                <w:sz w:val="18"/>
                <w:szCs w:val="18"/>
              </w:rPr>
            </w:pPr>
          </w:p>
        </w:tc>
        <w:tc>
          <w:tcPr>
            <w:tcW w:w="624" w:type="dxa"/>
            <w:vMerge w:val="continue"/>
            <w:noWrap w:val="0"/>
            <w:vAlign w:val="center"/>
          </w:tcPr>
          <w:p w14:paraId="52150371">
            <w:pPr>
              <w:jc w:val="center"/>
              <w:rPr>
                <w:rFonts w:ascii="宋体" w:hAnsi="宋体"/>
                <w:sz w:val="18"/>
                <w:szCs w:val="18"/>
              </w:rPr>
            </w:pPr>
          </w:p>
        </w:tc>
        <w:tc>
          <w:tcPr>
            <w:tcW w:w="1262" w:type="dxa"/>
            <w:noWrap w:val="0"/>
            <w:vAlign w:val="center"/>
          </w:tcPr>
          <w:p w14:paraId="5AD54AEB">
            <w:pPr>
              <w:jc w:val="center"/>
              <w:rPr>
                <w:rFonts w:ascii="宋体" w:hAnsi="宋体"/>
                <w:sz w:val="18"/>
                <w:szCs w:val="18"/>
              </w:rPr>
            </w:pPr>
            <w:r>
              <w:rPr>
                <w:rFonts w:ascii="宋体" w:hAnsi="宋体"/>
                <w:sz w:val="18"/>
                <w:szCs w:val="18"/>
              </w:rPr>
              <w:t>1.16</w:t>
            </w:r>
          </w:p>
        </w:tc>
        <w:tc>
          <w:tcPr>
            <w:tcW w:w="1360" w:type="dxa"/>
            <w:noWrap w:val="0"/>
            <w:vAlign w:val="center"/>
          </w:tcPr>
          <w:p w14:paraId="698AF763">
            <w:pPr>
              <w:jc w:val="center"/>
              <w:rPr>
                <w:rFonts w:ascii="宋体" w:hAnsi="宋体"/>
                <w:sz w:val="18"/>
                <w:szCs w:val="18"/>
              </w:rPr>
            </w:pPr>
            <w:r>
              <w:rPr>
                <w:rFonts w:ascii="宋体" w:hAnsi="宋体"/>
                <w:sz w:val="18"/>
                <w:szCs w:val="18"/>
              </w:rPr>
              <w:t>8.07</w:t>
            </w:r>
          </w:p>
        </w:tc>
        <w:tc>
          <w:tcPr>
            <w:tcW w:w="1360" w:type="dxa"/>
            <w:noWrap w:val="0"/>
            <w:vAlign w:val="center"/>
          </w:tcPr>
          <w:p w14:paraId="30B88878">
            <w:pPr>
              <w:jc w:val="center"/>
              <w:rPr>
                <w:rFonts w:ascii="宋体" w:hAnsi="宋体"/>
                <w:sz w:val="18"/>
                <w:szCs w:val="18"/>
              </w:rPr>
            </w:pPr>
            <w:r>
              <w:rPr>
                <w:rFonts w:ascii="宋体" w:hAnsi="宋体"/>
                <w:sz w:val="18"/>
                <w:szCs w:val="18"/>
              </w:rPr>
              <w:t>11.62</w:t>
            </w:r>
          </w:p>
        </w:tc>
        <w:tc>
          <w:tcPr>
            <w:tcW w:w="1260" w:type="dxa"/>
            <w:noWrap w:val="0"/>
            <w:vAlign w:val="center"/>
          </w:tcPr>
          <w:p w14:paraId="2C6EDF58">
            <w:pPr>
              <w:jc w:val="center"/>
              <w:rPr>
                <w:rFonts w:ascii="宋体" w:hAnsi="宋体"/>
                <w:sz w:val="18"/>
                <w:szCs w:val="18"/>
              </w:rPr>
            </w:pPr>
            <w:r>
              <w:rPr>
                <w:rFonts w:ascii="宋体" w:hAnsi="宋体"/>
                <w:sz w:val="18"/>
                <w:szCs w:val="18"/>
              </w:rPr>
              <w:t>0.28</w:t>
            </w:r>
          </w:p>
        </w:tc>
        <w:tc>
          <w:tcPr>
            <w:tcW w:w="1620" w:type="dxa"/>
            <w:noWrap w:val="0"/>
            <w:vAlign w:val="center"/>
          </w:tcPr>
          <w:p w14:paraId="496BDCE4">
            <w:pPr>
              <w:jc w:val="center"/>
              <w:rPr>
                <w:rFonts w:ascii="宋体" w:hAnsi="宋体"/>
                <w:sz w:val="18"/>
                <w:szCs w:val="18"/>
              </w:rPr>
            </w:pPr>
            <w:r>
              <w:rPr>
                <w:rFonts w:ascii="宋体" w:hAnsi="宋体"/>
                <w:sz w:val="18"/>
                <w:szCs w:val="18"/>
              </w:rPr>
              <w:t>33.25</w:t>
            </w:r>
          </w:p>
        </w:tc>
        <w:tc>
          <w:tcPr>
            <w:tcW w:w="800" w:type="dxa"/>
            <w:vMerge w:val="continue"/>
            <w:noWrap w:val="0"/>
            <w:vAlign w:val="center"/>
          </w:tcPr>
          <w:p w14:paraId="4FA9F9A3">
            <w:pPr>
              <w:jc w:val="center"/>
              <w:rPr>
                <w:rFonts w:ascii="宋体" w:hAnsi="宋体"/>
                <w:sz w:val="18"/>
                <w:szCs w:val="18"/>
              </w:rPr>
            </w:pPr>
          </w:p>
        </w:tc>
      </w:tr>
      <w:tr w14:paraId="2E0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2BB88F80">
            <w:pPr>
              <w:jc w:val="center"/>
              <w:rPr>
                <w:rFonts w:ascii="宋体" w:hAnsi="宋体"/>
                <w:sz w:val="18"/>
                <w:szCs w:val="18"/>
              </w:rPr>
            </w:pPr>
            <w:r>
              <w:rPr>
                <w:rFonts w:ascii="宋体" w:hAnsi="宋体"/>
                <w:sz w:val="18"/>
                <w:szCs w:val="18"/>
              </w:rPr>
              <w:t>K35-b</w:t>
            </w:r>
          </w:p>
        </w:tc>
        <w:tc>
          <w:tcPr>
            <w:tcW w:w="624" w:type="dxa"/>
            <w:vMerge w:val="restart"/>
            <w:noWrap w:val="0"/>
            <w:vAlign w:val="center"/>
          </w:tcPr>
          <w:p w14:paraId="1AD91630">
            <w:pPr>
              <w:jc w:val="center"/>
              <w:rPr>
                <w:rFonts w:ascii="宋体" w:hAnsi="宋体"/>
                <w:sz w:val="18"/>
                <w:szCs w:val="18"/>
              </w:rPr>
            </w:pPr>
            <w:r>
              <w:rPr>
                <w:rFonts w:ascii="宋体" w:hAnsi="宋体"/>
                <w:sz w:val="18"/>
                <w:szCs w:val="18"/>
              </w:rPr>
              <w:t>原煤</w:t>
            </w:r>
          </w:p>
        </w:tc>
        <w:tc>
          <w:tcPr>
            <w:tcW w:w="1262" w:type="dxa"/>
            <w:noWrap w:val="0"/>
            <w:vAlign w:val="center"/>
          </w:tcPr>
          <w:p w14:paraId="27FF77E0">
            <w:pPr>
              <w:jc w:val="center"/>
              <w:rPr>
                <w:rFonts w:ascii="宋体" w:hAnsi="宋体"/>
                <w:sz w:val="18"/>
                <w:szCs w:val="18"/>
              </w:rPr>
            </w:pPr>
            <w:r>
              <w:rPr>
                <w:rFonts w:ascii="宋体" w:hAnsi="宋体"/>
                <w:sz w:val="18"/>
                <w:szCs w:val="18"/>
              </w:rPr>
              <w:t>0.74～1.31</w:t>
            </w:r>
          </w:p>
        </w:tc>
        <w:tc>
          <w:tcPr>
            <w:tcW w:w="1360" w:type="dxa"/>
            <w:noWrap w:val="0"/>
            <w:vAlign w:val="center"/>
          </w:tcPr>
          <w:p w14:paraId="65B833E9">
            <w:pPr>
              <w:jc w:val="center"/>
              <w:rPr>
                <w:rFonts w:ascii="宋体" w:hAnsi="宋体"/>
                <w:sz w:val="18"/>
                <w:szCs w:val="18"/>
              </w:rPr>
            </w:pPr>
            <w:r>
              <w:rPr>
                <w:rFonts w:ascii="宋体" w:hAnsi="宋体"/>
                <w:sz w:val="18"/>
                <w:szCs w:val="18"/>
              </w:rPr>
              <w:t>17.48～39.23</w:t>
            </w:r>
          </w:p>
        </w:tc>
        <w:tc>
          <w:tcPr>
            <w:tcW w:w="1360" w:type="dxa"/>
            <w:noWrap w:val="0"/>
            <w:vAlign w:val="center"/>
          </w:tcPr>
          <w:p w14:paraId="727BB26A">
            <w:pPr>
              <w:jc w:val="center"/>
              <w:rPr>
                <w:rFonts w:ascii="宋体" w:hAnsi="宋体"/>
                <w:sz w:val="18"/>
                <w:szCs w:val="18"/>
              </w:rPr>
            </w:pPr>
            <w:r>
              <w:rPr>
                <w:rFonts w:ascii="宋体" w:hAnsi="宋体"/>
                <w:sz w:val="18"/>
                <w:szCs w:val="18"/>
              </w:rPr>
              <w:t>11.61～12.28</w:t>
            </w:r>
          </w:p>
        </w:tc>
        <w:tc>
          <w:tcPr>
            <w:tcW w:w="1260" w:type="dxa"/>
            <w:noWrap w:val="0"/>
            <w:vAlign w:val="center"/>
          </w:tcPr>
          <w:p w14:paraId="36945490">
            <w:pPr>
              <w:jc w:val="center"/>
              <w:rPr>
                <w:rFonts w:ascii="宋体" w:hAnsi="宋体"/>
                <w:sz w:val="18"/>
                <w:szCs w:val="18"/>
              </w:rPr>
            </w:pPr>
            <w:r>
              <w:rPr>
                <w:rFonts w:ascii="宋体" w:hAnsi="宋体"/>
                <w:sz w:val="18"/>
                <w:szCs w:val="18"/>
              </w:rPr>
              <w:t>0.12～0.24</w:t>
            </w:r>
          </w:p>
        </w:tc>
        <w:tc>
          <w:tcPr>
            <w:tcW w:w="1620" w:type="dxa"/>
            <w:noWrap w:val="0"/>
            <w:vAlign w:val="center"/>
          </w:tcPr>
          <w:p w14:paraId="700AC709">
            <w:pPr>
              <w:jc w:val="center"/>
              <w:rPr>
                <w:rFonts w:ascii="宋体" w:hAnsi="宋体"/>
                <w:sz w:val="18"/>
                <w:szCs w:val="18"/>
              </w:rPr>
            </w:pPr>
            <w:r>
              <w:rPr>
                <w:rFonts w:ascii="宋体" w:hAnsi="宋体"/>
                <w:sz w:val="18"/>
                <w:szCs w:val="18"/>
              </w:rPr>
              <w:t>20.64～29.77</w:t>
            </w:r>
          </w:p>
        </w:tc>
        <w:tc>
          <w:tcPr>
            <w:tcW w:w="800" w:type="dxa"/>
            <w:vMerge w:val="restart"/>
            <w:noWrap w:val="0"/>
            <w:vAlign w:val="center"/>
          </w:tcPr>
          <w:p w14:paraId="220D3082">
            <w:pPr>
              <w:jc w:val="center"/>
              <w:rPr>
                <w:rFonts w:ascii="宋体" w:hAnsi="宋体"/>
                <w:sz w:val="18"/>
                <w:szCs w:val="18"/>
              </w:rPr>
            </w:pPr>
            <w:r>
              <w:rPr>
                <w:rFonts w:hint="eastAsia" w:ascii="宋体" w:hAnsi="宋体"/>
                <w:sz w:val="18"/>
                <w:szCs w:val="18"/>
              </w:rPr>
              <w:t>贫煤</w:t>
            </w:r>
          </w:p>
        </w:tc>
      </w:tr>
      <w:tr w14:paraId="111C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1FED8281">
            <w:pPr>
              <w:jc w:val="center"/>
              <w:rPr>
                <w:rFonts w:ascii="宋体" w:hAnsi="宋体"/>
                <w:sz w:val="18"/>
                <w:szCs w:val="18"/>
              </w:rPr>
            </w:pPr>
          </w:p>
        </w:tc>
        <w:tc>
          <w:tcPr>
            <w:tcW w:w="624" w:type="dxa"/>
            <w:vMerge w:val="continue"/>
            <w:noWrap w:val="0"/>
            <w:vAlign w:val="center"/>
          </w:tcPr>
          <w:p w14:paraId="2469C5E4">
            <w:pPr>
              <w:jc w:val="center"/>
              <w:rPr>
                <w:rFonts w:ascii="宋体" w:hAnsi="宋体"/>
                <w:sz w:val="18"/>
                <w:szCs w:val="18"/>
              </w:rPr>
            </w:pPr>
          </w:p>
        </w:tc>
        <w:tc>
          <w:tcPr>
            <w:tcW w:w="1262" w:type="dxa"/>
            <w:noWrap w:val="0"/>
            <w:vAlign w:val="center"/>
          </w:tcPr>
          <w:p w14:paraId="3219D8B5">
            <w:pPr>
              <w:jc w:val="center"/>
              <w:rPr>
                <w:rFonts w:ascii="宋体" w:hAnsi="宋体"/>
                <w:sz w:val="18"/>
                <w:szCs w:val="18"/>
              </w:rPr>
            </w:pPr>
            <w:r>
              <w:rPr>
                <w:rFonts w:ascii="宋体" w:hAnsi="宋体"/>
                <w:sz w:val="18"/>
                <w:szCs w:val="18"/>
              </w:rPr>
              <w:t>1.04</w:t>
            </w:r>
          </w:p>
        </w:tc>
        <w:tc>
          <w:tcPr>
            <w:tcW w:w="1360" w:type="dxa"/>
            <w:noWrap w:val="0"/>
            <w:vAlign w:val="center"/>
          </w:tcPr>
          <w:p w14:paraId="182D4722">
            <w:pPr>
              <w:jc w:val="center"/>
              <w:rPr>
                <w:rFonts w:ascii="宋体" w:hAnsi="宋体"/>
                <w:sz w:val="18"/>
                <w:szCs w:val="18"/>
              </w:rPr>
            </w:pPr>
            <w:r>
              <w:rPr>
                <w:rFonts w:ascii="宋体" w:hAnsi="宋体"/>
                <w:sz w:val="18"/>
                <w:szCs w:val="18"/>
              </w:rPr>
              <w:t>29.71</w:t>
            </w:r>
          </w:p>
        </w:tc>
        <w:tc>
          <w:tcPr>
            <w:tcW w:w="1360" w:type="dxa"/>
            <w:noWrap w:val="0"/>
            <w:vAlign w:val="center"/>
          </w:tcPr>
          <w:p w14:paraId="6E6C3013">
            <w:pPr>
              <w:jc w:val="center"/>
              <w:rPr>
                <w:rFonts w:ascii="宋体" w:hAnsi="宋体"/>
                <w:sz w:val="18"/>
                <w:szCs w:val="18"/>
              </w:rPr>
            </w:pPr>
            <w:r>
              <w:rPr>
                <w:rFonts w:ascii="宋体" w:hAnsi="宋体"/>
                <w:sz w:val="18"/>
                <w:szCs w:val="18"/>
              </w:rPr>
              <w:t>11.91</w:t>
            </w:r>
          </w:p>
        </w:tc>
        <w:tc>
          <w:tcPr>
            <w:tcW w:w="1260" w:type="dxa"/>
            <w:noWrap w:val="0"/>
            <w:vAlign w:val="center"/>
          </w:tcPr>
          <w:p w14:paraId="33200544">
            <w:pPr>
              <w:jc w:val="center"/>
              <w:rPr>
                <w:rFonts w:ascii="宋体" w:hAnsi="宋体"/>
                <w:sz w:val="18"/>
                <w:szCs w:val="18"/>
              </w:rPr>
            </w:pPr>
            <w:r>
              <w:rPr>
                <w:rFonts w:ascii="宋体" w:hAnsi="宋体"/>
                <w:sz w:val="18"/>
                <w:szCs w:val="18"/>
              </w:rPr>
              <w:t>0.18</w:t>
            </w:r>
          </w:p>
        </w:tc>
        <w:tc>
          <w:tcPr>
            <w:tcW w:w="1620" w:type="dxa"/>
            <w:noWrap w:val="0"/>
            <w:vAlign w:val="center"/>
          </w:tcPr>
          <w:p w14:paraId="04547571">
            <w:pPr>
              <w:jc w:val="center"/>
              <w:rPr>
                <w:rFonts w:ascii="宋体" w:hAnsi="宋体"/>
                <w:sz w:val="18"/>
                <w:szCs w:val="18"/>
              </w:rPr>
            </w:pPr>
            <w:r>
              <w:rPr>
                <w:rFonts w:ascii="宋体" w:hAnsi="宋体"/>
                <w:sz w:val="18"/>
                <w:szCs w:val="18"/>
              </w:rPr>
              <w:t>26.53</w:t>
            </w:r>
          </w:p>
        </w:tc>
        <w:tc>
          <w:tcPr>
            <w:tcW w:w="800" w:type="dxa"/>
            <w:vMerge w:val="continue"/>
            <w:noWrap w:val="0"/>
            <w:vAlign w:val="center"/>
          </w:tcPr>
          <w:p w14:paraId="46E2E6DB">
            <w:pPr>
              <w:jc w:val="center"/>
              <w:rPr>
                <w:rFonts w:ascii="宋体" w:hAnsi="宋体"/>
                <w:color w:val="FF0000"/>
                <w:sz w:val="18"/>
                <w:szCs w:val="18"/>
              </w:rPr>
            </w:pPr>
          </w:p>
        </w:tc>
      </w:tr>
      <w:tr w14:paraId="7106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13D95B89">
            <w:pPr>
              <w:jc w:val="center"/>
              <w:rPr>
                <w:rFonts w:ascii="宋体" w:hAnsi="宋体"/>
                <w:sz w:val="18"/>
                <w:szCs w:val="18"/>
              </w:rPr>
            </w:pPr>
          </w:p>
        </w:tc>
        <w:tc>
          <w:tcPr>
            <w:tcW w:w="624" w:type="dxa"/>
            <w:vMerge w:val="restart"/>
            <w:noWrap w:val="0"/>
            <w:vAlign w:val="center"/>
          </w:tcPr>
          <w:p w14:paraId="49CA51E7">
            <w:pPr>
              <w:jc w:val="center"/>
              <w:rPr>
                <w:rFonts w:ascii="宋体" w:hAnsi="宋体"/>
                <w:sz w:val="18"/>
                <w:szCs w:val="18"/>
              </w:rPr>
            </w:pPr>
            <w:r>
              <w:rPr>
                <w:rFonts w:ascii="宋体" w:hAnsi="宋体"/>
                <w:sz w:val="18"/>
                <w:szCs w:val="18"/>
              </w:rPr>
              <w:t>洗煤</w:t>
            </w:r>
          </w:p>
        </w:tc>
        <w:tc>
          <w:tcPr>
            <w:tcW w:w="1262" w:type="dxa"/>
            <w:noWrap w:val="0"/>
            <w:vAlign w:val="center"/>
          </w:tcPr>
          <w:p w14:paraId="7F54C5F0">
            <w:pPr>
              <w:jc w:val="center"/>
              <w:rPr>
                <w:rFonts w:ascii="宋体" w:hAnsi="宋体"/>
                <w:sz w:val="18"/>
                <w:szCs w:val="18"/>
              </w:rPr>
            </w:pPr>
            <w:r>
              <w:rPr>
                <w:rFonts w:ascii="宋体" w:hAnsi="宋体"/>
                <w:sz w:val="18"/>
                <w:szCs w:val="18"/>
              </w:rPr>
              <w:t>0.69～1.35</w:t>
            </w:r>
          </w:p>
        </w:tc>
        <w:tc>
          <w:tcPr>
            <w:tcW w:w="1360" w:type="dxa"/>
            <w:noWrap w:val="0"/>
            <w:vAlign w:val="center"/>
          </w:tcPr>
          <w:p w14:paraId="1B3CB1F1">
            <w:pPr>
              <w:jc w:val="center"/>
              <w:rPr>
                <w:rFonts w:ascii="宋体" w:hAnsi="宋体"/>
                <w:sz w:val="18"/>
                <w:szCs w:val="18"/>
              </w:rPr>
            </w:pPr>
            <w:r>
              <w:rPr>
                <w:rFonts w:ascii="宋体" w:hAnsi="宋体"/>
                <w:sz w:val="18"/>
                <w:szCs w:val="18"/>
              </w:rPr>
              <w:t>6.74～11.20</w:t>
            </w:r>
          </w:p>
        </w:tc>
        <w:tc>
          <w:tcPr>
            <w:tcW w:w="1360" w:type="dxa"/>
            <w:noWrap w:val="0"/>
            <w:vAlign w:val="center"/>
          </w:tcPr>
          <w:p w14:paraId="0691457C">
            <w:pPr>
              <w:jc w:val="center"/>
              <w:rPr>
                <w:rFonts w:ascii="宋体" w:hAnsi="宋体"/>
                <w:sz w:val="18"/>
                <w:szCs w:val="18"/>
              </w:rPr>
            </w:pPr>
            <w:r>
              <w:rPr>
                <w:rFonts w:ascii="宋体" w:hAnsi="宋体"/>
                <w:sz w:val="18"/>
                <w:szCs w:val="18"/>
              </w:rPr>
              <w:t>10.58～11.50</w:t>
            </w:r>
          </w:p>
        </w:tc>
        <w:tc>
          <w:tcPr>
            <w:tcW w:w="1260" w:type="dxa"/>
            <w:noWrap w:val="0"/>
            <w:vAlign w:val="center"/>
          </w:tcPr>
          <w:p w14:paraId="1DFE911B">
            <w:pPr>
              <w:jc w:val="center"/>
              <w:rPr>
                <w:rFonts w:ascii="宋体" w:hAnsi="宋体"/>
                <w:sz w:val="18"/>
                <w:szCs w:val="18"/>
              </w:rPr>
            </w:pPr>
            <w:r>
              <w:rPr>
                <w:rFonts w:ascii="宋体" w:hAnsi="宋体"/>
                <w:sz w:val="18"/>
                <w:szCs w:val="18"/>
              </w:rPr>
              <w:t>0.18～0.29</w:t>
            </w:r>
          </w:p>
        </w:tc>
        <w:tc>
          <w:tcPr>
            <w:tcW w:w="1620" w:type="dxa"/>
            <w:noWrap w:val="0"/>
            <w:vAlign w:val="center"/>
          </w:tcPr>
          <w:p w14:paraId="7918FC39">
            <w:pPr>
              <w:jc w:val="center"/>
              <w:rPr>
                <w:rFonts w:ascii="宋体" w:hAnsi="宋体"/>
                <w:sz w:val="18"/>
                <w:szCs w:val="18"/>
              </w:rPr>
            </w:pPr>
            <w:r>
              <w:rPr>
                <w:rFonts w:ascii="宋体" w:hAnsi="宋体"/>
                <w:sz w:val="18"/>
                <w:szCs w:val="18"/>
              </w:rPr>
              <w:t>32.14～34.16</w:t>
            </w:r>
          </w:p>
        </w:tc>
        <w:tc>
          <w:tcPr>
            <w:tcW w:w="800" w:type="dxa"/>
            <w:vMerge w:val="continue"/>
            <w:noWrap w:val="0"/>
            <w:vAlign w:val="center"/>
          </w:tcPr>
          <w:p w14:paraId="1794ACAE">
            <w:pPr>
              <w:jc w:val="center"/>
              <w:rPr>
                <w:rFonts w:ascii="宋体" w:hAnsi="宋体"/>
                <w:color w:val="FF0000"/>
                <w:sz w:val="18"/>
                <w:szCs w:val="18"/>
              </w:rPr>
            </w:pPr>
          </w:p>
        </w:tc>
      </w:tr>
      <w:tr w14:paraId="3D55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2754BBC0">
            <w:pPr>
              <w:jc w:val="center"/>
              <w:rPr>
                <w:rFonts w:ascii="宋体" w:hAnsi="宋体"/>
                <w:sz w:val="18"/>
                <w:szCs w:val="18"/>
              </w:rPr>
            </w:pPr>
          </w:p>
        </w:tc>
        <w:tc>
          <w:tcPr>
            <w:tcW w:w="624" w:type="dxa"/>
            <w:vMerge w:val="continue"/>
            <w:noWrap w:val="0"/>
            <w:vAlign w:val="center"/>
          </w:tcPr>
          <w:p w14:paraId="720F54ED">
            <w:pPr>
              <w:jc w:val="center"/>
              <w:rPr>
                <w:rFonts w:ascii="宋体" w:hAnsi="宋体"/>
                <w:sz w:val="18"/>
                <w:szCs w:val="18"/>
              </w:rPr>
            </w:pPr>
          </w:p>
        </w:tc>
        <w:tc>
          <w:tcPr>
            <w:tcW w:w="1262" w:type="dxa"/>
            <w:noWrap w:val="0"/>
            <w:vAlign w:val="center"/>
          </w:tcPr>
          <w:p w14:paraId="1F9DC010">
            <w:pPr>
              <w:jc w:val="center"/>
              <w:rPr>
                <w:rFonts w:ascii="宋体" w:hAnsi="宋体"/>
                <w:sz w:val="18"/>
                <w:szCs w:val="18"/>
              </w:rPr>
            </w:pPr>
            <w:r>
              <w:rPr>
                <w:rFonts w:ascii="宋体" w:hAnsi="宋体"/>
                <w:sz w:val="18"/>
                <w:szCs w:val="18"/>
              </w:rPr>
              <w:t>1.09</w:t>
            </w:r>
          </w:p>
        </w:tc>
        <w:tc>
          <w:tcPr>
            <w:tcW w:w="1360" w:type="dxa"/>
            <w:noWrap w:val="0"/>
            <w:vAlign w:val="center"/>
          </w:tcPr>
          <w:p w14:paraId="327BB357">
            <w:pPr>
              <w:jc w:val="center"/>
              <w:rPr>
                <w:rFonts w:ascii="宋体" w:hAnsi="宋体"/>
                <w:sz w:val="18"/>
                <w:szCs w:val="18"/>
              </w:rPr>
            </w:pPr>
            <w:r>
              <w:rPr>
                <w:rFonts w:ascii="宋体" w:hAnsi="宋体"/>
                <w:sz w:val="18"/>
                <w:szCs w:val="18"/>
              </w:rPr>
              <w:t>9.12</w:t>
            </w:r>
          </w:p>
        </w:tc>
        <w:tc>
          <w:tcPr>
            <w:tcW w:w="1360" w:type="dxa"/>
            <w:noWrap w:val="0"/>
            <w:vAlign w:val="center"/>
          </w:tcPr>
          <w:p w14:paraId="392FB6A7">
            <w:pPr>
              <w:jc w:val="center"/>
              <w:rPr>
                <w:rFonts w:ascii="宋体" w:hAnsi="宋体"/>
                <w:sz w:val="18"/>
                <w:szCs w:val="18"/>
              </w:rPr>
            </w:pPr>
            <w:r>
              <w:rPr>
                <w:rFonts w:ascii="宋体" w:hAnsi="宋体"/>
                <w:sz w:val="18"/>
                <w:szCs w:val="18"/>
              </w:rPr>
              <w:t>10.92</w:t>
            </w:r>
          </w:p>
        </w:tc>
        <w:tc>
          <w:tcPr>
            <w:tcW w:w="1260" w:type="dxa"/>
            <w:noWrap w:val="0"/>
            <w:vAlign w:val="center"/>
          </w:tcPr>
          <w:p w14:paraId="12B32786">
            <w:pPr>
              <w:jc w:val="center"/>
              <w:rPr>
                <w:rFonts w:ascii="宋体" w:hAnsi="宋体"/>
                <w:sz w:val="18"/>
                <w:szCs w:val="18"/>
              </w:rPr>
            </w:pPr>
            <w:r>
              <w:rPr>
                <w:rFonts w:ascii="宋体" w:hAnsi="宋体"/>
                <w:sz w:val="18"/>
                <w:szCs w:val="18"/>
              </w:rPr>
              <w:t>0.24</w:t>
            </w:r>
          </w:p>
        </w:tc>
        <w:tc>
          <w:tcPr>
            <w:tcW w:w="1620" w:type="dxa"/>
            <w:noWrap w:val="0"/>
            <w:vAlign w:val="center"/>
          </w:tcPr>
          <w:p w14:paraId="039967E4">
            <w:pPr>
              <w:jc w:val="center"/>
              <w:rPr>
                <w:rFonts w:ascii="宋体" w:hAnsi="宋体"/>
                <w:sz w:val="18"/>
                <w:szCs w:val="18"/>
              </w:rPr>
            </w:pPr>
            <w:r>
              <w:rPr>
                <w:rFonts w:ascii="宋体" w:hAnsi="宋体"/>
                <w:sz w:val="18"/>
                <w:szCs w:val="18"/>
              </w:rPr>
              <w:t>33.15</w:t>
            </w:r>
          </w:p>
        </w:tc>
        <w:tc>
          <w:tcPr>
            <w:tcW w:w="800" w:type="dxa"/>
            <w:vMerge w:val="continue"/>
            <w:noWrap w:val="0"/>
            <w:vAlign w:val="center"/>
          </w:tcPr>
          <w:p w14:paraId="3DEF1F0A">
            <w:pPr>
              <w:jc w:val="center"/>
              <w:rPr>
                <w:rFonts w:ascii="宋体" w:hAnsi="宋体"/>
                <w:color w:val="FF0000"/>
                <w:sz w:val="18"/>
                <w:szCs w:val="18"/>
              </w:rPr>
            </w:pPr>
          </w:p>
        </w:tc>
      </w:tr>
      <w:tr w14:paraId="02A8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187A34C4">
            <w:pPr>
              <w:jc w:val="center"/>
              <w:rPr>
                <w:rFonts w:ascii="宋体" w:hAnsi="宋体"/>
                <w:sz w:val="18"/>
                <w:szCs w:val="18"/>
              </w:rPr>
            </w:pPr>
            <w:r>
              <w:rPr>
                <w:rFonts w:ascii="宋体" w:hAnsi="宋体"/>
                <w:sz w:val="18"/>
                <w:szCs w:val="18"/>
              </w:rPr>
              <w:t>K106-b</w:t>
            </w:r>
          </w:p>
        </w:tc>
        <w:tc>
          <w:tcPr>
            <w:tcW w:w="624" w:type="dxa"/>
            <w:vMerge w:val="restart"/>
            <w:noWrap w:val="0"/>
            <w:vAlign w:val="center"/>
          </w:tcPr>
          <w:p w14:paraId="14C40BD9">
            <w:pPr>
              <w:jc w:val="center"/>
              <w:rPr>
                <w:rFonts w:ascii="宋体" w:hAnsi="宋体"/>
                <w:sz w:val="18"/>
                <w:szCs w:val="18"/>
              </w:rPr>
            </w:pPr>
            <w:r>
              <w:rPr>
                <w:rFonts w:ascii="宋体" w:hAnsi="宋体"/>
                <w:sz w:val="18"/>
                <w:szCs w:val="18"/>
              </w:rPr>
              <w:t>原煤</w:t>
            </w:r>
          </w:p>
        </w:tc>
        <w:tc>
          <w:tcPr>
            <w:tcW w:w="1262" w:type="dxa"/>
            <w:noWrap w:val="0"/>
            <w:vAlign w:val="center"/>
          </w:tcPr>
          <w:p w14:paraId="0E0D4696">
            <w:pPr>
              <w:jc w:val="center"/>
              <w:rPr>
                <w:rFonts w:ascii="宋体" w:hAnsi="宋体"/>
                <w:sz w:val="18"/>
                <w:szCs w:val="18"/>
              </w:rPr>
            </w:pPr>
            <w:r>
              <w:rPr>
                <w:rFonts w:ascii="宋体" w:hAnsi="宋体"/>
                <w:sz w:val="18"/>
                <w:szCs w:val="18"/>
              </w:rPr>
              <w:t>0.62～1.53</w:t>
            </w:r>
          </w:p>
        </w:tc>
        <w:tc>
          <w:tcPr>
            <w:tcW w:w="1360" w:type="dxa"/>
            <w:noWrap w:val="0"/>
            <w:vAlign w:val="center"/>
          </w:tcPr>
          <w:p w14:paraId="68495474">
            <w:pPr>
              <w:jc w:val="center"/>
              <w:rPr>
                <w:rFonts w:ascii="宋体" w:hAnsi="宋体"/>
                <w:sz w:val="18"/>
                <w:szCs w:val="18"/>
              </w:rPr>
            </w:pPr>
            <w:r>
              <w:rPr>
                <w:rFonts w:ascii="宋体" w:hAnsi="宋体"/>
                <w:sz w:val="18"/>
                <w:szCs w:val="18"/>
              </w:rPr>
              <w:t>15.97～36.86</w:t>
            </w:r>
          </w:p>
        </w:tc>
        <w:tc>
          <w:tcPr>
            <w:tcW w:w="1360" w:type="dxa"/>
            <w:noWrap w:val="0"/>
            <w:vAlign w:val="center"/>
          </w:tcPr>
          <w:p w14:paraId="5E825528">
            <w:pPr>
              <w:jc w:val="center"/>
              <w:rPr>
                <w:rFonts w:ascii="宋体" w:hAnsi="宋体"/>
                <w:sz w:val="18"/>
                <w:szCs w:val="18"/>
              </w:rPr>
            </w:pPr>
            <w:r>
              <w:rPr>
                <w:rFonts w:ascii="宋体" w:hAnsi="宋体"/>
                <w:sz w:val="18"/>
                <w:szCs w:val="18"/>
              </w:rPr>
              <w:t>8.00～13.12</w:t>
            </w:r>
          </w:p>
        </w:tc>
        <w:tc>
          <w:tcPr>
            <w:tcW w:w="1260" w:type="dxa"/>
            <w:noWrap w:val="0"/>
            <w:vAlign w:val="center"/>
          </w:tcPr>
          <w:p w14:paraId="2EF421C1">
            <w:pPr>
              <w:jc w:val="center"/>
              <w:rPr>
                <w:rFonts w:ascii="宋体" w:hAnsi="宋体"/>
                <w:sz w:val="18"/>
                <w:szCs w:val="18"/>
              </w:rPr>
            </w:pPr>
            <w:r>
              <w:rPr>
                <w:rFonts w:ascii="宋体" w:hAnsi="宋体"/>
                <w:sz w:val="18"/>
                <w:szCs w:val="18"/>
              </w:rPr>
              <w:t>0.08～3.34</w:t>
            </w:r>
          </w:p>
        </w:tc>
        <w:tc>
          <w:tcPr>
            <w:tcW w:w="1620" w:type="dxa"/>
            <w:noWrap w:val="0"/>
            <w:vAlign w:val="center"/>
          </w:tcPr>
          <w:p w14:paraId="4AF3D8C2">
            <w:pPr>
              <w:jc w:val="center"/>
              <w:rPr>
                <w:rFonts w:ascii="宋体" w:hAnsi="宋体"/>
                <w:sz w:val="18"/>
                <w:szCs w:val="18"/>
              </w:rPr>
            </w:pPr>
            <w:r>
              <w:rPr>
                <w:rFonts w:ascii="宋体" w:hAnsi="宋体"/>
                <w:sz w:val="18"/>
                <w:szCs w:val="18"/>
              </w:rPr>
              <w:t>21.52～29.38</w:t>
            </w:r>
          </w:p>
        </w:tc>
        <w:tc>
          <w:tcPr>
            <w:tcW w:w="800" w:type="dxa"/>
            <w:vMerge w:val="restart"/>
            <w:noWrap w:val="0"/>
            <w:vAlign w:val="center"/>
          </w:tcPr>
          <w:p w14:paraId="73C9058A">
            <w:pPr>
              <w:rPr>
                <w:rFonts w:ascii="宋体" w:hAnsi="宋体"/>
                <w:sz w:val="18"/>
                <w:szCs w:val="18"/>
              </w:rPr>
            </w:pPr>
            <w:r>
              <w:rPr>
                <w:rFonts w:hint="eastAsia" w:ascii="宋体" w:hAnsi="宋体"/>
                <w:sz w:val="18"/>
                <w:szCs w:val="18"/>
              </w:rPr>
              <w:t>无烟煤</w:t>
            </w:r>
          </w:p>
        </w:tc>
      </w:tr>
      <w:tr w14:paraId="5210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333E4E3E">
            <w:pPr>
              <w:jc w:val="center"/>
              <w:rPr>
                <w:rFonts w:ascii="宋体" w:hAnsi="宋体"/>
                <w:sz w:val="18"/>
                <w:szCs w:val="18"/>
              </w:rPr>
            </w:pPr>
          </w:p>
        </w:tc>
        <w:tc>
          <w:tcPr>
            <w:tcW w:w="624" w:type="dxa"/>
            <w:vMerge w:val="continue"/>
            <w:noWrap w:val="0"/>
            <w:vAlign w:val="center"/>
          </w:tcPr>
          <w:p w14:paraId="12C685A7">
            <w:pPr>
              <w:jc w:val="center"/>
              <w:rPr>
                <w:rFonts w:ascii="宋体" w:hAnsi="宋体"/>
                <w:sz w:val="18"/>
                <w:szCs w:val="18"/>
              </w:rPr>
            </w:pPr>
          </w:p>
        </w:tc>
        <w:tc>
          <w:tcPr>
            <w:tcW w:w="1262" w:type="dxa"/>
            <w:noWrap w:val="0"/>
            <w:vAlign w:val="center"/>
          </w:tcPr>
          <w:p w14:paraId="1EAABEDB">
            <w:pPr>
              <w:jc w:val="center"/>
              <w:rPr>
                <w:rFonts w:ascii="宋体" w:hAnsi="宋体"/>
                <w:sz w:val="18"/>
                <w:szCs w:val="18"/>
              </w:rPr>
            </w:pPr>
            <w:r>
              <w:rPr>
                <w:rFonts w:ascii="宋体" w:hAnsi="宋体"/>
                <w:sz w:val="18"/>
                <w:szCs w:val="18"/>
              </w:rPr>
              <w:t>1.10</w:t>
            </w:r>
          </w:p>
        </w:tc>
        <w:tc>
          <w:tcPr>
            <w:tcW w:w="1360" w:type="dxa"/>
            <w:noWrap w:val="0"/>
            <w:vAlign w:val="center"/>
          </w:tcPr>
          <w:p w14:paraId="1E17DB39">
            <w:pPr>
              <w:jc w:val="center"/>
              <w:rPr>
                <w:rFonts w:ascii="宋体" w:hAnsi="宋体"/>
                <w:sz w:val="18"/>
                <w:szCs w:val="18"/>
              </w:rPr>
            </w:pPr>
            <w:r>
              <w:rPr>
                <w:rFonts w:ascii="宋体" w:hAnsi="宋体"/>
                <w:sz w:val="18"/>
                <w:szCs w:val="18"/>
              </w:rPr>
              <w:t>29.50</w:t>
            </w:r>
          </w:p>
        </w:tc>
        <w:tc>
          <w:tcPr>
            <w:tcW w:w="1360" w:type="dxa"/>
            <w:noWrap w:val="0"/>
            <w:vAlign w:val="center"/>
          </w:tcPr>
          <w:p w14:paraId="1C28FA92">
            <w:pPr>
              <w:jc w:val="center"/>
              <w:rPr>
                <w:rFonts w:ascii="宋体" w:hAnsi="宋体"/>
                <w:sz w:val="18"/>
                <w:szCs w:val="18"/>
              </w:rPr>
            </w:pPr>
            <w:r>
              <w:rPr>
                <w:rFonts w:ascii="宋体" w:hAnsi="宋体"/>
                <w:sz w:val="18"/>
                <w:szCs w:val="18"/>
              </w:rPr>
              <w:t>10.75</w:t>
            </w:r>
          </w:p>
        </w:tc>
        <w:tc>
          <w:tcPr>
            <w:tcW w:w="1260" w:type="dxa"/>
            <w:noWrap w:val="0"/>
            <w:vAlign w:val="center"/>
          </w:tcPr>
          <w:p w14:paraId="27CF38AC">
            <w:pPr>
              <w:jc w:val="center"/>
              <w:rPr>
                <w:rFonts w:ascii="宋体" w:hAnsi="宋体"/>
                <w:sz w:val="18"/>
                <w:szCs w:val="18"/>
              </w:rPr>
            </w:pPr>
            <w:r>
              <w:rPr>
                <w:rFonts w:ascii="宋体" w:hAnsi="宋体"/>
                <w:sz w:val="18"/>
                <w:szCs w:val="18"/>
              </w:rPr>
              <w:t>1.80</w:t>
            </w:r>
          </w:p>
        </w:tc>
        <w:tc>
          <w:tcPr>
            <w:tcW w:w="1620" w:type="dxa"/>
            <w:noWrap w:val="0"/>
            <w:vAlign w:val="center"/>
          </w:tcPr>
          <w:p w14:paraId="3991CF83">
            <w:pPr>
              <w:jc w:val="center"/>
              <w:rPr>
                <w:rFonts w:ascii="宋体" w:hAnsi="宋体"/>
                <w:sz w:val="18"/>
                <w:szCs w:val="18"/>
              </w:rPr>
            </w:pPr>
            <w:r>
              <w:rPr>
                <w:rFonts w:ascii="宋体" w:hAnsi="宋体"/>
                <w:sz w:val="18"/>
                <w:szCs w:val="18"/>
              </w:rPr>
              <w:t>24.95</w:t>
            </w:r>
          </w:p>
        </w:tc>
        <w:tc>
          <w:tcPr>
            <w:tcW w:w="800" w:type="dxa"/>
            <w:vMerge w:val="continue"/>
            <w:noWrap w:val="0"/>
            <w:vAlign w:val="center"/>
          </w:tcPr>
          <w:p w14:paraId="7C33CE8F">
            <w:pPr>
              <w:jc w:val="center"/>
              <w:rPr>
                <w:rFonts w:ascii="宋体" w:hAnsi="宋体"/>
                <w:sz w:val="18"/>
                <w:szCs w:val="18"/>
              </w:rPr>
            </w:pPr>
          </w:p>
        </w:tc>
      </w:tr>
      <w:tr w14:paraId="6B00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35C9AFB1">
            <w:pPr>
              <w:jc w:val="center"/>
              <w:rPr>
                <w:rFonts w:ascii="宋体" w:hAnsi="宋体"/>
                <w:sz w:val="18"/>
                <w:szCs w:val="18"/>
              </w:rPr>
            </w:pPr>
          </w:p>
        </w:tc>
        <w:tc>
          <w:tcPr>
            <w:tcW w:w="624" w:type="dxa"/>
            <w:vMerge w:val="restart"/>
            <w:noWrap w:val="0"/>
            <w:vAlign w:val="center"/>
          </w:tcPr>
          <w:p w14:paraId="2C0AAD0A">
            <w:pPr>
              <w:jc w:val="center"/>
              <w:rPr>
                <w:rFonts w:ascii="宋体" w:hAnsi="宋体"/>
                <w:sz w:val="18"/>
                <w:szCs w:val="18"/>
              </w:rPr>
            </w:pPr>
            <w:r>
              <w:rPr>
                <w:rFonts w:ascii="宋体" w:hAnsi="宋体"/>
                <w:sz w:val="18"/>
                <w:szCs w:val="18"/>
              </w:rPr>
              <w:t>洗煤</w:t>
            </w:r>
          </w:p>
        </w:tc>
        <w:tc>
          <w:tcPr>
            <w:tcW w:w="1262" w:type="dxa"/>
            <w:noWrap w:val="0"/>
            <w:vAlign w:val="center"/>
          </w:tcPr>
          <w:p w14:paraId="3B017957">
            <w:pPr>
              <w:jc w:val="center"/>
              <w:rPr>
                <w:rFonts w:ascii="宋体" w:hAnsi="宋体"/>
                <w:sz w:val="18"/>
                <w:szCs w:val="18"/>
              </w:rPr>
            </w:pPr>
            <w:r>
              <w:rPr>
                <w:rFonts w:ascii="宋体" w:hAnsi="宋体"/>
                <w:sz w:val="18"/>
                <w:szCs w:val="18"/>
              </w:rPr>
              <w:t>0.59～1.67</w:t>
            </w:r>
          </w:p>
        </w:tc>
        <w:tc>
          <w:tcPr>
            <w:tcW w:w="1360" w:type="dxa"/>
            <w:noWrap w:val="0"/>
            <w:vAlign w:val="center"/>
          </w:tcPr>
          <w:p w14:paraId="4800887F">
            <w:pPr>
              <w:jc w:val="center"/>
              <w:rPr>
                <w:rFonts w:ascii="宋体" w:hAnsi="宋体"/>
                <w:sz w:val="18"/>
                <w:szCs w:val="18"/>
              </w:rPr>
            </w:pPr>
            <w:r>
              <w:rPr>
                <w:rFonts w:ascii="宋体" w:hAnsi="宋体"/>
                <w:sz w:val="18"/>
                <w:szCs w:val="18"/>
              </w:rPr>
              <w:t>3.18～12.42</w:t>
            </w:r>
          </w:p>
        </w:tc>
        <w:tc>
          <w:tcPr>
            <w:tcW w:w="1360" w:type="dxa"/>
            <w:noWrap w:val="0"/>
            <w:vAlign w:val="center"/>
          </w:tcPr>
          <w:p w14:paraId="73156B3D">
            <w:pPr>
              <w:jc w:val="center"/>
              <w:rPr>
                <w:rFonts w:ascii="宋体" w:hAnsi="宋体"/>
                <w:sz w:val="18"/>
                <w:szCs w:val="18"/>
              </w:rPr>
            </w:pPr>
            <w:r>
              <w:rPr>
                <w:rFonts w:ascii="宋体" w:hAnsi="宋体"/>
                <w:sz w:val="18"/>
                <w:szCs w:val="18"/>
              </w:rPr>
              <w:t>7.44～11.08</w:t>
            </w:r>
          </w:p>
        </w:tc>
        <w:tc>
          <w:tcPr>
            <w:tcW w:w="1260" w:type="dxa"/>
            <w:noWrap w:val="0"/>
            <w:vAlign w:val="center"/>
          </w:tcPr>
          <w:p w14:paraId="36993184">
            <w:pPr>
              <w:jc w:val="center"/>
              <w:rPr>
                <w:rFonts w:ascii="宋体" w:hAnsi="宋体"/>
                <w:sz w:val="18"/>
                <w:szCs w:val="18"/>
              </w:rPr>
            </w:pPr>
            <w:r>
              <w:rPr>
                <w:rFonts w:ascii="宋体" w:hAnsi="宋体"/>
                <w:sz w:val="18"/>
                <w:szCs w:val="18"/>
              </w:rPr>
              <w:t>0.25～2.07</w:t>
            </w:r>
          </w:p>
        </w:tc>
        <w:tc>
          <w:tcPr>
            <w:tcW w:w="1620" w:type="dxa"/>
            <w:noWrap w:val="0"/>
            <w:vAlign w:val="center"/>
          </w:tcPr>
          <w:p w14:paraId="54AD0131">
            <w:pPr>
              <w:jc w:val="center"/>
              <w:rPr>
                <w:rFonts w:ascii="宋体" w:hAnsi="宋体"/>
                <w:sz w:val="18"/>
                <w:szCs w:val="18"/>
              </w:rPr>
            </w:pPr>
            <w:r>
              <w:rPr>
                <w:rFonts w:ascii="宋体" w:hAnsi="宋体"/>
                <w:sz w:val="18"/>
                <w:szCs w:val="18"/>
              </w:rPr>
              <w:t>32.07～35.18</w:t>
            </w:r>
          </w:p>
        </w:tc>
        <w:tc>
          <w:tcPr>
            <w:tcW w:w="800" w:type="dxa"/>
            <w:vMerge w:val="continue"/>
            <w:noWrap w:val="0"/>
            <w:vAlign w:val="center"/>
          </w:tcPr>
          <w:p w14:paraId="4E200529">
            <w:pPr>
              <w:jc w:val="center"/>
              <w:rPr>
                <w:rFonts w:ascii="宋体" w:hAnsi="宋体"/>
                <w:sz w:val="18"/>
                <w:szCs w:val="18"/>
              </w:rPr>
            </w:pPr>
          </w:p>
        </w:tc>
      </w:tr>
      <w:tr w14:paraId="3503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2E0E1862">
            <w:pPr>
              <w:jc w:val="center"/>
              <w:rPr>
                <w:rFonts w:ascii="宋体" w:hAnsi="宋体"/>
                <w:sz w:val="18"/>
                <w:szCs w:val="18"/>
              </w:rPr>
            </w:pPr>
          </w:p>
        </w:tc>
        <w:tc>
          <w:tcPr>
            <w:tcW w:w="624" w:type="dxa"/>
            <w:vMerge w:val="continue"/>
            <w:noWrap w:val="0"/>
            <w:vAlign w:val="center"/>
          </w:tcPr>
          <w:p w14:paraId="53788832">
            <w:pPr>
              <w:jc w:val="center"/>
              <w:rPr>
                <w:rFonts w:ascii="宋体" w:hAnsi="宋体"/>
                <w:sz w:val="18"/>
                <w:szCs w:val="18"/>
              </w:rPr>
            </w:pPr>
          </w:p>
        </w:tc>
        <w:tc>
          <w:tcPr>
            <w:tcW w:w="1262" w:type="dxa"/>
            <w:noWrap w:val="0"/>
            <w:vAlign w:val="center"/>
          </w:tcPr>
          <w:p w14:paraId="4E105495">
            <w:pPr>
              <w:jc w:val="center"/>
              <w:rPr>
                <w:rFonts w:ascii="宋体" w:hAnsi="宋体"/>
                <w:sz w:val="18"/>
                <w:szCs w:val="18"/>
              </w:rPr>
            </w:pPr>
            <w:r>
              <w:rPr>
                <w:rFonts w:ascii="宋体" w:hAnsi="宋体"/>
                <w:sz w:val="18"/>
                <w:szCs w:val="18"/>
              </w:rPr>
              <w:t>1.22</w:t>
            </w:r>
          </w:p>
        </w:tc>
        <w:tc>
          <w:tcPr>
            <w:tcW w:w="1360" w:type="dxa"/>
            <w:noWrap w:val="0"/>
            <w:vAlign w:val="center"/>
          </w:tcPr>
          <w:p w14:paraId="3B24601B">
            <w:pPr>
              <w:jc w:val="center"/>
              <w:rPr>
                <w:rFonts w:ascii="宋体" w:hAnsi="宋体"/>
                <w:sz w:val="18"/>
                <w:szCs w:val="18"/>
              </w:rPr>
            </w:pPr>
            <w:r>
              <w:rPr>
                <w:rFonts w:ascii="宋体" w:hAnsi="宋体"/>
                <w:sz w:val="18"/>
                <w:szCs w:val="18"/>
              </w:rPr>
              <w:t>7.19</w:t>
            </w:r>
          </w:p>
        </w:tc>
        <w:tc>
          <w:tcPr>
            <w:tcW w:w="1360" w:type="dxa"/>
            <w:noWrap w:val="0"/>
            <w:vAlign w:val="center"/>
          </w:tcPr>
          <w:p w14:paraId="24DAB6FD">
            <w:pPr>
              <w:jc w:val="center"/>
              <w:rPr>
                <w:rFonts w:ascii="宋体" w:hAnsi="宋体"/>
                <w:sz w:val="18"/>
                <w:szCs w:val="18"/>
              </w:rPr>
            </w:pPr>
            <w:r>
              <w:rPr>
                <w:rFonts w:ascii="宋体" w:hAnsi="宋体"/>
                <w:sz w:val="18"/>
                <w:szCs w:val="18"/>
              </w:rPr>
              <w:t>9.16</w:t>
            </w:r>
          </w:p>
        </w:tc>
        <w:tc>
          <w:tcPr>
            <w:tcW w:w="1260" w:type="dxa"/>
            <w:noWrap w:val="0"/>
            <w:vAlign w:val="center"/>
          </w:tcPr>
          <w:p w14:paraId="186EE670">
            <w:pPr>
              <w:jc w:val="center"/>
              <w:rPr>
                <w:rFonts w:ascii="宋体" w:hAnsi="宋体"/>
                <w:sz w:val="18"/>
                <w:szCs w:val="18"/>
              </w:rPr>
            </w:pPr>
            <w:r>
              <w:rPr>
                <w:rFonts w:ascii="宋体" w:hAnsi="宋体"/>
                <w:sz w:val="18"/>
                <w:szCs w:val="18"/>
              </w:rPr>
              <w:t>1.48</w:t>
            </w:r>
          </w:p>
        </w:tc>
        <w:tc>
          <w:tcPr>
            <w:tcW w:w="1620" w:type="dxa"/>
            <w:noWrap w:val="0"/>
            <w:vAlign w:val="center"/>
          </w:tcPr>
          <w:p w14:paraId="005B7AFB">
            <w:pPr>
              <w:jc w:val="center"/>
              <w:rPr>
                <w:rFonts w:ascii="宋体" w:hAnsi="宋体"/>
                <w:sz w:val="18"/>
                <w:szCs w:val="18"/>
              </w:rPr>
            </w:pPr>
            <w:r>
              <w:rPr>
                <w:rFonts w:ascii="宋体" w:hAnsi="宋体"/>
                <w:sz w:val="18"/>
                <w:szCs w:val="18"/>
              </w:rPr>
              <w:t>33.68</w:t>
            </w:r>
          </w:p>
        </w:tc>
        <w:tc>
          <w:tcPr>
            <w:tcW w:w="800" w:type="dxa"/>
            <w:vMerge w:val="continue"/>
            <w:noWrap w:val="0"/>
            <w:vAlign w:val="center"/>
          </w:tcPr>
          <w:p w14:paraId="4F9FA485">
            <w:pPr>
              <w:jc w:val="center"/>
              <w:rPr>
                <w:rFonts w:ascii="宋体" w:hAnsi="宋体"/>
                <w:sz w:val="18"/>
                <w:szCs w:val="18"/>
              </w:rPr>
            </w:pPr>
          </w:p>
        </w:tc>
      </w:tr>
      <w:tr w14:paraId="27C4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117EB0EE">
            <w:pPr>
              <w:jc w:val="center"/>
              <w:rPr>
                <w:rFonts w:ascii="宋体" w:hAnsi="宋体"/>
                <w:sz w:val="18"/>
                <w:szCs w:val="18"/>
              </w:rPr>
            </w:pPr>
            <w:r>
              <w:rPr>
                <w:rFonts w:ascii="宋体" w:hAnsi="宋体"/>
                <w:sz w:val="18"/>
                <w:szCs w:val="18"/>
              </w:rPr>
              <w:t>K109-b</w:t>
            </w:r>
          </w:p>
        </w:tc>
        <w:tc>
          <w:tcPr>
            <w:tcW w:w="624" w:type="dxa"/>
            <w:vMerge w:val="restart"/>
            <w:noWrap w:val="0"/>
            <w:vAlign w:val="center"/>
          </w:tcPr>
          <w:p w14:paraId="7AFD40E5">
            <w:pPr>
              <w:jc w:val="center"/>
              <w:rPr>
                <w:rFonts w:ascii="宋体" w:hAnsi="宋体"/>
                <w:sz w:val="18"/>
                <w:szCs w:val="18"/>
              </w:rPr>
            </w:pPr>
            <w:r>
              <w:rPr>
                <w:rFonts w:ascii="宋体" w:hAnsi="宋体"/>
                <w:sz w:val="18"/>
                <w:szCs w:val="18"/>
              </w:rPr>
              <w:t>原煤</w:t>
            </w:r>
          </w:p>
        </w:tc>
        <w:tc>
          <w:tcPr>
            <w:tcW w:w="1262" w:type="dxa"/>
            <w:noWrap w:val="0"/>
            <w:vAlign w:val="center"/>
          </w:tcPr>
          <w:p w14:paraId="3D08C5FD">
            <w:pPr>
              <w:jc w:val="center"/>
              <w:rPr>
                <w:rFonts w:ascii="宋体" w:hAnsi="宋体"/>
                <w:sz w:val="18"/>
                <w:szCs w:val="18"/>
              </w:rPr>
            </w:pPr>
            <w:r>
              <w:rPr>
                <w:rFonts w:ascii="宋体" w:hAnsi="宋体"/>
                <w:sz w:val="18"/>
                <w:szCs w:val="18"/>
              </w:rPr>
              <w:t>0.74～1.44</w:t>
            </w:r>
          </w:p>
        </w:tc>
        <w:tc>
          <w:tcPr>
            <w:tcW w:w="1360" w:type="dxa"/>
            <w:noWrap w:val="0"/>
            <w:vAlign w:val="center"/>
          </w:tcPr>
          <w:p w14:paraId="33F8F2EC">
            <w:pPr>
              <w:jc w:val="center"/>
              <w:rPr>
                <w:rFonts w:ascii="宋体" w:hAnsi="宋体"/>
                <w:sz w:val="18"/>
                <w:szCs w:val="18"/>
              </w:rPr>
            </w:pPr>
            <w:r>
              <w:rPr>
                <w:rFonts w:ascii="宋体" w:hAnsi="宋体"/>
                <w:sz w:val="18"/>
                <w:szCs w:val="18"/>
              </w:rPr>
              <w:t>16.02～37.12</w:t>
            </w:r>
          </w:p>
        </w:tc>
        <w:tc>
          <w:tcPr>
            <w:tcW w:w="1360" w:type="dxa"/>
            <w:noWrap w:val="0"/>
            <w:vAlign w:val="center"/>
          </w:tcPr>
          <w:p w14:paraId="7B353130">
            <w:pPr>
              <w:jc w:val="center"/>
              <w:rPr>
                <w:rFonts w:ascii="宋体" w:hAnsi="宋体"/>
                <w:sz w:val="18"/>
                <w:szCs w:val="18"/>
              </w:rPr>
            </w:pPr>
            <w:r>
              <w:rPr>
                <w:rFonts w:ascii="宋体" w:hAnsi="宋体"/>
                <w:sz w:val="18"/>
                <w:szCs w:val="18"/>
              </w:rPr>
              <w:t>7.53～14.45</w:t>
            </w:r>
          </w:p>
        </w:tc>
        <w:tc>
          <w:tcPr>
            <w:tcW w:w="1260" w:type="dxa"/>
            <w:noWrap w:val="0"/>
            <w:vAlign w:val="center"/>
          </w:tcPr>
          <w:p w14:paraId="063335C0">
            <w:pPr>
              <w:jc w:val="center"/>
              <w:rPr>
                <w:rFonts w:ascii="宋体" w:hAnsi="宋体"/>
                <w:sz w:val="18"/>
                <w:szCs w:val="18"/>
              </w:rPr>
            </w:pPr>
            <w:r>
              <w:rPr>
                <w:rFonts w:ascii="宋体" w:hAnsi="宋体"/>
                <w:sz w:val="18"/>
                <w:szCs w:val="18"/>
              </w:rPr>
              <w:t>0.51～4.52</w:t>
            </w:r>
          </w:p>
        </w:tc>
        <w:tc>
          <w:tcPr>
            <w:tcW w:w="1620" w:type="dxa"/>
            <w:noWrap w:val="0"/>
            <w:vAlign w:val="center"/>
          </w:tcPr>
          <w:p w14:paraId="1C325208">
            <w:pPr>
              <w:jc w:val="center"/>
              <w:rPr>
                <w:rFonts w:ascii="宋体" w:hAnsi="宋体"/>
                <w:sz w:val="18"/>
                <w:szCs w:val="18"/>
              </w:rPr>
            </w:pPr>
            <w:r>
              <w:rPr>
                <w:rFonts w:ascii="宋体" w:hAnsi="宋体"/>
                <w:sz w:val="18"/>
                <w:szCs w:val="18"/>
              </w:rPr>
              <w:t>21.28～30.15</w:t>
            </w:r>
          </w:p>
        </w:tc>
        <w:tc>
          <w:tcPr>
            <w:tcW w:w="800" w:type="dxa"/>
            <w:vMerge w:val="restart"/>
            <w:noWrap w:val="0"/>
            <w:vAlign w:val="center"/>
          </w:tcPr>
          <w:p w14:paraId="5AAA8580">
            <w:pPr>
              <w:rPr>
                <w:rFonts w:ascii="宋体" w:hAnsi="宋体"/>
                <w:sz w:val="18"/>
                <w:szCs w:val="18"/>
              </w:rPr>
            </w:pPr>
            <w:r>
              <w:rPr>
                <w:rFonts w:hint="eastAsia" w:ascii="宋体" w:hAnsi="宋体"/>
                <w:sz w:val="18"/>
                <w:szCs w:val="18"/>
              </w:rPr>
              <w:t>无烟煤</w:t>
            </w:r>
          </w:p>
        </w:tc>
      </w:tr>
      <w:tr w14:paraId="73F7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7F8BE1E5">
            <w:pPr>
              <w:jc w:val="center"/>
              <w:rPr>
                <w:rFonts w:ascii="宋体" w:hAnsi="宋体"/>
                <w:sz w:val="18"/>
                <w:szCs w:val="18"/>
              </w:rPr>
            </w:pPr>
          </w:p>
        </w:tc>
        <w:tc>
          <w:tcPr>
            <w:tcW w:w="624" w:type="dxa"/>
            <w:vMerge w:val="continue"/>
            <w:noWrap w:val="0"/>
            <w:vAlign w:val="center"/>
          </w:tcPr>
          <w:p w14:paraId="7C83B213">
            <w:pPr>
              <w:jc w:val="center"/>
              <w:rPr>
                <w:rFonts w:ascii="宋体" w:hAnsi="宋体"/>
                <w:sz w:val="18"/>
                <w:szCs w:val="18"/>
              </w:rPr>
            </w:pPr>
          </w:p>
        </w:tc>
        <w:tc>
          <w:tcPr>
            <w:tcW w:w="1262" w:type="dxa"/>
            <w:noWrap w:val="0"/>
            <w:vAlign w:val="center"/>
          </w:tcPr>
          <w:p w14:paraId="73DA36D6">
            <w:pPr>
              <w:jc w:val="center"/>
              <w:rPr>
                <w:rFonts w:ascii="宋体" w:hAnsi="宋体"/>
                <w:sz w:val="18"/>
                <w:szCs w:val="18"/>
              </w:rPr>
            </w:pPr>
            <w:r>
              <w:rPr>
                <w:rFonts w:ascii="宋体" w:hAnsi="宋体"/>
                <w:sz w:val="18"/>
                <w:szCs w:val="18"/>
              </w:rPr>
              <w:t>1.09</w:t>
            </w:r>
          </w:p>
        </w:tc>
        <w:tc>
          <w:tcPr>
            <w:tcW w:w="1360" w:type="dxa"/>
            <w:noWrap w:val="0"/>
            <w:vAlign w:val="center"/>
          </w:tcPr>
          <w:p w14:paraId="2B263D40">
            <w:pPr>
              <w:jc w:val="center"/>
              <w:rPr>
                <w:rFonts w:ascii="宋体" w:hAnsi="宋体"/>
                <w:sz w:val="18"/>
                <w:szCs w:val="18"/>
              </w:rPr>
            </w:pPr>
            <w:r>
              <w:rPr>
                <w:rFonts w:ascii="宋体" w:hAnsi="宋体"/>
                <w:sz w:val="18"/>
                <w:szCs w:val="18"/>
              </w:rPr>
              <w:t>22.05</w:t>
            </w:r>
          </w:p>
        </w:tc>
        <w:tc>
          <w:tcPr>
            <w:tcW w:w="1360" w:type="dxa"/>
            <w:noWrap w:val="0"/>
            <w:vAlign w:val="center"/>
          </w:tcPr>
          <w:p w14:paraId="270F3A6B">
            <w:pPr>
              <w:jc w:val="center"/>
              <w:rPr>
                <w:rFonts w:ascii="宋体" w:hAnsi="宋体"/>
                <w:sz w:val="18"/>
                <w:szCs w:val="18"/>
              </w:rPr>
            </w:pPr>
            <w:r>
              <w:rPr>
                <w:rFonts w:ascii="宋体" w:hAnsi="宋体"/>
                <w:sz w:val="18"/>
                <w:szCs w:val="18"/>
              </w:rPr>
              <w:t>10.61</w:t>
            </w:r>
          </w:p>
        </w:tc>
        <w:tc>
          <w:tcPr>
            <w:tcW w:w="1260" w:type="dxa"/>
            <w:noWrap w:val="0"/>
            <w:vAlign w:val="center"/>
          </w:tcPr>
          <w:p w14:paraId="228A6A95">
            <w:pPr>
              <w:jc w:val="center"/>
              <w:rPr>
                <w:rFonts w:ascii="宋体" w:hAnsi="宋体"/>
                <w:sz w:val="18"/>
                <w:szCs w:val="18"/>
              </w:rPr>
            </w:pPr>
            <w:r>
              <w:rPr>
                <w:rFonts w:ascii="宋体" w:hAnsi="宋体"/>
                <w:sz w:val="18"/>
                <w:szCs w:val="18"/>
              </w:rPr>
              <w:t>2.24</w:t>
            </w:r>
          </w:p>
        </w:tc>
        <w:tc>
          <w:tcPr>
            <w:tcW w:w="1620" w:type="dxa"/>
            <w:noWrap w:val="0"/>
            <w:vAlign w:val="center"/>
          </w:tcPr>
          <w:p w14:paraId="104CE245">
            <w:pPr>
              <w:jc w:val="center"/>
              <w:rPr>
                <w:rFonts w:ascii="宋体" w:hAnsi="宋体"/>
                <w:sz w:val="18"/>
                <w:szCs w:val="18"/>
              </w:rPr>
            </w:pPr>
            <w:r>
              <w:rPr>
                <w:rFonts w:ascii="宋体" w:hAnsi="宋体"/>
                <w:sz w:val="18"/>
                <w:szCs w:val="18"/>
              </w:rPr>
              <w:t>27.26</w:t>
            </w:r>
          </w:p>
        </w:tc>
        <w:tc>
          <w:tcPr>
            <w:tcW w:w="800" w:type="dxa"/>
            <w:vMerge w:val="continue"/>
            <w:noWrap w:val="0"/>
            <w:vAlign w:val="center"/>
          </w:tcPr>
          <w:p w14:paraId="5ED55C94">
            <w:pPr>
              <w:jc w:val="center"/>
              <w:rPr>
                <w:rFonts w:ascii="宋体" w:hAnsi="宋体"/>
                <w:sz w:val="18"/>
                <w:szCs w:val="18"/>
              </w:rPr>
            </w:pPr>
          </w:p>
        </w:tc>
      </w:tr>
      <w:tr w14:paraId="453B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3F21FDCF">
            <w:pPr>
              <w:jc w:val="center"/>
              <w:rPr>
                <w:rFonts w:ascii="宋体" w:hAnsi="宋体"/>
                <w:sz w:val="18"/>
                <w:szCs w:val="18"/>
              </w:rPr>
            </w:pPr>
          </w:p>
        </w:tc>
        <w:tc>
          <w:tcPr>
            <w:tcW w:w="624" w:type="dxa"/>
            <w:vMerge w:val="restart"/>
            <w:noWrap w:val="0"/>
            <w:vAlign w:val="center"/>
          </w:tcPr>
          <w:p w14:paraId="0219C4DF">
            <w:pPr>
              <w:jc w:val="center"/>
              <w:rPr>
                <w:rFonts w:ascii="宋体" w:hAnsi="宋体"/>
                <w:sz w:val="18"/>
                <w:szCs w:val="18"/>
              </w:rPr>
            </w:pPr>
            <w:r>
              <w:rPr>
                <w:rFonts w:ascii="宋体" w:hAnsi="宋体"/>
                <w:sz w:val="18"/>
                <w:szCs w:val="18"/>
              </w:rPr>
              <w:t>洗煤</w:t>
            </w:r>
          </w:p>
        </w:tc>
        <w:tc>
          <w:tcPr>
            <w:tcW w:w="1262" w:type="dxa"/>
            <w:noWrap w:val="0"/>
            <w:vAlign w:val="center"/>
          </w:tcPr>
          <w:p w14:paraId="677ED984">
            <w:pPr>
              <w:jc w:val="center"/>
              <w:rPr>
                <w:rFonts w:ascii="宋体" w:hAnsi="宋体"/>
                <w:sz w:val="18"/>
                <w:szCs w:val="18"/>
              </w:rPr>
            </w:pPr>
            <w:r>
              <w:rPr>
                <w:rFonts w:ascii="宋体" w:hAnsi="宋体"/>
                <w:sz w:val="18"/>
                <w:szCs w:val="18"/>
              </w:rPr>
              <w:t>0.61～1.86</w:t>
            </w:r>
          </w:p>
        </w:tc>
        <w:tc>
          <w:tcPr>
            <w:tcW w:w="1360" w:type="dxa"/>
            <w:noWrap w:val="0"/>
            <w:vAlign w:val="center"/>
          </w:tcPr>
          <w:p w14:paraId="15599A8B">
            <w:pPr>
              <w:jc w:val="center"/>
              <w:rPr>
                <w:rFonts w:ascii="宋体" w:hAnsi="宋体"/>
                <w:sz w:val="18"/>
                <w:szCs w:val="18"/>
              </w:rPr>
            </w:pPr>
            <w:r>
              <w:rPr>
                <w:rFonts w:ascii="宋体" w:hAnsi="宋体"/>
                <w:sz w:val="18"/>
                <w:szCs w:val="18"/>
              </w:rPr>
              <w:t>4.19～11.85</w:t>
            </w:r>
          </w:p>
        </w:tc>
        <w:tc>
          <w:tcPr>
            <w:tcW w:w="1360" w:type="dxa"/>
            <w:noWrap w:val="0"/>
            <w:vAlign w:val="center"/>
          </w:tcPr>
          <w:p w14:paraId="03129B31">
            <w:pPr>
              <w:jc w:val="center"/>
              <w:rPr>
                <w:rFonts w:ascii="宋体" w:hAnsi="宋体"/>
                <w:sz w:val="18"/>
                <w:szCs w:val="18"/>
              </w:rPr>
            </w:pPr>
            <w:r>
              <w:rPr>
                <w:rFonts w:ascii="宋体" w:hAnsi="宋体"/>
                <w:sz w:val="18"/>
                <w:szCs w:val="18"/>
              </w:rPr>
              <w:t>5.59～9.23</w:t>
            </w:r>
          </w:p>
        </w:tc>
        <w:tc>
          <w:tcPr>
            <w:tcW w:w="1260" w:type="dxa"/>
            <w:noWrap w:val="0"/>
            <w:vAlign w:val="center"/>
          </w:tcPr>
          <w:p w14:paraId="2F4FF775">
            <w:pPr>
              <w:jc w:val="center"/>
              <w:rPr>
                <w:rFonts w:ascii="宋体" w:hAnsi="宋体"/>
                <w:sz w:val="18"/>
                <w:szCs w:val="18"/>
              </w:rPr>
            </w:pPr>
            <w:r>
              <w:rPr>
                <w:rFonts w:ascii="宋体" w:hAnsi="宋体"/>
                <w:sz w:val="18"/>
                <w:szCs w:val="18"/>
              </w:rPr>
              <w:t>0.50～2.25</w:t>
            </w:r>
          </w:p>
        </w:tc>
        <w:tc>
          <w:tcPr>
            <w:tcW w:w="1620" w:type="dxa"/>
            <w:noWrap w:val="0"/>
            <w:vAlign w:val="center"/>
          </w:tcPr>
          <w:p w14:paraId="5067ACBD">
            <w:pPr>
              <w:jc w:val="center"/>
              <w:rPr>
                <w:rFonts w:ascii="宋体" w:hAnsi="宋体"/>
                <w:sz w:val="18"/>
                <w:szCs w:val="18"/>
              </w:rPr>
            </w:pPr>
            <w:r>
              <w:rPr>
                <w:rFonts w:ascii="宋体" w:hAnsi="宋体"/>
                <w:sz w:val="18"/>
                <w:szCs w:val="18"/>
              </w:rPr>
              <w:t>31.83～34.48</w:t>
            </w:r>
          </w:p>
        </w:tc>
        <w:tc>
          <w:tcPr>
            <w:tcW w:w="800" w:type="dxa"/>
            <w:vMerge w:val="continue"/>
            <w:noWrap w:val="0"/>
            <w:vAlign w:val="center"/>
          </w:tcPr>
          <w:p w14:paraId="4AEEBD7D">
            <w:pPr>
              <w:jc w:val="center"/>
              <w:rPr>
                <w:rFonts w:ascii="宋体" w:hAnsi="宋体"/>
                <w:sz w:val="18"/>
                <w:szCs w:val="18"/>
              </w:rPr>
            </w:pPr>
          </w:p>
        </w:tc>
      </w:tr>
      <w:tr w14:paraId="7142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2366FAFD">
            <w:pPr>
              <w:jc w:val="center"/>
              <w:rPr>
                <w:rFonts w:ascii="宋体" w:hAnsi="宋体"/>
                <w:sz w:val="18"/>
                <w:szCs w:val="18"/>
              </w:rPr>
            </w:pPr>
          </w:p>
        </w:tc>
        <w:tc>
          <w:tcPr>
            <w:tcW w:w="624" w:type="dxa"/>
            <w:vMerge w:val="continue"/>
            <w:noWrap w:val="0"/>
            <w:vAlign w:val="center"/>
          </w:tcPr>
          <w:p w14:paraId="71432D5A">
            <w:pPr>
              <w:jc w:val="center"/>
              <w:rPr>
                <w:rFonts w:ascii="宋体" w:hAnsi="宋体"/>
                <w:sz w:val="18"/>
                <w:szCs w:val="18"/>
              </w:rPr>
            </w:pPr>
          </w:p>
        </w:tc>
        <w:tc>
          <w:tcPr>
            <w:tcW w:w="1262" w:type="dxa"/>
            <w:noWrap w:val="0"/>
            <w:vAlign w:val="center"/>
          </w:tcPr>
          <w:p w14:paraId="330F0756">
            <w:pPr>
              <w:jc w:val="center"/>
              <w:rPr>
                <w:rFonts w:ascii="宋体" w:hAnsi="宋体"/>
                <w:sz w:val="18"/>
                <w:szCs w:val="18"/>
              </w:rPr>
            </w:pPr>
            <w:r>
              <w:rPr>
                <w:rFonts w:ascii="宋体" w:hAnsi="宋体"/>
                <w:sz w:val="18"/>
                <w:szCs w:val="18"/>
              </w:rPr>
              <w:t>1.10</w:t>
            </w:r>
          </w:p>
        </w:tc>
        <w:tc>
          <w:tcPr>
            <w:tcW w:w="1360" w:type="dxa"/>
            <w:noWrap w:val="0"/>
            <w:vAlign w:val="center"/>
          </w:tcPr>
          <w:p w14:paraId="13EF11CA">
            <w:pPr>
              <w:jc w:val="center"/>
              <w:rPr>
                <w:rFonts w:ascii="宋体" w:hAnsi="宋体"/>
                <w:sz w:val="18"/>
                <w:szCs w:val="18"/>
              </w:rPr>
            </w:pPr>
            <w:r>
              <w:rPr>
                <w:rFonts w:ascii="宋体" w:hAnsi="宋体"/>
                <w:sz w:val="18"/>
                <w:szCs w:val="18"/>
              </w:rPr>
              <w:t>7.45</w:t>
            </w:r>
          </w:p>
        </w:tc>
        <w:tc>
          <w:tcPr>
            <w:tcW w:w="1360" w:type="dxa"/>
            <w:noWrap w:val="0"/>
            <w:vAlign w:val="center"/>
          </w:tcPr>
          <w:p w14:paraId="18795A04">
            <w:pPr>
              <w:jc w:val="center"/>
              <w:rPr>
                <w:rFonts w:hint="eastAsia" w:ascii="宋体" w:hAnsi="宋体"/>
                <w:sz w:val="18"/>
                <w:szCs w:val="18"/>
              </w:rPr>
            </w:pPr>
            <w:r>
              <w:rPr>
                <w:rFonts w:hint="eastAsia" w:ascii="宋体" w:hAnsi="宋体"/>
                <w:sz w:val="18"/>
                <w:szCs w:val="18"/>
              </w:rPr>
              <w:t>8.23</w:t>
            </w:r>
          </w:p>
        </w:tc>
        <w:tc>
          <w:tcPr>
            <w:tcW w:w="1260" w:type="dxa"/>
            <w:noWrap w:val="0"/>
            <w:vAlign w:val="center"/>
          </w:tcPr>
          <w:p w14:paraId="00242A22">
            <w:pPr>
              <w:jc w:val="center"/>
              <w:rPr>
                <w:rFonts w:ascii="宋体" w:hAnsi="宋体"/>
                <w:sz w:val="18"/>
                <w:szCs w:val="18"/>
              </w:rPr>
            </w:pPr>
            <w:r>
              <w:rPr>
                <w:rFonts w:ascii="宋体" w:hAnsi="宋体"/>
                <w:sz w:val="18"/>
                <w:szCs w:val="18"/>
              </w:rPr>
              <w:t>1.50</w:t>
            </w:r>
          </w:p>
        </w:tc>
        <w:tc>
          <w:tcPr>
            <w:tcW w:w="1620" w:type="dxa"/>
            <w:noWrap w:val="0"/>
            <w:vAlign w:val="center"/>
          </w:tcPr>
          <w:p w14:paraId="4FE27FAF">
            <w:pPr>
              <w:jc w:val="center"/>
              <w:rPr>
                <w:rFonts w:ascii="宋体" w:hAnsi="宋体"/>
                <w:sz w:val="18"/>
                <w:szCs w:val="18"/>
              </w:rPr>
            </w:pPr>
            <w:r>
              <w:rPr>
                <w:rFonts w:ascii="宋体" w:hAnsi="宋体"/>
                <w:sz w:val="18"/>
                <w:szCs w:val="18"/>
              </w:rPr>
              <w:t>33.62</w:t>
            </w:r>
          </w:p>
        </w:tc>
        <w:tc>
          <w:tcPr>
            <w:tcW w:w="800" w:type="dxa"/>
            <w:vMerge w:val="continue"/>
            <w:noWrap w:val="0"/>
            <w:vAlign w:val="center"/>
          </w:tcPr>
          <w:p w14:paraId="7BE4F5D8">
            <w:pPr>
              <w:jc w:val="center"/>
              <w:rPr>
                <w:rFonts w:ascii="宋体" w:hAnsi="宋体"/>
                <w:sz w:val="18"/>
                <w:szCs w:val="18"/>
              </w:rPr>
            </w:pPr>
          </w:p>
        </w:tc>
      </w:tr>
      <w:tr w14:paraId="6655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restart"/>
            <w:noWrap w:val="0"/>
            <w:vAlign w:val="center"/>
          </w:tcPr>
          <w:p w14:paraId="0995D7A3">
            <w:pPr>
              <w:jc w:val="center"/>
              <w:rPr>
                <w:rFonts w:ascii="宋体" w:hAnsi="宋体"/>
                <w:sz w:val="18"/>
                <w:szCs w:val="18"/>
              </w:rPr>
            </w:pPr>
            <w:r>
              <w:rPr>
                <w:rFonts w:ascii="宋体" w:hAnsi="宋体"/>
                <w:sz w:val="18"/>
                <w:szCs w:val="18"/>
              </w:rPr>
              <w:t>K110-a</w:t>
            </w:r>
          </w:p>
        </w:tc>
        <w:tc>
          <w:tcPr>
            <w:tcW w:w="624" w:type="dxa"/>
            <w:vMerge w:val="restart"/>
            <w:noWrap w:val="0"/>
            <w:vAlign w:val="center"/>
          </w:tcPr>
          <w:p w14:paraId="681899A4">
            <w:pPr>
              <w:jc w:val="center"/>
              <w:rPr>
                <w:rFonts w:ascii="宋体" w:hAnsi="宋体"/>
                <w:sz w:val="18"/>
                <w:szCs w:val="18"/>
              </w:rPr>
            </w:pPr>
            <w:r>
              <w:rPr>
                <w:rFonts w:ascii="宋体" w:hAnsi="宋体"/>
                <w:sz w:val="18"/>
                <w:szCs w:val="18"/>
              </w:rPr>
              <w:t>原煤</w:t>
            </w:r>
          </w:p>
        </w:tc>
        <w:tc>
          <w:tcPr>
            <w:tcW w:w="1262" w:type="dxa"/>
            <w:noWrap w:val="0"/>
            <w:vAlign w:val="center"/>
          </w:tcPr>
          <w:p w14:paraId="77F7CA40">
            <w:pPr>
              <w:jc w:val="center"/>
              <w:rPr>
                <w:rFonts w:ascii="宋体" w:hAnsi="宋体"/>
                <w:sz w:val="18"/>
                <w:szCs w:val="18"/>
              </w:rPr>
            </w:pPr>
            <w:r>
              <w:rPr>
                <w:rFonts w:ascii="宋体" w:hAnsi="宋体"/>
                <w:sz w:val="18"/>
                <w:szCs w:val="18"/>
              </w:rPr>
              <w:t>0.57～1.44</w:t>
            </w:r>
          </w:p>
        </w:tc>
        <w:tc>
          <w:tcPr>
            <w:tcW w:w="1360" w:type="dxa"/>
            <w:noWrap w:val="0"/>
            <w:vAlign w:val="center"/>
          </w:tcPr>
          <w:p w14:paraId="0070FB6E">
            <w:pPr>
              <w:jc w:val="center"/>
              <w:rPr>
                <w:rFonts w:ascii="宋体" w:hAnsi="宋体"/>
                <w:sz w:val="18"/>
                <w:szCs w:val="18"/>
              </w:rPr>
            </w:pPr>
            <w:r>
              <w:rPr>
                <w:rFonts w:ascii="宋体" w:hAnsi="宋体"/>
                <w:sz w:val="18"/>
                <w:szCs w:val="18"/>
              </w:rPr>
              <w:t>17.70～32.64</w:t>
            </w:r>
          </w:p>
        </w:tc>
        <w:tc>
          <w:tcPr>
            <w:tcW w:w="1360" w:type="dxa"/>
            <w:noWrap w:val="0"/>
            <w:vAlign w:val="center"/>
          </w:tcPr>
          <w:p w14:paraId="61C29F27">
            <w:pPr>
              <w:jc w:val="center"/>
              <w:rPr>
                <w:rFonts w:ascii="宋体" w:hAnsi="宋体"/>
                <w:sz w:val="18"/>
                <w:szCs w:val="18"/>
              </w:rPr>
            </w:pPr>
            <w:r>
              <w:rPr>
                <w:rFonts w:ascii="宋体" w:hAnsi="宋体"/>
                <w:sz w:val="18"/>
                <w:szCs w:val="18"/>
              </w:rPr>
              <w:t>8.68～13.76</w:t>
            </w:r>
          </w:p>
        </w:tc>
        <w:tc>
          <w:tcPr>
            <w:tcW w:w="1260" w:type="dxa"/>
            <w:noWrap w:val="0"/>
            <w:vAlign w:val="center"/>
          </w:tcPr>
          <w:p w14:paraId="7104BA8F">
            <w:pPr>
              <w:jc w:val="center"/>
              <w:rPr>
                <w:rFonts w:ascii="宋体" w:hAnsi="宋体"/>
                <w:sz w:val="18"/>
                <w:szCs w:val="18"/>
              </w:rPr>
            </w:pPr>
            <w:r>
              <w:rPr>
                <w:rFonts w:ascii="宋体" w:hAnsi="宋体"/>
                <w:sz w:val="18"/>
                <w:szCs w:val="18"/>
              </w:rPr>
              <w:t>1.11～4.52</w:t>
            </w:r>
          </w:p>
        </w:tc>
        <w:tc>
          <w:tcPr>
            <w:tcW w:w="1620" w:type="dxa"/>
            <w:noWrap w:val="0"/>
            <w:vAlign w:val="center"/>
          </w:tcPr>
          <w:p w14:paraId="44A5CCBF">
            <w:pPr>
              <w:jc w:val="center"/>
              <w:rPr>
                <w:rFonts w:ascii="宋体" w:hAnsi="宋体"/>
                <w:sz w:val="18"/>
                <w:szCs w:val="18"/>
              </w:rPr>
            </w:pPr>
            <w:r>
              <w:rPr>
                <w:rFonts w:ascii="宋体" w:hAnsi="宋体"/>
                <w:sz w:val="18"/>
                <w:szCs w:val="18"/>
              </w:rPr>
              <w:t>23.73～31.83</w:t>
            </w:r>
          </w:p>
        </w:tc>
        <w:tc>
          <w:tcPr>
            <w:tcW w:w="800" w:type="dxa"/>
            <w:vMerge w:val="restart"/>
            <w:noWrap w:val="0"/>
            <w:vAlign w:val="center"/>
          </w:tcPr>
          <w:p w14:paraId="4B3EAF39">
            <w:pPr>
              <w:jc w:val="center"/>
              <w:rPr>
                <w:rFonts w:hint="eastAsia" w:ascii="宋体" w:hAnsi="宋体"/>
                <w:sz w:val="18"/>
                <w:szCs w:val="18"/>
              </w:rPr>
            </w:pPr>
            <w:r>
              <w:rPr>
                <w:rFonts w:hint="eastAsia" w:ascii="宋体" w:hAnsi="宋体"/>
                <w:sz w:val="18"/>
                <w:szCs w:val="18"/>
              </w:rPr>
              <w:t>无烟煤</w:t>
            </w:r>
          </w:p>
        </w:tc>
      </w:tr>
      <w:tr w14:paraId="2A7C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51179447">
            <w:pPr>
              <w:jc w:val="center"/>
              <w:rPr>
                <w:rFonts w:ascii="宋体" w:hAnsi="宋体"/>
                <w:sz w:val="18"/>
                <w:szCs w:val="18"/>
              </w:rPr>
            </w:pPr>
          </w:p>
        </w:tc>
        <w:tc>
          <w:tcPr>
            <w:tcW w:w="624" w:type="dxa"/>
            <w:vMerge w:val="continue"/>
            <w:noWrap w:val="0"/>
            <w:vAlign w:val="center"/>
          </w:tcPr>
          <w:p w14:paraId="07D9A119">
            <w:pPr>
              <w:jc w:val="center"/>
              <w:rPr>
                <w:rFonts w:ascii="宋体" w:hAnsi="宋体"/>
                <w:sz w:val="18"/>
                <w:szCs w:val="18"/>
              </w:rPr>
            </w:pPr>
          </w:p>
        </w:tc>
        <w:tc>
          <w:tcPr>
            <w:tcW w:w="1262" w:type="dxa"/>
            <w:noWrap w:val="0"/>
            <w:vAlign w:val="center"/>
          </w:tcPr>
          <w:p w14:paraId="1459530C">
            <w:pPr>
              <w:jc w:val="center"/>
              <w:rPr>
                <w:rFonts w:ascii="宋体" w:hAnsi="宋体"/>
                <w:sz w:val="18"/>
                <w:szCs w:val="18"/>
              </w:rPr>
            </w:pPr>
            <w:r>
              <w:rPr>
                <w:rFonts w:ascii="宋体" w:hAnsi="宋体"/>
                <w:sz w:val="18"/>
                <w:szCs w:val="18"/>
              </w:rPr>
              <w:t>1.15</w:t>
            </w:r>
          </w:p>
        </w:tc>
        <w:tc>
          <w:tcPr>
            <w:tcW w:w="1360" w:type="dxa"/>
            <w:noWrap w:val="0"/>
            <w:vAlign w:val="center"/>
          </w:tcPr>
          <w:p w14:paraId="59C8D236">
            <w:pPr>
              <w:jc w:val="center"/>
              <w:rPr>
                <w:rFonts w:ascii="宋体" w:hAnsi="宋体"/>
                <w:sz w:val="18"/>
                <w:szCs w:val="18"/>
              </w:rPr>
            </w:pPr>
            <w:r>
              <w:rPr>
                <w:rFonts w:ascii="宋体" w:hAnsi="宋体"/>
                <w:sz w:val="18"/>
                <w:szCs w:val="18"/>
              </w:rPr>
              <w:t>24.51</w:t>
            </w:r>
          </w:p>
        </w:tc>
        <w:tc>
          <w:tcPr>
            <w:tcW w:w="1360" w:type="dxa"/>
            <w:noWrap w:val="0"/>
            <w:vAlign w:val="center"/>
          </w:tcPr>
          <w:p w14:paraId="26E2121E">
            <w:pPr>
              <w:jc w:val="center"/>
              <w:rPr>
                <w:rFonts w:ascii="宋体" w:hAnsi="宋体"/>
                <w:sz w:val="18"/>
                <w:szCs w:val="18"/>
              </w:rPr>
            </w:pPr>
            <w:r>
              <w:rPr>
                <w:rFonts w:ascii="宋体" w:hAnsi="宋体"/>
                <w:sz w:val="18"/>
                <w:szCs w:val="18"/>
              </w:rPr>
              <w:t>10.75</w:t>
            </w:r>
          </w:p>
        </w:tc>
        <w:tc>
          <w:tcPr>
            <w:tcW w:w="1260" w:type="dxa"/>
            <w:noWrap w:val="0"/>
            <w:vAlign w:val="center"/>
          </w:tcPr>
          <w:p w14:paraId="264BF96A">
            <w:pPr>
              <w:jc w:val="center"/>
              <w:rPr>
                <w:rFonts w:ascii="宋体" w:hAnsi="宋体"/>
                <w:sz w:val="18"/>
                <w:szCs w:val="18"/>
              </w:rPr>
            </w:pPr>
            <w:r>
              <w:rPr>
                <w:rFonts w:ascii="宋体" w:hAnsi="宋体"/>
                <w:sz w:val="18"/>
                <w:szCs w:val="18"/>
              </w:rPr>
              <w:t>2.64</w:t>
            </w:r>
          </w:p>
        </w:tc>
        <w:tc>
          <w:tcPr>
            <w:tcW w:w="1620" w:type="dxa"/>
            <w:noWrap w:val="0"/>
            <w:vAlign w:val="center"/>
          </w:tcPr>
          <w:p w14:paraId="5EB1E80C">
            <w:pPr>
              <w:jc w:val="center"/>
              <w:rPr>
                <w:rFonts w:ascii="宋体" w:hAnsi="宋体"/>
                <w:sz w:val="18"/>
                <w:szCs w:val="18"/>
              </w:rPr>
            </w:pPr>
            <w:r>
              <w:rPr>
                <w:rFonts w:ascii="宋体" w:hAnsi="宋体"/>
                <w:sz w:val="18"/>
                <w:szCs w:val="18"/>
              </w:rPr>
              <w:t>26.95</w:t>
            </w:r>
          </w:p>
        </w:tc>
        <w:tc>
          <w:tcPr>
            <w:tcW w:w="800" w:type="dxa"/>
            <w:vMerge w:val="continue"/>
            <w:noWrap w:val="0"/>
            <w:vAlign w:val="center"/>
          </w:tcPr>
          <w:p w14:paraId="06019CBE">
            <w:pPr>
              <w:jc w:val="center"/>
              <w:rPr>
                <w:rFonts w:ascii="宋体" w:hAnsi="宋体"/>
                <w:color w:val="FF0000"/>
                <w:sz w:val="18"/>
                <w:szCs w:val="18"/>
              </w:rPr>
            </w:pPr>
          </w:p>
        </w:tc>
      </w:tr>
      <w:tr w14:paraId="5C4E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4014AA21">
            <w:pPr>
              <w:jc w:val="center"/>
              <w:rPr>
                <w:rFonts w:ascii="宋体" w:hAnsi="宋体"/>
                <w:sz w:val="18"/>
                <w:szCs w:val="18"/>
              </w:rPr>
            </w:pPr>
          </w:p>
        </w:tc>
        <w:tc>
          <w:tcPr>
            <w:tcW w:w="624" w:type="dxa"/>
            <w:vMerge w:val="restart"/>
            <w:noWrap w:val="0"/>
            <w:vAlign w:val="center"/>
          </w:tcPr>
          <w:p w14:paraId="62DD21AD">
            <w:pPr>
              <w:jc w:val="center"/>
              <w:rPr>
                <w:rFonts w:ascii="宋体" w:hAnsi="宋体"/>
                <w:sz w:val="18"/>
                <w:szCs w:val="18"/>
              </w:rPr>
            </w:pPr>
            <w:r>
              <w:rPr>
                <w:rFonts w:ascii="宋体" w:hAnsi="宋体"/>
                <w:sz w:val="18"/>
                <w:szCs w:val="18"/>
              </w:rPr>
              <w:t>洗煤</w:t>
            </w:r>
          </w:p>
        </w:tc>
        <w:tc>
          <w:tcPr>
            <w:tcW w:w="1262" w:type="dxa"/>
            <w:noWrap w:val="0"/>
            <w:vAlign w:val="center"/>
          </w:tcPr>
          <w:p w14:paraId="3F39DD6A">
            <w:pPr>
              <w:jc w:val="center"/>
              <w:rPr>
                <w:rFonts w:ascii="宋体" w:hAnsi="宋体"/>
                <w:sz w:val="18"/>
                <w:szCs w:val="18"/>
              </w:rPr>
            </w:pPr>
            <w:r>
              <w:rPr>
                <w:rFonts w:ascii="宋体" w:hAnsi="宋体"/>
                <w:sz w:val="18"/>
                <w:szCs w:val="18"/>
              </w:rPr>
              <w:t>0.46～1.43</w:t>
            </w:r>
          </w:p>
        </w:tc>
        <w:tc>
          <w:tcPr>
            <w:tcW w:w="1360" w:type="dxa"/>
            <w:noWrap w:val="0"/>
            <w:vAlign w:val="center"/>
          </w:tcPr>
          <w:p w14:paraId="2A07B576">
            <w:pPr>
              <w:jc w:val="center"/>
              <w:rPr>
                <w:rFonts w:ascii="宋体" w:hAnsi="宋体"/>
                <w:sz w:val="18"/>
                <w:szCs w:val="18"/>
              </w:rPr>
            </w:pPr>
            <w:r>
              <w:rPr>
                <w:rFonts w:ascii="宋体" w:hAnsi="宋体"/>
                <w:sz w:val="18"/>
                <w:szCs w:val="18"/>
              </w:rPr>
              <w:t>5.21～13.59</w:t>
            </w:r>
          </w:p>
        </w:tc>
        <w:tc>
          <w:tcPr>
            <w:tcW w:w="1360" w:type="dxa"/>
            <w:noWrap w:val="0"/>
            <w:vAlign w:val="center"/>
          </w:tcPr>
          <w:p w14:paraId="76490FFE">
            <w:pPr>
              <w:jc w:val="center"/>
              <w:rPr>
                <w:rFonts w:ascii="宋体" w:hAnsi="宋体"/>
                <w:sz w:val="18"/>
                <w:szCs w:val="18"/>
              </w:rPr>
            </w:pPr>
            <w:r>
              <w:rPr>
                <w:rFonts w:ascii="宋体" w:hAnsi="宋体"/>
                <w:sz w:val="18"/>
                <w:szCs w:val="18"/>
              </w:rPr>
              <w:t>7.58～10.02</w:t>
            </w:r>
          </w:p>
        </w:tc>
        <w:tc>
          <w:tcPr>
            <w:tcW w:w="1260" w:type="dxa"/>
            <w:noWrap w:val="0"/>
            <w:vAlign w:val="center"/>
          </w:tcPr>
          <w:p w14:paraId="3953FF3D">
            <w:pPr>
              <w:jc w:val="center"/>
              <w:rPr>
                <w:rFonts w:ascii="宋体" w:hAnsi="宋体"/>
                <w:sz w:val="18"/>
                <w:szCs w:val="18"/>
              </w:rPr>
            </w:pPr>
            <w:r>
              <w:rPr>
                <w:rFonts w:ascii="宋体" w:hAnsi="宋体"/>
                <w:sz w:val="18"/>
                <w:szCs w:val="18"/>
              </w:rPr>
              <w:t>1.66～2.23</w:t>
            </w:r>
          </w:p>
        </w:tc>
        <w:tc>
          <w:tcPr>
            <w:tcW w:w="1620" w:type="dxa"/>
            <w:noWrap w:val="0"/>
            <w:vAlign w:val="center"/>
          </w:tcPr>
          <w:p w14:paraId="1E6C0427">
            <w:pPr>
              <w:jc w:val="center"/>
              <w:rPr>
                <w:rFonts w:ascii="宋体" w:hAnsi="宋体"/>
                <w:sz w:val="18"/>
                <w:szCs w:val="18"/>
              </w:rPr>
            </w:pPr>
            <w:r>
              <w:rPr>
                <w:rFonts w:ascii="宋体" w:hAnsi="宋体"/>
                <w:sz w:val="18"/>
                <w:szCs w:val="18"/>
              </w:rPr>
              <w:t>31.23～34.79</w:t>
            </w:r>
          </w:p>
        </w:tc>
        <w:tc>
          <w:tcPr>
            <w:tcW w:w="800" w:type="dxa"/>
            <w:vMerge w:val="continue"/>
            <w:noWrap w:val="0"/>
            <w:vAlign w:val="center"/>
          </w:tcPr>
          <w:p w14:paraId="3FB7B29A">
            <w:pPr>
              <w:jc w:val="center"/>
              <w:rPr>
                <w:rFonts w:ascii="宋体" w:hAnsi="宋体"/>
                <w:color w:val="FF0000"/>
                <w:sz w:val="18"/>
                <w:szCs w:val="18"/>
              </w:rPr>
            </w:pPr>
          </w:p>
        </w:tc>
      </w:tr>
      <w:tr w14:paraId="4D08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2" w:type="dxa"/>
            <w:vMerge w:val="continue"/>
            <w:noWrap w:val="0"/>
            <w:vAlign w:val="center"/>
          </w:tcPr>
          <w:p w14:paraId="7EA195B7">
            <w:pPr>
              <w:jc w:val="center"/>
              <w:rPr>
                <w:rFonts w:ascii="宋体" w:hAnsi="宋体"/>
                <w:sz w:val="18"/>
                <w:szCs w:val="18"/>
              </w:rPr>
            </w:pPr>
          </w:p>
        </w:tc>
        <w:tc>
          <w:tcPr>
            <w:tcW w:w="624" w:type="dxa"/>
            <w:vMerge w:val="continue"/>
            <w:noWrap w:val="0"/>
            <w:vAlign w:val="center"/>
          </w:tcPr>
          <w:p w14:paraId="157A060B">
            <w:pPr>
              <w:jc w:val="center"/>
              <w:rPr>
                <w:rFonts w:ascii="宋体" w:hAnsi="宋体"/>
                <w:sz w:val="18"/>
                <w:szCs w:val="18"/>
              </w:rPr>
            </w:pPr>
          </w:p>
        </w:tc>
        <w:tc>
          <w:tcPr>
            <w:tcW w:w="1262" w:type="dxa"/>
            <w:noWrap w:val="0"/>
            <w:vAlign w:val="center"/>
          </w:tcPr>
          <w:p w14:paraId="3775374B">
            <w:pPr>
              <w:jc w:val="center"/>
              <w:rPr>
                <w:rFonts w:ascii="宋体" w:hAnsi="宋体"/>
                <w:sz w:val="18"/>
                <w:szCs w:val="18"/>
              </w:rPr>
            </w:pPr>
            <w:r>
              <w:rPr>
                <w:rFonts w:ascii="宋体" w:hAnsi="宋体"/>
                <w:sz w:val="18"/>
                <w:szCs w:val="18"/>
              </w:rPr>
              <w:t>1.13</w:t>
            </w:r>
          </w:p>
        </w:tc>
        <w:tc>
          <w:tcPr>
            <w:tcW w:w="1360" w:type="dxa"/>
            <w:noWrap w:val="0"/>
            <w:vAlign w:val="center"/>
          </w:tcPr>
          <w:p w14:paraId="2B8D207A">
            <w:pPr>
              <w:jc w:val="center"/>
              <w:rPr>
                <w:rFonts w:ascii="宋体" w:hAnsi="宋体"/>
                <w:sz w:val="18"/>
                <w:szCs w:val="18"/>
              </w:rPr>
            </w:pPr>
            <w:r>
              <w:rPr>
                <w:rFonts w:ascii="宋体" w:hAnsi="宋体"/>
                <w:sz w:val="18"/>
                <w:szCs w:val="18"/>
              </w:rPr>
              <w:t>8.00</w:t>
            </w:r>
          </w:p>
        </w:tc>
        <w:tc>
          <w:tcPr>
            <w:tcW w:w="1360" w:type="dxa"/>
            <w:noWrap w:val="0"/>
            <w:vAlign w:val="center"/>
          </w:tcPr>
          <w:p w14:paraId="24054EA6">
            <w:pPr>
              <w:jc w:val="center"/>
              <w:rPr>
                <w:rFonts w:ascii="宋体" w:hAnsi="宋体"/>
                <w:sz w:val="18"/>
                <w:szCs w:val="18"/>
              </w:rPr>
            </w:pPr>
            <w:r>
              <w:rPr>
                <w:rFonts w:ascii="宋体" w:hAnsi="宋体"/>
                <w:sz w:val="18"/>
                <w:szCs w:val="18"/>
              </w:rPr>
              <w:t>8.68</w:t>
            </w:r>
          </w:p>
        </w:tc>
        <w:tc>
          <w:tcPr>
            <w:tcW w:w="1260" w:type="dxa"/>
            <w:noWrap w:val="0"/>
            <w:vAlign w:val="center"/>
          </w:tcPr>
          <w:p w14:paraId="44302011">
            <w:pPr>
              <w:jc w:val="center"/>
              <w:rPr>
                <w:rFonts w:ascii="宋体" w:hAnsi="宋体"/>
                <w:sz w:val="18"/>
                <w:szCs w:val="18"/>
              </w:rPr>
            </w:pPr>
            <w:r>
              <w:rPr>
                <w:rFonts w:ascii="宋体" w:hAnsi="宋体"/>
                <w:sz w:val="18"/>
                <w:szCs w:val="18"/>
              </w:rPr>
              <w:t>1.59</w:t>
            </w:r>
          </w:p>
        </w:tc>
        <w:tc>
          <w:tcPr>
            <w:tcW w:w="1620" w:type="dxa"/>
            <w:noWrap w:val="0"/>
            <w:vAlign w:val="center"/>
          </w:tcPr>
          <w:p w14:paraId="2930CA7C">
            <w:pPr>
              <w:jc w:val="center"/>
              <w:rPr>
                <w:rFonts w:ascii="宋体" w:hAnsi="宋体"/>
                <w:sz w:val="18"/>
                <w:szCs w:val="18"/>
              </w:rPr>
            </w:pPr>
            <w:r>
              <w:rPr>
                <w:rFonts w:ascii="宋体" w:hAnsi="宋体"/>
                <w:sz w:val="18"/>
                <w:szCs w:val="18"/>
              </w:rPr>
              <w:t>33.26</w:t>
            </w:r>
          </w:p>
        </w:tc>
        <w:tc>
          <w:tcPr>
            <w:tcW w:w="800" w:type="dxa"/>
            <w:vMerge w:val="continue"/>
            <w:noWrap w:val="0"/>
            <w:vAlign w:val="center"/>
          </w:tcPr>
          <w:p w14:paraId="0B323DB5">
            <w:pPr>
              <w:jc w:val="center"/>
              <w:rPr>
                <w:rFonts w:ascii="宋体" w:hAnsi="宋体"/>
                <w:color w:val="FF0000"/>
                <w:sz w:val="18"/>
                <w:szCs w:val="18"/>
              </w:rPr>
            </w:pPr>
          </w:p>
        </w:tc>
      </w:tr>
    </w:tbl>
    <w:p w14:paraId="19D9AB01">
      <w:pPr>
        <w:spacing w:line="360" w:lineRule="auto"/>
        <w:rPr>
          <w:rFonts w:ascii="宋体" w:hAnsi="宋体" w:cs="宋体"/>
          <w:kern w:val="0"/>
          <w:sz w:val="24"/>
        </w:rPr>
      </w:pPr>
      <w:r>
        <w:rPr>
          <w:rFonts w:ascii="宋体" w:hAnsi="宋体" w:cs="宋体"/>
          <w:kern w:val="0"/>
          <w:sz w:val="24"/>
        </w:rPr>
        <w:t>各煤层主要由镜煤、亮煤、丝炭、暗煤四个煤岩组分组成，含少量均匀分布的矿物质颗粒。由于以上煤岩组分在各煤层中的比例不同而构成了不同的煤岩类型。</w:t>
      </w:r>
    </w:p>
    <w:p w14:paraId="77269E77">
      <w:pPr>
        <w:spacing w:line="360" w:lineRule="auto"/>
        <w:ind w:firstLine="480" w:firstLineChars="200"/>
        <w:rPr>
          <w:rFonts w:ascii="宋体" w:hAnsi="宋体" w:cs="宋体"/>
          <w:kern w:val="0"/>
          <w:sz w:val="24"/>
        </w:rPr>
      </w:pPr>
      <w:r>
        <w:rPr>
          <w:rFonts w:ascii="宋体" w:hAnsi="宋体" w:cs="宋体"/>
          <w:kern w:val="0"/>
          <w:sz w:val="24"/>
        </w:rPr>
        <w:t>光亮型煤：以镜煤、亮煤为主，为中～宽条带状结构，仅K18煤层局部出现均一状结构，暗煤含量较少，丝炭则呈透镜状及线理状出现。该类型主要分布在K1-b、K18、K26等厚度大含硫量低的煤层中。</w:t>
      </w:r>
    </w:p>
    <w:p w14:paraId="68B06BE0">
      <w:pPr>
        <w:spacing w:line="360" w:lineRule="auto"/>
        <w:ind w:firstLine="480" w:firstLineChars="200"/>
        <w:rPr>
          <w:rFonts w:ascii="宋体" w:hAnsi="宋体" w:cs="宋体"/>
          <w:kern w:val="0"/>
          <w:sz w:val="24"/>
        </w:rPr>
      </w:pPr>
      <w:r>
        <w:rPr>
          <w:rFonts w:ascii="宋体" w:hAnsi="宋体" w:cs="宋体"/>
          <w:kern w:val="0"/>
          <w:sz w:val="24"/>
        </w:rPr>
        <w:t>半亮型煤：以亮煤为主，呈中宽条带状结构；镜煤含量较少，主要呈细、中条带状出现，少数呈线理状，暗煤较多，丝炭在暗煤中以块状或透镜状出现。该类型主要分布在K3、K10、K13、K35-b等厚度较大，结构较简单的煤层中。</w:t>
      </w:r>
    </w:p>
    <w:p w14:paraId="3597633D">
      <w:pPr>
        <w:spacing w:line="360" w:lineRule="auto"/>
        <w:ind w:firstLine="480" w:firstLineChars="200"/>
        <w:rPr>
          <w:rFonts w:hint="eastAsia" w:ascii="宋体" w:hAnsi="宋体" w:cs="宋体"/>
          <w:kern w:val="0"/>
          <w:sz w:val="24"/>
        </w:rPr>
      </w:pPr>
      <w:r>
        <w:rPr>
          <w:rFonts w:ascii="宋体" w:hAnsi="宋体" w:cs="宋体"/>
          <w:kern w:val="0"/>
          <w:sz w:val="24"/>
        </w:rPr>
        <w:t>半暗型煤：以亮煤、暗煤为主。亮煤呈细到中宽条带状出现；镜煤含量很少，常呈线理状，少数为细条带状出现，丝炭含量较多，常呈透镜状出现。该类型主要分布在K9、K106-b～K110-a等结构较复杂，厚度薄，灰、硫含量较高的煤层中。</w:t>
      </w:r>
    </w:p>
    <w:p w14:paraId="273DE012">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、煤的有害组份及可选性</w:t>
      </w:r>
    </w:p>
    <w:p w14:paraId="6B241DF9">
      <w:pPr>
        <w:spacing w:line="360" w:lineRule="auto"/>
        <w:ind w:firstLine="480" w:firstLineChars="200"/>
        <w:rPr>
          <w:rFonts w:ascii="宋体" w:hAnsi="宋体"/>
          <w:snapToGrid w:val="0"/>
          <w:kern w:val="0"/>
          <w:sz w:val="24"/>
        </w:rPr>
      </w:pPr>
      <w:r>
        <w:rPr>
          <w:rFonts w:hint="eastAsia" w:ascii="宋体" w:hAnsi="宋体"/>
          <w:snapToGrid w:val="0"/>
          <w:kern w:val="0"/>
          <w:sz w:val="24"/>
        </w:rPr>
        <w:t>（1）</w:t>
      </w:r>
      <w:r>
        <w:rPr>
          <w:rFonts w:ascii="宋体" w:hAnsi="宋体"/>
          <w:snapToGrid w:val="0"/>
          <w:kern w:val="0"/>
          <w:sz w:val="24"/>
        </w:rPr>
        <w:t>有害组份</w:t>
      </w:r>
    </w:p>
    <w:p w14:paraId="7AA2ADCA">
      <w:pPr>
        <w:spacing w:line="360" w:lineRule="auto"/>
        <w:ind w:firstLine="480" w:firstLineChars="200"/>
        <w:rPr>
          <w:rFonts w:ascii="宋体" w:hAnsi="宋体"/>
          <w:snapToGrid w:val="0"/>
          <w:kern w:val="0"/>
          <w:sz w:val="24"/>
        </w:rPr>
      </w:pPr>
      <w:r>
        <w:rPr>
          <w:rFonts w:ascii="宋体" w:hAnsi="宋体"/>
          <w:snapToGrid w:val="0"/>
          <w:kern w:val="0"/>
          <w:sz w:val="24"/>
        </w:rPr>
        <w:t>1）灰份（Ad）：区内原煤灰份一般为20～25%，在同一煤层横向上有一定的变化，在纵向上由上部煤层至下部煤层则出现高—低—高的变化规律。K1-b～K10煤层灰份较高，一般为22～24%，其中以K9煤层最高，平均值达26.62%； K13～K26煤层灰份变低，一般小于20%，其中以K18煤层最低，平均值仅为17.04%；K35-b～K110-a煤层灰份又变高，K35-b和K106-b煤层的平均值均大于29%，K109-b和K110-a煤层的平均值则分别为22.05%和24.57%。经过1·40比重液洗选后，精煤灰分除K3、K9煤层外均小于10%。</w:t>
      </w:r>
    </w:p>
    <w:p w14:paraId="4C0EFE4E">
      <w:pPr>
        <w:spacing w:line="360" w:lineRule="auto"/>
        <w:ind w:firstLine="480" w:firstLineChars="200"/>
        <w:rPr>
          <w:rFonts w:ascii="宋体" w:hAnsi="宋体"/>
          <w:snapToGrid w:val="0"/>
          <w:kern w:val="0"/>
          <w:sz w:val="24"/>
        </w:rPr>
      </w:pPr>
      <w:r>
        <w:rPr>
          <w:rFonts w:ascii="宋体" w:hAnsi="宋体"/>
          <w:snapToGrid w:val="0"/>
          <w:kern w:val="0"/>
          <w:sz w:val="24"/>
        </w:rPr>
        <w:t>2）硫份（St,d）：区内原煤硫分变化比较大，规律较明显。在横向上变化不大，在纵向上变化虽比较大，但规律明显。如K1-b煤层为低硫煤，K3～K13为中、</w:t>
      </w:r>
      <w:r>
        <w:rPr>
          <w:rFonts w:hint="eastAsia" w:ascii="宋体" w:hAnsi="宋体"/>
          <w:snapToGrid w:val="0"/>
          <w:kern w:val="0"/>
          <w:sz w:val="24"/>
        </w:rPr>
        <w:t>中高</w:t>
      </w:r>
      <w:r>
        <w:rPr>
          <w:rFonts w:ascii="宋体" w:hAnsi="宋体"/>
          <w:snapToGrid w:val="0"/>
          <w:kern w:val="0"/>
          <w:sz w:val="24"/>
        </w:rPr>
        <w:t>硫煤，K18～K35-b为特低</w:t>
      </w:r>
      <w:r>
        <w:rPr>
          <w:rFonts w:hint="eastAsia" w:ascii="宋体" w:hAnsi="宋体"/>
          <w:snapToGrid w:val="0"/>
          <w:kern w:val="0"/>
          <w:sz w:val="24"/>
        </w:rPr>
        <w:t>、低</w:t>
      </w:r>
      <w:r>
        <w:rPr>
          <w:rFonts w:ascii="宋体" w:hAnsi="宋体"/>
          <w:snapToGrid w:val="0"/>
          <w:kern w:val="0"/>
          <w:sz w:val="24"/>
        </w:rPr>
        <w:t>硫煤，到K106-b～K110-a为中、</w:t>
      </w:r>
      <w:r>
        <w:rPr>
          <w:rFonts w:hint="eastAsia" w:ascii="宋体" w:hAnsi="宋体"/>
          <w:snapToGrid w:val="0"/>
          <w:kern w:val="0"/>
          <w:sz w:val="24"/>
        </w:rPr>
        <w:t>中高</w:t>
      </w:r>
      <w:r>
        <w:rPr>
          <w:rFonts w:ascii="宋体" w:hAnsi="宋体"/>
          <w:snapToGrid w:val="0"/>
          <w:kern w:val="0"/>
          <w:sz w:val="24"/>
        </w:rPr>
        <w:t>硫煤，呈现出低—高—低—高的变化规律。</w:t>
      </w:r>
      <w:r>
        <w:rPr>
          <w:rFonts w:ascii="宋体" w:hAnsi="宋体"/>
          <w:sz w:val="24"/>
        </w:rPr>
        <w:t>详见表2—2。</w:t>
      </w:r>
    </w:p>
    <w:p w14:paraId="74E83EFA">
      <w:pPr>
        <w:pStyle w:val="61"/>
        <w:spacing w:after="0" w:line="360" w:lineRule="auto"/>
        <w:ind w:firstLine="480" w:firstLineChars="200"/>
        <w:jc w:val="left"/>
        <w:rPr>
          <w:rFonts w:ascii="宋体" w:hAnsi="宋体"/>
          <w:sz w:val="24"/>
        </w:rPr>
      </w:pPr>
      <w:r>
        <w:rPr>
          <w:rFonts w:ascii="宋体" w:hAnsi="宋体"/>
          <w:snapToGrid w:val="0"/>
          <w:kern w:val="0"/>
          <w:sz w:val="24"/>
        </w:rPr>
        <w:t>3）磷份：</w:t>
      </w:r>
      <w:r>
        <w:rPr>
          <w:rFonts w:ascii="宋体" w:hAnsi="宋体"/>
          <w:sz w:val="24"/>
        </w:rPr>
        <w:t>磷一般小于0.01%，属低磷煤。</w:t>
      </w:r>
    </w:p>
    <w:p w14:paraId="73C00DE8">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可选性评价</w:t>
      </w:r>
    </w:p>
    <w:p w14:paraId="1A5A6454">
      <w:pPr>
        <w:spacing w:line="360" w:lineRule="auto"/>
        <w:ind w:firstLine="480" w:firstLineChars="200"/>
        <w:rPr>
          <w:rFonts w:ascii="宋体" w:hAnsi="宋体"/>
          <w:b/>
          <w:sz w:val="24"/>
        </w:rPr>
      </w:pPr>
      <w:r>
        <w:rPr>
          <w:rFonts w:ascii="宋体" w:hAnsi="宋体"/>
          <w:sz w:val="24"/>
        </w:rPr>
        <w:t>根据《贵州省水城县格目底煤矿区玉舍井田勘探地质报告》，大坪煤矿除K18为中等可选外，其余煤层为难选煤。</w:t>
      </w:r>
    </w:p>
    <w:p w14:paraId="1A1ACFB9">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3、煤的变质程度及工业牌号</w:t>
      </w:r>
    </w:p>
    <w:p w14:paraId="693FC75D">
      <w:pPr>
        <w:spacing w:line="360" w:lineRule="auto"/>
        <w:ind w:firstLine="480" w:firstLineChars="200"/>
        <w:rPr>
          <w:rFonts w:ascii="宋体" w:hAnsi="宋体"/>
          <w:snapToGrid w:val="0"/>
          <w:kern w:val="0"/>
          <w:sz w:val="24"/>
        </w:rPr>
      </w:pPr>
      <w:r>
        <w:rPr>
          <w:rFonts w:hint="eastAsia" w:ascii="宋体" w:hAnsi="宋体"/>
          <w:snapToGrid w:val="0"/>
          <w:kern w:val="0"/>
          <w:sz w:val="24"/>
        </w:rPr>
        <w:t>（1）</w:t>
      </w:r>
      <w:r>
        <w:rPr>
          <w:rFonts w:ascii="宋体" w:hAnsi="宋体"/>
          <w:snapToGrid w:val="0"/>
          <w:kern w:val="0"/>
          <w:sz w:val="24"/>
        </w:rPr>
        <w:t>煤的变质程度</w:t>
      </w:r>
    </w:p>
    <w:p w14:paraId="06675EF7">
      <w:pPr>
        <w:spacing w:line="360" w:lineRule="auto"/>
        <w:ind w:firstLine="480" w:firstLineChars="200"/>
        <w:rPr>
          <w:rFonts w:ascii="宋体" w:hAnsi="宋体"/>
          <w:snapToGrid w:val="0"/>
          <w:kern w:val="0"/>
          <w:sz w:val="24"/>
        </w:rPr>
      </w:pPr>
      <w:r>
        <w:rPr>
          <w:rFonts w:ascii="宋体" w:hAnsi="宋体"/>
          <w:snapToGrid w:val="0"/>
          <w:kern w:val="0"/>
          <w:sz w:val="24"/>
        </w:rPr>
        <w:t>挥发份</w:t>
      </w:r>
      <w:r>
        <w:rPr>
          <w:rFonts w:ascii="宋体" w:hAnsi="宋体"/>
          <w:snapToGrid w:val="0"/>
          <w:kern w:val="0"/>
          <w:sz w:val="24"/>
          <w:lang w:val="en-GB"/>
        </w:rPr>
        <w:t>（Vdaf）：一般为</w:t>
      </w:r>
      <w:r>
        <w:rPr>
          <w:rFonts w:ascii="宋体" w:hAnsi="宋体"/>
          <w:sz w:val="24"/>
        </w:rPr>
        <w:t>10～13%，平均14.43%，最低值为5.59%（K109-b），最高值为16.22%（K1-b）。在同一煤层横向上的变化不大，而在纵向上由含煤地层中的上部煤层至下部煤层则呈有规律的变化，由K1-b的13%降至K110-a的8%，变化梯度为每百米1%。</w:t>
      </w:r>
      <w:r>
        <w:rPr>
          <w:rFonts w:ascii="宋体" w:hAnsi="宋体"/>
          <w:snapToGrid w:val="0"/>
          <w:kern w:val="0"/>
          <w:sz w:val="24"/>
        </w:rPr>
        <w:t>从上述挥发份产率的情况看</w:t>
      </w:r>
      <w:r>
        <w:rPr>
          <w:rFonts w:hint="eastAsia" w:ascii="宋体" w:hAnsi="宋体"/>
          <w:snapToGrid w:val="0"/>
          <w:kern w:val="0"/>
          <w:sz w:val="24"/>
        </w:rPr>
        <w:t>，</w:t>
      </w:r>
      <w:r>
        <w:rPr>
          <w:rFonts w:ascii="宋体" w:hAnsi="宋体"/>
          <w:snapToGrid w:val="0"/>
          <w:kern w:val="0"/>
          <w:sz w:val="24"/>
        </w:rPr>
        <w:t>煤的变质程度属</w:t>
      </w:r>
      <w:r>
        <w:rPr>
          <w:rFonts w:hint="eastAsia" w:ascii="宋体" w:hAnsi="宋体"/>
          <w:snapToGrid w:val="0"/>
          <w:kern w:val="0"/>
          <w:sz w:val="24"/>
        </w:rPr>
        <w:t>贫煤～无烟煤</w:t>
      </w:r>
      <w:r>
        <w:rPr>
          <w:rFonts w:ascii="宋体" w:hAnsi="宋体"/>
          <w:snapToGrid w:val="0"/>
          <w:kern w:val="0"/>
          <w:sz w:val="24"/>
        </w:rPr>
        <w:t>变质</w:t>
      </w:r>
      <w:r>
        <w:rPr>
          <w:rFonts w:hint="eastAsia" w:ascii="宋体" w:hAnsi="宋体"/>
          <w:snapToGrid w:val="0"/>
          <w:kern w:val="0"/>
          <w:sz w:val="24"/>
        </w:rPr>
        <w:t>阶段。</w:t>
      </w:r>
    </w:p>
    <w:p w14:paraId="57191F46">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工业牌号</w:t>
      </w:r>
    </w:p>
    <w:p w14:paraId="4E49F235">
      <w:pPr>
        <w:spacing w:line="360" w:lineRule="auto"/>
        <w:ind w:firstLine="480" w:firstLineChars="200"/>
        <w:rPr>
          <w:rFonts w:ascii="宋体" w:hAnsi="宋体"/>
          <w:snapToGrid w:val="0"/>
          <w:kern w:val="0"/>
          <w:sz w:val="24"/>
        </w:rPr>
      </w:pPr>
      <w:r>
        <w:rPr>
          <w:rFonts w:ascii="宋体" w:hAnsi="宋体"/>
          <w:snapToGrid w:val="0"/>
          <w:kern w:val="0"/>
          <w:sz w:val="24"/>
        </w:rPr>
        <w:t>根据《贵州省水城县格目底煤矿区玉舍井田勘探地质报告》，区内K1-b～K35-b煤层除极个别点外，挥发分产率均大于10%，而胶质层厚度为0，呈粉状，所测定的部分粘结指数小于5%，结合镜煤反射率测定结果，确定为贫煤；K106-b～K110-a煤层，挥发分产率均小于10%，其氢含量（</w:t>
      </w:r>
      <w:r>
        <w:rPr>
          <w:rFonts w:ascii="宋体" w:hAnsi="宋体"/>
          <w:snapToGrid w:val="0"/>
          <w:kern w:val="0"/>
          <w:sz w:val="24"/>
          <w:lang w:val="en-GB"/>
        </w:rPr>
        <w:t>H</w:t>
      </w:r>
      <w:r>
        <w:rPr>
          <w:rFonts w:ascii="宋体" w:hAnsi="宋体"/>
          <w:snapToGrid w:val="0"/>
          <w:kern w:val="0"/>
          <w:sz w:val="24"/>
          <w:vertAlign w:val="superscript"/>
          <w:lang w:val="en-GB"/>
        </w:rPr>
        <w:t>r</w:t>
      </w:r>
      <w:r>
        <w:rPr>
          <w:rFonts w:ascii="宋体" w:hAnsi="宋体"/>
          <w:snapToGrid w:val="0"/>
          <w:kern w:val="0"/>
          <w:sz w:val="24"/>
        </w:rPr>
        <w:t>）均大于3%，确定为三号无烟煤。</w:t>
      </w:r>
    </w:p>
    <w:p w14:paraId="133550B4">
      <w:pPr>
        <w:spacing w:line="360" w:lineRule="auto"/>
        <w:ind w:firstLine="480" w:firstLineChars="200"/>
        <w:rPr>
          <w:rFonts w:ascii="宋体" w:hAnsi="宋体"/>
          <w:snapToGrid w:val="0"/>
          <w:kern w:val="0"/>
          <w:sz w:val="24"/>
        </w:rPr>
      </w:pPr>
      <w:r>
        <w:rPr>
          <w:rFonts w:hint="eastAsia" w:ascii="宋体" w:hAnsi="宋体"/>
          <w:snapToGrid w:val="0"/>
          <w:kern w:val="0"/>
          <w:sz w:val="24"/>
        </w:rPr>
        <w:t>4</w:t>
      </w:r>
      <w:r>
        <w:rPr>
          <w:rFonts w:ascii="宋体" w:hAnsi="宋体"/>
          <w:snapToGrid w:val="0"/>
          <w:kern w:val="0"/>
          <w:sz w:val="24"/>
        </w:rPr>
        <w:t>、发热量</w:t>
      </w:r>
    </w:p>
    <w:p w14:paraId="408463FE">
      <w:pPr>
        <w:spacing w:line="360" w:lineRule="auto"/>
        <w:ind w:firstLine="480" w:firstLineChars="200"/>
        <w:rPr>
          <w:rFonts w:hint="eastAsia" w:ascii="宋体" w:hAnsi="宋体"/>
          <w:b/>
          <w:bCs/>
          <w:snapToGrid w:val="0"/>
          <w:kern w:val="0"/>
          <w:sz w:val="24"/>
        </w:rPr>
      </w:pPr>
      <w:r>
        <w:rPr>
          <w:rFonts w:ascii="宋体" w:hAnsi="宋体"/>
          <w:sz w:val="24"/>
        </w:rPr>
        <w:t>发热量（Qnet.d）：本井田各煤层均属高发热量煤，原煤发热量最低为2</w:t>
      </w:r>
      <w:r>
        <w:rPr>
          <w:rFonts w:hint="eastAsia" w:ascii="宋体" w:hAnsi="宋体"/>
          <w:sz w:val="24"/>
        </w:rPr>
        <w:t>4</w:t>
      </w:r>
      <w:r>
        <w:rPr>
          <w:rFonts w:ascii="宋体" w:hAnsi="宋体"/>
          <w:sz w:val="24"/>
        </w:rPr>
        <w:t>.</w:t>
      </w:r>
      <w:r>
        <w:rPr>
          <w:rFonts w:hint="eastAsia" w:ascii="宋体" w:hAnsi="宋体"/>
          <w:sz w:val="24"/>
        </w:rPr>
        <w:t>9</w:t>
      </w:r>
      <w:r>
        <w:rPr>
          <w:rFonts w:ascii="宋体" w:hAnsi="宋体"/>
          <w:sz w:val="24"/>
        </w:rPr>
        <w:t>MJ/kg，最高为28.6MJ/kg，一般为27MJ/kg。煤的发热量高低与煤中灰分高低成反比关系。</w:t>
      </w:r>
    </w:p>
    <w:p w14:paraId="3E505F1F">
      <w:pPr>
        <w:spacing w:line="360" w:lineRule="auto"/>
        <w:ind w:firstLine="480" w:firstLineChars="200"/>
        <w:rPr>
          <w:rFonts w:ascii="宋体" w:hAnsi="宋体"/>
          <w:snapToGrid w:val="0"/>
          <w:kern w:val="0"/>
          <w:sz w:val="24"/>
        </w:rPr>
      </w:pPr>
      <w:r>
        <w:rPr>
          <w:rFonts w:hint="eastAsia" w:ascii="宋体" w:hAnsi="宋体"/>
          <w:snapToGrid w:val="0"/>
          <w:kern w:val="0"/>
          <w:sz w:val="24"/>
        </w:rPr>
        <w:t>5、</w:t>
      </w:r>
      <w:r>
        <w:rPr>
          <w:rFonts w:ascii="宋体" w:hAnsi="宋体"/>
          <w:snapToGrid w:val="0"/>
          <w:kern w:val="0"/>
          <w:sz w:val="24"/>
        </w:rPr>
        <w:t>灰成分及灰熔点</w:t>
      </w:r>
    </w:p>
    <w:p w14:paraId="0D3731A0">
      <w:pPr>
        <w:spacing w:line="360" w:lineRule="auto"/>
        <w:ind w:firstLine="480" w:firstLineChars="200"/>
        <w:rPr>
          <w:rFonts w:ascii="宋体" w:hAnsi="宋体"/>
          <w:snapToGrid w:val="0"/>
          <w:kern w:val="0"/>
          <w:sz w:val="24"/>
        </w:rPr>
      </w:pPr>
      <w:r>
        <w:rPr>
          <w:rFonts w:ascii="宋体" w:hAnsi="宋体"/>
          <w:snapToGrid w:val="0"/>
          <w:kern w:val="0"/>
          <w:sz w:val="24"/>
          <w:lang w:val="en-GB"/>
        </w:rPr>
        <w:t>灰成份：</w:t>
      </w:r>
      <w:r>
        <w:rPr>
          <w:rFonts w:hint="eastAsia" w:ascii="宋体" w:hAnsi="宋体"/>
          <w:snapToGrid w:val="0"/>
          <w:kern w:val="0"/>
          <w:sz w:val="24"/>
          <w:lang w:val="en-GB"/>
        </w:rPr>
        <w:t>根</w:t>
      </w:r>
      <w:r>
        <w:rPr>
          <w:rFonts w:ascii="宋体" w:hAnsi="宋体"/>
          <w:snapToGrid w:val="0"/>
          <w:kern w:val="0"/>
          <w:sz w:val="24"/>
        </w:rPr>
        <w:t>据</w:t>
      </w:r>
      <w:r>
        <w:rPr>
          <w:rFonts w:hint="eastAsia" w:ascii="宋体" w:hAnsi="宋体"/>
          <w:snapToGrid w:val="0"/>
          <w:kern w:val="0"/>
          <w:sz w:val="24"/>
        </w:rPr>
        <w:t>井田</w:t>
      </w:r>
      <w:r>
        <w:rPr>
          <w:rFonts w:ascii="宋体" w:hAnsi="宋体"/>
          <w:snapToGrid w:val="0"/>
          <w:kern w:val="0"/>
          <w:sz w:val="24"/>
        </w:rPr>
        <w:t>样品分析结果，</w:t>
      </w:r>
      <w:r>
        <w:rPr>
          <w:rFonts w:ascii="宋体" w:hAnsi="宋体"/>
          <w:snapToGrid w:val="0"/>
          <w:kern w:val="0"/>
          <w:sz w:val="24"/>
          <w:lang w:val="en-GB"/>
        </w:rPr>
        <w:t>灰成份</w:t>
      </w:r>
      <w:r>
        <w:rPr>
          <w:rFonts w:hint="eastAsia" w:ascii="宋体" w:hAnsi="宋体"/>
          <w:snapToGrid w:val="0"/>
          <w:kern w:val="0"/>
          <w:sz w:val="24"/>
        </w:rPr>
        <w:t>由</w:t>
      </w:r>
      <w:r>
        <w:rPr>
          <w:rFonts w:ascii="宋体" w:hAnsi="宋体"/>
          <w:snapToGrid w:val="0"/>
          <w:kern w:val="0"/>
          <w:sz w:val="24"/>
        </w:rPr>
        <w:t>SiO</w:t>
      </w:r>
      <w:r>
        <w:rPr>
          <w:rFonts w:ascii="宋体" w:hAnsi="宋体"/>
          <w:snapToGrid w:val="0"/>
          <w:kern w:val="0"/>
          <w:sz w:val="24"/>
          <w:vertAlign w:val="subscript"/>
        </w:rPr>
        <w:t>2</w:t>
      </w:r>
      <w:r>
        <w:rPr>
          <w:rFonts w:hint="eastAsia" w:ascii="宋体" w:hAnsi="宋体"/>
          <w:snapToGrid w:val="0"/>
          <w:kern w:val="0"/>
          <w:sz w:val="24"/>
        </w:rPr>
        <w:t>、Al</w:t>
      </w:r>
      <w:r>
        <w:rPr>
          <w:rFonts w:ascii="宋体" w:hAnsi="宋体"/>
          <w:snapToGrid w:val="0"/>
          <w:kern w:val="0"/>
          <w:sz w:val="24"/>
          <w:vertAlign w:val="subscript"/>
        </w:rPr>
        <w:t>2</w:t>
      </w:r>
      <w:r>
        <w:rPr>
          <w:rFonts w:ascii="宋体" w:hAnsi="宋体"/>
          <w:snapToGrid w:val="0"/>
          <w:kern w:val="0"/>
          <w:sz w:val="24"/>
        </w:rPr>
        <w:t>O</w:t>
      </w:r>
      <w:r>
        <w:rPr>
          <w:rFonts w:ascii="宋体" w:hAnsi="宋体"/>
          <w:snapToGrid w:val="0"/>
          <w:kern w:val="0"/>
          <w:sz w:val="24"/>
          <w:vertAlign w:val="subscript"/>
        </w:rPr>
        <w:t>3</w:t>
      </w:r>
      <w:r>
        <w:rPr>
          <w:rFonts w:hint="eastAsia" w:ascii="宋体" w:hAnsi="宋体"/>
          <w:snapToGrid w:val="0"/>
          <w:kern w:val="0"/>
          <w:sz w:val="24"/>
        </w:rPr>
        <w:t>、Fe</w:t>
      </w:r>
      <w:r>
        <w:rPr>
          <w:rFonts w:ascii="宋体" w:hAnsi="宋体"/>
          <w:snapToGrid w:val="0"/>
          <w:kern w:val="0"/>
          <w:sz w:val="24"/>
          <w:vertAlign w:val="subscript"/>
        </w:rPr>
        <w:t>2</w:t>
      </w:r>
      <w:r>
        <w:rPr>
          <w:rFonts w:ascii="宋体" w:hAnsi="宋体"/>
          <w:snapToGrid w:val="0"/>
          <w:kern w:val="0"/>
          <w:sz w:val="24"/>
        </w:rPr>
        <w:t>O</w:t>
      </w:r>
      <w:r>
        <w:rPr>
          <w:rFonts w:ascii="宋体" w:hAnsi="宋体"/>
          <w:snapToGrid w:val="0"/>
          <w:kern w:val="0"/>
          <w:sz w:val="24"/>
          <w:vertAlign w:val="subscript"/>
        </w:rPr>
        <w:t>3</w:t>
      </w:r>
      <w:r>
        <w:rPr>
          <w:rFonts w:hint="eastAsia" w:ascii="宋体" w:hAnsi="宋体"/>
          <w:snapToGrid w:val="0"/>
          <w:kern w:val="0"/>
          <w:sz w:val="24"/>
        </w:rPr>
        <w:t>、CaO、MgO、SO</w:t>
      </w:r>
      <w:r>
        <w:rPr>
          <w:rFonts w:hint="eastAsia" w:ascii="宋体" w:hAnsi="宋体"/>
          <w:snapToGrid w:val="0"/>
          <w:kern w:val="0"/>
          <w:sz w:val="24"/>
          <w:vertAlign w:val="subscript"/>
        </w:rPr>
        <w:t>3</w:t>
      </w:r>
      <w:r>
        <w:rPr>
          <w:rFonts w:hint="eastAsia" w:ascii="宋体" w:hAnsi="宋体"/>
          <w:snapToGrid w:val="0"/>
          <w:kern w:val="0"/>
          <w:sz w:val="24"/>
        </w:rPr>
        <w:t>、TiO</w:t>
      </w:r>
      <w:r>
        <w:rPr>
          <w:rFonts w:hint="eastAsia" w:ascii="宋体" w:hAnsi="宋体"/>
          <w:snapToGrid w:val="0"/>
          <w:kern w:val="0"/>
          <w:sz w:val="24"/>
          <w:vertAlign w:val="subscript"/>
        </w:rPr>
        <w:t>2</w:t>
      </w:r>
      <w:r>
        <w:rPr>
          <w:rFonts w:hint="eastAsia" w:ascii="宋体" w:hAnsi="宋体"/>
          <w:snapToGrid w:val="0"/>
          <w:kern w:val="0"/>
          <w:sz w:val="24"/>
        </w:rPr>
        <w:t>、Mn</w:t>
      </w:r>
      <w:r>
        <w:rPr>
          <w:rFonts w:hint="eastAsia" w:ascii="宋体" w:hAnsi="宋体"/>
          <w:snapToGrid w:val="0"/>
          <w:kern w:val="0"/>
          <w:sz w:val="24"/>
          <w:vertAlign w:val="subscript"/>
        </w:rPr>
        <w:t>3</w:t>
      </w:r>
      <w:r>
        <w:rPr>
          <w:rFonts w:hint="eastAsia" w:ascii="宋体" w:hAnsi="宋体"/>
          <w:snapToGrid w:val="0"/>
          <w:kern w:val="0"/>
          <w:sz w:val="24"/>
        </w:rPr>
        <w:t>O</w:t>
      </w:r>
      <w:r>
        <w:rPr>
          <w:rFonts w:hint="eastAsia" w:ascii="宋体" w:hAnsi="宋体"/>
          <w:snapToGrid w:val="0"/>
          <w:kern w:val="0"/>
          <w:sz w:val="24"/>
          <w:vertAlign w:val="subscript"/>
        </w:rPr>
        <w:t>4</w:t>
      </w:r>
      <w:r>
        <w:rPr>
          <w:rFonts w:hint="eastAsia" w:ascii="宋体" w:hAnsi="宋体"/>
          <w:snapToGrid w:val="0"/>
          <w:kern w:val="0"/>
          <w:sz w:val="24"/>
        </w:rPr>
        <w:t>、K</w:t>
      </w:r>
      <w:r>
        <w:rPr>
          <w:rFonts w:hint="eastAsia" w:ascii="宋体" w:hAnsi="宋体"/>
          <w:snapToGrid w:val="0"/>
          <w:kern w:val="0"/>
          <w:sz w:val="24"/>
          <w:vertAlign w:val="subscript"/>
        </w:rPr>
        <w:t>2</w:t>
      </w:r>
      <w:r>
        <w:rPr>
          <w:rFonts w:hint="eastAsia" w:ascii="宋体" w:hAnsi="宋体"/>
          <w:snapToGrid w:val="0"/>
          <w:kern w:val="0"/>
          <w:sz w:val="24"/>
        </w:rPr>
        <w:t>O等氧化物组成，其中以前四种氧化物</w:t>
      </w:r>
      <w:r>
        <w:rPr>
          <w:rFonts w:ascii="宋体" w:hAnsi="宋体"/>
          <w:snapToGrid w:val="0"/>
          <w:kern w:val="0"/>
          <w:sz w:val="24"/>
        </w:rPr>
        <w:t>为主，</w:t>
      </w:r>
      <w:r>
        <w:rPr>
          <w:rFonts w:hint="eastAsia" w:ascii="宋体" w:hAnsi="宋体"/>
          <w:snapToGrid w:val="0"/>
          <w:kern w:val="0"/>
          <w:sz w:val="24"/>
        </w:rPr>
        <w:t>其它组分含量很少。</w:t>
      </w:r>
    </w:p>
    <w:p w14:paraId="20A6DA65">
      <w:pPr>
        <w:spacing w:line="360" w:lineRule="auto"/>
        <w:ind w:firstLine="480" w:firstLineChars="200"/>
        <w:rPr>
          <w:rFonts w:hint="eastAsia" w:ascii="宋体" w:hAnsi="宋体"/>
          <w:snapToGrid w:val="0"/>
          <w:kern w:val="0"/>
          <w:sz w:val="24"/>
        </w:rPr>
      </w:pPr>
      <w:r>
        <w:rPr>
          <w:rFonts w:ascii="宋体" w:hAnsi="宋体"/>
          <w:snapToGrid w:val="0"/>
          <w:kern w:val="0"/>
          <w:sz w:val="24"/>
          <w:lang w:val="en-GB"/>
        </w:rPr>
        <w:t>灰熔点：</w:t>
      </w:r>
      <w:r>
        <w:rPr>
          <w:rFonts w:ascii="宋体" w:hAnsi="宋体"/>
          <w:snapToGrid w:val="0"/>
          <w:kern w:val="0"/>
          <w:sz w:val="24"/>
        </w:rPr>
        <w:t>据样品测定结果，煤层灰分软化温度</w:t>
      </w:r>
      <w:r>
        <w:rPr>
          <w:rFonts w:hint="eastAsia" w:ascii="宋体" w:hAnsi="宋体"/>
          <w:snapToGrid w:val="0"/>
          <w:kern w:val="0"/>
          <w:sz w:val="24"/>
        </w:rPr>
        <w:t>一般大于</w:t>
      </w:r>
      <w:r>
        <w:rPr>
          <w:rFonts w:ascii="宋体" w:hAnsi="宋体"/>
          <w:snapToGrid w:val="0"/>
          <w:kern w:val="0"/>
          <w:sz w:val="24"/>
        </w:rPr>
        <w:t>1</w:t>
      </w:r>
      <w:r>
        <w:rPr>
          <w:rFonts w:hint="eastAsia" w:ascii="宋体" w:hAnsi="宋体"/>
          <w:snapToGrid w:val="0"/>
          <w:kern w:val="0"/>
          <w:sz w:val="24"/>
        </w:rPr>
        <w:t>2</w:t>
      </w:r>
      <w:r>
        <w:rPr>
          <w:rFonts w:ascii="宋体" w:hAnsi="宋体"/>
          <w:snapToGrid w:val="0"/>
          <w:kern w:val="0"/>
          <w:sz w:val="24"/>
        </w:rPr>
        <w:t>00</w:t>
      </w:r>
      <w:r>
        <w:rPr>
          <w:rFonts w:hint="eastAsia" w:ascii="宋体" w:hAnsi="宋体"/>
          <w:snapToGrid w:val="0"/>
          <w:kern w:val="0"/>
          <w:sz w:val="24"/>
        </w:rPr>
        <w:t>°C</w:t>
      </w:r>
      <w:r>
        <w:rPr>
          <w:rFonts w:ascii="宋体" w:hAnsi="宋体"/>
          <w:snapToGrid w:val="0"/>
          <w:kern w:val="0"/>
          <w:sz w:val="24"/>
        </w:rPr>
        <w:t>，属高熔点灰</w:t>
      </w:r>
      <w:r>
        <w:rPr>
          <w:rFonts w:hint="eastAsia" w:ascii="宋体" w:hAnsi="宋体"/>
          <w:snapToGrid w:val="0"/>
          <w:kern w:val="0"/>
          <w:sz w:val="24"/>
        </w:rPr>
        <w:t>煤</w:t>
      </w:r>
      <w:r>
        <w:rPr>
          <w:rFonts w:ascii="宋体" w:hAnsi="宋体"/>
          <w:snapToGrid w:val="0"/>
          <w:kern w:val="0"/>
          <w:sz w:val="24"/>
        </w:rPr>
        <w:t>。</w:t>
      </w:r>
    </w:p>
    <w:p w14:paraId="0B72136B">
      <w:pPr>
        <w:spacing w:line="360" w:lineRule="auto"/>
        <w:ind w:firstLine="480" w:firstLineChars="200"/>
        <w:rPr>
          <w:rFonts w:ascii="宋体" w:hAnsi="宋体"/>
          <w:snapToGrid w:val="0"/>
          <w:kern w:val="0"/>
          <w:sz w:val="24"/>
        </w:rPr>
      </w:pPr>
      <w:r>
        <w:rPr>
          <w:rFonts w:hint="eastAsia" w:ascii="宋体" w:hAnsi="宋体"/>
          <w:snapToGrid w:val="0"/>
          <w:kern w:val="0"/>
          <w:sz w:val="24"/>
        </w:rPr>
        <w:t>6</w:t>
      </w:r>
      <w:r>
        <w:rPr>
          <w:rFonts w:ascii="宋体" w:hAnsi="宋体"/>
          <w:snapToGrid w:val="0"/>
          <w:kern w:val="0"/>
          <w:sz w:val="24"/>
        </w:rPr>
        <w:t>、煤的工业用途</w:t>
      </w:r>
    </w:p>
    <w:p w14:paraId="2FFC139B">
      <w:pPr>
        <w:spacing w:line="360" w:lineRule="auto"/>
        <w:ind w:firstLine="480" w:firstLineChars="200"/>
        <w:rPr>
          <w:rFonts w:hint="eastAsia" w:ascii="宋体" w:hAnsi="宋体"/>
          <w:color w:val="000000"/>
          <w:sz w:val="24"/>
        </w:rPr>
      </w:pPr>
      <w:r>
        <w:rPr>
          <w:rFonts w:ascii="宋体" w:hAnsi="宋体"/>
          <w:snapToGrid w:val="0"/>
          <w:kern w:val="0"/>
          <w:sz w:val="24"/>
        </w:rPr>
        <w:t>根据工业分析结果可以看出，</w:t>
      </w:r>
      <w:r>
        <w:rPr>
          <w:rFonts w:ascii="宋体" w:hAnsi="宋体"/>
          <w:color w:val="000000"/>
          <w:sz w:val="24"/>
        </w:rPr>
        <w:t>该区煤多属低～中灰</w:t>
      </w:r>
      <w:r>
        <w:rPr>
          <w:rFonts w:hint="eastAsia" w:ascii="宋体" w:hAnsi="宋体"/>
          <w:color w:val="000000"/>
          <w:sz w:val="24"/>
        </w:rPr>
        <w:t>，</w:t>
      </w:r>
      <w:r>
        <w:rPr>
          <w:rFonts w:ascii="宋体" w:hAnsi="宋体"/>
          <w:color w:val="000000"/>
          <w:sz w:val="24"/>
        </w:rPr>
        <w:t>特低～中高硫</w:t>
      </w:r>
      <w:r>
        <w:rPr>
          <w:rFonts w:hint="eastAsia" w:ascii="宋体" w:hAnsi="宋体"/>
          <w:color w:val="000000"/>
          <w:sz w:val="24"/>
        </w:rPr>
        <w:t>，高～</w:t>
      </w:r>
      <w:r>
        <w:rPr>
          <w:rFonts w:ascii="宋体" w:hAnsi="宋体"/>
          <w:color w:val="000000"/>
          <w:sz w:val="24"/>
        </w:rPr>
        <w:t>特高热值煤</w:t>
      </w:r>
      <w:r>
        <w:rPr>
          <w:rFonts w:hint="eastAsia" w:ascii="宋体" w:hAnsi="宋体"/>
          <w:color w:val="000000"/>
          <w:sz w:val="24"/>
        </w:rPr>
        <w:t>。其中：K1-b为</w:t>
      </w:r>
      <w:r>
        <w:rPr>
          <w:rFonts w:ascii="宋体" w:hAnsi="宋体"/>
          <w:color w:val="000000"/>
          <w:sz w:val="24"/>
        </w:rPr>
        <w:t>中灰</w:t>
      </w:r>
      <w:r>
        <w:rPr>
          <w:rFonts w:hint="eastAsia" w:ascii="宋体" w:hAnsi="宋体"/>
          <w:color w:val="000000"/>
          <w:sz w:val="24"/>
        </w:rPr>
        <w:t>、</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；K3为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；K9为</w:t>
      </w:r>
      <w:r>
        <w:rPr>
          <w:rFonts w:ascii="宋体" w:hAnsi="宋体"/>
          <w:color w:val="000000"/>
          <w:sz w:val="24"/>
        </w:rPr>
        <w:t>中灰</w:t>
      </w:r>
      <w:r>
        <w:rPr>
          <w:rFonts w:hint="eastAsia" w:ascii="宋体" w:hAnsi="宋体"/>
          <w:color w:val="000000"/>
          <w:sz w:val="24"/>
        </w:rPr>
        <w:t>、中</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；K13为低</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；K18为低</w:t>
      </w:r>
      <w:r>
        <w:rPr>
          <w:rFonts w:ascii="宋体" w:hAnsi="宋体"/>
          <w:color w:val="000000"/>
          <w:sz w:val="24"/>
        </w:rPr>
        <w:t>中灰</w:t>
      </w:r>
      <w:r>
        <w:rPr>
          <w:rFonts w:hint="eastAsia" w:ascii="宋体" w:hAnsi="宋体"/>
          <w:color w:val="000000"/>
          <w:sz w:val="24"/>
        </w:rPr>
        <w:t>、</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；K26为</w:t>
      </w:r>
      <w:r>
        <w:rPr>
          <w:rFonts w:ascii="宋体" w:hAnsi="宋体"/>
          <w:color w:val="000000"/>
          <w:sz w:val="24"/>
        </w:rPr>
        <w:t>中灰</w:t>
      </w:r>
      <w:r>
        <w:rPr>
          <w:rFonts w:hint="eastAsia" w:ascii="宋体" w:hAnsi="宋体"/>
          <w:color w:val="000000"/>
          <w:sz w:val="24"/>
        </w:rPr>
        <w:t>、特</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；K35-b为</w:t>
      </w:r>
      <w:r>
        <w:rPr>
          <w:rFonts w:ascii="宋体" w:hAnsi="宋体"/>
          <w:color w:val="000000"/>
          <w:sz w:val="24"/>
        </w:rPr>
        <w:t>中灰</w:t>
      </w:r>
      <w:r>
        <w:rPr>
          <w:rFonts w:hint="eastAsia" w:ascii="宋体" w:hAnsi="宋体"/>
          <w:color w:val="000000"/>
          <w:sz w:val="24"/>
        </w:rPr>
        <w:t>、特</w:t>
      </w:r>
      <w:r>
        <w:rPr>
          <w:rFonts w:ascii="宋体" w:hAnsi="宋体"/>
          <w:color w:val="000000"/>
          <w:sz w:val="24"/>
        </w:rPr>
        <w:t>低硫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；K106-b为</w:t>
      </w:r>
      <w:r>
        <w:rPr>
          <w:rFonts w:ascii="宋体" w:hAnsi="宋体"/>
          <w:color w:val="000000"/>
          <w:sz w:val="24"/>
        </w:rPr>
        <w:t>中灰</w:t>
      </w:r>
      <w:r>
        <w:rPr>
          <w:rFonts w:hint="eastAsia" w:ascii="宋体" w:hAnsi="宋体"/>
          <w:color w:val="000000"/>
          <w:sz w:val="24"/>
        </w:rPr>
        <w:t>、中</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；K109-b为低</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；K110-a为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w:t>
      </w:r>
      <w:r>
        <w:rPr>
          <w:rFonts w:ascii="宋体" w:hAnsi="宋体"/>
          <w:color w:val="000000"/>
          <w:sz w:val="24"/>
        </w:rPr>
        <w:t>可用作炼焦配煤、化工用煤、动力用煤和民用煤等。</w:t>
      </w:r>
    </w:p>
    <w:p w14:paraId="1C165AE9">
      <w:pPr>
        <w:pStyle w:val="4"/>
        <w:keepLines/>
        <w:adjustRightInd w:val="0"/>
        <w:snapToGrid w:val="0"/>
        <w:spacing w:before="240" w:after="240" w:line="360" w:lineRule="auto"/>
        <w:ind w:firstLine="562" w:firstLineChars="200"/>
        <w:jc w:val="both"/>
        <w:rPr>
          <w:rFonts w:hint="eastAsia"/>
          <w:b/>
          <w:color w:val="000000"/>
          <w:kern w:val="0"/>
          <w:szCs w:val="20"/>
        </w:rPr>
      </w:pPr>
      <w:bookmarkStart w:id="33" w:name="_Toc147218659"/>
      <w:bookmarkStart w:id="34" w:name="_Toc202492911"/>
      <w:r>
        <w:rPr>
          <w:rFonts w:hint="eastAsia"/>
          <w:b/>
          <w:color w:val="000000"/>
          <w:kern w:val="0"/>
          <w:szCs w:val="20"/>
        </w:rPr>
        <w:t>三、其他矿产和伴生元素</w:t>
      </w:r>
      <w:bookmarkEnd w:id="33"/>
      <w:bookmarkEnd w:id="34"/>
    </w:p>
    <w:p w14:paraId="2AE2CAFC">
      <w:pPr>
        <w:spacing w:line="360" w:lineRule="auto"/>
        <w:ind w:firstLine="480" w:firstLineChars="200"/>
        <w:rPr>
          <w:rFonts w:ascii="宋体" w:hAnsi="宋体"/>
          <w:sz w:val="24"/>
        </w:rPr>
      </w:pPr>
      <w:r>
        <w:rPr>
          <w:rFonts w:hint="eastAsia" w:ascii="宋体" w:hAnsi="宋体"/>
          <w:sz w:val="24"/>
        </w:rPr>
        <w:t>1、</w:t>
      </w:r>
      <w:r>
        <w:rPr>
          <w:rFonts w:ascii="宋体" w:hAnsi="宋体"/>
          <w:sz w:val="24"/>
        </w:rPr>
        <w:t>瓦斯（煤层气）：目前由于技术原因未能加以回收利用，望以后能提高技术加以利用，节约能源，更进一步提高经济效益。</w:t>
      </w:r>
    </w:p>
    <w:p w14:paraId="7BDBC437">
      <w:pPr>
        <w:spacing w:line="360" w:lineRule="auto"/>
        <w:ind w:firstLine="480" w:firstLineChars="200"/>
        <w:rPr>
          <w:rFonts w:hint="eastAsia" w:ascii="宋体" w:hAnsi="宋体" w:cs="宋体"/>
          <w:kern w:val="0"/>
          <w:sz w:val="24"/>
        </w:rPr>
      </w:pPr>
      <w:r>
        <w:rPr>
          <w:rFonts w:hint="eastAsia" w:ascii="宋体" w:hAnsi="宋体"/>
          <w:sz w:val="24"/>
        </w:rPr>
        <w:t>2、</w:t>
      </w:r>
      <w:r>
        <w:rPr>
          <w:rFonts w:ascii="宋体" w:hAnsi="宋体"/>
          <w:sz w:val="24"/>
        </w:rPr>
        <w:t>稀散元素</w:t>
      </w:r>
      <w:r>
        <w:rPr>
          <w:rFonts w:hint="eastAsia" w:ascii="宋体" w:hAnsi="宋体"/>
          <w:sz w:val="24"/>
        </w:rPr>
        <w:t>：</w:t>
      </w:r>
      <w:r>
        <w:rPr>
          <w:rFonts w:ascii="宋体" w:hAnsi="宋体"/>
          <w:sz w:val="24"/>
        </w:rPr>
        <w:t>根据煤层及夹矸、顶、底板样的光谱分析资料，稀散元素中达到工业要求的元素仅有镓，其含量为0.0012～0.005%，但据样品化学分析结果，镓的含量比光谱分析低5位左右，其两极植为0.0002～0.0014%，达不到工业要求。</w:t>
      </w:r>
    </w:p>
    <w:p w14:paraId="515046EB">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w:t>
      </w:r>
      <w:r>
        <w:rPr>
          <w:b/>
          <w:color w:val="000000"/>
          <w:kern w:val="0"/>
          <w:szCs w:val="20"/>
        </w:rPr>
        <w:t>水文地质条件</w:t>
      </w:r>
    </w:p>
    <w:p w14:paraId="5AB35A1E">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1、水文地质单元中的位置及地形地貌特征</w:t>
      </w:r>
    </w:p>
    <w:p w14:paraId="02D337A5">
      <w:pPr>
        <w:spacing w:line="360" w:lineRule="auto"/>
        <w:ind w:firstLine="480" w:firstLineChars="200"/>
        <w:rPr>
          <w:rFonts w:ascii="宋体" w:hAnsi="宋体"/>
          <w:snapToGrid w:val="0"/>
          <w:kern w:val="0"/>
          <w:sz w:val="24"/>
        </w:rPr>
      </w:pPr>
      <w:r>
        <w:rPr>
          <w:rFonts w:ascii="宋体" w:hAnsi="宋体"/>
          <w:snapToGrid w:val="0"/>
          <w:kern w:val="0"/>
          <w:sz w:val="24"/>
          <w:lang w:val="en-GB"/>
        </w:rPr>
        <w:t>矿区</w:t>
      </w:r>
      <w:r>
        <w:rPr>
          <w:rFonts w:ascii="宋体" w:hAnsi="宋体"/>
          <w:snapToGrid w:val="0"/>
          <w:kern w:val="0"/>
          <w:sz w:val="24"/>
        </w:rPr>
        <w:t>位于格目底向斜南西翼西段，地质构造较发育。</w:t>
      </w:r>
      <w:r>
        <w:rPr>
          <w:rFonts w:ascii="宋体" w:hAnsi="宋体"/>
          <w:snapToGrid w:val="0"/>
          <w:kern w:val="0"/>
          <w:sz w:val="24"/>
          <w:lang w:val="en-GB"/>
        </w:rPr>
        <w:t>地形起伏变化大，地形走势与构造线方向基本一致，属中中山侵蚀－岩溶地貌类型。</w:t>
      </w:r>
      <w:bookmarkStart w:id="35" w:name="_Toc187483982"/>
      <w:r>
        <w:rPr>
          <w:rFonts w:ascii="宋体" w:hAnsi="宋体"/>
          <w:bCs/>
          <w:snapToGrid w:val="0"/>
          <w:kern w:val="0"/>
          <w:sz w:val="24"/>
        </w:rPr>
        <w:t>一般海拔2250～1850m，最高点在矿区北侧的山脊，海拔2250m，矿界南西侧玉舍河为矿区最低侵蚀面，海拔1830m。矿区内仅有三条季节性沟溪，一般流量为0.11～0.49L／S。在矿界南西侧有玉舍河。一般流量为786～1027L／</w:t>
      </w:r>
      <w:r>
        <w:rPr>
          <w:rFonts w:hint="eastAsia" w:ascii="宋体" w:hAnsi="宋体"/>
          <w:bCs/>
          <w:snapToGrid w:val="0"/>
          <w:kern w:val="0"/>
          <w:sz w:val="24"/>
        </w:rPr>
        <w:t>s</w:t>
      </w:r>
      <w:r>
        <w:rPr>
          <w:rFonts w:ascii="宋体" w:hAnsi="宋体"/>
          <w:bCs/>
          <w:snapToGrid w:val="0"/>
          <w:kern w:val="0"/>
          <w:sz w:val="24"/>
        </w:rPr>
        <w:t>，其流量均受大气降水影响，枯水季节不会干枯。</w:t>
      </w:r>
      <w:bookmarkEnd w:id="35"/>
      <w:r>
        <w:rPr>
          <w:rFonts w:ascii="宋体" w:hAnsi="宋体"/>
          <w:snapToGrid w:val="0"/>
          <w:kern w:val="0"/>
          <w:sz w:val="24"/>
        </w:rPr>
        <w:t>当地侵蚀基准面为</w:t>
      </w:r>
      <w:r>
        <w:rPr>
          <w:rFonts w:ascii="宋体" w:hAnsi="宋体"/>
          <w:bCs/>
          <w:snapToGrid w:val="0"/>
          <w:kern w:val="0"/>
          <w:sz w:val="24"/>
        </w:rPr>
        <w:t>玉舍河</w:t>
      </w:r>
      <w:r>
        <w:rPr>
          <w:rFonts w:ascii="宋体" w:hAnsi="宋体"/>
          <w:snapToGrid w:val="0"/>
          <w:kern w:val="0"/>
          <w:sz w:val="24"/>
        </w:rPr>
        <w:t>河床标高1830</w:t>
      </w:r>
      <w:r>
        <w:rPr>
          <w:rFonts w:ascii="宋体" w:hAnsi="宋体"/>
          <w:snapToGrid w:val="0"/>
          <w:kern w:val="0"/>
          <w:sz w:val="24"/>
          <w:lang w:val="en-GB"/>
        </w:rPr>
        <w:t>m</w:t>
      </w:r>
      <w:r>
        <w:rPr>
          <w:rFonts w:ascii="宋体" w:hAnsi="宋体"/>
          <w:snapToGrid w:val="0"/>
          <w:kern w:val="0"/>
          <w:sz w:val="24"/>
        </w:rPr>
        <w:t>。</w:t>
      </w:r>
      <w:r>
        <w:rPr>
          <w:rFonts w:ascii="宋体" w:hAnsi="宋体"/>
          <w:snapToGrid w:val="0"/>
          <w:kern w:val="0"/>
          <w:sz w:val="24"/>
          <w:lang w:val="en-GB"/>
        </w:rPr>
        <w:t>矿井最低排泄基准面标高1760m，</w:t>
      </w:r>
      <w:r>
        <w:rPr>
          <w:rFonts w:ascii="宋体" w:hAnsi="宋体"/>
          <w:snapToGrid w:val="0"/>
          <w:kern w:val="0"/>
          <w:sz w:val="24"/>
        </w:rPr>
        <w:t>降雨是地下水的主要补给来源。</w:t>
      </w:r>
    </w:p>
    <w:p w14:paraId="52783AF7">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2、地下水类型</w:t>
      </w:r>
    </w:p>
    <w:p w14:paraId="589E6B3F">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矿区内地下水类型主要为碳酸盐岩岩溶裂隙水和基岩裂隙水，其次为松散岩类孔隙水。</w:t>
      </w:r>
    </w:p>
    <w:p w14:paraId="422FBADB">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3、含水岩组及其含水特征</w:t>
      </w:r>
    </w:p>
    <w:p w14:paraId="2CF7DB5E">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（1）碳酸盐岩岩溶裂隙水含水岩组：主要为三叠系下统永宁镇组（T</w:t>
      </w:r>
      <w:r>
        <w:rPr>
          <w:rFonts w:hint="eastAsia" w:ascii="宋体" w:hAnsi="宋体"/>
          <w:snapToGrid w:val="0"/>
          <w:kern w:val="0"/>
          <w:sz w:val="24"/>
          <w:vertAlign w:val="subscript"/>
        </w:rPr>
        <w:t>1</w:t>
      </w:r>
      <w:r>
        <w:rPr>
          <w:rFonts w:hint="eastAsia" w:ascii="宋体" w:hAnsi="宋体"/>
          <w:snapToGrid w:val="0"/>
          <w:kern w:val="0"/>
          <w:sz w:val="24"/>
        </w:rPr>
        <w:t>yn），主要分布于矿区北部的山岭地带，地表岩溶较发育，含水层接受大气降水补给后，地下水通过岩溶裂隙、溶洞集中运移，含水性能好，由于抗风化力较强，地表多呈狭长反向陡崖、峭壁，不利于大气降雨的补给，排泄条件也较好，大气降水通过垂直岩溶裂隙补给含水层，并通过岩溶裂隙、溶洞汇集、径流和排泄，含较丰富的岩溶裂隙水，富水性较强。</w:t>
      </w:r>
    </w:p>
    <w:p w14:paraId="71DE8A51">
      <w:pPr>
        <w:spacing w:line="360" w:lineRule="auto"/>
        <w:ind w:firstLine="480" w:firstLineChars="200"/>
        <w:rPr>
          <w:rFonts w:ascii="宋体" w:hAnsi="宋体"/>
          <w:snapToGrid w:val="0"/>
          <w:kern w:val="0"/>
          <w:sz w:val="24"/>
        </w:rPr>
      </w:pPr>
      <w:r>
        <w:rPr>
          <w:rFonts w:ascii="宋体" w:hAnsi="宋体"/>
          <w:snapToGrid w:val="0"/>
          <w:kern w:val="0"/>
          <w:sz w:val="24"/>
        </w:rPr>
        <w:t>（2）基岩裂隙水含水岩组：主要包括三叠系下统飞仙关组(T</w:t>
      </w:r>
      <w:r>
        <w:rPr>
          <w:rFonts w:ascii="宋体" w:hAnsi="宋体"/>
          <w:snapToGrid w:val="0"/>
          <w:kern w:val="0"/>
          <w:sz w:val="24"/>
          <w:vertAlign w:val="subscript"/>
        </w:rPr>
        <w:t>1</w:t>
      </w:r>
      <w:r>
        <w:rPr>
          <w:rFonts w:ascii="宋体" w:hAnsi="宋体"/>
          <w:snapToGrid w:val="0"/>
          <w:kern w:val="0"/>
          <w:sz w:val="24"/>
        </w:rPr>
        <w:t>f)和二叠系上统</w:t>
      </w:r>
      <w:r>
        <w:rPr>
          <w:rFonts w:ascii="宋体" w:hAnsi="宋体"/>
          <w:sz w:val="24"/>
        </w:rPr>
        <w:t>峨眉山玄武岩（P</w:t>
      </w:r>
      <w:r>
        <w:rPr>
          <w:rFonts w:ascii="宋体" w:hAnsi="宋体"/>
          <w:sz w:val="24"/>
          <w:vertAlign w:val="subscript"/>
        </w:rPr>
        <w:t>3</w:t>
      </w:r>
      <w:r>
        <w:rPr>
          <w:rFonts w:ascii="宋体" w:hAnsi="宋体"/>
          <w:sz w:val="24"/>
        </w:rPr>
        <w:t>β）和</w:t>
      </w:r>
      <w:r>
        <w:rPr>
          <w:rFonts w:ascii="宋体" w:hAnsi="宋体"/>
          <w:snapToGrid w:val="0"/>
          <w:kern w:val="0"/>
          <w:sz w:val="24"/>
        </w:rPr>
        <w:t>龙潭组（P</w:t>
      </w:r>
      <w:r>
        <w:rPr>
          <w:rFonts w:ascii="宋体" w:hAnsi="宋体"/>
          <w:snapToGrid w:val="0"/>
          <w:kern w:val="0"/>
          <w:sz w:val="24"/>
          <w:vertAlign w:val="subscript"/>
        </w:rPr>
        <w:t>3</w:t>
      </w:r>
      <w:r>
        <w:rPr>
          <w:rFonts w:ascii="宋体" w:hAnsi="宋体"/>
          <w:snapToGrid w:val="0"/>
          <w:kern w:val="0"/>
          <w:sz w:val="24"/>
        </w:rPr>
        <w:t>l）。由主要碎屑岩、粉砂岩、钙质砂岩，泥质粉砂岩、</w:t>
      </w:r>
      <w:r>
        <w:rPr>
          <w:rFonts w:ascii="宋体" w:hAnsi="宋体"/>
          <w:sz w:val="24"/>
        </w:rPr>
        <w:t>玄武岩</w:t>
      </w:r>
      <w:r>
        <w:rPr>
          <w:rFonts w:ascii="宋体" w:hAnsi="宋体"/>
          <w:snapToGrid w:val="0"/>
          <w:kern w:val="0"/>
          <w:sz w:val="24"/>
        </w:rPr>
        <w:t>及煤层组成，夹少量石灰岩。该岩组裂隙较发育，含少量裂隙水，富水性差。</w:t>
      </w:r>
    </w:p>
    <w:p w14:paraId="01D47D2B">
      <w:pPr>
        <w:spacing w:line="360" w:lineRule="auto"/>
        <w:ind w:firstLine="480" w:firstLineChars="200"/>
        <w:rPr>
          <w:rFonts w:hint="eastAsia" w:ascii="宋体" w:hAnsi="宋体"/>
          <w:snapToGrid w:val="0"/>
          <w:kern w:val="0"/>
          <w:sz w:val="24"/>
        </w:rPr>
      </w:pPr>
      <w:r>
        <w:rPr>
          <w:rFonts w:ascii="宋体" w:hAnsi="宋体"/>
          <w:snapToGrid w:val="0"/>
          <w:kern w:val="0"/>
          <w:sz w:val="24"/>
        </w:rPr>
        <w:t>（3）松散岩类孔隙水含水岩组：第四系（Ｑ）主要分布在飞仙关山脚及低洼处</w:t>
      </w:r>
      <w:r>
        <w:rPr>
          <w:rFonts w:hint="eastAsia" w:ascii="宋体" w:hAnsi="宋体"/>
          <w:snapToGrid w:val="0"/>
          <w:kern w:val="0"/>
          <w:sz w:val="24"/>
        </w:rPr>
        <w:t>，多为残积、坡积及冲洪积物等，厚度变化较大，一般0～10m，最厚达20m左右。地下水赋存条件差，枯季一般不含水，局部松散层厚度较大的地带，</w:t>
      </w:r>
      <w:r>
        <w:rPr>
          <w:rFonts w:ascii="宋体" w:hAnsi="宋体"/>
          <w:snapToGrid w:val="0"/>
          <w:kern w:val="0"/>
          <w:sz w:val="24"/>
        </w:rPr>
        <w:t>含水性较强。泉水流量一般小于0.5</w:t>
      </w:r>
      <w:r>
        <w:rPr>
          <w:rFonts w:ascii="宋体" w:hAnsi="宋体" w:cs="ItalicT"/>
          <w:snapToGrid w:val="0"/>
          <w:kern w:val="0"/>
          <w:sz w:val="24"/>
        </w:rPr>
        <w:t>l/s</w:t>
      </w:r>
      <w:r>
        <w:rPr>
          <w:rFonts w:ascii="宋体" w:hAnsi="宋体"/>
          <w:snapToGrid w:val="0"/>
          <w:kern w:val="0"/>
          <w:sz w:val="24"/>
        </w:rPr>
        <w:t>。当地层较厚受基岩风化带水补给时，流量可达1</w:t>
      </w:r>
      <w:r>
        <w:rPr>
          <w:rFonts w:ascii="宋体" w:hAnsi="宋体" w:cs="ItalicT"/>
          <w:snapToGrid w:val="0"/>
          <w:kern w:val="0"/>
          <w:sz w:val="24"/>
        </w:rPr>
        <w:t xml:space="preserve"> l/s</w:t>
      </w:r>
      <w:r>
        <w:rPr>
          <w:rFonts w:ascii="宋体" w:hAnsi="宋体"/>
          <w:snapToGrid w:val="0"/>
          <w:kern w:val="0"/>
          <w:sz w:val="24"/>
        </w:rPr>
        <w:t>以上，雨季更大。</w:t>
      </w:r>
    </w:p>
    <w:p w14:paraId="3487F779">
      <w:pPr>
        <w:spacing w:line="360" w:lineRule="auto"/>
        <w:ind w:firstLine="480" w:firstLineChars="200"/>
        <w:rPr>
          <w:rFonts w:ascii="宋体" w:hAnsi="宋体"/>
          <w:snapToGrid w:val="0"/>
          <w:kern w:val="0"/>
          <w:sz w:val="24"/>
          <w:lang w:val="en-GB"/>
        </w:rPr>
      </w:pPr>
      <w:r>
        <w:rPr>
          <w:rFonts w:hint="eastAsia" w:ascii="宋体" w:hAnsi="宋体"/>
          <w:snapToGrid w:val="0"/>
          <w:kern w:val="0"/>
          <w:sz w:val="24"/>
          <w:lang w:val="en-GB"/>
        </w:rPr>
        <w:t>4、</w:t>
      </w:r>
      <w:r>
        <w:rPr>
          <w:rFonts w:ascii="宋体" w:hAnsi="宋体"/>
          <w:snapToGrid w:val="0"/>
          <w:kern w:val="0"/>
          <w:sz w:val="24"/>
          <w:lang w:val="en-GB"/>
        </w:rPr>
        <w:t>断层的含水性</w:t>
      </w:r>
    </w:p>
    <w:p w14:paraId="74AEFFA1">
      <w:pPr>
        <w:pStyle w:val="29"/>
        <w:spacing w:line="360" w:lineRule="auto"/>
        <w:ind w:firstLine="480" w:firstLineChars="200"/>
        <w:rPr>
          <w:rFonts w:hint="eastAsia" w:hAnsi="宋体"/>
          <w:bCs/>
          <w:snapToGrid w:val="0"/>
          <w:kern w:val="0"/>
          <w:sz w:val="24"/>
          <w:szCs w:val="24"/>
        </w:rPr>
      </w:pPr>
      <w:r>
        <w:rPr>
          <w:rFonts w:hint="eastAsia" w:hAnsi="宋体"/>
          <w:bCs/>
          <w:snapToGrid w:val="0"/>
          <w:kern w:val="0"/>
          <w:sz w:val="24"/>
          <w:szCs w:val="24"/>
        </w:rPr>
        <w:t>由于断层切割的飞仙关及煤系地层是由一套砂、泥岩互层组成，多属于柔性岩石，即使受断层的破坏，也不会产生较大的张开裂隙。实际所见的一般断层破碎带的压紧胶结程度都较好，因此断层导水性及含水性差，对矿床充水的影响较小。但矿床今后开采时所产生的人工裂隙可能与断层破碎带连通，而导致其它层段及地段的地下水流入破碎带而引起其富水性及导水性增大，特别是断层通过河流的地段这种情况发生的可能性更大，因此，矿床开采时应加以足够重视。</w:t>
      </w:r>
    </w:p>
    <w:p w14:paraId="4FB4D0B9">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5、地下水的补给、径流、排泄条件</w:t>
      </w:r>
    </w:p>
    <w:p w14:paraId="0BB54200">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矿区内的地下水主要靠大气降雨补给，以下地段是接受降雨补给最有利的地段：一是第四系较厚地段；二是地表岩石风化破碎地段。这些地段接受降雨补给后，岩层的富水性变得相对较强，并在一定条件下可构成小范围的地下水循环，即就地补给，就地排泄。除上述在浅部作小范围的迳流循环之外，还有一部分继续往深部流动，在深部作大范围的迳流循环，它的运动和排泄，主要受矿区构造控制。这部分地下水多沿薄层隔水层层面流动，其流向大致与走向和倾向一致，深切的沟谷则是它的排泄区。这些以深切的沟谷为中心所构成的地表水系分布网，实际上以就是地下水的补、迳、排系统。矿区地下水的流向受岩性、构造的控制，总体由北西向南东迳流，排泄进入矿区南东部的玉舍</w:t>
      </w:r>
      <w:r>
        <w:rPr>
          <w:rFonts w:ascii="宋体" w:hAnsi="宋体"/>
          <w:snapToGrid w:val="0"/>
          <w:kern w:val="0"/>
          <w:sz w:val="24"/>
        </w:rPr>
        <w:t>河</w:t>
      </w:r>
      <w:r>
        <w:rPr>
          <w:rFonts w:hint="eastAsia" w:ascii="宋体" w:hAnsi="宋体"/>
          <w:snapToGrid w:val="0"/>
          <w:kern w:val="0"/>
          <w:sz w:val="24"/>
        </w:rPr>
        <w:t>中。</w:t>
      </w:r>
    </w:p>
    <w:p w14:paraId="10C29295">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6、含水层间带及其与地表水的水力联系</w:t>
      </w:r>
    </w:p>
    <w:p w14:paraId="45E42DAE">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煤系和飞仙关组地下水的活动以沿岩层层面运动为主，垂直运动仅在风化带范围内占主要地位。由此，含水带间的水力联系在深部是不明显的，或者不存在水力联系。</w:t>
      </w:r>
    </w:p>
    <w:p w14:paraId="36BCD375">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煤系与茅口组灰岩间有</w:t>
      </w:r>
      <w:r>
        <w:rPr>
          <w:rFonts w:hint="eastAsia" w:ascii="宋体" w:hAnsi="宋体"/>
          <w:snapToGrid w:val="0"/>
          <w:kern w:val="0"/>
          <w:sz w:val="24"/>
        </w:rPr>
        <w:t>峨眉山玄武岩相隔，峨眉山玄武岩含水性极差，是较好的隔水层，由此，</w:t>
      </w:r>
      <w:r>
        <w:rPr>
          <w:rFonts w:hint="eastAsia" w:ascii="宋体" w:hAnsi="宋体"/>
          <w:snapToGrid w:val="0"/>
          <w:kern w:val="0"/>
          <w:sz w:val="24"/>
          <w:lang w:val="en-GB"/>
        </w:rPr>
        <w:t>煤系与茅口组灰岩不存在水力联系。</w:t>
      </w:r>
    </w:p>
    <w:p w14:paraId="4C5B3BAE">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矿区南部的</w:t>
      </w:r>
      <w:r>
        <w:rPr>
          <w:rFonts w:hint="eastAsia" w:ascii="宋体" w:hAnsi="宋体"/>
          <w:snapToGrid w:val="0"/>
          <w:kern w:val="0"/>
          <w:sz w:val="24"/>
        </w:rPr>
        <w:t>小</w:t>
      </w:r>
      <w:r>
        <w:rPr>
          <w:rFonts w:ascii="宋体" w:hAnsi="宋体"/>
          <w:snapToGrid w:val="0"/>
          <w:kern w:val="0"/>
          <w:sz w:val="24"/>
        </w:rPr>
        <w:t>河</w:t>
      </w:r>
      <w:r>
        <w:rPr>
          <w:rFonts w:hint="eastAsia" w:ascii="宋体" w:hAnsi="宋体"/>
          <w:snapToGrid w:val="0"/>
          <w:kern w:val="0"/>
          <w:sz w:val="24"/>
          <w:lang w:val="en-GB"/>
        </w:rPr>
        <w:t>，其流经地段主要是煤系地层</w:t>
      </w:r>
      <w:r>
        <w:rPr>
          <w:rFonts w:hint="eastAsia" w:ascii="宋体" w:hAnsi="宋体"/>
          <w:snapToGrid w:val="0"/>
          <w:kern w:val="0"/>
          <w:sz w:val="24"/>
        </w:rPr>
        <w:t>，但其</w:t>
      </w:r>
      <w:r>
        <w:rPr>
          <w:rFonts w:hint="eastAsia" w:ascii="宋体" w:hAnsi="宋体"/>
          <w:snapToGrid w:val="0"/>
          <w:kern w:val="0"/>
          <w:sz w:val="24"/>
          <w:lang w:val="en-GB"/>
        </w:rPr>
        <w:t>离矿区较远，大坪煤矿的地下开采与其发生水力联系的可能性较小。其余沟谷，水量小，坡度又较陡，是大气降水和地下水的常年排泄通道，仅在暴雨后于排水过程中，对风化剧烈，岩石疏松地段的地下水有短时的补给，一般则无影响或影响范围极小。</w:t>
      </w:r>
    </w:p>
    <w:p w14:paraId="5A00DEF4">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7、矿井充水因素分析</w:t>
      </w:r>
    </w:p>
    <w:p w14:paraId="1C57D922">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该矿是以大气降水为主的裂隙充水矿床，主要为顶板中所含裂隙水向巷道内渗漏，其次为老窑积水及采空区积水等。</w:t>
      </w:r>
    </w:p>
    <w:p w14:paraId="1B459C1E">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（1）老窑充水因素</w:t>
      </w:r>
    </w:p>
    <w:p w14:paraId="193C85D1">
      <w:pPr>
        <w:pStyle w:val="23"/>
        <w:rPr>
          <w:rFonts w:hint="eastAsia"/>
          <w:snapToGrid w:val="0"/>
          <w:kern w:val="0"/>
        </w:rPr>
      </w:pPr>
      <w:r>
        <w:rPr>
          <w:rFonts w:hint="eastAsia"/>
          <w:snapToGrid w:val="0"/>
          <w:kern w:val="0"/>
        </w:rPr>
        <w:t>根据调查，矿区内煤矿开采历史较长，老窑采空区积水的可能性大，是矿井充水的主要因素。目前老窑已关闭，对其采空区积水，开采过程中应引起重视。</w:t>
      </w:r>
    </w:p>
    <w:p w14:paraId="704D6755">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（2）其它充水因素</w:t>
      </w:r>
    </w:p>
    <w:p w14:paraId="1D153500">
      <w:pPr>
        <w:pStyle w:val="23"/>
        <w:rPr>
          <w:rFonts w:hint="eastAsia"/>
          <w:snapToGrid w:val="0"/>
          <w:kern w:val="0"/>
        </w:rPr>
      </w:pPr>
      <w:r>
        <w:rPr>
          <w:rFonts w:hint="eastAsia"/>
          <w:snapToGrid w:val="0"/>
          <w:kern w:val="0"/>
        </w:rPr>
        <w:t>在自然状态下，井田充水因素主要是龙潭组内所含的裂隙水。它通过煤层顶板中的裂隙直接向矿井或采空区充水。由于龙潭组的富水性弱，单位涌水量及渗透系数均极小，故将来矿井涌水量已不会太大。间接充水含水组飞仙关组第一段，在自然状态下对矿井充水影响已是很小的。</w:t>
      </w:r>
    </w:p>
    <w:p w14:paraId="2F5F8695">
      <w:pPr>
        <w:pStyle w:val="23"/>
        <w:rPr>
          <w:rFonts w:hint="eastAsia"/>
          <w:snapToGrid w:val="0"/>
          <w:kern w:val="0"/>
        </w:rPr>
      </w:pPr>
      <w:r>
        <w:rPr>
          <w:rFonts w:hint="eastAsia"/>
          <w:snapToGrid w:val="0"/>
          <w:kern w:val="0"/>
        </w:rPr>
        <w:t>井田内河流、溪沟虽然发育，且雨季流量较大，但在自然状态下是地下水补给河水，河流、溪沟是地下水的排泄地带，所以河流、溪沟水不是矿床充水的主要因素。</w:t>
      </w:r>
    </w:p>
    <w:p w14:paraId="175D6D4F">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井田内发育的断层规模一般不大，其破碎带挤压紧密，富水性很微弱，导水性也较差。虽在煤系地层中显示不含水特征，但煤层经大面积开采后引起塌陷，断层水也会随之而来，故对矿床充水影响较大。</w:t>
      </w:r>
    </w:p>
    <w:p w14:paraId="0D986902">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8、矿井涌水量预测</w:t>
      </w:r>
    </w:p>
    <w:p w14:paraId="4E590160">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水城县玉舍大坪煤矿与水城大河边煤矿开采技术条件、地下水补给条件、井型及规模等基本相似，两矿的这些条件可相类比。因些选用含水系数比拟法预测矿井涌水量。</w:t>
      </w:r>
    </w:p>
    <w:p w14:paraId="7D69CB3C">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根据其相邻的水城大河边煤矿1974～1984共10年，开采时各年矿井排出的涌水量与同期煤产量之比求得各年的含水系数值（K）最大为4.8，最小为0.73，平均为1.65。</w:t>
      </w:r>
    </w:p>
    <w:p w14:paraId="6C3D4FC2">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水城县玉舍大坪煤矿设计年开采量为30万吨。</w:t>
      </w:r>
    </w:p>
    <w:p w14:paraId="498AB90C">
      <w:pPr>
        <w:spacing w:line="360" w:lineRule="auto"/>
        <w:ind w:firstLine="480" w:firstLineChars="200"/>
        <w:rPr>
          <w:rFonts w:hint="eastAsia" w:ascii="宋体" w:hAnsi="宋体"/>
          <w:sz w:val="24"/>
          <w:lang w:val="en-GB"/>
        </w:rPr>
      </w:pPr>
      <w:r>
        <w:rPr>
          <w:rFonts w:hint="eastAsia" w:ascii="宋体" w:hAnsi="宋体"/>
          <w:snapToGrid w:val="0"/>
          <w:kern w:val="0"/>
          <w:sz w:val="24"/>
          <w:lang w:val="en-GB"/>
        </w:rPr>
        <w:t>根据公式：</w:t>
      </w:r>
      <w:r>
        <w:rPr>
          <w:rFonts w:hint="eastAsia" w:ascii="宋体" w:hAnsi="宋体"/>
          <w:sz w:val="24"/>
          <w:lang w:val="en-GB"/>
        </w:rPr>
        <w:t>Q=K×P/365</w:t>
      </w:r>
    </w:p>
    <w:p w14:paraId="05393643">
      <w:pPr>
        <w:spacing w:line="360" w:lineRule="auto"/>
        <w:ind w:firstLine="480" w:firstLineChars="200"/>
        <w:rPr>
          <w:rFonts w:hint="eastAsia" w:ascii="宋体" w:hAnsi="宋体"/>
          <w:sz w:val="24"/>
          <w:lang w:val="en-GB"/>
        </w:rPr>
      </w:pPr>
      <w:r>
        <w:rPr>
          <w:rFonts w:hint="eastAsia" w:ascii="宋体" w:hAnsi="宋体"/>
          <w:sz w:val="24"/>
          <w:lang w:val="en-GB"/>
        </w:rPr>
        <w:t>式中：Q－预计涌水量（吨/日）</w:t>
      </w:r>
    </w:p>
    <w:p w14:paraId="1605D4D0">
      <w:pPr>
        <w:spacing w:line="360" w:lineRule="auto"/>
        <w:ind w:firstLine="480" w:firstLineChars="200"/>
        <w:rPr>
          <w:rFonts w:hint="eastAsia" w:ascii="宋体" w:hAnsi="宋体"/>
          <w:sz w:val="24"/>
          <w:lang w:val="en-GB"/>
        </w:rPr>
      </w:pPr>
      <w:r>
        <w:rPr>
          <w:rFonts w:hint="eastAsia" w:ascii="宋体" w:hAnsi="宋体"/>
          <w:sz w:val="24"/>
          <w:lang w:val="en-GB"/>
        </w:rPr>
        <w:t xml:space="preserve">      P－设计未来矿山开采量（吨/年）</w:t>
      </w:r>
    </w:p>
    <w:p w14:paraId="201DE3C6">
      <w:pPr>
        <w:spacing w:line="360" w:lineRule="auto"/>
        <w:ind w:firstLine="480" w:firstLineChars="200"/>
        <w:rPr>
          <w:rFonts w:hint="eastAsia" w:ascii="宋体" w:hAnsi="宋体"/>
          <w:sz w:val="24"/>
          <w:lang w:val="en-GB"/>
        </w:rPr>
      </w:pPr>
      <w:r>
        <w:rPr>
          <w:rFonts w:hint="eastAsia" w:ascii="宋体" w:hAnsi="宋体"/>
          <w:sz w:val="24"/>
          <w:lang w:val="en-GB"/>
        </w:rPr>
        <w:t xml:space="preserve">      K－含水系数</w:t>
      </w:r>
    </w:p>
    <w:p w14:paraId="6A28B380">
      <w:pPr>
        <w:spacing w:line="360" w:lineRule="auto"/>
        <w:ind w:firstLine="480" w:firstLineChars="200"/>
        <w:rPr>
          <w:rFonts w:hint="eastAsia" w:ascii="宋体" w:hAnsi="宋体"/>
          <w:snapToGrid w:val="0"/>
          <w:kern w:val="0"/>
          <w:sz w:val="24"/>
          <w:lang w:val="en-GB"/>
        </w:rPr>
      </w:pPr>
      <w:r>
        <w:rPr>
          <w:rFonts w:hint="eastAsia" w:ascii="宋体" w:hAnsi="宋体"/>
          <w:snapToGrid w:val="0"/>
          <w:kern w:val="0"/>
          <w:sz w:val="24"/>
          <w:lang w:val="en-GB"/>
        </w:rPr>
        <w:t>经计算，水城县玉舍大坪煤矿预计未来最大涌水量为164.38m</w:t>
      </w:r>
      <w:r>
        <w:rPr>
          <w:rFonts w:hint="eastAsia" w:ascii="宋体" w:hAnsi="宋体"/>
          <w:snapToGrid w:val="0"/>
          <w:kern w:val="0"/>
          <w:sz w:val="24"/>
          <w:vertAlign w:val="superscript"/>
          <w:lang w:val="en-GB"/>
        </w:rPr>
        <w:t>3</w:t>
      </w:r>
      <w:r>
        <w:rPr>
          <w:rFonts w:hint="eastAsia" w:ascii="宋体" w:hAnsi="宋体"/>
          <w:snapToGrid w:val="0"/>
          <w:kern w:val="0"/>
          <w:sz w:val="24"/>
          <w:lang w:val="en-GB"/>
        </w:rPr>
        <w:t>/h，最小涌水量为25.0m</w:t>
      </w:r>
      <w:r>
        <w:rPr>
          <w:rFonts w:hint="eastAsia" w:ascii="宋体" w:hAnsi="宋体"/>
          <w:snapToGrid w:val="0"/>
          <w:kern w:val="0"/>
          <w:sz w:val="24"/>
          <w:vertAlign w:val="superscript"/>
          <w:lang w:val="en-GB"/>
        </w:rPr>
        <w:t>3</w:t>
      </w:r>
      <w:r>
        <w:rPr>
          <w:rFonts w:hint="eastAsia" w:ascii="宋体" w:hAnsi="宋体"/>
          <w:snapToGrid w:val="0"/>
          <w:kern w:val="0"/>
          <w:sz w:val="24"/>
          <w:lang w:val="en-GB"/>
        </w:rPr>
        <w:t>/h，正常涌水量为56.5m</w:t>
      </w:r>
      <w:r>
        <w:rPr>
          <w:rFonts w:hint="eastAsia" w:ascii="宋体" w:hAnsi="宋体"/>
          <w:snapToGrid w:val="0"/>
          <w:kern w:val="0"/>
          <w:sz w:val="24"/>
          <w:vertAlign w:val="superscript"/>
          <w:lang w:val="en-GB"/>
        </w:rPr>
        <w:t>3</w:t>
      </w:r>
      <w:r>
        <w:rPr>
          <w:rFonts w:hint="eastAsia" w:ascii="宋体" w:hAnsi="宋体"/>
          <w:snapToGrid w:val="0"/>
          <w:kern w:val="0"/>
          <w:sz w:val="24"/>
          <w:lang w:val="en-GB"/>
        </w:rPr>
        <w:t>/h。</w:t>
      </w:r>
    </w:p>
    <w:p w14:paraId="5201C66D">
      <w:pPr>
        <w:pStyle w:val="32"/>
        <w:ind w:firstLine="480" w:firstLineChars="200"/>
        <w:rPr>
          <w:rFonts w:hint="eastAsia" w:ascii="宋体" w:hAnsi="宋体"/>
          <w:snapToGrid w:val="0"/>
          <w:kern w:val="0"/>
        </w:rPr>
      </w:pPr>
      <w:r>
        <w:rPr>
          <w:rFonts w:hint="eastAsia" w:ascii="宋体" w:hAnsi="宋体"/>
          <w:snapToGrid w:val="0"/>
          <w:kern w:val="0"/>
        </w:rPr>
        <w:t>综上所述，矿区的水文地质条件属中等类型。矿井充水的主要来源为大气降雨。由于地含水性较弱，补给条件差，随着采空面积的增大，地表产生塌陷后，地表水与地下水之间可能发生联系，地表水直接溃入矿井，涌水量明显增大。同时，在掘进过程中，要注意发生突水现象，应引起高度重视，特别是在靠近采空区时，更应加强探测及防水工作，特别是矿区在今后的采矿生产过程中应加强水文地质勘查工作，做好防水和排水工作，确保安全生产。</w:t>
      </w:r>
    </w:p>
    <w:p w14:paraId="12A2E6B6">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五、工程地质条件</w:t>
      </w:r>
    </w:p>
    <w:p w14:paraId="2135675B">
      <w:pPr>
        <w:spacing w:line="360" w:lineRule="auto"/>
        <w:ind w:firstLine="480" w:firstLineChars="200"/>
        <w:rPr>
          <w:rFonts w:hint="eastAsia" w:ascii="宋体" w:hAnsi="宋体"/>
          <w:snapToGrid w:val="0"/>
          <w:color w:val="FF0000"/>
          <w:kern w:val="0"/>
          <w:sz w:val="24"/>
        </w:rPr>
      </w:pPr>
      <w:r>
        <w:rPr>
          <w:rFonts w:hint="eastAsia" w:ascii="宋体" w:hAnsi="宋体"/>
          <w:snapToGrid w:val="0"/>
          <w:color w:val="FF0000"/>
          <w:kern w:val="0"/>
          <w:sz w:val="24"/>
        </w:rPr>
        <w:t>矿区出露地层按岩（土）体组合类型划分为硬质岩类工程地质岩组、软质岩与松散岩类工程地质岩组。概述如下：</w:t>
      </w:r>
    </w:p>
    <w:p w14:paraId="3C58DFEA">
      <w:pPr>
        <w:spacing w:line="360" w:lineRule="auto"/>
        <w:ind w:firstLine="480" w:firstLineChars="200"/>
        <w:rPr>
          <w:rFonts w:hint="eastAsia" w:ascii="宋体" w:hAnsi="宋体"/>
          <w:snapToGrid w:val="0"/>
          <w:color w:val="FF0000"/>
          <w:kern w:val="0"/>
          <w:sz w:val="24"/>
        </w:rPr>
      </w:pPr>
      <w:r>
        <w:rPr>
          <w:rFonts w:hint="eastAsia" w:ascii="宋体" w:hAnsi="宋体"/>
          <w:bCs/>
          <w:snapToGrid w:val="0"/>
          <w:color w:val="FF0000"/>
          <w:kern w:val="0"/>
          <w:sz w:val="24"/>
        </w:rPr>
        <w:t>1、</w:t>
      </w:r>
      <w:r>
        <w:rPr>
          <w:rFonts w:hint="eastAsia" w:ascii="宋体" w:hAnsi="宋体"/>
          <w:snapToGrid w:val="0"/>
          <w:color w:val="FF0000"/>
          <w:kern w:val="0"/>
          <w:sz w:val="24"/>
        </w:rPr>
        <w:t>硬质岩类工程地质岩组：本岩组主要为三叠系上统永宁镇组（T</w:t>
      </w:r>
      <w:r>
        <w:rPr>
          <w:rFonts w:hint="eastAsia" w:ascii="宋体" w:hAnsi="宋体"/>
          <w:snapToGrid w:val="0"/>
          <w:color w:val="FF0000"/>
          <w:kern w:val="0"/>
          <w:sz w:val="24"/>
          <w:vertAlign w:val="subscript"/>
        </w:rPr>
        <w:t>1</w:t>
      </w:r>
      <w:r>
        <w:rPr>
          <w:rFonts w:hint="eastAsia" w:ascii="宋体" w:hAnsi="宋体"/>
          <w:snapToGrid w:val="0"/>
          <w:color w:val="FF0000"/>
          <w:kern w:val="0"/>
          <w:sz w:val="24"/>
        </w:rPr>
        <w:t>yn</w:t>
      </w:r>
      <w:r>
        <w:rPr>
          <w:rFonts w:ascii="宋体" w:hAnsi="宋体"/>
          <w:snapToGrid w:val="0"/>
          <w:color w:val="FF0000"/>
          <w:kern w:val="0"/>
          <w:sz w:val="24"/>
        </w:rPr>
        <w:t>）</w:t>
      </w:r>
      <w:r>
        <w:rPr>
          <w:rFonts w:hint="eastAsia" w:ascii="宋体" w:hAnsi="宋体"/>
          <w:snapToGrid w:val="0"/>
          <w:color w:val="FF0000"/>
          <w:kern w:val="0"/>
          <w:sz w:val="24"/>
        </w:rPr>
        <w:t>和上二迭统峨眉山玄武岩组（P</w:t>
      </w:r>
      <w:r>
        <w:rPr>
          <w:rFonts w:hint="eastAsia" w:ascii="宋体" w:hAnsi="宋体"/>
          <w:snapToGrid w:val="0"/>
          <w:color w:val="FF0000"/>
          <w:kern w:val="0"/>
          <w:sz w:val="24"/>
          <w:vertAlign w:val="subscript"/>
        </w:rPr>
        <w:t>3</w:t>
      </w:r>
      <w:r>
        <w:rPr>
          <w:rFonts w:hint="eastAsia" w:ascii="宋体" w:hAnsi="宋体"/>
          <w:snapToGrid w:val="0"/>
          <w:color w:val="FF0000"/>
          <w:kern w:val="0"/>
          <w:sz w:val="24"/>
        </w:rPr>
        <w:t>β）中的灰岩、泥灰岩、玄武岩等，岩体力学强度高，抗风化能力强，工程地质性质较好。</w:t>
      </w:r>
    </w:p>
    <w:p w14:paraId="257079D1">
      <w:pPr>
        <w:spacing w:line="360" w:lineRule="auto"/>
        <w:ind w:firstLine="480" w:firstLineChars="200"/>
        <w:rPr>
          <w:rFonts w:hint="eastAsia" w:ascii="宋体" w:hAnsi="宋体"/>
          <w:snapToGrid w:val="0"/>
          <w:color w:val="FF0000"/>
          <w:kern w:val="0"/>
          <w:sz w:val="24"/>
        </w:rPr>
      </w:pPr>
      <w:r>
        <w:rPr>
          <w:rFonts w:hint="eastAsia" w:ascii="宋体" w:hAnsi="宋体"/>
          <w:bCs/>
          <w:snapToGrid w:val="0"/>
          <w:color w:val="FF0000"/>
          <w:kern w:val="0"/>
          <w:sz w:val="24"/>
        </w:rPr>
        <w:t>2、</w:t>
      </w:r>
      <w:r>
        <w:rPr>
          <w:rFonts w:hint="eastAsia" w:ascii="宋体" w:hAnsi="宋体"/>
          <w:snapToGrid w:val="0"/>
          <w:color w:val="FF0000"/>
          <w:kern w:val="0"/>
          <w:sz w:val="24"/>
        </w:rPr>
        <w:t>软质岩类工程地质岩组：本岩类组主要为三叠统下统飞仙关(T</w:t>
      </w:r>
      <w:r>
        <w:rPr>
          <w:rFonts w:hint="eastAsia" w:ascii="宋体" w:hAnsi="宋体"/>
          <w:snapToGrid w:val="0"/>
          <w:color w:val="FF0000"/>
          <w:kern w:val="0"/>
          <w:sz w:val="24"/>
          <w:vertAlign w:val="subscript"/>
        </w:rPr>
        <w:t>1</w:t>
      </w:r>
      <w:r>
        <w:rPr>
          <w:rFonts w:hint="eastAsia" w:ascii="宋体" w:hAnsi="宋体"/>
          <w:snapToGrid w:val="0"/>
          <w:color w:val="FF0000"/>
          <w:kern w:val="0"/>
          <w:sz w:val="24"/>
        </w:rPr>
        <w:t>f)和二叠系上统龙潭组（P</w:t>
      </w:r>
      <w:r>
        <w:rPr>
          <w:rFonts w:hint="eastAsia" w:ascii="宋体" w:hAnsi="宋体"/>
          <w:snapToGrid w:val="0"/>
          <w:color w:val="FF0000"/>
          <w:kern w:val="0"/>
          <w:sz w:val="24"/>
          <w:vertAlign w:val="subscript"/>
        </w:rPr>
        <w:t>3</w:t>
      </w:r>
      <w:r>
        <w:rPr>
          <w:rFonts w:hint="eastAsia" w:ascii="宋体" w:hAnsi="宋体"/>
          <w:snapToGrid w:val="0"/>
          <w:color w:val="FF0000"/>
          <w:kern w:val="0"/>
          <w:sz w:val="24"/>
        </w:rPr>
        <w:t>l</w:t>
      </w:r>
      <w:r>
        <w:rPr>
          <w:rFonts w:ascii="宋体" w:hAnsi="宋体"/>
          <w:snapToGrid w:val="0"/>
          <w:color w:val="FF0000"/>
          <w:kern w:val="0"/>
          <w:sz w:val="24"/>
        </w:rPr>
        <w:t>）</w:t>
      </w:r>
      <w:r>
        <w:rPr>
          <w:rFonts w:hint="eastAsia" w:ascii="宋体" w:hAnsi="宋体"/>
          <w:snapToGrid w:val="0"/>
          <w:color w:val="FF0000"/>
          <w:kern w:val="0"/>
          <w:sz w:val="24"/>
        </w:rPr>
        <w:t>的粉砂岩、粉砂质泥岩、泥岩、粘土岩、灰岩及煤层等；本岩类抗风化能力弱，风化后呈土状结构，含泥砂重，岩土工程地质性质差。</w:t>
      </w:r>
    </w:p>
    <w:p w14:paraId="4C3E7C29">
      <w:pPr>
        <w:spacing w:line="360" w:lineRule="auto"/>
        <w:ind w:firstLine="480" w:firstLineChars="200"/>
        <w:rPr>
          <w:rFonts w:hint="eastAsia" w:ascii="宋体" w:hAnsi="宋体"/>
          <w:snapToGrid w:val="0"/>
          <w:color w:val="FF0000"/>
          <w:kern w:val="0"/>
          <w:sz w:val="24"/>
        </w:rPr>
      </w:pPr>
      <w:r>
        <w:rPr>
          <w:rFonts w:hint="eastAsia" w:ascii="宋体" w:hAnsi="宋体"/>
          <w:bCs/>
          <w:snapToGrid w:val="0"/>
          <w:color w:val="FF0000"/>
          <w:kern w:val="0"/>
          <w:sz w:val="24"/>
        </w:rPr>
        <w:t>3、</w:t>
      </w:r>
      <w:r>
        <w:rPr>
          <w:rFonts w:hint="eastAsia" w:ascii="宋体" w:hAnsi="宋体"/>
          <w:snapToGrid w:val="0"/>
          <w:color w:val="FF0000"/>
          <w:kern w:val="0"/>
          <w:sz w:val="24"/>
        </w:rPr>
        <w:t>松散岩类工程地质岩组：本岩类主要由第四系（Q）残坡积、冲洪积物等组成，厚度变化较大，一般0～10m，最厚达20m左右，结构松散，遇水软化，具压缩性和可塑性，主要分布在缓坡及低洼处；斜坡土体主要为耕土，呈灰黑色，由腐植质粘土和粉质粘土构成，其结构较松散，岩土工程地质性质较差。</w:t>
      </w:r>
    </w:p>
    <w:p w14:paraId="1FB60587">
      <w:pPr>
        <w:spacing w:line="360" w:lineRule="auto"/>
        <w:ind w:firstLine="480" w:firstLineChars="200"/>
        <w:rPr>
          <w:rFonts w:hint="eastAsia" w:ascii="宋体" w:hAnsi="宋体"/>
          <w:snapToGrid w:val="0"/>
          <w:color w:val="FF0000"/>
          <w:kern w:val="0"/>
          <w:sz w:val="24"/>
        </w:rPr>
      </w:pPr>
      <w:r>
        <w:rPr>
          <w:rFonts w:hint="eastAsia" w:ascii="宋体" w:hAnsi="宋体"/>
          <w:snapToGrid w:val="0"/>
          <w:color w:val="FF0000"/>
          <w:kern w:val="0"/>
          <w:sz w:val="24"/>
        </w:rPr>
        <w:t>综上所述，矿区岩土体工程地质条件总体较差，工程地质条件复杂程度属于简单—中等类型。</w:t>
      </w:r>
    </w:p>
    <w:p w14:paraId="173A9601">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六、环境地质问题简述</w:t>
      </w:r>
    </w:p>
    <w:p w14:paraId="53ABA6E5">
      <w:pPr>
        <w:spacing w:line="360" w:lineRule="auto"/>
        <w:ind w:firstLine="480" w:firstLineChars="200"/>
        <w:rPr>
          <w:rFonts w:hint="eastAsia" w:ascii="宋体" w:hAnsi="宋体"/>
          <w:bCs/>
          <w:sz w:val="24"/>
        </w:rPr>
      </w:pPr>
      <w:bookmarkStart w:id="36" w:name="_Toc202492915"/>
      <w:r>
        <w:rPr>
          <w:rFonts w:hint="eastAsia" w:ascii="宋体" w:hAnsi="宋体"/>
          <w:bCs/>
          <w:sz w:val="24"/>
        </w:rPr>
        <w:t>1、</w:t>
      </w:r>
      <w:bookmarkEnd w:id="36"/>
      <w:r>
        <w:rPr>
          <w:rFonts w:ascii="宋体" w:hAnsi="宋体"/>
          <w:sz w:val="24"/>
        </w:rPr>
        <w:t>地震</w:t>
      </w:r>
    </w:p>
    <w:p w14:paraId="2C02A714">
      <w:pPr>
        <w:spacing w:line="360" w:lineRule="auto"/>
        <w:ind w:firstLine="480" w:firstLineChars="200"/>
        <w:jc w:val="left"/>
        <w:rPr>
          <w:rFonts w:hint="eastAsia" w:ascii="宋体" w:hAnsi="宋体"/>
          <w:snapToGrid w:val="0"/>
          <w:kern w:val="0"/>
          <w:sz w:val="24"/>
        </w:rPr>
      </w:pPr>
      <w:r>
        <w:rPr>
          <w:rFonts w:hint="eastAsia" w:ascii="宋体" w:hAnsi="宋体"/>
          <w:snapToGrid w:val="0"/>
          <w:kern w:val="0"/>
          <w:sz w:val="24"/>
        </w:rPr>
        <w:t>根据《中国地震的参数区划图》（GB18306—2001）提供的地震烈度资料，拟建矿区地震属基本烈度VI度分布区，同时历史上未记载有大于VI度的地震，区内构造较复杂，区域稳定性良好。</w:t>
      </w:r>
    </w:p>
    <w:p w14:paraId="7D2D7316">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2、矿区环境地质现状评价</w:t>
      </w:r>
    </w:p>
    <w:p w14:paraId="0F6761F9">
      <w:pPr>
        <w:pStyle w:val="23"/>
      </w:pPr>
      <w:r>
        <w:rPr>
          <w:snapToGrid w:val="0"/>
          <w:kern w:val="0"/>
        </w:rPr>
        <w:t>经现状地质调查，评估区现状地质灾害主要类型为古滑坡堆积体，这些滑坡体多系下三叠系飞仙关组砂、页岩沿陡坡滑复于煤系不同部位而成。滑坡体中部岩石外表常较完整，多可见成层构造，而周围岩石则常较松散破碎。</w:t>
      </w:r>
      <w:bookmarkStart w:id="37" w:name="_Toc187484027"/>
      <w:r>
        <w:t>经现状地面调查，评估区现状地质灾害主要类型为崩塌。崩塌主要集中在矿区中部的陡坡一带，崩塌成因为含泥质的三叠系下统飞仙关组（T</w:t>
      </w:r>
      <w:r>
        <w:rPr>
          <w:vertAlign w:val="subscript"/>
        </w:rPr>
        <w:t>1</w:t>
      </w:r>
      <w:r>
        <w:t>f）砂泥岩，因边坡失稳而向下方崩落，形成较大面积的崩塌堆积体，断续延长约1000m（分为几个崩塌体），单个大小长为100m</w:t>
      </w:r>
      <w:r>
        <w:rPr>
          <w:rFonts w:hint="eastAsia"/>
        </w:rPr>
        <w:t>～</w:t>
      </w:r>
      <w:r>
        <w:t xml:space="preserve">150m，目前崩塌方量为200 </w:t>
      </w:r>
      <w:r>
        <w:rPr>
          <w:rFonts w:hint="eastAsia"/>
        </w:rPr>
        <w:t>～</w:t>
      </w:r>
      <w:r>
        <w:t>2000m</w:t>
      </w:r>
      <w:r>
        <w:rPr>
          <w:vertAlign w:val="superscript"/>
        </w:rPr>
        <w:t>3</w:t>
      </w:r>
      <w:r>
        <w:t>，稳定性较差；其崩塌体一般都与采煤活动有关。</w:t>
      </w:r>
      <w:bookmarkEnd w:id="37"/>
    </w:p>
    <w:p w14:paraId="0982EEA4">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3、矿区环境地质预测评价</w:t>
      </w:r>
    </w:p>
    <w:p w14:paraId="4F79E644">
      <w:pPr>
        <w:pStyle w:val="23"/>
        <w:rPr>
          <w:rFonts w:hint="eastAsia"/>
          <w:snapToGrid w:val="0"/>
          <w:kern w:val="0"/>
        </w:rPr>
      </w:pPr>
      <w:r>
        <w:rPr>
          <w:rFonts w:hint="eastAsia"/>
          <w:snapToGrid w:val="0"/>
          <w:kern w:val="0"/>
        </w:rPr>
        <w:t>矿区现状地质灾害及不良地质现象较发育，环境地质脆弱、环境地质条件较复杂。随着煤矿地下采煤活动的开始和加强，将不可避免的引发崩塌、滑坡、地裂缝、地面沉降、地面塌陷及泥石流等地质灾害。总之，矿区环境地质条件复杂，开采技术条件复杂。建议矿山在今后的开采过程中应采取切实可靠的防范处理措施，避免矿井发生老窑透水和冒顶安全事故的发生；对矿山井下采煤可能引发和加剧地表产生地裂缝、采空区塌陷、滑坡等地质灾害采取有效防治措施，在村寨及古滑坡下部应留足相应的保安煤柱，确保矿山生产及居民生命财产安全。同时建议对在矿区北部的引水隧洞应留足相应的禁采区。</w:t>
      </w:r>
    </w:p>
    <w:p w14:paraId="7EAD6C9C">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4、矿区开采对环境的影响</w:t>
      </w:r>
    </w:p>
    <w:p w14:paraId="6FEB38E0">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（1）水环境污染物及影响</w:t>
      </w:r>
    </w:p>
    <w:p w14:paraId="2A4BAB8E">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煤矿开发可能对水环境造成污染的因素主要有：矿井水和工业场地生产、生活废水。这些废水如不经处理直接排放，会对河水和地下水体造成污染。其废水应采用先进处理工艺，进行有效处理，做到项目建设“三同时”，实现达标排放。</w:t>
      </w:r>
    </w:p>
    <w:p w14:paraId="28CEA73D">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（2）大气污染物及影响</w:t>
      </w:r>
    </w:p>
    <w:p w14:paraId="70B97544">
      <w:pPr>
        <w:pStyle w:val="23"/>
        <w:rPr>
          <w:rFonts w:hint="eastAsia"/>
          <w:snapToGrid w:val="0"/>
          <w:kern w:val="0"/>
        </w:rPr>
      </w:pPr>
      <w:r>
        <w:rPr>
          <w:rFonts w:hint="eastAsia"/>
          <w:snapToGrid w:val="0"/>
          <w:kern w:val="0"/>
        </w:rPr>
        <w:t>大气污染物，主要是工业场地内锅炉排放烟气中的烟尘和二氧化硫以及煤炭的卸、装、运，筛分过程中的烟尘。建议对锅炉烟尘和二氧化硫进行降尘及脱硫处理。</w:t>
      </w:r>
    </w:p>
    <w:p w14:paraId="37210A08">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（3）固体废弃物及影响</w:t>
      </w:r>
    </w:p>
    <w:p w14:paraId="408721F5">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主要固体废弃物是矸石、锅炉灰渣以及生活拉圾等，这些固体废弃物如处理不当，将会侵占田土造成二次污染。建议对固体废弃物进行合理处置和资源综合利用，如生产矸石水泥。</w:t>
      </w:r>
    </w:p>
    <w:p w14:paraId="6C372EE6">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综合考虑污染物的防治措施和生态保护措施，将不利影响降低到最小程度。</w:t>
      </w:r>
    </w:p>
    <w:p w14:paraId="3F460F3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七</w:t>
      </w:r>
      <w:r>
        <w:rPr>
          <w:b/>
          <w:color w:val="000000"/>
          <w:kern w:val="0"/>
          <w:szCs w:val="20"/>
        </w:rPr>
        <w:t>、其他开采技术条件</w:t>
      </w:r>
    </w:p>
    <w:p w14:paraId="2654335B">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1、瓦斯</w:t>
      </w:r>
    </w:p>
    <w:p w14:paraId="43A63BF0">
      <w:pPr>
        <w:spacing w:line="360" w:lineRule="auto"/>
        <w:ind w:firstLine="480" w:firstLineChars="200"/>
        <w:rPr>
          <w:rFonts w:hint="eastAsia" w:ascii="宋体" w:hAnsi="宋体"/>
          <w:sz w:val="24"/>
        </w:rPr>
      </w:pPr>
      <w:bookmarkStart w:id="38" w:name="OLE_LINK18"/>
      <w:bookmarkStart w:id="39" w:name="OLE_LINK19"/>
      <w:r>
        <w:rPr>
          <w:rFonts w:hint="eastAsia" w:ascii="宋体" w:hAnsi="宋体"/>
          <w:sz w:val="24"/>
          <w:lang w:val="zh-CN"/>
        </w:rPr>
        <w:t>根据</w:t>
      </w:r>
      <w:bookmarkStart w:id="40" w:name="OLE_LINK6"/>
      <w:r>
        <w:rPr>
          <w:rFonts w:hint="eastAsia" w:ascii="宋体" w:hAnsi="宋体"/>
          <w:sz w:val="24"/>
        </w:rPr>
        <w:t>贵州省煤炭管理局黔煤行管字[2007]67号《对六盘水市煤矿2006年度瓦斯等级鉴定报告的批复》</w:t>
      </w:r>
      <w:r>
        <w:rPr>
          <w:rFonts w:hint="eastAsia"/>
          <w:kern w:val="10"/>
          <w:sz w:val="24"/>
        </w:rPr>
        <w:t>，水城县</w:t>
      </w:r>
      <w:r>
        <w:rPr>
          <w:rFonts w:hint="eastAsia" w:ascii="宋体" w:hAnsi="宋体"/>
          <w:sz w:val="24"/>
          <w:lang w:val="zh-CN"/>
        </w:rPr>
        <w:t>玉舍大坪煤矿矿井绝对瓦斯涌出量为4.71m</w:t>
      </w:r>
      <w:r>
        <w:rPr>
          <w:rFonts w:hint="eastAsia" w:ascii="宋体" w:hAnsi="宋体"/>
          <w:sz w:val="24"/>
          <w:vertAlign w:val="superscript"/>
          <w:lang w:val="zh-CN"/>
        </w:rPr>
        <w:t>3</w:t>
      </w:r>
      <w:r>
        <w:rPr>
          <w:rFonts w:hint="eastAsia" w:ascii="宋体" w:hAnsi="宋体"/>
          <w:sz w:val="24"/>
          <w:lang w:val="zh-CN"/>
        </w:rPr>
        <w:t>/min，相对瓦斯涌出量为41.10m</w:t>
      </w:r>
      <w:r>
        <w:rPr>
          <w:rFonts w:hint="eastAsia" w:ascii="宋体" w:hAnsi="宋体"/>
          <w:sz w:val="24"/>
          <w:vertAlign w:val="superscript"/>
          <w:lang w:val="zh-CN"/>
        </w:rPr>
        <w:t>3</w:t>
      </w:r>
      <w:r>
        <w:rPr>
          <w:rFonts w:hint="eastAsia" w:ascii="宋体" w:hAnsi="宋体"/>
          <w:sz w:val="24"/>
          <w:lang w:val="zh-CN"/>
        </w:rPr>
        <w:t>/t，测定数据及矿井瓦斯等级鉴定结果，矿井为高瓦斯矿井。</w:t>
      </w:r>
    </w:p>
    <w:bookmarkEnd w:id="38"/>
    <w:bookmarkEnd w:id="39"/>
    <w:p w14:paraId="2A667296">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2、煤与瓦斯突出危险性</w:t>
      </w:r>
    </w:p>
    <w:bookmarkEnd w:id="40"/>
    <w:p w14:paraId="5DD1F4A8">
      <w:pPr>
        <w:pStyle w:val="32"/>
        <w:ind w:firstLine="480" w:firstLineChars="200"/>
        <w:rPr>
          <w:rFonts w:hint="eastAsia" w:ascii="宋体" w:hAnsi="宋体"/>
        </w:rPr>
      </w:pPr>
      <w:r>
        <w:rPr>
          <w:rFonts w:ascii="宋体" w:hAnsi="宋体"/>
        </w:rPr>
        <w:t>本矿未</w:t>
      </w:r>
      <w:r>
        <w:rPr>
          <w:rFonts w:hint="eastAsia" w:ascii="宋体" w:hAnsi="宋体"/>
        </w:rPr>
        <w:t>进行</w:t>
      </w:r>
      <w:r>
        <w:rPr>
          <w:rFonts w:ascii="宋体" w:hAnsi="宋体"/>
        </w:rPr>
        <w:t>煤与瓦斯突出鉴定，</w:t>
      </w:r>
      <w:r>
        <w:rPr>
          <w:rFonts w:hint="eastAsia" w:ascii="宋体" w:hAnsi="宋体"/>
        </w:rPr>
        <w:t>业主应委托有资质的单位尽快对本矿煤与瓦斯突出危险性作出鉴定，以利于矿井安全生产</w:t>
      </w:r>
      <w:r>
        <w:rPr>
          <w:rFonts w:ascii="宋体" w:hAnsi="宋体"/>
        </w:rPr>
        <w:t>。</w:t>
      </w:r>
      <w:r>
        <w:rPr>
          <w:rFonts w:hint="eastAsia" w:ascii="宋体" w:hAnsi="宋体"/>
        </w:rPr>
        <w:t>根据贵州省安全生产监督管理局、贵州煤矿安全监察局、贵州省煤炭管理局文件(黔安监管办字【2007】345号“关于加强煤矿建设项目煤与瓦斯突出防治工作的意见”。</w:t>
      </w:r>
      <w:r>
        <w:rPr>
          <w:rFonts w:hint="eastAsia"/>
          <w:kern w:val="10"/>
        </w:rPr>
        <w:t>水城县</w:t>
      </w:r>
      <w:r>
        <w:rPr>
          <w:rFonts w:hint="eastAsia" w:ascii="宋体" w:hAnsi="宋体"/>
          <w:lang w:val="zh-CN"/>
        </w:rPr>
        <w:t>玉舍大坪煤矿</w:t>
      </w:r>
      <w:r>
        <w:rPr>
          <w:rFonts w:hint="eastAsia" w:ascii="宋体" w:hAnsi="宋体"/>
        </w:rPr>
        <w:t>在该文件划定的煤与瓦斯突出区内，因此，</w:t>
      </w:r>
      <w:r>
        <w:rPr>
          <w:rFonts w:hint="eastAsia" w:ascii="宋体" w:hAnsi="宋体"/>
          <w:u w:val="single"/>
        </w:rPr>
        <w:t>矿井按有煤与瓦斯突出矿井进行设计和管理，矿井建设期间，应及时请资质单位对煤与瓦斯突出危险性进行鉴定</w:t>
      </w:r>
      <w:r>
        <w:rPr>
          <w:rFonts w:hint="eastAsia"/>
        </w:rPr>
        <w:t>。</w:t>
      </w:r>
    </w:p>
    <w:p w14:paraId="2AE96DEE">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3、爆尘爆炸性</w:t>
      </w:r>
    </w:p>
    <w:p w14:paraId="2EF04862">
      <w:pPr>
        <w:spacing w:line="360" w:lineRule="auto"/>
        <w:ind w:firstLine="480" w:firstLineChars="200"/>
        <w:rPr>
          <w:rFonts w:hint="eastAsia" w:ascii="宋体" w:hAnsi="宋体"/>
          <w:sz w:val="24"/>
          <w:lang w:val="zh-CN"/>
        </w:rPr>
      </w:pPr>
      <w:r>
        <w:rPr>
          <w:rFonts w:hint="eastAsia" w:ascii="宋体" w:hAnsi="宋体"/>
          <w:sz w:val="24"/>
          <w:lang w:val="zh-CN"/>
        </w:rPr>
        <w:t>根据贵州省六枝工矿（集团）恒达勘察设计有限公司实验室提交的《贵州省水城县玉舍大坪煤矿煤尘爆炸危险性鉴定报告》，本矿K35-b、K1-b、K9、K18煤层的煤尘爆炸危险性鉴定均为有煤尘爆炸危险性，其他煤层未取样进行鉴定，因此，本矿按煤层有煤尘爆炸危险性进行设计和管理。</w:t>
      </w:r>
    </w:p>
    <w:p w14:paraId="515D539D">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4、煤的自燃性</w:t>
      </w:r>
    </w:p>
    <w:p w14:paraId="27A2071D">
      <w:pPr>
        <w:spacing w:line="360" w:lineRule="auto"/>
        <w:ind w:firstLine="480" w:firstLineChars="200"/>
        <w:rPr>
          <w:rFonts w:hint="eastAsia" w:ascii="宋体" w:hAnsi="宋体"/>
          <w:sz w:val="24"/>
          <w:lang w:val="zh-CN"/>
        </w:rPr>
      </w:pPr>
      <w:r>
        <w:rPr>
          <w:rFonts w:hint="eastAsia" w:ascii="宋体" w:hAnsi="宋体"/>
          <w:sz w:val="24"/>
          <w:lang w:val="zh-CN"/>
        </w:rPr>
        <w:t>根据贵州省六枝工矿（集团）恒达勘察设计有限公司实验室提交的《贵州省水城县玉舍大坪煤矿煤炭自燃倾向性等级鉴定报告》，本矿K35-b、K1-b煤层的自燃倾向性等级鉴定均属Ⅱ类，即自燃煤层；K9、K18煤层的自燃倾向性等级鉴定均属Ⅲ类，即不易自燃煤层，其他煤层未取样进行鉴定，因此，本矿按Ⅰ类，即煤层容易自燃进行设计和管理。</w:t>
      </w:r>
    </w:p>
    <w:p w14:paraId="72CBADD6">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5、地温</w:t>
      </w:r>
    </w:p>
    <w:p w14:paraId="0C529594">
      <w:pPr>
        <w:spacing w:line="360" w:lineRule="auto"/>
        <w:ind w:firstLine="480" w:firstLineChars="200"/>
        <w:rPr>
          <w:rFonts w:hint="eastAsia" w:ascii="宋体" w:hAnsi="宋体"/>
          <w:color w:val="000000"/>
          <w:sz w:val="24"/>
        </w:rPr>
      </w:pPr>
      <w:r>
        <w:rPr>
          <w:rFonts w:hint="eastAsia" w:ascii="宋体" w:hAnsi="宋体"/>
          <w:color w:val="000000"/>
          <w:sz w:val="24"/>
        </w:rPr>
        <w:t>区内无地温异常现象，属地温正常矿井。</w:t>
      </w:r>
    </w:p>
    <w:p w14:paraId="1411B6D6">
      <w:pPr>
        <w:spacing w:line="360" w:lineRule="auto"/>
        <w:ind w:firstLine="480" w:firstLineChars="200"/>
        <w:rPr>
          <w:rFonts w:ascii="宋体" w:hAnsi="宋体"/>
          <w:bCs/>
          <w:snapToGrid w:val="0"/>
          <w:kern w:val="0"/>
          <w:sz w:val="24"/>
        </w:rPr>
      </w:pPr>
      <w:r>
        <w:rPr>
          <w:rFonts w:hint="eastAsia" w:ascii="宋体" w:hAnsi="宋体"/>
          <w:bCs/>
          <w:snapToGrid w:val="0"/>
          <w:kern w:val="0"/>
          <w:sz w:val="24"/>
        </w:rPr>
        <w:t>6、</w:t>
      </w:r>
      <w:r>
        <w:rPr>
          <w:rFonts w:ascii="宋体" w:hAnsi="宋体"/>
          <w:bCs/>
          <w:snapToGrid w:val="0"/>
          <w:kern w:val="0"/>
          <w:sz w:val="24"/>
        </w:rPr>
        <w:t>冲击地压</w:t>
      </w:r>
    </w:p>
    <w:p w14:paraId="04C18AF0">
      <w:pPr>
        <w:spacing w:line="360" w:lineRule="auto"/>
        <w:ind w:firstLine="480" w:firstLineChars="200"/>
        <w:rPr>
          <w:rFonts w:ascii="宋体" w:hAnsi="宋体"/>
          <w:color w:val="000000"/>
          <w:sz w:val="24"/>
        </w:rPr>
      </w:pPr>
      <w:r>
        <w:rPr>
          <w:rFonts w:hint="eastAsia" w:ascii="宋体" w:hAnsi="宋体"/>
          <w:color w:val="000000"/>
          <w:sz w:val="24"/>
        </w:rPr>
        <w:t>地质资料中</w:t>
      </w:r>
      <w:r>
        <w:rPr>
          <w:rFonts w:ascii="宋体" w:hAnsi="宋体"/>
          <w:color w:val="000000"/>
          <w:sz w:val="24"/>
        </w:rPr>
        <w:t>未提供冲击地压的相关资料，</w:t>
      </w:r>
      <w:r>
        <w:rPr>
          <w:rFonts w:hint="eastAsia" w:ascii="宋体" w:hAnsi="宋体"/>
          <w:color w:val="000000"/>
          <w:sz w:val="24"/>
        </w:rPr>
        <w:t>但在该</w:t>
      </w:r>
      <w:r>
        <w:rPr>
          <w:rFonts w:ascii="宋体" w:hAnsi="宋体"/>
          <w:color w:val="000000"/>
          <w:sz w:val="24"/>
        </w:rPr>
        <w:t>矿井</w:t>
      </w:r>
      <w:r>
        <w:rPr>
          <w:rFonts w:hint="eastAsia" w:ascii="宋体" w:hAnsi="宋体"/>
          <w:color w:val="000000"/>
          <w:sz w:val="24"/>
        </w:rPr>
        <w:t>及周围矿井</w:t>
      </w:r>
      <w:r>
        <w:rPr>
          <w:rFonts w:ascii="宋体" w:hAnsi="宋体"/>
          <w:color w:val="000000"/>
          <w:sz w:val="24"/>
        </w:rPr>
        <w:t>尚未有冲击地压情况的发生</w:t>
      </w:r>
      <w:r>
        <w:rPr>
          <w:rFonts w:hint="eastAsia" w:ascii="宋体" w:hAnsi="宋体"/>
          <w:color w:val="000000"/>
          <w:sz w:val="24"/>
        </w:rPr>
        <w:t>，水城县玉舍大坪煤矿按</w:t>
      </w:r>
      <w:r>
        <w:rPr>
          <w:rFonts w:ascii="宋体" w:hAnsi="宋体"/>
          <w:color w:val="000000"/>
          <w:sz w:val="24"/>
        </w:rPr>
        <w:t>没有冲击地压危险</w:t>
      </w:r>
      <w:r>
        <w:rPr>
          <w:rFonts w:hint="eastAsia" w:ascii="宋体" w:hAnsi="宋体"/>
          <w:color w:val="000000"/>
          <w:sz w:val="24"/>
        </w:rPr>
        <w:t>考虑</w:t>
      </w:r>
      <w:r>
        <w:rPr>
          <w:rFonts w:ascii="宋体" w:hAnsi="宋体"/>
          <w:color w:val="000000"/>
          <w:sz w:val="24"/>
        </w:rPr>
        <w:t>。</w:t>
      </w:r>
    </w:p>
    <w:p w14:paraId="4A3924A8">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八</w:t>
      </w:r>
      <w:r>
        <w:rPr>
          <w:b/>
          <w:color w:val="000000"/>
          <w:kern w:val="0"/>
          <w:szCs w:val="20"/>
        </w:rPr>
        <w:t>、井田勘探程度及资源/储量</w:t>
      </w:r>
    </w:p>
    <w:p w14:paraId="025F3C1F">
      <w:pPr>
        <w:spacing w:line="360" w:lineRule="auto"/>
        <w:ind w:firstLine="480" w:firstLineChars="200"/>
        <w:rPr>
          <w:rFonts w:hint="eastAsia" w:ascii="宋体" w:hAnsi="宋体"/>
          <w:sz w:val="24"/>
        </w:rPr>
      </w:pPr>
      <w:r>
        <w:rPr>
          <w:rFonts w:hint="eastAsia" w:ascii="宋体" w:hAnsi="宋体"/>
          <w:sz w:val="24"/>
        </w:rPr>
        <w:t>1、勘探程度</w:t>
      </w:r>
    </w:p>
    <w:p w14:paraId="71066F01">
      <w:pPr>
        <w:spacing w:line="360" w:lineRule="auto"/>
        <w:ind w:firstLine="480" w:firstLineChars="200"/>
        <w:rPr>
          <w:rFonts w:hint="eastAsia" w:ascii="宋体" w:hAnsi="宋体"/>
          <w:sz w:val="24"/>
        </w:rPr>
      </w:pPr>
      <w:r>
        <w:rPr>
          <w:rFonts w:ascii="宋体" w:hAnsi="宋体"/>
          <w:sz w:val="24"/>
        </w:rPr>
        <w:t>本区煤矿地质工作始于1954年，先后有原西南煤田勘探队、原贵州省地质局郎岱队及贵州省煤勘142队作过普查及采样工作，并编有相应报告；1967年3月至1970年4月原贵州省地质局208队对本区进行了勘探工作，提交有《贵州省水城煤田格木底矿区玉舍井田详细勘探报告》；1984年1月至1989年11月贵州省地质矿产局113地质大队对本区进行了勘探工作，提交有《贵州省水城县格木底煤矿区玉舍井田勘探地质报告》，共探明井田第一、第二水平总储量16590万吨（其中A级4514万吨，B级3627万吨，C级6747万吨）。</w:t>
      </w:r>
    </w:p>
    <w:p w14:paraId="00D904CF">
      <w:pPr>
        <w:spacing w:line="360" w:lineRule="auto"/>
        <w:ind w:firstLine="480" w:firstLineChars="200"/>
        <w:rPr>
          <w:rFonts w:hint="eastAsia" w:ascii="宋体" w:hAnsi="宋体"/>
          <w:sz w:val="24"/>
        </w:rPr>
      </w:pPr>
      <w:r>
        <w:rPr>
          <w:rFonts w:hint="eastAsia" w:ascii="宋体" w:hAnsi="宋体"/>
          <w:sz w:val="24"/>
        </w:rPr>
        <w:t>水城县玉舍大坪煤矿位于贵州省水城县格目底矿区玉舍井田的中西部，本次资源储量核实报告主要以《贵州省水城县格目底煤矿区玉舍井田勘探地质报告》为依据。2004年11月，贵州省地矿局一一三地质大队分别对水城县玉舍山林沟煤矿、水城宏盛矿业有限公司发达煤矿、水城县玉舍大坪煤矿、水城县玉舍铜厂沟煤矿和水城县玉舍华兴煤矿进行了储量核实，并提交了《贵州省六盘水市水城县玉舍乡宏盛有限公司发达煤矿矿产资源/储量核实报告》、《贵州省六盘水市水城县玉舍乡铜厂沟煤矿矿产资源/储量核实报告》、《贵州省六盘水市水城县玉舍乡华兴煤矿矿产资源/储量核实报告》、《贵州省六盘水市水城县玉舍乡山林沟煤矿矿产资源/储量核实报告》和《贵州省六盘水市水城县玉舍乡大坪煤矿矿产资源/储量核实报告》， 以上报告经六盘水市国土资源局组织的专家评审通过，五个煤矿的总资源量为890.39万吨，其中保有</w:t>
      </w:r>
      <w:r>
        <w:rPr>
          <w:rFonts w:ascii="宋体" w:hAnsi="宋体"/>
          <w:sz w:val="24"/>
        </w:rPr>
        <w:t>794.56</w:t>
      </w:r>
      <w:r>
        <w:rPr>
          <w:rFonts w:hint="eastAsia" w:ascii="宋体" w:hAnsi="宋体"/>
          <w:sz w:val="24"/>
        </w:rPr>
        <w:t>万吨，采空</w:t>
      </w:r>
      <w:r>
        <w:rPr>
          <w:rFonts w:ascii="宋体" w:hAnsi="宋体"/>
          <w:sz w:val="24"/>
        </w:rPr>
        <w:t>95.83</w:t>
      </w:r>
      <w:r>
        <w:rPr>
          <w:rFonts w:hint="eastAsia" w:ascii="宋体" w:hAnsi="宋体"/>
          <w:sz w:val="24"/>
        </w:rPr>
        <w:t>万吨。</w:t>
      </w:r>
    </w:p>
    <w:p w14:paraId="009B5A4B">
      <w:pPr>
        <w:spacing w:line="360" w:lineRule="auto"/>
        <w:ind w:firstLine="480" w:firstLineChars="200"/>
        <w:rPr>
          <w:rFonts w:hint="eastAsia" w:ascii="宋体" w:hAnsi="宋体"/>
          <w:sz w:val="24"/>
        </w:rPr>
      </w:pPr>
      <w:r>
        <w:rPr>
          <w:rFonts w:hint="eastAsia" w:ascii="宋体" w:hAnsi="宋体"/>
          <w:sz w:val="24"/>
        </w:rPr>
        <w:t>贵州省地矿局一一三地质大队2008年6月提交了《贵州省水城县玉舍大坪煤矿资源/储量核实报告》，该报告查明了地层层序和含煤地层时代，评价了井田内煤层的稳定程度；基本查明了区内构造程度；基本查明了可采煤层层位及厚度变化，查明了可采煤层的煤类、煤质特征，初步查明了井田的水文地质条件；分析了井田内主要可采煤层瓦斯分布及煤的自燃趋势、煤尘爆炸危险性、顶底板的工程地质特征及地温变化等开采技术条件，估算了可采煤层资源/储量，可以作为编制《开采方案设计（变更）》的依据。</w:t>
      </w:r>
    </w:p>
    <w:p w14:paraId="3C00C2DF">
      <w:pPr>
        <w:spacing w:line="360" w:lineRule="auto"/>
        <w:ind w:firstLine="480" w:firstLineChars="200"/>
        <w:rPr>
          <w:rFonts w:hint="eastAsia" w:ascii="宋体" w:hAnsi="宋体"/>
          <w:sz w:val="24"/>
        </w:rPr>
      </w:pPr>
      <w:r>
        <w:rPr>
          <w:rFonts w:hint="eastAsia" w:ascii="宋体" w:hAnsi="宋体"/>
          <w:sz w:val="24"/>
        </w:rPr>
        <w:t>2、资源储量</w:t>
      </w:r>
    </w:p>
    <w:p w14:paraId="7E22ED71">
      <w:pPr>
        <w:spacing w:line="360" w:lineRule="auto"/>
        <w:ind w:firstLine="480" w:firstLineChars="200"/>
        <w:rPr>
          <w:rFonts w:hint="eastAsia" w:ascii="宋体" w:hAnsi="宋体"/>
          <w:sz w:val="24"/>
        </w:rPr>
      </w:pPr>
      <w:r>
        <w:rPr>
          <w:rFonts w:hint="eastAsia" w:ascii="宋体" w:hAnsi="宋体"/>
          <w:sz w:val="24"/>
        </w:rPr>
        <w:t>根据贵州省地矿局一一三地质大队2008年6月编制的《贵州省水城县玉舍大坪煤矿资源/储量核实报告》及2008年7月21日贵州省国土资源厅（黔国土资储备字【2008】689号关于《贵州省水城县玉舍大坪煤矿资源/储量核实报告》矿产资源储量评审备案证明；核实截至2007年5月31日止，水城县玉舍大坪煤矿矿区范围内保有资源量总和为1257.1万吨（其中：探明的内蕴经济资源量（331）579.3万吨，控制的内蕴经济资源量（332）183.6万吨，推断的内蕴经济资源量（333）494.2万吨，采空损失量（112b）343.1万吨。</w:t>
      </w:r>
    </w:p>
    <w:p w14:paraId="79A147F6">
      <w:pPr>
        <w:spacing w:line="360" w:lineRule="auto"/>
        <w:ind w:firstLine="480" w:firstLineChars="200"/>
        <w:rPr>
          <w:rFonts w:ascii="宋体" w:hAnsi="宋体"/>
          <w:sz w:val="24"/>
        </w:rPr>
      </w:pPr>
      <w:r>
        <w:rPr>
          <w:rFonts w:hint="eastAsia" w:ascii="宋体" w:hAnsi="宋体"/>
          <w:sz w:val="24"/>
        </w:rPr>
        <w:t>3、</w:t>
      </w:r>
      <w:r>
        <w:rPr>
          <w:rFonts w:ascii="宋体" w:hAnsi="宋体"/>
          <w:sz w:val="24"/>
        </w:rPr>
        <w:t>存在的主要问题</w:t>
      </w:r>
    </w:p>
    <w:p w14:paraId="663EF43A">
      <w:pPr>
        <w:spacing w:line="360" w:lineRule="auto"/>
        <w:ind w:firstLine="480" w:firstLineChars="200"/>
        <w:rPr>
          <w:rFonts w:hint="eastAsia" w:ascii="宋体" w:hAnsi="宋体"/>
          <w:sz w:val="24"/>
        </w:rPr>
      </w:pPr>
      <w:r>
        <w:rPr>
          <w:rFonts w:hint="eastAsia" w:ascii="宋体" w:hAnsi="宋体"/>
          <w:sz w:val="24"/>
        </w:rPr>
        <w:t>（1）矿区内发现一些小型断裂，其规模大小及</w:t>
      </w:r>
      <w:r>
        <w:rPr>
          <w:rFonts w:ascii="宋体" w:hAnsi="宋体"/>
          <w:sz w:val="24"/>
        </w:rPr>
        <w:t>对煤层的影响</w:t>
      </w:r>
      <w:r>
        <w:rPr>
          <w:rFonts w:hint="eastAsia" w:ascii="宋体" w:hAnsi="宋体"/>
          <w:sz w:val="24"/>
        </w:rPr>
        <w:t>范围</w:t>
      </w:r>
      <w:r>
        <w:rPr>
          <w:rFonts w:ascii="宋体" w:hAnsi="宋体"/>
          <w:sz w:val="24"/>
        </w:rPr>
        <w:t>有待于</w:t>
      </w:r>
      <w:r>
        <w:rPr>
          <w:rFonts w:hint="eastAsia" w:ascii="宋体" w:hAnsi="宋体"/>
          <w:sz w:val="24"/>
        </w:rPr>
        <w:t>开采过程中来</w:t>
      </w:r>
      <w:r>
        <w:rPr>
          <w:rFonts w:ascii="宋体" w:hAnsi="宋体"/>
          <w:sz w:val="24"/>
        </w:rPr>
        <w:t>查明</w:t>
      </w:r>
      <w:r>
        <w:rPr>
          <w:rFonts w:hint="eastAsia" w:ascii="宋体" w:hAnsi="宋体"/>
          <w:sz w:val="24"/>
        </w:rPr>
        <w:t>；</w:t>
      </w:r>
      <w:r>
        <w:rPr>
          <w:rFonts w:ascii="宋体" w:hAnsi="宋体"/>
          <w:sz w:val="24"/>
        </w:rPr>
        <w:t>尽量</w:t>
      </w:r>
      <w:r>
        <w:rPr>
          <w:rFonts w:hint="eastAsia" w:ascii="宋体" w:hAnsi="宋体"/>
          <w:sz w:val="24"/>
        </w:rPr>
        <w:t>回避在矿区中</w:t>
      </w:r>
      <w:r>
        <w:rPr>
          <w:rFonts w:ascii="宋体" w:hAnsi="宋体"/>
          <w:sz w:val="24"/>
        </w:rPr>
        <w:t>部</w:t>
      </w:r>
      <w:r>
        <w:rPr>
          <w:rFonts w:hint="eastAsia" w:ascii="宋体" w:hAnsi="宋体"/>
          <w:sz w:val="24"/>
        </w:rPr>
        <w:t>层间滑脱及小</w:t>
      </w:r>
      <w:r>
        <w:rPr>
          <w:rFonts w:ascii="宋体" w:hAnsi="宋体"/>
          <w:sz w:val="24"/>
        </w:rPr>
        <w:t>断层较发育</w:t>
      </w:r>
      <w:r>
        <w:rPr>
          <w:rFonts w:hint="eastAsia" w:ascii="宋体" w:hAnsi="宋体"/>
          <w:sz w:val="24"/>
        </w:rPr>
        <w:t>地带</w:t>
      </w:r>
      <w:r>
        <w:rPr>
          <w:rFonts w:ascii="宋体" w:hAnsi="宋体"/>
          <w:sz w:val="24"/>
        </w:rPr>
        <w:t>布置采掘面，对生产不利。</w:t>
      </w:r>
    </w:p>
    <w:p w14:paraId="5EAC29EA">
      <w:pPr>
        <w:spacing w:line="360" w:lineRule="auto"/>
        <w:ind w:firstLine="480" w:firstLineChars="200"/>
        <w:rPr>
          <w:rFonts w:hint="eastAsia" w:ascii="宋体" w:hAnsi="宋体"/>
          <w:sz w:val="24"/>
        </w:rPr>
      </w:pPr>
      <w:r>
        <w:rPr>
          <w:rFonts w:hint="eastAsia" w:ascii="宋体" w:hAnsi="宋体"/>
          <w:sz w:val="24"/>
        </w:rPr>
        <w:t>（2）本矿区主要充水层含水性富水性极不均匀，某些小构造及裂隙发育地段富水性较强，是未来矿坑最有可能发生突水地带</w:t>
      </w:r>
      <w:r>
        <w:rPr>
          <w:rFonts w:ascii="宋体" w:hAnsi="宋体"/>
          <w:sz w:val="24"/>
        </w:rPr>
        <w:t>，</w:t>
      </w:r>
      <w:r>
        <w:rPr>
          <w:rFonts w:hint="eastAsia" w:ascii="宋体" w:hAnsi="宋体"/>
          <w:sz w:val="24"/>
        </w:rPr>
        <w:t>其范围和成因尚有待于进一步查清。</w:t>
      </w:r>
    </w:p>
    <w:p w14:paraId="4DCC43AB">
      <w:pPr>
        <w:spacing w:line="360" w:lineRule="auto"/>
        <w:ind w:firstLine="480" w:firstLineChars="200"/>
        <w:rPr>
          <w:rFonts w:hint="eastAsia" w:ascii="宋体" w:hAnsi="宋体"/>
          <w:sz w:val="24"/>
        </w:rPr>
      </w:pPr>
      <w:r>
        <w:rPr>
          <w:rFonts w:hint="eastAsia" w:ascii="宋体" w:hAnsi="宋体"/>
          <w:sz w:val="24"/>
        </w:rPr>
        <w:t>（3）根据《储量核实报告》提供，该矿无钻孔工程控制，资源储量级别低，应进一步完善，同时需做好地质编录工作。</w:t>
      </w:r>
    </w:p>
    <w:p w14:paraId="58B4730D">
      <w:pPr>
        <w:spacing w:line="360" w:lineRule="auto"/>
        <w:ind w:firstLine="480" w:firstLineChars="200"/>
        <w:rPr>
          <w:rFonts w:ascii="宋体" w:hAnsi="宋体"/>
          <w:sz w:val="24"/>
        </w:rPr>
      </w:pPr>
      <w:r>
        <w:rPr>
          <w:rFonts w:hint="eastAsia" w:ascii="宋体" w:hAnsi="宋体"/>
          <w:sz w:val="24"/>
        </w:rPr>
        <w:t>（4）</w:t>
      </w:r>
      <w:r>
        <w:rPr>
          <w:rFonts w:ascii="宋体" w:hAnsi="宋体"/>
          <w:sz w:val="24"/>
        </w:rPr>
        <w:t>瓦斯含量高，</w:t>
      </w:r>
      <w:r>
        <w:rPr>
          <w:rFonts w:hint="eastAsia" w:ascii="宋体" w:hAnsi="宋体"/>
          <w:sz w:val="24"/>
        </w:rPr>
        <w:t>矿井未作煤与瓦斯突出性鉴定，建议矿井委托有资质的单位进行鉴定，经省煤管局批准并报省煤矿安全监察局备案，为矿井安全管理提供可靠的瓦斯数据；</w:t>
      </w:r>
    </w:p>
    <w:p w14:paraId="67A42782">
      <w:pPr>
        <w:spacing w:line="360" w:lineRule="auto"/>
        <w:ind w:firstLine="480" w:firstLineChars="200"/>
        <w:rPr>
          <w:rFonts w:ascii="宋体" w:hAnsi="宋体"/>
          <w:sz w:val="24"/>
        </w:rPr>
      </w:pPr>
      <w:r>
        <w:rPr>
          <w:rFonts w:hint="eastAsia" w:ascii="宋体" w:hAnsi="宋体"/>
          <w:sz w:val="24"/>
        </w:rPr>
        <w:t>（5）</w:t>
      </w:r>
      <w:r>
        <w:rPr>
          <w:rFonts w:ascii="宋体" w:hAnsi="宋体"/>
          <w:sz w:val="24"/>
        </w:rPr>
        <w:t>老窑及小煤窑突水是一个威胁。</w:t>
      </w:r>
      <w:r>
        <w:rPr>
          <w:rFonts w:hint="eastAsia" w:ascii="宋体" w:hAnsi="宋体"/>
          <w:sz w:val="24"/>
        </w:rPr>
        <w:t>矿井老窑采空区的分布及积水情况未作详细调查，建议进一步加强水文地质工作，调查老窑采空区分布及积水情况，</w:t>
      </w:r>
      <w:r>
        <w:rPr>
          <w:rFonts w:ascii="宋体" w:hAnsi="宋体"/>
          <w:sz w:val="24"/>
        </w:rPr>
        <w:t>建设中应作超前探水及放水工作，以防意外。</w:t>
      </w:r>
      <w:r>
        <w:rPr>
          <w:rFonts w:hint="eastAsia" w:ascii="宋体" w:hAnsi="宋体"/>
          <w:sz w:val="24"/>
        </w:rPr>
        <w:t>同时对井下涌水量进行动态观测，切实完善地表水和地下水、矿井充水因素、矿井涌水量等资料；</w:t>
      </w:r>
    </w:p>
    <w:p w14:paraId="1ACC3F63">
      <w:pPr>
        <w:spacing w:line="360" w:lineRule="auto"/>
        <w:ind w:firstLine="480" w:firstLineChars="200"/>
        <w:rPr>
          <w:rFonts w:hint="eastAsia" w:ascii="宋体" w:hAnsi="宋体"/>
          <w:sz w:val="24"/>
        </w:rPr>
      </w:pPr>
      <w:r>
        <w:rPr>
          <w:rFonts w:hint="eastAsia" w:ascii="宋体" w:hAnsi="宋体"/>
          <w:sz w:val="24"/>
        </w:rPr>
        <w:t>（6）根据储量核实报告，本矿所处地段地质构造比较复杂。位于阿戛井田北东部、马场井田南西部，地表为一古滑坡堆积体，以前开展的地质工作较少，工程控制稀少，缺乏地质资料等因素，造成本矿区煤层与区域（或井田）煤层难以对比。为此出现本矿区煤层编号与区域（或井田）煤层编号不符甚至错误等。因此建议矿井在生产过程中加强地质编录工作，切实弄清可采煤层赋存情况，</w:t>
      </w:r>
      <w:r>
        <w:rPr>
          <w:rFonts w:ascii="宋体" w:hAnsi="宋体"/>
          <w:sz w:val="24"/>
        </w:rPr>
        <w:t>探测煤层的稳定性</w:t>
      </w:r>
      <w:r>
        <w:rPr>
          <w:rFonts w:hint="eastAsia" w:ascii="宋体" w:hAnsi="宋体"/>
          <w:sz w:val="24"/>
        </w:rPr>
        <w:t>以便指导生产，同时提高资源回收利用效率。</w:t>
      </w:r>
    </w:p>
    <w:p w14:paraId="1405C36C">
      <w:pPr>
        <w:spacing w:line="360" w:lineRule="auto"/>
        <w:ind w:firstLine="480" w:firstLineChars="200"/>
        <w:rPr>
          <w:rFonts w:hint="eastAsia" w:ascii="宋体" w:hAnsi="宋体"/>
          <w:sz w:val="24"/>
        </w:rPr>
      </w:pPr>
      <w:r>
        <w:rPr>
          <w:rFonts w:hint="eastAsia" w:ascii="宋体" w:hAnsi="宋体"/>
          <w:sz w:val="24"/>
        </w:rPr>
        <w:t>（7）生产前应调查清楚矿区范围内的零星建筑物的数量，并对其进行搬迁处理。</w:t>
      </w:r>
    </w:p>
    <w:p w14:paraId="22C95389">
      <w:pPr>
        <w:spacing w:line="360" w:lineRule="auto"/>
        <w:ind w:firstLine="480" w:firstLineChars="200"/>
        <w:rPr>
          <w:rFonts w:hint="eastAsia" w:ascii="宋体" w:hAnsi="宋体"/>
          <w:sz w:val="24"/>
        </w:rPr>
      </w:pPr>
      <w:r>
        <w:rPr>
          <w:rFonts w:hint="eastAsia" w:ascii="宋体" w:hAnsi="宋体"/>
          <w:sz w:val="24"/>
        </w:rPr>
        <w:t>（8）区内地形陡峻，在今后开发过程中必须严格执行《煤矿安全规程》，防止由于采空区顶板垮塌而造成其上岩层开裂、垮塌，可能诱发地面发生地裂缝、滑坡及泥石流等地质灾害等各种安全事故的发生。因此，生产过程中应坚持“地表岩移观测”并事先采取防范措施，以免造成居民生命、财产的伤害和损失。</w:t>
      </w:r>
    </w:p>
    <w:p w14:paraId="572DEF4A">
      <w:pPr>
        <w:spacing w:line="360" w:lineRule="auto"/>
        <w:ind w:firstLine="480" w:firstLineChars="200"/>
        <w:rPr>
          <w:rFonts w:hint="eastAsia" w:ascii="宋体" w:hAnsi="宋体"/>
          <w:sz w:val="24"/>
        </w:rPr>
      </w:pPr>
      <w:r>
        <w:rPr>
          <w:rFonts w:hint="eastAsia" w:ascii="宋体" w:hAnsi="宋体"/>
          <w:sz w:val="24"/>
        </w:rPr>
        <w:t>（9）</w:t>
      </w:r>
      <w:r>
        <w:rPr>
          <w:rFonts w:ascii="宋体" w:hAnsi="宋体"/>
          <w:sz w:val="24"/>
        </w:rPr>
        <w:t>对井田范围的水文地质条件的勘探工作、瓦斯参数资料及构造情况不能达到相应程度的要求，尚需作进一步的补充。</w:t>
      </w:r>
    </w:p>
    <w:p w14:paraId="03AFBDDE">
      <w:pPr>
        <w:spacing w:line="360" w:lineRule="auto"/>
        <w:ind w:firstLine="480" w:firstLineChars="200"/>
        <w:rPr>
          <w:rFonts w:hint="eastAsia" w:ascii="宋体" w:hAnsi="宋体"/>
          <w:sz w:val="24"/>
        </w:rPr>
      </w:pPr>
      <w:r>
        <w:rPr>
          <w:rFonts w:hint="eastAsia" w:ascii="宋体" w:hAnsi="宋体"/>
          <w:sz w:val="24"/>
        </w:rPr>
        <w:t>（10）加强对井田内小煤窑开采和积水情况的调查。</w:t>
      </w:r>
    </w:p>
    <w:p w14:paraId="658EC028">
      <w:pPr>
        <w:spacing w:line="360" w:lineRule="auto"/>
        <w:ind w:firstLine="480" w:firstLineChars="200"/>
        <w:rPr>
          <w:rFonts w:ascii="宋体" w:hAnsi="宋体"/>
          <w:sz w:val="24"/>
        </w:rPr>
      </w:pPr>
      <w:r>
        <w:rPr>
          <w:rFonts w:hint="eastAsia" w:ascii="宋体" w:hAnsi="宋体"/>
          <w:sz w:val="24"/>
        </w:rPr>
        <w:t>（11）考虑到矿井的开采深度，大坪煤矿在开采过程中必须加强通风安全管理，防止瓦斯事故的发生。同时加强顶底板管理等各种措施，以保证矿井的安全生产。</w:t>
      </w:r>
    </w:p>
    <w:p w14:paraId="1A97B131">
      <w:pPr>
        <w:spacing w:line="360" w:lineRule="auto"/>
        <w:ind w:firstLine="480" w:firstLineChars="200"/>
        <w:rPr>
          <w:rFonts w:hint="eastAsia" w:ascii="宋体" w:hAnsi="宋体"/>
          <w:sz w:val="24"/>
        </w:rPr>
      </w:pPr>
    </w:p>
    <w:p w14:paraId="16387681">
      <w:pPr>
        <w:spacing w:line="360" w:lineRule="auto"/>
        <w:ind w:firstLine="480" w:firstLineChars="200"/>
        <w:rPr>
          <w:rFonts w:hint="eastAsia" w:ascii="宋体" w:hAnsi="宋体"/>
          <w:sz w:val="24"/>
        </w:rPr>
      </w:pPr>
    </w:p>
    <w:p w14:paraId="550D7FB5">
      <w:pPr>
        <w:spacing w:line="360" w:lineRule="auto"/>
        <w:ind w:firstLine="480" w:firstLineChars="200"/>
        <w:rPr>
          <w:rFonts w:hint="eastAsia" w:ascii="宋体" w:hAnsi="宋体"/>
          <w:sz w:val="24"/>
        </w:rPr>
      </w:pPr>
    </w:p>
    <w:p w14:paraId="31D06444">
      <w:pPr>
        <w:spacing w:line="360" w:lineRule="auto"/>
        <w:ind w:firstLine="480" w:firstLineChars="200"/>
        <w:rPr>
          <w:rFonts w:hint="eastAsia" w:ascii="宋体" w:hAnsi="宋体"/>
          <w:sz w:val="24"/>
        </w:rPr>
      </w:pPr>
    </w:p>
    <w:p w14:paraId="59FDCEE8">
      <w:pPr>
        <w:spacing w:line="360" w:lineRule="auto"/>
        <w:ind w:firstLine="480" w:firstLineChars="200"/>
        <w:rPr>
          <w:rFonts w:hint="eastAsia" w:ascii="宋体" w:hAnsi="宋体"/>
          <w:sz w:val="24"/>
        </w:rPr>
      </w:pPr>
    </w:p>
    <w:p w14:paraId="1DF6B428">
      <w:pPr>
        <w:spacing w:line="360" w:lineRule="auto"/>
        <w:ind w:firstLine="480" w:firstLineChars="200"/>
        <w:rPr>
          <w:rFonts w:hint="eastAsia" w:ascii="宋体" w:hAnsi="宋体"/>
          <w:sz w:val="24"/>
        </w:rPr>
      </w:pPr>
    </w:p>
    <w:p w14:paraId="1DF24AC4">
      <w:pPr>
        <w:spacing w:line="360" w:lineRule="auto"/>
        <w:ind w:firstLine="480" w:firstLineChars="200"/>
        <w:rPr>
          <w:rFonts w:hint="eastAsia" w:ascii="宋体" w:hAnsi="宋体"/>
          <w:sz w:val="24"/>
        </w:rPr>
      </w:pPr>
    </w:p>
    <w:p w14:paraId="57F0EB23">
      <w:pPr>
        <w:spacing w:line="360" w:lineRule="auto"/>
        <w:ind w:firstLine="480" w:firstLineChars="200"/>
        <w:rPr>
          <w:rFonts w:ascii="宋体" w:hAnsi="宋体"/>
          <w:sz w:val="24"/>
        </w:rPr>
        <w:sectPr>
          <w:pgSz w:w="11906" w:h="16838"/>
          <w:pgMar w:top="1304" w:right="1418" w:bottom="1304" w:left="1418" w:header="1134" w:footer="992" w:gutter="0"/>
          <w:cols w:space="720" w:num="1"/>
          <w:docGrid w:linePitch="312" w:charSpace="0"/>
        </w:sectPr>
      </w:pPr>
    </w:p>
    <w:p w14:paraId="39795870">
      <w:pPr>
        <w:pStyle w:val="2"/>
        <w:keepLines/>
        <w:spacing w:before="240" w:after="120" w:line="360" w:lineRule="auto"/>
        <w:ind w:firstLine="0" w:firstLineChars="0"/>
        <w:rPr>
          <w:rFonts w:hint="eastAsia" w:ascii="黑体" w:eastAsia="黑体"/>
          <w:b/>
          <w:color w:val="000000"/>
          <w:kern w:val="44"/>
          <w:sz w:val="36"/>
          <w:szCs w:val="36"/>
        </w:rPr>
      </w:pPr>
      <w:bookmarkStart w:id="41" w:name="_Toc173869187"/>
      <w:bookmarkStart w:id="42" w:name="_Toc259438187"/>
      <w:bookmarkStart w:id="43" w:name="_Toc260915257"/>
      <w:r>
        <w:rPr>
          <w:rFonts w:hint="eastAsia" w:ascii="黑体" w:eastAsia="黑体"/>
          <w:b/>
          <w:color w:val="000000"/>
          <w:kern w:val="44"/>
          <w:sz w:val="36"/>
          <w:szCs w:val="36"/>
        </w:rPr>
        <w:t>第二章　</w:t>
      </w:r>
      <w:bookmarkEnd w:id="41"/>
      <w:r>
        <w:rPr>
          <w:rFonts w:hint="eastAsia" w:ascii="黑体" w:eastAsia="黑体"/>
          <w:b/>
          <w:color w:val="000000"/>
          <w:kern w:val="44"/>
          <w:sz w:val="36"/>
          <w:szCs w:val="36"/>
        </w:rPr>
        <w:t>　建设规模与服务年限</w:t>
      </w:r>
      <w:bookmarkEnd w:id="42"/>
      <w:bookmarkEnd w:id="43"/>
    </w:p>
    <w:p w14:paraId="17501800">
      <w:pPr>
        <w:spacing w:line="360" w:lineRule="auto"/>
        <w:ind w:firstLine="480" w:firstLineChars="200"/>
        <w:rPr>
          <w:rFonts w:hint="eastAsia" w:ascii="宋体" w:hAnsi="宋体"/>
          <w:sz w:val="24"/>
        </w:rPr>
      </w:pPr>
      <w:bookmarkStart w:id="44" w:name="_Toc173869188"/>
      <w:r>
        <w:rPr>
          <w:rFonts w:hint="eastAsia" w:ascii="宋体" w:hAnsi="宋体"/>
          <w:sz w:val="24"/>
        </w:rPr>
        <w:t>本章主要变更内容：1、对矿井建设规模进行变更；2、对矿井服务年限进行变更。</w:t>
      </w:r>
    </w:p>
    <w:p w14:paraId="1FADC19B">
      <w:pPr>
        <w:pStyle w:val="3"/>
        <w:keepLines/>
        <w:spacing w:before="240" w:after="240" w:line="360" w:lineRule="auto"/>
        <w:ind w:firstLine="0" w:firstLineChars="0"/>
        <w:jc w:val="center"/>
        <w:rPr>
          <w:rFonts w:hint="eastAsia"/>
          <w:b/>
          <w:color w:val="000000"/>
          <w:sz w:val="32"/>
          <w:szCs w:val="32"/>
        </w:rPr>
      </w:pPr>
      <w:bookmarkStart w:id="45" w:name="_Toc260915258"/>
      <w:r>
        <w:rPr>
          <w:rFonts w:hint="eastAsia"/>
          <w:b/>
          <w:color w:val="000000"/>
          <w:sz w:val="32"/>
          <w:szCs w:val="32"/>
        </w:rPr>
        <w:t>第一节　　矿区范围</w:t>
      </w:r>
      <w:r>
        <w:rPr>
          <w:b/>
          <w:color w:val="000000"/>
          <w:sz w:val="32"/>
          <w:szCs w:val="32"/>
        </w:rPr>
        <w:t>与资源/储量</w:t>
      </w:r>
      <w:bookmarkEnd w:id="44"/>
      <w:bookmarkEnd w:id="45"/>
    </w:p>
    <w:p w14:paraId="76672576">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一、矿区范围</w:t>
      </w:r>
    </w:p>
    <w:p w14:paraId="3163EB75">
      <w:pPr>
        <w:spacing w:line="360" w:lineRule="auto"/>
        <w:ind w:firstLine="480" w:firstLineChars="200"/>
        <w:rPr>
          <w:rFonts w:hint="eastAsia" w:ascii="宋体" w:hAnsi="宋体"/>
          <w:sz w:val="24"/>
        </w:rPr>
      </w:pPr>
      <w:r>
        <w:rPr>
          <w:rFonts w:hint="eastAsia" w:ascii="宋体" w:hAnsi="宋体"/>
          <w:sz w:val="24"/>
        </w:rPr>
        <w:t>水城县玉舍大坪煤矿于2008年12月获得贵州省国土资源厅颁发的颁发的水城县玉舍大坪煤矿《采矿许可证》(副本，证号：5200000831143)，矿区</w:t>
      </w:r>
      <w:r>
        <w:rPr>
          <w:rFonts w:ascii="宋体" w:hAnsi="宋体"/>
          <w:sz w:val="24"/>
        </w:rPr>
        <w:t>采矿权范围由</w:t>
      </w:r>
      <w:r>
        <w:rPr>
          <w:rFonts w:hint="eastAsia" w:ascii="宋体" w:hAnsi="宋体"/>
          <w:sz w:val="24"/>
        </w:rPr>
        <w:t>9个拐</w:t>
      </w:r>
      <w:r>
        <w:rPr>
          <w:rFonts w:ascii="宋体" w:hAnsi="宋体"/>
          <w:sz w:val="24"/>
        </w:rPr>
        <w:t>点坐标圈定</w:t>
      </w:r>
      <w:r>
        <w:rPr>
          <w:rFonts w:hint="eastAsia" w:ascii="宋体" w:hAnsi="宋体"/>
          <w:sz w:val="24"/>
        </w:rPr>
        <w:t>，为一不规则九边形，</w:t>
      </w:r>
      <w:r>
        <w:rPr>
          <w:rFonts w:ascii="宋体" w:hAnsi="宋体"/>
          <w:sz w:val="24"/>
        </w:rPr>
        <w:t>矿区面积为</w:t>
      </w:r>
      <w:r>
        <w:rPr>
          <w:rFonts w:hint="eastAsia" w:ascii="宋体" w:hAnsi="宋体"/>
          <w:sz w:val="24"/>
        </w:rPr>
        <w:t>1.2268km</w:t>
      </w:r>
      <w:r>
        <w:rPr>
          <w:rFonts w:ascii="宋体" w:hAnsi="宋体"/>
          <w:sz w:val="24"/>
          <w:vertAlign w:val="superscript"/>
        </w:rPr>
        <w:t>2</w:t>
      </w:r>
      <w:r>
        <w:rPr>
          <w:rFonts w:ascii="宋体" w:hAnsi="宋体"/>
          <w:sz w:val="24"/>
        </w:rPr>
        <w:t>，</w:t>
      </w:r>
      <w:r>
        <w:rPr>
          <w:rFonts w:hint="eastAsia" w:ascii="宋体" w:hAnsi="宋体"/>
          <w:sz w:val="24"/>
        </w:rPr>
        <w:t>开采深度为＋2040～＋1450m标高</w:t>
      </w:r>
      <w:r>
        <w:rPr>
          <w:rFonts w:ascii="宋体" w:hAnsi="宋体"/>
          <w:sz w:val="24"/>
        </w:rPr>
        <w:t>，</w:t>
      </w:r>
      <w:r>
        <w:rPr>
          <w:rFonts w:hint="eastAsia" w:ascii="宋体" w:hAnsi="宋体"/>
          <w:sz w:val="24"/>
        </w:rPr>
        <w:t xml:space="preserve">矿区走向长约1800m，倾向宽约700m，其拐点坐标（北京坐标系）、开采深度及矿区面积详见 </w:t>
      </w:r>
      <w:r>
        <w:rPr>
          <w:rFonts w:hint="eastAsia" w:ascii="宋体" w:hAnsi="宋体"/>
          <w:b/>
          <w:color w:val="000000"/>
          <w:sz w:val="24"/>
        </w:rPr>
        <w:t>表</w:t>
      </w:r>
      <w:r>
        <w:rPr>
          <w:rFonts w:hint="eastAsia" w:ascii="宋体" w:hAnsi="宋体"/>
          <w:b/>
          <w:sz w:val="24"/>
        </w:rPr>
        <w:t>2－1－1</w:t>
      </w:r>
      <w:r>
        <w:rPr>
          <w:rFonts w:hint="eastAsia" w:ascii="宋体" w:hAnsi="宋体"/>
          <w:sz w:val="24"/>
        </w:rPr>
        <w:t>。</w:t>
      </w:r>
    </w:p>
    <w:p w14:paraId="25A6BFB8">
      <w:pPr>
        <w:pStyle w:val="89"/>
        <w:tabs>
          <w:tab w:val="left" w:pos="4500"/>
        </w:tabs>
        <w:ind w:firstLine="482" w:firstLineChars="200"/>
        <w:jc w:val="center"/>
        <w:rPr>
          <w:rFonts w:hint="eastAsia" w:hAnsi="宋体"/>
          <w:b/>
          <w:szCs w:val="24"/>
        </w:rPr>
      </w:pPr>
      <w:r>
        <w:rPr>
          <w:rFonts w:hint="eastAsia" w:hAnsi="宋体"/>
          <w:b/>
          <w:szCs w:val="24"/>
        </w:rPr>
        <w:t>矿区范围拐点坐标、开采深度及矿区面积表　　表2-1-1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3385"/>
        <w:gridCol w:w="3386"/>
      </w:tblGrid>
      <w:tr w14:paraId="4042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32F7842A">
            <w:pPr>
              <w:ind w:firstLine="170"/>
              <w:jc w:val="center"/>
              <w:rPr>
                <w:rFonts w:hint="eastAsia" w:ascii="宋体" w:hAnsi="宋体"/>
                <w:snapToGrid w:val="0"/>
                <w:kern w:val="0"/>
                <w:sz w:val="24"/>
              </w:rPr>
            </w:pPr>
            <w:r>
              <w:rPr>
                <w:rFonts w:hint="eastAsia" w:ascii="宋体" w:hAnsi="宋体"/>
                <w:snapToGrid w:val="0"/>
                <w:kern w:val="0"/>
                <w:sz w:val="24"/>
              </w:rPr>
              <w:t>拐点</w:t>
            </w:r>
          </w:p>
        </w:tc>
        <w:tc>
          <w:tcPr>
            <w:tcW w:w="3385" w:type="dxa"/>
            <w:noWrap w:val="0"/>
            <w:vAlign w:val="center"/>
          </w:tcPr>
          <w:p w14:paraId="33CBB6B9">
            <w:pPr>
              <w:ind w:firstLine="170"/>
              <w:jc w:val="center"/>
              <w:rPr>
                <w:rFonts w:hint="eastAsia" w:ascii="宋体" w:hAnsi="宋体"/>
                <w:snapToGrid w:val="0"/>
                <w:kern w:val="0"/>
                <w:sz w:val="24"/>
              </w:rPr>
            </w:pPr>
            <w:r>
              <w:rPr>
                <w:rFonts w:hint="eastAsia" w:ascii="宋体" w:hAnsi="宋体"/>
                <w:snapToGrid w:val="0"/>
                <w:kern w:val="0"/>
                <w:sz w:val="24"/>
              </w:rPr>
              <w:t>X</w:t>
            </w:r>
          </w:p>
        </w:tc>
        <w:tc>
          <w:tcPr>
            <w:tcW w:w="3386" w:type="dxa"/>
            <w:noWrap w:val="0"/>
            <w:vAlign w:val="center"/>
          </w:tcPr>
          <w:p w14:paraId="6075EE91">
            <w:pPr>
              <w:ind w:firstLine="170"/>
              <w:jc w:val="center"/>
              <w:rPr>
                <w:rFonts w:hint="eastAsia" w:ascii="宋体" w:hAnsi="宋体"/>
                <w:snapToGrid w:val="0"/>
                <w:kern w:val="0"/>
                <w:sz w:val="24"/>
              </w:rPr>
            </w:pPr>
            <w:r>
              <w:rPr>
                <w:rFonts w:hint="eastAsia" w:ascii="宋体" w:hAnsi="宋体"/>
                <w:snapToGrid w:val="0"/>
                <w:kern w:val="0"/>
                <w:sz w:val="24"/>
              </w:rPr>
              <w:t>Y</w:t>
            </w:r>
          </w:p>
        </w:tc>
      </w:tr>
      <w:tr w14:paraId="7183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14C34939">
            <w:pPr>
              <w:jc w:val="center"/>
              <w:rPr>
                <w:rFonts w:hint="eastAsia" w:ascii="宋体" w:hAnsi="宋体"/>
                <w:snapToGrid w:val="0"/>
                <w:kern w:val="0"/>
                <w:sz w:val="24"/>
              </w:rPr>
            </w:pPr>
            <w:r>
              <w:rPr>
                <w:rFonts w:hint="eastAsia" w:ascii="宋体" w:hAnsi="宋体"/>
                <w:snapToGrid w:val="0"/>
                <w:kern w:val="0"/>
                <w:sz w:val="24"/>
              </w:rPr>
              <w:t>1</w:t>
            </w:r>
          </w:p>
        </w:tc>
        <w:tc>
          <w:tcPr>
            <w:tcW w:w="3385" w:type="dxa"/>
            <w:noWrap w:val="0"/>
            <w:vAlign w:val="center"/>
          </w:tcPr>
          <w:p w14:paraId="5708A399">
            <w:pPr>
              <w:jc w:val="center"/>
              <w:rPr>
                <w:rFonts w:hint="eastAsia" w:ascii="宋体" w:hAnsi="宋体"/>
                <w:snapToGrid w:val="0"/>
                <w:kern w:val="0"/>
                <w:sz w:val="24"/>
              </w:rPr>
            </w:pPr>
            <w:r>
              <w:rPr>
                <w:rFonts w:hint="eastAsia" w:ascii="宋体" w:hAnsi="宋体"/>
                <w:snapToGrid w:val="0"/>
                <w:kern w:val="0"/>
                <w:sz w:val="24"/>
              </w:rPr>
              <w:t>2933202</w:t>
            </w:r>
          </w:p>
        </w:tc>
        <w:tc>
          <w:tcPr>
            <w:tcW w:w="3386" w:type="dxa"/>
            <w:noWrap w:val="0"/>
            <w:vAlign w:val="center"/>
          </w:tcPr>
          <w:p w14:paraId="32847BBE">
            <w:pPr>
              <w:jc w:val="center"/>
              <w:rPr>
                <w:rFonts w:hint="eastAsia" w:ascii="宋体" w:hAnsi="宋体"/>
                <w:snapToGrid w:val="0"/>
                <w:kern w:val="0"/>
                <w:sz w:val="24"/>
              </w:rPr>
            </w:pPr>
            <w:r>
              <w:rPr>
                <w:rFonts w:hint="eastAsia" w:ascii="宋体" w:hAnsi="宋体"/>
                <w:snapToGrid w:val="0"/>
                <w:kern w:val="0"/>
                <w:sz w:val="24"/>
              </w:rPr>
              <w:t>35475700</w:t>
            </w:r>
          </w:p>
        </w:tc>
      </w:tr>
      <w:tr w14:paraId="6E20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1D978EBF">
            <w:pPr>
              <w:jc w:val="center"/>
              <w:rPr>
                <w:rFonts w:hint="eastAsia" w:ascii="宋体" w:hAnsi="宋体"/>
                <w:snapToGrid w:val="0"/>
                <w:kern w:val="0"/>
                <w:sz w:val="24"/>
              </w:rPr>
            </w:pPr>
            <w:r>
              <w:rPr>
                <w:rFonts w:hint="eastAsia" w:ascii="宋体" w:hAnsi="宋体"/>
                <w:snapToGrid w:val="0"/>
                <w:kern w:val="0"/>
                <w:sz w:val="24"/>
              </w:rPr>
              <w:t>2</w:t>
            </w:r>
          </w:p>
        </w:tc>
        <w:tc>
          <w:tcPr>
            <w:tcW w:w="3385" w:type="dxa"/>
            <w:noWrap w:val="0"/>
            <w:vAlign w:val="center"/>
          </w:tcPr>
          <w:p w14:paraId="5B19D316">
            <w:pPr>
              <w:jc w:val="center"/>
              <w:rPr>
                <w:rFonts w:hint="eastAsia" w:ascii="宋体" w:hAnsi="宋体"/>
                <w:snapToGrid w:val="0"/>
                <w:kern w:val="0"/>
                <w:sz w:val="24"/>
              </w:rPr>
            </w:pPr>
            <w:r>
              <w:rPr>
                <w:rFonts w:hint="eastAsia" w:ascii="宋体" w:hAnsi="宋体"/>
                <w:snapToGrid w:val="0"/>
                <w:kern w:val="0"/>
                <w:sz w:val="24"/>
              </w:rPr>
              <w:t>2932929</w:t>
            </w:r>
          </w:p>
        </w:tc>
        <w:tc>
          <w:tcPr>
            <w:tcW w:w="3386" w:type="dxa"/>
            <w:noWrap w:val="0"/>
            <w:vAlign w:val="center"/>
          </w:tcPr>
          <w:p w14:paraId="0AD09084">
            <w:pPr>
              <w:jc w:val="center"/>
              <w:rPr>
                <w:rFonts w:hint="eastAsia" w:ascii="宋体" w:hAnsi="宋体"/>
                <w:snapToGrid w:val="0"/>
                <w:kern w:val="0"/>
                <w:sz w:val="24"/>
              </w:rPr>
            </w:pPr>
            <w:r>
              <w:rPr>
                <w:rFonts w:hint="eastAsia" w:ascii="宋体" w:hAnsi="宋体"/>
                <w:snapToGrid w:val="0"/>
                <w:kern w:val="0"/>
                <w:sz w:val="24"/>
              </w:rPr>
              <w:t>35475135</w:t>
            </w:r>
          </w:p>
        </w:tc>
      </w:tr>
      <w:tr w14:paraId="691D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7E070F01">
            <w:pPr>
              <w:jc w:val="center"/>
              <w:rPr>
                <w:rFonts w:hint="eastAsia" w:ascii="宋体" w:hAnsi="宋体"/>
                <w:snapToGrid w:val="0"/>
                <w:kern w:val="0"/>
                <w:sz w:val="24"/>
              </w:rPr>
            </w:pPr>
            <w:r>
              <w:rPr>
                <w:rFonts w:hint="eastAsia" w:ascii="宋体" w:hAnsi="宋体"/>
                <w:snapToGrid w:val="0"/>
                <w:kern w:val="0"/>
                <w:sz w:val="24"/>
              </w:rPr>
              <w:t>3</w:t>
            </w:r>
          </w:p>
        </w:tc>
        <w:tc>
          <w:tcPr>
            <w:tcW w:w="3385" w:type="dxa"/>
            <w:noWrap w:val="0"/>
            <w:vAlign w:val="center"/>
          </w:tcPr>
          <w:p w14:paraId="50EE0995">
            <w:pPr>
              <w:jc w:val="center"/>
              <w:rPr>
                <w:rFonts w:hint="eastAsia" w:ascii="宋体" w:hAnsi="宋体"/>
                <w:snapToGrid w:val="0"/>
                <w:kern w:val="0"/>
                <w:sz w:val="24"/>
              </w:rPr>
            </w:pPr>
            <w:r>
              <w:rPr>
                <w:rFonts w:hint="eastAsia" w:ascii="宋体" w:hAnsi="宋体"/>
                <w:snapToGrid w:val="0"/>
                <w:kern w:val="0"/>
                <w:sz w:val="24"/>
              </w:rPr>
              <w:t>2933772</w:t>
            </w:r>
          </w:p>
        </w:tc>
        <w:tc>
          <w:tcPr>
            <w:tcW w:w="3386" w:type="dxa"/>
            <w:noWrap w:val="0"/>
            <w:vAlign w:val="center"/>
          </w:tcPr>
          <w:p w14:paraId="2C467C7F">
            <w:pPr>
              <w:jc w:val="center"/>
              <w:rPr>
                <w:rFonts w:hint="eastAsia" w:ascii="宋体" w:hAnsi="宋体"/>
                <w:snapToGrid w:val="0"/>
                <w:kern w:val="0"/>
                <w:sz w:val="24"/>
              </w:rPr>
            </w:pPr>
            <w:r>
              <w:rPr>
                <w:rFonts w:hint="eastAsia" w:ascii="宋体" w:hAnsi="宋体"/>
                <w:snapToGrid w:val="0"/>
                <w:kern w:val="0"/>
                <w:sz w:val="24"/>
              </w:rPr>
              <w:t>35473913</w:t>
            </w:r>
          </w:p>
        </w:tc>
      </w:tr>
      <w:tr w14:paraId="79E8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13819840">
            <w:pPr>
              <w:jc w:val="center"/>
              <w:rPr>
                <w:rFonts w:hint="eastAsia" w:ascii="宋体" w:hAnsi="宋体"/>
                <w:snapToGrid w:val="0"/>
                <w:kern w:val="0"/>
                <w:sz w:val="24"/>
              </w:rPr>
            </w:pPr>
            <w:r>
              <w:rPr>
                <w:rFonts w:hint="eastAsia" w:ascii="宋体" w:hAnsi="宋体"/>
                <w:snapToGrid w:val="0"/>
                <w:kern w:val="0"/>
                <w:sz w:val="24"/>
              </w:rPr>
              <w:t>4</w:t>
            </w:r>
          </w:p>
        </w:tc>
        <w:tc>
          <w:tcPr>
            <w:tcW w:w="3385" w:type="dxa"/>
            <w:noWrap w:val="0"/>
            <w:vAlign w:val="center"/>
          </w:tcPr>
          <w:p w14:paraId="60D7EFAB">
            <w:pPr>
              <w:jc w:val="center"/>
              <w:rPr>
                <w:rFonts w:hint="eastAsia" w:ascii="宋体" w:hAnsi="宋体"/>
                <w:snapToGrid w:val="0"/>
                <w:kern w:val="0"/>
                <w:sz w:val="24"/>
              </w:rPr>
            </w:pPr>
            <w:r>
              <w:rPr>
                <w:rFonts w:hint="eastAsia" w:ascii="宋体" w:hAnsi="宋体"/>
                <w:snapToGrid w:val="0"/>
                <w:kern w:val="0"/>
                <w:sz w:val="24"/>
              </w:rPr>
              <w:t>2934369</w:t>
            </w:r>
          </w:p>
        </w:tc>
        <w:tc>
          <w:tcPr>
            <w:tcW w:w="3386" w:type="dxa"/>
            <w:noWrap w:val="0"/>
            <w:vAlign w:val="center"/>
          </w:tcPr>
          <w:p w14:paraId="14C23B10">
            <w:pPr>
              <w:jc w:val="center"/>
              <w:rPr>
                <w:rFonts w:hint="eastAsia" w:ascii="宋体" w:hAnsi="宋体"/>
                <w:snapToGrid w:val="0"/>
                <w:kern w:val="0"/>
                <w:sz w:val="24"/>
              </w:rPr>
            </w:pPr>
            <w:r>
              <w:rPr>
                <w:rFonts w:hint="eastAsia" w:ascii="宋体" w:hAnsi="宋体"/>
                <w:snapToGrid w:val="0"/>
                <w:kern w:val="0"/>
                <w:sz w:val="24"/>
              </w:rPr>
              <w:t>35474019</w:t>
            </w:r>
          </w:p>
        </w:tc>
      </w:tr>
      <w:tr w14:paraId="0A78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221776B2">
            <w:pPr>
              <w:jc w:val="center"/>
              <w:rPr>
                <w:rFonts w:hint="eastAsia" w:ascii="宋体" w:hAnsi="宋体"/>
                <w:snapToGrid w:val="0"/>
                <w:kern w:val="0"/>
                <w:sz w:val="24"/>
              </w:rPr>
            </w:pPr>
            <w:r>
              <w:rPr>
                <w:rFonts w:hint="eastAsia" w:ascii="宋体" w:hAnsi="宋体"/>
                <w:snapToGrid w:val="0"/>
                <w:kern w:val="0"/>
                <w:sz w:val="24"/>
              </w:rPr>
              <w:t>5</w:t>
            </w:r>
          </w:p>
        </w:tc>
        <w:tc>
          <w:tcPr>
            <w:tcW w:w="3385" w:type="dxa"/>
            <w:noWrap w:val="0"/>
            <w:vAlign w:val="center"/>
          </w:tcPr>
          <w:p w14:paraId="0C2C51DA">
            <w:pPr>
              <w:jc w:val="center"/>
              <w:rPr>
                <w:rFonts w:hint="eastAsia" w:ascii="宋体" w:hAnsi="宋体"/>
                <w:snapToGrid w:val="0"/>
                <w:kern w:val="0"/>
                <w:sz w:val="24"/>
              </w:rPr>
            </w:pPr>
            <w:r>
              <w:rPr>
                <w:rFonts w:hint="eastAsia" w:ascii="宋体" w:hAnsi="宋体"/>
                <w:snapToGrid w:val="0"/>
                <w:kern w:val="0"/>
                <w:sz w:val="24"/>
              </w:rPr>
              <w:t>2934075</w:t>
            </w:r>
          </w:p>
        </w:tc>
        <w:tc>
          <w:tcPr>
            <w:tcW w:w="3386" w:type="dxa"/>
            <w:noWrap w:val="0"/>
            <w:vAlign w:val="center"/>
          </w:tcPr>
          <w:p w14:paraId="33607A6B">
            <w:pPr>
              <w:jc w:val="center"/>
              <w:rPr>
                <w:rFonts w:hint="eastAsia" w:ascii="宋体" w:hAnsi="宋体"/>
                <w:snapToGrid w:val="0"/>
                <w:kern w:val="0"/>
                <w:sz w:val="24"/>
              </w:rPr>
            </w:pPr>
            <w:r>
              <w:rPr>
                <w:rFonts w:hint="eastAsia" w:ascii="宋体" w:hAnsi="宋体"/>
                <w:snapToGrid w:val="0"/>
                <w:kern w:val="0"/>
                <w:sz w:val="24"/>
              </w:rPr>
              <w:t>35474405</w:t>
            </w:r>
          </w:p>
        </w:tc>
      </w:tr>
      <w:tr w14:paraId="1998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616CA77F">
            <w:pPr>
              <w:jc w:val="center"/>
              <w:rPr>
                <w:rFonts w:hint="eastAsia" w:ascii="宋体" w:hAnsi="宋体"/>
                <w:snapToGrid w:val="0"/>
                <w:kern w:val="0"/>
                <w:sz w:val="24"/>
              </w:rPr>
            </w:pPr>
            <w:r>
              <w:rPr>
                <w:rFonts w:hint="eastAsia" w:ascii="宋体" w:hAnsi="宋体"/>
                <w:snapToGrid w:val="0"/>
                <w:kern w:val="0"/>
                <w:sz w:val="24"/>
              </w:rPr>
              <w:t>6</w:t>
            </w:r>
          </w:p>
        </w:tc>
        <w:tc>
          <w:tcPr>
            <w:tcW w:w="3385" w:type="dxa"/>
            <w:noWrap w:val="0"/>
            <w:vAlign w:val="center"/>
          </w:tcPr>
          <w:p w14:paraId="6D750335">
            <w:pPr>
              <w:jc w:val="center"/>
              <w:rPr>
                <w:rFonts w:hint="eastAsia" w:ascii="宋体" w:hAnsi="宋体"/>
                <w:snapToGrid w:val="0"/>
                <w:kern w:val="0"/>
                <w:sz w:val="24"/>
              </w:rPr>
            </w:pPr>
            <w:r>
              <w:rPr>
                <w:rFonts w:hint="eastAsia" w:ascii="宋体" w:hAnsi="宋体"/>
                <w:snapToGrid w:val="0"/>
                <w:kern w:val="0"/>
                <w:sz w:val="24"/>
              </w:rPr>
              <w:t>2934120</w:t>
            </w:r>
          </w:p>
        </w:tc>
        <w:tc>
          <w:tcPr>
            <w:tcW w:w="3386" w:type="dxa"/>
            <w:noWrap w:val="0"/>
            <w:vAlign w:val="center"/>
          </w:tcPr>
          <w:p w14:paraId="6E7672CA">
            <w:pPr>
              <w:jc w:val="center"/>
              <w:rPr>
                <w:rFonts w:hint="eastAsia" w:ascii="宋体" w:hAnsi="宋体"/>
                <w:snapToGrid w:val="0"/>
                <w:kern w:val="0"/>
                <w:sz w:val="24"/>
              </w:rPr>
            </w:pPr>
            <w:r>
              <w:rPr>
                <w:rFonts w:hint="eastAsia" w:ascii="宋体" w:hAnsi="宋体"/>
                <w:snapToGrid w:val="0"/>
                <w:kern w:val="0"/>
                <w:sz w:val="24"/>
              </w:rPr>
              <w:t>35474610</w:t>
            </w:r>
          </w:p>
        </w:tc>
      </w:tr>
      <w:tr w14:paraId="2C38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5FB0C0D7">
            <w:pPr>
              <w:jc w:val="center"/>
              <w:rPr>
                <w:rFonts w:hint="eastAsia" w:ascii="宋体" w:hAnsi="宋体"/>
                <w:snapToGrid w:val="0"/>
                <w:kern w:val="0"/>
                <w:sz w:val="24"/>
              </w:rPr>
            </w:pPr>
            <w:r>
              <w:rPr>
                <w:rFonts w:hint="eastAsia" w:ascii="宋体" w:hAnsi="宋体"/>
                <w:snapToGrid w:val="0"/>
                <w:kern w:val="0"/>
                <w:sz w:val="24"/>
              </w:rPr>
              <w:t>7</w:t>
            </w:r>
          </w:p>
        </w:tc>
        <w:tc>
          <w:tcPr>
            <w:tcW w:w="3385" w:type="dxa"/>
            <w:noWrap w:val="0"/>
            <w:vAlign w:val="center"/>
          </w:tcPr>
          <w:p w14:paraId="404FA2A0">
            <w:pPr>
              <w:jc w:val="center"/>
              <w:rPr>
                <w:rFonts w:hint="eastAsia" w:ascii="宋体" w:hAnsi="宋体"/>
                <w:snapToGrid w:val="0"/>
                <w:kern w:val="0"/>
                <w:sz w:val="24"/>
              </w:rPr>
            </w:pPr>
            <w:r>
              <w:rPr>
                <w:rFonts w:hint="eastAsia" w:ascii="宋体" w:hAnsi="宋体"/>
                <w:snapToGrid w:val="0"/>
                <w:kern w:val="0"/>
                <w:sz w:val="24"/>
              </w:rPr>
              <w:t>2933870</w:t>
            </w:r>
          </w:p>
        </w:tc>
        <w:tc>
          <w:tcPr>
            <w:tcW w:w="3386" w:type="dxa"/>
            <w:noWrap w:val="0"/>
            <w:vAlign w:val="center"/>
          </w:tcPr>
          <w:p w14:paraId="56A535DF">
            <w:pPr>
              <w:jc w:val="center"/>
              <w:rPr>
                <w:rFonts w:hint="eastAsia" w:ascii="宋体" w:hAnsi="宋体"/>
                <w:snapToGrid w:val="0"/>
                <w:kern w:val="0"/>
                <w:sz w:val="24"/>
              </w:rPr>
            </w:pPr>
            <w:r>
              <w:rPr>
                <w:rFonts w:hint="eastAsia" w:ascii="宋体" w:hAnsi="宋体"/>
                <w:snapToGrid w:val="0"/>
                <w:kern w:val="0"/>
                <w:sz w:val="24"/>
              </w:rPr>
              <w:t>35474790</w:t>
            </w:r>
          </w:p>
        </w:tc>
      </w:tr>
      <w:tr w14:paraId="2FE7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03C48E7A">
            <w:pPr>
              <w:jc w:val="center"/>
              <w:rPr>
                <w:rFonts w:hint="eastAsia" w:ascii="宋体" w:hAnsi="宋体"/>
                <w:snapToGrid w:val="0"/>
                <w:kern w:val="0"/>
                <w:sz w:val="24"/>
              </w:rPr>
            </w:pPr>
            <w:r>
              <w:rPr>
                <w:rFonts w:hint="eastAsia" w:ascii="宋体" w:hAnsi="宋体"/>
                <w:snapToGrid w:val="0"/>
                <w:kern w:val="0"/>
                <w:sz w:val="24"/>
              </w:rPr>
              <w:t>8</w:t>
            </w:r>
          </w:p>
        </w:tc>
        <w:tc>
          <w:tcPr>
            <w:tcW w:w="3385" w:type="dxa"/>
            <w:noWrap w:val="0"/>
            <w:vAlign w:val="center"/>
          </w:tcPr>
          <w:p w14:paraId="4F8EAAF9">
            <w:pPr>
              <w:jc w:val="center"/>
              <w:rPr>
                <w:rFonts w:hint="eastAsia" w:ascii="宋体" w:hAnsi="宋体"/>
                <w:snapToGrid w:val="0"/>
                <w:kern w:val="0"/>
                <w:sz w:val="24"/>
              </w:rPr>
            </w:pPr>
            <w:r>
              <w:rPr>
                <w:rFonts w:hint="eastAsia" w:ascii="宋体" w:hAnsi="宋体"/>
                <w:snapToGrid w:val="0"/>
                <w:kern w:val="0"/>
                <w:sz w:val="24"/>
              </w:rPr>
              <w:t>2933950</w:t>
            </w:r>
          </w:p>
        </w:tc>
        <w:tc>
          <w:tcPr>
            <w:tcW w:w="3386" w:type="dxa"/>
            <w:noWrap w:val="0"/>
            <w:vAlign w:val="center"/>
          </w:tcPr>
          <w:p w14:paraId="15CAAACB">
            <w:pPr>
              <w:jc w:val="center"/>
              <w:rPr>
                <w:rFonts w:hint="eastAsia" w:ascii="宋体" w:hAnsi="宋体"/>
                <w:snapToGrid w:val="0"/>
                <w:kern w:val="0"/>
                <w:sz w:val="24"/>
              </w:rPr>
            </w:pPr>
            <w:r>
              <w:rPr>
                <w:rFonts w:hint="eastAsia" w:ascii="宋体" w:hAnsi="宋体"/>
                <w:snapToGrid w:val="0"/>
                <w:kern w:val="0"/>
                <w:sz w:val="24"/>
              </w:rPr>
              <w:t>35475110</w:t>
            </w:r>
          </w:p>
        </w:tc>
      </w:tr>
      <w:tr w14:paraId="1FF0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257" w:type="dxa"/>
            <w:noWrap w:val="0"/>
            <w:vAlign w:val="center"/>
          </w:tcPr>
          <w:p w14:paraId="00CB179A">
            <w:pPr>
              <w:jc w:val="center"/>
              <w:rPr>
                <w:rFonts w:hint="eastAsia" w:ascii="宋体" w:hAnsi="宋体"/>
                <w:snapToGrid w:val="0"/>
                <w:kern w:val="0"/>
                <w:sz w:val="24"/>
              </w:rPr>
            </w:pPr>
            <w:r>
              <w:rPr>
                <w:rFonts w:hint="eastAsia" w:ascii="宋体" w:hAnsi="宋体"/>
                <w:snapToGrid w:val="0"/>
                <w:kern w:val="0"/>
                <w:sz w:val="24"/>
              </w:rPr>
              <w:t>9</w:t>
            </w:r>
          </w:p>
        </w:tc>
        <w:tc>
          <w:tcPr>
            <w:tcW w:w="3385" w:type="dxa"/>
            <w:noWrap w:val="0"/>
            <w:vAlign w:val="center"/>
          </w:tcPr>
          <w:p w14:paraId="5994FD8B">
            <w:pPr>
              <w:jc w:val="center"/>
              <w:rPr>
                <w:rFonts w:hint="eastAsia" w:ascii="宋体" w:hAnsi="宋体"/>
                <w:snapToGrid w:val="0"/>
                <w:kern w:val="0"/>
                <w:sz w:val="24"/>
              </w:rPr>
            </w:pPr>
            <w:r>
              <w:rPr>
                <w:rFonts w:hint="eastAsia" w:ascii="宋体" w:hAnsi="宋体"/>
                <w:snapToGrid w:val="0"/>
                <w:kern w:val="0"/>
                <w:sz w:val="24"/>
              </w:rPr>
              <w:t>2933585</w:t>
            </w:r>
          </w:p>
        </w:tc>
        <w:tc>
          <w:tcPr>
            <w:tcW w:w="3386" w:type="dxa"/>
            <w:noWrap w:val="0"/>
            <w:vAlign w:val="center"/>
          </w:tcPr>
          <w:p w14:paraId="20439778">
            <w:pPr>
              <w:jc w:val="center"/>
              <w:rPr>
                <w:rFonts w:hint="eastAsia" w:ascii="宋体" w:hAnsi="宋体"/>
                <w:snapToGrid w:val="0"/>
                <w:kern w:val="0"/>
                <w:sz w:val="24"/>
              </w:rPr>
            </w:pPr>
            <w:r>
              <w:rPr>
                <w:rFonts w:hint="eastAsia" w:ascii="宋体" w:hAnsi="宋体"/>
                <w:snapToGrid w:val="0"/>
                <w:kern w:val="0"/>
                <w:sz w:val="24"/>
              </w:rPr>
              <w:t>35475590</w:t>
            </w:r>
          </w:p>
        </w:tc>
      </w:tr>
      <w:tr w14:paraId="129A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9028" w:type="dxa"/>
            <w:gridSpan w:val="3"/>
            <w:noWrap w:val="0"/>
            <w:vAlign w:val="center"/>
          </w:tcPr>
          <w:p w14:paraId="0F64F080">
            <w:pPr>
              <w:jc w:val="center"/>
              <w:rPr>
                <w:rFonts w:hint="eastAsia" w:ascii="宋体" w:hAnsi="宋体"/>
                <w:snapToGrid w:val="0"/>
                <w:kern w:val="0"/>
                <w:sz w:val="24"/>
              </w:rPr>
            </w:pPr>
            <w:r>
              <w:rPr>
                <w:rFonts w:hint="eastAsia" w:ascii="宋体" w:hAnsi="宋体"/>
                <w:sz w:val="24"/>
              </w:rPr>
              <w:t>矿区面积：1.2268km</w:t>
            </w:r>
            <w:r>
              <w:rPr>
                <w:rFonts w:hint="eastAsia" w:ascii="宋体" w:hAnsi="宋体"/>
                <w:sz w:val="24"/>
                <w:vertAlign w:val="superscript"/>
              </w:rPr>
              <w:t>2</w:t>
            </w:r>
            <w:r>
              <w:rPr>
                <w:rFonts w:hint="eastAsia" w:ascii="宋体" w:hAnsi="宋体"/>
                <w:sz w:val="24"/>
              </w:rPr>
              <w:t>；开采深度：＋2040～＋1450m标高</w:t>
            </w:r>
          </w:p>
        </w:tc>
      </w:tr>
    </w:tbl>
    <w:p w14:paraId="78CE4759">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二、矿井资源/储量</w:t>
      </w:r>
    </w:p>
    <w:p w14:paraId="016E4202">
      <w:pPr>
        <w:spacing w:after="50"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矿井资源量</w:t>
      </w:r>
      <w:r>
        <w:rPr>
          <w:rFonts w:ascii="宋体" w:hAnsi="宋体"/>
          <w:sz w:val="24"/>
        </w:rPr>
        <w:t>评价和分类</w:t>
      </w:r>
    </w:p>
    <w:p w14:paraId="786240D5">
      <w:pPr>
        <w:spacing w:line="360" w:lineRule="auto"/>
        <w:ind w:firstLine="480" w:firstLineChars="200"/>
        <w:rPr>
          <w:rFonts w:hint="eastAsia" w:ascii="宋体" w:hAnsi="宋体"/>
          <w:sz w:val="24"/>
        </w:rPr>
      </w:pPr>
      <w:r>
        <w:rPr>
          <w:rFonts w:hint="eastAsia" w:ascii="宋体" w:hAnsi="宋体"/>
          <w:sz w:val="24"/>
        </w:rPr>
        <w:t>根据贵州省地矿局一一三地质大队2008年6月编制的《贵州省水城县玉舍大坪煤矿资源/储量核实报告》及2008年7月21日贵州省国土资源厅（黔国土资储备字【2008】689号关于《贵州省水城县玉舍大坪煤矿资源/储量核实报告》矿产资源储量评审备案证明；核实截至2007年5月31日止，水城县玉舍大坪煤矿矿区范围内保有资源量总和为1257.1万吨（其中：探明的内蕴经济资源量（331）579.3万吨，控制的内蕴经济资源量（332）183.6万吨，推断的内蕴经济资源量（333）494.2万吨，采空损失量（112b）343.1万吨。水城县玉舍大坪煤矿可</w:t>
      </w:r>
      <w:r>
        <w:rPr>
          <w:rFonts w:ascii="宋体" w:hAnsi="宋体"/>
          <w:sz w:val="24"/>
        </w:rPr>
        <w:t>煤层资源量汇总</w:t>
      </w:r>
      <w:r>
        <w:rPr>
          <w:rFonts w:hint="eastAsia" w:ascii="宋体" w:hAnsi="宋体"/>
          <w:sz w:val="24"/>
        </w:rPr>
        <w:t>详</w:t>
      </w:r>
      <w:r>
        <w:rPr>
          <w:rFonts w:ascii="宋体" w:hAnsi="宋体"/>
          <w:sz w:val="24"/>
        </w:rPr>
        <w:t>见</w:t>
      </w:r>
      <w:r>
        <w:rPr>
          <w:rFonts w:hint="eastAsia" w:ascii="宋体" w:hAnsi="宋体"/>
          <w:sz w:val="24"/>
        </w:rPr>
        <w:t xml:space="preserve"> </w:t>
      </w:r>
      <w:r>
        <w:rPr>
          <w:rFonts w:ascii="宋体" w:hAnsi="宋体"/>
          <w:b/>
          <w:sz w:val="24"/>
        </w:rPr>
        <w:t>表</w:t>
      </w:r>
      <w:r>
        <w:rPr>
          <w:rFonts w:hint="eastAsia" w:ascii="宋体" w:hAnsi="宋体"/>
          <w:b/>
          <w:sz w:val="24"/>
        </w:rPr>
        <w:t>2－1－2</w:t>
      </w:r>
      <w:r>
        <w:rPr>
          <w:rFonts w:ascii="宋体" w:hAnsi="宋体"/>
          <w:sz w:val="24"/>
        </w:rPr>
        <w:t>。</w:t>
      </w:r>
    </w:p>
    <w:p w14:paraId="3CF43DE5">
      <w:pPr>
        <w:spacing w:line="360" w:lineRule="auto"/>
        <w:jc w:val="center"/>
        <w:rPr>
          <w:rFonts w:hint="eastAsia" w:ascii="宋体" w:hAnsi="宋体"/>
          <w:b/>
          <w:color w:val="000000"/>
          <w:sz w:val="24"/>
        </w:rPr>
      </w:pPr>
      <w:r>
        <w:rPr>
          <w:rFonts w:ascii="宋体" w:hAnsi="宋体"/>
          <w:b/>
          <w:color w:val="000000"/>
          <w:sz w:val="24"/>
        </w:rPr>
        <w:t>表</w:t>
      </w:r>
      <w:r>
        <w:rPr>
          <w:rFonts w:hint="eastAsia" w:ascii="宋体" w:hAnsi="宋体"/>
          <w:b/>
          <w:color w:val="000000"/>
          <w:sz w:val="24"/>
        </w:rPr>
        <w:t>2－1－2</w:t>
      </w:r>
      <w:r>
        <w:rPr>
          <w:rFonts w:ascii="宋体" w:hAnsi="宋体"/>
          <w:b/>
          <w:color w:val="000000"/>
          <w:sz w:val="24"/>
        </w:rPr>
        <w:t xml:space="preserve">    </w:t>
      </w:r>
      <w:r>
        <w:rPr>
          <w:rFonts w:hint="eastAsia" w:ascii="宋体" w:hAnsi="宋体"/>
          <w:b/>
          <w:color w:val="000000"/>
          <w:sz w:val="24"/>
        </w:rPr>
        <w:t>水城县玉舍大坪煤矿可煤层</w:t>
      </w:r>
      <w:r>
        <w:rPr>
          <w:rFonts w:ascii="宋体" w:hAnsi="宋体"/>
          <w:b/>
          <w:color w:val="000000"/>
          <w:sz w:val="24"/>
        </w:rPr>
        <w:t>资源/储量汇总表</w:t>
      </w:r>
      <w:r>
        <w:rPr>
          <w:rFonts w:hint="eastAsia" w:ascii="宋体" w:hAnsi="宋体"/>
          <w:b/>
          <w:color w:val="000000"/>
          <w:sz w:val="24"/>
        </w:rPr>
        <w:t>（万吨）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824"/>
        <w:gridCol w:w="1141"/>
        <w:gridCol w:w="1110"/>
        <w:gridCol w:w="1105"/>
        <w:gridCol w:w="1494"/>
        <w:gridCol w:w="1056"/>
      </w:tblGrid>
      <w:tr w14:paraId="12BD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4ED5E2C2">
            <w:pPr>
              <w:jc w:val="center"/>
              <w:rPr>
                <w:rFonts w:ascii="宋体" w:hAnsi="宋体"/>
                <w:sz w:val="24"/>
              </w:rPr>
            </w:pPr>
            <w:r>
              <w:rPr>
                <w:rFonts w:ascii="宋体" w:hAnsi="宋体"/>
                <w:sz w:val="24"/>
              </w:rPr>
              <w:t>煤层编号</w:t>
            </w:r>
          </w:p>
        </w:tc>
        <w:tc>
          <w:tcPr>
            <w:tcW w:w="1824" w:type="dxa"/>
            <w:noWrap w:val="0"/>
            <w:vAlign w:val="center"/>
          </w:tcPr>
          <w:p w14:paraId="27658523">
            <w:pPr>
              <w:jc w:val="center"/>
              <w:rPr>
                <w:rFonts w:ascii="宋体" w:hAnsi="宋体"/>
                <w:sz w:val="24"/>
              </w:rPr>
            </w:pPr>
            <w:r>
              <w:rPr>
                <w:rFonts w:ascii="宋体" w:hAnsi="宋体"/>
                <w:sz w:val="24"/>
              </w:rPr>
              <w:t>采空量（122b）</w:t>
            </w:r>
          </w:p>
        </w:tc>
        <w:tc>
          <w:tcPr>
            <w:tcW w:w="1141" w:type="dxa"/>
            <w:noWrap w:val="0"/>
            <w:vAlign w:val="center"/>
          </w:tcPr>
          <w:p w14:paraId="79327221">
            <w:pPr>
              <w:jc w:val="center"/>
              <w:rPr>
                <w:rFonts w:hint="eastAsia" w:ascii="宋体" w:hAnsi="宋体"/>
                <w:sz w:val="24"/>
              </w:rPr>
            </w:pPr>
            <w:r>
              <w:rPr>
                <w:rFonts w:hint="eastAsia" w:ascii="宋体" w:hAnsi="宋体"/>
                <w:sz w:val="24"/>
              </w:rPr>
              <w:t>（</w:t>
            </w:r>
            <w:r>
              <w:rPr>
                <w:rFonts w:ascii="宋体" w:hAnsi="宋体"/>
                <w:sz w:val="24"/>
              </w:rPr>
              <w:t>331</w:t>
            </w:r>
            <w:r>
              <w:rPr>
                <w:rFonts w:hint="eastAsia" w:ascii="宋体" w:hAnsi="宋体"/>
                <w:sz w:val="24"/>
              </w:rPr>
              <w:t>）</w:t>
            </w:r>
          </w:p>
        </w:tc>
        <w:tc>
          <w:tcPr>
            <w:tcW w:w="1110" w:type="dxa"/>
            <w:noWrap w:val="0"/>
            <w:vAlign w:val="center"/>
          </w:tcPr>
          <w:p w14:paraId="0BCF7FAA">
            <w:pPr>
              <w:jc w:val="center"/>
              <w:rPr>
                <w:rFonts w:hint="eastAsia" w:ascii="宋体" w:hAnsi="宋体"/>
                <w:sz w:val="24"/>
              </w:rPr>
            </w:pPr>
            <w:r>
              <w:rPr>
                <w:rFonts w:hint="eastAsia" w:ascii="宋体" w:hAnsi="宋体"/>
                <w:sz w:val="24"/>
              </w:rPr>
              <w:t>（</w:t>
            </w:r>
            <w:r>
              <w:rPr>
                <w:rFonts w:ascii="宋体" w:hAnsi="宋体"/>
                <w:sz w:val="24"/>
              </w:rPr>
              <w:t>332</w:t>
            </w:r>
            <w:r>
              <w:rPr>
                <w:rFonts w:hint="eastAsia" w:ascii="宋体" w:hAnsi="宋体"/>
                <w:sz w:val="24"/>
              </w:rPr>
              <w:t>）</w:t>
            </w:r>
          </w:p>
        </w:tc>
        <w:tc>
          <w:tcPr>
            <w:tcW w:w="1105" w:type="dxa"/>
            <w:noWrap w:val="0"/>
            <w:vAlign w:val="center"/>
          </w:tcPr>
          <w:p w14:paraId="529E82F9">
            <w:pPr>
              <w:jc w:val="center"/>
              <w:rPr>
                <w:rFonts w:hint="eastAsia" w:ascii="宋体" w:hAnsi="宋体"/>
                <w:sz w:val="24"/>
              </w:rPr>
            </w:pPr>
            <w:r>
              <w:rPr>
                <w:rFonts w:hint="eastAsia" w:ascii="宋体" w:hAnsi="宋体"/>
                <w:sz w:val="24"/>
              </w:rPr>
              <w:t>（</w:t>
            </w:r>
            <w:r>
              <w:rPr>
                <w:rFonts w:ascii="宋体" w:hAnsi="宋体"/>
                <w:sz w:val="24"/>
              </w:rPr>
              <w:t>333</w:t>
            </w:r>
            <w:r>
              <w:rPr>
                <w:rFonts w:hint="eastAsia" w:ascii="宋体" w:hAnsi="宋体"/>
                <w:sz w:val="24"/>
              </w:rPr>
              <w:t>）</w:t>
            </w:r>
          </w:p>
        </w:tc>
        <w:tc>
          <w:tcPr>
            <w:tcW w:w="1494" w:type="dxa"/>
            <w:noWrap w:val="0"/>
            <w:vAlign w:val="center"/>
          </w:tcPr>
          <w:p w14:paraId="3F23A81A">
            <w:pPr>
              <w:jc w:val="center"/>
              <w:rPr>
                <w:rFonts w:ascii="宋体" w:hAnsi="宋体"/>
                <w:sz w:val="24"/>
              </w:rPr>
            </w:pPr>
            <w:r>
              <w:rPr>
                <w:rFonts w:ascii="宋体" w:hAnsi="宋体"/>
                <w:sz w:val="24"/>
              </w:rPr>
              <w:t>保有资源量</w:t>
            </w:r>
          </w:p>
        </w:tc>
        <w:tc>
          <w:tcPr>
            <w:tcW w:w="1056" w:type="dxa"/>
            <w:noWrap w:val="0"/>
            <w:vAlign w:val="center"/>
          </w:tcPr>
          <w:p w14:paraId="42C83E5E">
            <w:pPr>
              <w:jc w:val="center"/>
              <w:rPr>
                <w:rFonts w:hint="eastAsia" w:ascii="宋体" w:hAnsi="宋体"/>
                <w:color w:val="000000"/>
                <w:sz w:val="24"/>
              </w:rPr>
            </w:pPr>
            <w:r>
              <w:rPr>
                <w:rFonts w:ascii="宋体" w:hAnsi="宋体"/>
                <w:sz w:val="24"/>
              </w:rPr>
              <w:t>备注</w:t>
            </w:r>
          </w:p>
        </w:tc>
      </w:tr>
      <w:tr w14:paraId="21E9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689A4DDF">
            <w:pPr>
              <w:rPr>
                <w:rFonts w:ascii="宋体" w:hAnsi="宋体"/>
                <w:sz w:val="24"/>
              </w:rPr>
            </w:pPr>
            <w:r>
              <w:rPr>
                <w:rFonts w:ascii="宋体" w:hAnsi="宋体"/>
                <w:sz w:val="24"/>
              </w:rPr>
              <w:t>K1-b</w:t>
            </w:r>
          </w:p>
        </w:tc>
        <w:tc>
          <w:tcPr>
            <w:tcW w:w="1824" w:type="dxa"/>
            <w:noWrap w:val="0"/>
            <w:vAlign w:val="center"/>
          </w:tcPr>
          <w:p w14:paraId="1F4C65B8">
            <w:pPr>
              <w:jc w:val="center"/>
              <w:rPr>
                <w:rFonts w:ascii="宋体" w:hAnsi="宋体"/>
                <w:sz w:val="24"/>
              </w:rPr>
            </w:pPr>
            <w:r>
              <w:rPr>
                <w:rFonts w:ascii="宋体" w:hAnsi="宋体"/>
                <w:sz w:val="24"/>
              </w:rPr>
              <w:t>88.8</w:t>
            </w:r>
          </w:p>
        </w:tc>
        <w:tc>
          <w:tcPr>
            <w:tcW w:w="1141" w:type="dxa"/>
            <w:noWrap w:val="0"/>
            <w:vAlign w:val="center"/>
          </w:tcPr>
          <w:p w14:paraId="4173AE92">
            <w:pPr>
              <w:jc w:val="center"/>
              <w:rPr>
                <w:rFonts w:hint="eastAsia" w:ascii="宋体" w:hAnsi="宋体"/>
                <w:color w:val="000000"/>
                <w:sz w:val="24"/>
              </w:rPr>
            </w:pPr>
            <w:r>
              <w:rPr>
                <w:rFonts w:hint="eastAsia" w:ascii="宋体" w:hAnsi="宋体"/>
                <w:color w:val="000000"/>
                <w:sz w:val="24"/>
              </w:rPr>
              <w:t>59.9</w:t>
            </w:r>
          </w:p>
        </w:tc>
        <w:tc>
          <w:tcPr>
            <w:tcW w:w="1110" w:type="dxa"/>
            <w:noWrap w:val="0"/>
            <w:vAlign w:val="center"/>
          </w:tcPr>
          <w:p w14:paraId="0431710E">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1D217D9A">
            <w:pPr>
              <w:jc w:val="center"/>
              <w:rPr>
                <w:rFonts w:hint="eastAsia" w:ascii="宋体" w:hAnsi="宋体"/>
                <w:color w:val="000000"/>
                <w:sz w:val="24"/>
              </w:rPr>
            </w:pPr>
            <w:r>
              <w:rPr>
                <w:rFonts w:hint="eastAsia" w:ascii="宋体" w:hAnsi="宋体"/>
                <w:color w:val="000000"/>
                <w:sz w:val="24"/>
              </w:rPr>
              <w:t>0</w:t>
            </w:r>
          </w:p>
        </w:tc>
        <w:tc>
          <w:tcPr>
            <w:tcW w:w="1494" w:type="dxa"/>
            <w:noWrap w:val="0"/>
            <w:vAlign w:val="center"/>
          </w:tcPr>
          <w:p w14:paraId="487CFE25">
            <w:pPr>
              <w:jc w:val="center"/>
              <w:rPr>
                <w:rFonts w:hint="eastAsia" w:ascii="宋体" w:hAnsi="宋体"/>
                <w:color w:val="000000"/>
                <w:sz w:val="24"/>
              </w:rPr>
            </w:pPr>
            <w:r>
              <w:rPr>
                <w:rFonts w:hint="eastAsia" w:ascii="宋体" w:hAnsi="宋体"/>
                <w:color w:val="000000"/>
                <w:sz w:val="24"/>
              </w:rPr>
              <w:t>59.9</w:t>
            </w:r>
          </w:p>
        </w:tc>
        <w:tc>
          <w:tcPr>
            <w:tcW w:w="1056" w:type="dxa"/>
            <w:noWrap w:val="0"/>
            <w:vAlign w:val="center"/>
          </w:tcPr>
          <w:p w14:paraId="3E497C3C">
            <w:pPr>
              <w:jc w:val="center"/>
              <w:rPr>
                <w:rFonts w:hint="eastAsia" w:ascii="宋体" w:hAnsi="宋体"/>
                <w:color w:val="000000"/>
                <w:sz w:val="24"/>
              </w:rPr>
            </w:pPr>
          </w:p>
        </w:tc>
      </w:tr>
      <w:tr w14:paraId="6628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1C7E38AA">
            <w:pPr>
              <w:rPr>
                <w:rFonts w:ascii="宋体" w:hAnsi="宋体"/>
                <w:sz w:val="24"/>
              </w:rPr>
            </w:pPr>
            <w:r>
              <w:rPr>
                <w:rFonts w:ascii="宋体" w:hAnsi="宋体"/>
                <w:sz w:val="24"/>
              </w:rPr>
              <w:t>K3</w:t>
            </w:r>
          </w:p>
        </w:tc>
        <w:tc>
          <w:tcPr>
            <w:tcW w:w="1824" w:type="dxa"/>
            <w:noWrap w:val="0"/>
            <w:vAlign w:val="center"/>
          </w:tcPr>
          <w:p w14:paraId="223FCBBD">
            <w:pPr>
              <w:jc w:val="center"/>
              <w:rPr>
                <w:rFonts w:hint="eastAsia" w:ascii="宋体" w:hAnsi="宋体"/>
                <w:sz w:val="24"/>
              </w:rPr>
            </w:pPr>
            <w:r>
              <w:rPr>
                <w:rFonts w:hint="eastAsia" w:ascii="宋体" w:hAnsi="宋体"/>
                <w:sz w:val="24"/>
              </w:rPr>
              <w:t>0</w:t>
            </w:r>
          </w:p>
        </w:tc>
        <w:tc>
          <w:tcPr>
            <w:tcW w:w="1141" w:type="dxa"/>
            <w:noWrap w:val="0"/>
            <w:vAlign w:val="center"/>
          </w:tcPr>
          <w:p w14:paraId="7FBFC282">
            <w:pPr>
              <w:jc w:val="center"/>
              <w:rPr>
                <w:rFonts w:hint="eastAsia" w:ascii="宋体" w:hAnsi="宋体"/>
                <w:color w:val="000000"/>
                <w:sz w:val="24"/>
              </w:rPr>
            </w:pPr>
            <w:r>
              <w:rPr>
                <w:rFonts w:hint="eastAsia" w:ascii="宋体" w:hAnsi="宋体"/>
                <w:color w:val="000000"/>
                <w:sz w:val="24"/>
              </w:rPr>
              <w:t>0</w:t>
            </w:r>
          </w:p>
        </w:tc>
        <w:tc>
          <w:tcPr>
            <w:tcW w:w="1110" w:type="dxa"/>
            <w:noWrap w:val="0"/>
            <w:vAlign w:val="center"/>
          </w:tcPr>
          <w:p w14:paraId="1CE3CA8C">
            <w:pPr>
              <w:jc w:val="center"/>
              <w:rPr>
                <w:rFonts w:hint="eastAsia" w:ascii="宋体" w:hAnsi="宋体"/>
                <w:color w:val="000000"/>
                <w:sz w:val="24"/>
              </w:rPr>
            </w:pPr>
            <w:r>
              <w:rPr>
                <w:rFonts w:hint="eastAsia" w:ascii="宋体" w:hAnsi="宋体"/>
                <w:color w:val="000000"/>
                <w:sz w:val="24"/>
              </w:rPr>
              <w:t>52.3</w:t>
            </w:r>
          </w:p>
        </w:tc>
        <w:tc>
          <w:tcPr>
            <w:tcW w:w="1105" w:type="dxa"/>
            <w:noWrap w:val="0"/>
            <w:vAlign w:val="center"/>
          </w:tcPr>
          <w:p w14:paraId="6A6040EE">
            <w:pPr>
              <w:jc w:val="center"/>
              <w:rPr>
                <w:rFonts w:hint="eastAsia" w:ascii="宋体" w:hAnsi="宋体"/>
                <w:color w:val="000000"/>
                <w:sz w:val="24"/>
              </w:rPr>
            </w:pPr>
            <w:r>
              <w:rPr>
                <w:rFonts w:hint="eastAsia" w:ascii="宋体" w:hAnsi="宋体"/>
                <w:color w:val="000000"/>
                <w:sz w:val="24"/>
              </w:rPr>
              <w:t>58.1</w:t>
            </w:r>
          </w:p>
        </w:tc>
        <w:tc>
          <w:tcPr>
            <w:tcW w:w="1494" w:type="dxa"/>
            <w:noWrap w:val="0"/>
            <w:vAlign w:val="center"/>
          </w:tcPr>
          <w:p w14:paraId="73FA4F28">
            <w:pPr>
              <w:jc w:val="center"/>
              <w:rPr>
                <w:rFonts w:hint="eastAsia" w:ascii="宋体" w:hAnsi="宋体"/>
                <w:color w:val="000000"/>
                <w:sz w:val="24"/>
              </w:rPr>
            </w:pPr>
            <w:r>
              <w:rPr>
                <w:rFonts w:hint="eastAsia" w:ascii="宋体" w:hAnsi="宋体"/>
                <w:color w:val="000000"/>
                <w:sz w:val="24"/>
              </w:rPr>
              <w:t>110.4</w:t>
            </w:r>
          </w:p>
        </w:tc>
        <w:tc>
          <w:tcPr>
            <w:tcW w:w="1056" w:type="dxa"/>
            <w:noWrap w:val="0"/>
            <w:vAlign w:val="center"/>
          </w:tcPr>
          <w:p w14:paraId="2B1FCECB">
            <w:pPr>
              <w:jc w:val="center"/>
              <w:rPr>
                <w:rFonts w:hint="eastAsia" w:ascii="宋体" w:hAnsi="宋体"/>
                <w:color w:val="000000"/>
                <w:sz w:val="24"/>
              </w:rPr>
            </w:pPr>
          </w:p>
        </w:tc>
      </w:tr>
      <w:tr w14:paraId="2B88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6D4CADDF">
            <w:pPr>
              <w:rPr>
                <w:rFonts w:ascii="宋体" w:hAnsi="宋体"/>
                <w:sz w:val="24"/>
              </w:rPr>
            </w:pPr>
            <w:r>
              <w:rPr>
                <w:rFonts w:ascii="宋体" w:hAnsi="宋体"/>
                <w:sz w:val="24"/>
              </w:rPr>
              <w:t>K9</w:t>
            </w:r>
          </w:p>
        </w:tc>
        <w:tc>
          <w:tcPr>
            <w:tcW w:w="1824" w:type="dxa"/>
            <w:noWrap w:val="0"/>
            <w:vAlign w:val="center"/>
          </w:tcPr>
          <w:p w14:paraId="6A01A9FA">
            <w:pPr>
              <w:jc w:val="center"/>
              <w:rPr>
                <w:rFonts w:ascii="宋体" w:hAnsi="宋体"/>
                <w:sz w:val="24"/>
              </w:rPr>
            </w:pPr>
            <w:r>
              <w:rPr>
                <w:rFonts w:ascii="宋体" w:hAnsi="宋体"/>
                <w:sz w:val="24"/>
              </w:rPr>
              <w:t>73.5</w:t>
            </w:r>
          </w:p>
        </w:tc>
        <w:tc>
          <w:tcPr>
            <w:tcW w:w="1141" w:type="dxa"/>
            <w:noWrap w:val="0"/>
            <w:vAlign w:val="center"/>
          </w:tcPr>
          <w:p w14:paraId="6C41924A">
            <w:pPr>
              <w:jc w:val="center"/>
              <w:rPr>
                <w:rFonts w:hint="eastAsia" w:ascii="宋体" w:hAnsi="宋体"/>
                <w:color w:val="000000"/>
                <w:sz w:val="24"/>
              </w:rPr>
            </w:pPr>
            <w:r>
              <w:rPr>
                <w:rFonts w:hint="eastAsia" w:ascii="宋体" w:hAnsi="宋体"/>
                <w:color w:val="000000"/>
                <w:sz w:val="24"/>
              </w:rPr>
              <w:t>40.0</w:t>
            </w:r>
          </w:p>
        </w:tc>
        <w:tc>
          <w:tcPr>
            <w:tcW w:w="1110" w:type="dxa"/>
            <w:noWrap w:val="0"/>
            <w:vAlign w:val="center"/>
          </w:tcPr>
          <w:p w14:paraId="34A651E9">
            <w:pPr>
              <w:jc w:val="center"/>
              <w:rPr>
                <w:rFonts w:hint="eastAsia" w:ascii="宋体" w:hAnsi="宋体"/>
                <w:color w:val="000000"/>
                <w:sz w:val="24"/>
              </w:rPr>
            </w:pPr>
            <w:r>
              <w:rPr>
                <w:rFonts w:hint="eastAsia" w:ascii="宋体" w:hAnsi="宋体"/>
                <w:color w:val="000000"/>
                <w:sz w:val="24"/>
              </w:rPr>
              <w:t>14.3</w:t>
            </w:r>
          </w:p>
        </w:tc>
        <w:tc>
          <w:tcPr>
            <w:tcW w:w="1105" w:type="dxa"/>
            <w:noWrap w:val="0"/>
            <w:vAlign w:val="center"/>
          </w:tcPr>
          <w:p w14:paraId="5B503F03">
            <w:pPr>
              <w:jc w:val="center"/>
              <w:rPr>
                <w:rFonts w:hint="eastAsia" w:ascii="宋体" w:hAnsi="宋体"/>
                <w:color w:val="000000"/>
                <w:sz w:val="24"/>
              </w:rPr>
            </w:pPr>
            <w:r>
              <w:rPr>
                <w:rFonts w:hint="eastAsia" w:ascii="宋体" w:hAnsi="宋体"/>
                <w:color w:val="000000"/>
                <w:sz w:val="24"/>
              </w:rPr>
              <w:t>0</w:t>
            </w:r>
          </w:p>
        </w:tc>
        <w:tc>
          <w:tcPr>
            <w:tcW w:w="1494" w:type="dxa"/>
            <w:noWrap w:val="0"/>
            <w:vAlign w:val="center"/>
          </w:tcPr>
          <w:p w14:paraId="027D3BF3">
            <w:pPr>
              <w:jc w:val="center"/>
              <w:rPr>
                <w:rFonts w:hint="eastAsia" w:ascii="宋体" w:hAnsi="宋体"/>
                <w:color w:val="000000"/>
                <w:sz w:val="24"/>
              </w:rPr>
            </w:pPr>
            <w:r>
              <w:rPr>
                <w:rFonts w:hint="eastAsia" w:ascii="宋体" w:hAnsi="宋体"/>
                <w:color w:val="000000"/>
                <w:sz w:val="24"/>
              </w:rPr>
              <w:t>54.3</w:t>
            </w:r>
          </w:p>
        </w:tc>
        <w:tc>
          <w:tcPr>
            <w:tcW w:w="1056" w:type="dxa"/>
            <w:noWrap w:val="0"/>
            <w:vAlign w:val="center"/>
          </w:tcPr>
          <w:p w14:paraId="2A2F45B0">
            <w:pPr>
              <w:jc w:val="center"/>
              <w:rPr>
                <w:rFonts w:hint="eastAsia" w:ascii="宋体" w:hAnsi="宋体"/>
                <w:color w:val="000000"/>
                <w:sz w:val="24"/>
              </w:rPr>
            </w:pPr>
          </w:p>
        </w:tc>
      </w:tr>
      <w:tr w14:paraId="6A66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1A6EB081">
            <w:pPr>
              <w:rPr>
                <w:rFonts w:ascii="宋体" w:hAnsi="宋体"/>
                <w:sz w:val="24"/>
              </w:rPr>
            </w:pPr>
            <w:r>
              <w:rPr>
                <w:rFonts w:ascii="宋体" w:hAnsi="宋体"/>
                <w:sz w:val="24"/>
              </w:rPr>
              <w:t>K10</w:t>
            </w:r>
          </w:p>
        </w:tc>
        <w:tc>
          <w:tcPr>
            <w:tcW w:w="1824" w:type="dxa"/>
            <w:noWrap w:val="0"/>
            <w:vAlign w:val="center"/>
          </w:tcPr>
          <w:p w14:paraId="552BFC7E">
            <w:pPr>
              <w:jc w:val="center"/>
              <w:rPr>
                <w:rFonts w:hint="eastAsia" w:ascii="宋体" w:hAnsi="宋体"/>
                <w:sz w:val="24"/>
              </w:rPr>
            </w:pPr>
            <w:r>
              <w:rPr>
                <w:rFonts w:hint="eastAsia" w:ascii="宋体" w:hAnsi="宋体"/>
                <w:sz w:val="24"/>
              </w:rPr>
              <w:t>0</w:t>
            </w:r>
          </w:p>
        </w:tc>
        <w:tc>
          <w:tcPr>
            <w:tcW w:w="1141" w:type="dxa"/>
            <w:noWrap w:val="0"/>
            <w:vAlign w:val="center"/>
          </w:tcPr>
          <w:p w14:paraId="7A86DF00">
            <w:pPr>
              <w:jc w:val="center"/>
              <w:rPr>
                <w:rFonts w:hint="eastAsia" w:ascii="宋体" w:hAnsi="宋体"/>
                <w:color w:val="000000"/>
                <w:sz w:val="24"/>
              </w:rPr>
            </w:pPr>
            <w:r>
              <w:rPr>
                <w:rFonts w:hint="eastAsia" w:ascii="宋体" w:hAnsi="宋体"/>
                <w:color w:val="000000"/>
                <w:sz w:val="24"/>
              </w:rPr>
              <w:t>0</w:t>
            </w:r>
          </w:p>
        </w:tc>
        <w:tc>
          <w:tcPr>
            <w:tcW w:w="1110" w:type="dxa"/>
            <w:noWrap w:val="0"/>
            <w:vAlign w:val="center"/>
          </w:tcPr>
          <w:p w14:paraId="1D4CE598">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282BDCEA">
            <w:pPr>
              <w:jc w:val="center"/>
              <w:rPr>
                <w:rFonts w:hint="eastAsia" w:ascii="宋体" w:hAnsi="宋体"/>
                <w:color w:val="000000"/>
                <w:sz w:val="24"/>
              </w:rPr>
            </w:pPr>
            <w:r>
              <w:rPr>
                <w:rFonts w:hint="eastAsia" w:ascii="宋体" w:hAnsi="宋体"/>
                <w:color w:val="000000"/>
                <w:sz w:val="24"/>
              </w:rPr>
              <w:t>28.2</w:t>
            </w:r>
          </w:p>
        </w:tc>
        <w:tc>
          <w:tcPr>
            <w:tcW w:w="1494" w:type="dxa"/>
            <w:noWrap w:val="0"/>
            <w:vAlign w:val="center"/>
          </w:tcPr>
          <w:p w14:paraId="059C023C">
            <w:pPr>
              <w:jc w:val="center"/>
              <w:rPr>
                <w:rFonts w:hint="eastAsia" w:ascii="宋体" w:hAnsi="宋体"/>
                <w:color w:val="000000"/>
                <w:sz w:val="24"/>
              </w:rPr>
            </w:pPr>
            <w:r>
              <w:rPr>
                <w:rFonts w:hint="eastAsia" w:ascii="宋体" w:hAnsi="宋体"/>
                <w:color w:val="000000"/>
                <w:sz w:val="24"/>
              </w:rPr>
              <w:t>28.2</w:t>
            </w:r>
          </w:p>
        </w:tc>
        <w:tc>
          <w:tcPr>
            <w:tcW w:w="1056" w:type="dxa"/>
            <w:noWrap w:val="0"/>
            <w:vAlign w:val="center"/>
          </w:tcPr>
          <w:p w14:paraId="6C421E5F">
            <w:pPr>
              <w:jc w:val="center"/>
              <w:rPr>
                <w:rFonts w:hint="eastAsia" w:ascii="宋体" w:hAnsi="宋体"/>
                <w:color w:val="000000"/>
                <w:sz w:val="24"/>
              </w:rPr>
            </w:pPr>
          </w:p>
        </w:tc>
      </w:tr>
      <w:tr w14:paraId="6323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51B3BF68">
            <w:pPr>
              <w:rPr>
                <w:rFonts w:ascii="宋体" w:hAnsi="宋体"/>
                <w:sz w:val="24"/>
              </w:rPr>
            </w:pPr>
            <w:r>
              <w:rPr>
                <w:rFonts w:ascii="宋体" w:hAnsi="宋体"/>
                <w:sz w:val="24"/>
              </w:rPr>
              <w:t>K13</w:t>
            </w:r>
          </w:p>
        </w:tc>
        <w:tc>
          <w:tcPr>
            <w:tcW w:w="1824" w:type="dxa"/>
            <w:noWrap w:val="0"/>
            <w:vAlign w:val="center"/>
          </w:tcPr>
          <w:p w14:paraId="32E2B798">
            <w:pPr>
              <w:jc w:val="center"/>
              <w:rPr>
                <w:rFonts w:hint="eastAsia" w:ascii="宋体" w:hAnsi="宋体"/>
                <w:sz w:val="24"/>
              </w:rPr>
            </w:pPr>
            <w:r>
              <w:rPr>
                <w:rFonts w:hint="eastAsia" w:ascii="宋体" w:hAnsi="宋体"/>
                <w:sz w:val="24"/>
              </w:rPr>
              <w:t>0</w:t>
            </w:r>
          </w:p>
        </w:tc>
        <w:tc>
          <w:tcPr>
            <w:tcW w:w="1141" w:type="dxa"/>
            <w:noWrap w:val="0"/>
            <w:vAlign w:val="center"/>
          </w:tcPr>
          <w:p w14:paraId="42DB8B2B">
            <w:pPr>
              <w:jc w:val="center"/>
              <w:rPr>
                <w:rFonts w:hint="eastAsia" w:ascii="宋体" w:hAnsi="宋体"/>
                <w:color w:val="000000"/>
                <w:sz w:val="24"/>
              </w:rPr>
            </w:pPr>
            <w:r>
              <w:rPr>
                <w:rFonts w:hint="eastAsia" w:ascii="宋体" w:hAnsi="宋体"/>
                <w:color w:val="000000"/>
                <w:sz w:val="24"/>
              </w:rPr>
              <w:t>64.0</w:t>
            </w:r>
          </w:p>
        </w:tc>
        <w:tc>
          <w:tcPr>
            <w:tcW w:w="1110" w:type="dxa"/>
            <w:noWrap w:val="0"/>
            <w:vAlign w:val="center"/>
          </w:tcPr>
          <w:p w14:paraId="49673611">
            <w:pPr>
              <w:jc w:val="center"/>
              <w:rPr>
                <w:rFonts w:hint="eastAsia" w:ascii="宋体" w:hAnsi="宋体"/>
                <w:color w:val="000000"/>
                <w:sz w:val="24"/>
              </w:rPr>
            </w:pPr>
            <w:r>
              <w:rPr>
                <w:rFonts w:hint="eastAsia" w:ascii="宋体" w:hAnsi="宋体"/>
                <w:color w:val="000000"/>
                <w:sz w:val="24"/>
              </w:rPr>
              <w:t>62.0</w:t>
            </w:r>
          </w:p>
        </w:tc>
        <w:tc>
          <w:tcPr>
            <w:tcW w:w="1105" w:type="dxa"/>
            <w:noWrap w:val="0"/>
            <w:vAlign w:val="center"/>
          </w:tcPr>
          <w:p w14:paraId="591713C4">
            <w:pPr>
              <w:jc w:val="center"/>
              <w:rPr>
                <w:rFonts w:hint="eastAsia" w:ascii="宋体" w:hAnsi="宋体"/>
                <w:color w:val="000000"/>
                <w:sz w:val="24"/>
              </w:rPr>
            </w:pPr>
            <w:r>
              <w:rPr>
                <w:rFonts w:hint="eastAsia" w:ascii="宋体" w:hAnsi="宋体"/>
                <w:color w:val="000000"/>
                <w:sz w:val="24"/>
              </w:rPr>
              <w:t>13.5</w:t>
            </w:r>
          </w:p>
        </w:tc>
        <w:tc>
          <w:tcPr>
            <w:tcW w:w="1494" w:type="dxa"/>
            <w:noWrap w:val="0"/>
            <w:vAlign w:val="center"/>
          </w:tcPr>
          <w:p w14:paraId="00877030">
            <w:pPr>
              <w:jc w:val="center"/>
              <w:rPr>
                <w:rFonts w:hint="eastAsia" w:ascii="宋体" w:hAnsi="宋体"/>
                <w:color w:val="000000"/>
                <w:sz w:val="24"/>
              </w:rPr>
            </w:pPr>
            <w:r>
              <w:rPr>
                <w:rFonts w:hint="eastAsia" w:ascii="宋体" w:hAnsi="宋体"/>
                <w:color w:val="000000"/>
                <w:sz w:val="24"/>
              </w:rPr>
              <w:t>139.5</w:t>
            </w:r>
          </w:p>
        </w:tc>
        <w:tc>
          <w:tcPr>
            <w:tcW w:w="1056" w:type="dxa"/>
            <w:noWrap w:val="0"/>
            <w:vAlign w:val="center"/>
          </w:tcPr>
          <w:p w14:paraId="733A7662">
            <w:pPr>
              <w:jc w:val="center"/>
              <w:rPr>
                <w:rFonts w:hint="eastAsia" w:ascii="宋体" w:hAnsi="宋体"/>
                <w:color w:val="000000"/>
                <w:sz w:val="24"/>
              </w:rPr>
            </w:pPr>
          </w:p>
        </w:tc>
      </w:tr>
      <w:tr w14:paraId="1D12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00AF699B">
            <w:pPr>
              <w:rPr>
                <w:rFonts w:ascii="宋体" w:hAnsi="宋体"/>
                <w:sz w:val="24"/>
              </w:rPr>
            </w:pPr>
            <w:r>
              <w:rPr>
                <w:rFonts w:ascii="宋体" w:hAnsi="宋体"/>
                <w:sz w:val="24"/>
              </w:rPr>
              <w:t>K18</w:t>
            </w:r>
          </w:p>
        </w:tc>
        <w:tc>
          <w:tcPr>
            <w:tcW w:w="1824" w:type="dxa"/>
            <w:noWrap w:val="0"/>
            <w:vAlign w:val="center"/>
          </w:tcPr>
          <w:p w14:paraId="500D0208">
            <w:pPr>
              <w:jc w:val="center"/>
              <w:rPr>
                <w:rFonts w:ascii="宋体" w:hAnsi="宋体"/>
                <w:sz w:val="24"/>
              </w:rPr>
            </w:pPr>
            <w:r>
              <w:rPr>
                <w:rFonts w:ascii="宋体" w:hAnsi="宋体"/>
                <w:sz w:val="24"/>
              </w:rPr>
              <w:t>163.8</w:t>
            </w:r>
          </w:p>
        </w:tc>
        <w:tc>
          <w:tcPr>
            <w:tcW w:w="1141" w:type="dxa"/>
            <w:noWrap w:val="0"/>
            <w:vAlign w:val="center"/>
          </w:tcPr>
          <w:p w14:paraId="7B4AFDC6">
            <w:pPr>
              <w:jc w:val="center"/>
              <w:rPr>
                <w:rFonts w:hint="eastAsia" w:ascii="宋体" w:hAnsi="宋体"/>
                <w:color w:val="000000"/>
                <w:sz w:val="24"/>
              </w:rPr>
            </w:pPr>
            <w:r>
              <w:rPr>
                <w:rFonts w:hint="eastAsia" w:ascii="宋体" w:hAnsi="宋体"/>
                <w:color w:val="000000"/>
                <w:sz w:val="24"/>
              </w:rPr>
              <w:t>93.1</w:t>
            </w:r>
          </w:p>
        </w:tc>
        <w:tc>
          <w:tcPr>
            <w:tcW w:w="1110" w:type="dxa"/>
            <w:noWrap w:val="0"/>
            <w:vAlign w:val="center"/>
          </w:tcPr>
          <w:p w14:paraId="09748394">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039DAB69">
            <w:pPr>
              <w:jc w:val="center"/>
              <w:rPr>
                <w:rFonts w:hint="eastAsia" w:ascii="宋体" w:hAnsi="宋体"/>
                <w:color w:val="000000"/>
                <w:sz w:val="24"/>
              </w:rPr>
            </w:pPr>
            <w:r>
              <w:rPr>
                <w:rFonts w:hint="eastAsia" w:ascii="宋体" w:hAnsi="宋体"/>
                <w:color w:val="000000"/>
                <w:sz w:val="24"/>
              </w:rPr>
              <w:t>0</w:t>
            </w:r>
          </w:p>
        </w:tc>
        <w:tc>
          <w:tcPr>
            <w:tcW w:w="1494" w:type="dxa"/>
            <w:noWrap w:val="0"/>
            <w:vAlign w:val="center"/>
          </w:tcPr>
          <w:p w14:paraId="1E50E1EB">
            <w:pPr>
              <w:jc w:val="center"/>
              <w:rPr>
                <w:rFonts w:hint="eastAsia" w:ascii="宋体" w:hAnsi="宋体"/>
                <w:color w:val="000000"/>
                <w:sz w:val="24"/>
              </w:rPr>
            </w:pPr>
            <w:r>
              <w:rPr>
                <w:rFonts w:hint="eastAsia" w:ascii="宋体" w:hAnsi="宋体"/>
                <w:color w:val="000000"/>
                <w:sz w:val="24"/>
              </w:rPr>
              <w:t>93.1</w:t>
            </w:r>
          </w:p>
        </w:tc>
        <w:tc>
          <w:tcPr>
            <w:tcW w:w="1056" w:type="dxa"/>
            <w:noWrap w:val="0"/>
            <w:vAlign w:val="center"/>
          </w:tcPr>
          <w:p w14:paraId="75B37045">
            <w:pPr>
              <w:jc w:val="center"/>
              <w:rPr>
                <w:rFonts w:hint="eastAsia" w:ascii="宋体" w:hAnsi="宋体"/>
                <w:color w:val="000000"/>
                <w:sz w:val="24"/>
              </w:rPr>
            </w:pPr>
          </w:p>
        </w:tc>
      </w:tr>
      <w:tr w14:paraId="08A9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1D12A200">
            <w:pPr>
              <w:rPr>
                <w:rFonts w:ascii="宋体" w:hAnsi="宋体"/>
                <w:sz w:val="24"/>
              </w:rPr>
            </w:pPr>
            <w:r>
              <w:rPr>
                <w:rFonts w:ascii="宋体" w:hAnsi="宋体"/>
                <w:sz w:val="24"/>
              </w:rPr>
              <w:t>K26</w:t>
            </w:r>
          </w:p>
        </w:tc>
        <w:tc>
          <w:tcPr>
            <w:tcW w:w="1824" w:type="dxa"/>
            <w:noWrap w:val="0"/>
            <w:vAlign w:val="center"/>
          </w:tcPr>
          <w:p w14:paraId="595F8864">
            <w:pPr>
              <w:jc w:val="center"/>
              <w:rPr>
                <w:rFonts w:ascii="宋体" w:hAnsi="宋体"/>
                <w:sz w:val="24"/>
              </w:rPr>
            </w:pPr>
            <w:r>
              <w:rPr>
                <w:rFonts w:ascii="宋体" w:hAnsi="宋体"/>
                <w:sz w:val="24"/>
              </w:rPr>
              <w:t>17.0</w:t>
            </w:r>
          </w:p>
        </w:tc>
        <w:tc>
          <w:tcPr>
            <w:tcW w:w="1141" w:type="dxa"/>
            <w:noWrap w:val="0"/>
            <w:vAlign w:val="center"/>
          </w:tcPr>
          <w:p w14:paraId="1E276B62">
            <w:pPr>
              <w:jc w:val="center"/>
              <w:rPr>
                <w:rFonts w:hint="eastAsia" w:ascii="宋体" w:hAnsi="宋体"/>
                <w:color w:val="000000"/>
                <w:sz w:val="24"/>
              </w:rPr>
            </w:pPr>
            <w:r>
              <w:rPr>
                <w:rFonts w:hint="eastAsia" w:ascii="宋体" w:hAnsi="宋体"/>
                <w:color w:val="000000"/>
                <w:sz w:val="24"/>
              </w:rPr>
              <w:t>117.2</w:t>
            </w:r>
          </w:p>
        </w:tc>
        <w:tc>
          <w:tcPr>
            <w:tcW w:w="1110" w:type="dxa"/>
            <w:noWrap w:val="0"/>
            <w:vAlign w:val="center"/>
          </w:tcPr>
          <w:p w14:paraId="328F6A24">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0ABE5221">
            <w:pPr>
              <w:jc w:val="center"/>
              <w:rPr>
                <w:rFonts w:hint="eastAsia" w:ascii="宋体" w:hAnsi="宋体"/>
                <w:color w:val="000000"/>
                <w:sz w:val="24"/>
              </w:rPr>
            </w:pPr>
            <w:r>
              <w:rPr>
                <w:rFonts w:hint="eastAsia" w:ascii="宋体" w:hAnsi="宋体"/>
                <w:color w:val="000000"/>
                <w:sz w:val="24"/>
              </w:rPr>
              <w:t>8.3</w:t>
            </w:r>
          </w:p>
        </w:tc>
        <w:tc>
          <w:tcPr>
            <w:tcW w:w="1494" w:type="dxa"/>
            <w:noWrap w:val="0"/>
            <w:vAlign w:val="center"/>
          </w:tcPr>
          <w:p w14:paraId="0CF8A1E9">
            <w:pPr>
              <w:jc w:val="center"/>
              <w:rPr>
                <w:rFonts w:hint="eastAsia" w:ascii="宋体" w:hAnsi="宋体"/>
                <w:color w:val="000000"/>
                <w:sz w:val="24"/>
              </w:rPr>
            </w:pPr>
            <w:r>
              <w:rPr>
                <w:rFonts w:hint="eastAsia" w:ascii="宋体" w:hAnsi="宋体"/>
                <w:color w:val="000000"/>
                <w:sz w:val="24"/>
              </w:rPr>
              <w:t>125.5</w:t>
            </w:r>
          </w:p>
        </w:tc>
        <w:tc>
          <w:tcPr>
            <w:tcW w:w="1056" w:type="dxa"/>
            <w:noWrap w:val="0"/>
            <w:vAlign w:val="center"/>
          </w:tcPr>
          <w:p w14:paraId="1BF6977E">
            <w:pPr>
              <w:jc w:val="center"/>
              <w:rPr>
                <w:rFonts w:hint="eastAsia" w:ascii="宋体" w:hAnsi="宋体"/>
                <w:color w:val="000000"/>
                <w:sz w:val="24"/>
              </w:rPr>
            </w:pPr>
          </w:p>
        </w:tc>
      </w:tr>
      <w:tr w14:paraId="0AC8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4436AA56">
            <w:pPr>
              <w:rPr>
                <w:rFonts w:ascii="宋体" w:hAnsi="宋体"/>
                <w:sz w:val="24"/>
              </w:rPr>
            </w:pPr>
            <w:r>
              <w:rPr>
                <w:rFonts w:ascii="宋体" w:hAnsi="宋体"/>
                <w:sz w:val="24"/>
              </w:rPr>
              <w:t>K35-b</w:t>
            </w:r>
          </w:p>
        </w:tc>
        <w:tc>
          <w:tcPr>
            <w:tcW w:w="1824" w:type="dxa"/>
            <w:noWrap w:val="0"/>
            <w:vAlign w:val="center"/>
          </w:tcPr>
          <w:p w14:paraId="57D5DDC8">
            <w:pPr>
              <w:jc w:val="center"/>
              <w:rPr>
                <w:rFonts w:hint="eastAsia" w:ascii="宋体" w:hAnsi="宋体"/>
                <w:sz w:val="24"/>
              </w:rPr>
            </w:pPr>
            <w:r>
              <w:rPr>
                <w:rFonts w:hint="eastAsia" w:ascii="宋体" w:hAnsi="宋体"/>
                <w:sz w:val="24"/>
              </w:rPr>
              <w:t>0</w:t>
            </w:r>
          </w:p>
        </w:tc>
        <w:tc>
          <w:tcPr>
            <w:tcW w:w="1141" w:type="dxa"/>
            <w:noWrap w:val="0"/>
            <w:vAlign w:val="center"/>
          </w:tcPr>
          <w:p w14:paraId="78FA1241">
            <w:pPr>
              <w:jc w:val="center"/>
              <w:rPr>
                <w:rFonts w:hint="eastAsia" w:ascii="宋体" w:hAnsi="宋体"/>
                <w:color w:val="000000"/>
                <w:sz w:val="24"/>
              </w:rPr>
            </w:pPr>
            <w:r>
              <w:rPr>
                <w:rFonts w:hint="eastAsia" w:ascii="宋体" w:hAnsi="宋体"/>
                <w:color w:val="000000"/>
                <w:sz w:val="24"/>
              </w:rPr>
              <w:t>22.5</w:t>
            </w:r>
          </w:p>
        </w:tc>
        <w:tc>
          <w:tcPr>
            <w:tcW w:w="1110" w:type="dxa"/>
            <w:noWrap w:val="0"/>
            <w:vAlign w:val="center"/>
          </w:tcPr>
          <w:p w14:paraId="462479EF">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0C336860">
            <w:pPr>
              <w:jc w:val="center"/>
              <w:rPr>
                <w:rFonts w:hint="eastAsia" w:ascii="宋体" w:hAnsi="宋体"/>
                <w:color w:val="000000"/>
                <w:sz w:val="24"/>
              </w:rPr>
            </w:pPr>
            <w:r>
              <w:rPr>
                <w:rFonts w:hint="eastAsia" w:ascii="宋体" w:hAnsi="宋体"/>
                <w:color w:val="000000"/>
                <w:sz w:val="24"/>
              </w:rPr>
              <w:t>24.0</w:t>
            </w:r>
          </w:p>
        </w:tc>
        <w:tc>
          <w:tcPr>
            <w:tcW w:w="1494" w:type="dxa"/>
            <w:noWrap w:val="0"/>
            <w:vAlign w:val="center"/>
          </w:tcPr>
          <w:p w14:paraId="68BF6803">
            <w:pPr>
              <w:jc w:val="center"/>
              <w:rPr>
                <w:rFonts w:hint="eastAsia" w:ascii="宋体" w:hAnsi="宋体"/>
                <w:color w:val="000000"/>
                <w:sz w:val="24"/>
              </w:rPr>
            </w:pPr>
            <w:r>
              <w:rPr>
                <w:rFonts w:hint="eastAsia" w:ascii="宋体" w:hAnsi="宋体"/>
                <w:color w:val="000000"/>
                <w:sz w:val="24"/>
              </w:rPr>
              <w:t>46.5</w:t>
            </w:r>
          </w:p>
        </w:tc>
        <w:tc>
          <w:tcPr>
            <w:tcW w:w="1056" w:type="dxa"/>
            <w:noWrap w:val="0"/>
            <w:vAlign w:val="center"/>
          </w:tcPr>
          <w:p w14:paraId="3A7C3B5C">
            <w:pPr>
              <w:jc w:val="center"/>
              <w:rPr>
                <w:rFonts w:hint="eastAsia" w:ascii="宋体" w:hAnsi="宋体"/>
                <w:color w:val="000000"/>
                <w:sz w:val="24"/>
              </w:rPr>
            </w:pPr>
          </w:p>
        </w:tc>
      </w:tr>
      <w:tr w14:paraId="2362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6300BA14">
            <w:pPr>
              <w:rPr>
                <w:rFonts w:ascii="宋体" w:hAnsi="宋体"/>
                <w:sz w:val="24"/>
              </w:rPr>
            </w:pPr>
            <w:r>
              <w:rPr>
                <w:rFonts w:ascii="宋体" w:hAnsi="宋体"/>
                <w:sz w:val="24"/>
              </w:rPr>
              <w:t>K106-b</w:t>
            </w:r>
          </w:p>
        </w:tc>
        <w:tc>
          <w:tcPr>
            <w:tcW w:w="1824" w:type="dxa"/>
            <w:noWrap w:val="0"/>
            <w:vAlign w:val="center"/>
          </w:tcPr>
          <w:p w14:paraId="1BF0ABF6">
            <w:pPr>
              <w:jc w:val="center"/>
              <w:rPr>
                <w:rFonts w:hint="eastAsia" w:ascii="宋体" w:hAnsi="宋体"/>
                <w:sz w:val="24"/>
              </w:rPr>
            </w:pPr>
            <w:r>
              <w:rPr>
                <w:rFonts w:hint="eastAsia" w:ascii="宋体" w:hAnsi="宋体"/>
                <w:sz w:val="24"/>
              </w:rPr>
              <w:t>0</w:t>
            </w:r>
          </w:p>
        </w:tc>
        <w:tc>
          <w:tcPr>
            <w:tcW w:w="1141" w:type="dxa"/>
            <w:noWrap w:val="0"/>
            <w:vAlign w:val="center"/>
          </w:tcPr>
          <w:p w14:paraId="015F7EE3">
            <w:pPr>
              <w:jc w:val="center"/>
              <w:rPr>
                <w:rFonts w:hint="eastAsia" w:ascii="宋体" w:hAnsi="宋体"/>
                <w:color w:val="000000"/>
                <w:sz w:val="24"/>
              </w:rPr>
            </w:pPr>
            <w:r>
              <w:rPr>
                <w:rFonts w:hint="eastAsia" w:ascii="宋体" w:hAnsi="宋体"/>
                <w:color w:val="000000"/>
                <w:sz w:val="24"/>
              </w:rPr>
              <w:t>0</w:t>
            </w:r>
          </w:p>
        </w:tc>
        <w:tc>
          <w:tcPr>
            <w:tcW w:w="1110" w:type="dxa"/>
            <w:noWrap w:val="0"/>
            <w:vAlign w:val="center"/>
          </w:tcPr>
          <w:p w14:paraId="5874E284">
            <w:pPr>
              <w:jc w:val="center"/>
              <w:rPr>
                <w:rFonts w:hint="eastAsia" w:ascii="宋体" w:hAnsi="宋体"/>
                <w:color w:val="000000"/>
                <w:sz w:val="24"/>
              </w:rPr>
            </w:pPr>
            <w:r>
              <w:rPr>
                <w:rFonts w:hint="eastAsia" w:ascii="宋体" w:hAnsi="宋体"/>
                <w:color w:val="000000"/>
                <w:sz w:val="24"/>
              </w:rPr>
              <w:t>55.0</w:t>
            </w:r>
          </w:p>
        </w:tc>
        <w:tc>
          <w:tcPr>
            <w:tcW w:w="1105" w:type="dxa"/>
            <w:noWrap w:val="0"/>
            <w:vAlign w:val="center"/>
          </w:tcPr>
          <w:p w14:paraId="44E50DC1">
            <w:pPr>
              <w:jc w:val="center"/>
              <w:rPr>
                <w:rFonts w:hint="eastAsia" w:ascii="宋体" w:hAnsi="宋体"/>
                <w:color w:val="000000"/>
                <w:sz w:val="24"/>
              </w:rPr>
            </w:pPr>
            <w:r>
              <w:rPr>
                <w:rFonts w:hint="eastAsia" w:ascii="宋体" w:hAnsi="宋体"/>
                <w:color w:val="000000"/>
                <w:sz w:val="24"/>
              </w:rPr>
              <w:t>142.4</w:t>
            </w:r>
          </w:p>
        </w:tc>
        <w:tc>
          <w:tcPr>
            <w:tcW w:w="1494" w:type="dxa"/>
            <w:noWrap w:val="0"/>
            <w:vAlign w:val="center"/>
          </w:tcPr>
          <w:p w14:paraId="572A71ED">
            <w:pPr>
              <w:jc w:val="center"/>
              <w:rPr>
                <w:rFonts w:hint="eastAsia" w:ascii="宋体" w:hAnsi="宋体"/>
                <w:color w:val="000000"/>
                <w:sz w:val="24"/>
              </w:rPr>
            </w:pPr>
            <w:r>
              <w:rPr>
                <w:rFonts w:hint="eastAsia" w:ascii="宋体" w:hAnsi="宋体"/>
                <w:color w:val="000000"/>
                <w:sz w:val="24"/>
              </w:rPr>
              <w:t>197.4</w:t>
            </w:r>
          </w:p>
        </w:tc>
        <w:tc>
          <w:tcPr>
            <w:tcW w:w="1056" w:type="dxa"/>
            <w:noWrap w:val="0"/>
            <w:vAlign w:val="center"/>
          </w:tcPr>
          <w:p w14:paraId="1A0D448C">
            <w:pPr>
              <w:jc w:val="center"/>
              <w:rPr>
                <w:rFonts w:hint="eastAsia" w:ascii="宋体" w:hAnsi="宋体"/>
                <w:color w:val="000000"/>
                <w:sz w:val="24"/>
              </w:rPr>
            </w:pPr>
          </w:p>
        </w:tc>
      </w:tr>
      <w:tr w14:paraId="4476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6501883F">
            <w:pPr>
              <w:rPr>
                <w:rFonts w:ascii="宋体" w:hAnsi="宋体"/>
                <w:sz w:val="24"/>
              </w:rPr>
            </w:pPr>
            <w:r>
              <w:rPr>
                <w:rFonts w:ascii="宋体" w:hAnsi="宋体"/>
                <w:sz w:val="24"/>
              </w:rPr>
              <w:t>K109-b</w:t>
            </w:r>
          </w:p>
        </w:tc>
        <w:tc>
          <w:tcPr>
            <w:tcW w:w="1824" w:type="dxa"/>
            <w:noWrap w:val="0"/>
            <w:vAlign w:val="center"/>
          </w:tcPr>
          <w:p w14:paraId="1EFFFC1F">
            <w:pPr>
              <w:jc w:val="center"/>
              <w:rPr>
                <w:rFonts w:hint="eastAsia" w:ascii="宋体" w:hAnsi="宋体"/>
                <w:sz w:val="24"/>
              </w:rPr>
            </w:pPr>
            <w:r>
              <w:rPr>
                <w:rFonts w:hint="eastAsia" w:ascii="宋体" w:hAnsi="宋体"/>
                <w:sz w:val="24"/>
              </w:rPr>
              <w:t>0</w:t>
            </w:r>
          </w:p>
        </w:tc>
        <w:tc>
          <w:tcPr>
            <w:tcW w:w="1141" w:type="dxa"/>
            <w:noWrap w:val="0"/>
            <w:vAlign w:val="center"/>
          </w:tcPr>
          <w:p w14:paraId="548D3748">
            <w:pPr>
              <w:jc w:val="center"/>
              <w:rPr>
                <w:rFonts w:hint="eastAsia" w:ascii="宋体" w:hAnsi="宋体"/>
                <w:color w:val="000000"/>
                <w:sz w:val="24"/>
              </w:rPr>
            </w:pPr>
            <w:r>
              <w:rPr>
                <w:rFonts w:hint="eastAsia" w:ascii="宋体" w:hAnsi="宋体"/>
                <w:color w:val="000000"/>
                <w:sz w:val="24"/>
              </w:rPr>
              <w:t>43.5</w:t>
            </w:r>
          </w:p>
        </w:tc>
        <w:tc>
          <w:tcPr>
            <w:tcW w:w="1110" w:type="dxa"/>
            <w:noWrap w:val="0"/>
            <w:vAlign w:val="center"/>
          </w:tcPr>
          <w:p w14:paraId="3353799D">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68F99087">
            <w:pPr>
              <w:jc w:val="center"/>
              <w:rPr>
                <w:rFonts w:hint="eastAsia" w:ascii="宋体" w:hAnsi="宋体"/>
                <w:color w:val="000000"/>
                <w:sz w:val="24"/>
              </w:rPr>
            </w:pPr>
            <w:r>
              <w:rPr>
                <w:rFonts w:hint="eastAsia" w:ascii="宋体" w:hAnsi="宋体"/>
                <w:color w:val="000000"/>
                <w:sz w:val="24"/>
              </w:rPr>
              <w:t>111.3</w:t>
            </w:r>
          </w:p>
        </w:tc>
        <w:tc>
          <w:tcPr>
            <w:tcW w:w="1494" w:type="dxa"/>
            <w:noWrap w:val="0"/>
            <w:vAlign w:val="center"/>
          </w:tcPr>
          <w:p w14:paraId="0E066180">
            <w:pPr>
              <w:jc w:val="center"/>
              <w:rPr>
                <w:rFonts w:hint="eastAsia" w:ascii="宋体" w:hAnsi="宋体"/>
                <w:color w:val="000000"/>
                <w:sz w:val="24"/>
              </w:rPr>
            </w:pPr>
            <w:r>
              <w:rPr>
                <w:rFonts w:hint="eastAsia" w:ascii="宋体" w:hAnsi="宋体"/>
                <w:color w:val="000000"/>
                <w:sz w:val="24"/>
              </w:rPr>
              <w:t>154.8</w:t>
            </w:r>
          </w:p>
        </w:tc>
        <w:tc>
          <w:tcPr>
            <w:tcW w:w="1056" w:type="dxa"/>
            <w:noWrap w:val="0"/>
            <w:vAlign w:val="center"/>
          </w:tcPr>
          <w:p w14:paraId="67891DE3">
            <w:pPr>
              <w:jc w:val="center"/>
              <w:rPr>
                <w:rFonts w:hint="eastAsia" w:ascii="宋体" w:hAnsi="宋体"/>
                <w:color w:val="000000"/>
                <w:sz w:val="24"/>
              </w:rPr>
            </w:pPr>
          </w:p>
        </w:tc>
      </w:tr>
      <w:tr w14:paraId="7AF0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44E156F0">
            <w:pPr>
              <w:rPr>
                <w:rFonts w:ascii="宋体" w:hAnsi="宋体"/>
                <w:sz w:val="24"/>
              </w:rPr>
            </w:pPr>
            <w:r>
              <w:rPr>
                <w:rFonts w:ascii="宋体" w:hAnsi="宋体"/>
                <w:sz w:val="24"/>
              </w:rPr>
              <w:t>K110-a</w:t>
            </w:r>
          </w:p>
        </w:tc>
        <w:tc>
          <w:tcPr>
            <w:tcW w:w="1824" w:type="dxa"/>
            <w:noWrap w:val="0"/>
            <w:vAlign w:val="center"/>
          </w:tcPr>
          <w:p w14:paraId="6E5A4324">
            <w:pPr>
              <w:jc w:val="center"/>
              <w:rPr>
                <w:rFonts w:hint="eastAsia" w:ascii="宋体" w:hAnsi="宋体"/>
                <w:sz w:val="24"/>
              </w:rPr>
            </w:pPr>
            <w:r>
              <w:rPr>
                <w:rFonts w:hint="eastAsia" w:ascii="宋体" w:hAnsi="宋体"/>
                <w:sz w:val="24"/>
              </w:rPr>
              <w:t>0</w:t>
            </w:r>
          </w:p>
        </w:tc>
        <w:tc>
          <w:tcPr>
            <w:tcW w:w="1141" w:type="dxa"/>
            <w:noWrap w:val="0"/>
            <w:vAlign w:val="center"/>
          </w:tcPr>
          <w:p w14:paraId="183382A6">
            <w:pPr>
              <w:jc w:val="center"/>
              <w:rPr>
                <w:rFonts w:hint="eastAsia" w:ascii="宋体" w:hAnsi="宋体"/>
                <w:color w:val="000000"/>
                <w:sz w:val="24"/>
              </w:rPr>
            </w:pPr>
            <w:r>
              <w:rPr>
                <w:rFonts w:hint="eastAsia" w:ascii="宋体" w:hAnsi="宋体"/>
                <w:color w:val="000000"/>
                <w:sz w:val="24"/>
              </w:rPr>
              <w:t>139.1</w:t>
            </w:r>
          </w:p>
        </w:tc>
        <w:tc>
          <w:tcPr>
            <w:tcW w:w="1110" w:type="dxa"/>
            <w:noWrap w:val="0"/>
            <w:vAlign w:val="center"/>
          </w:tcPr>
          <w:p w14:paraId="6A0595FF">
            <w:pPr>
              <w:jc w:val="center"/>
              <w:rPr>
                <w:rFonts w:hint="eastAsia" w:ascii="宋体" w:hAnsi="宋体"/>
                <w:color w:val="000000"/>
                <w:sz w:val="24"/>
              </w:rPr>
            </w:pPr>
            <w:r>
              <w:rPr>
                <w:rFonts w:hint="eastAsia" w:ascii="宋体" w:hAnsi="宋体"/>
                <w:color w:val="000000"/>
                <w:sz w:val="24"/>
              </w:rPr>
              <w:t>0</w:t>
            </w:r>
          </w:p>
        </w:tc>
        <w:tc>
          <w:tcPr>
            <w:tcW w:w="1105" w:type="dxa"/>
            <w:noWrap w:val="0"/>
            <w:vAlign w:val="center"/>
          </w:tcPr>
          <w:p w14:paraId="7966E151">
            <w:pPr>
              <w:jc w:val="center"/>
              <w:rPr>
                <w:rFonts w:hint="eastAsia" w:ascii="宋体" w:hAnsi="宋体"/>
                <w:color w:val="000000"/>
                <w:sz w:val="24"/>
              </w:rPr>
            </w:pPr>
            <w:r>
              <w:rPr>
                <w:rFonts w:hint="eastAsia" w:ascii="宋体" w:hAnsi="宋体"/>
                <w:color w:val="000000"/>
                <w:sz w:val="24"/>
              </w:rPr>
              <w:t>108.4</w:t>
            </w:r>
          </w:p>
        </w:tc>
        <w:tc>
          <w:tcPr>
            <w:tcW w:w="1494" w:type="dxa"/>
            <w:noWrap w:val="0"/>
            <w:vAlign w:val="center"/>
          </w:tcPr>
          <w:p w14:paraId="09495700">
            <w:pPr>
              <w:jc w:val="center"/>
              <w:rPr>
                <w:rFonts w:hint="eastAsia" w:ascii="宋体" w:hAnsi="宋体"/>
                <w:color w:val="000000"/>
                <w:sz w:val="24"/>
              </w:rPr>
            </w:pPr>
            <w:r>
              <w:rPr>
                <w:rFonts w:hint="eastAsia" w:ascii="宋体" w:hAnsi="宋体"/>
                <w:color w:val="000000"/>
                <w:sz w:val="24"/>
              </w:rPr>
              <w:t>247.5</w:t>
            </w:r>
          </w:p>
        </w:tc>
        <w:tc>
          <w:tcPr>
            <w:tcW w:w="1056" w:type="dxa"/>
            <w:noWrap w:val="0"/>
            <w:vAlign w:val="center"/>
          </w:tcPr>
          <w:p w14:paraId="26500FE0">
            <w:pPr>
              <w:jc w:val="center"/>
              <w:rPr>
                <w:rFonts w:hint="eastAsia" w:ascii="宋体" w:hAnsi="宋体"/>
                <w:color w:val="000000"/>
                <w:sz w:val="24"/>
              </w:rPr>
            </w:pPr>
          </w:p>
        </w:tc>
      </w:tr>
      <w:tr w14:paraId="7241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317" w:type="dxa"/>
            <w:noWrap w:val="0"/>
            <w:vAlign w:val="center"/>
          </w:tcPr>
          <w:p w14:paraId="05664565">
            <w:pPr>
              <w:jc w:val="center"/>
              <w:rPr>
                <w:rFonts w:ascii="宋体" w:hAnsi="宋体"/>
                <w:sz w:val="24"/>
              </w:rPr>
            </w:pPr>
            <w:r>
              <w:rPr>
                <w:rFonts w:ascii="宋体" w:hAnsi="宋体"/>
                <w:sz w:val="24"/>
              </w:rPr>
              <w:t>合 计</w:t>
            </w:r>
          </w:p>
        </w:tc>
        <w:tc>
          <w:tcPr>
            <w:tcW w:w="1824" w:type="dxa"/>
            <w:noWrap w:val="0"/>
            <w:vAlign w:val="center"/>
          </w:tcPr>
          <w:p w14:paraId="4F55D5B3">
            <w:pPr>
              <w:jc w:val="center"/>
              <w:rPr>
                <w:rFonts w:ascii="宋体" w:hAnsi="宋体"/>
                <w:sz w:val="24"/>
              </w:rPr>
            </w:pPr>
            <w:r>
              <w:rPr>
                <w:rFonts w:ascii="宋体" w:hAnsi="宋体"/>
                <w:sz w:val="24"/>
              </w:rPr>
              <w:fldChar w:fldCharType="begin"/>
            </w:r>
            <w:r>
              <w:rPr>
                <w:rFonts w:ascii="宋体" w:hAnsi="宋体"/>
                <w:sz w:val="24"/>
              </w:rPr>
              <w:instrText xml:space="preserve"> =SUM(ABOVE) </w:instrText>
            </w:r>
            <w:r>
              <w:rPr>
                <w:rFonts w:ascii="宋体" w:hAnsi="宋体"/>
                <w:sz w:val="24"/>
              </w:rPr>
              <w:fldChar w:fldCharType="separate"/>
            </w:r>
            <w:r>
              <w:rPr>
                <w:rFonts w:ascii="宋体" w:hAnsi="宋体"/>
                <w:sz w:val="24"/>
                <w:lang/>
              </w:rPr>
              <w:t>343.1</w:t>
            </w:r>
            <w:r>
              <w:rPr>
                <w:rFonts w:ascii="宋体" w:hAnsi="宋体"/>
                <w:sz w:val="24"/>
              </w:rPr>
              <w:fldChar w:fldCharType="end"/>
            </w:r>
          </w:p>
        </w:tc>
        <w:tc>
          <w:tcPr>
            <w:tcW w:w="1141" w:type="dxa"/>
            <w:noWrap w:val="0"/>
            <w:vAlign w:val="center"/>
          </w:tcPr>
          <w:p w14:paraId="516E4E13">
            <w:pPr>
              <w:jc w:val="center"/>
              <w:rPr>
                <w:rFonts w:hint="eastAsia"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hint="eastAsia" w:ascii="宋体" w:hAnsi="宋体"/>
                <w:color w:val="000000"/>
                <w:sz w:val="24"/>
              </w:rPr>
              <w:instrText xml:space="preserve">=SUM(ABOVE)</w:instrText>
            </w:r>
            <w:r>
              <w:rPr>
                <w:rFonts w:ascii="宋体" w:hAnsi="宋体"/>
                <w:color w:val="000000"/>
                <w:sz w:val="24"/>
              </w:rPr>
              <w:instrText xml:space="preserve"> </w:instrText>
            </w:r>
            <w:r>
              <w:rPr>
                <w:rFonts w:ascii="宋体" w:hAnsi="宋体"/>
                <w:color w:val="000000"/>
                <w:sz w:val="24"/>
              </w:rPr>
              <w:fldChar w:fldCharType="separate"/>
            </w:r>
            <w:r>
              <w:rPr>
                <w:rFonts w:ascii="宋体" w:hAnsi="宋体"/>
                <w:color w:val="000000"/>
                <w:sz w:val="24"/>
                <w:lang/>
              </w:rPr>
              <w:t>579.3</w:t>
            </w:r>
            <w:r>
              <w:rPr>
                <w:rFonts w:ascii="宋体" w:hAnsi="宋体"/>
                <w:color w:val="000000"/>
                <w:sz w:val="24"/>
              </w:rPr>
              <w:fldChar w:fldCharType="end"/>
            </w:r>
          </w:p>
        </w:tc>
        <w:tc>
          <w:tcPr>
            <w:tcW w:w="1110" w:type="dxa"/>
            <w:noWrap w:val="0"/>
            <w:vAlign w:val="center"/>
          </w:tcPr>
          <w:p w14:paraId="600DC25D">
            <w:pPr>
              <w:jc w:val="center"/>
              <w:rPr>
                <w:rFonts w:hint="eastAsia"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hint="eastAsia" w:ascii="宋体" w:hAnsi="宋体"/>
                <w:color w:val="000000"/>
                <w:sz w:val="24"/>
              </w:rPr>
              <w:instrText xml:space="preserve">=SUM(ABOVE)</w:instrText>
            </w:r>
            <w:r>
              <w:rPr>
                <w:rFonts w:ascii="宋体" w:hAnsi="宋体"/>
                <w:color w:val="000000"/>
                <w:sz w:val="24"/>
              </w:rPr>
              <w:instrText xml:space="preserve"> </w:instrText>
            </w:r>
            <w:r>
              <w:rPr>
                <w:rFonts w:ascii="宋体" w:hAnsi="宋体"/>
                <w:color w:val="000000"/>
                <w:sz w:val="24"/>
              </w:rPr>
              <w:fldChar w:fldCharType="separate"/>
            </w:r>
            <w:r>
              <w:rPr>
                <w:rFonts w:ascii="宋体" w:hAnsi="宋体"/>
                <w:color w:val="000000"/>
                <w:sz w:val="24"/>
                <w:lang/>
              </w:rPr>
              <w:t>183.6</w:t>
            </w:r>
            <w:r>
              <w:rPr>
                <w:rFonts w:ascii="宋体" w:hAnsi="宋体"/>
                <w:color w:val="000000"/>
                <w:sz w:val="24"/>
              </w:rPr>
              <w:fldChar w:fldCharType="end"/>
            </w:r>
          </w:p>
        </w:tc>
        <w:tc>
          <w:tcPr>
            <w:tcW w:w="1105" w:type="dxa"/>
            <w:noWrap w:val="0"/>
            <w:vAlign w:val="center"/>
          </w:tcPr>
          <w:p w14:paraId="6C75E147">
            <w:pPr>
              <w:jc w:val="center"/>
              <w:rPr>
                <w:rFonts w:hint="eastAsia"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hint="eastAsia" w:ascii="宋体" w:hAnsi="宋体"/>
                <w:color w:val="000000"/>
                <w:sz w:val="24"/>
              </w:rPr>
              <w:instrText xml:space="preserve">=SUM(ABOVE)</w:instrText>
            </w:r>
            <w:r>
              <w:rPr>
                <w:rFonts w:ascii="宋体" w:hAnsi="宋体"/>
                <w:color w:val="000000"/>
                <w:sz w:val="24"/>
              </w:rPr>
              <w:instrText xml:space="preserve"> </w:instrText>
            </w:r>
            <w:r>
              <w:rPr>
                <w:rFonts w:ascii="宋体" w:hAnsi="宋体"/>
                <w:color w:val="000000"/>
                <w:sz w:val="24"/>
              </w:rPr>
              <w:fldChar w:fldCharType="separate"/>
            </w:r>
            <w:r>
              <w:rPr>
                <w:rFonts w:ascii="宋体" w:hAnsi="宋体"/>
                <w:color w:val="000000"/>
                <w:sz w:val="24"/>
                <w:lang/>
              </w:rPr>
              <w:t>494.2</w:t>
            </w:r>
            <w:r>
              <w:rPr>
                <w:rFonts w:ascii="宋体" w:hAnsi="宋体"/>
                <w:color w:val="000000"/>
                <w:sz w:val="24"/>
              </w:rPr>
              <w:fldChar w:fldCharType="end"/>
            </w:r>
          </w:p>
        </w:tc>
        <w:tc>
          <w:tcPr>
            <w:tcW w:w="1494" w:type="dxa"/>
            <w:noWrap w:val="0"/>
            <w:vAlign w:val="center"/>
          </w:tcPr>
          <w:p w14:paraId="6EBDBA04">
            <w:pPr>
              <w:jc w:val="center"/>
              <w:rPr>
                <w:rFonts w:hint="eastAsia" w:ascii="宋体" w:hAnsi="宋体"/>
                <w:color w:val="000000"/>
                <w:sz w:val="24"/>
              </w:rPr>
            </w:pPr>
            <w:r>
              <w:rPr>
                <w:rFonts w:ascii="宋体" w:hAnsi="宋体"/>
                <w:color w:val="000000"/>
                <w:sz w:val="24"/>
              </w:rPr>
              <w:fldChar w:fldCharType="begin"/>
            </w:r>
            <w:r>
              <w:rPr>
                <w:rFonts w:ascii="宋体" w:hAnsi="宋体"/>
                <w:color w:val="000000"/>
                <w:sz w:val="24"/>
              </w:rPr>
              <w:instrText xml:space="preserve"> =SUM(ABOVE) </w:instrText>
            </w:r>
            <w:r>
              <w:rPr>
                <w:rFonts w:ascii="宋体" w:hAnsi="宋体"/>
                <w:color w:val="000000"/>
                <w:sz w:val="24"/>
              </w:rPr>
              <w:fldChar w:fldCharType="separate"/>
            </w:r>
            <w:r>
              <w:rPr>
                <w:rFonts w:ascii="宋体" w:hAnsi="宋体"/>
                <w:color w:val="000000"/>
                <w:sz w:val="24"/>
                <w:lang/>
              </w:rPr>
              <w:t>1257.1</w:t>
            </w:r>
            <w:r>
              <w:rPr>
                <w:rFonts w:ascii="宋体" w:hAnsi="宋体"/>
                <w:color w:val="000000"/>
                <w:sz w:val="24"/>
              </w:rPr>
              <w:fldChar w:fldCharType="end"/>
            </w:r>
          </w:p>
        </w:tc>
        <w:tc>
          <w:tcPr>
            <w:tcW w:w="1056" w:type="dxa"/>
            <w:noWrap w:val="0"/>
            <w:vAlign w:val="center"/>
          </w:tcPr>
          <w:p w14:paraId="44FE184A">
            <w:pPr>
              <w:jc w:val="center"/>
              <w:rPr>
                <w:rFonts w:hint="eastAsia" w:ascii="宋体" w:hAnsi="宋体"/>
                <w:color w:val="000000"/>
                <w:sz w:val="24"/>
              </w:rPr>
            </w:pPr>
          </w:p>
        </w:tc>
      </w:tr>
    </w:tbl>
    <w:p w14:paraId="1929FC1D">
      <w:pPr>
        <w:spacing w:after="50" w:line="360" w:lineRule="auto"/>
        <w:ind w:firstLine="480" w:firstLineChars="200"/>
        <w:rPr>
          <w:rFonts w:ascii="宋体" w:hAnsi="宋体"/>
          <w:sz w:val="24"/>
        </w:rPr>
      </w:pPr>
      <w:r>
        <w:rPr>
          <w:rFonts w:hint="eastAsia" w:ascii="宋体" w:hAnsi="宋体"/>
          <w:sz w:val="24"/>
        </w:rPr>
        <w:t>2、</w:t>
      </w:r>
      <w:r>
        <w:rPr>
          <w:rFonts w:ascii="宋体" w:hAnsi="宋体"/>
          <w:sz w:val="24"/>
        </w:rPr>
        <w:t>矿井工业资源/储量</w:t>
      </w:r>
    </w:p>
    <w:p w14:paraId="0CCCC68B">
      <w:pPr>
        <w:spacing w:line="360" w:lineRule="auto"/>
        <w:ind w:firstLine="480" w:firstLineChars="200"/>
        <w:rPr>
          <w:rFonts w:hint="eastAsia" w:ascii="宋体" w:hAnsi="宋体"/>
          <w:sz w:val="24"/>
        </w:rPr>
      </w:pPr>
      <w:r>
        <w:rPr>
          <w:rFonts w:hint="eastAsia" w:ascii="宋体" w:hAnsi="宋体"/>
          <w:sz w:val="24"/>
        </w:rPr>
        <w:t>矿井</w:t>
      </w:r>
      <w:r>
        <w:rPr>
          <w:rFonts w:ascii="宋体" w:hAnsi="宋体"/>
          <w:sz w:val="24"/>
        </w:rPr>
        <w:t>工业资源/储量</w:t>
      </w:r>
      <w:r>
        <w:rPr>
          <w:rFonts w:hint="eastAsia" w:ascii="宋体" w:hAnsi="宋体"/>
          <w:sz w:val="24"/>
        </w:rPr>
        <w:t>＝（331）+(332)+（333）×0.8</w:t>
      </w:r>
    </w:p>
    <w:p w14:paraId="3CA88222">
      <w:pPr>
        <w:spacing w:line="360" w:lineRule="auto"/>
        <w:ind w:firstLine="2520" w:firstLineChars="1050"/>
        <w:rPr>
          <w:rFonts w:hint="eastAsia" w:ascii="宋体" w:hAnsi="宋体"/>
          <w:sz w:val="24"/>
        </w:rPr>
      </w:pPr>
      <w:r>
        <w:rPr>
          <w:rFonts w:hint="eastAsia" w:ascii="宋体" w:hAnsi="宋体"/>
          <w:sz w:val="24"/>
        </w:rPr>
        <w:t>＝579.3+183.6+494.2×0.8</w:t>
      </w:r>
    </w:p>
    <w:p w14:paraId="1BA95FC1">
      <w:pPr>
        <w:spacing w:line="360" w:lineRule="auto"/>
        <w:ind w:firstLine="2520" w:firstLineChars="1050"/>
        <w:rPr>
          <w:rFonts w:hint="eastAsia" w:ascii="宋体" w:hAnsi="宋体"/>
          <w:sz w:val="24"/>
        </w:rPr>
      </w:pPr>
      <w:r>
        <w:rPr>
          <w:rFonts w:hint="eastAsia" w:ascii="宋体" w:hAnsi="宋体"/>
          <w:sz w:val="24"/>
        </w:rPr>
        <w:t>＝1158.26（</w:t>
      </w:r>
      <w:r>
        <w:rPr>
          <w:rFonts w:ascii="宋体" w:hAnsi="宋体"/>
          <w:sz w:val="24"/>
        </w:rPr>
        <w:t>万吨</w:t>
      </w:r>
      <w:r>
        <w:rPr>
          <w:rFonts w:hint="eastAsia" w:ascii="宋体" w:hAnsi="宋体"/>
          <w:sz w:val="24"/>
        </w:rPr>
        <w:t>）</w:t>
      </w:r>
    </w:p>
    <w:p w14:paraId="1CA19186">
      <w:pPr>
        <w:spacing w:line="360" w:lineRule="auto"/>
        <w:ind w:firstLine="472" w:firstLineChars="200"/>
        <w:rPr>
          <w:rFonts w:hint="eastAsia" w:ascii="宋体" w:hAnsi="宋体"/>
          <w:spacing w:val="-2"/>
          <w:sz w:val="24"/>
        </w:rPr>
      </w:pPr>
      <w:r>
        <w:rPr>
          <w:rFonts w:hint="eastAsia" w:ascii="宋体" w:hAnsi="宋体"/>
          <w:spacing w:val="-2"/>
          <w:sz w:val="24"/>
        </w:rPr>
        <w:t>其中：</w:t>
      </w:r>
      <w:r>
        <w:rPr>
          <w:rFonts w:ascii="宋体" w:hAnsi="宋体"/>
          <w:sz w:val="24"/>
        </w:rPr>
        <w:t>K1-b</w:t>
      </w:r>
      <w:r>
        <w:rPr>
          <w:rFonts w:hint="eastAsia" w:ascii="宋体" w:hAnsi="宋体"/>
          <w:spacing w:val="-2"/>
          <w:sz w:val="24"/>
        </w:rPr>
        <w:t>、K9、K13、K18、K26、</w:t>
      </w:r>
      <w:r>
        <w:rPr>
          <w:rFonts w:ascii="宋体" w:hAnsi="宋体"/>
          <w:sz w:val="24"/>
        </w:rPr>
        <w:t>K106-b</w:t>
      </w:r>
      <w:r>
        <w:rPr>
          <w:rFonts w:hint="eastAsia" w:ascii="宋体" w:hAnsi="宋体"/>
          <w:spacing w:val="-2"/>
          <w:sz w:val="24"/>
        </w:rPr>
        <w:t>、</w:t>
      </w:r>
      <w:r>
        <w:rPr>
          <w:rFonts w:ascii="宋体" w:hAnsi="宋体"/>
          <w:sz w:val="24"/>
        </w:rPr>
        <w:t>K109-b</w:t>
      </w:r>
      <w:r>
        <w:rPr>
          <w:rFonts w:hint="eastAsia" w:ascii="宋体" w:hAnsi="宋体"/>
          <w:spacing w:val="-2"/>
          <w:sz w:val="24"/>
        </w:rPr>
        <w:t>、</w:t>
      </w:r>
      <w:r>
        <w:rPr>
          <w:rFonts w:ascii="宋体" w:hAnsi="宋体"/>
          <w:sz w:val="24"/>
        </w:rPr>
        <w:t>K110-a</w:t>
      </w:r>
      <w:r>
        <w:rPr>
          <w:rFonts w:hint="eastAsia" w:ascii="宋体" w:hAnsi="宋体"/>
          <w:spacing w:val="-2"/>
          <w:sz w:val="24"/>
        </w:rPr>
        <w:t>为中厚煤层995.22万吨；K3、K10、</w:t>
      </w:r>
      <w:r>
        <w:rPr>
          <w:rFonts w:ascii="宋体" w:hAnsi="宋体"/>
          <w:sz w:val="24"/>
        </w:rPr>
        <w:t>K35-b</w:t>
      </w:r>
      <w:r>
        <w:rPr>
          <w:rFonts w:hint="eastAsia" w:ascii="宋体" w:hAnsi="宋体"/>
          <w:spacing w:val="-2"/>
          <w:sz w:val="24"/>
        </w:rPr>
        <w:t>为薄煤层163.04万吨。</w:t>
      </w:r>
    </w:p>
    <w:p w14:paraId="6A65436D">
      <w:pPr>
        <w:spacing w:line="360" w:lineRule="auto"/>
        <w:ind w:firstLine="480" w:firstLineChars="200"/>
        <w:rPr>
          <w:rFonts w:hint="eastAsia" w:ascii="宋体" w:hAnsi="宋体"/>
          <w:sz w:val="24"/>
        </w:rPr>
      </w:pPr>
      <w:r>
        <w:rPr>
          <w:rFonts w:hint="eastAsia" w:ascii="宋体" w:hAnsi="宋体"/>
          <w:sz w:val="24"/>
        </w:rPr>
        <w:t>式中0.8是对推断资源量(333)作资源可靠性评价后的可信度系数。</w:t>
      </w:r>
    </w:p>
    <w:p w14:paraId="00E75181">
      <w:pPr>
        <w:spacing w:line="360" w:lineRule="auto"/>
        <w:ind w:firstLine="480" w:firstLineChars="200"/>
        <w:rPr>
          <w:rFonts w:ascii="宋体" w:hAnsi="宋体"/>
          <w:sz w:val="24"/>
        </w:rPr>
      </w:pPr>
      <w:r>
        <w:rPr>
          <w:rFonts w:hint="eastAsia" w:ascii="宋体" w:hAnsi="宋体"/>
          <w:sz w:val="24"/>
        </w:rPr>
        <w:t>3、</w:t>
      </w:r>
      <w:r>
        <w:rPr>
          <w:rFonts w:ascii="宋体" w:hAnsi="宋体"/>
          <w:sz w:val="24"/>
        </w:rPr>
        <w:t>矿井设计资源/储量</w:t>
      </w:r>
    </w:p>
    <w:p w14:paraId="33704803">
      <w:pPr>
        <w:spacing w:line="360" w:lineRule="auto"/>
        <w:ind w:firstLine="480" w:firstLineChars="200"/>
        <w:rPr>
          <w:rFonts w:hint="eastAsia" w:ascii="宋体" w:hAnsi="宋体"/>
          <w:sz w:val="24"/>
        </w:rPr>
      </w:pPr>
      <w:r>
        <w:rPr>
          <w:rFonts w:hint="eastAsia" w:ascii="宋体" w:hAnsi="宋体"/>
          <w:sz w:val="24"/>
        </w:rPr>
        <w:t>根据中华人民共和国国家标准GB50399－2006《煤炭工业小型矿井设计规范》的规定，计算矿井设计资源/储量时，应从工业资源/储量中减去断层、防水、井田境界、地面建（构）筑物等永久煤柱煤量及因法律、社会和环保等因素不得开采的煤量。因此，水城县玉舍大坪煤矿设计利用储量计算如下：</w:t>
      </w:r>
    </w:p>
    <w:p w14:paraId="3FF002F2">
      <w:pPr>
        <w:spacing w:line="360" w:lineRule="auto"/>
        <w:ind w:firstLine="480" w:firstLineChars="200"/>
        <w:rPr>
          <w:rFonts w:hint="eastAsia" w:ascii="宋体" w:hAnsi="宋体"/>
          <w:sz w:val="24"/>
        </w:rPr>
      </w:pPr>
      <w:r>
        <w:rPr>
          <w:rFonts w:hint="eastAsia" w:ascii="宋体" w:hAnsi="宋体"/>
          <w:sz w:val="24"/>
        </w:rPr>
        <w:t>① 永久煤柱留取原则</w:t>
      </w:r>
    </w:p>
    <w:p w14:paraId="24FFF01B">
      <w:pPr>
        <w:spacing w:line="360" w:lineRule="auto"/>
        <w:ind w:firstLine="480" w:firstLineChars="200"/>
        <w:rPr>
          <w:rFonts w:hint="eastAsia" w:ascii="宋体" w:hAnsi="宋体"/>
          <w:sz w:val="24"/>
          <w:u w:val="single"/>
        </w:rPr>
      </w:pPr>
      <w:r>
        <w:rPr>
          <w:rFonts w:hint="eastAsia" w:ascii="宋体" w:hAnsi="宋体"/>
          <w:sz w:val="24"/>
          <w:u w:val="single"/>
        </w:rPr>
        <w:t>永久井田境界煤柱：根据</w:t>
      </w:r>
      <w:r>
        <w:rPr>
          <w:rFonts w:ascii="宋体" w:hAnsi="宋体"/>
          <w:sz w:val="24"/>
          <w:u w:val="single"/>
        </w:rPr>
        <w:t>《</w:t>
      </w:r>
      <w:r>
        <w:rPr>
          <w:rFonts w:hint="eastAsia" w:ascii="宋体" w:hAnsi="宋体"/>
          <w:sz w:val="24"/>
          <w:u w:val="single"/>
        </w:rPr>
        <w:t>煤矿防治水规定</w:t>
      </w:r>
      <w:r>
        <w:rPr>
          <w:rFonts w:ascii="宋体" w:hAnsi="宋体"/>
          <w:sz w:val="24"/>
          <w:u w:val="single"/>
        </w:rPr>
        <w:t>》</w:t>
      </w:r>
      <w:r>
        <w:rPr>
          <w:rFonts w:hint="eastAsia" w:ascii="宋体" w:hAnsi="宋体"/>
          <w:sz w:val="24"/>
          <w:u w:val="single"/>
        </w:rPr>
        <w:t>（2009版）附录三第八点，</w:t>
      </w:r>
      <w:r>
        <w:rPr>
          <w:rFonts w:ascii="宋体" w:hAnsi="宋体"/>
          <w:sz w:val="24"/>
          <w:u w:val="single"/>
        </w:rPr>
        <w:t>相邻矿（井）人为边界防隔水煤（岩）柱的留设</w:t>
      </w:r>
      <w:r>
        <w:rPr>
          <w:rFonts w:hint="eastAsia" w:ascii="宋体" w:hAnsi="宋体"/>
          <w:sz w:val="24"/>
          <w:u w:val="single"/>
        </w:rPr>
        <w:t>，</w:t>
      </w:r>
      <w:r>
        <w:rPr>
          <w:rFonts w:ascii="宋体" w:hAnsi="宋体"/>
          <w:sz w:val="24"/>
          <w:u w:val="single"/>
        </w:rPr>
        <w:t>水文地质简单型到中等型的矿井，可采用垂直法留设，但总宽度不得小于40m</w:t>
      </w:r>
      <w:r>
        <w:rPr>
          <w:rFonts w:hint="eastAsia" w:ascii="宋体" w:hAnsi="宋体"/>
          <w:sz w:val="24"/>
          <w:u w:val="single"/>
        </w:rPr>
        <w:t>，因此，本矿以所划定的矿区开采边界的铅垂线至所采煤层的投影线内推20m进行计算。</w:t>
      </w:r>
    </w:p>
    <w:p w14:paraId="2A829BFE">
      <w:pPr>
        <w:spacing w:line="360" w:lineRule="auto"/>
        <w:ind w:firstLine="480" w:firstLineChars="200"/>
        <w:rPr>
          <w:rFonts w:hint="eastAsia" w:ascii="宋体" w:hAnsi="宋体"/>
          <w:sz w:val="24"/>
          <w:u w:val="single"/>
        </w:rPr>
      </w:pPr>
      <w:r>
        <w:rPr>
          <w:rFonts w:hint="eastAsia" w:ascii="宋体" w:hAnsi="宋体"/>
          <w:sz w:val="24"/>
          <w:u w:val="single"/>
        </w:rPr>
        <w:t>采空区防水煤柱：</w:t>
      </w:r>
    </w:p>
    <w:p w14:paraId="02BA2F3B">
      <w:pPr>
        <w:pStyle w:val="89"/>
        <w:ind w:firstLine="480" w:firstLineChars="200"/>
        <w:rPr>
          <w:rFonts w:hint="eastAsia" w:hAnsi="宋体"/>
          <w:color w:val="000000"/>
          <w:u w:val="single"/>
        </w:rPr>
      </w:pPr>
      <w:r>
        <w:rPr>
          <w:rFonts w:hint="eastAsia" w:hAnsi="宋体"/>
          <w:color w:val="000000"/>
          <w:u w:val="single"/>
        </w:rPr>
        <w:t>①在采空区或老空积水区下掘进时，巷道与水体之间的最小距离不得小于巷道高度的</w:t>
      </w:r>
      <w:r>
        <w:rPr>
          <w:rFonts w:hAnsi="宋体"/>
          <w:color w:val="000000"/>
          <w:u w:val="single"/>
        </w:rPr>
        <w:t>10</w:t>
      </w:r>
      <w:r>
        <w:rPr>
          <w:rFonts w:hint="eastAsia" w:hAnsi="宋体"/>
          <w:color w:val="000000"/>
          <w:u w:val="single"/>
        </w:rPr>
        <w:t>倍。</w:t>
      </w:r>
    </w:p>
    <w:p w14:paraId="2E19B968">
      <w:pPr>
        <w:pStyle w:val="89"/>
        <w:ind w:firstLine="480" w:firstLineChars="200"/>
        <w:rPr>
          <w:rFonts w:hint="eastAsia" w:hAnsi="宋体"/>
          <w:color w:val="000000"/>
          <w:szCs w:val="24"/>
          <w:u w:val="single"/>
        </w:rPr>
      </w:pPr>
      <w:r>
        <w:rPr>
          <w:rFonts w:hint="eastAsia" w:hAnsi="宋体"/>
          <w:color w:val="000000"/>
          <w:szCs w:val="24"/>
          <w:u w:val="single"/>
        </w:rPr>
        <w:t>②采空区或老空积水区下同一煤层中进行开采时，若采空区或老空积水区的界线已基本查明，隔水煤柱的尺寸应按含水或导水断层防隔水煤柱的留设要求留设。</w:t>
      </w:r>
    </w:p>
    <w:p w14:paraId="7FA6D431">
      <w:pPr>
        <w:pStyle w:val="32"/>
        <w:ind w:firstLine="480" w:firstLineChars="200"/>
        <w:rPr>
          <w:rFonts w:hint="eastAsia"/>
          <w:color w:val="000000"/>
          <w:u w:val="single"/>
        </w:rPr>
      </w:pPr>
      <w:r>
        <w:rPr>
          <w:rFonts w:hint="eastAsia"/>
          <w:color w:val="000000"/>
          <w:u w:val="single"/>
        </w:rPr>
        <w:t>L</w:t>
      </w:r>
      <w:r>
        <w:rPr>
          <w:rFonts w:hint="eastAsia"/>
          <w:color w:val="000000"/>
          <w:u w:val="single"/>
          <w:lang w:val="en-GB"/>
        </w:rPr>
        <w:t>＝</w:t>
      </w:r>
      <w:r>
        <w:rPr>
          <w:rFonts w:hint="eastAsia"/>
          <w:color w:val="000000"/>
          <w:u w:val="single"/>
        </w:rPr>
        <w:t>0.5KM</w:t>
      </w:r>
      <w:r>
        <w:rPr>
          <w:color w:val="000000"/>
          <w:position w:val="-12"/>
          <w:u w:val="single"/>
        </w:rPr>
        <w:object>
          <v:shape id="_x0000_i1046" o:spt="75" type="#_x0000_t75" style="height:20pt;width:49pt;" o:ole="t" filled="f" stroked="f" coordsize="21600,21600">
            <v:path/>
            <v:fill on="f" alignshape="1" focussize="0,0"/>
            <v:stroke on="f"/>
            <v:imagedata r:id="rId59" o:title=""/>
            <o:lock v:ext="edit" aspectratio="t"/>
            <w10:wrap type="none"/>
            <w10:anchorlock/>
          </v:shape>
          <o:OLEObject Type="Embed" ProgID="Equation.3" ShapeID="_x0000_i1046" DrawAspect="Content" ObjectID="_1468075746" r:id="rId58">
            <o:LockedField>false</o:LockedField>
          </o:OLEObject>
        </w:object>
      </w:r>
    </w:p>
    <w:p w14:paraId="1E9B7493">
      <w:pPr>
        <w:pStyle w:val="32"/>
        <w:ind w:firstLine="480" w:firstLineChars="200"/>
        <w:rPr>
          <w:rFonts w:hint="eastAsia"/>
          <w:color w:val="000000"/>
          <w:u w:val="single"/>
        </w:rPr>
      </w:pPr>
      <w:r>
        <w:rPr>
          <w:rFonts w:hint="eastAsia"/>
          <w:color w:val="000000"/>
          <w:u w:val="single"/>
        </w:rPr>
        <w:t>式中：L——顺层防水煤柱宽度（m）；</w:t>
      </w:r>
    </w:p>
    <w:p w14:paraId="40D0CCE0">
      <w:pPr>
        <w:pStyle w:val="32"/>
        <w:ind w:firstLine="1200" w:firstLineChars="500"/>
        <w:rPr>
          <w:rFonts w:hint="eastAsia"/>
          <w:color w:val="000000"/>
          <w:u w:val="single"/>
        </w:rPr>
      </w:pPr>
      <w:r>
        <w:rPr>
          <w:rFonts w:hint="eastAsia"/>
          <w:color w:val="000000"/>
          <w:u w:val="single"/>
        </w:rPr>
        <w:t>M——煤厚或采高；</w:t>
      </w:r>
    </w:p>
    <w:p w14:paraId="7B07A7BC">
      <w:pPr>
        <w:pStyle w:val="32"/>
        <w:ind w:firstLine="1200" w:firstLineChars="500"/>
        <w:rPr>
          <w:rFonts w:hint="eastAsia"/>
          <w:color w:val="000000"/>
          <w:u w:val="single"/>
        </w:rPr>
      </w:pPr>
      <w:r>
        <w:rPr>
          <w:rFonts w:hint="eastAsia"/>
          <w:color w:val="000000"/>
          <w:u w:val="single"/>
        </w:rPr>
        <w:t>K</w:t>
      </w:r>
      <w:r>
        <w:rPr>
          <w:rFonts w:hint="eastAsia"/>
          <w:color w:val="000000"/>
          <w:u w:val="single"/>
          <w:vertAlign w:val="subscript"/>
        </w:rPr>
        <w:t>P</w:t>
      </w:r>
      <w:r>
        <w:rPr>
          <w:rFonts w:hint="eastAsia"/>
          <w:color w:val="000000"/>
          <w:u w:val="single"/>
        </w:rPr>
        <w:t>——煤的抗张强度（kgf/cm</w:t>
      </w:r>
      <w:r>
        <w:rPr>
          <w:rFonts w:hint="eastAsia"/>
          <w:color w:val="000000"/>
          <w:u w:val="single"/>
          <w:vertAlign w:val="superscript"/>
        </w:rPr>
        <w:t>2</w:t>
      </w:r>
      <w:r>
        <w:rPr>
          <w:rFonts w:hint="eastAsia"/>
          <w:color w:val="000000"/>
          <w:u w:val="single"/>
        </w:rPr>
        <w:t>），K</w:t>
      </w:r>
      <w:r>
        <w:rPr>
          <w:rFonts w:hint="eastAsia"/>
          <w:color w:val="000000"/>
          <w:u w:val="single"/>
          <w:vertAlign w:val="subscript"/>
        </w:rPr>
        <w:t>P</w:t>
      </w:r>
      <w:r>
        <w:rPr>
          <w:rFonts w:hint="eastAsia"/>
          <w:color w:val="000000"/>
          <w:u w:val="single"/>
        </w:rPr>
        <w:t>取8kgf/cm</w:t>
      </w:r>
      <w:r>
        <w:rPr>
          <w:rFonts w:hint="eastAsia"/>
          <w:color w:val="000000"/>
          <w:u w:val="single"/>
          <w:vertAlign w:val="superscript"/>
        </w:rPr>
        <w:t>2</w:t>
      </w:r>
      <w:r>
        <w:rPr>
          <w:rFonts w:hint="eastAsia"/>
          <w:color w:val="000000"/>
          <w:u w:val="single"/>
        </w:rPr>
        <w:t>；</w:t>
      </w:r>
    </w:p>
    <w:p w14:paraId="62F11BAF">
      <w:pPr>
        <w:pStyle w:val="32"/>
        <w:ind w:firstLine="1200" w:firstLineChars="500"/>
        <w:rPr>
          <w:rFonts w:hint="eastAsia"/>
          <w:color w:val="000000"/>
          <w:u w:val="single"/>
        </w:rPr>
      </w:pPr>
      <w:r>
        <w:rPr>
          <w:rFonts w:hint="eastAsia"/>
          <w:color w:val="000000"/>
          <w:u w:val="single"/>
        </w:rPr>
        <w:t>P——水头压力（kgf/cm</w:t>
      </w:r>
      <w:r>
        <w:rPr>
          <w:rFonts w:hint="eastAsia"/>
          <w:color w:val="000000"/>
          <w:u w:val="single"/>
          <w:vertAlign w:val="superscript"/>
        </w:rPr>
        <w:t>2</w:t>
      </w:r>
      <w:r>
        <w:rPr>
          <w:rFonts w:hint="eastAsia"/>
          <w:color w:val="000000"/>
          <w:u w:val="single"/>
        </w:rPr>
        <w:t>），P＝50kgf/cm</w:t>
      </w:r>
      <w:r>
        <w:rPr>
          <w:rFonts w:hint="eastAsia"/>
          <w:color w:val="000000"/>
          <w:u w:val="single"/>
          <w:vertAlign w:val="superscript"/>
        </w:rPr>
        <w:t>2</w:t>
      </w:r>
      <w:r>
        <w:rPr>
          <w:rFonts w:hint="eastAsia"/>
          <w:color w:val="000000"/>
          <w:u w:val="single"/>
        </w:rPr>
        <w:t>；</w:t>
      </w:r>
    </w:p>
    <w:p w14:paraId="08C17EE7">
      <w:pPr>
        <w:pStyle w:val="32"/>
        <w:ind w:firstLine="1200" w:firstLineChars="500"/>
        <w:rPr>
          <w:rFonts w:hint="eastAsia"/>
          <w:color w:val="000000"/>
          <w:u w:val="single"/>
        </w:rPr>
      </w:pPr>
      <w:r>
        <w:rPr>
          <w:rFonts w:hint="eastAsia"/>
          <w:color w:val="000000"/>
          <w:u w:val="single"/>
        </w:rPr>
        <w:t>K——安全系数，一般取2～5，本设计取5。</w:t>
      </w:r>
    </w:p>
    <w:p w14:paraId="0B30D0A4">
      <w:pPr>
        <w:spacing w:line="360" w:lineRule="auto"/>
        <w:ind w:firstLine="480" w:firstLineChars="200"/>
        <w:rPr>
          <w:color w:val="000000"/>
          <w:sz w:val="24"/>
          <w:u w:val="single"/>
        </w:rPr>
      </w:pPr>
      <w:r>
        <w:rPr>
          <w:rFonts w:hint="eastAsia"/>
          <w:color w:val="000000"/>
          <w:sz w:val="24"/>
          <w:u w:val="single"/>
        </w:rPr>
        <w:t>③在采空区或老窑积水区下的煤层进行回采时，防水煤（岩）柱的尺寸不得小于导水裂</w:t>
      </w:r>
      <w:r>
        <w:rPr>
          <w:color w:val="000000"/>
          <w:sz w:val="24"/>
          <w:u w:val="single"/>
        </w:rPr>
        <w:t>隙带最大高度与保护带厚度之和</w:t>
      </w:r>
      <w:r>
        <w:rPr>
          <w:rFonts w:hint="eastAsia"/>
          <w:color w:val="000000"/>
          <w:sz w:val="24"/>
          <w:u w:val="single"/>
        </w:rPr>
        <w:t>，该计算方法与</w:t>
      </w:r>
      <w:r>
        <w:rPr>
          <w:color w:val="000000"/>
          <w:sz w:val="24"/>
          <w:u w:val="single"/>
        </w:rPr>
        <w:t>煤层露头防隔水煤柱的留设</w:t>
      </w:r>
      <w:r>
        <w:rPr>
          <w:rFonts w:hint="eastAsia"/>
          <w:color w:val="000000"/>
          <w:sz w:val="24"/>
          <w:u w:val="single"/>
        </w:rPr>
        <w:t>方法一致，按</w:t>
      </w:r>
      <w:r>
        <w:rPr>
          <w:color w:val="000000"/>
          <w:sz w:val="24"/>
          <w:u w:val="single"/>
        </w:rPr>
        <w:t>煤层露头无覆盖或被黏土类微透水松散层覆盖时</w:t>
      </w:r>
      <w:r>
        <w:rPr>
          <w:rFonts w:hint="eastAsia"/>
          <w:color w:val="000000"/>
          <w:sz w:val="24"/>
          <w:u w:val="single"/>
        </w:rPr>
        <w:t>计算</w:t>
      </w:r>
      <w:r>
        <w:rPr>
          <w:color w:val="000000"/>
          <w:sz w:val="24"/>
          <w:u w:val="single"/>
        </w:rPr>
        <w:t>：</w:t>
      </w:r>
    </w:p>
    <w:p w14:paraId="5FC9C10E">
      <w:pPr>
        <w:spacing w:line="360" w:lineRule="auto"/>
        <w:ind w:firstLine="480" w:firstLineChars="200"/>
        <w:rPr>
          <w:color w:val="000000"/>
          <w:sz w:val="24"/>
          <w:u w:val="single"/>
        </w:rPr>
      </w:pPr>
      <w:r>
        <w:rPr>
          <w:color w:val="000000"/>
          <w:sz w:val="24"/>
          <w:u w:val="single"/>
        </w:rPr>
        <w:t>Hf=Hk+Hb</w:t>
      </w:r>
    </w:p>
    <w:p w14:paraId="66D7ACF5">
      <w:pPr>
        <w:spacing w:line="360" w:lineRule="auto"/>
        <w:ind w:firstLine="480" w:firstLineChars="200"/>
        <w:rPr>
          <w:color w:val="000000"/>
          <w:sz w:val="24"/>
          <w:u w:val="single"/>
        </w:rPr>
      </w:pPr>
      <w:r>
        <w:rPr>
          <w:color w:val="000000"/>
          <w:sz w:val="24"/>
          <w:u w:val="single"/>
        </w:rPr>
        <w:t>式中</w:t>
      </w:r>
      <w:r>
        <w:rPr>
          <w:rFonts w:hint="eastAsia"/>
          <w:color w:val="000000"/>
          <w:sz w:val="24"/>
          <w:u w:val="single"/>
        </w:rPr>
        <w:t>：</w:t>
      </w:r>
      <w:r>
        <w:rPr>
          <w:color w:val="000000"/>
          <w:sz w:val="24"/>
          <w:u w:val="single"/>
        </w:rPr>
        <w:t>Hf</w:t>
      </w:r>
      <w:r>
        <w:rPr>
          <w:rFonts w:hint="eastAsia"/>
          <w:color w:val="000000"/>
          <w:sz w:val="24"/>
          <w:u w:val="single"/>
        </w:rPr>
        <w:t>—</w:t>
      </w:r>
      <w:r>
        <w:rPr>
          <w:color w:val="000000"/>
          <w:sz w:val="24"/>
          <w:u w:val="single"/>
        </w:rPr>
        <w:t>防隔水煤（岩）柱高度，m；</w:t>
      </w:r>
    </w:p>
    <w:p w14:paraId="1CEFC1DA">
      <w:pPr>
        <w:spacing w:line="360" w:lineRule="auto"/>
        <w:ind w:firstLine="1200" w:firstLineChars="500"/>
        <w:rPr>
          <w:rFonts w:hint="eastAsia"/>
          <w:color w:val="000000"/>
          <w:sz w:val="24"/>
          <w:u w:val="single"/>
        </w:rPr>
      </w:pPr>
      <w:r>
        <w:rPr>
          <w:color w:val="000000"/>
          <w:sz w:val="24"/>
          <w:u w:val="single"/>
        </w:rPr>
        <w:t>Hk</w:t>
      </w:r>
      <w:r>
        <w:rPr>
          <w:rFonts w:hint="eastAsia"/>
          <w:color w:val="000000"/>
          <w:sz w:val="24"/>
          <w:u w:val="single"/>
        </w:rPr>
        <w:t>—</w:t>
      </w:r>
      <w:r>
        <w:rPr>
          <w:color w:val="000000"/>
          <w:sz w:val="24"/>
          <w:u w:val="single"/>
        </w:rPr>
        <w:t>采后垮落带高度，m；</w:t>
      </w:r>
    </w:p>
    <w:p w14:paraId="6C5731A4">
      <w:pPr>
        <w:spacing w:line="360" w:lineRule="auto"/>
        <w:ind w:firstLine="1200" w:firstLineChars="500"/>
        <w:rPr>
          <w:rFonts w:hint="eastAsia"/>
          <w:color w:val="000000"/>
          <w:sz w:val="24"/>
          <w:u w:val="single"/>
        </w:rPr>
      </w:pPr>
      <w:r>
        <w:rPr>
          <w:color w:val="000000"/>
          <w:sz w:val="24"/>
          <w:u w:val="single"/>
        </w:rPr>
        <w:t>Hb</w:t>
      </w:r>
      <w:r>
        <w:rPr>
          <w:rFonts w:hint="eastAsia"/>
          <w:color w:val="000000"/>
          <w:sz w:val="24"/>
          <w:u w:val="single"/>
        </w:rPr>
        <w:t>—</w:t>
      </w:r>
      <w:r>
        <w:rPr>
          <w:color w:val="000000"/>
          <w:sz w:val="24"/>
          <w:u w:val="single"/>
        </w:rPr>
        <w:t>保护层厚度，m；</w:t>
      </w:r>
    </w:p>
    <w:p w14:paraId="2B67BC6F">
      <w:pPr>
        <w:spacing w:line="360" w:lineRule="auto"/>
        <w:ind w:firstLine="480" w:firstLineChars="200"/>
        <w:rPr>
          <w:rFonts w:hint="eastAsia"/>
          <w:color w:val="000000"/>
          <w:sz w:val="24"/>
          <w:u w:val="single"/>
        </w:rPr>
      </w:pPr>
      <w:r>
        <w:rPr>
          <w:rFonts w:hint="eastAsia"/>
          <w:color w:val="000000"/>
          <w:sz w:val="24"/>
          <w:u w:val="single"/>
        </w:rPr>
        <w:t>各煤层</w:t>
      </w:r>
      <w:r>
        <w:rPr>
          <w:color w:val="000000"/>
          <w:sz w:val="24"/>
          <w:u w:val="single"/>
        </w:rPr>
        <w:t>煤层露头防隔水煤柱</w:t>
      </w:r>
      <w:r>
        <w:rPr>
          <w:rFonts w:hint="eastAsia"/>
          <w:color w:val="000000"/>
          <w:sz w:val="24"/>
          <w:u w:val="single"/>
        </w:rPr>
        <w:t>计算如下：</w:t>
      </w:r>
    </w:p>
    <w:p w14:paraId="153BBD63">
      <w:pPr>
        <w:spacing w:line="360" w:lineRule="auto"/>
        <w:ind w:firstLine="480" w:firstLineChars="200"/>
        <w:rPr>
          <w:rFonts w:hint="eastAsia"/>
          <w:color w:val="000000"/>
          <w:sz w:val="24"/>
          <w:u w:val="single"/>
        </w:rPr>
      </w:pPr>
      <w:r>
        <w:rPr>
          <w:color w:val="000000"/>
          <w:sz w:val="24"/>
          <w:u w:val="single"/>
        </w:rPr>
        <w:t>K1-b</w:t>
      </w:r>
      <w:r>
        <w:rPr>
          <w:rFonts w:hint="eastAsia"/>
          <w:color w:val="000000"/>
          <w:sz w:val="24"/>
          <w:u w:val="single"/>
        </w:rPr>
        <w:t>煤层：</w:t>
      </w:r>
      <w:r>
        <w:rPr>
          <w:color w:val="000000"/>
          <w:sz w:val="24"/>
          <w:u w:val="single"/>
        </w:rPr>
        <w:t>Hf</w:t>
      </w:r>
      <w:r>
        <w:rPr>
          <w:rFonts w:hint="eastAsia"/>
          <w:color w:val="000000"/>
          <w:sz w:val="24"/>
          <w:u w:val="single"/>
        </w:rPr>
        <w:t>＝[100×2.3÷(3.3×2.3+3.8)+5.1]+（3×2.3）＝32.19</w:t>
      </w:r>
    </w:p>
    <w:p w14:paraId="2B26E115">
      <w:pPr>
        <w:spacing w:line="360" w:lineRule="auto"/>
        <w:ind w:firstLine="480" w:firstLineChars="200"/>
        <w:rPr>
          <w:rFonts w:hint="eastAsia"/>
          <w:color w:val="000000"/>
          <w:sz w:val="24"/>
          <w:u w:val="single"/>
        </w:rPr>
      </w:pPr>
      <w:r>
        <w:rPr>
          <w:rFonts w:hint="eastAsia"/>
          <w:color w:val="000000"/>
          <w:sz w:val="24"/>
          <w:u w:val="single"/>
        </w:rPr>
        <w:t>K3煤层：</w:t>
      </w:r>
      <w:r>
        <w:rPr>
          <w:color w:val="000000"/>
          <w:sz w:val="24"/>
          <w:u w:val="single"/>
        </w:rPr>
        <w:t>Hf</w:t>
      </w:r>
      <w:r>
        <w:rPr>
          <w:rFonts w:hint="eastAsia"/>
          <w:color w:val="000000"/>
          <w:sz w:val="24"/>
          <w:u w:val="single"/>
        </w:rPr>
        <w:t>＝[100×1.13÷(3.3×1.13+3.8)+5.1]+（3×1.13）＝23.50（m）</w:t>
      </w:r>
    </w:p>
    <w:p w14:paraId="4F4159D6">
      <w:pPr>
        <w:spacing w:line="360" w:lineRule="auto"/>
        <w:ind w:firstLine="480" w:firstLineChars="200"/>
        <w:rPr>
          <w:rFonts w:hint="eastAsia"/>
          <w:color w:val="000000"/>
          <w:sz w:val="24"/>
          <w:u w:val="single"/>
        </w:rPr>
      </w:pPr>
      <w:r>
        <w:rPr>
          <w:rFonts w:hint="eastAsia"/>
          <w:color w:val="000000"/>
          <w:sz w:val="24"/>
          <w:u w:val="single"/>
        </w:rPr>
        <w:t>K9煤层：</w:t>
      </w:r>
      <w:r>
        <w:rPr>
          <w:color w:val="000000"/>
          <w:sz w:val="24"/>
          <w:u w:val="single"/>
        </w:rPr>
        <w:t>Hf</w:t>
      </w:r>
      <w:r>
        <w:rPr>
          <w:rFonts w:hint="eastAsia"/>
          <w:color w:val="000000"/>
          <w:sz w:val="24"/>
          <w:u w:val="single"/>
        </w:rPr>
        <w:t>＝[100×1.32÷(3.3×1.32+3.8)+5.1]+（3×1.32）＝25.24（m）</w:t>
      </w:r>
    </w:p>
    <w:p w14:paraId="087F57B1">
      <w:pPr>
        <w:spacing w:line="360" w:lineRule="auto"/>
        <w:ind w:firstLine="480" w:firstLineChars="200"/>
        <w:rPr>
          <w:rFonts w:hint="eastAsia"/>
          <w:color w:val="000000"/>
          <w:sz w:val="24"/>
          <w:u w:val="single"/>
        </w:rPr>
      </w:pPr>
      <w:r>
        <w:rPr>
          <w:rFonts w:hint="eastAsia"/>
          <w:color w:val="000000"/>
          <w:sz w:val="24"/>
          <w:u w:val="single"/>
        </w:rPr>
        <w:t>K10煤层：</w:t>
      </w:r>
      <w:r>
        <w:rPr>
          <w:color w:val="000000"/>
          <w:sz w:val="24"/>
          <w:u w:val="single"/>
        </w:rPr>
        <w:t>Hf</w:t>
      </w:r>
      <w:r>
        <w:rPr>
          <w:rFonts w:hint="eastAsia"/>
          <w:color w:val="000000"/>
          <w:sz w:val="24"/>
          <w:u w:val="single"/>
        </w:rPr>
        <w:t>＝[100×1.17÷(3.3×1.17+3.8)+5.1]+（3×1.17）＝23.88（m）</w:t>
      </w:r>
    </w:p>
    <w:p w14:paraId="69DD9F90">
      <w:pPr>
        <w:spacing w:line="360" w:lineRule="auto"/>
        <w:ind w:firstLine="480" w:firstLineChars="200"/>
        <w:rPr>
          <w:rFonts w:hint="eastAsia"/>
          <w:color w:val="000000"/>
          <w:sz w:val="24"/>
          <w:u w:val="single"/>
        </w:rPr>
      </w:pPr>
      <w:r>
        <w:rPr>
          <w:rFonts w:hint="eastAsia"/>
          <w:color w:val="000000"/>
          <w:sz w:val="24"/>
          <w:u w:val="single"/>
        </w:rPr>
        <w:t>K13煤层：</w:t>
      </w:r>
      <w:r>
        <w:rPr>
          <w:color w:val="000000"/>
          <w:sz w:val="24"/>
          <w:u w:val="single"/>
        </w:rPr>
        <w:t>Hf</w:t>
      </w:r>
      <w:r>
        <w:rPr>
          <w:rFonts w:hint="eastAsia"/>
          <w:color w:val="000000"/>
          <w:sz w:val="24"/>
          <w:u w:val="single"/>
        </w:rPr>
        <w:t>＝[100×1.69÷(3.3×1.69+3.8)+5.1]+（3×1.69）＝28.19（m）</w:t>
      </w:r>
    </w:p>
    <w:p w14:paraId="3ADD2D47">
      <w:pPr>
        <w:spacing w:line="360" w:lineRule="auto"/>
        <w:ind w:firstLine="480" w:firstLineChars="200"/>
        <w:rPr>
          <w:rFonts w:hint="eastAsia"/>
          <w:color w:val="000000"/>
          <w:sz w:val="24"/>
          <w:u w:val="single"/>
        </w:rPr>
      </w:pPr>
      <w:r>
        <w:rPr>
          <w:rFonts w:hint="eastAsia"/>
          <w:color w:val="000000"/>
          <w:sz w:val="24"/>
          <w:u w:val="single"/>
        </w:rPr>
        <w:t>K18煤层：</w:t>
      </w:r>
      <w:r>
        <w:rPr>
          <w:color w:val="000000"/>
          <w:sz w:val="24"/>
          <w:u w:val="single"/>
        </w:rPr>
        <w:t>Hf</w:t>
      </w:r>
      <w:r>
        <w:rPr>
          <w:rFonts w:hint="eastAsia"/>
          <w:color w:val="000000"/>
          <w:sz w:val="24"/>
          <w:u w:val="single"/>
        </w:rPr>
        <w:t>＝[100×3.12÷(3.3×3.12+3.8)+5.1]+（3×3.12）＝37.23（m）</w:t>
      </w:r>
    </w:p>
    <w:p w14:paraId="4D3B2FB4">
      <w:pPr>
        <w:spacing w:line="360" w:lineRule="auto"/>
        <w:ind w:firstLine="480" w:firstLineChars="200"/>
        <w:rPr>
          <w:rFonts w:hint="eastAsia"/>
          <w:color w:val="000000"/>
          <w:sz w:val="24"/>
          <w:u w:val="single"/>
        </w:rPr>
      </w:pPr>
      <w:r>
        <w:rPr>
          <w:rFonts w:hint="eastAsia"/>
          <w:color w:val="000000"/>
          <w:sz w:val="24"/>
          <w:u w:val="single"/>
        </w:rPr>
        <w:t>K26煤层：</w:t>
      </w:r>
      <w:r>
        <w:rPr>
          <w:color w:val="000000"/>
          <w:sz w:val="24"/>
          <w:u w:val="single"/>
        </w:rPr>
        <w:t>Hf</w:t>
      </w:r>
      <w:r>
        <w:rPr>
          <w:rFonts w:hint="eastAsia"/>
          <w:color w:val="000000"/>
          <w:sz w:val="24"/>
          <w:u w:val="single"/>
        </w:rPr>
        <w:t>＝[100×1.57÷(3.3×1.57+3.8)+5.1]+（3×1.57）＝27.29（m）</w:t>
      </w:r>
    </w:p>
    <w:p w14:paraId="72EFF4C3">
      <w:pPr>
        <w:spacing w:line="360" w:lineRule="auto"/>
        <w:ind w:firstLine="480" w:firstLineChars="200"/>
        <w:rPr>
          <w:rFonts w:hint="eastAsia"/>
          <w:color w:val="000000"/>
          <w:sz w:val="24"/>
          <w:u w:val="single"/>
        </w:rPr>
      </w:pPr>
      <w:r>
        <w:rPr>
          <w:color w:val="000000"/>
          <w:sz w:val="24"/>
          <w:u w:val="single"/>
        </w:rPr>
        <w:t>K35-b</w:t>
      </w:r>
      <w:r>
        <w:rPr>
          <w:rFonts w:hint="eastAsia"/>
          <w:color w:val="000000"/>
          <w:sz w:val="24"/>
          <w:u w:val="single"/>
        </w:rPr>
        <w:t>煤层：</w:t>
      </w:r>
      <w:r>
        <w:rPr>
          <w:color w:val="000000"/>
          <w:sz w:val="24"/>
          <w:u w:val="single"/>
        </w:rPr>
        <w:t>Hf</w:t>
      </w:r>
      <w:r>
        <w:rPr>
          <w:rFonts w:hint="eastAsia"/>
          <w:color w:val="000000"/>
          <w:sz w:val="24"/>
          <w:u w:val="single"/>
        </w:rPr>
        <w:t>＝[100×0.81÷(3.3×0.81+3.8)+5.1]+（3×0.81）＝20.04（m）</w:t>
      </w:r>
    </w:p>
    <w:p w14:paraId="0DC9FA7E">
      <w:pPr>
        <w:spacing w:line="360" w:lineRule="auto"/>
        <w:ind w:firstLine="480" w:firstLineChars="200"/>
        <w:rPr>
          <w:rFonts w:hint="eastAsia"/>
          <w:color w:val="000000"/>
          <w:sz w:val="24"/>
          <w:u w:val="single"/>
        </w:rPr>
      </w:pPr>
      <w:r>
        <w:rPr>
          <w:color w:val="000000"/>
          <w:sz w:val="24"/>
          <w:u w:val="single"/>
        </w:rPr>
        <w:t>K</w:t>
      </w:r>
      <w:r>
        <w:rPr>
          <w:rFonts w:hint="eastAsia"/>
          <w:color w:val="000000"/>
          <w:sz w:val="24"/>
          <w:u w:val="single"/>
        </w:rPr>
        <w:t>106</w:t>
      </w:r>
      <w:r>
        <w:rPr>
          <w:color w:val="000000"/>
          <w:sz w:val="24"/>
          <w:u w:val="single"/>
        </w:rPr>
        <w:t>-b</w:t>
      </w:r>
      <w:r>
        <w:rPr>
          <w:rFonts w:hint="eastAsia"/>
          <w:color w:val="000000"/>
          <w:sz w:val="24"/>
          <w:u w:val="single"/>
        </w:rPr>
        <w:t>煤层：</w:t>
      </w:r>
      <w:r>
        <w:rPr>
          <w:color w:val="000000"/>
          <w:sz w:val="24"/>
          <w:u w:val="single"/>
        </w:rPr>
        <w:t>Hf</w:t>
      </w:r>
      <w:r>
        <w:rPr>
          <w:rFonts w:hint="eastAsia"/>
          <w:color w:val="000000"/>
          <w:sz w:val="24"/>
          <w:u w:val="single"/>
        </w:rPr>
        <w:t>＝[100×1.72÷(3.3×1.72+3.8)+5.1]+（3×1.72）＝28.41（m）</w:t>
      </w:r>
    </w:p>
    <w:p w14:paraId="58292BD5">
      <w:pPr>
        <w:spacing w:line="360" w:lineRule="auto"/>
        <w:ind w:firstLine="480" w:firstLineChars="200"/>
        <w:rPr>
          <w:rFonts w:hint="eastAsia"/>
          <w:color w:val="000000"/>
          <w:sz w:val="24"/>
          <w:u w:val="single"/>
        </w:rPr>
      </w:pPr>
      <w:r>
        <w:rPr>
          <w:color w:val="000000"/>
          <w:sz w:val="24"/>
          <w:u w:val="single"/>
        </w:rPr>
        <w:t>K</w:t>
      </w:r>
      <w:r>
        <w:rPr>
          <w:rFonts w:hint="eastAsia"/>
          <w:color w:val="000000"/>
          <w:sz w:val="24"/>
          <w:u w:val="single"/>
        </w:rPr>
        <w:t>109</w:t>
      </w:r>
      <w:r>
        <w:rPr>
          <w:color w:val="000000"/>
          <w:sz w:val="24"/>
          <w:u w:val="single"/>
        </w:rPr>
        <w:t>-b</w:t>
      </w:r>
      <w:r>
        <w:rPr>
          <w:rFonts w:hint="eastAsia"/>
          <w:color w:val="000000"/>
          <w:sz w:val="24"/>
          <w:u w:val="single"/>
        </w:rPr>
        <w:t>煤层：</w:t>
      </w:r>
      <w:r>
        <w:rPr>
          <w:color w:val="000000"/>
          <w:sz w:val="24"/>
          <w:u w:val="single"/>
        </w:rPr>
        <w:t>Hf</w:t>
      </w:r>
      <w:r>
        <w:rPr>
          <w:rFonts w:hint="eastAsia"/>
          <w:color w:val="000000"/>
          <w:sz w:val="24"/>
          <w:u w:val="single"/>
        </w:rPr>
        <w:t>＝[100×1.58÷(3.3×1.58+3.8)+5.1]+（3×1.58）＝27.37（m）</w:t>
      </w:r>
    </w:p>
    <w:p w14:paraId="1E8D89E1">
      <w:pPr>
        <w:spacing w:line="360" w:lineRule="auto"/>
        <w:ind w:firstLine="480" w:firstLineChars="200"/>
        <w:rPr>
          <w:rFonts w:hint="eastAsia"/>
          <w:color w:val="000000"/>
          <w:sz w:val="24"/>
          <w:u w:val="single"/>
        </w:rPr>
      </w:pPr>
      <w:r>
        <w:rPr>
          <w:color w:val="000000"/>
          <w:sz w:val="24"/>
          <w:u w:val="single"/>
        </w:rPr>
        <w:t>K</w:t>
      </w:r>
      <w:r>
        <w:rPr>
          <w:rFonts w:hint="eastAsia"/>
          <w:color w:val="000000"/>
          <w:sz w:val="24"/>
          <w:u w:val="single"/>
        </w:rPr>
        <w:t>110</w:t>
      </w:r>
      <w:r>
        <w:rPr>
          <w:color w:val="000000"/>
          <w:sz w:val="24"/>
          <w:u w:val="single"/>
        </w:rPr>
        <w:t>-</w:t>
      </w:r>
      <w:r>
        <w:rPr>
          <w:rFonts w:hint="eastAsia"/>
          <w:color w:val="000000"/>
          <w:sz w:val="24"/>
          <w:u w:val="single"/>
        </w:rPr>
        <w:t>a煤层：</w:t>
      </w:r>
      <w:r>
        <w:rPr>
          <w:color w:val="000000"/>
          <w:sz w:val="24"/>
          <w:u w:val="single"/>
        </w:rPr>
        <w:t>Hf</w:t>
      </w:r>
      <w:r>
        <w:rPr>
          <w:rFonts w:hint="eastAsia"/>
          <w:color w:val="000000"/>
          <w:sz w:val="24"/>
          <w:u w:val="single"/>
        </w:rPr>
        <w:t>＝[100×1.48÷(3.3×1.48+3.8)+5.1]+（3×1.48）＝26.58（m）</w:t>
      </w:r>
    </w:p>
    <w:p w14:paraId="65376416">
      <w:pPr>
        <w:spacing w:line="360" w:lineRule="auto"/>
        <w:ind w:firstLine="480" w:firstLineChars="200"/>
        <w:rPr>
          <w:rFonts w:hint="eastAsia"/>
          <w:color w:val="000000"/>
          <w:sz w:val="24"/>
          <w:u w:val="single"/>
        </w:rPr>
      </w:pPr>
      <w:r>
        <w:rPr>
          <w:rFonts w:hint="eastAsia"/>
          <w:color w:val="000000"/>
          <w:sz w:val="24"/>
          <w:u w:val="single"/>
        </w:rPr>
        <w:t>按以上公式取煤层平均厚度进行计算分析，除K18煤层计算值大于35m，其他计算值均小于35m，因此，为确保安全起见，采空区防水煤柱（</w:t>
      </w:r>
      <w:r>
        <w:rPr>
          <w:color w:val="000000"/>
          <w:sz w:val="24"/>
          <w:u w:val="single"/>
        </w:rPr>
        <w:t>煤层露头防隔水煤柱</w:t>
      </w:r>
      <w:r>
        <w:rPr>
          <w:rFonts w:hint="eastAsia"/>
          <w:color w:val="000000"/>
          <w:sz w:val="24"/>
          <w:u w:val="single"/>
        </w:rPr>
        <w:t>）除K18煤层取40m外，其他煤层设计取35m作为采空区防水煤柱（</w:t>
      </w:r>
      <w:r>
        <w:rPr>
          <w:color w:val="000000"/>
          <w:sz w:val="24"/>
          <w:u w:val="single"/>
        </w:rPr>
        <w:t>煤层露头防隔水煤柱</w:t>
      </w:r>
      <w:r>
        <w:rPr>
          <w:rFonts w:hint="eastAsia"/>
          <w:color w:val="000000"/>
          <w:sz w:val="24"/>
          <w:u w:val="single"/>
        </w:rPr>
        <w:t>）。</w:t>
      </w:r>
    </w:p>
    <w:p w14:paraId="426B7F79">
      <w:pPr>
        <w:spacing w:line="360" w:lineRule="auto"/>
        <w:ind w:firstLine="480" w:firstLineChars="200"/>
        <w:rPr>
          <w:rFonts w:hint="eastAsia" w:ascii="宋体" w:hAnsi="宋体"/>
          <w:sz w:val="24"/>
        </w:rPr>
      </w:pPr>
      <w:r>
        <w:rPr>
          <w:rFonts w:hint="eastAsia" w:ascii="宋体" w:hAnsi="宋体"/>
          <w:sz w:val="24"/>
        </w:rPr>
        <w:t>② 永久煤柱损失</w:t>
      </w:r>
    </w:p>
    <w:p w14:paraId="69108744">
      <w:pPr>
        <w:spacing w:line="360" w:lineRule="auto"/>
        <w:ind w:firstLine="480" w:firstLineChars="200"/>
        <w:rPr>
          <w:rFonts w:hint="eastAsia" w:ascii="宋体" w:hAnsi="宋体"/>
          <w:sz w:val="24"/>
        </w:rPr>
      </w:pPr>
      <w:r>
        <w:rPr>
          <w:rFonts w:hint="eastAsia" w:ascii="宋体" w:hAnsi="宋体"/>
          <w:sz w:val="24"/>
        </w:rPr>
        <w:t xml:space="preserve">本方案主要对井田境界及采空区防水计算永久煤柱，矿区永久煤柱损失计算详见 </w:t>
      </w:r>
      <w:r>
        <w:rPr>
          <w:rFonts w:hint="eastAsia" w:ascii="宋体" w:hAnsi="宋体"/>
          <w:b/>
          <w:sz w:val="24"/>
        </w:rPr>
        <w:t>表2－1－3</w:t>
      </w:r>
      <w:r>
        <w:rPr>
          <w:rFonts w:hint="eastAsia" w:ascii="宋体" w:hAnsi="宋体"/>
          <w:sz w:val="24"/>
        </w:rPr>
        <w:t>。</w:t>
      </w:r>
    </w:p>
    <w:p w14:paraId="3BE52CE0">
      <w:pPr>
        <w:spacing w:line="360" w:lineRule="auto"/>
        <w:ind w:firstLine="480" w:firstLineChars="200"/>
        <w:rPr>
          <w:rFonts w:hint="eastAsia" w:ascii="宋体" w:hAnsi="宋体"/>
          <w:sz w:val="24"/>
        </w:rPr>
      </w:pPr>
      <w:r>
        <w:rPr>
          <w:rFonts w:hint="eastAsia" w:ascii="宋体" w:hAnsi="宋体"/>
          <w:sz w:val="24"/>
        </w:rPr>
        <w:t>表内的永久煤柱损失量按公式：面积/COS（倾角）×煤层厚度×容重×0.8分别计算得出｛矿区内（333）资源量可信度系数按0.8计算｝</w:t>
      </w:r>
    </w:p>
    <w:p w14:paraId="20C684B0">
      <w:pPr>
        <w:spacing w:line="360" w:lineRule="auto"/>
        <w:jc w:val="center"/>
        <w:rPr>
          <w:rFonts w:hint="eastAsia" w:ascii="宋体" w:hAnsi="宋体"/>
          <w:b/>
          <w:spacing w:val="8"/>
          <w:kern w:val="10"/>
          <w:sz w:val="24"/>
        </w:rPr>
      </w:pPr>
      <w:r>
        <w:rPr>
          <w:rFonts w:hint="eastAsia" w:ascii="宋体" w:hAnsi="宋体"/>
          <w:b/>
          <w:spacing w:val="8"/>
          <w:kern w:val="10"/>
          <w:sz w:val="24"/>
        </w:rPr>
        <w:t>永久煤柱损失计算表　　表2－1－3</w:t>
      </w:r>
    </w:p>
    <w:tbl>
      <w:tblPr>
        <w:tblStyle w:val="62"/>
        <w:tblW w:w="0" w:type="auto"/>
        <w:tblInd w:w="94" w:type="dxa"/>
        <w:tblLayout w:type="fixed"/>
        <w:tblCellMar>
          <w:top w:w="0" w:type="dxa"/>
          <w:left w:w="108" w:type="dxa"/>
          <w:bottom w:w="0" w:type="dxa"/>
          <w:right w:w="108" w:type="dxa"/>
        </w:tblCellMar>
      </w:tblPr>
      <w:tblGrid>
        <w:gridCol w:w="937"/>
        <w:gridCol w:w="667"/>
        <w:gridCol w:w="1072"/>
        <w:gridCol w:w="1078"/>
        <w:gridCol w:w="784"/>
        <w:gridCol w:w="741"/>
        <w:gridCol w:w="1006"/>
        <w:gridCol w:w="1045"/>
        <w:gridCol w:w="686"/>
        <w:gridCol w:w="1089"/>
      </w:tblGrid>
      <w:tr w14:paraId="29EA8832">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single" w:color="auto" w:sz="8" w:space="0"/>
              <w:left w:val="single" w:color="auto" w:sz="8" w:space="0"/>
              <w:bottom w:val="single" w:color="auto" w:sz="4" w:space="0"/>
              <w:right w:val="single" w:color="auto" w:sz="4" w:space="0"/>
            </w:tcBorders>
            <w:noWrap w:val="0"/>
            <w:vAlign w:val="center"/>
          </w:tcPr>
          <w:p w14:paraId="2532AFFD">
            <w:pPr>
              <w:widowControl/>
              <w:jc w:val="center"/>
              <w:rPr>
                <w:rFonts w:ascii="宋体" w:hAnsi="宋体" w:cs="宋体"/>
                <w:kern w:val="0"/>
                <w:szCs w:val="21"/>
              </w:rPr>
            </w:pPr>
            <w:r>
              <w:rPr>
                <w:rFonts w:hint="eastAsia" w:ascii="宋体" w:hAnsi="宋体" w:cs="宋体"/>
                <w:kern w:val="0"/>
                <w:szCs w:val="21"/>
              </w:rPr>
              <w:t>煤层</w:t>
            </w:r>
            <w:r>
              <w:rPr>
                <w:rFonts w:hint="eastAsia" w:ascii="宋体" w:hAnsi="宋体" w:cs="宋体"/>
                <w:kern w:val="0"/>
                <w:szCs w:val="21"/>
              </w:rPr>
              <w:br w:type="textWrapping"/>
            </w:r>
            <w:r>
              <w:rPr>
                <w:rFonts w:hint="eastAsia" w:ascii="宋体" w:hAnsi="宋体" w:cs="宋体"/>
                <w:kern w:val="0"/>
                <w:szCs w:val="21"/>
              </w:rPr>
              <w:t>编号</w:t>
            </w:r>
          </w:p>
        </w:tc>
        <w:tc>
          <w:tcPr>
            <w:tcW w:w="667" w:type="dxa"/>
            <w:vMerge w:val="restart"/>
            <w:tcBorders>
              <w:top w:val="single" w:color="auto" w:sz="8" w:space="0"/>
              <w:left w:val="single" w:color="auto" w:sz="4" w:space="0"/>
              <w:bottom w:val="single" w:color="auto" w:sz="4" w:space="0"/>
              <w:right w:val="single" w:color="auto" w:sz="4" w:space="0"/>
            </w:tcBorders>
            <w:noWrap w:val="0"/>
            <w:vAlign w:val="center"/>
          </w:tcPr>
          <w:p w14:paraId="1FFFE29B">
            <w:pPr>
              <w:widowControl/>
              <w:jc w:val="center"/>
              <w:rPr>
                <w:rFonts w:ascii="宋体" w:hAnsi="宋体" w:cs="宋体"/>
                <w:kern w:val="0"/>
                <w:szCs w:val="21"/>
              </w:rPr>
            </w:pPr>
            <w:r>
              <w:rPr>
                <w:rFonts w:hint="eastAsia" w:ascii="宋体" w:hAnsi="宋体" w:cs="宋体"/>
                <w:kern w:val="0"/>
                <w:szCs w:val="21"/>
              </w:rPr>
              <w:t>资源量类型</w:t>
            </w:r>
          </w:p>
        </w:tc>
        <w:tc>
          <w:tcPr>
            <w:tcW w:w="1072" w:type="dxa"/>
            <w:vMerge w:val="restart"/>
            <w:tcBorders>
              <w:top w:val="single" w:color="auto" w:sz="8" w:space="0"/>
              <w:left w:val="single" w:color="auto" w:sz="4" w:space="0"/>
              <w:bottom w:val="single" w:color="auto" w:sz="4" w:space="0"/>
              <w:right w:val="single" w:color="auto" w:sz="4" w:space="0"/>
            </w:tcBorders>
            <w:noWrap w:val="0"/>
            <w:vAlign w:val="center"/>
          </w:tcPr>
          <w:p w14:paraId="57C3F07C">
            <w:pPr>
              <w:widowControl/>
              <w:jc w:val="center"/>
              <w:rPr>
                <w:rFonts w:ascii="宋体" w:hAnsi="宋体" w:cs="宋体"/>
                <w:kern w:val="0"/>
                <w:szCs w:val="21"/>
              </w:rPr>
            </w:pPr>
            <w:r>
              <w:rPr>
                <w:rFonts w:hint="eastAsia" w:ascii="宋体" w:hAnsi="宋体" w:cs="宋体"/>
                <w:kern w:val="0"/>
                <w:szCs w:val="21"/>
              </w:rPr>
              <w:t>边界煤柱投影面积（m</w:t>
            </w:r>
            <w:r>
              <w:rPr>
                <w:rFonts w:hint="eastAsia" w:ascii="宋体" w:hAnsi="宋体" w:cs="宋体"/>
                <w:kern w:val="0"/>
                <w:szCs w:val="21"/>
                <w:vertAlign w:val="superscript"/>
              </w:rPr>
              <w:t>2</w:t>
            </w:r>
            <w:r>
              <w:rPr>
                <w:rFonts w:hint="eastAsia" w:ascii="宋体" w:hAnsi="宋体" w:cs="宋体"/>
                <w:kern w:val="0"/>
                <w:szCs w:val="21"/>
              </w:rPr>
              <w:t>）</w:t>
            </w:r>
          </w:p>
        </w:tc>
        <w:tc>
          <w:tcPr>
            <w:tcW w:w="1078" w:type="dxa"/>
            <w:vMerge w:val="restart"/>
            <w:tcBorders>
              <w:top w:val="single" w:color="auto" w:sz="8" w:space="0"/>
              <w:left w:val="single" w:color="auto" w:sz="4" w:space="0"/>
              <w:bottom w:val="single" w:color="auto" w:sz="4" w:space="0"/>
              <w:right w:val="single" w:color="auto" w:sz="4" w:space="0"/>
            </w:tcBorders>
            <w:noWrap w:val="0"/>
            <w:vAlign w:val="center"/>
          </w:tcPr>
          <w:p w14:paraId="7B4E4426">
            <w:pPr>
              <w:widowControl/>
              <w:jc w:val="center"/>
              <w:rPr>
                <w:rFonts w:ascii="宋体" w:hAnsi="宋体" w:cs="宋体"/>
                <w:kern w:val="0"/>
                <w:szCs w:val="21"/>
              </w:rPr>
            </w:pPr>
            <w:r>
              <w:rPr>
                <w:rFonts w:hint="eastAsia" w:ascii="宋体" w:hAnsi="宋体" w:cs="宋体"/>
                <w:kern w:val="0"/>
                <w:szCs w:val="21"/>
              </w:rPr>
              <w:t>防水煤柱投影面积（m</w:t>
            </w:r>
            <w:r>
              <w:rPr>
                <w:rFonts w:hint="eastAsia" w:ascii="宋体" w:hAnsi="宋体" w:cs="宋体"/>
                <w:kern w:val="0"/>
                <w:szCs w:val="21"/>
                <w:vertAlign w:val="superscript"/>
              </w:rPr>
              <w:t>2</w:t>
            </w:r>
            <w:r>
              <w:rPr>
                <w:rFonts w:hint="eastAsia" w:ascii="宋体" w:hAnsi="宋体" w:cs="宋体"/>
                <w:kern w:val="0"/>
                <w:szCs w:val="21"/>
              </w:rPr>
              <w:t>）</w:t>
            </w:r>
          </w:p>
        </w:tc>
        <w:tc>
          <w:tcPr>
            <w:tcW w:w="784" w:type="dxa"/>
            <w:vMerge w:val="restart"/>
            <w:tcBorders>
              <w:top w:val="single" w:color="auto" w:sz="8" w:space="0"/>
              <w:left w:val="single" w:color="auto" w:sz="4" w:space="0"/>
              <w:bottom w:val="single" w:color="auto" w:sz="4" w:space="0"/>
              <w:right w:val="single" w:color="auto" w:sz="4" w:space="0"/>
            </w:tcBorders>
            <w:noWrap w:val="0"/>
            <w:vAlign w:val="center"/>
          </w:tcPr>
          <w:p w14:paraId="5EDDE2E0">
            <w:pPr>
              <w:widowControl/>
              <w:jc w:val="center"/>
              <w:rPr>
                <w:rFonts w:ascii="宋体" w:hAnsi="宋体" w:cs="宋体"/>
                <w:kern w:val="0"/>
                <w:szCs w:val="21"/>
              </w:rPr>
            </w:pPr>
            <w:r>
              <w:rPr>
                <w:rFonts w:hint="eastAsia" w:ascii="宋体" w:hAnsi="宋体" w:cs="宋体"/>
                <w:kern w:val="0"/>
                <w:szCs w:val="21"/>
              </w:rPr>
              <w:t>倾角（°）</w:t>
            </w:r>
          </w:p>
        </w:tc>
        <w:tc>
          <w:tcPr>
            <w:tcW w:w="741" w:type="dxa"/>
            <w:vMerge w:val="restart"/>
            <w:tcBorders>
              <w:top w:val="single" w:color="auto" w:sz="8" w:space="0"/>
              <w:left w:val="single" w:color="auto" w:sz="4" w:space="0"/>
              <w:bottom w:val="single" w:color="auto" w:sz="4" w:space="0"/>
              <w:right w:val="single" w:color="auto" w:sz="4" w:space="0"/>
            </w:tcBorders>
            <w:noWrap w:val="0"/>
            <w:vAlign w:val="center"/>
          </w:tcPr>
          <w:p w14:paraId="370648F1">
            <w:pPr>
              <w:widowControl/>
              <w:jc w:val="center"/>
              <w:rPr>
                <w:rFonts w:ascii="宋体" w:hAnsi="宋体" w:cs="宋体"/>
                <w:kern w:val="0"/>
                <w:szCs w:val="21"/>
              </w:rPr>
            </w:pPr>
            <w:r>
              <w:rPr>
                <w:rFonts w:hint="eastAsia" w:ascii="宋体" w:hAnsi="宋体" w:cs="宋体"/>
                <w:kern w:val="0"/>
                <w:szCs w:val="21"/>
              </w:rPr>
              <w:t>平均厚度（m）</w:t>
            </w:r>
          </w:p>
        </w:tc>
        <w:tc>
          <w:tcPr>
            <w:tcW w:w="1006" w:type="dxa"/>
            <w:vMerge w:val="restart"/>
            <w:tcBorders>
              <w:top w:val="single" w:color="auto" w:sz="8" w:space="0"/>
              <w:left w:val="single" w:color="auto" w:sz="4" w:space="0"/>
              <w:bottom w:val="single" w:color="auto" w:sz="4" w:space="0"/>
              <w:right w:val="single" w:color="auto" w:sz="4" w:space="0"/>
            </w:tcBorders>
            <w:noWrap w:val="0"/>
            <w:vAlign w:val="center"/>
          </w:tcPr>
          <w:p w14:paraId="07A15698">
            <w:pPr>
              <w:widowControl/>
              <w:jc w:val="center"/>
              <w:rPr>
                <w:rFonts w:ascii="宋体" w:hAnsi="宋体" w:cs="宋体"/>
                <w:kern w:val="0"/>
                <w:szCs w:val="21"/>
              </w:rPr>
            </w:pPr>
            <w:r>
              <w:rPr>
                <w:rFonts w:hint="eastAsia" w:ascii="宋体" w:hAnsi="宋体" w:cs="宋体"/>
                <w:kern w:val="0"/>
                <w:szCs w:val="21"/>
              </w:rPr>
              <w:t>容重（t/m</w:t>
            </w:r>
            <w:r>
              <w:rPr>
                <w:rFonts w:hint="eastAsia" w:ascii="宋体" w:hAnsi="宋体" w:cs="宋体"/>
                <w:kern w:val="0"/>
                <w:szCs w:val="21"/>
                <w:vertAlign w:val="superscript"/>
              </w:rPr>
              <w:t>3</w:t>
            </w:r>
            <w:r>
              <w:rPr>
                <w:rFonts w:hint="eastAsia" w:ascii="宋体" w:hAnsi="宋体" w:cs="宋体"/>
                <w:kern w:val="0"/>
                <w:szCs w:val="21"/>
              </w:rPr>
              <w:t>）</w:t>
            </w:r>
          </w:p>
        </w:tc>
        <w:tc>
          <w:tcPr>
            <w:tcW w:w="1045" w:type="dxa"/>
            <w:vMerge w:val="restart"/>
            <w:tcBorders>
              <w:top w:val="single" w:color="auto" w:sz="8" w:space="0"/>
              <w:left w:val="single" w:color="auto" w:sz="4" w:space="0"/>
              <w:bottom w:val="single" w:color="auto" w:sz="4" w:space="0"/>
              <w:right w:val="single" w:color="auto" w:sz="4" w:space="0"/>
            </w:tcBorders>
            <w:noWrap w:val="0"/>
            <w:vAlign w:val="center"/>
          </w:tcPr>
          <w:p w14:paraId="63EA07CE">
            <w:pPr>
              <w:widowControl/>
              <w:jc w:val="center"/>
              <w:rPr>
                <w:rFonts w:ascii="宋体" w:hAnsi="宋体" w:cs="宋体"/>
                <w:kern w:val="0"/>
                <w:szCs w:val="21"/>
              </w:rPr>
            </w:pPr>
            <w:r>
              <w:rPr>
                <w:rFonts w:hint="eastAsia" w:ascii="宋体" w:hAnsi="宋体" w:cs="宋体"/>
                <w:kern w:val="0"/>
                <w:szCs w:val="21"/>
              </w:rPr>
              <w:t>永久煤柱煤量（万吨）</w:t>
            </w:r>
          </w:p>
        </w:tc>
        <w:tc>
          <w:tcPr>
            <w:tcW w:w="686" w:type="dxa"/>
            <w:vMerge w:val="restart"/>
            <w:tcBorders>
              <w:top w:val="single" w:color="auto" w:sz="8" w:space="0"/>
              <w:left w:val="single" w:color="auto" w:sz="4" w:space="0"/>
              <w:bottom w:val="single" w:color="auto" w:sz="4" w:space="0"/>
              <w:right w:val="single" w:color="auto" w:sz="4" w:space="0"/>
            </w:tcBorders>
            <w:noWrap w:val="0"/>
            <w:vAlign w:val="center"/>
          </w:tcPr>
          <w:p w14:paraId="27981DF1">
            <w:pPr>
              <w:widowControl/>
              <w:jc w:val="center"/>
              <w:rPr>
                <w:rFonts w:ascii="宋体" w:hAnsi="宋体" w:cs="宋体"/>
                <w:kern w:val="0"/>
                <w:szCs w:val="21"/>
              </w:rPr>
            </w:pPr>
            <w:r>
              <w:rPr>
                <w:rFonts w:hint="eastAsia" w:ascii="宋体" w:hAnsi="宋体" w:cs="宋体"/>
                <w:kern w:val="0"/>
                <w:szCs w:val="21"/>
              </w:rPr>
              <w:t>可信度系数</w:t>
            </w:r>
          </w:p>
        </w:tc>
        <w:tc>
          <w:tcPr>
            <w:tcW w:w="1089" w:type="dxa"/>
            <w:vMerge w:val="restart"/>
            <w:tcBorders>
              <w:top w:val="single" w:color="auto" w:sz="8" w:space="0"/>
              <w:left w:val="single" w:color="auto" w:sz="4" w:space="0"/>
              <w:bottom w:val="single" w:color="auto" w:sz="4" w:space="0"/>
              <w:right w:val="single" w:color="auto" w:sz="8" w:space="0"/>
            </w:tcBorders>
            <w:noWrap w:val="0"/>
            <w:vAlign w:val="center"/>
          </w:tcPr>
          <w:p w14:paraId="24418BAC">
            <w:pPr>
              <w:widowControl/>
              <w:jc w:val="center"/>
              <w:rPr>
                <w:rFonts w:ascii="宋体" w:hAnsi="宋体" w:cs="宋体"/>
                <w:kern w:val="0"/>
                <w:szCs w:val="21"/>
              </w:rPr>
            </w:pPr>
            <w:r>
              <w:rPr>
                <w:rFonts w:hint="eastAsia" w:ascii="宋体" w:hAnsi="宋体" w:cs="宋体"/>
                <w:kern w:val="0"/>
                <w:szCs w:val="21"/>
              </w:rPr>
              <w:t>煤柱损失量（万吨）</w:t>
            </w:r>
          </w:p>
        </w:tc>
      </w:tr>
      <w:tr w14:paraId="6AFB172B">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single" w:color="auto" w:sz="8" w:space="0"/>
              <w:left w:val="single" w:color="auto" w:sz="8" w:space="0"/>
              <w:bottom w:val="single" w:color="auto" w:sz="4" w:space="0"/>
              <w:right w:val="single" w:color="auto" w:sz="4" w:space="0"/>
            </w:tcBorders>
            <w:noWrap w:val="0"/>
            <w:vAlign w:val="center"/>
          </w:tcPr>
          <w:p w14:paraId="098FC9B7">
            <w:pPr>
              <w:widowControl/>
              <w:jc w:val="left"/>
              <w:rPr>
                <w:rFonts w:ascii="宋体" w:hAnsi="宋体" w:cs="宋体"/>
                <w:kern w:val="0"/>
                <w:szCs w:val="21"/>
              </w:rPr>
            </w:pPr>
          </w:p>
        </w:tc>
        <w:tc>
          <w:tcPr>
            <w:tcW w:w="667" w:type="dxa"/>
            <w:vMerge w:val="continue"/>
            <w:tcBorders>
              <w:top w:val="single" w:color="auto" w:sz="8" w:space="0"/>
              <w:left w:val="single" w:color="auto" w:sz="4" w:space="0"/>
              <w:bottom w:val="single" w:color="auto" w:sz="4" w:space="0"/>
              <w:right w:val="single" w:color="auto" w:sz="4" w:space="0"/>
            </w:tcBorders>
            <w:noWrap w:val="0"/>
            <w:vAlign w:val="center"/>
          </w:tcPr>
          <w:p w14:paraId="543BFDC0">
            <w:pPr>
              <w:widowControl/>
              <w:jc w:val="left"/>
              <w:rPr>
                <w:rFonts w:ascii="宋体" w:hAnsi="宋体" w:cs="宋体"/>
                <w:kern w:val="0"/>
                <w:szCs w:val="21"/>
              </w:rPr>
            </w:pPr>
          </w:p>
        </w:tc>
        <w:tc>
          <w:tcPr>
            <w:tcW w:w="1072" w:type="dxa"/>
            <w:vMerge w:val="continue"/>
            <w:tcBorders>
              <w:top w:val="single" w:color="auto" w:sz="8" w:space="0"/>
              <w:left w:val="single" w:color="auto" w:sz="4" w:space="0"/>
              <w:bottom w:val="single" w:color="auto" w:sz="4" w:space="0"/>
              <w:right w:val="single" w:color="auto" w:sz="4" w:space="0"/>
            </w:tcBorders>
            <w:noWrap w:val="0"/>
            <w:vAlign w:val="center"/>
          </w:tcPr>
          <w:p w14:paraId="6AD5276C">
            <w:pPr>
              <w:widowControl/>
              <w:jc w:val="left"/>
              <w:rPr>
                <w:rFonts w:ascii="宋体" w:hAnsi="宋体" w:cs="宋体"/>
                <w:kern w:val="0"/>
                <w:szCs w:val="21"/>
              </w:rPr>
            </w:pPr>
          </w:p>
        </w:tc>
        <w:tc>
          <w:tcPr>
            <w:tcW w:w="1078" w:type="dxa"/>
            <w:vMerge w:val="continue"/>
            <w:tcBorders>
              <w:top w:val="single" w:color="auto" w:sz="8" w:space="0"/>
              <w:left w:val="single" w:color="auto" w:sz="4" w:space="0"/>
              <w:bottom w:val="single" w:color="auto" w:sz="4" w:space="0"/>
              <w:right w:val="single" w:color="auto" w:sz="4" w:space="0"/>
            </w:tcBorders>
            <w:noWrap w:val="0"/>
            <w:vAlign w:val="center"/>
          </w:tcPr>
          <w:p w14:paraId="26068C42">
            <w:pPr>
              <w:widowControl/>
              <w:jc w:val="left"/>
              <w:rPr>
                <w:rFonts w:ascii="宋体" w:hAnsi="宋体" w:cs="宋体"/>
                <w:kern w:val="0"/>
                <w:szCs w:val="21"/>
              </w:rPr>
            </w:pPr>
          </w:p>
        </w:tc>
        <w:tc>
          <w:tcPr>
            <w:tcW w:w="784" w:type="dxa"/>
            <w:vMerge w:val="continue"/>
            <w:tcBorders>
              <w:top w:val="single" w:color="auto" w:sz="8" w:space="0"/>
              <w:left w:val="single" w:color="auto" w:sz="4" w:space="0"/>
              <w:bottom w:val="single" w:color="auto" w:sz="4" w:space="0"/>
              <w:right w:val="single" w:color="auto" w:sz="4" w:space="0"/>
            </w:tcBorders>
            <w:noWrap w:val="0"/>
            <w:vAlign w:val="center"/>
          </w:tcPr>
          <w:p w14:paraId="3CAEAAAD">
            <w:pPr>
              <w:widowControl/>
              <w:jc w:val="left"/>
              <w:rPr>
                <w:rFonts w:ascii="宋体" w:hAnsi="宋体" w:cs="宋体"/>
                <w:kern w:val="0"/>
                <w:szCs w:val="21"/>
              </w:rPr>
            </w:pPr>
          </w:p>
        </w:tc>
        <w:tc>
          <w:tcPr>
            <w:tcW w:w="741" w:type="dxa"/>
            <w:vMerge w:val="continue"/>
            <w:tcBorders>
              <w:top w:val="single" w:color="auto" w:sz="8" w:space="0"/>
              <w:left w:val="single" w:color="auto" w:sz="4" w:space="0"/>
              <w:bottom w:val="single" w:color="auto" w:sz="4" w:space="0"/>
              <w:right w:val="single" w:color="auto" w:sz="4" w:space="0"/>
            </w:tcBorders>
            <w:noWrap w:val="0"/>
            <w:vAlign w:val="center"/>
          </w:tcPr>
          <w:p w14:paraId="0CDAF2A6">
            <w:pPr>
              <w:widowControl/>
              <w:jc w:val="left"/>
              <w:rPr>
                <w:rFonts w:ascii="宋体" w:hAnsi="宋体" w:cs="宋体"/>
                <w:kern w:val="0"/>
                <w:szCs w:val="21"/>
              </w:rPr>
            </w:pPr>
          </w:p>
        </w:tc>
        <w:tc>
          <w:tcPr>
            <w:tcW w:w="1006" w:type="dxa"/>
            <w:vMerge w:val="continue"/>
            <w:tcBorders>
              <w:top w:val="single" w:color="auto" w:sz="8" w:space="0"/>
              <w:left w:val="single" w:color="auto" w:sz="4" w:space="0"/>
              <w:bottom w:val="single" w:color="auto" w:sz="4" w:space="0"/>
              <w:right w:val="single" w:color="auto" w:sz="4" w:space="0"/>
            </w:tcBorders>
            <w:noWrap w:val="0"/>
            <w:vAlign w:val="center"/>
          </w:tcPr>
          <w:p w14:paraId="5AFDCEE0">
            <w:pPr>
              <w:widowControl/>
              <w:jc w:val="left"/>
              <w:rPr>
                <w:rFonts w:ascii="宋体" w:hAnsi="宋体" w:cs="宋体"/>
                <w:kern w:val="0"/>
                <w:szCs w:val="21"/>
              </w:rPr>
            </w:pPr>
          </w:p>
        </w:tc>
        <w:tc>
          <w:tcPr>
            <w:tcW w:w="1045" w:type="dxa"/>
            <w:vMerge w:val="continue"/>
            <w:tcBorders>
              <w:top w:val="single" w:color="auto" w:sz="8" w:space="0"/>
              <w:left w:val="single" w:color="auto" w:sz="4" w:space="0"/>
              <w:bottom w:val="single" w:color="auto" w:sz="4" w:space="0"/>
              <w:right w:val="single" w:color="auto" w:sz="4" w:space="0"/>
            </w:tcBorders>
            <w:noWrap w:val="0"/>
            <w:vAlign w:val="center"/>
          </w:tcPr>
          <w:p w14:paraId="7758DCE5">
            <w:pPr>
              <w:widowControl/>
              <w:jc w:val="left"/>
              <w:rPr>
                <w:rFonts w:ascii="宋体" w:hAnsi="宋体" w:cs="宋体"/>
                <w:kern w:val="0"/>
                <w:szCs w:val="21"/>
              </w:rPr>
            </w:pPr>
          </w:p>
        </w:tc>
        <w:tc>
          <w:tcPr>
            <w:tcW w:w="686" w:type="dxa"/>
            <w:vMerge w:val="continue"/>
            <w:tcBorders>
              <w:top w:val="single" w:color="auto" w:sz="8" w:space="0"/>
              <w:left w:val="single" w:color="auto" w:sz="4" w:space="0"/>
              <w:bottom w:val="single" w:color="auto" w:sz="4" w:space="0"/>
              <w:right w:val="single" w:color="auto" w:sz="4" w:space="0"/>
            </w:tcBorders>
            <w:noWrap w:val="0"/>
            <w:vAlign w:val="center"/>
          </w:tcPr>
          <w:p w14:paraId="3D69C765">
            <w:pPr>
              <w:widowControl/>
              <w:jc w:val="left"/>
              <w:rPr>
                <w:rFonts w:ascii="宋体" w:hAnsi="宋体" w:cs="宋体"/>
                <w:kern w:val="0"/>
                <w:szCs w:val="21"/>
              </w:rPr>
            </w:pPr>
          </w:p>
        </w:tc>
        <w:tc>
          <w:tcPr>
            <w:tcW w:w="1089" w:type="dxa"/>
            <w:vMerge w:val="continue"/>
            <w:tcBorders>
              <w:top w:val="single" w:color="auto" w:sz="8" w:space="0"/>
              <w:left w:val="single" w:color="auto" w:sz="4" w:space="0"/>
              <w:bottom w:val="single" w:color="auto" w:sz="4" w:space="0"/>
              <w:right w:val="single" w:color="auto" w:sz="8" w:space="0"/>
            </w:tcBorders>
            <w:noWrap w:val="0"/>
            <w:vAlign w:val="center"/>
          </w:tcPr>
          <w:p w14:paraId="4B7EA93A">
            <w:pPr>
              <w:widowControl/>
              <w:jc w:val="left"/>
              <w:rPr>
                <w:rFonts w:ascii="宋体" w:hAnsi="宋体" w:cs="宋体"/>
                <w:kern w:val="0"/>
                <w:szCs w:val="21"/>
              </w:rPr>
            </w:pPr>
          </w:p>
        </w:tc>
      </w:tr>
      <w:tr w14:paraId="4BA465AF">
        <w:tblPrEx>
          <w:tblCellMar>
            <w:top w:w="0" w:type="dxa"/>
            <w:left w:w="108" w:type="dxa"/>
            <w:bottom w:w="0" w:type="dxa"/>
            <w:right w:w="108" w:type="dxa"/>
          </w:tblCellMar>
        </w:tblPrEx>
        <w:trPr>
          <w:wBefore w:w="0" w:type="dxa"/>
          <w:wAfter w:w="0" w:type="dxa"/>
          <w:trHeight w:val="312" w:hRule="atLeast"/>
        </w:trPr>
        <w:tc>
          <w:tcPr>
            <w:tcW w:w="937" w:type="dxa"/>
            <w:tcBorders>
              <w:top w:val="nil"/>
              <w:left w:val="single" w:color="auto" w:sz="8" w:space="0"/>
              <w:bottom w:val="nil"/>
              <w:right w:val="single" w:color="auto" w:sz="4" w:space="0"/>
            </w:tcBorders>
            <w:noWrap w:val="0"/>
            <w:vAlign w:val="center"/>
          </w:tcPr>
          <w:p w14:paraId="5E4FCC84">
            <w:pPr>
              <w:widowControl/>
              <w:jc w:val="center"/>
              <w:rPr>
                <w:rFonts w:ascii="宋体" w:hAnsi="宋体" w:cs="宋体"/>
                <w:kern w:val="0"/>
                <w:szCs w:val="21"/>
              </w:rPr>
            </w:pPr>
            <w:r>
              <w:rPr>
                <w:rFonts w:hint="eastAsia" w:ascii="宋体" w:hAnsi="宋体" w:cs="宋体"/>
                <w:kern w:val="0"/>
                <w:szCs w:val="21"/>
              </w:rPr>
              <w:t>K1-b</w:t>
            </w:r>
          </w:p>
        </w:tc>
        <w:tc>
          <w:tcPr>
            <w:tcW w:w="667" w:type="dxa"/>
            <w:tcBorders>
              <w:top w:val="nil"/>
              <w:left w:val="nil"/>
              <w:bottom w:val="single" w:color="auto" w:sz="4" w:space="0"/>
              <w:right w:val="single" w:color="auto" w:sz="4" w:space="0"/>
            </w:tcBorders>
            <w:noWrap w:val="0"/>
            <w:vAlign w:val="center"/>
          </w:tcPr>
          <w:p w14:paraId="02DC6099">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13A6B974">
            <w:pPr>
              <w:widowControl/>
              <w:jc w:val="center"/>
              <w:rPr>
                <w:rFonts w:ascii="宋体" w:hAnsi="宋体" w:cs="宋体"/>
                <w:kern w:val="0"/>
                <w:szCs w:val="21"/>
              </w:rPr>
            </w:pPr>
            <w:r>
              <w:rPr>
                <w:rFonts w:hint="eastAsia" w:ascii="宋体" w:hAnsi="宋体" w:cs="宋体"/>
                <w:kern w:val="0"/>
                <w:szCs w:val="21"/>
              </w:rPr>
              <w:t>30292</w:t>
            </w:r>
          </w:p>
        </w:tc>
        <w:tc>
          <w:tcPr>
            <w:tcW w:w="1078" w:type="dxa"/>
            <w:tcBorders>
              <w:top w:val="nil"/>
              <w:left w:val="nil"/>
              <w:bottom w:val="single" w:color="auto" w:sz="4" w:space="0"/>
              <w:right w:val="single" w:color="auto" w:sz="4" w:space="0"/>
            </w:tcBorders>
            <w:noWrap w:val="0"/>
            <w:vAlign w:val="center"/>
          </w:tcPr>
          <w:p w14:paraId="1C3A54A1">
            <w:pPr>
              <w:widowControl/>
              <w:jc w:val="center"/>
              <w:rPr>
                <w:rFonts w:ascii="宋体" w:hAnsi="宋体" w:cs="宋体"/>
                <w:kern w:val="0"/>
                <w:szCs w:val="21"/>
              </w:rPr>
            </w:pPr>
            <w:r>
              <w:rPr>
                <w:rFonts w:hint="eastAsia" w:ascii="宋体" w:hAnsi="宋体" w:cs="宋体"/>
                <w:kern w:val="0"/>
                <w:szCs w:val="21"/>
              </w:rPr>
              <w:t>26016</w:t>
            </w:r>
          </w:p>
        </w:tc>
        <w:tc>
          <w:tcPr>
            <w:tcW w:w="784" w:type="dxa"/>
            <w:tcBorders>
              <w:top w:val="nil"/>
              <w:left w:val="nil"/>
              <w:bottom w:val="single" w:color="auto" w:sz="4" w:space="0"/>
              <w:right w:val="single" w:color="auto" w:sz="4" w:space="0"/>
            </w:tcBorders>
            <w:noWrap w:val="0"/>
            <w:vAlign w:val="center"/>
          </w:tcPr>
          <w:p w14:paraId="2A6D060C">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01C25B02">
            <w:pPr>
              <w:widowControl/>
              <w:jc w:val="center"/>
              <w:rPr>
                <w:rFonts w:ascii="宋体" w:hAnsi="宋体" w:cs="宋体"/>
                <w:kern w:val="0"/>
                <w:szCs w:val="21"/>
              </w:rPr>
            </w:pPr>
            <w:r>
              <w:rPr>
                <w:rFonts w:hint="eastAsia" w:ascii="宋体" w:hAnsi="宋体" w:cs="宋体"/>
                <w:kern w:val="0"/>
                <w:szCs w:val="21"/>
              </w:rPr>
              <w:t xml:space="preserve">2.30 </w:t>
            </w:r>
          </w:p>
        </w:tc>
        <w:tc>
          <w:tcPr>
            <w:tcW w:w="1006" w:type="dxa"/>
            <w:tcBorders>
              <w:top w:val="nil"/>
              <w:left w:val="nil"/>
              <w:bottom w:val="single" w:color="auto" w:sz="4" w:space="0"/>
              <w:right w:val="single" w:color="auto" w:sz="4" w:space="0"/>
            </w:tcBorders>
            <w:noWrap w:val="0"/>
            <w:vAlign w:val="center"/>
          </w:tcPr>
          <w:p w14:paraId="356F7165">
            <w:pPr>
              <w:widowControl/>
              <w:jc w:val="center"/>
              <w:rPr>
                <w:rFonts w:ascii="宋体" w:hAnsi="宋体" w:cs="宋体"/>
                <w:kern w:val="0"/>
                <w:szCs w:val="21"/>
              </w:rPr>
            </w:pPr>
            <w:r>
              <w:rPr>
                <w:rFonts w:hint="eastAsia" w:ascii="宋体" w:hAnsi="宋体" w:cs="宋体"/>
                <w:kern w:val="0"/>
                <w:szCs w:val="21"/>
              </w:rPr>
              <w:t xml:space="preserve">1.49 </w:t>
            </w:r>
          </w:p>
        </w:tc>
        <w:tc>
          <w:tcPr>
            <w:tcW w:w="1045" w:type="dxa"/>
            <w:tcBorders>
              <w:top w:val="nil"/>
              <w:left w:val="nil"/>
              <w:bottom w:val="single" w:color="auto" w:sz="4" w:space="0"/>
              <w:right w:val="single" w:color="auto" w:sz="4" w:space="0"/>
            </w:tcBorders>
            <w:noWrap w:val="0"/>
            <w:vAlign w:val="center"/>
          </w:tcPr>
          <w:p w14:paraId="30901231">
            <w:pPr>
              <w:widowControl/>
              <w:jc w:val="center"/>
              <w:rPr>
                <w:rFonts w:ascii="宋体" w:hAnsi="宋体" w:cs="宋体"/>
                <w:kern w:val="0"/>
                <w:szCs w:val="21"/>
              </w:rPr>
            </w:pPr>
            <w:r>
              <w:rPr>
                <w:rFonts w:hint="eastAsia" w:ascii="宋体" w:hAnsi="宋体" w:cs="宋体"/>
                <w:kern w:val="0"/>
                <w:szCs w:val="21"/>
              </w:rPr>
              <w:t xml:space="preserve">22.28 </w:t>
            </w:r>
          </w:p>
        </w:tc>
        <w:tc>
          <w:tcPr>
            <w:tcW w:w="686" w:type="dxa"/>
            <w:tcBorders>
              <w:top w:val="nil"/>
              <w:left w:val="nil"/>
              <w:bottom w:val="single" w:color="auto" w:sz="4" w:space="0"/>
              <w:right w:val="single" w:color="auto" w:sz="4" w:space="0"/>
            </w:tcBorders>
            <w:noWrap w:val="0"/>
            <w:vAlign w:val="center"/>
          </w:tcPr>
          <w:p w14:paraId="08766873">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63E985E4">
            <w:pPr>
              <w:widowControl/>
              <w:jc w:val="center"/>
              <w:rPr>
                <w:rFonts w:ascii="宋体" w:hAnsi="宋体" w:cs="宋体"/>
                <w:kern w:val="0"/>
                <w:szCs w:val="21"/>
              </w:rPr>
            </w:pPr>
            <w:r>
              <w:rPr>
                <w:rFonts w:hint="eastAsia" w:ascii="宋体" w:hAnsi="宋体" w:cs="宋体"/>
                <w:kern w:val="0"/>
                <w:szCs w:val="21"/>
              </w:rPr>
              <w:t xml:space="preserve">22.28 </w:t>
            </w:r>
          </w:p>
        </w:tc>
      </w:tr>
      <w:tr w14:paraId="246F7586">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single" w:color="auto" w:sz="4" w:space="0"/>
              <w:left w:val="single" w:color="auto" w:sz="8" w:space="0"/>
              <w:bottom w:val="single" w:color="auto" w:sz="4" w:space="0"/>
              <w:right w:val="single" w:color="auto" w:sz="4" w:space="0"/>
            </w:tcBorders>
            <w:noWrap w:val="0"/>
            <w:vAlign w:val="center"/>
          </w:tcPr>
          <w:p w14:paraId="0D996E9C">
            <w:pPr>
              <w:widowControl/>
              <w:jc w:val="center"/>
              <w:rPr>
                <w:rFonts w:ascii="宋体" w:hAnsi="宋体" w:cs="宋体"/>
                <w:kern w:val="0"/>
                <w:szCs w:val="21"/>
              </w:rPr>
            </w:pPr>
            <w:r>
              <w:rPr>
                <w:rFonts w:hint="eastAsia" w:ascii="宋体" w:hAnsi="宋体" w:cs="宋体"/>
                <w:kern w:val="0"/>
                <w:szCs w:val="21"/>
              </w:rPr>
              <w:t>K3</w:t>
            </w:r>
          </w:p>
        </w:tc>
        <w:tc>
          <w:tcPr>
            <w:tcW w:w="667" w:type="dxa"/>
            <w:tcBorders>
              <w:top w:val="nil"/>
              <w:left w:val="nil"/>
              <w:bottom w:val="single" w:color="auto" w:sz="4" w:space="0"/>
              <w:right w:val="single" w:color="auto" w:sz="4" w:space="0"/>
            </w:tcBorders>
            <w:noWrap w:val="0"/>
            <w:vAlign w:val="center"/>
          </w:tcPr>
          <w:p w14:paraId="304F57DC">
            <w:pPr>
              <w:widowControl/>
              <w:jc w:val="center"/>
              <w:rPr>
                <w:rFonts w:ascii="宋体" w:hAnsi="宋体" w:cs="宋体"/>
                <w:kern w:val="0"/>
                <w:szCs w:val="21"/>
              </w:rPr>
            </w:pPr>
            <w:r>
              <w:rPr>
                <w:rFonts w:hint="eastAsia" w:ascii="宋体" w:hAnsi="宋体" w:cs="宋体"/>
                <w:kern w:val="0"/>
                <w:szCs w:val="21"/>
              </w:rPr>
              <w:t>332</w:t>
            </w:r>
          </w:p>
        </w:tc>
        <w:tc>
          <w:tcPr>
            <w:tcW w:w="1072" w:type="dxa"/>
            <w:tcBorders>
              <w:top w:val="nil"/>
              <w:left w:val="nil"/>
              <w:bottom w:val="single" w:color="auto" w:sz="4" w:space="0"/>
              <w:right w:val="single" w:color="auto" w:sz="4" w:space="0"/>
            </w:tcBorders>
            <w:noWrap w:val="0"/>
            <w:vAlign w:val="center"/>
          </w:tcPr>
          <w:p w14:paraId="6236525F">
            <w:pPr>
              <w:widowControl/>
              <w:jc w:val="center"/>
              <w:rPr>
                <w:rFonts w:ascii="宋体" w:hAnsi="宋体" w:cs="宋体"/>
                <w:kern w:val="0"/>
                <w:szCs w:val="21"/>
              </w:rPr>
            </w:pPr>
            <w:r>
              <w:rPr>
                <w:rFonts w:hint="eastAsia" w:ascii="宋体" w:hAnsi="宋体" w:cs="宋体"/>
                <w:kern w:val="0"/>
                <w:szCs w:val="21"/>
              </w:rPr>
              <w:t>33130</w:t>
            </w:r>
          </w:p>
        </w:tc>
        <w:tc>
          <w:tcPr>
            <w:tcW w:w="1078" w:type="dxa"/>
            <w:tcBorders>
              <w:top w:val="nil"/>
              <w:left w:val="nil"/>
              <w:bottom w:val="single" w:color="auto" w:sz="4" w:space="0"/>
              <w:right w:val="single" w:color="auto" w:sz="4" w:space="0"/>
            </w:tcBorders>
            <w:noWrap w:val="0"/>
            <w:vAlign w:val="center"/>
          </w:tcPr>
          <w:p w14:paraId="67731EFB">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466FB78E">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3B3E4774">
            <w:pPr>
              <w:widowControl/>
              <w:jc w:val="center"/>
              <w:rPr>
                <w:rFonts w:ascii="宋体" w:hAnsi="宋体" w:cs="宋体"/>
                <w:kern w:val="0"/>
                <w:szCs w:val="21"/>
              </w:rPr>
            </w:pPr>
            <w:r>
              <w:rPr>
                <w:rFonts w:hint="eastAsia" w:ascii="宋体" w:hAnsi="宋体" w:cs="宋体"/>
                <w:kern w:val="0"/>
                <w:szCs w:val="21"/>
              </w:rPr>
              <w:t xml:space="preserve">1.13 </w:t>
            </w:r>
          </w:p>
        </w:tc>
        <w:tc>
          <w:tcPr>
            <w:tcW w:w="1006" w:type="dxa"/>
            <w:tcBorders>
              <w:top w:val="nil"/>
              <w:left w:val="nil"/>
              <w:bottom w:val="single" w:color="auto" w:sz="4" w:space="0"/>
              <w:right w:val="single" w:color="auto" w:sz="4" w:space="0"/>
            </w:tcBorders>
            <w:noWrap w:val="0"/>
            <w:vAlign w:val="center"/>
          </w:tcPr>
          <w:p w14:paraId="5F3E6DC2">
            <w:pPr>
              <w:widowControl/>
              <w:jc w:val="center"/>
              <w:rPr>
                <w:rFonts w:ascii="宋体" w:hAnsi="宋体" w:cs="宋体"/>
                <w:kern w:val="0"/>
                <w:szCs w:val="21"/>
              </w:rPr>
            </w:pPr>
            <w:r>
              <w:rPr>
                <w:rFonts w:hint="eastAsia" w:ascii="宋体" w:hAnsi="宋体" w:cs="宋体"/>
                <w:kern w:val="0"/>
                <w:szCs w:val="21"/>
              </w:rPr>
              <w:t xml:space="preserve">1.51 </w:t>
            </w:r>
          </w:p>
        </w:tc>
        <w:tc>
          <w:tcPr>
            <w:tcW w:w="1045" w:type="dxa"/>
            <w:tcBorders>
              <w:top w:val="nil"/>
              <w:left w:val="nil"/>
              <w:bottom w:val="single" w:color="auto" w:sz="4" w:space="0"/>
              <w:right w:val="single" w:color="auto" w:sz="4" w:space="0"/>
            </w:tcBorders>
            <w:noWrap w:val="0"/>
            <w:vAlign w:val="center"/>
          </w:tcPr>
          <w:p w14:paraId="160840DA">
            <w:pPr>
              <w:widowControl/>
              <w:jc w:val="center"/>
              <w:rPr>
                <w:rFonts w:ascii="宋体" w:hAnsi="宋体" w:cs="宋体"/>
                <w:kern w:val="0"/>
                <w:szCs w:val="21"/>
              </w:rPr>
            </w:pPr>
            <w:r>
              <w:rPr>
                <w:rFonts w:hint="eastAsia" w:ascii="宋体" w:hAnsi="宋体" w:cs="宋体"/>
                <w:kern w:val="0"/>
                <w:szCs w:val="21"/>
              </w:rPr>
              <w:t xml:space="preserve">6.53 </w:t>
            </w:r>
          </w:p>
        </w:tc>
        <w:tc>
          <w:tcPr>
            <w:tcW w:w="686" w:type="dxa"/>
            <w:tcBorders>
              <w:top w:val="nil"/>
              <w:left w:val="nil"/>
              <w:bottom w:val="single" w:color="auto" w:sz="4" w:space="0"/>
              <w:right w:val="single" w:color="auto" w:sz="4" w:space="0"/>
            </w:tcBorders>
            <w:noWrap w:val="0"/>
            <w:vAlign w:val="center"/>
          </w:tcPr>
          <w:p w14:paraId="14615CA7">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65B2DEC8">
            <w:pPr>
              <w:widowControl/>
              <w:jc w:val="center"/>
              <w:rPr>
                <w:rFonts w:ascii="宋体" w:hAnsi="宋体" w:cs="宋体"/>
                <w:kern w:val="0"/>
                <w:szCs w:val="21"/>
              </w:rPr>
            </w:pPr>
            <w:r>
              <w:rPr>
                <w:rFonts w:hint="eastAsia" w:ascii="宋体" w:hAnsi="宋体" w:cs="宋体"/>
                <w:kern w:val="0"/>
                <w:szCs w:val="21"/>
              </w:rPr>
              <w:t xml:space="preserve">6.53 </w:t>
            </w:r>
          </w:p>
        </w:tc>
      </w:tr>
      <w:tr w14:paraId="3FC21699">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single" w:color="auto" w:sz="4" w:space="0"/>
              <w:left w:val="single" w:color="auto" w:sz="8" w:space="0"/>
              <w:bottom w:val="single" w:color="auto" w:sz="4" w:space="0"/>
              <w:right w:val="single" w:color="auto" w:sz="4" w:space="0"/>
            </w:tcBorders>
            <w:noWrap w:val="0"/>
            <w:vAlign w:val="center"/>
          </w:tcPr>
          <w:p w14:paraId="26394B69">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0FAD489D">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57312924">
            <w:pPr>
              <w:widowControl/>
              <w:jc w:val="center"/>
              <w:rPr>
                <w:rFonts w:ascii="宋体" w:hAnsi="宋体" w:cs="宋体"/>
                <w:kern w:val="0"/>
                <w:szCs w:val="21"/>
              </w:rPr>
            </w:pPr>
            <w:r>
              <w:rPr>
                <w:rFonts w:hint="eastAsia" w:ascii="宋体" w:hAnsi="宋体" w:cs="宋体"/>
                <w:kern w:val="0"/>
                <w:szCs w:val="21"/>
              </w:rPr>
              <w:t>20240</w:t>
            </w:r>
          </w:p>
        </w:tc>
        <w:tc>
          <w:tcPr>
            <w:tcW w:w="1078" w:type="dxa"/>
            <w:tcBorders>
              <w:top w:val="nil"/>
              <w:left w:val="nil"/>
              <w:bottom w:val="single" w:color="auto" w:sz="4" w:space="0"/>
              <w:right w:val="single" w:color="auto" w:sz="4" w:space="0"/>
            </w:tcBorders>
            <w:noWrap w:val="0"/>
            <w:vAlign w:val="center"/>
          </w:tcPr>
          <w:p w14:paraId="1760F098">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1464404E">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28941B16">
            <w:pPr>
              <w:widowControl/>
              <w:jc w:val="center"/>
              <w:rPr>
                <w:rFonts w:ascii="宋体" w:hAnsi="宋体" w:cs="宋体"/>
                <w:kern w:val="0"/>
                <w:szCs w:val="21"/>
              </w:rPr>
            </w:pPr>
            <w:r>
              <w:rPr>
                <w:rFonts w:hint="eastAsia" w:ascii="宋体" w:hAnsi="宋体" w:cs="宋体"/>
                <w:kern w:val="0"/>
                <w:szCs w:val="21"/>
              </w:rPr>
              <w:t xml:space="preserve">1.13 </w:t>
            </w:r>
          </w:p>
        </w:tc>
        <w:tc>
          <w:tcPr>
            <w:tcW w:w="1006" w:type="dxa"/>
            <w:tcBorders>
              <w:top w:val="nil"/>
              <w:left w:val="nil"/>
              <w:bottom w:val="single" w:color="auto" w:sz="4" w:space="0"/>
              <w:right w:val="single" w:color="auto" w:sz="4" w:space="0"/>
            </w:tcBorders>
            <w:noWrap w:val="0"/>
            <w:vAlign w:val="center"/>
          </w:tcPr>
          <w:p w14:paraId="0A2B8D54">
            <w:pPr>
              <w:widowControl/>
              <w:jc w:val="center"/>
              <w:rPr>
                <w:rFonts w:ascii="宋体" w:hAnsi="宋体" w:cs="宋体"/>
                <w:kern w:val="0"/>
                <w:szCs w:val="21"/>
              </w:rPr>
            </w:pPr>
            <w:r>
              <w:rPr>
                <w:rFonts w:hint="eastAsia" w:ascii="宋体" w:hAnsi="宋体" w:cs="宋体"/>
                <w:kern w:val="0"/>
                <w:szCs w:val="21"/>
              </w:rPr>
              <w:t xml:space="preserve">1.51 </w:t>
            </w:r>
          </w:p>
        </w:tc>
        <w:tc>
          <w:tcPr>
            <w:tcW w:w="1045" w:type="dxa"/>
            <w:tcBorders>
              <w:top w:val="nil"/>
              <w:left w:val="nil"/>
              <w:bottom w:val="single" w:color="auto" w:sz="4" w:space="0"/>
              <w:right w:val="single" w:color="auto" w:sz="4" w:space="0"/>
            </w:tcBorders>
            <w:noWrap w:val="0"/>
            <w:vAlign w:val="center"/>
          </w:tcPr>
          <w:p w14:paraId="3572C35A">
            <w:pPr>
              <w:widowControl/>
              <w:jc w:val="center"/>
              <w:rPr>
                <w:rFonts w:ascii="宋体" w:hAnsi="宋体" w:cs="宋体"/>
                <w:kern w:val="0"/>
                <w:szCs w:val="21"/>
              </w:rPr>
            </w:pPr>
            <w:r>
              <w:rPr>
                <w:rFonts w:hint="eastAsia" w:ascii="宋体" w:hAnsi="宋体" w:cs="宋体"/>
                <w:kern w:val="0"/>
                <w:szCs w:val="21"/>
              </w:rPr>
              <w:t xml:space="preserve">3.99 </w:t>
            </w:r>
          </w:p>
        </w:tc>
        <w:tc>
          <w:tcPr>
            <w:tcW w:w="686" w:type="dxa"/>
            <w:tcBorders>
              <w:top w:val="nil"/>
              <w:left w:val="nil"/>
              <w:bottom w:val="single" w:color="auto" w:sz="4" w:space="0"/>
              <w:right w:val="single" w:color="auto" w:sz="4" w:space="0"/>
            </w:tcBorders>
            <w:noWrap w:val="0"/>
            <w:vAlign w:val="center"/>
          </w:tcPr>
          <w:p w14:paraId="65A04028">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4782112A">
            <w:pPr>
              <w:widowControl/>
              <w:jc w:val="center"/>
              <w:rPr>
                <w:rFonts w:ascii="宋体" w:hAnsi="宋体" w:cs="宋体"/>
                <w:kern w:val="0"/>
                <w:szCs w:val="21"/>
              </w:rPr>
            </w:pPr>
            <w:r>
              <w:rPr>
                <w:rFonts w:hint="eastAsia" w:ascii="宋体" w:hAnsi="宋体" w:cs="宋体"/>
                <w:kern w:val="0"/>
                <w:szCs w:val="21"/>
              </w:rPr>
              <w:t xml:space="preserve">3.19 </w:t>
            </w:r>
          </w:p>
        </w:tc>
      </w:tr>
      <w:tr w14:paraId="69085C6F">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nil"/>
              <w:left w:val="single" w:color="auto" w:sz="8" w:space="0"/>
              <w:bottom w:val="single" w:color="auto" w:sz="4" w:space="0"/>
              <w:right w:val="single" w:color="auto" w:sz="4" w:space="0"/>
            </w:tcBorders>
            <w:noWrap w:val="0"/>
            <w:vAlign w:val="center"/>
          </w:tcPr>
          <w:p w14:paraId="432F8CFD">
            <w:pPr>
              <w:widowControl/>
              <w:jc w:val="center"/>
              <w:rPr>
                <w:rFonts w:ascii="宋体" w:hAnsi="宋体" w:cs="宋体"/>
                <w:kern w:val="0"/>
                <w:szCs w:val="21"/>
              </w:rPr>
            </w:pPr>
            <w:r>
              <w:rPr>
                <w:rFonts w:hint="eastAsia" w:ascii="宋体" w:hAnsi="宋体" w:cs="宋体"/>
                <w:kern w:val="0"/>
                <w:szCs w:val="21"/>
              </w:rPr>
              <w:t>K9</w:t>
            </w:r>
          </w:p>
        </w:tc>
        <w:tc>
          <w:tcPr>
            <w:tcW w:w="667" w:type="dxa"/>
            <w:tcBorders>
              <w:top w:val="nil"/>
              <w:left w:val="nil"/>
              <w:bottom w:val="single" w:color="auto" w:sz="4" w:space="0"/>
              <w:right w:val="single" w:color="auto" w:sz="4" w:space="0"/>
            </w:tcBorders>
            <w:noWrap w:val="0"/>
            <w:vAlign w:val="center"/>
          </w:tcPr>
          <w:p w14:paraId="4EE21686">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1E0C96D1">
            <w:pPr>
              <w:widowControl/>
              <w:jc w:val="center"/>
              <w:rPr>
                <w:rFonts w:ascii="宋体" w:hAnsi="宋体" w:cs="宋体"/>
                <w:kern w:val="0"/>
                <w:szCs w:val="21"/>
              </w:rPr>
            </w:pPr>
            <w:r>
              <w:rPr>
                <w:rFonts w:hint="eastAsia" w:ascii="宋体" w:hAnsi="宋体" w:cs="宋体"/>
                <w:kern w:val="0"/>
                <w:szCs w:val="21"/>
              </w:rPr>
              <w:t>28563</w:t>
            </w:r>
          </w:p>
        </w:tc>
        <w:tc>
          <w:tcPr>
            <w:tcW w:w="1078" w:type="dxa"/>
            <w:tcBorders>
              <w:top w:val="nil"/>
              <w:left w:val="nil"/>
              <w:bottom w:val="single" w:color="auto" w:sz="4" w:space="0"/>
              <w:right w:val="single" w:color="auto" w:sz="4" w:space="0"/>
            </w:tcBorders>
            <w:noWrap w:val="0"/>
            <w:vAlign w:val="center"/>
          </w:tcPr>
          <w:p w14:paraId="2EC891A7">
            <w:pPr>
              <w:widowControl/>
              <w:jc w:val="center"/>
              <w:rPr>
                <w:rFonts w:ascii="宋体" w:hAnsi="宋体" w:cs="宋体"/>
                <w:kern w:val="0"/>
                <w:szCs w:val="21"/>
              </w:rPr>
            </w:pPr>
            <w:r>
              <w:rPr>
                <w:rFonts w:hint="eastAsia" w:ascii="宋体" w:hAnsi="宋体" w:cs="宋体"/>
                <w:kern w:val="0"/>
                <w:szCs w:val="21"/>
              </w:rPr>
              <w:t>22810</w:t>
            </w:r>
          </w:p>
        </w:tc>
        <w:tc>
          <w:tcPr>
            <w:tcW w:w="784" w:type="dxa"/>
            <w:tcBorders>
              <w:top w:val="nil"/>
              <w:left w:val="nil"/>
              <w:bottom w:val="single" w:color="auto" w:sz="4" w:space="0"/>
              <w:right w:val="single" w:color="auto" w:sz="4" w:space="0"/>
            </w:tcBorders>
            <w:noWrap w:val="0"/>
            <w:vAlign w:val="center"/>
          </w:tcPr>
          <w:p w14:paraId="10B0B70E">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0D03E094">
            <w:pPr>
              <w:widowControl/>
              <w:jc w:val="center"/>
              <w:rPr>
                <w:rFonts w:ascii="宋体" w:hAnsi="宋体" w:cs="宋体"/>
                <w:kern w:val="0"/>
                <w:szCs w:val="21"/>
              </w:rPr>
            </w:pPr>
            <w:r>
              <w:rPr>
                <w:rFonts w:hint="eastAsia" w:ascii="宋体" w:hAnsi="宋体" w:cs="宋体"/>
                <w:kern w:val="0"/>
                <w:szCs w:val="21"/>
              </w:rPr>
              <w:t xml:space="preserve">1.32 </w:t>
            </w:r>
          </w:p>
        </w:tc>
        <w:tc>
          <w:tcPr>
            <w:tcW w:w="1006" w:type="dxa"/>
            <w:tcBorders>
              <w:top w:val="nil"/>
              <w:left w:val="nil"/>
              <w:bottom w:val="single" w:color="auto" w:sz="4" w:space="0"/>
              <w:right w:val="single" w:color="auto" w:sz="4" w:space="0"/>
            </w:tcBorders>
            <w:noWrap w:val="0"/>
            <w:vAlign w:val="center"/>
          </w:tcPr>
          <w:p w14:paraId="134CEE71">
            <w:pPr>
              <w:widowControl/>
              <w:jc w:val="center"/>
              <w:rPr>
                <w:rFonts w:ascii="宋体" w:hAnsi="宋体" w:cs="宋体"/>
                <w:kern w:val="0"/>
                <w:szCs w:val="21"/>
              </w:rPr>
            </w:pPr>
            <w:r>
              <w:rPr>
                <w:rFonts w:hint="eastAsia" w:ascii="宋体" w:hAnsi="宋体" w:cs="宋体"/>
                <w:kern w:val="0"/>
                <w:szCs w:val="21"/>
              </w:rPr>
              <w:t xml:space="preserve">1.53 </w:t>
            </w:r>
          </w:p>
        </w:tc>
        <w:tc>
          <w:tcPr>
            <w:tcW w:w="1045" w:type="dxa"/>
            <w:tcBorders>
              <w:top w:val="nil"/>
              <w:left w:val="nil"/>
              <w:bottom w:val="single" w:color="auto" w:sz="4" w:space="0"/>
              <w:right w:val="single" w:color="auto" w:sz="4" w:space="0"/>
            </w:tcBorders>
            <w:noWrap w:val="0"/>
            <w:vAlign w:val="center"/>
          </w:tcPr>
          <w:p w14:paraId="590E4E6E">
            <w:pPr>
              <w:widowControl/>
              <w:jc w:val="center"/>
              <w:rPr>
                <w:rFonts w:ascii="宋体" w:hAnsi="宋体" w:cs="宋体"/>
                <w:kern w:val="0"/>
                <w:szCs w:val="21"/>
              </w:rPr>
            </w:pPr>
            <w:r>
              <w:rPr>
                <w:rFonts w:hint="eastAsia" w:ascii="宋体" w:hAnsi="宋体" w:cs="宋体"/>
                <w:kern w:val="0"/>
                <w:szCs w:val="21"/>
              </w:rPr>
              <w:t xml:space="preserve">11.98 </w:t>
            </w:r>
          </w:p>
        </w:tc>
        <w:tc>
          <w:tcPr>
            <w:tcW w:w="686" w:type="dxa"/>
            <w:tcBorders>
              <w:top w:val="nil"/>
              <w:left w:val="nil"/>
              <w:bottom w:val="single" w:color="auto" w:sz="4" w:space="0"/>
              <w:right w:val="single" w:color="auto" w:sz="4" w:space="0"/>
            </w:tcBorders>
            <w:noWrap w:val="0"/>
            <w:vAlign w:val="center"/>
          </w:tcPr>
          <w:p w14:paraId="22E42B17">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26429EF1">
            <w:pPr>
              <w:widowControl/>
              <w:jc w:val="center"/>
              <w:rPr>
                <w:rFonts w:ascii="宋体" w:hAnsi="宋体" w:cs="宋体"/>
                <w:kern w:val="0"/>
                <w:szCs w:val="21"/>
              </w:rPr>
            </w:pPr>
            <w:r>
              <w:rPr>
                <w:rFonts w:hint="eastAsia" w:ascii="宋体" w:hAnsi="宋体" w:cs="宋体"/>
                <w:kern w:val="0"/>
                <w:szCs w:val="21"/>
              </w:rPr>
              <w:t xml:space="preserve">11.98 </w:t>
            </w:r>
          </w:p>
        </w:tc>
      </w:tr>
      <w:tr w14:paraId="611905D0">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nil"/>
              <w:left w:val="single" w:color="auto" w:sz="8" w:space="0"/>
              <w:bottom w:val="single" w:color="auto" w:sz="4" w:space="0"/>
              <w:right w:val="single" w:color="auto" w:sz="4" w:space="0"/>
            </w:tcBorders>
            <w:noWrap w:val="0"/>
            <w:vAlign w:val="center"/>
          </w:tcPr>
          <w:p w14:paraId="5EE6A9D7">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3DD7F4E9">
            <w:pPr>
              <w:widowControl/>
              <w:jc w:val="center"/>
              <w:rPr>
                <w:rFonts w:ascii="宋体" w:hAnsi="宋体" w:cs="宋体"/>
                <w:kern w:val="0"/>
                <w:szCs w:val="21"/>
              </w:rPr>
            </w:pPr>
            <w:r>
              <w:rPr>
                <w:rFonts w:hint="eastAsia" w:ascii="宋体" w:hAnsi="宋体" w:cs="宋体"/>
                <w:kern w:val="0"/>
                <w:szCs w:val="21"/>
              </w:rPr>
              <w:t>332</w:t>
            </w:r>
          </w:p>
        </w:tc>
        <w:tc>
          <w:tcPr>
            <w:tcW w:w="1072" w:type="dxa"/>
            <w:tcBorders>
              <w:top w:val="nil"/>
              <w:left w:val="nil"/>
              <w:bottom w:val="single" w:color="auto" w:sz="4" w:space="0"/>
              <w:right w:val="single" w:color="auto" w:sz="4" w:space="0"/>
            </w:tcBorders>
            <w:noWrap w:val="0"/>
            <w:vAlign w:val="center"/>
          </w:tcPr>
          <w:p w14:paraId="30D8E954">
            <w:pPr>
              <w:widowControl/>
              <w:jc w:val="center"/>
              <w:rPr>
                <w:rFonts w:ascii="宋体" w:hAnsi="宋体" w:cs="宋体"/>
                <w:kern w:val="0"/>
                <w:szCs w:val="21"/>
              </w:rPr>
            </w:pPr>
            <w:r>
              <w:rPr>
                <w:rFonts w:hint="eastAsia" w:ascii="宋体" w:hAnsi="宋体" w:cs="宋体"/>
                <w:kern w:val="0"/>
                <w:szCs w:val="21"/>
              </w:rPr>
              <w:t>9776</w:t>
            </w:r>
          </w:p>
        </w:tc>
        <w:tc>
          <w:tcPr>
            <w:tcW w:w="1078" w:type="dxa"/>
            <w:tcBorders>
              <w:top w:val="nil"/>
              <w:left w:val="nil"/>
              <w:bottom w:val="single" w:color="auto" w:sz="4" w:space="0"/>
              <w:right w:val="single" w:color="auto" w:sz="4" w:space="0"/>
            </w:tcBorders>
            <w:noWrap w:val="0"/>
            <w:vAlign w:val="center"/>
          </w:tcPr>
          <w:p w14:paraId="39CB0727">
            <w:pPr>
              <w:widowControl/>
              <w:jc w:val="center"/>
              <w:rPr>
                <w:rFonts w:ascii="宋体" w:hAnsi="宋体" w:cs="宋体"/>
                <w:kern w:val="0"/>
                <w:szCs w:val="21"/>
              </w:rPr>
            </w:pPr>
            <w:r>
              <w:rPr>
                <w:rFonts w:hint="eastAsia" w:ascii="宋体" w:hAnsi="宋体" w:cs="宋体"/>
                <w:kern w:val="0"/>
                <w:szCs w:val="21"/>
              </w:rPr>
              <w:t>10483</w:t>
            </w:r>
          </w:p>
        </w:tc>
        <w:tc>
          <w:tcPr>
            <w:tcW w:w="784" w:type="dxa"/>
            <w:tcBorders>
              <w:top w:val="nil"/>
              <w:left w:val="nil"/>
              <w:bottom w:val="single" w:color="auto" w:sz="4" w:space="0"/>
              <w:right w:val="single" w:color="auto" w:sz="4" w:space="0"/>
            </w:tcBorders>
            <w:noWrap w:val="0"/>
            <w:vAlign w:val="center"/>
          </w:tcPr>
          <w:p w14:paraId="1BF6962F">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00E673CB">
            <w:pPr>
              <w:widowControl/>
              <w:jc w:val="center"/>
              <w:rPr>
                <w:rFonts w:ascii="宋体" w:hAnsi="宋体" w:cs="宋体"/>
                <w:kern w:val="0"/>
                <w:szCs w:val="21"/>
              </w:rPr>
            </w:pPr>
            <w:r>
              <w:rPr>
                <w:rFonts w:hint="eastAsia" w:ascii="宋体" w:hAnsi="宋体" w:cs="宋体"/>
                <w:kern w:val="0"/>
                <w:szCs w:val="21"/>
              </w:rPr>
              <w:t xml:space="preserve">1.32 </w:t>
            </w:r>
          </w:p>
        </w:tc>
        <w:tc>
          <w:tcPr>
            <w:tcW w:w="1006" w:type="dxa"/>
            <w:tcBorders>
              <w:top w:val="nil"/>
              <w:left w:val="nil"/>
              <w:bottom w:val="single" w:color="auto" w:sz="4" w:space="0"/>
              <w:right w:val="single" w:color="auto" w:sz="4" w:space="0"/>
            </w:tcBorders>
            <w:noWrap w:val="0"/>
            <w:vAlign w:val="center"/>
          </w:tcPr>
          <w:p w14:paraId="3BAFC279">
            <w:pPr>
              <w:widowControl/>
              <w:jc w:val="center"/>
              <w:rPr>
                <w:rFonts w:ascii="宋体" w:hAnsi="宋体" w:cs="宋体"/>
                <w:kern w:val="0"/>
                <w:szCs w:val="21"/>
              </w:rPr>
            </w:pPr>
            <w:r>
              <w:rPr>
                <w:rFonts w:hint="eastAsia" w:ascii="宋体" w:hAnsi="宋体" w:cs="宋体"/>
                <w:kern w:val="0"/>
                <w:szCs w:val="21"/>
              </w:rPr>
              <w:t xml:space="preserve">1.53 </w:t>
            </w:r>
          </w:p>
        </w:tc>
        <w:tc>
          <w:tcPr>
            <w:tcW w:w="1045" w:type="dxa"/>
            <w:tcBorders>
              <w:top w:val="nil"/>
              <w:left w:val="nil"/>
              <w:bottom w:val="single" w:color="auto" w:sz="4" w:space="0"/>
              <w:right w:val="single" w:color="auto" w:sz="4" w:space="0"/>
            </w:tcBorders>
            <w:noWrap w:val="0"/>
            <w:vAlign w:val="center"/>
          </w:tcPr>
          <w:p w14:paraId="606B4512">
            <w:pPr>
              <w:widowControl/>
              <w:jc w:val="center"/>
              <w:rPr>
                <w:rFonts w:ascii="宋体" w:hAnsi="宋体" w:cs="宋体"/>
                <w:kern w:val="0"/>
                <w:szCs w:val="21"/>
              </w:rPr>
            </w:pPr>
            <w:r>
              <w:rPr>
                <w:rFonts w:hint="eastAsia" w:ascii="宋体" w:hAnsi="宋体" w:cs="宋体"/>
                <w:kern w:val="0"/>
                <w:szCs w:val="21"/>
              </w:rPr>
              <w:t xml:space="preserve">4.72 </w:t>
            </w:r>
          </w:p>
        </w:tc>
        <w:tc>
          <w:tcPr>
            <w:tcW w:w="686" w:type="dxa"/>
            <w:tcBorders>
              <w:top w:val="nil"/>
              <w:left w:val="nil"/>
              <w:bottom w:val="single" w:color="auto" w:sz="4" w:space="0"/>
              <w:right w:val="single" w:color="auto" w:sz="4" w:space="0"/>
            </w:tcBorders>
            <w:noWrap w:val="0"/>
            <w:vAlign w:val="center"/>
          </w:tcPr>
          <w:p w14:paraId="027AD056">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00C5E9B5">
            <w:pPr>
              <w:widowControl/>
              <w:jc w:val="center"/>
              <w:rPr>
                <w:rFonts w:ascii="宋体" w:hAnsi="宋体" w:cs="宋体"/>
                <w:kern w:val="0"/>
                <w:szCs w:val="21"/>
              </w:rPr>
            </w:pPr>
            <w:r>
              <w:rPr>
                <w:rFonts w:hint="eastAsia" w:ascii="宋体" w:hAnsi="宋体" w:cs="宋体"/>
                <w:kern w:val="0"/>
                <w:szCs w:val="21"/>
              </w:rPr>
              <w:t xml:space="preserve">4.72 </w:t>
            </w:r>
          </w:p>
        </w:tc>
      </w:tr>
      <w:tr w14:paraId="6E2985D7">
        <w:tblPrEx>
          <w:tblCellMar>
            <w:top w:w="0" w:type="dxa"/>
            <w:left w:w="108" w:type="dxa"/>
            <w:bottom w:w="0" w:type="dxa"/>
            <w:right w:w="108" w:type="dxa"/>
          </w:tblCellMar>
        </w:tblPrEx>
        <w:trPr>
          <w:wBefore w:w="0" w:type="dxa"/>
          <w:wAfter w:w="0" w:type="dxa"/>
          <w:trHeight w:val="312" w:hRule="atLeast"/>
        </w:trPr>
        <w:tc>
          <w:tcPr>
            <w:tcW w:w="937" w:type="dxa"/>
            <w:tcBorders>
              <w:top w:val="nil"/>
              <w:left w:val="single" w:color="auto" w:sz="8" w:space="0"/>
              <w:bottom w:val="single" w:color="auto" w:sz="4" w:space="0"/>
              <w:right w:val="single" w:color="auto" w:sz="4" w:space="0"/>
            </w:tcBorders>
            <w:noWrap w:val="0"/>
            <w:vAlign w:val="center"/>
          </w:tcPr>
          <w:p w14:paraId="6B3263F2">
            <w:pPr>
              <w:widowControl/>
              <w:jc w:val="center"/>
              <w:rPr>
                <w:rFonts w:ascii="宋体" w:hAnsi="宋体" w:cs="宋体"/>
                <w:kern w:val="0"/>
                <w:szCs w:val="21"/>
              </w:rPr>
            </w:pPr>
            <w:r>
              <w:rPr>
                <w:rFonts w:hint="eastAsia" w:ascii="宋体" w:hAnsi="宋体" w:cs="宋体"/>
                <w:kern w:val="0"/>
                <w:szCs w:val="21"/>
              </w:rPr>
              <w:t>K10</w:t>
            </w:r>
          </w:p>
        </w:tc>
        <w:tc>
          <w:tcPr>
            <w:tcW w:w="667" w:type="dxa"/>
            <w:tcBorders>
              <w:top w:val="nil"/>
              <w:left w:val="nil"/>
              <w:bottom w:val="single" w:color="auto" w:sz="4" w:space="0"/>
              <w:right w:val="single" w:color="auto" w:sz="4" w:space="0"/>
            </w:tcBorders>
            <w:noWrap w:val="0"/>
            <w:vAlign w:val="center"/>
          </w:tcPr>
          <w:p w14:paraId="6E3AF429">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2A625EA5">
            <w:pPr>
              <w:widowControl/>
              <w:jc w:val="center"/>
              <w:rPr>
                <w:rFonts w:ascii="宋体" w:hAnsi="宋体" w:cs="宋体"/>
                <w:kern w:val="0"/>
                <w:szCs w:val="21"/>
              </w:rPr>
            </w:pPr>
            <w:r>
              <w:rPr>
                <w:rFonts w:hint="eastAsia" w:ascii="宋体" w:hAnsi="宋体" w:cs="宋体"/>
                <w:kern w:val="0"/>
                <w:szCs w:val="21"/>
              </w:rPr>
              <w:t>48907</w:t>
            </w:r>
          </w:p>
        </w:tc>
        <w:tc>
          <w:tcPr>
            <w:tcW w:w="1078" w:type="dxa"/>
            <w:tcBorders>
              <w:top w:val="nil"/>
              <w:left w:val="nil"/>
              <w:bottom w:val="single" w:color="auto" w:sz="4" w:space="0"/>
              <w:right w:val="single" w:color="auto" w:sz="4" w:space="0"/>
            </w:tcBorders>
            <w:noWrap w:val="0"/>
            <w:vAlign w:val="center"/>
          </w:tcPr>
          <w:p w14:paraId="0237A86A">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5C9DBA91">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0FBBF49F">
            <w:pPr>
              <w:widowControl/>
              <w:jc w:val="center"/>
              <w:rPr>
                <w:rFonts w:ascii="宋体" w:hAnsi="宋体" w:cs="宋体"/>
                <w:kern w:val="0"/>
                <w:szCs w:val="21"/>
              </w:rPr>
            </w:pPr>
            <w:r>
              <w:rPr>
                <w:rFonts w:hint="eastAsia" w:ascii="宋体" w:hAnsi="宋体" w:cs="宋体"/>
                <w:kern w:val="0"/>
                <w:szCs w:val="21"/>
              </w:rPr>
              <w:t xml:space="preserve">1.17 </w:t>
            </w:r>
          </w:p>
        </w:tc>
        <w:tc>
          <w:tcPr>
            <w:tcW w:w="1006" w:type="dxa"/>
            <w:tcBorders>
              <w:top w:val="nil"/>
              <w:left w:val="nil"/>
              <w:bottom w:val="single" w:color="auto" w:sz="4" w:space="0"/>
              <w:right w:val="single" w:color="auto" w:sz="4" w:space="0"/>
            </w:tcBorders>
            <w:noWrap w:val="0"/>
            <w:vAlign w:val="center"/>
          </w:tcPr>
          <w:p w14:paraId="1D33609A">
            <w:pPr>
              <w:widowControl/>
              <w:jc w:val="center"/>
              <w:rPr>
                <w:rFonts w:ascii="宋体" w:hAnsi="宋体" w:cs="宋体"/>
                <w:kern w:val="0"/>
                <w:szCs w:val="21"/>
              </w:rPr>
            </w:pPr>
            <w:r>
              <w:rPr>
                <w:rFonts w:hint="eastAsia" w:ascii="宋体" w:hAnsi="宋体" w:cs="宋体"/>
                <w:kern w:val="0"/>
                <w:szCs w:val="21"/>
              </w:rPr>
              <w:t xml:space="preserve">1.51 </w:t>
            </w:r>
          </w:p>
        </w:tc>
        <w:tc>
          <w:tcPr>
            <w:tcW w:w="1045" w:type="dxa"/>
            <w:tcBorders>
              <w:top w:val="nil"/>
              <w:left w:val="nil"/>
              <w:bottom w:val="single" w:color="auto" w:sz="4" w:space="0"/>
              <w:right w:val="single" w:color="auto" w:sz="4" w:space="0"/>
            </w:tcBorders>
            <w:noWrap w:val="0"/>
            <w:vAlign w:val="center"/>
          </w:tcPr>
          <w:p w14:paraId="7810B9A6">
            <w:pPr>
              <w:widowControl/>
              <w:jc w:val="center"/>
              <w:rPr>
                <w:rFonts w:ascii="宋体" w:hAnsi="宋体" w:cs="宋体"/>
                <w:kern w:val="0"/>
                <w:szCs w:val="21"/>
              </w:rPr>
            </w:pPr>
            <w:r>
              <w:rPr>
                <w:rFonts w:hint="eastAsia" w:ascii="宋体" w:hAnsi="宋体" w:cs="宋体"/>
                <w:kern w:val="0"/>
                <w:szCs w:val="21"/>
              </w:rPr>
              <w:t xml:space="preserve">9.98 </w:t>
            </w:r>
          </w:p>
        </w:tc>
        <w:tc>
          <w:tcPr>
            <w:tcW w:w="686" w:type="dxa"/>
            <w:tcBorders>
              <w:top w:val="nil"/>
              <w:left w:val="nil"/>
              <w:bottom w:val="single" w:color="auto" w:sz="4" w:space="0"/>
              <w:right w:val="single" w:color="auto" w:sz="4" w:space="0"/>
            </w:tcBorders>
            <w:noWrap w:val="0"/>
            <w:vAlign w:val="center"/>
          </w:tcPr>
          <w:p w14:paraId="735D44F3">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7F454D79">
            <w:pPr>
              <w:widowControl/>
              <w:jc w:val="center"/>
              <w:rPr>
                <w:rFonts w:ascii="宋体" w:hAnsi="宋体" w:cs="宋体"/>
                <w:kern w:val="0"/>
                <w:szCs w:val="21"/>
              </w:rPr>
            </w:pPr>
            <w:r>
              <w:rPr>
                <w:rFonts w:hint="eastAsia" w:ascii="宋体" w:hAnsi="宋体" w:cs="宋体"/>
                <w:kern w:val="0"/>
                <w:szCs w:val="21"/>
              </w:rPr>
              <w:t xml:space="preserve">7.98 </w:t>
            </w:r>
          </w:p>
        </w:tc>
      </w:tr>
      <w:tr w14:paraId="6E40E428">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nil"/>
              <w:left w:val="single" w:color="auto" w:sz="8" w:space="0"/>
              <w:bottom w:val="single" w:color="auto" w:sz="4" w:space="0"/>
              <w:right w:val="single" w:color="auto" w:sz="4" w:space="0"/>
            </w:tcBorders>
            <w:noWrap w:val="0"/>
            <w:vAlign w:val="center"/>
          </w:tcPr>
          <w:p w14:paraId="68074B34">
            <w:pPr>
              <w:widowControl/>
              <w:jc w:val="center"/>
              <w:rPr>
                <w:rFonts w:ascii="宋体" w:hAnsi="宋体" w:cs="宋体"/>
                <w:kern w:val="0"/>
                <w:szCs w:val="21"/>
              </w:rPr>
            </w:pPr>
            <w:r>
              <w:rPr>
                <w:rFonts w:hint="eastAsia" w:ascii="宋体" w:hAnsi="宋体" w:cs="宋体"/>
                <w:kern w:val="0"/>
                <w:szCs w:val="21"/>
              </w:rPr>
              <w:t>K13</w:t>
            </w:r>
          </w:p>
        </w:tc>
        <w:tc>
          <w:tcPr>
            <w:tcW w:w="667" w:type="dxa"/>
            <w:tcBorders>
              <w:top w:val="nil"/>
              <w:left w:val="nil"/>
              <w:bottom w:val="single" w:color="auto" w:sz="4" w:space="0"/>
              <w:right w:val="single" w:color="auto" w:sz="4" w:space="0"/>
            </w:tcBorders>
            <w:noWrap w:val="0"/>
            <w:vAlign w:val="center"/>
          </w:tcPr>
          <w:p w14:paraId="5A6B7530">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51FA7701">
            <w:pPr>
              <w:widowControl/>
              <w:jc w:val="center"/>
              <w:rPr>
                <w:rFonts w:ascii="宋体" w:hAnsi="宋体" w:cs="宋体"/>
                <w:kern w:val="0"/>
                <w:szCs w:val="21"/>
              </w:rPr>
            </w:pPr>
            <w:r>
              <w:rPr>
                <w:rFonts w:hint="eastAsia" w:ascii="宋体" w:hAnsi="宋体" w:cs="宋体"/>
                <w:kern w:val="0"/>
                <w:szCs w:val="21"/>
              </w:rPr>
              <w:t>46711</w:t>
            </w:r>
          </w:p>
        </w:tc>
        <w:tc>
          <w:tcPr>
            <w:tcW w:w="1078" w:type="dxa"/>
            <w:tcBorders>
              <w:top w:val="nil"/>
              <w:left w:val="nil"/>
              <w:bottom w:val="single" w:color="auto" w:sz="4" w:space="0"/>
              <w:right w:val="single" w:color="auto" w:sz="4" w:space="0"/>
            </w:tcBorders>
            <w:noWrap w:val="0"/>
            <w:vAlign w:val="center"/>
          </w:tcPr>
          <w:p w14:paraId="5DCB30D2">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12452E13">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21711576">
            <w:pPr>
              <w:widowControl/>
              <w:jc w:val="center"/>
              <w:rPr>
                <w:rFonts w:ascii="宋体" w:hAnsi="宋体" w:cs="宋体"/>
                <w:kern w:val="0"/>
                <w:szCs w:val="21"/>
              </w:rPr>
            </w:pPr>
            <w:r>
              <w:rPr>
                <w:rFonts w:hint="eastAsia" w:ascii="宋体" w:hAnsi="宋体" w:cs="宋体"/>
                <w:kern w:val="0"/>
                <w:szCs w:val="21"/>
              </w:rPr>
              <w:t xml:space="preserve">1.69 </w:t>
            </w:r>
          </w:p>
        </w:tc>
        <w:tc>
          <w:tcPr>
            <w:tcW w:w="1006" w:type="dxa"/>
            <w:tcBorders>
              <w:top w:val="nil"/>
              <w:left w:val="nil"/>
              <w:bottom w:val="single" w:color="auto" w:sz="4" w:space="0"/>
              <w:right w:val="single" w:color="auto" w:sz="4" w:space="0"/>
            </w:tcBorders>
            <w:noWrap w:val="0"/>
            <w:vAlign w:val="center"/>
          </w:tcPr>
          <w:p w14:paraId="5DE50BE3">
            <w:pPr>
              <w:widowControl/>
              <w:jc w:val="center"/>
              <w:rPr>
                <w:rFonts w:ascii="宋体" w:hAnsi="宋体" w:cs="宋体"/>
                <w:kern w:val="0"/>
                <w:szCs w:val="21"/>
              </w:rPr>
            </w:pPr>
            <w:r>
              <w:rPr>
                <w:rFonts w:hint="eastAsia" w:ascii="宋体" w:hAnsi="宋体" w:cs="宋体"/>
                <w:kern w:val="0"/>
                <w:szCs w:val="21"/>
              </w:rPr>
              <w:t xml:space="preserve">1.47 </w:t>
            </w:r>
          </w:p>
        </w:tc>
        <w:tc>
          <w:tcPr>
            <w:tcW w:w="1045" w:type="dxa"/>
            <w:tcBorders>
              <w:top w:val="nil"/>
              <w:left w:val="nil"/>
              <w:bottom w:val="single" w:color="auto" w:sz="4" w:space="0"/>
              <w:right w:val="single" w:color="auto" w:sz="4" w:space="0"/>
            </w:tcBorders>
            <w:noWrap w:val="0"/>
            <w:vAlign w:val="center"/>
          </w:tcPr>
          <w:p w14:paraId="76A4E59F">
            <w:pPr>
              <w:widowControl/>
              <w:jc w:val="center"/>
              <w:rPr>
                <w:rFonts w:ascii="宋体" w:hAnsi="宋体" w:cs="宋体"/>
                <w:kern w:val="0"/>
                <w:szCs w:val="21"/>
              </w:rPr>
            </w:pPr>
            <w:r>
              <w:rPr>
                <w:rFonts w:hint="eastAsia" w:ascii="宋体" w:hAnsi="宋体" w:cs="宋体"/>
                <w:kern w:val="0"/>
                <w:szCs w:val="21"/>
              </w:rPr>
              <w:t xml:space="preserve">13.40 </w:t>
            </w:r>
          </w:p>
        </w:tc>
        <w:tc>
          <w:tcPr>
            <w:tcW w:w="686" w:type="dxa"/>
            <w:tcBorders>
              <w:top w:val="nil"/>
              <w:left w:val="nil"/>
              <w:bottom w:val="single" w:color="auto" w:sz="4" w:space="0"/>
              <w:right w:val="single" w:color="auto" w:sz="4" w:space="0"/>
            </w:tcBorders>
            <w:noWrap w:val="0"/>
            <w:vAlign w:val="center"/>
          </w:tcPr>
          <w:p w14:paraId="74E7DBAD">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37549747">
            <w:pPr>
              <w:widowControl/>
              <w:jc w:val="center"/>
              <w:rPr>
                <w:rFonts w:ascii="宋体" w:hAnsi="宋体" w:cs="宋体"/>
                <w:kern w:val="0"/>
                <w:szCs w:val="21"/>
              </w:rPr>
            </w:pPr>
            <w:r>
              <w:rPr>
                <w:rFonts w:hint="eastAsia" w:ascii="宋体" w:hAnsi="宋体" w:cs="宋体"/>
                <w:kern w:val="0"/>
                <w:szCs w:val="21"/>
              </w:rPr>
              <w:t xml:space="preserve">13.40 </w:t>
            </w:r>
          </w:p>
        </w:tc>
      </w:tr>
      <w:tr w14:paraId="266F69F6">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nil"/>
              <w:left w:val="single" w:color="auto" w:sz="8" w:space="0"/>
              <w:bottom w:val="single" w:color="auto" w:sz="4" w:space="0"/>
              <w:right w:val="single" w:color="auto" w:sz="4" w:space="0"/>
            </w:tcBorders>
            <w:noWrap w:val="0"/>
            <w:vAlign w:val="center"/>
          </w:tcPr>
          <w:p w14:paraId="304B158F">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090F26F9">
            <w:pPr>
              <w:widowControl/>
              <w:jc w:val="center"/>
              <w:rPr>
                <w:rFonts w:ascii="宋体" w:hAnsi="宋体" w:cs="宋体"/>
                <w:kern w:val="0"/>
                <w:szCs w:val="21"/>
              </w:rPr>
            </w:pPr>
            <w:r>
              <w:rPr>
                <w:rFonts w:hint="eastAsia" w:ascii="宋体" w:hAnsi="宋体" w:cs="宋体"/>
                <w:kern w:val="0"/>
                <w:szCs w:val="21"/>
              </w:rPr>
              <w:t>332</w:t>
            </w:r>
          </w:p>
        </w:tc>
        <w:tc>
          <w:tcPr>
            <w:tcW w:w="1072" w:type="dxa"/>
            <w:tcBorders>
              <w:top w:val="nil"/>
              <w:left w:val="nil"/>
              <w:bottom w:val="single" w:color="auto" w:sz="4" w:space="0"/>
              <w:right w:val="single" w:color="auto" w:sz="4" w:space="0"/>
            </w:tcBorders>
            <w:noWrap w:val="0"/>
            <w:vAlign w:val="center"/>
          </w:tcPr>
          <w:p w14:paraId="3D86BE96">
            <w:pPr>
              <w:widowControl/>
              <w:jc w:val="center"/>
              <w:rPr>
                <w:rFonts w:ascii="宋体" w:hAnsi="宋体" w:cs="宋体"/>
                <w:kern w:val="0"/>
                <w:szCs w:val="21"/>
              </w:rPr>
            </w:pPr>
            <w:r>
              <w:rPr>
                <w:rFonts w:hint="eastAsia" w:ascii="宋体" w:hAnsi="宋体" w:cs="宋体"/>
                <w:kern w:val="0"/>
                <w:szCs w:val="21"/>
              </w:rPr>
              <w:t>7804</w:t>
            </w:r>
          </w:p>
        </w:tc>
        <w:tc>
          <w:tcPr>
            <w:tcW w:w="1078" w:type="dxa"/>
            <w:tcBorders>
              <w:top w:val="nil"/>
              <w:left w:val="nil"/>
              <w:bottom w:val="single" w:color="auto" w:sz="4" w:space="0"/>
              <w:right w:val="single" w:color="auto" w:sz="4" w:space="0"/>
            </w:tcBorders>
            <w:noWrap w:val="0"/>
            <w:vAlign w:val="center"/>
          </w:tcPr>
          <w:p w14:paraId="3E36C115">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7AA2DB4A">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1CC6BDF9">
            <w:pPr>
              <w:widowControl/>
              <w:jc w:val="center"/>
              <w:rPr>
                <w:rFonts w:ascii="宋体" w:hAnsi="宋体" w:cs="宋体"/>
                <w:kern w:val="0"/>
                <w:szCs w:val="21"/>
              </w:rPr>
            </w:pPr>
            <w:r>
              <w:rPr>
                <w:rFonts w:hint="eastAsia" w:ascii="宋体" w:hAnsi="宋体" w:cs="宋体"/>
                <w:kern w:val="0"/>
                <w:szCs w:val="21"/>
              </w:rPr>
              <w:t xml:space="preserve">1.69 </w:t>
            </w:r>
          </w:p>
        </w:tc>
        <w:tc>
          <w:tcPr>
            <w:tcW w:w="1006" w:type="dxa"/>
            <w:tcBorders>
              <w:top w:val="nil"/>
              <w:left w:val="nil"/>
              <w:bottom w:val="single" w:color="auto" w:sz="4" w:space="0"/>
              <w:right w:val="single" w:color="auto" w:sz="4" w:space="0"/>
            </w:tcBorders>
            <w:noWrap w:val="0"/>
            <w:vAlign w:val="center"/>
          </w:tcPr>
          <w:p w14:paraId="2C69FD27">
            <w:pPr>
              <w:widowControl/>
              <w:jc w:val="center"/>
              <w:rPr>
                <w:rFonts w:ascii="宋体" w:hAnsi="宋体" w:cs="宋体"/>
                <w:kern w:val="0"/>
                <w:szCs w:val="21"/>
              </w:rPr>
            </w:pPr>
            <w:r>
              <w:rPr>
                <w:rFonts w:hint="eastAsia" w:ascii="宋体" w:hAnsi="宋体" w:cs="宋体"/>
                <w:kern w:val="0"/>
                <w:szCs w:val="21"/>
              </w:rPr>
              <w:t xml:space="preserve">1.47 </w:t>
            </w:r>
          </w:p>
        </w:tc>
        <w:tc>
          <w:tcPr>
            <w:tcW w:w="1045" w:type="dxa"/>
            <w:tcBorders>
              <w:top w:val="nil"/>
              <w:left w:val="nil"/>
              <w:bottom w:val="single" w:color="auto" w:sz="4" w:space="0"/>
              <w:right w:val="single" w:color="auto" w:sz="4" w:space="0"/>
            </w:tcBorders>
            <w:noWrap w:val="0"/>
            <w:vAlign w:val="center"/>
          </w:tcPr>
          <w:p w14:paraId="3111F9FD">
            <w:pPr>
              <w:widowControl/>
              <w:jc w:val="center"/>
              <w:rPr>
                <w:rFonts w:ascii="宋体" w:hAnsi="宋体" w:cs="宋体"/>
                <w:kern w:val="0"/>
                <w:szCs w:val="21"/>
              </w:rPr>
            </w:pPr>
            <w:r>
              <w:rPr>
                <w:rFonts w:hint="eastAsia" w:ascii="宋体" w:hAnsi="宋体" w:cs="宋体"/>
                <w:kern w:val="0"/>
                <w:szCs w:val="21"/>
              </w:rPr>
              <w:t xml:space="preserve">2.24 </w:t>
            </w:r>
          </w:p>
        </w:tc>
        <w:tc>
          <w:tcPr>
            <w:tcW w:w="686" w:type="dxa"/>
            <w:tcBorders>
              <w:top w:val="nil"/>
              <w:left w:val="nil"/>
              <w:bottom w:val="single" w:color="auto" w:sz="4" w:space="0"/>
              <w:right w:val="single" w:color="auto" w:sz="4" w:space="0"/>
            </w:tcBorders>
            <w:noWrap w:val="0"/>
            <w:vAlign w:val="center"/>
          </w:tcPr>
          <w:p w14:paraId="4B5FEE40">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38D32281">
            <w:pPr>
              <w:widowControl/>
              <w:jc w:val="center"/>
              <w:rPr>
                <w:rFonts w:ascii="宋体" w:hAnsi="宋体" w:cs="宋体"/>
                <w:kern w:val="0"/>
                <w:szCs w:val="21"/>
              </w:rPr>
            </w:pPr>
            <w:r>
              <w:rPr>
                <w:rFonts w:hint="eastAsia" w:ascii="宋体" w:hAnsi="宋体" w:cs="宋体"/>
                <w:kern w:val="0"/>
                <w:szCs w:val="21"/>
              </w:rPr>
              <w:t xml:space="preserve">2.24 </w:t>
            </w:r>
          </w:p>
        </w:tc>
      </w:tr>
      <w:tr w14:paraId="379A6AA4">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nil"/>
              <w:left w:val="single" w:color="auto" w:sz="8" w:space="0"/>
              <w:bottom w:val="single" w:color="auto" w:sz="4" w:space="0"/>
              <w:right w:val="single" w:color="auto" w:sz="4" w:space="0"/>
            </w:tcBorders>
            <w:noWrap w:val="0"/>
            <w:vAlign w:val="center"/>
          </w:tcPr>
          <w:p w14:paraId="00E45246">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4A8B93DB">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11FFDBEE">
            <w:pPr>
              <w:widowControl/>
              <w:jc w:val="center"/>
              <w:rPr>
                <w:rFonts w:ascii="宋体" w:hAnsi="宋体" w:cs="宋体"/>
                <w:kern w:val="0"/>
                <w:szCs w:val="21"/>
              </w:rPr>
            </w:pPr>
            <w:r>
              <w:rPr>
                <w:rFonts w:hint="eastAsia" w:ascii="宋体" w:hAnsi="宋体" w:cs="宋体"/>
                <w:kern w:val="0"/>
                <w:szCs w:val="21"/>
              </w:rPr>
              <w:t>2659</w:t>
            </w:r>
          </w:p>
        </w:tc>
        <w:tc>
          <w:tcPr>
            <w:tcW w:w="1078" w:type="dxa"/>
            <w:tcBorders>
              <w:top w:val="nil"/>
              <w:left w:val="nil"/>
              <w:bottom w:val="single" w:color="auto" w:sz="4" w:space="0"/>
              <w:right w:val="single" w:color="auto" w:sz="4" w:space="0"/>
            </w:tcBorders>
            <w:noWrap w:val="0"/>
            <w:vAlign w:val="center"/>
          </w:tcPr>
          <w:p w14:paraId="6E5A8D2F">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33A5B312">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2FA90FF8">
            <w:pPr>
              <w:widowControl/>
              <w:jc w:val="center"/>
              <w:rPr>
                <w:rFonts w:ascii="宋体" w:hAnsi="宋体" w:cs="宋体"/>
                <w:kern w:val="0"/>
                <w:szCs w:val="21"/>
              </w:rPr>
            </w:pPr>
            <w:r>
              <w:rPr>
                <w:rFonts w:hint="eastAsia" w:ascii="宋体" w:hAnsi="宋体" w:cs="宋体"/>
                <w:kern w:val="0"/>
                <w:szCs w:val="21"/>
              </w:rPr>
              <w:t xml:space="preserve">1.69 </w:t>
            </w:r>
          </w:p>
        </w:tc>
        <w:tc>
          <w:tcPr>
            <w:tcW w:w="1006" w:type="dxa"/>
            <w:tcBorders>
              <w:top w:val="nil"/>
              <w:left w:val="nil"/>
              <w:bottom w:val="single" w:color="auto" w:sz="4" w:space="0"/>
              <w:right w:val="single" w:color="auto" w:sz="4" w:space="0"/>
            </w:tcBorders>
            <w:noWrap w:val="0"/>
            <w:vAlign w:val="center"/>
          </w:tcPr>
          <w:p w14:paraId="05797CCA">
            <w:pPr>
              <w:widowControl/>
              <w:jc w:val="center"/>
              <w:rPr>
                <w:rFonts w:ascii="宋体" w:hAnsi="宋体" w:cs="宋体"/>
                <w:kern w:val="0"/>
                <w:szCs w:val="21"/>
              </w:rPr>
            </w:pPr>
            <w:r>
              <w:rPr>
                <w:rFonts w:hint="eastAsia" w:ascii="宋体" w:hAnsi="宋体" w:cs="宋体"/>
                <w:kern w:val="0"/>
                <w:szCs w:val="21"/>
              </w:rPr>
              <w:t xml:space="preserve">1.47 </w:t>
            </w:r>
          </w:p>
        </w:tc>
        <w:tc>
          <w:tcPr>
            <w:tcW w:w="1045" w:type="dxa"/>
            <w:tcBorders>
              <w:top w:val="nil"/>
              <w:left w:val="nil"/>
              <w:bottom w:val="single" w:color="auto" w:sz="4" w:space="0"/>
              <w:right w:val="single" w:color="auto" w:sz="4" w:space="0"/>
            </w:tcBorders>
            <w:noWrap w:val="0"/>
            <w:vAlign w:val="center"/>
          </w:tcPr>
          <w:p w14:paraId="1BA64107">
            <w:pPr>
              <w:widowControl/>
              <w:jc w:val="center"/>
              <w:rPr>
                <w:rFonts w:ascii="宋体" w:hAnsi="宋体" w:cs="宋体"/>
                <w:kern w:val="0"/>
                <w:szCs w:val="21"/>
              </w:rPr>
            </w:pPr>
            <w:r>
              <w:rPr>
                <w:rFonts w:hint="eastAsia" w:ascii="宋体" w:hAnsi="宋体" w:cs="宋体"/>
                <w:kern w:val="0"/>
                <w:szCs w:val="21"/>
              </w:rPr>
              <w:t xml:space="preserve">0.76 </w:t>
            </w:r>
          </w:p>
        </w:tc>
        <w:tc>
          <w:tcPr>
            <w:tcW w:w="686" w:type="dxa"/>
            <w:tcBorders>
              <w:top w:val="nil"/>
              <w:left w:val="nil"/>
              <w:bottom w:val="single" w:color="auto" w:sz="4" w:space="0"/>
              <w:right w:val="single" w:color="auto" w:sz="4" w:space="0"/>
            </w:tcBorders>
            <w:noWrap w:val="0"/>
            <w:vAlign w:val="center"/>
          </w:tcPr>
          <w:p w14:paraId="79886F4A">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38541B1C">
            <w:pPr>
              <w:widowControl/>
              <w:jc w:val="center"/>
              <w:rPr>
                <w:rFonts w:ascii="宋体" w:hAnsi="宋体" w:cs="宋体"/>
                <w:kern w:val="0"/>
                <w:szCs w:val="21"/>
              </w:rPr>
            </w:pPr>
            <w:r>
              <w:rPr>
                <w:rFonts w:hint="eastAsia" w:ascii="宋体" w:hAnsi="宋体" w:cs="宋体"/>
                <w:kern w:val="0"/>
                <w:szCs w:val="21"/>
              </w:rPr>
              <w:t xml:space="preserve">0.61 </w:t>
            </w:r>
          </w:p>
        </w:tc>
      </w:tr>
      <w:tr w14:paraId="47CE4A0A">
        <w:tblPrEx>
          <w:tblCellMar>
            <w:top w:w="0" w:type="dxa"/>
            <w:left w:w="108" w:type="dxa"/>
            <w:bottom w:w="0" w:type="dxa"/>
            <w:right w:w="108" w:type="dxa"/>
          </w:tblCellMar>
        </w:tblPrEx>
        <w:trPr>
          <w:wBefore w:w="0" w:type="dxa"/>
          <w:wAfter w:w="0" w:type="dxa"/>
          <w:trHeight w:val="312" w:hRule="atLeast"/>
        </w:trPr>
        <w:tc>
          <w:tcPr>
            <w:tcW w:w="937" w:type="dxa"/>
            <w:tcBorders>
              <w:top w:val="nil"/>
              <w:left w:val="single" w:color="auto" w:sz="8" w:space="0"/>
              <w:bottom w:val="single" w:color="auto" w:sz="4" w:space="0"/>
              <w:right w:val="single" w:color="auto" w:sz="4" w:space="0"/>
            </w:tcBorders>
            <w:noWrap w:val="0"/>
            <w:vAlign w:val="center"/>
          </w:tcPr>
          <w:p w14:paraId="02934306">
            <w:pPr>
              <w:widowControl/>
              <w:jc w:val="center"/>
              <w:rPr>
                <w:rFonts w:ascii="宋体" w:hAnsi="宋体" w:cs="宋体"/>
                <w:kern w:val="0"/>
                <w:szCs w:val="21"/>
              </w:rPr>
            </w:pPr>
            <w:r>
              <w:rPr>
                <w:rFonts w:hint="eastAsia" w:ascii="宋体" w:hAnsi="宋体" w:cs="宋体"/>
                <w:kern w:val="0"/>
                <w:szCs w:val="21"/>
              </w:rPr>
              <w:t>K18</w:t>
            </w:r>
          </w:p>
        </w:tc>
        <w:tc>
          <w:tcPr>
            <w:tcW w:w="667" w:type="dxa"/>
            <w:tcBorders>
              <w:top w:val="nil"/>
              <w:left w:val="nil"/>
              <w:bottom w:val="single" w:color="auto" w:sz="4" w:space="0"/>
              <w:right w:val="single" w:color="auto" w:sz="4" w:space="0"/>
            </w:tcBorders>
            <w:noWrap w:val="0"/>
            <w:vAlign w:val="center"/>
          </w:tcPr>
          <w:p w14:paraId="06D0BDF5">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3EBAE756">
            <w:pPr>
              <w:widowControl/>
              <w:jc w:val="center"/>
              <w:rPr>
                <w:rFonts w:ascii="宋体" w:hAnsi="宋体" w:cs="宋体"/>
                <w:kern w:val="0"/>
                <w:szCs w:val="21"/>
              </w:rPr>
            </w:pPr>
            <w:r>
              <w:rPr>
                <w:rFonts w:hint="eastAsia" w:ascii="宋体" w:hAnsi="宋体" w:cs="宋体"/>
                <w:kern w:val="0"/>
                <w:szCs w:val="21"/>
              </w:rPr>
              <w:t>36304</w:t>
            </w:r>
          </w:p>
        </w:tc>
        <w:tc>
          <w:tcPr>
            <w:tcW w:w="1078" w:type="dxa"/>
            <w:tcBorders>
              <w:top w:val="nil"/>
              <w:left w:val="nil"/>
              <w:bottom w:val="single" w:color="auto" w:sz="4" w:space="0"/>
              <w:right w:val="single" w:color="auto" w:sz="4" w:space="0"/>
            </w:tcBorders>
            <w:noWrap w:val="0"/>
            <w:vAlign w:val="center"/>
          </w:tcPr>
          <w:p w14:paraId="41D6B09C">
            <w:pPr>
              <w:widowControl/>
              <w:jc w:val="center"/>
              <w:rPr>
                <w:rFonts w:ascii="宋体" w:hAnsi="宋体" w:cs="宋体"/>
                <w:kern w:val="0"/>
                <w:szCs w:val="21"/>
              </w:rPr>
            </w:pPr>
            <w:r>
              <w:rPr>
                <w:rFonts w:hint="eastAsia" w:ascii="宋体" w:hAnsi="宋体" w:cs="宋体"/>
                <w:kern w:val="0"/>
                <w:szCs w:val="21"/>
              </w:rPr>
              <w:t>31704</w:t>
            </w:r>
          </w:p>
        </w:tc>
        <w:tc>
          <w:tcPr>
            <w:tcW w:w="784" w:type="dxa"/>
            <w:tcBorders>
              <w:top w:val="nil"/>
              <w:left w:val="nil"/>
              <w:bottom w:val="single" w:color="auto" w:sz="4" w:space="0"/>
              <w:right w:val="single" w:color="auto" w:sz="4" w:space="0"/>
            </w:tcBorders>
            <w:noWrap w:val="0"/>
            <w:vAlign w:val="center"/>
          </w:tcPr>
          <w:p w14:paraId="2786FE3E">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1839A621">
            <w:pPr>
              <w:widowControl/>
              <w:jc w:val="center"/>
              <w:rPr>
                <w:rFonts w:ascii="宋体" w:hAnsi="宋体" w:cs="宋体"/>
                <w:kern w:val="0"/>
                <w:szCs w:val="21"/>
              </w:rPr>
            </w:pPr>
            <w:r>
              <w:rPr>
                <w:rFonts w:hint="eastAsia" w:ascii="宋体" w:hAnsi="宋体" w:cs="宋体"/>
                <w:kern w:val="0"/>
                <w:szCs w:val="21"/>
              </w:rPr>
              <w:t xml:space="preserve">3.12 </w:t>
            </w:r>
          </w:p>
        </w:tc>
        <w:tc>
          <w:tcPr>
            <w:tcW w:w="1006" w:type="dxa"/>
            <w:tcBorders>
              <w:top w:val="nil"/>
              <w:left w:val="nil"/>
              <w:bottom w:val="single" w:color="auto" w:sz="4" w:space="0"/>
              <w:right w:val="single" w:color="auto" w:sz="4" w:space="0"/>
            </w:tcBorders>
            <w:noWrap w:val="0"/>
            <w:vAlign w:val="center"/>
          </w:tcPr>
          <w:p w14:paraId="333BE6C8">
            <w:pPr>
              <w:widowControl/>
              <w:jc w:val="center"/>
              <w:rPr>
                <w:rFonts w:ascii="宋体" w:hAnsi="宋体" w:cs="宋体"/>
                <w:kern w:val="0"/>
                <w:szCs w:val="21"/>
              </w:rPr>
            </w:pPr>
            <w:r>
              <w:rPr>
                <w:rFonts w:hint="eastAsia" w:ascii="宋体" w:hAnsi="宋体" w:cs="宋体"/>
                <w:kern w:val="0"/>
                <w:szCs w:val="21"/>
              </w:rPr>
              <w:t xml:space="preserve">1.44 </w:t>
            </w:r>
          </w:p>
        </w:tc>
        <w:tc>
          <w:tcPr>
            <w:tcW w:w="1045" w:type="dxa"/>
            <w:tcBorders>
              <w:top w:val="nil"/>
              <w:left w:val="nil"/>
              <w:bottom w:val="single" w:color="auto" w:sz="4" w:space="0"/>
              <w:right w:val="single" w:color="auto" w:sz="4" w:space="0"/>
            </w:tcBorders>
            <w:noWrap w:val="0"/>
            <w:vAlign w:val="center"/>
          </w:tcPr>
          <w:p w14:paraId="4EF340CA">
            <w:pPr>
              <w:widowControl/>
              <w:jc w:val="center"/>
              <w:rPr>
                <w:rFonts w:ascii="宋体" w:hAnsi="宋体" w:cs="宋体"/>
                <w:kern w:val="0"/>
                <w:szCs w:val="21"/>
              </w:rPr>
            </w:pPr>
            <w:r>
              <w:rPr>
                <w:rFonts w:hint="eastAsia" w:ascii="宋体" w:hAnsi="宋体" w:cs="宋体"/>
                <w:kern w:val="0"/>
                <w:szCs w:val="21"/>
              </w:rPr>
              <w:t xml:space="preserve">35.28 </w:t>
            </w:r>
          </w:p>
        </w:tc>
        <w:tc>
          <w:tcPr>
            <w:tcW w:w="686" w:type="dxa"/>
            <w:tcBorders>
              <w:top w:val="nil"/>
              <w:left w:val="nil"/>
              <w:bottom w:val="single" w:color="auto" w:sz="4" w:space="0"/>
              <w:right w:val="single" w:color="auto" w:sz="4" w:space="0"/>
            </w:tcBorders>
            <w:noWrap w:val="0"/>
            <w:vAlign w:val="center"/>
          </w:tcPr>
          <w:p w14:paraId="068C6475">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7289251E">
            <w:pPr>
              <w:widowControl/>
              <w:jc w:val="center"/>
              <w:rPr>
                <w:rFonts w:ascii="宋体" w:hAnsi="宋体" w:cs="宋体"/>
                <w:kern w:val="0"/>
                <w:szCs w:val="21"/>
              </w:rPr>
            </w:pPr>
            <w:r>
              <w:rPr>
                <w:rFonts w:hint="eastAsia" w:ascii="宋体" w:hAnsi="宋体" w:cs="宋体"/>
                <w:kern w:val="0"/>
                <w:szCs w:val="21"/>
              </w:rPr>
              <w:t xml:space="preserve">35.28 </w:t>
            </w:r>
          </w:p>
        </w:tc>
      </w:tr>
      <w:tr w14:paraId="78366074">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nil"/>
              <w:left w:val="single" w:color="auto" w:sz="8" w:space="0"/>
              <w:bottom w:val="single" w:color="auto" w:sz="4" w:space="0"/>
              <w:right w:val="single" w:color="auto" w:sz="4" w:space="0"/>
            </w:tcBorders>
            <w:noWrap w:val="0"/>
            <w:vAlign w:val="center"/>
          </w:tcPr>
          <w:p w14:paraId="33C4D26F">
            <w:pPr>
              <w:widowControl/>
              <w:jc w:val="center"/>
              <w:rPr>
                <w:rFonts w:ascii="宋体" w:hAnsi="宋体" w:cs="宋体"/>
                <w:kern w:val="0"/>
                <w:szCs w:val="21"/>
              </w:rPr>
            </w:pPr>
            <w:r>
              <w:rPr>
                <w:rFonts w:hint="eastAsia" w:ascii="宋体" w:hAnsi="宋体" w:cs="宋体"/>
                <w:kern w:val="0"/>
                <w:szCs w:val="21"/>
              </w:rPr>
              <w:t>K26</w:t>
            </w:r>
          </w:p>
        </w:tc>
        <w:tc>
          <w:tcPr>
            <w:tcW w:w="667" w:type="dxa"/>
            <w:tcBorders>
              <w:top w:val="nil"/>
              <w:left w:val="nil"/>
              <w:bottom w:val="single" w:color="auto" w:sz="4" w:space="0"/>
              <w:right w:val="single" w:color="auto" w:sz="4" w:space="0"/>
            </w:tcBorders>
            <w:noWrap w:val="0"/>
            <w:vAlign w:val="center"/>
          </w:tcPr>
          <w:p w14:paraId="2CE19FC9">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6D610408">
            <w:pPr>
              <w:widowControl/>
              <w:jc w:val="center"/>
              <w:rPr>
                <w:rFonts w:ascii="宋体" w:hAnsi="宋体" w:cs="宋体"/>
                <w:kern w:val="0"/>
                <w:szCs w:val="21"/>
              </w:rPr>
            </w:pPr>
            <w:r>
              <w:rPr>
                <w:rFonts w:hint="eastAsia" w:ascii="宋体" w:hAnsi="宋体" w:cs="宋体"/>
                <w:kern w:val="0"/>
                <w:szCs w:val="21"/>
              </w:rPr>
              <w:t>38443</w:t>
            </w:r>
          </w:p>
        </w:tc>
        <w:tc>
          <w:tcPr>
            <w:tcW w:w="1078" w:type="dxa"/>
            <w:tcBorders>
              <w:top w:val="nil"/>
              <w:left w:val="nil"/>
              <w:bottom w:val="single" w:color="auto" w:sz="4" w:space="0"/>
              <w:right w:val="single" w:color="auto" w:sz="4" w:space="0"/>
            </w:tcBorders>
            <w:noWrap w:val="0"/>
            <w:vAlign w:val="center"/>
          </w:tcPr>
          <w:p w14:paraId="0C0498B6">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4DE6F62F">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77D930AC">
            <w:pPr>
              <w:widowControl/>
              <w:jc w:val="center"/>
              <w:rPr>
                <w:rFonts w:ascii="宋体" w:hAnsi="宋体" w:cs="宋体"/>
                <w:kern w:val="0"/>
                <w:szCs w:val="21"/>
              </w:rPr>
            </w:pPr>
            <w:r>
              <w:rPr>
                <w:rFonts w:hint="eastAsia" w:ascii="宋体" w:hAnsi="宋体" w:cs="宋体"/>
                <w:kern w:val="0"/>
                <w:szCs w:val="21"/>
              </w:rPr>
              <w:t xml:space="preserve">1.57 </w:t>
            </w:r>
          </w:p>
        </w:tc>
        <w:tc>
          <w:tcPr>
            <w:tcW w:w="1006" w:type="dxa"/>
            <w:tcBorders>
              <w:top w:val="nil"/>
              <w:left w:val="nil"/>
              <w:bottom w:val="single" w:color="auto" w:sz="4" w:space="0"/>
              <w:right w:val="single" w:color="auto" w:sz="4" w:space="0"/>
            </w:tcBorders>
            <w:noWrap w:val="0"/>
            <w:vAlign w:val="center"/>
          </w:tcPr>
          <w:p w14:paraId="7F10137B">
            <w:pPr>
              <w:widowControl/>
              <w:jc w:val="center"/>
              <w:rPr>
                <w:rFonts w:ascii="宋体" w:hAnsi="宋体" w:cs="宋体"/>
                <w:kern w:val="0"/>
                <w:szCs w:val="21"/>
              </w:rPr>
            </w:pPr>
            <w:r>
              <w:rPr>
                <w:rFonts w:hint="eastAsia" w:ascii="宋体" w:hAnsi="宋体" w:cs="宋体"/>
                <w:kern w:val="0"/>
                <w:szCs w:val="21"/>
              </w:rPr>
              <w:t xml:space="preserve">1.48 </w:t>
            </w:r>
          </w:p>
        </w:tc>
        <w:tc>
          <w:tcPr>
            <w:tcW w:w="1045" w:type="dxa"/>
            <w:tcBorders>
              <w:top w:val="nil"/>
              <w:left w:val="nil"/>
              <w:bottom w:val="single" w:color="auto" w:sz="4" w:space="0"/>
              <w:right w:val="single" w:color="auto" w:sz="4" w:space="0"/>
            </w:tcBorders>
            <w:noWrap w:val="0"/>
            <w:vAlign w:val="center"/>
          </w:tcPr>
          <w:p w14:paraId="78F5C28B">
            <w:pPr>
              <w:widowControl/>
              <w:jc w:val="center"/>
              <w:rPr>
                <w:rFonts w:ascii="宋体" w:hAnsi="宋体" w:cs="宋体"/>
                <w:kern w:val="0"/>
                <w:szCs w:val="21"/>
              </w:rPr>
            </w:pPr>
            <w:r>
              <w:rPr>
                <w:rFonts w:hint="eastAsia" w:ascii="宋体" w:hAnsi="宋体" w:cs="宋体"/>
                <w:kern w:val="0"/>
                <w:szCs w:val="21"/>
              </w:rPr>
              <w:t xml:space="preserve">10.31 </w:t>
            </w:r>
          </w:p>
        </w:tc>
        <w:tc>
          <w:tcPr>
            <w:tcW w:w="686" w:type="dxa"/>
            <w:tcBorders>
              <w:top w:val="nil"/>
              <w:left w:val="nil"/>
              <w:bottom w:val="single" w:color="auto" w:sz="4" w:space="0"/>
              <w:right w:val="single" w:color="auto" w:sz="4" w:space="0"/>
            </w:tcBorders>
            <w:noWrap w:val="0"/>
            <w:vAlign w:val="center"/>
          </w:tcPr>
          <w:p w14:paraId="4057A59D">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6E2AE084">
            <w:pPr>
              <w:widowControl/>
              <w:jc w:val="center"/>
              <w:rPr>
                <w:rFonts w:ascii="宋体" w:hAnsi="宋体" w:cs="宋体"/>
                <w:kern w:val="0"/>
                <w:szCs w:val="21"/>
              </w:rPr>
            </w:pPr>
            <w:r>
              <w:rPr>
                <w:rFonts w:hint="eastAsia" w:ascii="宋体" w:hAnsi="宋体" w:cs="宋体"/>
                <w:kern w:val="0"/>
                <w:szCs w:val="21"/>
              </w:rPr>
              <w:t xml:space="preserve">10.31 </w:t>
            </w:r>
          </w:p>
        </w:tc>
      </w:tr>
      <w:tr w14:paraId="785821E2">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nil"/>
              <w:left w:val="single" w:color="auto" w:sz="8" w:space="0"/>
              <w:bottom w:val="single" w:color="auto" w:sz="4" w:space="0"/>
              <w:right w:val="single" w:color="auto" w:sz="4" w:space="0"/>
            </w:tcBorders>
            <w:noWrap w:val="0"/>
            <w:vAlign w:val="center"/>
          </w:tcPr>
          <w:p w14:paraId="57786E03">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7768491D">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3B93AEE5">
            <w:pPr>
              <w:widowControl/>
              <w:jc w:val="center"/>
              <w:rPr>
                <w:rFonts w:ascii="宋体" w:hAnsi="宋体" w:cs="宋体"/>
                <w:kern w:val="0"/>
                <w:szCs w:val="21"/>
              </w:rPr>
            </w:pPr>
            <w:r>
              <w:rPr>
                <w:rFonts w:hint="eastAsia" w:ascii="宋体" w:hAnsi="宋体" w:cs="宋体"/>
                <w:kern w:val="0"/>
                <w:szCs w:val="21"/>
              </w:rPr>
              <w:t>800</w:t>
            </w:r>
          </w:p>
        </w:tc>
        <w:tc>
          <w:tcPr>
            <w:tcW w:w="1078" w:type="dxa"/>
            <w:tcBorders>
              <w:top w:val="nil"/>
              <w:left w:val="nil"/>
              <w:bottom w:val="single" w:color="auto" w:sz="4" w:space="0"/>
              <w:right w:val="single" w:color="auto" w:sz="4" w:space="0"/>
            </w:tcBorders>
            <w:noWrap w:val="0"/>
            <w:vAlign w:val="center"/>
          </w:tcPr>
          <w:p w14:paraId="45E23DA9">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42F46E82">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1C235C22">
            <w:pPr>
              <w:widowControl/>
              <w:jc w:val="center"/>
              <w:rPr>
                <w:rFonts w:ascii="宋体" w:hAnsi="宋体" w:cs="宋体"/>
                <w:kern w:val="0"/>
                <w:szCs w:val="21"/>
              </w:rPr>
            </w:pPr>
            <w:r>
              <w:rPr>
                <w:rFonts w:hint="eastAsia" w:ascii="宋体" w:hAnsi="宋体" w:cs="宋体"/>
                <w:kern w:val="0"/>
                <w:szCs w:val="21"/>
              </w:rPr>
              <w:t xml:space="preserve">1.57 </w:t>
            </w:r>
          </w:p>
        </w:tc>
        <w:tc>
          <w:tcPr>
            <w:tcW w:w="1006" w:type="dxa"/>
            <w:tcBorders>
              <w:top w:val="nil"/>
              <w:left w:val="nil"/>
              <w:bottom w:val="single" w:color="auto" w:sz="4" w:space="0"/>
              <w:right w:val="single" w:color="auto" w:sz="4" w:space="0"/>
            </w:tcBorders>
            <w:noWrap w:val="0"/>
            <w:vAlign w:val="center"/>
          </w:tcPr>
          <w:p w14:paraId="2BC7E0DB">
            <w:pPr>
              <w:widowControl/>
              <w:jc w:val="center"/>
              <w:rPr>
                <w:rFonts w:ascii="宋体" w:hAnsi="宋体" w:cs="宋体"/>
                <w:kern w:val="0"/>
                <w:szCs w:val="21"/>
              </w:rPr>
            </w:pPr>
            <w:r>
              <w:rPr>
                <w:rFonts w:hint="eastAsia" w:ascii="宋体" w:hAnsi="宋体" w:cs="宋体"/>
                <w:kern w:val="0"/>
                <w:szCs w:val="21"/>
              </w:rPr>
              <w:t xml:space="preserve">1.48 </w:t>
            </w:r>
          </w:p>
        </w:tc>
        <w:tc>
          <w:tcPr>
            <w:tcW w:w="1045" w:type="dxa"/>
            <w:tcBorders>
              <w:top w:val="nil"/>
              <w:left w:val="nil"/>
              <w:bottom w:val="single" w:color="auto" w:sz="4" w:space="0"/>
              <w:right w:val="single" w:color="auto" w:sz="4" w:space="0"/>
            </w:tcBorders>
            <w:noWrap w:val="0"/>
            <w:vAlign w:val="center"/>
          </w:tcPr>
          <w:p w14:paraId="59E3DE08">
            <w:pPr>
              <w:widowControl/>
              <w:jc w:val="center"/>
              <w:rPr>
                <w:rFonts w:ascii="宋体" w:hAnsi="宋体" w:cs="宋体"/>
                <w:kern w:val="0"/>
                <w:szCs w:val="21"/>
              </w:rPr>
            </w:pPr>
            <w:r>
              <w:rPr>
                <w:rFonts w:hint="eastAsia" w:ascii="宋体" w:hAnsi="宋体" w:cs="宋体"/>
                <w:kern w:val="0"/>
                <w:szCs w:val="21"/>
              </w:rPr>
              <w:t xml:space="preserve">0.21 </w:t>
            </w:r>
          </w:p>
        </w:tc>
        <w:tc>
          <w:tcPr>
            <w:tcW w:w="686" w:type="dxa"/>
            <w:tcBorders>
              <w:top w:val="nil"/>
              <w:left w:val="nil"/>
              <w:bottom w:val="single" w:color="auto" w:sz="4" w:space="0"/>
              <w:right w:val="single" w:color="auto" w:sz="4" w:space="0"/>
            </w:tcBorders>
            <w:noWrap w:val="0"/>
            <w:vAlign w:val="center"/>
          </w:tcPr>
          <w:p w14:paraId="6CD340E9">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1DD18A33">
            <w:pPr>
              <w:widowControl/>
              <w:jc w:val="center"/>
              <w:rPr>
                <w:rFonts w:ascii="宋体" w:hAnsi="宋体" w:cs="宋体"/>
                <w:kern w:val="0"/>
                <w:szCs w:val="21"/>
              </w:rPr>
            </w:pPr>
            <w:r>
              <w:rPr>
                <w:rFonts w:hint="eastAsia" w:ascii="宋体" w:hAnsi="宋体" w:cs="宋体"/>
                <w:kern w:val="0"/>
                <w:szCs w:val="21"/>
              </w:rPr>
              <w:t xml:space="preserve">0.17 </w:t>
            </w:r>
          </w:p>
        </w:tc>
      </w:tr>
      <w:tr w14:paraId="488EFE0B">
        <w:tblPrEx>
          <w:tblCellMar>
            <w:top w:w="0" w:type="dxa"/>
            <w:left w:w="108" w:type="dxa"/>
            <w:bottom w:w="0" w:type="dxa"/>
            <w:right w:w="108" w:type="dxa"/>
          </w:tblCellMar>
        </w:tblPrEx>
        <w:trPr>
          <w:wBefore w:w="0" w:type="dxa"/>
          <w:wAfter w:w="0" w:type="dxa"/>
          <w:trHeight w:val="312" w:hRule="atLeast"/>
        </w:trPr>
        <w:tc>
          <w:tcPr>
            <w:tcW w:w="937" w:type="dxa"/>
            <w:tcBorders>
              <w:top w:val="nil"/>
              <w:left w:val="nil"/>
              <w:bottom w:val="nil"/>
              <w:right w:val="nil"/>
            </w:tcBorders>
            <w:noWrap w:val="0"/>
            <w:vAlign w:val="center"/>
          </w:tcPr>
          <w:p w14:paraId="2DAE5F04">
            <w:pPr>
              <w:widowControl/>
              <w:jc w:val="left"/>
              <w:rPr>
                <w:rFonts w:ascii="宋体" w:hAnsi="宋体" w:cs="宋体"/>
                <w:kern w:val="0"/>
                <w:szCs w:val="21"/>
              </w:rPr>
            </w:pPr>
            <w:r>
              <w:rPr>
                <w:rFonts w:hint="eastAsia" w:ascii="宋体" w:hAnsi="宋体" w:cs="宋体"/>
                <w:kern w:val="0"/>
                <w:szCs w:val="21"/>
              </w:rPr>
              <w:t>K35-b</w:t>
            </w:r>
          </w:p>
        </w:tc>
        <w:tc>
          <w:tcPr>
            <w:tcW w:w="667" w:type="dxa"/>
            <w:tcBorders>
              <w:top w:val="nil"/>
              <w:left w:val="single" w:color="auto" w:sz="4" w:space="0"/>
              <w:bottom w:val="single" w:color="auto" w:sz="4" w:space="0"/>
              <w:right w:val="single" w:color="auto" w:sz="4" w:space="0"/>
            </w:tcBorders>
            <w:noWrap w:val="0"/>
            <w:vAlign w:val="center"/>
          </w:tcPr>
          <w:p w14:paraId="5A6349C9">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71AC4711">
            <w:pPr>
              <w:widowControl/>
              <w:jc w:val="center"/>
              <w:rPr>
                <w:rFonts w:ascii="宋体" w:hAnsi="宋体" w:cs="宋体"/>
                <w:kern w:val="0"/>
                <w:szCs w:val="21"/>
              </w:rPr>
            </w:pPr>
            <w:r>
              <w:rPr>
                <w:rFonts w:hint="eastAsia" w:ascii="宋体" w:hAnsi="宋体" w:cs="宋体"/>
                <w:kern w:val="0"/>
                <w:szCs w:val="21"/>
              </w:rPr>
              <w:t>47530</w:t>
            </w:r>
          </w:p>
        </w:tc>
        <w:tc>
          <w:tcPr>
            <w:tcW w:w="1078" w:type="dxa"/>
            <w:tcBorders>
              <w:top w:val="nil"/>
              <w:left w:val="nil"/>
              <w:bottom w:val="single" w:color="auto" w:sz="4" w:space="0"/>
              <w:right w:val="single" w:color="auto" w:sz="4" w:space="0"/>
            </w:tcBorders>
            <w:noWrap w:val="0"/>
            <w:vAlign w:val="center"/>
          </w:tcPr>
          <w:p w14:paraId="144AD44F">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64F710DC">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1599DA47">
            <w:pPr>
              <w:widowControl/>
              <w:jc w:val="center"/>
              <w:rPr>
                <w:rFonts w:ascii="宋体" w:hAnsi="宋体" w:cs="宋体"/>
                <w:kern w:val="0"/>
                <w:szCs w:val="21"/>
              </w:rPr>
            </w:pPr>
            <w:r>
              <w:rPr>
                <w:rFonts w:hint="eastAsia" w:ascii="宋体" w:hAnsi="宋体" w:cs="宋体"/>
                <w:kern w:val="0"/>
                <w:szCs w:val="21"/>
              </w:rPr>
              <w:t xml:space="preserve">0.81 </w:t>
            </w:r>
          </w:p>
        </w:tc>
        <w:tc>
          <w:tcPr>
            <w:tcW w:w="1006" w:type="dxa"/>
            <w:tcBorders>
              <w:top w:val="nil"/>
              <w:left w:val="nil"/>
              <w:bottom w:val="single" w:color="auto" w:sz="4" w:space="0"/>
              <w:right w:val="single" w:color="auto" w:sz="4" w:space="0"/>
            </w:tcBorders>
            <w:noWrap w:val="0"/>
            <w:vAlign w:val="center"/>
          </w:tcPr>
          <w:p w14:paraId="5F85C862">
            <w:pPr>
              <w:widowControl/>
              <w:jc w:val="center"/>
              <w:rPr>
                <w:rFonts w:ascii="宋体" w:hAnsi="宋体" w:cs="宋体"/>
                <w:kern w:val="0"/>
                <w:szCs w:val="21"/>
              </w:rPr>
            </w:pPr>
            <w:r>
              <w:rPr>
                <w:rFonts w:hint="eastAsia" w:ascii="宋体" w:hAnsi="宋体" w:cs="宋体"/>
                <w:kern w:val="0"/>
                <w:szCs w:val="21"/>
              </w:rPr>
              <w:t xml:space="preserve">1.56 </w:t>
            </w:r>
          </w:p>
        </w:tc>
        <w:tc>
          <w:tcPr>
            <w:tcW w:w="1045" w:type="dxa"/>
            <w:tcBorders>
              <w:top w:val="nil"/>
              <w:left w:val="nil"/>
              <w:bottom w:val="single" w:color="auto" w:sz="4" w:space="0"/>
              <w:right w:val="single" w:color="auto" w:sz="4" w:space="0"/>
            </w:tcBorders>
            <w:noWrap w:val="0"/>
            <w:vAlign w:val="center"/>
          </w:tcPr>
          <w:p w14:paraId="362C616D">
            <w:pPr>
              <w:widowControl/>
              <w:jc w:val="center"/>
              <w:rPr>
                <w:rFonts w:ascii="宋体" w:hAnsi="宋体" w:cs="宋体"/>
                <w:kern w:val="0"/>
                <w:szCs w:val="21"/>
              </w:rPr>
            </w:pPr>
            <w:r>
              <w:rPr>
                <w:rFonts w:hint="eastAsia" w:ascii="宋体" w:hAnsi="宋体" w:cs="宋体"/>
                <w:kern w:val="0"/>
                <w:szCs w:val="21"/>
              </w:rPr>
              <w:t xml:space="preserve">6.94 </w:t>
            </w:r>
          </w:p>
        </w:tc>
        <w:tc>
          <w:tcPr>
            <w:tcW w:w="686" w:type="dxa"/>
            <w:tcBorders>
              <w:top w:val="nil"/>
              <w:left w:val="nil"/>
              <w:bottom w:val="single" w:color="auto" w:sz="4" w:space="0"/>
              <w:right w:val="single" w:color="auto" w:sz="4" w:space="0"/>
            </w:tcBorders>
            <w:noWrap w:val="0"/>
            <w:vAlign w:val="center"/>
          </w:tcPr>
          <w:p w14:paraId="4CBE6E65">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4ABA3FE5">
            <w:pPr>
              <w:widowControl/>
              <w:jc w:val="center"/>
              <w:rPr>
                <w:rFonts w:ascii="宋体" w:hAnsi="宋体" w:cs="宋体"/>
                <w:kern w:val="0"/>
                <w:szCs w:val="21"/>
              </w:rPr>
            </w:pPr>
            <w:r>
              <w:rPr>
                <w:rFonts w:hint="eastAsia" w:ascii="宋体" w:hAnsi="宋体" w:cs="宋体"/>
                <w:kern w:val="0"/>
                <w:szCs w:val="21"/>
              </w:rPr>
              <w:t xml:space="preserve">5.55 </w:t>
            </w:r>
          </w:p>
        </w:tc>
      </w:tr>
      <w:tr w14:paraId="1A225EFF">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single" w:color="auto" w:sz="4" w:space="0"/>
              <w:left w:val="single" w:color="auto" w:sz="8" w:space="0"/>
              <w:bottom w:val="single" w:color="auto" w:sz="4" w:space="0"/>
              <w:right w:val="single" w:color="auto" w:sz="4" w:space="0"/>
            </w:tcBorders>
            <w:noWrap w:val="0"/>
            <w:vAlign w:val="center"/>
          </w:tcPr>
          <w:p w14:paraId="26B1BA03">
            <w:pPr>
              <w:widowControl/>
              <w:jc w:val="center"/>
              <w:rPr>
                <w:rFonts w:ascii="宋体" w:hAnsi="宋体" w:cs="宋体"/>
                <w:kern w:val="0"/>
                <w:szCs w:val="21"/>
              </w:rPr>
            </w:pPr>
            <w:r>
              <w:rPr>
                <w:rFonts w:hint="eastAsia" w:ascii="宋体" w:hAnsi="宋体" w:cs="宋体"/>
                <w:kern w:val="0"/>
                <w:szCs w:val="21"/>
              </w:rPr>
              <w:t>K106-b</w:t>
            </w:r>
          </w:p>
        </w:tc>
        <w:tc>
          <w:tcPr>
            <w:tcW w:w="667" w:type="dxa"/>
            <w:tcBorders>
              <w:top w:val="nil"/>
              <w:left w:val="nil"/>
              <w:bottom w:val="single" w:color="auto" w:sz="4" w:space="0"/>
              <w:right w:val="single" w:color="auto" w:sz="4" w:space="0"/>
            </w:tcBorders>
            <w:noWrap w:val="0"/>
            <w:vAlign w:val="center"/>
          </w:tcPr>
          <w:p w14:paraId="556CF41F">
            <w:pPr>
              <w:widowControl/>
              <w:jc w:val="center"/>
              <w:rPr>
                <w:rFonts w:ascii="宋体" w:hAnsi="宋体" w:cs="宋体"/>
                <w:kern w:val="0"/>
                <w:szCs w:val="21"/>
              </w:rPr>
            </w:pPr>
            <w:r>
              <w:rPr>
                <w:rFonts w:hint="eastAsia" w:ascii="宋体" w:hAnsi="宋体" w:cs="宋体"/>
                <w:kern w:val="0"/>
                <w:szCs w:val="21"/>
              </w:rPr>
              <w:t>332</w:t>
            </w:r>
          </w:p>
        </w:tc>
        <w:tc>
          <w:tcPr>
            <w:tcW w:w="1072" w:type="dxa"/>
            <w:tcBorders>
              <w:top w:val="nil"/>
              <w:left w:val="nil"/>
              <w:bottom w:val="single" w:color="auto" w:sz="4" w:space="0"/>
              <w:right w:val="single" w:color="auto" w:sz="4" w:space="0"/>
            </w:tcBorders>
            <w:noWrap w:val="0"/>
            <w:vAlign w:val="center"/>
          </w:tcPr>
          <w:p w14:paraId="3D4BA7D4">
            <w:pPr>
              <w:widowControl/>
              <w:jc w:val="center"/>
              <w:rPr>
                <w:rFonts w:ascii="宋体" w:hAnsi="宋体" w:cs="宋体"/>
                <w:kern w:val="0"/>
                <w:szCs w:val="21"/>
              </w:rPr>
            </w:pPr>
            <w:r>
              <w:rPr>
                <w:rFonts w:hint="eastAsia" w:ascii="宋体" w:hAnsi="宋体" w:cs="宋体"/>
                <w:kern w:val="0"/>
                <w:szCs w:val="21"/>
              </w:rPr>
              <w:t>22321</w:t>
            </w:r>
          </w:p>
        </w:tc>
        <w:tc>
          <w:tcPr>
            <w:tcW w:w="1078" w:type="dxa"/>
            <w:tcBorders>
              <w:top w:val="nil"/>
              <w:left w:val="nil"/>
              <w:bottom w:val="single" w:color="auto" w:sz="4" w:space="0"/>
              <w:right w:val="single" w:color="auto" w:sz="4" w:space="0"/>
            </w:tcBorders>
            <w:noWrap w:val="0"/>
            <w:vAlign w:val="center"/>
          </w:tcPr>
          <w:p w14:paraId="48AB9175">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64FD942B">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60ACAFBB">
            <w:pPr>
              <w:widowControl/>
              <w:jc w:val="center"/>
              <w:rPr>
                <w:rFonts w:ascii="宋体" w:hAnsi="宋体" w:cs="宋体"/>
                <w:kern w:val="0"/>
                <w:szCs w:val="21"/>
              </w:rPr>
            </w:pPr>
            <w:r>
              <w:rPr>
                <w:rFonts w:hint="eastAsia" w:ascii="宋体" w:hAnsi="宋体" w:cs="宋体"/>
                <w:kern w:val="0"/>
                <w:szCs w:val="21"/>
              </w:rPr>
              <w:t xml:space="preserve">1.72 </w:t>
            </w:r>
          </w:p>
        </w:tc>
        <w:tc>
          <w:tcPr>
            <w:tcW w:w="1006" w:type="dxa"/>
            <w:tcBorders>
              <w:top w:val="nil"/>
              <w:left w:val="nil"/>
              <w:bottom w:val="single" w:color="auto" w:sz="4" w:space="0"/>
              <w:right w:val="single" w:color="auto" w:sz="4" w:space="0"/>
            </w:tcBorders>
            <w:noWrap w:val="0"/>
            <w:vAlign w:val="center"/>
          </w:tcPr>
          <w:p w14:paraId="3BD04375">
            <w:pPr>
              <w:widowControl/>
              <w:jc w:val="center"/>
              <w:rPr>
                <w:rFonts w:ascii="宋体" w:hAnsi="宋体" w:cs="宋体"/>
                <w:kern w:val="0"/>
                <w:szCs w:val="21"/>
              </w:rPr>
            </w:pPr>
            <w:r>
              <w:rPr>
                <w:rFonts w:hint="eastAsia" w:ascii="宋体" w:hAnsi="宋体" w:cs="宋体"/>
                <w:kern w:val="0"/>
                <w:szCs w:val="21"/>
              </w:rPr>
              <w:t xml:space="preserve">1.56 </w:t>
            </w:r>
          </w:p>
        </w:tc>
        <w:tc>
          <w:tcPr>
            <w:tcW w:w="1045" w:type="dxa"/>
            <w:tcBorders>
              <w:top w:val="nil"/>
              <w:left w:val="nil"/>
              <w:bottom w:val="single" w:color="auto" w:sz="4" w:space="0"/>
              <w:right w:val="single" w:color="auto" w:sz="4" w:space="0"/>
            </w:tcBorders>
            <w:noWrap w:val="0"/>
            <w:vAlign w:val="center"/>
          </w:tcPr>
          <w:p w14:paraId="6F5D1A5F">
            <w:pPr>
              <w:widowControl/>
              <w:jc w:val="center"/>
              <w:rPr>
                <w:rFonts w:ascii="宋体" w:hAnsi="宋体" w:cs="宋体"/>
                <w:kern w:val="0"/>
                <w:szCs w:val="21"/>
              </w:rPr>
            </w:pPr>
            <w:r>
              <w:rPr>
                <w:rFonts w:hint="eastAsia" w:ascii="宋体" w:hAnsi="宋体" w:cs="宋体"/>
                <w:kern w:val="0"/>
                <w:szCs w:val="21"/>
              </w:rPr>
              <w:t xml:space="preserve">6.92 </w:t>
            </w:r>
          </w:p>
        </w:tc>
        <w:tc>
          <w:tcPr>
            <w:tcW w:w="686" w:type="dxa"/>
            <w:tcBorders>
              <w:top w:val="nil"/>
              <w:left w:val="nil"/>
              <w:bottom w:val="single" w:color="auto" w:sz="4" w:space="0"/>
              <w:right w:val="single" w:color="auto" w:sz="4" w:space="0"/>
            </w:tcBorders>
            <w:noWrap w:val="0"/>
            <w:vAlign w:val="center"/>
          </w:tcPr>
          <w:p w14:paraId="3BB0F4A1">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24ECCAFB">
            <w:pPr>
              <w:widowControl/>
              <w:jc w:val="center"/>
              <w:rPr>
                <w:rFonts w:ascii="宋体" w:hAnsi="宋体" w:cs="宋体"/>
                <w:kern w:val="0"/>
                <w:szCs w:val="21"/>
              </w:rPr>
            </w:pPr>
            <w:r>
              <w:rPr>
                <w:rFonts w:hint="eastAsia" w:ascii="宋体" w:hAnsi="宋体" w:cs="宋体"/>
                <w:kern w:val="0"/>
                <w:szCs w:val="21"/>
              </w:rPr>
              <w:t xml:space="preserve">6.92 </w:t>
            </w:r>
          </w:p>
        </w:tc>
      </w:tr>
      <w:tr w14:paraId="7A1D87FA">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single" w:color="auto" w:sz="4" w:space="0"/>
              <w:left w:val="single" w:color="auto" w:sz="8" w:space="0"/>
              <w:bottom w:val="single" w:color="auto" w:sz="4" w:space="0"/>
              <w:right w:val="single" w:color="auto" w:sz="4" w:space="0"/>
            </w:tcBorders>
            <w:noWrap w:val="0"/>
            <w:vAlign w:val="center"/>
          </w:tcPr>
          <w:p w14:paraId="4D7E64D5">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1EFADCFC">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0FA6E2A6">
            <w:pPr>
              <w:widowControl/>
              <w:jc w:val="center"/>
              <w:rPr>
                <w:rFonts w:ascii="宋体" w:hAnsi="宋体" w:cs="宋体"/>
                <w:kern w:val="0"/>
                <w:szCs w:val="21"/>
              </w:rPr>
            </w:pPr>
            <w:r>
              <w:rPr>
                <w:rFonts w:hint="eastAsia" w:ascii="宋体" w:hAnsi="宋体" w:cs="宋体"/>
                <w:kern w:val="0"/>
                <w:szCs w:val="21"/>
              </w:rPr>
              <w:t>29995</w:t>
            </w:r>
          </w:p>
        </w:tc>
        <w:tc>
          <w:tcPr>
            <w:tcW w:w="1078" w:type="dxa"/>
            <w:tcBorders>
              <w:top w:val="nil"/>
              <w:left w:val="nil"/>
              <w:bottom w:val="single" w:color="auto" w:sz="4" w:space="0"/>
              <w:right w:val="single" w:color="auto" w:sz="4" w:space="0"/>
            </w:tcBorders>
            <w:noWrap w:val="0"/>
            <w:vAlign w:val="center"/>
          </w:tcPr>
          <w:p w14:paraId="0B4683C5">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51FE5AE7">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41819ABB">
            <w:pPr>
              <w:widowControl/>
              <w:jc w:val="center"/>
              <w:rPr>
                <w:rFonts w:ascii="宋体" w:hAnsi="宋体" w:cs="宋体"/>
                <w:kern w:val="0"/>
                <w:szCs w:val="21"/>
              </w:rPr>
            </w:pPr>
            <w:r>
              <w:rPr>
                <w:rFonts w:hint="eastAsia" w:ascii="宋体" w:hAnsi="宋体" w:cs="宋体"/>
                <w:kern w:val="0"/>
                <w:szCs w:val="21"/>
              </w:rPr>
              <w:t xml:space="preserve">1.72 </w:t>
            </w:r>
          </w:p>
        </w:tc>
        <w:tc>
          <w:tcPr>
            <w:tcW w:w="1006" w:type="dxa"/>
            <w:tcBorders>
              <w:top w:val="nil"/>
              <w:left w:val="nil"/>
              <w:bottom w:val="single" w:color="auto" w:sz="4" w:space="0"/>
              <w:right w:val="single" w:color="auto" w:sz="4" w:space="0"/>
            </w:tcBorders>
            <w:noWrap w:val="0"/>
            <w:vAlign w:val="center"/>
          </w:tcPr>
          <w:p w14:paraId="4020A11E">
            <w:pPr>
              <w:widowControl/>
              <w:jc w:val="center"/>
              <w:rPr>
                <w:rFonts w:ascii="宋体" w:hAnsi="宋体" w:cs="宋体"/>
                <w:kern w:val="0"/>
                <w:szCs w:val="21"/>
              </w:rPr>
            </w:pPr>
            <w:r>
              <w:rPr>
                <w:rFonts w:hint="eastAsia" w:ascii="宋体" w:hAnsi="宋体" w:cs="宋体"/>
                <w:kern w:val="0"/>
                <w:szCs w:val="21"/>
              </w:rPr>
              <w:t xml:space="preserve">1.56 </w:t>
            </w:r>
          </w:p>
        </w:tc>
        <w:tc>
          <w:tcPr>
            <w:tcW w:w="1045" w:type="dxa"/>
            <w:tcBorders>
              <w:top w:val="nil"/>
              <w:left w:val="nil"/>
              <w:bottom w:val="single" w:color="auto" w:sz="4" w:space="0"/>
              <w:right w:val="single" w:color="auto" w:sz="4" w:space="0"/>
            </w:tcBorders>
            <w:noWrap w:val="0"/>
            <w:vAlign w:val="center"/>
          </w:tcPr>
          <w:p w14:paraId="121DF394">
            <w:pPr>
              <w:widowControl/>
              <w:jc w:val="center"/>
              <w:rPr>
                <w:rFonts w:ascii="宋体" w:hAnsi="宋体" w:cs="宋体"/>
                <w:kern w:val="0"/>
                <w:szCs w:val="21"/>
              </w:rPr>
            </w:pPr>
            <w:r>
              <w:rPr>
                <w:rFonts w:hint="eastAsia" w:ascii="宋体" w:hAnsi="宋体" w:cs="宋体"/>
                <w:kern w:val="0"/>
                <w:szCs w:val="21"/>
              </w:rPr>
              <w:t xml:space="preserve">9.29 </w:t>
            </w:r>
          </w:p>
        </w:tc>
        <w:tc>
          <w:tcPr>
            <w:tcW w:w="686" w:type="dxa"/>
            <w:tcBorders>
              <w:top w:val="nil"/>
              <w:left w:val="nil"/>
              <w:bottom w:val="single" w:color="auto" w:sz="4" w:space="0"/>
              <w:right w:val="single" w:color="auto" w:sz="4" w:space="0"/>
            </w:tcBorders>
            <w:noWrap w:val="0"/>
            <w:vAlign w:val="center"/>
          </w:tcPr>
          <w:p w14:paraId="54BCD590">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29C04379">
            <w:pPr>
              <w:widowControl/>
              <w:jc w:val="center"/>
              <w:rPr>
                <w:rFonts w:ascii="宋体" w:hAnsi="宋体" w:cs="宋体"/>
                <w:kern w:val="0"/>
                <w:szCs w:val="21"/>
              </w:rPr>
            </w:pPr>
            <w:r>
              <w:rPr>
                <w:rFonts w:hint="eastAsia" w:ascii="宋体" w:hAnsi="宋体" w:cs="宋体"/>
                <w:kern w:val="0"/>
                <w:szCs w:val="21"/>
              </w:rPr>
              <w:t xml:space="preserve">7.43 </w:t>
            </w:r>
          </w:p>
        </w:tc>
      </w:tr>
      <w:tr w14:paraId="6721DD0F">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nil"/>
              <w:left w:val="single" w:color="auto" w:sz="8" w:space="0"/>
              <w:bottom w:val="single" w:color="auto" w:sz="4" w:space="0"/>
              <w:right w:val="single" w:color="auto" w:sz="4" w:space="0"/>
            </w:tcBorders>
            <w:noWrap w:val="0"/>
            <w:vAlign w:val="center"/>
          </w:tcPr>
          <w:p w14:paraId="78E9BBFA">
            <w:pPr>
              <w:widowControl/>
              <w:jc w:val="center"/>
              <w:rPr>
                <w:rFonts w:ascii="宋体" w:hAnsi="宋体" w:cs="宋体"/>
                <w:kern w:val="0"/>
                <w:szCs w:val="21"/>
              </w:rPr>
            </w:pPr>
            <w:r>
              <w:rPr>
                <w:rFonts w:hint="eastAsia" w:ascii="宋体" w:hAnsi="宋体" w:cs="宋体"/>
                <w:kern w:val="0"/>
                <w:szCs w:val="21"/>
              </w:rPr>
              <w:t>K109-b</w:t>
            </w:r>
          </w:p>
        </w:tc>
        <w:tc>
          <w:tcPr>
            <w:tcW w:w="667" w:type="dxa"/>
            <w:tcBorders>
              <w:top w:val="nil"/>
              <w:left w:val="nil"/>
              <w:bottom w:val="single" w:color="auto" w:sz="4" w:space="0"/>
              <w:right w:val="single" w:color="auto" w:sz="4" w:space="0"/>
            </w:tcBorders>
            <w:noWrap w:val="0"/>
            <w:vAlign w:val="center"/>
          </w:tcPr>
          <w:p w14:paraId="77D04FC0">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432E23FF">
            <w:pPr>
              <w:widowControl/>
              <w:jc w:val="center"/>
              <w:rPr>
                <w:rFonts w:ascii="宋体" w:hAnsi="宋体" w:cs="宋体"/>
                <w:kern w:val="0"/>
                <w:szCs w:val="21"/>
              </w:rPr>
            </w:pPr>
            <w:r>
              <w:rPr>
                <w:rFonts w:hint="eastAsia" w:ascii="宋体" w:hAnsi="宋体" w:cs="宋体"/>
                <w:kern w:val="0"/>
                <w:szCs w:val="21"/>
              </w:rPr>
              <w:t>15326</w:t>
            </w:r>
          </w:p>
        </w:tc>
        <w:tc>
          <w:tcPr>
            <w:tcW w:w="1078" w:type="dxa"/>
            <w:tcBorders>
              <w:top w:val="nil"/>
              <w:left w:val="nil"/>
              <w:bottom w:val="single" w:color="auto" w:sz="4" w:space="0"/>
              <w:right w:val="single" w:color="auto" w:sz="4" w:space="0"/>
            </w:tcBorders>
            <w:noWrap w:val="0"/>
            <w:vAlign w:val="center"/>
          </w:tcPr>
          <w:p w14:paraId="51D82B46">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12030C48">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3EDFE0B7">
            <w:pPr>
              <w:widowControl/>
              <w:jc w:val="center"/>
              <w:rPr>
                <w:rFonts w:ascii="宋体" w:hAnsi="宋体" w:cs="宋体"/>
                <w:kern w:val="0"/>
                <w:szCs w:val="21"/>
              </w:rPr>
            </w:pPr>
            <w:r>
              <w:rPr>
                <w:rFonts w:hint="eastAsia" w:ascii="宋体" w:hAnsi="宋体" w:cs="宋体"/>
                <w:kern w:val="0"/>
                <w:szCs w:val="21"/>
              </w:rPr>
              <w:t xml:space="preserve">1.58 </w:t>
            </w:r>
          </w:p>
        </w:tc>
        <w:tc>
          <w:tcPr>
            <w:tcW w:w="1006" w:type="dxa"/>
            <w:tcBorders>
              <w:top w:val="nil"/>
              <w:left w:val="nil"/>
              <w:bottom w:val="single" w:color="auto" w:sz="4" w:space="0"/>
              <w:right w:val="single" w:color="auto" w:sz="4" w:space="0"/>
            </w:tcBorders>
            <w:noWrap w:val="0"/>
            <w:vAlign w:val="center"/>
          </w:tcPr>
          <w:p w14:paraId="61CDFAFC">
            <w:pPr>
              <w:widowControl/>
              <w:jc w:val="center"/>
              <w:rPr>
                <w:rFonts w:ascii="宋体" w:hAnsi="宋体" w:cs="宋体"/>
                <w:kern w:val="0"/>
                <w:szCs w:val="21"/>
              </w:rPr>
            </w:pPr>
            <w:r>
              <w:rPr>
                <w:rFonts w:hint="eastAsia" w:ascii="宋体" w:hAnsi="宋体" w:cs="宋体"/>
                <w:kern w:val="0"/>
                <w:szCs w:val="21"/>
              </w:rPr>
              <w:t xml:space="preserve">1.49 </w:t>
            </w:r>
          </w:p>
        </w:tc>
        <w:tc>
          <w:tcPr>
            <w:tcW w:w="1045" w:type="dxa"/>
            <w:tcBorders>
              <w:top w:val="nil"/>
              <w:left w:val="nil"/>
              <w:bottom w:val="single" w:color="auto" w:sz="4" w:space="0"/>
              <w:right w:val="single" w:color="auto" w:sz="4" w:space="0"/>
            </w:tcBorders>
            <w:noWrap w:val="0"/>
            <w:vAlign w:val="center"/>
          </w:tcPr>
          <w:p w14:paraId="53671DA3">
            <w:pPr>
              <w:widowControl/>
              <w:jc w:val="center"/>
              <w:rPr>
                <w:rFonts w:ascii="宋体" w:hAnsi="宋体" w:cs="宋体"/>
                <w:kern w:val="0"/>
                <w:szCs w:val="21"/>
              </w:rPr>
            </w:pPr>
            <w:r>
              <w:rPr>
                <w:rFonts w:hint="eastAsia" w:ascii="宋体" w:hAnsi="宋体" w:cs="宋体"/>
                <w:kern w:val="0"/>
                <w:szCs w:val="21"/>
              </w:rPr>
              <w:t xml:space="preserve">4.17 </w:t>
            </w:r>
          </w:p>
        </w:tc>
        <w:tc>
          <w:tcPr>
            <w:tcW w:w="686" w:type="dxa"/>
            <w:tcBorders>
              <w:top w:val="nil"/>
              <w:left w:val="nil"/>
              <w:bottom w:val="single" w:color="auto" w:sz="4" w:space="0"/>
              <w:right w:val="single" w:color="auto" w:sz="4" w:space="0"/>
            </w:tcBorders>
            <w:noWrap w:val="0"/>
            <w:vAlign w:val="center"/>
          </w:tcPr>
          <w:p w14:paraId="4F5FC126">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0402631F">
            <w:pPr>
              <w:widowControl/>
              <w:jc w:val="center"/>
              <w:rPr>
                <w:rFonts w:ascii="宋体" w:hAnsi="宋体" w:cs="宋体"/>
                <w:kern w:val="0"/>
                <w:szCs w:val="21"/>
              </w:rPr>
            </w:pPr>
            <w:r>
              <w:rPr>
                <w:rFonts w:hint="eastAsia" w:ascii="宋体" w:hAnsi="宋体" w:cs="宋体"/>
                <w:kern w:val="0"/>
                <w:szCs w:val="21"/>
              </w:rPr>
              <w:t xml:space="preserve">4.17 </w:t>
            </w:r>
          </w:p>
        </w:tc>
      </w:tr>
      <w:tr w14:paraId="608A76A3">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nil"/>
              <w:left w:val="single" w:color="auto" w:sz="8" w:space="0"/>
              <w:bottom w:val="single" w:color="auto" w:sz="4" w:space="0"/>
              <w:right w:val="single" w:color="auto" w:sz="4" w:space="0"/>
            </w:tcBorders>
            <w:noWrap w:val="0"/>
            <w:vAlign w:val="center"/>
          </w:tcPr>
          <w:p w14:paraId="7EF24872">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3FA2E3F6">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5541C9C2">
            <w:pPr>
              <w:widowControl/>
              <w:jc w:val="center"/>
              <w:rPr>
                <w:rFonts w:ascii="宋体" w:hAnsi="宋体" w:cs="宋体"/>
                <w:kern w:val="0"/>
                <w:szCs w:val="21"/>
              </w:rPr>
            </w:pPr>
            <w:r>
              <w:rPr>
                <w:rFonts w:hint="eastAsia" w:ascii="宋体" w:hAnsi="宋体" w:cs="宋体"/>
                <w:kern w:val="0"/>
                <w:szCs w:val="21"/>
              </w:rPr>
              <w:t>23027</w:t>
            </w:r>
          </w:p>
        </w:tc>
        <w:tc>
          <w:tcPr>
            <w:tcW w:w="1078" w:type="dxa"/>
            <w:tcBorders>
              <w:top w:val="nil"/>
              <w:left w:val="nil"/>
              <w:bottom w:val="single" w:color="auto" w:sz="4" w:space="0"/>
              <w:right w:val="single" w:color="auto" w:sz="4" w:space="0"/>
            </w:tcBorders>
            <w:noWrap w:val="0"/>
            <w:vAlign w:val="center"/>
          </w:tcPr>
          <w:p w14:paraId="7A2AF4B1">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7E30CD8A">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7DCDD7BE">
            <w:pPr>
              <w:widowControl/>
              <w:jc w:val="center"/>
              <w:rPr>
                <w:rFonts w:ascii="宋体" w:hAnsi="宋体" w:cs="宋体"/>
                <w:kern w:val="0"/>
                <w:szCs w:val="21"/>
              </w:rPr>
            </w:pPr>
            <w:r>
              <w:rPr>
                <w:rFonts w:hint="eastAsia" w:ascii="宋体" w:hAnsi="宋体" w:cs="宋体"/>
                <w:kern w:val="0"/>
                <w:szCs w:val="21"/>
              </w:rPr>
              <w:t xml:space="preserve">1.58 </w:t>
            </w:r>
          </w:p>
        </w:tc>
        <w:tc>
          <w:tcPr>
            <w:tcW w:w="1006" w:type="dxa"/>
            <w:tcBorders>
              <w:top w:val="nil"/>
              <w:left w:val="nil"/>
              <w:bottom w:val="single" w:color="auto" w:sz="4" w:space="0"/>
              <w:right w:val="single" w:color="auto" w:sz="4" w:space="0"/>
            </w:tcBorders>
            <w:noWrap w:val="0"/>
            <w:vAlign w:val="center"/>
          </w:tcPr>
          <w:p w14:paraId="5A9101A6">
            <w:pPr>
              <w:widowControl/>
              <w:jc w:val="center"/>
              <w:rPr>
                <w:rFonts w:ascii="宋体" w:hAnsi="宋体" w:cs="宋体"/>
                <w:kern w:val="0"/>
                <w:szCs w:val="21"/>
              </w:rPr>
            </w:pPr>
            <w:r>
              <w:rPr>
                <w:rFonts w:hint="eastAsia" w:ascii="宋体" w:hAnsi="宋体" w:cs="宋体"/>
                <w:kern w:val="0"/>
                <w:szCs w:val="21"/>
              </w:rPr>
              <w:t xml:space="preserve">1.49 </w:t>
            </w:r>
          </w:p>
        </w:tc>
        <w:tc>
          <w:tcPr>
            <w:tcW w:w="1045" w:type="dxa"/>
            <w:tcBorders>
              <w:top w:val="nil"/>
              <w:left w:val="nil"/>
              <w:bottom w:val="single" w:color="auto" w:sz="4" w:space="0"/>
              <w:right w:val="single" w:color="auto" w:sz="4" w:space="0"/>
            </w:tcBorders>
            <w:noWrap w:val="0"/>
            <w:vAlign w:val="center"/>
          </w:tcPr>
          <w:p w14:paraId="6492B83C">
            <w:pPr>
              <w:widowControl/>
              <w:jc w:val="center"/>
              <w:rPr>
                <w:rFonts w:ascii="宋体" w:hAnsi="宋体" w:cs="宋体"/>
                <w:kern w:val="0"/>
                <w:szCs w:val="21"/>
              </w:rPr>
            </w:pPr>
            <w:r>
              <w:rPr>
                <w:rFonts w:hint="eastAsia" w:ascii="宋体" w:hAnsi="宋体" w:cs="宋体"/>
                <w:kern w:val="0"/>
                <w:szCs w:val="21"/>
              </w:rPr>
              <w:t xml:space="preserve">6.26 </w:t>
            </w:r>
          </w:p>
        </w:tc>
        <w:tc>
          <w:tcPr>
            <w:tcW w:w="686" w:type="dxa"/>
            <w:tcBorders>
              <w:top w:val="nil"/>
              <w:left w:val="nil"/>
              <w:bottom w:val="single" w:color="auto" w:sz="4" w:space="0"/>
              <w:right w:val="single" w:color="auto" w:sz="4" w:space="0"/>
            </w:tcBorders>
            <w:noWrap w:val="0"/>
            <w:vAlign w:val="center"/>
          </w:tcPr>
          <w:p w14:paraId="4F3E39FD">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22EDE4EE">
            <w:pPr>
              <w:widowControl/>
              <w:jc w:val="center"/>
              <w:rPr>
                <w:rFonts w:ascii="宋体" w:hAnsi="宋体" w:cs="宋体"/>
                <w:kern w:val="0"/>
                <w:szCs w:val="21"/>
              </w:rPr>
            </w:pPr>
            <w:r>
              <w:rPr>
                <w:rFonts w:hint="eastAsia" w:ascii="宋体" w:hAnsi="宋体" w:cs="宋体"/>
                <w:kern w:val="0"/>
                <w:szCs w:val="21"/>
              </w:rPr>
              <w:t xml:space="preserve">5.01 </w:t>
            </w:r>
          </w:p>
        </w:tc>
      </w:tr>
      <w:tr w14:paraId="5F9315A5">
        <w:tblPrEx>
          <w:tblCellMar>
            <w:top w:w="0" w:type="dxa"/>
            <w:left w:w="108" w:type="dxa"/>
            <w:bottom w:w="0" w:type="dxa"/>
            <w:right w:w="108" w:type="dxa"/>
          </w:tblCellMar>
        </w:tblPrEx>
        <w:trPr>
          <w:wBefore w:w="0" w:type="dxa"/>
          <w:wAfter w:w="0" w:type="dxa"/>
          <w:trHeight w:val="312" w:hRule="atLeast"/>
        </w:trPr>
        <w:tc>
          <w:tcPr>
            <w:tcW w:w="937" w:type="dxa"/>
            <w:vMerge w:val="restart"/>
            <w:tcBorders>
              <w:top w:val="nil"/>
              <w:left w:val="single" w:color="auto" w:sz="8" w:space="0"/>
              <w:bottom w:val="single" w:color="auto" w:sz="4" w:space="0"/>
              <w:right w:val="single" w:color="auto" w:sz="4" w:space="0"/>
            </w:tcBorders>
            <w:noWrap w:val="0"/>
            <w:vAlign w:val="center"/>
          </w:tcPr>
          <w:p w14:paraId="31C2A6D1">
            <w:pPr>
              <w:widowControl/>
              <w:jc w:val="center"/>
              <w:rPr>
                <w:rFonts w:ascii="宋体" w:hAnsi="宋体" w:cs="宋体"/>
                <w:kern w:val="0"/>
                <w:szCs w:val="21"/>
              </w:rPr>
            </w:pPr>
            <w:r>
              <w:rPr>
                <w:rFonts w:hint="eastAsia" w:ascii="宋体" w:hAnsi="宋体" w:cs="宋体"/>
                <w:kern w:val="0"/>
                <w:szCs w:val="21"/>
              </w:rPr>
              <w:t>K110-a</w:t>
            </w:r>
          </w:p>
        </w:tc>
        <w:tc>
          <w:tcPr>
            <w:tcW w:w="667" w:type="dxa"/>
            <w:tcBorders>
              <w:top w:val="nil"/>
              <w:left w:val="nil"/>
              <w:bottom w:val="single" w:color="auto" w:sz="4" w:space="0"/>
              <w:right w:val="single" w:color="auto" w:sz="4" w:space="0"/>
            </w:tcBorders>
            <w:noWrap w:val="0"/>
            <w:vAlign w:val="center"/>
          </w:tcPr>
          <w:p w14:paraId="06AD1567">
            <w:pPr>
              <w:widowControl/>
              <w:jc w:val="center"/>
              <w:rPr>
                <w:rFonts w:ascii="宋体" w:hAnsi="宋体" w:cs="宋体"/>
                <w:kern w:val="0"/>
                <w:szCs w:val="21"/>
              </w:rPr>
            </w:pPr>
            <w:r>
              <w:rPr>
                <w:rFonts w:hint="eastAsia" w:ascii="宋体" w:hAnsi="宋体" w:cs="宋体"/>
                <w:kern w:val="0"/>
                <w:szCs w:val="21"/>
              </w:rPr>
              <w:t>331</w:t>
            </w:r>
          </w:p>
        </w:tc>
        <w:tc>
          <w:tcPr>
            <w:tcW w:w="1072" w:type="dxa"/>
            <w:tcBorders>
              <w:top w:val="nil"/>
              <w:left w:val="nil"/>
              <w:bottom w:val="single" w:color="auto" w:sz="4" w:space="0"/>
              <w:right w:val="single" w:color="auto" w:sz="4" w:space="0"/>
            </w:tcBorders>
            <w:noWrap w:val="0"/>
            <w:vAlign w:val="center"/>
          </w:tcPr>
          <w:p w14:paraId="5E463F2D">
            <w:pPr>
              <w:widowControl/>
              <w:jc w:val="center"/>
              <w:rPr>
                <w:rFonts w:ascii="宋体" w:hAnsi="宋体" w:cs="宋体"/>
                <w:kern w:val="0"/>
                <w:szCs w:val="21"/>
              </w:rPr>
            </w:pPr>
            <w:r>
              <w:rPr>
                <w:rFonts w:hint="eastAsia" w:ascii="宋体" w:hAnsi="宋体" w:cs="宋体"/>
                <w:kern w:val="0"/>
                <w:szCs w:val="21"/>
              </w:rPr>
              <w:t>38654</w:t>
            </w:r>
          </w:p>
        </w:tc>
        <w:tc>
          <w:tcPr>
            <w:tcW w:w="1078" w:type="dxa"/>
            <w:tcBorders>
              <w:top w:val="nil"/>
              <w:left w:val="nil"/>
              <w:bottom w:val="single" w:color="auto" w:sz="4" w:space="0"/>
              <w:right w:val="single" w:color="auto" w:sz="4" w:space="0"/>
            </w:tcBorders>
            <w:noWrap w:val="0"/>
            <w:vAlign w:val="center"/>
          </w:tcPr>
          <w:p w14:paraId="21E7F680">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3BEF62ED">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58173549">
            <w:pPr>
              <w:widowControl/>
              <w:jc w:val="center"/>
              <w:rPr>
                <w:rFonts w:ascii="宋体" w:hAnsi="宋体" w:cs="宋体"/>
                <w:kern w:val="0"/>
                <w:szCs w:val="21"/>
              </w:rPr>
            </w:pPr>
            <w:r>
              <w:rPr>
                <w:rFonts w:hint="eastAsia" w:ascii="宋体" w:hAnsi="宋体" w:cs="宋体"/>
                <w:kern w:val="0"/>
                <w:szCs w:val="21"/>
              </w:rPr>
              <w:t xml:space="preserve">1.48 </w:t>
            </w:r>
          </w:p>
        </w:tc>
        <w:tc>
          <w:tcPr>
            <w:tcW w:w="1006" w:type="dxa"/>
            <w:tcBorders>
              <w:top w:val="nil"/>
              <w:left w:val="nil"/>
              <w:bottom w:val="single" w:color="auto" w:sz="4" w:space="0"/>
              <w:right w:val="single" w:color="auto" w:sz="4" w:space="0"/>
            </w:tcBorders>
            <w:noWrap w:val="0"/>
            <w:vAlign w:val="center"/>
          </w:tcPr>
          <w:p w14:paraId="02307E5C">
            <w:pPr>
              <w:widowControl/>
              <w:jc w:val="center"/>
              <w:rPr>
                <w:rFonts w:ascii="宋体" w:hAnsi="宋体" w:cs="宋体"/>
                <w:kern w:val="0"/>
                <w:szCs w:val="21"/>
              </w:rPr>
            </w:pPr>
            <w:r>
              <w:rPr>
                <w:rFonts w:hint="eastAsia" w:ascii="宋体" w:hAnsi="宋体" w:cs="宋体"/>
                <w:kern w:val="0"/>
                <w:szCs w:val="21"/>
              </w:rPr>
              <w:t xml:space="preserve">1.51 </w:t>
            </w:r>
          </w:p>
        </w:tc>
        <w:tc>
          <w:tcPr>
            <w:tcW w:w="1045" w:type="dxa"/>
            <w:tcBorders>
              <w:top w:val="nil"/>
              <w:left w:val="nil"/>
              <w:bottom w:val="single" w:color="auto" w:sz="4" w:space="0"/>
              <w:right w:val="single" w:color="auto" w:sz="4" w:space="0"/>
            </w:tcBorders>
            <w:noWrap w:val="0"/>
            <w:vAlign w:val="center"/>
          </w:tcPr>
          <w:p w14:paraId="6A4A190A">
            <w:pPr>
              <w:widowControl/>
              <w:jc w:val="center"/>
              <w:rPr>
                <w:rFonts w:ascii="宋体" w:hAnsi="宋体" w:cs="宋体"/>
                <w:kern w:val="0"/>
                <w:szCs w:val="21"/>
              </w:rPr>
            </w:pPr>
            <w:r>
              <w:rPr>
                <w:rFonts w:hint="eastAsia" w:ascii="宋体" w:hAnsi="宋体" w:cs="宋体"/>
                <w:kern w:val="0"/>
                <w:szCs w:val="21"/>
              </w:rPr>
              <w:t xml:space="preserve">9.97 </w:t>
            </w:r>
          </w:p>
        </w:tc>
        <w:tc>
          <w:tcPr>
            <w:tcW w:w="686" w:type="dxa"/>
            <w:tcBorders>
              <w:top w:val="nil"/>
              <w:left w:val="nil"/>
              <w:bottom w:val="single" w:color="auto" w:sz="4" w:space="0"/>
              <w:right w:val="single" w:color="auto" w:sz="4" w:space="0"/>
            </w:tcBorders>
            <w:noWrap w:val="0"/>
            <w:vAlign w:val="center"/>
          </w:tcPr>
          <w:p w14:paraId="4298952E">
            <w:pPr>
              <w:widowControl/>
              <w:jc w:val="center"/>
              <w:rPr>
                <w:rFonts w:ascii="宋体" w:hAnsi="宋体" w:cs="宋体"/>
                <w:kern w:val="0"/>
                <w:szCs w:val="21"/>
              </w:rPr>
            </w:pPr>
            <w:r>
              <w:rPr>
                <w:rFonts w:hint="eastAsia" w:ascii="宋体" w:hAnsi="宋体" w:cs="宋体"/>
                <w:kern w:val="0"/>
                <w:szCs w:val="21"/>
              </w:rPr>
              <w:t>1</w:t>
            </w:r>
          </w:p>
        </w:tc>
        <w:tc>
          <w:tcPr>
            <w:tcW w:w="1089" w:type="dxa"/>
            <w:tcBorders>
              <w:top w:val="nil"/>
              <w:left w:val="nil"/>
              <w:bottom w:val="single" w:color="auto" w:sz="4" w:space="0"/>
              <w:right w:val="single" w:color="auto" w:sz="8" w:space="0"/>
            </w:tcBorders>
            <w:noWrap w:val="0"/>
            <w:vAlign w:val="center"/>
          </w:tcPr>
          <w:p w14:paraId="3DA4A0A1">
            <w:pPr>
              <w:widowControl/>
              <w:jc w:val="center"/>
              <w:rPr>
                <w:rFonts w:ascii="宋体" w:hAnsi="宋体" w:cs="宋体"/>
                <w:kern w:val="0"/>
                <w:szCs w:val="21"/>
              </w:rPr>
            </w:pPr>
            <w:r>
              <w:rPr>
                <w:rFonts w:hint="eastAsia" w:ascii="宋体" w:hAnsi="宋体" w:cs="宋体"/>
                <w:kern w:val="0"/>
                <w:szCs w:val="21"/>
              </w:rPr>
              <w:t xml:space="preserve">9.97 </w:t>
            </w:r>
          </w:p>
        </w:tc>
      </w:tr>
      <w:tr w14:paraId="6D3632F2">
        <w:tblPrEx>
          <w:tblCellMar>
            <w:top w:w="0" w:type="dxa"/>
            <w:left w:w="108" w:type="dxa"/>
            <w:bottom w:w="0" w:type="dxa"/>
            <w:right w:w="108" w:type="dxa"/>
          </w:tblCellMar>
        </w:tblPrEx>
        <w:trPr>
          <w:wBefore w:w="0" w:type="dxa"/>
          <w:wAfter w:w="0" w:type="dxa"/>
          <w:trHeight w:val="312" w:hRule="atLeast"/>
        </w:trPr>
        <w:tc>
          <w:tcPr>
            <w:tcW w:w="937" w:type="dxa"/>
            <w:vMerge w:val="continue"/>
            <w:tcBorders>
              <w:top w:val="nil"/>
              <w:left w:val="single" w:color="auto" w:sz="8" w:space="0"/>
              <w:bottom w:val="single" w:color="auto" w:sz="4" w:space="0"/>
              <w:right w:val="single" w:color="auto" w:sz="4" w:space="0"/>
            </w:tcBorders>
            <w:noWrap w:val="0"/>
            <w:vAlign w:val="center"/>
          </w:tcPr>
          <w:p w14:paraId="332DA1D9">
            <w:pPr>
              <w:widowControl/>
              <w:jc w:val="left"/>
              <w:rPr>
                <w:rFonts w:ascii="宋体" w:hAnsi="宋体" w:cs="宋体"/>
                <w:kern w:val="0"/>
                <w:szCs w:val="21"/>
              </w:rPr>
            </w:pPr>
          </w:p>
        </w:tc>
        <w:tc>
          <w:tcPr>
            <w:tcW w:w="667" w:type="dxa"/>
            <w:tcBorders>
              <w:top w:val="nil"/>
              <w:left w:val="nil"/>
              <w:bottom w:val="single" w:color="auto" w:sz="4" w:space="0"/>
              <w:right w:val="single" w:color="auto" w:sz="4" w:space="0"/>
            </w:tcBorders>
            <w:noWrap w:val="0"/>
            <w:vAlign w:val="center"/>
          </w:tcPr>
          <w:p w14:paraId="461EEE9A">
            <w:pPr>
              <w:widowControl/>
              <w:jc w:val="center"/>
              <w:rPr>
                <w:rFonts w:ascii="宋体" w:hAnsi="宋体" w:cs="宋体"/>
                <w:kern w:val="0"/>
                <w:szCs w:val="21"/>
              </w:rPr>
            </w:pPr>
            <w:r>
              <w:rPr>
                <w:rFonts w:hint="eastAsia" w:ascii="宋体" w:hAnsi="宋体" w:cs="宋体"/>
                <w:kern w:val="0"/>
                <w:szCs w:val="21"/>
              </w:rPr>
              <w:t>333</w:t>
            </w:r>
          </w:p>
        </w:tc>
        <w:tc>
          <w:tcPr>
            <w:tcW w:w="1072" w:type="dxa"/>
            <w:tcBorders>
              <w:top w:val="nil"/>
              <w:left w:val="nil"/>
              <w:bottom w:val="single" w:color="auto" w:sz="4" w:space="0"/>
              <w:right w:val="single" w:color="auto" w:sz="4" w:space="0"/>
            </w:tcBorders>
            <w:noWrap w:val="0"/>
            <w:vAlign w:val="center"/>
          </w:tcPr>
          <w:p w14:paraId="734E5354">
            <w:pPr>
              <w:widowControl/>
              <w:jc w:val="center"/>
              <w:rPr>
                <w:rFonts w:ascii="宋体" w:hAnsi="宋体" w:cs="宋体"/>
                <w:kern w:val="0"/>
                <w:szCs w:val="21"/>
              </w:rPr>
            </w:pPr>
            <w:r>
              <w:rPr>
                <w:rFonts w:hint="eastAsia" w:ascii="宋体" w:hAnsi="宋体" w:cs="宋体"/>
                <w:kern w:val="0"/>
                <w:szCs w:val="21"/>
              </w:rPr>
              <w:t>7207</w:t>
            </w:r>
          </w:p>
        </w:tc>
        <w:tc>
          <w:tcPr>
            <w:tcW w:w="1078" w:type="dxa"/>
            <w:tcBorders>
              <w:top w:val="nil"/>
              <w:left w:val="nil"/>
              <w:bottom w:val="single" w:color="auto" w:sz="4" w:space="0"/>
              <w:right w:val="single" w:color="auto" w:sz="4" w:space="0"/>
            </w:tcBorders>
            <w:noWrap w:val="0"/>
            <w:vAlign w:val="center"/>
          </w:tcPr>
          <w:p w14:paraId="7D8741C4">
            <w:pPr>
              <w:widowControl/>
              <w:jc w:val="center"/>
              <w:rPr>
                <w:rFonts w:ascii="宋体" w:hAnsi="宋体" w:cs="宋体"/>
                <w:kern w:val="0"/>
                <w:szCs w:val="21"/>
              </w:rPr>
            </w:pPr>
            <w:r>
              <w:rPr>
                <w:rFonts w:hint="eastAsia" w:ascii="宋体" w:hAnsi="宋体" w:cs="宋体"/>
                <w:kern w:val="0"/>
                <w:szCs w:val="21"/>
              </w:rPr>
              <w:t>0</w:t>
            </w:r>
          </w:p>
        </w:tc>
        <w:tc>
          <w:tcPr>
            <w:tcW w:w="784" w:type="dxa"/>
            <w:tcBorders>
              <w:top w:val="nil"/>
              <w:left w:val="nil"/>
              <w:bottom w:val="single" w:color="auto" w:sz="4" w:space="0"/>
              <w:right w:val="single" w:color="auto" w:sz="4" w:space="0"/>
            </w:tcBorders>
            <w:noWrap w:val="0"/>
            <w:vAlign w:val="center"/>
          </w:tcPr>
          <w:p w14:paraId="3407556A">
            <w:pPr>
              <w:widowControl/>
              <w:jc w:val="center"/>
              <w:rPr>
                <w:rFonts w:ascii="宋体" w:hAnsi="宋体" w:cs="宋体"/>
                <w:kern w:val="0"/>
                <w:szCs w:val="21"/>
              </w:rPr>
            </w:pPr>
            <w:r>
              <w:rPr>
                <w:rFonts w:hint="eastAsia" w:ascii="宋体" w:hAnsi="宋体" w:cs="宋体"/>
                <w:kern w:val="0"/>
                <w:szCs w:val="21"/>
              </w:rPr>
              <w:t>30</w:t>
            </w:r>
          </w:p>
        </w:tc>
        <w:tc>
          <w:tcPr>
            <w:tcW w:w="741" w:type="dxa"/>
            <w:tcBorders>
              <w:top w:val="nil"/>
              <w:left w:val="nil"/>
              <w:bottom w:val="single" w:color="auto" w:sz="4" w:space="0"/>
              <w:right w:val="single" w:color="auto" w:sz="4" w:space="0"/>
            </w:tcBorders>
            <w:noWrap w:val="0"/>
            <w:vAlign w:val="center"/>
          </w:tcPr>
          <w:p w14:paraId="05C5FFEA">
            <w:pPr>
              <w:widowControl/>
              <w:jc w:val="center"/>
              <w:rPr>
                <w:rFonts w:ascii="宋体" w:hAnsi="宋体" w:cs="宋体"/>
                <w:kern w:val="0"/>
                <w:szCs w:val="21"/>
              </w:rPr>
            </w:pPr>
            <w:r>
              <w:rPr>
                <w:rFonts w:hint="eastAsia" w:ascii="宋体" w:hAnsi="宋体" w:cs="宋体"/>
                <w:kern w:val="0"/>
                <w:szCs w:val="21"/>
              </w:rPr>
              <w:t xml:space="preserve">1.48 </w:t>
            </w:r>
          </w:p>
        </w:tc>
        <w:tc>
          <w:tcPr>
            <w:tcW w:w="1006" w:type="dxa"/>
            <w:tcBorders>
              <w:top w:val="nil"/>
              <w:left w:val="nil"/>
              <w:bottom w:val="single" w:color="auto" w:sz="4" w:space="0"/>
              <w:right w:val="single" w:color="auto" w:sz="4" w:space="0"/>
            </w:tcBorders>
            <w:noWrap w:val="0"/>
            <w:vAlign w:val="center"/>
          </w:tcPr>
          <w:p w14:paraId="235345B9">
            <w:pPr>
              <w:widowControl/>
              <w:jc w:val="center"/>
              <w:rPr>
                <w:rFonts w:ascii="宋体" w:hAnsi="宋体" w:cs="宋体"/>
                <w:kern w:val="0"/>
                <w:szCs w:val="21"/>
              </w:rPr>
            </w:pPr>
            <w:r>
              <w:rPr>
                <w:rFonts w:hint="eastAsia" w:ascii="宋体" w:hAnsi="宋体" w:cs="宋体"/>
                <w:kern w:val="0"/>
                <w:szCs w:val="21"/>
              </w:rPr>
              <w:t xml:space="preserve">1.51 </w:t>
            </w:r>
          </w:p>
        </w:tc>
        <w:tc>
          <w:tcPr>
            <w:tcW w:w="1045" w:type="dxa"/>
            <w:tcBorders>
              <w:top w:val="nil"/>
              <w:left w:val="nil"/>
              <w:bottom w:val="single" w:color="auto" w:sz="4" w:space="0"/>
              <w:right w:val="single" w:color="auto" w:sz="4" w:space="0"/>
            </w:tcBorders>
            <w:noWrap w:val="0"/>
            <w:vAlign w:val="center"/>
          </w:tcPr>
          <w:p w14:paraId="69D3B35F">
            <w:pPr>
              <w:widowControl/>
              <w:jc w:val="center"/>
              <w:rPr>
                <w:rFonts w:ascii="宋体" w:hAnsi="宋体" w:cs="宋体"/>
                <w:kern w:val="0"/>
                <w:szCs w:val="21"/>
              </w:rPr>
            </w:pPr>
            <w:r>
              <w:rPr>
                <w:rFonts w:hint="eastAsia" w:ascii="宋体" w:hAnsi="宋体" w:cs="宋体"/>
                <w:kern w:val="0"/>
                <w:szCs w:val="21"/>
              </w:rPr>
              <w:t xml:space="preserve">1.86 </w:t>
            </w:r>
          </w:p>
        </w:tc>
        <w:tc>
          <w:tcPr>
            <w:tcW w:w="686" w:type="dxa"/>
            <w:tcBorders>
              <w:top w:val="nil"/>
              <w:left w:val="nil"/>
              <w:bottom w:val="single" w:color="auto" w:sz="4" w:space="0"/>
              <w:right w:val="single" w:color="auto" w:sz="4" w:space="0"/>
            </w:tcBorders>
            <w:noWrap w:val="0"/>
            <w:vAlign w:val="center"/>
          </w:tcPr>
          <w:p w14:paraId="4A2E36AE">
            <w:pPr>
              <w:widowControl/>
              <w:jc w:val="center"/>
              <w:rPr>
                <w:rFonts w:ascii="宋体" w:hAnsi="宋体" w:cs="宋体"/>
                <w:kern w:val="0"/>
                <w:szCs w:val="21"/>
              </w:rPr>
            </w:pPr>
            <w:r>
              <w:rPr>
                <w:rFonts w:hint="eastAsia" w:ascii="宋体" w:hAnsi="宋体" w:cs="宋体"/>
                <w:kern w:val="0"/>
                <w:szCs w:val="21"/>
              </w:rPr>
              <w:t>0.8</w:t>
            </w:r>
          </w:p>
        </w:tc>
        <w:tc>
          <w:tcPr>
            <w:tcW w:w="1089" w:type="dxa"/>
            <w:tcBorders>
              <w:top w:val="nil"/>
              <w:left w:val="nil"/>
              <w:bottom w:val="single" w:color="auto" w:sz="4" w:space="0"/>
              <w:right w:val="single" w:color="auto" w:sz="8" w:space="0"/>
            </w:tcBorders>
            <w:noWrap w:val="0"/>
            <w:vAlign w:val="center"/>
          </w:tcPr>
          <w:p w14:paraId="5F7345E7">
            <w:pPr>
              <w:widowControl/>
              <w:jc w:val="center"/>
              <w:rPr>
                <w:rFonts w:ascii="宋体" w:hAnsi="宋体" w:cs="宋体"/>
                <w:kern w:val="0"/>
                <w:szCs w:val="21"/>
              </w:rPr>
            </w:pPr>
            <w:r>
              <w:rPr>
                <w:rFonts w:hint="eastAsia" w:ascii="宋体" w:hAnsi="宋体" w:cs="宋体"/>
                <w:kern w:val="0"/>
                <w:szCs w:val="21"/>
              </w:rPr>
              <w:t xml:space="preserve">1.49 </w:t>
            </w:r>
          </w:p>
        </w:tc>
      </w:tr>
      <w:tr w14:paraId="4AC2C11C">
        <w:tblPrEx>
          <w:tblCellMar>
            <w:top w:w="0" w:type="dxa"/>
            <w:left w:w="108" w:type="dxa"/>
            <w:bottom w:w="0" w:type="dxa"/>
            <w:right w:w="108" w:type="dxa"/>
          </w:tblCellMar>
        </w:tblPrEx>
        <w:trPr>
          <w:wBefore w:w="0" w:type="dxa"/>
          <w:wAfter w:w="0" w:type="dxa"/>
          <w:trHeight w:val="312" w:hRule="atLeast"/>
        </w:trPr>
        <w:tc>
          <w:tcPr>
            <w:tcW w:w="1604" w:type="dxa"/>
            <w:gridSpan w:val="2"/>
            <w:tcBorders>
              <w:top w:val="single" w:color="auto" w:sz="4" w:space="0"/>
              <w:left w:val="single" w:color="auto" w:sz="8" w:space="0"/>
              <w:bottom w:val="single" w:color="auto" w:sz="4" w:space="0"/>
              <w:right w:val="single" w:color="auto" w:sz="4" w:space="0"/>
            </w:tcBorders>
            <w:noWrap w:val="0"/>
            <w:vAlign w:val="center"/>
          </w:tcPr>
          <w:p w14:paraId="733F2D75">
            <w:pPr>
              <w:widowControl/>
              <w:jc w:val="center"/>
              <w:rPr>
                <w:rFonts w:ascii="宋体" w:hAnsi="宋体" w:cs="宋体"/>
                <w:kern w:val="0"/>
                <w:szCs w:val="21"/>
              </w:rPr>
            </w:pPr>
            <w:r>
              <w:rPr>
                <w:rFonts w:hint="eastAsia" w:ascii="宋体" w:hAnsi="宋体" w:cs="宋体"/>
                <w:kern w:val="0"/>
                <w:szCs w:val="21"/>
              </w:rPr>
              <w:t>合　　计</w:t>
            </w:r>
          </w:p>
        </w:tc>
        <w:tc>
          <w:tcPr>
            <w:tcW w:w="1072" w:type="dxa"/>
            <w:tcBorders>
              <w:top w:val="nil"/>
              <w:left w:val="nil"/>
              <w:bottom w:val="single" w:color="auto" w:sz="4" w:space="0"/>
              <w:right w:val="single" w:color="auto" w:sz="4" w:space="0"/>
            </w:tcBorders>
            <w:noWrap w:val="0"/>
            <w:vAlign w:val="center"/>
          </w:tcPr>
          <w:p w14:paraId="67CC3DC1">
            <w:pPr>
              <w:widowControl/>
              <w:jc w:val="center"/>
              <w:rPr>
                <w:rFonts w:ascii="宋体" w:hAnsi="宋体" w:cs="宋体"/>
                <w:kern w:val="0"/>
                <w:szCs w:val="21"/>
              </w:rPr>
            </w:pPr>
            <w:r>
              <w:rPr>
                <w:rFonts w:hint="eastAsia" w:ascii="宋体" w:hAnsi="宋体" w:cs="宋体"/>
                <w:kern w:val="0"/>
                <w:szCs w:val="21"/>
              </w:rPr>
              <w:t>　</w:t>
            </w:r>
          </w:p>
        </w:tc>
        <w:tc>
          <w:tcPr>
            <w:tcW w:w="1078" w:type="dxa"/>
            <w:tcBorders>
              <w:top w:val="nil"/>
              <w:left w:val="nil"/>
              <w:bottom w:val="single" w:color="auto" w:sz="4" w:space="0"/>
              <w:right w:val="single" w:color="auto" w:sz="4" w:space="0"/>
            </w:tcBorders>
            <w:noWrap w:val="0"/>
            <w:vAlign w:val="center"/>
          </w:tcPr>
          <w:p w14:paraId="017C7927">
            <w:pPr>
              <w:widowControl/>
              <w:jc w:val="center"/>
              <w:rPr>
                <w:rFonts w:ascii="宋体" w:hAnsi="宋体" w:cs="宋体"/>
                <w:kern w:val="0"/>
                <w:szCs w:val="21"/>
              </w:rPr>
            </w:pPr>
            <w:r>
              <w:rPr>
                <w:rFonts w:hint="eastAsia" w:ascii="宋体" w:hAnsi="宋体" w:cs="宋体"/>
                <w:kern w:val="0"/>
                <w:szCs w:val="21"/>
              </w:rPr>
              <w:t>　</w:t>
            </w:r>
          </w:p>
        </w:tc>
        <w:tc>
          <w:tcPr>
            <w:tcW w:w="784" w:type="dxa"/>
            <w:tcBorders>
              <w:top w:val="nil"/>
              <w:left w:val="nil"/>
              <w:bottom w:val="single" w:color="auto" w:sz="4" w:space="0"/>
              <w:right w:val="single" w:color="auto" w:sz="4" w:space="0"/>
            </w:tcBorders>
            <w:noWrap w:val="0"/>
            <w:vAlign w:val="center"/>
          </w:tcPr>
          <w:p w14:paraId="2E2F6985">
            <w:pPr>
              <w:widowControl/>
              <w:jc w:val="center"/>
              <w:rPr>
                <w:rFonts w:ascii="宋体" w:hAnsi="宋体" w:cs="宋体"/>
                <w:kern w:val="0"/>
                <w:szCs w:val="21"/>
              </w:rPr>
            </w:pPr>
            <w:r>
              <w:rPr>
                <w:rFonts w:hint="eastAsia" w:ascii="宋体" w:hAnsi="宋体" w:cs="宋体"/>
                <w:kern w:val="0"/>
                <w:szCs w:val="21"/>
              </w:rPr>
              <w:t>　</w:t>
            </w:r>
          </w:p>
        </w:tc>
        <w:tc>
          <w:tcPr>
            <w:tcW w:w="741" w:type="dxa"/>
            <w:tcBorders>
              <w:top w:val="nil"/>
              <w:left w:val="nil"/>
              <w:bottom w:val="single" w:color="auto" w:sz="4" w:space="0"/>
              <w:right w:val="single" w:color="auto" w:sz="4" w:space="0"/>
            </w:tcBorders>
            <w:noWrap w:val="0"/>
            <w:vAlign w:val="center"/>
          </w:tcPr>
          <w:p w14:paraId="3B66B8D2">
            <w:pPr>
              <w:widowControl/>
              <w:jc w:val="center"/>
              <w:rPr>
                <w:rFonts w:ascii="宋体" w:hAnsi="宋体" w:cs="宋体"/>
                <w:kern w:val="0"/>
                <w:szCs w:val="21"/>
              </w:rPr>
            </w:pPr>
            <w:r>
              <w:rPr>
                <w:rFonts w:hint="eastAsia" w:ascii="宋体" w:hAnsi="宋体" w:cs="宋体"/>
                <w:kern w:val="0"/>
                <w:szCs w:val="21"/>
              </w:rPr>
              <w:t>　</w:t>
            </w:r>
          </w:p>
        </w:tc>
        <w:tc>
          <w:tcPr>
            <w:tcW w:w="1006" w:type="dxa"/>
            <w:tcBorders>
              <w:top w:val="nil"/>
              <w:left w:val="nil"/>
              <w:bottom w:val="single" w:color="auto" w:sz="4" w:space="0"/>
              <w:right w:val="single" w:color="auto" w:sz="4" w:space="0"/>
            </w:tcBorders>
            <w:noWrap w:val="0"/>
            <w:vAlign w:val="center"/>
          </w:tcPr>
          <w:p w14:paraId="0C696C3C">
            <w:pPr>
              <w:widowControl/>
              <w:jc w:val="center"/>
              <w:rPr>
                <w:rFonts w:ascii="宋体" w:hAnsi="宋体" w:cs="宋体"/>
                <w:kern w:val="0"/>
                <w:szCs w:val="21"/>
              </w:rPr>
            </w:pPr>
            <w:r>
              <w:rPr>
                <w:rFonts w:hint="eastAsia" w:ascii="宋体" w:hAnsi="宋体" w:cs="宋体"/>
                <w:kern w:val="0"/>
                <w:szCs w:val="21"/>
              </w:rPr>
              <w:t>　</w:t>
            </w:r>
          </w:p>
        </w:tc>
        <w:tc>
          <w:tcPr>
            <w:tcW w:w="1045" w:type="dxa"/>
            <w:tcBorders>
              <w:top w:val="nil"/>
              <w:left w:val="nil"/>
              <w:bottom w:val="single" w:color="auto" w:sz="4" w:space="0"/>
              <w:right w:val="single" w:color="auto" w:sz="4" w:space="0"/>
            </w:tcBorders>
            <w:noWrap w:val="0"/>
            <w:vAlign w:val="center"/>
          </w:tcPr>
          <w:p w14:paraId="373B22BD">
            <w:pPr>
              <w:widowControl/>
              <w:jc w:val="center"/>
              <w:rPr>
                <w:rFonts w:ascii="宋体" w:hAnsi="宋体" w:cs="宋体"/>
                <w:kern w:val="0"/>
                <w:szCs w:val="21"/>
              </w:rPr>
            </w:pPr>
            <w:r>
              <w:rPr>
                <w:rFonts w:hint="eastAsia" w:ascii="宋体" w:hAnsi="宋体" w:cs="宋体"/>
                <w:kern w:val="0"/>
                <w:szCs w:val="21"/>
              </w:rPr>
              <w:t xml:space="preserve">167.10 </w:t>
            </w:r>
          </w:p>
        </w:tc>
        <w:tc>
          <w:tcPr>
            <w:tcW w:w="686" w:type="dxa"/>
            <w:tcBorders>
              <w:top w:val="nil"/>
              <w:left w:val="nil"/>
              <w:bottom w:val="single" w:color="auto" w:sz="4" w:space="0"/>
              <w:right w:val="single" w:color="auto" w:sz="4" w:space="0"/>
            </w:tcBorders>
            <w:noWrap w:val="0"/>
            <w:vAlign w:val="center"/>
          </w:tcPr>
          <w:p w14:paraId="1829AD19">
            <w:pPr>
              <w:widowControl/>
              <w:jc w:val="center"/>
              <w:rPr>
                <w:rFonts w:ascii="宋体" w:hAnsi="宋体" w:cs="宋体"/>
                <w:kern w:val="0"/>
                <w:szCs w:val="21"/>
              </w:rPr>
            </w:pPr>
            <w:r>
              <w:rPr>
                <w:rFonts w:hint="eastAsia" w:ascii="宋体" w:hAnsi="宋体" w:cs="宋体"/>
                <w:kern w:val="0"/>
                <w:szCs w:val="21"/>
              </w:rPr>
              <w:t>　</w:t>
            </w:r>
          </w:p>
        </w:tc>
        <w:tc>
          <w:tcPr>
            <w:tcW w:w="1089" w:type="dxa"/>
            <w:tcBorders>
              <w:top w:val="nil"/>
              <w:left w:val="nil"/>
              <w:bottom w:val="single" w:color="auto" w:sz="4" w:space="0"/>
              <w:right w:val="single" w:color="auto" w:sz="8" w:space="0"/>
            </w:tcBorders>
            <w:noWrap w:val="0"/>
            <w:vAlign w:val="center"/>
          </w:tcPr>
          <w:p w14:paraId="0B3F682D">
            <w:pPr>
              <w:widowControl/>
              <w:jc w:val="center"/>
              <w:rPr>
                <w:rFonts w:ascii="宋体" w:hAnsi="宋体" w:cs="宋体"/>
                <w:kern w:val="0"/>
                <w:szCs w:val="21"/>
              </w:rPr>
            </w:pPr>
            <w:r>
              <w:rPr>
                <w:rFonts w:hint="eastAsia" w:ascii="宋体" w:hAnsi="宋体" w:cs="宋体"/>
                <w:kern w:val="0"/>
                <w:szCs w:val="21"/>
              </w:rPr>
              <w:t xml:space="preserve">159.24 </w:t>
            </w:r>
          </w:p>
        </w:tc>
      </w:tr>
      <w:tr w14:paraId="24F7F211">
        <w:tblPrEx>
          <w:tblCellMar>
            <w:top w:w="0" w:type="dxa"/>
            <w:left w:w="108" w:type="dxa"/>
            <w:bottom w:w="0" w:type="dxa"/>
            <w:right w:w="108" w:type="dxa"/>
          </w:tblCellMar>
        </w:tblPrEx>
        <w:trPr>
          <w:wBefore w:w="0" w:type="dxa"/>
          <w:wAfter w:w="0" w:type="dxa"/>
          <w:trHeight w:val="312" w:hRule="atLeast"/>
        </w:trPr>
        <w:tc>
          <w:tcPr>
            <w:tcW w:w="2676" w:type="dxa"/>
            <w:gridSpan w:val="3"/>
            <w:tcBorders>
              <w:top w:val="single" w:color="auto" w:sz="4" w:space="0"/>
              <w:left w:val="single" w:color="auto" w:sz="8" w:space="0"/>
              <w:bottom w:val="single" w:color="auto" w:sz="8" w:space="0"/>
              <w:right w:val="single" w:color="auto" w:sz="4" w:space="0"/>
            </w:tcBorders>
            <w:noWrap w:val="0"/>
            <w:vAlign w:val="center"/>
          </w:tcPr>
          <w:p w14:paraId="08E16649">
            <w:pPr>
              <w:widowControl/>
              <w:jc w:val="center"/>
              <w:rPr>
                <w:rFonts w:ascii="宋体" w:hAnsi="宋体" w:cs="宋体"/>
                <w:kern w:val="0"/>
                <w:szCs w:val="21"/>
              </w:rPr>
            </w:pPr>
            <w:r>
              <w:rPr>
                <w:rFonts w:hint="eastAsia" w:ascii="宋体" w:hAnsi="宋体" w:cs="宋体"/>
                <w:kern w:val="0"/>
                <w:szCs w:val="21"/>
              </w:rPr>
              <w:t>永久煤柱损失合计</w:t>
            </w:r>
          </w:p>
        </w:tc>
        <w:tc>
          <w:tcPr>
            <w:tcW w:w="1078" w:type="dxa"/>
            <w:tcBorders>
              <w:top w:val="nil"/>
              <w:left w:val="nil"/>
              <w:bottom w:val="single" w:color="auto" w:sz="8" w:space="0"/>
              <w:right w:val="single" w:color="auto" w:sz="4" w:space="0"/>
            </w:tcBorders>
            <w:noWrap w:val="0"/>
            <w:vAlign w:val="center"/>
          </w:tcPr>
          <w:p w14:paraId="2567D9AD">
            <w:pPr>
              <w:widowControl/>
              <w:jc w:val="center"/>
              <w:rPr>
                <w:rFonts w:ascii="宋体" w:hAnsi="宋体" w:cs="宋体"/>
                <w:kern w:val="0"/>
                <w:szCs w:val="21"/>
              </w:rPr>
            </w:pPr>
            <w:r>
              <w:rPr>
                <w:rFonts w:hint="eastAsia" w:ascii="宋体" w:hAnsi="宋体" w:cs="宋体"/>
                <w:kern w:val="0"/>
                <w:szCs w:val="21"/>
              </w:rPr>
              <w:t>　</w:t>
            </w:r>
          </w:p>
        </w:tc>
        <w:tc>
          <w:tcPr>
            <w:tcW w:w="5351" w:type="dxa"/>
            <w:gridSpan w:val="6"/>
            <w:tcBorders>
              <w:top w:val="single" w:color="auto" w:sz="4" w:space="0"/>
              <w:left w:val="nil"/>
              <w:bottom w:val="single" w:color="auto" w:sz="8" w:space="0"/>
              <w:right w:val="single" w:color="000000" w:sz="8" w:space="0"/>
            </w:tcBorders>
            <w:noWrap w:val="0"/>
            <w:vAlign w:val="center"/>
          </w:tcPr>
          <w:p w14:paraId="21ED21F2">
            <w:pPr>
              <w:widowControl/>
              <w:jc w:val="center"/>
              <w:rPr>
                <w:rFonts w:ascii="宋体" w:hAnsi="宋体" w:cs="宋体"/>
                <w:kern w:val="0"/>
                <w:szCs w:val="21"/>
              </w:rPr>
            </w:pPr>
            <w:r>
              <w:rPr>
                <w:rFonts w:hint="eastAsia" w:ascii="宋体" w:hAnsi="宋体" w:cs="宋体"/>
                <w:kern w:val="0"/>
                <w:szCs w:val="21"/>
              </w:rPr>
              <w:t>159.24万吨</w:t>
            </w:r>
          </w:p>
        </w:tc>
      </w:tr>
    </w:tbl>
    <w:p w14:paraId="4FDAD2B8">
      <w:pPr>
        <w:spacing w:line="360" w:lineRule="auto"/>
        <w:ind w:firstLine="480" w:firstLineChars="200"/>
        <w:rPr>
          <w:rFonts w:hint="eastAsia" w:ascii="宋体" w:hAnsi="宋体"/>
          <w:sz w:val="24"/>
        </w:rPr>
      </w:pPr>
      <w:r>
        <w:rPr>
          <w:rFonts w:hint="eastAsia" w:ascii="宋体" w:hAnsi="宋体"/>
          <w:kern w:val="10"/>
          <w:sz w:val="24"/>
        </w:rPr>
        <w:t>由上表计算得永久煤柱损失为：159.24</w:t>
      </w:r>
      <w:r>
        <w:rPr>
          <w:rFonts w:hint="eastAsia" w:ascii="宋体" w:hAnsi="宋体"/>
          <w:sz w:val="24"/>
          <w:lang w:val="zh-CN"/>
        </w:rPr>
        <w:t>万吨</w:t>
      </w:r>
      <w:r>
        <w:rPr>
          <w:rFonts w:hint="eastAsia" w:ascii="宋体" w:hAnsi="宋体"/>
          <w:sz w:val="24"/>
        </w:rPr>
        <w:t>。</w:t>
      </w:r>
    </w:p>
    <w:p w14:paraId="46879C8D">
      <w:pPr>
        <w:spacing w:line="360" w:lineRule="auto"/>
        <w:ind w:firstLine="480" w:firstLineChars="200"/>
        <w:rPr>
          <w:rFonts w:hint="eastAsia" w:ascii="宋体" w:hAnsi="宋体"/>
          <w:sz w:val="24"/>
        </w:rPr>
      </w:pPr>
      <w:r>
        <w:rPr>
          <w:rFonts w:hint="eastAsia" w:ascii="宋体" w:hAnsi="宋体"/>
          <w:sz w:val="24"/>
        </w:rPr>
        <w:t>其中：</w:t>
      </w:r>
      <w:r>
        <w:rPr>
          <w:rFonts w:ascii="宋体" w:hAnsi="宋体"/>
          <w:sz w:val="24"/>
        </w:rPr>
        <w:t>K1-b</w:t>
      </w:r>
      <w:r>
        <w:rPr>
          <w:rFonts w:hint="eastAsia" w:ascii="宋体" w:hAnsi="宋体"/>
          <w:spacing w:val="-2"/>
          <w:sz w:val="24"/>
        </w:rPr>
        <w:t>、K9、K13、K18、K26、</w:t>
      </w:r>
      <w:r>
        <w:rPr>
          <w:rFonts w:ascii="宋体" w:hAnsi="宋体"/>
          <w:sz w:val="24"/>
        </w:rPr>
        <w:t>K106-b</w:t>
      </w:r>
      <w:r>
        <w:rPr>
          <w:rFonts w:hint="eastAsia" w:ascii="宋体" w:hAnsi="宋体"/>
          <w:spacing w:val="-2"/>
          <w:sz w:val="24"/>
        </w:rPr>
        <w:t>、</w:t>
      </w:r>
      <w:r>
        <w:rPr>
          <w:rFonts w:ascii="宋体" w:hAnsi="宋体"/>
          <w:sz w:val="24"/>
        </w:rPr>
        <w:t>K109-b</w:t>
      </w:r>
      <w:r>
        <w:rPr>
          <w:rFonts w:hint="eastAsia" w:ascii="宋体" w:hAnsi="宋体"/>
          <w:spacing w:val="-2"/>
          <w:sz w:val="24"/>
        </w:rPr>
        <w:t>、</w:t>
      </w:r>
      <w:r>
        <w:rPr>
          <w:rFonts w:ascii="宋体" w:hAnsi="宋体"/>
          <w:sz w:val="24"/>
        </w:rPr>
        <w:t>K110-a</w:t>
      </w:r>
      <w:r>
        <w:rPr>
          <w:rFonts w:hint="eastAsia" w:ascii="宋体" w:hAnsi="宋体"/>
          <w:sz w:val="24"/>
        </w:rPr>
        <w:t>为中厚煤层135.99万吨；</w:t>
      </w:r>
      <w:r>
        <w:rPr>
          <w:rFonts w:hint="eastAsia" w:ascii="宋体" w:hAnsi="宋体"/>
          <w:spacing w:val="-2"/>
          <w:sz w:val="24"/>
        </w:rPr>
        <w:t>K3、K10、</w:t>
      </w:r>
      <w:r>
        <w:rPr>
          <w:rFonts w:ascii="宋体" w:hAnsi="宋体"/>
          <w:sz w:val="24"/>
        </w:rPr>
        <w:t>K35-b</w:t>
      </w:r>
      <w:r>
        <w:rPr>
          <w:rFonts w:hint="eastAsia" w:ascii="宋体" w:hAnsi="宋体"/>
          <w:sz w:val="24"/>
        </w:rPr>
        <w:t>为薄煤层23.25万吨。</w:t>
      </w:r>
    </w:p>
    <w:p w14:paraId="481229D8">
      <w:pPr>
        <w:spacing w:line="360" w:lineRule="auto"/>
        <w:ind w:firstLine="480" w:firstLineChars="200"/>
        <w:rPr>
          <w:rFonts w:hint="eastAsia" w:ascii="宋体" w:hAnsi="宋体"/>
          <w:sz w:val="24"/>
        </w:rPr>
      </w:pPr>
      <w:r>
        <w:rPr>
          <w:rFonts w:hint="eastAsia" w:ascii="宋体" w:hAnsi="宋体"/>
          <w:sz w:val="24"/>
        </w:rPr>
        <w:t>③ 矿井设计利用储量</w:t>
      </w:r>
    </w:p>
    <w:p w14:paraId="68777EA1">
      <w:pPr>
        <w:spacing w:line="360" w:lineRule="auto"/>
        <w:ind w:firstLine="480" w:firstLineChars="200"/>
        <w:rPr>
          <w:rFonts w:hint="eastAsia" w:ascii="宋体" w:hAnsi="宋体"/>
          <w:sz w:val="24"/>
        </w:rPr>
      </w:pPr>
      <w:r>
        <w:rPr>
          <w:rFonts w:hint="eastAsia" w:ascii="宋体" w:hAnsi="宋体"/>
          <w:sz w:val="24"/>
        </w:rPr>
        <w:t>矿井设计利用储量＝工业资源/储量－永久煤柱损失</w:t>
      </w:r>
    </w:p>
    <w:p w14:paraId="45D0EFD8">
      <w:pPr>
        <w:spacing w:line="360" w:lineRule="auto"/>
        <w:ind w:firstLine="2400" w:firstLineChars="1000"/>
        <w:rPr>
          <w:rFonts w:hint="eastAsia" w:ascii="宋体" w:hAnsi="宋体"/>
          <w:sz w:val="24"/>
        </w:rPr>
      </w:pPr>
      <w:r>
        <w:rPr>
          <w:rFonts w:hint="eastAsia" w:ascii="宋体" w:hAnsi="宋体"/>
          <w:sz w:val="24"/>
        </w:rPr>
        <w:t>＝1158.26-159.24</w:t>
      </w:r>
    </w:p>
    <w:p w14:paraId="7FFE4AFC">
      <w:pPr>
        <w:spacing w:line="360" w:lineRule="auto"/>
        <w:ind w:firstLine="2400" w:firstLineChars="1000"/>
        <w:rPr>
          <w:rFonts w:hint="eastAsia" w:ascii="宋体" w:hAnsi="宋体"/>
          <w:sz w:val="24"/>
        </w:rPr>
      </w:pPr>
      <w:r>
        <w:rPr>
          <w:rFonts w:hint="eastAsia" w:ascii="宋体" w:hAnsi="宋体"/>
          <w:sz w:val="24"/>
        </w:rPr>
        <w:t>＝999.02（万吨）</w:t>
      </w:r>
    </w:p>
    <w:p w14:paraId="0E689BDA">
      <w:pPr>
        <w:spacing w:line="360" w:lineRule="auto"/>
        <w:ind w:firstLine="472" w:firstLineChars="200"/>
        <w:rPr>
          <w:rFonts w:hint="eastAsia" w:ascii="宋体" w:hAnsi="宋体"/>
          <w:spacing w:val="-2"/>
          <w:sz w:val="24"/>
        </w:rPr>
      </w:pPr>
      <w:r>
        <w:rPr>
          <w:rFonts w:hint="eastAsia" w:ascii="宋体" w:hAnsi="宋体"/>
          <w:spacing w:val="-2"/>
          <w:sz w:val="24"/>
        </w:rPr>
        <w:t>其中：</w:t>
      </w:r>
      <w:r>
        <w:rPr>
          <w:rFonts w:ascii="宋体" w:hAnsi="宋体"/>
          <w:sz w:val="24"/>
        </w:rPr>
        <w:t>K1-b</w:t>
      </w:r>
      <w:r>
        <w:rPr>
          <w:rFonts w:hint="eastAsia" w:ascii="宋体" w:hAnsi="宋体"/>
          <w:spacing w:val="-2"/>
          <w:sz w:val="24"/>
        </w:rPr>
        <w:t>、K9、K13、K18、K26、</w:t>
      </w:r>
      <w:r>
        <w:rPr>
          <w:rFonts w:ascii="宋体" w:hAnsi="宋体"/>
          <w:sz w:val="24"/>
        </w:rPr>
        <w:t>K106-b</w:t>
      </w:r>
      <w:r>
        <w:rPr>
          <w:rFonts w:hint="eastAsia" w:ascii="宋体" w:hAnsi="宋体"/>
          <w:spacing w:val="-2"/>
          <w:sz w:val="24"/>
        </w:rPr>
        <w:t>、</w:t>
      </w:r>
      <w:r>
        <w:rPr>
          <w:rFonts w:ascii="宋体" w:hAnsi="宋体"/>
          <w:sz w:val="24"/>
        </w:rPr>
        <w:t>K109-b</w:t>
      </w:r>
      <w:r>
        <w:rPr>
          <w:rFonts w:hint="eastAsia" w:ascii="宋体" w:hAnsi="宋体"/>
          <w:spacing w:val="-2"/>
          <w:sz w:val="24"/>
        </w:rPr>
        <w:t>、</w:t>
      </w:r>
      <w:r>
        <w:rPr>
          <w:rFonts w:ascii="宋体" w:hAnsi="宋体"/>
          <w:sz w:val="24"/>
        </w:rPr>
        <w:t>K110-a</w:t>
      </w:r>
      <w:r>
        <w:rPr>
          <w:rFonts w:hint="eastAsia" w:ascii="宋体" w:hAnsi="宋体"/>
          <w:spacing w:val="-2"/>
          <w:sz w:val="24"/>
        </w:rPr>
        <w:t>为中厚煤层859.23万吨；K3、K10、</w:t>
      </w:r>
      <w:r>
        <w:rPr>
          <w:rFonts w:ascii="宋体" w:hAnsi="宋体"/>
          <w:sz w:val="24"/>
        </w:rPr>
        <w:t>K35-b</w:t>
      </w:r>
      <w:r>
        <w:rPr>
          <w:rFonts w:hint="eastAsia" w:ascii="宋体" w:hAnsi="宋体"/>
          <w:spacing w:val="-2"/>
          <w:sz w:val="24"/>
        </w:rPr>
        <w:t>为薄煤层139.79万吨。</w:t>
      </w:r>
    </w:p>
    <w:p w14:paraId="337EB756">
      <w:pPr>
        <w:spacing w:line="360" w:lineRule="auto"/>
        <w:ind w:firstLine="480" w:firstLineChars="200"/>
        <w:rPr>
          <w:rFonts w:ascii="宋体" w:hAnsi="宋体"/>
          <w:sz w:val="24"/>
        </w:rPr>
      </w:pPr>
      <w:r>
        <w:rPr>
          <w:rFonts w:ascii="宋体" w:hAnsi="宋体"/>
          <w:sz w:val="24"/>
        </w:rPr>
        <w:t>（5）矿井设计可采储量</w:t>
      </w:r>
    </w:p>
    <w:p w14:paraId="1F828B9B">
      <w:pPr>
        <w:pStyle w:val="89"/>
        <w:ind w:firstLine="480" w:firstLineChars="200"/>
        <w:rPr>
          <w:rFonts w:hint="eastAsia" w:hAnsi="宋体"/>
        </w:rPr>
      </w:pPr>
      <w:r>
        <w:rPr>
          <w:rFonts w:hint="eastAsia" w:hAnsi="宋体"/>
        </w:rPr>
        <w:t>根据中华人民共和国国家标准GB50399－2006《煤炭工业小型矿井设计规范》原规定，计算可采储量时，应从设计资源/储量中减去工业场地、井筒、井下主要巷道保护煤柱煤量和开采损失煤量，因此，水城县玉舍大坪煤矿可采储量计算如下：</w:t>
      </w:r>
    </w:p>
    <w:p w14:paraId="3718A4E6">
      <w:pPr>
        <w:spacing w:line="360" w:lineRule="auto"/>
        <w:ind w:firstLine="480" w:firstLineChars="200"/>
        <w:rPr>
          <w:rFonts w:hint="eastAsia" w:ascii="宋体" w:hAnsi="宋体"/>
          <w:sz w:val="24"/>
        </w:rPr>
      </w:pPr>
      <w:r>
        <w:rPr>
          <w:rFonts w:hint="eastAsia" w:ascii="宋体" w:hAnsi="宋体"/>
          <w:sz w:val="24"/>
        </w:rPr>
        <w:t>① 保护煤柱留取原则</w:t>
      </w:r>
    </w:p>
    <w:p w14:paraId="5F8B76A3">
      <w:pPr>
        <w:spacing w:line="360" w:lineRule="auto"/>
        <w:ind w:firstLine="480" w:firstLineChars="200"/>
        <w:rPr>
          <w:rFonts w:hint="eastAsia" w:ascii="宋体" w:hAnsi="宋体"/>
          <w:sz w:val="24"/>
          <w:u w:val="single"/>
        </w:rPr>
      </w:pPr>
      <w:r>
        <w:rPr>
          <w:rFonts w:hint="eastAsia" w:ascii="宋体" w:hAnsi="宋体"/>
          <w:sz w:val="24"/>
          <w:u w:val="single"/>
        </w:rPr>
        <w:t>井筒、井下主要巷道保护煤柱：以井下需保护的井筒及井下主要巷道向一侧或两侧外推20m，各煤层按σ=δ=55°、β=65°的岩层移动角推算至所采煤层连线形成的区域，即为井筒及井下主要巷道保护煤柱。</w:t>
      </w:r>
    </w:p>
    <w:p w14:paraId="116B2F59">
      <w:pPr>
        <w:spacing w:line="360" w:lineRule="auto"/>
        <w:ind w:firstLine="480" w:firstLineChars="200"/>
        <w:rPr>
          <w:rFonts w:hint="eastAsia" w:ascii="宋体" w:hAnsi="宋体"/>
          <w:sz w:val="24"/>
          <w:u w:val="single"/>
        </w:rPr>
      </w:pPr>
      <w:r>
        <w:rPr>
          <w:rFonts w:hint="eastAsia" w:ascii="宋体" w:hAnsi="宋体"/>
          <w:sz w:val="24"/>
          <w:u w:val="single"/>
        </w:rPr>
        <w:t>工业场地保护煤柱：以地面需保护目标外推20m，计算时以σ=δ=55°、β=65°的岩层移动角推算至所采煤层连线形成的区域，即为地面工业场地保护煤柱，后期工业场地保护煤柱与村寨煤柱和断层煤柱重合不需单独留设。</w:t>
      </w:r>
    </w:p>
    <w:p w14:paraId="465EB0F5">
      <w:pPr>
        <w:spacing w:line="360" w:lineRule="auto"/>
        <w:ind w:firstLine="480" w:firstLineChars="200"/>
        <w:rPr>
          <w:rFonts w:hint="eastAsia" w:ascii="宋体" w:hAnsi="宋体"/>
          <w:sz w:val="24"/>
        </w:rPr>
      </w:pPr>
      <w:r>
        <w:rPr>
          <w:rFonts w:hint="eastAsia" w:ascii="宋体" w:hAnsi="宋体"/>
          <w:sz w:val="24"/>
        </w:rPr>
        <w:t>② 保护煤柱损失</w:t>
      </w:r>
    </w:p>
    <w:p w14:paraId="46D70972">
      <w:pPr>
        <w:spacing w:line="360" w:lineRule="auto"/>
        <w:ind w:firstLine="480" w:firstLineChars="200"/>
        <w:rPr>
          <w:rFonts w:hint="eastAsia" w:ascii="宋体" w:hAnsi="宋体"/>
          <w:sz w:val="24"/>
        </w:rPr>
      </w:pPr>
      <w:r>
        <w:rPr>
          <w:rFonts w:hint="eastAsia" w:ascii="宋体" w:hAnsi="宋体"/>
          <w:sz w:val="24"/>
        </w:rPr>
        <w:t xml:space="preserve">本方案主要对井筒、井下主要巷道及工业场地计算保护煤柱损失，矿井保护煤柱损失计算详见 </w:t>
      </w:r>
      <w:r>
        <w:rPr>
          <w:rFonts w:hint="eastAsia" w:ascii="宋体" w:hAnsi="宋体"/>
          <w:b/>
          <w:sz w:val="24"/>
        </w:rPr>
        <w:t>表2－1－4</w:t>
      </w:r>
      <w:r>
        <w:rPr>
          <w:rFonts w:hint="eastAsia" w:ascii="宋体" w:hAnsi="宋体"/>
          <w:sz w:val="24"/>
        </w:rPr>
        <w:t>。</w:t>
      </w:r>
    </w:p>
    <w:p w14:paraId="7CB5D49F">
      <w:pPr>
        <w:spacing w:line="360" w:lineRule="auto"/>
        <w:ind w:firstLine="480" w:firstLineChars="200"/>
        <w:rPr>
          <w:rFonts w:hint="eastAsia" w:ascii="宋体" w:hAnsi="宋体"/>
          <w:sz w:val="24"/>
        </w:rPr>
      </w:pPr>
      <w:r>
        <w:rPr>
          <w:rFonts w:hint="eastAsia" w:ascii="宋体" w:hAnsi="宋体"/>
          <w:sz w:val="24"/>
        </w:rPr>
        <w:t>表内的保护煤柱损失量按公式：面积/COS（倾角）×煤层厚度×容重×0.8分别计算得出｛矿区内（333）资源量可信度系数按0.8计算｝</w:t>
      </w:r>
    </w:p>
    <w:p w14:paraId="11D0EFD7">
      <w:pPr>
        <w:spacing w:line="360" w:lineRule="auto"/>
        <w:jc w:val="center"/>
        <w:rPr>
          <w:rFonts w:hint="eastAsia" w:ascii="宋体" w:hAnsi="宋体"/>
          <w:b/>
          <w:spacing w:val="8"/>
          <w:kern w:val="10"/>
          <w:sz w:val="24"/>
        </w:rPr>
      </w:pPr>
      <w:r>
        <w:rPr>
          <w:rFonts w:hint="eastAsia" w:ascii="宋体" w:hAnsi="宋体"/>
          <w:b/>
          <w:spacing w:val="8"/>
          <w:kern w:val="10"/>
          <w:sz w:val="24"/>
        </w:rPr>
        <w:t>表</w:t>
      </w:r>
      <w:r>
        <w:rPr>
          <w:rFonts w:ascii="宋体" w:hAnsi="宋体"/>
          <w:b/>
          <w:spacing w:val="8"/>
          <w:kern w:val="10"/>
          <w:sz w:val="24"/>
        </w:rPr>
        <w:t xml:space="preserve"> </w:t>
      </w:r>
      <w:r>
        <w:rPr>
          <w:rFonts w:hint="eastAsia" w:ascii="宋体" w:hAnsi="宋体"/>
          <w:b/>
          <w:spacing w:val="8"/>
          <w:kern w:val="10"/>
          <w:sz w:val="24"/>
        </w:rPr>
        <w:t>2－1－4　　　保护煤柱损失计算表</w:t>
      </w:r>
    </w:p>
    <w:tbl>
      <w:tblPr>
        <w:tblStyle w:val="6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9"/>
        <w:gridCol w:w="639"/>
        <w:gridCol w:w="1127"/>
        <w:gridCol w:w="1065"/>
        <w:gridCol w:w="849"/>
        <w:gridCol w:w="743"/>
        <w:gridCol w:w="1006"/>
        <w:gridCol w:w="987"/>
        <w:gridCol w:w="690"/>
        <w:gridCol w:w="1095"/>
      </w:tblGrid>
      <w:tr w14:paraId="169E5F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noWrap w:val="0"/>
            <w:vAlign w:val="center"/>
          </w:tcPr>
          <w:p w14:paraId="6C9AA1F8">
            <w:pPr>
              <w:widowControl/>
              <w:jc w:val="center"/>
              <w:rPr>
                <w:rFonts w:ascii="宋体" w:hAnsi="宋体" w:cs="宋体"/>
                <w:kern w:val="0"/>
                <w:szCs w:val="21"/>
              </w:rPr>
            </w:pPr>
            <w:r>
              <w:rPr>
                <w:rFonts w:hint="eastAsia" w:ascii="宋体" w:hAnsi="宋体" w:cs="宋体"/>
                <w:kern w:val="0"/>
                <w:szCs w:val="21"/>
              </w:rPr>
              <w:t>煤层</w:t>
            </w:r>
            <w:r>
              <w:rPr>
                <w:rFonts w:hint="eastAsia" w:ascii="宋体" w:hAnsi="宋体" w:cs="宋体"/>
                <w:kern w:val="0"/>
                <w:szCs w:val="21"/>
              </w:rPr>
              <w:br w:type="textWrapping"/>
            </w:r>
            <w:r>
              <w:rPr>
                <w:rFonts w:hint="eastAsia" w:ascii="宋体" w:hAnsi="宋体" w:cs="宋体"/>
                <w:kern w:val="0"/>
                <w:szCs w:val="21"/>
              </w:rPr>
              <w:t>编号</w:t>
            </w:r>
          </w:p>
        </w:tc>
        <w:tc>
          <w:tcPr>
            <w:tcW w:w="639" w:type="dxa"/>
            <w:noWrap w:val="0"/>
            <w:vAlign w:val="center"/>
          </w:tcPr>
          <w:p w14:paraId="45753E8E">
            <w:pPr>
              <w:widowControl/>
              <w:jc w:val="center"/>
              <w:rPr>
                <w:rFonts w:ascii="宋体" w:hAnsi="宋体" w:cs="宋体"/>
                <w:kern w:val="0"/>
                <w:szCs w:val="21"/>
              </w:rPr>
            </w:pPr>
            <w:r>
              <w:rPr>
                <w:rFonts w:hint="eastAsia" w:ascii="宋体" w:hAnsi="宋体" w:cs="宋体"/>
                <w:kern w:val="0"/>
                <w:szCs w:val="21"/>
              </w:rPr>
              <w:t>资源量类型</w:t>
            </w:r>
          </w:p>
        </w:tc>
        <w:tc>
          <w:tcPr>
            <w:tcW w:w="1127" w:type="dxa"/>
            <w:noWrap w:val="0"/>
            <w:vAlign w:val="center"/>
          </w:tcPr>
          <w:p w14:paraId="26DBC582">
            <w:pPr>
              <w:widowControl/>
              <w:jc w:val="center"/>
              <w:rPr>
                <w:rFonts w:ascii="宋体" w:hAnsi="宋体" w:cs="宋体"/>
                <w:kern w:val="0"/>
                <w:szCs w:val="21"/>
              </w:rPr>
            </w:pPr>
            <w:r>
              <w:rPr>
                <w:rFonts w:hint="eastAsia" w:ascii="宋体" w:hAnsi="宋体" w:cs="宋体"/>
                <w:kern w:val="0"/>
                <w:szCs w:val="21"/>
              </w:rPr>
              <w:t>井巷煤柱投影面积（m</w:t>
            </w:r>
            <w:r>
              <w:rPr>
                <w:rFonts w:hint="eastAsia" w:ascii="宋体" w:hAnsi="宋体" w:cs="宋体"/>
                <w:kern w:val="0"/>
                <w:szCs w:val="21"/>
                <w:vertAlign w:val="superscript"/>
              </w:rPr>
              <w:t>2</w:t>
            </w:r>
            <w:r>
              <w:rPr>
                <w:rFonts w:hint="eastAsia" w:ascii="宋体" w:hAnsi="宋体" w:cs="宋体"/>
                <w:kern w:val="0"/>
                <w:szCs w:val="21"/>
              </w:rPr>
              <w:t>）</w:t>
            </w:r>
          </w:p>
        </w:tc>
        <w:tc>
          <w:tcPr>
            <w:tcW w:w="1065" w:type="dxa"/>
            <w:noWrap w:val="0"/>
            <w:vAlign w:val="center"/>
          </w:tcPr>
          <w:p w14:paraId="4141ADDD">
            <w:pPr>
              <w:widowControl/>
              <w:jc w:val="center"/>
              <w:rPr>
                <w:rFonts w:ascii="宋体" w:hAnsi="宋体" w:cs="宋体"/>
                <w:kern w:val="0"/>
                <w:szCs w:val="21"/>
              </w:rPr>
            </w:pPr>
            <w:r>
              <w:rPr>
                <w:rFonts w:hint="eastAsia" w:ascii="宋体" w:hAnsi="宋体" w:cs="宋体"/>
                <w:kern w:val="0"/>
                <w:szCs w:val="21"/>
              </w:rPr>
              <w:t>工业场地煤柱投影面积（m</w:t>
            </w:r>
            <w:r>
              <w:rPr>
                <w:rFonts w:hint="eastAsia" w:ascii="宋体" w:hAnsi="宋体" w:cs="宋体"/>
                <w:kern w:val="0"/>
                <w:szCs w:val="21"/>
                <w:vertAlign w:val="superscript"/>
              </w:rPr>
              <w:t>2</w:t>
            </w:r>
            <w:r>
              <w:rPr>
                <w:rFonts w:hint="eastAsia" w:ascii="宋体" w:hAnsi="宋体" w:cs="宋体"/>
                <w:kern w:val="0"/>
                <w:szCs w:val="21"/>
              </w:rPr>
              <w:t>）</w:t>
            </w:r>
          </w:p>
        </w:tc>
        <w:tc>
          <w:tcPr>
            <w:tcW w:w="849" w:type="dxa"/>
            <w:noWrap w:val="0"/>
            <w:vAlign w:val="center"/>
          </w:tcPr>
          <w:p w14:paraId="4A452B21">
            <w:pPr>
              <w:widowControl/>
              <w:jc w:val="center"/>
              <w:rPr>
                <w:rFonts w:ascii="宋体" w:hAnsi="宋体" w:cs="宋体"/>
                <w:kern w:val="0"/>
                <w:szCs w:val="21"/>
              </w:rPr>
            </w:pPr>
            <w:r>
              <w:rPr>
                <w:rFonts w:hint="eastAsia" w:ascii="宋体" w:hAnsi="宋体" w:cs="宋体"/>
                <w:kern w:val="0"/>
                <w:szCs w:val="21"/>
              </w:rPr>
              <w:t>倾角（°）</w:t>
            </w:r>
          </w:p>
        </w:tc>
        <w:tc>
          <w:tcPr>
            <w:tcW w:w="743" w:type="dxa"/>
            <w:noWrap w:val="0"/>
            <w:vAlign w:val="center"/>
          </w:tcPr>
          <w:p w14:paraId="2A758449">
            <w:pPr>
              <w:widowControl/>
              <w:jc w:val="center"/>
              <w:rPr>
                <w:rFonts w:ascii="宋体" w:hAnsi="宋体" w:cs="宋体"/>
                <w:kern w:val="0"/>
                <w:szCs w:val="21"/>
              </w:rPr>
            </w:pPr>
            <w:r>
              <w:rPr>
                <w:rFonts w:hint="eastAsia" w:ascii="宋体" w:hAnsi="宋体" w:cs="宋体"/>
                <w:kern w:val="0"/>
                <w:szCs w:val="21"/>
              </w:rPr>
              <w:t>平均厚度（m）</w:t>
            </w:r>
          </w:p>
        </w:tc>
        <w:tc>
          <w:tcPr>
            <w:tcW w:w="1006" w:type="dxa"/>
            <w:noWrap w:val="0"/>
            <w:vAlign w:val="center"/>
          </w:tcPr>
          <w:p w14:paraId="12E59554">
            <w:pPr>
              <w:widowControl/>
              <w:jc w:val="center"/>
              <w:rPr>
                <w:rFonts w:ascii="宋体" w:hAnsi="宋体" w:cs="宋体"/>
                <w:kern w:val="0"/>
                <w:szCs w:val="21"/>
              </w:rPr>
            </w:pPr>
            <w:r>
              <w:rPr>
                <w:rFonts w:hint="eastAsia" w:ascii="宋体" w:hAnsi="宋体" w:cs="宋体"/>
                <w:kern w:val="0"/>
                <w:szCs w:val="21"/>
              </w:rPr>
              <w:t>容重（t/m</w:t>
            </w:r>
            <w:r>
              <w:rPr>
                <w:rFonts w:hint="eastAsia" w:ascii="宋体" w:hAnsi="宋体" w:cs="宋体"/>
                <w:kern w:val="0"/>
                <w:szCs w:val="21"/>
                <w:vertAlign w:val="superscript"/>
              </w:rPr>
              <w:t>3</w:t>
            </w:r>
            <w:r>
              <w:rPr>
                <w:rFonts w:hint="eastAsia" w:ascii="宋体" w:hAnsi="宋体" w:cs="宋体"/>
                <w:kern w:val="0"/>
                <w:szCs w:val="21"/>
              </w:rPr>
              <w:t>）</w:t>
            </w:r>
          </w:p>
        </w:tc>
        <w:tc>
          <w:tcPr>
            <w:tcW w:w="987" w:type="dxa"/>
            <w:noWrap w:val="0"/>
            <w:vAlign w:val="center"/>
          </w:tcPr>
          <w:p w14:paraId="5E771FEE">
            <w:pPr>
              <w:widowControl/>
              <w:jc w:val="center"/>
              <w:rPr>
                <w:rFonts w:ascii="宋体" w:hAnsi="宋体" w:cs="宋体"/>
                <w:kern w:val="0"/>
                <w:szCs w:val="21"/>
              </w:rPr>
            </w:pPr>
            <w:r>
              <w:rPr>
                <w:rFonts w:hint="eastAsia" w:ascii="宋体" w:hAnsi="宋体" w:cs="宋体"/>
                <w:kern w:val="0"/>
                <w:szCs w:val="21"/>
              </w:rPr>
              <w:t>保护煤柱煤量（万吨）</w:t>
            </w:r>
          </w:p>
        </w:tc>
        <w:tc>
          <w:tcPr>
            <w:tcW w:w="690" w:type="dxa"/>
            <w:noWrap w:val="0"/>
            <w:vAlign w:val="center"/>
          </w:tcPr>
          <w:p w14:paraId="6A253593">
            <w:pPr>
              <w:widowControl/>
              <w:jc w:val="center"/>
              <w:rPr>
                <w:rFonts w:ascii="宋体" w:hAnsi="宋体" w:cs="宋体"/>
                <w:kern w:val="0"/>
                <w:szCs w:val="21"/>
              </w:rPr>
            </w:pPr>
            <w:r>
              <w:rPr>
                <w:rFonts w:hint="eastAsia" w:ascii="宋体" w:hAnsi="宋体" w:cs="宋体"/>
                <w:kern w:val="0"/>
                <w:szCs w:val="21"/>
              </w:rPr>
              <w:t>可信度系数</w:t>
            </w:r>
          </w:p>
        </w:tc>
        <w:tc>
          <w:tcPr>
            <w:tcW w:w="1095" w:type="dxa"/>
            <w:noWrap w:val="0"/>
            <w:vAlign w:val="center"/>
          </w:tcPr>
          <w:p w14:paraId="1D7FF0C1">
            <w:pPr>
              <w:widowControl/>
              <w:jc w:val="center"/>
              <w:rPr>
                <w:rFonts w:ascii="宋体" w:hAnsi="宋体" w:cs="宋体"/>
                <w:kern w:val="0"/>
                <w:szCs w:val="21"/>
              </w:rPr>
            </w:pPr>
            <w:r>
              <w:rPr>
                <w:rFonts w:hint="eastAsia" w:ascii="宋体" w:hAnsi="宋体" w:cs="宋体"/>
                <w:kern w:val="0"/>
                <w:szCs w:val="21"/>
              </w:rPr>
              <w:t>煤柱损失量（万吨）</w:t>
            </w:r>
          </w:p>
        </w:tc>
      </w:tr>
      <w:tr w14:paraId="216A9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restart"/>
            <w:noWrap w:val="0"/>
            <w:vAlign w:val="center"/>
          </w:tcPr>
          <w:p w14:paraId="1F71A1AC">
            <w:pPr>
              <w:widowControl/>
              <w:jc w:val="center"/>
              <w:rPr>
                <w:rFonts w:ascii="宋体" w:hAnsi="宋体" w:cs="宋体"/>
                <w:kern w:val="0"/>
                <w:szCs w:val="21"/>
              </w:rPr>
            </w:pPr>
            <w:r>
              <w:rPr>
                <w:rFonts w:hint="eastAsia" w:ascii="宋体" w:hAnsi="宋体" w:cs="宋体"/>
                <w:kern w:val="0"/>
                <w:szCs w:val="21"/>
              </w:rPr>
              <w:t>K26</w:t>
            </w:r>
          </w:p>
        </w:tc>
        <w:tc>
          <w:tcPr>
            <w:tcW w:w="639" w:type="dxa"/>
            <w:noWrap w:val="0"/>
            <w:vAlign w:val="center"/>
          </w:tcPr>
          <w:p w14:paraId="23EEA207">
            <w:pPr>
              <w:widowControl/>
              <w:jc w:val="center"/>
              <w:rPr>
                <w:rFonts w:ascii="宋体" w:hAnsi="宋体" w:cs="宋体"/>
                <w:kern w:val="0"/>
                <w:szCs w:val="21"/>
              </w:rPr>
            </w:pPr>
            <w:r>
              <w:rPr>
                <w:rFonts w:hint="eastAsia" w:ascii="宋体" w:hAnsi="宋体" w:cs="宋体"/>
                <w:kern w:val="0"/>
                <w:szCs w:val="21"/>
              </w:rPr>
              <w:t>331</w:t>
            </w:r>
          </w:p>
        </w:tc>
        <w:tc>
          <w:tcPr>
            <w:tcW w:w="1127" w:type="dxa"/>
            <w:noWrap w:val="0"/>
            <w:vAlign w:val="center"/>
          </w:tcPr>
          <w:p w14:paraId="40F13B2A">
            <w:pPr>
              <w:widowControl/>
              <w:jc w:val="center"/>
              <w:rPr>
                <w:rFonts w:ascii="宋体" w:hAnsi="宋体" w:cs="宋体"/>
                <w:kern w:val="0"/>
                <w:szCs w:val="21"/>
              </w:rPr>
            </w:pPr>
            <w:r>
              <w:rPr>
                <w:rFonts w:hint="eastAsia" w:ascii="宋体" w:hAnsi="宋体" w:cs="宋体"/>
                <w:kern w:val="0"/>
                <w:szCs w:val="21"/>
              </w:rPr>
              <w:t>62093</w:t>
            </w:r>
          </w:p>
        </w:tc>
        <w:tc>
          <w:tcPr>
            <w:tcW w:w="1065" w:type="dxa"/>
            <w:noWrap w:val="0"/>
            <w:vAlign w:val="center"/>
          </w:tcPr>
          <w:p w14:paraId="73FEE9DB">
            <w:pPr>
              <w:widowControl/>
              <w:jc w:val="center"/>
              <w:rPr>
                <w:rFonts w:ascii="宋体" w:hAnsi="宋体" w:cs="宋体"/>
                <w:kern w:val="0"/>
                <w:szCs w:val="21"/>
              </w:rPr>
            </w:pPr>
            <w:r>
              <w:rPr>
                <w:rFonts w:hint="eastAsia" w:ascii="宋体" w:hAnsi="宋体" w:cs="宋体"/>
                <w:kern w:val="0"/>
                <w:szCs w:val="21"/>
              </w:rPr>
              <w:t>0</w:t>
            </w:r>
          </w:p>
        </w:tc>
        <w:tc>
          <w:tcPr>
            <w:tcW w:w="849" w:type="dxa"/>
            <w:noWrap w:val="0"/>
            <w:vAlign w:val="center"/>
          </w:tcPr>
          <w:p w14:paraId="01C1AF13">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0BC81F41">
            <w:pPr>
              <w:widowControl/>
              <w:jc w:val="center"/>
              <w:rPr>
                <w:rFonts w:ascii="宋体" w:hAnsi="宋体" w:cs="宋体"/>
                <w:kern w:val="0"/>
                <w:szCs w:val="21"/>
              </w:rPr>
            </w:pPr>
            <w:r>
              <w:rPr>
                <w:rFonts w:hint="eastAsia" w:ascii="宋体" w:hAnsi="宋体" w:cs="宋体"/>
                <w:kern w:val="0"/>
                <w:szCs w:val="21"/>
              </w:rPr>
              <w:t xml:space="preserve">1.57 </w:t>
            </w:r>
          </w:p>
        </w:tc>
        <w:tc>
          <w:tcPr>
            <w:tcW w:w="1006" w:type="dxa"/>
            <w:noWrap w:val="0"/>
            <w:vAlign w:val="center"/>
          </w:tcPr>
          <w:p w14:paraId="3552E439">
            <w:pPr>
              <w:widowControl/>
              <w:jc w:val="center"/>
              <w:rPr>
                <w:rFonts w:ascii="宋体" w:hAnsi="宋体" w:cs="宋体"/>
                <w:kern w:val="0"/>
                <w:szCs w:val="21"/>
              </w:rPr>
            </w:pPr>
            <w:r>
              <w:rPr>
                <w:rFonts w:hint="eastAsia" w:ascii="宋体" w:hAnsi="宋体" w:cs="宋体"/>
                <w:kern w:val="0"/>
                <w:szCs w:val="21"/>
              </w:rPr>
              <w:t xml:space="preserve">1.48 </w:t>
            </w:r>
          </w:p>
        </w:tc>
        <w:tc>
          <w:tcPr>
            <w:tcW w:w="987" w:type="dxa"/>
            <w:noWrap w:val="0"/>
            <w:vAlign w:val="center"/>
          </w:tcPr>
          <w:p w14:paraId="20F266B9">
            <w:pPr>
              <w:widowControl/>
              <w:jc w:val="center"/>
              <w:rPr>
                <w:rFonts w:ascii="宋体" w:hAnsi="宋体" w:cs="宋体"/>
                <w:kern w:val="0"/>
                <w:szCs w:val="21"/>
              </w:rPr>
            </w:pPr>
            <w:r>
              <w:rPr>
                <w:rFonts w:hint="eastAsia" w:ascii="宋体" w:hAnsi="宋体" w:cs="宋体"/>
                <w:kern w:val="0"/>
                <w:szCs w:val="21"/>
              </w:rPr>
              <w:t xml:space="preserve">16.66 </w:t>
            </w:r>
          </w:p>
        </w:tc>
        <w:tc>
          <w:tcPr>
            <w:tcW w:w="690" w:type="dxa"/>
            <w:noWrap w:val="0"/>
            <w:vAlign w:val="center"/>
          </w:tcPr>
          <w:p w14:paraId="17D91CB4">
            <w:pPr>
              <w:widowControl/>
              <w:jc w:val="center"/>
              <w:rPr>
                <w:rFonts w:ascii="宋体" w:hAnsi="宋体" w:cs="宋体"/>
                <w:kern w:val="0"/>
                <w:szCs w:val="21"/>
              </w:rPr>
            </w:pPr>
            <w:r>
              <w:rPr>
                <w:rFonts w:hint="eastAsia" w:ascii="宋体" w:hAnsi="宋体" w:cs="宋体"/>
                <w:kern w:val="0"/>
                <w:szCs w:val="21"/>
              </w:rPr>
              <w:t>1</w:t>
            </w:r>
          </w:p>
        </w:tc>
        <w:tc>
          <w:tcPr>
            <w:tcW w:w="1095" w:type="dxa"/>
            <w:noWrap w:val="0"/>
            <w:vAlign w:val="center"/>
          </w:tcPr>
          <w:p w14:paraId="474BDFD8">
            <w:pPr>
              <w:widowControl/>
              <w:jc w:val="center"/>
              <w:rPr>
                <w:rFonts w:ascii="宋体" w:hAnsi="宋体" w:cs="宋体"/>
                <w:kern w:val="0"/>
                <w:szCs w:val="21"/>
              </w:rPr>
            </w:pPr>
            <w:r>
              <w:rPr>
                <w:rFonts w:hint="eastAsia" w:ascii="宋体" w:hAnsi="宋体" w:cs="宋体"/>
                <w:kern w:val="0"/>
                <w:szCs w:val="21"/>
              </w:rPr>
              <w:t xml:space="preserve">16.66 </w:t>
            </w:r>
          </w:p>
        </w:tc>
      </w:tr>
      <w:tr w14:paraId="3CF5E9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continue"/>
            <w:noWrap w:val="0"/>
            <w:vAlign w:val="center"/>
          </w:tcPr>
          <w:p w14:paraId="28C43033">
            <w:pPr>
              <w:widowControl/>
              <w:jc w:val="left"/>
              <w:rPr>
                <w:rFonts w:ascii="宋体" w:hAnsi="宋体" w:cs="宋体"/>
                <w:kern w:val="0"/>
                <w:szCs w:val="21"/>
              </w:rPr>
            </w:pPr>
          </w:p>
        </w:tc>
        <w:tc>
          <w:tcPr>
            <w:tcW w:w="639" w:type="dxa"/>
            <w:noWrap w:val="0"/>
            <w:vAlign w:val="center"/>
          </w:tcPr>
          <w:p w14:paraId="10C1EC35">
            <w:pPr>
              <w:widowControl/>
              <w:jc w:val="center"/>
              <w:rPr>
                <w:rFonts w:ascii="宋体" w:hAnsi="宋体" w:cs="宋体"/>
                <w:kern w:val="0"/>
                <w:szCs w:val="21"/>
              </w:rPr>
            </w:pPr>
            <w:r>
              <w:rPr>
                <w:rFonts w:hint="eastAsia" w:ascii="宋体" w:hAnsi="宋体" w:cs="宋体"/>
                <w:kern w:val="0"/>
                <w:szCs w:val="21"/>
              </w:rPr>
              <w:t>333</w:t>
            </w:r>
          </w:p>
        </w:tc>
        <w:tc>
          <w:tcPr>
            <w:tcW w:w="1127" w:type="dxa"/>
            <w:noWrap w:val="0"/>
            <w:vAlign w:val="center"/>
          </w:tcPr>
          <w:p w14:paraId="458CCD3D">
            <w:pPr>
              <w:widowControl/>
              <w:jc w:val="center"/>
              <w:rPr>
                <w:rFonts w:ascii="宋体" w:hAnsi="宋体" w:cs="宋体"/>
                <w:kern w:val="0"/>
                <w:szCs w:val="21"/>
              </w:rPr>
            </w:pPr>
            <w:r>
              <w:rPr>
                <w:rFonts w:hint="eastAsia" w:ascii="宋体" w:hAnsi="宋体" w:cs="宋体"/>
                <w:kern w:val="0"/>
                <w:szCs w:val="21"/>
              </w:rPr>
              <w:t>7334</w:t>
            </w:r>
          </w:p>
        </w:tc>
        <w:tc>
          <w:tcPr>
            <w:tcW w:w="1065" w:type="dxa"/>
            <w:noWrap w:val="0"/>
            <w:vAlign w:val="center"/>
          </w:tcPr>
          <w:p w14:paraId="106A9B66">
            <w:pPr>
              <w:widowControl/>
              <w:jc w:val="center"/>
              <w:rPr>
                <w:rFonts w:ascii="宋体" w:hAnsi="宋体" w:cs="宋体"/>
                <w:kern w:val="0"/>
                <w:szCs w:val="21"/>
              </w:rPr>
            </w:pPr>
            <w:r>
              <w:rPr>
                <w:rFonts w:hint="eastAsia" w:ascii="宋体" w:hAnsi="宋体" w:cs="宋体"/>
                <w:kern w:val="0"/>
                <w:szCs w:val="21"/>
              </w:rPr>
              <w:t>0</w:t>
            </w:r>
          </w:p>
        </w:tc>
        <w:tc>
          <w:tcPr>
            <w:tcW w:w="849" w:type="dxa"/>
            <w:noWrap w:val="0"/>
            <w:vAlign w:val="center"/>
          </w:tcPr>
          <w:p w14:paraId="4C78BC7B">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4B1520F3">
            <w:pPr>
              <w:widowControl/>
              <w:jc w:val="center"/>
              <w:rPr>
                <w:rFonts w:ascii="宋体" w:hAnsi="宋体" w:cs="宋体"/>
                <w:kern w:val="0"/>
                <w:szCs w:val="21"/>
              </w:rPr>
            </w:pPr>
            <w:r>
              <w:rPr>
                <w:rFonts w:hint="eastAsia" w:ascii="宋体" w:hAnsi="宋体" w:cs="宋体"/>
                <w:kern w:val="0"/>
                <w:szCs w:val="21"/>
              </w:rPr>
              <w:t xml:space="preserve">1.57 </w:t>
            </w:r>
          </w:p>
        </w:tc>
        <w:tc>
          <w:tcPr>
            <w:tcW w:w="1006" w:type="dxa"/>
            <w:noWrap w:val="0"/>
            <w:vAlign w:val="center"/>
          </w:tcPr>
          <w:p w14:paraId="04DF45D9">
            <w:pPr>
              <w:widowControl/>
              <w:jc w:val="center"/>
              <w:rPr>
                <w:rFonts w:ascii="宋体" w:hAnsi="宋体" w:cs="宋体"/>
                <w:kern w:val="0"/>
                <w:szCs w:val="21"/>
              </w:rPr>
            </w:pPr>
            <w:r>
              <w:rPr>
                <w:rFonts w:hint="eastAsia" w:ascii="宋体" w:hAnsi="宋体" w:cs="宋体"/>
                <w:kern w:val="0"/>
                <w:szCs w:val="21"/>
              </w:rPr>
              <w:t xml:space="preserve">1.48 </w:t>
            </w:r>
          </w:p>
        </w:tc>
        <w:tc>
          <w:tcPr>
            <w:tcW w:w="987" w:type="dxa"/>
            <w:noWrap w:val="0"/>
            <w:vAlign w:val="center"/>
          </w:tcPr>
          <w:p w14:paraId="30B5DDF5">
            <w:pPr>
              <w:widowControl/>
              <w:jc w:val="center"/>
              <w:rPr>
                <w:rFonts w:ascii="宋体" w:hAnsi="宋体" w:cs="宋体"/>
                <w:kern w:val="0"/>
                <w:szCs w:val="21"/>
              </w:rPr>
            </w:pPr>
            <w:r>
              <w:rPr>
                <w:rFonts w:hint="eastAsia" w:ascii="宋体" w:hAnsi="宋体" w:cs="宋体"/>
                <w:kern w:val="0"/>
                <w:szCs w:val="21"/>
              </w:rPr>
              <w:t xml:space="preserve">1.97 </w:t>
            </w:r>
          </w:p>
        </w:tc>
        <w:tc>
          <w:tcPr>
            <w:tcW w:w="690" w:type="dxa"/>
            <w:noWrap w:val="0"/>
            <w:vAlign w:val="center"/>
          </w:tcPr>
          <w:p w14:paraId="6B746272">
            <w:pPr>
              <w:widowControl/>
              <w:jc w:val="center"/>
              <w:rPr>
                <w:rFonts w:ascii="宋体" w:hAnsi="宋体" w:cs="宋体"/>
                <w:kern w:val="0"/>
                <w:szCs w:val="21"/>
              </w:rPr>
            </w:pPr>
            <w:r>
              <w:rPr>
                <w:rFonts w:hint="eastAsia" w:ascii="宋体" w:hAnsi="宋体" w:cs="宋体"/>
                <w:kern w:val="0"/>
                <w:szCs w:val="21"/>
              </w:rPr>
              <w:t>0.8</w:t>
            </w:r>
          </w:p>
        </w:tc>
        <w:tc>
          <w:tcPr>
            <w:tcW w:w="1095" w:type="dxa"/>
            <w:noWrap w:val="0"/>
            <w:vAlign w:val="center"/>
          </w:tcPr>
          <w:p w14:paraId="34FD962C">
            <w:pPr>
              <w:widowControl/>
              <w:jc w:val="center"/>
              <w:rPr>
                <w:rFonts w:ascii="宋体" w:hAnsi="宋体" w:cs="宋体"/>
                <w:kern w:val="0"/>
                <w:szCs w:val="21"/>
              </w:rPr>
            </w:pPr>
            <w:r>
              <w:rPr>
                <w:rFonts w:hint="eastAsia" w:ascii="宋体" w:hAnsi="宋体" w:cs="宋体"/>
                <w:kern w:val="0"/>
                <w:szCs w:val="21"/>
              </w:rPr>
              <w:t xml:space="preserve">1.57 </w:t>
            </w:r>
          </w:p>
        </w:tc>
      </w:tr>
      <w:tr w14:paraId="52E1A0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noWrap w:val="0"/>
            <w:vAlign w:val="center"/>
          </w:tcPr>
          <w:p w14:paraId="1F9A7C11">
            <w:pPr>
              <w:widowControl/>
              <w:jc w:val="left"/>
              <w:rPr>
                <w:rFonts w:ascii="宋体" w:hAnsi="宋体" w:cs="宋体"/>
                <w:kern w:val="0"/>
                <w:szCs w:val="21"/>
              </w:rPr>
            </w:pPr>
            <w:r>
              <w:rPr>
                <w:rFonts w:hint="eastAsia" w:ascii="宋体" w:hAnsi="宋体" w:cs="宋体"/>
                <w:kern w:val="0"/>
                <w:szCs w:val="21"/>
              </w:rPr>
              <w:t>K35-b</w:t>
            </w:r>
          </w:p>
        </w:tc>
        <w:tc>
          <w:tcPr>
            <w:tcW w:w="639" w:type="dxa"/>
            <w:noWrap w:val="0"/>
            <w:vAlign w:val="center"/>
          </w:tcPr>
          <w:p w14:paraId="71858621">
            <w:pPr>
              <w:widowControl/>
              <w:jc w:val="center"/>
              <w:rPr>
                <w:rFonts w:ascii="宋体" w:hAnsi="宋体" w:cs="宋体"/>
                <w:kern w:val="0"/>
                <w:szCs w:val="21"/>
              </w:rPr>
            </w:pPr>
            <w:r>
              <w:rPr>
                <w:rFonts w:hint="eastAsia" w:ascii="宋体" w:hAnsi="宋体" w:cs="宋体"/>
                <w:kern w:val="0"/>
                <w:szCs w:val="21"/>
              </w:rPr>
              <w:t>333</w:t>
            </w:r>
          </w:p>
        </w:tc>
        <w:tc>
          <w:tcPr>
            <w:tcW w:w="1127" w:type="dxa"/>
            <w:noWrap w:val="0"/>
            <w:vAlign w:val="center"/>
          </w:tcPr>
          <w:p w14:paraId="2BA4424F">
            <w:pPr>
              <w:widowControl/>
              <w:jc w:val="center"/>
              <w:rPr>
                <w:rFonts w:ascii="宋体" w:hAnsi="宋体" w:cs="宋体"/>
                <w:kern w:val="0"/>
                <w:szCs w:val="21"/>
              </w:rPr>
            </w:pPr>
            <w:r>
              <w:rPr>
                <w:rFonts w:hint="eastAsia" w:ascii="宋体" w:hAnsi="宋体" w:cs="宋体"/>
                <w:kern w:val="0"/>
                <w:szCs w:val="21"/>
              </w:rPr>
              <w:t>48237</w:t>
            </w:r>
          </w:p>
        </w:tc>
        <w:tc>
          <w:tcPr>
            <w:tcW w:w="1065" w:type="dxa"/>
            <w:noWrap w:val="0"/>
            <w:vAlign w:val="center"/>
          </w:tcPr>
          <w:p w14:paraId="5602C495">
            <w:pPr>
              <w:widowControl/>
              <w:jc w:val="center"/>
              <w:rPr>
                <w:rFonts w:ascii="宋体" w:hAnsi="宋体" w:cs="宋体"/>
                <w:kern w:val="0"/>
                <w:szCs w:val="21"/>
              </w:rPr>
            </w:pPr>
            <w:r>
              <w:rPr>
                <w:rFonts w:hint="eastAsia" w:ascii="宋体" w:hAnsi="宋体" w:cs="宋体"/>
                <w:kern w:val="0"/>
                <w:szCs w:val="21"/>
              </w:rPr>
              <w:t>2385</w:t>
            </w:r>
          </w:p>
        </w:tc>
        <w:tc>
          <w:tcPr>
            <w:tcW w:w="849" w:type="dxa"/>
            <w:noWrap w:val="0"/>
            <w:vAlign w:val="center"/>
          </w:tcPr>
          <w:p w14:paraId="4A3C3A12">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3865EF8F">
            <w:pPr>
              <w:widowControl/>
              <w:jc w:val="center"/>
              <w:rPr>
                <w:rFonts w:ascii="宋体" w:hAnsi="宋体" w:cs="宋体"/>
                <w:kern w:val="0"/>
                <w:szCs w:val="21"/>
              </w:rPr>
            </w:pPr>
            <w:r>
              <w:rPr>
                <w:rFonts w:hint="eastAsia" w:ascii="宋体" w:hAnsi="宋体" w:cs="宋体"/>
                <w:kern w:val="0"/>
                <w:szCs w:val="21"/>
              </w:rPr>
              <w:t xml:space="preserve">0.81 </w:t>
            </w:r>
          </w:p>
        </w:tc>
        <w:tc>
          <w:tcPr>
            <w:tcW w:w="1006" w:type="dxa"/>
            <w:noWrap w:val="0"/>
            <w:vAlign w:val="center"/>
          </w:tcPr>
          <w:p w14:paraId="0B252807">
            <w:pPr>
              <w:widowControl/>
              <w:jc w:val="center"/>
              <w:rPr>
                <w:rFonts w:ascii="宋体" w:hAnsi="宋体" w:cs="宋体"/>
                <w:kern w:val="0"/>
                <w:szCs w:val="21"/>
              </w:rPr>
            </w:pPr>
            <w:r>
              <w:rPr>
                <w:rFonts w:hint="eastAsia" w:ascii="宋体" w:hAnsi="宋体" w:cs="宋体"/>
                <w:kern w:val="0"/>
                <w:szCs w:val="21"/>
              </w:rPr>
              <w:t xml:space="preserve">1.56 </w:t>
            </w:r>
          </w:p>
        </w:tc>
        <w:tc>
          <w:tcPr>
            <w:tcW w:w="987" w:type="dxa"/>
            <w:noWrap w:val="0"/>
            <w:vAlign w:val="center"/>
          </w:tcPr>
          <w:p w14:paraId="750835C0">
            <w:pPr>
              <w:widowControl/>
              <w:jc w:val="center"/>
              <w:rPr>
                <w:rFonts w:ascii="宋体" w:hAnsi="宋体" w:cs="宋体"/>
                <w:kern w:val="0"/>
                <w:szCs w:val="21"/>
              </w:rPr>
            </w:pPr>
            <w:r>
              <w:rPr>
                <w:rFonts w:hint="eastAsia" w:ascii="宋体" w:hAnsi="宋体" w:cs="宋体"/>
                <w:kern w:val="0"/>
                <w:szCs w:val="21"/>
              </w:rPr>
              <w:t xml:space="preserve">7.39 </w:t>
            </w:r>
          </w:p>
        </w:tc>
        <w:tc>
          <w:tcPr>
            <w:tcW w:w="690" w:type="dxa"/>
            <w:noWrap w:val="0"/>
            <w:vAlign w:val="center"/>
          </w:tcPr>
          <w:p w14:paraId="24023F07">
            <w:pPr>
              <w:widowControl/>
              <w:jc w:val="center"/>
              <w:rPr>
                <w:rFonts w:ascii="宋体" w:hAnsi="宋体" w:cs="宋体"/>
                <w:kern w:val="0"/>
                <w:szCs w:val="21"/>
              </w:rPr>
            </w:pPr>
            <w:r>
              <w:rPr>
                <w:rFonts w:hint="eastAsia" w:ascii="宋体" w:hAnsi="宋体" w:cs="宋体"/>
                <w:kern w:val="0"/>
                <w:szCs w:val="21"/>
              </w:rPr>
              <w:t>0.8</w:t>
            </w:r>
          </w:p>
        </w:tc>
        <w:tc>
          <w:tcPr>
            <w:tcW w:w="1095" w:type="dxa"/>
            <w:noWrap w:val="0"/>
            <w:vAlign w:val="center"/>
          </w:tcPr>
          <w:p w14:paraId="642EFA37">
            <w:pPr>
              <w:widowControl/>
              <w:jc w:val="center"/>
              <w:rPr>
                <w:rFonts w:ascii="宋体" w:hAnsi="宋体" w:cs="宋体"/>
                <w:kern w:val="0"/>
                <w:szCs w:val="21"/>
              </w:rPr>
            </w:pPr>
            <w:r>
              <w:rPr>
                <w:rFonts w:hint="eastAsia" w:ascii="宋体" w:hAnsi="宋体" w:cs="宋体"/>
                <w:kern w:val="0"/>
                <w:szCs w:val="21"/>
              </w:rPr>
              <w:t xml:space="preserve">5.91 </w:t>
            </w:r>
          </w:p>
        </w:tc>
      </w:tr>
      <w:tr w14:paraId="7FE54A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restart"/>
            <w:noWrap w:val="0"/>
            <w:vAlign w:val="center"/>
          </w:tcPr>
          <w:p w14:paraId="0BA084A4">
            <w:pPr>
              <w:widowControl/>
              <w:jc w:val="center"/>
              <w:rPr>
                <w:rFonts w:ascii="宋体" w:hAnsi="宋体" w:cs="宋体"/>
                <w:kern w:val="0"/>
                <w:szCs w:val="21"/>
              </w:rPr>
            </w:pPr>
            <w:r>
              <w:rPr>
                <w:rFonts w:hint="eastAsia" w:ascii="宋体" w:hAnsi="宋体" w:cs="宋体"/>
                <w:kern w:val="0"/>
                <w:szCs w:val="21"/>
              </w:rPr>
              <w:t>K106-b</w:t>
            </w:r>
          </w:p>
        </w:tc>
        <w:tc>
          <w:tcPr>
            <w:tcW w:w="639" w:type="dxa"/>
            <w:noWrap w:val="0"/>
            <w:vAlign w:val="center"/>
          </w:tcPr>
          <w:p w14:paraId="7F3A9A8A">
            <w:pPr>
              <w:widowControl/>
              <w:jc w:val="center"/>
              <w:rPr>
                <w:rFonts w:ascii="宋体" w:hAnsi="宋体" w:cs="宋体"/>
                <w:kern w:val="0"/>
                <w:szCs w:val="21"/>
              </w:rPr>
            </w:pPr>
            <w:r>
              <w:rPr>
                <w:rFonts w:hint="eastAsia" w:ascii="宋体" w:hAnsi="宋体" w:cs="宋体"/>
                <w:kern w:val="0"/>
                <w:szCs w:val="21"/>
              </w:rPr>
              <w:t>332</w:t>
            </w:r>
          </w:p>
        </w:tc>
        <w:tc>
          <w:tcPr>
            <w:tcW w:w="1127" w:type="dxa"/>
            <w:noWrap w:val="0"/>
            <w:vAlign w:val="center"/>
          </w:tcPr>
          <w:p w14:paraId="5381D89E">
            <w:pPr>
              <w:widowControl/>
              <w:jc w:val="center"/>
              <w:rPr>
                <w:rFonts w:ascii="宋体" w:hAnsi="宋体" w:cs="宋体"/>
                <w:kern w:val="0"/>
                <w:szCs w:val="21"/>
              </w:rPr>
            </w:pPr>
            <w:r>
              <w:rPr>
                <w:rFonts w:hint="eastAsia" w:ascii="宋体" w:hAnsi="宋体" w:cs="宋体"/>
                <w:kern w:val="0"/>
                <w:szCs w:val="21"/>
              </w:rPr>
              <w:t>30532</w:t>
            </w:r>
          </w:p>
        </w:tc>
        <w:tc>
          <w:tcPr>
            <w:tcW w:w="1065" w:type="dxa"/>
            <w:noWrap w:val="0"/>
            <w:vAlign w:val="center"/>
          </w:tcPr>
          <w:p w14:paraId="0426DF02">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6860A3AA">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3C684B76">
            <w:pPr>
              <w:widowControl/>
              <w:jc w:val="center"/>
              <w:rPr>
                <w:rFonts w:ascii="宋体" w:hAnsi="宋体" w:cs="宋体"/>
                <w:kern w:val="0"/>
                <w:szCs w:val="21"/>
              </w:rPr>
            </w:pPr>
            <w:r>
              <w:rPr>
                <w:rFonts w:hint="eastAsia" w:ascii="宋体" w:hAnsi="宋体" w:cs="宋体"/>
                <w:kern w:val="0"/>
                <w:szCs w:val="21"/>
              </w:rPr>
              <w:t xml:space="preserve">1.72 </w:t>
            </w:r>
          </w:p>
        </w:tc>
        <w:tc>
          <w:tcPr>
            <w:tcW w:w="1006" w:type="dxa"/>
            <w:noWrap w:val="0"/>
            <w:vAlign w:val="center"/>
          </w:tcPr>
          <w:p w14:paraId="544E6473">
            <w:pPr>
              <w:widowControl/>
              <w:jc w:val="center"/>
              <w:rPr>
                <w:rFonts w:ascii="宋体" w:hAnsi="宋体" w:cs="宋体"/>
                <w:kern w:val="0"/>
                <w:szCs w:val="21"/>
              </w:rPr>
            </w:pPr>
            <w:r>
              <w:rPr>
                <w:rFonts w:hint="eastAsia" w:ascii="宋体" w:hAnsi="宋体" w:cs="宋体"/>
                <w:kern w:val="0"/>
                <w:szCs w:val="21"/>
              </w:rPr>
              <w:t xml:space="preserve">1.56 </w:t>
            </w:r>
          </w:p>
        </w:tc>
        <w:tc>
          <w:tcPr>
            <w:tcW w:w="987" w:type="dxa"/>
            <w:noWrap w:val="0"/>
            <w:vAlign w:val="center"/>
          </w:tcPr>
          <w:p w14:paraId="083183AF">
            <w:pPr>
              <w:widowControl/>
              <w:jc w:val="center"/>
              <w:rPr>
                <w:rFonts w:ascii="宋体" w:hAnsi="宋体" w:cs="宋体"/>
                <w:kern w:val="0"/>
                <w:szCs w:val="21"/>
              </w:rPr>
            </w:pPr>
            <w:r>
              <w:rPr>
                <w:rFonts w:hint="eastAsia" w:ascii="宋体" w:hAnsi="宋体" w:cs="宋体"/>
                <w:kern w:val="0"/>
                <w:szCs w:val="21"/>
              </w:rPr>
              <w:t xml:space="preserve">9.46 </w:t>
            </w:r>
          </w:p>
        </w:tc>
        <w:tc>
          <w:tcPr>
            <w:tcW w:w="690" w:type="dxa"/>
            <w:noWrap w:val="0"/>
            <w:vAlign w:val="center"/>
          </w:tcPr>
          <w:p w14:paraId="609B415F">
            <w:pPr>
              <w:widowControl/>
              <w:jc w:val="center"/>
              <w:rPr>
                <w:rFonts w:ascii="宋体" w:hAnsi="宋体" w:cs="宋体"/>
                <w:kern w:val="0"/>
                <w:szCs w:val="21"/>
              </w:rPr>
            </w:pPr>
            <w:r>
              <w:rPr>
                <w:rFonts w:hint="eastAsia" w:ascii="宋体" w:hAnsi="宋体" w:cs="宋体"/>
                <w:kern w:val="0"/>
                <w:szCs w:val="21"/>
              </w:rPr>
              <w:t>1</w:t>
            </w:r>
          </w:p>
        </w:tc>
        <w:tc>
          <w:tcPr>
            <w:tcW w:w="1095" w:type="dxa"/>
            <w:noWrap w:val="0"/>
            <w:vAlign w:val="center"/>
          </w:tcPr>
          <w:p w14:paraId="56CE7986">
            <w:pPr>
              <w:widowControl/>
              <w:jc w:val="center"/>
              <w:rPr>
                <w:rFonts w:ascii="宋体" w:hAnsi="宋体" w:cs="宋体"/>
                <w:kern w:val="0"/>
                <w:szCs w:val="21"/>
              </w:rPr>
            </w:pPr>
            <w:r>
              <w:rPr>
                <w:rFonts w:hint="eastAsia" w:ascii="宋体" w:hAnsi="宋体" w:cs="宋体"/>
                <w:kern w:val="0"/>
                <w:szCs w:val="21"/>
              </w:rPr>
              <w:t xml:space="preserve">9.46 </w:t>
            </w:r>
          </w:p>
        </w:tc>
      </w:tr>
      <w:tr w14:paraId="20F3B0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continue"/>
            <w:noWrap w:val="0"/>
            <w:vAlign w:val="center"/>
          </w:tcPr>
          <w:p w14:paraId="295B8B5F">
            <w:pPr>
              <w:widowControl/>
              <w:jc w:val="left"/>
              <w:rPr>
                <w:rFonts w:ascii="宋体" w:hAnsi="宋体" w:cs="宋体"/>
                <w:kern w:val="0"/>
                <w:szCs w:val="21"/>
              </w:rPr>
            </w:pPr>
          </w:p>
        </w:tc>
        <w:tc>
          <w:tcPr>
            <w:tcW w:w="639" w:type="dxa"/>
            <w:noWrap w:val="0"/>
            <w:vAlign w:val="center"/>
          </w:tcPr>
          <w:p w14:paraId="6A63FEFD">
            <w:pPr>
              <w:widowControl/>
              <w:jc w:val="center"/>
              <w:rPr>
                <w:rFonts w:ascii="宋体" w:hAnsi="宋体" w:cs="宋体"/>
                <w:kern w:val="0"/>
                <w:szCs w:val="21"/>
              </w:rPr>
            </w:pPr>
            <w:r>
              <w:rPr>
                <w:rFonts w:hint="eastAsia" w:ascii="宋体" w:hAnsi="宋体" w:cs="宋体"/>
                <w:kern w:val="0"/>
                <w:szCs w:val="21"/>
              </w:rPr>
              <w:t>333</w:t>
            </w:r>
          </w:p>
        </w:tc>
        <w:tc>
          <w:tcPr>
            <w:tcW w:w="1127" w:type="dxa"/>
            <w:noWrap w:val="0"/>
            <w:vAlign w:val="center"/>
          </w:tcPr>
          <w:p w14:paraId="671E1CD5">
            <w:pPr>
              <w:widowControl/>
              <w:jc w:val="center"/>
              <w:rPr>
                <w:rFonts w:ascii="宋体" w:hAnsi="宋体" w:cs="宋体"/>
                <w:kern w:val="0"/>
                <w:szCs w:val="21"/>
              </w:rPr>
            </w:pPr>
            <w:r>
              <w:rPr>
                <w:rFonts w:hint="eastAsia" w:ascii="宋体" w:hAnsi="宋体" w:cs="宋体"/>
                <w:kern w:val="0"/>
                <w:szCs w:val="21"/>
              </w:rPr>
              <w:t>72773</w:t>
            </w:r>
          </w:p>
        </w:tc>
        <w:tc>
          <w:tcPr>
            <w:tcW w:w="1065" w:type="dxa"/>
            <w:noWrap w:val="0"/>
            <w:vAlign w:val="center"/>
          </w:tcPr>
          <w:p w14:paraId="4091B33B">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29839F59">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1A270D21">
            <w:pPr>
              <w:widowControl/>
              <w:jc w:val="center"/>
              <w:rPr>
                <w:rFonts w:ascii="宋体" w:hAnsi="宋体" w:cs="宋体"/>
                <w:kern w:val="0"/>
                <w:szCs w:val="21"/>
              </w:rPr>
            </w:pPr>
            <w:r>
              <w:rPr>
                <w:rFonts w:hint="eastAsia" w:ascii="宋体" w:hAnsi="宋体" w:cs="宋体"/>
                <w:kern w:val="0"/>
                <w:szCs w:val="21"/>
              </w:rPr>
              <w:t xml:space="preserve">1.72 </w:t>
            </w:r>
          </w:p>
        </w:tc>
        <w:tc>
          <w:tcPr>
            <w:tcW w:w="1006" w:type="dxa"/>
            <w:noWrap w:val="0"/>
            <w:vAlign w:val="center"/>
          </w:tcPr>
          <w:p w14:paraId="6650D76A">
            <w:pPr>
              <w:widowControl/>
              <w:jc w:val="center"/>
              <w:rPr>
                <w:rFonts w:ascii="宋体" w:hAnsi="宋体" w:cs="宋体"/>
                <w:kern w:val="0"/>
                <w:szCs w:val="21"/>
              </w:rPr>
            </w:pPr>
            <w:r>
              <w:rPr>
                <w:rFonts w:hint="eastAsia" w:ascii="宋体" w:hAnsi="宋体" w:cs="宋体"/>
                <w:kern w:val="0"/>
                <w:szCs w:val="21"/>
              </w:rPr>
              <w:t xml:space="preserve">1.56 </w:t>
            </w:r>
          </w:p>
        </w:tc>
        <w:tc>
          <w:tcPr>
            <w:tcW w:w="987" w:type="dxa"/>
            <w:noWrap w:val="0"/>
            <w:vAlign w:val="center"/>
          </w:tcPr>
          <w:p w14:paraId="2BCC07FE">
            <w:pPr>
              <w:widowControl/>
              <w:jc w:val="center"/>
              <w:rPr>
                <w:rFonts w:ascii="宋体" w:hAnsi="宋体" w:cs="宋体"/>
                <w:kern w:val="0"/>
                <w:szCs w:val="21"/>
              </w:rPr>
            </w:pPr>
            <w:r>
              <w:rPr>
                <w:rFonts w:hint="eastAsia" w:ascii="宋体" w:hAnsi="宋体" w:cs="宋体"/>
                <w:kern w:val="0"/>
                <w:szCs w:val="21"/>
              </w:rPr>
              <w:t xml:space="preserve">22.55 </w:t>
            </w:r>
          </w:p>
        </w:tc>
        <w:tc>
          <w:tcPr>
            <w:tcW w:w="690" w:type="dxa"/>
            <w:noWrap w:val="0"/>
            <w:vAlign w:val="center"/>
          </w:tcPr>
          <w:p w14:paraId="3BDFFCC8">
            <w:pPr>
              <w:widowControl/>
              <w:jc w:val="center"/>
              <w:rPr>
                <w:rFonts w:ascii="宋体" w:hAnsi="宋体" w:cs="宋体"/>
                <w:kern w:val="0"/>
                <w:szCs w:val="21"/>
              </w:rPr>
            </w:pPr>
            <w:r>
              <w:rPr>
                <w:rFonts w:hint="eastAsia" w:ascii="宋体" w:hAnsi="宋体" w:cs="宋体"/>
                <w:kern w:val="0"/>
                <w:szCs w:val="21"/>
              </w:rPr>
              <w:t>0.8</w:t>
            </w:r>
          </w:p>
        </w:tc>
        <w:tc>
          <w:tcPr>
            <w:tcW w:w="1095" w:type="dxa"/>
            <w:noWrap w:val="0"/>
            <w:vAlign w:val="center"/>
          </w:tcPr>
          <w:p w14:paraId="0B753C80">
            <w:pPr>
              <w:widowControl/>
              <w:jc w:val="center"/>
              <w:rPr>
                <w:rFonts w:ascii="宋体" w:hAnsi="宋体" w:cs="宋体"/>
                <w:kern w:val="0"/>
                <w:szCs w:val="21"/>
              </w:rPr>
            </w:pPr>
            <w:r>
              <w:rPr>
                <w:rFonts w:hint="eastAsia" w:ascii="宋体" w:hAnsi="宋体" w:cs="宋体"/>
                <w:kern w:val="0"/>
                <w:szCs w:val="21"/>
              </w:rPr>
              <w:t xml:space="preserve">18.04 </w:t>
            </w:r>
          </w:p>
        </w:tc>
      </w:tr>
      <w:tr w14:paraId="22857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restart"/>
            <w:noWrap w:val="0"/>
            <w:vAlign w:val="center"/>
          </w:tcPr>
          <w:p w14:paraId="193658FC">
            <w:pPr>
              <w:widowControl/>
              <w:jc w:val="center"/>
              <w:rPr>
                <w:rFonts w:ascii="宋体" w:hAnsi="宋体" w:cs="宋体"/>
                <w:kern w:val="0"/>
                <w:szCs w:val="21"/>
              </w:rPr>
            </w:pPr>
            <w:r>
              <w:rPr>
                <w:rFonts w:hint="eastAsia" w:ascii="宋体" w:hAnsi="宋体" w:cs="宋体"/>
                <w:kern w:val="0"/>
                <w:szCs w:val="21"/>
              </w:rPr>
              <w:t>K109-b</w:t>
            </w:r>
          </w:p>
        </w:tc>
        <w:tc>
          <w:tcPr>
            <w:tcW w:w="639" w:type="dxa"/>
            <w:noWrap w:val="0"/>
            <w:vAlign w:val="center"/>
          </w:tcPr>
          <w:p w14:paraId="65E8B831">
            <w:pPr>
              <w:widowControl/>
              <w:jc w:val="center"/>
              <w:rPr>
                <w:rFonts w:ascii="宋体" w:hAnsi="宋体" w:cs="宋体"/>
                <w:kern w:val="0"/>
                <w:szCs w:val="21"/>
              </w:rPr>
            </w:pPr>
            <w:r>
              <w:rPr>
                <w:rFonts w:hint="eastAsia" w:ascii="宋体" w:hAnsi="宋体" w:cs="宋体"/>
                <w:kern w:val="0"/>
                <w:szCs w:val="21"/>
              </w:rPr>
              <w:t>331</w:t>
            </w:r>
          </w:p>
        </w:tc>
        <w:tc>
          <w:tcPr>
            <w:tcW w:w="1127" w:type="dxa"/>
            <w:noWrap w:val="0"/>
            <w:vAlign w:val="center"/>
          </w:tcPr>
          <w:p w14:paraId="6CB5F5CB">
            <w:pPr>
              <w:widowControl/>
              <w:jc w:val="center"/>
              <w:rPr>
                <w:rFonts w:ascii="宋体" w:hAnsi="宋体" w:cs="宋体"/>
                <w:kern w:val="0"/>
                <w:szCs w:val="21"/>
              </w:rPr>
            </w:pPr>
            <w:r>
              <w:rPr>
                <w:rFonts w:hint="eastAsia" w:ascii="宋体" w:hAnsi="宋体" w:cs="宋体"/>
                <w:kern w:val="0"/>
                <w:szCs w:val="21"/>
              </w:rPr>
              <w:t>0</w:t>
            </w:r>
          </w:p>
        </w:tc>
        <w:tc>
          <w:tcPr>
            <w:tcW w:w="1065" w:type="dxa"/>
            <w:noWrap w:val="0"/>
            <w:vAlign w:val="center"/>
          </w:tcPr>
          <w:p w14:paraId="2EDB97FD">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0DBD6849">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08146E5B">
            <w:pPr>
              <w:widowControl/>
              <w:jc w:val="center"/>
              <w:rPr>
                <w:rFonts w:ascii="宋体" w:hAnsi="宋体" w:cs="宋体"/>
                <w:kern w:val="0"/>
                <w:szCs w:val="21"/>
              </w:rPr>
            </w:pPr>
            <w:r>
              <w:rPr>
                <w:rFonts w:hint="eastAsia" w:ascii="宋体" w:hAnsi="宋体" w:cs="宋体"/>
                <w:kern w:val="0"/>
                <w:szCs w:val="21"/>
              </w:rPr>
              <w:t xml:space="preserve">1.58 </w:t>
            </w:r>
          </w:p>
        </w:tc>
        <w:tc>
          <w:tcPr>
            <w:tcW w:w="1006" w:type="dxa"/>
            <w:noWrap w:val="0"/>
            <w:vAlign w:val="center"/>
          </w:tcPr>
          <w:p w14:paraId="23117FA0">
            <w:pPr>
              <w:widowControl/>
              <w:jc w:val="center"/>
              <w:rPr>
                <w:rFonts w:ascii="宋体" w:hAnsi="宋体" w:cs="宋体"/>
                <w:kern w:val="0"/>
                <w:szCs w:val="21"/>
              </w:rPr>
            </w:pPr>
            <w:r>
              <w:rPr>
                <w:rFonts w:hint="eastAsia" w:ascii="宋体" w:hAnsi="宋体" w:cs="宋体"/>
                <w:kern w:val="0"/>
                <w:szCs w:val="21"/>
              </w:rPr>
              <w:t xml:space="preserve">1.49 </w:t>
            </w:r>
          </w:p>
        </w:tc>
        <w:tc>
          <w:tcPr>
            <w:tcW w:w="987" w:type="dxa"/>
            <w:noWrap w:val="0"/>
            <w:vAlign w:val="center"/>
          </w:tcPr>
          <w:p w14:paraId="4E797227">
            <w:pPr>
              <w:widowControl/>
              <w:jc w:val="center"/>
              <w:rPr>
                <w:rFonts w:ascii="宋体" w:hAnsi="宋体" w:cs="宋体"/>
                <w:kern w:val="0"/>
                <w:szCs w:val="21"/>
              </w:rPr>
            </w:pPr>
            <w:r>
              <w:rPr>
                <w:rFonts w:hint="eastAsia" w:ascii="宋体" w:hAnsi="宋体" w:cs="宋体"/>
                <w:kern w:val="0"/>
                <w:szCs w:val="21"/>
              </w:rPr>
              <w:t xml:space="preserve">0.00 </w:t>
            </w:r>
          </w:p>
        </w:tc>
        <w:tc>
          <w:tcPr>
            <w:tcW w:w="690" w:type="dxa"/>
            <w:noWrap w:val="0"/>
            <w:vAlign w:val="center"/>
          </w:tcPr>
          <w:p w14:paraId="260D7AF5">
            <w:pPr>
              <w:widowControl/>
              <w:jc w:val="center"/>
              <w:rPr>
                <w:rFonts w:ascii="宋体" w:hAnsi="宋体" w:cs="宋体"/>
                <w:kern w:val="0"/>
                <w:szCs w:val="21"/>
              </w:rPr>
            </w:pPr>
            <w:r>
              <w:rPr>
                <w:rFonts w:hint="eastAsia" w:ascii="宋体" w:hAnsi="宋体" w:cs="宋体"/>
                <w:kern w:val="0"/>
                <w:szCs w:val="21"/>
              </w:rPr>
              <w:t>1</w:t>
            </w:r>
          </w:p>
        </w:tc>
        <w:tc>
          <w:tcPr>
            <w:tcW w:w="1095" w:type="dxa"/>
            <w:noWrap w:val="0"/>
            <w:vAlign w:val="center"/>
          </w:tcPr>
          <w:p w14:paraId="47BFA00A">
            <w:pPr>
              <w:widowControl/>
              <w:jc w:val="center"/>
              <w:rPr>
                <w:rFonts w:ascii="宋体" w:hAnsi="宋体" w:cs="宋体"/>
                <w:kern w:val="0"/>
                <w:szCs w:val="21"/>
              </w:rPr>
            </w:pPr>
            <w:r>
              <w:rPr>
                <w:rFonts w:hint="eastAsia" w:ascii="宋体" w:hAnsi="宋体" w:cs="宋体"/>
                <w:kern w:val="0"/>
                <w:szCs w:val="21"/>
              </w:rPr>
              <w:t xml:space="preserve">0.00 </w:t>
            </w:r>
          </w:p>
        </w:tc>
      </w:tr>
      <w:tr w14:paraId="5BA075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continue"/>
            <w:noWrap w:val="0"/>
            <w:vAlign w:val="center"/>
          </w:tcPr>
          <w:p w14:paraId="7DB3E3DE">
            <w:pPr>
              <w:widowControl/>
              <w:jc w:val="left"/>
              <w:rPr>
                <w:rFonts w:ascii="宋体" w:hAnsi="宋体" w:cs="宋体"/>
                <w:kern w:val="0"/>
                <w:szCs w:val="21"/>
              </w:rPr>
            </w:pPr>
          </w:p>
        </w:tc>
        <w:tc>
          <w:tcPr>
            <w:tcW w:w="639" w:type="dxa"/>
            <w:noWrap w:val="0"/>
            <w:vAlign w:val="center"/>
          </w:tcPr>
          <w:p w14:paraId="1A8253DB">
            <w:pPr>
              <w:widowControl/>
              <w:jc w:val="center"/>
              <w:rPr>
                <w:rFonts w:ascii="宋体" w:hAnsi="宋体" w:cs="宋体"/>
                <w:kern w:val="0"/>
                <w:szCs w:val="21"/>
              </w:rPr>
            </w:pPr>
            <w:r>
              <w:rPr>
                <w:rFonts w:hint="eastAsia" w:ascii="宋体" w:hAnsi="宋体" w:cs="宋体"/>
                <w:kern w:val="0"/>
                <w:szCs w:val="21"/>
              </w:rPr>
              <w:t>333</w:t>
            </w:r>
          </w:p>
        </w:tc>
        <w:tc>
          <w:tcPr>
            <w:tcW w:w="1127" w:type="dxa"/>
            <w:noWrap w:val="0"/>
            <w:vAlign w:val="center"/>
          </w:tcPr>
          <w:p w14:paraId="57861CD1">
            <w:pPr>
              <w:widowControl/>
              <w:jc w:val="center"/>
              <w:rPr>
                <w:rFonts w:ascii="宋体" w:hAnsi="宋体" w:cs="宋体"/>
                <w:kern w:val="0"/>
                <w:szCs w:val="21"/>
              </w:rPr>
            </w:pPr>
            <w:r>
              <w:rPr>
                <w:rFonts w:hint="eastAsia" w:ascii="宋体" w:hAnsi="宋体" w:cs="宋体"/>
                <w:kern w:val="0"/>
                <w:szCs w:val="21"/>
              </w:rPr>
              <w:t>74391</w:t>
            </w:r>
          </w:p>
        </w:tc>
        <w:tc>
          <w:tcPr>
            <w:tcW w:w="1065" w:type="dxa"/>
            <w:noWrap w:val="0"/>
            <w:vAlign w:val="center"/>
          </w:tcPr>
          <w:p w14:paraId="2B0F59B2">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622271AE">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16982B2B">
            <w:pPr>
              <w:widowControl/>
              <w:jc w:val="center"/>
              <w:rPr>
                <w:rFonts w:ascii="宋体" w:hAnsi="宋体" w:cs="宋体"/>
                <w:kern w:val="0"/>
                <w:szCs w:val="21"/>
              </w:rPr>
            </w:pPr>
            <w:r>
              <w:rPr>
                <w:rFonts w:hint="eastAsia" w:ascii="宋体" w:hAnsi="宋体" w:cs="宋体"/>
                <w:kern w:val="0"/>
                <w:szCs w:val="21"/>
              </w:rPr>
              <w:t xml:space="preserve">1.58 </w:t>
            </w:r>
          </w:p>
        </w:tc>
        <w:tc>
          <w:tcPr>
            <w:tcW w:w="1006" w:type="dxa"/>
            <w:noWrap w:val="0"/>
            <w:vAlign w:val="center"/>
          </w:tcPr>
          <w:p w14:paraId="0A33A28D">
            <w:pPr>
              <w:widowControl/>
              <w:jc w:val="center"/>
              <w:rPr>
                <w:rFonts w:ascii="宋体" w:hAnsi="宋体" w:cs="宋体"/>
                <w:kern w:val="0"/>
                <w:szCs w:val="21"/>
              </w:rPr>
            </w:pPr>
            <w:r>
              <w:rPr>
                <w:rFonts w:hint="eastAsia" w:ascii="宋体" w:hAnsi="宋体" w:cs="宋体"/>
                <w:kern w:val="0"/>
                <w:szCs w:val="21"/>
              </w:rPr>
              <w:t xml:space="preserve">1.49 </w:t>
            </w:r>
          </w:p>
        </w:tc>
        <w:tc>
          <w:tcPr>
            <w:tcW w:w="987" w:type="dxa"/>
            <w:noWrap w:val="0"/>
            <w:vAlign w:val="center"/>
          </w:tcPr>
          <w:p w14:paraId="61A5ECCA">
            <w:pPr>
              <w:widowControl/>
              <w:jc w:val="center"/>
              <w:rPr>
                <w:rFonts w:ascii="宋体" w:hAnsi="宋体" w:cs="宋体"/>
                <w:kern w:val="0"/>
                <w:szCs w:val="21"/>
              </w:rPr>
            </w:pPr>
            <w:r>
              <w:rPr>
                <w:rFonts w:hint="eastAsia" w:ascii="宋体" w:hAnsi="宋体" w:cs="宋体"/>
                <w:kern w:val="0"/>
                <w:szCs w:val="21"/>
              </w:rPr>
              <w:t xml:space="preserve">20.22 </w:t>
            </w:r>
          </w:p>
        </w:tc>
        <w:tc>
          <w:tcPr>
            <w:tcW w:w="690" w:type="dxa"/>
            <w:noWrap w:val="0"/>
            <w:vAlign w:val="center"/>
          </w:tcPr>
          <w:p w14:paraId="1930CE6E">
            <w:pPr>
              <w:widowControl/>
              <w:jc w:val="center"/>
              <w:rPr>
                <w:rFonts w:ascii="宋体" w:hAnsi="宋体" w:cs="宋体"/>
                <w:kern w:val="0"/>
                <w:szCs w:val="21"/>
              </w:rPr>
            </w:pPr>
            <w:r>
              <w:rPr>
                <w:rFonts w:hint="eastAsia" w:ascii="宋体" w:hAnsi="宋体" w:cs="宋体"/>
                <w:kern w:val="0"/>
                <w:szCs w:val="21"/>
              </w:rPr>
              <w:t>0.8</w:t>
            </w:r>
          </w:p>
        </w:tc>
        <w:tc>
          <w:tcPr>
            <w:tcW w:w="1095" w:type="dxa"/>
            <w:noWrap w:val="0"/>
            <w:vAlign w:val="center"/>
          </w:tcPr>
          <w:p w14:paraId="6C21A1BA">
            <w:pPr>
              <w:widowControl/>
              <w:jc w:val="center"/>
              <w:rPr>
                <w:rFonts w:ascii="宋体" w:hAnsi="宋体" w:cs="宋体"/>
                <w:kern w:val="0"/>
                <w:szCs w:val="21"/>
              </w:rPr>
            </w:pPr>
            <w:r>
              <w:rPr>
                <w:rFonts w:hint="eastAsia" w:ascii="宋体" w:hAnsi="宋体" w:cs="宋体"/>
                <w:kern w:val="0"/>
                <w:szCs w:val="21"/>
              </w:rPr>
              <w:t xml:space="preserve">16.18 </w:t>
            </w:r>
          </w:p>
        </w:tc>
      </w:tr>
      <w:tr w14:paraId="6DD157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restart"/>
            <w:noWrap w:val="0"/>
            <w:vAlign w:val="center"/>
          </w:tcPr>
          <w:p w14:paraId="787792B1">
            <w:pPr>
              <w:widowControl/>
              <w:jc w:val="center"/>
              <w:rPr>
                <w:rFonts w:ascii="宋体" w:hAnsi="宋体" w:cs="宋体"/>
                <w:kern w:val="0"/>
                <w:szCs w:val="21"/>
              </w:rPr>
            </w:pPr>
            <w:r>
              <w:rPr>
                <w:rFonts w:hint="eastAsia" w:ascii="宋体" w:hAnsi="宋体" w:cs="宋体"/>
                <w:kern w:val="0"/>
                <w:szCs w:val="21"/>
              </w:rPr>
              <w:t>K110-a</w:t>
            </w:r>
          </w:p>
        </w:tc>
        <w:tc>
          <w:tcPr>
            <w:tcW w:w="639" w:type="dxa"/>
            <w:noWrap w:val="0"/>
            <w:vAlign w:val="center"/>
          </w:tcPr>
          <w:p w14:paraId="639A8B55">
            <w:pPr>
              <w:widowControl/>
              <w:jc w:val="center"/>
              <w:rPr>
                <w:rFonts w:ascii="宋体" w:hAnsi="宋体" w:cs="宋体"/>
                <w:kern w:val="0"/>
                <w:szCs w:val="21"/>
              </w:rPr>
            </w:pPr>
            <w:r>
              <w:rPr>
                <w:rFonts w:hint="eastAsia" w:ascii="宋体" w:hAnsi="宋体" w:cs="宋体"/>
                <w:kern w:val="0"/>
                <w:szCs w:val="21"/>
              </w:rPr>
              <w:t>331</w:t>
            </w:r>
          </w:p>
        </w:tc>
        <w:tc>
          <w:tcPr>
            <w:tcW w:w="1127" w:type="dxa"/>
            <w:noWrap w:val="0"/>
            <w:vAlign w:val="center"/>
          </w:tcPr>
          <w:p w14:paraId="568ACAD0">
            <w:pPr>
              <w:widowControl/>
              <w:jc w:val="center"/>
              <w:rPr>
                <w:rFonts w:ascii="宋体" w:hAnsi="宋体" w:cs="宋体"/>
                <w:kern w:val="0"/>
                <w:szCs w:val="21"/>
              </w:rPr>
            </w:pPr>
            <w:r>
              <w:rPr>
                <w:rFonts w:hint="eastAsia" w:ascii="宋体" w:hAnsi="宋体" w:cs="宋体"/>
                <w:kern w:val="0"/>
                <w:szCs w:val="21"/>
              </w:rPr>
              <w:t>40296</w:t>
            </w:r>
          </w:p>
        </w:tc>
        <w:tc>
          <w:tcPr>
            <w:tcW w:w="1065" w:type="dxa"/>
            <w:noWrap w:val="0"/>
            <w:vAlign w:val="center"/>
          </w:tcPr>
          <w:p w14:paraId="07E9D3C0">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7668C044">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2F187B87">
            <w:pPr>
              <w:widowControl/>
              <w:jc w:val="center"/>
              <w:rPr>
                <w:rFonts w:ascii="宋体" w:hAnsi="宋体" w:cs="宋体"/>
                <w:kern w:val="0"/>
                <w:szCs w:val="21"/>
              </w:rPr>
            </w:pPr>
            <w:r>
              <w:rPr>
                <w:rFonts w:hint="eastAsia" w:ascii="宋体" w:hAnsi="宋体" w:cs="宋体"/>
                <w:kern w:val="0"/>
                <w:szCs w:val="21"/>
              </w:rPr>
              <w:t xml:space="preserve">1.48 </w:t>
            </w:r>
          </w:p>
        </w:tc>
        <w:tc>
          <w:tcPr>
            <w:tcW w:w="1006" w:type="dxa"/>
            <w:noWrap w:val="0"/>
            <w:vAlign w:val="center"/>
          </w:tcPr>
          <w:p w14:paraId="4E2716B8">
            <w:pPr>
              <w:widowControl/>
              <w:jc w:val="center"/>
              <w:rPr>
                <w:rFonts w:ascii="宋体" w:hAnsi="宋体" w:cs="宋体"/>
                <w:kern w:val="0"/>
                <w:szCs w:val="21"/>
              </w:rPr>
            </w:pPr>
            <w:r>
              <w:rPr>
                <w:rFonts w:hint="eastAsia" w:ascii="宋体" w:hAnsi="宋体" w:cs="宋体"/>
                <w:kern w:val="0"/>
                <w:szCs w:val="21"/>
              </w:rPr>
              <w:t xml:space="preserve">1.51 </w:t>
            </w:r>
          </w:p>
        </w:tc>
        <w:tc>
          <w:tcPr>
            <w:tcW w:w="987" w:type="dxa"/>
            <w:noWrap w:val="0"/>
            <w:vAlign w:val="center"/>
          </w:tcPr>
          <w:p w14:paraId="626EF37F">
            <w:pPr>
              <w:widowControl/>
              <w:jc w:val="center"/>
              <w:rPr>
                <w:rFonts w:ascii="宋体" w:hAnsi="宋体" w:cs="宋体"/>
                <w:kern w:val="0"/>
                <w:szCs w:val="21"/>
              </w:rPr>
            </w:pPr>
            <w:r>
              <w:rPr>
                <w:rFonts w:hint="eastAsia" w:ascii="宋体" w:hAnsi="宋体" w:cs="宋体"/>
                <w:kern w:val="0"/>
                <w:szCs w:val="21"/>
              </w:rPr>
              <w:t xml:space="preserve">10.40 </w:t>
            </w:r>
          </w:p>
        </w:tc>
        <w:tc>
          <w:tcPr>
            <w:tcW w:w="690" w:type="dxa"/>
            <w:noWrap w:val="0"/>
            <w:vAlign w:val="center"/>
          </w:tcPr>
          <w:p w14:paraId="131D23D3">
            <w:pPr>
              <w:widowControl/>
              <w:jc w:val="center"/>
              <w:rPr>
                <w:rFonts w:ascii="宋体" w:hAnsi="宋体" w:cs="宋体"/>
                <w:kern w:val="0"/>
                <w:szCs w:val="21"/>
              </w:rPr>
            </w:pPr>
            <w:r>
              <w:rPr>
                <w:rFonts w:hint="eastAsia" w:ascii="宋体" w:hAnsi="宋体" w:cs="宋体"/>
                <w:kern w:val="0"/>
                <w:szCs w:val="21"/>
              </w:rPr>
              <w:t>1</w:t>
            </w:r>
          </w:p>
        </w:tc>
        <w:tc>
          <w:tcPr>
            <w:tcW w:w="1095" w:type="dxa"/>
            <w:noWrap w:val="0"/>
            <w:vAlign w:val="center"/>
          </w:tcPr>
          <w:p w14:paraId="3862795F">
            <w:pPr>
              <w:widowControl/>
              <w:jc w:val="center"/>
              <w:rPr>
                <w:rFonts w:ascii="宋体" w:hAnsi="宋体" w:cs="宋体"/>
                <w:kern w:val="0"/>
                <w:szCs w:val="21"/>
              </w:rPr>
            </w:pPr>
            <w:r>
              <w:rPr>
                <w:rFonts w:hint="eastAsia" w:ascii="宋体" w:hAnsi="宋体" w:cs="宋体"/>
                <w:kern w:val="0"/>
                <w:szCs w:val="21"/>
              </w:rPr>
              <w:t xml:space="preserve">10.40 </w:t>
            </w:r>
          </w:p>
        </w:tc>
      </w:tr>
      <w:tr w14:paraId="0B37E5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849" w:type="dxa"/>
            <w:vMerge w:val="continue"/>
            <w:noWrap w:val="0"/>
            <w:vAlign w:val="center"/>
          </w:tcPr>
          <w:p w14:paraId="4F15DBE3">
            <w:pPr>
              <w:widowControl/>
              <w:jc w:val="left"/>
              <w:rPr>
                <w:rFonts w:ascii="宋体" w:hAnsi="宋体" w:cs="宋体"/>
                <w:kern w:val="0"/>
                <w:szCs w:val="21"/>
              </w:rPr>
            </w:pPr>
          </w:p>
        </w:tc>
        <w:tc>
          <w:tcPr>
            <w:tcW w:w="639" w:type="dxa"/>
            <w:noWrap w:val="0"/>
            <w:vAlign w:val="center"/>
          </w:tcPr>
          <w:p w14:paraId="19724F4B">
            <w:pPr>
              <w:widowControl/>
              <w:jc w:val="center"/>
              <w:rPr>
                <w:rFonts w:ascii="宋体" w:hAnsi="宋体" w:cs="宋体"/>
                <w:kern w:val="0"/>
                <w:szCs w:val="21"/>
              </w:rPr>
            </w:pPr>
            <w:r>
              <w:rPr>
                <w:rFonts w:hint="eastAsia" w:ascii="宋体" w:hAnsi="宋体" w:cs="宋体"/>
                <w:kern w:val="0"/>
                <w:szCs w:val="21"/>
              </w:rPr>
              <w:t>333</w:t>
            </w:r>
          </w:p>
        </w:tc>
        <w:tc>
          <w:tcPr>
            <w:tcW w:w="1127" w:type="dxa"/>
            <w:noWrap w:val="0"/>
            <w:vAlign w:val="center"/>
          </w:tcPr>
          <w:p w14:paraId="56410517">
            <w:pPr>
              <w:widowControl/>
              <w:jc w:val="center"/>
              <w:rPr>
                <w:rFonts w:ascii="宋体" w:hAnsi="宋体" w:cs="宋体"/>
                <w:kern w:val="0"/>
                <w:szCs w:val="21"/>
              </w:rPr>
            </w:pPr>
            <w:r>
              <w:rPr>
                <w:rFonts w:hint="eastAsia" w:ascii="宋体" w:hAnsi="宋体" w:cs="宋体"/>
                <w:kern w:val="0"/>
                <w:szCs w:val="21"/>
              </w:rPr>
              <w:t>32728</w:t>
            </w:r>
          </w:p>
        </w:tc>
        <w:tc>
          <w:tcPr>
            <w:tcW w:w="1065" w:type="dxa"/>
            <w:noWrap w:val="0"/>
            <w:vAlign w:val="center"/>
          </w:tcPr>
          <w:p w14:paraId="6553B3BE">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690564B4">
            <w:pPr>
              <w:widowControl/>
              <w:jc w:val="center"/>
              <w:rPr>
                <w:rFonts w:ascii="宋体" w:hAnsi="宋体" w:cs="宋体"/>
                <w:kern w:val="0"/>
                <w:szCs w:val="21"/>
              </w:rPr>
            </w:pPr>
            <w:r>
              <w:rPr>
                <w:rFonts w:hint="eastAsia" w:ascii="宋体" w:hAnsi="宋体" w:cs="宋体"/>
                <w:kern w:val="0"/>
                <w:szCs w:val="21"/>
              </w:rPr>
              <w:t>30</w:t>
            </w:r>
          </w:p>
        </w:tc>
        <w:tc>
          <w:tcPr>
            <w:tcW w:w="743" w:type="dxa"/>
            <w:noWrap w:val="0"/>
            <w:vAlign w:val="center"/>
          </w:tcPr>
          <w:p w14:paraId="3B879BA9">
            <w:pPr>
              <w:widowControl/>
              <w:jc w:val="center"/>
              <w:rPr>
                <w:rFonts w:ascii="宋体" w:hAnsi="宋体" w:cs="宋体"/>
                <w:kern w:val="0"/>
                <w:szCs w:val="21"/>
              </w:rPr>
            </w:pPr>
            <w:r>
              <w:rPr>
                <w:rFonts w:hint="eastAsia" w:ascii="宋体" w:hAnsi="宋体" w:cs="宋体"/>
                <w:kern w:val="0"/>
                <w:szCs w:val="21"/>
              </w:rPr>
              <w:t xml:space="preserve">1.48 </w:t>
            </w:r>
          </w:p>
        </w:tc>
        <w:tc>
          <w:tcPr>
            <w:tcW w:w="1006" w:type="dxa"/>
            <w:noWrap w:val="0"/>
            <w:vAlign w:val="center"/>
          </w:tcPr>
          <w:p w14:paraId="45994FFC">
            <w:pPr>
              <w:widowControl/>
              <w:jc w:val="center"/>
              <w:rPr>
                <w:rFonts w:ascii="宋体" w:hAnsi="宋体" w:cs="宋体"/>
                <w:kern w:val="0"/>
                <w:szCs w:val="21"/>
              </w:rPr>
            </w:pPr>
            <w:r>
              <w:rPr>
                <w:rFonts w:hint="eastAsia" w:ascii="宋体" w:hAnsi="宋体" w:cs="宋体"/>
                <w:kern w:val="0"/>
                <w:szCs w:val="21"/>
              </w:rPr>
              <w:t xml:space="preserve">1.51 </w:t>
            </w:r>
          </w:p>
        </w:tc>
        <w:tc>
          <w:tcPr>
            <w:tcW w:w="987" w:type="dxa"/>
            <w:noWrap w:val="0"/>
            <w:vAlign w:val="center"/>
          </w:tcPr>
          <w:p w14:paraId="02EECB75">
            <w:pPr>
              <w:widowControl/>
              <w:jc w:val="center"/>
              <w:rPr>
                <w:rFonts w:ascii="宋体" w:hAnsi="宋体" w:cs="宋体"/>
                <w:kern w:val="0"/>
                <w:szCs w:val="21"/>
              </w:rPr>
            </w:pPr>
            <w:r>
              <w:rPr>
                <w:rFonts w:hint="eastAsia" w:ascii="宋体" w:hAnsi="宋体" w:cs="宋体"/>
                <w:kern w:val="0"/>
                <w:szCs w:val="21"/>
              </w:rPr>
              <w:t xml:space="preserve">8.45 </w:t>
            </w:r>
          </w:p>
        </w:tc>
        <w:tc>
          <w:tcPr>
            <w:tcW w:w="690" w:type="dxa"/>
            <w:noWrap w:val="0"/>
            <w:vAlign w:val="center"/>
          </w:tcPr>
          <w:p w14:paraId="27EA6599">
            <w:pPr>
              <w:widowControl/>
              <w:jc w:val="center"/>
              <w:rPr>
                <w:rFonts w:ascii="宋体" w:hAnsi="宋体" w:cs="宋体"/>
                <w:kern w:val="0"/>
                <w:szCs w:val="21"/>
              </w:rPr>
            </w:pPr>
            <w:r>
              <w:rPr>
                <w:rFonts w:hint="eastAsia" w:ascii="宋体" w:hAnsi="宋体" w:cs="宋体"/>
                <w:kern w:val="0"/>
                <w:szCs w:val="21"/>
              </w:rPr>
              <w:t>0.8</w:t>
            </w:r>
          </w:p>
        </w:tc>
        <w:tc>
          <w:tcPr>
            <w:tcW w:w="1095" w:type="dxa"/>
            <w:noWrap w:val="0"/>
            <w:vAlign w:val="center"/>
          </w:tcPr>
          <w:p w14:paraId="205DCF14">
            <w:pPr>
              <w:widowControl/>
              <w:jc w:val="center"/>
              <w:rPr>
                <w:rFonts w:ascii="宋体" w:hAnsi="宋体" w:cs="宋体"/>
                <w:kern w:val="0"/>
                <w:szCs w:val="21"/>
              </w:rPr>
            </w:pPr>
            <w:r>
              <w:rPr>
                <w:rFonts w:hint="eastAsia" w:ascii="宋体" w:hAnsi="宋体" w:cs="宋体"/>
                <w:kern w:val="0"/>
                <w:szCs w:val="21"/>
              </w:rPr>
              <w:t xml:space="preserve">6.76 </w:t>
            </w:r>
          </w:p>
        </w:tc>
      </w:tr>
      <w:tr w14:paraId="547E39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1488" w:type="dxa"/>
            <w:gridSpan w:val="2"/>
            <w:noWrap w:val="0"/>
            <w:vAlign w:val="center"/>
          </w:tcPr>
          <w:p w14:paraId="6DF50990">
            <w:pPr>
              <w:widowControl/>
              <w:jc w:val="center"/>
              <w:rPr>
                <w:rFonts w:ascii="宋体" w:hAnsi="宋体" w:cs="宋体"/>
                <w:kern w:val="0"/>
                <w:szCs w:val="21"/>
              </w:rPr>
            </w:pPr>
            <w:r>
              <w:rPr>
                <w:rFonts w:hint="eastAsia" w:ascii="宋体" w:hAnsi="宋体" w:cs="宋体"/>
                <w:kern w:val="0"/>
                <w:szCs w:val="21"/>
              </w:rPr>
              <w:t>合　　计</w:t>
            </w:r>
          </w:p>
        </w:tc>
        <w:tc>
          <w:tcPr>
            <w:tcW w:w="1127" w:type="dxa"/>
            <w:noWrap w:val="0"/>
            <w:vAlign w:val="center"/>
          </w:tcPr>
          <w:p w14:paraId="13579094">
            <w:pPr>
              <w:widowControl/>
              <w:jc w:val="center"/>
              <w:rPr>
                <w:rFonts w:ascii="宋体" w:hAnsi="宋体" w:cs="宋体"/>
                <w:kern w:val="0"/>
                <w:szCs w:val="21"/>
              </w:rPr>
            </w:pPr>
            <w:r>
              <w:rPr>
                <w:rFonts w:hint="eastAsia" w:ascii="宋体" w:hAnsi="宋体" w:cs="宋体"/>
                <w:kern w:val="0"/>
                <w:szCs w:val="21"/>
              </w:rPr>
              <w:t>　</w:t>
            </w:r>
          </w:p>
        </w:tc>
        <w:tc>
          <w:tcPr>
            <w:tcW w:w="1065" w:type="dxa"/>
            <w:noWrap w:val="0"/>
            <w:vAlign w:val="center"/>
          </w:tcPr>
          <w:p w14:paraId="50B56797">
            <w:pPr>
              <w:widowControl/>
              <w:jc w:val="center"/>
              <w:rPr>
                <w:rFonts w:ascii="宋体" w:hAnsi="宋体" w:cs="宋体"/>
                <w:kern w:val="0"/>
                <w:szCs w:val="21"/>
              </w:rPr>
            </w:pPr>
            <w:r>
              <w:rPr>
                <w:rFonts w:hint="eastAsia" w:ascii="宋体" w:hAnsi="宋体" w:cs="宋体"/>
                <w:kern w:val="0"/>
                <w:szCs w:val="21"/>
              </w:rPr>
              <w:t>　</w:t>
            </w:r>
          </w:p>
        </w:tc>
        <w:tc>
          <w:tcPr>
            <w:tcW w:w="849" w:type="dxa"/>
            <w:noWrap w:val="0"/>
            <w:vAlign w:val="center"/>
          </w:tcPr>
          <w:p w14:paraId="664A3F56">
            <w:pPr>
              <w:widowControl/>
              <w:jc w:val="center"/>
              <w:rPr>
                <w:rFonts w:ascii="宋体" w:hAnsi="宋体" w:cs="宋体"/>
                <w:kern w:val="0"/>
                <w:szCs w:val="21"/>
              </w:rPr>
            </w:pPr>
            <w:r>
              <w:rPr>
                <w:rFonts w:hint="eastAsia" w:ascii="宋体" w:hAnsi="宋体" w:cs="宋体"/>
                <w:kern w:val="0"/>
                <w:szCs w:val="21"/>
              </w:rPr>
              <w:t>　</w:t>
            </w:r>
          </w:p>
        </w:tc>
        <w:tc>
          <w:tcPr>
            <w:tcW w:w="743" w:type="dxa"/>
            <w:noWrap w:val="0"/>
            <w:vAlign w:val="center"/>
          </w:tcPr>
          <w:p w14:paraId="737214FB">
            <w:pPr>
              <w:widowControl/>
              <w:jc w:val="center"/>
              <w:rPr>
                <w:rFonts w:ascii="宋体" w:hAnsi="宋体" w:cs="宋体"/>
                <w:kern w:val="0"/>
                <w:szCs w:val="21"/>
              </w:rPr>
            </w:pPr>
            <w:r>
              <w:rPr>
                <w:rFonts w:hint="eastAsia" w:ascii="宋体" w:hAnsi="宋体" w:cs="宋体"/>
                <w:kern w:val="0"/>
                <w:szCs w:val="21"/>
              </w:rPr>
              <w:t>　</w:t>
            </w:r>
          </w:p>
        </w:tc>
        <w:tc>
          <w:tcPr>
            <w:tcW w:w="1006" w:type="dxa"/>
            <w:noWrap w:val="0"/>
            <w:vAlign w:val="center"/>
          </w:tcPr>
          <w:p w14:paraId="6D434784">
            <w:pPr>
              <w:widowControl/>
              <w:jc w:val="center"/>
              <w:rPr>
                <w:rFonts w:ascii="宋体" w:hAnsi="宋体" w:cs="宋体"/>
                <w:kern w:val="0"/>
                <w:szCs w:val="21"/>
              </w:rPr>
            </w:pPr>
            <w:r>
              <w:rPr>
                <w:rFonts w:hint="eastAsia" w:ascii="宋体" w:hAnsi="宋体" w:cs="宋体"/>
                <w:kern w:val="0"/>
                <w:szCs w:val="21"/>
              </w:rPr>
              <w:t>　</w:t>
            </w:r>
          </w:p>
        </w:tc>
        <w:tc>
          <w:tcPr>
            <w:tcW w:w="987" w:type="dxa"/>
            <w:noWrap w:val="0"/>
            <w:vAlign w:val="center"/>
          </w:tcPr>
          <w:p w14:paraId="4F0786F0">
            <w:pPr>
              <w:widowControl/>
              <w:jc w:val="center"/>
              <w:rPr>
                <w:rFonts w:ascii="宋体" w:hAnsi="宋体" w:cs="宋体"/>
                <w:kern w:val="0"/>
                <w:szCs w:val="21"/>
              </w:rPr>
            </w:pPr>
            <w:r>
              <w:rPr>
                <w:rFonts w:hint="eastAsia" w:ascii="宋体" w:hAnsi="宋体" w:cs="宋体"/>
                <w:kern w:val="0"/>
                <w:szCs w:val="21"/>
              </w:rPr>
              <w:t xml:space="preserve">97.09 </w:t>
            </w:r>
          </w:p>
        </w:tc>
        <w:tc>
          <w:tcPr>
            <w:tcW w:w="690" w:type="dxa"/>
            <w:noWrap w:val="0"/>
            <w:vAlign w:val="center"/>
          </w:tcPr>
          <w:p w14:paraId="43185232">
            <w:pPr>
              <w:widowControl/>
              <w:jc w:val="center"/>
              <w:rPr>
                <w:rFonts w:ascii="宋体" w:hAnsi="宋体" w:cs="宋体"/>
                <w:kern w:val="0"/>
                <w:szCs w:val="21"/>
              </w:rPr>
            </w:pPr>
            <w:r>
              <w:rPr>
                <w:rFonts w:hint="eastAsia" w:ascii="宋体" w:hAnsi="宋体" w:cs="宋体"/>
                <w:kern w:val="0"/>
                <w:szCs w:val="21"/>
              </w:rPr>
              <w:t>　</w:t>
            </w:r>
          </w:p>
        </w:tc>
        <w:tc>
          <w:tcPr>
            <w:tcW w:w="1095" w:type="dxa"/>
            <w:noWrap w:val="0"/>
            <w:vAlign w:val="center"/>
          </w:tcPr>
          <w:p w14:paraId="39CBA235">
            <w:pPr>
              <w:widowControl/>
              <w:jc w:val="center"/>
              <w:rPr>
                <w:rFonts w:ascii="宋体" w:hAnsi="宋体" w:cs="宋体"/>
                <w:kern w:val="0"/>
                <w:szCs w:val="21"/>
              </w:rPr>
            </w:pPr>
            <w:r>
              <w:rPr>
                <w:rFonts w:hint="eastAsia" w:ascii="宋体" w:hAnsi="宋体" w:cs="宋体"/>
                <w:kern w:val="0"/>
                <w:szCs w:val="21"/>
              </w:rPr>
              <w:t xml:space="preserve">84.97 </w:t>
            </w:r>
          </w:p>
        </w:tc>
      </w:tr>
      <w:tr w14:paraId="05D70A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wBefore w:w="0" w:type="dxa"/>
          <w:wAfter w:w="0" w:type="dxa"/>
          <w:trHeight w:val="340" w:hRule="atLeast"/>
          <w:jc w:val="center"/>
        </w:trPr>
        <w:tc>
          <w:tcPr>
            <w:tcW w:w="3680" w:type="dxa"/>
            <w:gridSpan w:val="4"/>
            <w:noWrap w:val="0"/>
            <w:vAlign w:val="center"/>
          </w:tcPr>
          <w:p w14:paraId="373C08BD">
            <w:pPr>
              <w:widowControl/>
              <w:jc w:val="center"/>
              <w:rPr>
                <w:rFonts w:ascii="宋体" w:hAnsi="宋体" w:cs="宋体"/>
                <w:kern w:val="0"/>
                <w:szCs w:val="21"/>
              </w:rPr>
            </w:pPr>
            <w:r>
              <w:rPr>
                <w:rFonts w:hint="eastAsia" w:ascii="宋体" w:hAnsi="宋体" w:cs="宋体"/>
                <w:kern w:val="0"/>
                <w:szCs w:val="21"/>
              </w:rPr>
              <w:t>保护煤柱损失合计</w:t>
            </w:r>
          </w:p>
        </w:tc>
        <w:tc>
          <w:tcPr>
            <w:tcW w:w="5370" w:type="dxa"/>
            <w:gridSpan w:val="6"/>
            <w:noWrap w:val="0"/>
            <w:vAlign w:val="center"/>
          </w:tcPr>
          <w:p w14:paraId="50B97084">
            <w:pPr>
              <w:widowControl/>
              <w:jc w:val="center"/>
              <w:rPr>
                <w:rFonts w:ascii="宋体" w:hAnsi="宋体" w:cs="宋体"/>
                <w:kern w:val="0"/>
                <w:szCs w:val="21"/>
              </w:rPr>
            </w:pPr>
            <w:r>
              <w:rPr>
                <w:rFonts w:hint="eastAsia" w:ascii="宋体" w:hAnsi="宋体" w:cs="宋体"/>
                <w:kern w:val="0"/>
                <w:szCs w:val="21"/>
              </w:rPr>
              <w:t>84.97万吨</w:t>
            </w:r>
          </w:p>
        </w:tc>
      </w:tr>
    </w:tbl>
    <w:p w14:paraId="0F30F809">
      <w:pPr>
        <w:spacing w:line="360" w:lineRule="auto"/>
        <w:ind w:firstLine="480" w:firstLineChars="200"/>
        <w:rPr>
          <w:rFonts w:hint="eastAsia" w:ascii="宋体" w:hAnsi="宋体"/>
          <w:sz w:val="24"/>
        </w:rPr>
      </w:pPr>
      <w:r>
        <w:rPr>
          <w:rFonts w:hint="eastAsia" w:ascii="宋体" w:hAnsi="宋体"/>
          <w:sz w:val="24"/>
        </w:rPr>
        <w:t>其中：</w:t>
      </w:r>
      <w:r>
        <w:rPr>
          <w:rFonts w:ascii="宋体" w:hAnsi="宋体"/>
          <w:sz w:val="24"/>
        </w:rPr>
        <w:t>K1-b</w:t>
      </w:r>
      <w:r>
        <w:rPr>
          <w:rFonts w:hint="eastAsia" w:ascii="宋体" w:hAnsi="宋体"/>
          <w:spacing w:val="-2"/>
          <w:sz w:val="24"/>
        </w:rPr>
        <w:t>、K9、K13、K18、K26、</w:t>
      </w:r>
      <w:r>
        <w:rPr>
          <w:rFonts w:ascii="宋体" w:hAnsi="宋体"/>
          <w:sz w:val="24"/>
        </w:rPr>
        <w:t>K106-b</w:t>
      </w:r>
      <w:r>
        <w:rPr>
          <w:rFonts w:hint="eastAsia" w:ascii="宋体" w:hAnsi="宋体"/>
          <w:spacing w:val="-2"/>
          <w:sz w:val="24"/>
        </w:rPr>
        <w:t>、</w:t>
      </w:r>
      <w:r>
        <w:rPr>
          <w:rFonts w:ascii="宋体" w:hAnsi="宋体"/>
          <w:sz w:val="24"/>
        </w:rPr>
        <w:t>K109-b</w:t>
      </w:r>
      <w:r>
        <w:rPr>
          <w:rFonts w:hint="eastAsia" w:ascii="宋体" w:hAnsi="宋体"/>
          <w:spacing w:val="-2"/>
          <w:sz w:val="24"/>
        </w:rPr>
        <w:t>、</w:t>
      </w:r>
      <w:r>
        <w:rPr>
          <w:rFonts w:ascii="宋体" w:hAnsi="宋体"/>
          <w:sz w:val="24"/>
        </w:rPr>
        <w:t>K110-a</w:t>
      </w:r>
      <w:r>
        <w:rPr>
          <w:rFonts w:hint="eastAsia" w:ascii="宋体" w:hAnsi="宋体"/>
          <w:sz w:val="24"/>
        </w:rPr>
        <w:t>为中厚煤层79.06万吨；</w:t>
      </w:r>
      <w:r>
        <w:rPr>
          <w:rFonts w:hint="eastAsia" w:ascii="宋体" w:hAnsi="宋体"/>
          <w:spacing w:val="-2"/>
          <w:sz w:val="24"/>
        </w:rPr>
        <w:t>K3、K10、</w:t>
      </w:r>
      <w:r>
        <w:rPr>
          <w:rFonts w:ascii="宋体" w:hAnsi="宋体"/>
          <w:sz w:val="24"/>
        </w:rPr>
        <w:t>K35-b</w:t>
      </w:r>
      <w:r>
        <w:rPr>
          <w:rFonts w:hint="eastAsia" w:ascii="宋体" w:hAnsi="宋体"/>
          <w:sz w:val="24"/>
        </w:rPr>
        <w:t>为薄煤层5.91万吨。</w:t>
      </w:r>
    </w:p>
    <w:p w14:paraId="0BC9A3B0">
      <w:pPr>
        <w:spacing w:line="360" w:lineRule="auto"/>
        <w:ind w:firstLine="480" w:firstLineChars="200"/>
        <w:rPr>
          <w:rFonts w:hint="eastAsia" w:ascii="宋体" w:hAnsi="宋体"/>
          <w:sz w:val="24"/>
        </w:rPr>
      </w:pPr>
      <w:r>
        <w:rPr>
          <w:rFonts w:hint="eastAsia" w:ascii="宋体" w:hAnsi="宋体"/>
          <w:sz w:val="24"/>
        </w:rPr>
        <w:t>③ 矿井设计可采储量</w:t>
      </w:r>
    </w:p>
    <w:p w14:paraId="1317EA78">
      <w:pPr>
        <w:spacing w:line="360" w:lineRule="auto"/>
        <w:ind w:firstLine="480" w:firstLineChars="200"/>
        <w:rPr>
          <w:rFonts w:hint="eastAsia" w:ascii="宋体" w:hAnsi="宋体"/>
          <w:sz w:val="24"/>
        </w:rPr>
      </w:pPr>
      <w:r>
        <w:rPr>
          <w:rFonts w:hint="eastAsia" w:ascii="宋体" w:hAnsi="宋体"/>
          <w:sz w:val="24"/>
        </w:rPr>
        <w:t>矿井设计可采储量＝（设计利用储量－保护煤柱损失）×采区回采率</w:t>
      </w:r>
    </w:p>
    <w:p w14:paraId="20954B41">
      <w:pPr>
        <w:spacing w:line="360" w:lineRule="auto"/>
        <w:ind w:firstLine="480" w:firstLineChars="200"/>
        <w:rPr>
          <w:rFonts w:hint="eastAsia" w:ascii="宋体" w:hAnsi="宋体"/>
          <w:sz w:val="24"/>
        </w:rPr>
      </w:pPr>
      <w:r>
        <w:rPr>
          <w:rFonts w:hint="eastAsia" w:ascii="宋体" w:hAnsi="宋体"/>
          <w:sz w:val="24"/>
        </w:rPr>
        <w:t>中厚煤层    　　＝（859.23－79.06）×80%＝624.14（万吨）</w:t>
      </w:r>
    </w:p>
    <w:p w14:paraId="1E989CBB">
      <w:pPr>
        <w:spacing w:line="360" w:lineRule="auto"/>
        <w:ind w:firstLine="480" w:firstLineChars="200"/>
        <w:rPr>
          <w:rFonts w:hint="eastAsia" w:ascii="宋体" w:hAnsi="宋体"/>
          <w:sz w:val="24"/>
        </w:rPr>
      </w:pPr>
      <w:r>
        <w:rPr>
          <w:rFonts w:hint="eastAsia" w:ascii="宋体" w:hAnsi="宋体"/>
          <w:sz w:val="24"/>
        </w:rPr>
        <w:t>薄煤层    　　　＝（139.79－5.91）×85%＝113.8（万吨）</w:t>
      </w:r>
    </w:p>
    <w:p w14:paraId="2A696BA2">
      <w:pPr>
        <w:spacing w:line="360" w:lineRule="auto"/>
        <w:ind w:firstLine="480" w:firstLineChars="200"/>
        <w:rPr>
          <w:rFonts w:hint="eastAsia" w:ascii="宋体" w:hAnsi="宋体"/>
          <w:sz w:val="24"/>
        </w:rPr>
      </w:pPr>
      <w:r>
        <w:rPr>
          <w:rFonts w:hint="eastAsia" w:ascii="宋体" w:hAnsi="宋体"/>
          <w:sz w:val="24"/>
        </w:rPr>
        <w:t>则矿井设计可采储量＝624.14＋113.8＝737.94（万吨）</w:t>
      </w:r>
    </w:p>
    <w:p w14:paraId="5D7A1160">
      <w:pPr>
        <w:spacing w:line="360" w:lineRule="auto"/>
        <w:ind w:firstLine="480" w:firstLineChars="200"/>
        <w:rPr>
          <w:rFonts w:hint="eastAsia" w:ascii="宋体" w:hAnsi="宋体"/>
          <w:sz w:val="24"/>
        </w:rPr>
      </w:pPr>
      <w:r>
        <w:rPr>
          <w:rFonts w:hint="eastAsia" w:ascii="宋体" w:hAnsi="宋体"/>
          <w:sz w:val="24"/>
        </w:rPr>
        <w:t>注：</w:t>
      </w:r>
      <w:r>
        <w:rPr>
          <w:rFonts w:ascii="宋体" w:hAnsi="宋体"/>
          <w:sz w:val="24"/>
        </w:rPr>
        <w:t>K1-b</w:t>
      </w:r>
      <w:r>
        <w:rPr>
          <w:rFonts w:hint="eastAsia" w:ascii="宋体" w:hAnsi="宋体"/>
          <w:spacing w:val="-2"/>
          <w:sz w:val="24"/>
        </w:rPr>
        <w:t>、K9、K13、K18、K26、</w:t>
      </w:r>
      <w:r>
        <w:rPr>
          <w:rFonts w:ascii="宋体" w:hAnsi="宋体"/>
          <w:sz w:val="24"/>
        </w:rPr>
        <w:t>K106-b</w:t>
      </w:r>
      <w:r>
        <w:rPr>
          <w:rFonts w:hint="eastAsia" w:ascii="宋体" w:hAnsi="宋体"/>
          <w:spacing w:val="-2"/>
          <w:sz w:val="24"/>
        </w:rPr>
        <w:t>、</w:t>
      </w:r>
      <w:r>
        <w:rPr>
          <w:rFonts w:ascii="宋体" w:hAnsi="宋体"/>
          <w:sz w:val="24"/>
        </w:rPr>
        <w:t>K109-b</w:t>
      </w:r>
      <w:r>
        <w:rPr>
          <w:rFonts w:hint="eastAsia" w:ascii="宋体" w:hAnsi="宋体"/>
          <w:spacing w:val="-2"/>
          <w:sz w:val="24"/>
        </w:rPr>
        <w:t>、</w:t>
      </w:r>
      <w:r>
        <w:rPr>
          <w:rFonts w:ascii="宋体" w:hAnsi="宋体"/>
          <w:sz w:val="24"/>
        </w:rPr>
        <w:t>K110-a</w:t>
      </w:r>
      <w:r>
        <w:rPr>
          <w:rFonts w:hint="eastAsia" w:ascii="宋体" w:hAnsi="宋体"/>
          <w:sz w:val="24"/>
        </w:rPr>
        <w:t>为中厚煤层，采区回采率按《煤矿工业小型煤矿设计规范》（GB50399－2006）要求取80%。</w:t>
      </w:r>
    </w:p>
    <w:p w14:paraId="5841B325">
      <w:pPr>
        <w:spacing w:line="360" w:lineRule="auto"/>
        <w:ind w:firstLine="472" w:firstLineChars="200"/>
        <w:rPr>
          <w:rFonts w:hint="eastAsia" w:ascii="宋体" w:hAnsi="宋体"/>
          <w:kern w:val="10"/>
          <w:sz w:val="24"/>
        </w:rPr>
      </w:pPr>
      <w:r>
        <w:rPr>
          <w:rFonts w:hint="eastAsia" w:ascii="宋体" w:hAnsi="宋体"/>
          <w:spacing w:val="-2"/>
          <w:sz w:val="24"/>
        </w:rPr>
        <w:t>K3、K10、</w:t>
      </w:r>
      <w:r>
        <w:rPr>
          <w:rFonts w:ascii="宋体" w:hAnsi="宋体"/>
          <w:sz w:val="24"/>
        </w:rPr>
        <w:t>K35-b</w:t>
      </w:r>
      <w:r>
        <w:rPr>
          <w:rFonts w:hint="eastAsia" w:ascii="宋体" w:hAnsi="宋体"/>
          <w:sz w:val="24"/>
        </w:rPr>
        <w:t>为薄煤层，采区回采率按《煤矿工业小型煤矿设计规范》（GB50399－2006）要求取85%。</w:t>
      </w:r>
    </w:p>
    <w:p w14:paraId="7D548ABE">
      <w:pPr>
        <w:spacing w:line="360" w:lineRule="auto"/>
        <w:ind w:firstLine="480" w:firstLineChars="200"/>
        <w:rPr>
          <w:rFonts w:hint="eastAsia" w:ascii="宋体" w:hAnsi="宋体"/>
          <w:kern w:val="10"/>
          <w:sz w:val="24"/>
        </w:rPr>
      </w:pPr>
      <w:r>
        <w:rPr>
          <w:rFonts w:hint="eastAsia" w:ascii="宋体" w:hAnsi="宋体"/>
          <w:kern w:val="10"/>
          <w:sz w:val="24"/>
        </w:rPr>
        <w:t>根据以上公式计算及表格计算得：</w:t>
      </w:r>
    </w:p>
    <w:p w14:paraId="4CBBA229">
      <w:pPr>
        <w:spacing w:line="360" w:lineRule="auto"/>
        <w:ind w:firstLine="480" w:firstLineChars="200"/>
        <w:rPr>
          <w:rFonts w:hint="eastAsia" w:ascii="宋体" w:hAnsi="宋体"/>
          <w:kern w:val="10"/>
          <w:sz w:val="24"/>
        </w:rPr>
      </w:pPr>
      <w:r>
        <w:rPr>
          <w:rFonts w:hint="eastAsia" w:ascii="宋体" w:hAnsi="宋体"/>
          <w:kern w:val="10"/>
          <w:sz w:val="24"/>
        </w:rPr>
        <w:t>矿井工业资源储量：</w:t>
      </w:r>
      <w:r>
        <w:rPr>
          <w:rFonts w:hint="eastAsia" w:ascii="宋体" w:hAnsi="宋体"/>
          <w:sz w:val="24"/>
        </w:rPr>
        <w:t>1158.26</w:t>
      </w:r>
      <w:r>
        <w:rPr>
          <w:rFonts w:hint="eastAsia" w:ascii="宋体" w:hAnsi="宋体"/>
          <w:kern w:val="10"/>
          <w:sz w:val="24"/>
        </w:rPr>
        <w:t>万吨；</w:t>
      </w:r>
    </w:p>
    <w:p w14:paraId="46B1664E">
      <w:pPr>
        <w:spacing w:line="360" w:lineRule="auto"/>
        <w:ind w:firstLine="480" w:firstLineChars="200"/>
        <w:rPr>
          <w:rFonts w:hint="eastAsia" w:ascii="宋体" w:hAnsi="宋体"/>
          <w:kern w:val="10"/>
          <w:sz w:val="24"/>
        </w:rPr>
      </w:pPr>
      <w:r>
        <w:rPr>
          <w:rFonts w:hint="eastAsia" w:ascii="宋体" w:hAnsi="宋体"/>
          <w:kern w:val="10"/>
          <w:sz w:val="24"/>
        </w:rPr>
        <w:t>矿井设计利用储量：999.02万吨；</w:t>
      </w:r>
    </w:p>
    <w:p w14:paraId="30776531">
      <w:pPr>
        <w:spacing w:line="360" w:lineRule="auto"/>
        <w:ind w:firstLine="480" w:firstLineChars="200"/>
        <w:rPr>
          <w:rFonts w:hint="eastAsia" w:ascii="宋体" w:hAnsi="宋体"/>
          <w:kern w:val="10"/>
          <w:sz w:val="24"/>
        </w:rPr>
      </w:pPr>
      <w:r>
        <w:rPr>
          <w:rFonts w:hint="eastAsia" w:ascii="宋体" w:hAnsi="宋体"/>
          <w:kern w:val="10"/>
          <w:sz w:val="24"/>
        </w:rPr>
        <w:t>矿井设计可采储量：737.94万吨。</w:t>
      </w:r>
    </w:p>
    <w:p w14:paraId="7D1D93E4">
      <w:pPr>
        <w:spacing w:line="360" w:lineRule="auto"/>
        <w:ind w:firstLine="480" w:firstLineChars="200"/>
        <w:rPr>
          <w:rFonts w:hint="eastAsia" w:ascii="宋体" w:hAnsi="宋体"/>
          <w:kern w:val="10"/>
          <w:sz w:val="24"/>
        </w:rPr>
      </w:pPr>
      <w:r>
        <w:rPr>
          <w:rFonts w:hint="eastAsia" w:ascii="宋体" w:hAnsi="宋体"/>
          <w:kern w:val="10"/>
          <w:sz w:val="24"/>
        </w:rPr>
        <w:t>4、矿井设计可采储量计算表</w:t>
      </w:r>
    </w:p>
    <w:p w14:paraId="31A574A9">
      <w:pPr>
        <w:spacing w:line="360" w:lineRule="auto"/>
        <w:jc w:val="center"/>
        <w:rPr>
          <w:rFonts w:hint="eastAsia" w:ascii="宋体" w:hAnsi="宋体"/>
          <w:b/>
          <w:spacing w:val="8"/>
          <w:kern w:val="10"/>
          <w:sz w:val="24"/>
        </w:rPr>
      </w:pPr>
      <w:r>
        <w:rPr>
          <w:rFonts w:hint="eastAsia" w:ascii="宋体" w:hAnsi="宋体"/>
          <w:b/>
          <w:spacing w:val="8"/>
          <w:kern w:val="10"/>
          <w:sz w:val="24"/>
        </w:rPr>
        <w:t>表</w:t>
      </w:r>
      <w:r>
        <w:rPr>
          <w:rFonts w:ascii="宋体" w:hAnsi="宋体"/>
          <w:b/>
          <w:spacing w:val="8"/>
          <w:kern w:val="10"/>
          <w:sz w:val="24"/>
        </w:rPr>
        <w:t xml:space="preserve"> </w:t>
      </w:r>
      <w:r>
        <w:rPr>
          <w:rFonts w:hint="eastAsia" w:ascii="宋体" w:hAnsi="宋体"/>
          <w:b/>
          <w:spacing w:val="8"/>
          <w:kern w:val="10"/>
          <w:sz w:val="24"/>
        </w:rPr>
        <w:t>2－1－5　　　矿井设计可采储量计算表（单位：万吨）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05"/>
        <w:gridCol w:w="1021"/>
        <w:gridCol w:w="1196"/>
        <w:gridCol w:w="1056"/>
        <w:gridCol w:w="1138"/>
        <w:gridCol w:w="938"/>
        <w:gridCol w:w="912"/>
        <w:gridCol w:w="1064"/>
      </w:tblGrid>
      <w:tr w14:paraId="2F9D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noWrap w:val="0"/>
            <w:vAlign w:val="center"/>
          </w:tcPr>
          <w:p w14:paraId="68F702E6">
            <w:pPr>
              <w:jc w:val="center"/>
              <w:rPr>
                <w:rFonts w:hint="eastAsia" w:ascii="宋体" w:hAnsi="宋体"/>
                <w:kern w:val="10"/>
                <w:szCs w:val="21"/>
              </w:rPr>
            </w:pPr>
            <w:r>
              <w:rPr>
                <w:rFonts w:hint="eastAsia" w:ascii="宋体" w:hAnsi="宋体"/>
                <w:kern w:val="10"/>
                <w:szCs w:val="21"/>
              </w:rPr>
              <w:t>煤层类别</w:t>
            </w:r>
          </w:p>
        </w:tc>
        <w:tc>
          <w:tcPr>
            <w:tcW w:w="905" w:type="dxa"/>
            <w:noWrap w:val="0"/>
            <w:vAlign w:val="center"/>
          </w:tcPr>
          <w:p w14:paraId="788412D0">
            <w:pPr>
              <w:jc w:val="center"/>
              <w:rPr>
                <w:rFonts w:hint="eastAsia" w:ascii="宋体" w:hAnsi="宋体"/>
                <w:kern w:val="10"/>
                <w:szCs w:val="21"/>
              </w:rPr>
            </w:pPr>
            <w:r>
              <w:rPr>
                <w:rFonts w:hint="eastAsia" w:ascii="宋体" w:hAnsi="宋体"/>
                <w:kern w:val="10"/>
                <w:szCs w:val="21"/>
              </w:rPr>
              <w:t>煤层</w:t>
            </w:r>
          </w:p>
          <w:p w14:paraId="0ED4E552">
            <w:pPr>
              <w:jc w:val="center"/>
              <w:rPr>
                <w:rFonts w:hint="eastAsia" w:ascii="宋体" w:hAnsi="宋体"/>
                <w:kern w:val="10"/>
                <w:szCs w:val="21"/>
              </w:rPr>
            </w:pPr>
            <w:r>
              <w:rPr>
                <w:rFonts w:hint="eastAsia" w:ascii="宋体" w:hAnsi="宋体"/>
                <w:kern w:val="10"/>
                <w:szCs w:val="21"/>
              </w:rPr>
              <w:t>编号</w:t>
            </w:r>
          </w:p>
        </w:tc>
        <w:tc>
          <w:tcPr>
            <w:tcW w:w="1021" w:type="dxa"/>
            <w:noWrap w:val="0"/>
            <w:vAlign w:val="center"/>
          </w:tcPr>
          <w:p w14:paraId="54A6B7DE">
            <w:pPr>
              <w:jc w:val="center"/>
              <w:rPr>
                <w:rFonts w:hint="eastAsia" w:ascii="宋体" w:hAnsi="宋体"/>
                <w:kern w:val="10"/>
                <w:szCs w:val="21"/>
              </w:rPr>
            </w:pPr>
            <w:r>
              <w:rPr>
                <w:rFonts w:hint="eastAsia" w:ascii="宋体" w:hAnsi="宋体"/>
                <w:kern w:val="10"/>
                <w:szCs w:val="21"/>
              </w:rPr>
              <w:t>保有资源量</w:t>
            </w:r>
          </w:p>
        </w:tc>
        <w:tc>
          <w:tcPr>
            <w:tcW w:w="1196" w:type="dxa"/>
            <w:noWrap w:val="0"/>
            <w:vAlign w:val="center"/>
          </w:tcPr>
          <w:p w14:paraId="63E60175">
            <w:pPr>
              <w:jc w:val="center"/>
              <w:rPr>
                <w:rFonts w:hint="eastAsia" w:ascii="宋体" w:hAnsi="宋体"/>
                <w:kern w:val="10"/>
                <w:szCs w:val="21"/>
              </w:rPr>
            </w:pPr>
            <w:r>
              <w:rPr>
                <w:rFonts w:hint="eastAsia" w:ascii="宋体" w:hAnsi="宋体"/>
                <w:kern w:val="10"/>
                <w:szCs w:val="21"/>
              </w:rPr>
              <w:t>矿井</w:t>
            </w:r>
            <w:r>
              <w:rPr>
                <w:rFonts w:ascii="宋体" w:hAnsi="宋体"/>
                <w:kern w:val="10"/>
                <w:szCs w:val="21"/>
              </w:rPr>
              <w:t>工业资源/储量</w:t>
            </w:r>
          </w:p>
        </w:tc>
        <w:tc>
          <w:tcPr>
            <w:tcW w:w="1056" w:type="dxa"/>
            <w:noWrap w:val="0"/>
            <w:vAlign w:val="center"/>
          </w:tcPr>
          <w:p w14:paraId="30D0F45C">
            <w:pPr>
              <w:jc w:val="center"/>
              <w:rPr>
                <w:rFonts w:hint="eastAsia" w:ascii="宋体" w:hAnsi="宋体"/>
                <w:kern w:val="10"/>
                <w:szCs w:val="21"/>
              </w:rPr>
            </w:pPr>
            <w:r>
              <w:rPr>
                <w:rFonts w:hint="eastAsia" w:ascii="宋体" w:hAnsi="宋体"/>
                <w:kern w:val="10"/>
                <w:szCs w:val="21"/>
              </w:rPr>
              <w:t>永久煤柱损失</w:t>
            </w:r>
          </w:p>
        </w:tc>
        <w:tc>
          <w:tcPr>
            <w:tcW w:w="1138" w:type="dxa"/>
            <w:noWrap w:val="0"/>
            <w:vAlign w:val="center"/>
          </w:tcPr>
          <w:p w14:paraId="14E3CA40">
            <w:pPr>
              <w:jc w:val="center"/>
              <w:rPr>
                <w:rFonts w:hint="eastAsia" w:ascii="宋体" w:hAnsi="宋体"/>
                <w:kern w:val="10"/>
                <w:szCs w:val="21"/>
              </w:rPr>
            </w:pPr>
            <w:r>
              <w:rPr>
                <w:rFonts w:hint="eastAsia" w:ascii="宋体" w:hAnsi="宋体"/>
                <w:kern w:val="10"/>
                <w:szCs w:val="21"/>
              </w:rPr>
              <w:t>矿井设计利用储量</w:t>
            </w:r>
          </w:p>
        </w:tc>
        <w:tc>
          <w:tcPr>
            <w:tcW w:w="938" w:type="dxa"/>
            <w:noWrap w:val="0"/>
            <w:vAlign w:val="center"/>
          </w:tcPr>
          <w:p w14:paraId="7255528B">
            <w:pPr>
              <w:jc w:val="center"/>
              <w:rPr>
                <w:rFonts w:hint="eastAsia" w:ascii="宋体" w:hAnsi="宋体"/>
                <w:kern w:val="10"/>
                <w:szCs w:val="21"/>
              </w:rPr>
            </w:pPr>
            <w:r>
              <w:rPr>
                <w:rFonts w:hint="eastAsia" w:ascii="宋体" w:hAnsi="宋体"/>
                <w:kern w:val="10"/>
                <w:szCs w:val="21"/>
              </w:rPr>
              <w:t>保护煤柱损失</w:t>
            </w:r>
          </w:p>
        </w:tc>
        <w:tc>
          <w:tcPr>
            <w:tcW w:w="912" w:type="dxa"/>
            <w:noWrap w:val="0"/>
            <w:vAlign w:val="center"/>
          </w:tcPr>
          <w:p w14:paraId="1511F217">
            <w:pPr>
              <w:jc w:val="center"/>
              <w:rPr>
                <w:rFonts w:hint="eastAsia" w:ascii="宋体" w:hAnsi="宋体"/>
                <w:kern w:val="10"/>
                <w:szCs w:val="21"/>
              </w:rPr>
            </w:pPr>
            <w:r>
              <w:rPr>
                <w:rFonts w:hint="eastAsia" w:ascii="宋体" w:hAnsi="宋体"/>
                <w:kern w:val="10"/>
                <w:szCs w:val="21"/>
              </w:rPr>
              <w:t>采区回采率</w:t>
            </w:r>
          </w:p>
        </w:tc>
        <w:tc>
          <w:tcPr>
            <w:tcW w:w="1064" w:type="dxa"/>
            <w:noWrap w:val="0"/>
            <w:vAlign w:val="center"/>
          </w:tcPr>
          <w:p w14:paraId="25DD70C3">
            <w:pPr>
              <w:jc w:val="center"/>
              <w:rPr>
                <w:rFonts w:hint="eastAsia" w:ascii="宋体" w:hAnsi="宋体"/>
                <w:kern w:val="10"/>
                <w:szCs w:val="21"/>
              </w:rPr>
            </w:pPr>
            <w:r>
              <w:rPr>
                <w:rFonts w:hint="eastAsia" w:ascii="宋体" w:hAnsi="宋体"/>
                <w:kern w:val="10"/>
                <w:szCs w:val="21"/>
              </w:rPr>
              <w:t>矿井设计可采储量</w:t>
            </w:r>
          </w:p>
        </w:tc>
      </w:tr>
      <w:tr w14:paraId="64F8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restart"/>
            <w:noWrap w:val="0"/>
            <w:vAlign w:val="center"/>
          </w:tcPr>
          <w:p w14:paraId="32E320A9">
            <w:pPr>
              <w:jc w:val="center"/>
              <w:rPr>
                <w:rFonts w:hint="eastAsia" w:ascii="宋体" w:hAnsi="宋体"/>
                <w:kern w:val="10"/>
                <w:szCs w:val="21"/>
              </w:rPr>
            </w:pPr>
            <w:r>
              <w:rPr>
                <w:rFonts w:hint="eastAsia" w:ascii="宋体" w:hAnsi="宋体"/>
                <w:kern w:val="10"/>
                <w:szCs w:val="21"/>
              </w:rPr>
              <w:t>中</w:t>
            </w:r>
          </w:p>
          <w:p w14:paraId="4EFE2CDB">
            <w:pPr>
              <w:jc w:val="center"/>
              <w:rPr>
                <w:rFonts w:hint="eastAsia" w:ascii="宋体" w:hAnsi="宋体"/>
                <w:kern w:val="10"/>
                <w:szCs w:val="21"/>
              </w:rPr>
            </w:pPr>
            <w:r>
              <w:rPr>
                <w:rFonts w:hint="eastAsia" w:ascii="宋体" w:hAnsi="宋体"/>
                <w:kern w:val="10"/>
                <w:szCs w:val="21"/>
              </w:rPr>
              <w:t>厚</w:t>
            </w:r>
          </w:p>
          <w:p w14:paraId="286E3F4D">
            <w:pPr>
              <w:jc w:val="center"/>
              <w:rPr>
                <w:rFonts w:hint="eastAsia" w:ascii="宋体" w:hAnsi="宋体"/>
                <w:kern w:val="10"/>
                <w:szCs w:val="21"/>
              </w:rPr>
            </w:pPr>
            <w:r>
              <w:rPr>
                <w:rFonts w:hint="eastAsia" w:ascii="宋体" w:hAnsi="宋体"/>
                <w:kern w:val="10"/>
                <w:szCs w:val="21"/>
              </w:rPr>
              <w:t>煤</w:t>
            </w:r>
          </w:p>
          <w:p w14:paraId="056859C9">
            <w:pPr>
              <w:jc w:val="center"/>
              <w:rPr>
                <w:rFonts w:hint="eastAsia" w:ascii="宋体" w:hAnsi="宋体"/>
                <w:kern w:val="10"/>
                <w:szCs w:val="21"/>
              </w:rPr>
            </w:pPr>
            <w:r>
              <w:rPr>
                <w:rFonts w:hint="eastAsia" w:ascii="宋体" w:hAnsi="宋体"/>
                <w:kern w:val="10"/>
                <w:szCs w:val="21"/>
              </w:rPr>
              <w:t>层</w:t>
            </w:r>
          </w:p>
        </w:tc>
        <w:tc>
          <w:tcPr>
            <w:tcW w:w="905" w:type="dxa"/>
            <w:noWrap w:val="0"/>
            <w:vAlign w:val="center"/>
          </w:tcPr>
          <w:p w14:paraId="28BA685B">
            <w:pPr>
              <w:rPr>
                <w:rFonts w:hint="eastAsia" w:ascii="宋体" w:hAnsi="宋体"/>
                <w:kern w:val="10"/>
                <w:szCs w:val="21"/>
              </w:rPr>
            </w:pPr>
            <w:r>
              <w:rPr>
                <w:rFonts w:ascii="宋体" w:hAnsi="宋体"/>
                <w:kern w:val="10"/>
                <w:szCs w:val="21"/>
              </w:rPr>
              <w:t>K1-b</w:t>
            </w:r>
          </w:p>
        </w:tc>
        <w:tc>
          <w:tcPr>
            <w:tcW w:w="1021" w:type="dxa"/>
            <w:noWrap w:val="0"/>
            <w:vAlign w:val="center"/>
          </w:tcPr>
          <w:p w14:paraId="1B1FA7DD">
            <w:pPr>
              <w:jc w:val="center"/>
              <w:rPr>
                <w:rFonts w:hint="eastAsia" w:ascii="宋体" w:hAnsi="宋体"/>
                <w:kern w:val="10"/>
                <w:szCs w:val="21"/>
              </w:rPr>
            </w:pPr>
            <w:r>
              <w:rPr>
                <w:rFonts w:hint="eastAsia" w:ascii="宋体" w:hAnsi="宋体"/>
                <w:kern w:val="10"/>
                <w:szCs w:val="21"/>
              </w:rPr>
              <w:t>59.9</w:t>
            </w:r>
          </w:p>
        </w:tc>
        <w:tc>
          <w:tcPr>
            <w:tcW w:w="1196" w:type="dxa"/>
            <w:noWrap w:val="0"/>
            <w:vAlign w:val="center"/>
          </w:tcPr>
          <w:p w14:paraId="10A6E909">
            <w:pPr>
              <w:jc w:val="center"/>
              <w:rPr>
                <w:rFonts w:hint="eastAsia" w:ascii="宋体" w:hAnsi="宋体"/>
                <w:kern w:val="10"/>
                <w:szCs w:val="21"/>
              </w:rPr>
            </w:pPr>
            <w:r>
              <w:rPr>
                <w:rFonts w:hint="eastAsia" w:ascii="宋体" w:hAnsi="宋体"/>
                <w:kern w:val="10"/>
                <w:szCs w:val="21"/>
              </w:rPr>
              <w:t>59.9</w:t>
            </w:r>
          </w:p>
        </w:tc>
        <w:tc>
          <w:tcPr>
            <w:tcW w:w="1056" w:type="dxa"/>
            <w:noWrap w:val="0"/>
            <w:vAlign w:val="center"/>
          </w:tcPr>
          <w:p w14:paraId="1C02D73E">
            <w:pPr>
              <w:jc w:val="center"/>
              <w:rPr>
                <w:rFonts w:hint="eastAsia" w:ascii="宋体" w:hAnsi="宋体"/>
                <w:kern w:val="10"/>
                <w:szCs w:val="21"/>
              </w:rPr>
            </w:pPr>
            <w:r>
              <w:rPr>
                <w:rFonts w:hint="eastAsia" w:ascii="宋体" w:hAnsi="宋体"/>
                <w:kern w:val="10"/>
                <w:szCs w:val="21"/>
              </w:rPr>
              <w:t>22.28</w:t>
            </w:r>
          </w:p>
        </w:tc>
        <w:tc>
          <w:tcPr>
            <w:tcW w:w="1138" w:type="dxa"/>
            <w:noWrap w:val="0"/>
            <w:vAlign w:val="center"/>
          </w:tcPr>
          <w:p w14:paraId="3E170006">
            <w:pPr>
              <w:jc w:val="center"/>
              <w:rPr>
                <w:rFonts w:hint="eastAsia" w:ascii="宋体" w:hAnsi="宋体"/>
                <w:kern w:val="10"/>
                <w:szCs w:val="21"/>
              </w:rPr>
            </w:pPr>
            <w:r>
              <w:rPr>
                <w:rFonts w:hint="eastAsia" w:ascii="宋体" w:hAnsi="宋体"/>
                <w:kern w:val="10"/>
                <w:szCs w:val="21"/>
              </w:rPr>
              <w:t>37.62</w:t>
            </w:r>
          </w:p>
        </w:tc>
        <w:tc>
          <w:tcPr>
            <w:tcW w:w="938" w:type="dxa"/>
            <w:noWrap w:val="0"/>
            <w:vAlign w:val="center"/>
          </w:tcPr>
          <w:p w14:paraId="7C97A061">
            <w:pPr>
              <w:jc w:val="center"/>
              <w:rPr>
                <w:rFonts w:hint="eastAsia" w:ascii="宋体" w:hAnsi="宋体"/>
                <w:kern w:val="10"/>
                <w:szCs w:val="21"/>
              </w:rPr>
            </w:pPr>
            <w:r>
              <w:rPr>
                <w:rFonts w:hint="eastAsia" w:ascii="宋体" w:hAnsi="宋体"/>
                <w:kern w:val="10"/>
                <w:szCs w:val="21"/>
              </w:rPr>
              <w:t>0</w:t>
            </w:r>
          </w:p>
        </w:tc>
        <w:tc>
          <w:tcPr>
            <w:tcW w:w="912" w:type="dxa"/>
            <w:vMerge w:val="restart"/>
            <w:noWrap w:val="0"/>
            <w:vAlign w:val="center"/>
          </w:tcPr>
          <w:p w14:paraId="370973DE">
            <w:pPr>
              <w:jc w:val="center"/>
              <w:rPr>
                <w:rFonts w:hint="eastAsia" w:ascii="宋体" w:hAnsi="宋体"/>
                <w:kern w:val="10"/>
                <w:szCs w:val="21"/>
              </w:rPr>
            </w:pPr>
            <w:r>
              <w:rPr>
                <w:rFonts w:hint="eastAsia" w:ascii="宋体" w:hAnsi="宋体"/>
                <w:kern w:val="10"/>
                <w:szCs w:val="21"/>
              </w:rPr>
              <w:t>0.8</w:t>
            </w:r>
          </w:p>
        </w:tc>
        <w:tc>
          <w:tcPr>
            <w:tcW w:w="1064" w:type="dxa"/>
            <w:noWrap w:val="0"/>
            <w:vAlign w:val="center"/>
          </w:tcPr>
          <w:p w14:paraId="011B2258">
            <w:pPr>
              <w:jc w:val="center"/>
              <w:rPr>
                <w:rFonts w:hint="eastAsia" w:ascii="宋体" w:hAnsi="宋体"/>
                <w:kern w:val="10"/>
                <w:szCs w:val="21"/>
              </w:rPr>
            </w:pPr>
            <w:r>
              <w:rPr>
                <w:rFonts w:hint="eastAsia" w:ascii="宋体" w:hAnsi="宋体"/>
                <w:kern w:val="10"/>
                <w:szCs w:val="21"/>
              </w:rPr>
              <w:t>30.10</w:t>
            </w:r>
          </w:p>
        </w:tc>
      </w:tr>
      <w:tr w14:paraId="6659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7FE49D8F">
            <w:pPr>
              <w:jc w:val="center"/>
              <w:rPr>
                <w:rFonts w:hint="eastAsia" w:ascii="宋体" w:hAnsi="宋体"/>
                <w:kern w:val="10"/>
                <w:szCs w:val="21"/>
              </w:rPr>
            </w:pPr>
          </w:p>
        </w:tc>
        <w:tc>
          <w:tcPr>
            <w:tcW w:w="905" w:type="dxa"/>
            <w:noWrap w:val="0"/>
            <w:vAlign w:val="center"/>
          </w:tcPr>
          <w:p w14:paraId="06B85D5A">
            <w:pPr>
              <w:rPr>
                <w:rFonts w:hint="eastAsia" w:ascii="宋体" w:hAnsi="宋体"/>
                <w:kern w:val="10"/>
                <w:szCs w:val="21"/>
              </w:rPr>
            </w:pPr>
            <w:r>
              <w:rPr>
                <w:rFonts w:hint="eastAsia" w:ascii="宋体" w:hAnsi="宋体"/>
                <w:kern w:val="10"/>
                <w:szCs w:val="21"/>
              </w:rPr>
              <w:t>K9</w:t>
            </w:r>
          </w:p>
        </w:tc>
        <w:tc>
          <w:tcPr>
            <w:tcW w:w="1021" w:type="dxa"/>
            <w:noWrap w:val="0"/>
            <w:vAlign w:val="center"/>
          </w:tcPr>
          <w:p w14:paraId="34024E58">
            <w:pPr>
              <w:jc w:val="center"/>
              <w:rPr>
                <w:rFonts w:hint="eastAsia" w:ascii="宋体" w:hAnsi="宋体"/>
                <w:kern w:val="10"/>
                <w:szCs w:val="21"/>
              </w:rPr>
            </w:pPr>
            <w:r>
              <w:rPr>
                <w:rFonts w:hint="eastAsia" w:ascii="宋体" w:hAnsi="宋体"/>
                <w:kern w:val="10"/>
                <w:szCs w:val="21"/>
              </w:rPr>
              <w:t>54.3</w:t>
            </w:r>
          </w:p>
        </w:tc>
        <w:tc>
          <w:tcPr>
            <w:tcW w:w="1196" w:type="dxa"/>
            <w:noWrap w:val="0"/>
            <w:vAlign w:val="center"/>
          </w:tcPr>
          <w:p w14:paraId="2BA32518">
            <w:pPr>
              <w:jc w:val="center"/>
              <w:rPr>
                <w:rFonts w:hint="eastAsia" w:ascii="宋体" w:hAnsi="宋体"/>
                <w:kern w:val="10"/>
                <w:szCs w:val="21"/>
              </w:rPr>
            </w:pPr>
            <w:r>
              <w:rPr>
                <w:rFonts w:hint="eastAsia" w:ascii="宋体" w:hAnsi="宋体"/>
                <w:kern w:val="10"/>
                <w:szCs w:val="21"/>
              </w:rPr>
              <w:t>54.3</w:t>
            </w:r>
          </w:p>
        </w:tc>
        <w:tc>
          <w:tcPr>
            <w:tcW w:w="1056" w:type="dxa"/>
            <w:noWrap w:val="0"/>
            <w:vAlign w:val="center"/>
          </w:tcPr>
          <w:p w14:paraId="48343794">
            <w:pPr>
              <w:jc w:val="center"/>
              <w:rPr>
                <w:rFonts w:hint="eastAsia" w:ascii="宋体" w:hAnsi="宋体"/>
                <w:kern w:val="10"/>
                <w:szCs w:val="21"/>
              </w:rPr>
            </w:pPr>
            <w:r>
              <w:rPr>
                <w:rFonts w:hint="eastAsia" w:ascii="宋体" w:hAnsi="宋体"/>
                <w:kern w:val="10"/>
                <w:szCs w:val="21"/>
              </w:rPr>
              <w:t>16.7</w:t>
            </w:r>
          </w:p>
        </w:tc>
        <w:tc>
          <w:tcPr>
            <w:tcW w:w="1138" w:type="dxa"/>
            <w:noWrap w:val="0"/>
            <w:vAlign w:val="center"/>
          </w:tcPr>
          <w:p w14:paraId="509DB5F0">
            <w:pPr>
              <w:jc w:val="center"/>
              <w:rPr>
                <w:rFonts w:hint="eastAsia" w:ascii="宋体" w:hAnsi="宋体"/>
                <w:kern w:val="10"/>
                <w:szCs w:val="21"/>
              </w:rPr>
            </w:pPr>
            <w:r>
              <w:rPr>
                <w:rFonts w:hint="eastAsia" w:ascii="宋体" w:hAnsi="宋体"/>
                <w:kern w:val="10"/>
                <w:szCs w:val="21"/>
              </w:rPr>
              <w:t>37.6</w:t>
            </w:r>
          </w:p>
        </w:tc>
        <w:tc>
          <w:tcPr>
            <w:tcW w:w="938" w:type="dxa"/>
            <w:noWrap w:val="0"/>
            <w:vAlign w:val="center"/>
          </w:tcPr>
          <w:p w14:paraId="2470B27A">
            <w:pPr>
              <w:jc w:val="center"/>
              <w:rPr>
                <w:rFonts w:hint="eastAsia" w:ascii="宋体" w:hAnsi="宋体"/>
                <w:kern w:val="10"/>
                <w:szCs w:val="21"/>
              </w:rPr>
            </w:pPr>
            <w:r>
              <w:rPr>
                <w:rFonts w:hint="eastAsia" w:ascii="宋体" w:hAnsi="宋体"/>
                <w:kern w:val="10"/>
                <w:szCs w:val="21"/>
              </w:rPr>
              <w:t>0</w:t>
            </w:r>
          </w:p>
        </w:tc>
        <w:tc>
          <w:tcPr>
            <w:tcW w:w="912" w:type="dxa"/>
            <w:vMerge w:val="continue"/>
            <w:noWrap w:val="0"/>
            <w:vAlign w:val="center"/>
          </w:tcPr>
          <w:p w14:paraId="599D2A4D">
            <w:pPr>
              <w:jc w:val="center"/>
              <w:rPr>
                <w:rFonts w:hint="eastAsia" w:ascii="宋体" w:hAnsi="宋体"/>
                <w:kern w:val="10"/>
                <w:szCs w:val="21"/>
              </w:rPr>
            </w:pPr>
          </w:p>
        </w:tc>
        <w:tc>
          <w:tcPr>
            <w:tcW w:w="1064" w:type="dxa"/>
            <w:noWrap w:val="0"/>
            <w:vAlign w:val="center"/>
          </w:tcPr>
          <w:p w14:paraId="65FAB34D">
            <w:pPr>
              <w:jc w:val="center"/>
              <w:rPr>
                <w:rFonts w:hint="eastAsia" w:ascii="宋体" w:hAnsi="宋体"/>
                <w:kern w:val="10"/>
                <w:szCs w:val="21"/>
              </w:rPr>
            </w:pPr>
            <w:r>
              <w:rPr>
                <w:rFonts w:hint="eastAsia" w:ascii="宋体" w:hAnsi="宋体"/>
                <w:kern w:val="10"/>
                <w:szCs w:val="21"/>
              </w:rPr>
              <w:t>30.08</w:t>
            </w:r>
          </w:p>
        </w:tc>
      </w:tr>
      <w:tr w14:paraId="5A61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111951F0">
            <w:pPr>
              <w:jc w:val="center"/>
              <w:rPr>
                <w:rFonts w:hint="eastAsia" w:ascii="宋体" w:hAnsi="宋体"/>
                <w:kern w:val="10"/>
                <w:szCs w:val="21"/>
              </w:rPr>
            </w:pPr>
          </w:p>
        </w:tc>
        <w:tc>
          <w:tcPr>
            <w:tcW w:w="905" w:type="dxa"/>
            <w:noWrap w:val="0"/>
            <w:vAlign w:val="center"/>
          </w:tcPr>
          <w:p w14:paraId="2A0A7905">
            <w:pPr>
              <w:rPr>
                <w:rFonts w:hint="eastAsia" w:ascii="宋体" w:hAnsi="宋体"/>
                <w:kern w:val="10"/>
                <w:szCs w:val="21"/>
              </w:rPr>
            </w:pPr>
            <w:r>
              <w:rPr>
                <w:rFonts w:hint="eastAsia" w:ascii="宋体" w:hAnsi="宋体"/>
                <w:kern w:val="10"/>
                <w:szCs w:val="21"/>
              </w:rPr>
              <w:t>K13</w:t>
            </w:r>
          </w:p>
        </w:tc>
        <w:tc>
          <w:tcPr>
            <w:tcW w:w="1021" w:type="dxa"/>
            <w:noWrap w:val="0"/>
            <w:vAlign w:val="center"/>
          </w:tcPr>
          <w:p w14:paraId="4A435E80">
            <w:pPr>
              <w:jc w:val="center"/>
              <w:rPr>
                <w:rFonts w:hint="eastAsia" w:ascii="宋体" w:hAnsi="宋体"/>
                <w:kern w:val="10"/>
                <w:szCs w:val="21"/>
              </w:rPr>
            </w:pPr>
            <w:r>
              <w:rPr>
                <w:rFonts w:hint="eastAsia" w:ascii="宋体" w:hAnsi="宋体"/>
                <w:kern w:val="10"/>
                <w:szCs w:val="21"/>
              </w:rPr>
              <w:t>139.5</w:t>
            </w:r>
          </w:p>
        </w:tc>
        <w:tc>
          <w:tcPr>
            <w:tcW w:w="1196" w:type="dxa"/>
            <w:noWrap w:val="0"/>
            <w:vAlign w:val="center"/>
          </w:tcPr>
          <w:p w14:paraId="74999187">
            <w:pPr>
              <w:jc w:val="center"/>
              <w:rPr>
                <w:rFonts w:hint="eastAsia" w:ascii="宋体" w:hAnsi="宋体"/>
                <w:kern w:val="10"/>
                <w:szCs w:val="21"/>
              </w:rPr>
            </w:pPr>
            <w:r>
              <w:rPr>
                <w:rFonts w:hint="eastAsia" w:ascii="宋体" w:hAnsi="宋体"/>
                <w:kern w:val="10"/>
                <w:szCs w:val="21"/>
              </w:rPr>
              <w:t>136.8</w:t>
            </w:r>
          </w:p>
        </w:tc>
        <w:tc>
          <w:tcPr>
            <w:tcW w:w="1056" w:type="dxa"/>
            <w:noWrap w:val="0"/>
            <w:vAlign w:val="center"/>
          </w:tcPr>
          <w:p w14:paraId="4620F44B">
            <w:pPr>
              <w:jc w:val="center"/>
              <w:rPr>
                <w:rFonts w:hint="eastAsia" w:ascii="宋体" w:hAnsi="宋体"/>
                <w:kern w:val="10"/>
                <w:szCs w:val="21"/>
              </w:rPr>
            </w:pPr>
            <w:r>
              <w:rPr>
                <w:rFonts w:hint="eastAsia" w:ascii="宋体" w:hAnsi="宋体"/>
                <w:kern w:val="10"/>
                <w:szCs w:val="21"/>
              </w:rPr>
              <w:t>16.25</w:t>
            </w:r>
          </w:p>
        </w:tc>
        <w:tc>
          <w:tcPr>
            <w:tcW w:w="1138" w:type="dxa"/>
            <w:noWrap w:val="0"/>
            <w:vAlign w:val="center"/>
          </w:tcPr>
          <w:p w14:paraId="3CA1C2F3">
            <w:pPr>
              <w:jc w:val="center"/>
              <w:rPr>
                <w:rFonts w:hint="eastAsia" w:ascii="宋体" w:hAnsi="宋体"/>
                <w:kern w:val="10"/>
                <w:szCs w:val="21"/>
              </w:rPr>
            </w:pPr>
            <w:r>
              <w:rPr>
                <w:rFonts w:hint="eastAsia" w:ascii="宋体" w:hAnsi="宋体"/>
                <w:kern w:val="10"/>
                <w:szCs w:val="21"/>
              </w:rPr>
              <w:t>120.55</w:t>
            </w:r>
          </w:p>
        </w:tc>
        <w:tc>
          <w:tcPr>
            <w:tcW w:w="938" w:type="dxa"/>
            <w:noWrap w:val="0"/>
            <w:vAlign w:val="center"/>
          </w:tcPr>
          <w:p w14:paraId="541A7453">
            <w:pPr>
              <w:jc w:val="center"/>
              <w:rPr>
                <w:rFonts w:hint="eastAsia" w:ascii="宋体" w:hAnsi="宋体"/>
                <w:kern w:val="10"/>
                <w:szCs w:val="21"/>
              </w:rPr>
            </w:pPr>
            <w:r>
              <w:rPr>
                <w:rFonts w:hint="eastAsia" w:ascii="宋体" w:hAnsi="宋体"/>
                <w:kern w:val="10"/>
                <w:szCs w:val="21"/>
              </w:rPr>
              <w:t>0</w:t>
            </w:r>
          </w:p>
        </w:tc>
        <w:tc>
          <w:tcPr>
            <w:tcW w:w="912" w:type="dxa"/>
            <w:vMerge w:val="continue"/>
            <w:noWrap w:val="0"/>
            <w:vAlign w:val="center"/>
          </w:tcPr>
          <w:p w14:paraId="54667B67">
            <w:pPr>
              <w:jc w:val="center"/>
              <w:rPr>
                <w:rFonts w:hint="eastAsia" w:ascii="宋体" w:hAnsi="宋体"/>
                <w:kern w:val="10"/>
                <w:szCs w:val="21"/>
              </w:rPr>
            </w:pPr>
          </w:p>
        </w:tc>
        <w:tc>
          <w:tcPr>
            <w:tcW w:w="1064" w:type="dxa"/>
            <w:noWrap w:val="0"/>
            <w:vAlign w:val="center"/>
          </w:tcPr>
          <w:p w14:paraId="313C6E97">
            <w:pPr>
              <w:jc w:val="center"/>
              <w:rPr>
                <w:rFonts w:hint="eastAsia" w:ascii="宋体" w:hAnsi="宋体"/>
                <w:kern w:val="10"/>
                <w:szCs w:val="21"/>
              </w:rPr>
            </w:pPr>
            <w:r>
              <w:rPr>
                <w:rFonts w:hint="eastAsia" w:ascii="宋体" w:hAnsi="宋体"/>
                <w:kern w:val="10"/>
                <w:szCs w:val="21"/>
              </w:rPr>
              <w:t>96.44</w:t>
            </w:r>
          </w:p>
        </w:tc>
      </w:tr>
      <w:tr w14:paraId="0661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5BCC17EC">
            <w:pPr>
              <w:jc w:val="center"/>
              <w:rPr>
                <w:rFonts w:hint="eastAsia" w:ascii="宋体" w:hAnsi="宋体"/>
                <w:kern w:val="10"/>
                <w:szCs w:val="21"/>
              </w:rPr>
            </w:pPr>
          </w:p>
        </w:tc>
        <w:tc>
          <w:tcPr>
            <w:tcW w:w="905" w:type="dxa"/>
            <w:noWrap w:val="0"/>
            <w:vAlign w:val="center"/>
          </w:tcPr>
          <w:p w14:paraId="187AF62B">
            <w:pPr>
              <w:rPr>
                <w:rFonts w:hint="eastAsia" w:ascii="宋体" w:hAnsi="宋体"/>
                <w:kern w:val="10"/>
                <w:szCs w:val="21"/>
              </w:rPr>
            </w:pPr>
            <w:r>
              <w:rPr>
                <w:rFonts w:hint="eastAsia" w:ascii="宋体" w:hAnsi="宋体"/>
                <w:kern w:val="10"/>
                <w:szCs w:val="21"/>
              </w:rPr>
              <w:t>K18</w:t>
            </w:r>
          </w:p>
        </w:tc>
        <w:tc>
          <w:tcPr>
            <w:tcW w:w="1021" w:type="dxa"/>
            <w:noWrap w:val="0"/>
            <w:vAlign w:val="center"/>
          </w:tcPr>
          <w:p w14:paraId="502F1337">
            <w:pPr>
              <w:jc w:val="center"/>
              <w:rPr>
                <w:rFonts w:hint="eastAsia" w:ascii="宋体" w:hAnsi="宋体"/>
                <w:kern w:val="10"/>
                <w:szCs w:val="21"/>
              </w:rPr>
            </w:pPr>
            <w:r>
              <w:rPr>
                <w:rFonts w:hint="eastAsia" w:ascii="宋体" w:hAnsi="宋体"/>
                <w:kern w:val="10"/>
                <w:szCs w:val="21"/>
              </w:rPr>
              <w:t>93.1</w:t>
            </w:r>
          </w:p>
        </w:tc>
        <w:tc>
          <w:tcPr>
            <w:tcW w:w="1196" w:type="dxa"/>
            <w:noWrap w:val="0"/>
            <w:vAlign w:val="center"/>
          </w:tcPr>
          <w:p w14:paraId="608BE576">
            <w:pPr>
              <w:jc w:val="center"/>
              <w:rPr>
                <w:rFonts w:hint="eastAsia" w:ascii="宋体" w:hAnsi="宋体"/>
                <w:kern w:val="10"/>
                <w:szCs w:val="21"/>
              </w:rPr>
            </w:pPr>
            <w:r>
              <w:rPr>
                <w:rFonts w:hint="eastAsia" w:ascii="宋体" w:hAnsi="宋体"/>
                <w:kern w:val="10"/>
                <w:szCs w:val="21"/>
              </w:rPr>
              <w:t>93.1</w:t>
            </w:r>
          </w:p>
        </w:tc>
        <w:tc>
          <w:tcPr>
            <w:tcW w:w="1056" w:type="dxa"/>
            <w:noWrap w:val="0"/>
            <w:vAlign w:val="center"/>
          </w:tcPr>
          <w:p w14:paraId="0632B118">
            <w:pPr>
              <w:jc w:val="center"/>
              <w:rPr>
                <w:rFonts w:hint="eastAsia" w:ascii="宋体" w:hAnsi="宋体"/>
                <w:kern w:val="10"/>
                <w:szCs w:val="21"/>
              </w:rPr>
            </w:pPr>
            <w:r>
              <w:rPr>
                <w:rFonts w:hint="eastAsia" w:ascii="宋体" w:hAnsi="宋体"/>
                <w:kern w:val="10"/>
                <w:szCs w:val="21"/>
              </w:rPr>
              <w:t>35.28</w:t>
            </w:r>
          </w:p>
        </w:tc>
        <w:tc>
          <w:tcPr>
            <w:tcW w:w="1138" w:type="dxa"/>
            <w:noWrap w:val="0"/>
            <w:vAlign w:val="center"/>
          </w:tcPr>
          <w:p w14:paraId="5CA8A07E">
            <w:pPr>
              <w:jc w:val="center"/>
              <w:rPr>
                <w:rFonts w:hint="eastAsia" w:ascii="宋体" w:hAnsi="宋体"/>
                <w:kern w:val="10"/>
                <w:szCs w:val="21"/>
              </w:rPr>
            </w:pPr>
            <w:r>
              <w:rPr>
                <w:rFonts w:hint="eastAsia" w:ascii="宋体" w:hAnsi="宋体"/>
                <w:kern w:val="10"/>
                <w:szCs w:val="21"/>
              </w:rPr>
              <w:t>57.82</w:t>
            </w:r>
          </w:p>
        </w:tc>
        <w:tc>
          <w:tcPr>
            <w:tcW w:w="938" w:type="dxa"/>
            <w:noWrap w:val="0"/>
            <w:vAlign w:val="center"/>
          </w:tcPr>
          <w:p w14:paraId="10C6B552">
            <w:pPr>
              <w:jc w:val="center"/>
              <w:rPr>
                <w:rFonts w:hint="eastAsia" w:ascii="宋体" w:hAnsi="宋体"/>
                <w:kern w:val="10"/>
                <w:szCs w:val="21"/>
              </w:rPr>
            </w:pPr>
            <w:r>
              <w:rPr>
                <w:rFonts w:hint="eastAsia" w:ascii="宋体" w:hAnsi="宋体"/>
                <w:kern w:val="10"/>
                <w:szCs w:val="21"/>
              </w:rPr>
              <w:t>0</w:t>
            </w:r>
          </w:p>
        </w:tc>
        <w:tc>
          <w:tcPr>
            <w:tcW w:w="912" w:type="dxa"/>
            <w:vMerge w:val="continue"/>
            <w:noWrap w:val="0"/>
            <w:vAlign w:val="center"/>
          </w:tcPr>
          <w:p w14:paraId="28FF4D9F">
            <w:pPr>
              <w:jc w:val="center"/>
              <w:rPr>
                <w:rFonts w:hint="eastAsia" w:ascii="宋体" w:hAnsi="宋体"/>
                <w:kern w:val="10"/>
                <w:szCs w:val="21"/>
              </w:rPr>
            </w:pPr>
          </w:p>
        </w:tc>
        <w:tc>
          <w:tcPr>
            <w:tcW w:w="1064" w:type="dxa"/>
            <w:noWrap w:val="0"/>
            <w:vAlign w:val="center"/>
          </w:tcPr>
          <w:p w14:paraId="5CB52ED0">
            <w:pPr>
              <w:jc w:val="center"/>
              <w:rPr>
                <w:rFonts w:hint="eastAsia" w:ascii="宋体" w:hAnsi="宋体"/>
                <w:kern w:val="10"/>
                <w:szCs w:val="21"/>
              </w:rPr>
            </w:pPr>
            <w:r>
              <w:rPr>
                <w:rFonts w:hint="eastAsia" w:ascii="宋体" w:hAnsi="宋体"/>
                <w:kern w:val="10"/>
                <w:szCs w:val="21"/>
              </w:rPr>
              <w:t>46.26</w:t>
            </w:r>
          </w:p>
        </w:tc>
      </w:tr>
      <w:tr w14:paraId="4698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5E45A01F">
            <w:pPr>
              <w:jc w:val="center"/>
              <w:rPr>
                <w:rFonts w:hint="eastAsia" w:ascii="宋体" w:hAnsi="宋体"/>
                <w:kern w:val="10"/>
                <w:szCs w:val="21"/>
              </w:rPr>
            </w:pPr>
          </w:p>
        </w:tc>
        <w:tc>
          <w:tcPr>
            <w:tcW w:w="905" w:type="dxa"/>
            <w:noWrap w:val="0"/>
            <w:vAlign w:val="center"/>
          </w:tcPr>
          <w:p w14:paraId="6F37E04A">
            <w:pPr>
              <w:rPr>
                <w:rFonts w:hint="eastAsia" w:ascii="宋体" w:hAnsi="宋体"/>
                <w:kern w:val="10"/>
                <w:szCs w:val="21"/>
              </w:rPr>
            </w:pPr>
            <w:r>
              <w:rPr>
                <w:rFonts w:hint="eastAsia" w:ascii="宋体" w:hAnsi="宋体"/>
                <w:kern w:val="10"/>
                <w:szCs w:val="21"/>
              </w:rPr>
              <w:t>K26</w:t>
            </w:r>
          </w:p>
        </w:tc>
        <w:tc>
          <w:tcPr>
            <w:tcW w:w="1021" w:type="dxa"/>
            <w:noWrap w:val="0"/>
            <w:vAlign w:val="center"/>
          </w:tcPr>
          <w:p w14:paraId="3EBD8757">
            <w:pPr>
              <w:jc w:val="center"/>
              <w:rPr>
                <w:rFonts w:hint="eastAsia" w:ascii="宋体" w:hAnsi="宋体"/>
                <w:kern w:val="10"/>
                <w:szCs w:val="21"/>
              </w:rPr>
            </w:pPr>
            <w:r>
              <w:rPr>
                <w:rFonts w:hint="eastAsia" w:ascii="宋体" w:hAnsi="宋体"/>
                <w:kern w:val="10"/>
                <w:szCs w:val="21"/>
              </w:rPr>
              <w:t>125.5</w:t>
            </w:r>
          </w:p>
        </w:tc>
        <w:tc>
          <w:tcPr>
            <w:tcW w:w="1196" w:type="dxa"/>
            <w:noWrap w:val="0"/>
            <w:vAlign w:val="center"/>
          </w:tcPr>
          <w:p w14:paraId="5BB20BEE">
            <w:pPr>
              <w:jc w:val="center"/>
              <w:rPr>
                <w:rFonts w:hint="eastAsia" w:ascii="宋体" w:hAnsi="宋体"/>
                <w:kern w:val="10"/>
                <w:szCs w:val="21"/>
              </w:rPr>
            </w:pPr>
            <w:r>
              <w:rPr>
                <w:rFonts w:hint="eastAsia" w:ascii="宋体" w:hAnsi="宋体"/>
                <w:kern w:val="10"/>
                <w:szCs w:val="21"/>
              </w:rPr>
              <w:t>123.84</w:t>
            </w:r>
          </w:p>
        </w:tc>
        <w:tc>
          <w:tcPr>
            <w:tcW w:w="1056" w:type="dxa"/>
            <w:noWrap w:val="0"/>
            <w:vAlign w:val="center"/>
          </w:tcPr>
          <w:p w14:paraId="03CFE62C">
            <w:pPr>
              <w:jc w:val="center"/>
              <w:rPr>
                <w:rFonts w:hint="eastAsia" w:ascii="宋体" w:hAnsi="宋体"/>
                <w:kern w:val="10"/>
                <w:szCs w:val="21"/>
              </w:rPr>
            </w:pPr>
            <w:r>
              <w:rPr>
                <w:rFonts w:hint="eastAsia" w:ascii="宋体" w:hAnsi="宋体"/>
                <w:kern w:val="10"/>
                <w:szCs w:val="21"/>
              </w:rPr>
              <w:t>10.48</w:t>
            </w:r>
          </w:p>
        </w:tc>
        <w:tc>
          <w:tcPr>
            <w:tcW w:w="1138" w:type="dxa"/>
            <w:noWrap w:val="0"/>
            <w:vAlign w:val="center"/>
          </w:tcPr>
          <w:p w14:paraId="1247A21B">
            <w:pPr>
              <w:jc w:val="center"/>
              <w:rPr>
                <w:rFonts w:hint="eastAsia" w:ascii="宋体" w:hAnsi="宋体"/>
                <w:kern w:val="10"/>
                <w:szCs w:val="21"/>
              </w:rPr>
            </w:pPr>
            <w:r>
              <w:rPr>
                <w:rFonts w:hint="eastAsia" w:ascii="宋体" w:hAnsi="宋体"/>
                <w:kern w:val="10"/>
                <w:szCs w:val="21"/>
              </w:rPr>
              <w:t>113.36</w:t>
            </w:r>
          </w:p>
        </w:tc>
        <w:tc>
          <w:tcPr>
            <w:tcW w:w="938" w:type="dxa"/>
            <w:noWrap w:val="0"/>
            <w:vAlign w:val="center"/>
          </w:tcPr>
          <w:p w14:paraId="639F141C">
            <w:pPr>
              <w:jc w:val="center"/>
              <w:rPr>
                <w:rFonts w:hint="eastAsia" w:ascii="宋体" w:hAnsi="宋体"/>
                <w:kern w:val="10"/>
                <w:szCs w:val="21"/>
              </w:rPr>
            </w:pPr>
            <w:r>
              <w:rPr>
                <w:rFonts w:hint="eastAsia" w:ascii="宋体" w:hAnsi="宋体"/>
                <w:kern w:val="10"/>
                <w:szCs w:val="21"/>
              </w:rPr>
              <w:t>18.23</w:t>
            </w:r>
          </w:p>
        </w:tc>
        <w:tc>
          <w:tcPr>
            <w:tcW w:w="912" w:type="dxa"/>
            <w:vMerge w:val="continue"/>
            <w:noWrap w:val="0"/>
            <w:vAlign w:val="center"/>
          </w:tcPr>
          <w:p w14:paraId="67F7156B">
            <w:pPr>
              <w:jc w:val="center"/>
              <w:rPr>
                <w:rFonts w:hint="eastAsia" w:ascii="宋体" w:hAnsi="宋体"/>
                <w:kern w:val="10"/>
                <w:szCs w:val="21"/>
              </w:rPr>
            </w:pPr>
          </w:p>
        </w:tc>
        <w:tc>
          <w:tcPr>
            <w:tcW w:w="1064" w:type="dxa"/>
            <w:noWrap w:val="0"/>
            <w:vAlign w:val="center"/>
          </w:tcPr>
          <w:p w14:paraId="7E2F5400">
            <w:pPr>
              <w:jc w:val="center"/>
              <w:rPr>
                <w:rFonts w:hint="eastAsia" w:ascii="宋体" w:hAnsi="宋体"/>
                <w:kern w:val="10"/>
                <w:szCs w:val="21"/>
              </w:rPr>
            </w:pPr>
            <w:r>
              <w:rPr>
                <w:rFonts w:hint="eastAsia" w:ascii="宋体" w:hAnsi="宋体"/>
                <w:kern w:val="10"/>
                <w:szCs w:val="21"/>
              </w:rPr>
              <w:t>76.11</w:t>
            </w:r>
          </w:p>
        </w:tc>
      </w:tr>
      <w:tr w14:paraId="4BB0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2B6805D7">
            <w:pPr>
              <w:jc w:val="center"/>
              <w:rPr>
                <w:rFonts w:hint="eastAsia" w:ascii="宋体" w:hAnsi="宋体"/>
                <w:kern w:val="10"/>
                <w:szCs w:val="21"/>
              </w:rPr>
            </w:pPr>
          </w:p>
        </w:tc>
        <w:tc>
          <w:tcPr>
            <w:tcW w:w="905" w:type="dxa"/>
            <w:noWrap w:val="0"/>
            <w:vAlign w:val="center"/>
          </w:tcPr>
          <w:p w14:paraId="7B377BD3">
            <w:pPr>
              <w:rPr>
                <w:rFonts w:hint="eastAsia" w:ascii="宋体" w:hAnsi="宋体"/>
                <w:kern w:val="10"/>
                <w:szCs w:val="21"/>
              </w:rPr>
            </w:pPr>
            <w:r>
              <w:rPr>
                <w:rFonts w:ascii="宋体" w:hAnsi="宋体"/>
                <w:kern w:val="10"/>
                <w:szCs w:val="21"/>
              </w:rPr>
              <w:t>K106-b</w:t>
            </w:r>
          </w:p>
        </w:tc>
        <w:tc>
          <w:tcPr>
            <w:tcW w:w="1021" w:type="dxa"/>
            <w:noWrap w:val="0"/>
            <w:vAlign w:val="center"/>
          </w:tcPr>
          <w:p w14:paraId="28E26CF5">
            <w:pPr>
              <w:jc w:val="center"/>
              <w:rPr>
                <w:rFonts w:hint="eastAsia" w:ascii="宋体" w:hAnsi="宋体"/>
                <w:kern w:val="10"/>
                <w:szCs w:val="21"/>
              </w:rPr>
            </w:pPr>
            <w:r>
              <w:rPr>
                <w:rFonts w:hint="eastAsia" w:ascii="宋体" w:hAnsi="宋体"/>
                <w:kern w:val="10"/>
                <w:szCs w:val="21"/>
              </w:rPr>
              <w:t>197.4</w:t>
            </w:r>
          </w:p>
        </w:tc>
        <w:tc>
          <w:tcPr>
            <w:tcW w:w="1196" w:type="dxa"/>
            <w:noWrap w:val="0"/>
            <w:vAlign w:val="center"/>
          </w:tcPr>
          <w:p w14:paraId="708BFB02">
            <w:pPr>
              <w:jc w:val="center"/>
              <w:rPr>
                <w:rFonts w:hint="eastAsia" w:ascii="宋体" w:hAnsi="宋体"/>
                <w:kern w:val="10"/>
                <w:szCs w:val="21"/>
              </w:rPr>
            </w:pPr>
            <w:r>
              <w:rPr>
                <w:rFonts w:hint="eastAsia" w:ascii="宋体" w:hAnsi="宋体"/>
                <w:kern w:val="10"/>
                <w:szCs w:val="21"/>
              </w:rPr>
              <w:t>168.92</w:t>
            </w:r>
          </w:p>
        </w:tc>
        <w:tc>
          <w:tcPr>
            <w:tcW w:w="1056" w:type="dxa"/>
            <w:noWrap w:val="0"/>
            <w:vAlign w:val="center"/>
          </w:tcPr>
          <w:p w14:paraId="77A34B35">
            <w:pPr>
              <w:jc w:val="center"/>
              <w:rPr>
                <w:rFonts w:hint="eastAsia" w:ascii="宋体" w:hAnsi="宋体"/>
                <w:kern w:val="10"/>
                <w:szCs w:val="21"/>
              </w:rPr>
            </w:pPr>
            <w:r>
              <w:rPr>
                <w:rFonts w:hint="eastAsia" w:ascii="宋体" w:hAnsi="宋体"/>
                <w:kern w:val="10"/>
                <w:szCs w:val="21"/>
              </w:rPr>
              <w:t>14.35</w:t>
            </w:r>
          </w:p>
        </w:tc>
        <w:tc>
          <w:tcPr>
            <w:tcW w:w="1138" w:type="dxa"/>
            <w:noWrap w:val="0"/>
            <w:vAlign w:val="center"/>
          </w:tcPr>
          <w:p w14:paraId="08F30C92">
            <w:pPr>
              <w:jc w:val="center"/>
              <w:rPr>
                <w:rFonts w:hint="eastAsia" w:ascii="宋体" w:hAnsi="宋体"/>
                <w:kern w:val="10"/>
                <w:szCs w:val="21"/>
              </w:rPr>
            </w:pPr>
            <w:r>
              <w:rPr>
                <w:rFonts w:hint="eastAsia" w:ascii="宋体" w:hAnsi="宋体"/>
                <w:kern w:val="10"/>
                <w:szCs w:val="21"/>
              </w:rPr>
              <w:t>154.57</w:t>
            </w:r>
          </w:p>
        </w:tc>
        <w:tc>
          <w:tcPr>
            <w:tcW w:w="938" w:type="dxa"/>
            <w:noWrap w:val="0"/>
            <w:vAlign w:val="center"/>
          </w:tcPr>
          <w:p w14:paraId="5BDFD982">
            <w:pPr>
              <w:jc w:val="center"/>
              <w:rPr>
                <w:rFonts w:hint="eastAsia" w:ascii="宋体" w:hAnsi="宋体"/>
                <w:kern w:val="10"/>
                <w:szCs w:val="21"/>
              </w:rPr>
            </w:pPr>
            <w:r>
              <w:rPr>
                <w:rFonts w:hint="eastAsia" w:ascii="宋体" w:hAnsi="宋体"/>
                <w:kern w:val="10"/>
                <w:szCs w:val="21"/>
              </w:rPr>
              <w:t>27.49</w:t>
            </w:r>
          </w:p>
        </w:tc>
        <w:tc>
          <w:tcPr>
            <w:tcW w:w="912" w:type="dxa"/>
            <w:vMerge w:val="continue"/>
            <w:noWrap w:val="0"/>
            <w:vAlign w:val="center"/>
          </w:tcPr>
          <w:p w14:paraId="7F369EF8">
            <w:pPr>
              <w:jc w:val="center"/>
              <w:rPr>
                <w:rFonts w:hint="eastAsia" w:ascii="宋体" w:hAnsi="宋体"/>
                <w:kern w:val="10"/>
                <w:szCs w:val="21"/>
              </w:rPr>
            </w:pPr>
          </w:p>
        </w:tc>
        <w:tc>
          <w:tcPr>
            <w:tcW w:w="1064" w:type="dxa"/>
            <w:noWrap w:val="0"/>
            <w:vAlign w:val="center"/>
          </w:tcPr>
          <w:p w14:paraId="2CB4A581">
            <w:pPr>
              <w:jc w:val="center"/>
              <w:rPr>
                <w:rFonts w:hint="eastAsia" w:ascii="宋体" w:hAnsi="宋体"/>
                <w:kern w:val="10"/>
                <w:szCs w:val="21"/>
              </w:rPr>
            </w:pPr>
            <w:r>
              <w:rPr>
                <w:rFonts w:hint="eastAsia" w:ascii="宋体" w:hAnsi="宋体"/>
                <w:kern w:val="10"/>
                <w:szCs w:val="21"/>
              </w:rPr>
              <w:t>101.66</w:t>
            </w:r>
          </w:p>
        </w:tc>
      </w:tr>
      <w:tr w14:paraId="63DB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5E00A544">
            <w:pPr>
              <w:jc w:val="center"/>
              <w:rPr>
                <w:rFonts w:hint="eastAsia" w:ascii="宋体" w:hAnsi="宋体"/>
                <w:kern w:val="10"/>
                <w:szCs w:val="21"/>
              </w:rPr>
            </w:pPr>
          </w:p>
        </w:tc>
        <w:tc>
          <w:tcPr>
            <w:tcW w:w="905" w:type="dxa"/>
            <w:noWrap w:val="0"/>
            <w:vAlign w:val="center"/>
          </w:tcPr>
          <w:p w14:paraId="39F40BC7">
            <w:pPr>
              <w:rPr>
                <w:rFonts w:hint="eastAsia" w:ascii="宋体" w:hAnsi="宋体"/>
                <w:kern w:val="10"/>
                <w:szCs w:val="21"/>
              </w:rPr>
            </w:pPr>
            <w:r>
              <w:rPr>
                <w:rFonts w:ascii="宋体" w:hAnsi="宋体"/>
                <w:kern w:val="10"/>
                <w:szCs w:val="21"/>
              </w:rPr>
              <w:t>K109-b</w:t>
            </w:r>
          </w:p>
        </w:tc>
        <w:tc>
          <w:tcPr>
            <w:tcW w:w="1021" w:type="dxa"/>
            <w:noWrap w:val="0"/>
            <w:vAlign w:val="center"/>
          </w:tcPr>
          <w:p w14:paraId="15A55530">
            <w:pPr>
              <w:jc w:val="center"/>
              <w:rPr>
                <w:rFonts w:hint="eastAsia" w:ascii="宋体" w:hAnsi="宋体"/>
                <w:kern w:val="10"/>
                <w:szCs w:val="21"/>
              </w:rPr>
            </w:pPr>
            <w:r>
              <w:rPr>
                <w:rFonts w:hint="eastAsia" w:ascii="宋体" w:hAnsi="宋体"/>
                <w:kern w:val="10"/>
                <w:szCs w:val="21"/>
              </w:rPr>
              <w:t>154.8</w:t>
            </w:r>
          </w:p>
        </w:tc>
        <w:tc>
          <w:tcPr>
            <w:tcW w:w="1196" w:type="dxa"/>
            <w:noWrap w:val="0"/>
            <w:vAlign w:val="center"/>
          </w:tcPr>
          <w:p w14:paraId="123A7B35">
            <w:pPr>
              <w:jc w:val="center"/>
              <w:rPr>
                <w:rFonts w:hint="eastAsia" w:ascii="宋体" w:hAnsi="宋体"/>
                <w:kern w:val="10"/>
                <w:szCs w:val="21"/>
              </w:rPr>
            </w:pPr>
            <w:r>
              <w:rPr>
                <w:rFonts w:hint="eastAsia" w:ascii="宋体" w:hAnsi="宋体"/>
                <w:kern w:val="10"/>
                <w:szCs w:val="21"/>
              </w:rPr>
              <w:t>132.54</w:t>
            </w:r>
          </w:p>
        </w:tc>
        <w:tc>
          <w:tcPr>
            <w:tcW w:w="1056" w:type="dxa"/>
            <w:noWrap w:val="0"/>
            <w:vAlign w:val="center"/>
          </w:tcPr>
          <w:p w14:paraId="63C23B28">
            <w:pPr>
              <w:jc w:val="center"/>
              <w:rPr>
                <w:rFonts w:hint="eastAsia" w:ascii="宋体" w:hAnsi="宋体"/>
                <w:kern w:val="10"/>
                <w:szCs w:val="21"/>
              </w:rPr>
            </w:pPr>
            <w:r>
              <w:rPr>
                <w:rFonts w:hint="eastAsia" w:ascii="宋体" w:hAnsi="宋体"/>
                <w:kern w:val="10"/>
                <w:szCs w:val="21"/>
              </w:rPr>
              <w:t>9.18</w:t>
            </w:r>
          </w:p>
        </w:tc>
        <w:tc>
          <w:tcPr>
            <w:tcW w:w="1138" w:type="dxa"/>
            <w:noWrap w:val="0"/>
            <w:vAlign w:val="center"/>
          </w:tcPr>
          <w:p w14:paraId="6CFCC741">
            <w:pPr>
              <w:jc w:val="center"/>
              <w:rPr>
                <w:rFonts w:hint="eastAsia" w:ascii="宋体" w:hAnsi="宋体"/>
                <w:kern w:val="10"/>
                <w:szCs w:val="21"/>
              </w:rPr>
            </w:pPr>
            <w:r>
              <w:rPr>
                <w:rFonts w:hint="eastAsia" w:ascii="宋体" w:hAnsi="宋体"/>
                <w:kern w:val="10"/>
                <w:szCs w:val="21"/>
              </w:rPr>
              <w:t>123.36</w:t>
            </w:r>
          </w:p>
        </w:tc>
        <w:tc>
          <w:tcPr>
            <w:tcW w:w="938" w:type="dxa"/>
            <w:noWrap w:val="0"/>
            <w:vAlign w:val="center"/>
          </w:tcPr>
          <w:p w14:paraId="60F20899">
            <w:pPr>
              <w:jc w:val="center"/>
              <w:rPr>
                <w:rFonts w:hint="eastAsia" w:ascii="宋体" w:hAnsi="宋体"/>
                <w:kern w:val="10"/>
                <w:szCs w:val="21"/>
              </w:rPr>
            </w:pPr>
            <w:r>
              <w:rPr>
                <w:rFonts w:hint="eastAsia" w:ascii="宋体" w:hAnsi="宋体"/>
                <w:kern w:val="10"/>
                <w:szCs w:val="21"/>
              </w:rPr>
              <w:t>16.18</w:t>
            </w:r>
          </w:p>
        </w:tc>
        <w:tc>
          <w:tcPr>
            <w:tcW w:w="912" w:type="dxa"/>
            <w:vMerge w:val="continue"/>
            <w:noWrap w:val="0"/>
            <w:vAlign w:val="center"/>
          </w:tcPr>
          <w:p w14:paraId="30684DC5">
            <w:pPr>
              <w:jc w:val="center"/>
              <w:rPr>
                <w:rFonts w:hint="eastAsia" w:ascii="宋体" w:hAnsi="宋体"/>
                <w:kern w:val="10"/>
                <w:szCs w:val="21"/>
              </w:rPr>
            </w:pPr>
          </w:p>
        </w:tc>
        <w:tc>
          <w:tcPr>
            <w:tcW w:w="1064" w:type="dxa"/>
            <w:noWrap w:val="0"/>
            <w:vAlign w:val="center"/>
          </w:tcPr>
          <w:p w14:paraId="3B6E1747">
            <w:pPr>
              <w:jc w:val="center"/>
              <w:rPr>
                <w:rFonts w:hint="eastAsia" w:ascii="宋体" w:hAnsi="宋体"/>
                <w:kern w:val="10"/>
                <w:szCs w:val="21"/>
              </w:rPr>
            </w:pPr>
            <w:r>
              <w:rPr>
                <w:rFonts w:hint="eastAsia" w:ascii="宋体" w:hAnsi="宋体"/>
                <w:kern w:val="10"/>
                <w:szCs w:val="21"/>
              </w:rPr>
              <w:t>85.74</w:t>
            </w:r>
          </w:p>
        </w:tc>
      </w:tr>
      <w:tr w14:paraId="2FE8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6032656E">
            <w:pPr>
              <w:jc w:val="center"/>
              <w:rPr>
                <w:rFonts w:hint="eastAsia" w:ascii="宋体" w:hAnsi="宋体"/>
                <w:kern w:val="10"/>
                <w:szCs w:val="21"/>
              </w:rPr>
            </w:pPr>
          </w:p>
        </w:tc>
        <w:tc>
          <w:tcPr>
            <w:tcW w:w="905" w:type="dxa"/>
            <w:noWrap w:val="0"/>
            <w:vAlign w:val="center"/>
          </w:tcPr>
          <w:p w14:paraId="6AB3B83D">
            <w:pPr>
              <w:rPr>
                <w:rFonts w:hint="eastAsia" w:ascii="宋体" w:hAnsi="宋体"/>
                <w:kern w:val="10"/>
                <w:szCs w:val="21"/>
              </w:rPr>
            </w:pPr>
            <w:r>
              <w:rPr>
                <w:rFonts w:ascii="宋体" w:hAnsi="宋体"/>
                <w:kern w:val="10"/>
                <w:szCs w:val="21"/>
              </w:rPr>
              <w:t>K110-a</w:t>
            </w:r>
          </w:p>
        </w:tc>
        <w:tc>
          <w:tcPr>
            <w:tcW w:w="1021" w:type="dxa"/>
            <w:noWrap w:val="0"/>
            <w:vAlign w:val="center"/>
          </w:tcPr>
          <w:p w14:paraId="11792F91">
            <w:pPr>
              <w:jc w:val="center"/>
              <w:rPr>
                <w:rFonts w:hint="eastAsia" w:ascii="宋体" w:hAnsi="宋体"/>
                <w:kern w:val="10"/>
                <w:szCs w:val="21"/>
              </w:rPr>
            </w:pPr>
            <w:r>
              <w:rPr>
                <w:rFonts w:hint="eastAsia" w:ascii="宋体" w:hAnsi="宋体"/>
                <w:kern w:val="10"/>
                <w:szCs w:val="21"/>
              </w:rPr>
              <w:t>247.5</w:t>
            </w:r>
          </w:p>
        </w:tc>
        <w:tc>
          <w:tcPr>
            <w:tcW w:w="1196" w:type="dxa"/>
            <w:noWrap w:val="0"/>
            <w:vAlign w:val="center"/>
          </w:tcPr>
          <w:p w14:paraId="7229817C">
            <w:pPr>
              <w:jc w:val="center"/>
              <w:rPr>
                <w:rFonts w:hint="eastAsia" w:ascii="宋体" w:hAnsi="宋体"/>
                <w:kern w:val="10"/>
                <w:szCs w:val="21"/>
              </w:rPr>
            </w:pPr>
            <w:r>
              <w:rPr>
                <w:rFonts w:hint="eastAsia" w:ascii="宋体" w:hAnsi="宋体"/>
                <w:kern w:val="10"/>
                <w:szCs w:val="21"/>
              </w:rPr>
              <w:t>225.82</w:t>
            </w:r>
          </w:p>
        </w:tc>
        <w:tc>
          <w:tcPr>
            <w:tcW w:w="1056" w:type="dxa"/>
            <w:noWrap w:val="0"/>
            <w:vAlign w:val="center"/>
          </w:tcPr>
          <w:p w14:paraId="3476172E">
            <w:pPr>
              <w:jc w:val="center"/>
              <w:rPr>
                <w:rFonts w:hint="eastAsia" w:ascii="宋体" w:hAnsi="宋体"/>
                <w:kern w:val="10"/>
                <w:szCs w:val="21"/>
              </w:rPr>
            </w:pPr>
            <w:r>
              <w:rPr>
                <w:rFonts w:hint="eastAsia" w:ascii="宋体" w:hAnsi="宋体"/>
                <w:kern w:val="10"/>
                <w:szCs w:val="21"/>
              </w:rPr>
              <w:t>11.47</w:t>
            </w:r>
          </w:p>
        </w:tc>
        <w:tc>
          <w:tcPr>
            <w:tcW w:w="1138" w:type="dxa"/>
            <w:noWrap w:val="0"/>
            <w:vAlign w:val="center"/>
          </w:tcPr>
          <w:p w14:paraId="09E9FC59">
            <w:pPr>
              <w:jc w:val="center"/>
              <w:rPr>
                <w:rFonts w:hint="eastAsia" w:ascii="宋体" w:hAnsi="宋体"/>
                <w:kern w:val="10"/>
                <w:szCs w:val="21"/>
              </w:rPr>
            </w:pPr>
            <w:r>
              <w:rPr>
                <w:rFonts w:hint="eastAsia" w:ascii="宋体" w:hAnsi="宋体"/>
                <w:kern w:val="10"/>
                <w:szCs w:val="21"/>
              </w:rPr>
              <w:t>214.35</w:t>
            </w:r>
          </w:p>
        </w:tc>
        <w:tc>
          <w:tcPr>
            <w:tcW w:w="938" w:type="dxa"/>
            <w:noWrap w:val="0"/>
            <w:vAlign w:val="center"/>
          </w:tcPr>
          <w:p w14:paraId="40854618">
            <w:pPr>
              <w:jc w:val="center"/>
              <w:rPr>
                <w:rFonts w:hint="eastAsia" w:ascii="宋体" w:hAnsi="宋体"/>
                <w:kern w:val="10"/>
                <w:szCs w:val="21"/>
              </w:rPr>
            </w:pPr>
            <w:r>
              <w:rPr>
                <w:rFonts w:hint="eastAsia" w:ascii="宋体" w:hAnsi="宋体"/>
                <w:kern w:val="10"/>
                <w:szCs w:val="21"/>
              </w:rPr>
              <w:t>17.16</w:t>
            </w:r>
          </w:p>
        </w:tc>
        <w:tc>
          <w:tcPr>
            <w:tcW w:w="912" w:type="dxa"/>
            <w:vMerge w:val="continue"/>
            <w:noWrap w:val="0"/>
            <w:vAlign w:val="center"/>
          </w:tcPr>
          <w:p w14:paraId="3CD1F522">
            <w:pPr>
              <w:jc w:val="center"/>
              <w:rPr>
                <w:rFonts w:hint="eastAsia" w:ascii="宋体" w:hAnsi="宋体"/>
                <w:kern w:val="10"/>
                <w:szCs w:val="21"/>
              </w:rPr>
            </w:pPr>
          </w:p>
        </w:tc>
        <w:tc>
          <w:tcPr>
            <w:tcW w:w="1064" w:type="dxa"/>
            <w:noWrap w:val="0"/>
            <w:vAlign w:val="center"/>
          </w:tcPr>
          <w:p w14:paraId="5CEF6A99">
            <w:pPr>
              <w:jc w:val="center"/>
              <w:rPr>
                <w:rFonts w:hint="eastAsia" w:ascii="宋体" w:hAnsi="宋体"/>
                <w:kern w:val="10"/>
                <w:szCs w:val="21"/>
              </w:rPr>
            </w:pPr>
            <w:r>
              <w:rPr>
                <w:rFonts w:hint="eastAsia" w:ascii="宋体" w:hAnsi="宋体"/>
                <w:kern w:val="10"/>
                <w:szCs w:val="21"/>
              </w:rPr>
              <w:t>157.75</w:t>
            </w:r>
          </w:p>
        </w:tc>
      </w:tr>
      <w:tr w14:paraId="0021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1733" w:type="dxa"/>
            <w:gridSpan w:val="2"/>
            <w:noWrap w:val="0"/>
            <w:vAlign w:val="center"/>
          </w:tcPr>
          <w:p w14:paraId="5E04A08F">
            <w:pPr>
              <w:jc w:val="center"/>
              <w:rPr>
                <w:rFonts w:ascii="宋体" w:hAnsi="宋体"/>
                <w:kern w:val="10"/>
                <w:szCs w:val="21"/>
              </w:rPr>
            </w:pPr>
            <w:r>
              <w:rPr>
                <w:rFonts w:hint="eastAsia" w:ascii="宋体" w:hAnsi="宋体"/>
                <w:szCs w:val="21"/>
              </w:rPr>
              <w:t>合   计</w:t>
            </w:r>
          </w:p>
        </w:tc>
        <w:tc>
          <w:tcPr>
            <w:tcW w:w="1021" w:type="dxa"/>
            <w:noWrap w:val="0"/>
            <w:vAlign w:val="center"/>
          </w:tcPr>
          <w:p w14:paraId="62A63AE9">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w:instrText>
            </w:r>
            <w:r>
              <w:rPr>
                <w:rFonts w:hint="eastAsia" w:ascii="宋体" w:hAnsi="宋体"/>
                <w:kern w:val="10"/>
                <w:szCs w:val="21"/>
              </w:rPr>
              <w:instrText xml:space="preserve">=SUM(ABOVE)</w:instrText>
            </w:r>
            <w:r>
              <w:rPr>
                <w:rFonts w:ascii="宋体" w:hAnsi="宋体"/>
                <w:kern w:val="10"/>
                <w:szCs w:val="21"/>
              </w:rPr>
              <w:instrText xml:space="preserve"> </w:instrText>
            </w:r>
            <w:r>
              <w:rPr>
                <w:rFonts w:ascii="宋体" w:hAnsi="宋体"/>
                <w:kern w:val="10"/>
                <w:szCs w:val="21"/>
              </w:rPr>
              <w:fldChar w:fldCharType="separate"/>
            </w:r>
            <w:r>
              <w:rPr>
                <w:rFonts w:ascii="宋体" w:hAnsi="宋体"/>
                <w:kern w:val="10"/>
                <w:szCs w:val="21"/>
                <w:lang/>
              </w:rPr>
              <w:t>1072</w:t>
            </w:r>
            <w:r>
              <w:rPr>
                <w:rFonts w:ascii="宋体" w:hAnsi="宋体"/>
                <w:kern w:val="10"/>
                <w:szCs w:val="21"/>
              </w:rPr>
              <w:fldChar w:fldCharType="end"/>
            </w:r>
          </w:p>
        </w:tc>
        <w:tc>
          <w:tcPr>
            <w:tcW w:w="1196" w:type="dxa"/>
            <w:noWrap w:val="0"/>
            <w:vAlign w:val="center"/>
          </w:tcPr>
          <w:p w14:paraId="353667B5">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=SUM(ABOVE) </w:instrText>
            </w:r>
            <w:r>
              <w:rPr>
                <w:rFonts w:ascii="宋体" w:hAnsi="宋体"/>
                <w:kern w:val="10"/>
                <w:szCs w:val="21"/>
              </w:rPr>
              <w:fldChar w:fldCharType="separate"/>
            </w:r>
            <w:r>
              <w:rPr>
                <w:rFonts w:ascii="宋体" w:hAnsi="宋体"/>
                <w:kern w:val="10"/>
                <w:szCs w:val="21"/>
                <w:lang/>
              </w:rPr>
              <w:t>995.22</w:t>
            </w:r>
            <w:r>
              <w:rPr>
                <w:rFonts w:ascii="宋体" w:hAnsi="宋体"/>
                <w:kern w:val="10"/>
                <w:szCs w:val="21"/>
              </w:rPr>
              <w:fldChar w:fldCharType="end"/>
            </w:r>
          </w:p>
        </w:tc>
        <w:tc>
          <w:tcPr>
            <w:tcW w:w="1056" w:type="dxa"/>
            <w:noWrap w:val="0"/>
            <w:vAlign w:val="center"/>
          </w:tcPr>
          <w:p w14:paraId="4FEAAAAA">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=SUM(ABOVE) </w:instrText>
            </w:r>
            <w:r>
              <w:rPr>
                <w:rFonts w:ascii="宋体" w:hAnsi="宋体"/>
                <w:kern w:val="10"/>
                <w:szCs w:val="21"/>
              </w:rPr>
              <w:fldChar w:fldCharType="separate"/>
            </w:r>
            <w:r>
              <w:rPr>
                <w:rFonts w:ascii="宋体" w:hAnsi="宋体"/>
                <w:kern w:val="10"/>
                <w:szCs w:val="21"/>
                <w:lang/>
              </w:rPr>
              <w:t>135.99</w:t>
            </w:r>
            <w:r>
              <w:rPr>
                <w:rFonts w:ascii="宋体" w:hAnsi="宋体"/>
                <w:kern w:val="10"/>
                <w:szCs w:val="21"/>
              </w:rPr>
              <w:fldChar w:fldCharType="end"/>
            </w:r>
          </w:p>
        </w:tc>
        <w:tc>
          <w:tcPr>
            <w:tcW w:w="1138" w:type="dxa"/>
            <w:noWrap w:val="0"/>
            <w:vAlign w:val="center"/>
          </w:tcPr>
          <w:p w14:paraId="7CD379E2">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=SUM(ABOVE) </w:instrText>
            </w:r>
            <w:r>
              <w:rPr>
                <w:rFonts w:ascii="宋体" w:hAnsi="宋体"/>
                <w:kern w:val="10"/>
                <w:szCs w:val="21"/>
              </w:rPr>
              <w:fldChar w:fldCharType="separate"/>
            </w:r>
            <w:r>
              <w:rPr>
                <w:rFonts w:ascii="宋体" w:hAnsi="宋体"/>
                <w:kern w:val="10"/>
                <w:szCs w:val="21"/>
                <w:lang/>
              </w:rPr>
              <w:t>859.23</w:t>
            </w:r>
            <w:r>
              <w:rPr>
                <w:rFonts w:ascii="宋体" w:hAnsi="宋体"/>
                <w:kern w:val="10"/>
                <w:szCs w:val="21"/>
              </w:rPr>
              <w:fldChar w:fldCharType="end"/>
            </w:r>
          </w:p>
        </w:tc>
        <w:tc>
          <w:tcPr>
            <w:tcW w:w="938" w:type="dxa"/>
            <w:noWrap w:val="0"/>
            <w:vAlign w:val="center"/>
          </w:tcPr>
          <w:p w14:paraId="6ECEE337">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=SUM(ABOVE) </w:instrText>
            </w:r>
            <w:r>
              <w:rPr>
                <w:rFonts w:ascii="宋体" w:hAnsi="宋体"/>
                <w:kern w:val="10"/>
                <w:szCs w:val="21"/>
              </w:rPr>
              <w:fldChar w:fldCharType="separate"/>
            </w:r>
            <w:r>
              <w:rPr>
                <w:rFonts w:ascii="宋体" w:hAnsi="宋体"/>
                <w:kern w:val="10"/>
                <w:szCs w:val="21"/>
                <w:lang/>
              </w:rPr>
              <w:t>79.06</w:t>
            </w:r>
            <w:r>
              <w:rPr>
                <w:rFonts w:ascii="宋体" w:hAnsi="宋体"/>
                <w:kern w:val="10"/>
                <w:szCs w:val="21"/>
              </w:rPr>
              <w:fldChar w:fldCharType="end"/>
            </w:r>
          </w:p>
        </w:tc>
        <w:tc>
          <w:tcPr>
            <w:tcW w:w="912" w:type="dxa"/>
            <w:noWrap w:val="0"/>
            <w:vAlign w:val="center"/>
          </w:tcPr>
          <w:p w14:paraId="58C1EB5E">
            <w:pPr>
              <w:jc w:val="center"/>
              <w:rPr>
                <w:rFonts w:hint="eastAsia" w:ascii="宋体" w:hAnsi="宋体"/>
                <w:kern w:val="10"/>
                <w:szCs w:val="21"/>
              </w:rPr>
            </w:pPr>
          </w:p>
        </w:tc>
        <w:tc>
          <w:tcPr>
            <w:tcW w:w="1064" w:type="dxa"/>
            <w:noWrap w:val="0"/>
            <w:vAlign w:val="center"/>
          </w:tcPr>
          <w:p w14:paraId="70B948E8">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=SUM(ABOVE) </w:instrText>
            </w:r>
            <w:r>
              <w:rPr>
                <w:rFonts w:ascii="宋体" w:hAnsi="宋体"/>
                <w:kern w:val="10"/>
                <w:szCs w:val="21"/>
              </w:rPr>
              <w:fldChar w:fldCharType="separate"/>
            </w:r>
            <w:r>
              <w:rPr>
                <w:rFonts w:ascii="宋体" w:hAnsi="宋体"/>
                <w:kern w:val="10"/>
                <w:szCs w:val="21"/>
                <w:lang/>
              </w:rPr>
              <w:t>624.14</w:t>
            </w:r>
            <w:r>
              <w:rPr>
                <w:rFonts w:ascii="宋体" w:hAnsi="宋体"/>
                <w:kern w:val="10"/>
                <w:szCs w:val="21"/>
              </w:rPr>
              <w:fldChar w:fldCharType="end"/>
            </w:r>
          </w:p>
        </w:tc>
      </w:tr>
      <w:tr w14:paraId="3B39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restart"/>
            <w:noWrap w:val="0"/>
            <w:vAlign w:val="center"/>
          </w:tcPr>
          <w:p w14:paraId="38CA5EF3">
            <w:pPr>
              <w:jc w:val="center"/>
              <w:rPr>
                <w:rFonts w:hint="eastAsia" w:ascii="宋体" w:hAnsi="宋体"/>
                <w:szCs w:val="21"/>
              </w:rPr>
            </w:pPr>
            <w:r>
              <w:rPr>
                <w:rFonts w:hint="eastAsia" w:ascii="宋体" w:hAnsi="宋体"/>
                <w:szCs w:val="21"/>
              </w:rPr>
              <w:t>薄</w:t>
            </w:r>
          </w:p>
          <w:p w14:paraId="1B6181BB">
            <w:pPr>
              <w:jc w:val="center"/>
              <w:rPr>
                <w:rFonts w:hint="eastAsia" w:ascii="宋体" w:hAnsi="宋体"/>
                <w:szCs w:val="21"/>
              </w:rPr>
            </w:pPr>
            <w:r>
              <w:rPr>
                <w:rFonts w:hint="eastAsia" w:ascii="宋体" w:hAnsi="宋体"/>
                <w:szCs w:val="21"/>
              </w:rPr>
              <w:t>煤</w:t>
            </w:r>
          </w:p>
          <w:p w14:paraId="70F83ED3">
            <w:pPr>
              <w:jc w:val="center"/>
              <w:rPr>
                <w:rFonts w:hint="eastAsia" w:ascii="宋体" w:hAnsi="宋体"/>
                <w:kern w:val="10"/>
                <w:szCs w:val="21"/>
              </w:rPr>
            </w:pPr>
            <w:r>
              <w:rPr>
                <w:rFonts w:hint="eastAsia" w:ascii="宋体" w:hAnsi="宋体"/>
                <w:szCs w:val="21"/>
              </w:rPr>
              <w:t>层</w:t>
            </w:r>
          </w:p>
        </w:tc>
        <w:tc>
          <w:tcPr>
            <w:tcW w:w="905" w:type="dxa"/>
            <w:noWrap w:val="0"/>
            <w:vAlign w:val="center"/>
          </w:tcPr>
          <w:p w14:paraId="21120527">
            <w:pPr>
              <w:rPr>
                <w:rFonts w:hint="eastAsia" w:ascii="宋体" w:hAnsi="宋体"/>
                <w:kern w:val="10"/>
                <w:szCs w:val="21"/>
              </w:rPr>
            </w:pPr>
            <w:r>
              <w:rPr>
                <w:rFonts w:hint="eastAsia" w:ascii="宋体" w:hAnsi="宋体"/>
                <w:spacing w:val="-2"/>
                <w:szCs w:val="21"/>
              </w:rPr>
              <w:t>K3</w:t>
            </w:r>
          </w:p>
        </w:tc>
        <w:tc>
          <w:tcPr>
            <w:tcW w:w="1021" w:type="dxa"/>
            <w:noWrap w:val="0"/>
            <w:vAlign w:val="center"/>
          </w:tcPr>
          <w:p w14:paraId="13F46448">
            <w:pPr>
              <w:jc w:val="center"/>
              <w:rPr>
                <w:rFonts w:hint="eastAsia" w:ascii="宋体" w:hAnsi="宋体"/>
                <w:kern w:val="10"/>
                <w:szCs w:val="21"/>
              </w:rPr>
            </w:pPr>
            <w:r>
              <w:rPr>
                <w:rFonts w:hint="eastAsia" w:ascii="宋体" w:hAnsi="宋体"/>
                <w:kern w:val="10"/>
                <w:szCs w:val="21"/>
              </w:rPr>
              <w:t>110.4</w:t>
            </w:r>
          </w:p>
        </w:tc>
        <w:tc>
          <w:tcPr>
            <w:tcW w:w="1196" w:type="dxa"/>
            <w:noWrap w:val="0"/>
            <w:vAlign w:val="center"/>
          </w:tcPr>
          <w:p w14:paraId="441682A6">
            <w:pPr>
              <w:jc w:val="center"/>
              <w:rPr>
                <w:rFonts w:hint="eastAsia" w:ascii="宋体" w:hAnsi="宋体"/>
                <w:kern w:val="10"/>
                <w:szCs w:val="21"/>
              </w:rPr>
            </w:pPr>
            <w:r>
              <w:rPr>
                <w:rFonts w:hint="eastAsia" w:ascii="宋体" w:hAnsi="宋体"/>
                <w:kern w:val="10"/>
                <w:szCs w:val="21"/>
              </w:rPr>
              <w:t>98.78</w:t>
            </w:r>
          </w:p>
        </w:tc>
        <w:tc>
          <w:tcPr>
            <w:tcW w:w="1056" w:type="dxa"/>
            <w:noWrap w:val="0"/>
            <w:vAlign w:val="center"/>
          </w:tcPr>
          <w:p w14:paraId="624316C2">
            <w:pPr>
              <w:jc w:val="center"/>
              <w:rPr>
                <w:rFonts w:hint="eastAsia" w:ascii="宋体" w:hAnsi="宋体"/>
                <w:kern w:val="10"/>
                <w:szCs w:val="21"/>
              </w:rPr>
            </w:pPr>
            <w:r>
              <w:rPr>
                <w:rFonts w:hint="eastAsia" w:ascii="宋体" w:hAnsi="宋体"/>
                <w:kern w:val="10"/>
                <w:szCs w:val="21"/>
              </w:rPr>
              <w:t>9.72</w:t>
            </w:r>
          </w:p>
        </w:tc>
        <w:tc>
          <w:tcPr>
            <w:tcW w:w="1138" w:type="dxa"/>
            <w:noWrap w:val="0"/>
            <w:vAlign w:val="center"/>
          </w:tcPr>
          <w:p w14:paraId="50E13631">
            <w:pPr>
              <w:jc w:val="center"/>
              <w:rPr>
                <w:rFonts w:hint="eastAsia" w:ascii="宋体" w:hAnsi="宋体"/>
                <w:kern w:val="10"/>
                <w:szCs w:val="21"/>
              </w:rPr>
            </w:pPr>
            <w:r>
              <w:rPr>
                <w:rFonts w:hint="eastAsia" w:ascii="宋体" w:hAnsi="宋体"/>
                <w:kern w:val="10"/>
                <w:szCs w:val="21"/>
              </w:rPr>
              <w:t>89.06</w:t>
            </w:r>
          </w:p>
        </w:tc>
        <w:tc>
          <w:tcPr>
            <w:tcW w:w="938" w:type="dxa"/>
            <w:noWrap w:val="0"/>
            <w:vAlign w:val="center"/>
          </w:tcPr>
          <w:p w14:paraId="2328491D">
            <w:pPr>
              <w:jc w:val="center"/>
              <w:rPr>
                <w:rFonts w:hint="eastAsia" w:ascii="宋体" w:hAnsi="宋体"/>
                <w:kern w:val="10"/>
                <w:szCs w:val="21"/>
              </w:rPr>
            </w:pPr>
            <w:r>
              <w:rPr>
                <w:rFonts w:hint="eastAsia" w:ascii="宋体" w:hAnsi="宋体"/>
                <w:kern w:val="10"/>
                <w:szCs w:val="21"/>
              </w:rPr>
              <w:t>0</w:t>
            </w:r>
          </w:p>
        </w:tc>
        <w:tc>
          <w:tcPr>
            <w:tcW w:w="912" w:type="dxa"/>
            <w:vMerge w:val="restart"/>
            <w:noWrap w:val="0"/>
            <w:vAlign w:val="center"/>
          </w:tcPr>
          <w:p w14:paraId="73571F11">
            <w:pPr>
              <w:jc w:val="center"/>
              <w:rPr>
                <w:rFonts w:hint="eastAsia" w:ascii="宋体" w:hAnsi="宋体"/>
                <w:kern w:val="10"/>
                <w:szCs w:val="21"/>
              </w:rPr>
            </w:pPr>
            <w:r>
              <w:rPr>
                <w:rFonts w:hint="eastAsia" w:ascii="宋体" w:hAnsi="宋体"/>
                <w:kern w:val="10"/>
                <w:szCs w:val="21"/>
              </w:rPr>
              <w:t>0.85</w:t>
            </w:r>
          </w:p>
        </w:tc>
        <w:tc>
          <w:tcPr>
            <w:tcW w:w="1064" w:type="dxa"/>
            <w:noWrap w:val="0"/>
            <w:vAlign w:val="center"/>
          </w:tcPr>
          <w:p w14:paraId="381C867A">
            <w:pPr>
              <w:jc w:val="center"/>
              <w:rPr>
                <w:rFonts w:hint="eastAsia" w:ascii="宋体" w:hAnsi="宋体"/>
                <w:kern w:val="10"/>
                <w:szCs w:val="21"/>
              </w:rPr>
            </w:pPr>
            <w:r>
              <w:rPr>
                <w:rFonts w:hint="eastAsia" w:ascii="宋体" w:hAnsi="宋体"/>
                <w:kern w:val="10"/>
                <w:szCs w:val="21"/>
              </w:rPr>
              <w:t>75.71</w:t>
            </w:r>
          </w:p>
        </w:tc>
      </w:tr>
      <w:tr w14:paraId="434A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19DAAC6C">
            <w:pPr>
              <w:jc w:val="center"/>
              <w:rPr>
                <w:rFonts w:hint="eastAsia" w:ascii="宋体" w:hAnsi="宋体"/>
                <w:szCs w:val="21"/>
              </w:rPr>
            </w:pPr>
          </w:p>
        </w:tc>
        <w:tc>
          <w:tcPr>
            <w:tcW w:w="905" w:type="dxa"/>
            <w:noWrap w:val="0"/>
            <w:vAlign w:val="center"/>
          </w:tcPr>
          <w:p w14:paraId="237F7B20">
            <w:pPr>
              <w:rPr>
                <w:rFonts w:hint="eastAsia" w:ascii="宋体" w:hAnsi="宋体"/>
                <w:kern w:val="10"/>
                <w:szCs w:val="21"/>
              </w:rPr>
            </w:pPr>
            <w:r>
              <w:rPr>
                <w:rFonts w:hint="eastAsia" w:ascii="宋体" w:hAnsi="宋体"/>
                <w:spacing w:val="-2"/>
                <w:szCs w:val="21"/>
              </w:rPr>
              <w:t>K10</w:t>
            </w:r>
          </w:p>
        </w:tc>
        <w:tc>
          <w:tcPr>
            <w:tcW w:w="1021" w:type="dxa"/>
            <w:noWrap w:val="0"/>
            <w:vAlign w:val="center"/>
          </w:tcPr>
          <w:p w14:paraId="58530A60">
            <w:pPr>
              <w:jc w:val="center"/>
              <w:rPr>
                <w:rFonts w:hint="eastAsia" w:ascii="宋体" w:hAnsi="宋体"/>
                <w:kern w:val="10"/>
                <w:szCs w:val="21"/>
              </w:rPr>
            </w:pPr>
            <w:r>
              <w:rPr>
                <w:rFonts w:hint="eastAsia" w:ascii="宋体" w:hAnsi="宋体"/>
                <w:kern w:val="10"/>
                <w:szCs w:val="21"/>
              </w:rPr>
              <w:t>28.2</w:t>
            </w:r>
          </w:p>
        </w:tc>
        <w:tc>
          <w:tcPr>
            <w:tcW w:w="1196" w:type="dxa"/>
            <w:noWrap w:val="0"/>
            <w:vAlign w:val="center"/>
          </w:tcPr>
          <w:p w14:paraId="7B223EB2">
            <w:pPr>
              <w:jc w:val="center"/>
              <w:rPr>
                <w:rFonts w:hint="eastAsia" w:ascii="宋体" w:hAnsi="宋体"/>
                <w:kern w:val="10"/>
                <w:szCs w:val="21"/>
              </w:rPr>
            </w:pPr>
            <w:r>
              <w:rPr>
                <w:rFonts w:hint="eastAsia" w:ascii="宋体" w:hAnsi="宋体"/>
                <w:kern w:val="10"/>
                <w:szCs w:val="21"/>
              </w:rPr>
              <w:t>22.56</w:t>
            </w:r>
          </w:p>
        </w:tc>
        <w:tc>
          <w:tcPr>
            <w:tcW w:w="1056" w:type="dxa"/>
            <w:noWrap w:val="0"/>
            <w:vAlign w:val="center"/>
          </w:tcPr>
          <w:p w14:paraId="6C709C17">
            <w:pPr>
              <w:jc w:val="center"/>
              <w:rPr>
                <w:rFonts w:hint="eastAsia" w:ascii="宋体" w:hAnsi="宋体"/>
                <w:kern w:val="10"/>
                <w:szCs w:val="21"/>
              </w:rPr>
            </w:pPr>
            <w:r>
              <w:rPr>
                <w:rFonts w:hint="eastAsia" w:ascii="宋体" w:hAnsi="宋体"/>
                <w:kern w:val="10"/>
                <w:szCs w:val="21"/>
              </w:rPr>
              <w:t>7.98</w:t>
            </w:r>
          </w:p>
        </w:tc>
        <w:tc>
          <w:tcPr>
            <w:tcW w:w="1138" w:type="dxa"/>
            <w:noWrap w:val="0"/>
            <w:vAlign w:val="center"/>
          </w:tcPr>
          <w:p w14:paraId="3CDF01B2">
            <w:pPr>
              <w:jc w:val="center"/>
              <w:rPr>
                <w:rFonts w:hint="eastAsia" w:ascii="宋体" w:hAnsi="宋体"/>
                <w:kern w:val="10"/>
                <w:szCs w:val="21"/>
              </w:rPr>
            </w:pPr>
            <w:r>
              <w:rPr>
                <w:rFonts w:hint="eastAsia" w:ascii="宋体" w:hAnsi="宋体"/>
                <w:kern w:val="10"/>
                <w:szCs w:val="21"/>
              </w:rPr>
              <w:t>14.58</w:t>
            </w:r>
          </w:p>
        </w:tc>
        <w:tc>
          <w:tcPr>
            <w:tcW w:w="938" w:type="dxa"/>
            <w:noWrap w:val="0"/>
            <w:vAlign w:val="center"/>
          </w:tcPr>
          <w:p w14:paraId="6E5249A1">
            <w:pPr>
              <w:jc w:val="center"/>
              <w:rPr>
                <w:rFonts w:hint="eastAsia" w:ascii="宋体" w:hAnsi="宋体"/>
                <w:kern w:val="10"/>
                <w:szCs w:val="21"/>
              </w:rPr>
            </w:pPr>
            <w:r>
              <w:rPr>
                <w:rFonts w:hint="eastAsia" w:ascii="宋体" w:hAnsi="宋体"/>
                <w:kern w:val="10"/>
                <w:szCs w:val="21"/>
              </w:rPr>
              <w:t>0</w:t>
            </w:r>
          </w:p>
        </w:tc>
        <w:tc>
          <w:tcPr>
            <w:tcW w:w="912" w:type="dxa"/>
            <w:vMerge w:val="continue"/>
            <w:noWrap w:val="0"/>
            <w:vAlign w:val="center"/>
          </w:tcPr>
          <w:p w14:paraId="2D996B1F">
            <w:pPr>
              <w:jc w:val="center"/>
              <w:rPr>
                <w:rFonts w:hint="eastAsia" w:ascii="宋体" w:hAnsi="宋体"/>
                <w:kern w:val="10"/>
                <w:szCs w:val="21"/>
              </w:rPr>
            </w:pPr>
          </w:p>
        </w:tc>
        <w:tc>
          <w:tcPr>
            <w:tcW w:w="1064" w:type="dxa"/>
            <w:noWrap w:val="0"/>
            <w:vAlign w:val="center"/>
          </w:tcPr>
          <w:p w14:paraId="7735F270">
            <w:pPr>
              <w:jc w:val="center"/>
              <w:rPr>
                <w:rFonts w:hint="eastAsia" w:ascii="宋体" w:hAnsi="宋体"/>
                <w:kern w:val="10"/>
                <w:szCs w:val="21"/>
              </w:rPr>
            </w:pPr>
            <w:r>
              <w:rPr>
                <w:rFonts w:hint="eastAsia" w:ascii="宋体" w:hAnsi="宋体"/>
                <w:kern w:val="10"/>
                <w:szCs w:val="21"/>
              </w:rPr>
              <w:t>12.39</w:t>
            </w:r>
          </w:p>
        </w:tc>
      </w:tr>
      <w:tr w14:paraId="1731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828" w:type="dxa"/>
            <w:vMerge w:val="continue"/>
            <w:noWrap w:val="0"/>
            <w:vAlign w:val="center"/>
          </w:tcPr>
          <w:p w14:paraId="643097FA">
            <w:pPr>
              <w:jc w:val="center"/>
              <w:rPr>
                <w:rFonts w:hint="eastAsia" w:ascii="宋体" w:hAnsi="宋体"/>
                <w:szCs w:val="21"/>
              </w:rPr>
            </w:pPr>
          </w:p>
        </w:tc>
        <w:tc>
          <w:tcPr>
            <w:tcW w:w="905" w:type="dxa"/>
            <w:noWrap w:val="0"/>
            <w:vAlign w:val="center"/>
          </w:tcPr>
          <w:p w14:paraId="1BC3D5C1">
            <w:pPr>
              <w:rPr>
                <w:rFonts w:hint="eastAsia" w:ascii="宋体" w:hAnsi="宋体"/>
                <w:kern w:val="10"/>
                <w:szCs w:val="21"/>
              </w:rPr>
            </w:pPr>
            <w:r>
              <w:rPr>
                <w:rFonts w:ascii="宋体" w:hAnsi="宋体"/>
                <w:szCs w:val="21"/>
              </w:rPr>
              <w:t>K35-b</w:t>
            </w:r>
          </w:p>
        </w:tc>
        <w:tc>
          <w:tcPr>
            <w:tcW w:w="1021" w:type="dxa"/>
            <w:noWrap w:val="0"/>
            <w:vAlign w:val="center"/>
          </w:tcPr>
          <w:p w14:paraId="23556B96">
            <w:pPr>
              <w:jc w:val="center"/>
              <w:rPr>
                <w:rFonts w:hint="eastAsia" w:ascii="宋体" w:hAnsi="宋体"/>
                <w:kern w:val="10"/>
                <w:szCs w:val="21"/>
              </w:rPr>
            </w:pPr>
            <w:r>
              <w:rPr>
                <w:rFonts w:hint="eastAsia" w:ascii="宋体" w:hAnsi="宋体"/>
                <w:kern w:val="10"/>
                <w:szCs w:val="21"/>
              </w:rPr>
              <w:t>46.5</w:t>
            </w:r>
          </w:p>
        </w:tc>
        <w:tc>
          <w:tcPr>
            <w:tcW w:w="1196" w:type="dxa"/>
            <w:noWrap w:val="0"/>
            <w:vAlign w:val="center"/>
          </w:tcPr>
          <w:p w14:paraId="06E185A8">
            <w:pPr>
              <w:jc w:val="center"/>
              <w:rPr>
                <w:rFonts w:hint="eastAsia" w:ascii="宋体" w:hAnsi="宋体"/>
                <w:kern w:val="10"/>
                <w:szCs w:val="21"/>
              </w:rPr>
            </w:pPr>
            <w:r>
              <w:rPr>
                <w:rFonts w:hint="eastAsia" w:ascii="宋体" w:hAnsi="宋体"/>
                <w:kern w:val="10"/>
                <w:szCs w:val="21"/>
              </w:rPr>
              <w:t>41.7</w:t>
            </w:r>
          </w:p>
        </w:tc>
        <w:tc>
          <w:tcPr>
            <w:tcW w:w="1056" w:type="dxa"/>
            <w:noWrap w:val="0"/>
            <w:vAlign w:val="center"/>
          </w:tcPr>
          <w:p w14:paraId="210ACF7D">
            <w:pPr>
              <w:jc w:val="center"/>
              <w:rPr>
                <w:rFonts w:hint="eastAsia" w:ascii="宋体" w:hAnsi="宋体"/>
                <w:kern w:val="10"/>
                <w:szCs w:val="21"/>
              </w:rPr>
            </w:pPr>
            <w:r>
              <w:rPr>
                <w:rFonts w:hint="eastAsia" w:ascii="宋体" w:hAnsi="宋体"/>
                <w:kern w:val="10"/>
                <w:szCs w:val="21"/>
              </w:rPr>
              <w:t>5.55</w:t>
            </w:r>
          </w:p>
        </w:tc>
        <w:tc>
          <w:tcPr>
            <w:tcW w:w="1138" w:type="dxa"/>
            <w:noWrap w:val="0"/>
            <w:vAlign w:val="center"/>
          </w:tcPr>
          <w:p w14:paraId="35003E26">
            <w:pPr>
              <w:jc w:val="center"/>
              <w:rPr>
                <w:rFonts w:hint="eastAsia" w:ascii="宋体" w:hAnsi="宋体"/>
                <w:kern w:val="10"/>
                <w:szCs w:val="21"/>
              </w:rPr>
            </w:pPr>
            <w:r>
              <w:rPr>
                <w:rFonts w:hint="eastAsia" w:ascii="宋体" w:hAnsi="宋体"/>
                <w:kern w:val="10"/>
                <w:szCs w:val="21"/>
              </w:rPr>
              <w:t>36.15</w:t>
            </w:r>
          </w:p>
        </w:tc>
        <w:tc>
          <w:tcPr>
            <w:tcW w:w="938" w:type="dxa"/>
            <w:noWrap w:val="0"/>
            <w:vAlign w:val="center"/>
          </w:tcPr>
          <w:p w14:paraId="2A378177">
            <w:pPr>
              <w:jc w:val="center"/>
              <w:rPr>
                <w:rFonts w:hint="eastAsia" w:ascii="宋体" w:hAnsi="宋体"/>
                <w:kern w:val="10"/>
                <w:szCs w:val="21"/>
              </w:rPr>
            </w:pPr>
            <w:r>
              <w:rPr>
                <w:rFonts w:hint="eastAsia" w:ascii="宋体" w:hAnsi="宋体"/>
                <w:kern w:val="10"/>
                <w:szCs w:val="21"/>
              </w:rPr>
              <w:t>5.91</w:t>
            </w:r>
          </w:p>
        </w:tc>
        <w:tc>
          <w:tcPr>
            <w:tcW w:w="912" w:type="dxa"/>
            <w:vMerge w:val="continue"/>
            <w:noWrap w:val="0"/>
            <w:vAlign w:val="center"/>
          </w:tcPr>
          <w:p w14:paraId="76347D09">
            <w:pPr>
              <w:jc w:val="center"/>
              <w:rPr>
                <w:rFonts w:hint="eastAsia" w:ascii="宋体" w:hAnsi="宋体"/>
                <w:kern w:val="10"/>
                <w:szCs w:val="21"/>
              </w:rPr>
            </w:pPr>
          </w:p>
        </w:tc>
        <w:tc>
          <w:tcPr>
            <w:tcW w:w="1064" w:type="dxa"/>
            <w:noWrap w:val="0"/>
            <w:vAlign w:val="center"/>
          </w:tcPr>
          <w:p w14:paraId="55E84D06">
            <w:pPr>
              <w:jc w:val="center"/>
              <w:rPr>
                <w:rFonts w:hint="eastAsia" w:ascii="宋体" w:hAnsi="宋体"/>
                <w:kern w:val="10"/>
                <w:szCs w:val="21"/>
              </w:rPr>
            </w:pPr>
            <w:r>
              <w:rPr>
                <w:rFonts w:hint="eastAsia" w:ascii="宋体" w:hAnsi="宋体"/>
                <w:kern w:val="10"/>
                <w:szCs w:val="21"/>
              </w:rPr>
              <w:t>25.70</w:t>
            </w:r>
          </w:p>
        </w:tc>
      </w:tr>
      <w:tr w14:paraId="057B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1733" w:type="dxa"/>
            <w:gridSpan w:val="2"/>
            <w:noWrap w:val="0"/>
            <w:vAlign w:val="center"/>
          </w:tcPr>
          <w:p w14:paraId="618C76E9">
            <w:pPr>
              <w:jc w:val="center"/>
              <w:rPr>
                <w:rFonts w:ascii="宋体" w:hAnsi="宋体"/>
                <w:szCs w:val="21"/>
              </w:rPr>
            </w:pPr>
            <w:r>
              <w:rPr>
                <w:rFonts w:hint="eastAsia" w:ascii="宋体" w:hAnsi="宋体"/>
                <w:szCs w:val="21"/>
              </w:rPr>
              <w:t>合   计</w:t>
            </w:r>
          </w:p>
        </w:tc>
        <w:tc>
          <w:tcPr>
            <w:tcW w:w="1021" w:type="dxa"/>
            <w:noWrap w:val="0"/>
            <w:vAlign w:val="center"/>
          </w:tcPr>
          <w:p w14:paraId="1717C3BA">
            <w:pPr>
              <w:jc w:val="center"/>
              <w:rPr>
                <w:rFonts w:hint="eastAsia" w:ascii="宋体" w:hAnsi="宋体"/>
                <w:kern w:val="10"/>
                <w:szCs w:val="21"/>
              </w:rPr>
            </w:pPr>
            <w:r>
              <w:rPr>
                <w:rFonts w:hint="eastAsia" w:ascii="宋体" w:hAnsi="宋体"/>
                <w:kern w:val="10"/>
                <w:szCs w:val="21"/>
              </w:rPr>
              <w:t>185.1</w:t>
            </w:r>
          </w:p>
        </w:tc>
        <w:tc>
          <w:tcPr>
            <w:tcW w:w="1196" w:type="dxa"/>
            <w:noWrap w:val="0"/>
            <w:vAlign w:val="center"/>
          </w:tcPr>
          <w:p w14:paraId="45EC1714">
            <w:pPr>
              <w:jc w:val="center"/>
              <w:rPr>
                <w:rFonts w:hint="eastAsia" w:ascii="宋体" w:hAnsi="宋体"/>
                <w:kern w:val="10"/>
                <w:szCs w:val="21"/>
              </w:rPr>
            </w:pPr>
            <w:r>
              <w:rPr>
                <w:rFonts w:hint="eastAsia" w:ascii="宋体" w:hAnsi="宋体"/>
                <w:kern w:val="10"/>
                <w:szCs w:val="21"/>
              </w:rPr>
              <w:t>163.04</w:t>
            </w:r>
          </w:p>
        </w:tc>
        <w:tc>
          <w:tcPr>
            <w:tcW w:w="1056" w:type="dxa"/>
            <w:noWrap w:val="0"/>
            <w:vAlign w:val="center"/>
          </w:tcPr>
          <w:p w14:paraId="23458BCA">
            <w:pPr>
              <w:jc w:val="center"/>
              <w:rPr>
                <w:rFonts w:hint="eastAsia" w:ascii="宋体" w:hAnsi="宋体"/>
                <w:kern w:val="10"/>
                <w:szCs w:val="21"/>
              </w:rPr>
            </w:pPr>
            <w:r>
              <w:rPr>
                <w:rFonts w:hint="eastAsia" w:ascii="宋体" w:hAnsi="宋体"/>
                <w:kern w:val="10"/>
                <w:szCs w:val="21"/>
              </w:rPr>
              <w:t>23.25</w:t>
            </w:r>
          </w:p>
        </w:tc>
        <w:tc>
          <w:tcPr>
            <w:tcW w:w="1138" w:type="dxa"/>
            <w:noWrap w:val="0"/>
            <w:vAlign w:val="center"/>
          </w:tcPr>
          <w:p w14:paraId="1CEA773D">
            <w:pPr>
              <w:jc w:val="center"/>
              <w:rPr>
                <w:rFonts w:hint="eastAsia" w:ascii="宋体" w:hAnsi="宋体"/>
                <w:kern w:val="10"/>
                <w:szCs w:val="21"/>
              </w:rPr>
            </w:pPr>
            <w:r>
              <w:rPr>
                <w:rFonts w:hint="eastAsia" w:ascii="宋体" w:hAnsi="宋体"/>
                <w:kern w:val="10"/>
                <w:szCs w:val="21"/>
              </w:rPr>
              <w:t>139.79</w:t>
            </w:r>
          </w:p>
        </w:tc>
        <w:tc>
          <w:tcPr>
            <w:tcW w:w="938" w:type="dxa"/>
            <w:noWrap w:val="0"/>
            <w:vAlign w:val="center"/>
          </w:tcPr>
          <w:p w14:paraId="38D042DC">
            <w:pPr>
              <w:jc w:val="center"/>
              <w:rPr>
                <w:rFonts w:hint="eastAsia" w:ascii="宋体" w:hAnsi="宋体"/>
                <w:kern w:val="10"/>
                <w:szCs w:val="21"/>
              </w:rPr>
            </w:pPr>
            <w:r>
              <w:rPr>
                <w:rFonts w:hint="eastAsia" w:ascii="宋体" w:hAnsi="宋体"/>
                <w:kern w:val="10"/>
                <w:szCs w:val="21"/>
              </w:rPr>
              <w:t>5.91</w:t>
            </w:r>
          </w:p>
        </w:tc>
        <w:tc>
          <w:tcPr>
            <w:tcW w:w="912" w:type="dxa"/>
            <w:noWrap w:val="0"/>
            <w:vAlign w:val="center"/>
          </w:tcPr>
          <w:p w14:paraId="69001534">
            <w:pPr>
              <w:jc w:val="center"/>
              <w:rPr>
                <w:rFonts w:hint="eastAsia" w:ascii="宋体" w:hAnsi="宋体"/>
                <w:kern w:val="10"/>
                <w:szCs w:val="21"/>
              </w:rPr>
            </w:pPr>
          </w:p>
        </w:tc>
        <w:tc>
          <w:tcPr>
            <w:tcW w:w="1064" w:type="dxa"/>
            <w:noWrap w:val="0"/>
            <w:vAlign w:val="center"/>
          </w:tcPr>
          <w:p w14:paraId="26BF4B4C">
            <w:pPr>
              <w:jc w:val="center"/>
              <w:rPr>
                <w:rFonts w:hint="eastAsia" w:ascii="宋体" w:hAnsi="宋体"/>
                <w:kern w:val="10"/>
                <w:szCs w:val="21"/>
              </w:rPr>
            </w:pPr>
            <w:r>
              <w:rPr>
                <w:rFonts w:hint="eastAsia" w:ascii="宋体" w:hAnsi="宋体"/>
                <w:kern w:val="10"/>
                <w:szCs w:val="21"/>
              </w:rPr>
              <w:t>113.80</w:t>
            </w:r>
          </w:p>
        </w:tc>
      </w:tr>
      <w:tr w14:paraId="7337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jc w:val="center"/>
        </w:trPr>
        <w:tc>
          <w:tcPr>
            <w:tcW w:w="1733" w:type="dxa"/>
            <w:gridSpan w:val="2"/>
            <w:noWrap w:val="0"/>
            <w:vAlign w:val="center"/>
          </w:tcPr>
          <w:p w14:paraId="7A7B0E07">
            <w:pPr>
              <w:jc w:val="center"/>
              <w:rPr>
                <w:rFonts w:hint="eastAsia" w:ascii="宋体" w:hAnsi="宋体"/>
                <w:szCs w:val="21"/>
              </w:rPr>
            </w:pPr>
            <w:r>
              <w:rPr>
                <w:rFonts w:hint="eastAsia" w:ascii="宋体" w:hAnsi="宋体"/>
                <w:szCs w:val="21"/>
              </w:rPr>
              <w:t>总   计</w:t>
            </w:r>
          </w:p>
        </w:tc>
        <w:tc>
          <w:tcPr>
            <w:tcW w:w="1021" w:type="dxa"/>
            <w:noWrap w:val="0"/>
            <w:vAlign w:val="center"/>
          </w:tcPr>
          <w:p w14:paraId="68DA1B10">
            <w:pPr>
              <w:jc w:val="center"/>
              <w:rPr>
                <w:rFonts w:hint="eastAsia" w:ascii="宋体" w:hAnsi="宋体"/>
                <w:kern w:val="10"/>
                <w:szCs w:val="21"/>
              </w:rPr>
            </w:pPr>
            <w:r>
              <w:rPr>
                <w:rFonts w:ascii="宋体" w:hAnsi="宋体"/>
                <w:kern w:val="10"/>
                <w:szCs w:val="21"/>
              </w:rPr>
              <w:fldChar w:fldCharType="begin"/>
            </w:r>
            <w:r>
              <w:rPr>
                <w:rFonts w:ascii="宋体" w:hAnsi="宋体"/>
                <w:kern w:val="10"/>
                <w:szCs w:val="21"/>
              </w:rPr>
              <w:instrText xml:space="preserve"> </w:instrText>
            </w:r>
            <w:r>
              <w:rPr>
                <w:rFonts w:hint="eastAsia" w:ascii="宋体" w:hAnsi="宋体"/>
                <w:kern w:val="10"/>
                <w:szCs w:val="21"/>
              </w:rPr>
              <w:instrText xml:space="preserve">=SUM(ABOVE)</w:instrText>
            </w:r>
            <w:r>
              <w:rPr>
                <w:rFonts w:ascii="宋体" w:hAnsi="宋体"/>
                <w:kern w:val="10"/>
                <w:szCs w:val="21"/>
              </w:rPr>
              <w:instrText xml:space="preserve"> </w:instrText>
            </w:r>
            <w:r>
              <w:rPr>
                <w:rFonts w:ascii="宋体" w:hAnsi="宋体"/>
                <w:kern w:val="10"/>
                <w:szCs w:val="21"/>
              </w:rPr>
              <w:fldChar w:fldCharType="separate"/>
            </w:r>
            <w:r>
              <w:rPr>
                <w:rFonts w:ascii="宋体" w:hAnsi="宋体"/>
                <w:kern w:val="10"/>
                <w:szCs w:val="21"/>
                <w:lang/>
              </w:rPr>
              <w:t>1257.1</w:t>
            </w:r>
            <w:r>
              <w:rPr>
                <w:rFonts w:ascii="宋体" w:hAnsi="宋体"/>
                <w:kern w:val="10"/>
                <w:szCs w:val="21"/>
              </w:rPr>
              <w:fldChar w:fldCharType="end"/>
            </w:r>
          </w:p>
        </w:tc>
        <w:tc>
          <w:tcPr>
            <w:tcW w:w="1196" w:type="dxa"/>
            <w:noWrap w:val="0"/>
            <w:vAlign w:val="center"/>
          </w:tcPr>
          <w:p w14:paraId="6D77C848">
            <w:pPr>
              <w:jc w:val="center"/>
              <w:rPr>
                <w:rFonts w:hint="eastAsia" w:ascii="宋体" w:hAnsi="宋体"/>
                <w:kern w:val="10"/>
                <w:szCs w:val="21"/>
              </w:rPr>
            </w:pPr>
            <w:r>
              <w:rPr>
                <w:rFonts w:hint="eastAsia" w:ascii="宋体" w:hAnsi="宋体"/>
                <w:kern w:val="10"/>
                <w:szCs w:val="21"/>
              </w:rPr>
              <w:t>1158.26</w:t>
            </w:r>
          </w:p>
        </w:tc>
        <w:tc>
          <w:tcPr>
            <w:tcW w:w="1056" w:type="dxa"/>
            <w:noWrap w:val="0"/>
            <w:vAlign w:val="center"/>
          </w:tcPr>
          <w:p w14:paraId="034FCEFC">
            <w:pPr>
              <w:jc w:val="center"/>
              <w:rPr>
                <w:rFonts w:hint="eastAsia" w:ascii="宋体" w:hAnsi="宋体"/>
                <w:kern w:val="10"/>
                <w:szCs w:val="21"/>
              </w:rPr>
            </w:pPr>
            <w:r>
              <w:rPr>
                <w:rFonts w:hint="eastAsia" w:ascii="宋体" w:hAnsi="宋体"/>
                <w:kern w:val="10"/>
                <w:szCs w:val="21"/>
              </w:rPr>
              <w:t>159.25</w:t>
            </w:r>
          </w:p>
        </w:tc>
        <w:tc>
          <w:tcPr>
            <w:tcW w:w="1138" w:type="dxa"/>
            <w:noWrap w:val="0"/>
            <w:vAlign w:val="center"/>
          </w:tcPr>
          <w:p w14:paraId="277A1A88">
            <w:pPr>
              <w:jc w:val="center"/>
              <w:rPr>
                <w:rFonts w:hint="eastAsia" w:ascii="宋体" w:hAnsi="宋体"/>
                <w:kern w:val="10"/>
                <w:szCs w:val="21"/>
              </w:rPr>
            </w:pPr>
            <w:r>
              <w:rPr>
                <w:rFonts w:hint="eastAsia" w:ascii="宋体" w:hAnsi="宋体"/>
                <w:kern w:val="10"/>
                <w:szCs w:val="21"/>
              </w:rPr>
              <w:t>999.02</w:t>
            </w:r>
          </w:p>
        </w:tc>
        <w:tc>
          <w:tcPr>
            <w:tcW w:w="938" w:type="dxa"/>
            <w:noWrap w:val="0"/>
            <w:vAlign w:val="center"/>
          </w:tcPr>
          <w:p w14:paraId="319F03D0">
            <w:pPr>
              <w:jc w:val="center"/>
              <w:rPr>
                <w:rFonts w:hint="eastAsia" w:ascii="宋体" w:hAnsi="宋体"/>
                <w:kern w:val="10"/>
                <w:szCs w:val="21"/>
              </w:rPr>
            </w:pPr>
            <w:r>
              <w:rPr>
                <w:rFonts w:hint="eastAsia" w:ascii="宋体" w:hAnsi="宋体"/>
                <w:kern w:val="10"/>
                <w:szCs w:val="21"/>
              </w:rPr>
              <w:t>84.97</w:t>
            </w:r>
          </w:p>
        </w:tc>
        <w:tc>
          <w:tcPr>
            <w:tcW w:w="912" w:type="dxa"/>
            <w:noWrap w:val="0"/>
            <w:vAlign w:val="center"/>
          </w:tcPr>
          <w:p w14:paraId="0F207339">
            <w:pPr>
              <w:jc w:val="center"/>
              <w:rPr>
                <w:rFonts w:hint="eastAsia" w:ascii="宋体" w:hAnsi="宋体"/>
                <w:kern w:val="10"/>
                <w:szCs w:val="21"/>
              </w:rPr>
            </w:pPr>
          </w:p>
        </w:tc>
        <w:tc>
          <w:tcPr>
            <w:tcW w:w="1064" w:type="dxa"/>
            <w:noWrap w:val="0"/>
            <w:vAlign w:val="center"/>
          </w:tcPr>
          <w:p w14:paraId="021383B8">
            <w:pPr>
              <w:jc w:val="center"/>
              <w:rPr>
                <w:rFonts w:hint="eastAsia" w:ascii="宋体" w:hAnsi="宋体"/>
                <w:kern w:val="10"/>
                <w:szCs w:val="21"/>
              </w:rPr>
            </w:pPr>
            <w:r>
              <w:rPr>
                <w:rFonts w:hint="eastAsia" w:ascii="宋体" w:hAnsi="宋体"/>
                <w:kern w:val="10"/>
                <w:szCs w:val="21"/>
              </w:rPr>
              <w:t>737.94</w:t>
            </w:r>
          </w:p>
        </w:tc>
      </w:tr>
    </w:tbl>
    <w:p w14:paraId="37F9C0EE">
      <w:pPr>
        <w:pStyle w:val="3"/>
        <w:keepLines/>
        <w:spacing w:before="240" w:after="240" w:line="360" w:lineRule="auto"/>
        <w:ind w:firstLine="0" w:firstLineChars="0"/>
        <w:jc w:val="center"/>
        <w:rPr>
          <w:rFonts w:hint="eastAsia"/>
          <w:b/>
          <w:color w:val="000000"/>
          <w:sz w:val="32"/>
          <w:szCs w:val="32"/>
        </w:rPr>
      </w:pPr>
      <w:bookmarkStart w:id="46" w:name="_Toc260915259"/>
      <w:r>
        <w:rPr>
          <w:rFonts w:hint="eastAsia"/>
          <w:b/>
          <w:color w:val="000000"/>
          <w:sz w:val="32"/>
          <w:szCs w:val="32"/>
        </w:rPr>
        <w:t>第二节　　矿井生产能力及服务年限</w:t>
      </w:r>
      <w:bookmarkEnd w:id="46"/>
    </w:p>
    <w:p w14:paraId="35F14293">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一、矿井生产能力</w:t>
      </w:r>
    </w:p>
    <w:p w14:paraId="7433384D">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矿井工作制度</w:t>
      </w:r>
    </w:p>
    <w:p w14:paraId="16E87EDE">
      <w:pPr>
        <w:spacing w:line="360" w:lineRule="auto"/>
        <w:ind w:firstLine="480" w:firstLineChars="200"/>
        <w:rPr>
          <w:rFonts w:hint="eastAsia" w:ascii="宋体" w:hAnsi="宋体"/>
          <w:color w:val="000000"/>
          <w:sz w:val="24"/>
        </w:rPr>
      </w:pPr>
      <w:r>
        <w:rPr>
          <w:rFonts w:ascii="宋体" w:hAnsi="宋体"/>
          <w:color w:val="000000"/>
          <w:sz w:val="24"/>
        </w:rPr>
        <w:t>矿井年工作日为330天，井下工人按“四·六”制；地面工人及其他人员按“三·八”工作制</w:t>
      </w:r>
      <w:r>
        <w:rPr>
          <w:rFonts w:hint="eastAsia" w:ascii="宋体" w:hAnsi="宋体"/>
          <w:color w:val="000000"/>
          <w:sz w:val="24"/>
        </w:rPr>
        <w:t>，</w:t>
      </w:r>
      <w:r>
        <w:rPr>
          <w:rFonts w:ascii="宋体" w:hAnsi="宋体"/>
          <w:color w:val="000000"/>
          <w:sz w:val="24"/>
        </w:rPr>
        <w:t>井下工人每天四班作业，</w:t>
      </w:r>
      <w:r>
        <w:rPr>
          <w:rFonts w:hint="eastAsia" w:ascii="宋体" w:hAnsi="宋体"/>
          <w:color w:val="000000"/>
          <w:sz w:val="24"/>
        </w:rPr>
        <w:t>三采一准，</w:t>
      </w:r>
      <w:r>
        <w:rPr>
          <w:rFonts w:ascii="宋体" w:hAnsi="宋体"/>
          <w:color w:val="000000"/>
          <w:sz w:val="24"/>
        </w:rPr>
        <w:t>每班工作</w:t>
      </w:r>
      <w:r>
        <w:rPr>
          <w:rFonts w:hint="eastAsia" w:ascii="宋体" w:hAnsi="宋体"/>
          <w:color w:val="000000"/>
          <w:sz w:val="24"/>
        </w:rPr>
        <w:t>6h</w:t>
      </w:r>
      <w:r>
        <w:rPr>
          <w:rFonts w:ascii="宋体" w:hAnsi="宋体"/>
          <w:color w:val="000000"/>
          <w:sz w:val="24"/>
        </w:rPr>
        <w:t>；地面工人每天三</w:t>
      </w:r>
      <w:r>
        <w:rPr>
          <w:rFonts w:ascii="宋体" w:hAnsi="宋体"/>
          <w:color w:val="000000"/>
          <w:sz w:val="24"/>
          <w:u w:val="single"/>
        </w:rPr>
        <w:t>班作业，每班工作</w:t>
      </w:r>
      <w:r>
        <w:rPr>
          <w:rFonts w:hint="eastAsia" w:ascii="宋体" w:hAnsi="宋体"/>
          <w:color w:val="000000"/>
          <w:sz w:val="24"/>
          <w:u w:val="single"/>
        </w:rPr>
        <w:t>8h，矿井每天净提升时间为16h。</w:t>
      </w:r>
    </w:p>
    <w:p w14:paraId="4C75830C">
      <w:pPr>
        <w:spacing w:line="360" w:lineRule="auto"/>
        <w:ind w:firstLine="480" w:firstLineChars="200"/>
        <w:rPr>
          <w:rFonts w:ascii="宋体" w:hAnsi="宋体"/>
          <w:sz w:val="24"/>
        </w:rPr>
      </w:pPr>
      <w:r>
        <w:rPr>
          <w:rFonts w:hint="eastAsia" w:ascii="宋体" w:hAnsi="宋体"/>
          <w:sz w:val="24"/>
        </w:rPr>
        <w:t>2、</w:t>
      </w:r>
      <w:r>
        <w:rPr>
          <w:rFonts w:ascii="宋体" w:hAnsi="宋体"/>
          <w:sz w:val="24"/>
        </w:rPr>
        <w:t>矿井生产能力</w:t>
      </w:r>
    </w:p>
    <w:p w14:paraId="2E463A0F">
      <w:pPr>
        <w:spacing w:line="360" w:lineRule="auto"/>
        <w:ind w:firstLine="480" w:firstLineChars="200"/>
        <w:rPr>
          <w:rFonts w:ascii="宋体" w:hAnsi="宋体"/>
          <w:color w:val="000000"/>
          <w:sz w:val="24"/>
        </w:rPr>
      </w:pPr>
      <w:r>
        <w:rPr>
          <w:rFonts w:ascii="宋体" w:hAnsi="宋体"/>
          <w:color w:val="000000"/>
          <w:sz w:val="24"/>
        </w:rPr>
        <w:t>确定矿井设计生产能力的主要指导思想：</w:t>
      </w:r>
    </w:p>
    <w:p w14:paraId="503500F4">
      <w:pPr>
        <w:spacing w:line="360" w:lineRule="auto"/>
        <w:ind w:firstLine="480" w:firstLineChars="200"/>
        <w:rPr>
          <w:rFonts w:ascii="宋体" w:hAnsi="宋体"/>
          <w:color w:val="000000"/>
          <w:sz w:val="24"/>
        </w:rPr>
      </w:pPr>
      <w:r>
        <w:rPr>
          <w:rFonts w:ascii="宋体" w:hAnsi="宋体"/>
          <w:color w:val="000000"/>
          <w:sz w:val="24"/>
        </w:rPr>
        <w:t>（1）立足于</w:t>
      </w:r>
      <w:r>
        <w:rPr>
          <w:rFonts w:hint="eastAsia" w:ascii="宋体" w:hAnsi="宋体"/>
          <w:color w:val="000000"/>
          <w:sz w:val="24"/>
        </w:rPr>
        <w:t>储量核实</w:t>
      </w:r>
      <w:r>
        <w:rPr>
          <w:rFonts w:ascii="宋体" w:hAnsi="宋体"/>
          <w:color w:val="000000"/>
          <w:sz w:val="24"/>
        </w:rPr>
        <w:t>报告提供的资源量及和现有的矿界范围，并根据</w:t>
      </w:r>
      <w:r>
        <w:rPr>
          <w:rFonts w:hint="eastAsia" w:ascii="宋体" w:hAnsi="宋体"/>
          <w:color w:val="000000"/>
          <w:sz w:val="24"/>
        </w:rPr>
        <w:t>改造规划</w:t>
      </w:r>
      <w:r>
        <w:rPr>
          <w:rFonts w:ascii="宋体" w:hAnsi="宋体"/>
          <w:color w:val="000000"/>
          <w:sz w:val="24"/>
        </w:rPr>
        <w:t>情况考虑长远的发展。</w:t>
      </w:r>
    </w:p>
    <w:p w14:paraId="3CEC7DDB">
      <w:pPr>
        <w:spacing w:line="360" w:lineRule="auto"/>
        <w:ind w:firstLine="480" w:firstLineChars="200"/>
        <w:rPr>
          <w:rFonts w:ascii="宋体" w:hAnsi="宋体"/>
          <w:color w:val="000000"/>
          <w:sz w:val="24"/>
        </w:rPr>
      </w:pPr>
      <w:r>
        <w:rPr>
          <w:rFonts w:ascii="宋体" w:hAnsi="宋体"/>
          <w:color w:val="000000"/>
          <w:sz w:val="24"/>
        </w:rPr>
        <w:t>（2）客观地对井田地质构造、煤层赋存条件、设计利用资源量及其分布、煤层开采技术条件等进行分析研究。煤层合理开采顺序，按照合理集中生产的原则，对工作面和采区生产能力和接替关系进行认真的分析。</w:t>
      </w:r>
    </w:p>
    <w:p w14:paraId="3D9F99F7">
      <w:pPr>
        <w:spacing w:line="360" w:lineRule="auto"/>
        <w:ind w:firstLine="480" w:firstLineChars="200"/>
        <w:rPr>
          <w:rFonts w:ascii="宋体" w:hAnsi="宋体"/>
          <w:color w:val="000000"/>
          <w:sz w:val="24"/>
        </w:rPr>
      </w:pPr>
      <w:r>
        <w:rPr>
          <w:rFonts w:ascii="宋体" w:hAnsi="宋体"/>
          <w:color w:val="000000"/>
          <w:sz w:val="24"/>
        </w:rPr>
        <w:t>（3）充分考虑矿井外部运输条件</w:t>
      </w:r>
      <w:r>
        <w:rPr>
          <w:rFonts w:hint="eastAsia" w:ascii="宋体" w:hAnsi="宋体"/>
          <w:color w:val="000000"/>
          <w:sz w:val="24"/>
        </w:rPr>
        <w:t>，体现井田范围内煤炭资源优质优用的优势</w:t>
      </w:r>
      <w:r>
        <w:rPr>
          <w:rFonts w:ascii="宋体" w:hAnsi="宋体"/>
          <w:color w:val="000000"/>
          <w:sz w:val="24"/>
        </w:rPr>
        <w:t>。</w:t>
      </w:r>
    </w:p>
    <w:p w14:paraId="2716BC26">
      <w:pPr>
        <w:spacing w:line="360" w:lineRule="auto"/>
        <w:ind w:firstLine="480" w:firstLineChars="200"/>
        <w:rPr>
          <w:rFonts w:hint="eastAsia" w:ascii="宋体" w:hAnsi="宋体"/>
          <w:color w:val="000000"/>
          <w:sz w:val="24"/>
        </w:rPr>
      </w:pPr>
      <w:r>
        <w:rPr>
          <w:rFonts w:ascii="宋体" w:hAnsi="宋体"/>
          <w:color w:val="000000"/>
          <w:sz w:val="24"/>
        </w:rPr>
        <w:t>（4）充分考虑到现有技术水平，经多方案技术经济比较及投入产出的评价，以最佳整体效益为目的，对设计生产能力进行科学决策。</w:t>
      </w:r>
    </w:p>
    <w:p w14:paraId="029FCCEA">
      <w:pPr>
        <w:spacing w:line="360" w:lineRule="auto"/>
        <w:ind w:firstLine="480" w:firstLineChars="200"/>
        <w:rPr>
          <w:rFonts w:ascii="宋体" w:hAnsi="宋体"/>
          <w:sz w:val="24"/>
        </w:rPr>
      </w:pPr>
      <w:r>
        <w:rPr>
          <w:rFonts w:hint="eastAsia" w:ascii="宋体" w:hAnsi="宋体"/>
          <w:color w:val="000000"/>
          <w:sz w:val="24"/>
        </w:rPr>
        <w:t>3、</w:t>
      </w:r>
      <w:r>
        <w:rPr>
          <w:rFonts w:ascii="宋体" w:hAnsi="宋体"/>
          <w:sz w:val="24"/>
        </w:rPr>
        <w:t>矿井设计生产能力的确定</w:t>
      </w:r>
    </w:p>
    <w:p w14:paraId="08E8E541">
      <w:pPr>
        <w:spacing w:line="360" w:lineRule="auto"/>
        <w:ind w:firstLine="480" w:firstLineChars="200"/>
        <w:rPr>
          <w:rFonts w:ascii="宋体" w:hAnsi="宋体"/>
          <w:bCs/>
          <w:sz w:val="24"/>
        </w:rPr>
      </w:pPr>
      <w:r>
        <w:rPr>
          <w:rFonts w:hint="eastAsia" w:ascii="宋体" w:hAnsi="宋体"/>
          <w:bCs/>
          <w:sz w:val="24"/>
        </w:rPr>
        <w:t>矿井设计生产能力是反映矿井面貌的综合性指标，为使矿井设计生产能力确定趋于合理，取得良好的投资效益，设计对本井田构造、煤层赋存、开采技术条件等地质条件进行了分析；对确定矿井生产能力基础的地质储量进行了分析；对回采工作面生产能力，根据本井田具体条件进行分析预测；对煤炭市场的需求及外运条件进行了调查研究，对不同井型的投入产出进行综合比较。</w:t>
      </w:r>
    </w:p>
    <w:p w14:paraId="62D61A8C">
      <w:pPr>
        <w:tabs>
          <w:tab w:val="right" w:leader="middleDot" w:pos="9240"/>
        </w:tabs>
        <w:spacing w:line="360" w:lineRule="auto"/>
        <w:ind w:firstLine="480" w:firstLineChars="200"/>
        <w:rPr>
          <w:rFonts w:ascii="宋体" w:hAnsi="宋体"/>
          <w:bCs/>
          <w:sz w:val="24"/>
        </w:rPr>
      </w:pPr>
      <w:r>
        <w:rPr>
          <w:rFonts w:hint="eastAsia" w:ascii="宋体" w:hAnsi="宋体"/>
          <w:bCs/>
          <w:sz w:val="24"/>
        </w:rPr>
        <w:t>根据本井田的区位条件以及煤层赋存状况、地质构造及开采技术条件，影响本矿井设计生产能力的主要因素有：</w:t>
      </w:r>
    </w:p>
    <w:p w14:paraId="38FBF592">
      <w:pPr>
        <w:spacing w:line="360" w:lineRule="auto"/>
        <w:ind w:firstLine="480" w:firstLineChars="200"/>
        <w:rPr>
          <w:rFonts w:hint="eastAsia" w:ascii="宋体" w:hAnsi="宋体"/>
          <w:sz w:val="24"/>
        </w:rPr>
      </w:pPr>
      <w:r>
        <w:rPr>
          <w:rFonts w:hint="eastAsia" w:ascii="宋体" w:hAnsi="宋体"/>
          <w:sz w:val="24"/>
        </w:rPr>
        <w:t>（1）矿井</w:t>
      </w:r>
      <w:r>
        <w:rPr>
          <w:rFonts w:ascii="宋体" w:hAnsi="宋体"/>
          <w:sz w:val="24"/>
        </w:rPr>
        <w:t>位于六盘水市中心城区</w:t>
      </w:r>
      <w:r>
        <w:rPr>
          <w:rFonts w:hint="eastAsia" w:ascii="宋体" w:hAnsi="宋体"/>
          <w:sz w:val="24"/>
        </w:rPr>
        <w:t>的南部，</w:t>
      </w:r>
      <w:r>
        <w:rPr>
          <w:rFonts w:ascii="宋体" w:hAnsi="宋体"/>
          <w:sz w:val="24"/>
        </w:rPr>
        <w:t>直距约2</w:t>
      </w:r>
      <w:r>
        <w:rPr>
          <w:rFonts w:hint="eastAsia" w:ascii="宋体" w:hAnsi="宋体"/>
          <w:sz w:val="24"/>
        </w:rPr>
        <w:t>0</w:t>
      </w:r>
      <w:r>
        <w:rPr>
          <w:rFonts w:ascii="宋体" w:hAnsi="宋体"/>
          <w:sz w:val="24"/>
        </w:rPr>
        <w:t>km，水城</w:t>
      </w:r>
      <w:r>
        <w:rPr>
          <w:rFonts w:hint="eastAsia" w:ascii="宋体" w:hAnsi="宋体"/>
          <w:sz w:val="24"/>
        </w:rPr>
        <w:t>至盘县</w:t>
      </w:r>
      <w:r>
        <w:rPr>
          <w:rFonts w:ascii="宋体" w:hAnsi="宋体"/>
          <w:sz w:val="24"/>
        </w:rPr>
        <w:t>公路从矿区</w:t>
      </w:r>
      <w:r>
        <w:rPr>
          <w:rFonts w:hint="eastAsia" w:ascii="宋体" w:hAnsi="宋体"/>
          <w:sz w:val="24"/>
        </w:rPr>
        <w:t>北东</w:t>
      </w:r>
      <w:r>
        <w:rPr>
          <w:rFonts w:ascii="宋体" w:hAnsi="宋体"/>
          <w:sz w:val="24"/>
        </w:rPr>
        <w:t>部</w:t>
      </w:r>
      <w:r>
        <w:rPr>
          <w:rFonts w:hint="eastAsia" w:ascii="宋体" w:hAnsi="宋体"/>
          <w:sz w:val="24"/>
        </w:rPr>
        <w:t>的玉舍乡政府住地通过</w:t>
      </w:r>
      <w:r>
        <w:rPr>
          <w:rFonts w:ascii="宋体" w:hAnsi="宋体"/>
          <w:sz w:val="24"/>
        </w:rPr>
        <w:t>，</w:t>
      </w:r>
      <w:r>
        <w:rPr>
          <w:rFonts w:hint="eastAsia" w:ascii="宋体" w:hAnsi="宋体"/>
          <w:sz w:val="24"/>
        </w:rPr>
        <w:t>从乡政府到矿区有约2</w:t>
      </w:r>
      <w:r>
        <w:rPr>
          <w:rFonts w:ascii="宋体" w:hAnsi="宋体"/>
          <w:sz w:val="24"/>
        </w:rPr>
        <w:t>km</w:t>
      </w:r>
      <w:r>
        <w:rPr>
          <w:rFonts w:hint="eastAsia" w:ascii="宋体" w:hAnsi="宋体"/>
          <w:sz w:val="24"/>
        </w:rPr>
        <w:t>的矿山公路。矿山</w:t>
      </w:r>
      <w:r>
        <w:rPr>
          <w:rFonts w:ascii="宋体" w:hAnsi="宋体"/>
          <w:sz w:val="24"/>
        </w:rPr>
        <w:t>距六盘水火车站约</w:t>
      </w:r>
      <w:r>
        <w:rPr>
          <w:rFonts w:hint="eastAsia" w:ascii="宋体" w:hAnsi="宋体"/>
          <w:sz w:val="24"/>
        </w:rPr>
        <w:t>25</w:t>
      </w:r>
      <w:r>
        <w:rPr>
          <w:rFonts w:ascii="宋体" w:hAnsi="宋体"/>
          <w:sz w:val="24"/>
        </w:rPr>
        <w:t>km，</w:t>
      </w:r>
      <w:r>
        <w:rPr>
          <w:rFonts w:hint="eastAsia" w:ascii="宋体" w:hAnsi="宋体"/>
          <w:sz w:val="24"/>
        </w:rPr>
        <w:t>距水（城）—红（果）铁路玉舍</w:t>
      </w:r>
      <w:r>
        <w:rPr>
          <w:rFonts w:ascii="宋体" w:hAnsi="宋体"/>
          <w:sz w:val="24"/>
        </w:rPr>
        <w:t>火车站</w:t>
      </w:r>
      <w:r>
        <w:rPr>
          <w:rFonts w:hint="eastAsia" w:ascii="宋体" w:hAnsi="宋体"/>
          <w:sz w:val="24"/>
        </w:rPr>
        <w:t>约7</w:t>
      </w:r>
      <w:r>
        <w:rPr>
          <w:rFonts w:ascii="宋体" w:hAnsi="宋体"/>
          <w:sz w:val="24"/>
        </w:rPr>
        <w:t>km</w:t>
      </w:r>
      <w:r>
        <w:rPr>
          <w:rFonts w:hint="eastAsia" w:ascii="宋体" w:hAnsi="宋体"/>
          <w:sz w:val="24"/>
        </w:rPr>
        <w:t>，交通运输便利。</w:t>
      </w:r>
      <w:r>
        <w:rPr>
          <w:rFonts w:hint="eastAsia" w:ascii="宋体" w:hAnsi="宋体"/>
          <w:bCs/>
          <w:sz w:val="24"/>
        </w:rPr>
        <w:t>矿井设计生产能力除满足当地的煤炭市场需求外，同时考虑部分煤炭外运，以获得较大的经济效益。</w:t>
      </w:r>
    </w:p>
    <w:p w14:paraId="4FB5CEAE">
      <w:pPr>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井田</w:t>
      </w:r>
      <w:r>
        <w:rPr>
          <w:rFonts w:hint="eastAsia" w:ascii="宋体" w:hAnsi="宋体"/>
          <w:sz w:val="24"/>
        </w:rPr>
        <w:t>保有</w:t>
      </w:r>
      <w:r>
        <w:rPr>
          <w:rFonts w:ascii="宋体" w:hAnsi="宋体"/>
          <w:sz w:val="24"/>
        </w:rPr>
        <w:t>资源</w:t>
      </w:r>
      <w:r>
        <w:rPr>
          <w:rFonts w:hint="eastAsia" w:ascii="宋体" w:hAnsi="宋体"/>
          <w:sz w:val="24"/>
        </w:rPr>
        <w:t>/储</w:t>
      </w:r>
      <w:r>
        <w:rPr>
          <w:rFonts w:ascii="宋体" w:hAnsi="宋体"/>
          <w:sz w:val="24"/>
        </w:rPr>
        <w:t>量</w:t>
      </w:r>
      <w:r>
        <w:rPr>
          <w:rFonts w:hint="eastAsia" w:ascii="宋体" w:hAnsi="宋体"/>
          <w:sz w:val="24"/>
        </w:rPr>
        <w:t>1257.1</w:t>
      </w:r>
      <w:r>
        <w:rPr>
          <w:rFonts w:ascii="宋体" w:hAnsi="宋体"/>
          <w:sz w:val="24"/>
        </w:rPr>
        <w:t>万吨，计算</w:t>
      </w:r>
      <w:r>
        <w:rPr>
          <w:rFonts w:hint="eastAsia" w:ascii="宋体" w:hAnsi="宋体"/>
          <w:sz w:val="24"/>
        </w:rPr>
        <w:t>矿井设计</w:t>
      </w:r>
      <w:r>
        <w:rPr>
          <w:rFonts w:ascii="宋体" w:hAnsi="宋体"/>
          <w:sz w:val="24"/>
        </w:rPr>
        <w:t>可采储量</w:t>
      </w:r>
      <w:r>
        <w:rPr>
          <w:rFonts w:hint="eastAsia" w:ascii="宋体" w:hAnsi="宋体"/>
          <w:sz w:val="24"/>
        </w:rPr>
        <w:t>737.94</w:t>
      </w:r>
      <w:r>
        <w:rPr>
          <w:rFonts w:ascii="宋体" w:hAnsi="宋体"/>
          <w:sz w:val="24"/>
        </w:rPr>
        <w:t>万吨</w:t>
      </w:r>
      <w:r>
        <w:rPr>
          <w:rFonts w:hint="eastAsia" w:ascii="宋体" w:hAnsi="宋体"/>
          <w:sz w:val="24"/>
        </w:rPr>
        <w:t>，</w:t>
      </w:r>
      <w:r>
        <w:rPr>
          <w:rFonts w:hint="eastAsia" w:ascii="宋体" w:hAnsi="宋体"/>
          <w:bCs/>
          <w:sz w:val="24"/>
        </w:rPr>
        <w:t>具备建设小型矿井的资源条件。</w:t>
      </w:r>
    </w:p>
    <w:p w14:paraId="71BF7A2C">
      <w:pPr>
        <w:spacing w:line="360" w:lineRule="auto"/>
        <w:ind w:firstLine="480" w:firstLineChars="200"/>
        <w:rPr>
          <w:rFonts w:ascii="宋体" w:hAnsi="宋体"/>
          <w:sz w:val="24"/>
        </w:rPr>
      </w:pPr>
      <w:r>
        <w:rPr>
          <w:rFonts w:hint="eastAsia" w:ascii="宋体" w:hAnsi="宋体"/>
          <w:sz w:val="24"/>
        </w:rPr>
        <w:t>（3）</w:t>
      </w:r>
      <w:r>
        <w:rPr>
          <w:rFonts w:ascii="宋体" w:hAnsi="宋体"/>
          <w:sz w:val="24"/>
        </w:rPr>
        <w:t>井田资源量可靠，地质构造复杂程度属</w:t>
      </w:r>
      <w:r>
        <w:rPr>
          <w:rFonts w:hint="eastAsia" w:ascii="宋体" w:hAnsi="宋体"/>
          <w:sz w:val="24"/>
        </w:rPr>
        <w:t>中等</w:t>
      </w:r>
      <w:r>
        <w:rPr>
          <w:rFonts w:ascii="宋体" w:hAnsi="宋体"/>
          <w:sz w:val="24"/>
        </w:rPr>
        <w:t>类型，开采的煤层</w:t>
      </w:r>
      <w:r>
        <w:rPr>
          <w:rFonts w:hint="eastAsia" w:ascii="宋体" w:hAnsi="宋体"/>
          <w:sz w:val="24"/>
        </w:rPr>
        <w:t>平均</w:t>
      </w:r>
      <w:r>
        <w:rPr>
          <w:rFonts w:ascii="宋体" w:hAnsi="宋体"/>
          <w:sz w:val="24"/>
        </w:rPr>
        <w:t>倾角</w:t>
      </w:r>
      <w:r>
        <w:rPr>
          <w:rFonts w:hint="eastAsia" w:ascii="宋体" w:hAnsi="宋体"/>
          <w:sz w:val="24"/>
        </w:rPr>
        <w:t>为30°</w:t>
      </w:r>
      <w:r>
        <w:rPr>
          <w:rFonts w:ascii="宋体" w:hAnsi="宋体"/>
          <w:sz w:val="24"/>
        </w:rPr>
        <w:t>，为</w:t>
      </w:r>
      <w:r>
        <w:rPr>
          <w:rFonts w:hint="eastAsia" w:ascii="宋体" w:hAnsi="宋体"/>
          <w:sz w:val="24"/>
        </w:rPr>
        <w:t>倾斜</w:t>
      </w:r>
      <w:r>
        <w:rPr>
          <w:rFonts w:ascii="宋体" w:hAnsi="宋体"/>
          <w:sz w:val="24"/>
        </w:rPr>
        <w:t>近距离煤层群，设计开采可采煤层</w:t>
      </w:r>
      <w:r>
        <w:rPr>
          <w:rFonts w:hint="eastAsia" w:ascii="宋体" w:hAnsi="宋体"/>
          <w:sz w:val="24"/>
        </w:rPr>
        <w:t>11层</w:t>
      </w:r>
      <w:r>
        <w:rPr>
          <w:rFonts w:ascii="宋体" w:hAnsi="宋体"/>
          <w:sz w:val="24"/>
        </w:rPr>
        <w:t>，为薄</w:t>
      </w:r>
      <w:r>
        <w:rPr>
          <w:rFonts w:hint="eastAsia" w:ascii="宋体" w:hAnsi="宋体"/>
          <w:sz w:val="24"/>
        </w:rPr>
        <w:t>及中厚</w:t>
      </w:r>
      <w:r>
        <w:rPr>
          <w:rFonts w:ascii="宋体" w:hAnsi="宋体"/>
          <w:sz w:val="24"/>
        </w:rPr>
        <w:t>煤层，比较稳定。水文地质条件中等类型，为矿井的建设创造了有利条件。</w:t>
      </w:r>
    </w:p>
    <w:p w14:paraId="3FFB947C">
      <w:pPr>
        <w:spacing w:line="360" w:lineRule="auto"/>
        <w:ind w:firstLine="480" w:firstLineChars="200"/>
        <w:rPr>
          <w:rFonts w:hint="eastAsia" w:ascii="宋体" w:hAnsi="宋体"/>
          <w:color w:val="000000"/>
          <w:sz w:val="24"/>
        </w:rPr>
      </w:pPr>
      <w:r>
        <w:rPr>
          <w:rFonts w:hint="eastAsia" w:ascii="宋体" w:hAnsi="宋体"/>
          <w:sz w:val="24"/>
        </w:rPr>
        <w:t>（4）开采条件：①</w:t>
      </w:r>
      <w:r>
        <w:rPr>
          <w:rFonts w:ascii="宋体" w:hAnsi="宋体"/>
          <w:sz w:val="24"/>
        </w:rPr>
        <w:t>主采煤层顶板为粉砂岩、粉砂质泥岩、细砂岩、泥质粉砂岩、泥岩、炭质泥岩，稳固性一般，</w:t>
      </w:r>
      <w:r>
        <w:rPr>
          <w:rFonts w:hint="eastAsia" w:ascii="宋体" w:hAnsi="宋体"/>
          <w:sz w:val="24"/>
        </w:rPr>
        <w:t>破碎易跨落；</w:t>
      </w:r>
      <w:r>
        <w:rPr>
          <w:rFonts w:ascii="宋体" w:hAnsi="宋体"/>
          <w:sz w:val="24"/>
        </w:rPr>
        <w:t>煤层底板为泥岩、</w:t>
      </w:r>
      <w:r>
        <w:rPr>
          <w:rFonts w:ascii="宋体" w:hAnsi="宋体"/>
          <w:snapToGrid w:val="0"/>
          <w:kern w:val="0"/>
          <w:sz w:val="24"/>
        </w:rPr>
        <w:t>粘土岩</w:t>
      </w:r>
      <w:r>
        <w:rPr>
          <w:rFonts w:hint="eastAsia" w:ascii="宋体" w:hAnsi="宋体"/>
          <w:sz w:val="24"/>
        </w:rPr>
        <w:t>，泥岩、</w:t>
      </w:r>
      <w:r>
        <w:rPr>
          <w:rFonts w:ascii="宋体" w:hAnsi="宋体"/>
          <w:snapToGrid w:val="0"/>
          <w:kern w:val="0"/>
          <w:sz w:val="24"/>
        </w:rPr>
        <w:t>粘土岩</w:t>
      </w:r>
      <w:r>
        <w:rPr>
          <w:rFonts w:hint="eastAsia" w:ascii="宋体" w:hAnsi="宋体"/>
          <w:sz w:val="24"/>
        </w:rPr>
        <w:t>遇水易发生底鼓现象，矿井</w:t>
      </w:r>
      <w:r>
        <w:rPr>
          <w:rFonts w:ascii="宋体" w:hAnsi="宋体"/>
          <w:sz w:val="24"/>
        </w:rPr>
        <w:t>生产过程中，</w:t>
      </w:r>
      <w:r>
        <w:rPr>
          <w:rFonts w:hint="eastAsia" w:ascii="宋体" w:hAnsi="宋体"/>
          <w:sz w:val="24"/>
        </w:rPr>
        <w:t>必须</w:t>
      </w:r>
      <w:r>
        <w:rPr>
          <w:rFonts w:ascii="宋体" w:hAnsi="宋体"/>
          <w:sz w:val="24"/>
        </w:rPr>
        <w:t>根据实际情况，编制相应的</w:t>
      </w:r>
      <w:r>
        <w:rPr>
          <w:rFonts w:hint="eastAsia" w:ascii="宋体" w:hAnsi="宋体"/>
          <w:sz w:val="24"/>
        </w:rPr>
        <w:t>安全技术措施及</w:t>
      </w:r>
      <w:r>
        <w:rPr>
          <w:rFonts w:ascii="宋体" w:hAnsi="宋体"/>
          <w:sz w:val="24"/>
        </w:rPr>
        <w:t>作业规程，并根据顶板矿压显现和采高调整支护密度，以便更好的保证工作面的生产安全。</w:t>
      </w:r>
      <w:r>
        <w:rPr>
          <w:rFonts w:hint="eastAsia" w:ascii="宋体" w:hAnsi="宋体"/>
          <w:sz w:val="24"/>
        </w:rPr>
        <w:t>②</w:t>
      </w:r>
      <w:r>
        <w:rPr>
          <w:rFonts w:ascii="宋体" w:hAnsi="宋体"/>
          <w:sz w:val="24"/>
        </w:rPr>
        <w:t>煤系地层含水性弱，但在开采过程中一定要作好水文观测工作，防止突水事故发生。</w:t>
      </w:r>
      <w:r>
        <w:rPr>
          <w:rFonts w:hint="eastAsia" w:ascii="宋体" w:hAnsi="宋体"/>
          <w:sz w:val="24"/>
        </w:rPr>
        <w:t>③根据</w:t>
      </w:r>
      <w:r>
        <w:rPr>
          <w:rFonts w:hint="eastAsia" w:ascii="宋体" w:hAnsi="宋体"/>
          <w:sz w:val="24"/>
          <w:lang w:val="zh-CN"/>
        </w:rPr>
        <w:t>贵州省六枝工矿（集团）恒达勘察设计有限公司实验室</w:t>
      </w:r>
      <w:r>
        <w:rPr>
          <w:rFonts w:hint="eastAsia" w:ascii="宋体" w:hAnsi="宋体"/>
          <w:sz w:val="24"/>
        </w:rPr>
        <w:t>提交的《煤尘爆炸</w:t>
      </w:r>
      <w:r>
        <w:rPr>
          <w:rFonts w:hint="eastAsia" w:ascii="宋体" w:hAnsi="宋体"/>
          <w:bCs/>
          <w:sz w:val="24"/>
        </w:rPr>
        <w:t>危险性鉴定报告》和《煤炭自燃倾向等级鉴定报告》及资源/储量核实报告，由于未对矿区内的所有煤层取样进行鉴定，因此，本矿可采的11层煤的煤尘均按有煤尘爆炸危险性进行设计和管理，11层煤均按煤炭自燃倾向性等级为Ⅰ类，即容易自燃煤炭进行设</w:t>
      </w:r>
      <w:r>
        <w:rPr>
          <w:rFonts w:hint="eastAsia" w:ascii="宋体" w:hAnsi="宋体"/>
          <w:color w:val="000000"/>
          <w:sz w:val="24"/>
        </w:rPr>
        <w:t>计和管理，矿井</w:t>
      </w:r>
      <w:r>
        <w:rPr>
          <w:rFonts w:ascii="宋体" w:hAnsi="宋体"/>
          <w:color w:val="000000"/>
          <w:sz w:val="24"/>
        </w:rPr>
        <w:t>无地质热害。</w:t>
      </w:r>
    </w:p>
    <w:p w14:paraId="1CDC6F60">
      <w:pPr>
        <w:spacing w:line="360" w:lineRule="auto"/>
        <w:ind w:firstLine="480" w:firstLineChars="200"/>
        <w:rPr>
          <w:rFonts w:hint="eastAsia" w:ascii="宋体" w:hAnsi="宋体"/>
          <w:color w:val="000000"/>
          <w:sz w:val="24"/>
        </w:rPr>
      </w:pPr>
      <w:r>
        <w:rPr>
          <w:rFonts w:hint="eastAsia" w:ascii="宋体" w:hAnsi="宋体"/>
          <w:color w:val="000000"/>
          <w:sz w:val="24"/>
        </w:rPr>
        <w:t>（5）矿区内可采煤层较稳定，适合于机械化开采。</w:t>
      </w:r>
    </w:p>
    <w:p w14:paraId="18538DF6">
      <w:pPr>
        <w:spacing w:line="360" w:lineRule="auto"/>
        <w:ind w:firstLine="480" w:firstLineChars="200"/>
        <w:rPr>
          <w:rFonts w:ascii="宋体" w:hAnsi="宋体"/>
          <w:color w:val="000000"/>
          <w:sz w:val="24"/>
        </w:rPr>
      </w:pPr>
      <w:r>
        <w:rPr>
          <w:rFonts w:hint="eastAsia" w:ascii="宋体" w:hAnsi="宋体"/>
          <w:color w:val="000000"/>
          <w:sz w:val="24"/>
        </w:rPr>
        <w:t>（6）本区煤层瓦斯含量较高，本矿井目前尚未开展煤与瓦斯突出鉴定，因此，按有煤与瓦斯突出矿井设计，瓦斯涌出及煤与瓦斯突出的危险性限制了工作面单产能力的发挥，从一定程度上制约了矿井的生产能力。</w:t>
      </w:r>
    </w:p>
    <w:p w14:paraId="6D026B2A">
      <w:pPr>
        <w:spacing w:line="360" w:lineRule="auto"/>
        <w:ind w:firstLine="480" w:firstLineChars="200"/>
        <w:rPr>
          <w:rFonts w:hint="eastAsia" w:ascii="宋体" w:hAnsi="宋体"/>
          <w:color w:val="000000"/>
          <w:sz w:val="24"/>
        </w:rPr>
      </w:pPr>
      <w:r>
        <w:rPr>
          <w:rFonts w:hint="eastAsia" w:ascii="宋体" w:hAnsi="宋体"/>
          <w:color w:val="000000"/>
          <w:sz w:val="24"/>
        </w:rPr>
        <w:t>综上所述，设计提出</w:t>
      </w:r>
      <w:r>
        <w:rPr>
          <w:rFonts w:ascii="宋体" w:hAnsi="宋体"/>
          <w:color w:val="000000"/>
          <w:sz w:val="24"/>
        </w:rPr>
        <w:t>15</w:t>
      </w:r>
      <w:r>
        <w:rPr>
          <w:rFonts w:hint="eastAsia" w:ascii="宋体" w:hAnsi="宋体"/>
          <w:color w:val="000000"/>
          <w:sz w:val="24"/>
        </w:rPr>
        <w:t>万吨/年、</w:t>
      </w:r>
      <w:r>
        <w:rPr>
          <w:rFonts w:ascii="宋体" w:hAnsi="宋体"/>
          <w:color w:val="000000"/>
          <w:sz w:val="24"/>
        </w:rPr>
        <w:t>30</w:t>
      </w:r>
      <w:r>
        <w:rPr>
          <w:rFonts w:hint="eastAsia" w:ascii="宋体" w:hAnsi="宋体"/>
          <w:color w:val="000000"/>
          <w:sz w:val="24"/>
        </w:rPr>
        <w:t>万吨/年和</w:t>
      </w:r>
      <w:r>
        <w:rPr>
          <w:rFonts w:ascii="宋体" w:hAnsi="宋体"/>
          <w:color w:val="000000"/>
          <w:sz w:val="24"/>
        </w:rPr>
        <w:t>45</w:t>
      </w:r>
      <w:r>
        <w:rPr>
          <w:rFonts w:hint="eastAsia" w:ascii="宋体" w:hAnsi="宋体"/>
          <w:color w:val="000000"/>
          <w:sz w:val="24"/>
        </w:rPr>
        <w:t>万吨/年三个井型方案比选：</w:t>
      </w:r>
    </w:p>
    <w:p w14:paraId="4C179DA3">
      <w:pPr>
        <w:spacing w:line="360" w:lineRule="auto"/>
        <w:ind w:firstLine="480" w:firstLineChars="200"/>
        <w:rPr>
          <w:rFonts w:ascii="宋体" w:hAnsi="宋体"/>
          <w:color w:val="000000"/>
          <w:sz w:val="24"/>
        </w:rPr>
      </w:pPr>
      <w:r>
        <w:rPr>
          <w:rFonts w:hint="eastAsia" w:ascii="宋体" w:hAnsi="宋体"/>
          <w:color w:val="000000"/>
          <w:sz w:val="24"/>
        </w:rPr>
        <w:t>（1）矿井设计生产能力</w:t>
      </w:r>
      <w:r>
        <w:rPr>
          <w:rFonts w:ascii="宋体" w:hAnsi="宋体"/>
          <w:color w:val="000000"/>
          <w:sz w:val="24"/>
        </w:rPr>
        <w:t>15</w:t>
      </w:r>
      <w:r>
        <w:rPr>
          <w:rFonts w:hint="eastAsia" w:ascii="宋体" w:hAnsi="宋体"/>
          <w:color w:val="000000"/>
          <w:sz w:val="24"/>
        </w:rPr>
        <w:t>万吨/年时，服务年限为35.2年，对整合矿井而言，服务年限较长；设计生产能力</w:t>
      </w:r>
      <w:r>
        <w:rPr>
          <w:rFonts w:ascii="宋体" w:hAnsi="宋体"/>
          <w:color w:val="000000"/>
          <w:sz w:val="24"/>
        </w:rPr>
        <w:t>30</w:t>
      </w:r>
      <w:r>
        <w:rPr>
          <w:rFonts w:hint="eastAsia" w:ascii="宋体" w:hAnsi="宋体"/>
          <w:color w:val="000000"/>
          <w:sz w:val="24"/>
        </w:rPr>
        <w:t>万吨/年时，服务年限为17.6年，服务年限合适，设计生产能力</w:t>
      </w:r>
      <w:r>
        <w:rPr>
          <w:rFonts w:ascii="宋体" w:hAnsi="宋体"/>
          <w:color w:val="000000"/>
          <w:sz w:val="24"/>
        </w:rPr>
        <w:t>45</w:t>
      </w:r>
      <w:r>
        <w:rPr>
          <w:rFonts w:hint="eastAsia" w:ascii="宋体" w:hAnsi="宋体"/>
          <w:color w:val="000000"/>
          <w:sz w:val="24"/>
        </w:rPr>
        <w:t>万吨/年时，服务年限为11.7年，服务年限偏短。</w:t>
      </w:r>
    </w:p>
    <w:p w14:paraId="268EC0C0">
      <w:pPr>
        <w:spacing w:line="360" w:lineRule="auto"/>
        <w:ind w:firstLine="480" w:firstLineChars="200"/>
        <w:rPr>
          <w:rFonts w:ascii="宋体" w:hAnsi="宋体"/>
          <w:color w:val="000000"/>
          <w:sz w:val="24"/>
        </w:rPr>
      </w:pPr>
      <w:r>
        <w:rPr>
          <w:rFonts w:hint="eastAsia" w:ascii="宋体" w:hAnsi="宋体"/>
          <w:color w:val="000000"/>
          <w:sz w:val="24"/>
        </w:rPr>
        <w:t>（2）本矿井煤层赋存稳定，属薄及中厚煤层，适合于机械化开采，普采工作面生产能力可达到</w:t>
      </w:r>
      <w:r>
        <w:rPr>
          <w:rFonts w:ascii="宋体" w:hAnsi="宋体"/>
          <w:color w:val="000000"/>
          <w:sz w:val="24"/>
        </w:rPr>
        <w:t>30</w:t>
      </w:r>
      <w:r>
        <w:rPr>
          <w:rFonts w:hint="eastAsia" w:ascii="宋体" w:hAnsi="宋体"/>
          <w:color w:val="000000"/>
          <w:sz w:val="24"/>
        </w:rPr>
        <w:t>万吨/年，且减少了工人的劳动强度，如设计生产能力为</w:t>
      </w:r>
      <w:r>
        <w:rPr>
          <w:rFonts w:ascii="宋体" w:hAnsi="宋体"/>
          <w:color w:val="000000"/>
          <w:sz w:val="24"/>
        </w:rPr>
        <w:t>15</w:t>
      </w:r>
      <w:r>
        <w:rPr>
          <w:rFonts w:hint="eastAsia" w:ascii="宋体" w:hAnsi="宋体"/>
          <w:color w:val="000000"/>
          <w:sz w:val="24"/>
        </w:rPr>
        <w:t>万吨/年，则不能发挥采煤机效率。</w:t>
      </w:r>
    </w:p>
    <w:p w14:paraId="37E54BB4">
      <w:pPr>
        <w:spacing w:line="360" w:lineRule="auto"/>
        <w:ind w:firstLine="480" w:firstLineChars="200"/>
        <w:rPr>
          <w:rFonts w:ascii="宋体" w:hAnsi="宋体"/>
          <w:color w:val="000000"/>
          <w:sz w:val="24"/>
        </w:rPr>
      </w:pPr>
      <w:r>
        <w:rPr>
          <w:rFonts w:hint="eastAsia" w:ascii="宋体" w:hAnsi="宋体"/>
          <w:color w:val="000000"/>
          <w:sz w:val="24"/>
        </w:rPr>
        <w:t>（3）根据《贵州省水城县煤矿整合及煤炭开发利用规划》及贵州省人民政府（黔府函</w:t>
      </w:r>
      <w:r>
        <w:rPr>
          <w:rFonts w:ascii="宋体" w:hAnsi="宋体"/>
          <w:color w:val="000000"/>
          <w:sz w:val="24"/>
        </w:rPr>
        <w:t>[2006]205</w:t>
      </w:r>
      <w:r>
        <w:rPr>
          <w:rFonts w:hint="eastAsia" w:ascii="宋体" w:hAnsi="宋体"/>
          <w:color w:val="000000"/>
          <w:sz w:val="24"/>
        </w:rPr>
        <w:t>号）文件“省人民政府关于六盘水六枝特区等四县（区）煤矿整合和调整布局方案的批复”，</w:t>
      </w:r>
      <w:r>
        <w:rPr>
          <w:rFonts w:hint="eastAsia" w:hAnsi="宋体"/>
          <w:sz w:val="24"/>
        </w:rPr>
        <w:t>水城县玉舍大坪煤矿</w:t>
      </w:r>
      <w:r>
        <w:rPr>
          <w:rFonts w:hint="eastAsia" w:ascii="宋体" w:hAnsi="宋体"/>
          <w:color w:val="000000"/>
          <w:sz w:val="24"/>
        </w:rPr>
        <w:t>规划能力为</w:t>
      </w:r>
      <w:r>
        <w:rPr>
          <w:rFonts w:ascii="宋体" w:hAnsi="宋体"/>
          <w:color w:val="000000"/>
          <w:sz w:val="24"/>
        </w:rPr>
        <w:t>30</w:t>
      </w:r>
      <w:r>
        <w:rPr>
          <w:rFonts w:hint="eastAsia" w:ascii="宋体" w:hAnsi="宋体"/>
          <w:color w:val="000000"/>
          <w:sz w:val="24"/>
        </w:rPr>
        <w:t>万吨/年。</w:t>
      </w:r>
    </w:p>
    <w:p w14:paraId="2A516822">
      <w:pPr>
        <w:spacing w:after="50" w:line="360" w:lineRule="auto"/>
        <w:ind w:firstLine="480" w:firstLineChars="200"/>
        <w:rPr>
          <w:rFonts w:hint="eastAsia" w:ascii="宋体" w:hAnsi="宋体"/>
          <w:sz w:val="24"/>
        </w:rPr>
      </w:pPr>
      <w:r>
        <w:rPr>
          <w:rFonts w:hint="eastAsia" w:ascii="宋体" w:hAnsi="宋体"/>
          <w:color w:val="000000"/>
          <w:sz w:val="24"/>
        </w:rPr>
        <w:t>总之，本设计从矿井地质构造、资源量、煤层赋存条件、开采技术条件、业主投资情况及规划情况等因素综合考虑，认为矿井生产能力</w:t>
      </w:r>
      <w:r>
        <w:rPr>
          <w:rFonts w:ascii="宋体" w:hAnsi="宋体"/>
          <w:color w:val="000000"/>
          <w:sz w:val="24"/>
        </w:rPr>
        <w:t>30</w:t>
      </w:r>
      <w:r>
        <w:rPr>
          <w:rFonts w:hint="eastAsia" w:ascii="宋体" w:hAnsi="宋体"/>
          <w:color w:val="000000"/>
          <w:sz w:val="24"/>
        </w:rPr>
        <w:t>万吨/年较合适。</w:t>
      </w:r>
    </w:p>
    <w:p w14:paraId="5601F9AD">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二、设计服务年限</w:t>
      </w:r>
    </w:p>
    <w:p w14:paraId="71E41B2D">
      <w:pPr>
        <w:spacing w:line="360" w:lineRule="auto"/>
        <w:ind w:firstLine="480" w:firstLineChars="200"/>
        <w:rPr>
          <w:rFonts w:hint="eastAsia" w:ascii="宋体" w:hAnsi="宋体"/>
          <w:sz w:val="24"/>
        </w:rPr>
      </w:pPr>
      <w:r>
        <w:rPr>
          <w:rFonts w:hint="eastAsia" w:ascii="宋体" w:hAnsi="宋体"/>
          <w:sz w:val="24"/>
        </w:rPr>
        <w:t>1、矿井服务年限</w:t>
      </w:r>
    </w:p>
    <w:p w14:paraId="159E610F">
      <w:pPr>
        <w:spacing w:line="360" w:lineRule="auto"/>
        <w:ind w:firstLine="480" w:firstLineChars="200"/>
        <w:rPr>
          <w:rFonts w:hint="eastAsia" w:ascii="宋体" w:hAnsi="宋体"/>
          <w:sz w:val="24"/>
        </w:rPr>
      </w:pPr>
      <w:r>
        <w:rPr>
          <w:rFonts w:hint="eastAsia" w:ascii="宋体" w:hAnsi="宋体"/>
          <w:sz w:val="24"/>
        </w:rPr>
        <w:t>矿井服务年限按下式计算：</w:t>
      </w:r>
    </w:p>
    <w:p w14:paraId="5ACEA395">
      <w:pPr>
        <w:spacing w:line="360" w:lineRule="auto"/>
        <w:ind w:firstLine="480" w:firstLineChars="200"/>
        <w:rPr>
          <w:rFonts w:hint="eastAsia" w:ascii="宋体" w:hAnsi="宋体"/>
          <w:sz w:val="24"/>
          <w:szCs w:val="20"/>
        </w:rPr>
      </w:pPr>
      <w:r>
        <w:rPr>
          <w:rFonts w:hint="eastAsia" w:ascii="宋体" w:hAnsi="宋体"/>
          <w:sz w:val="24"/>
          <w:szCs w:val="20"/>
        </w:rPr>
        <w:t>T＝Z/(A×K)</w:t>
      </w:r>
    </w:p>
    <w:p w14:paraId="2F22F21A">
      <w:pPr>
        <w:spacing w:line="360" w:lineRule="auto"/>
        <w:ind w:firstLine="480" w:firstLineChars="200"/>
        <w:rPr>
          <w:rFonts w:hint="eastAsia" w:ascii="宋体" w:hAnsi="宋体"/>
          <w:sz w:val="24"/>
          <w:szCs w:val="20"/>
        </w:rPr>
      </w:pPr>
      <w:r>
        <w:rPr>
          <w:rFonts w:hint="eastAsia" w:ascii="宋体" w:hAnsi="宋体"/>
          <w:sz w:val="24"/>
          <w:szCs w:val="20"/>
        </w:rPr>
        <w:t>＝737.94÷（30×1.4）</w:t>
      </w:r>
    </w:p>
    <w:p w14:paraId="4A14F359">
      <w:pPr>
        <w:spacing w:line="360" w:lineRule="auto"/>
        <w:ind w:firstLine="480" w:firstLineChars="200"/>
        <w:rPr>
          <w:rFonts w:hint="eastAsia" w:ascii="宋体" w:hAnsi="宋体"/>
          <w:sz w:val="24"/>
          <w:szCs w:val="20"/>
        </w:rPr>
      </w:pPr>
      <w:r>
        <w:rPr>
          <w:rFonts w:hint="eastAsia" w:ascii="宋体" w:hAnsi="宋体"/>
          <w:sz w:val="24"/>
          <w:szCs w:val="20"/>
        </w:rPr>
        <w:t>≈17.6（年）。</w:t>
      </w:r>
    </w:p>
    <w:p w14:paraId="22384760">
      <w:pPr>
        <w:spacing w:line="360" w:lineRule="auto"/>
        <w:ind w:firstLine="480" w:firstLineChars="200"/>
        <w:rPr>
          <w:rFonts w:hint="eastAsia" w:ascii="宋体" w:hAnsi="宋体"/>
          <w:sz w:val="24"/>
          <w:szCs w:val="20"/>
        </w:rPr>
      </w:pPr>
      <w:r>
        <w:rPr>
          <w:rFonts w:hint="eastAsia" w:ascii="宋体" w:hAnsi="宋体"/>
          <w:sz w:val="24"/>
          <w:szCs w:val="20"/>
        </w:rPr>
        <w:t>式中：T—矿井服务年限（年）；</w:t>
      </w:r>
    </w:p>
    <w:p w14:paraId="247A18C3">
      <w:pPr>
        <w:spacing w:line="360" w:lineRule="auto"/>
        <w:ind w:firstLine="480" w:firstLineChars="200"/>
        <w:rPr>
          <w:rFonts w:hint="eastAsia" w:ascii="宋体" w:hAnsi="宋体"/>
          <w:sz w:val="24"/>
          <w:szCs w:val="20"/>
        </w:rPr>
      </w:pPr>
      <w:r>
        <w:rPr>
          <w:rFonts w:hint="eastAsia" w:ascii="宋体" w:hAnsi="宋体"/>
          <w:sz w:val="24"/>
          <w:szCs w:val="20"/>
        </w:rPr>
        <w:t xml:space="preserve">      Z—矿井设计可采储量 (万吨)；</w:t>
      </w:r>
    </w:p>
    <w:p w14:paraId="59AC14C1">
      <w:pPr>
        <w:spacing w:line="360" w:lineRule="auto"/>
        <w:ind w:firstLine="480" w:firstLineChars="200"/>
        <w:rPr>
          <w:rFonts w:ascii="宋体" w:hAnsi="宋体"/>
          <w:sz w:val="24"/>
          <w:szCs w:val="20"/>
        </w:rPr>
      </w:pPr>
      <w:r>
        <w:rPr>
          <w:rFonts w:hint="eastAsia" w:ascii="宋体" w:hAnsi="宋体"/>
          <w:sz w:val="24"/>
          <w:szCs w:val="20"/>
        </w:rPr>
        <w:t xml:space="preserve">      A—矿井生产能力(万吨/年</w:t>
      </w:r>
      <w:r>
        <w:rPr>
          <w:rFonts w:ascii="宋体" w:hAnsi="宋体"/>
          <w:sz w:val="24"/>
          <w:szCs w:val="20"/>
        </w:rPr>
        <w:t>)</w:t>
      </w:r>
      <w:r>
        <w:rPr>
          <w:rFonts w:hint="eastAsia" w:ascii="宋体" w:hAnsi="宋体"/>
          <w:sz w:val="24"/>
          <w:szCs w:val="20"/>
        </w:rPr>
        <w:t>；</w:t>
      </w:r>
    </w:p>
    <w:p w14:paraId="444A3E55">
      <w:pPr>
        <w:spacing w:line="360" w:lineRule="auto"/>
        <w:ind w:firstLine="480" w:firstLineChars="200"/>
        <w:rPr>
          <w:rFonts w:hint="eastAsia" w:ascii="宋体" w:hAnsi="宋体"/>
          <w:sz w:val="24"/>
          <w:szCs w:val="20"/>
        </w:rPr>
      </w:pPr>
      <w:r>
        <w:rPr>
          <w:rFonts w:hint="eastAsia" w:ascii="宋体" w:hAnsi="宋体"/>
          <w:sz w:val="24"/>
          <w:szCs w:val="20"/>
        </w:rPr>
        <w:t xml:space="preserve">      K—矿井储量备用系数，按规范取1.4。</w:t>
      </w:r>
    </w:p>
    <w:p w14:paraId="1BC45234">
      <w:pPr>
        <w:spacing w:line="360" w:lineRule="auto"/>
        <w:ind w:firstLine="480" w:firstLineChars="200"/>
        <w:rPr>
          <w:rFonts w:hint="eastAsia" w:ascii="宋体" w:hAnsi="宋体"/>
          <w:color w:val="000000"/>
          <w:sz w:val="24"/>
        </w:rPr>
      </w:pPr>
      <w:r>
        <w:rPr>
          <w:rFonts w:hint="eastAsia" w:ascii="宋体" w:hAnsi="宋体"/>
          <w:sz w:val="24"/>
        </w:rPr>
        <w:t>矿井服务年限为17.6年，矿井服务年限符合</w:t>
      </w:r>
      <w:r>
        <w:rPr>
          <w:rFonts w:ascii="宋体" w:hAnsi="宋体"/>
          <w:sz w:val="24"/>
        </w:rPr>
        <w:t>《煤炭工业</w:t>
      </w:r>
      <w:r>
        <w:rPr>
          <w:rFonts w:hint="eastAsia" w:ascii="宋体" w:hAnsi="宋体"/>
          <w:sz w:val="24"/>
        </w:rPr>
        <w:t>小型</w:t>
      </w:r>
      <w:r>
        <w:rPr>
          <w:rFonts w:ascii="宋体" w:hAnsi="宋体"/>
          <w:sz w:val="24"/>
        </w:rPr>
        <w:t>矿井设计规范》</w:t>
      </w:r>
      <w:r>
        <w:rPr>
          <w:rFonts w:hint="eastAsia" w:ascii="宋体" w:hAnsi="宋体"/>
          <w:sz w:val="24"/>
        </w:rPr>
        <w:t>对改扩建矿井服务年限的要求，但</w:t>
      </w:r>
      <w:r>
        <w:rPr>
          <w:rFonts w:hint="eastAsia" w:ascii="宋体" w:hAnsi="宋体"/>
          <w:color w:val="000000"/>
          <w:sz w:val="24"/>
        </w:rPr>
        <w:t>随着矿井地质勘查及生产地质工作的进一步开展，资源类别的不断提高，矿井服务年限还可延长。</w:t>
      </w:r>
    </w:p>
    <w:p w14:paraId="57608F9D">
      <w:pPr>
        <w:spacing w:line="360" w:lineRule="auto"/>
        <w:ind w:firstLine="480" w:firstLineChars="200"/>
        <w:rPr>
          <w:rFonts w:hint="eastAsia" w:hAnsi="宋体"/>
          <w:sz w:val="24"/>
        </w:rPr>
      </w:pPr>
      <w:r>
        <w:rPr>
          <w:rFonts w:hint="eastAsia" w:ascii="宋体" w:hAnsi="宋体"/>
          <w:color w:val="000000"/>
          <w:sz w:val="24"/>
        </w:rPr>
        <w:t>2、矿井</w:t>
      </w:r>
      <w:r>
        <w:rPr>
          <w:rFonts w:hint="eastAsia" w:hAnsi="宋体"/>
          <w:sz w:val="24"/>
        </w:rPr>
        <w:t>服务年限内工作面接续的排产安排</w:t>
      </w:r>
    </w:p>
    <w:p w14:paraId="4D500563">
      <w:pPr>
        <w:spacing w:line="360" w:lineRule="auto"/>
        <w:ind w:firstLine="480" w:firstLineChars="200"/>
        <w:rPr>
          <w:rFonts w:hint="eastAsia" w:ascii="宋体" w:hAnsi="宋体"/>
          <w:sz w:val="24"/>
          <w:u w:val="single"/>
        </w:rPr>
      </w:pPr>
      <w:r>
        <w:rPr>
          <w:rFonts w:hint="eastAsia" w:ascii="宋体" w:hAnsi="宋体"/>
          <w:sz w:val="24"/>
          <w:u w:val="single"/>
        </w:rPr>
        <w:t>采区间的</w:t>
      </w:r>
      <w:r>
        <w:rPr>
          <w:rFonts w:ascii="宋体" w:hAnsi="宋体"/>
          <w:sz w:val="24"/>
          <w:u w:val="single"/>
        </w:rPr>
        <w:t>开采顺序</w:t>
      </w:r>
      <w:r>
        <w:rPr>
          <w:rFonts w:hint="eastAsia" w:ascii="宋体" w:hAnsi="宋体"/>
          <w:sz w:val="24"/>
          <w:u w:val="single"/>
        </w:rPr>
        <w:t>为：一采区→二采区→三采区→四采区→五采区</w:t>
      </w:r>
      <w:r>
        <w:rPr>
          <w:rFonts w:ascii="宋体" w:hAnsi="宋体"/>
          <w:sz w:val="24"/>
          <w:u w:val="single"/>
        </w:rPr>
        <w:t>；</w:t>
      </w:r>
    </w:p>
    <w:p w14:paraId="2DE54420">
      <w:pPr>
        <w:spacing w:line="360" w:lineRule="auto"/>
        <w:ind w:firstLine="480" w:firstLineChars="200"/>
        <w:rPr>
          <w:rFonts w:hint="eastAsia" w:ascii="宋体" w:hAnsi="宋体"/>
          <w:sz w:val="24"/>
          <w:u w:val="single"/>
        </w:rPr>
      </w:pPr>
      <w:r>
        <w:rPr>
          <w:rFonts w:ascii="宋体" w:hAnsi="宋体"/>
          <w:sz w:val="24"/>
          <w:u w:val="single"/>
        </w:rPr>
        <w:t>区段间的开采顺序为</w:t>
      </w:r>
      <w:r>
        <w:rPr>
          <w:rFonts w:hint="eastAsia" w:ascii="宋体" w:hAnsi="宋体"/>
          <w:sz w:val="24"/>
          <w:u w:val="single"/>
        </w:rPr>
        <w:t>：</w:t>
      </w:r>
      <w:r>
        <w:rPr>
          <w:rFonts w:ascii="宋体" w:hAnsi="宋体"/>
          <w:sz w:val="24"/>
          <w:u w:val="single"/>
        </w:rPr>
        <w:t>区段下行式。</w:t>
      </w:r>
    </w:p>
    <w:p w14:paraId="55EC64A7">
      <w:pPr>
        <w:spacing w:line="360" w:lineRule="auto"/>
        <w:ind w:firstLine="480" w:firstLineChars="200"/>
        <w:rPr>
          <w:rFonts w:hint="eastAsia" w:ascii="宋体" w:hAnsi="宋体"/>
          <w:sz w:val="24"/>
          <w:u w:val="single"/>
        </w:rPr>
      </w:pPr>
      <w:r>
        <w:rPr>
          <w:rFonts w:hint="eastAsia" w:ascii="宋体" w:hAnsi="宋体"/>
          <w:sz w:val="24"/>
          <w:u w:val="single"/>
        </w:rPr>
        <w:t>一采区：</w:t>
      </w:r>
    </w:p>
    <w:p w14:paraId="40A8157F">
      <w:pPr>
        <w:spacing w:line="360" w:lineRule="auto"/>
        <w:ind w:firstLine="480" w:firstLineChars="200"/>
        <w:rPr>
          <w:rFonts w:hint="eastAsia" w:ascii="宋体" w:hAnsi="宋体"/>
          <w:sz w:val="24"/>
          <w:u w:val="single"/>
        </w:rPr>
      </w:pPr>
      <w:r>
        <w:rPr>
          <w:rFonts w:hint="eastAsia" w:ascii="宋体" w:hAnsi="宋体"/>
          <w:sz w:val="24"/>
          <w:u w:val="single"/>
        </w:rPr>
        <w:t>矿井K1-b、K13、K18、K26、K35-b煤层在+1904m标高以上已全部采空，K3、K9、K10煤层由于煤层较薄，不具备开采条件，矿井未进行回采，但已采采空区对K3、K9、K10煤层造成破坏，因此，设计考虑K3、K9、K10煤层+1904m标高以上后期待顶、底板稳定后进行回收，+1904m标高以下，矿井应根据实际揭露煤层情况尽量可能的布置回采工作面进行回收。</w:t>
      </w:r>
    </w:p>
    <w:p w14:paraId="734CF735">
      <w:pPr>
        <w:spacing w:line="360" w:lineRule="auto"/>
        <w:ind w:firstLine="480" w:firstLineChars="200"/>
        <w:rPr>
          <w:rFonts w:hint="eastAsia" w:ascii="宋体" w:hAnsi="宋体"/>
          <w:sz w:val="24"/>
          <w:u w:val="single"/>
        </w:rPr>
      </w:pPr>
      <w:r>
        <w:rPr>
          <w:rFonts w:hint="eastAsia" w:hAnsi="宋体"/>
          <w:sz w:val="24"/>
          <w:u w:val="single"/>
        </w:rPr>
        <w:t>排产安排为：11015工作面</w:t>
      </w:r>
      <w:r>
        <w:rPr>
          <w:rFonts w:hint="eastAsia" w:ascii="宋体" w:hAnsi="宋体"/>
          <w:sz w:val="24"/>
          <w:u w:val="single"/>
        </w:rPr>
        <w:t>→11135工作面→11035工作面→11185工作面→11095工作面→11265工作面→11105工作面→11355工作面，一采区回采结束。</w:t>
      </w:r>
    </w:p>
    <w:p w14:paraId="2A1B38F8">
      <w:pPr>
        <w:spacing w:line="360" w:lineRule="auto"/>
        <w:ind w:firstLine="480" w:firstLineChars="200"/>
        <w:rPr>
          <w:rFonts w:hint="eastAsia" w:ascii="宋体" w:hAnsi="宋体"/>
          <w:sz w:val="24"/>
          <w:u w:val="single"/>
        </w:rPr>
      </w:pPr>
      <w:r>
        <w:rPr>
          <w:rFonts w:hint="eastAsia" w:ascii="宋体" w:hAnsi="宋体"/>
          <w:sz w:val="24"/>
          <w:u w:val="single"/>
        </w:rPr>
        <w:t>二采区：</w:t>
      </w:r>
    </w:p>
    <w:p w14:paraId="004B27F6">
      <w:pPr>
        <w:spacing w:line="360" w:lineRule="auto"/>
        <w:ind w:firstLine="480" w:firstLineChars="200"/>
        <w:rPr>
          <w:rFonts w:hint="eastAsia" w:ascii="宋体" w:hAnsi="宋体"/>
          <w:sz w:val="24"/>
          <w:u w:val="single"/>
        </w:rPr>
      </w:pPr>
      <w:r>
        <w:rPr>
          <w:rFonts w:hint="eastAsia" w:hAnsi="宋体"/>
          <w:sz w:val="24"/>
          <w:u w:val="single"/>
        </w:rPr>
        <w:t>一区段排产安排为：12091工作面</w:t>
      </w:r>
      <w:r>
        <w:rPr>
          <w:rFonts w:hint="eastAsia" w:ascii="宋体" w:hAnsi="宋体"/>
          <w:sz w:val="24"/>
          <w:u w:val="single"/>
        </w:rPr>
        <w:t>→12181工作面→12101工作面→12261工作面→12131工作面，二采区一区段回采结束。</w:t>
      </w:r>
    </w:p>
    <w:p w14:paraId="47597DD7">
      <w:pPr>
        <w:spacing w:line="360" w:lineRule="auto"/>
        <w:ind w:firstLine="480" w:firstLineChars="200"/>
        <w:rPr>
          <w:rFonts w:hint="eastAsia" w:ascii="宋体" w:hAnsi="宋体"/>
          <w:sz w:val="24"/>
          <w:u w:val="single"/>
        </w:rPr>
      </w:pPr>
      <w:r>
        <w:rPr>
          <w:rFonts w:hint="eastAsia" w:hAnsi="宋体"/>
          <w:sz w:val="24"/>
          <w:u w:val="single"/>
        </w:rPr>
        <w:t>二区段排产安排为：12183工作面</w:t>
      </w:r>
      <w:r>
        <w:rPr>
          <w:rFonts w:hint="eastAsia" w:ascii="宋体" w:hAnsi="宋体"/>
          <w:sz w:val="24"/>
          <w:u w:val="single"/>
        </w:rPr>
        <w:t>→12263工作面→12353工作面，二采区二区段回采结束。</w:t>
      </w:r>
    </w:p>
    <w:p w14:paraId="458E5AA4">
      <w:pPr>
        <w:spacing w:line="360" w:lineRule="auto"/>
        <w:ind w:firstLine="480" w:firstLineChars="200"/>
        <w:rPr>
          <w:rFonts w:hint="eastAsia" w:ascii="宋体" w:hAnsi="宋体"/>
          <w:sz w:val="24"/>
          <w:u w:val="single"/>
        </w:rPr>
      </w:pPr>
      <w:r>
        <w:rPr>
          <w:rFonts w:hint="eastAsia" w:hAnsi="宋体"/>
          <w:sz w:val="24"/>
          <w:u w:val="single"/>
        </w:rPr>
        <w:t>三区段排产安排为：</w:t>
      </w:r>
      <w:r>
        <w:rPr>
          <w:rFonts w:hint="eastAsia" w:ascii="宋体" w:hAnsi="宋体"/>
          <w:sz w:val="24"/>
          <w:u w:val="single"/>
        </w:rPr>
        <w:t>13355工作面，二采区三区段回采结束。</w:t>
      </w:r>
    </w:p>
    <w:p w14:paraId="4D010209">
      <w:pPr>
        <w:spacing w:line="360" w:lineRule="auto"/>
        <w:ind w:firstLine="480" w:firstLineChars="200"/>
        <w:rPr>
          <w:rFonts w:hint="eastAsia" w:ascii="宋体" w:hAnsi="宋体"/>
          <w:sz w:val="24"/>
          <w:u w:val="single"/>
        </w:rPr>
      </w:pPr>
      <w:r>
        <w:rPr>
          <w:rFonts w:hint="eastAsia" w:ascii="宋体" w:hAnsi="宋体"/>
          <w:sz w:val="24"/>
          <w:u w:val="single"/>
        </w:rPr>
        <w:t>对于区段内存在的三角煤，矿井必须布置巷道进行回收，二采区开采结束。</w:t>
      </w:r>
    </w:p>
    <w:p w14:paraId="2E370393">
      <w:pPr>
        <w:spacing w:line="360" w:lineRule="auto"/>
        <w:ind w:firstLine="480" w:firstLineChars="200"/>
        <w:rPr>
          <w:rFonts w:hint="eastAsia" w:ascii="宋体" w:hAnsi="宋体"/>
          <w:sz w:val="24"/>
          <w:u w:val="single"/>
        </w:rPr>
      </w:pPr>
      <w:r>
        <w:rPr>
          <w:rFonts w:hint="eastAsia" w:ascii="宋体" w:hAnsi="宋体"/>
          <w:sz w:val="24"/>
          <w:u w:val="single"/>
        </w:rPr>
        <w:t>三采区：</w:t>
      </w:r>
    </w:p>
    <w:p w14:paraId="0178C7E1">
      <w:pPr>
        <w:spacing w:line="360" w:lineRule="auto"/>
        <w:ind w:firstLine="480" w:firstLineChars="200"/>
        <w:rPr>
          <w:rFonts w:hint="eastAsia" w:ascii="宋体" w:hAnsi="宋体"/>
          <w:sz w:val="24"/>
          <w:u w:val="single"/>
        </w:rPr>
      </w:pPr>
      <w:r>
        <w:rPr>
          <w:rFonts w:hint="eastAsia" w:hAnsi="宋体"/>
          <w:sz w:val="24"/>
          <w:u w:val="single"/>
        </w:rPr>
        <w:t>一区段排产安排为：13181工作面</w:t>
      </w:r>
      <w:r>
        <w:rPr>
          <w:rFonts w:hint="eastAsia" w:ascii="宋体" w:hAnsi="宋体"/>
          <w:sz w:val="24"/>
          <w:u w:val="single"/>
        </w:rPr>
        <w:t>→13182工作面→13261工作面→13262工作面→13351工作面→13352工作面，三采区一区段回采结束。</w:t>
      </w:r>
    </w:p>
    <w:p w14:paraId="5EA7BB04">
      <w:pPr>
        <w:spacing w:line="360" w:lineRule="auto"/>
        <w:ind w:firstLine="480" w:firstLineChars="200"/>
        <w:rPr>
          <w:rFonts w:hint="eastAsia" w:ascii="宋体" w:hAnsi="宋体"/>
          <w:sz w:val="24"/>
          <w:u w:val="single"/>
        </w:rPr>
      </w:pPr>
      <w:r>
        <w:rPr>
          <w:rFonts w:hint="eastAsia" w:hAnsi="宋体"/>
          <w:sz w:val="24"/>
          <w:u w:val="single"/>
        </w:rPr>
        <w:t>二区段排产安排为：13263工作面</w:t>
      </w:r>
      <w:r>
        <w:rPr>
          <w:rFonts w:hint="eastAsia" w:ascii="宋体" w:hAnsi="宋体"/>
          <w:sz w:val="24"/>
          <w:u w:val="single"/>
        </w:rPr>
        <w:t>→13264工作面→13353工作面→13354工作面，三采区二区段回采结束。</w:t>
      </w:r>
    </w:p>
    <w:p w14:paraId="4A3F62C5">
      <w:pPr>
        <w:spacing w:line="360" w:lineRule="auto"/>
        <w:ind w:firstLine="480" w:firstLineChars="200"/>
        <w:rPr>
          <w:rFonts w:hint="eastAsia" w:ascii="宋体" w:hAnsi="宋体"/>
          <w:sz w:val="24"/>
          <w:u w:val="single"/>
        </w:rPr>
      </w:pPr>
      <w:r>
        <w:rPr>
          <w:rFonts w:hint="eastAsia" w:ascii="宋体" w:hAnsi="宋体"/>
          <w:sz w:val="24"/>
          <w:u w:val="single"/>
        </w:rPr>
        <w:t>对于区段内存在的三角煤，矿井必须布置巷道进行回收，三采区开采结束。</w:t>
      </w:r>
    </w:p>
    <w:p w14:paraId="0EB5A714">
      <w:pPr>
        <w:spacing w:line="360" w:lineRule="auto"/>
        <w:ind w:firstLine="480" w:firstLineChars="200"/>
        <w:rPr>
          <w:rFonts w:hint="eastAsia" w:ascii="宋体" w:hAnsi="宋体"/>
          <w:sz w:val="24"/>
          <w:u w:val="single"/>
        </w:rPr>
      </w:pPr>
      <w:r>
        <w:rPr>
          <w:rFonts w:hint="eastAsia" w:ascii="宋体" w:hAnsi="宋体"/>
          <w:sz w:val="24"/>
          <w:u w:val="single"/>
        </w:rPr>
        <w:t>四采区：</w:t>
      </w:r>
    </w:p>
    <w:p w14:paraId="16DA78E2">
      <w:pPr>
        <w:spacing w:line="360" w:lineRule="auto"/>
        <w:ind w:firstLine="480" w:firstLineChars="200"/>
        <w:rPr>
          <w:rFonts w:hint="eastAsia" w:ascii="宋体" w:hAnsi="宋体"/>
          <w:sz w:val="24"/>
          <w:u w:val="single"/>
        </w:rPr>
      </w:pPr>
      <w:r>
        <w:rPr>
          <w:rFonts w:hint="eastAsia" w:hAnsi="宋体"/>
          <w:sz w:val="24"/>
          <w:u w:val="single"/>
        </w:rPr>
        <w:t>一区段排产安排为：141061工作面</w:t>
      </w:r>
      <w:r>
        <w:rPr>
          <w:rFonts w:hint="eastAsia" w:ascii="宋体" w:hAnsi="宋体"/>
          <w:sz w:val="24"/>
          <w:u w:val="single"/>
        </w:rPr>
        <w:t>→141062工作面→141091工作面→141092工作面→141101工作面→141102工作面，四采区一区段回采结束。</w:t>
      </w:r>
    </w:p>
    <w:p w14:paraId="6162933D">
      <w:pPr>
        <w:spacing w:line="360" w:lineRule="auto"/>
        <w:ind w:firstLine="480" w:firstLineChars="200"/>
        <w:rPr>
          <w:rFonts w:hint="eastAsia" w:ascii="宋体" w:hAnsi="宋体"/>
          <w:sz w:val="24"/>
          <w:u w:val="single"/>
        </w:rPr>
      </w:pPr>
      <w:r>
        <w:rPr>
          <w:rFonts w:hint="eastAsia" w:hAnsi="宋体"/>
          <w:sz w:val="24"/>
          <w:u w:val="single"/>
        </w:rPr>
        <w:t>二区段排产安排为：141063工作面</w:t>
      </w:r>
      <w:r>
        <w:rPr>
          <w:rFonts w:hint="eastAsia" w:ascii="宋体" w:hAnsi="宋体"/>
          <w:sz w:val="24"/>
          <w:u w:val="single"/>
        </w:rPr>
        <w:t>→141064工作面→141093工作面→141094工作面→141103工作面→141104工作面，四采区二区段回采结束。</w:t>
      </w:r>
    </w:p>
    <w:p w14:paraId="156B7042">
      <w:pPr>
        <w:spacing w:line="360" w:lineRule="auto"/>
        <w:ind w:firstLine="480" w:firstLineChars="200"/>
        <w:rPr>
          <w:rFonts w:hint="eastAsia" w:ascii="宋体" w:hAnsi="宋体"/>
          <w:sz w:val="24"/>
          <w:u w:val="single"/>
        </w:rPr>
      </w:pPr>
      <w:r>
        <w:rPr>
          <w:rFonts w:hint="eastAsia" w:hAnsi="宋体"/>
          <w:sz w:val="24"/>
          <w:u w:val="single"/>
        </w:rPr>
        <w:t>三区段排产安排为：141065工作面</w:t>
      </w:r>
      <w:r>
        <w:rPr>
          <w:rFonts w:hint="eastAsia" w:ascii="宋体" w:hAnsi="宋体"/>
          <w:sz w:val="24"/>
          <w:u w:val="single"/>
        </w:rPr>
        <w:t>→141066工作面→141095工作面→141096工作面→141105工作面→141106工作面，四采区三区段回采结束。</w:t>
      </w:r>
    </w:p>
    <w:p w14:paraId="134E6AF4">
      <w:pPr>
        <w:spacing w:line="360" w:lineRule="auto"/>
        <w:ind w:firstLine="480" w:firstLineChars="200"/>
        <w:rPr>
          <w:rFonts w:hint="eastAsia" w:ascii="宋体" w:hAnsi="宋体"/>
          <w:sz w:val="24"/>
          <w:u w:val="single"/>
        </w:rPr>
      </w:pPr>
      <w:r>
        <w:rPr>
          <w:rFonts w:hint="eastAsia" w:ascii="宋体" w:hAnsi="宋体"/>
          <w:sz w:val="24"/>
          <w:u w:val="single"/>
        </w:rPr>
        <w:t>对于区段内存在的三角煤，矿井必须布置巷道进行回收，四采区开采结束。</w:t>
      </w:r>
    </w:p>
    <w:p w14:paraId="18F3FC3D">
      <w:pPr>
        <w:spacing w:line="360" w:lineRule="auto"/>
        <w:ind w:firstLine="480" w:firstLineChars="200"/>
        <w:rPr>
          <w:rFonts w:hint="eastAsia" w:ascii="宋体" w:hAnsi="宋体"/>
          <w:sz w:val="24"/>
          <w:u w:val="single"/>
        </w:rPr>
      </w:pPr>
      <w:r>
        <w:rPr>
          <w:rFonts w:hint="eastAsia" w:ascii="宋体" w:hAnsi="宋体"/>
          <w:sz w:val="24"/>
          <w:u w:val="single"/>
        </w:rPr>
        <w:t>五采区：</w:t>
      </w:r>
    </w:p>
    <w:p w14:paraId="0C2C359F">
      <w:pPr>
        <w:spacing w:line="360" w:lineRule="auto"/>
        <w:ind w:firstLine="480" w:firstLineChars="200"/>
        <w:rPr>
          <w:rFonts w:hint="eastAsia" w:hAnsi="宋体"/>
          <w:sz w:val="24"/>
          <w:u w:val="single"/>
        </w:rPr>
      </w:pPr>
      <w:r>
        <w:rPr>
          <w:rFonts w:hint="eastAsia" w:hAnsi="宋体"/>
          <w:sz w:val="24"/>
          <w:u w:val="single"/>
        </w:rPr>
        <w:t>五采区的三层煤的层间距小，为单翼开采，不能按正常的区段布置回采，因此，设计采取双巷掘的方式布置。</w:t>
      </w:r>
    </w:p>
    <w:p w14:paraId="1D923568">
      <w:pPr>
        <w:spacing w:line="360" w:lineRule="auto"/>
        <w:ind w:firstLine="480" w:firstLineChars="200"/>
        <w:rPr>
          <w:rFonts w:hint="eastAsia" w:ascii="宋体" w:hAnsi="宋体"/>
          <w:sz w:val="24"/>
          <w:u w:val="single"/>
        </w:rPr>
      </w:pPr>
      <w:r>
        <w:rPr>
          <w:rFonts w:hint="eastAsia" w:hAnsi="宋体"/>
          <w:sz w:val="24"/>
          <w:u w:val="single"/>
        </w:rPr>
        <w:t>排产安排为：251061工作面</w:t>
      </w:r>
      <w:r>
        <w:rPr>
          <w:rFonts w:hint="eastAsia" w:ascii="宋体" w:hAnsi="宋体"/>
          <w:sz w:val="24"/>
          <w:u w:val="single"/>
        </w:rPr>
        <w:t>→251063工作面→251091工作面→251093工作面→251101工作面→251103工作面→</w:t>
      </w:r>
      <w:r>
        <w:rPr>
          <w:rFonts w:hint="eastAsia" w:hAnsi="宋体"/>
          <w:sz w:val="24"/>
          <w:u w:val="single"/>
        </w:rPr>
        <w:t>251065工作面</w:t>
      </w:r>
      <w:r>
        <w:rPr>
          <w:rFonts w:hint="eastAsia" w:ascii="宋体" w:hAnsi="宋体"/>
          <w:sz w:val="24"/>
          <w:u w:val="single"/>
        </w:rPr>
        <w:t>→251067工作面→251095工作面→251097工作面→251105工作面→251107工作面，五采区回采结束。</w:t>
      </w:r>
    </w:p>
    <w:p w14:paraId="5DA37A6B">
      <w:pPr>
        <w:spacing w:line="360" w:lineRule="auto"/>
        <w:ind w:firstLine="480" w:firstLineChars="200"/>
        <w:rPr>
          <w:rFonts w:hint="eastAsia" w:ascii="宋体" w:hAnsi="宋体"/>
          <w:sz w:val="24"/>
          <w:u w:val="single"/>
        </w:rPr>
      </w:pPr>
      <w:r>
        <w:rPr>
          <w:rFonts w:hint="eastAsia" w:ascii="宋体" w:hAnsi="宋体"/>
          <w:sz w:val="24"/>
          <w:u w:val="single"/>
        </w:rPr>
        <w:t>对于区段内存在的三角煤，矿井必须布置巷道进行回收，五采区开采结束。</w:t>
      </w:r>
    </w:p>
    <w:p w14:paraId="45D21DB5">
      <w:pPr>
        <w:spacing w:line="360" w:lineRule="auto"/>
        <w:ind w:firstLine="480" w:firstLineChars="200"/>
        <w:rPr>
          <w:rFonts w:hint="eastAsia" w:ascii="宋体" w:hAnsi="宋体"/>
          <w:sz w:val="24"/>
          <w:u w:val="single"/>
        </w:rPr>
      </w:pPr>
    </w:p>
    <w:p w14:paraId="62AA27B8">
      <w:pPr>
        <w:spacing w:line="360" w:lineRule="auto"/>
        <w:ind w:firstLine="480" w:firstLineChars="200"/>
        <w:rPr>
          <w:rFonts w:hint="eastAsia" w:ascii="宋体" w:hAnsi="宋体"/>
          <w:sz w:val="24"/>
          <w:u w:val="single"/>
        </w:rPr>
      </w:pPr>
    </w:p>
    <w:p w14:paraId="1E08131A">
      <w:pPr>
        <w:spacing w:line="360" w:lineRule="auto"/>
        <w:ind w:firstLine="480" w:firstLineChars="200"/>
        <w:rPr>
          <w:rFonts w:hint="eastAsia" w:ascii="宋体" w:hAnsi="宋体"/>
          <w:color w:val="000000"/>
          <w:sz w:val="24"/>
        </w:rPr>
      </w:pPr>
    </w:p>
    <w:p w14:paraId="1E24EF19">
      <w:pPr>
        <w:spacing w:line="360" w:lineRule="auto"/>
        <w:ind w:firstLine="480" w:firstLineChars="200"/>
        <w:rPr>
          <w:rFonts w:ascii="宋体" w:hAnsi="宋体"/>
          <w:sz w:val="24"/>
        </w:rPr>
        <w:sectPr>
          <w:pgSz w:w="11906" w:h="16838"/>
          <w:pgMar w:top="1304" w:right="1418" w:bottom="1304" w:left="1418" w:header="1134" w:footer="992" w:gutter="0"/>
          <w:cols w:space="720" w:num="1"/>
          <w:docGrid w:linePitch="312" w:charSpace="0"/>
        </w:sectPr>
      </w:pPr>
    </w:p>
    <w:p w14:paraId="0CAD9B15">
      <w:pPr>
        <w:pStyle w:val="2"/>
        <w:keepLines/>
        <w:spacing w:before="240" w:after="120" w:line="360" w:lineRule="auto"/>
        <w:ind w:firstLine="0" w:firstLineChars="0"/>
        <w:rPr>
          <w:rFonts w:hint="eastAsia" w:ascii="黑体" w:eastAsia="黑体"/>
          <w:b/>
          <w:color w:val="000000"/>
          <w:kern w:val="44"/>
          <w:sz w:val="36"/>
          <w:szCs w:val="36"/>
        </w:rPr>
      </w:pPr>
      <w:bookmarkStart w:id="47" w:name="_Toc173869208"/>
      <w:bookmarkStart w:id="48" w:name="_Toc259438188"/>
      <w:bookmarkStart w:id="49" w:name="_Toc260915260"/>
      <w:bookmarkStart w:id="50" w:name="_Toc92630512"/>
      <w:r>
        <w:rPr>
          <w:rFonts w:hint="eastAsia" w:ascii="黑体" w:eastAsia="黑体"/>
          <w:b/>
          <w:color w:val="000000"/>
          <w:kern w:val="44"/>
          <w:sz w:val="36"/>
          <w:szCs w:val="36"/>
        </w:rPr>
        <w:t>第三章　　</w:t>
      </w:r>
      <w:r>
        <w:rPr>
          <w:rFonts w:ascii="黑体" w:eastAsia="黑体"/>
          <w:b/>
          <w:color w:val="000000"/>
          <w:kern w:val="44"/>
          <w:sz w:val="36"/>
          <w:szCs w:val="36"/>
        </w:rPr>
        <w:t>井田开拓与开采</w:t>
      </w:r>
      <w:bookmarkEnd w:id="47"/>
      <w:bookmarkEnd w:id="48"/>
      <w:bookmarkEnd w:id="49"/>
    </w:p>
    <w:bookmarkEnd w:id="50"/>
    <w:p w14:paraId="4D4AC764">
      <w:pPr>
        <w:spacing w:line="360" w:lineRule="auto"/>
        <w:ind w:firstLine="480" w:firstLineChars="200"/>
        <w:rPr>
          <w:rFonts w:hint="eastAsia" w:ascii="宋体" w:hAnsi="宋体"/>
          <w:color w:val="000000"/>
          <w:sz w:val="24"/>
        </w:rPr>
      </w:pPr>
      <w:bookmarkStart w:id="51" w:name="_Toc242905949"/>
      <w:r>
        <w:rPr>
          <w:rFonts w:hint="eastAsia" w:ascii="宋体" w:hAnsi="宋体"/>
          <w:color w:val="000000"/>
          <w:sz w:val="24"/>
        </w:rPr>
        <w:t>本章主要变更内容：1、主斜井井筒参数变更；2、水平划分及采区划分变更；3、回采工艺变更；4、接替工作面变更。</w:t>
      </w:r>
    </w:p>
    <w:p w14:paraId="165F06FA">
      <w:pPr>
        <w:pStyle w:val="3"/>
        <w:keepLines/>
        <w:spacing w:before="240" w:after="240" w:line="360" w:lineRule="auto"/>
        <w:ind w:firstLine="0" w:firstLineChars="0"/>
        <w:jc w:val="center"/>
        <w:rPr>
          <w:rFonts w:hint="eastAsia"/>
          <w:b/>
          <w:color w:val="000000"/>
          <w:sz w:val="32"/>
          <w:szCs w:val="32"/>
        </w:rPr>
      </w:pPr>
      <w:bookmarkStart w:id="52" w:name="_Toc260915261"/>
      <w:r>
        <w:rPr>
          <w:rFonts w:hint="eastAsia"/>
          <w:b/>
          <w:color w:val="000000"/>
          <w:sz w:val="32"/>
          <w:szCs w:val="32"/>
        </w:rPr>
        <w:t>第一节　　井田开拓</w:t>
      </w:r>
      <w:bookmarkEnd w:id="51"/>
      <w:bookmarkEnd w:id="52"/>
    </w:p>
    <w:p w14:paraId="0FDDB0BA">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一</w:t>
      </w:r>
      <w:r>
        <w:rPr>
          <w:b/>
          <w:color w:val="000000"/>
          <w:kern w:val="0"/>
          <w:szCs w:val="20"/>
        </w:rPr>
        <w:t>、井田开拓方式及井口位置</w:t>
      </w:r>
    </w:p>
    <w:p w14:paraId="532B66E4">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井口及工业场地的选择</w:t>
      </w:r>
    </w:p>
    <w:p w14:paraId="10302F59">
      <w:pPr>
        <w:spacing w:line="360" w:lineRule="auto"/>
        <w:ind w:firstLine="480" w:firstLineChars="200"/>
        <w:rPr>
          <w:rFonts w:hint="eastAsia" w:ascii="宋体" w:hAnsi="宋体"/>
          <w:color w:val="000000"/>
          <w:sz w:val="24"/>
        </w:rPr>
      </w:pPr>
      <w:r>
        <w:rPr>
          <w:rFonts w:ascii="宋体" w:hAnsi="宋体"/>
          <w:color w:val="000000"/>
          <w:sz w:val="24"/>
        </w:rPr>
        <w:t>根据矿区内地形特点，工业场地选择主要考虑以下几个因素：</w:t>
      </w:r>
    </w:p>
    <w:p w14:paraId="63532D73">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工业场地应选择在地势较为平坦</w:t>
      </w:r>
      <w:r>
        <w:rPr>
          <w:rFonts w:hint="eastAsia" w:ascii="宋体" w:hAnsi="宋体"/>
          <w:color w:val="000000"/>
          <w:sz w:val="24"/>
        </w:rPr>
        <w:t>、</w:t>
      </w:r>
      <w:r>
        <w:rPr>
          <w:rFonts w:ascii="宋体" w:hAnsi="宋体"/>
          <w:color w:val="000000"/>
          <w:sz w:val="24"/>
        </w:rPr>
        <w:t>交通较为便利</w:t>
      </w:r>
      <w:r>
        <w:rPr>
          <w:rFonts w:hint="eastAsia" w:ascii="宋体" w:hAnsi="宋体"/>
          <w:color w:val="000000"/>
          <w:sz w:val="24"/>
        </w:rPr>
        <w:t>、</w:t>
      </w:r>
      <w:r>
        <w:rPr>
          <w:rFonts w:hint="eastAsia" w:ascii="宋体" w:hAnsi="宋体"/>
          <w:sz w:val="24"/>
        </w:rPr>
        <w:t>工程地质条件较好的地段。</w:t>
      </w:r>
    </w:p>
    <w:p w14:paraId="4FD8DFAC">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本矿井为变更矿井，</w:t>
      </w:r>
      <w:r>
        <w:rPr>
          <w:rFonts w:hint="eastAsia" w:ascii="宋体" w:hAnsi="宋体"/>
          <w:color w:val="000000"/>
          <w:sz w:val="24"/>
        </w:rPr>
        <w:t>井口及工业场地选择应尽量靠近原工业场地或利用原工业场地进行改造。</w:t>
      </w:r>
    </w:p>
    <w:p w14:paraId="5AE08460">
      <w:pPr>
        <w:spacing w:line="360" w:lineRule="auto"/>
        <w:ind w:firstLine="480" w:firstLineChars="200"/>
        <w:rPr>
          <w:rFonts w:hint="eastAsia" w:ascii="宋体" w:hAnsi="宋体"/>
          <w:sz w:val="24"/>
        </w:rPr>
      </w:pPr>
      <w:r>
        <w:rPr>
          <w:rFonts w:hint="eastAsia" w:ascii="宋体" w:hAnsi="宋体"/>
          <w:color w:val="000000"/>
          <w:sz w:val="24"/>
        </w:rPr>
        <w:t>（3）</w:t>
      </w:r>
      <w:r>
        <w:rPr>
          <w:rFonts w:ascii="宋体" w:hAnsi="宋体"/>
          <w:color w:val="000000"/>
          <w:sz w:val="24"/>
        </w:rPr>
        <w:t>井口及工业场地的选择应有利于开拓开采和工作面的接替</w:t>
      </w:r>
      <w:r>
        <w:rPr>
          <w:rFonts w:hint="eastAsia" w:ascii="宋体" w:hAnsi="宋体"/>
          <w:color w:val="000000"/>
          <w:sz w:val="24"/>
        </w:rPr>
        <w:t>，</w:t>
      </w:r>
      <w:r>
        <w:rPr>
          <w:rFonts w:ascii="宋体" w:hAnsi="宋体"/>
          <w:color w:val="000000"/>
          <w:sz w:val="24"/>
        </w:rPr>
        <w:t>井口及工业广场的选择应考虑少占良田好土，少拆迁或者不拆迁村庄或房屋</w:t>
      </w:r>
      <w:r>
        <w:rPr>
          <w:rFonts w:hint="eastAsia" w:ascii="宋体" w:hAnsi="宋体"/>
          <w:color w:val="000000"/>
          <w:sz w:val="24"/>
        </w:rPr>
        <w:t>，</w:t>
      </w:r>
      <w:r>
        <w:rPr>
          <w:rFonts w:ascii="宋体" w:hAnsi="宋体"/>
          <w:color w:val="000000"/>
          <w:sz w:val="24"/>
        </w:rPr>
        <w:t>节省初期投资和缩短建井工期</w:t>
      </w:r>
      <w:r>
        <w:rPr>
          <w:rFonts w:hint="eastAsia" w:ascii="宋体" w:hAnsi="宋体"/>
          <w:color w:val="000000"/>
          <w:sz w:val="24"/>
        </w:rPr>
        <w:t>，矿井</w:t>
      </w:r>
      <w:r>
        <w:rPr>
          <w:rFonts w:hint="eastAsia" w:ascii="宋体" w:hAnsi="宋体"/>
          <w:sz w:val="24"/>
        </w:rPr>
        <w:t>生产过程中，不影响周围村民生活、生产及减少干扰和污染</w:t>
      </w:r>
      <w:r>
        <w:rPr>
          <w:rFonts w:ascii="宋体" w:hAnsi="宋体"/>
          <w:sz w:val="24"/>
        </w:rPr>
        <w:t>。</w:t>
      </w:r>
    </w:p>
    <w:p w14:paraId="0ECEEF2A">
      <w:pPr>
        <w:spacing w:line="360" w:lineRule="auto"/>
        <w:ind w:firstLine="480" w:firstLineChars="200"/>
        <w:rPr>
          <w:rFonts w:hint="eastAsia" w:ascii="宋体" w:hAnsi="宋体"/>
          <w:color w:val="000000"/>
          <w:sz w:val="24"/>
        </w:rPr>
      </w:pPr>
      <w:r>
        <w:rPr>
          <w:rFonts w:hint="eastAsia" w:ascii="宋体" w:hAnsi="宋体"/>
          <w:sz w:val="24"/>
        </w:rPr>
        <w:t>水城县玉舍大坪煤矿于2008年1月编制完成《水城县玉舍大坪煤矿（整合）开采方案设计》，设计生产能力为15万吨/年，于2008年6月5日获得贵州省煤炭管理局文件（黔煤规字【2008】456号）《关于对水城县玉舍大坪煤矿（整合）开采方案设计的批复》；于2008年6月编制完成《水城县玉舍大坪煤矿安全设施设计》，于2008年7月获得贵州煤矿安全监察局水城监察分局文件（黔煤安监水字【2008】246号）“关于对水城县玉舍大坪煤矿安全设施设计的批复”。本矿获得施工资格后并未按原设计施工，而是对主斜井参数进行了调整之后方开始施工，目前矿井一采区开拓系统已形成，工业场地平场完毕，部分地面基础设施已修建完毕。该</w:t>
      </w:r>
      <w:r>
        <w:rPr>
          <w:rFonts w:hint="eastAsia" w:ascii="宋体" w:hAnsi="宋体"/>
          <w:color w:val="000000"/>
          <w:sz w:val="24"/>
        </w:rPr>
        <w:t>工业场地地势较为平缓、</w:t>
      </w:r>
      <w:r>
        <w:rPr>
          <w:rFonts w:hint="eastAsia" w:ascii="宋体" w:hAnsi="宋体"/>
          <w:sz w:val="24"/>
        </w:rPr>
        <w:t>开阔，水源丰富，有直接通至矿区的简易公路，交通较为方便，同时，该坡地为一旱地，无居民居住。</w:t>
      </w:r>
      <w:r>
        <w:rPr>
          <w:rFonts w:ascii="宋体" w:hAnsi="宋体"/>
          <w:color w:val="000000"/>
          <w:sz w:val="24"/>
        </w:rPr>
        <w:t>主</w:t>
      </w:r>
      <w:r>
        <w:rPr>
          <w:rFonts w:hint="eastAsia" w:ascii="宋体" w:hAnsi="宋体"/>
          <w:color w:val="000000"/>
          <w:sz w:val="24"/>
        </w:rPr>
        <w:t>井、副</w:t>
      </w:r>
      <w:r>
        <w:rPr>
          <w:rFonts w:ascii="宋体" w:hAnsi="宋体"/>
          <w:color w:val="000000"/>
          <w:sz w:val="24"/>
        </w:rPr>
        <w:t>井</w:t>
      </w:r>
      <w:r>
        <w:rPr>
          <w:rFonts w:hint="eastAsia" w:ascii="宋体" w:hAnsi="宋体"/>
          <w:color w:val="000000"/>
          <w:sz w:val="24"/>
        </w:rPr>
        <w:t>、风井</w:t>
      </w:r>
      <w:r>
        <w:rPr>
          <w:rFonts w:ascii="宋体" w:hAnsi="宋体"/>
          <w:color w:val="000000"/>
          <w:sz w:val="24"/>
        </w:rPr>
        <w:t>场地</w:t>
      </w:r>
      <w:r>
        <w:rPr>
          <w:rFonts w:hint="eastAsia" w:ascii="宋体" w:hAnsi="宋体"/>
          <w:color w:val="000000"/>
          <w:sz w:val="24"/>
        </w:rPr>
        <w:t>集中布置</w:t>
      </w:r>
      <w:r>
        <w:rPr>
          <w:rFonts w:ascii="宋体" w:hAnsi="宋体"/>
          <w:color w:val="000000"/>
          <w:sz w:val="24"/>
        </w:rPr>
        <w:t>，</w:t>
      </w:r>
      <w:r>
        <w:rPr>
          <w:rFonts w:hint="eastAsia" w:ascii="宋体" w:hAnsi="宋体"/>
          <w:color w:val="000000"/>
          <w:sz w:val="24"/>
        </w:rPr>
        <w:t>采用斜井对全井田开拓</w:t>
      </w:r>
      <w:r>
        <w:rPr>
          <w:rFonts w:ascii="宋体" w:hAnsi="宋体"/>
          <w:color w:val="000000"/>
          <w:sz w:val="24"/>
        </w:rPr>
        <w:t>，系统简单，</w:t>
      </w:r>
      <w:r>
        <w:rPr>
          <w:rFonts w:hint="eastAsia" w:ascii="宋体" w:hAnsi="宋体"/>
          <w:color w:val="000000"/>
          <w:sz w:val="24"/>
        </w:rPr>
        <w:t>工程量小，运输集中。井田南东面矿界附近原大坪煤矿工业场地改扩建后能满足矿井30万吨/年的生产能力，</w:t>
      </w:r>
      <w:r>
        <w:rPr>
          <w:rFonts w:ascii="宋体" w:hAnsi="宋体"/>
          <w:color w:val="000000"/>
          <w:sz w:val="24"/>
        </w:rPr>
        <w:t>投资少，见效快</w:t>
      </w:r>
      <w:r>
        <w:rPr>
          <w:rFonts w:hint="eastAsia" w:ascii="宋体" w:hAnsi="宋体"/>
          <w:color w:val="000000"/>
          <w:sz w:val="24"/>
        </w:rPr>
        <w:t>，无需新修进场公路</w:t>
      </w:r>
      <w:r>
        <w:rPr>
          <w:rFonts w:ascii="宋体" w:hAnsi="宋体"/>
          <w:color w:val="000000"/>
          <w:sz w:val="24"/>
        </w:rPr>
        <w:t>。</w:t>
      </w:r>
    </w:p>
    <w:p w14:paraId="55674B62">
      <w:pPr>
        <w:spacing w:line="360" w:lineRule="auto"/>
        <w:ind w:firstLine="480" w:firstLineChars="200"/>
        <w:rPr>
          <w:rFonts w:ascii="宋体" w:hAnsi="宋体"/>
          <w:color w:val="000000"/>
          <w:sz w:val="24"/>
        </w:rPr>
      </w:pPr>
      <w:r>
        <w:rPr>
          <w:rFonts w:hint="eastAsia" w:ascii="宋体" w:hAnsi="宋体"/>
          <w:color w:val="000000"/>
          <w:sz w:val="24"/>
        </w:rPr>
        <w:t>根据现场踏勘，</w:t>
      </w:r>
      <w:r>
        <w:rPr>
          <w:rFonts w:ascii="宋体" w:hAnsi="宋体"/>
          <w:color w:val="000000"/>
          <w:sz w:val="24"/>
        </w:rPr>
        <w:t>设计根据地形地貌特点、工程地质条件</w:t>
      </w:r>
      <w:r>
        <w:rPr>
          <w:rFonts w:hint="eastAsia" w:ascii="宋体" w:hAnsi="宋体"/>
          <w:color w:val="000000"/>
          <w:sz w:val="24"/>
        </w:rPr>
        <w:t>、</w:t>
      </w:r>
      <w:r>
        <w:rPr>
          <w:rFonts w:ascii="宋体" w:hAnsi="宋体"/>
          <w:color w:val="000000"/>
          <w:sz w:val="24"/>
        </w:rPr>
        <w:t>井下煤层赋存</w:t>
      </w:r>
      <w:r>
        <w:rPr>
          <w:rFonts w:hint="eastAsia" w:ascii="宋体" w:hAnsi="宋体"/>
          <w:color w:val="000000"/>
          <w:sz w:val="24"/>
        </w:rPr>
        <w:t>及矿井现有工程情况等</w:t>
      </w:r>
      <w:r>
        <w:rPr>
          <w:rFonts w:ascii="宋体" w:hAnsi="宋体"/>
          <w:color w:val="000000"/>
          <w:sz w:val="24"/>
        </w:rPr>
        <w:t>综合分析</w:t>
      </w:r>
      <w:r>
        <w:rPr>
          <w:rFonts w:hint="eastAsia" w:ascii="宋体" w:hAnsi="宋体"/>
          <w:color w:val="000000"/>
          <w:sz w:val="24"/>
        </w:rPr>
        <w:t>后</w:t>
      </w:r>
      <w:r>
        <w:rPr>
          <w:rFonts w:ascii="宋体" w:hAnsi="宋体"/>
          <w:color w:val="000000"/>
          <w:sz w:val="24"/>
        </w:rPr>
        <w:t>，</w:t>
      </w:r>
      <w:r>
        <w:rPr>
          <w:rFonts w:hint="eastAsia" w:ascii="宋体" w:hAnsi="宋体"/>
          <w:color w:val="000000"/>
          <w:sz w:val="24"/>
        </w:rPr>
        <w:t>设计考虑</w:t>
      </w:r>
      <w:r>
        <w:rPr>
          <w:rFonts w:ascii="宋体" w:hAnsi="宋体"/>
          <w:color w:val="000000"/>
          <w:sz w:val="24"/>
        </w:rPr>
        <w:t>选用</w:t>
      </w:r>
      <w:r>
        <w:rPr>
          <w:rFonts w:hint="eastAsia" w:ascii="宋体" w:hAnsi="宋体"/>
          <w:color w:val="000000"/>
          <w:sz w:val="24"/>
        </w:rPr>
        <w:t>原大坪</w:t>
      </w:r>
      <w:r>
        <w:rPr>
          <w:rFonts w:ascii="宋体" w:hAnsi="宋体"/>
          <w:color w:val="000000"/>
          <w:sz w:val="24"/>
        </w:rPr>
        <w:t>煤矿的井筒及工业场地</w:t>
      </w:r>
      <w:r>
        <w:rPr>
          <w:rFonts w:hint="eastAsia" w:ascii="宋体" w:hAnsi="宋体"/>
          <w:color w:val="000000"/>
          <w:sz w:val="24"/>
        </w:rPr>
        <w:t>进行</w:t>
      </w:r>
      <w:r>
        <w:rPr>
          <w:rFonts w:ascii="宋体" w:hAnsi="宋体"/>
          <w:color w:val="000000"/>
          <w:sz w:val="24"/>
        </w:rPr>
        <w:t>改造</w:t>
      </w:r>
      <w:r>
        <w:rPr>
          <w:rFonts w:hint="eastAsia" w:ascii="宋体" w:hAnsi="宋体"/>
          <w:color w:val="000000"/>
          <w:sz w:val="24"/>
        </w:rPr>
        <w:t>后利用</w:t>
      </w:r>
      <w:r>
        <w:rPr>
          <w:rFonts w:ascii="宋体" w:hAnsi="宋体"/>
          <w:color w:val="000000"/>
          <w:sz w:val="24"/>
        </w:rPr>
        <w:t>。</w:t>
      </w:r>
    </w:p>
    <w:p w14:paraId="22E4C7D2">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开拓方案</w:t>
      </w:r>
    </w:p>
    <w:p w14:paraId="182B436C">
      <w:pPr>
        <w:spacing w:line="360" w:lineRule="auto"/>
        <w:ind w:firstLine="480" w:firstLineChars="200"/>
        <w:rPr>
          <w:rFonts w:hint="eastAsia" w:ascii="宋体" w:hAnsi="宋体"/>
          <w:sz w:val="24"/>
        </w:rPr>
      </w:pPr>
      <w:r>
        <w:rPr>
          <w:rFonts w:hint="eastAsia" w:ascii="宋体" w:hAnsi="宋体"/>
          <w:sz w:val="24"/>
        </w:rPr>
        <w:t>利用</w:t>
      </w:r>
      <w:r>
        <w:rPr>
          <w:rFonts w:ascii="宋体" w:hAnsi="宋体"/>
          <w:sz w:val="24"/>
        </w:rPr>
        <w:t>水城县玉舍大坪煤矿</w:t>
      </w:r>
      <w:r>
        <w:rPr>
          <w:rFonts w:hint="eastAsia" w:ascii="宋体" w:hAnsi="宋体"/>
          <w:sz w:val="24"/>
        </w:rPr>
        <w:t>原</w:t>
      </w:r>
      <w:r>
        <w:rPr>
          <w:rFonts w:ascii="宋体" w:hAnsi="宋体"/>
          <w:sz w:val="24"/>
        </w:rPr>
        <w:t>工业场地</w:t>
      </w:r>
      <w:r>
        <w:rPr>
          <w:rFonts w:hint="eastAsia" w:ascii="宋体" w:hAnsi="宋体"/>
          <w:sz w:val="24"/>
        </w:rPr>
        <w:t>及开拓系统进行改造，采用斜井开拓全井田。</w:t>
      </w:r>
    </w:p>
    <w:p w14:paraId="508A45B9">
      <w:pPr>
        <w:spacing w:line="360" w:lineRule="auto"/>
        <w:ind w:firstLine="480" w:firstLineChars="200"/>
        <w:rPr>
          <w:rFonts w:hint="eastAsia" w:ascii="宋体" w:hAnsi="宋体"/>
          <w:sz w:val="24"/>
        </w:rPr>
      </w:pPr>
      <w:r>
        <w:rPr>
          <w:rFonts w:hint="eastAsia" w:ascii="宋体" w:hAnsi="宋体"/>
          <w:sz w:val="24"/>
        </w:rPr>
        <w:t>主斜井井口坐标：X＝2933009，Y＝</w:t>
      </w:r>
      <w:r>
        <w:rPr>
          <w:rFonts w:ascii="宋体" w:hAnsi="宋体"/>
          <w:sz w:val="24"/>
        </w:rPr>
        <w:t>35475035</w:t>
      </w:r>
      <w:r>
        <w:rPr>
          <w:rFonts w:hint="eastAsia" w:ascii="宋体" w:hAnsi="宋体"/>
          <w:sz w:val="24"/>
        </w:rPr>
        <w:t>，Z＝+</w:t>
      </w:r>
      <w:r>
        <w:rPr>
          <w:rFonts w:ascii="宋体" w:hAnsi="宋体"/>
          <w:sz w:val="24"/>
        </w:rPr>
        <w:t xml:space="preserve"> 1979</w:t>
      </w:r>
      <w:r>
        <w:rPr>
          <w:rFonts w:hint="eastAsia" w:ascii="宋体" w:hAnsi="宋体"/>
          <w:sz w:val="24"/>
        </w:rPr>
        <w:t>m；主斜井在K35-b煤层底板开口，采用穿层布置，以222°的方位，19°的倾角穿层至+1818.0m标高落平。</w:t>
      </w:r>
    </w:p>
    <w:p w14:paraId="31B06444">
      <w:pPr>
        <w:spacing w:line="360" w:lineRule="auto"/>
        <w:ind w:firstLine="480" w:firstLineChars="200"/>
        <w:rPr>
          <w:rFonts w:hint="eastAsia" w:ascii="宋体" w:hAnsi="宋体"/>
          <w:sz w:val="24"/>
        </w:rPr>
      </w:pPr>
      <w:r>
        <w:rPr>
          <w:rFonts w:hint="eastAsia" w:ascii="宋体" w:hAnsi="宋体"/>
          <w:sz w:val="24"/>
        </w:rPr>
        <w:t>副斜井井口坐标：X＝2933012，Y＝</w:t>
      </w:r>
      <w:r>
        <w:rPr>
          <w:rFonts w:ascii="宋体" w:hAnsi="宋体"/>
          <w:sz w:val="24"/>
        </w:rPr>
        <w:t>35475171</w:t>
      </w:r>
      <w:r>
        <w:rPr>
          <w:rFonts w:hint="eastAsia" w:ascii="宋体" w:hAnsi="宋体"/>
          <w:sz w:val="24"/>
        </w:rPr>
        <w:t>，Z＝+</w:t>
      </w:r>
      <w:r>
        <w:rPr>
          <w:rFonts w:ascii="宋体" w:hAnsi="宋体"/>
          <w:sz w:val="24"/>
        </w:rPr>
        <w:t xml:space="preserve"> 1988</w:t>
      </w:r>
      <w:r>
        <w:rPr>
          <w:rFonts w:hint="eastAsia" w:ascii="宋体" w:hAnsi="宋体"/>
          <w:sz w:val="24"/>
        </w:rPr>
        <w:t xml:space="preserve"> m；副斜井在K35-b煤层底板开口，沿K35-b煤层底板布置，以222°的方位，25°的倾角穿层至+1835.0m标高落平。</w:t>
      </w:r>
    </w:p>
    <w:p w14:paraId="712B7DE0">
      <w:pPr>
        <w:spacing w:line="360" w:lineRule="auto"/>
        <w:ind w:firstLine="480" w:firstLineChars="200"/>
        <w:rPr>
          <w:rFonts w:hint="eastAsia" w:ascii="宋体" w:hAnsi="宋体"/>
          <w:sz w:val="24"/>
        </w:rPr>
      </w:pPr>
      <w:r>
        <w:rPr>
          <w:rFonts w:hint="eastAsia" w:ascii="宋体" w:hAnsi="宋体"/>
          <w:sz w:val="24"/>
        </w:rPr>
        <w:t>回风斜井井口坐标：X＝2933054，Y＝</w:t>
      </w:r>
      <w:r>
        <w:rPr>
          <w:rFonts w:ascii="宋体" w:hAnsi="宋体"/>
          <w:sz w:val="24"/>
        </w:rPr>
        <w:t>35475157</w:t>
      </w:r>
      <w:r>
        <w:rPr>
          <w:rFonts w:hint="eastAsia" w:ascii="宋体" w:hAnsi="宋体"/>
          <w:sz w:val="24"/>
        </w:rPr>
        <w:t>，Z＝＋</w:t>
      </w:r>
      <w:r>
        <w:rPr>
          <w:rFonts w:ascii="宋体" w:hAnsi="宋体"/>
          <w:sz w:val="24"/>
        </w:rPr>
        <w:t>1998</w:t>
      </w:r>
      <w:r>
        <w:rPr>
          <w:rFonts w:hint="eastAsia" w:ascii="宋体" w:hAnsi="宋体"/>
          <w:sz w:val="24"/>
        </w:rPr>
        <w:t>m；回风斜井在K26煤层底板开口，采用穿层布置，以227°的方位，26°的倾角穿层至+1835.0m标高落平。</w:t>
      </w:r>
    </w:p>
    <w:p w14:paraId="1C16FDF0">
      <w:pPr>
        <w:spacing w:line="360" w:lineRule="auto"/>
        <w:ind w:firstLine="480" w:firstLineChars="200"/>
        <w:rPr>
          <w:rFonts w:hint="eastAsia" w:ascii="宋体" w:hAnsi="宋体"/>
          <w:sz w:val="24"/>
        </w:rPr>
      </w:pPr>
      <w:r>
        <w:rPr>
          <w:rFonts w:hint="eastAsia" w:ascii="宋体" w:hAnsi="宋体"/>
          <w:sz w:val="24"/>
        </w:rPr>
        <w:t>主斜井、副斜井、回风斜井落平后通过联络斜巷、联络巷及石门连接，在+1835.0m标高运输石门与轨道石门之间布置水泵房、主副水仓，在133轨道石门与回风斜井之间布置变电所形成矿井一采区开拓系统，目前矿井一采区开拓系统已经形成。</w:t>
      </w:r>
    </w:p>
    <w:p w14:paraId="193B6B51">
      <w:pPr>
        <w:spacing w:line="360" w:lineRule="auto"/>
        <w:ind w:firstLine="480" w:firstLineChars="200"/>
        <w:rPr>
          <w:rFonts w:hint="eastAsia"/>
          <w:sz w:val="24"/>
        </w:rPr>
      </w:pPr>
      <w:r>
        <w:rPr>
          <w:rFonts w:hint="eastAsia" w:ascii="宋体" w:hAnsi="宋体"/>
          <w:sz w:val="24"/>
        </w:rPr>
        <w:t>主斜井、副斜井、回风斜井通过石门连接各煤层，再沿煤层走向布置回采工作面运输顺槽、回风顺槽至采区（井田）边界，通过切眼勾通上、下顺槽，构成回采工作面进、回风系统，形成矿井一采区生产系统</w:t>
      </w:r>
      <w:r>
        <w:rPr>
          <w:rFonts w:hint="eastAsia"/>
          <w:sz w:val="24"/>
        </w:rPr>
        <w:t>。</w:t>
      </w:r>
    </w:p>
    <w:p w14:paraId="5F48063B">
      <w:pPr>
        <w:spacing w:line="360" w:lineRule="auto"/>
        <w:ind w:firstLine="480" w:firstLineChars="200"/>
        <w:rPr>
          <w:rFonts w:hint="eastAsia" w:ascii="宋体" w:hAnsi="宋体"/>
          <w:sz w:val="24"/>
        </w:rPr>
      </w:pPr>
      <w:r>
        <w:rPr>
          <w:rFonts w:hint="eastAsia" w:ascii="宋体" w:hAnsi="宋体"/>
          <w:sz w:val="24"/>
        </w:rPr>
        <w:t>全矿井划分为两个水平五个采区开采，设计矿井东面上、下组煤划分为两个水平三个采区开采，水平标高：一水平标高+1835.0m、二水平标高+1658.0m；矿井西面上、下组煤划分为一个水平两个采区上、下山开采，水平标高：+1835.0m；矿井东、西面通过+1835.0m水平运输大巷连接，设计以一个普采工作面，两个掘进工作面达到设计生产能力，采煤方法为走向长壁后退式采煤法。</w:t>
      </w:r>
    </w:p>
    <w:p w14:paraId="2556AA13">
      <w:pPr>
        <w:spacing w:line="360" w:lineRule="auto"/>
        <w:ind w:firstLine="480" w:firstLineChars="200"/>
        <w:rPr>
          <w:rFonts w:hint="eastAsia" w:ascii="宋体" w:hAnsi="宋体"/>
          <w:sz w:val="24"/>
        </w:rPr>
      </w:pPr>
      <w:r>
        <w:rPr>
          <w:rFonts w:hint="eastAsia" w:ascii="宋体" w:hAnsi="宋体"/>
          <w:sz w:val="24"/>
        </w:rPr>
        <w:t>主体工程量：主斜井506m、副斜井327m、回风斜井376m。矿井采用机械通风，通风方式：中央并列式，通风方法：抽出式。</w:t>
      </w:r>
    </w:p>
    <w:p w14:paraId="6396192A">
      <w:pPr>
        <w:spacing w:line="360" w:lineRule="auto"/>
        <w:ind w:firstLine="480" w:firstLineChars="200"/>
        <w:rPr>
          <w:rFonts w:hint="eastAsia" w:ascii="宋体" w:hAnsi="宋体"/>
          <w:sz w:val="24"/>
        </w:rPr>
      </w:pPr>
      <w:r>
        <w:rPr>
          <w:rFonts w:hint="eastAsia" w:ascii="宋体" w:hAnsi="宋体"/>
          <w:sz w:val="24"/>
        </w:rPr>
        <w:t>主斜井铺设带式输送机运输，担负矿井辅助进风、煤炭运输、管线铺设等任务，副斜井铺设30kg/m轨道，轨道距600mm，担负矿井主要进风、设备、材料、矸石运输、人员运送及管线铺设等任务，回风斜井为矿井专用回风井，担负矿井专用回风任务，原煤通过主斜井胶带输送机运输至地面工业场地储煤场装车外运</w:t>
      </w:r>
      <w:r>
        <w:rPr>
          <w:rFonts w:ascii="宋体" w:hAnsi="宋体"/>
          <w:sz w:val="24"/>
        </w:rPr>
        <w:t>。</w:t>
      </w:r>
    </w:p>
    <w:p w14:paraId="105630DA">
      <w:pPr>
        <w:spacing w:line="360" w:lineRule="auto"/>
        <w:ind w:firstLine="480" w:firstLineChars="200"/>
        <w:rPr>
          <w:rFonts w:hint="eastAsia" w:ascii="宋体" w:hAnsi="宋体"/>
          <w:sz w:val="24"/>
        </w:rPr>
      </w:pPr>
      <w:r>
        <w:rPr>
          <w:rFonts w:hint="eastAsia" w:ascii="宋体" w:hAnsi="宋体"/>
          <w:sz w:val="24"/>
        </w:rPr>
        <w:t>斜井开拓方案，详见</w:t>
      </w:r>
      <w:r>
        <w:rPr>
          <w:rFonts w:hint="eastAsia" w:ascii="宋体" w:hAnsi="宋体"/>
          <w:b/>
          <w:sz w:val="24"/>
        </w:rPr>
        <w:t>图2 开拓系统平面图、图3 开拓系统剖面图</w:t>
      </w:r>
      <w:r>
        <w:rPr>
          <w:rFonts w:ascii="宋体" w:hAnsi="宋体"/>
          <w:sz w:val="24"/>
        </w:rPr>
        <w:t>。</w:t>
      </w:r>
    </w:p>
    <w:p w14:paraId="4C6CC14F">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二</w:t>
      </w:r>
      <w:r>
        <w:rPr>
          <w:b/>
          <w:color w:val="000000"/>
          <w:kern w:val="0"/>
          <w:szCs w:val="20"/>
        </w:rPr>
        <w:t>、水平划分</w:t>
      </w:r>
    </w:p>
    <w:p w14:paraId="25552009">
      <w:pPr>
        <w:spacing w:line="360" w:lineRule="auto"/>
        <w:ind w:firstLine="480" w:firstLineChars="200"/>
        <w:rPr>
          <w:rFonts w:ascii="宋体" w:hAnsi="宋体"/>
          <w:color w:val="000000"/>
        </w:rPr>
      </w:pPr>
      <w:r>
        <w:rPr>
          <w:rFonts w:hint="eastAsia" w:ascii="宋体" w:hAnsi="宋体"/>
          <w:color w:val="000000"/>
          <w:sz w:val="24"/>
        </w:rPr>
        <w:t>1、</w:t>
      </w:r>
      <w:r>
        <w:rPr>
          <w:rFonts w:ascii="宋体" w:hAnsi="宋体"/>
          <w:color w:val="000000"/>
          <w:sz w:val="24"/>
        </w:rPr>
        <w:t>水平划分原则</w:t>
      </w:r>
    </w:p>
    <w:p w14:paraId="0D862F66">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有足够的可采储量以满足水平服务年限；</w:t>
      </w:r>
    </w:p>
    <w:p w14:paraId="06180C57">
      <w:pPr>
        <w:spacing w:line="360" w:lineRule="auto"/>
        <w:ind w:firstLine="468" w:firstLineChars="200"/>
        <w:rPr>
          <w:rFonts w:ascii="宋体" w:hAnsi="宋体"/>
          <w:color w:val="000000"/>
          <w:spacing w:val="-3"/>
          <w:sz w:val="24"/>
        </w:rPr>
      </w:pPr>
      <w:r>
        <w:rPr>
          <w:rFonts w:hint="eastAsia" w:ascii="宋体" w:hAnsi="宋体"/>
          <w:color w:val="000000"/>
          <w:spacing w:val="-3"/>
          <w:sz w:val="24"/>
        </w:rPr>
        <w:t>（2）</w:t>
      </w:r>
      <w:r>
        <w:rPr>
          <w:rFonts w:ascii="宋体" w:hAnsi="宋体"/>
          <w:color w:val="000000"/>
          <w:spacing w:val="-3"/>
          <w:sz w:val="24"/>
        </w:rPr>
        <w:t>结合煤层赋存条件和构造条件，有利于井田开拓布置和适应普采工作面的布置；</w:t>
      </w:r>
    </w:p>
    <w:p w14:paraId="154FD371">
      <w:pPr>
        <w:spacing w:line="360" w:lineRule="auto"/>
        <w:ind w:firstLine="480" w:firstLineChars="200"/>
        <w:rPr>
          <w:rFonts w:ascii="宋体" w:hAnsi="宋体"/>
          <w:color w:val="000000"/>
        </w:rPr>
      </w:pPr>
      <w:r>
        <w:rPr>
          <w:rFonts w:hint="eastAsia" w:ascii="宋体" w:hAnsi="宋体"/>
          <w:color w:val="000000"/>
          <w:sz w:val="24"/>
        </w:rPr>
        <w:t>（3）</w:t>
      </w:r>
      <w:r>
        <w:rPr>
          <w:rFonts w:ascii="宋体" w:hAnsi="宋体"/>
          <w:color w:val="000000"/>
          <w:sz w:val="24"/>
        </w:rPr>
        <w:t>有利于减少井巷总工程量和简化生产环节。</w:t>
      </w:r>
    </w:p>
    <w:p w14:paraId="63A5ED1B">
      <w:pPr>
        <w:spacing w:line="360" w:lineRule="auto"/>
        <w:ind w:firstLine="480" w:firstLineChars="200"/>
        <w:rPr>
          <w:rFonts w:ascii="宋体" w:hAnsi="宋体"/>
          <w:color w:val="000000"/>
          <w:sz w:val="24"/>
        </w:rPr>
      </w:pPr>
      <w:r>
        <w:rPr>
          <w:rFonts w:hint="eastAsia" w:ascii="宋体" w:hAnsi="宋体"/>
          <w:color w:val="000000"/>
          <w:sz w:val="24"/>
        </w:rPr>
        <w:t>2、</w:t>
      </w:r>
      <w:r>
        <w:rPr>
          <w:rFonts w:ascii="宋体" w:hAnsi="宋体"/>
          <w:color w:val="000000"/>
          <w:sz w:val="24"/>
        </w:rPr>
        <w:t>水平划分</w:t>
      </w:r>
    </w:p>
    <w:p w14:paraId="70691CD7">
      <w:pPr>
        <w:spacing w:line="360" w:lineRule="auto"/>
        <w:ind w:firstLine="480" w:firstLineChars="200"/>
        <w:rPr>
          <w:rFonts w:hint="eastAsia" w:ascii="宋体" w:hAnsi="宋体"/>
          <w:color w:val="000000"/>
          <w:sz w:val="24"/>
        </w:rPr>
      </w:pPr>
      <w:r>
        <w:rPr>
          <w:rFonts w:hint="eastAsia" w:ascii="宋体" w:hAnsi="宋体"/>
          <w:sz w:val="24"/>
        </w:rPr>
        <w:t>水城县玉舍大坪煤矿走向长约1800m，倾向宽约700m</w:t>
      </w:r>
      <w:r>
        <w:rPr>
          <w:rFonts w:ascii="宋体" w:hAnsi="宋体"/>
          <w:sz w:val="24"/>
        </w:rPr>
        <w:t>，面积</w:t>
      </w:r>
      <w:r>
        <w:rPr>
          <w:rFonts w:hint="eastAsia" w:ascii="宋体" w:hAnsi="宋体"/>
          <w:sz w:val="24"/>
        </w:rPr>
        <w:t>1.2268km</w:t>
      </w:r>
      <w:r>
        <w:rPr>
          <w:rFonts w:ascii="宋体" w:hAnsi="宋体"/>
          <w:sz w:val="24"/>
          <w:vertAlign w:val="superscript"/>
        </w:rPr>
        <w:t>2</w:t>
      </w:r>
      <w:r>
        <w:rPr>
          <w:rFonts w:hint="eastAsia" w:ascii="宋体" w:hAnsi="宋体"/>
          <w:sz w:val="24"/>
        </w:rPr>
        <w:t>，准采标高为1450～2040m标高</w:t>
      </w:r>
      <w:r>
        <w:rPr>
          <w:rFonts w:ascii="宋体" w:hAnsi="宋体"/>
          <w:sz w:val="24"/>
        </w:rPr>
        <w:t>之间。</w:t>
      </w:r>
      <w:r>
        <w:rPr>
          <w:rFonts w:hint="eastAsia" w:ascii="宋体" w:hAnsi="宋体"/>
          <w:sz w:val="24"/>
        </w:rPr>
        <w:t>根据</w:t>
      </w:r>
      <w:r>
        <w:rPr>
          <w:rFonts w:hint="eastAsia" w:ascii="宋体" w:hAnsi="宋体"/>
          <w:color w:val="000000"/>
          <w:sz w:val="24"/>
        </w:rPr>
        <w:t>矿井</w:t>
      </w:r>
      <w:r>
        <w:rPr>
          <w:rFonts w:ascii="宋体" w:hAnsi="宋体"/>
          <w:color w:val="000000"/>
          <w:sz w:val="24"/>
        </w:rPr>
        <w:t>煤层</w:t>
      </w:r>
      <w:r>
        <w:rPr>
          <w:rFonts w:hint="eastAsia" w:ascii="宋体" w:hAnsi="宋体"/>
          <w:color w:val="000000"/>
          <w:sz w:val="24"/>
        </w:rPr>
        <w:t>较多、上下煤组层间距较大的</w:t>
      </w:r>
      <w:r>
        <w:rPr>
          <w:rFonts w:ascii="宋体" w:hAnsi="宋体"/>
          <w:color w:val="000000"/>
          <w:sz w:val="24"/>
        </w:rPr>
        <w:t>赋存条件、</w:t>
      </w:r>
      <w:r>
        <w:rPr>
          <w:rFonts w:hint="eastAsia" w:ascii="宋体" w:hAnsi="宋体"/>
          <w:color w:val="000000"/>
          <w:sz w:val="24"/>
        </w:rPr>
        <w:t>矿井一采区开拓现状、</w:t>
      </w:r>
      <w:r>
        <w:rPr>
          <w:rFonts w:ascii="宋体" w:hAnsi="宋体"/>
          <w:color w:val="000000"/>
          <w:sz w:val="24"/>
        </w:rPr>
        <w:t>采煤工艺</w:t>
      </w:r>
      <w:r>
        <w:rPr>
          <w:rFonts w:hint="eastAsia" w:ascii="宋体" w:hAnsi="宋体"/>
          <w:color w:val="000000"/>
          <w:sz w:val="24"/>
        </w:rPr>
        <w:t>及小型煤矿特点</w:t>
      </w:r>
      <w:r>
        <w:rPr>
          <w:rFonts w:ascii="宋体" w:hAnsi="宋体"/>
          <w:color w:val="000000"/>
          <w:sz w:val="24"/>
        </w:rPr>
        <w:t>等综合分析</w:t>
      </w:r>
      <w:r>
        <w:rPr>
          <w:rFonts w:hint="eastAsia" w:ascii="宋体" w:hAnsi="宋体"/>
          <w:color w:val="000000"/>
          <w:sz w:val="24"/>
        </w:rPr>
        <w:t>，全矿井划分为两个水平五个采区开采，水平标高：一水平标高：+1835.0m，二水平标高：+1658.0m</w:t>
      </w:r>
      <w:r>
        <w:rPr>
          <w:rFonts w:hint="eastAsia" w:ascii="宋体" w:hAnsi="宋体"/>
          <w:sz w:val="24"/>
        </w:rPr>
        <w:t>。</w:t>
      </w:r>
    </w:p>
    <w:p w14:paraId="7D0515D0">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三、采区划分</w:t>
      </w:r>
    </w:p>
    <w:p w14:paraId="6D1F3348">
      <w:pPr>
        <w:spacing w:line="360" w:lineRule="auto"/>
        <w:ind w:firstLine="480" w:firstLineChars="200"/>
        <w:rPr>
          <w:rFonts w:hint="eastAsia" w:ascii="宋体" w:hAnsi="宋体"/>
          <w:sz w:val="24"/>
          <w:u w:val="single"/>
        </w:rPr>
      </w:pPr>
      <w:r>
        <w:rPr>
          <w:rFonts w:hint="eastAsia" w:ascii="宋体" w:hAnsi="宋体"/>
          <w:sz w:val="24"/>
          <w:u w:val="single"/>
        </w:rPr>
        <w:t>水城县玉舍大坪煤矿走向长约1800m，倾向宽约700m</w:t>
      </w:r>
      <w:r>
        <w:rPr>
          <w:rFonts w:ascii="宋体" w:hAnsi="宋体"/>
          <w:sz w:val="24"/>
          <w:u w:val="single"/>
        </w:rPr>
        <w:t>，面积</w:t>
      </w:r>
      <w:r>
        <w:rPr>
          <w:rFonts w:hint="eastAsia" w:ascii="宋体" w:hAnsi="宋体"/>
          <w:sz w:val="24"/>
          <w:u w:val="single"/>
        </w:rPr>
        <w:t>1.2268km</w:t>
      </w:r>
      <w:r>
        <w:rPr>
          <w:rFonts w:ascii="宋体" w:hAnsi="宋体"/>
          <w:sz w:val="24"/>
          <w:u w:val="single"/>
          <w:vertAlign w:val="superscript"/>
        </w:rPr>
        <w:t>2</w:t>
      </w:r>
      <w:r>
        <w:rPr>
          <w:rFonts w:hint="eastAsia" w:ascii="宋体" w:hAnsi="宋体"/>
          <w:sz w:val="24"/>
          <w:u w:val="single"/>
        </w:rPr>
        <w:t>，准采标高为1450～2040m标高</w:t>
      </w:r>
      <w:r>
        <w:rPr>
          <w:rFonts w:ascii="宋体" w:hAnsi="宋体"/>
          <w:sz w:val="24"/>
          <w:u w:val="single"/>
        </w:rPr>
        <w:t>之间。</w:t>
      </w:r>
      <w:r>
        <w:rPr>
          <w:rFonts w:hint="eastAsia" w:ascii="宋体" w:hAnsi="宋体"/>
          <w:color w:val="000000"/>
          <w:sz w:val="24"/>
          <w:u w:val="single"/>
        </w:rPr>
        <w:t>井田为一单斜构造，根据矿井走向长及煤层</w:t>
      </w:r>
      <w:r>
        <w:rPr>
          <w:rFonts w:ascii="宋体" w:hAnsi="宋体"/>
          <w:color w:val="000000"/>
          <w:sz w:val="24"/>
          <w:u w:val="single"/>
        </w:rPr>
        <w:t>赋存条件</w:t>
      </w:r>
      <w:r>
        <w:rPr>
          <w:rFonts w:hint="eastAsia" w:ascii="宋体" w:hAnsi="宋体"/>
          <w:color w:val="000000"/>
          <w:sz w:val="24"/>
          <w:u w:val="single"/>
        </w:rPr>
        <w:t>，以矿区拐点7号点相对位于矿区中部，将矿井划分为东、西两进行开采；由于矿区东翼上组煤一采区开拓系统已经形成，且矿井已在布置区段石门，故将已形成的一采区划分为一个采区，上组煤一采区以下划分为一个采区，下组煤划分为一个采区，因此，矿区东翼划分为两个水平三个采区；矿区西翼根据煤层</w:t>
      </w:r>
      <w:r>
        <w:rPr>
          <w:rFonts w:ascii="宋体" w:hAnsi="宋体"/>
          <w:color w:val="000000"/>
          <w:sz w:val="24"/>
          <w:u w:val="single"/>
        </w:rPr>
        <w:t>赋存条件</w:t>
      </w:r>
      <w:r>
        <w:rPr>
          <w:rFonts w:hint="eastAsia" w:ascii="宋体" w:hAnsi="宋体"/>
          <w:color w:val="000000"/>
          <w:sz w:val="24"/>
          <w:u w:val="single"/>
        </w:rPr>
        <w:t>，上组煤划分为一个采区，下组煤划分为一个采区，因此，矿区西翼划分为一个水平两个采区。故全矿井共划分为两个水平五个采区，</w:t>
      </w:r>
      <w:r>
        <w:rPr>
          <w:rFonts w:hint="eastAsia" w:ascii="宋体" w:hAnsi="宋体"/>
          <w:sz w:val="24"/>
          <w:u w:val="single"/>
        </w:rPr>
        <w:t>水平标高：一水平标高：+1835.0m、二水平标高：+1658.0m；矿井西面上、下组煤划分为一个水平两个采区上、下山开采，水平标高：+1835.0m。</w:t>
      </w:r>
    </w:p>
    <w:p w14:paraId="32746FDA">
      <w:pPr>
        <w:spacing w:line="360" w:lineRule="auto"/>
        <w:ind w:firstLine="480" w:firstLineChars="200"/>
        <w:rPr>
          <w:rFonts w:hint="eastAsia" w:ascii="宋体" w:hAnsi="宋体"/>
          <w:sz w:val="24"/>
          <w:u w:val="single"/>
        </w:rPr>
      </w:pPr>
      <w:r>
        <w:rPr>
          <w:rFonts w:hint="eastAsia" w:ascii="宋体" w:hAnsi="宋体"/>
          <w:sz w:val="24"/>
          <w:u w:val="single"/>
        </w:rPr>
        <w:t>水平及采区划分详见</w:t>
      </w:r>
      <w:r>
        <w:rPr>
          <w:rFonts w:hint="eastAsia" w:ascii="宋体" w:hAnsi="宋体"/>
          <w:b/>
          <w:sz w:val="24"/>
          <w:u w:val="single"/>
        </w:rPr>
        <w:t>图2 开拓系统平面图、图3 开拓系统剖面图。</w:t>
      </w:r>
    </w:p>
    <w:p w14:paraId="0107A9E3">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四</w:t>
      </w:r>
      <w:r>
        <w:rPr>
          <w:b/>
          <w:color w:val="000000"/>
          <w:kern w:val="0"/>
          <w:szCs w:val="20"/>
        </w:rPr>
        <w:t>、主要开拓大巷布置</w:t>
      </w:r>
    </w:p>
    <w:p w14:paraId="4FF6BC49">
      <w:pPr>
        <w:pStyle w:val="32"/>
        <w:rPr>
          <w:rFonts w:hint="eastAsia" w:ascii="宋体" w:hAnsi="宋体"/>
        </w:rPr>
      </w:pPr>
      <w:r>
        <w:rPr>
          <w:rFonts w:hint="eastAsia" w:ascii="宋体" w:hAnsi="宋体"/>
        </w:rPr>
        <w:t>水城县玉舍大坪煤矿划分为两个水平五个采区开采，水平标高：一水平标高：+1835.0m，二水平标高：+1658.0m，矿井投产初期</w:t>
      </w:r>
      <w:r>
        <w:rPr>
          <w:rFonts w:hint="eastAsia" w:ascii="宋体" w:hAnsi="宋体"/>
          <w:color w:val="000000"/>
        </w:rPr>
        <w:t>无主要开拓大巷，后期开采需布置+1835.0水平运输大巷将东、西采区相连</w:t>
      </w:r>
      <w:r>
        <w:rPr>
          <w:rFonts w:ascii="宋体" w:hAnsi="宋体"/>
        </w:rPr>
        <w:t>。</w:t>
      </w:r>
    </w:p>
    <w:p w14:paraId="5D6EC020">
      <w:pPr>
        <w:pStyle w:val="4"/>
        <w:keepLines/>
        <w:adjustRightInd w:val="0"/>
        <w:snapToGrid w:val="0"/>
        <w:spacing w:before="240" w:after="240" w:line="360" w:lineRule="auto"/>
        <w:ind w:firstLine="562" w:firstLineChars="200"/>
        <w:jc w:val="both"/>
        <w:rPr>
          <w:b/>
          <w:color w:val="000000"/>
          <w:kern w:val="0"/>
          <w:szCs w:val="20"/>
        </w:rPr>
      </w:pPr>
      <w:bookmarkStart w:id="53" w:name="_Toc173869213"/>
      <w:bookmarkStart w:id="54" w:name="_Toc173893649"/>
      <w:bookmarkStart w:id="55" w:name="_Toc173918888"/>
      <w:r>
        <w:rPr>
          <w:rFonts w:hint="eastAsia"/>
          <w:b/>
          <w:color w:val="000000"/>
          <w:kern w:val="0"/>
          <w:szCs w:val="20"/>
        </w:rPr>
        <w:t>五</w:t>
      </w:r>
      <w:r>
        <w:rPr>
          <w:b/>
          <w:color w:val="000000"/>
          <w:kern w:val="0"/>
          <w:szCs w:val="20"/>
        </w:rPr>
        <w:t>、井筒</w:t>
      </w:r>
      <w:bookmarkEnd w:id="53"/>
      <w:bookmarkEnd w:id="54"/>
      <w:bookmarkEnd w:id="55"/>
    </w:p>
    <w:p w14:paraId="30C0BE2A">
      <w:pPr>
        <w:spacing w:line="360" w:lineRule="auto"/>
        <w:ind w:firstLine="480" w:firstLineChars="200"/>
        <w:rPr>
          <w:rFonts w:ascii="宋体" w:hAnsi="宋体"/>
          <w:sz w:val="24"/>
        </w:rPr>
      </w:pPr>
      <w:r>
        <w:rPr>
          <w:rFonts w:hint="eastAsia" w:ascii="宋体" w:hAnsi="宋体"/>
          <w:sz w:val="24"/>
        </w:rPr>
        <w:t>1、</w:t>
      </w:r>
      <w:r>
        <w:rPr>
          <w:rFonts w:ascii="宋体" w:hAnsi="宋体"/>
          <w:sz w:val="24"/>
        </w:rPr>
        <w:t>井筒数量、用途及装备</w:t>
      </w:r>
    </w:p>
    <w:p w14:paraId="7F48FCFB">
      <w:pPr>
        <w:spacing w:line="360" w:lineRule="auto"/>
        <w:ind w:firstLine="480" w:firstLineChars="200"/>
        <w:rPr>
          <w:rFonts w:hint="eastAsia" w:ascii="宋体" w:hAnsi="宋体"/>
          <w:sz w:val="24"/>
        </w:rPr>
      </w:pPr>
      <w:r>
        <w:rPr>
          <w:rFonts w:hint="eastAsia" w:ascii="宋体" w:hAnsi="宋体"/>
          <w:sz w:val="24"/>
        </w:rPr>
        <w:t>水城县玉舍大坪煤矿</w:t>
      </w:r>
      <w:r>
        <w:rPr>
          <w:rFonts w:ascii="宋体" w:hAnsi="宋体"/>
          <w:sz w:val="24"/>
        </w:rPr>
        <w:t>采用</w:t>
      </w:r>
      <w:r>
        <w:rPr>
          <w:rFonts w:hint="eastAsia" w:ascii="宋体" w:hAnsi="宋体"/>
          <w:sz w:val="24"/>
        </w:rPr>
        <w:t>斜井开拓方式</w:t>
      </w:r>
      <w:r>
        <w:rPr>
          <w:rFonts w:ascii="宋体" w:hAnsi="宋体"/>
          <w:sz w:val="24"/>
        </w:rPr>
        <w:t>，本矿井</w:t>
      </w:r>
      <w:r>
        <w:rPr>
          <w:rFonts w:hint="eastAsia" w:ascii="宋体" w:hAnsi="宋体"/>
          <w:sz w:val="24"/>
        </w:rPr>
        <w:t>共</w:t>
      </w:r>
      <w:r>
        <w:rPr>
          <w:rFonts w:ascii="宋体" w:hAnsi="宋体"/>
          <w:sz w:val="24"/>
        </w:rPr>
        <w:t>设有主</w:t>
      </w:r>
      <w:r>
        <w:rPr>
          <w:rFonts w:hint="eastAsia" w:ascii="宋体" w:hAnsi="宋体"/>
          <w:sz w:val="24"/>
        </w:rPr>
        <w:t>斜井</w:t>
      </w:r>
      <w:r>
        <w:rPr>
          <w:rFonts w:ascii="宋体" w:hAnsi="宋体"/>
          <w:sz w:val="24"/>
        </w:rPr>
        <w:t>、</w:t>
      </w:r>
      <w:r>
        <w:rPr>
          <w:rFonts w:hint="eastAsia" w:ascii="宋体" w:hAnsi="宋体"/>
          <w:sz w:val="24"/>
        </w:rPr>
        <w:t>副斜井</w:t>
      </w:r>
      <w:r>
        <w:rPr>
          <w:rFonts w:ascii="宋体" w:hAnsi="宋体"/>
          <w:sz w:val="24"/>
        </w:rPr>
        <w:t>和回风斜井三个井筒，主</w:t>
      </w:r>
      <w:r>
        <w:rPr>
          <w:rFonts w:hint="eastAsia" w:ascii="宋体" w:hAnsi="宋体"/>
          <w:sz w:val="24"/>
        </w:rPr>
        <w:t>斜井、副斜井、回风斜井表土段均</w:t>
      </w:r>
      <w:r>
        <w:rPr>
          <w:rFonts w:ascii="宋体" w:hAnsi="宋体"/>
          <w:sz w:val="24"/>
        </w:rPr>
        <w:t>采</w:t>
      </w:r>
      <w:r>
        <w:rPr>
          <w:rFonts w:hint="eastAsia" w:ascii="宋体" w:hAnsi="宋体"/>
          <w:sz w:val="24"/>
        </w:rPr>
        <w:t>用砌碹支护，半圆拱形断面，</w:t>
      </w:r>
      <w:r>
        <w:rPr>
          <w:rFonts w:ascii="宋体" w:hAnsi="宋体"/>
          <w:sz w:val="24"/>
        </w:rPr>
        <w:t>净断面</w:t>
      </w:r>
      <w:r>
        <w:rPr>
          <w:rFonts w:hint="eastAsia" w:ascii="宋体" w:hAnsi="宋体"/>
          <w:sz w:val="24"/>
        </w:rPr>
        <w:t>：7.2m</w:t>
      </w:r>
      <w:r>
        <w:rPr>
          <w:rFonts w:hint="eastAsia" w:ascii="宋体" w:hAnsi="宋体"/>
          <w:sz w:val="24"/>
          <w:vertAlign w:val="superscript"/>
        </w:rPr>
        <w:t>2</w:t>
      </w:r>
      <w:r>
        <w:rPr>
          <w:rFonts w:ascii="宋体" w:hAnsi="宋体"/>
          <w:sz w:val="24"/>
        </w:rPr>
        <w:t>，掘进断面</w:t>
      </w:r>
      <w:r>
        <w:rPr>
          <w:rFonts w:hint="eastAsia" w:ascii="宋体" w:hAnsi="宋体"/>
          <w:sz w:val="24"/>
        </w:rPr>
        <w:t>：10.1m</w:t>
      </w:r>
      <w:r>
        <w:rPr>
          <w:rFonts w:hint="eastAsia" w:ascii="宋体" w:hAnsi="宋体"/>
          <w:sz w:val="24"/>
          <w:vertAlign w:val="superscript"/>
        </w:rPr>
        <w:t>2</w:t>
      </w:r>
      <w:r>
        <w:rPr>
          <w:rFonts w:hint="eastAsia" w:ascii="宋体" w:hAnsi="宋体"/>
          <w:sz w:val="24"/>
        </w:rPr>
        <w:t>，基岩段均采用锚网喷</w:t>
      </w:r>
      <w:r>
        <w:rPr>
          <w:rFonts w:ascii="宋体" w:hAnsi="宋体"/>
          <w:sz w:val="24"/>
        </w:rPr>
        <w:t>支护</w:t>
      </w:r>
      <w:r>
        <w:rPr>
          <w:rFonts w:hint="eastAsia" w:ascii="宋体" w:hAnsi="宋体"/>
          <w:sz w:val="24"/>
        </w:rPr>
        <w:t>，半圆拱形断面，</w:t>
      </w:r>
      <w:r>
        <w:rPr>
          <w:rFonts w:ascii="宋体" w:hAnsi="宋体"/>
          <w:sz w:val="24"/>
        </w:rPr>
        <w:t>净断面</w:t>
      </w:r>
      <w:r>
        <w:rPr>
          <w:rFonts w:hint="eastAsia" w:ascii="宋体" w:hAnsi="宋体"/>
          <w:sz w:val="24"/>
        </w:rPr>
        <w:t>：7.2m</w:t>
      </w:r>
      <w:r>
        <w:rPr>
          <w:rFonts w:hint="eastAsia" w:ascii="宋体" w:hAnsi="宋体"/>
          <w:sz w:val="24"/>
          <w:vertAlign w:val="superscript"/>
        </w:rPr>
        <w:t>2</w:t>
      </w:r>
      <w:r>
        <w:rPr>
          <w:rFonts w:ascii="宋体" w:hAnsi="宋体"/>
          <w:sz w:val="24"/>
        </w:rPr>
        <w:t>，掘进断面</w:t>
      </w:r>
      <w:r>
        <w:rPr>
          <w:rFonts w:hint="eastAsia" w:ascii="宋体" w:hAnsi="宋体"/>
          <w:sz w:val="24"/>
        </w:rPr>
        <w:t>：8.1m</w:t>
      </w:r>
      <w:r>
        <w:rPr>
          <w:rFonts w:hint="eastAsia" w:ascii="宋体" w:hAnsi="宋体"/>
          <w:sz w:val="24"/>
          <w:vertAlign w:val="superscript"/>
        </w:rPr>
        <w:t>2</w:t>
      </w:r>
      <w:r>
        <w:rPr>
          <w:rFonts w:hint="eastAsia" w:ascii="宋体" w:hAnsi="宋体"/>
          <w:sz w:val="24"/>
        </w:rPr>
        <w:t>；主斜井铺设带式输送机运输，担负矿井辅助进风、煤炭运输、管线铺设等任务，副斜井铺设30kg/m轨道，轨道距600mm，担负矿井主要进风、设备、材料、矸石运输、人员运送及管线铺设等任务，回风斜井为矿井专用回风井，担负矿井专用回风任务，矿井</w:t>
      </w:r>
      <w:r>
        <w:rPr>
          <w:rFonts w:ascii="宋体" w:hAnsi="宋体"/>
          <w:sz w:val="24"/>
        </w:rPr>
        <w:t>井筒特征</w:t>
      </w:r>
      <w:r>
        <w:rPr>
          <w:rFonts w:hint="eastAsia" w:ascii="宋体" w:hAnsi="宋体"/>
          <w:sz w:val="24"/>
        </w:rPr>
        <w:t>及</w:t>
      </w:r>
      <w:r>
        <w:rPr>
          <w:rFonts w:ascii="宋体" w:hAnsi="宋体"/>
          <w:sz w:val="24"/>
        </w:rPr>
        <w:t>井筒断面</w:t>
      </w:r>
      <w:r>
        <w:rPr>
          <w:rFonts w:hint="eastAsia" w:ascii="宋体" w:hAnsi="宋体"/>
          <w:sz w:val="24"/>
        </w:rPr>
        <w:t xml:space="preserve">详见 </w:t>
      </w:r>
      <w:r>
        <w:rPr>
          <w:rFonts w:ascii="宋体" w:hAnsi="宋体"/>
          <w:b/>
          <w:sz w:val="24"/>
        </w:rPr>
        <w:t>表</w:t>
      </w:r>
      <w:r>
        <w:rPr>
          <w:rFonts w:hint="eastAsia" w:ascii="宋体" w:hAnsi="宋体"/>
          <w:b/>
          <w:sz w:val="24"/>
        </w:rPr>
        <w:t>3</w:t>
      </w:r>
      <w:r>
        <w:rPr>
          <w:rFonts w:ascii="宋体" w:hAnsi="宋体"/>
          <w:b/>
          <w:sz w:val="24"/>
        </w:rPr>
        <w:t>－</w:t>
      </w:r>
      <w:r>
        <w:rPr>
          <w:rFonts w:hint="eastAsia" w:ascii="宋体" w:hAnsi="宋体"/>
          <w:b/>
          <w:sz w:val="24"/>
        </w:rPr>
        <w:t>1</w:t>
      </w:r>
      <w:r>
        <w:rPr>
          <w:rFonts w:ascii="宋体" w:hAnsi="宋体"/>
          <w:b/>
          <w:sz w:val="24"/>
        </w:rPr>
        <w:t>－</w:t>
      </w:r>
      <w:r>
        <w:rPr>
          <w:rFonts w:hint="eastAsia" w:ascii="宋体" w:hAnsi="宋体"/>
          <w:b/>
          <w:sz w:val="24"/>
        </w:rPr>
        <w:t>1</w:t>
      </w:r>
      <w:r>
        <w:rPr>
          <w:rFonts w:ascii="宋体" w:hAnsi="宋体"/>
          <w:sz w:val="24"/>
        </w:rPr>
        <w:t>及</w:t>
      </w:r>
      <w:r>
        <w:rPr>
          <w:rFonts w:hint="eastAsia" w:ascii="宋体" w:hAnsi="宋体"/>
          <w:sz w:val="24"/>
        </w:rPr>
        <w:t>支护断面</w:t>
      </w:r>
      <w:r>
        <w:rPr>
          <w:rFonts w:ascii="宋体" w:hAnsi="宋体"/>
          <w:sz w:val="24"/>
        </w:rPr>
        <w:t>图。</w:t>
      </w:r>
    </w:p>
    <w:p w14:paraId="2E9A9963">
      <w:pPr>
        <w:spacing w:line="360" w:lineRule="auto"/>
        <w:ind w:firstLine="482" w:firstLineChars="200"/>
        <w:jc w:val="center"/>
        <w:rPr>
          <w:rFonts w:hint="eastAsia" w:ascii="宋体" w:hAnsi="宋体"/>
          <w:b/>
          <w:sz w:val="24"/>
        </w:rPr>
      </w:pPr>
      <w:r>
        <w:rPr>
          <w:rFonts w:ascii="宋体" w:hAnsi="宋体"/>
          <w:b/>
          <w:sz w:val="24"/>
        </w:rPr>
        <w:t>表</w:t>
      </w:r>
      <w:r>
        <w:rPr>
          <w:rFonts w:hint="eastAsia" w:ascii="宋体" w:hAnsi="宋体"/>
          <w:b/>
          <w:sz w:val="24"/>
        </w:rPr>
        <w:t>3</w:t>
      </w:r>
      <w:r>
        <w:rPr>
          <w:rFonts w:ascii="宋体" w:hAnsi="宋体"/>
          <w:b/>
          <w:sz w:val="24"/>
        </w:rPr>
        <w:t>—</w:t>
      </w:r>
      <w:r>
        <w:rPr>
          <w:rFonts w:hint="eastAsia" w:ascii="宋体" w:hAnsi="宋体"/>
          <w:b/>
          <w:sz w:val="24"/>
        </w:rPr>
        <w:t>1</w:t>
      </w:r>
      <w:r>
        <w:rPr>
          <w:rFonts w:ascii="宋体" w:hAnsi="宋体"/>
          <w:b/>
          <w:sz w:val="24"/>
        </w:rPr>
        <w:t>—</w:t>
      </w:r>
      <w:r>
        <w:rPr>
          <w:rFonts w:hint="eastAsia" w:ascii="宋体" w:hAnsi="宋体"/>
          <w:b/>
          <w:sz w:val="24"/>
        </w:rPr>
        <w:t>1</w:t>
      </w:r>
      <w:r>
        <w:rPr>
          <w:rFonts w:ascii="宋体" w:hAnsi="宋体"/>
          <w:b/>
          <w:sz w:val="24"/>
        </w:rPr>
        <w:t xml:space="preserve">    </w:t>
      </w:r>
      <w:r>
        <w:rPr>
          <w:rFonts w:hint="eastAsia" w:ascii="宋体" w:hAnsi="宋体"/>
          <w:b/>
          <w:sz w:val="24"/>
        </w:rPr>
        <w:t>矿井</w:t>
      </w:r>
      <w:r>
        <w:rPr>
          <w:rFonts w:ascii="宋体" w:hAnsi="宋体"/>
          <w:b/>
          <w:sz w:val="24"/>
        </w:rPr>
        <w:t>井筒特征表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134"/>
        <w:gridCol w:w="93"/>
        <w:gridCol w:w="731"/>
        <w:gridCol w:w="728"/>
        <w:gridCol w:w="2174"/>
        <w:gridCol w:w="1645"/>
        <w:gridCol w:w="1716"/>
      </w:tblGrid>
      <w:tr w14:paraId="7EBEE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noWrap w:val="0"/>
            <w:vAlign w:val="center"/>
          </w:tcPr>
          <w:p w14:paraId="17CD98D2">
            <w:pPr>
              <w:jc w:val="center"/>
              <w:rPr>
                <w:rFonts w:ascii="宋体" w:hAnsi="宋体"/>
                <w:sz w:val="24"/>
              </w:rPr>
            </w:pPr>
            <w:r>
              <w:rPr>
                <w:rFonts w:ascii="宋体" w:hAnsi="宋体"/>
                <w:sz w:val="24"/>
              </w:rPr>
              <w:t>顺序</w:t>
            </w:r>
          </w:p>
        </w:tc>
        <w:tc>
          <w:tcPr>
            <w:tcW w:w="1958" w:type="dxa"/>
            <w:gridSpan w:val="3"/>
            <w:noWrap w:val="0"/>
            <w:vAlign w:val="center"/>
          </w:tcPr>
          <w:p w14:paraId="1100B9B9">
            <w:pPr>
              <w:jc w:val="center"/>
              <w:rPr>
                <w:rFonts w:ascii="宋体" w:hAnsi="宋体"/>
                <w:sz w:val="24"/>
              </w:rPr>
            </w:pPr>
            <w:r>
              <w:rPr>
                <w:rFonts w:ascii="宋体" w:hAnsi="宋体"/>
                <w:sz w:val="24"/>
              </w:rPr>
              <w:t>名</w:t>
            </w:r>
            <w:r>
              <w:rPr>
                <w:rFonts w:hint="eastAsia" w:ascii="宋体" w:hAnsi="宋体"/>
                <w:sz w:val="24"/>
              </w:rPr>
              <w:t>　</w:t>
            </w:r>
            <w:r>
              <w:rPr>
                <w:rFonts w:ascii="宋体" w:hAnsi="宋体"/>
                <w:sz w:val="24"/>
              </w:rPr>
              <w:t>称</w:t>
            </w:r>
          </w:p>
        </w:tc>
        <w:tc>
          <w:tcPr>
            <w:tcW w:w="728" w:type="dxa"/>
            <w:noWrap w:val="0"/>
            <w:vAlign w:val="center"/>
          </w:tcPr>
          <w:p w14:paraId="6D06B9ED">
            <w:pPr>
              <w:jc w:val="center"/>
              <w:rPr>
                <w:rFonts w:ascii="宋体" w:hAnsi="宋体"/>
                <w:sz w:val="24"/>
              </w:rPr>
            </w:pPr>
            <w:r>
              <w:rPr>
                <w:rFonts w:ascii="宋体" w:hAnsi="宋体"/>
                <w:sz w:val="24"/>
              </w:rPr>
              <w:t>单位</w:t>
            </w:r>
          </w:p>
        </w:tc>
        <w:tc>
          <w:tcPr>
            <w:tcW w:w="2174" w:type="dxa"/>
            <w:noWrap w:val="0"/>
            <w:vAlign w:val="center"/>
          </w:tcPr>
          <w:p w14:paraId="171E47ED">
            <w:pPr>
              <w:jc w:val="center"/>
              <w:rPr>
                <w:rFonts w:hint="eastAsia" w:ascii="宋体" w:hAnsi="宋体"/>
                <w:sz w:val="24"/>
              </w:rPr>
            </w:pPr>
            <w:r>
              <w:rPr>
                <w:rFonts w:hint="eastAsia" w:ascii="宋体" w:hAnsi="宋体"/>
                <w:sz w:val="24"/>
              </w:rPr>
              <w:t>主斜井</w:t>
            </w:r>
          </w:p>
        </w:tc>
        <w:tc>
          <w:tcPr>
            <w:tcW w:w="1645" w:type="dxa"/>
            <w:noWrap w:val="0"/>
            <w:vAlign w:val="center"/>
          </w:tcPr>
          <w:p w14:paraId="5433646F">
            <w:pPr>
              <w:jc w:val="center"/>
              <w:rPr>
                <w:rFonts w:hint="eastAsia" w:ascii="宋体" w:hAnsi="宋体"/>
                <w:sz w:val="24"/>
              </w:rPr>
            </w:pPr>
            <w:r>
              <w:rPr>
                <w:rFonts w:hint="eastAsia" w:ascii="宋体" w:hAnsi="宋体"/>
                <w:sz w:val="24"/>
              </w:rPr>
              <w:t>副斜井</w:t>
            </w:r>
          </w:p>
        </w:tc>
        <w:tc>
          <w:tcPr>
            <w:tcW w:w="1716" w:type="dxa"/>
            <w:noWrap w:val="0"/>
            <w:vAlign w:val="center"/>
          </w:tcPr>
          <w:p w14:paraId="119FC94B">
            <w:pPr>
              <w:jc w:val="center"/>
              <w:rPr>
                <w:rFonts w:hint="eastAsia" w:ascii="宋体" w:hAnsi="宋体"/>
                <w:sz w:val="24"/>
              </w:rPr>
            </w:pPr>
            <w:r>
              <w:rPr>
                <w:rFonts w:ascii="宋体" w:hAnsi="宋体"/>
                <w:sz w:val="24"/>
              </w:rPr>
              <w:t>回风斜井</w:t>
            </w:r>
          </w:p>
        </w:tc>
      </w:tr>
      <w:tr w14:paraId="12709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vMerge w:val="restart"/>
            <w:noWrap w:val="0"/>
            <w:vAlign w:val="center"/>
          </w:tcPr>
          <w:p w14:paraId="7FE5DA76">
            <w:pPr>
              <w:jc w:val="center"/>
              <w:rPr>
                <w:rFonts w:ascii="宋体" w:hAnsi="宋体"/>
                <w:sz w:val="24"/>
              </w:rPr>
            </w:pPr>
            <w:r>
              <w:rPr>
                <w:rFonts w:ascii="宋体" w:hAnsi="宋体"/>
                <w:sz w:val="24"/>
              </w:rPr>
              <w:t>1</w:t>
            </w:r>
          </w:p>
        </w:tc>
        <w:tc>
          <w:tcPr>
            <w:tcW w:w="1227" w:type="dxa"/>
            <w:gridSpan w:val="2"/>
            <w:vMerge w:val="restart"/>
            <w:noWrap w:val="0"/>
            <w:vAlign w:val="center"/>
          </w:tcPr>
          <w:p w14:paraId="78F8BF01">
            <w:pPr>
              <w:jc w:val="center"/>
              <w:rPr>
                <w:rFonts w:hint="eastAsia" w:ascii="宋体" w:hAnsi="宋体"/>
                <w:sz w:val="24"/>
              </w:rPr>
            </w:pPr>
            <w:r>
              <w:rPr>
                <w:rFonts w:ascii="宋体" w:hAnsi="宋体"/>
                <w:sz w:val="24"/>
              </w:rPr>
              <w:t>井</w:t>
            </w:r>
            <w:r>
              <w:rPr>
                <w:rFonts w:hint="eastAsia" w:ascii="宋体" w:hAnsi="宋体"/>
                <w:sz w:val="24"/>
              </w:rPr>
              <w:t>　</w:t>
            </w:r>
            <w:r>
              <w:rPr>
                <w:rFonts w:ascii="宋体" w:hAnsi="宋体"/>
                <w:sz w:val="24"/>
              </w:rPr>
              <w:t>口</w:t>
            </w:r>
          </w:p>
          <w:p w14:paraId="36BBF3FB">
            <w:pPr>
              <w:jc w:val="center"/>
              <w:rPr>
                <w:rFonts w:ascii="宋体" w:hAnsi="宋体"/>
                <w:sz w:val="24"/>
              </w:rPr>
            </w:pPr>
            <w:r>
              <w:rPr>
                <w:rFonts w:ascii="宋体" w:hAnsi="宋体"/>
                <w:sz w:val="24"/>
              </w:rPr>
              <w:t>坐</w:t>
            </w:r>
            <w:r>
              <w:rPr>
                <w:rFonts w:hint="eastAsia" w:ascii="宋体" w:hAnsi="宋体"/>
                <w:sz w:val="24"/>
              </w:rPr>
              <w:t>　</w:t>
            </w:r>
            <w:r>
              <w:rPr>
                <w:rFonts w:ascii="宋体" w:hAnsi="宋体"/>
                <w:sz w:val="24"/>
              </w:rPr>
              <w:t>标</w:t>
            </w:r>
          </w:p>
        </w:tc>
        <w:tc>
          <w:tcPr>
            <w:tcW w:w="731" w:type="dxa"/>
            <w:noWrap w:val="0"/>
            <w:vAlign w:val="center"/>
          </w:tcPr>
          <w:p w14:paraId="42C53B9D">
            <w:pPr>
              <w:jc w:val="center"/>
              <w:rPr>
                <w:rFonts w:ascii="宋体" w:hAnsi="宋体"/>
                <w:sz w:val="24"/>
              </w:rPr>
            </w:pPr>
            <w:r>
              <w:rPr>
                <w:rFonts w:ascii="宋体" w:hAnsi="宋体"/>
                <w:sz w:val="24"/>
              </w:rPr>
              <w:t>X</w:t>
            </w:r>
          </w:p>
        </w:tc>
        <w:tc>
          <w:tcPr>
            <w:tcW w:w="728" w:type="dxa"/>
            <w:noWrap w:val="0"/>
            <w:vAlign w:val="center"/>
          </w:tcPr>
          <w:p w14:paraId="09A72B8D">
            <w:pPr>
              <w:jc w:val="center"/>
              <w:rPr>
                <w:rFonts w:ascii="宋体" w:hAnsi="宋体"/>
                <w:sz w:val="24"/>
              </w:rPr>
            </w:pPr>
            <w:r>
              <w:rPr>
                <w:rFonts w:ascii="宋体" w:hAnsi="宋体"/>
                <w:sz w:val="24"/>
              </w:rPr>
              <w:t>m</w:t>
            </w:r>
          </w:p>
        </w:tc>
        <w:tc>
          <w:tcPr>
            <w:tcW w:w="2174" w:type="dxa"/>
            <w:noWrap w:val="0"/>
            <w:vAlign w:val="center"/>
          </w:tcPr>
          <w:p w14:paraId="251EBB38">
            <w:pPr>
              <w:jc w:val="center"/>
              <w:rPr>
                <w:rFonts w:hint="eastAsia" w:ascii="宋体" w:hAnsi="宋体"/>
                <w:sz w:val="24"/>
              </w:rPr>
            </w:pPr>
            <w:r>
              <w:rPr>
                <w:rFonts w:hint="eastAsia" w:ascii="宋体" w:hAnsi="宋体"/>
                <w:spacing w:val="-3"/>
                <w:kern w:val="0"/>
                <w:sz w:val="24"/>
              </w:rPr>
              <w:t>2933009</w:t>
            </w:r>
          </w:p>
        </w:tc>
        <w:tc>
          <w:tcPr>
            <w:tcW w:w="1645" w:type="dxa"/>
            <w:noWrap w:val="0"/>
            <w:vAlign w:val="center"/>
          </w:tcPr>
          <w:p w14:paraId="48A66373">
            <w:pPr>
              <w:jc w:val="center"/>
              <w:rPr>
                <w:rFonts w:hint="eastAsia" w:ascii="宋体" w:hAnsi="宋体"/>
                <w:sz w:val="24"/>
              </w:rPr>
            </w:pPr>
            <w:r>
              <w:rPr>
                <w:rFonts w:hint="eastAsia" w:ascii="宋体" w:hAnsi="宋体"/>
                <w:spacing w:val="-3"/>
                <w:kern w:val="0"/>
                <w:sz w:val="24"/>
              </w:rPr>
              <w:t>2933012</w:t>
            </w:r>
          </w:p>
        </w:tc>
        <w:tc>
          <w:tcPr>
            <w:tcW w:w="1716" w:type="dxa"/>
            <w:noWrap w:val="0"/>
            <w:vAlign w:val="center"/>
          </w:tcPr>
          <w:p w14:paraId="58537C62">
            <w:pPr>
              <w:jc w:val="center"/>
              <w:rPr>
                <w:rFonts w:hint="eastAsia" w:ascii="宋体" w:hAnsi="宋体"/>
                <w:sz w:val="24"/>
              </w:rPr>
            </w:pPr>
            <w:r>
              <w:rPr>
                <w:rFonts w:hint="eastAsia" w:ascii="宋体" w:hAnsi="宋体"/>
                <w:spacing w:val="-3"/>
                <w:kern w:val="0"/>
                <w:sz w:val="24"/>
              </w:rPr>
              <w:t>2933054</w:t>
            </w:r>
          </w:p>
        </w:tc>
      </w:tr>
      <w:tr w14:paraId="5DA44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vMerge w:val="continue"/>
            <w:noWrap w:val="0"/>
            <w:vAlign w:val="center"/>
          </w:tcPr>
          <w:p w14:paraId="133E16A1">
            <w:pPr>
              <w:jc w:val="center"/>
              <w:rPr>
                <w:rFonts w:ascii="宋体" w:hAnsi="宋体"/>
                <w:sz w:val="24"/>
              </w:rPr>
            </w:pPr>
          </w:p>
        </w:tc>
        <w:tc>
          <w:tcPr>
            <w:tcW w:w="1227" w:type="dxa"/>
            <w:gridSpan w:val="2"/>
            <w:vMerge w:val="continue"/>
            <w:noWrap w:val="0"/>
            <w:vAlign w:val="center"/>
          </w:tcPr>
          <w:p w14:paraId="693AA3CB">
            <w:pPr>
              <w:jc w:val="center"/>
              <w:rPr>
                <w:rFonts w:ascii="宋体" w:hAnsi="宋体"/>
                <w:sz w:val="24"/>
              </w:rPr>
            </w:pPr>
          </w:p>
        </w:tc>
        <w:tc>
          <w:tcPr>
            <w:tcW w:w="731" w:type="dxa"/>
            <w:noWrap w:val="0"/>
            <w:vAlign w:val="center"/>
          </w:tcPr>
          <w:p w14:paraId="04832708">
            <w:pPr>
              <w:jc w:val="center"/>
              <w:rPr>
                <w:rFonts w:ascii="宋体" w:hAnsi="宋体"/>
                <w:sz w:val="24"/>
              </w:rPr>
            </w:pPr>
            <w:r>
              <w:rPr>
                <w:rFonts w:ascii="宋体" w:hAnsi="宋体"/>
                <w:sz w:val="24"/>
              </w:rPr>
              <w:t>Y</w:t>
            </w:r>
          </w:p>
        </w:tc>
        <w:tc>
          <w:tcPr>
            <w:tcW w:w="728" w:type="dxa"/>
            <w:noWrap w:val="0"/>
            <w:vAlign w:val="center"/>
          </w:tcPr>
          <w:p w14:paraId="63A5AD74">
            <w:pPr>
              <w:jc w:val="center"/>
              <w:rPr>
                <w:rFonts w:ascii="宋体" w:hAnsi="宋体"/>
                <w:sz w:val="24"/>
              </w:rPr>
            </w:pPr>
            <w:r>
              <w:rPr>
                <w:rFonts w:ascii="宋体" w:hAnsi="宋体"/>
                <w:sz w:val="24"/>
              </w:rPr>
              <w:t>m</w:t>
            </w:r>
          </w:p>
        </w:tc>
        <w:tc>
          <w:tcPr>
            <w:tcW w:w="2174" w:type="dxa"/>
            <w:noWrap w:val="0"/>
            <w:vAlign w:val="center"/>
          </w:tcPr>
          <w:p w14:paraId="711275EF">
            <w:pPr>
              <w:jc w:val="center"/>
              <w:rPr>
                <w:rFonts w:hint="eastAsia" w:ascii="宋体" w:hAnsi="宋体"/>
                <w:sz w:val="24"/>
              </w:rPr>
            </w:pPr>
            <w:r>
              <w:rPr>
                <w:rFonts w:hint="eastAsia" w:ascii="宋体" w:hAnsi="宋体"/>
                <w:spacing w:val="-3"/>
                <w:kern w:val="0"/>
                <w:sz w:val="24"/>
              </w:rPr>
              <w:t>35475035</w:t>
            </w:r>
          </w:p>
        </w:tc>
        <w:tc>
          <w:tcPr>
            <w:tcW w:w="1645" w:type="dxa"/>
            <w:noWrap w:val="0"/>
            <w:vAlign w:val="center"/>
          </w:tcPr>
          <w:p w14:paraId="1C057CD8">
            <w:pPr>
              <w:jc w:val="center"/>
              <w:rPr>
                <w:rFonts w:hint="eastAsia" w:ascii="宋体" w:hAnsi="宋体"/>
                <w:sz w:val="24"/>
              </w:rPr>
            </w:pPr>
            <w:r>
              <w:rPr>
                <w:rFonts w:hint="eastAsia" w:ascii="宋体" w:hAnsi="宋体"/>
                <w:spacing w:val="-3"/>
                <w:kern w:val="0"/>
                <w:sz w:val="24"/>
              </w:rPr>
              <w:t>35475171</w:t>
            </w:r>
          </w:p>
        </w:tc>
        <w:tc>
          <w:tcPr>
            <w:tcW w:w="1716" w:type="dxa"/>
            <w:noWrap w:val="0"/>
            <w:vAlign w:val="center"/>
          </w:tcPr>
          <w:p w14:paraId="44D1DCEB">
            <w:pPr>
              <w:jc w:val="center"/>
              <w:rPr>
                <w:rFonts w:hint="eastAsia" w:ascii="宋体" w:hAnsi="宋体"/>
                <w:sz w:val="24"/>
              </w:rPr>
            </w:pPr>
            <w:r>
              <w:rPr>
                <w:rFonts w:hint="eastAsia" w:ascii="宋体" w:hAnsi="宋体"/>
                <w:spacing w:val="-3"/>
                <w:kern w:val="0"/>
                <w:sz w:val="24"/>
              </w:rPr>
              <w:t>35475157</w:t>
            </w:r>
          </w:p>
        </w:tc>
      </w:tr>
      <w:tr w14:paraId="58DC5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noWrap w:val="0"/>
            <w:vAlign w:val="center"/>
          </w:tcPr>
          <w:p w14:paraId="4A9759E3">
            <w:pPr>
              <w:jc w:val="center"/>
              <w:rPr>
                <w:rFonts w:ascii="宋体" w:hAnsi="宋体"/>
                <w:sz w:val="24"/>
              </w:rPr>
            </w:pPr>
            <w:r>
              <w:rPr>
                <w:rFonts w:ascii="宋体" w:hAnsi="宋体"/>
                <w:sz w:val="24"/>
              </w:rPr>
              <w:t>2</w:t>
            </w:r>
          </w:p>
        </w:tc>
        <w:tc>
          <w:tcPr>
            <w:tcW w:w="1958" w:type="dxa"/>
            <w:gridSpan w:val="3"/>
            <w:noWrap w:val="0"/>
            <w:vAlign w:val="center"/>
          </w:tcPr>
          <w:p w14:paraId="28131BDE">
            <w:pPr>
              <w:jc w:val="center"/>
              <w:rPr>
                <w:rFonts w:ascii="宋体" w:hAnsi="宋体"/>
                <w:sz w:val="24"/>
              </w:rPr>
            </w:pPr>
            <w:r>
              <w:rPr>
                <w:rFonts w:ascii="宋体" w:hAnsi="宋体"/>
                <w:sz w:val="24"/>
              </w:rPr>
              <w:t>井口标高</w:t>
            </w:r>
          </w:p>
        </w:tc>
        <w:tc>
          <w:tcPr>
            <w:tcW w:w="728" w:type="dxa"/>
            <w:noWrap w:val="0"/>
            <w:vAlign w:val="center"/>
          </w:tcPr>
          <w:p w14:paraId="79EF9458">
            <w:pPr>
              <w:jc w:val="center"/>
              <w:rPr>
                <w:rFonts w:ascii="宋体" w:hAnsi="宋体"/>
                <w:sz w:val="24"/>
              </w:rPr>
            </w:pPr>
            <w:r>
              <w:rPr>
                <w:rFonts w:ascii="宋体" w:hAnsi="宋体"/>
                <w:sz w:val="24"/>
              </w:rPr>
              <w:t>m</w:t>
            </w:r>
          </w:p>
        </w:tc>
        <w:tc>
          <w:tcPr>
            <w:tcW w:w="2174" w:type="dxa"/>
            <w:noWrap w:val="0"/>
            <w:vAlign w:val="center"/>
          </w:tcPr>
          <w:p w14:paraId="36922693">
            <w:pPr>
              <w:jc w:val="center"/>
              <w:rPr>
                <w:rFonts w:hint="eastAsia" w:ascii="宋体" w:hAnsi="宋体"/>
                <w:sz w:val="24"/>
              </w:rPr>
            </w:pPr>
            <w:r>
              <w:rPr>
                <w:rFonts w:ascii="宋体" w:hAnsi="宋体"/>
                <w:spacing w:val="-3"/>
                <w:kern w:val="0"/>
                <w:sz w:val="24"/>
              </w:rPr>
              <w:t>+</w:t>
            </w:r>
            <w:r>
              <w:rPr>
                <w:rFonts w:hint="eastAsia" w:ascii="宋体" w:hAnsi="宋体"/>
                <w:spacing w:val="-3"/>
                <w:kern w:val="0"/>
                <w:sz w:val="24"/>
              </w:rPr>
              <w:t>1979</w:t>
            </w:r>
          </w:p>
        </w:tc>
        <w:tc>
          <w:tcPr>
            <w:tcW w:w="1645" w:type="dxa"/>
            <w:noWrap w:val="0"/>
            <w:vAlign w:val="center"/>
          </w:tcPr>
          <w:p w14:paraId="4B1A99AE">
            <w:pPr>
              <w:jc w:val="center"/>
              <w:rPr>
                <w:rFonts w:hint="eastAsia" w:ascii="宋体" w:hAnsi="宋体"/>
                <w:sz w:val="24"/>
              </w:rPr>
            </w:pPr>
            <w:r>
              <w:rPr>
                <w:rFonts w:ascii="宋体" w:hAnsi="宋体"/>
                <w:spacing w:val="-3"/>
                <w:kern w:val="0"/>
                <w:sz w:val="24"/>
              </w:rPr>
              <w:t>+</w:t>
            </w:r>
            <w:r>
              <w:rPr>
                <w:rFonts w:hint="eastAsia" w:ascii="宋体" w:hAnsi="宋体"/>
                <w:spacing w:val="-3"/>
                <w:kern w:val="0"/>
                <w:sz w:val="24"/>
              </w:rPr>
              <w:t>1988</w:t>
            </w:r>
          </w:p>
        </w:tc>
        <w:tc>
          <w:tcPr>
            <w:tcW w:w="1716" w:type="dxa"/>
            <w:noWrap w:val="0"/>
            <w:vAlign w:val="center"/>
          </w:tcPr>
          <w:p w14:paraId="03D6EAE3">
            <w:pPr>
              <w:jc w:val="center"/>
              <w:rPr>
                <w:rFonts w:hint="eastAsia" w:ascii="宋体" w:hAnsi="宋体"/>
                <w:sz w:val="24"/>
              </w:rPr>
            </w:pPr>
            <w:r>
              <w:rPr>
                <w:rFonts w:ascii="宋体" w:hAnsi="宋体"/>
                <w:spacing w:val="-3"/>
                <w:kern w:val="0"/>
                <w:sz w:val="24"/>
              </w:rPr>
              <w:t>+</w:t>
            </w:r>
            <w:r>
              <w:rPr>
                <w:rFonts w:hint="eastAsia" w:ascii="宋体" w:hAnsi="宋体"/>
                <w:spacing w:val="-3"/>
                <w:kern w:val="0"/>
                <w:sz w:val="24"/>
              </w:rPr>
              <w:t>1998</w:t>
            </w:r>
          </w:p>
        </w:tc>
      </w:tr>
      <w:tr w14:paraId="03C56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noWrap w:val="0"/>
            <w:vAlign w:val="center"/>
          </w:tcPr>
          <w:p w14:paraId="741D1889">
            <w:pPr>
              <w:jc w:val="center"/>
              <w:rPr>
                <w:rFonts w:ascii="宋体" w:hAnsi="宋体"/>
                <w:sz w:val="24"/>
              </w:rPr>
            </w:pPr>
            <w:r>
              <w:rPr>
                <w:rFonts w:ascii="宋体" w:hAnsi="宋体"/>
                <w:sz w:val="24"/>
              </w:rPr>
              <w:t>3</w:t>
            </w:r>
          </w:p>
        </w:tc>
        <w:tc>
          <w:tcPr>
            <w:tcW w:w="1958" w:type="dxa"/>
            <w:gridSpan w:val="3"/>
            <w:noWrap w:val="0"/>
            <w:vAlign w:val="center"/>
          </w:tcPr>
          <w:p w14:paraId="435A2B4F">
            <w:pPr>
              <w:jc w:val="center"/>
              <w:rPr>
                <w:rFonts w:ascii="宋体" w:hAnsi="宋体"/>
                <w:sz w:val="24"/>
              </w:rPr>
            </w:pPr>
            <w:r>
              <w:rPr>
                <w:rFonts w:ascii="宋体" w:hAnsi="宋体"/>
                <w:sz w:val="24"/>
              </w:rPr>
              <w:t>方位角</w:t>
            </w:r>
          </w:p>
        </w:tc>
        <w:tc>
          <w:tcPr>
            <w:tcW w:w="728" w:type="dxa"/>
            <w:noWrap w:val="0"/>
            <w:vAlign w:val="center"/>
          </w:tcPr>
          <w:p w14:paraId="0A0A3360">
            <w:pPr>
              <w:jc w:val="center"/>
              <w:rPr>
                <w:rFonts w:ascii="宋体" w:hAnsi="宋体"/>
                <w:sz w:val="24"/>
              </w:rPr>
            </w:pPr>
            <w:r>
              <w:rPr>
                <w:rFonts w:ascii="宋体" w:hAnsi="宋体"/>
                <w:sz w:val="24"/>
              </w:rPr>
              <w:t>度</w:t>
            </w:r>
          </w:p>
        </w:tc>
        <w:tc>
          <w:tcPr>
            <w:tcW w:w="2174" w:type="dxa"/>
            <w:noWrap w:val="0"/>
            <w:vAlign w:val="center"/>
          </w:tcPr>
          <w:p w14:paraId="3FFF0DFF">
            <w:pPr>
              <w:jc w:val="center"/>
              <w:rPr>
                <w:rFonts w:hint="eastAsia" w:ascii="宋体" w:hAnsi="宋体"/>
                <w:sz w:val="24"/>
              </w:rPr>
            </w:pPr>
            <w:r>
              <w:rPr>
                <w:rFonts w:hint="eastAsia" w:ascii="宋体" w:hAnsi="宋体"/>
                <w:sz w:val="24"/>
              </w:rPr>
              <w:t>222</w:t>
            </w:r>
          </w:p>
        </w:tc>
        <w:tc>
          <w:tcPr>
            <w:tcW w:w="1645" w:type="dxa"/>
            <w:noWrap w:val="0"/>
            <w:vAlign w:val="center"/>
          </w:tcPr>
          <w:p w14:paraId="60D24E56">
            <w:pPr>
              <w:jc w:val="center"/>
              <w:rPr>
                <w:rFonts w:hint="eastAsia" w:ascii="宋体" w:hAnsi="宋体"/>
                <w:sz w:val="24"/>
              </w:rPr>
            </w:pPr>
            <w:r>
              <w:rPr>
                <w:rFonts w:hint="eastAsia" w:ascii="宋体" w:hAnsi="宋体"/>
                <w:sz w:val="24"/>
              </w:rPr>
              <w:t>222</w:t>
            </w:r>
          </w:p>
        </w:tc>
        <w:tc>
          <w:tcPr>
            <w:tcW w:w="1716" w:type="dxa"/>
            <w:noWrap w:val="0"/>
            <w:vAlign w:val="center"/>
          </w:tcPr>
          <w:p w14:paraId="2A940C19">
            <w:pPr>
              <w:jc w:val="center"/>
              <w:rPr>
                <w:rFonts w:hint="eastAsia" w:ascii="宋体" w:hAnsi="宋体"/>
                <w:sz w:val="24"/>
              </w:rPr>
            </w:pPr>
            <w:r>
              <w:rPr>
                <w:rFonts w:hint="eastAsia" w:ascii="宋体" w:hAnsi="宋体"/>
                <w:sz w:val="24"/>
              </w:rPr>
              <w:t>226</w:t>
            </w:r>
          </w:p>
        </w:tc>
      </w:tr>
      <w:tr w14:paraId="75F8D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vMerge w:val="restart"/>
            <w:noWrap w:val="0"/>
            <w:vAlign w:val="center"/>
          </w:tcPr>
          <w:p w14:paraId="25D60D3E">
            <w:pPr>
              <w:jc w:val="center"/>
              <w:rPr>
                <w:rFonts w:ascii="宋体" w:hAnsi="宋体"/>
                <w:sz w:val="24"/>
              </w:rPr>
            </w:pPr>
            <w:r>
              <w:rPr>
                <w:rFonts w:ascii="宋体" w:hAnsi="宋体"/>
                <w:sz w:val="24"/>
              </w:rPr>
              <w:t>4</w:t>
            </w:r>
          </w:p>
        </w:tc>
        <w:tc>
          <w:tcPr>
            <w:tcW w:w="1134" w:type="dxa"/>
            <w:vMerge w:val="restart"/>
            <w:noWrap w:val="0"/>
            <w:vAlign w:val="center"/>
          </w:tcPr>
          <w:p w14:paraId="23A8E3B3">
            <w:pPr>
              <w:jc w:val="center"/>
              <w:rPr>
                <w:rFonts w:ascii="宋体" w:hAnsi="宋体"/>
                <w:sz w:val="24"/>
              </w:rPr>
            </w:pPr>
            <w:r>
              <w:rPr>
                <w:rFonts w:ascii="宋体" w:hAnsi="宋体"/>
                <w:sz w:val="24"/>
              </w:rPr>
              <w:t>断面</w:t>
            </w:r>
          </w:p>
        </w:tc>
        <w:tc>
          <w:tcPr>
            <w:tcW w:w="824" w:type="dxa"/>
            <w:gridSpan w:val="2"/>
            <w:noWrap w:val="0"/>
            <w:vAlign w:val="center"/>
          </w:tcPr>
          <w:p w14:paraId="24DB41ED">
            <w:pPr>
              <w:jc w:val="center"/>
              <w:rPr>
                <w:rFonts w:ascii="宋体" w:hAnsi="宋体"/>
                <w:sz w:val="24"/>
              </w:rPr>
            </w:pPr>
            <w:r>
              <w:rPr>
                <w:rFonts w:ascii="宋体" w:hAnsi="宋体"/>
                <w:sz w:val="24"/>
              </w:rPr>
              <w:t>净</w:t>
            </w:r>
          </w:p>
        </w:tc>
        <w:tc>
          <w:tcPr>
            <w:tcW w:w="728" w:type="dxa"/>
            <w:noWrap w:val="0"/>
            <w:vAlign w:val="center"/>
          </w:tcPr>
          <w:p w14:paraId="53DE7AD4">
            <w:pPr>
              <w:jc w:val="center"/>
              <w:rPr>
                <w:rFonts w:ascii="宋体" w:hAnsi="宋体"/>
                <w:sz w:val="24"/>
              </w:rPr>
            </w:pPr>
            <w:r>
              <w:rPr>
                <w:rFonts w:ascii="宋体" w:hAnsi="宋体"/>
                <w:sz w:val="24"/>
              </w:rPr>
              <w:t>m</w:t>
            </w:r>
            <w:r>
              <w:rPr>
                <w:rFonts w:ascii="宋体" w:hAnsi="宋体"/>
                <w:sz w:val="24"/>
                <w:vertAlign w:val="superscript"/>
              </w:rPr>
              <w:t>2</w:t>
            </w:r>
          </w:p>
        </w:tc>
        <w:tc>
          <w:tcPr>
            <w:tcW w:w="2174" w:type="dxa"/>
            <w:noWrap w:val="0"/>
            <w:vAlign w:val="center"/>
          </w:tcPr>
          <w:p w14:paraId="7DFA2BF9">
            <w:pPr>
              <w:jc w:val="center"/>
              <w:rPr>
                <w:rFonts w:hint="eastAsia" w:ascii="宋体" w:hAnsi="宋体"/>
                <w:sz w:val="24"/>
              </w:rPr>
            </w:pPr>
            <w:r>
              <w:rPr>
                <w:rFonts w:hint="eastAsia" w:ascii="宋体" w:hAnsi="宋体"/>
                <w:sz w:val="24"/>
              </w:rPr>
              <w:t>7.2</w:t>
            </w:r>
          </w:p>
        </w:tc>
        <w:tc>
          <w:tcPr>
            <w:tcW w:w="1645" w:type="dxa"/>
            <w:noWrap w:val="0"/>
            <w:vAlign w:val="center"/>
          </w:tcPr>
          <w:p w14:paraId="0254A7CD">
            <w:pPr>
              <w:jc w:val="center"/>
              <w:rPr>
                <w:rFonts w:hint="eastAsia" w:ascii="宋体" w:hAnsi="宋体"/>
                <w:sz w:val="24"/>
              </w:rPr>
            </w:pPr>
            <w:r>
              <w:rPr>
                <w:rFonts w:hint="eastAsia" w:ascii="宋体" w:hAnsi="宋体"/>
                <w:sz w:val="24"/>
              </w:rPr>
              <w:t>7.2</w:t>
            </w:r>
          </w:p>
        </w:tc>
        <w:tc>
          <w:tcPr>
            <w:tcW w:w="1716" w:type="dxa"/>
            <w:noWrap w:val="0"/>
            <w:vAlign w:val="center"/>
          </w:tcPr>
          <w:p w14:paraId="7095793D">
            <w:pPr>
              <w:jc w:val="center"/>
              <w:rPr>
                <w:rFonts w:hint="eastAsia" w:ascii="宋体" w:hAnsi="宋体"/>
                <w:sz w:val="24"/>
              </w:rPr>
            </w:pPr>
            <w:r>
              <w:rPr>
                <w:rFonts w:hint="eastAsia" w:ascii="宋体" w:hAnsi="宋体"/>
                <w:sz w:val="24"/>
              </w:rPr>
              <w:t>7.2</w:t>
            </w:r>
          </w:p>
        </w:tc>
      </w:tr>
      <w:tr w14:paraId="7468A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vMerge w:val="continue"/>
            <w:noWrap w:val="0"/>
            <w:vAlign w:val="center"/>
          </w:tcPr>
          <w:p w14:paraId="0C129631">
            <w:pPr>
              <w:jc w:val="center"/>
              <w:rPr>
                <w:rFonts w:ascii="宋体" w:hAnsi="宋体"/>
                <w:sz w:val="24"/>
              </w:rPr>
            </w:pPr>
          </w:p>
        </w:tc>
        <w:tc>
          <w:tcPr>
            <w:tcW w:w="1134" w:type="dxa"/>
            <w:vMerge w:val="continue"/>
            <w:noWrap w:val="0"/>
            <w:vAlign w:val="center"/>
          </w:tcPr>
          <w:p w14:paraId="619DB011">
            <w:pPr>
              <w:jc w:val="center"/>
              <w:rPr>
                <w:rFonts w:ascii="宋体" w:hAnsi="宋体"/>
                <w:sz w:val="24"/>
              </w:rPr>
            </w:pPr>
          </w:p>
        </w:tc>
        <w:tc>
          <w:tcPr>
            <w:tcW w:w="824" w:type="dxa"/>
            <w:gridSpan w:val="2"/>
            <w:noWrap w:val="0"/>
            <w:vAlign w:val="center"/>
          </w:tcPr>
          <w:p w14:paraId="32C224B0">
            <w:pPr>
              <w:pStyle w:val="45"/>
              <w:rPr>
                <w:rFonts w:ascii="宋体" w:hAnsi="宋体"/>
              </w:rPr>
            </w:pPr>
            <w:r>
              <w:rPr>
                <w:rFonts w:ascii="宋体" w:hAnsi="宋体"/>
              </w:rPr>
              <w:t>掘进</w:t>
            </w:r>
          </w:p>
        </w:tc>
        <w:tc>
          <w:tcPr>
            <w:tcW w:w="728" w:type="dxa"/>
            <w:noWrap w:val="0"/>
            <w:vAlign w:val="center"/>
          </w:tcPr>
          <w:p w14:paraId="00F2C6D7">
            <w:pPr>
              <w:jc w:val="center"/>
              <w:rPr>
                <w:rFonts w:ascii="宋体" w:hAnsi="宋体"/>
                <w:sz w:val="24"/>
              </w:rPr>
            </w:pPr>
            <w:r>
              <w:rPr>
                <w:rFonts w:ascii="宋体" w:hAnsi="宋体"/>
                <w:sz w:val="24"/>
              </w:rPr>
              <w:t>m</w:t>
            </w:r>
            <w:r>
              <w:rPr>
                <w:rFonts w:ascii="宋体" w:hAnsi="宋体"/>
                <w:sz w:val="24"/>
                <w:vertAlign w:val="superscript"/>
              </w:rPr>
              <w:t>2</w:t>
            </w:r>
          </w:p>
        </w:tc>
        <w:tc>
          <w:tcPr>
            <w:tcW w:w="2174" w:type="dxa"/>
            <w:noWrap w:val="0"/>
            <w:vAlign w:val="center"/>
          </w:tcPr>
          <w:p w14:paraId="0B2F97DD">
            <w:pPr>
              <w:jc w:val="center"/>
              <w:rPr>
                <w:rFonts w:hint="eastAsia" w:ascii="宋体" w:hAnsi="宋体"/>
                <w:sz w:val="24"/>
              </w:rPr>
            </w:pPr>
            <w:r>
              <w:rPr>
                <w:rFonts w:hint="eastAsia" w:ascii="宋体" w:hAnsi="宋体"/>
                <w:sz w:val="24"/>
              </w:rPr>
              <w:t>8.1</w:t>
            </w:r>
          </w:p>
        </w:tc>
        <w:tc>
          <w:tcPr>
            <w:tcW w:w="1645" w:type="dxa"/>
            <w:noWrap w:val="0"/>
            <w:vAlign w:val="center"/>
          </w:tcPr>
          <w:p w14:paraId="512A4D55">
            <w:pPr>
              <w:jc w:val="center"/>
              <w:rPr>
                <w:rFonts w:hint="eastAsia" w:ascii="宋体" w:hAnsi="宋体"/>
                <w:sz w:val="24"/>
              </w:rPr>
            </w:pPr>
            <w:r>
              <w:rPr>
                <w:rFonts w:hint="eastAsia" w:ascii="宋体" w:hAnsi="宋体"/>
                <w:sz w:val="24"/>
              </w:rPr>
              <w:t>8.1</w:t>
            </w:r>
          </w:p>
        </w:tc>
        <w:tc>
          <w:tcPr>
            <w:tcW w:w="1716" w:type="dxa"/>
            <w:noWrap w:val="0"/>
            <w:vAlign w:val="center"/>
          </w:tcPr>
          <w:p w14:paraId="2AEA357C">
            <w:pPr>
              <w:jc w:val="center"/>
              <w:rPr>
                <w:rFonts w:hint="eastAsia" w:ascii="宋体" w:hAnsi="宋体"/>
                <w:sz w:val="24"/>
              </w:rPr>
            </w:pPr>
            <w:r>
              <w:rPr>
                <w:rFonts w:hint="eastAsia" w:ascii="宋体" w:hAnsi="宋体"/>
                <w:sz w:val="24"/>
              </w:rPr>
              <w:t>8.1</w:t>
            </w:r>
          </w:p>
        </w:tc>
      </w:tr>
      <w:tr w14:paraId="5D167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noWrap w:val="0"/>
            <w:vAlign w:val="center"/>
          </w:tcPr>
          <w:p w14:paraId="003623CF">
            <w:pPr>
              <w:jc w:val="center"/>
              <w:rPr>
                <w:rFonts w:ascii="宋体" w:hAnsi="宋体"/>
                <w:sz w:val="24"/>
              </w:rPr>
            </w:pPr>
            <w:r>
              <w:rPr>
                <w:rFonts w:ascii="宋体" w:hAnsi="宋体"/>
                <w:sz w:val="24"/>
              </w:rPr>
              <w:t>5</w:t>
            </w:r>
          </w:p>
        </w:tc>
        <w:tc>
          <w:tcPr>
            <w:tcW w:w="1958" w:type="dxa"/>
            <w:gridSpan w:val="3"/>
            <w:noWrap w:val="0"/>
            <w:vAlign w:val="center"/>
          </w:tcPr>
          <w:p w14:paraId="1691783B">
            <w:pPr>
              <w:jc w:val="center"/>
              <w:rPr>
                <w:rFonts w:ascii="宋体" w:hAnsi="宋体"/>
                <w:sz w:val="24"/>
              </w:rPr>
            </w:pPr>
            <w:r>
              <w:rPr>
                <w:rFonts w:ascii="宋体" w:hAnsi="宋体"/>
                <w:sz w:val="24"/>
              </w:rPr>
              <w:t>长度</w:t>
            </w:r>
          </w:p>
        </w:tc>
        <w:tc>
          <w:tcPr>
            <w:tcW w:w="728" w:type="dxa"/>
            <w:noWrap w:val="0"/>
            <w:vAlign w:val="center"/>
          </w:tcPr>
          <w:p w14:paraId="367847A6">
            <w:pPr>
              <w:jc w:val="center"/>
              <w:rPr>
                <w:rFonts w:ascii="宋体" w:hAnsi="宋体"/>
                <w:sz w:val="24"/>
              </w:rPr>
            </w:pPr>
            <w:r>
              <w:rPr>
                <w:rFonts w:ascii="宋体" w:hAnsi="宋体"/>
                <w:sz w:val="24"/>
              </w:rPr>
              <w:t>m</w:t>
            </w:r>
          </w:p>
        </w:tc>
        <w:tc>
          <w:tcPr>
            <w:tcW w:w="2174" w:type="dxa"/>
            <w:noWrap w:val="0"/>
            <w:vAlign w:val="center"/>
          </w:tcPr>
          <w:p w14:paraId="19D50809">
            <w:pPr>
              <w:jc w:val="center"/>
              <w:rPr>
                <w:rFonts w:hint="eastAsia" w:ascii="宋体" w:hAnsi="宋体"/>
                <w:sz w:val="24"/>
              </w:rPr>
            </w:pPr>
            <w:r>
              <w:rPr>
                <w:rFonts w:hint="eastAsia" w:ascii="宋体" w:hAnsi="宋体"/>
                <w:sz w:val="24"/>
              </w:rPr>
              <w:t>513</w:t>
            </w:r>
          </w:p>
        </w:tc>
        <w:tc>
          <w:tcPr>
            <w:tcW w:w="1645" w:type="dxa"/>
            <w:noWrap w:val="0"/>
            <w:vAlign w:val="center"/>
          </w:tcPr>
          <w:p w14:paraId="22C5A1FA">
            <w:pPr>
              <w:jc w:val="center"/>
              <w:rPr>
                <w:rFonts w:hint="eastAsia" w:ascii="宋体" w:hAnsi="宋体"/>
                <w:sz w:val="24"/>
              </w:rPr>
            </w:pPr>
            <w:r>
              <w:rPr>
                <w:rFonts w:hint="eastAsia" w:ascii="宋体" w:hAnsi="宋体"/>
                <w:sz w:val="24"/>
              </w:rPr>
              <w:t>374</w:t>
            </w:r>
          </w:p>
        </w:tc>
        <w:tc>
          <w:tcPr>
            <w:tcW w:w="1716" w:type="dxa"/>
            <w:noWrap w:val="0"/>
            <w:vAlign w:val="center"/>
          </w:tcPr>
          <w:p w14:paraId="63112BA5">
            <w:pPr>
              <w:jc w:val="center"/>
              <w:rPr>
                <w:rFonts w:hint="eastAsia" w:ascii="宋体" w:hAnsi="宋体"/>
                <w:sz w:val="24"/>
              </w:rPr>
            </w:pPr>
            <w:r>
              <w:rPr>
                <w:rFonts w:hint="eastAsia" w:ascii="宋体" w:hAnsi="宋体"/>
                <w:sz w:val="24"/>
              </w:rPr>
              <w:t>425</w:t>
            </w:r>
          </w:p>
        </w:tc>
      </w:tr>
      <w:tr w14:paraId="0CE8C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noWrap w:val="0"/>
            <w:vAlign w:val="center"/>
          </w:tcPr>
          <w:p w14:paraId="22352E22">
            <w:pPr>
              <w:jc w:val="center"/>
              <w:rPr>
                <w:rFonts w:ascii="宋体" w:hAnsi="宋体"/>
                <w:sz w:val="24"/>
              </w:rPr>
            </w:pPr>
            <w:r>
              <w:rPr>
                <w:rFonts w:ascii="宋体" w:hAnsi="宋体"/>
                <w:sz w:val="24"/>
              </w:rPr>
              <w:t>6</w:t>
            </w:r>
          </w:p>
        </w:tc>
        <w:tc>
          <w:tcPr>
            <w:tcW w:w="1958" w:type="dxa"/>
            <w:gridSpan w:val="3"/>
            <w:noWrap w:val="0"/>
            <w:vAlign w:val="center"/>
          </w:tcPr>
          <w:p w14:paraId="0706BA8E">
            <w:pPr>
              <w:jc w:val="center"/>
              <w:rPr>
                <w:rFonts w:ascii="宋体" w:hAnsi="宋体"/>
                <w:sz w:val="24"/>
              </w:rPr>
            </w:pPr>
            <w:r>
              <w:rPr>
                <w:rFonts w:ascii="宋体" w:hAnsi="宋体"/>
                <w:sz w:val="24"/>
              </w:rPr>
              <w:t>倾角（坡度）</w:t>
            </w:r>
          </w:p>
        </w:tc>
        <w:tc>
          <w:tcPr>
            <w:tcW w:w="728" w:type="dxa"/>
            <w:noWrap w:val="0"/>
            <w:vAlign w:val="center"/>
          </w:tcPr>
          <w:p w14:paraId="5976C700">
            <w:pPr>
              <w:jc w:val="center"/>
              <w:rPr>
                <w:rFonts w:ascii="宋体" w:hAnsi="宋体"/>
                <w:sz w:val="24"/>
              </w:rPr>
            </w:pPr>
            <w:r>
              <w:rPr>
                <w:rFonts w:ascii="宋体" w:hAnsi="宋体"/>
                <w:sz w:val="24"/>
              </w:rPr>
              <w:t>度</w:t>
            </w:r>
          </w:p>
        </w:tc>
        <w:tc>
          <w:tcPr>
            <w:tcW w:w="2174" w:type="dxa"/>
            <w:noWrap w:val="0"/>
            <w:vAlign w:val="center"/>
          </w:tcPr>
          <w:p w14:paraId="55FDB62F">
            <w:pPr>
              <w:jc w:val="center"/>
              <w:rPr>
                <w:rFonts w:hint="eastAsia" w:ascii="宋体" w:hAnsi="宋体"/>
                <w:sz w:val="24"/>
              </w:rPr>
            </w:pPr>
            <w:r>
              <w:rPr>
                <w:rFonts w:hint="eastAsia" w:ascii="宋体" w:hAnsi="宋体"/>
                <w:sz w:val="24"/>
              </w:rPr>
              <w:t>19</w:t>
            </w:r>
          </w:p>
        </w:tc>
        <w:tc>
          <w:tcPr>
            <w:tcW w:w="1645" w:type="dxa"/>
            <w:noWrap w:val="0"/>
            <w:vAlign w:val="center"/>
          </w:tcPr>
          <w:p w14:paraId="3900127E">
            <w:pPr>
              <w:jc w:val="center"/>
              <w:rPr>
                <w:rFonts w:hint="eastAsia" w:ascii="宋体" w:hAnsi="宋体"/>
                <w:sz w:val="24"/>
              </w:rPr>
            </w:pPr>
            <w:r>
              <w:rPr>
                <w:rFonts w:hint="eastAsia" w:ascii="宋体" w:hAnsi="宋体"/>
                <w:sz w:val="24"/>
              </w:rPr>
              <w:t>25</w:t>
            </w:r>
          </w:p>
        </w:tc>
        <w:tc>
          <w:tcPr>
            <w:tcW w:w="1716" w:type="dxa"/>
            <w:noWrap w:val="0"/>
            <w:vAlign w:val="center"/>
          </w:tcPr>
          <w:p w14:paraId="7C6DBB9A">
            <w:pPr>
              <w:jc w:val="center"/>
              <w:rPr>
                <w:rFonts w:hint="eastAsia" w:ascii="宋体" w:hAnsi="宋体"/>
                <w:sz w:val="24"/>
              </w:rPr>
            </w:pPr>
            <w:r>
              <w:rPr>
                <w:rFonts w:hint="eastAsia" w:ascii="宋体" w:hAnsi="宋体"/>
                <w:sz w:val="24"/>
              </w:rPr>
              <w:t>26</w:t>
            </w:r>
          </w:p>
        </w:tc>
      </w:tr>
      <w:tr w14:paraId="01E74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800" w:type="dxa"/>
            <w:noWrap w:val="0"/>
            <w:vAlign w:val="center"/>
          </w:tcPr>
          <w:p w14:paraId="78D22AE2">
            <w:pPr>
              <w:jc w:val="center"/>
              <w:rPr>
                <w:rFonts w:ascii="宋体" w:hAnsi="宋体"/>
                <w:sz w:val="24"/>
              </w:rPr>
            </w:pPr>
            <w:r>
              <w:rPr>
                <w:rFonts w:ascii="宋体" w:hAnsi="宋体"/>
                <w:sz w:val="24"/>
              </w:rPr>
              <w:t>7</w:t>
            </w:r>
          </w:p>
        </w:tc>
        <w:tc>
          <w:tcPr>
            <w:tcW w:w="1958" w:type="dxa"/>
            <w:gridSpan w:val="3"/>
            <w:noWrap w:val="0"/>
            <w:vAlign w:val="center"/>
          </w:tcPr>
          <w:p w14:paraId="0B12B18C">
            <w:pPr>
              <w:jc w:val="center"/>
              <w:rPr>
                <w:rFonts w:ascii="宋体" w:hAnsi="宋体"/>
                <w:sz w:val="24"/>
              </w:rPr>
            </w:pPr>
            <w:r>
              <w:rPr>
                <w:rFonts w:ascii="宋体" w:hAnsi="宋体"/>
                <w:sz w:val="24"/>
              </w:rPr>
              <w:t>井筒装备</w:t>
            </w:r>
          </w:p>
        </w:tc>
        <w:tc>
          <w:tcPr>
            <w:tcW w:w="728" w:type="dxa"/>
            <w:noWrap w:val="0"/>
            <w:vAlign w:val="center"/>
          </w:tcPr>
          <w:p w14:paraId="0A89ADB9">
            <w:pPr>
              <w:jc w:val="center"/>
              <w:rPr>
                <w:rFonts w:ascii="宋体" w:hAnsi="宋体"/>
                <w:sz w:val="24"/>
              </w:rPr>
            </w:pPr>
          </w:p>
        </w:tc>
        <w:tc>
          <w:tcPr>
            <w:tcW w:w="2174" w:type="dxa"/>
            <w:noWrap w:val="0"/>
            <w:vAlign w:val="center"/>
          </w:tcPr>
          <w:p w14:paraId="6CD230FF">
            <w:pPr>
              <w:jc w:val="center"/>
              <w:rPr>
                <w:rFonts w:hint="eastAsia" w:ascii="宋体" w:hAnsi="宋体"/>
                <w:sz w:val="24"/>
              </w:rPr>
            </w:pPr>
            <w:r>
              <w:rPr>
                <w:rFonts w:hint="eastAsia" w:ascii="宋体" w:hAnsi="宋体"/>
                <w:sz w:val="24"/>
              </w:rPr>
              <w:t>胶带输送机</w:t>
            </w:r>
          </w:p>
        </w:tc>
        <w:tc>
          <w:tcPr>
            <w:tcW w:w="1645" w:type="dxa"/>
            <w:noWrap w:val="0"/>
            <w:vAlign w:val="center"/>
          </w:tcPr>
          <w:p w14:paraId="1EE67B46">
            <w:pPr>
              <w:jc w:val="center"/>
              <w:rPr>
                <w:rFonts w:ascii="宋体" w:hAnsi="宋体"/>
                <w:sz w:val="24"/>
              </w:rPr>
            </w:pPr>
            <w:r>
              <w:rPr>
                <w:rFonts w:hint="eastAsia" w:ascii="宋体" w:hAnsi="宋体"/>
                <w:sz w:val="24"/>
              </w:rPr>
              <w:t>轨道</w:t>
            </w:r>
          </w:p>
        </w:tc>
        <w:tc>
          <w:tcPr>
            <w:tcW w:w="1716" w:type="dxa"/>
            <w:noWrap w:val="0"/>
            <w:vAlign w:val="center"/>
          </w:tcPr>
          <w:p w14:paraId="69F243DC">
            <w:pPr>
              <w:jc w:val="center"/>
              <w:rPr>
                <w:rFonts w:ascii="宋体" w:hAnsi="宋体"/>
                <w:sz w:val="24"/>
              </w:rPr>
            </w:pPr>
          </w:p>
        </w:tc>
      </w:tr>
      <w:tr w14:paraId="47217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2758" w:type="dxa"/>
            <w:gridSpan w:val="4"/>
            <w:noWrap w:val="0"/>
            <w:vAlign w:val="center"/>
          </w:tcPr>
          <w:p w14:paraId="676F5217">
            <w:pPr>
              <w:jc w:val="center"/>
              <w:rPr>
                <w:rFonts w:ascii="宋体" w:hAnsi="宋体"/>
                <w:sz w:val="24"/>
              </w:rPr>
            </w:pPr>
            <w:r>
              <w:rPr>
                <w:rFonts w:hint="eastAsia" w:ascii="宋体" w:hAnsi="宋体"/>
                <w:sz w:val="24"/>
              </w:rPr>
              <w:t>备　　　注</w:t>
            </w:r>
          </w:p>
        </w:tc>
        <w:tc>
          <w:tcPr>
            <w:tcW w:w="728" w:type="dxa"/>
            <w:noWrap w:val="0"/>
            <w:vAlign w:val="center"/>
          </w:tcPr>
          <w:p w14:paraId="19116265">
            <w:pPr>
              <w:jc w:val="center"/>
              <w:rPr>
                <w:rFonts w:ascii="宋体" w:hAnsi="宋体"/>
                <w:sz w:val="24"/>
              </w:rPr>
            </w:pPr>
          </w:p>
        </w:tc>
        <w:tc>
          <w:tcPr>
            <w:tcW w:w="2174" w:type="dxa"/>
            <w:noWrap w:val="0"/>
            <w:vAlign w:val="center"/>
          </w:tcPr>
          <w:p w14:paraId="75672100">
            <w:pPr>
              <w:jc w:val="center"/>
              <w:rPr>
                <w:rFonts w:hint="eastAsia" w:ascii="宋体" w:hAnsi="宋体"/>
                <w:sz w:val="24"/>
              </w:rPr>
            </w:pPr>
            <w:r>
              <w:rPr>
                <w:rFonts w:hint="eastAsia" w:ascii="宋体" w:hAnsi="宋体"/>
                <w:sz w:val="24"/>
              </w:rPr>
              <w:t>通信、信号电缆动力电缆等</w:t>
            </w:r>
          </w:p>
        </w:tc>
        <w:tc>
          <w:tcPr>
            <w:tcW w:w="1645" w:type="dxa"/>
            <w:noWrap w:val="0"/>
            <w:vAlign w:val="center"/>
          </w:tcPr>
          <w:p w14:paraId="591BBE07">
            <w:pPr>
              <w:jc w:val="center"/>
              <w:rPr>
                <w:rFonts w:hint="eastAsia" w:ascii="宋体" w:hAnsi="宋体"/>
                <w:sz w:val="24"/>
              </w:rPr>
            </w:pPr>
            <w:r>
              <w:rPr>
                <w:rFonts w:hint="eastAsia" w:ascii="宋体" w:hAnsi="宋体"/>
                <w:sz w:val="24"/>
              </w:rPr>
              <w:t>压风及动力电缆等</w:t>
            </w:r>
          </w:p>
        </w:tc>
        <w:tc>
          <w:tcPr>
            <w:tcW w:w="1716" w:type="dxa"/>
            <w:noWrap w:val="0"/>
            <w:vAlign w:val="center"/>
          </w:tcPr>
          <w:p w14:paraId="291EDC38">
            <w:pPr>
              <w:jc w:val="center"/>
              <w:rPr>
                <w:rFonts w:ascii="宋体" w:hAnsi="宋体"/>
                <w:sz w:val="24"/>
              </w:rPr>
            </w:pPr>
            <w:r>
              <w:rPr>
                <w:rFonts w:hint="eastAsia" w:ascii="宋体" w:hAnsi="宋体"/>
                <w:sz w:val="24"/>
              </w:rPr>
              <w:t>洒水管路</w:t>
            </w:r>
          </w:p>
        </w:tc>
      </w:tr>
    </w:tbl>
    <w:p w14:paraId="5FABEEA6">
      <w:pPr>
        <w:pStyle w:val="4"/>
        <w:keepLines/>
        <w:adjustRightInd w:val="0"/>
        <w:snapToGrid w:val="0"/>
        <w:spacing w:before="240" w:after="240" w:line="360" w:lineRule="auto"/>
        <w:ind w:firstLine="562" w:firstLineChars="200"/>
        <w:jc w:val="both"/>
        <w:rPr>
          <w:rFonts w:hint="eastAsia"/>
          <w:b/>
          <w:color w:val="000000"/>
          <w:kern w:val="0"/>
          <w:szCs w:val="20"/>
        </w:rPr>
      </w:pPr>
      <w:bookmarkStart w:id="56" w:name="_Toc173893650"/>
      <w:bookmarkStart w:id="57" w:name="_Toc173869214"/>
      <w:bookmarkStart w:id="58" w:name="_Toc173918889"/>
      <w:r>
        <w:rPr>
          <w:rFonts w:hint="eastAsia"/>
          <w:b/>
          <w:color w:val="000000"/>
          <w:kern w:val="0"/>
          <w:szCs w:val="20"/>
        </w:rPr>
        <w:t>六、井底车场及硐室</w:t>
      </w:r>
      <w:bookmarkEnd w:id="56"/>
      <w:bookmarkEnd w:id="57"/>
      <w:bookmarkEnd w:id="58"/>
    </w:p>
    <w:p w14:paraId="21310376">
      <w:pPr>
        <w:spacing w:line="360" w:lineRule="auto"/>
        <w:ind w:firstLine="480" w:firstLineChars="200"/>
        <w:rPr>
          <w:rFonts w:hint="eastAsia" w:ascii="宋体" w:hAnsi="宋体"/>
          <w:color w:val="000000"/>
          <w:sz w:val="24"/>
        </w:rPr>
      </w:pPr>
      <w:r>
        <w:rPr>
          <w:rFonts w:hint="eastAsia" w:ascii="宋体" w:hAnsi="宋体"/>
          <w:color w:val="000000"/>
          <w:sz w:val="24"/>
        </w:rPr>
        <w:t>该</w:t>
      </w:r>
      <w:r>
        <w:rPr>
          <w:rFonts w:ascii="宋体" w:hAnsi="宋体"/>
          <w:color w:val="000000"/>
          <w:sz w:val="24"/>
        </w:rPr>
        <w:t>矿</w:t>
      </w:r>
      <w:r>
        <w:rPr>
          <w:rFonts w:hint="eastAsia" w:ascii="宋体" w:hAnsi="宋体"/>
          <w:color w:val="000000"/>
          <w:sz w:val="24"/>
        </w:rPr>
        <w:t>在一采区133轨道石门中布置消防材料硐室，在一采区+1835.0m标高布置水泵房、主副水仓，井下不设爆炸材料发放硐室。</w:t>
      </w:r>
    </w:p>
    <w:p w14:paraId="09553B0E">
      <w:pPr>
        <w:pStyle w:val="4"/>
        <w:keepLines/>
        <w:adjustRightInd w:val="0"/>
        <w:snapToGrid w:val="0"/>
        <w:spacing w:before="240" w:after="240" w:line="360" w:lineRule="auto"/>
        <w:ind w:firstLine="562" w:firstLineChars="200"/>
        <w:jc w:val="both"/>
        <w:rPr>
          <w:b/>
          <w:color w:val="000000"/>
          <w:kern w:val="0"/>
          <w:szCs w:val="20"/>
        </w:rPr>
      </w:pPr>
      <w:bookmarkStart w:id="59" w:name="_Toc173918890"/>
      <w:bookmarkStart w:id="60" w:name="_Toc173893651"/>
      <w:bookmarkStart w:id="61" w:name="_Toc173869215"/>
      <w:r>
        <w:rPr>
          <w:rFonts w:hint="eastAsia"/>
          <w:b/>
          <w:color w:val="000000"/>
          <w:kern w:val="0"/>
          <w:szCs w:val="20"/>
        </w:rPr>
        <w:t>七</w:t>
      </w:r>
      <w:r>
        <w:rPr>
          <w:b/>
          <w:color w:val="000000"/>
          <w:kern w:val="0"/>
          <w:szCs w:val="20"/>
        </w:rPr>
        <w:t>、开采顺序</w:t>
      </w:r>
      <w:bookmarkEnd w:id="59"/>
      <w:bookmarkEnd w:id="60"/>
      <w:bookmarkEnd w:id="61"/>
    </w:p>
    <w:p w14:paraId="2C8F867F">
      <w:pPr>
        <w:spacing w:line="360" w:lineRule="auto"/>
        <w:ind w:firstLine="480" w:firstLineChars="200"/>
        <w:rPr>
          <w:rFonts w:hint="eastAsia" w:ascii="宋体" w:hAnsi="宋体"/>
          <w:sz w:val="24"/>
        </w:rPr>
      </w:pPr>
      <w:r>
        <w:rPr>
          <w:rFonts w:ascii="宋体" w:hAnsi="宋体"/>
          <w:sz w:val="24"/>
        </w:rPr>
        <w:t>采区划分与煤层赋存条件、开采方式及采煤机械化程度有直接的关系，为了使采区划分能够做到全井田合理开采，前后期统筹兼顾</w:t>
      </w:r>
      <w:r>
        <w:rPr>
          <w:rFonts w:hint="eastAsia" w:ascii="宋体" w:hAnsi="宋体"/>
          <w:sz w:val="24"/>
        </w:rPr>
        <w:t>，均衡开采。本设计采用斜井开拓方式，将矿井划分为两个水平五个采区开采，水平标高分别为：+1835.0m和+1658.0m。</w:t>
      </w:r>
    </w:p>
    <w:p w14:paraId="672A6DBA">
      <w:pPr>
        <w:spacing w:line="360" w:lineRule="auto"/>
        <w:ind w:firstLine="480" w:firstLineChars="200"/>
        <w:rPr>
          <w:rFonts w:hint="eastAsia" w:ascii="宋体" w:hAnsi="宋体"/>
          <w:sz w:val="24"/>
        </w:rPr>
      </w:pPr>
      <w:r>
        <w:rPr>
          <w:rFonts w:hint="eastAsia" w:ascii="宋体" w:hAnsi="宋体"/>
          <w:sz w:val="24"/>
        </w:rPr>
        <w:t>采区间的</w:t>
      </w:r>
      <w:r>
        <w:rPr>
          <w:rFonts w:ascii="宋体" w:hAnsi="宋体"/>
          <w:sz w:val="24"/>
        </w:rPr>
        <w:t>开采顺序</w:t>
      </w:r>
      <w:r>
        <w:rPr>
          <w:rFonts w:hint="eastAsia" w:ascii="宋体" w:hAnsi="宋体"/>
          <w:sz w:val="24"/>
        </w:rPr>
        <w:t>为：一采区→二采区→三采区→四采区→五采区</w:t>
      </w:r>
      <w:r>
        <w:rPr>
          <w:rFonts w:ascii="宋体" w:hAnsi="宋体"/>
          <w:sz w:val="24"/>
        </w:rPr>
        <w:t>；</w:t>
      </w:r>
    </w:p>
    <w:p w14:paraId="64889F9F">
      <w:pPr>
        <w:spacing w:line="360" w:lineRule="auto"/>
        <w:ind w:firstLine="480" w:firstLineChars="200"/>
        <w:rPr>
          <w:rFonts w:hint="eastAsia" w:ascii="宋体" w:hAnsi="宋体"/>
          <w:sz w:val="24"/>
        </w:rPr>
      </w:pPr>
      <w:r>
        <w:rPr>
          <w:rFonts w:ascii="宋体" w:hAnsi="宋体"/>
          <w:sz w:val="24"/>
        </w:rPr>
        <w:t>区段间的开采顺序为</w:t>
      </w:r>
      <w:r>
        <w:rPr>
          <w:rFonts w:hint="eastAsia" w:ascii="宋体" w:hAnsi="宋体"/>
          <w:sz w:val="24"/>
        </w:rPr>
        <w:t>：</w:t>
      </w:r>
      <w:r>
        <w:rPr>
          <w:rFonts w:ascii="宋体" w:hAnsi="宋体"/>
          <w:sz w:val="24"/>
        </w:rPr>
        <w:t>区段下行式。</w:t>
      </w:r>
    </w:p>
    <w:p w14:paraId="330BCA93">
      <w:pPr>
        <w:spacing w:line="360" w:lineRule="auto"/>
        <w:ind w:firstLine="480" w:firstLineChars="200"/>
        <w:rPr>
          <w:rFonts w:hint="eastAsia" w:ascii="宋体" w:hAnsi="宋体"/>
          <w:sz w:val="24"/>
        </w:rPr>
      </w:pPr>
      <w:r>
        <w:rPr>
          <w:rFonts w:ascii="宋体" w:hAnsi="宋体"/>
          <w:sz w:val="24"/>
        </w:rPr>
        <w:t>煤层</w:t>
      </w:r>
      <w:r>
        <w:rPr>
          <w:rFonts w:hint="eastAsia" w:ascii="宋体" w:hAnsi="宋体"/>
          <w:sz w:val="24"/>
        </w:rPr>
        <w:t>间</w:t>
      </w:r>
      <w:r>
        <w:rPr>
          <w:rFonts w:ascii="宋体" w:hAnsi="宋体"/>
          <w:sz w:val="24"/>
        </w:rPr>
        <w:t>的开采顺序：K1-b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w:t>
      </w:r>
      <w:r>
        <w:rPr>
          <w:rFonts w:ascii="宋体" w:hAnsi="宋体"/>
          <w:sz w:val="24"/>
        </w:rPr>
        <w:t>k</w:t>
      </w:r>
      <w:r>
        <w:rPr>
          <w:rFonts w:hint="eastAsia" w:ascii="宋体" w:hAnsi="宋体"/>
          <w:sz w:val="24"/>
        </w:rPr>
        <w:t>110</w:t>
      </w:r>
      <w:r>
        <w:rPr>
          <w:rFonts w:ascii="宋体" w:hAnsi="宋体"/>
          <w:sz w:val="24"/>
        </w:rPr>
        <w:t>-</w:t>
      </w:r>
      <w:r>
        <w:rPr>
          <w:rFonts w:hint="eastAsia" w:ascii="宋体" w:hAnsi="宋体"/>
          <w:sz w:val="24"/>
        </w:rPr>
        <w:t>a煤层。</w:t>
      </w:r>
    </w:p>
    <w:p w14:paraId="5DBDD0A4">
      <w:pPr>
        <w:spacing w:line="360" w:lineRule="auto"/>
        <w:ind w:firstLine="480" w:firstLineChars="200"/>
        <w:rPr>
          <w:rFonts w:hint="eastAsia" w:ascii="宋体" w:hAnsi="宋体"/>
          <w:sz w:val="24"/>
        </w:rPr>
      </w:pPr>
      <w:r>
        <w:rPr>
          <w:rFonts w:hint="eastAsia" w:ascii="宋体" w:hAnsi="宋体"/>
          <w:sz w:val="24"/>
        </w:rPr>
        <w:t>矿井采区接续详见下表</w:t>
      </w:r>
    </w:p>
    <w:p w14:paraId="41D836DC">
      <w:pPr>
        <w:spacing w:line="360" w:lineRule="auto"/>
        <w:ind w:firstLine="480" w:firstLineChars="200"/>
        <w:jc w:val="center"/>
        <w:rPr>
          <w:rFonts w:hint="eastAsia" w:ascii="宋体" w:hAnsi="宋体"/>
          <w:sz w:val="24"/>
        </w:rPr>
      </w:pPr>
      <w:r>
        <w:rPr>
          <w:rFonts w:hint="eastAsia" w:ascii="宋体" w:hAnsi="宋体"/>
          <w:sz w:val="24"/>
        </w:rPr>
        <w:t>矿井采区接续</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446"/>
        <w:gridCol w:w="816"/>
        <w:gridCol w:w="894"/>
        <w:gridCol w:w="1011"/>
        <w:gridCol w:w="659"/>
        <w:gridCol w:w="556"/>
        <w:gridCol w:w="459"/>
        <w:gridCol w:w="459"/>
        <w:gridCol w:w="451"/>
        <w:gridCol w:w="556"/>
        <w:gridCol w:w="556"/>
        <w:gridCol w:w="556"/>
        <w:gridCol w:w="556"/>
        <w:gridCol w:w="558"/>
      </w:tblGrid>
      <w:tr w14:paraId="333D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vMerge w:val="restart"/>
            <w:noWrap w:val="0"/>
            <w:vAlign w:val="center"/>
          </w:tcPr>
          <w:p w14:paraId="6F50616C">
            <w:pPr>
              <w:jc w:val="center"/>
              <w:rPr>
                <w:rFonts w:hint="eastAsia" w:ascii="宋体" w:hAnsi="宋体"/>
                <w:szCs w:val="21"/>
              </w:rPr>
            </w:pPr>
            <w:r>
              <w:rPr>
                <w:rFonts w:hint="eastAsia" w:ascii="宋体" w:hAnsi="宋体"/>
                <w:szCs w:val="21"/>
              </w:rPr>
              <w:t>采区名称</w:t>
            </w:r>
          </w:p>
        </w:tc>
        <w:tc>
          <w:tcPr>
            <w:tcW w:w="446" w:type="dxa"/>
            <w:vMerge w:val="restart"/>
            <w:noWrap w:val="0"/>
            <w:vAlign w:val="center"/>
          </w:tcPr>
          <w:p w14:paraId="2E622625">
            <w:pPr>
              <w:adjustRightInd w:val="0"/>
              <w:snapToGrid w:val="0"/>
              <w:jc w:val="center"/>
              <w:rPr>
                <w:rFonts w:ascii="宋体" w:hAnsi="宋体" w:cs="宋体"/>
                <w:spacing w:val="1"/>
                <w:kern w:val="0"/>
                <w:szCs w:val="21"/>
              </w:rPr>
            </w:pPr>
            <w:r>
              <w:rPr>
                <w:rFonts w:hint="eastAsia" w:ascii="宋体" w:hAnsi="宋体" w:cs="宋体"/>
                <w:spacing w:val="1"/>
                <w:kern w:val="0"/>
                <w:szCs w:val="21"/>
              </w:rPr>
              <w:t>开采</w:t>
            </w:r>
          </w:p>
          <w:p w14:paraId="72DD76E3">
            <w:pPr>
              <w:jc w:val="center"/>
              <w:rPr>
                <w:rFonts w:hint="eastAsia" w:ascii="宋体" w:hAnsi="宋体"/>
                <w:szCs w:val="21"/>
              </w:rPr>
            </w:pPr>
            <w:r>
              <w:rPr>
                <w:rFonts w:hint="eastAsia" w:ascii="宋体" w:hAnsi="宋体" w:cs="宋体"/>
                <w:spacing w:val="1"/>
                <w:kern w:val="0"/>
                <w:szCs w:val="21"/>
              </w:rPr>
              <w:t>煤层</w:t>
            </w:r>
          </w:p>
        </w:tc>
        <w:tc>
          <w:tcPr>
            <w:tcW w:w="816" w:type="dxa"/>
            <w:vMerge w:val="restart"/>
            <w:noWrap w:val="0"/>
            <w:vAlign w:val="center"/>
          </w:tcPr>
          <w:p w14:paraId="08F40715">
            <w:pPr>
              <w:jc w:val="center"/>
              <w:rPr>
                <w:rFonts w:hint="eastAsia" w:ascii="宋体" w:hAnsi="宋体" w:cs="宋体"/>
                <w:spacing w:val="1"/>
                <w:kern w:val="0"/>
                <w:szCs w:val="21"/>
              </w:rPr>
            </w:pPr>
            <w:r>
              <w:rPr>
                <w:rFonts w:hint="eastAsia" w:ascii="宋体" w:hAnsi="宋体" w:cs="宋体"/>
                <w:spacing w:val="1"/>
                <w:kern w:val="0"/>
                <w:szCs w:val="21"/>
              </w:rPr>
              <w:t>地质储量</w:t>
            </w:r>
          </w:p>
          <w:p w14:paraId="2BCF6556">
            <w:pPr>
              <w:jc w:val="center"/>
              <w:rPr>
                <w:rFonts w:hint="eastAsia" w:ascii="宋体" w:hAnsi="宋体"/>
                <w:szCs w:val="21"/>
              </w:rPr>
            </w:pPr>
            <w:r>
              <w:rPr>
                <w:rFonts w:hint="eastAsia" w:ascii="宋体" w:hAnsi="宋体" w:cs="宋体"/>
                <w:spacing w:val="1"/>
                <w:kern w:val="0"/>
                <w:szCs w:val="21"/>
              </w:rPr>
              <w:t>(万</w:t>
            </w:r>
            <w:r>
              <w:rPr>
                <w:rFonts w:ascii="宋体" w:hAnsi="宋体" w:cs="宋体"/>
                <w:spacing w:val="1"/>
                <w:kern w:val="0"/>
                <w:szCs w:val="21"/>
              </w:rPr>
              <w:t>t</w:t>
            </w:r>
            <w:r>
              <w:rPr>
                <w:rFonts w:hint="eastAsia" w:ascii="宋体" w:hAnsi="宋体" w:cs="宋体"/>
                <w:spacing w:val="1"/>
                <w:kern w:val="0"/>
                <w:szCs w:val="21"/>
              </w:rPr>
              <w:t>)</w:t>
            </w:r>
          </w:p>
        </w:tc>
        <w:tc>
          <w:tcPr>
            <w:tcW w:w="894" w:type="dxa"/>
            <w:vMerge w:val="restart"/>
            <w:noWrap w:val="0"/>
            <w:vAlign w:val="center"/>
          </w:tcPr>
          <w:p w14:paraId="6A18B944">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设计</w:t>
            </w:r>
          </w:p>
          <w:p w14:paraId="520D629C">
            <w:pPr>
              <w:adjustRightInd w:val="0"/>
              <w:snapToGrid w:val="0"/>
              <w:jc w:val="center"/>
              <w:rPr>
                <w:rFonts w:ascii="宋体" w:hAnsi="宋体" w:cs="宋体"/>
                <w:spacing w:val="1"/>
                <w:kern w:val="0"/>
                <w:szCs w:val="21"/>
              </w:rPr>
            </w:pPr>
            <w:r>
              <w:rPr>
                <w:rFonts w:hint="eastAsia" w:ascii="宋体" w:hAnsi="宋体" w:cs="宋体"/>
                <w:spacing w:val="1"/>
                <w:kern w:val="0"/>
                <w:szCs w:val="21"/>
              </w:rPr>
              <w:t>可采</w:t>
            </w:r>
          </w:p>
          <w:p w14:paraId="61ED2798">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储量</w:t>
            </w:r>
          </w:p>
          <w:p w14:paraId="242A0788">
            <w:pPr>
              <w:jc w:val="center"/>
              <w:rPr>
                <w:rFonts w:hint="eastAsia" w:ascii="宋体" w:hAnsi="宋体"/>
                <w:szCs w:val="21"/>
              </w:rPr>
            </w:pPr>
            <w:r>
              <w:rPr>
                <w:rFonts w:hint="eastAsia" w:ascii="宋体" w:hAnsi="宋体" w:cs="宋体"/>
                <w:spacing w:val="1"/>
                <w:kern w:val="0"/>
                <w:szCs w:val="21"/>
              </w:rPr>
              <w:t>（万</w:t>
            </w:r>
            <w:r>
              <w:rPr>
                <w:rFonts w:ascii="宋体" w:hAnsi="宋体" w:cs="宋体"/>
                <w:spacing w:val="1"/>
                <w:kern w:val="0"/>
                <w:szCs w:val="21"/>
              </w:rPr>
              <w:t>t</w:t>
            </w:r>
            <w:r>
              <w:rPr>
                <w:rFonts w:hint="eastAsia" w:ascii="宋体" w:hAnsi="宋体" w:cs="宋体"/>
                <w:spacing w:val="1"/>
                <w:kern w:val="0"/>
                <w:szCs w:val="21"/>
              </w:rPr>
              <w:t>）</w:t>
            </w:r>
          </w:p>
        </w:tc>
        <w:tc>
          <w:tcPr>
            <w:tcW w:w="1011" w:type="dxa"/>
            <w:vMerge w:val="restart"/>
            <w:noWrap w:val="0"/>
            <w:vAlign w:val="center"/>
          </w:tcPr>
          <w:p w14:paraId="2F18E443">
            <w:pPr>
              <w:jc w:val="center"/>
              <w:rPr>
                <w:rFonts w:hint="eastAsia" w:ascii="宋体" w:hAnsi="宋体" w:cs="宋体"/>
                <w:spacing w:val="1"/>
                <w:kern w:val="0"/>
                <w:szCs w:val="21"/>
              </w:rPr>
            </w:pPr>
            <w:r>
              <w:rPr>
                <w:rFonts w:hint="eastAsia" w:ascii="宋体" w:hAnsi="宋体" w:cs="宋体"/>
                <w:spacing w:val="1"/>
                <w:kern w:val="0"/>
                <w:szCs w:val="21"/>
              </w:rPr>
              <w:t>生产能力</w:t>
            </w:r>
          </w:p>
          <w:p w14:paraId="3D37E92C">
            <w:pPr>
              <w:jc w:val="center"/>
              <w:rPr>
                <w:rFonts w:hint="eastAsia" w:ascii="宋体" w:hAnsi="宋体"/>
                <w:szCs w:val="21"/>
              </w:rPr>
            </w:pPr>
            <w:r>
              <w:rPr>
                <w:rFonts w:ascii="宋体" w:hAnsi="宋体" w:cs="宋体"/>
                <w:spacing w:val="1"/>
                <w:kern w:val="0"/>
                <w:szCs w:val="21"/>
              </w:rPr>
              <w:t>(</w:t>
            </w:r>
            <w:r>
              <w:rPr>
                <w:rFonts w:hint="eastAsia" w:ascii="宋体" w:hAnsi="宋体" w:cs="宋体"/>
                <w:spacing w:val="1"/>
                <w:kern w:val="0"/>
                <w:szCs w:val="21"/>
              </w:rPr>
              <w:t>万</w:t>
            </w:r>
            <w:r>
              <w:rPr>
                <w:rFonts w:ascii="宋体" w:hAnsi="宋体" w:cs="宋体"/>
                <w:spacing w:val="1"/>
                <w:kern w:val="0"/>
                <w:szCs w:val="21"/>
              </w:rPr>
              <w:t>t</w:t>
            </w:r>
            <w:r>
              <w:rPr>
                <w:rFonts w:hint="eastAsia" w:ascii="宋体" w:hAnsi="宋体" w:cs="宋体"/>
                <w:spacing w:val="1"/>
                <w:kern w:val="0"/>
                <w:szCs w:val="21"/>
              </w:rPr>
              <w:t>/</w:t>
            </w:r>
            <w:r>
              <w:rPr>
                <w:rFonts w:ascii="宋体" w:hAnsi="宋体" w:cs="宋体"/>
                <w:spacing w:val="1"/>
                <w:kern w:val="0"/>
                <w:szCs w:val="21"/>
              </w:rPr>
              <w:t>a)</w:t>
            </w:r>
          </w:p>
        </w:tc>
        <w:tc>
          <w:tcPr>
            <w:tcW w:w="659" w:type="dxa"/>
            <w:vMerge w:val="restart"/>
            <w:noWrap w:val="0"/>
            <w:vAlign w:val="center"/>
          </w:tcPr>
          <w:p w14:paraId="3F22D994">
            <w:pPr>
              <w:adjustRightInd w:val="0"/>
              <w:snapToGrid w:val="0"/>
              <w:jc w:val="center"/>
              <w:rPr>
                <w:rFonts w:ascii="宋体" w:hAnsi="宋体" w:cs="宋体"/>
                <w:spacing w:val="1"/>
                <w:kern w:val="0"/>
                <w:szCs w:val="21"/>
              </w:rPr>
            </w:pPr>
            <w:r>
              <w:rPr>
                <w:rFonts w:hint="eastAsia" w:ascii="宋体" w:hAnsi="宋体" w:cs="宋体"/>
                <w:spacing w:val="1"/>
                <w:kern w:val="0"/>
                <w:szCs w:val="21"/>
              </w:rPr>
              <w:t>服务</w:t>
            </w:r>
          </w:p>
          <w:p w14:paraId="1FFD1F9C">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年限</w:t>
            </w:r>
          </w:p>
          <w:p w14:paraId="1EC552ED">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(a)</w:t>
            </w:r>
          </w:p>
        </w:tc>
        <w:tc>
          <w:tcPr>
            <w:tcW w:w="4707" w:type="dxa"/>
            <w:gridSpan w:val="9"/>
            <w:noWrap w:val="0"/>
            <w:vAlign w:val="center"/>
          </w:tcPr>
          <w:p w14:paraId="242A109F">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接续计划（年）</w:t>
            </w:r>
          </w:p>
        </w:tc>
      </w:tr>
      <w:tr w14:paraId="0B20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vMerge w:val="continue"/>
            <w:noWrap w:val="0"/>
            <w:vAlign w:val="center"/>
          </w:tcPr>
          <w:p w14:paraId="58514E76">
            <w:pPr>
              <w:jc w:val="center"/>
              <w:rPr>
                <w:rFonts w:hint="eastAsia" w:ascii="宋体" w:hAnsi="宋体"/>
                <w:szCs w:val="21"/>
              </w:rPr>
            </w:pPr>
          </w:p>
        </w:tc>
        <w:tc>
          <w:tcPr>
            <w:tcW w:w="446" w:type="dxa"/>
            <w:vMerge w:val="continue"/>
            <w:noWrap w:val="0"/>
            <w:vAlign w:val="center"/>
          </w:tcPr>
          <w:p w14:paraId="0648AE7D">
            <w:pPr>
              <w:adjustRightInd w:val="0"/>
              <w:snapToGrid w:val="0"/>
              <w:jc w:val="center"/>
              <w:rPr>
                <w:rFonts w:hint="eastAsia" w:ascii="宋体" w:hAnsi="宋体" w:cs="宋体"/>
                <w:spacing w:val="1"/>
                <w:kern w:val="0"/>
                <w:szCs w:val="21"/>
              </w:rPr>
            </w:pPr>
          </w:p>
        </w:tc>
        <w:tc>
          <w:tcPr>
            <w:tcW w:w="816" w:type="dxa"/>
            <w:vMerge w:val="continue"/>
            <w:noWrap w:val="0"/>
            <w:vAlign w:val="center"/>
          </w:tcPr>
          <w:p w14:paraId="427584A8">
            <w:pPr>
              <w:jc w:val="center"/>
              <w:rPr>
                <w:rFonts w:hint="eastAsia" w:ascii="宋体" w:hAnsi="宋体" w:cs="宋体"/>
                <w:spacing w:val="1"/>
                <w:kern w:val="0"/>
                <w:szCs w:val="21"/>
              </w:rPr>
            </w:pPr>
          </w:p>
        </w:tc>
        <w:tc>
          <w:tcPr>
            <w:tcW w:w="894" w:type="dxa"/>
            <w:vMerge w:val="continue"/>
            <w:noWrap w:val="0"/>
            <w:vAlign w:val="center"/>
          </w:tcPr>
          <w:p w14:paraId="7A5B2C1C">
            <w:pPr>
              <w:adjustRightInd w:val="0"/>
              <w:snapToGrid w:val="0"/>
              <w:jc w:val="center"/>
              <w:rPr>
                <w:rFonts w:hint="eastAsia" w:ascii="宋体" w:hAnsi="宋体" w:cs="宋体"/>
                <w:spacing w:val="1"/>
                <w:kern w:val="0"/>
                <w:szCs w:val="21"/>
              </w:rPr>
            </w:pPr>
          </w:p>
        </w:tc>
        <w:tc>
          <w:tcPr>
            <w:tcW w:w="1011" w:type="dxa"/>
            <w:vMerge w:val="continue"/>
            <w:noWrap w:val="0"/>
            <w:vAlign w:val="center"/>
          </w:tcPr>
          <w:p w14:paraId="54E1036A">
            <w:pPr>
              <w:adjustRightInd w:val="0"/>
              <w:snapToGrid w:val="0"/>
              <w:jc w:val="center"/>
              <w:rPr>
                <w:rFonts w:hint="eastAsia" w:ascii="宋体" w:hAnsi="宋体" w:cs="宋体"/>
                <w:spacing w:val="1"/>
                <w:kern w:val="0"/>
                <w:szCs w:val="21"/>
              </w:rPr>
            </w:pPr>
          </w:p>
        </w:tc>
        <w:tc>
          <w:tcPr>
            <w:tcW w:w="659" w:type="dxa"/>
            <w:vMerge w:val="continue"/>
            <w:noWrap w:val="0"/>
            <w:vAlign w:val="center"/>
          </w:tcPr>
          <w:p w14:paraId="170FFDA5">
            <w:pPr>
              <w:adjustRightInd w:val="0"/>
              <w:snapToGrid w:val="0"/>
              <w:jc w:val="center"/>
              <w:rPr>
                <w:rFonts w:hint="eastAsia" w:ascii="宋体" w:hAnsi="宋体" w:cs="宋体"/>
                <w:spacing w:val="1"/>
                <w:kern w:val="0"/>
                <w:szCs w:val="21"/>
              </w:rPr>
            </w:pPr>
          </w:p>
        </w:tc>
        <w:tc>
          <w:tcPr>
            <w:tcW w:w="556" w:type="dxa"/>
            <w:noWrap w:val="0"/>
            <w:vAlign w:val="center"/>
          </w:tcPr>
          <w:p w14:paraId="231FCDA9">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2</w:t>
            </w:r>
          </w:p>
        </w:tc>
        <w:tc>
          <w:tcPr>
            <w:tcW w:w="459" w:type="dxa"/>
            <w:noWrap w:val="0"/>
            <w:vAlign w:val="center"/>
          </w:tcPr>
          <w:p w14:paraId="15441AE4">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4</w:t>
            </w:r>
          </w:p>
        </w:tc>
        <w:tc>
          <w:tcPr>
            <w:tcW w:w="459" w:type="dxa"/>
            <w:noWrap w:val="0"/>
            <w:vAlign w:val="center"/>
          </w:tcPr>
          <w:p w14:paraId="019280F1">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6</w:t>
            </w:r>
          </w:p>
        </w:tc>
        <w:tc>
          <w:tcPr>
            <w:tcW w:w="451" w:type="dxa"/>
            <w:noWrap w:val="0"/>
            <w:vAlign w:val="center"/>
          </w:tcPr>
          <w:p w14:paraId="4560ABC3">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8</w:t>
            </w:r>
          </w:p>
        </w:tc>
        <w:tc>
          <w:tcPr>
            <w:tcW w:w="556" w:type="dxa"/>
            <w:noWrap w:val="0"/>
            <w:vAlign w:val="center"/>
          </w:tcPr>
          <w:p w14:paraId="09CFA29A">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10</w:t>
            </w:r>
          </w:p>
        </w:tc>
        <w:tc>
          <w:tcPr>
            <w:tcW w:w="556" w:type="dxa"/>
            <w:noWrap w:val="0"/>
            <w:vAlign w:val="center"/>
          </w:tcPr>
          <w:p w14:paraId="4550F61A">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12</w:t>
            </w:r>
          </w:p>
        </w:tc>
        <w:tc>
          <w:tcPr>
            <w:tcW w:w="556" w:type="dxa"/>
            <w:noWrap w:val="0"/>
            <w:vAlign w:val="center"/>
          </w:tcPr>
          <w:p w14:paraId="44759B97">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14</w:t>
            </w:r>
          </w:p>
        </w:tc>
        <w:tc>
          <w:tcPr>
            <w:tcW w:w="556" w:type="dxa"/>
            <w:noWrap w:val="0"/>
            <w:vAlign w:val="center"/>
          </w:tcPr>
          <w:p w14:paraId="161AA9C9">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16</w:t>
            </w:r>
          </w:p>
        </w:tc>
        <w:tc>
          <w:tcPr>
            <w:tcW w:w="558" w:type="dxa"/>
            <w:noWrap w:val="0"/>
            <w:vAlign w:val="center"/>
          </w:tcPr>
          <w:p w14:paraId="125AE9CF">
            <w:pPr>
              <w:adjustRightInd w:val="0"/>
              <w:snapToGrid w:val="0"/>
              <w:jc w:val="center"/>
              <w:rPr>
                <w:rFonts w:hint="eastAsia" w:ascii="宋体" w:hAnsi="宋体" w:cs="宋体"/>
                <w:spacing w:val="1"/>
                <w:kern w:val="0"/>
                <w:szCs w:val="21"/>
              </w:rPr>
            </w:pPr>
            <w:r>
              <w:rPr>
                <w:rFonts w:hint="eastAsia" w:ascii="宋体" w:hAnsi="宋体" w:cs="宋体"/>
                <w:spacing w:val="1"/>
                <w:kern w:val="0"/>
                <w:szCs w:val="21"/>
              </w:rPr>
              <w:t>18</w:t>
            </w:r>
          </w:p>
        </w:tc>
      </w:tr>
      <w:tr w14:paraId="07AB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noWrap w:val="0"/>
            <w:vAlign w:val="center"/>
          </w:tcPr>
          <w:p w14:paraId="30250565">
            <w:pPr>
              <w:jc w:val="center"/>
              <w:rPr>
                <w:rFonts w:hint="eastAsia" w:ascii="宋体" w:hAnsi="宋体"/>
                <w:szCs w:val="21"/>
              </w:rPr>
            </w:pPr>
            <w:r>
              <w:rPr>
                <w:rFonts w:hint="eastAsia" w:ascii="宋体" w:hAnsi="宋体"/>
                <w:szCs w:val="21"/>
              </w:rPr>
              <w:t>一</w:t>
            </w:r>
          </w:p>
        </w:tc>
        <w:tc>
          <w:tcPr>
            <w:tcW w:w="446" w:type="dxa"/>
            <w:noWrap w:val="0"/>
            <w:vAlign w:val="center"/>
          </w:tcPr>
          <w:p w14:paraId="7D5C4D9A">
            <w:pPr>
              <w:jc w:val="center"/>
              <w:rPr>
                <w:rFonts w:hint="eastAsia" w:ascii="宋体" w:hAnsi="宋体"/>
                <w:szCs w:val="21"/>
              </w:rPr>
            </w:pPr>
          </w:p>
        </w:tc>
        <w:tc>
          <w:tcPr>
            <w:tcW w:w="816" w:type="dxa"/>
            <w:noWrap w:val="0"/>
            <w:vAlign w:val="center"/>
          </w:tcPr>
          <w:p w14:paraId="22F3D732">
            <w:pPr>
              <w:jc w:val="center"/>
              <w:rPr>
                <w:rFonts w:hint="eastAsia" w:ascii="宋体" w:hAnsi="宋体"/>
                <w:szCs w:val="21"/>
              </w:rPr>
            </w:pPr>
            <w:r>
              <w:rPr>
                <w:rFonts w:hint="eastAsia" w:ascii="宋体" w:hAnsi="宋体"/>
                <w:szCs w:val="21"/>
              </w:rPr>
              <w:t>154.3</w:t>
            </w:r>
          </w:p>
        </w:tc>
        <w:tc>
          <w:tcPr>
            <w:tcW w:w="894" w:type="dxa"/>
            <w:noWrap w:val="0"/>
            <w:vAlign w:val="center"/>
          </w:tcPr>
          <w:p w14:paraId="4F7092CB">
            <w:pPr>
              <w:jc w:val="center"/>
              <w:rPr>
                <w:rFonts w:hint="eastAsia" w:ascii="宋体" w:hAnsi="宋体"/>
                <w:szCs w:val="21"/>
              </w:rPr>
            </w:pPr>
            <w:r>
              <w:rPr>
                <w:rFonts w:hint="eastAsia" w:ascii="宋体" w:hAnsi="宋体"/>
                <w:szCs w:val="21"/>
              </w:rPr>
              <w:t>88.2</w:t>
            </w:r>
          </w:p>
        </w:tc>
        <w:tc>
          <w:tcPr>
            <w:tcW w:w="1011" w:type="dxa"/>
            <w:noWrap w:val="0"/>
            <w:vAlign w:val="center"/>
          </w:tcPr>
          <w:p w14:paraId="35BAEC3D">
            <w:pPr>
              <w:jc w:val="center"/>
              <w:rPr>
                <w:rFonts w:hint="eastAsia" w:ascii="宋体" w:hAnsi="宋体"/>
                <w:szCs w:val="21"/>
              </w:rPr>
            </w:pPr>
            <w:r>
              <w:rPr>
                <w:rFonts w:hint="eastAsia" w:ascii="宋体" w:hAnsi="宋体"/>
                <w:szCs w:val="21"/>
              </w:rPr>
              <w:t>30</w:t>
            </w:r>
          </w:p>
        </w:tc>
        <w:tc>
          <w:tcPr>
            <w:tcW w:w="659" w:type="dxa"/>
            <w:noWrap w:val="0"/>
            <w:vAlign w:val="center"/>
          </w:tcPr>
          <w:p w14:paraId="2603BFE0">
            <w:pPr>
              <w:jc w:val="center"/>
              <w:rPr>
                <w:rFonts w:hint="eastAsia" w:ascii="宋体" w:hAnsi="宋体"/>
                <w:szCs w:val="21"/>
              </w:rPr>
            </w:pPr>
            <w:r>
              <w:rPr>
                <w:rFonts w:hint="eastAsia" w:ascii="宋体" w:hAnsi="宋体" w:cs="宋体"/>
                <w:spacing w:val="1"/>
                <w:kern w:val="0"/>
                <w:szCs w:val="21"/>
                <w:lang/>
              </w:rPr>
              <mc:AlternateContent>
                <mc:Choice Requires="wps">
                  <w:drawing>
                    <wp:anchor distT="0" distB="0" distL="114300" distR="114300" simplePos="0" relativeHeight="251664384" behindDoc="0" locked="0" layoutInCell="1" allowOverlap="1">
                      <wp:simplePos x="0" y="0"/>
                      <wp:positionH relativeFrom="column">
                        <wp:posOffset>351155</wp:posOffset>
                      </wp:positionH>
                      <wp:positionV relativeFrom="paragraph">
                        <wp:posOffset>116840</wp:posOffset>
                      </wp:positionV>
                      <wp:extent cx="226060" cy="0"/>
                      <wp:effectExtent l="0" t="13970" r="2540" b="24130"/>
                      <wp:wrapNone/>
                      <wp:docPr id="6" name="直线 628"/>
                      <wp:cNvGraphicFramePr/>
                      <a:graphic xmlns:a="http://schemas.openxmlformats.org/drawingml/2006/main">
                        <a:graphicData uri="http://schemas.microsoft.com/office/word/2010/wordprocessingShape">
                          <wps:wsp>
                            <wps:cNvSpPr/>
                            <wps:spPr>
                              <a:xfrm flipV="1">
                                <a:off x="0" y="0"/>
                                <a:ext cx="22606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628" o:spid="_x0000_s1026" o:spt="20" style="position:absolute;left:0pt;flip:y;margin-left:27.65pt;margin-top:9.2pt;height:0pt;width:17.8pt;z-index:251664384;mso-width-relative:page;mso-height-relative:page;" filled="f" stroked="t" coordsize="21600,21600" o:gfxdata="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L&#10;K0iQ1AAAAAcBAAAPAAAAAAAAAAEAIAAAACIAAABkcnMvZG93bnJldi54bWxQSwECFAAUAAAACACH&#10;TuJAwKRXRu8BAADnAwAADgAAAAAAAAABACAAAAAjAQAAZHJzL2Uyb0RvYy54bWxQSwUGAAAAAAYA&#10;BgBZAQAAhAUAAAAA&#10;">
                      <v:fill on="f" focussize="0,0"/>
                      <v:stroke weight="2.25pt" color="#000000" joinstyle="round"/>
                      <v:imagedata o:title=""/>
                      <o:lock v:ext="edit" aspectratio="f"/>
                    </v:line>
                  </w:pict>
                </mc:Fallback>
              </mc:AlternateContent>
            </w:r>
            <w:r>
              <w:rPr>
                <w:rFonts w:hint="eastAsia" w:ascii="宋体" w:hAnsi="宋体"/>
                <w:szCs w:val="21"/>
              </w:rPr>
              <w:t>2.1</w:t>
            </w:r>
          </w:p>
        </w:tc>
        <w:tc>
          <w:tcPr>
            <w:tcW w:w="556" w:type="dxa"/>
            <w:noWrap w:val="0"/>
            <w:vAlign w:val="center"/>
          </w:tcPr>
          <w:p w14:paraId="410732EC">
            <w:pPr>
              <w:jc w:val="center"/>
              <w:rPr>
                <w:rFonts w:hint="eastAsia" w:ascii="宋体" w:hAnsi="宋体"/>
                <w:szCs w:val="21"/>
              </w:rPr>
            </w:pPr>
          </w:p>
        </w:tc>
        <w:tc>
          <w:tcPr>
            <w:tcW w:w="459" w:type="dxa"/>
            <w:noWrap w:val="0"/>
            <w:vAlign w:val="center"/>
          </w:tcPr>
          <w:p w14:paraId="46861F30">
            <w:pPr>
              <w:jc w:val="center"/>
              <w:rPr>
                <w:rFonts w:hint="eastAsia" w:ascii="宋体" w:hAnsi="宋体"/>
                <w:szCs w:val="21"/>
              </w:rPr>
            </w:pPr>
          </w:p>
        </w:tc>
        <w:tc>
          <w:tcPr>
            <w:tcW w:w="459" w:type="dxa"/>
            <w:noWrap w:val="0"/>
            <w:vAlign w:val="center"/>
          </w:tcPr>
          <w:p w14:paraId="0EBA76CC">
            <w:pPr>
              <w:jc w:val="center"/>
              <w:rPr>
                <w:rFonts w:hint="eastAsia" w:ascii="宋体" w:hAnsi="宋体"/>
                <w:szCs w:val="21"/>
              </w:rPr>
            </w:pPr>
          </w:p>
        </w:tc>
        <w:tc>
          <w:tcPr>
            <w:tcW w:w="451" w:type="dxa"/>
            <w:noWrap w:val="0"/>
            <w:vAlign w:val="center"/>
          </w:tcPr>
          <w:p w14:paraId="0D5D8131">
            <w:pPr>
              <w:jc w:val="center"/>
              <w:rPr>
                <w:rFonts w:hint="eastAsia" w:ascii="宋体" w:hAnsi="宋体"/>
                <w:szCs w:val="21"/>
              </w:rPr>
            </w:pPr>
          </w:p>
        </w:tc>
        <w:tc>
          <w:tcPr>
            <w:tcW w:w="556" w:type="dxa"/>
            <w:noWrap w:val="0"/>
            <w:vAlign w:val="center"/>
          </w:tcPr>
          <w:p w14:paraId="60933CE0">
            <w:pPr>
              <w:jc w:val="center"/>
              <w:rPr>
                <w:rFonts w:hint="eastAsia" w:ascii="宋体" w:hAnsi="宋体"/>
                <w:szCs w:val="21"/>
              </w:rPr>
            </w:pPr>
          </w:p>
        </w:tc>
        <w:tc>
          <w:tcPr>
            <w:tcW w:w="556" w:type="dxa"/>
            <w:noWrap w:val="0"/>
            <w:vAlign w:val="center"/>
          </w:tcPr>
          <w:p w14:paraId="1C6CCA0F">
            <w:pPr>
              <w:jc w:val="center"/>
              <w:rPr>
                <w:rFonts w:hint="eastAsia" w:ascii="宋体" w:hAnsi="宋体"/>
                <w:szCs w:val="21"/>
              </w:rPr>
            </w:pPr>
          </w:p>
        </w:tc>
        <w:tc>
          <w:tcPr>
            <w:tcW w:w="556" w:type="dxa"/>
            <w:noWrap w:val="0"/>
            <w:vAlign w:val="center"/>
          </w:tcPr>
          <w:p w14:paraId="641F6CF7">
            <w:pPr>
              <w:jc w:val="center"/>
              <w:rPr>
                <w:rFonts w:hint="eastAsia" w:ascii="宋体" w:hAnsi="宋体"/>
                <w:szCs w:val="21"/>
              </w:rPr>
            </w:pPr>
          </w:p>
        </w:tc>
        <w:tc>
          <w:tcPr>
            <w:tcW w:w="556" w:type="dxa"/>
            <w:noWrap w:val="0"/>
            <w:vAlign w:val="center"/>
          </w:tcPr>
          <w:p w14:paraId="44D0DAB3">
            <w:pPr>
              <w:jc w:val="center"/>
              <w:rPr>
                <w:rFonts w:hint="eastAsia" w:ascii="宋体" w:hAnsi="宋体"/>
                <w:szCs w:val="21"/>
              </w:rPr>
            </w:pPr>
          </w:p>
        </w:tc>
        <w:tc>
          <w:tcPr>
            <w:tcW w:w="558" w:type="dxa"/>
            <w:noWrap w:val="0"/>
            <w:vAlign w:val="center"/>
          </w:tcPr>
          <w:p w14:paraId="485DAABF">
            <w:pPr>
              <w:jc w:val="center"/>
              <w:rPr>
                <w:rFonts w:hint="eastAsia" w:ascii="宋体" w:hAnsi="宋体"/>
                <w:szCs w:val="21"/>
              </w:rPr>
            </w:pPr>
          </w:p>
        </w:tc>
      </w:tr>
      <w:tr w14:paraId="16AF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noWrap w:val="0"/>
            <w:vAlign w:val="center"/>
          </w:tcPr>
          <w:p w14:paraId="4669BD8B">
            <w:pPr>
              <w:jc w:val="center"/>
              <w:rPr>
                <w:rFonts w:hint="eastAsia" w:ascii="宋体" w:hAnsi="宋体"/>
                <w:szCs w:val="21"/>
              </w:rPr>
            </w:pPr>
            <w:r>
              <w:rPr>
                <w:rFonts w:hint="eastAsia" w:ascii="宋体" w:hAnsi="宋体"/>
                <w:szCs w:val="21"/>
              </w:rPr>
              <w:t>二</w:t>
            </w:r>
          </w:p>
        </w:tc>
        <w:tc>
          <w:tcPr>
            <w:tcW w:w="446" w:type="dxa"/>
            <w:noWrap w:val="0"/>
            <w:vAlign w:val="center"/>
          </w:tcPr>
          <w:p w14:paraId="331F20E0">
            <w:pPr>
              <w:jc w:val="center"/>
              <w:rPr>
                <w:rFonts w:hint="eastAsia" w:ascii="宋体" w:hAnsi="宋体"/>
                <w:szCs w:val="21"/>
              </w:rPr>
            </w:pPr>
          </w:p>
        </w:tc>
        <w:tc>
          <w:tcPr>
            <w:tcW w:w="816" w:type="dxa"/>
            <w:noWrap w:val="0"/>
            <w:vAlign w:val="center"/>
          </w:tcPr>
          <w:p w14:paraId="4FE4FA92">
            <w:pPr>
              <w:jc w:val="center"/>
              <w:rPr>
                <w:rFonts w:hint="eastAsia" w:ascii="宋体" w:hAnsi="宋体"/>
                <w:szCs w:val="21"/>
              </w:rPr>
            </w:pPr>
            <w:r>
              <w:rPr>
                <w:rFonts w:hint="eastAsia" w:ascii="宋体" w:hAnsi="宋体"/>
                <w:szCs w:val="21"/>
              </w:rPr>
              <w:t>212.1</w:t>
            </w:r>
          </w:p>
        </w:tc>
        <w:tc>
          <w:tcPr>
            <w:tcW w:w="894" w:type="dxa"/>
            <w:noWrap w:val="0"/>
            <w:vAlign w:val="center"/>
          </w:tcPr>
          <w:p w14:paraId="2349EACC">
            <w:pPr>
              <w:jc w:val="center"/>
              <w:rPr>
                <w:rFonts w:hint="eastAsia" w:ascii="宋体" w:hAnsi="宋体"/>
                <w:szCs w:val="21"/>
              </w:rPr>
            </w:pPr>
            <w:r>
              <w:rPr>
                <w:rFonts w:hint="eastAsia" w:ascii="宋体" w:hAnsi="宋体"/>
                <w:szCs w:val="21"/>
              </w:rPr>
              <w:t>126</w:t>
            </w:r>
          </w:p>
        </w:tc>
        <w:tc>
          <w:tcPr>
            <w:tcW w:w="1011" w:type="dxa"/>
            <w:noWrap w:val="0"/>
            <w:vAlign w:val="center"/>
          </w:tcPr>
          <w:p w14:paraId="40E97414">
            <w:pPr>
              <w:jc w:val="center"/>
              <w:rPr>
                <w:rFonts w:hint="eastAsia" w:ascii="宋体" w:hAnsi="宋体"/>
                <w:szCs w:val="21"/>
              </w:rPr>
            </w:pPr>
            <w:r>
              <w:rPr>
                <w:rFonts w:hint="eastAsia" w:ascii="宋体" w:hAnsi="宋体"/>
                <w:szCs w:val="21"/>
              </w:rPr>
              <w:t>30</w:t>
            </w:r>
          </w:p>
        </w:tc>
        <w:tc>
          <w:tcPr>
            <w:tcW w:w="659" w:type="dxa"/>
            <w:noWrap w:val="0"/>
            <w:vAlign w:val="center"/>
          </w:tcPr>
          <w:p w14:paraId="2ABF06C2">
            <w:pPr>
              <w:jc w:val="center"/>
              <w:rPr>
                <w:rFonts w:hint="eastAsia" w:ascii="宋体" w:hAnsi="宋体"/>
                <w:szCs w:val="21"/>
              </w:rPr>
            </w:pPr>
            <w:r>
              <w:rPr>
                <w:rFonts w:hint="eastAsia" w:ascii="宋体" w:hAnsi="宋体"/>
                <w:szCs w:val="21"/>
              </w:rPr>
              <w:t>3</w:t>
            </w:r>
          </w:p>
        </w:tc>
        <w:tc>
          <w:tcPr>
            <w:tcW w:w="556" w:type="dxa"/>
            <w:noWrap w:val="0"/>
            <w:vAlign w:val="center"/>
          </w:tcPr>
          <w:p w14:paraId="72C69BB8">
            <w:pPr>
              <w:jc w:val="center"/>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1665408" behindDoc="0" locked="0" layoutInCell="1" allowOverlap="1">
                      <wp:simplePos x="0" y="0"/>
                      <wp:positionH relativeFrom="column">
                        <wp:posOffset>194310</wp:posOffset>
                      </wp:positionH>
                      <wp:positionV relativeFrom="paragraph">
                        <wp:posOffset>133350</wp:posOffset>
                      </wp:positionV>
                      <wp:extent cx="426720" cy="0"/>
                      <wp:effectExtent l="0" t="13970" r="11430" b="24130"/>
                      <wp:wrapNone/>
                      <wp:docPr id="7" name="直线 630"/>
                      <wp:cNvGraphicFramePr/>
                      <a:graphic xmlns:a="http://schemas.openxmlformats.org/drawingml/2006/main">
                        <a:graphicData uri="http://schemas.microsoft.com/office/word/2010/wordprocessingShape">
                          <wps:wsp>
                            <wps:cNvSpPr/>
                            <wps:spPr>
                              <a:xfrm>
                                <a:off x="0" y="0"/>
                                <a:ext cx="42672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630" o:spid="_x0000_s1026" o:spt="20" style="position:absolute;left:0pt;margin-left:15.3pt;margin-top:10.5pt;height:0pt;width:33.6pt;z-index:251665408;mso-width-relative:page;mso-height-relative:page;" filled="f" stroked="t" coordsize="21600,21600" o:gfxdata="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DZnrHUAAAA&#10;BwEAAA8AAAAAAAAAAQAgAAAAIgAAAGRycy9kb3ducmV2LnhtbFBLAQIUABQAAAAIAIdO4kAbC3Wy&#10;6AEAAN0DAAAOAAAAAAAAAAEAIAAAACMBAABkcnMvZTJvRG9jLnhtbFBLBQYAAAAABgAGAFkBAAB9&#10;BQAAAAA=&#10;">
                      <v:fill on="f" focussize="0,0"/>
                      <v:stroke weight="2.25pt" color="#000000" joinstyle="round"/>
                      <v:imagedata o:title=""/>
                      <o:lock v:ext="edit" aspectratio="f"/>
                    </v:line>
                  </w:pict>
                </mc:Fallback>
              </mc:AlternateContent>
            </w:r>
          </w:p>
        </w:tc>
        <w:tc>
          <w:tcPr>
            <w:tcW w:w="459" w:type="dxa"/>
            <w:noWrap w:val="0"/>
            <w:vAlign w:val="center"/>
          </w:tcPr>
          <w:p w14:paraId="237EA653">
            <w:pPr>
              <w:jc w:val="center"/>
              <w:rPr>
                <w:rFonts w:hint="eastAsia" w:ascii="宋体" w:hAnsi="宋体"/>
                <w:szCs w:val="21"/>
              </w:rPr>
            </w:pPr>
          </w:p>
        </w:tc>
        <w:tc>
          <w:tcPr>
            <w:tcW w:w="459" w:type="dxa"/>
            <w:noWrap w:val="0"/>
            <w:vAlign w:val="center"/>
          </w:tcPr>
          <w:p w14:paraId="78474295">
            <w:pPr>
              <w:jc w:val="center"/>
              <w:rPr>
                <w:rFonts w:hint="eastAsia" w:ascii="宋体" w:hAnsi="宋体"/>
                <w:szCs w:val="21"/>
              </w:rPr>
            </w:pPr>
          </w:p>
        </w:tc>
        <w:tc>
          <w:tcPr>
            <w:tcW w:w="451" w:type="dxa"/>
            <w:noWrap w:val="0"/>
            <w:vAlign w:val="center"/>
          </w:tcPr>
          <w:p w14:paraId="10CAB41A">
            <w:pPr>
              <w:jc w:val="center"/>
              <w:rPr>
                <w:rFonts w:hint="eastAsia" w:ascii="宋体" w:hAnsi="宋体"/>
                <w:szCs w:val="21"/>
              </w:rPr>
            </w:pPr>
          </w:p>
        </w:tc>
        <w:tc>
          <w:tcPr>
            <w:tcW w:w="556" w:type="dxa"/>
            <w:noWrap w:val="0"/>
            <w:vAlign w:val="center"/>
          </w:tcPr>
          <w:p w14:paraId="177CE060">
            <w:pPr>
              <w:jc w:val="center"/>
              <w:rPr>
                <w:rFonts w:hint="eastAsia" w:ascii="宋体" w:hAnsi="宋体"/>
                <w:szCs w:val="21"/>
              </w:rPr>
            </w:pPr>
          </w:p>
        </w:tc>
        <w:tc>
          <w:tcPr>
            <w:tcW w:w="556" w:type="dxa"/>
            <w:noWrap w:val="0"/>
            <w:vAlign w:val="center"/>
          </w:tcPr>
          <w:p w14:paraId="2D613ACC">
            <w:pPr>
              <w:jc w:val="center"/>
              <w:rPr>
                <w:rFonts w:hint="eastAsia" w:ascii="宋体" w:hAnsi="宋体"/>
                <w:szCs w:val="21"/>
              </w:rPr>
            </w:pPr>
          </w:p>
        </w:tc>
        <w:tc>
          <w:tcPr>
            <w:tcW w:w="556" w:type="dxa"/>
            <w:noWrap w:val="0"/>
            <w:vAlign w:val="center"/>
          </w:tcPr>
          <w:p w14:paraId="1C6AC6C4">
            <w:pPr>
              <w:jc w:val="center"/>
              <w:rPr>
                <w:rFonts w:hint="eastAsia" w:ascii="宋体" w:hAnsi="宋体"/>
                <w:szCs w:val="21"/>
              </w:rPr>
            </w:pPr>
          </w:p>
        </w:tc>
        <w:tc>
          <w:tcPr>
            <w:tcW w:w="556" w:type="dxa"/>
            <w:noWrap w:val="0"/>
            <w:vAlign w:val="center"/>
          </w:tcPr>
          <w:p w14:paraId="38EFB5AD">
            <w:pPr>
              <w:jc w:val="center"/>
              <w:rPr>
                <w:rFonts w:hint="eastAsia" w:ascii="宋体" w:hAnsi="宋体"/>
                <w:szCs w:val="21"/>
              </w:rPr>
            </w:pPr>
          </w:p>
        </w:tc>
        <w:tc>
          <w:tcPr>
            <w:tcW w:w="558" w:type="dxa"/>
            <w:noWrap w:val="0"/>
            <w:vAlign w:val="center"/>
          </w:tcPr>
          <w:p w14:paraId="14421890">
            <w:pPr>
              <w:jc w:val="center"/>
              <w:rPr>
                <w:rFonts w:hint="eastAsia" w:ascii="宋体" w:hAnsi="宋体"/>
                <w:szCs w:val="21"/>
              </w:rPr>
            </w:pPr>
          </w:p>
        </w:tc>
      </w:tr>
      <w:tr w14:paraId="58D2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noWrap w:val="0"/>
            <w:vAlign w:val="center"/>
          </w:tcPr>
          <w:p w14:paraId="09AE8F89">
            <w:pPr>
              <w:jc w:val="center"/>
              <w:rPr>
                <w:rFonts w:hint="eastAsia" w:ascii="宋体" w:hAnsi="宋体"/>
                <w:szCs w:val="21"/>
              </w:rPr>
            </w:pPr>
            <w:r>
              <w:rPr>
                <w:rFonts w:hint="eastAsia" w:ascii="宋体" w:hAnsi="宋体"/>
                <w:szCs w:val="21"/>
              </w:rPr>
              <w:t>三</w:t>
            </w:r>
          </w:p>
        </w:tc>
        <w:tc>
          <w:tcPr>
            <w:tcW w:w="446" w:type="dxa"/>
            <w:noWrap w:val="0"/>
            <w:vAlign w:val="center"/>
          </w:tcPr>
          <w:p w14:paraId="4F3DC632">
            <w:pPr>
              <w:jc w:val="center"/>
              <w:rPr>
                <w:rFonts w:hint="eastAsia" w:ascii="宋体" w:hAnsi="宋体"/>
                <w:szCs w:val="21"/>
              </w:rPr>
            </w:pPr>
          </w:p>
        </w:tc>
        <w:tc>
          <w:tcPr>
            <w:tcW w:w="816" w:type="dxa"/>
            <w:noWrap w:val="0"/>
            <w:vAlign w:val="center"/>
          </w:tcPr>
          <w:p w14:paraId="3A582A1F">
            <w:pPr>
              <w:jc w:val="center"/>
              <w:rPr>
                <w:rFonts w:hint="eastAsia" w:ascii="宋体" w:hAnsi="宋体"/>
                <w:szCs w:val="21"/>
              </w:rPr>
            </w:pPr>
            <w:r>
              <w:rPr>
                <w:rFonts w:hint="eastAsia" w:ascii="宋体" w:hAnsi="宋体"/>
                <w:szCs w:val="21"/>
              </w:rPr>
              <w:t>184.2</w:t>
            </w:r>
          </w:p>
        </w:tc>
        <w:tc>
          <w:tcPr>
            <w:tcW w:w="894" w:type="dxa"/>
            <w:noWrap w:val="0"/>
            <w:vAlign w:val="center"/>
          </w:tcPr>
          <w:p w14:paraId="01E19D4E">
            <w:pPr>
              <w:jc w:val="center"/>
              <w:rPr>
                <w:rFonts w:hint="eastAsia" w:ascii="宋体" w:hAnsi="宋体"/>
                <w:szCs w:val="21"/>
              </w:rPr>
            </w:pPr>
            <w:r>
              <w:rPr>
                <w:rFonts w:hint="eastAsia" w:ascii="宋体" w:hAnsi="宋体"/>
                <w:szCs w:val="21"/>
              </w:rPr>
              <w:t>105</w:t>
            </w:r>
          </w:p>
        </w:tc>
        <w:tc>
          <w:tcPr>
            <w:tcW w:w="1011" w:type="dxa"/>
            <w:noWrap w:val="0"/>
            <w:vAlign w:val="center"/>
          </w:tcPr>
          <w:p w14:paraId="0C7ADBF1">
            <w:pPr>
              <w:jc w:val="center"/>
              <w:rPr>
                <w:rFonts w:hint="eastAsia" w:ascii="宋体" w:hAnsi="宋体"/>
                <w:szCs w:val="21"/>
              </w:rPr>
            </w:pPr>
            <w:r>
              <w:rPr>
                <w:rFonts w:hint="eastAsia" w:ascii="宋体" w:hAnsi="宋体"/>
                <w:szCs w:val="21"/>
              </w:rPr>
              <w:t>30</w:t>
            </w:r>
          </w:p>
        </w:tc>
        <w:tc>
          <w:tcPr>
            <w:tcW w:w="659" w:type="dxa"/>
            <w:noWrap w:val="0"/>
            <w:vAlign w:val="center"/>
          </w:tcPr>
          <w:p w14:paraId="6E84E66B">
            <w:pPr>
              <w:jc w:val="center"/>
              <w:rPr>
                <w:rFonts w:hint="eastAsia" w:ascii="宋体" w:hAnsi="宋体"/>
                <w:szCs w:val="21"/>
              </w:rPr>
            </w:pPr>
            <w:r>
              <w:rPr>
                <w:rFonts w:hint="eastAsia" w:ascii="宋体" w:hAnsi="宋体"/>
                <w:szCs w:val="21"/>
              </w:rPr>
              <w:t>2.5</w:t>
            </w:r>
          </w:p>
        </w:tc>
        <w:tc>
          <w:tcPr>
            <w:tcW w:w="556" w:type="dxa"/>
            <w:noWrap w:val="0"/>
            <w:vAlign w:val="center"/>
          </w:tcPr>
          <w:p w14:paraId="68397189">
            <w:pPr>
              <w:jc w:val="center"/>
              <w:rPr>
                <w:rFonts w:hint="eastAsia" w:ascii="宋体" w:hAnsi="宋体"/>
                <w:szCs w:val="21"/>
              </w:rPr>
            </w:pPr>
          </w:p>
        </w:tc>
        <w:tc>
          <w:tcPr>
            <w:tcW w:w="459" w:type="dxa"/>
            <w:noWrap w:val="0"/>
            <w:vAlign w:val="center"/>
          </w:tcPr>
          <w:p w14:paraId="67F619FB">
            <w:pPr>
              <w:jc w:val="center"/>
              <w:rPr>
                <w:rFonts w:hint="eastAsia" w:ascii="宋体" w:hAnsi="宋体"/>
                <w:szCs w:val="21"/>
              </w:rPr>
            </w:pPr>
          </w:p>
        </w:tc>
        <w:tc>
          <w:tcPr>
            <w:tcW w:w="459" w:type="dxa"/>
            <w:noWrap w:val="0"/>
            <w:vAlign w:val="center"/>
          </w:tcPr>
          <w:p w14:paraId="0A6460AA">
            <w:pPr>
              <w:jc w:val="center"/>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110490</wp:posOffset>
                      </wp:positionV>
                      <wp:extent cx="349250" cy="0"/>
                      <wp:effectExtent l="0" t="13970" r="12700" b="24130"/>
                      <wp:wrapNone/>
                      <wp:docPr id="8" name="直线 631"/>
                      <wp:cNvGraphicFramePr/>
                      <a:graphic xmlns:a="http://schemas.openxmlformats.org/drawingml/2006/main">
                        <a:graphicData uri="http://schemas.microsoft.com/office/word/2010/wordprocessingShape">
                          <wps:wsp>
                            <wps:cNvSpPr/>
                            <wps:spPr>
                              <a:xfrm>
                                <a:off x="0" y="0"/>
                                <a:ext cx="34925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631" o:spid="_x0000_s1026" o:spt="20" style="position:absolute;left:0pt;margin-left:0.55pt;margin-top:8.7pt;height:0pt;width:27.5pt;z-index:251666432;mso-width-relative:page;mso-height-relative:page;" filled="f" stroked="t" coordsize="21600,21600" o:gfxdata="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m1fEb0QAAAAYB&#10;AAAPAAAAAAAAAAEAIAAAACIAAABkcnMvZG93bnJldi54bWxQSwECFAAUAAAACACHTuJARVroDOkB&#10;AADdAwAADgAAAAAAAAABACAAAAAgAQAAZHJzL2Uyb0RvYy54bWxQSwUGAAAAAAYABgBZAQAAewUA&#10;AAAA&#10;">
                      <v:fill on="f" focussize="0,0"/>
                      <v:stroke weight="2.25pt" color="#000000" joinstyle="round"/>
                      <v:imagedata o:title=""/>
                      <o:lock v:ext="edit" aspectratio="f"/>
                    </v:line>
                  </w:pict>
                </mc:Fallback>
              </mc:AlternateContent>
            </w:r>
          </w:p>
        </w:tc>
        <w:tc>
          <w:tcPr>
            <w:tcW w:w="451" w:type="dxa"/>
            <w:noWrap w:val="0"/>
            <w:vAlign w:val="center"/>
          </w:tcPr>
          <w:p w14:paraId="3644D0B9">
            <w:pPr>
              <w:jc w:val="center"/>
              <w:rPr>
                <w:rFonts w:hint="eastAsia" w:ascii="宋体" w:hAnsi="宋体"/>
                <w:szCs w:val="21"/>
              </w:rPr>
            </w:pPr>
          </w:p>
        </w:tc>
        <w:tc>
          <w:tcPr>
            <w:tcW w:w="556" w:type="dxa"/>
            <w:noWrap w:val="0"/>
            <w:vAlign w:val="center"/>
          </w:tcPr>
          <w:p w14:paraId="783C3A2A">
            <w:pPr>
              <w:jc w:val="center"/>
              <w:rPr>
                <w:rFonts w:hint="eastAsia" w:ascii="宋体" w:hAnsi="宋体"/>
                <w:szCs w:val="21"/>
              </w:rPr>
            </w:pPr>
          </w:p>
        </w:tc>
        <w:tc>
          <w:tcPr>
            <w:tcW w:w="556" w:type="dxa"/>
            <w:noWrap w:val="0"/>
            <w:vAlign w:val="center"/>
          </w:tcPr>
          <w:p w14:paraId="350C5A8E">
            <w:pPr>
              <w:jc w:val="center"/>
              <w:rPr>
                <w:rFonts w:hint="eastAsia" w:ascii="宋体" w:hAnsi="宋体"/>
                <w:szCs w:val="21"/>
              </w:rPr>
            </w:pPr>
          </w:p>
        </w:tc>
        <w:tc>
          <w:tcPr>
            <w:tcW w:w="556" w:type="dxa"/>
            <w:noWrap w:val="0"/>
            <w:vAlign w:val="center"/>
          </w:tcPr>
          <w:p w14:paraId="0CD91D3D">
            <w:pPr>
              <w:jc w:val="center"/>
              <w:rPr>
                <w:rFonts w:hint="eastAsia" w:ascii="宋体" w:hAnsi="宋体"/>
                <w:szCs w:val="21"/>
              </w:rPr>
            </w:pPr>
          </w:p>
        </w:tc>
        <w:tc>
          <w:tcPr>
            <w:tcW w:w="556" w:type="dxa"/>
            <w:noWrap w:val="0"/>
            <w:vAlign w:val="center"/>
          </w:tcPr>
          <w:p w14:paraId="5E48939D">
            <w:pPr>
              <w:jc w:val="center"/>
              <w:rPr>
                <w:rFonts w:hint="eastAsia" w:ascii="宋体" w:hAnsi="宋体"/>
                <w:szCs w:val="21"/>
              </w:rPr>
            </w:pPr>
          </w:p>
        </w:tc>
        <w:tc>
          <w:tcPr>
            <w:tcW w:w="558" w:type="dxa"/>
            <w:noWrap w:val="0"/>
            <w:vAlign w:val="center"/>
          </w:tcPr>
          <w:p w14:paraId="722C0314">
            <w:pPr>
              <w:jc w:val="center"/>
              <w:rPr>
                <w:rFonts w:hint="eastAsia" w:ascii="宋体" w:hAnsi="宋体"/>
                <w:szCs w:val="21"/>
              </w:rPr>
            </w:pPr>
          </w:p>
        </w:tc>
      </w:tr>
      <w:tr w14:paraId="3A4A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noWrap w:val="0"/>
            <w:vAlign w:val="center"/>
          </w:tcPr>
          <w:p w14:paraId="1AADC382">
            <w:pPr>
              <w:jc w:val="center"/>
              <w:rPr>
                <w:rFonts w:hint="eastAsia" w:ascii="宋体" w:hAnsi="宋体"/>
                <w:szCs w:val="21"/>
              </w:rPr>
            </w:pPr>
            <w:r>
              <w:rPr>
                <w:rFonts w:hint="eastAsia" w:ascii="宋体" w:hAnsi="宋体"/>
                <w:szCs w:val="21"/>
              </w:rPr>
              <w:t>四</w:t>
            </w:r>
          </w:p>
        </w:tc>
        <w:tc>
          <w:tcPr>
            <w:tcW w:w="446" w:type="dxa"/>
            <w:noWrap w:val="0"/>
            <w:vAlign w:val="center"/>
          </w:tcPr>
          <w:p w14:paraId="39326988">
            <w:pPr>
              <w:jc w:val="center"/>
              <w:rPr>
                <w:rFonts w:hint="eastAsia" w:ascii="宋体" w:hAnsi="宋体"/>
                <w:szCs w:val="21"/>
              </w:rPr>
            </w:pPr>
          </w:p>
        </w:tc>
        <w:tc>
          <w:tcPr>
            <w:tcW w:w="816" w:type="dxa"/>
            <w:noWrap w:val="0"/>
            <w:vAlign w:val="center"/>
          </w:tcPr>
          <w:p w14:paraId="1379F6B8">
            <w:pPr>
              <w:jc w:val="center"/>
              <w:rPr>
                <w:rFonts w:hint="eastAsia" w:ascii="宋体" w:hAnsi="宋体"/>
                <w:szCs w:val="21"/>
              </w:rPr>
            </w:pPr>
            <w:r>
              <w:rPr>
                <w:rFonts w:hint="eastAsia" w:ascii="宋体" w:hAnsi="宋体"/>
                <w:szCs w:val="21"/>
              </w:rPr>
              <w:t>263.1</w:t>
            </w:r>
          </w:p>
        </w:tc>
        <w:tc>
          <w:tcPr>
            <w:tcW w:w="894" w:type="dxa"/>
            <w:noWrap w:val="0"/>
            <w:vAlign w:val="center"/>
          </w:tcPr>
          <w:p w14:paraId="0D1066D2">
            <w:pPr>
              <w:jc w:val="center"/>
              <w:rPr>
                <w:rFonts w:hint="eastAsia" w:ascii="宋体" w:hAnsi="宋体"/>
                <w:szCs w:val="21"/>
              </w:rPr>
            </w:pPr>
            <w:r>
              <w:rPr>
                <w:rFonts w:hint="eastAsia" w:ascii="宋体" w:hAnsi="宋体"/>
                <w:szCs w:val="21"/>
              </w:rPr>
              <w:t>167.7</w:t>
            </w:r>
          </w:p>
        </w:tc>
        <w:tc>
          <w:tcPr>
            <w:tcW w:w="1011" w:type="dxa"/>
            <w:noWrap w:val="0"/>
            <w:vAlign w:val="center"/>
          </w:tcPr>
          <w:p w14:paraId="1247E57F">
            <w:pPr>
              <w:jc w:val="center"/>
              <w:rPr>
                <w:rFonts w:hint="eastAsia" w:ascii="宋体" w:hAnsi="宋体"/>
                <w:szCs w:val="21"/>
              </w:rPr>
            </w:pPr>
            <w:r>
              <w:rPr>
                <w:rFonts w:hint="eastAsia" w:ascii="宋体" w:hAnsi="宋体"/>
                <w:szCs w:val="21"/>
              </w:rPr>
              <w:t>30</w:t>
            </w:r>
          </w:p>
        </w:tc>
        <w:tc>
          <w:tcPr>
            <w:tcW w:w="659" w:type="dxa"/>
            <w:noWrap w:val="0"/>
            <w:vAlign w:val="center"/>
          </w:tcPr>
          <w:p w14:paraId="3D4F0345">
            <w:pPr>
              <w:jc w:val="center"/>
              <w:rPr>
                <w:rFonts w:hint="eastAsia" w:ascii="宋体" w:hAnsi="宋体"/>
                <w:szCs w:val="21"/>
              </w:rPr>
            </w:pPr>
            <w:r>
              <w:rPr>
                <w:rFonts w:hint="eastAsia" w:ascii="宋体" w:hAnsi="宋体"/>
                <w:szCs w:val="21"/>
              </w:rPr>
              <w:t>4</w:t>
            </w:r>
          </w:p>
        </w:tc>
        <w:tc>
          <w:tcPr>
            <w:tcW w:w="556" w:type="dxa"/>
            <w:noWrap w:val="0"/>
            <w:vAlign w:val="center"/>
          </w:tcPr>
          <w:p w14:paraId="49E49227">
            <w:pPr>
              <w:jc w:val="center"/>
              <w:rPr>
                <w:rFonts w:hint="eastAsia" w:ascii="宋体" w:hAnsi="宋体"/>
                <w:szCs w:val="21"/>
              </w:rPr>
            </w:pPr>
          </w:p>
        </w:tc>
        <w:tc>
          <w:tcPr>
            <w:tcW w:w="459" w:type="dxa"/>
            <w:noWrap w:val="0"/>
            <w:vAlign w:val="center"/>
          </w:tcPr>
          <w:p w14:paraId="66127F91">
            <w:pPr>
              <w:jc w:val="center"/>
              <w:rPr>
                <w:rFonts w:hint="eastAsia" w:ascii="宋体" w:hAnsi="宋体"/>
                <w:szCs w:val="21"/>
              </w:rPr>
            </w:pPr>
          </w:p>
        </w:tc>
        <w:tc>
          <w:tcPr>
            <w:tcW w:w="459" w:type="dxa"/>
            <w:noWrap w:val="0"/>
            <w:vAlign w:val="center"/>
          </w:tcPr>
          <w:p w14:paraId="67239173">
            <w:pPr>
              <w:jc w:val="center"/>
              <w:rPr>
                <w:rFonts w:hint="eastAsia" w:ascii="宋体" w:hAnsi="宋体"/>
                <w:szCs w:val="21"/>
              </w:rPr>
            </w:pPr>
          </w:p>
        </w:tc>
        <w:tc>
          <w:tcPr>
            <w:tcW w:w="451" w:type="dxa"/>
            <w:noWrap w:val="0"/>
            <w:vAlign w:val="center"/>
          </w:tcPr>
          <w:p w14:paraId="0C1FB499">
            <w:pPr>
              <w:jc w:val="center"/>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1668480" behindDoc="0" locked="0" layoutInCell="1" allowOverlap="1">
                      <wp:simplePos x="0" y="0"/>
                      <wp:positionH relativeFrom="column">
                        <wp:posOffset>97790</wp:posOffset>
                      </wp:positionH>
                      <wp:positionV relativeFrom="paragraph">
                        <wp:posOffset>127000</wp:posOffset>
                      </wp:positionV>
                      <wp:extent cx="679450" cy="0"/>
                      <wp:effectExtent l="0" t="13970" r="6350" b="24130"/>
                      <wp:wrapNone/>
                      <wp:docPr id="10" name="直线 633"/>
                      <wp:cNvGraphicFramePr/>
                      <a:graphic xmlns:a="http://schemas.openxmlformats.org/drawingml/2006/main">
                        <a:graphicData uri="http://schemas.microsoft.com/office/word/2010/wordprocessingShape">
                          <wps:wsp>
                            <wps:cNvSpPr/>
                            <wps:spPr>
                              <a:xfrm>
                                <a:off x="0" y="0"/>
                                <a:ext cx="67945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633" o:spid="_x0000_s1026" o:spt="20" style="position:absolute;left:0pt;margin-left:7.7pt;margin-top:10pt;height:0pt;width:53.5pt;z-index:251668480;mso-width-relative:page;mso-height-relative:page;" filled="f" stroked="t" coordsize="21600,21600" o:gfxdata="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SOXlNEAAAAI&#10;AQAADwAAAAAAAAABACAAAAAiAAAAZHJzL2Rvd25yZXYueG1sUEsBAhQAFAAAAAgAh07iQPrtQmTq&#10;AQAA3gMAAA4AAAAAAAAAAQAgAAAAIAEAAGRycy9lMm9Eb2MueG1sUEsFBgAAAAAGAAYAWQEAAHwF&#10;AAAAAA==&#10;">
                      <v:fill on="f" focussize="0,0"/>
                      <v:stroke weight="2.25pt" color="#000000" joinstyle="round"/>
                      <v:imagedata o:title=""/>
                      <o:lock v:ext="edit" aspectratio="f"/>
                    </v:line>
                  </w:pict>
                </mc:Fallback>
              </mc:AlternateContent>
            </w:r>
          </w:p>
        </w:tc>
        <w:tc>
          <w:tcPr>
            <w:tcW w:w="556" w:type="dxa"/>
            <w:noWrap w:val="0"/>
            <w:vAlign w:val="center"/>
          </w:tcPr>
          <w:p w14:paraId="0038C7A9">
            <w:pPr>
              <w:jc w:val="center"/>
              <w:rPr>
                <w:rFonts w:hint="eastAsia" w:ascii="宋体" w:hAnsi="宋体"/>
                <w:szCs w:val="21"/>
              </w:rPr>
            </w:pPr>
            <w:r>
              <w:rPr>
                <w:rFonts w:hint="eastAsia" w:ascii="宋体" w:hAnsi="宋体"/>
                <w:szCs w:val="21"/>
                <w:lang/>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127000</wp:posOffset>
                      </wp:positionV>
                      <wp:extent cx="635" cy="0"/>
                      <wp:effectExtent l="0" t="4445" r="0" b="5080"/>
                      <wp:wrapNone/>
                      <wp:docPr id="9" name="直线 632"/>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32" o:spid="_x0000_s1026" o:spt="20" style="position:absolute;left:0pt;margin-left:13.65pt;margin-top:10pt;height:0pt;width:0.05pt;z-index:251667456;mso-width-relative:page;mso-height-relative:page;" filled="f" stroked="t" coordsize="21600,21600" o:gfxdata="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JWrndQAAAAHAQAA&#10;DwAAAAAAAAABACAAAAAiAAAAZHJzL2Rvd25yZXYueG1sUEsBAhQAFAAAAAgAh07iQOp+m+bkAQAA&#10;2QMAAA4AAAAAAAAAAQAgAAAAIwEAAGRycy9lMm9Eb2MueG1sUEsFBgAAAAAGAAYAWQEAAHkFAAAA&#10;AA==&#10;">
                      <v:fill on="f" focussize="0,0"/>
                      <v:stroke color="#000000" joinstyle="round"/>
                      <v:imagedata o:title=""/>
                      <o:lock v:ext="edit" aspectratio="f"/>
                    </v:line>
                  </w:pict>
                </mc:Fallback>
              </mc:AlternateContent>
            </w:r>
          </w:p>
        </w:tc>
        <w:tc>
          <w:tcPr>
            <w:tcW w:w="556" w:type="dxa"/>
            <w:noWrap w:val="0"/>
            <w:vAlign w:val="center"/>
          </w:tcPr>
          <w:p w14:paraId="5B55F6EB">
            <w:pPr>
              <w:jc w:val="center"/>
              <w:rPr>
                <w:rFonts w:hint="eastAsia" w:ascii="宋体" w:hAnsi="宋体"/>
                <w:szCs w:val="21"/>
              </w:rPr>
            </w:pPr>
          </w:p>
        </w:tc>
        <w:tc>
          <w:tcPr>
            <w:tcW w:w="556" w:type="dxa"/>
            <w:noWrap w:val="0"/>
            <w:vAlign w:val="center"/>
          </w:tcPr>
          <w:p w14:paraId="4B8374F8">
            <w:pPr>
              <w:jc w:val="center"/>
              <w:rPr>
                <w:rFonts w:hint="eastAsia" w:ascii="宋体" w:hAnsi="宋体"/>
                <w:szCs w:val="21"/>
              </w:rPr>
            </w:pPr>
          </w:p>
        </w:tc>
        <w:tc>
          <w:tcPr>
            <w:tcW w:w="556" w:type="dxa"/>
            <w:noWrap w:val="0"/>
            <w:vAlign w:val="center"/>
          </w:tcPr>
          <w:p w14:paraId="5D7756B1">
            <w:pPr>
              <w:jc w:val="center"/>
              <w:rPr>
                <w:rFonts w:hint="eastAsia" w:ascii="宋体" w:hAnsi="宋体"/>
                <w:szCs w:val="21"/>
              </w:rPr>
            </w:pPr>
          </w:p>
        </w:tc>
        <w:tc>
          <w:tcPr>
            <w:tcW w:w="558" w:type="dxa"/>
            <w:noWrap w:val="0"/>
            <w:vAlign w:val="center"/>
          </w:tcPr>
          <w:p w14:paraId="10126EF9">
            <w:pPr>
              <w:jc w:val="center"/>
              <w:rPr>
                <w:rFonts w:hint="eastAsia" w:ascii="宋体" w:hAnsi="宋体"/>
                <w:szCs w:val="21"/>
              </w:rPr>
            </w:pPr>
          </w:p>
        </w:tc>
      </w:tr>
      <w:tr w14:paraId="2793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504" w:type="dxa"/>
            <w:noWrap w:val="0"/>
            <w:vAlign w:val="center"/>
          </w:tcPr>
          <w:p w14:paraId="591C8143">
            <w:pPr>
              <w:jc w:val="center"/>
              <w:rPr>
                <w:rFonts w:hint="eastAsia" w:ascii="宋体" w:hAnsi="宋体"/>
                <w:szCs w:val="21"/>
              </w:rPr>
            </w:pPr>
            <w:r>
              <w:rPr>
                <w:rFonts w:hint="eastAsia" w:ascii="宋体" w:hAnsi="宋体"/>
                <w:szCs w:val="21"/>
              </w:rPr>
              <w:t>五</w:t>
            </w:r>
          </w:p>
        </w:tc>
        <w:tc>
          <w:tcPr>
            <w:tcW w:w="446" w:type="dxa"/>
            <w:noWrap w:val="0"/>
            <w:vAlign w:val="center"/>
          </w:tcPr>
          <w:p w14:paraId="1D31602F">
            <w:pPr>
              <w:jc w:val="center"/>
              <w:rPr>
                <w:rFonts w:hint="eastAsia" w:ascii="宋体" w:hAnsi="宋体"/>
                <w:szCs w:val="21"/>
              </w:rPr>
            </w:pPr>
          </w:p>
        </w:tc>
        <w:tc>
          <w:tcPr>
            <w:tcW w:w="816" w:type="dxa"/>
            <w:noWrap w:val="0"/>
            <w:vAlign w:val="center"/>
          </w:tcPr>
          <w:p w14:paraId="05803079">
            <w:pPr>
              <w:jc w:val="center"/>
              <w:rPr>
                <w:rFonts w:hint="eastAsia" w:ascii="宋体" w:hAnsi="宋体"/>
                <w:szCs w:val="21"/>
              </w:rPr>
            </w:pPr>
            <w:r>
              <w:rPr>
                <w:rFonts w:hint="eastAsia" w:ascii="宋体" w:hAnsi="宋体"/>
                <w:szCs w:val="21"/>
              </w:rPr>
              <w:t>433.5</w:t>
            </w:r>
          </w:p>
        </w:tc>
        <w:tc>
          <w:tcPr>
            <w:tcW w:w="894" w:type="dxa"/>
            <w:noWrap w:val="0"/>
            <w:vAlign w:val="center"/>
          </w:tcPr>
          <w:p w14:paraId="2FABF809">
            <w:pPr>
              <w:jc w:val="center"/>
              <w:rPr>
                <w:rFonts w:hint="eastAsia" w:ascii="宋体" w:hAnsi="宋体"/>
                <w:szCs w:val="21"/>
              </w:rPr>
            </w:pPr>
            <w:r>
              <w:rPr>
                <w:rFonts w:hint="eastAsia" w:ascii="宋体" w:hAnsi="宋体"/>
                <w:szCs w:val="21"/>
              </w:rPr>
              <w:t>251</w:t>
            </w:r>
          </w:p>
        </w:tc>
        <w:tc>
          <w:tcPr>
            <w:tcW w:w="1011" w:type="dxa"/>
            <w:noWrap w:val="0"/>
            <w:vAlign w:val="center"/>
          </w:tcPr>
          <w:p w14:paraId="19013A1B">
            <w:pPr>
              <w:jc w:val="center"/>
              <w:rPr>
                <w:rFonts w:hint="eastAsia" w:ascii="宋体" w:hAnsi="宋体"/>
                <w:szCs w:val="21"/>
              </w:rPr>
            </w:pPr>
            <w:r>
              <w:rPr>
                <w:rFonts w:hint="eastAsia" w:ascii="宋体" w:hAnsi="宋体"/>
                <w:szCs w:val="21"/>
              </w:rPr>
              <w:t>30</w:t>
            </w:r>
          </w:p>
        </w:tc>
        <w:tc>
          <w:tcPr>
            <w:tcW w:w="659" w:type="dxa"/>
            <w:noWrap w:val="0"/>
            <w:vAlign w:val="center"/>
          </w:tcPr>
          <w:p w14:paraId="3605BDD9">
            <w:pPr>
              <w:jc w:val="center"/>
              <w:rPr>
                <w:rFonts w:hint="eastAsia" w:ascii="宋体" w:hAnsi="宋体"/>
                <w:szCs w:val="21"/>
              </w:rPr>
            </w:pPr>
            <w:r>
              <w:rPr>
                <w:rFonts w:hint="eastAsia" w:ascii="宋体" w:hAnsi="宋体"/>
                <w:szCs w:val="21"/>
              </w:rPr>
              <w:t>6</w:t>
            </w:r>
          </w:p>
        </w:tc>
        <w:tc>
          <w:tcPr>
            <w:tcW w:w="556" w:type="dxa"/>
            <w:noWrap w:val="0"/>
            <w:vAlign w:val="center"/>
          </w:tcPr>
          <w:p w14:paraId="3F01FCE2">
            <w:pPr>
              <w:jc w:val="center"/>
              <w:rPr>
                <w:rFonts w:hint="eastAsia" w:ascii="宋体" w:hAnsi="宋体"/>
                <w:szCs w:val="21"/>
              </w:rPr>
            </w:pPr>
          </w:p>
        </w:tc>
        <w:tc>
          <w:tcPr>
            <w:tcW w:w="459" w:type="dxa"/>
            <w:noWrap w:val="0"/>
            <w:vAlign w:val="center"/>
          </w:tcPr>
          <w:p w14:paraId="47662D74">
            <w:pPr>
              <w:jc w:val="center"/>
              <w:rPr>
                <w:rFonts w:hint="eastAsia" w:ascii="宋体" w:hAnsi="宋体"/>
                <w:szCs w:val="21"/>
              </w:rPr>
            </w:pPr>
          </w:p>
        </w:tc>
        <w:tc>
          <w:tcPr>
            <w:tcW w:w="459" w:type="dxa"/>
            <w:noWrap w:val="0"/>
            <w:vAlign w:val="center"/>
          </w:tcPr>
          <w:p w14:paraId="634F6C49">
            <w:pPr>
              <w:jc w:val="center"/>
              <w:rPr>
                <w:rFonts w:hint="eastAsia" w:ascii="宋体" w:hAnsi="宋体"/>
                <w:szCs w:val="21"/>
              </w:rPr>
            </w:pPr>
          </w:p>
        </w:tc>
        <w:tc>
          <w:tcPr>
            <w:tcW w:w="451" w:type="dxa"/>
            <w:noWrap w:val="0"/>
            <w:vAlign w:val="center"/>
          </w:tcPr>
          <w:p w14:paraId="57864DEF">
            <w:pPr>
              <w:jc w:val="center"/>
              <w:rPr>
                <w:rFonts w:hint="eastAsia" w:ascii="宋体" w:hAnsi="宋体"/>
                <w:szCs w:val="21"/>
              </w:rPr>
            </w:pPr>
          </w:p>
        </w:tc>
        <w:tc>
          <w:tcPr>
            <w:tcW w:w="556" w:type="dxa"/>
            <w:noWrap w:val="0"/>
            <w:vAlign w:val="center"/>
          </w:tcPr>
          <w:p w14:paraId="01F36B47">
            <w:pPr>
              <w:jc w:val="center"/>
              <w:rPr>
                <w:rFonts w:hint="eastAsia" w:ascii="宋体" w:hAnsi="宋体"/>
                <w:szCs w:val="21"/>
              </w:rPr>
            </w:pPr>
          </w:p>
        </w:tc>
        <w:tc>
          <w:tcPr>
            <w:tcW w:w="556" w:type="dxa"/>
            <w:noWrap w:val="0"/>
            <w:vAlign w:val="center"/>
          </w:tcPr>
          <w:p w14:paraId="10DDB7C8">
            <w:pPr>
              <w:jc w:val="center"/>
              <w:rPr>
                <w:rFonts w:hint="eastAsia" w:ascii="宋体" w:hAnsi="宋体"/>
                <w:szCs w:val="21"/>
              </w:rPr>
            </w:pPr>
            <w:r>
              <w:rPr>
                <w:rFonts w:ascii="宋体" w:hAnsi="宋体"/>
                <w:kern w:val="0"/>
                <w:szCs w:val="21"/>
                <w:lang/>
              </w:rPr>
              <mc:AlternateContent>
                <mc:Choice Requires="wps">
                  <w:drawing>
                    <wp:anchor distT="0" distB="0" distL="114300" distR="114300" simplePos="0" relativeHeight="251669504" behindDoc="0" locked="0" layoutInCell="1" allowOverlap="1">
                      <wp:simplePos x="0" y="0"/>
                      <wp:positionH relativeFrom="column">
                        <wp:posOffset>192405</wp:posOffset>
                      </wp:positionH>
                      <wp:positionV relativeFrom="paragraph">
                        <wp:posOffset>108585</wp:posOffset>
                      </wp:positionV>
                      <wp:extent cx="924560" cy="0"/>
                      <wp:effectExtent l="0" t="13970" r="8890" b="24130"/>
                      <wp:wrapNone/>
                      <wp:docPr id="11" name="直线 636"/>
                      <wp:cNvGraphicFramePr/>
                      <a:graphic xmlns:a="http://schemas.openxmlformats.org/drawingml/2006/main">
                        <a:graphicData uri="http://schemas.microsoft.com/office/word/2010/wordprocessingShape">
                          <wps:wsp>
                            <wps:cNvSpPr/>
                            <wps:spPr>
                              <a:xfrm>
                                <a:off x="0" y="0"/>
                                <a:ext cx="92456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直线 636" o:spid="_x0000_s1026" o:spt="20" style="position:absolute;left:0pt;margin-left:15.15pt;margin-top:8.55pt;height:0pt;width:72.8pt;z-index:251669504;mso-width-relative:page;mso-height-relative:page;" filled="f" stroked="t" coordsize="21600,21600" o:gfxdata="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ybyh&#10;1gAAAAgBAAAPAAAAAAAAAAEAIAAAACIAAABkcnMvZG93bnJldi54bWxQSwECFAAUAAAACACHTuJA&#10;LUm5/OoBAADeAwAADgAAAAAAAAABACAAAAAlAQAAZHJzL2Uyb0RvYy54bWxQSwUGAAAAAAYABgBZ&#10;AQAAgQUAAAAA&#10;">
                      <v:fill on="f" focussize="0,0"/>
                      <v:stroke weight="2.25pt" color="#000000" joinstyle="round"/>
                      <v:imagedata o:title=""/>
                      <o:lock v:ext="edit" aspectratio="f"/>
                    </v:line>
                  </w:pict>
                </mc:Fallback>
              </mc:AlternateContent>
            </w:r>
          </w:p>
        </w:tc>
        <w:tc>
          <w:tcPr>
            <w:tcW w:w="556" w:type="dxa"/>
            <w:noWrap w:val="0"/>
            <w:vAlign w:val="center"/>
          </w:tcPr>
          <w:p w14:paraId="7188EF3C">
            <w:pPr>
              <w:jc w:val="center"/>
              <w:rPr>
                <w:rFonts w:hint="eastAsia" w:ascii="宋体" w:hAnsi="宋体"/>
                <w:szCs w:val="21"/>
              </w:rPr>
            </w:pPr>
          </w:p>
        </w:tc>
        <w:tc>
          <w:tcPr>
            <w:tcW w:w="556" w:type="dxa"/>
            <w:noWrap w:val="0"/>
            <w:vAlign w:val="center"/>
          </w:tcPr>
          <w:p w14:paraId="6C7FA9E8">
            <w:pPr>
              <w:jc w:val="center"/>
              <w:rPr>
                <w:rFonts w:hint="eastAsia" w:ascii="宋体" w:hAnsi="宋体"/>
                <w:szCs w:val="21"/>
              </w:rPr>
            </w:pPr>
          </w:p>
        </w:tc>
        <w:tc>
          <w:tcPr>
            <w:tcW w:w="558" w:type="dxa"/>
            <w:noWrap w:val="0"/>
            <w:vAlign w:val="center"/>
          </w:tcPr>
          <w:p w14:paraId="7C550488">
            <w:pPr>
              <w:jc w:val="center"/>
              <w:rPr>
                <w:rFonts w:hint="eastAsia" w:ascii="宋体" w:hAnsi="宋体"/>
                <w:szCs w:val="21"/>
              </w:rPr>
            </w:pPr>
          </w:p>
        </w:tc>
      </w:tr>
      <w:tr w14:paraId="231A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9037" w:type="dxa"/>
            <w:gridSpan w:val="15"/>
            <w:noWrap w:val="0"/>
            <w:vAlign w:val="center"/>
          </w:tcPr>
          <w:p w14:paraId="085C8A75">
            <w:pPr>
              <w:jc w:val="center"/>
              <w:rPr>
                <w:rFonts w:hint="eastAsia" w:ascii="宋体" w:hAnsi="宋体"/>
                <w:szCs w:val="21"/>
              </w:rPr>
            </w:pPr>
            <w:r>
              <w:rPr>
                <w:rFonts w:hint="eastAsia" w:ascii="宋体" w:hAnsi="宋体"/>
                <w:szCs w:val="21"/>
              </w:rPr>
              <w:t>采区开采顺序：一采区→二采区→三采区→四采区→五采区</w:t>
            </w:r>
          </w:p>
        </w:tc>
      </w:tr>
    </w:tbl>
    <w:p w14:paraId="0A5681FA">
      <w:pPr>
        <w:pStyle w:val="4"/>
        <w:keepLines/>
        <w:adjustRightInd w:val="0"/>
        <w:snapToGrid w:val="0"/>
        <w:spacing w:before="240" w:after="240" w:line="360" w:lineRule="auto"/>
        <w:ind w:firstLine="562" w:firstLineChars="200"/>
        <w:jc w:val="both"/>
        <w:rPr>
          <w:rFonts w:hint="eastAsia"/>
          <w:b/>
          <w:color w:val="000000"/>
          <w:kern w:val="0"/>
          <w:szCs w:val="20"/>
        </w:rPr>
      </w:pPr>
      <w:bookmarkStart w:id="62" w:name="_Toc173918891"/>
      <w:bookmarkStart w:id="63" w:name="_Toc173869216"/>
      <w:bookmarkStart w:id="64" w:name="_Toc173893652"/>
      <w:r>
        <w:rPr>
          <w:rFonts w:hint="eastAsia"/>
          <w:b/>
          <w:color w:val="000000"/>
          <w:kern w:val="0"/>
          <w:szCs w:val="20"/>
        </w:rPr>
        <w:t>八</w:t>
      </w:r>
      <w:r>
        <w:rPr>
          <w:b/>
          <w:color w:val="000000"/>
          <w:kern w:val="0"/>
          <w:szCs w:val="20"/>
        </w:rPr>
        <w:t>、</w:t>
      </w:r>
      <w:r>
        <w:rPr>
          <w:rFonts w:hint="eastAsia"/>
          <w:b/>
          <w:color w:val="000000"/>
          <w:kern w:val="0"/>
          <w:szCs w:val="20"/>
        </w:rPr>
        <w:t>“三下”采煤</w:t>
      </w:r>
      <w:bookmarkEnd w:id="62"/>
      <w:bookmarkEnd w:id="63"/>
      <w:bookmarkEnd w:id="64"/>
    </w:p>
    <w:p w14:paraId="2BBAECFC">
      <w:pPr>
        <w:spacing w:after="50" w:line="360" w:lineRule="auto"/>
        <w:ind w:firstLine="480" w:firstLineChars="200"/>
        <w:rPr>
          <w:rFonts w:hint="eastAsia" w:ascii="宋体" w:hAnsi="宋体"/>
          <w:color w:val="000000"/>
          <w:sz w:val="24"/>
        </w:rPr>
      </w:pPr>
      <w:r>
        <w:rPr>
          <w:rFonts w:hint="eastAsia" w:ascii="宋体" w:hAnsi="宋体"/>
          <w:color w:val="000000"/>
          <w:sz w:val="24"/>
        </w:rPr>
        <w:t>该矿井矿区范围内地表无大的水体及铁路、公路，且矿区范围内地表也无大型建筑物，村寨已留设村寨保护煤柱，对分散的个别民房在建矿期间可考虑协议搬迁。</w:t>
      </w:r>
    </w:p>
    <w:p w14:paraId="0B9EA732">
      <w:pPr>
        <w:spacing w:after="50" w:line="360" w:lineRule="auto"/>
        <w:jc w:val="center"/>
        <w:rPr>
          <w:rFonts w:hint="eastAsia"/>
        </w:rPr>
      </w:pPr>
      <w:r>
        <w:drawing>
          <wp:inline distT="0" distB="0" distL="114300" distR="114300">
            <wp:extent cx="5670550" cy="8901430"/>
            <wp:effectExtent l="0" t="0" r="6350" b="13970"/>
            <wp:docPr id="1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2"/>
                    <pic:cNvPicPr>
                      <a:picLocks noChangeAspect="1"/>
                    </pic:cNvPicPr>
                  </pic:nvPicPr>
                  <pic:blipFill>
                    <a:blip r:embed="rId60"/>
                    <a:srcRect l="26131" t="10979" r="55406" b="29797"/>
                    <a:stretch>
                      <a:fillRect/>
                    </a:stretch>
                  </pic:blipFill>
                  <pic:spPr>
                    <a:xfrm>
                      <a:off x="0" y="0"/>
                      <a:ext cx="5670550" cy="8901430"/>
                    </a:xfrm>
                    <a:prstGeom prst="rect">
                      <a:avLst/>
                    </a:prstGeom>
                    <a:noFill/>
                    <a:ln>
                      <a:noFill/>
                    </a:ln>
                  </pic:spPr>
                </pic:pic>
              </a:graphicData>
            </a:graphic>
          </wp:inline>
        </w:drawing>
      </w:r>
    </w:p>
    <w:p w14:paraId="21DA5FE5">
      <w:pPr>
        <w:spacing w:after="50" w:line="360" w:lineRule="auto"/>
        <w:jc w:val="center"/>
        <w:rPr>
          <w:rFonts w:hint="eastAsia"/>
        </w:rPr>
      </w:pPr>
      <w:r>
        <w:drawing>
          <wp:inline distT="0" distB="0" distL="114300" distR="114300">
            <wp:extent cx="5716270" cy="8901430"/>
            <wp:effectExtent l="0" t="0" r="17780" b="0"/>
            <wp:docPr id="13"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8"/>
                    <pic:cNvPicPr>
                      <a:picLocks noChangeAspect="1"/>
                    </pic:cNvPicPr>
                  </pic:nvPicPr>
                  <pic:blipFill>
                    <a:blip r:embed="rId61"/>
                    <a:srcRect l="51501" t="10881" r="30049" b="29671"/>
                    <a:stretch>
                      <a:fillRect/>
                    </a:stretch>
                  </pic:blipFill>
                  <pic:spPr>
                    <a:xfrm>
                      <a:off x="0" y="0"/>
                      <a:ext cx="5716270" cy="8901430"/>
                    </a:xfrm>
                    <a:prstGeom prst="rect">
                      <a:avLst/>
                    </a:prstGeom>
                    <a:noFill/>
                    <a:ln>
                      <a:noFill/>
                    </a:ln>
                  </pic:spPr>
                </pic:pic>
              </a:graphicData>
            </a:graphic>
          </wp:inline>
        </w:drawing>
      </w:r>
    </w:p>
    <w:p w14:paraId="42FA3D97">
      <w:pPr>
        <w:spacing w:after="50" w:line="360" w:lineRule="auto"/>
        <w:jc w:val="center"/>
        <w:rPr>
          <w:rFonts w:hint="eastAsia"/>
        </w:rPr>
      </w:pPr>
      <w:r>
        <w:drawing>
          <wp:inline distT="0" distB="0" distL="114300" distR="114300">
            <wp:extent cx="5727065" cy="8879840"/>
            <wp:effectExtent l="0" t="0" r="6985" b="16510"/>
            <wp:docPr id="1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2"/>
                    <pic:cNvPicPr>
                      <a:picLocks noChangeAspect="1"/>
                    </pic:cNvPicPr>
                  </pic:nvPicPr>
                  <pic:blipFill>
                    <a:blip r:embed="rId62"/>
                    <a:srcRect l="61407" t="14818" r="20277" b="26218"/>
                    <a:stretch>
                      <a:fillRect/>
                    </a:stretch>
                  </pic:blipFill>
                  <pic:spPr>
                    <a:xfrm>
                      <a:off x="0" y="0"/>
                      <a:ext cx="5727065" cy="8879840"/>
                    </a:xfrm>
                    <a:prstGeom prst="rect">
                      <a:avLst/>
                    </a:prstGeom>
                    <a:noFill/>
                    <a:ln>
                      <a:noFill/>
                    </a:ln>
                  </pic:spPr>
                </pic:pic>
              </a:graphicData>
            </a:graphic>
          </wp:inline>
        </w:drawing>
      </w:r>
    </w:p>
    <w:p w14:paraId="40B87070">
      <w:pPr>
        <w:spacing w:after="50" w:line="360" w:lineRule="auto"/>
        <w:jc w:val="center"/>
        <w:rPr>
          <w:rFonts w:hint="eastAsia"/>
        </w:rPr>
      </w:pPr>
      <w:r>
        <w:drawing>
          <wp:inline distT="0" distB="0" distL="114300" distR="114300">
            <wp:extent cx="5760720" cy="8867775"/>
            <wp:effectExtent l="0" t="0" r="11430" b="0"/>
            <wp:docPr id="1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4"/>
                    <pic:cNvPicPr>
                      <a:picLocks noChangeAspect="1"/>
                    </pic:cNvPicPr>
                  </pic:nvPicPr>
                  <pic:blipFill>
                    <a:blip r:embed="rId63"/>
                    <a:srcRect l="51097" t="19376" r="28764" b="15639"/>
                    <a:stretch>
                      <a:fillRect/>
                    </a:stretch>
                  </pic:blipFill>
                  <pic:spPr>
                    <a:xfrm>
                      <a:off x="0" y="0"/>
                      <a:ext cx="5760720" cy="8867775"/>
                    </a:xfrm>
                    <a:prstGeom prst="rect">
                      <a:avLst/>
                    </a:prstGeom>
                    <a:noFill/>
                    <a:ln>
                      <a:noFill/>
                    </a:ln>
                  </pic:spPr>
                </pic:pic>
              </a:graphicData>
            </a:graphic>
          </wp:inline>
        </w:drawing>
      </w:r>
    </w:p>
    <w:p w14:paraId="304F8F20">
      <w:pPr>
        <w:spacing w:after="50" w:line="360" w:lineRule="auto"/>
        <w:jc w:val="center"/>
        <w:rPr>
          <w:rFonts w:hint="eastAsia"/>
        </w:rPr>
      </w:pPr>
      <w:r>
        <w:drawing>
          <wp:inline distT="0" distB="0" distL="114300" distR="114300">
            <wp:extent cx="5704205" cy="8963660"/>
            <wp:effectExtent l="0" t="0" r="10795" b="8890"/>
            <wp:docPr id="1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6"/>
                    <pic:cNvPicPr>
                      <a:picLocks noChangeAspect="1"/>
                    </pic:cNvPicPr>
                  </pic:nvPicPr>
                  <pic:blipFill>
                    <a:blip r:embed="rId64"/>
                    <a:srcRect l="42584" t="19135" r="41438" b="28622"/>
                    <a:stretch>
                      <a:fillRect/>
                    </a:stretch>
                  </pic:blipFill>
                  <pic:spPr>
                    <a:xfrm>
                      <a:off x="0" y="0"/>
                      <a:ext cx="5704205" cy="8963660"/>
                    </a:xfrm>
                    <a:prstGeom prst="rect">
                      <a:avLst/>
                    </a:prstGeom>
                    <a:noFill/>
                    <a:ln>
                      <a:noFill/>
                    </a:ln>
                  </pic:spPr>
                </pic:pic>
              </a:graphicData>
            </a:graphic>
          </wp:inline>
        </w:drawing>
      </w:r>
    </w:p>
    <w:p w14:paraId="634A8793">
      <w:pPr>
        <w:spacing w:after="50" w:line="360" w:lineRule="auto"/>
        <w:jc w:val="center"/>
        <w:rPr>
          <w:rFonts w:hint="eastAsia"/>
        </w:rPr>
      </w:pPr>
      <w:r>
        <w:drawing>
          <wp:inline distT="0" distB="0" distL="114300" distR="114300">
            <wp:extent cx="5763260" cy="8912225"/>
            <wp:effectExtent l="0" t="0" r="8890" b="0"/>
            <wp:docPr id="1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7"/>
                    <pic:cNvPicPr>
                      <a:picLocks noChangeAspect="1"/>
                    </pic:cNvPicPr>
                  </pic:nvPicPr>
                  <pic:blipFill>
                    <a:blip r:embed="rId65"/>
                    <a:srcRect l="31123" t="14120" r="27985" b="26785"/>
                    <a:stretch>
                      <a:fillRect/>
                    </a:stretch>
                  </pic:blipFill>
                  <pic:spPr>
                    <a:xfrm>
                      <a:off x="0" y="0"/>
                      <a:ext cx="5763260" cy="8912225"/>
                    </a:xfrm>
                    <a:prstGeom prst="rect">
                      <a:avLst/>
                    </a:prstGeom>
                    <a:noFill/>
                    <a:ln>
                      <a:noFill/>
                    </a:ln>
                  </pic:spPr>
                </pic:pic>
              </a:graphicData>
            </a:graphic>
          </wp:inline>
        </w:drawing>
      </w:r>
    </w:p>
    <w:p w14:paraId="5589BA66">
      <w:pPr>
        <w:spacing w:after="50" w:line="360" w:lineRule="auto"/>
        <w:jc w:val="center"/>
        <w:rPr>
          <w:rFonts w:hint="eastAsia" w:ascii="宋体" w:hAnsi="宋体"/>
          <w:color w:val="000000"/>
          <w:sz w:val="24"/>
        </w:rPr>
      </w:pPr>
      <w:r>
        <w:drawing>
          <wp:inline distT="0" distB="0" distL="114300" distR="114300">
            <wp:extent cx="5559425" cy="8896350"/>
            <wp:effectExtent l="0" t="0" r="3175" b="0"/>
            <wp:docPr id="18"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3"/>
                    <pic:cNvPicPr>
                      <a:picLocks noChangeAspect="1"/>
                    </pic:cNvPicPr>
                  </pic:nvPicPr>
                  <pic:blipFill>
                    <a:blip r:embed="rId66"/>
                    <a:srcRect l="65839" t="37715" r="22661" b="24051"/>
                    <a:stretch>
                      <a:fillRect/>
                    </a:stretch>
                  </pic:blipFill>
                  <pic:spPr>
                    <a:xfrm>
                      <a:off x="0" y="0"/>
                      <a:ext cx="5559425" cy="8896350"/>
                    </a:xfrm>
                    <a:prstGeom prst="rect">
                      <a:avLst/>
                    </a:prstGeom>
                    <a:noFill/>
                    <a:ln>
                      <a:noFill/>
                    </a:ln>
                  </pic:spPr>
                </pic:pic>
              </a:graphicData>
            </a:graphic>
          </wp:inline>
        </w:drawing>
      </w:r>
    </w:p>
    <w:p w14:paraId="0DBB47CB">
      <w:pPr>
        <w:pStyle w:val="3"/>
        <w:keepLines/>
        <w:spacing w:before="240" w:after="240" w:line="360" w:lineRule="auto"/>
        <w:ind w:firstLine="0" w:firstLineChars="0"/>
        <w:jc w:val="center"/>
        <w:rPr>
          <w:rFonts w:hint="eastAsia"/>
          <w:b/>
          <w:color w:val="000000"/>
          <w:sz w:val="32"/>
          <w:szCs w:val="32"/>
        </w:rPr>
      </w:pPr>
      <w:bookmarkStart w:id="65" w:name="_Toc260915262"/>
      <w:r>
        <w:rPr>
          <w:rFonts w:hint="eastAsia"/>
          <w:b/>
          <w:color w:val="000000"/>
          <w:sz w:val="32"/>
          <w:szCs w:val="32"/>
        </w:rPr>
        <w:t>第二节　　</w:t>
      </w:r>
      <w:r>
        <w:rPr>
          <w:b/>
          <w:color w:val="000000"/>
          <w:sz w:val="32"/>
          <w:szCs w:val="32"/>
        </w:rPr>
        <w:t>井下开采</w:t>
      </w:r>
      <w:bookmarkEnd w:id="65"/>
    </w:p>
    <w:p w14:paraId="2300FC55">
      <w:pPr>
        <w:pStyle w:val="4"/>
        <w:keepLines/>
        <w:adjustRightInd w:val="0"/>
        <w:snapToGrid w:val="0"/>
        <w:spacing w:before="240" w:after="240" w:line="360" w:lineRule="auto"/>
        <w:ind w:firstLine="562" w:firstLineChars="200"/>
        <w:jc w:val="both"/>
        <w:rPr>
          <w:rFonts w:hint="eastAsia"/>
          <w:b/>
          <w:color w:val="000000"/>
          <w:kern w:val="0"/>
          <w:szCs w:val="20"/>
        </w:rPr>
      </w:pPr>
      <w:bookmarkStart w:id="66" w:name="_Toc173869218"/>
      <w:bookmarkStart w:id="67" w:name="_Toc173918893"/>
      <w:bookmarkStart w:id="68" w:name="_Toc173893654"/>
      <w:r>
        <w:rPr>
          <w:rFonts w:hint="eastAsia"/>
          <w:b/>
          <w:color w:val="000000"/>
          <w:kern w:val="0"/>
          <w:szCs w:val="20"/>
        </w:rPr>
        <w:t>一、井田内原小窑开采情况</w:t>
      </w:r>
      <w:bookmarkEnd w:id="66"/>
      <w:bookmarkEnd w:id="67"/>
      <w:bookmarkEnd w:id="68"/>
    </w:p>
    <w:p w14:paraId="2BBF22BB">
      <w:pPr>
        <w:pStyle w:val="89"/>
        <w:tabs>
          <w:tab w:val="left" w:pos="4500"/>
        </w:tabs>
        <w:ind w:firstLine="480" w:firstLineChars="200"/>
        <w:rPr>
          <w:rFonts w:hint="eastAsia" w:hAnsi="宋体"/>
          <w:szCs w:val="24"/>
        </w:rPr>
      </w:pPr>
      <w:r>
        <w:rPr>
          <w:rFonts w:hint="eastAsia" w:hAnsi="宋体"/>
          <w:szCs w:val="24"/>
        </w:rPr>
        <w:t>水城县玉舍大坪煤矿为一整合矿井，由水城县玉舍大坪煤矿（生产规模3万吨/年）、水城县玉舍华兴煤矿（生产规模3万吨/年）、水城县玉舍山林沟煤矿（生产规模3万吨/年）、水城县玉舍铜厂沟煤矿（生产规模3万吨/年）和水城宏盛矿业有限公司发达煤矿（生产规模3万吨/年）5个煤矿整合而成，原5个矿井均为生产矿井，</w:t>
      </w:r>
      <w:r>
        <w:rPr>
          <w:rFonts w:hint="eastAsia" w:hAnsi="宋体"/>
        </w:rPr>
        <w:t>均</w:t>
      </w:r>
      <w:r>
        <w:rPr>
          <w:rFonts w:hint="eastAsia" w:hAnsi="宋体"/>
          <w:szCs w:val="24"/>
        </w:rPr>
        <w:t>采用炮采工艺，走向长壁后退式采煤法，机械运输。根据业主反应，原发达煤矿、铜厂沟煤矿主要对K1-b、K9、K18煤层进行了开采，其他煤层未进行开采，目前K1-b、K9、K18煤层+1904m标高以上已全部采空；原华兴煤矿、山林沟煤矿、大坪煤矿主要开采K1-b、K13、K18、K26、K35-b煤层，目前K1-b、K13、K18、K26、K35-b煤层+1904m标高以上已全部采空，K3、K9、K10煤层由于煤层较薄，不具备开采条件，因此，矿井未对K3、K9、K10煤层进行开采，采空</w:t>
      </w:r>
      <w:r>
        <w:rPr>
          <w:rFonts w:hAnsi="宋体"/>
          <w:szCs w:val="24"/>
        </w:rPr>
        <w:t>资源量为</w:t>
      </w:r>
      <w:r>
        <w:rPr>
          <w:rFonts w:hint="eastAsia" w:hAnsi="宋体"/>
          <w:szCs w:val="24"/>
        </w:rPr>
        <w:t>343.1</w:t>
      </w:r>
      <w:r>
        <w:rPr>
          <w:rFonts w:hAnsi="宋体"/>
          <w:szCs w:val="24"/>
        </w:rPr>
        <w:t>万吨</w:t>
      </w:r>
      <w:r>
        <w:rPr>
          <w:rFonts w:hint="eastAsia" w:hAnsi="宋体"/>
          <w:szCs w:val="24"/>
        </w:rPr>
        <w:t>，采空范围详见</w:t>
      </w:r>
      <w:r>
        <w:rPr>
          <w:rFonts w:hint="eastAsia" w:hAnsi="宋体"/>
          <w:b/>
          <w:szCs w:val="24"/>
        </w:rPr>
        <w:t>图2 开拓系统平面图、图3 开拓系统剖面图</w:t>
      </w:r>
      <w:r>
        <w:rPr>
          <w:rFonts w:hint="eastAsia" w:hAnsi="宋体"/>
          <w:szCs w:val="24"/>
        </w:rPr>
        <w:t>。</w:t>
      </w:r>
    </w:p>
    <w:p w14:paraId="472B23E8">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二、首采区位置</w:t>
      </w:r>
    </w:p>
    <w:p w14:paraId="07B0DA1F">
      <w:pPr>
        <w:spacing w:line="360" w:lineRule="auto"/>
        <w:ind w:firstLine="480" w:firstLineChars="200"/>
        <w:rPr>
          <w:rFonts w:hint="eastAsia" w:ascii="宋体" w:hAnsi="宋体"/>
          <w:color w:val="000000"/>
          <w:sz w:val="24"/>
        </w:rPr>
      </w:pPr>
      <w:r>
        <w:rPr>
          <w:rFonts w:ascii="宋体" w:hAnsi="宋体"/>
          <w:color w:val="000000"/>
          <w:sz w:val="24"/>
        </w:rPr>
        <w:t>根据矿井井田范围大小</w:t>
      </w:r>
      <w:r>
        <w:rPr>
          <w:rFonts w:hint="eastAsia" w:ascii="宋体" w:hAnsi="宋体"/>
          <w:color w:val="000000"/>
          <w:sz w:val="24"/>
        </w:rPr>
        <w:t>、开采深度及煤层赋存条件、</w:t>
      </w:r>
      <w:r>
        <w:rPr>
          <w:rFonts w:hint="eastAsia" w:ascii="宋体" w:hAnsi="宋体"/>
          <w:sz w:val="24"/>
        </w:rPr>
        <w:t>矿区地质构</w:t>
      </w:r>
      <w:r>
        <w:rPr>
          <w:rFonts w:ascii="宋体" w:hAnsi="宋体"/>
          <w:color w:val="000000"/>
          <w:sz w:val="24"/>
        </w:rPr>
        <w:t>，</w:t>
      </w:r>
      <w:r>
        <w:rPr>
          <w:rFonts w:hint="eastAsia" w:ascii="宋体" w:hAnsi="宋体"/>
          <w:color w:val="000000"/>
          <w:sz w:val="24"/>
        </w:rPr>
        <w:t>设计采用斜井开拓，将</w:t>
      </w:r>
      <w:r>
        <w:rPr>
          <w:rFonts w:hint="eastAsia" w:ascii="宋体" w:hAnsi="宋体"/>
          <w:sz w:val="24"/>
        </w:rPr>
        <w:t>全矿井划分两个水平五个采区开采，</w:t>
      </w:r>
      <w:r>
        <w:rPr>
          <w:rFonts w:hint="eastAsia" w:ascii="宋体" w:hAnsi="宋体"/>
          <w:color w:val="000000"/>
          <w:sz w:val="24"/>
        </w:rPr>
        <w:t>矿井首采区选择在井田东面煤层露头往下+1835.0m</w:t>
      </w:r>
      <w:r>
        <w:rPr>
          <w:rFonts w:hint="eastAsia" w:ascii="宋体" w:hAnsi="宋体" w:cs="宋体"/>
          <w:color w:val="000000"/>
          <w:sz w:val="24"/>
        </w:rPr>
        <w:t>标高</w:t>
      </w:r>
      <w:r>
        <w:rPr>
          <w:rFonts w:hint="eastAsia" w:ascii="宋体" w:hAnsi="宋体"/>
          <w:color w:val="000000"/>
          <w:sz w:val="24"/>
        </w:rPr>
        <w:t>以上，采用石门揭穿煤层联合开采，采区划分</w:t>
      </w:r>
      <w:r>
        <w:rPr>
          <w:rFonts w:hint="eastAsia" w:ascii="宋体" w:hAnsi="宋体"/>
          <w:sz w:val="24"/>
        </w:rPr>
        <w:t>详见</w:t>
      </w:r>
      <w:r>
        <w:rPr>
          <w:rFonts w:hint="eastAsia" w:ascii="宋体" w:hAnsi="宋体"/>
          <w:b/>
          <w:sz w:val="24"/>
        </w:rPr>
        <w:t>图2 开拓系统平面图、图3 开拓系统剖面图。</w:t>
      </w:r>
    </w:p>
    <w:p w14:paraId="1F122933">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三、采区巷道布置</w:t>
      </w:r>
    </w:p>
    <w:p w14:paraId="5BE0C271">
      <w:pPr>
        <w:spacing w:line="360" w:lineRule="auto"/>
        <w:ind w:firstLine="480" w:firstLineChars="200"/>
        <w:rPr>
          <w:rFonts w:hint="eastAsia"/>
        </w:rPr>
      </w:pPr>
      <w:r>
        <w:rPr>
          <w:rFonts w:hint="eastAsia" w:ascii="宋体"/>
          <w:sz w:val="24"/>
        </w:rPr>
        <w:t>矿井开拓系统形成后，</w:t>
      </w:r>
      <w:r>
        <w:rPr>
          <w:rFonts w:hint="eastAsia" w:ascii="宋体" w:hAnsi="宋体"/>
          <w:sz w:val="24"/>
        </w:rPr>
        <w:t>主斜井、副斜井、回风斜井通过石门连接各煤层，再沿煤层走向布置回采工作面运输顺槽、回风顺槽至采区（井田）边界，通过切眼勾通上、下顺槽，构成回采工作面进、回风系统，形成矿井生产系统</w:t>
      </w:r>
      <w:r>
        <w:rPr>
          <w:rFonts w:hint="eastAsia"/>
          <w:sz w:val="24"/>
        </w:rPr>
        <w:t>。</w:t>
      </w:r>
      <w:r>
        <w:rPr>
          <w:rFonts w:hint="eastAsia" w:ascii="宋体" w:hAnsi="宋体"/>
          <w:sz w:val="24"/>
        </w:rPr>
        <w:t>首采工作面布置在井筒西面K1-b煤层中，接替工作面布置在井筒西面K13煤层中，主斜井与工作面运输顺槽采用运输石门连接，副斜井与工作面运输顺槽采用轨道石门连接，回风斜井与工作面回风顺槽采用回风石门连接，工作面回风顺槽标高＋1886.0m，运输顺槽标高＋1835.0m，区段间留设小煤柱，采用沿空掘巷的方式进行接替，设计</w:t>
      </w:r>
      <w:r>
        <w:rPr>
          <w:rFonts w:hint="eastAsia" w:ascii="宋体" w:hAnsi="宋体"/>
          <w:spacing w:val="2"/>
          <w:sz w:val="24"/>
        </w:rPr>
        <w:t>以一个普采工作面保证矿井生产能力，</w:t>
      </w:r>
      <w:r>
        <w:rPr>
          <w:rFonts w:hint="eastAsia" w:ascii="宋体" w:hAnsi="宋体"/>
          <w:sz w:val="24"/>
        </w:rPr>
        <w:t xml:space="preserve">详见 </w:t>
      </w:r>
      <w:r>
        <w:rPr>
          <w:rFonts w:hint="eastAsia" w:ascii="宋体" w:hAnsi="宋体"/>
          <w:b/>
          <w:sz w:val="24"/>
        </w:rPr>
        <w:t>图2 开拓系统平面图、图3 开拓系统剖面图</w:t>
      </w:r>
      <w:r>
        <w:rPr>
          <w:rFonts w:ascii="宋体" w:hAnsi="宋体"/>
          <w:sz w:val="24"/>
        </w:rPr>
        <w:t>。</w:t>
      </w:r>
    </w:p>
    <w:p w14:paraId="74AACA82">
      <w:pPr>
        <w:spacing w:line="360" w:lineRule="auto"/>
        <w:ind w:firstLine="480" w:firstLineChars="200"/>
        <w:rPr>
          <w:rFonts w:hint="eastAsia" w:ascii="宋体" w:hAnsi="宋体"/>
          <w:sz w:val="24"/>
        </w:rPr>
      </w:pPr>
      <w:r>
        <w:rPr>
          <w:rFonts w:hint="eastAsia" w:ascii="宋体" w:hAnsi="宋体"/>
          <w:sz w:val="24"/>
        </w:rPr>
        <w:t>矿井采用机械通风，通风方式：中央并列式，通风方法：抽出式。</w:t>
      </w:r>
    </w:p>
    <w:p w14:paraId="0B64716C">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四、采煤方法与采煤工艺</w:t>
      </w:r>
    </w:p>
    <w:p w14:paraId="0DAC1CBA">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采煤方法选择</w:t>
      </w:r>
    </w:p>
    <w:p w14:paraId="3C933645">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采煤方法选择考虑的因素</w:t>
      </w:r>
    </w:p>
    <w:p w14:paraId="72FBCF9E">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主采煤层属倾斜煤层</w:t>
      </w:r>
      <w:r>
        <w:rPr>
          <w:rFonts w:hint="eastAsia" w:ascii="宋体" w:hAnsi="宋体"/>
          <w:color w:val="000000"/>
          <w:sz w:val="24"/>
        </w:rPr>
        <w:t>，</w:t>
      </w:r>
      <w:r>
        <w:rPr>
          <w:rFonts w:ascii="宋体" w:hAnsi="宋体"/>
          <w:color w:val="000000"/>
          <w:sz w:val="24"/>
        </w:rPr>
        <w:t>杨子准地台黔北台隆六盘水断陷威宁北西向构造变形区，位于格目底向斜南西翼西段，其总体构造形态呈单斜岩层。地层走向北西—南东，在A4线以西转为近东西向，倾向北东、北，倾角25～40°</w:t>
      </w:r>
      <w:r>
        <w:rPr>
          <w:rFonts w:hint="eastAsia" w:ascii="宋体" w:hAnsi="宋体"/>
          <w:color w:val="000000"/>
          <w:sz w:val="24"/>
        </w:rPr>
        <w:t>。</w:t>
      </w:r>
    </w:p>
    <w:p w14:paraId="5532DAFA">
      <w:pPr>
        <w:spacing w:line="360" w:lineRule="auto"/>
        <w:ind w:firstLine="480" w:firstLineChars="200"/>
        <w:rPr>
          <w:rFonts w:hint="eastAsia" w:ascii="宋体" w:hAnsi="宋体"/>
          <w:sz w:val="24"/>
        </w:rPr>
      </w:pPr>
      <w:r>
        <w:rPr>
          <w:rFonts w:hint="eastAsia" w:ascii="宋体" w:hAnsi="宋体"/>
          <w:color w:val="000000"/>
          <w:sz w:val="24"/>
        </w:rPr>
        <w:t>2）</w:t>
      </w:r>
      <w:r>
        <w:rPr>
          <w:rFonts w:ascii="宋体" w:hAnsi="宋体"/>
          <w:sz w:val="24"/>
        </w:rPr>
        <w:t>主要煤层赋存稳定，结构较为</w:t>
      </w:r>
      <w:r>
        <w:rPr>
          <w:rFonts w:hint="eastAsia" w:ascii="宋体" w:hAnsi="宋体"/>
          <w:sz w:val="24"/>
        </w:rPr>
        <w:t>较简单—较复杂，全区可采</w:t>
      </w:r>
      <w:r>
        <w:rPr>
          <w:rFonts w:ascii="宋体" w:hAnsi="宋体"/>
          <w:sz w:val="24"/>
        </w:rPr>
        <w:t>。</w:t>
      </w:r>
    </w:p>
    <w:p w14:paraId="7744AB4F">
      <w:pPr>
        <w:spacing w:line="360" w:lineRule="auto"/>
        <w:ind w:firstLine="480" w:firstLineChars="200"/>
        <w:rPr>
          <w:rFonts w:ascii="宋体" w:hAnsi="宋体"/>
          <w:color w:val="000000"/>
          <w:sz w:val="24"/>
        </w:rPr>
      </w:pPr>
      <w:r>
        <w:rPr>
          <w:rFonts w:hint="eastAsia" w:ascii="宋体" w:hAnsi="宋体"/>
          <w:sz w:val="24"/>
        </w:rPr>
        <w:t>3）</w:t>
      </w:r>
      <w:r>
        <w:rPr>
          <w:rFonts w:hint="eastAsia"/>
          <w:color w:val="000000"/>
          <w:sz w:val="24"/>
        </w:rPr>
        <w:t>可采煤层的顶板岩性主要</w:t>
      </w:r>
      <w:r>
        <w:rPr>
          <w:rFonts w:ascii="宋体" w:hAnsi="宋体"/>
          <w:color w:val="000000"/>
          <w:sz w:val="24"/>
        </w:rPr>
        <w:t>为</w:t>
      </w:r>
      <w:r>
        <w:rPr>
          <w:rFonts w:ascii="宋体" w:hAnsi="宋体"/>
          <w:sz w:val="24"/>
        </w:rPr>
        <w:t>粉砂岩、粉砂质泥岩、细砂岩、泥质粉砂岩、泥岩、炭质泥岩</w:t>
      </w:r>
      <w:r>
        <w:rPr>
          <w:rFonts w:hint="eastAsia" w:ascii="宋体" w:hAnsi="宋体"/>
          <w:sz w:val="24"/>
        </w:rPr>
        <w:t>；</w:t>
      </w:r>
      <w:r>
        <w:rPr>
          <w:rFonts w:ascii="宋体" w:hAnsi="宋体"/>
          <w:sz w:val="24"/>
        </w:rPr>
        <w:t>煤层底板为泥岩、</w:t>
      </w:r>
      <w:r>
        <w:rPr>
          <w:rFonts w:ascii="宋体" w:hAnsi="宋体"/>
          <w:snapToGrid w:val="0"/>
          <w:kern w:val="0"/>
          <w:sz w:val="24"/>
        </w:rPr>
        <w:t>粘土岩</w:t>
      </w:r>
      <w:r>
        <w:rPr>
          <w:rFonts w:hint="eastAsia" w:ascii="宋体" w:hAnsi="宋体"/>
          <w:sz w:val="24"/>
        </w:rPr>
        <w:t>，泥岩、</w:t>
      </w:r>
      <w:r>
        <w:rPr>
          <w:rFonts w:ascii="宋体" w:hAnsi="宋体"/>
          <w:snapToGrid w:val="0"/>
          <w:kern w:val="0"/>
          <w:sz w:val="24"/>
        </w:rPr>
        <w:t>粘土岩</w:t>
      </w:r>
      <w:r>
        <w:rPr>
          <w:rFonts w:hint="eastAsia" w:ascii="宋体" w:hAnsi="宋体"/>
          <w:sz w:val="24"/>
        </w:rPr>
        <w:t>，</w:t>
      </w:r>
      <w:r>
        <w:rPr>
          <w:rFonts w:hint="eastAsia"/>
          <w:color w:val="000000"/>
          <w:sz w:val="24"/>
        </w:rPr>
        <w:t>岩性、厚度及其组合关系具有复杂多变性，且同一岩性的力学强度变化颇大，稳定性也具有复杂多变性。</w:t>
      </w:r>
    </w:p>
    <w:p w14:paraId="45A8F223">
      <w:pPr>
        <w:spacing w:line="360" w:lineRule="auto"/>
        <w:ind w:firstLine="480" w:firstLineChars="200"/>
        <w:rPr>
          <w:sz w:val="24"/>
        </w:rPr>
      </w:pPr>
      <w:r>
        <w:rPr>
          <w:rFonts w:hint="eastAsia" w:ascii="宋体" w:hAnsi="宋体"/>
          <w:sz w:val="24"/>
        </w:rPr>
        <w:t>4）</w:t>
      </w:r>
      <w:r>
        <w:rPr>
          <w:rFonts w:hint="eastAsia" w:hAnsi="宋体"/>
          <w:sz w:val="24"/>
        </w:rPr>
        <w:t>该</w:t>
      </w:r>
      <w:r>
        <w:rPr>
          <w:rFonts w:hAnsi="宋体"/>
          <w:sz w:val="24"/>
        </w:rPr>
        <w:t>矿</w:t>
      </w:r>
      <w:r>
        <w:rPr>
          <w:rFonts w:hint="eastAsia" w:hAnsi="宋体"/>
          <w:sz w:val="24"/>
        </w:rPr>
        <w:t>为一整合矿井，按有煤瓦斯突出、</w:t>
      </w:r>
      <w:r>
        <w:rPr>
          <w:rFonts w:hAnsi="宋体"/>
          <w:sz w:val="24"/>
        </w:rPr>
        <w:t>煤尘</w:t>
      </w:r>
      <w:r>
        <w:rPr>
          <w:rFonts w:hint="eastAsia" w:hAnsi="宋体"/>
          <w:sz w:val="24"/>
        </w:rPr>
        <w:t>有</w:t>
      </w:r>
      <w:r>
        <w:rPr>
          <w:rFonts w:hAnsi="宋体"/>
          <w:sz w:val="24"/>
        </w:rPr>
        <w:t>爆炸危险性，煤层</w:t>
      </w:r>
      <w:r>
        <w:rPr>
          <w:rFonts w:hint="eastAsia" w:hAnsi="宋体"/>
          <w:sz w:val="24"/>
        </w:rPr>
        <w:t>容易</w:t>
      </w:r>
      <w:r>
        <w:rPr>
          <w:rFonts w:hAnsi="宋体"/>
          <w:sz w:val="24"/>
        </w:rPr>
        <w:t>自燃</w:t>
      </w:r>
      <w:r>
        <w:rPr>
          <w:rFonts w:hint="eastAsia" w:hAnsi="宋体"/>
          <w:sz w:val="24"/>
        </w:rPr>
        <w:t>设计和管理</w:t>
      </w:r>
      <w:r>
        <w:rPr>
          <w:rFonts w:hAnsi="宋体"/>
          <w:sz w:val="24"/>
        </w:rPr>
        <w:t>。</w:t>
      </w:r>
    </w:p>
    <w:p w14:paraId="156D5770">
      <w:pPr>
        <w:pStyle w:val="89"/>
        <w:tabs>
          <w:tab w:val="left" w:pos="4500"/>
        </w:tabs>
        <w:ind w:firstLine="480" w:firstLineChars="200"/>
        <w:rPr>
          <w:rFonts w:hAnsi="宋体"/>
          <w:szCs w:val="24"/>
        </w:rPr>
      </w:pPr>
      <w:r>
        <w:rPr>
          <w:rFonts w:hint="eastAsia" w:hAnsi="宋体"/>
          <w:szCs w:val="24"/>
        </w:rPr>
        <w:t>（2）</w:t>
      </w:r>
      <w:r>
        <w:rPr>
          <w:rFonts w:hAnsi="宋体"/>
          <w:szCs w:val="24"/>
        </w:rPr>
        <w:t>采煤方法的选择</w:t>
      </w:r>
    </w:p>
    <w:p w14:paraId="6088DBEC">
      <w:pPr>
        <w:spacing w:line="360" w:lineRule="auto"/>
        <w:ind w:firstLine="480" w:firstLineChars="200"/>
        <w:rPr>
          <w:rFonts w:ascii="宋体" w:hAnsi="宋体"/>
          <w:color w:val="000000"/>
          <w:sz w:val="24"/>
        </w:rPr>
      </w:pPr>
      <w:r>
        <w:rPr>
          <w:rFonts w:ascii="宋体" w:hAnsi="宋体"/>
          <w:color w:val="000000"/>
          <w:sz w:val="24"/>
        </w:rPr>
        <w:t>根据上述考虑因素，结合煤层倾角及构造赋存特点，适合采用走向长壁式采煤法，后退式回采，全部垮落法管理顶板。</w:t>
      </w:r>
    </w:p>
    <w:p w14:paraId="6CDB225F">
      <w:pPr>
        <w:spacing w:after="50" w:line="360" w:lineRule="auto"/>
        <w:ind w:firstLine="448" w:firstLineChars="200"/>
        <w:rPr>
          <w:rFonts w:ascii="宋体" w:hAnsi="宋体"/>
          <w:color w:val="000000"/>
          <w:sz w:val="24"/>
        </w:rPr>
      </w:pPr>
      <w:r>
        <w:rPr>
          <w:rFonts w:hint="eastAsia" w:ascii="宋体" w:hAnsi="宋体"/>
          <w:color w:val="000000"/>
          <w:spacing w:val="-8"/>
          <w:sz w:val="24"/>
        </w:rPr>
        <w:t>2、</w:t>
      </w:r>
      <w:r>
        <w:rPr>
          <w:rFonts w:ascii="宋体" w:hAnsi="宋体"/>
          <w:color w:val="000000"/>
          <w:spacing w:val="-8"/>
          <w:sz w:val="24"/>
        </w:rPr>
        <w:t>采煤工艺及机械配备</w:t>
      </w:r>
    </w:p>
    <w:p w14:paraId="171794CD">
      <w:pPr>
        <w:spacing w:after="50"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工作面支护及顶板管理</w:t>
      </w:r>
    </w:p>
    <w:p w14:paraId="678A5F78">
      <w:pPr>
        <w:spacing w:after="50" w:line="360" w:lineRule="auto"/>
        <w:ind w:firstLine="480" w:firstLineChars="200"/>
        <w:rPr>
          <w:rFonts w:ascii="宋体" w:hAnsi="宋体"/>
          <w:color w:val="000000"/>
          <w:sz w:val="24"/>
          <w:u w:val="single"/>
        </w:rPr>
      </w:pPr>
      <w:r>
        <w:rPr>
          <w:rFonts w:ascii="宋体" w:hAnsi="宋体"/>
          <w:color w:val="000000"/>
          <w:sz w:val="24"/>
          <w:u w:val="single"/>
        </w:rPr>
        <w:t>设计布置</w:t>
      </w:r>
      <w:r>
        <w:rPr>
          <w:rFonts w:hint="eastAsia" w:ascii="宋体" w:hAnsi="宋体"/>
          <w:color w:val="000000"/>
          <w:sz w:val="24"/>
          <w:u w:val="single"/>
        </w:rPr>
        <w:t>走向长壁</w:t>
      </w:r>
      <w:r>
        <w:rPr>
          <w:rFonts w:ascii="宋体" w:hAnsi="宋体"/>
          <w:color w:val="000000"/>
          <w:sz w:val="24"/>
          <w:u w:val="single"/>
        </w:rPr>
        <w:t>工作面，后退式回采，沿走向推进，工作面</w:t>
      </w:r>
      <w:r>
        <w:rPr>
          <w:rFonts w:hint="eastAsia" w:ascii="宋体" w:hAnsi="宋体"/>
          <w:color w:val="000000"/>
          <w:sz w:val="24"/>
          <w:u w:val="single"/>
        </w:rPr>
        <w:t>采</w:t>
      </w:r>
      <w:r>
        <w:rPr>
          <w:rFonts w:ascii="宋体" w:hAnsi="宋体"/>
          <w:color w:val="000000"/>
          <w:sz w:val="24"/>
          <w:u w:val="single"/>
        </w:rPr>
        <w:t>用DZ25－25/100型单体液压支柱和HDJA－1200型金属铰接顶梁支护</w:t>
      </w:r>
      <w:r>
        <w:rPr>
          <w:rFonts w:hint="eastAsia" w:ascii="宋体" w:hAnsi="宋体"/>
          <w:color w:val="000000"/>
          <w:sz w:val="24"/>
          <w:u w:val="single"/>
        </w:rPr>
        <w:t>，另配备注液枪（DZ－Q</w:t>
      </w:r>
      <w:r>
        <w:rPr>
          <w:rFonts w:hint="eastAsia" w:ascii="宋体" w:hAnsi="宋体"/>
          <w:color w:val="000000"/>
          <w:sz w:val="24"/>
          <w:u w:val="single"/>
          <w:vertAlign w:val="subscript"/>
        </w:rPr>
        <w:t>1</w:t>
      </w:r>
      <w:r>
        <w:rPr>
          <w:rFonts w:hint="eastAsia" w:ascii="宋体" w:hAnsi="宋体"/>
          <w:color w:val="000000"/>
          <w:sz w:val="24"/>
          <w:u w:val="single"/>
        </w:rPr>
        <w:t>）、液压升柱器（HSY－5）和回柱器（HH</w:t>
      </w:r>
      <w:r>
        <w:rPr>
          <w:rFonts w:hint="eastAsia" w:ascii="宋体" w:hAnsi="宋体"/>
          <w:color w:val="000000"/>
          <w:sz w:val="24"/>
          <w:u w:val="single"/>
          <w:vertAlign w:val="subscript"/>
        </w:rPr>
        <w:t>2</w:t>
      </w:r>
      <w:r>
        <w:rPr>
          <w:rFonts w:hint="eastAsia" w:ascii="宋体" w:hAnsi="宋体"/>
          <w:color w:val="000000"/>
          <w:sz w:val="24"/>
          <w:u w:val="single"/>
        </w:rPr>
        <w:t>－2）各3～5套。</w:t>
      </w:r>
      <w:r>
        <w:rPr>
          <w:rFonts w:ascii="宋体" w:hAnsi="宋体"/>
          <w:color w:val="000000"/>
          <w:sz w:val="24"/>
          <w:u w:val="single"/>
        </w:rPr>
        <w:t>支柱排</w:t>
      </w:r>
      <w:r>
        <w:rPr>
          <w:rFonts w:hint="eastAsia" w:ascii="宋体" w:hAnsi="宋体"/>
          <w:color w:val="000000"/>
          <w:sz w:val="24"/>
          <w:u w:val="single"/>
        </w:rPr>
        <w:t>距</w:t>
      </w:r>
      <w:r>
        <w:rPr>
          <w:rFonts w:ascii="宋体" w:hAnsi="宋体"/>
          <w:color w:val="000000"/>
          <w:sz w:val="24"/>
          <w:u w:val="single"/>
        </w:rPr>
        <w:t>1.0m、柱距0.</w:t>
      </w:r>
      <w:r>
        <w:rPr>
          <w:rFonts w:hint="eastAsia" w:ascii="宋体" w:hAnsi="宋体"/>
          <w:color w:val="000000"/>
          <w:sz w:val="24"/>
          <w:u w:val="single"/>
        </w:rPr>
        <w:t>6</w:t>
      </w:r>
      <w:r>
        <w:rPr>
          <w:rFonts w:ascii="宋体" w:hAnsi="宋体"/>
          <w:color w:val="000000"/>
          <w:sz w:val="24"/>
          <w:u w:val="single"/>
        </w:rPr>
        <w:t>m，</w:t>
      </w:r>
      <w:r>
        <w:rPr>
          <w:rFonts w:hint="eastAsia" w:ascii="宋体" w:hAnsi="宋体"/>
          <w:color w:val="000000"/>
          <w:sz w:val="24"/>
          <w:u w:val="single"/>
        </w:rPr>
        <w:t>“三、四排”控顶</w:t>
      </w:r>
      <w:r>
        <w:rPr>
          <w:rFonts w:ascii="宋体" w:hAnsi="宋体"/>
          <w:color w:val="000000"/>
          <w:sz w:val="24"/>
          <w:u w:val="single"/>
        </w:rPr>
        <w:t>，最小控顶距3.8m，最大控顶距5.0m，</w:t>
      </w:r>
      <w:r>
        <w:rPr>
          <w:rFonts w:hint="eastAsia" w:ascii="宋体" w:hAnsi="宋体"/>
          <w:color w:val="000000"/>
          <w:sz w:val="24"/>
          <w:u w:val="single"/>
        </w:rPr>
        <w:t>放顶步距1.2m，</w:t>
      </w:r>
      <w:r>
        <w:rPr>
          <w:rFonts w:ascii="宋体" w:hAnsi="宋体"/>
          <w:color w:val="000000"/>
          <w:sz w:val="24"/>
          <w:u w:val="single"/>
        </w:rPr>
        <w:t>全部垮落法管理顶板。</w:t>
      </w:r>
    </w:p>
    <w:p w14:paraId="17BB28C6">
      <w:pPr>
        <w:spacing w:after="50" w:line="360" w:lineRule="auto"/>
        <w:ind w:firstLine="480" w:firstLineChars="200"/>
        <w:rPr>
          <w:rFonts w:ascii="宋体" w:hAnsi="宋体"/>
          <w:sz w:val="24"/>
        </w:rPr>
      </w:pPr>
      <w:r>
        <w:rPr>
          <w:rFonts w:hint="eastAsia" w:ascii="宋体" w:hAnsi="宋体"/>
          <w:sz w:val="24"/>
        </w:rPr>
        <w:t>（2）</w:t>
      </w:r>
      <w:r>
        <w:rPr>
          <w:rFonts w:ascii="宋体" w:hAnsi="宋体"/>
          <w:sz w:val="24"/>
        </w:rPr>
        <w:t>采煤工作面机械配置及运输方式</w:t>
      </w:r>
    </w:p>
    <w:p w14:paraId="1B30D35D">
      <w:pPr>
        <w:autoSpaceDE w:val="0"/>
        <w:autoSpaceDN w:val="0"/>
        <w:adjustRightInd w:val="0"/>
        <w:spacing w:line="360" w:lineRule="auto"/>
        <w:ind w:firstLine="480" w:firstLineChars="200"/>
        <w:jc w:val="left"/>
        <w:rPr>
          <w:rFonts w:hint="eastAsia" w:ascii="宋体" w:hAnsi="宋体"/>
          <w:sz w:val="24"/>
        </w:rPr>
      </w:pPr>
      <w:r>
        <w:rPr>
          <w:rFonts w:ascii="宋体" w:hAnsi="宋体"/>
          <w:sz w:val="24"/>
        </w:rPr>
        <w:t>回采工作面配MG132/320-WD</w:t>
      </w:r>
      <w:r>
        <w:rPr>
          <w:rFonts w:hint="eastAsia" w:ascii="宋体" w:hAnsi="宋体"/>
          <w:sz w:val="24"/>
        </w:rPr>
        <w:t>采煤机1</w:t>
      </w:r>
      <w:r>
        <w:rPr>
          <w:rFonts w:ascii="宋体" w:hAnsi="宋体"/>
          <w:sz w:val="24"/>
        </w:rPr>
        <w:t>台，</w:t>
      </w:r>
      <w:r>
        <w:rPr>
          <w:rFonts w:hint="eastAsia" w:ascii="宋体" w:hAnsi="宋体"/>
          <w:sz w:val="24"/>
        </w:rPr>
        <w:t>采煤机</w:t>
      </w:r>
      <w:r>
        <w:rPr>
          <w:rFonts w:ascii="宋体" w:hAnsi="宋体"/>
          <w:sz w:val="24"/>
        </w:rPr>
        <w:t>落煤，</w:t>
      </w:r>
      <w:r>
        <w:rPr>
          <w:rFonts w:hint="eastAsia" w:ascii="宋体" w:hAnsi="宋体"/>
          <w:sz w:val="24"/>
        </w:rPr>
        <w:t>回采</w:t>
      </w:r>
      <w:r>
        <w:rPr>
          <w:rFonts w:ascii="宋体" w:hAnsi="宋体"/>
          <w:sz w:val="24"/>
        </w:rPr>
        <w:t>工作面运输采用SGZ-630/220</w:t>
      </w:r>
      <w:r>
        <w:rPr>
          <w:rFonts w:hint="eastAsia" w:ascii="宋体" w:hAnsi="宋体"/>
          <w:sz w:val="24"/>
        </w:rPr>
        <w:t>刮板输送机运输</w:t>
      </w:r>
      <w:r>
        <w:rPr>
          <w:rFonts w:ascii="宋体" w:hAnsi="宋体"/>
          <w:sz w:val="24"/>
        </w:rPr>
        <w:t>，</w:t>
      </w:r>
      <w:r>
        <w:rPr>
          <w:rFonts w:hint="eastAsia" w:ascii="宋体" w:hAnsi="宋体"/>
          <w:sz w:val="24"/>
        </w:rPr>
        <w:t>配YZ－774/700液压推溜器8套，</w:t>
      </w:r>
      <w:r>
        <w:rPr>
          <w:rFonts w:ascii="宋体" w:hAnsi="宋体"/>
          <w:sz w:val="24"/>
        </w:rPr>
        <w:t>运输顺槽采用</w:t>
      </w:r>
      <w:r>
        <w:rPr>
          <w:rFonts w:hint="eastAsia" w:ascii="宋体" w:hAnsi="宋体"/>
          <w:sz w:val="24"/>
        </w:rPr>
        <w:t>1</w:t>
      </w:r>
      <w:r>
        <w:rPr>
          <w:rFonts w:ascii="宋体" w:hAnsi="宋体"/>
          <w:sz w:val="24"/>
        </w:rPr>
        <w:t>台</w:t>
      </w:r>
      <w:r>
        <w:rPr>
          <w:rFonts w:ascii="宋体" w:cs="宋体"/>
          <w:kern w:val="0"/>
          <w:sz w:val="24"/>
        </w:rPr>
        <w:t>SZB630/40</w:t>
      </w:r>
      <w:r>
        <w:rPr>
          <w:rFonts w:ascii="宋体" w:hAnsi="宋体"/>
          <w:sz w:val="24"/>
        </w:rPr>
        <w:t>型刮板</w:t>
      </w:r>
      <w:r>
        <w:rPr>
          <w:rFonts w:hint="eastAsia" w:ascii="宋体" w:hAnsi="宋体"/>
          <w:sz w:val="24"/>
        </w:rPr>
        <w:t>转载</w:t>
      </w:r>
      <w:r>
        <w:rPr>
          <w:rFonts w:ascii="宋体" w:hAnsi="宋体"/>
          <w:sz w:val="24"/>
        </w:rPr>
        <w:t>机</w:t>
      </w:r>
      <w:r>
        <w:rPr>
          <w:rFonts w:hint="eastAsia" w:ascii="宋体" w:hAnsi="宋体"/>
          <w:sz w:val="24"/>
        </w:rPr>
        <w:t>和</w:t>
      </w:r>
      <w:r>
        <w:rPr>
          <w:rFonts w:ascii="宋体" w:cs="宋体"/>
          <w:kern w:val="0"/>
          <w:sz w:val="24"/>
        </w:rPr>
        <w:t>DSJ80/20/55</w:t>
      </w:r>
      <w:r>
        <w:rPr>
          <w:rFonts w:hint="eastAsia" w:ascii="宋体" w:hAnsi="宋体"/>
          <w:sz w:val="24"/>
        </w:rPr>
        <w:t>型可伸缩带式输送机1台运输</w:t>
      </w:r>
      <w:r>
        <w:rPr>
          <w:rFonts w:ascii="宋体" w:hAnsi="宋体"/>
          <w:sz w:val="24"/>
        </w:rPr>
        <w:t>，回采工作面主要设备配备</w:t>
      </w:r>
      <w:r>
        <w:rPr>
          <w:rFonts w:hint="eastAsia" w:ascii="宋体" w:hAnsi="宋体"/>
          <w:sz w:val="24"/>
        </w:rPr>
        <w:t>详</w:t>
      </w:r>
      <w:r>
        <w:rPr>
          <w:rFonts w:ascii="宋体" w:hAnsi="宋体"/>
          <w:sz w:val="24"/>
        </w:rPr>
        <w:t>见</w:t>
      </w:r>
      <w:r>
        <w:rPr>
          <w:rFonts w:hint="eastAsia" w:ascii="宋体" w:hAnsi="宋体"/>
          <w:sz w:val="24"/>
        </w:rPr>
        <w:t xml:space="preserve"> </w:t>
      </w:r>
      <w:r>
        <w:rPr>
          <w:rFonts w:ascii="宋体" w:hAnsi="宋体"/>
          <w:b/>
          <w:sz w:val="24"/>
        </w:rPr>
        <w:t>表</w:t>
      </w:r>
      <w:r>
        <w:rPr>
          <w:rFonts w:hint="eastAsia" w:ascii="宋体" w:hAnsi="宋体"/>
          <w:b/>
          <w:sz w:val="24"/>
        </w:rPr>
        <w:t>3</w:t>
      </w:r>
      <w:r>
        <w:rPr>
          <w:rFonts w:ascii="宋体" w:hAnsi="宋体"/>
          <w:b/>
          <w:sz w:val="24"/>
        </w:rPr>
        <w:t>－</w:t>
      </w:r>
      <w:r>
        <w:rPr>
          <w:rFonts w:hint="eastAsia" w:ascii="宋体" w:hAnsi="宋体"/>
          <w:b/>
          <w:sz w:val="24"/>
        </w:rPr>
        <w:t>2</w:t>
      </w:r>
      <w:r>
        <w:rPr>
          <w:rFonts w:ascii="宋体" w:hAnsi="宋体"/>
          <w:b/>
          <w:sz w:val="24"/>
        </w:rPr>
        <w:t>－1</w:t>
      </w:r>
      <w:r>
        <w:rPr>
          <w:rFonts w:ascii="宋体" w:hAnsi="宋体"/>
          <w:sz w:val="24"/>
        </w:rPr>
        <w:t>。</w:t>
      </w:r>
    </w:p>
    <w:p w14:paraId="368E3289">
      <w:pPr>
        <w:ind w:firstLine="482" w:firstLineChars="200"/>
        <w:jc w:val="center"/>
        <w:rPr>
          <w:rFonts w:hint="eastAsia" w:ascii="宋体" w:hAnsi="宋体"/>
          <w:b/>
          <w:color w:val="000000"/>
          <w:sz w:val="24"/>
        </w:rPr>
      </w:pPr>
      <w:r>
        <w:rPr>
          <w:rFonts w:ascii="宋体" w:hAnsi="宋体"/>
          <w:b/>
          <w:color w:val="000000"/>
          <w:sz w:val="24"/>
        </w:rPr>
        <w:t>表</w:t>
      </w:r>
      <w:r>
        <w:rPr>
          <w:rFonts w:hint="eastAsia" w:ascii="宋体" w:hAnsi="宋体"/>
          <w:b/>
          <w:color w:val="000000"/>
          <w:sz w:val="24"/>
        </w:rPr>
        <w:t>3</w:t>
      </w:r>
      <w:r>
        <w:rPr>
          <w:rFonts w:ascii="宋体" w:hAnsi="宋体"/>
          <w:b/>
          <w:color w:val="000000"/>
          <w:sz w:val="24"/>
        </w:rPr>
        <w:t>－</w:t>
      </w:r>
      <w:r>
        <w:rPr>
          <w:rFonts w:hint="eastAsia" w:ascii="宋体" w:hAnsi="宋体"/>
          <w:b/>
          <w:color w:val="000000"/>
          <w:sz w:val="24"/>
        </w:rPr>
        <w:t>2</w:t>
      </w:r>
      <w:r>
        <w:rPr>
          <w:rFonts w:ascii="宋体" w:hAnsi="宋体"/>
          <w:b/>
          <w:color w:val="000000"/>
          <w:sz w:val="24"/>
        </w:rPr>
        <w:t>－1</w:t>
      </w:r>
      <w:r>
        <w:rPr>
          <w:rFonts w:hint="eastAsia" w:ascii="宋体" w:hAnsi="宋体"/>
          <w:b/>
          <w:color w:val="000000"/>
          <w:sz w:val="24"/>
        </w:rPr>
        <w:t>　　　</w:t>
      </w:r>
      <w:r>
        <w:rPr>
          <w:rFonts w:ascii="宋体" w:hAnsi="宋体"/>
          <w:b/>
          <w:color w:val="000000"/>
          <w:sz w:val="24"/>
        </w:rPr>
        <w:t>回采工作面主要设备配备表</w:t>
      </w:r>
    </w:p>
    <w:p w14:paraId="0FE52690">
      <w:pPr>
        <w:spacing w:line="360" w:lineRule="auto"/>
        <w:jc w:val="center"/>
        <w:rPr>
          <w:rFonts w:hint="eastAsia"/>
        </w:rPr>
      </w:pPr>
      <w:r>
        <w:drawing>
          <wp:inline distT="0" distB="0" distL="114300" distR="114300">
            <wp:extent cx="5727065" cy="5086350"/>
            <wp:effectExtent l="0" t="0" r="6985" b="0"/>
            <wp:docPr id="1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4"/>
                    <pic:cNvPicPr>
                      <a:picLocks noChangeAspect="1"/>
                    </pic:cNvPicPr>
                  </pic:nvPicPr>
                  <pic:blipFill>
                    <a:blip r:embed="rId67"/>
                    <a:srcRect l="48592" t="33195" r="21263" b="9813"/>
                    <a:stretch>
                      <a:fillRect/>
                    </a:stretch>
                  </pic:blipFill>
                  <pic:spPr>
                    <a:xfrm>
                      <a:off x="0" y="0"/>
                      <a:ext cx="5727065" cy="5086350"/>
                    </a:xfrm>
                    <a:prstGeom prst="rect">
                      <a:avLst/>
                    </a:prstGeom>
                    <a:noFill/>
                    <a:ln>
                      <a:noFill/>
                    </a:ln>
                  </pic:spPr>
                </pic:pic>
              </a:graphicData>
            </a:graphic>
          </wp:inline>
        </w:drawing>
      </w:r>
    </w:p>
    <w:p w14:paraId="7661968D">
      <w:pPr>
        <w:spacing w:after="50" w:line="360" w:lineRule="auto"/>
        <w:ind w:firstLine="480" w:firstLineChars="200"/>
        <w:rPr>
          <w:rFonts w:ascii="宋体" w:hAnsi="宋体"/>
          <w:sz w:val="24"/>
        </w:rPr>
      </w:pPr>
      <w:r>
        <w:rPr>
          <w:rFonts w:hint="eastAsia" w:ascii="宋体" w:hAnsi="宋体"/>
          <w:sz w:val="24"/>
        </w:rPr>
        <w:t>（3）掘</w:t>
      </w:r>
      <w:r>
        <w:rPr>
          <w:rFonts w:ascii="宋体" w:hAnsi="宋体"/>
          <w:sz w:val="24"/>
        </w:rPr>
        <w:t>进工作面设备配备</w:t>
      </w:r>
    </w:p>
    <w:p w14:paraId="7A65C4F3">
      <w:pPr>
        <w:spacing w:line="360" w:lineRule="auto"/>
        <w:ind w:firstLine="480" w:firstLineChars="200"/>
        <w:rPr>
          <w:rFonts w:hint="eastAsia" w:ascii="宋体" w:hAnsi="宋体"/>
          <w:color w:val="000000"/>
          <w:sz w:val="24"/>
        </w:rPr>
      </w:pPr>
      <w:r>
        <w:rPr>
          <w:rFonts w:ascii="宋体" w:hAnsi="宋体"/>
          <w:color w:val="000000"/>
          <w:sz w:val="24"/>
        </w:rPr>
        <w:t>设计布置二个煤巷掘进</w:t>
      </w:r>
      <w:r>
        <w:rPr>
          <w:rFonts w:hint="eastAsia" w:ascii="宋体" w:hAnsi="宋体"/>
          <w:color w:val="000000"/>
          <w:sz w:val="24"/>
        </w:rPr>
        <w:t>工作面</w:t>
      </w:r>
      <w:r>
        <w:rPr>
          <w:rFonts w:ascii="宋体" w:hAnsi="宋体"/>
          <w:color w:val="000000"/>
          <w:sz w:val="24"/>
        </w:rPr>
        <w:t>，两个掘进工作面均配备ZMS－12T型煤电钻，并配备</w:t>
      </w:r>
      <w:r>
        <w:rPr>
          <w:rFonts w:hint="eastAsia" w:ascii="宋体" w:hAnsi="宋体"/>
          <w:color w:val="000000"/>
          <w:sz w:val="24"/>
        </w:rPr>
        <w:t>ZDY-750</w:t>
      </w:r>
      <w:r>
        <w:rPr>
          <w:rFonts w:ascii="宋体" w:hAnsi="宋体"/>
          <w:color w:val="000000"/>
          <w:sz w:val="24"/>
        </w:rPr>
        <w:t>型探水钻</w:t>
      </w:r>
      <w:r>
        <w:rPr>
          <w:rFonts w:hint="eastAsia" w:ascii="宋体" w:hAnsi="宋体"/>
          <w:color w:val="000000"/>
          <w:sz w:val="24"/>
        </w:rPr>
        <w:t>，FBD№-6.0/2×15</w:t>
      </w:r>
      <w:r>
        <w:rPr>
          <w:rFonts w:ascii="宋体" w:hAnsi="宋体"/>
          <w:color w:val="000000"/>
          <w:sz w:val="24"/>
        </w:rPr>
        <w:t>型局扇和65QUF35</w:t>
      </w:r>
      <w:r>
        <w:rPr>
          <w:rFonts w:hint="eastAsia" w:ascii="宋体" w:hAnsi="宋体"/>
          <w:color w:val="000000"/>
          <w:sz w:val="24"/>
        </w:rPr>
        <w:t>－</w:t>
      </w:r>
      <w:r>
        <w:rPr>
          <w:rFonts w:ascii="宋体" w:hAnsi="宋体"/>
          <w:color w:val="000000"/>
          <w:sz w:val="24"/>
        </w:rPr>
        <w:t>7</w:t>
      </w:r>
      <w:r>
        <w:rPr>
          <w:rFonts w:hint="eastAsia" w:ascii="宋体" w:hAnsi="宋体"/>
          <w:color w:val="000000"/>
          <w:sz w:val="24"/>
        </w:rPr>
        <w:t>－</w:t>
      </w:r>
      <w:r>
        <w:rPr>
          <w:rFonts w:ascii="宋体" w:hAnsi="宋体"/>
          <w:color w:val="000000"/>
          <w:sz w:val="24"/>
        </w:rPr>
        <w:t>2.2污水泵。蟹爪式装煤机装车，矿车运输。掘进工作面</w:t>
      </w:r>
      <w:r>
        <w:rPr>
          <w:rFonts w:hint="eastAsia" w:ascii="宋体" w:hAnsi="宋体"/>
          <w:color w:val="000000"/>
          <w:sz w:val="24"/>
        </w:rPr>
        <w:t>设</w:t>
      </w:r>
      <w:r>
        <w:rPr>
          <w:rFonts w:ascii="宋体" w:hAnsi="宋体"/>
          <w:color w:val="000000"/>
          <w:spacing w:val="-8"/>
          <w:sz w:val="24"/>
        </w:rPr>
        <w:t>备</w:t>
      </w:r>
      <w:r>
        <w:rPr>
          <w:rFonts w:ascii="宋体" w:hAnsi="宋体"/>
          <w:color w:val="000000"/>
          <w:sz w:val="24"/>
        </w:rPr>
        <w:t>配备详见</w:t>
      </w:r>
      <w:r>
        <w:rPr>
          <w:rFonts w:ascii="宋体" w:hAnsi="宋体"/>
          <w:b/>
          <w:color w:val="000000"/>
          <w:sz w:val="24"/>
        </w:rPr>
        <w:t>表</w:t>
      </w:r>
      <w:r>
        <w:rPr>
          <w:rFonts w:hint="eastAsia" w:ascii="宋体" w:hAnsi="宋体"/>
          <w:b/>
          <w:color w:val="000000"/>
          <w:sz w:val="24"/>
        </w:rPr>
        <w:t>3－2－2</w:t>
      </w:r>
      <w:r>
        <w:rPr>
          <w:rFonts w:hint="eastAsia" w:ascii="宋体" w:hAnsi="宋体"/>
          <w:color w:val="000000"/>
          <w:sz w:val="24"/>
        </w:rPr>
        <w:t>，其它设备详见</w:t>
      </w:r>
      <w:r>
        <w:rPr>
          <w:rFonts w:hint="eastAsia" w:ascii="宋体" w:hAnsi="宋体"/>
          <w:b/>
          <w:color w:val="000000"/>
          <w:sz w:val="24"/>
        </w:rPr>
        <w:t>表3－2－3</w:t>
      </w:r>
      <w:r>
        <w:rPr>
          <w:rFonts w:ascii="宋体" w:hAnsi="宋体"/>
          <w:color w:val="000000"/>
          <w:sz w:val="24"/>
        </w:rPr>
        <w:t>。</w:t>
      </w:r>
    </w:p>
    <w:p w14:paraId="777F87AA">
      <w:pPr>
        <w:ind w:firstLine="482" w:firstLineChars="200"/>
        <w:jc w:val="center"/>
        <w:rPr>
          <w:rFonts w:hint="eastAsia" w:ascii="宋体" w:hAnsi="宋体"/>
          <w:b/>
          <w:color w:val="000000"/>
          <w:sz w:val="24"/>
        </w:rPr>
      </w:pPr>
      <w:r>
        <w:rPr>
          <w:rFonts w:ascii="宋体" w:hAnsi="宋体"/>
          <w:b/>
          <w:color w:val="000000"/>
          <w:sz w:val="24"/>
        </w:rPr>
        <w:t>表</w:t>
      </w:r>
      <w:r>
        <w:rPr>
          <w:rFonts w:hint="eastAsia" w:ascii="宋体" w:hAnsi="宋体"/>
          <w:b/>
          <w:color w:val="000000"/>
          <w:sz w:val="24"/>
        </w:rPr>
        <w:t>3</w:t>
      </w:r>
      <w:r>
        <w:rPr>
          <w:rFonts w:ascii="宋体" w:hAnsi="宋体"/>
          <w:b/>
          <w:color w:val="000000"/>
          <w:sz w:val="24"/>
        </w:rPr>
        <w:t>－</w:t>
      </w:r>
      <w:r>
        <w:rPr>
          <w:rFonts w:hint="eastAsia" w:ascii="宋体" w:hAnsi="宋体"/>
          <w:b/>
          <w:color w:val="000000"/>
          <w:sz w:val="24"/>
        </w:rPr>
        <w:t>2</w:t>
      </w:r>
      <w:r>
        <w:rPr>
          <w:rFonts w:ascii="宋体" w:hAnsi="宋体"/>
          <w:b/>
          <w:color w:val="000000"/>
          <w:sz w:val="24"/>
        </w:rPr>
        <w:t>－</w:t>
      </w:r>
      <w:r>
        <w:rPr>
          <w:rFonts w:hint="eastAsia" w:ascii="宋体" w:hAnsi="宋体"/>
          <w:b/>
          <w:color w:val="000000"/>
          <w:sz w:val="24"/>
        </w:rPr>
        <w:t>2　　　</w:t>
      </w:r>
      <w:r>
        <w:rPr>
          <w:rFonts w:ascii="宋体" w:hAnsi="宋体"/>
          <w:b/>
          <w:color w:val="000000"/>
          <w:sz w:val="24"/>
        </w:rPr>
        <w:t>掘进工作面主要设备配备表</w:t>
      </w:r>
    </w:p>
    <w:p w14:paraId="5D50AA49">
      <w:pPr>
        <w:ind w:firstLine="4" w:firstLineChars="2"/>
        <w:jc w:val="center"/>
        <w:rPr>
          <w:rFonts w:hint="eastAsia" w:ascii="宋体" w:hAnsi="宋体"/>
          <w:b/>
          <w:color w:val="000000"/>
          <w:sz w:val="24"/>
        </w:rPr>
      </w:pPr>
      <w:r>
        <w:drawing>
          <wp:inline distT="0" distB="0" distL="114300" distR="114300">
            <wp:extent cx="5749290" cy="2178685"/>
            <wp:effectExtent l="0" t="0" r="3810" b="12065"/>
            <wp:docPr id="2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6"/>
                    <pic:cNvPicPr>
                      <a:picLocks noChangeAspect="1"/>
                    </pic:cNvPicPr>
                  </pic:nvPicPr>
                  <pic:blipFill>
                    <a:blip r:embed="rId68"/>
                    <a:srcRect l="42047" t="42308" r="18822" b="25183"/>
                    <a:stretch>
                      <a:fillRect/>
                    </a:stretch>
                  </pic:blipFill>
                  <pic:spPr>
                    <a:xfrm>
                      <a:off x="0" y="0"/>
                      <a:ext cx="5749290" cy="2178685"/>
                    </a:xfrm>
                    <a:prstGeom prst="rect">
                      <a:avLst/>
                    </a:prstGeom>
                    <a:noFill/>
                    <a:ln>
                      <a:noFill/>
                    </a:ln>
                  </pic:spPr>
                </pic:pic>
              </a:graphicData>
            </a:graphic>
          </wp:inline>
        </w:drawing>
      </w:r>
    </w:p>
    <w:p w14:paraId="4960067B">
      <w:pPr>
        <w:spacing w:line="360" w:lineRule="auto"/>
        <w:ind w:firstLine="480" w:firstLineChars="200"/>
        <w:rPr>
          <w:rFonts w:ascii="宋体" w:hAnsi="宋体"/>
          <w:color w:val="000000"/>
          <w:sz w:val="24"/>
        </w:rPr>
      </w:pPr>
      <w:r>
        <w:rPr>
          <w:rFonts w:ascii="宋体" w:hAnsi="宋体"/>
          <w:color w:val="000000"/>
          <w:sz w:val="24"/>
        </w:rPr>
        <w:t>掘进矸石经各掘进头</w:t>
      </w:r>
      <w:r>
        <w:rPr>
          <w:rFonts w:hint="eastAsia" w:ascii="宋体" w:hAnsi="宋体"/>
          <w:color w:val="000000"/>
          <w:sz w:val="24"/>
        </w:rPr>
        <w:t>到轨道石门，经副斜井绞车提升运输至</w:t>
      </w:r>
      <w:r>
        <w:rPr>
          <w:rFonts w:ascii="宋体" w:hAnsi="宋体"/>
          <w:color w:val="000000"/>
          <w:sz w:val="24"/>
        </w:rPr>
        <w:t>地面排矸场。</w:t>
      </w:r>
    </w:p>
    <w:p w14:paraId="3B3D62F1">
      <w:pPr>
        <w:spacing w:after="50" w:line="360" w:lineRule="auto"/>
        <w:ind w:firstLine="480" w:firstLineChars="200"/>
        <w:rPr>
          <w:rFonts w:ascii="宋体" w:hAnsi="宋体"/>
          <w:b/>
          <w:color w:val="000000"/>
          <w:sz w:val="24"/>
        </w:rPr>
      </w:pPr>
      <w:r>
        <w:rPr>
          <w:rFonts w:hint="eastAsia" w:ascii="宋体" w:hAnsi="宋体"/>
          <w:color w:val="000000"/>
          <w:sz w:val="24"/>
        </w:rPr>
        <w:t>（4）</w:t>
      </w:r>
      <w:r>
        <w:rPr>
          <w:rFonts w:ascii="宋体" w:hAnsi="宋体"/>
          <w:color w:val="000000"/>
          <w:sz w:val="24"/>
        </w:rPr>
        <w:t>其它机械设备配备详见</w:t>
      </w:r>
      <w:r>
        <w:rPr>
          <w:rFonts w:ascii="宋体" w:hAnsi="宋体"/>
          <w:b/>
          <w:color w:val="000000"/>
          <w:sz w:val="24"/>
        </w:rPr>
        <w:t>表</w:t>
      </w:r>
      <w:r>
        <w:rPr>
          <w:rFonts w:hint="eastAsia" w:ascii="宋体" w:hAnsi="宋体"/>
          <w:b/>
          <w:color w:val="000000"/>
          <w:sz w:val="24"/>
        </w:rPr>
        <w:t>3</w:t>
      </w:r>
      <w:r>
        <w:rPr>
          <w:rFonts w:ascii="宋体" w:hAnsi="宋体"/>
          <w:b/>
          <w:color w:val="000000"/>
          <w:sz w:val="24"/>
        </w:rPr>
        <w:t>－</w:t>
      </w:r>
      <w:r>
        <w:rPr>
          <w:rFonts w:hint="eastAsia" w:ascii="宋体" w:hAnsi="宋体"/>
          <w:b/>
          <w:color w:val="000000"/>
          <w:sz w:val="24"/>
        </w:rPr>
        <w:t>2</w:t>
      </w:r>
      <w:r>
        <w:rPr>
          <w:rFonts w:ascii="宋体" w:hAnsi="宋体"/>
          <w:b/>
          <w:color w:val="000000"/>
          <w:sz w:val="24"/>
        </w:rPr>
        <w:t>－</w:t>
      </w:r>
      <w:r>
        <w:rPr>
          <w:rFonts w:hint="eastAsia" w:ascii="宋体" w:hAnsi="宋体"/>
          <w:b/>
          <w:color w:val="000000"/>
          <w:sz w:val="24"/>
        </w:rPr>
        <w:t>3</w:t>
      </w:r>
      <w:r>
        <w:rPr>
          <w:rFonts w:ascii="宋体" w:hAnsi="宋体"/>
          <w:b/>
          <w:color w:val="000000"/>
          <w:sz w:val="24"/>
        </w:rPr>
        <w:t>。</w:t>
      </w:r>
    </w:p>
    <w:p w14:paraId="181B36F4">
      <w:pPr>
        <w:spacing w:line="360" w:lineRule="auto"/>
        <w:ind w:firstLine="482" w:firstLineChars="200"/>
        <w:jc w:val="center"/>
        <w:rPr>
          <w:rFonts w:hint="eastAsia" w:ascii="宋体" w:hAnsi="宋体"/>
          <w:b/>
          <w:color w:val="000000"/>
          <w:sz w:val="24"/>
        </w:rPr>
      </w:pPr>
      <w:r>
        <w:rPr>
          <w:rFonts w:ascii="宋体" w:hAnsi="宋体"/>
          <w:b/>
          <w:color w:val="000000"/>
          <w:sz w:val="24"/>
        </w:rPr>
        <w:t>表</w:t>
      </w:r>
      <w:r>
        <w:rPr>
          <w:rFonts w:hint="eastAsia" w:ascii="宋体" w:hAnsi="宋体"/>
          <w:b/>
          <w:color w:val="000000"/>
          <w:sz w:val="24"/>
        </w:rPr>
        <w:t>3</w:t>
      </w:r>
      <w:r>
        <w:rPr>
          <w:rFonts w:ascii="宋体" w:hAnsi="宋体"/>
          <w:b/>
          <w:color w:val="000000"/>
          <w:sz w:val="24"/>
        </w:rPr>
        <w:t>－</w:t>
      </w:r>
      <w:r>
        <w:rPr>
          <w:rFonts w:hint="eastAsia" w:ascii="宋体" w:hAnsi="宋体"/>
          <w:b/>
          <w:color w:val="000000"/>
          <w:sz w:val="24"/>
        </w:rPr>
        <w:t>2</w:t>
      </w:r>
      <w:r>
        <w:rPr>
          <w:rFonts w:ascii="宋体" w:hAnsi="宋体"/>
          <w:b/>
          <w:color w:val="000000"/>
          <w:sz w:val="24"/>
        </w:rPr>
        <w:t>－</w:t>
      </w:r>
      <w:r>
        <w:rPr>
          <w:rFonts w:hint="eastAsia" w:ascii="宋体" w:hAnsi="宋体"/>
          <w:b/>
          <w:color w:val="000000"/>
          <w:sz w:val="24"/>
        </w:rPr>
        <w:t>3　　　</w:t>
      </w:r>
      <w:r>
        <w:rPr>
          <w:rFonts w:ascii="宋体" w:hAnsi="宋体"/>
          <w:b/>
          <w:color w:val="000000"/>
          <w:sz w:val="24"/>
        </w:rPr>
        <w:t>其它机械设备配备表</w:t>
      </w:r>
    </w:p>
    <w:p w14:paraId="4E8E9923">
      <w:pPr>
        <w:spacing w:after="50"/>
        <w:jc w:val="center"/>
        <w:rPr>
          <w:rFonts w:hint="eastAsia"/>
        </w:rPr>
      </w:pPr>
      <w:r>
        <w:drawing>
          <wp:inline distT="0" distB="0" distL="114300" distR="114300">
            <wp:extent cx="5760085" cy="2405380"/>
            <wp:effectExtent l="0" t="0" r="12065" b="13970"/>
            <wp:docPr id="2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5"/>
                    <pic:cNvPicPr>
                      <a:picLocks noChangeAspect="1"/>
                    </pic:cNvPicPr>
                  </pic:nvPicPr>
                  <pic:blipFill>
                    <a:blip r:embed="rId69"/>
                    <a:srcRect l="19917" t="39821" r="23773" b="14876"/>
                    <a:stretch>
                      <a:fillRect/>
                    </a:stretch>
                  </pic:blipFill>
                  <pic:spPr>
                    <a:xfrm>
                      <a:off x="0" y="0"/>
                      <a:ext cx="5760085" cy="2405380"/>
                    </a:xfrm>
                    <a:prstGeom prst="rect">
                      <a:avLst/>
                    </a:prstGeom>
                    <a:noFill/>
                    <a:ln>
                      <a:noFill/>
                    </a:ln>
                  </pic:spPr>
                </pic:pic>
              </a:graphicData>
            </a:graphic>
          </wp:inline>
        </w:drawing>
      </w:r>
    </w:p>
    <w:p w14:paraId="5ADEFDB8">
      <w:pPr>
        <w:pStyle w:val="23"/>
        <w:spacing w:line="520" w:lineRule="exact"/>
        <w:rPr>
          <w:color w:val="000000"/>
        </w:rPr>
      </w:pPr>
      <w:r>
        <w:rPr>
          <w:rFonts w:hint="eastAsia"/>
          <w:color w:val="000000"/>
        </w:rPr>
        <w:t>该</w:t>
      </w:r>
      <w:r>
        <w:rPr>
          <w:color w:val="000000"/>
        </w:rPr>
        <w:t>矿达到设计生产能力时共配备一个</w:t>
      </w:r>
      <w:r>
        <w:rPr>
          <w:rFonts w:hint="eastAsia"/>
          <w:color w:val="000000"/>
        </w:rPr>
        <w:t>普</w:t>
      </w:r>
      <w:r>
        <w:rPr>
          <w:color w:val="000000"/>
        </w:rPr>
        <w:t>采工作面、二个掘进工作面。</w:t>
      </w:r>
    </w:p>
    <w:p w14:paraId="3083A1DC">
      <w:pPr>
        <w:pStyle w:val="32"/>
        <w:spacing w:line="520" w:lineRule="exact"/>
        <w:ind w:firstLine="480" w:firstLineChars="200"/>
        <w:rPr>
          <w:rFonts w:ascii="宋体" w:hAnsi="宋体"/>
          <w:color w:val="000000"/>
        </w:rPr>
      </w:pPr>
      <w:r>
        <w:rPr>
          <w:rFonts w:hint="eastAsia" w:ascii="宋体" w:hAnsi="宋体"/>
          <w:color w:val="000000"/>
        </w:rPr>
        <w:t>3、</w:t>
      </w:r>
      <w:r>
        <w:rPr>
          <w:rFonts w:ascii="宋体" w:hAnsi="宋体"/>
          <w:color w:val="000000"/>
        </w:rPr>
        <w:t>采煤工作面布置</w:t>
      </w:r>
    </w:p>
    <w:p w14:paraId="30ECA3A6">
      <w:pPr>
        <w:pStyle w:val="32"/>
        <w:tabs>
          <w:tab w:val="left" w:pos="2985"/>
        </w:tabs>
        <w:spacing w:line="520" w:lineRule="exact"/>
        <w:ind w:firstLine="480" w:firstLineChars="200"/>
        <w:rPr>
          <w:rFonts w:ascii="宋体" w:hAnsi="宋体"/>
          <w:color w:val="000000"/>
        </w:rPr>
      </w:pPr>
      <w:r>
        <w:rPr>
          <w:rFonts w:hint="eastAsia" w:ascii="宋体" w:hAnsi="宋体"/>
          <w:color w:val="000000"/>
        </w:rPr>
        <w:t>（1）</w:t>
      </w:r>
      <w:r>
        <w:rPr>
          <w:rFonts w:ascii="宋体" w:hAnsi="宋体"/>
          <w:color w:val="000000"/>
        </w:rPr>
        <w:t>工作面主要参数</w:t>
      </w:r>
    </w:p>
    <w:p w14:paraId="377D7DB3">
      <w:pPr>
        <w:pStyle w:val="32"/>
        <w:spacing w:line="520" w:lineRule="exact"/>
        <w:ind w:firstLine="480" w:firstLineChars="200"/>
        <w:rPr>
          <w:rFonts w:ascii="宋体" w:hAnsi="宋体"/>
          <w:color w:val="000000"/>
        </w:rPr>
      </w:pPr>
      <w:r>
        <w:rPr>
          <w:rFonts w:ascii="宋体" w:hAnsi="宋体"/>
          <w:color w:val="000000"/>
        </w:rPr>
        <w:t>工作面长度的合理与否是实现工作面高产稳产的因数之一，一般情况下，加大工作面长度可获得较高的产量，提高劳动生产率，降低吨煤成本，但是，工作面长度过长亦会给工作面生产带来很多不利因素，反而不利于顶板控制及工作面的管理，影响安全生产。</w:t>
      </w:r>
    </w:p>
    <w:p w14:paraId="2229AD69">
      <w:pPr>
        <w:spacing w:line="520" w:lineRule="exact"/>
        <w:ind w:firstLine="480" w:firstLineChars="200"/>
        <w:rPr>
          <w:rFonts w:ascii="宋体" w:hAnsi="宋体"/>
          <w:color w:val="000000"/>
          <w:sz w:val="24"/>
        </w:rPr>
      </w:pPr>
      <w:r>
        <w:rPr>
          <w:rFonts w:hint="eastAsia" w:ascii="宋体" w:hAnsi="宋体"/>
          <w:color w:val="000000"/>
          <w:sz w:val="24"/>
        </w:rPr>
        <w:t>水城县玉舍大坪煤矿所</w:t>
      </w:r>
      <w:r>
        <w:rPr>
          <w:rFonts w:ascii="宋体" w:hAnsi="宋体"/>
          <w:color w:val="000000"/>
          <w:sz w:val="24"/>
        </w:rPr>
        <w:t>开采</w:t>
      </w:r>
      <w:r>
        <w:rPr>
          <w:rFonts w:hint="eastAsia" w:ascii="宋体" w:hAnsi="宋体"/>
          <w:color w:val="000000"/>
          <w:sz w:val="24"/>
        </w:rPr>
        <w:t>的</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w:t>
      </w:r>
      <w:r>
        <w:rPr>
          <w:rFonts w:ascii="宋体" w:hAnsi="宋体"/>
          <w:sz w:val="24"/>
        </w:rPr>
        <w:t>k</w:t>
      </w:r>
      <w:r>
        <w:rPr>
          <w:rFonts w:hint="eastAsia" w:ascii="宋体" w:hAnsi="宋体"/>
          <w:sz w:val="24"/>
        </w:rPr>
        <w:t>110</w:t>
      </w:r>
      <w:r>
        <w:rPr>
          <w:rFonts w:ascii="宋体" w:hAnsi="宋体"/>
          <w:sz w:val="24"/>
        </w:rPr>
        <w:t>-</w:t>
      </w:r>
      <w:r>
        <w:rPr>
          <w:rFonts w:hint="eastAsia" w:ascii="宋体" w:hAnsi="宋体"/>
          <w:sz w:val="24"/>
        </w:rPr>
        <w:t>a</w:t>
      </w:r>
      <w:r>
        <w:rPr>
          <w:rFonts w:hint="eastAsia" w:ascii="宋体" w:hAnsi="宋体"/>
          <w:color w:val="000000"/>
          <w:sz w:val="24"/>
        </w:rPr>
        <w:t>共11层煤均</w:t>
      </w:r>
      <w:r>
        <w:rPr>
          <w:rFonts w:ascii="宋体" w:hAnsi="宋体"/>
          <w:color w:val="000000"/>
          <w:sz w:val="24"/>
        </w:rPr>
        <w:t>为</w:t>
      </w:r>
      <w:r>
        <w:rPr>
          <w:rFonts w:hint="eastAsia" w:ascii="宋体" w:hAnsi="宋体"/>
          <w:color w:val="000000"/>
          <w:sz w:val="24"/>
        </w:rPr>
        <w:t>倾斜薄及中厚煤层</w:t>
      </w:r>
      <w:r>
        <w:rPr>
          <w:rFonts w:ascii="宋体" w:hAnsi="宋体"/>
          <w:color w:val="000000"/>
          <w:sz w:val="24"/>
        </w:rPr>
        <w:t>，设计结合</w:t>
      </w:r>
      <w:r>
        <w:rPr>
          <w:rFonts w:hint="eastAsia" w:ascii="宋体" w:hAnsi="宋体"/>
          <w:color w:val="000000"/>
          <w:sz w:val="24"/>
        </w:rPr>
        <w:t>该</w:t>
      </w:r>
      <w:r>
        <w:rPr>
          <w:rFonts w:ascii="宋体" w:hAnsi="宋体"/>
          <w:color w:val="000000"/>
          <w:sz w:val="24"/>
        </w:rPr>
        <w:t>煤矿的设计生产能力、工作面技术装备，确定矿井工作面长度为</w:t>
      </w:r>
      <w:r>
        <w:rPr>
          <w:rFonts w:hint="eastAsia" w:ascii="宋体" w:hAnsi="宋体"/>
          <w:color w:val="000000"/>
          <w:sz w:val="24"/>
        </w:rPr>
        <w:t>100－130</w:t>
      </w:r>
      <w:r>
        <w:rPr>
          <w:rFonts w:ascii="宋体" w:hAnsi="宋体"/>
          <w:color w:val="000000"/>
          <w:sz w:val="24"/>
        </w:rPr>
        <w:t>m</w:t>
      </w:r>
      <w:r>
        <w:rPr>
          <w:rFonts w:hint="eastAsia" w:ascii="宋体" w:hAnsi="宋体"/>
          <w:color w:val="000000"/>
          <w:sz w:val="24"/>
        </w:rPr>
        <w:t>之间</w:t>
      </w:r>
      <w:r>
        <w:rPr>
          <w:rFonts w:ascii="宋体" w:hAnsi="宋体"/>
          <w:color w:val="000000"/>
          <w:sz w:val="24"/>
        </w:rPr>
        <w:t>。</w:t>
      </w:r>
    </w:p>
    <w:p w14:paraId="4F8FA383">
      <w:pPr>
        <w:spacing w:line="520" w:lineRule="exact"/>
        <w:ind w:firstLine="480" w:firstLineChars="200"/>
        <w:rPr>
          <w:rFonts w:ascii="宋体" w:hAnsi="宋体"/>
          <w:color w:val="000000"/>
          <w:sz w:val="24"/>
        </w:rPr>
      </w:pPr>
      <w:r>
        <w:rPr>
          <w:rFonts w:hint="eastAsia" w:ascii="宋体" w:hAnsi="宋体"/>
          <w:color w:val="000000"/>
          <w:sz w:val="24"/>
        </w:rPr>
        <w:t>（2）工作面巷道</w:t>
      </w:r>
      <w:r>
        <w:rPr>
          <w:rFonts w:ascii="宋体" w:hAnsi="宋体"/>
          <w:color w:val="000000"/>
          <w:sz w:val="24"/>
        </w:rPr>
        <w:t>布置方式</w:t>
      </w:r>
    </w:p>
    <w:p w14:paraId="10DED2B1">
      <w:pPr>
        <w:spacing w:line="520" w:lineRule="exact"/>
        <w:ind w:firstLine="480" w:firstLineChars="200"/>
        <w:rPr>
          <w:rFonts w:ascii="宋体" w:hAnsi="宋体"/>
          <w:color w:val="000000"/>
          <w:sz w:val="24"/>
        </w:rPr>
      </w:pPr>
      <w:r>
        <w:rPr>
          <w:rFonts w:ascii="宋体" w:hAnsi="宋体"/>
          <w:color w:val="000000"/>
          <w:sz w:val="24"/>
        </w:rPr>
        <w:t>采工作面采用U型通风，布置二条顺槽，运输顺槽运煤、进风、行人</w:t>
      </w:r>
      <w:r>
        <w:rPr>
          <w:rFonts w:hint="eastAsia" w:ascii="宋体" w:hAnsi="宋体"/>
          <w:color w:val="000000"/>
          <w:sz w:val="24"/>
        </w:rPr>
        <w:t>，</w:t>
      </w:r>
      <w:r>
        <w:rPr>
          <w:rFonts w:ascii="宋体" w:hAnsi="宋体"/>
          <w:color w:val="000000"/>
          <w:sz w:val="24"/>
        </w:rPr>
        <w:t>回风顺槽回风、运材料、行人。</w:t>
      </w:r>
    </w:p>
    <w:p w14:paraId="74551D0D">
      <w:pPr>
        <w:spacing w:line="520" w:lineRule="exact"/>
        <w:ind w:firstLine="480" w:firstLineChars="200"/>
        <w:rPr>
          <w:rFonts w:ascii="宋体" w:hAnsi="宋体"/>
          <w:color w:val="000000"/>
          <w:sz w:val="24"/>
        </w:rPr>
      </w:pPr>
      <w:r>
        <w:rPr>
          <w:rFonts w:hint="eastAsia" w:ascii="宋体" w:hAnsi="宋体"/>
          <w:color w:val="000000"/>
          <w:sz w:val="24"/>
        </w:rPr>
        <w:t>（3）</w:t>
      </w:r>
      <w:r>
        <w:rPr>
          <w:rFonts w:ascii="宋体" w:hAnsi="宋体"/>
          <w:color w:val="000000"/>
          <w:sz w:val="24"/>
        </w:rPr>
        <w:t>工作面推进度及设计生产能力</w:t>
      </w:r>
    </w:p>
    <w:p w14:paraId="2AA7C844">
      <w:pPr>
        <w:spacing w:after="50" w:line="520" w:lineRule="exact"/>
        <w:ind w:firstLine="480" w:firstLineChars="200"/>
        <w:rPr>
          <w:rFonts w:ascii="宋体" w:hAnsi="宋体"/>
          <w:color w:val="000000"/>
          <w:sz w:val="24"/>
        </w:rPr>
      </w:pPr>
      <w:r>
        <w:rPr>
          <w:rFonts w:ascii="宋体" w:hAnsi="宋体"/>
          <w:color w:val="000000"/>
          <w:sz w:val="24"/>
        </w:rPr>
        <w:t>矿井</w:t>
      </w:r>
      <w:r>
        <w:rPr>
          <w:rFonts w:hint="eastAsia" w:ascii="宋体" w:hAnsi="宋体"/>
          <w:color w:val="000000"/>
          <w:sz w:val="24"/>
        </w:rPr>
        <w:t>设计</w:t>
      </w:r>
      <w:r>
        <w:rPr>
          <w:rFonts w:ascii="宋体" w:hAnsi="宋体"/>
          <w:color w:val="000000"/>
          <w:sz w:val="24"/>
        </w:rPr>
        <w:t>年生产能力为</w:t>
      </w:r>
      <w:r>
        <w:rPr>
          <w:rFonts w:hint="eastAsia" w:ascii="宋体" w:hAnsi="宋体"/>
          <w:color w:val="000000"/>
          <w:sz w:val="24"/>
        </w:rPr>
        <w:t>30万吨/年</w:t>
      </w:r>
      <w:r>
        <w:rPr>
          <w:rFonts w:ascii="宋体" w:hAnsi="宋体"/>
          <w:color w:val="000000"/>
          <w:sz w:val="24"/>
        </w:rPr>
        <w:t>，以一个采区一个</w:t>
      </w:r>
      <w:r>
        <w:rPr>
          <w:rFonts w:hint="eastAsia" w:ascii="宋体" w:hAnsi="宋体"/>
          <w:color w:val="000000"/>
          <w:sz w:val="24"/>
        </w:rPr>
        <w:t>普</w:t>
      </w:r>
      <w:r>
        <w:rPr>
          <w:rFonts w:ascii="宋体" w:hAnsi="宋体"/>
          <w:color w:val="000000"/>
          <w:sz w:val="24"/>
        </w:rPr>
        <w:t>采工作面达到生产能力，</w:t>
      </w:r>
      <w:r>
        <w:rPr>
          <w:rFonts w:hint="eastAsia" w:ascii="宋体" w:hAnsi="宋体"/>
          <w:color w:val="000000"/>
          <w:sz w:val="24"/>
        </w:rPr>
        <w:t>首采</w:t>
      </w:r>
      <w:r>
        <w:rPr>
          <w:rFonts w:ascii="宋体" w:hAnsi="宋体"/>
          <w:color w:val="000000"/>
          <w:sz w:val="24"/>
        </w:rPr>
        <w:t>工作面布置在</w:t>
      </w:r>
      <w:r>
        <w:rPr>
          <w:rFonts w:ascii="宋体" w:hAnsi="宋体"/>
          <w:sz w:val="24"/>
        </w:rPr>
        <w:t>K1-b</w:t>
      </w:r>
      <w:r>
        <w:rPr>
          <w:rFonts w:hint="eastAsia" w:ascii="宋体" w:hAnsi="宋体"/>
          <w:color w:val="000000"/>
          <w:sz w:val="24"/>
        </w:rPr>
        <w:t>煤层中</w:t>
      </w:r>
      <w:r>
        <w:rPr>
          <w:rFonts w:ascii="宋体" w:hAnsi="宋体"/>
          <w:color w:val="000000"/>
          <w:sz w:val="24"/>
        </w:rPr>
        <w:t>，</w:t>
      </w:r>
      <w:r>
        <w:rPr>
          <w:rFonts w:hint="eastAsia" w:ascii="宋体" w:hAnsi="宋体"/>
          <w:color w:val="000000"/>
          <w:sz w:val="24"/>
        </w:rPr>
        <w:t>煤层平均倾角为30°，为便于采煤机行走，回采工作面采取伪斜布置，伪斜布置后工作面平均倾角为25°,工作面平均斜长120</w:t>
      </w:r>
      <w:r>
        <w:rPr>
          <w:rFonts w:ascii="宋体" w:hAnsi="宋体"/>
          <w:color w:val="000000"/>
          <w:sz w:val="24"/>
        </w:rPr>
        <w:t>m</w:t>
      </w:r>
      <w:r>
        <w:rPr>
          <w:rFonts w:hint="eastAsia" w:ascii="宋体" w:hAnsi="宋体"/>
          <w:color w:val="000000"/>
          <w:sz w:val="24"/>
        </w:rPr>
        <w:t>，平均采高为2.3m，</w:t>
      </w:r>
      <w:r>
        <w:rPr>
          <w:rFonts w:ascii="宋体" w:hAnsi="宋体"/>
          <w:color w:val="000000"/>
          <w:sz w:val="24"/>
        </w:rPr>
        <w:t>工作面回采率</w:t>
      </w:r>
      <w:r>
        <w:rPr>
          <w:rFonts w:hint="eastAsia" w:ascii="宋体" w:hAnsi="宋体"/>
          <w:color w:val="000000"/>
          <w:sz w:val="24"/>
        </w:rPr>
        <w:t>95</w:t>
      </w:r>
      <w:r>
        <w:rPr>
          <w:rFonts w:ascii="宋体" w:hAnsi="宋体"/>
          <w:color w:val="000000"/>
          <w:sz w:val="24"/>
        </w:rPr>
        <w:t>%，年工作330天，年推进度</w:t>
      </w:r>
      <w:r>
        <w:rPr>
          <w:rFonts w:hint="eastAsia" w:ascii="宋体" w:hAnsi="宋体"/>
          <w:color w:val="000000"/>
          <w:sz w:val="24"/>
        </w:rPr>
        <w:t>767</w:t>
      </w:r>
      <w:r>
        <w:rPr>
          <w:rFonts w:ascii="宋体" w:hAnsi="宋体"/>
          <w:color w:val="000000"/>
          <w:sz w:val="24"/>
        </w:rPr>
        <w:t>m，年生产能力为：</w:t>
      </w:r>
    </w:p>
    <w:p w14:paraId="2D974323">
      <w:pPr>
        <w:autoSpaceDE w:val="0"/>
        <w:autoSpaceDN w:val="0"/>
        <w:adjustRightInd w:val="0"/>
        <w:spacing w:line="520" w:lineRule="exact"/>
        <w:ind w:firstLine="480" w:firstLineChars="200"/>
        <w:rPr>
          <w:rFonts w:hint="eastAsia" w:ascii="宋体" w:hAnsi="宋体"/>
          <w:color w:val="000000"/>
          <w:kern w:val="0"/>
          <w:sz w:val="24"/>
        </w:rPr>
      </w:pPr>
      <w:r>
        <w:rPr>
          <w:rFonts w:ascii="宋体" w:hAnsi="宋体"/>
          <w:color w:val="000000"/>
          <w:kern w:val="0"/>
          <w:sz w:val="24"/>
        </w:rPr>
        <w:t>Q</w:t>
      </w:r>
      <w:r>
        <w:rPr>
          <w:rFonts w:hint="eastAsia" w:ascii="宋体" w:hAnsi="宋体"/>
          <w:color w:val="000000"/>
          <w:kern w:val="0"/>
          <w:sz w:val="24"/>
        </w:rPr>
        <w:t>＝</w:t>
      </w:r>
      <w:r>
        <w:rPr>
          <w:rFonts w:ascii="宋体" w:hAnsi="宋体"/>
          <w:color w:val="000000"/>
          <w:kern w:val="0"/>
          <w:sz w:val="24"/>
        </w:rPr>
        <w:t>L</w:t>
      </w:r>
      <w:r>
        <w:rPr>
          <w:rFonts w:hint="eastAsia" w:ascii="宋体" w:hAnsi="宋体"/>
          <w:color w:val="000000"/>
          <w:kern w:val="0"/>
          <w:sz w:val="24"/>
        </w:rPr>
        <w:t>×</w:t>
      </w:r>
      <w:r>
        <w:rPr>
          <w:rFonts w:ascii="宋体" w:hAnsi="宋体"/>
          <w:color w:val="000000"/>
          <w:kern w:val="0"/>
          <w:sz w:val="24"/>
        </w:rPr>
        <w:t>Da</w:t>
      </w:r>
      <w:r>
        <w:rPr>
          <w:rFonts w:hint="eastAsia" w:ascii="宋体" w:hAnsi="宋体"/>
          <w:color w:val="000000"/>
          <w:kern w:val="0"/>
          <w:sz w:val="24"/>
        </w:rPr>
        <w:t>×M×γ×</w:t>
      </w:r>
      <w:r>
        <w:rPr>
          <w:rFonts w:ascii="宋体" w:hAnsi="宋体"/>
          <w:color w:val="000000"/>
          <w:kern w:val="0"/>
          <w:sz w:val="24"/>
        </w:rPr>
        <w:t>C</w:t>
      </w:r>
    </w:p>
    <w:p w14:paraId="2C1C170E">
      <w:pPr>
        <w:autoSpaceDE w:val="0"/>
        <w:autoSpaceDN w:val="0"/>
        <w:adjustRightInd w:val="0"/>
        <w:spacing w:line="520" w:lineRule="exact"/>
        <w:ind w:firstLine="480" w:firstLineChars="200"/>
        <w:rPr>
          <w:rFonts w:hint="eastAsia" w:ascii="宋体" w:hAnsi="宋体"/>
          <w:color w:val="000000"/>
          <w:sz w:val="24"/>
        </w:rPr>
      </w:pPr>
      <w:r>
        <w:rPr>
          <w:rFonts w:hint="eastAsia" w:ascii="宋体" w:hAnsi="宋体"/>
          <w:color w:val="000000"/>
          <w:sz w:val="24"/>
        </w:rPr>
        <w:t>＝120</w:t>
      </w:r>
      <w:r>
        <w:rPr>
          <w:rFonts w:ascii="宋体" w:hAnsi="宋体"/>
          <w:color w:val="000000"/>
          <w:sz w:val="24"/>
        </w:rPr>
        <w:t>×</w:t>
      </w:r>
      <w:r>
        <w:rPr>
          <w:rFonts w:hint="eastAsia" w:ascii="宋体" w:hAnsi="宋体"/>
          <w:color w:val="000000"/>
          <w:sz w:val="24"/>
        </w:rPr>
        <w:t>2.3</w:t>
      </w:r>
      <w:r>
        <w:rPr>
          <w:rFonts w:ascii="宋体" w:hAnsi="宋体"/>
          <w:color w:val="000000"/>
          <w:sz w:val="24"/>
        </w:rPr>
        <w:t>×</w:t>
      </w:r>
      <w:r>
        <w:rPr>
          <w:rFonts w:hint="eastAsia" w:ascii="宋体" w:hAnsi="宋体"/>
          <w:color w:val="000000"/>
          <w:sz w:val="24"/>
        </w:rPr>
        <w:t>767</w:t>
      </w:r>
      <w:r>
        <w:rPr>
          <w:rFonts w:ascii="宋体" w:hAnsi="宋体"/>
          <w:color w:val="000000"/>
          <w:sz w:val="24"/>
        </w:rPr>
        <w:t>×</w:t>
      </w:r>
      <w:r>
        <w:rPr>
          <w:rFonts w:hint="eastAsia" w:ascii="宋体" w:hAnsi="宋体"/>
          <w:color w:val="000000"/>
          <w:sz w:val="24"/>
        </w:rPr>
        <w:t>1.49</w:t>
      </w:r>
      <w:r>
        <w:rPr>
          <w:rFonts w:ascii="宋体" w:hAnsi="宋体"/>
          <w:color w:val="000000"/>
          <w:sz w:val="24"/>
        </w:rPr>
        <w:t>×</w:t>
      </w:r>
      <w:r>
        <w:rPr>
          <w:rFonts w:hint="eastAsia" w:ascii="宋体" w:hAnsi="宋体"/>
          <w:color w:val="000000"/>
          <w:sz w:val="24"/>
        </w:rPr>
        <w:t>0.95</w:t>
      </w:r>
    </w:p>
    <w:p w14:paraId="6D1D7C96">
      <w:pPr>
        <w:autoSpaceDE w:val="0"/>
        <w:autoSpaceDN w:val="0"/>
        <w:adjustRightInd w:val="0"/>
        <w:spacing w:line="520" w:lineRule="exact"/>
        <w:ind w:firstLine="480" w:firstLineChars="200"/>
        <w:rPr>
          <w:rFonts w:ascii="宋体" w:hAnsi="宋体"/>
          <w:color w:val="000000"/>
          <w:spacing w:val="-8"/>
          <w:sz w:val="24"/>
        </w:rPr>
      </w:pPr>
      <w:r>
        <w:rPr>
          <w:rFonts w:hint="eastAsia" w:ascii="宋体" w:hAnsi="宋体"/>
          <w:color w:val="000000"/>
          <w:sz w:val="24"/>
        </w:rPr>
        <w:t>＝30.0</w:t>
      </w:r>
      <w:r>
        <w:rPr>
          <w:rFonts w:ascii="宋体" w:hAnsi="宋体"/>
          <w:color w:val="000000"/>
          <w:sz w:val="24"/>
        </w:rPr>
        <w:t>万吨/年</w:t>
      </w:r>
      <w:r>
        <w:rPr>
          <w:rFonts w:ascii="宋体" w:hAnsi="宋体"/>
          <w:color w:val="000000"/>
          <w:spacing w:val="-8"/>
          <w:sz w:val="24"/>
        </w:rPr>
        <w:t xml:space="preserve"> </w:t>
      </w:r>
    </w:p>
    <w:p w14:paraId="0C1DF04C">
      <w:pPr>
        <w:spacing w:line="520" w:lineRule="exact"/>
        <w:ind w:firstLine="480" w:firstLineChars="200"/>
        <w:rPr>
          <w:rFonts w:hint="eastAsia" w:ascii="宋体" w:hAnsi="宋体"/>
          <w:color w:val="000000"/>
          <w:sz w:val="24"/>
        </w:rPr>
      </w:pPr>
      <w:r>
        <w:rPr>
          <w:rFonts w:ascii="宋体" w:hAnsi="宋体"/>
          <w:color w:val="000000"/>
          <w:sz w:val="24"/>
        </w:rPr>
        <w:t>掘进出煤按</w:t>
      </w:r>
      <w:r>
        <w:rPr>
          <w:rFonts w:hint="eastAsia" w:ascii="宋体" w:hAnsi="宋体"/>
          <w:color w:val="000000"/>
          <w:sz w:val="24"/>
        </w:rPr>
        <w:t>矿井设计生产能力的</w:t>
      </w:r>
      <w:r>
        <w:rPr>
          <w:rFonts w:ascii="宋体" w:hAnsi="宋体"/>
          <w:color w:val="000000"/>
          <w:sz w:val="24"/>
        </w:rPr>
        <w:t>5%</w:t>
      </w:r>
      <w:r>
        <w:rPr>
          <w:rFonts w:hint="eastAsia" w:ascii="宋体" w:hAnsi="宋体"/>
          <w:color w:val="000000"/>
          <w:sz w:val="24"/>
        </w:rPr>
        <w:t>考虑</w:t>
      </w:r>
      <w:r>
        <w:rPr>
          <w:rFonts w:ascii="宋体" w:hAnsi="宋体"/>
          <w:color w:val="000000"/>
          <w:sz w:val="24"/>
        </w:rPr>
        <w:t>，计算得掘进出煤为</w:t>
      </w:r>
      <w:r>
        <w:rPr>
          <w:rFonts w:hint="eastAsia" w:ascii="宋体" w:hAnsi="宋体"/>
          <w:color w:val="000000"/>
          <w:sz w:val="24"/>
        </w:rPr>
        <w:t>1.5万吨</w:t>
      </w:r>
      <w:r>
        <w:rPr>
          <w:rFonts w:ascii="宋体" w:hAnsi="宋体"/>
          <w:color w:val="000000"/>
          <w:sz w:val="24"/>
        </w:rPr>
        <w:t>，矿井</w:t>
      </w:r>
      <w:r>
        <w:rPr>
          <w:rFonts w:hint="eastAsia" w:ascii="宋体" w:hAnsi="宋体"/>
          <w:color w:val="000000"/>
          <w:sz w:val="24"/>
        </w:rPr>
        <w:t>年</w:t>
      </w:r>
      <w:r>
        <w:rPr>
          <w:rFonts w:ascii="宋体" w:hAnsi="宋体"/>
          <w:color w:val="000000"/>
          <w:sz w:val="24"/>
        </w:rPr>
        <w:t>生产能力为</w:t>
      </w:r>
      <w:r>
        <w:rPr>
          <w:rFonts w:hint="eastAsia" w:ascii="宋体" w:hAnsi="宋体"/>
          <w:color w:val="000000"/>
          <w:sz w:val="24"/>
        </w:rPr>
        <w:t>31.5万吨</w:t>
      </w:r>
      <w:r>
        <w:rPr>
          <w:rFonts w:ascii="宋体" w:hAnsi="宋体"/>
          <w:color w:val="000000"/>
          <w:sz w:val="24"/>
        </w:rPr>
        <w:t>。</w:t>
      </w:r>
    </w:p>
    <w:p w14:paraId="717C7BF2">
      <w:pPr>
        <w:spacing w:line="520" w:lineRule="exact"/>
        <w:ind w:firstLine="480" w:firstLineChars="200"/>
        <w:rPr>
          <w:rFonts w:hint="eastAsia" w:ascii="宋体" w:hAnsi="宋体"/>
          <w:color w:val="000000"/>
          <w:sz w:val="24"/>
        </w:rPr>
      </w:pPr>
      <w:r>
        <w:rPr>
          <w:rFonts w:hint="eastAsia" w:ascii="宋体" w:hAnsi="宋体"/>
          <w:color w:val="000000"/>
          <w:sz w:val="24"/>
        </w:rPr>
        <w:t>（4）</w:t>
      </w:r>
      <w:r>
        <w:rPr>
          <w:rFonts w:ascii="宋体" w:hAnsi="宋体"/>
          <w:color w:val="000000"/>
          <w:sz w:val="24"/>
        </w:rPr>
        <w:t>工作面</w:t>
      </w:r>
      <w:r>
        <w:rPr>
          <w:rFonts w:hint="eastAsia" w:ascii="宋体" w:hAnsi="宋体"/>
          <w:color w:val="000000"/>
          <w:sz w:val="24"/>
        </w:rPr>
        <w:t>接替顺序</w:t>
      </w:r>
    </w:p>
    <w:p w14:paraId="1EAFB7E9">
      <w:pPr>
        <w:spacing w:line="520" w:lineRule="exact"/>
        <w:ind w:firstLine="480" w:firstLineChars="200"/>
        <w:rPr>
          <w:rFonts w:hint="eastAsia" w:ascii="宋体" w:hAnsi="宋体"/>
          <w:sz w:val="24"/>
        </w:rPr>
      </w:pPr>
      <w:r>
        <w:rPr>
          <w:rFonts w:hint="eastAsia" w:ascii="宋体" w:hAnsi="宋体"/>
          <w:sz w:val="24"/>
        </w:rPr>
        <w:t>矿井一采区首采工作面为11015工作面，依次是11135工作面、11136工作面、11265工作面、11185工作面、11355工作面，一采区开采完毕，进入二采区准备。</w:t>
      </w:r>
    </w:p>
    <w:p w14:paraId="4E1B1F26">
      <w:pPr>
        <w:pStyle w:val="4"/>
        <w:keepLines/>
        <w:adjustRightInd w:val="0"/>
        <w:snapToGrid w:val="0"/>
        <w:spacing w:before="240" w:after="240" w:line="520" w:lineRule="exact"/>
        <w:ind w:firstLine="562" w:firstLineChars="200"/>
        <w:jc w:val="both"/>
        <w:rPr>
          <w:b/>
          <w:color w:val="000000"/>
          <w:kern w:val="0"/>
          <w:szCs w:val="20"/>
        </w:rPr>
      </w:pPr>
      <w:bookmarkStart w:id="69" w:name="_Toc173918897"/>
      <w:bookmarkStart w:id="70" w:name="_Toc173893658"/>
      <w:bookmarkStart w:id="71" w:name="_Toc173869222"/>
      <w:r>
        <w:rPr>
          <w:rFonts w:hint="eastAsia"/>
          <w:b/>
          <w:color w:val="000000"/>
          <w:kern w:val="0"/>
          <w:szCs w:val="20"/>
        </w:rPr>
        <w:t>五</w:t>
      </w:r>
      <w:r>
        <w:rPr>
          <w:b/>
          <w:color w:val="000000"/>
          <w:kern w:val="0"/>
          <w:szCs w:val="20"/>
        </w:rPr>
        <w:t>、巷道掘进、支护</w:t>
      </w:r>
      <w:r>
        <w:rPr>
          <w:rFonts w:hint="eastAsia"/>
          <w:b/>
          <w:color w:val="000000"/>
          <w:kern w:val="0"/>
          <w:szCs w:val="20"/>
        </w:rPr>
        <w:t>及</w:t>
      </w:r>
      <w:r>
        <w:rPr>
          <w:b/>
          <w:color w:val="000000"/>
          <w:kern w:val="0"/>
          <w:szCs w:val="20"/>
        </w:rPr>
        <w:t>井巷工程量</w:t>
      </w:r>
      <w:bookmarkEnd w:id="69"/>
      <w:bookmarkEnd w:id="70"/>
      <w:bookmarkEnd w:id="71"/>
    </w:p>
    <w:p w14:paraId="1904B5EE">
      <w:pPr>
        <w:spacing w:line="520" w:lineRule="exact"/>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巷道掘进及支护方式</w:t>
      </w:r>
    </w:p>
    <w:p w14:paraId="1D1AC1B8">
      <w:pPr>
        <w:spacing w:line="520" w:lineRule="exact"/>
        <w:ind w:firstLine="480" w:firstLineChars="200"/>
        <w:rPr>
          <w:rFonts w:ascii="宋体" w:hAnsi="宋体"/>
          <w:color w:val="000000"/>
          <w:sz w:val="24"/>
        </w:rPr>
      </w:pPr>
      <w:r>
        <w:rPr>
          <w:rFonts w:ascii="宋体" w:hAnsi="宋体"/>
          <w:color w:val="000000"/>
          <w:sz w:val="24"/>
        </w:rPr>
        <w:t>根据各类巷道的不同用途，满足运输、管线敷设、通风及行人安全、安全生产的要求，确定其断面形式及大小，根据巷道服务年限及围岩岩性，决定其支护方式。岩层巷道采用料石砌碹和锚喷支护；服务年限较长的</w:t>
      </w:r>
      <w:r>
        <w:rPr>
          <w:rFonts w:hint="eastAsia" w:ascii="宋体" w:hAnsi="宋体"/>
          <w:color w:val="000000"/>
          <w:sz w:val="24"/>
        </w:rPr>
        <w:t>主斜井、副斜井、回风斜井及石门</w:t>
      </w:r>
      <w:r>
        <w:rPr>
          <w:rFonts w:ascii="宋体" w:hAnsi="宋体"/>
          <w:color w:val="000000"/>
          <w:sz w:val="24"/>
        </w:rPr>
        <w:t>等巷道采用砌碹</w:t>
      </w:r>
      <w:r>
        <w:rPr>
          <w:rFonts w:hint="eastAsia" w:ascii="宋体" w:hAnsi="宋体"/>
          <w:color w:val="000000"/>
          <w:sz w:val="24"/>
        </w:rPr>
        <w:t>或</w:t>
      </w:r>
      <w:r>
        <w:rPr>
          <w:rFonts w:ascii="宋体" w:hAnsi="宋体"/>
          <w:color w:val="000000"/>
          <w:sz w:val="24"/>
        </w:rPr>
        <w:t>锚喷支护，根据实际情况对破碎段</w:t>
      </w:r>
      <w:r>
        <w:rPr>
          <w:rFonts w:hint="eastAsia" w:ascii="宋体" w:hAnsi="宋体"/>
          <w:color w:val="000000"/>
          <w:sz w:val="24"/>
        </w:rPr>
        <w:t>应</w:t>
      </w:r>
      <w:r>
        <w:rPr>
          <w:rFonts w:ascii="宋体" w:hAnsi="宋体"/>
          <w:color w:val="000000"/>
          <w:sz w:val="24"/>
        </w:rPr>
        <w:t>加强支护，工作面运输顺槽和回风顺槽煤层巷道采用梯工钢支护，采取的支护形式必须保证安全。</w:t>
      </w:r>
    </w:p>
    <w:p w14:paraId="4DB74FAC">
      <w:pPr>
        <w:spacing w:line="520" w:lineRule="exact"/>
        <w:ind w:firstLine="480" w:firstLineChars="200"/>
        <w:rPr>
          <w:rFonts w:ascii="宋体" w:hAnsi="宋体"/>
          <w:color w:val="000000"/>
        </w:rPr>
      </w:pPr>
      <w:r>
        <w:rPr>
          <w:rFonts w:hint="eastAsia" w:ascii="宋体" w:hAnsi="宋体"/>
          <w:color w:val="000000"/>
          <w:sz w:val="24"/>
        </w:rPr>
        <w:t>2、</w:t>
      </w:r>
      <w:r>
        <w:rPr>
          <w:rFonts w:ascii="宋体" w:hAnsi="宋体"/>
          <w:color w:val="000000"/>
          <w:sz w:val="24"/>
        </w:rPr>
        <w:t>采掘比和矸石率预计</w:t>
      </w:r>
    </w:p>
    <w:p w14:paraId="15D907F5">
      <w:pPr>
        <w:spacing w:line="520" w:lineRule="exact"/>
        <w:ind w:firstLine="480" w:firstLineChars="200"/>
        <w:rPr>
          <w:rFonts w:ascii="宋体" w:hAnsi="宋体"/>
          <w:color w:val="000000"/>
          <w:sz w:val="24"/>
        </w:rPr>
      </w:pPr>
      <w:r>
        <w:rPr>
          <w:rFonts w:ascii="宋体" w:hAnsi="宋体"/>
          <w:color w:val="000000"/>
          <w:sz w:val="24"/>
        </w:rPr>
        <w:t>矿井投产时，以一个普采工作面</w:t>
      </w:r>
      <w:r>
        <w:rPr>
          <w:rFonts w:hint="eastAsia" w:ascii="宋体" w:hAnsi="宋体"/>
          <w:color w:val="000000"/>
          <w:sz w:val="24"/>
        </w:rPr>
        <w:t>和</w:t>
      </w:r>
      <w:r>
        <w:rPr>
          <w:rFonts w:ascii="宋体" w:hAnsi="宋体"/>
          <w:color w:val="000000"/>
          <w:sz w:val="24"/>
        </w:rPr>
        <w:t>二个掘进工作面满足生产要求，</w:t>
      </w:r>
      <w:r>
        <w:rPr>
          <w:rFonts w:hint="eastAsia" w:ascii="宋体" w:hAnsi="宋体"/>
          <w:color w:val="000000"/>
          <w:sz w:val="24"/>
        </w:rPr>
        <w:t>矿井</w:t>
      </w:r>
      <w:r>
        <w:rPr>
          <w:rFonts w:ascii="宋体" w:hAnsi="宋体"/>
          <w:color w:val="000000"/>
          <w:sz w:val="24"/>
        </w:rPr>
        <w:t>采掘比为1：2。</w:t>
      </w:r>
    </w:p>
    <w:p w14:paraId="7F6EAB1F">
      <w:pPr>
        <w:spacing w:line="520" w:lineRule="exact"/>
        <w:ind w:firstLine="480" w:firstLineChars="200"/>
        <w:rPr>
          <w:rFonts w:ascii="宋体" w:hAnsi="宋体"/>
          <w:color w:val="000000"/>
          <w:sz w:val="24"/>
        </w:rPr>
      </w:pPr>
      <w:r>
        <w:rPr>
          <w:rFonts w:ascii="宋体" w:hAnsi="宋体"/>
          <w:color w:val="000000"/>
          <w:sz w:val="24"/>
        </w:rPr>
        <w:t>由于本矿投产后岩巷工程量较少，预计矸石比例为</w:t>
      </w:r>
      <w:r>
        <w:rPr>
          <w:rFonts w:hint="eastAsia" w:ascii="宋体" w:hAnsi="宋体"/>
          <w:color w:val="000000"/>
          <w:sz w:val="24"/>
        </w:rPr>
        <w:t>矿井</w:t>
      </w:r>
      <w:r>
        <w:rPr>
          <w:rFonts w:ascii="宋体" w:hAnsi="宋体"/>
          <w:color w:val="000000"/>
          <w:sz w:val="24"/>
        </w:rPr>
        <w:t>年产煤量的5%，即矸石量为</w:t>
      </w:r>
      <w:r>
        <w:rPr>
          <w:rFonts w:hint="eastAsia" w:ascii="宋体" w:hAnsi="宋体"/>
          <w:color w:val="000000"/>
          <w:sz w:val="24"/>
        </w:rPr>
        <w:t>1.5</w:t>
      </w:r>
      <w:r>
        <w:rPr>
          <w:rFonts w:ascii="宋体" w:hAnsi="宋体"/>
          <w:color w:val="000000"/>
          <w:sz w:val="24"/>
        </w:rPr>
        <w:t>万吨/年。</w:t>
      </w:r>
    </w:p>
    <w:p w14:paraId="226E7609">
      <w:pPr>
        <w:spacing w:line="520" w:lineRule="exact"/>
        <w:ind w:firstLine="480" w:firstLineChars="200"/>
        <w:rPr>
          <w:rFonts w:ascii="宋体" w:hAnsi="宋体"/>
          <w:color w:val="000000"/>
        </w:rPr>
      </w:pPr>
      <w:r>
        <w:rPr>
          <w:rFonts w:hint="eastAsia" w:ascii="宋体" w:hAnsi="宋体"/>
          <w:color w:val="000000"/>
          <w:sz w:val="24"/>
        </w:rPr>
        <w:t>3、</w:t>
      </w:r>
      <w:r>
        <w:rPr>
          <w:rFonts w:ascii="宋体" w:hAnsi="宋体"/>
          <w:color w:val="000000"/>
          <w:sz w:val="24"/>
        </w:rPr>
        <w:t>井巷工程量：</w:t>
      </w:r>
    </w:p>
    <w:p w14:paraId="50FF7127">
      <w:pPr>
        <w:spacing w:line="520" w:lineRule="exact"/>
        <w:ind w:firstLine="480" w:firstLineChars="200"/>
        <w:rPr>
          <w:rFonts w:hint="eastAsia" w:ascii="宋体" w:hAnsi="宋体"/>
          <w:sz w:val="24"/>
        </w:rPr>
      </w:pPr>
      <w:r>
        <w:rPr>
          <w:rFonts w:ascii="宋体" w:hAnsi="宋体"/>
          <w:color w:val="000000"/>
          <w:sz w:val="24"/>
        </w:rPr>
        <w:t>根据矿井开拓布置及达产时的采区巷道布置，矿井达产时井巷工程量为</w:t>
      </w:r>
      <w:r>
        <w:rPr>
          <w:rFonts w:hint="eastAsia" w:ascii="宋体" w:hAnsi="宋体"/>
          <w:color w:val="000000"/>
          <w:sz w:val="24"/>
        </w:rPr>
        <w:t>4806m</w:t>
      </w:r>
      <w:r>
        <w:rPr>
          <w:rFonts w:ascii="宋体" w:hAnsi="宋体"/>
          <w:color w:val="000000"/>
          <w:sz w:val="24"/>
        </w:rPr>
        <w:t>，掘</w:t>
      </w:r>
      <w:r>
        <w:rPr>
          <w:rFonts w:ascii="宋体" w:hAnsi="宋体"/>
          <w:sz w:val="24"/>
        </w:rPr>
        <w:t>进</w:t>
      </w:r>
      <w:r>
        <w:rPr>
          <w:rFonts w:hint="eastAsia" w:ascii="宋体" w:hAnsi="宋体"/>
          <w:sz w:val="24"/>
        </w:rPr>
        <w:t>体积</w:t>
      </w:r>
      <w:r>
        <w:rPr>
          <w:rFonts w:ascii="宋体" w:hAnsi="宋体"/>
          <w:sz w:val="24"/>
        </w:rPr>
        <w:t>为</w:t>
      </w:r>
      <w:r>
        <w:rPr>
          <w:rFonts w:hint="eastAsia" w:ascii="宋体" w:hAnsi="宋体"/>
          <w:sz w:val="24"/>
        </w:rPr>
        <w:t>37921.3m</w:t>
      </w:r>
      <w:r>
        <w:rPr>
          <w:rFonts w:ascii="宋体" w:hAnsi="宋体"/>
          <w:sz w:val="24"/>
          <w:vertAlign w:val="superscript"/>
        </w:rPr>
        <w:t>3</w:t>
      </w:r>
      <w:r>
        <w:rPr>
          <w:rFonts w:ascii="宋体" w:hAnsi="宋体"/>
          <w:sz w:val="24"/>
        </w:rPr>
        <w:t>，万吨掘进率</w:t>
      </w:r>
      <w:r>
        <w:rPr>
          <w:rFonts w:hint="eastAsia" w:ascii="宋体" w:hAnsi="宋体"/>
          <w:sz w:val="24"/>
        </w:rPr>
        <w:t>160.2m</w:t>
      </w:r>
      <w:r>
        <w:rPr>
          <w:rFonts w:ascii="宋体" w:hAnsi="宋体"/>
          <w:sz w:val="24"/>
        </w:rPr>
        <w:t>。</w:t>
      </w:r>
    </w:p>
    <w:p w14:paraId="4D5DCFA1">
      <w:pPr>
        <w:spacing w:line="520" w:lineRule="exact"/>
        <w:ind w:firstLine="480" w:firstLineChars="200"/>
        <w:rPr>
          <w:rFonts w:hint="eastAsia" w:ascii="宋体" w:hAnsi="宋体"/>
          <w:sz w:val="24"/>
        </w:rPr>
      </w:pPr>
      <w:r>
        <w:rPr>
          <w:rFonts w:ascii="宋体" w:hAnsi="宋体"/>
          <w:sz w:val="24"/>
        </w:rPr>
        <w:t>矿井井巷工程量</w:t>
      </w:r>
      <w:r>
        <w:rPr>
          <w:rFonts w:hint="eastAsia" w:ascii="宋体" w:hAnsi="宋体"/>
          <w:sz w:val="24"/>
        </w:rPr>
        <w:t xml:space="preserve">详见 </w:t>
      </w:r>
      <w:r>
        <w:rPr>
          <w:rFonts w:ascii="宋体" w:hAnsi="宋体"/>
          <w:b/>
          <w:sz w:val="24"/>
        </w:rPr>
        <w:t>表</w:t>
      </w:r>
      <w:r>
        <w:rPr>
          <w:rFonts w:hint="eastAsia" w:ascii="宋体" w:hAnsi="宋体"/>
          <w:b/>
          <w:sz w:val="24"/>
        </w:rPr>
        <w:t>3</w:t>
      </w:r>
      <w:r>
        <w:rPr>
          <w:rFonts w:ascii="宋体" w:hAnsi="宋体"/>
          <w:b/>
          <w:sz w:val="24"/>
        </w:rPr>
        <w:t>－</w:t>
      </w:r>
      <w:r>
        <w:rPr>
          <w:rFonts w:hint="eastAsia" w:ascii="宋体" w:hAnsi="宋体"/>
          <w:b/>
          <w:sz w:val="24"/>
        </w:rPr>
        <w:t>2</w:t>
      </w:r>
      <w:r>
        <w:rPr>
          <w:rFonts w:ascii="宋体" w:hAnsi="宋体"/>
          <w:b/>
          <w:sz w:val="24"/>
        </w:rPr>
        <w:t>－</w:t>
      </w:r>
      <w:r>
        <w:rPr>
          <w:rFonts w:hint="eastAsia" w:ascii="宋体" w:hAnsi="宋体"/>
          <w:b/>
          <w:sz w:val="24"/>
        </w:rPr>
        <w:t>4</w:t>
      </w:r>
      <w:r>
        <w:rPr>
          <w:rFonts w:ascii="宋体" w:hAnsi="宋体"/>
          <w:sz w:val="24"/>
        </w:rPr>
        <w:t>。</w:t>
      </w:r>
    </w:p>
    <w:p w14:paraId="6038ED41">
      <w:pPr>
        <w:spacing w:line="360" w:lineRule="auto"/>
        <w:ind w:firstLine="482" w:firstLineChars="200"/>
        <w:jc w:val="center"/>
        <w:rPr>
          <w:rFonts w:hint="eastAsia" w:ascii="宋体" w:hAnsi="宋体"/>
          <w:b/>
          <w:sz w:val="24"/>
        </w:rPr>
      </w:pPr>
      <w:r>
        <w:rPr>
          <w:rFonts w:ascii="宋体" w:hAnsi="宋体"/>
          <w:b/>
          <w:sz w:val="24"/>
        </w:rPr>
        <w:t>表</w:t>
      </w:r>
      <w:r>
        <w:rPr>
          <w:rFonts w:hint="eastAsia" w:ascii="宋体" w:hAnsi="宋体"/>
          <w:b/>
          <w:sz w:val="24"/>
        </w:rPr>
        <w:t>3</w:t>
      </w:r>
      <w:r>
        <w:rPr>
          <w:rFonts w:ascii="宋体" w:hAnsi="宋体"/>
          <w:b/>
          <w:sz w:val="24"/>
        </w:rPr>
        <w:t>—</w:t>
      </w:r>
      <w:r>
        <w:rPr>
          <w:rFonts w:hint="eastAsia" w:ascii="宋体" w:hAnsi="宋体"/>
          <w:b/>
          <w:sz w:val="24"/>
        </w:rPr>
        <w:t>2</w:t>
      </w:r>
      <w:r>
        <w:rPr>
          <w:rFonts w:ascii="宋体" w:hAnsi="宋体"/>
          <w:b/>
          <w:sz w:val="24"/>
        </w:rPr>
        <w:t>—</w:t>
      </w:r>
      <w:r>
        <w:rPr>
          <w:rFonts w:hint="eastAsia" w:ascii="宋体" w:hAnsi="宋体"/>
          <w:b/>
          <w:sz w:val="24"/>
        </w:rPr>
        <w:t>4</w:t>
      </w:r>
      <w:r>
        <w:rPr>
          <w:rFonts w:ascii="宋体" w:hAnsi="宋体"/>
          <w:b/>
          <w:sz w:val="24"/>
        </w:rPr>
        <w:t xml:space="preserve">    井巷工程量汇总表</w:t>
      </w:r>
    </w:p>
    <w:p w14:paraId="5F5ACB44">
      <w:pPr>
        <w:spacing w:line="360" w:lineRule="auto"/>
        <w:rPr>
          <w:rFonts w:hint="eastAsia" w:ascii="宋体" w:hAnsi="宋体"/>
          <w:sz w:val="24"/>
        </w:rPr>
      </w:pPr>
      <w:bookmarkStart w:id="72" w:name="_1334539334"/>
      <w:bookmarkEnd w:id="72"/>
      <w:r>
        <w:rPr>
          <w:rFonts w:ascii="宋体" w:hAnsi="宋体"/>
          <w:b/>
          <w:sz w:val="24"/>
        </w:rPr>
        <w:object>
          <v:shape id="_x0000_i1057" o:spt="75" type="#_x0000_t75" style="height:472.55pt;width:451.45pt;" o:ole="t" filled="f" o:preferrelative="t" stroked="f" coordsize="21600,21600">
            <v:path/>
            <v:fill on="f" alignshape="1" focussize="0,0"/>
            <v:stroke on="f"/>
            <v:imagedata r:id="rId71" o:title=""/>
            <o:lock v:ext="edit" aspectratio="t"/>
            <w10:wrap type="none"/>
            <w10:anchorlock/>
          </v:shape>
          <o:OLEObject Type="Embed" ProgID="Excel.Sheet.8" ShapeID="_x0000_i1057" DrawAspect="Content" ObjectID="_1468075747" r:id="rId70">
            <o:LockedField>false</o:LockedField>
          </o:OLEObject>
        </w:object>
      </w:r>
    </w:p>
    <w:p w14:paraId="1790CFC2">
      <w:pPr>
        <w:pStyle w:val="3"/>
        <w:keepLines/>
        <w:spacing w:before="240" w:after="240" w:line="360" w:lineRule="auto"/>
        <w:ind w:firstLine="0" w:firstLineChars="0"/>
        <w:jc w:val="center"/>
        <w:rPr>
          <w:rFonts w:hint="eastAsia"/>
          <w:b/>
          <w:color w:val="000000"/>
          <w:sz w:val="32"/>
          <w:szCs w:val="32"/>
        </w:rPr>
      </w:pPr>
      <w:bookmarkStart w:id="73" w:name="_Toc260915263"/>
      <w:bookmarkStart w:id="74" w:name="_Toc173869223"/>
      <w:bookmarkStart w:id="75" w:name="_Toc92630516"/>
      <w:bookmarkStart w:id="76" w:name="_Toc166494698"/>
      <w:r>
        <w:rPr>
          <w:rFonts w:hint="eastAsia"/>
          <w:b/>
          <w:color w:val="000000"/>
          <w:sz w:val="32"/>
          <w:szCs w:val="32"/>
        </w:rPr>
        <w:t>第三节　　</w:t>
      </w:r>
      <w:r>
        <w:rPr>
          <w:b/>
          <w:color w:val="000000"/>
          <w:sz w:val="32"/>
          <w:szCs w:val="32"/>
        </w:rPr>
        <w:t>井下运输</w:t>
      </w:r>
      <w:bookmarkEnd w:id="73"/>
      <w:bookmarkEnd w:id="74"/>
    </w:p>
    <w:bookmarkEnd w:id="75"/>
    <w:bookmarkEnd w:id="76"/>
    <w:p w14:paraId="1DF1042F">
      <w:pPr>
        <w:pStyle w:val="4"/>
        <w:keepLines/>
        <w:adjustRightInd w:val="0"/>
        <w:snapToGrid w:val="0"/>
        <w:spacing w:before="240" w:after="240" w:line="360" w:lineRule="auto"/>
        <w:ind w:firstLine="562" w:firstLineChars="200"/>
        <w:jc w:val="both"/>
        <w:rPr>
          <w:b/>
          <w:color w:val="000000"/>
          <w:kern w:val="0"/>
          <w:szCs w:val="20"/>
        </w:rPr>
      </w:pPr>
      <w:bookmarkStart w:id="77" w:name="_Toc173918899"/>
      <w:bookmarkStart w:id="78" w:name="_Toc173869224"/>
      <w:bookmarkStart w:id="79" w:name="_Toc173893660"/>
      <w:r>
        <w:rPr>
          <w:rFonts w:hint="eastAsia"/>
          <w:b/>
          <w:color w:val="000000"/>
          <w:kern w:val="0"/>
          <w:szCs w:val="20"/>
        </w:rPr>
        <w:t>一</w:t>
      </w:r>
      <w:r>
        <w:rPr>
          <w:b/>
          <w:color w:val="000000"/>
          <w:kern w:val="0"/>
          <w:szCs w:val="20"/>
        </w:rPr>
        <w:t>、井下煤炭运输</w:t>
      </w:r>
      <w:bookmarkEnd w:id="77"/>
      <w:bookmarkEnd w:id="78"/>
      <w:bookmarkEnd w:id="79"/>
    </w:p>
    <w:p w14:paraId="47B9F5E6">
      <w:pPr>
        <w:spacing w:line="360" w:lineRule="auto"/>
        <w:ind w:firstLine="480" w:firstLineChars="200"/>
        <w:rPr>
          <w:rFonts w:hint="eastAsia" w:ascii="宋体" w:hAnsi="宋体"/>
          <w:sz w:val="24"/>
        </w:rPr>
      </w:pPr>
      <w:r>
        <w:rPr>
          <w:rFonts w:hint="eastAsia" w:ascii="宋体" w:hAnsi="宋体"/>
          <w:sz w:val="24"/>
        </w:rPr>
        <w:t>主斜井</w:t>
      </w:r>
      <w:r>
        <w:rPr>
          <w:rFonts w:ascii="宋体" w:hAnsi="宋体"/>
          <w:sz w:val="24"/>
        </w:rPr>
        <w:t>铺设</w:t>
      </w:r>
      <w:r>
        <w:rPr>
          <w:rFonts w:hint="eastAsia" w:ascii="宋体" w:hAnsi="宋体"/>
          <w:sz w:val="24"/>
        </w:rPr>
        <w:t>胶带输送机运输煤炭，副斜井采用铺设30kg/m的轨道，轨道距600mm，采用单滚筒绞车单勾串车提升运输。回采工作面采用1台</w:t>
      </w:r>
      <w:r>
        <w:rPr>
          <w:rFonts w:ascii="宋体" w:hAnsi="宋体"/>
          <w:sz w:val="24"/>
        </w:rPr>
        <w:t>SGZ-630/220</w:t>
      </w:r>
      <w:r>
        <w:rPr>
          <w:rFonts w:hint="eastAsia" w:ascii="宋体" w:hAnsi="宋体"/>
          <w:sz w:val="24"/>
        </w:rPr>
        <w:t>刮板输送机运输，运输顺槽采用1台</w:t>
      </w:r>
      <w:r>
        <w:rPr>
          <w:rFonts w:ascii="宋体" w:cs="宋体"/>
          <w:kern w:val="0"/>
          <w:sz w:val="24"/>
        </w:rPr>
        <w:t>SZB630/40</w:t>
      </w:r>
      <w:r>
        <w:rPr>
          <w:rFonts w:hint="eastAsia" w:ascii="宋体" w:hAnsi="宋体"/>
          <w:sz w:val="24"/>
        </w:rPr>
        <w:t>型刮板转载机和1台</w:t>
      </w:r>
      <w:r>
        <w:rPr>
          <w:rFonts w:ascii="宋体" w:cs="宋体"/>
          <w:kern w:val="0"/>
          <w:sz w:val="24"/>
        </w:rPr>
        <w:t>DSJ80/20/55</w:t>
      </w:r>
      <w:r>
        <w:rPr>
          <w:rFonts w:hint="eastAsia" w:ascii="宋体" w:hAnsi="宋体"/>
          <w:sz w:val="24"/>
        </w:rPr>
        <w:t>型可伸缩胶带输送机运输，131运输石门采用1台DTL80/20/40型胶带输送机运输，原煤通过回采工作面刮板输送机运至运输顺槽，再通过运输顺槽刮板转载机、胶带输送机和运输石门胶带输送机运至溜煤眼，经溜煤眼到主斜井胶带输送机上，通过主斜胶带输送机运输运至地面工业场地储煤场装车外运</w:t>
      </w:r>
      <w:r>
        <w:rPr>
          <w:rFonts w:ascii="宋体" w:hAnsi="宋体"/>
          <w:sz w:val="24"/>
        </w:rPr>
        <w:t>。</w:t>
      </w:r>
    </w:p>
    <w:p w14:paraId="2CA19E87">
      <w:pPr>
        <w:pStyle w:val="4"/>
        <w:keepLines/>
        <w:adjustRightInd w:val="0"/>
        <w:snapToGrid w:val="0"/>
        <w:spacing w:before="240" w:after="240" w:line="360" w:lineRule="auto"/>
        <w:ind w:firstLine="562" w:firstLineChars="200"/>
        <w:jc w:val="both"/>
        <w:rPr>
          <w:b/>
          <w:color w:val="000000"/>
          <w:kern w:val="0"/>
          <w:szCs w:val="20"/>
        </w:rPr>
      </w:pPr>
      <w:bookmarkStart w:id="80" w:name="_Toc173893661"/>
      <w:bookmarkStart w:id="81" w:name="_Toc173918900"/>
      <w:bookmarkStart w:id="82" w:name="_Toc173869225"/>
      <w:r>
        <w:rPr>
          <w:rFonts w:hint="eastAsia"/>
          <w:b/>
          <w:color w:val="000000"/>
          <w:kern w:val="0"/>
          <w:szCs w:val="20"/>
        </w:rPr>
        <w:t>二</w:t>
      </w:r>
      <w:r>
        <w:rPr>
          <w:b/>
          <w:color w:val="000000"/>
          <w:kern w:val="0"/>
          <w:szCs w:val="20"/>
        </w:rPr>
        <w:t>、井下辅助运输</w:t>
      </w:r>
      <w:bookmarkEnd w:id="80"/>
      <w:bookmarkEnd w:id="81"/>
      <w:bookmarkEnd w:id="82"/>
    </w:p>
    <w:p w14:paraId="44BE54EE">
      <w:pPr>
        <w:spacing w:line="360" w:lineRule="auto"/>
        <w:ind w:firstLine="480" w:firstLineChars="200"/>
        <w:rPr>
          <w:rFonts w:ascii="宋体" w:hAnsi="宋体"/>
          <w:color w:val="000000"/>
          <w:sz w:val="24"/>
        </w:rPr>
      </w:pPr>
      <w:r>
        <w:rPr>
          <w:rFonts w:ascii="宋体" w:hAnsi="宋体"/>
          <w:color w:val="000000"/>
          <w:sz w:val="24"/>
        </w:rPr>
        <w:t>井下辅助运输主要包括矸石、材料、设备</w:t>
      </w:r>
      <w:r>
        <w:rPr>
          <w:rFonts w:hint="eastAsia" w:ascii="宋体" w:hAnsi="宋体"/>
          <w:color w:val="000000"/>
          <w:sz w:val="24"/>
        </w:rPr>
        <w:t>、人员等</w:t>
      </w:r>
      <w:r>
        <w:rPr>
          <w:rFonts w:ascii="宋体" w:hAnsi="宋体"/>
          <w:color w:val="000000"/>
          <w:sz w:val="24"/>
        </w:rPr>
        <w:t>的运输，</w:t>
      </w:r>
      <w:r>
        <w:rPr>
          <w:rFonts w:hint="eastAsia" w:ascii="宋体" w:hAnsi="宋体"/>
          <w:color w:val="000000"/>
          <w:sz w:val="24"/>
        </w:rPr>
        <w:t>由于矿井生产能力不大，辅助运输量也不大，</w:t>
      </w:r>
      <w:r>
        <w:rPr>
          <w:rFonts w:ascii="宋体" w:hAnsi="宋体"/>
          <w:color w:val="000000"/>
          <w:sz w:val="24"/>
        </w:rPr>
        <w:t>本着安全、经济、可靠的原则，根据矿井的生产能力、运输条件及辅助运输量，</w:t>
      </w:r>
      <w:r>
        <w:rPr>
          <w:rFonts w:hint="eastAsia" w:ascii="宋体" w:hAnsi="宋体"/>
          <w:color w:val="000000"/>
          <w:sz w:val="24"/>
        </w:rPr>
        <w:t>设计在副斜井安装一套提升设备</w:t>
      </w:r>
      <w:r>
        <w:rPr>
          <w:rFonts w:ascii="宋体" w:hAnsi="宋体"/>
          <w:color w:val="000000"/>
          <w:sz w:val="24"/>
        </w:rPr>
        <w:t>牵引</w:t>
      </w:r>
      <w:r>
        <w:rPr>
          <w:rFonts w:hint="eastAsia" w:ascii="宋体" w:hAnsi="宋体"/>
          <w:color w:val="000000"/>
          <w:sz w:val="24"/>
        </w:rPr>
        <w:t>材料车、矿车及人车等</w:t>
      </w:r>
      <w:r>
        <w:rPr>
          <w:rFonts w:ascii="宋体" w:hAnsi="宋体"/>
          <w:color w:val="000000"/>
          <w:sz w:val="24"/>
        </w:rPr>
        <w:t>运输</w:t>
      </w:r>
      <w:r>
        <w:rPr>
          <w:rFonts w:hint="eastAsia" w:ascii="宋体" w:hAnsi="宋体"/>
          <w:color w:val="000000"/>
          <w:sz w:val="24"/>
        </w:rPr>
        <w:t>，完成矿井辅助运输。</w:t>
      </w:r>
    </w:p>
    <w:p w14:paraId="5A006AF8">
      <w:pPr>
        <w:pStyle w:val="4"/>
        <w:keepLines/>
        <w:adjustRightInd w:val="0"/>
        <w:snapToGrid w:val="0"/>
        <w:spacing w:before="240" w:after="240" w:line="360" w:lineRule="auto"/>
        <w:ind w:firstLine="562" w:firstLineChars="200"/>
        <w:jc w:val="both"/>
        <w:rPr>
          <w:b/>
          <w:color w:val="000000"/>
          <w:kern w:val="0"/>
          <w:szCs w:val="20"/>
        </w:rPr>
      </w:pPr>
      <w:bookmarkStart w:id="83" w:name="_Toc173869226"/>
      <w:bookmarkStart w:id="84" w:name="_Toc173893662"/>
      <w:bookmarkStart w:id="85" w:name="_Toc173918901"/>
      <w:r>
        <w:rPr>
          <w:rFonts w:hint="eastAsia"/>
          <w:b/>
          <w:color w:val="000000"/>
          <w:kern w:val="0"/>
          <w:szCs w:val="20"/>
        </w:rPr>
        <w:t>三</w:t>
      </w:r>
      <w:r>
        <w:rPr>
          <w:b/>
          <w:color w:val="000000"/>
          <w:kern w:val="0"/>
          <w:szCs w:val="20"/>
        </w:rPr>
        <w:t>、矿井车辆配备</w:t>
      </w:r>
      <w:bookmarkEnd w:id="83"/>
      <w:bookmarkEnd w:id="84"/>
      <w:bookmarkEnd w:id="85"/>
    </w:p>
    <w:p w14:paraId="0AE83E4F">
      <w:pPr>
        <w:spacing w:line="360" w:lineRule="auto"/>
        <w:ind w:firstLine="480" w:firstLineChars="200"/>
        <w:rPr>
          <w:rFonts w:hint="eastAsia" w:ascii="宋体" w:hAnsi="宋体"/>
          <w:color w:val="000000"/>
          <w:sz w:val="24"/>
        </w:rPr>
      </w:pPr>
      <w:r>
        <w:rPr>
          <w:rFonts w:hint="eastAsia" w:ascii="宋体" w:hAnsi="宋体"/>
          <w:color w:val="000000"/>
          <w:sz w:val="24"/>
        </w:rPr>
        <w:t>按照排列法计算，</w:t>
      </w:r>
      <w:r>
        <w:rPr>
          <w:rFonts w:ascii="宋体" w:hAnsi="宋体"/>
          <w:color w:val="000000"/>
          <w:sz w:val="24"/>
        </w:rPr>
        <w:t>矿井达到设计生产能力时配备</w:t>
      </w:r>
      <w:r>
        <w:rPr>
          <w:rFonts w:hint="eastAsia" w:ascii="宋体" w:hAnsi="宋体"/>
          <w:color w:val="000000"/>
          <w:sz w:val="24"/>
        </w:rPr>
        <w:t>MF1.1－6</w:t>
      </w:r>
      <w:r>
        <w:rPr>
          <w:rFonts w:ascii="宋体" w:hAnsi="宋体"/>
          <w:color w:val="000000"/>
          <w:sz w:val="24"/>
        </w:rPr>
        <w:t>型翻转式矿车</w:t>
      </w:r>
      <w:r>
        <w:rPr>
          <w:rFonts w:hint="eastAsia" w:ascii="宋体" w:hAnsi="宋体"/>
          <w:color w:val="000000"/>
          <w:sz w:val="24"/>
        </w:rPr>
        <w:t>85辆，备用34</w:t>
      </w:r>
      <w:r>
        <w:rPr>
          <w:rFonts w:ascii="宋体" w:hAnsi="宋体"/>
          <w:color w:val="000000"/>
          <w:sz w:val="24"/>
        </w:rPr>
        <w:t>辆</w:t>
      </w:r>
      <w:r>
        <w:rPr>
          <w:rFonts w:hint="eastAsia" w:ascii="宋体" w:hAnsi="宋体"/>
          <w:color w:val="000000"/>
          <w:sz w:val="24"/>
        </w:rPr>
        <w:t>，共计119辆</w:t>
      </w:r>
      <w:r>
        <w:rPr>
          <w:rFonts w:ascii="宋体" w:hAnsi="宋体"/>
          <w:color w:val="000000"/>
          <w:sz w:val="24"/>
        </w:rPr>
        <w:t>；MP1－6A平板车10辆</w:t>
      </w:r>
      <w:r>
        <w:rPr>
          <w:rFonts w:hint="eastAsia" w:ascii="宋体" w:hAnsi="宋体"/>
          <w:color w:val="000000"/>
          <w:sz w:val="24"/>
        </w:rPr>
        <w:t>，备用1辆，共计11辆</w:t>
      </w:r>
      <w:r>
        <w:rPr>
          <w:rFonts w:ascii="宋体" w:hAnsi="宋体"/>
          <w:color w:val="000000"/>
          <w:sz w:val="24"/>
        </w:rPr>
        <w:t>；MC1－6</w:t>
      </w:r>
      <w:r>
        <w:rPr>
          <w:rFonts w:hint="eastAsia" w:ascii="宋体" w:hAnsi="宋体"/>
          <w:color w:val="000000"/>
          <w:sz w:val="24"/>
        </w:rPr>
        <w:t>A</w:t>
      </w:r>
      <w:r>
        <w:rPr>
          <w:rFonts w:ascii="宋体" w:hAnsi="宋体"/>
          <w:color w:val="000000"/>
          <w:sz w:val="24"/>
        </w:rPr>
        <w:t>材料车15辆</w:t>
      </w:r>
      <w:r>
        <w:rPr>
          <w:rFonts w:hint="eastAsia" w:ascii="宋体" w:hAnsi="宋体"/>
          <w:color w:val="000000"/>
          <w:sz w:val="24"/>
        </w:rPr>
        <w:t>，备用2辆，共计17辆；</w:t>
      </w:r>
      <w:r>
        <w:rPr>
          <w:rFonts w:ascii="宋体" w:hAnsi="宋体" w:cs="宋体"/>
          <w:sz w:val="24"/>
          <w:u w:val="single"/>
        </w:rPr>
        <w:t>XRB</w:t>
      </w:r>
      <w:r>
        <w:rPr>
          <w:rFonts w:hint="eastAsia" w:ascii="宋体" w:hAnsi="宋体" w:cs="宋体"/>
          <w:sz w:val="24"/>
          <w:u w:val="single"/>
        </w:rPr>
        <w:t>10</w:t>
      </w:r>
      <w:r>
        <w:rPr>
          <w:rFonts w:ascii="宋体" w:hAnsi="宋体" w:cs="宋体"/>
          <w:sz w:val="24"/>
          <w:u w:val="single"/>
        </w:rPr>
        <w:t>-6/</w:t>
      </w:r>
      <w:r>
        <w:rPr>
          <w:rFonts w:hint="eastAsia" w:ascii="宋体" w:hAnsi="宋体" w:cs="宋体"/>
          <w:sz w:val="24"/>
          <w:u w:val="single"/>
        </w:rPr>
        <w:t>6人车2辆，备用1辆，共计3辆(一个头车,一个尾车，备用1辆)。</w:t>
      </w:r>
    </w:p>
    <w:p w14:paraId="79950D16">
      <w:pPr>
        <w:spacing w:line="360" w:lineRule="auto"/>
        <w:ind w:firstLine="480" w:firstLineChars="200"/>
        <w:rPr>
          <w:rFonts w:hint="eastAsia" w:ascii="宋体" w:hAnsi="宋体"/>
          <w:color w:val="000000"/>
          <w:sz w:val="24"/>
        </w:rPr>
      </w:pPr>
      <w:r>
        <w:rPr>
          <w:rFonts w:hint="eastAsia" w:ascii="宋体" w:hAnsi="宋体"/>
          <w:color w:val="000000"/>
          <w:sz w:val="24"/>
        </w:rPr>
        <w:t>矿井车辆型号及规格：</w:t>
      </w:r>
    </w:p>
    <w:p w14:paraId="2826221A">
      <w:pPr>
        <w:spacing w:line="360" w:lineRule="auto"/>
        <w:ind w:firstLine="480" w:firstLineChars="200"/>
        <w:rPr>
          <w:rFonts w:hint="eastAsia" w:ascii="宋体" w:hAnsi="宋体"/>
          <w:color w:val="000000"/>
          <w:sz w:val="24"/>
        </w:rPr>
      </w:pPr>
      <w:r>
        <w:rPr>
          <w:rFonts w:hint="eastAsia" w:ascii="宋体" w:hAnsi="宋体"/>
          <w:color w:val="000000"/>
          <w:sz w:val="24"/>
        </w:rPr>
        <w:t>MF1.1－6</w:t>
      </w:r>
      <w:r>
        <w:rPr>
          <w:rFonts w:ascii="宋体" w:hAnsi="宋体"/>
          <w:color w:val="000000"/>
          <w:sz w:val="24"/>
        </w:rPr>
        <w:t>型翻转式矿车</w:t>
      </w:r>
      <w:r>
        <w:rPr>
          <w:rFonts w:hint="eastAsia" w:ascii="宋体" w:hAnsi="宋体"/>
          <w:color w:val="000000"/>
          <w:sz w:val="24"/>
        </w:rPr>
        <w:t>，容积：1.1m</w:t>
      </w:r>
      <w:r>
        <w:rPr>
          <w:rFonts w:hint="eastAsia" w:ascii="宋体" w:hAnsi="宋体"/>
          <w:color w:val="000000"/>
          <w:sz w:val="24"/>
          <w:vertAlign w:val="superscript"/>
        </w:rPr>
        <w:t>3</w:t>
      </w:r>
      <w:r>
        <w:rPr>
          <w:rFonts w:hint="eastAsia" w:ascii="宋体" w:hAnsi="宋体"/>
          <w:color w:val="000000"/>
          <w:sz w:val="24"/>
        </w:rPr>
        <w:t>，最大载重：1.8t，轨距：600mm，最大牵引力：30KN，外形尺寸（长×宽×高）：2120×1410×1315；</w:t>
      </w:r>
    </w:p>
    <w:p w14:paraId="29BFEBAE">
      <w:pPr>
        <w:spacing w:line="360" w:lineRule="auto"/>
        <w:ind w:firstLine="480" w:firstLineChars="200"/>
        <w:rPr>
          <w:rFonts w:hint="eastAsia" w:ascii="宋体" w:hAnsi="宋体"/>
          <w:color w:val="000000"/>
          <w:sz w:val="24"/>
        </w:rPr>
      </w:pPr>
      <w:r>
        <w:rPr>
          <w:rFonts w:ascii="宋体" w:hAnsi="宋体"/>
          <w:color w:val="000000"/>
          <w:sz w:val="24"/>
        </w:rPr>
        <w:t>MP1－6A平板车</w:t>
      </w:r>
      <w:r>
        <w:rPr>
          <w:rFonts w:hint="eastAsia" w:ascii="宋体" w:hAnsi="宋体"/>
          <w:color w:val="000000"/>
          <w:sz w:val="24"/>
        </w:rPr>
        <w:t>，名义载重：1.0t，最大载重：2.0t，轨距：600mm，最大牵引力：60KN，外形尺寸（长×宽×高）：2000×880×1150；</w:t>
      </w:r>
    </w:p>
    <w:p w14:paraId="4694211E">
      <w:pPr>
        <w:spacing w:line="360" w:lineRule="auto"/>
        <w:ind w:firstLine="480" w:firstLineChars="200"/>
        <w:rPr>
          <w:rFonts w:hint="eastAsia" w:ascii="宋体" w:hAnsi="宋体"/>
          <w:color w:val="000000"/>
          <w:sz w:val="24"/>
          <w:u w:val="single"/>
        </w:rPr>
      </w:pPr>
      <w:r>
        <w:rPr>
          <w:rFonts w:ascii="宋体" w:hAnsi="宋体"/>
          <w:color w:val="000000"/>
          <w:sz w:val="24"/>
          <w:u w:val="single"/>
        </w:rPr>
        <w:t>M</w:t>
      </w:r>
      <w:r>
        <w:rPr>
          <w:rFonts w:hint="eastAsia" w:ascii="宋体" w:hAnsi="宋体"/>
          <w:color w:val="000000"/>
          <w:sz w:val="24"/>
          <w:u w:val="single"/>
        </w:rPr>
        <w:t>C</w:t>
      </w:r>
      <w:r>
        <w:rPr>
          <w:rFonts w:ascii="宋体" w:hAnsi="宋体"/>
          <w:color w:val="000000"/>
          <w:sz w:val="24"/>
          <w:u w:val="single"/>
        </w:rPr>
        <w:t>1－6A平板车</w:t>
      </w:r>
      <w:r>
        <w:rPr>
          <w:rFonts w:hint="eastAsia" w:ascii="宋体" w:hAnsi="宋体"/>
          <w:color w:val="000000"/>
          <w:sz w:val="24"/>
          <w:u w:val="single"/>
        </w:rPr>
        <w:t>，名义载重：1.0t，最大载重：2.0t，轨距：600mm，最大牵引力：60KN，外形尺寸（长×宽×高）：2000×880×1150；</w:t>
      </w:r>
    </w:p>
    <w:p w14:paraId="1BBD8FB0">
      <w:pPr>
        <w:spacing w:line="360" w:lineRule="auto"/>
        <w:ind w:firstLine="360" w:firstLineChars="150"/>
        <w:rPr>
          <w:rFonts w:hint="eastAsia" w:ascii="宋体" w:hAnsi="宋体"/>
          <w:sz w:val="24"/>
        </w:rPr>
      </w:pPr>
      <w:r>
        <w:rPr>
          <w:rFonts w:ascii="宋体" w:hAnsi="宋体" w:cs="宋体"/>
          <w:sz w:val="24"/>
          <w:u w:val="single"/>
        </w:rPr>
        <w:t>XRB</w:t>
      </w:r>
      <w:r>
        <w:rPr>
          <w:rFonts w:hint="eastAsia" w:ascii="宋体" w:hAnsi="宋体" w:cs="宋体"/>
          <w:sz w:val="24"/>
          <w:u w:val="single"/>
        </w:rPr>
        <w:t>10</w:t>
      </w:r>
      <w:r>
        <w:rPr>
          <w:rFonts w:ascii="宋体" w:hAnsi="宋体" w:cs="宋体"/>
          <w:sz w:val="24"/>
          <w:u w:val="single"/>
        </w:rPr>
        <w:t>-6/</w:t>
      </w:r>
      <w:r>
        <w:rPr>
          <w:rFonts w:hint="eastAsia" w:ascii="宋体" w:hAnsi="宋体" w:cs="宋体"/>
          <w:sz w:val="24"/>
          <w:u w:val="single"/>
        </w:rPr>
        <w:t>6人车，载人数：10人，净重：头车1.64t,尾车1.13t,</w:t>
      </w:r>
      <w:r>
        <w:rPr>
          <w:rFonts w:hint="eastAsia" w:ascii="宋体" w:hAnsi="宋体"/>
          <w:color w:val="000000"/>
          <w:sz w:val="24"/>
          <w:u w:val="single"/>
        </w:rPr>
        <w:t xml:space="preserve"> 外形尺寸（长×宽×高）：4421×1050×1495；</w:t>
      </w:r>
    </w:p>
    <w:p w14:paraId="6D6015A1">
      <w:pPr>
        <w:spacing w:line="360" w:lineRule="auto"/>
        <w:ind w:firstLine="360" w:firstLineChars="150"/>
        <w:rPr>
          <w:rFonts w:hint="eastAsia" w:ascii="宋体" w:hAnsi="宋体"/>
          <w:sz w:val="24"/>
        </w:rPr>
      </w:pPr>
    </w:p>
    <w:p w14:paraId="3073368F">
      <w:pPr>
        <w:spacing w:line="360" w:lineRule="auto"/>
        <w:ind w:firstLine="360" w:firstLineChars="150"/>
        <w:rPr>
          <w:rFonts w:hint="eastAsia" w:ascii="宋体" w:hAnsi="宋体"/>
          <w:sz w:val="24"/>
        </w:rPr>
      </w:pPr>
    </w:p>
    <w:p w14:paraId="0ED6C9C9">
      <w:pPr>
        <w:spacing w:line="360" w:lineRule="auto"/>
        <w:ind w:firstLine="360" w:firstLineChars="150"/>
        <w:rPr>
          <w:rFonts w:hint="eastAsia" w:ascii="宋体" w:hAnsi="宋体"/>
          <w:sz w:val="24"/>
        </w:rPr>
      </w:pPr>
    </w:p>
    <w:p w14:paraId="0AF3D984">
      <w:pPr>
        <w:spacing w:line="360" w:lineRule="auto"/>
        <w:ind w:firstLine="360" w:firstLineChars="150"/>
        <w:rPr>
          <w:rFonts w:hint="eastAsia" w:ascii="宋体" w:hAnsi="宋体"/>
          <w:sz w:val="24"/>
        </w:rPr>
      </w:pPr>
    </w:p>
    <w:p w14:paraId="5107999F">
      <w:pPr>
        <w:spacing w:line="360" w:lineRule="auto"/>
        <w:ind w:firstLine="360" w:firstLineChars="150"/>
        <w:rPr>
          <w:rFonts w:hint="eastAsia" w:ascii="宋体" w:hAnsi="宋体"/>
          <w:sz w:val="24"/>
        </w:rPr>
      </w:pPr>
    </w:p>
    <w:p w14:paraId="7C203801">
      <w:pPr>
        <w:spacing w:line="360" w:lineRule="auto"/>
        <w:ind w:firstLine="360" w:firstLineChars="150"/>
        <w:rPr>
          <w:rFonts w:ascii="宋体" w:hAnsi="宋体"/>
          <w:sz w:val="24"/>
        </w:rPr>
        <w:sectPr>
          <w:pgSz w:w="11906" w:h="16838"/>
          <w:pgMar w:top="1304" w:right="1418" w:bottom="1304" w:left="1418" w:header="1134" w:footer="992" w:gutter="0"/>
          <w:cols w:space="720" w:num="1"/>
          <w:docGrid w:linePitch="312" w:charSpace="0"/>
        </w:sectPr>
      </w:pPr>
    </w:p>
    <w:p w14:paraId="7DD856DC">
      <w:pPr>
        <w:pStyle w:val="2"/>
        <w:keepLines/>
        <w:spacing w:before="240" w:after="120" w:line="360" w:lineRule="auto"/>
        <w:ind w:firstLine="0" w:firstLineChars="0"/>
        <w:rPr>
          <w:rFonts w:hint="eastAsia" w:ascii="黑体" w:eastAsia="黑体"/>
          <w:b/>
          <w:color w:val="000000"/>
          <w:kern w:val="44"/>
          <w:sz w:val="36"/>
          <w:szCs w:val="36"/>
        </w:rPr>
      </w:pPr>
      <w:bookmarkStart w:id="86" w:name="_Toc173869227"/>
      <w:bookmarkStart w:id="87" w:name="_Toc259438189"/>
      <w:bookmarkStart w:id="88" w:name="_Toc260915264"/>
      <w:r>
        <w:rPr>
          <w:rFonts w:hint="eastAsia" w:ascii="黑体" w:eastAsia="黑体"/>
          <w:b/>
          <w:color w:val="000000"/>
          <w:kern w:val="44"/>
          <w:sz w:val="36"/>
          <w:szCs w:val="36"/>
        </w:rPr>
        <w:t>第四章　　通风与安全</w:t>
      </w:r>
      <w:bookmarkEnd w:id="86"/>
      <w:bookmarkEnd w:id="87"/>
      <w:bookmarkEnd w:id="88"/>
    </w:p>
    <w:p w14:paraId="08062169">
      <w:pPr>
        <w:spacing w:line="360" w:lineRule="auto"/>
        <w:ind w:firstLine="480" w:firstLineChars="200"/>
        <w:rPr>
          <w:rFonts w:hint="eastAsia" w:ascii="宋体" w:hAnsi="宋体"/>
          <w:sz w:val="24"/>
        </w:rPr>
      </w:pPr>
      <w:bookmarkStart w:id="89" w:name="_Toc173869228"/>
      <w:bookmarkStart w:id="90" w:name="_Toc152432642"/>
      <w:bookmarkStart w:id="91" w:name="_Toc92630518"/>
      <w:bookmarkStart w:id="92" w:name="_Toc171757176"/>
      <w:r>
        <w:rPr>
          <w:rFonts w:hint="eastAsia" w:ascii="宋体" w:hAnsi="宋体"/>
          <w:sz w:val="24"/>
        </w:rPr>
        <w:t>本章主要变更内容：1、瓦斯预测；2、矿井风量计算；3、灾害防治。</w:t>
      </w:r>
    </w:p>
    <w:p w14:paraId="3F4EE820">
      <w:pPr>
        <w:pStyle w:val="3"/>
        <w:keepLines/>
        <w:spacing w:before="240" w:after="240" w:line="360" w:lineRule="auto"/>
        <w:ind w:firstLine="0" w:firstLineChars="0"/>
        <w:jc w:val="center"/>
        <w:rPr>
          <w:rFonts w:hint="eastAsia"/>
          <w:b/>
          <w:color w:val="000000"/>
          <w:sz w:val="32"/>
          <w:szCs w:val="32"/>
        </w:rPr>
      </w:pPr>
      <w:bookmarkStart w:id="93" w:name="_Toc260915265"/>
      <w:r>
        <w:rPr>
          <w:rFonts w:hint="eastAsia"/>
          <w:b/>
          <w:color w:val="000000"/>
          <w:sz w:val="32"/>
          <w:szCs w:val="32"/>
        </w:rPr>
        <w:t>第一节　　概　况</w:t>
      </w:r>
      <w:bookmarkEnd w:id="89"/>
      <w:bookmarkEnd w:id="93"/>
    </w:p>
    <w:bookmarkEnd w:id="90"/>
    <w:bookmarkEnd w:id="91"/>
    <w:bookmarkEnd w:id="92"/>
    <w:p w14:paraId="7C40A290">
      <w:pPr>
        <w:pStyle w:val="4"/>
        <w:keepLines/>
        <w:adjustRightInd w:val="0"/>
        <w:snapToGrid w:val="0"/>
        <w:spacing w:before="240" w:after="240" w:line="360" w:lineRule="auto"/>
        <w:ind w:firstLine="562" w:firstLineChars="200"/>
        <w:jc w:val="both"/>
        <w:rPr>
          <w:b/>
          <w:color w:val="000000"/>
          <w:kern w:val="0"/>
          <w:szCs w:val="20"/>
        </w:rPr>
      </w:pPr>
      <w:bookmarkStart w:id="94" w:name="_Toc173893665"/>
      <w:bookmarkStart w:id="95" w:name="_Toc173869229"/>
      <w:bookmarkStart w:id="96" w:name="_Toc173918904"/>
      <w:bookmarkStart w:id="97" w:name="_Toc152432643"/>
      <w:r>
        <w:rPr>
          <w:rFonts w:hint="eastAsia"/>
          <w:b/>
          <w:color w:val="000000"/>
          <w:kern w:val="0"/>
          <w:szCs w:val="20"/>
        </w:rPr>
        <w:t>一</w:t>
      </w:r>
      <w:r>
        <w:rPr>
          <w:b/>
          <w:color w:val="000000"/>
          <w:kern w:val="0"/>
          <w:szCs w:val="20"/>
        </w:rPr>
        <w:t>、瓦斯</w:t>
      </w:r>
      <w:bookmarkEnd w:id="94"/>
      <w:bookmarkEnd w:id="95"/>
      <w:bookmarkEnd w:id="96"/>
      <w:bookmarkEnd w:id="97"/>
    </w:p>
    <w:p w14:paraId="2F90EDA7">
      <w:pPr>
        <w:snapToGrid w:val="0"/>
        <w:spacing w:before="100" w:after="50" w:line="360" w:lineRule="auto"/>
        <w:ind w:firstLine="480" w:firstLineChars="200"/>
        <w:rPr>
          <w:rFonts w:hint="eastAsia" w:ascii="宋体" w:hAnsi="宋体"/>
          <w:sz w:val="24"/>
        </w:rPr>
      </w:pPr>
      <w:r>
        <w:rPr>
          <w:rFonts w:hint="eastAsia" w:ascii="宋体" w:hAnsi="宋体"/>
          <w:sz w:val="24"/>
        </w:rPr>
        <w:t>1、矿界范围内原有煤矿瓦斯涌出情况</w:t>
      </w:r>
    </w:p>
    <w:p w14:paraId="73314370">
      <w:pPr>
        <w:pStyle w:val="32"/>
        <w:rPr>
          <w:rFonts w:hint="eastAsia" w:ascii="宋体" w:hAnsi="宋体"/>
        </w:rPr>
      </w:pPr>
      <w:r>
        <w:rPr>
          <w:rFonts w:hint="eastAsia" w:ascii="宋体" w:hAnsi="宋体"/>
          <w:lang w:val="zh-CN"/>
        </w:rPr>
        <w:t>根据</w:t>
      </w:r>
      <w:r>
        <w:rPr>
          <w:rFonts w:hint="eastAsia" w:ascii="宋体" w:hAnsi="宋体"/>
        </w:rPr>
        <w:t>贵州省煤炭管理局黔煤行管字[2007]67号《对六盘水市煤矿2006年度瓦斯等级鉴定报告的批复》</w:t>
      </w:r>
      <w:r>
        <w:rPr>
          <w:rFonts w:hint="eastAsia"/>
          <w:kern w:val="10"/>
        </w:rPr>
        <w:t>；原</w:t>
      </w:r>
      <w:r>
        <w:rPr>
          <w:rFonts w:hint="eastAsia" w:ascii="宋体" w:hAnsi="宋体"/>
          <w:lang w:val="zh-CN"/>
        </w:rPr>
        <w:t>大坪煤矿</w:t>
      </w:r>
      <w:r>
        <w:rPr>
          <w:rFonts w:hint="eastAsia" w:ascii="宋体" w:hAnsi="宋体"/>
        </w:rPr>
        <w:t>2006年度瓦斯等级鉴定结果：矿井</w:t>
      </w:r>
      <w:r>
        <w:rPr>
          <w:rFonts w:hint="eastAsia" w:ascii="宋体" w:hAnsi="宋体"/>
          <w:lang w:val="zh-CN"/>
        </w:rPr>
        <w:t>绝对瓦斯涌出量为4.71m</w:t>
      </w:r>
      <w:r>
        <w:rPr>
          <w:rFonts w:hint="eastAsia" w:ascii="宋体" w:hAnsi="宋体"/>
          <w:vertAlign w:val="superscript"/>
          <w:lang w:val="zh-CN"/>
        </w:rPr>
        <w:t>3</w:t>
      </w:r>
      <w:r>
        <w:rPr>
          <w:rFonts w:hint="eastAsia" w:ascii="宋体" w:hAnsi="宋体"/>
          <w:lang w:val="zh-CN"/>
        </w:rPr>
        <w:t>/min，相对瓦斯涌出量为41.10m</w:t>
      </w:r>
      <w:r>
        <w:rPr>
          <w:rFonts w:hint="eastAsia" w:ascii="宋体" w:hAnsi="宋体"/>
          <w:vertAlign w:val="superscript"/>
          <w:lang w:val="zh-CN"/>
        </w:rPr>
        <w:t>3</w:t>
      </w:r>
      <w:r>
        <w:rPr>
          <w:rFonts w:hint="eastAsia" w:ascii="宋体" w:hAnsi="宋体"/>
          <w:lang w:val="zh-CN"/>
        </w:rPr>
        <w:t>/t，</w:t>
      </w:r>
      <w:r>
        <w:rPr>
          <w:rFonts w:hint="eastAsia" w:ascii="宋体" w:hAnsi="宋体"/>
        </w:rPr>
        <w:t>测定数据及矿井瓦斯等级鉴定结果，</w:t>
      </w:r>
      <w:r>
        <w:rPr>
          <w:rFonts w:hint="eastAsia" w:ascii="宋体" w:hAnsi="宋体"/>
          <w:lang w:val="zh-CN"/>
        </w:rPr>
        <w:t>矿井为高瓦斯矿井</w:t>
      </w:r>
      <w:r>
        <w:rPr>
          <w:rFonts w:hint="eastAsia" w:ascii="宋体" w:hAnsi="宋体"/>
        </w:rPr>
        <w:t>。</w:t>
      </w:r>
    </w:p>
    <w:p w14:paraId="3A1269EB">
      <w:pPr>
        <w:pStyle w:val="32"/>
        <w:rPr>
          <w:rFonts w:hint="eastAsia" w:ascii="宋体" w:hAnsi="宋体"/>
        </w:rPr>
      </w:pPr>
      <w:r>
        <w:rPr>
          <w:rFonts w:ascii="宋体" w:hAnsi="宋体"/>
        </w:rPr>
        <w:t>本矿未作煤与瓦斯突出鉴定，</w:t>
      </w:r>
      <w:r>
        <w:rPr>
          <w:rFonts w:hint="eastAsia" w:ascii="宋体" w:hAnsi="宋体"/>
        </w:rPr>
        <w:t>业主应委托有资质的单位尽快对本矿煤与瓦斯突出危险性作出鉴定，以利于矿井安全生产</w:t>
      </w:r>
      <w:r>
        <w:rPr>
          <w:rFonts w:ascii="宋体" w:hAnsi="宋体"/>
        </w:rPr>
        <w:t>。</w:t>
      </w:r>
      <w:r>
        <w:rPr>
          <w:rFonts w:hint="eastAsia" w:ascii="宋体" w:hAnsi="宋体"/>
        </w:rPr>
        <w:t>根据贵州省安全生产监督管理局、贵州煤矿安全监察局、贵州省煤炭管理局文件(黔安监管办字【2007】345号“关于加强煤矿建设项目煤与瓦斯突出防治工作的意见”。水城县玉舍大坪煤矿在该文件划定的煤与瓦斯突出区内，因此，矿井按有煤与瓦斯突出矿井进行设计和管理，矿井建设期间，应及时请资质单位对煤与瓦斯突出危险性进行鉴定</w:t>
      </w:r>
      <w:r>
        <w:rPr>
          <w:rFonts w:hint="eastAsia"/>
        </w:rPr>
        <w:t>。</w:t>
      </w:r>
      <w:r>
        <w:rPr>
          <w:rFonts w:hint="eastAsia" w:ascii="宋体" w:hAnsi="宋体" w:cs="仿宋_GB2312"/>
          <w:kern w:val="0"/>
        </w:rPr>
        <w:t>在生产过程中必须加强通风管理，</w:t>
      </w:r>
      <w:r>
        <w:rPr>
          <w:rFonts w:hint="eastAsia" w:ascii="宋体" w:hAnsi="宋体"/>
        </w:rPr>
        <w:t>加强瓦斯检测记录，采取有效的预防措施，防止矿井瓦斯聚集，严格执行《煤矿安全规程》的有关规定，</w:t>
      </w:r>
      <w:r>
        <w:rPr>
          <w:rFonts w:hint="eastAsia" w:ascii="宋体" w:hAnsi="宋体" w:cs="仿宋_GB2312"/>
          <w:kern w:val="0"/>
        </w:rPr>
        <w:t>防止采掘工作面瓦斯超限，杜绝火源，防止瓦斯事故，</w:t>
      </w:r>
      <w:r>
        <w:rPr>
          <w:rFonts w:hint="eastAsia" w:ascii="宋体" w:hAnsi="宋体"/>
        </w:rPr>
        <w:t>保证矿井安全生产。</w:t>
      </w:r>
    </w:p>
    <w:p w14:paraId="58935F05">
      <w:pPr>
        <w:pStyle w:val="32"/>
        <w:rPr>
          <w:rFonts w:hint="eastAsia"/>
          <w:color w:val="FF0000"/>
          <w:spacing w:val="4"/>
          <w:kern w:val="0"/>
        </w:rPr>
      </w:pPr>
      <w:r>
        <w:rPr>
          <w:rFonts w:hint="eastAsia"/>
          <w:kern w:val="0"/>
          <w:lang w:val="en-GB"/>
        </w:rPr>
        <w:t>由于本矿井地质勘探程度低，</w:t>
      </w:r>
      <w:r>
        <w:t>地质报告中没有提供瓦斯赋存、瓦斯涌出量、瓦斯梯度等相关资料</w:t>
      </w:r>
      <w:r>
        <w:rPr>
          <w:rFonts w:hint="eastAsia"/>
        </w:rPr>
        <w:t>，在今后随煤矿向深部进行开采活动时，煤层瓦斯含量会增加，矿井瓦斯涌出量也相应会增加。矿井在开采过程中应加强通风及瓦斯检测记录，防止局部瓦斯积聚，必须关注瓦斯涌情况，根据情况采取措施。矿井在建设及生产期间必须进行瓦斯含量、瓦斯涌出量的测定，并按要求定期进行瓦斯等级鉴定。</w:t>
      </w:r>
    </w:p>
    <w:p w14:paraId="29C59261">
      <w:pPr>
        <w:snapToGrid w:val="0"/>
        <w:spacing w:after="50" w:line="360" w:lineRule="auto"/>
        <w:ind w:firstLine="480" w:firstLineChars="200"/>
        <w:rPr>
          <w:rFonts w:hint="eastAsia" w:ascii="宋体" w:hAnsi="宋体"/>
          <w:color w:val="000000"/>
          <w:sz w:val="24"/>
        </w:rPr>
      </w:pPr>
      <w:r>
        <w:rPr>
          <w:rFonts w:hint="eastAsia" w:ascii="宋体" w:hAnsi="宋体"/>
          <w:color w:val="000000"/>
          <w:sz w:val="24"/>
        </w:rPr>
        <w:t>2、煤矿瓦斯涌出量预测分析</w:t>
      </w:r>
    </w:p>
    <w:p w14:paraId="4EDBF555">
      <w:pPr>
        <w:spacing w:after="50" w:line="360" w:lineRule="auto"/>
        <w:ind w:firstLine="480" w:firstLineChars="200"/>
        <w:rPr>
          <w:rFonts w:hint="eastAsia" w:ascii="宋体" w:hAnsi="宋体"/>
          <w:sz w:val="24"/>
        </w:rPr>
      </w:pPr>
      <w:r>
        <w:rPr>
          <w:rFonts w:hint="eastAsia" w:ascii="宋体" w:hAnsi="宋体"/>
          <w:sz w:val="24"/>
        </w:rPr>
        <w:t>由于</w:t>
      </w:r>
      <w:r>
        <w:rPr>
          <w:rFonts w:ascii="宋体" w:hAnsi="宋体"/>
          <w:sz w:val="24"/>
        </w:rPr>
        <w:t>本</w:t>
      </w:r>
      <w:r>
        <w:rPr>
          <w:rFonts w:hint="eastAsia" w:ascii="宋体" w:hAnsi="宋体"/>
          <w:sz w:val="24"/>
        </w:rPr>
        <w:t>矿井地质勘探程度低</w:t>
      </w:r>
      <w:r>
        <w:rPr>
          <w:rFonts w:ascii="宋体" w:hAnsi="宋体"/>
          <w:sz w:val="24"/>
        </w:rPr>
        <w:t>，地质报告中没有提供瓦斯赋存、瓦斯涌出量、瓦斯梯度等相关资料</w:t>
      </w:r>
      <w:r>
        <w:rPr>
          <w:rFonts w:hint="eastAsia" w:ascii="宋体" w:hAnsi="宋体"/>
          <w:sz w:val="24"/>
        </w:rPr>
        <w:t>，因此，本矿根据经验公式计算矿井开采各煤层时的瓦斯含量，并</w:t>
      </w:r>
      <w:r>
        <w:rPr>
          <w:rFonts w:hint="eastAsia" w:ascii="宋体" w:hAnsi="宋体"/>
          <w:kern w:val="10"/>
          <w:sz w:val="24"/>
          <w:lang w:val="zh-CN"/>
        </w:rPr>
        <w:t>根据《矿井瓦斯涌出量预测方法（AQ1018－2006）》标准，采用分</w:t>
      </w:r>
      <w:r>
        <w:rPr>
          <w:rFonts w:hint="eastAsia" w:ascii="宋体" w:hAnsi="宋体" w:cs="宋体"/>
          <w:kern w:val="0"/>
          <w:sz w:val="24"/>
        </w:rPr>
        <w:t>源预测法</w:t>
      </w:r>
      <w:r>
        <w:rPr>
          <w:rFonts w:hint="eastAsia" w:ascii="宋体" w:hAnsi="宋体" w:cs="宋体"/>
          <w:sz w:val="24"/>
        </w:rPr>
        <w:t>进行预测计算瓦斯涌出量作为设计依据</w:t>
      </w:r>
      <w:r>
        <w:rPr>
          <w:rFonts w:hint="eastAsia" w:ascii="宋体" w:hAnsi="宋体"/>
          <w:sz w:val="24"/>
        </w:rPr>
        <w:t>。</w:t>
      </w:r>
    </w:p>
    <w:p w14:paraId="2F99EE9B">
      <w:pPr>
        <w:widowControl/>
        <w:snapToGrid w:val="0"/>
        <w:spacing w:line="360" w:lineRule="auto"/>
        <w:ind w:firstLine="480" w:firstLineChars="200"/>
        <w:rPr>
          <w:rFonts w:hint="eastAsia" w:ascii="宋体" w:hAnsi="宋体"/>
          <w:sz w:val="24"/>
        </w:rPr>
      </w:pPr>
      <w:r>
        <w:rPr>
          <w:rFonts w:hint="eastAsia" w:ascii="宋体" w:hAnsi="宋体"/>
          <w:sz w:val="24"/>
        </w:rPr>
        <w:t xml:space="preserve">矿井瓦斯涌出构成关系如 </w:t>
      </w:r>
      <w:r>
        <w:rPr>
          <w:rFonts w:hint="eastAsia" w:ascii="宋体" w:hAnsi="宋体"/>
          <w:b/>
          <w:sz w:val="24"/>
        </w:rPr>
        <w:t>图4－1－1</w:t>
      </w:r>
      <w:r>
        <w:rPr>
          <w:rFonts w:hint="eastAsia" w:ascii="宋体" w:hAnsi="宋体"/>
          <w:sz w:val="24"/>
        </w:rPr>
        <w:t>所示。</w:t>
      </w:r>
    </w:p>
    <w:p w14:paraId="0459587E">
      <w:pPr>
        <w:widowControl/>
        <w:snapToGrid w:val="0"/>
        <w:spacing w:line="360" w:lineRule="auto"/>
        <w:jc w:val="center"/>
        <w:rPr>
          <w:rFonts w:hint="eastAsia" w:ascii="宋体" w:hAnsi="宋体" w:cs="宋体"/>
          <w:kern w:val="0"/>
          <w:szCs w:val="21"/>
        </w:rPr>
      </w:pPr>
      <w:r>
        <w:rPr>
          <w:rFonts w:ascii="宋体" w:hAnsi="宋体" w:cs="宋体"/>
          <w:kern w:val="0"/>
          <w:szCs w:val="21"/>
        </w:rPr>
        <w:drawing>
          <wp:inline distT="0" distB="0" distL="114300" distR="114300">
            <wp:extent cx="5741670" cy="2734945"/>
            <wp:effectExtent l="0" t="0" r="11430" b="8255"/>
            <wp:docPr id="22"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1"/>
                    <pic:cNvPicPr>
                      <a:picLocks noChangeAspect="1"/>
                    </pic:cNvPicPr>
                  </pic:nvPicPr>
                  <pic:blipFill>
                    <a:blip r:embed="rId72">
                      <a:biLevel thresh="50000"/>
                      <a:grayscl/>
                    </a:blip>
                    <a:srcRect l="-174" r="-406" b="-209"/>
                    <a:stretch>
                      <a:fillRect/>
                    </a:stretch>
                  </pic:blipFill>
                  <pic:spPr>
                    <a:xfrm>
                      <a:off x="0" y="0"/>
                      <a:ext cx="5741670" cy="2734945"/>
                    </a:xfrm>
                    <a:prstGeom prst="rect">
                      <a:avLst/>
                    </a:prstGeom>
                    <a:noFill/>
                    <a:ln>
                      <a:noFill/>
                    </a:ln>
                  </pic:spPr>
                </pic:pic>
              </a:graphicData>
            </a:graphic>
          </wp:inline>
        </w:drawing>
      </w:r>
    </w:p>
    <w:p w14:paraId="62206DF3">
      <w:pPr>
        <w:widowControl/>
        <w:snapToGrid w:val="0"/>
        <w:spacing w:line="360" w:lineRule="auto"/>
        <w:jc w:val="center"/>
        <w:rPr>
          <w:rFonts w:hint="eastAsia" w:ascii="宋体" w:hAnsi="宋体" w:cs="宋体"/>
          <w:b/>
          <w:kern w:val="0"/>
          <w:sz w:val="24"/>
        </w:rPr>
      </w:pPr>
      <w:r>
        <w:rPr>
          <w:rFonts w:hint="eastAsia" w:ascii="宋体" w:hAnsi="宋体" w:cs="宋体"/>
          <w:b/>
          <w:kern w:val="0"/>
          <w:sz w:val="24"/>
        </w:rPr>
        <w:t>图4－1－1　　　矿井瓦斯涌出构成关系关系图</w:t>
      </w:r>
    </w:p>
    <w:p w14:paraId="19CDCE72">
      <w:pPr>
        <w:spacing w:after="50" w:line="360" w:lineRule="auto"/>
        <w:ind w:firstLine="480" w:firstLineChars="200"/>
        <w:rPr>
          <w:rFonts w:hint="eastAsia" w:ascii="宋体" w:hAnsi="宋体"/>
          <w:sz w:val="24"/>
        </w:rPr>
      </w:pPr>
      <w:r>
        <w:rPr>
          <w:rFonts w:hint="eastAsia" w:ascii="宋体" w:hAnsi="宋体"/>
          <w:sz w:val="24"/>
        </w:rPr>
        <w:t>（1）煤层瓦斯含量预测计算</w:t>
      </w:r>
    </w:p>
    <w:p w14:paraId="63B04064">
      <w:pPr>
        <w:spacing w:line="360" w:lineRule="auto"/>
        <w:ind w:firstLine="480" w:firstLineChars="200"/>
        <w:rPr>
          <w:rFonts w:hint="eastAsia" w:ascii="宋体" w:hAnsi="宋体"/>
          <w:sz w:val="24"/>
        </w:rPr>
      </w:pPr>
      <w:r>
        <w:rPr>
          <w:rFonts w:hint="eastAsia" w:ascii="宋体" w:hAnsi="宋体"/>
          <w:sz w:val="24"/>
        </w:rPr>
        <w:t xml:space="preserve">根据矿井地质报告，该矿井各煤层的煤质特征详见 </w:t>
      </w:r>
      <w:r>
        <w:rPr>
          <w:rFonts w:hint="eastAsia" w:ascii="宋体" w:hAnsi="宋体"/>
          <w:b/>
          <w:sz w:val="24"/>
        </w:rPr>
        <w:t>表4－1－1</w:t>
      </w:r>
      <w:r>
        <w:rPr>
          <w:rFonts w:hint="eastAsia" w:ascii="宋体" w:hAnsi="宋体"/>
          <w:sz w:val="24"/>
        </w:rPr>
        <w:t>。</w:t>
      </w:r>
    </w:p>
    <w:p w14:paraId="660A806E">
      <w:pPr>
        <w:spacing w:line="360" w:lineRule="auto"/>
        <w:ind w:firstLine="482" w:firstLineChars="200"/>
        <w:jc w:val="center"/>
        <w:rPr>
          <w:rFonts w:hint="eastAsia" w:ascii="宋体" w:hAnsi="宋体"/>
          <w:b/>
          <w:sz w:val="24"/>
        </w:rPr>
      </w:pPr>
      <w:r>
        <w:rPr>
          <w:rFonts w:hint="eastAsia" w:ascii="宋体" w:hAnsi="宋体"/>
          <w:b/>
          <w:sz w:val="24"/>
        </w:rPr>
        <w:t>表4－1－1              可采煤层主要煤质特征表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24"/>
        <w:gridCol w:w="1262"/>
        <w:gridCol w:w="1360"/>
        <w:gridCol w:w="1360"/>
        <w:gridCol w:w="1260"/>
        <w:gridCol w:w="1620"/>
        <w:gridCol w:w="800"/>
      </w:tblGrid>
      <w:tr w14:paraId="3E79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44BFC79E">
            <w:pPr>
              <w:jc w:val="center"/>
              <w:rPr>
                <w:rFonts w:ascii="宋体" w:hAnsi="宋体"/>
                <w:sz w:val="18"/>
                <w:szCs w:val="18"/>
              </w:rPr>
            </w:pPr>
            <w:r>
              <w:rPr>
                <w:rFonts w:ascii="宋体" w:hAnsi="宋体"/>
                <w:sz w:val="18"/>
                <w:szCs w:val="18"/>
              </w:rPr>
              <w:t>煤层</w:t>
            </w:r>
          </w:p>
          <w:p w14:paraId="1908F768">
            <w:pPr>
              <w:jc w:val="center"/>
              <w:rPr>
                <w:rFonts w:ascii="宋体" w:hAnsi="宋体"/>
                <w:sz w:val="18"/>
                <w:szCs w:val="18"/>
              </w:rPr>
            </w:pPr>
            <w:r>
              <w:rPr>
                <w:rFonts w:ascii="宋体" w:hAnsi="宋体"/>
                <w:sz w:val="18"/>
                <w:szCs w:val="18"/>
              </w:rPr>
              <w:t>编号</w:t>
            </w:r>
          </w:p>
        </w:tc>
        <w:tc>
          <w:tcPr>
            <w:tcW w:w="624" w:type="dxa"/>
            <w:vMerge w:val="restart"/>
            <w:noWrap w:val="0"/>
            <w:vAlign w:val="center"/>
          </w:tcPr>
          <w:p w14:paraId="657B486F">
            <w:pPr>
              <w:jc w:val="center"/>
              <w:rPr>
                <w:rFonts w:ascii="宋体" w:hAnsi="宋体"/>
                <w:sz w:val="18"/>
                <w:szCs w:val="18"/>
              </w:rPr>
            </w:pPr>
            <w:r>
              <w:rPr>
                <w:rFonts w:ascii="宋体" w:hAnsi="宋体"/>
                <w:sz w:val="18"/>
                <w:szCs w:val="18"/>
              </w:rPr>
              <w:t>煤样类别</w:t>
            </w:r>
          </w:p>
        </w:tc>
        <w:tc>
          <w:tcPr>
            <w:tcW w:w="7662" w:type="dxa"/>
            <w:gridSpan w:val="6"/>
            <w:tcBorders>
              <w:bottom w:val="single" w:color="auto" w:sz="4" w:space="0"/>
            </w:tcBorders>
            <w:noWrap w:val="0"/>
            <w:vAlign w:val="center"/>
          </w:tcPr>
          <w:p w14:paraId="57616D44">
            <w:pPr>
              <w:jc w:val="center"/>
              <w:rPr>
                <w:rFonts w:ascii="宋体" w:hAnsi="宋体"/>
                <w:sz w:val="18"/>
                <w:szCs w:val="18"/>
              </w:rPr>
            </w:pPr>
            <w:r>
              <w:rPr>
                <w:rFonts w:ascii="宋体" w:hAnsi="宋体"/>
                <w:sz w:val="18"/>
                <w:szCs w:val="18"/>
              </w:rPr>
              <w:t>工业指标及可选性质</w:t>
            </w:r>
          </w:p>
        </w:tc>
      </w:tr>
      <w:tr w14:paraId="28C1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96" w:hRule="exact"/>
          <w:tblHeader/>
        </w:trPr>
        <w:tc>
          <w:tcPr>
            <w:tcW w:w="802" w:type="dxa"/>
            <w:vMerge w:val="continue"/>
            <w:noWrap w:val="0"/>
            <w:vAlign w:val="center"/>
          </w:tcPr>
          <w:p w14:paraId="16D890C1">
            <w:pPr>
              <w:jc w:val="center"/>
              <w:rPr>
                <w:rFonts w:ascii="宋体" w:hAnsi="宋体"/>
                <w:sz w:val="18"/>
                <w:szCs w:val="18"/>
              </w:rPr>
            </w:pPr>
          </w:p>
        </w:tc>
        <w:tc>
          <w:tcPr>
            <w:tcW w:w="624" w:type="dxa"/>
            <w:vMerge w:val="continue"/>
            <w:noWrap w:val="0"/>
            <w:vAlign w:val="center"/>
          </w:tcPr>
          <w:p w14:paraId="2EF52B6B">
            <w:pPr>
              <w:jc w:val="center"/>
              <w:rPr>
                <w:rFonts w:ascii="宋体" w:hAnsi="宋体"/>
                <w:sz w:val="18"/>
                <w:szCs w:val="18"/>
              </w:rPr>
            </w:pPr>
          </w:p>
        </w:tc>
        <w:tc>
          <w:tcPr>
            <w:tcW w:w="1262" w:type="dxa"/>
            <w:noWrap w:val="0"/>
            <w:vAlign w:val="center"/>
          </w:tcPr>
          <w:p w14:paraId="045BEEF2">
            <w:pPr>
              <w:jc w:val="center"/>
              <w:rPr>
                <w:rFonts w:hint="eastAsia" w:ascii="宋体" w:hAnsi="宋体"/>
                <w:sz w:val="18"/>
                <w:szCs w:val="18"/>
                <w:vertAlign w:val="superscript"/>
              </w:rPr>
            </w:pPr>
            <w:r>
              <w:rPr>
                <w:rFonts w:ascii="宋体" w:hAnsi="宋体"/>
                <w:sz w:val="18"/>
                <w:szCs w:val="18"/>
              </w:rPr>
              <w:t>水份W</w:t>
            </w:r>
            <w:r>
              <w:rPr>
                <w:rFonts w:ascii="宋体" w:hAnsi="宋体"/>
                <w:sz w:val="18"/>
                <w:szCs w:val="18"/>
                <w:vertAlign w:val="superscript"/>
              </w:rPr>
              <w:t>f</w:t>
            </w:r>
          </w:p>
          <w:p w14:paraId="7DEA15DD">
            <w:pPr>
              <w:jc w:val="center"/>
              <w:rPr>
                <w:rFonts w:ascii="宋体" w:hAnsi="宋体"/>
                <w:sz w:val="18"/>
                <w:szCs w:val="18"/>
              </w:rPr>
            </w:pPr>
            <w:r>
              <w:rPr>
                <w:rFonts w:ascii="宋体" w:hAnsi="宋体"/>
                <w:sz w:val="18"/>
                <w:szCs w:val="18"/>
              </w:rPr>
              <w:t>（%）</w:t>
            </w:r>
          </w:p>
        </w:tc>
        <w:tc>
          <w:tcPr>
            <w:tcW w:w="1360" w:type="dxa"/>
            <w:noWrap w:val="0"/>
            <w:vAlign w:val="center"/>
          </w:tcPr>
          <w:p w14:paraId="2D3E7272">
            <w:pPr>
              <w:ind w:firstLine="180" w:firstLineChars="100"/>
              <w:jc w:val="center"/>
              <w:rPr>
                <w:rFonts w:hint="eastAsia" w:ascii="宋体" w:hAnsi="宋体"/>
                <w:sz w:val="18"/>
                <w:szCs w:val="18"/>
              </w:rPr>
            </w:pPr>
            <w:r>
              <w:rPr>
                <w:rFonts w:ascii="宋体" w:hAnsi="宋体"/>
                <w:sz w:val="18"/>
                <w:szCs w:val="18"/>
              </w:rPr>
              <w:t>灰份Ad</w:t>
            </w:r>
          </w:p>
          <w:p w14:paraId="61BCE8D1">
            <w:pPr>
              <w:ind w:firstLine="180" w:firstLineChars="100"/>
              <w:jc w:val="center"/>
              <w:rPr>
                <w:rFonts w:ascii="宋体" w:hAnsi="宋体"/>
                <w:sz w:val="18"/>
                <w:szCs w:val="18"/>
              </w:rPr>
            </w:pPr>
            <w:r>
              <w:rPr>
                <w:rFonts w:ascii="宋体" w:hAnsi="宋体"/>
                <w:sz w:val="18"/>
                <w:szCs w:val="18"/>
              </w:rPr>
              <w:t>（%）</w:t>
            </w:r>
          </w:p>
        </w:tc>
        <w:tc>
          <w:tcPr>
            <w:tcW w:w="1360" w:type="dxa"/>
            <w:noWrap w:val="0"/>
            <w:vAlign w:val="center"/>
          </w:tcPr>
          <w:p w14:paraId="5718D11E">
            <w:pPr>
              <w:ind w:firstLine="180" w:firstLineChars="100"/>
              <w:jc w:val="center"/>
              <w:rPr>
                <w:rFonts w:ascii="宋体" w:hAnsi="宋体"/>
                <w:sz w:val="18"/>
                <w:szCs w:val="18"/>
              </w:rPr>
            </w:pPr>
            <w:r>
              <w:rPr>
                <w:rFonts w:ascii="宋体" w:hAnsi="宋体"/>
                <w:sz w:val="18"/>
                <w:szCs w:val="18"/>
              </w:rPr>
              <w:t>挥发分Vdaf (%)</w:t>
            </w:r>
          </w:p>
        </w:tc>
        <w:tc>
          <w:tcPr>
            <w:tcW w:w="1260" w:type="dxa"/>
            <w:noWrap w:val="0"/>
            <w:vAlign w:val="center"/>
          </w:tcPr>
          <w:p w14:paraId="35A088CD">
            <w:pPr>
              <w:ind w:firstLine="180" w:firstLineChars="100"/>
              <w:jc w:val="center"/>
              <w:rPr>
                <w:rFonts w:ascii="宋体" w:hAnsi="宋体"/>
                <w:sz w:val="18"/>
                <w:szCs w:val="18"/>
              </w:rPr>
            </w:pPr>
            <w:r>
              <w:rPr>
                <w:rFonts w:ascii="宋体" w:hAnsi="宋体"/>
                <w:sz w:val="18"/>
                <w:szCs w:val="18"/>
              </w:rPr>
              <w:t>硫份St,d (%)</w:t>
            </w:r>
          </w:p>
        </w:tc>
        <w:tc>
          <w:tcPr>
            <w:tcW w:w="1620" w:type="dxa"/>
            <w:tcBorders>
              <w:top w:val="nil"/>
            </w:tcBorders>
            <w:noWrap w:val="0"/>
            <w:vAlign w:val="center"/>
          </w:tcPr>
          <w:p w14:paraId="52F0FDF3">
            <w:pPr>
              <w:jc w:val="center"/>
              <w:rPr>
                <w:rFonts w:ascii="宋体" w:hAnsi="宋体"/>
                <w:sz w:val="18"/>
                <w:szCs w:val="18"/>
              </w:rPr>
            </w:pPr>
            <w:r>
              <w:rPr>
                <w:rFonts w:ascii="宋体" w:hAnsi="宋体"/>
                <w:sz w:val="18"/>
                <w:szCs w:val="18"/>
              </w:rPr>
              <w:t>发热量</w:t>
            </w:r>
          </w:p>
          <w:p w14:paraId="4063B918">
            <w:pPr>
              <w:jc w:val="center"/>
              <w:rPr>
                <w:rFonts w:ascii="宋体" w:hAnsi="宋体"/>
                <w:sz w:val="18"/>
                <w:szCs w:val="18"/>
              </w:rPr>
            </w:pPr>
            <w:r>
              <w:rPr>
                <w:rFonts w:ascii="宋体" w:hAnsi="宋体"/>
                <w:snapToGrid w:val="0"/>
                <w:kern w:val="0"/>
                <w:sz w:val="18"/>
                <w:szCs w:val="18"/>
              </w:rPr>
              <w:t>Qnet.d (MJ/kg)</w:t>
            </w:r>
          </w:p>
        </w:tc>
        <w:tc>
          <w:tcPr>
            <w:tcW w:w="800" w:type="dxa"/>
            <w:tcBorders>
              <w:top w:val="nil"/>
            </w:tcBorders>
            <w:noWrap w:val="0"/>
            <w:vAlign w:val="center"/>
          </w:tcPr>
          <w:p w14:paraId="4FF18A24">
            <w:pPr>
              <w:jc w:val="center"/>
              <w:rPr>
                <w:rFonts w:ascii="宋体" w:hAnsi="宋体"/>
                <w:sz w:val="18"/>
                <w:szCs w:val="18"/>
              </w:rPr>
            </w:pPr>
            <w:r>
              <w:rPr>
                <w:rFonts w:ascii="宋体" w:hAnsi="宋体"/>
                <w:sz w:val="18"/>
                <w:szCs w:val="18"/>
              </w:rPr>
              <w:t>煤类</w:t>
            </w:r>
          </w:p>
        </w:tc>
      </w:tr>
      <w:tr w14:paraId="4A2E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309BDBBC">
            <w:pPr>
              <w:jc w:val="center"/>
              <w:rPr>
                <w:rFonts w:ascii="宋体" w:hAnsi="宋体"/>
                <w:sz w:val="18"/>
                <w:szCs w:val="18"/>
              </w:rPr>
            </w:pPr>
            <w:r>
              <w:rPr>
                <w:rFonts w:ascii="宋体" w:hAnsi="宋体"/>
                <w:sz w:val="18"/>
                <w:szCs w:val="18"/>
              </w:rPr>
              <w:t>K1-b</w:t>
            </w:r>
          </w:p>
        </w:tc>
        <w:tc>
          <w:tcPr>
            <w:tcW w:w="624" w:type="dxa"/>
            <w:vMerge w:val="restart"/>
            <w:noWrap w:val="0"/>
            <w:vAlign w:val="center"/>
          </w:tcPr>
          <w:p w14:paraId="0A8A5161">
            <w:pPr>
              <w:jc w:val="center"/>
              <w:rPr>
                <w:rFonts w:ascii="宋体" w:hAnsi="宋体"/>
                <w:sz w:val="18"/>
                <w:szCs w:val="18"/>
              </w:rPr>
            </w:pPr>
            <w:r>
              <w:rPr>
                <w:rFonts w:ascii="宋体" w:hAnsi="宋体"/>
                <w:sz w:val="18"/>
                <w:szCs w:val="18"/>
              </w:rPr>
              <w:t>原煤</w:t>
            </w:r>
          </w:p>
        </w:tc>
        <w:tc>
          <w:tcPr>
            <w:tcW w:w="1262" w:type="dxa"/>
            <w:noWrap w:val="0"/>
            <w:vAlign w:val="center"/>
          </w:tcPr>
          <w:p w14:paraId="2E94A0FC">
            <w:pPr>
              <w:jc w:val="center"/>
              <w:rPr>
                <w:rFonts w:ascii="宋体" w:hAnsi="宋体"/>
                <w:sz w:val="18"/>
                <w:szCs w:val="18"/>
              </w:rPr>
            </w:pPr>
            <w:r>
              <w:rPr>
                <w:rFonts w:ascii="宋体" w:hAnsi="宋体"/>
                <w:sz w:val="18"/>
                <w:szCs w:val="18"/>
              </w:rPr>
              <w:t>0.72～1.25</w:t>
            </w:r>
          </w:p>
        </w:tc>
        <w:tc>
          <w:tcPr>
            <w:tcW w:w="1360" w:type="dxa"/>
            <w:noWrap w:val="0"/>
            <w:vAlign w:val="center"/>
          </w:tcPr>
          <w:p w14:paraId="6222383B">
            <w:pPr>
              <w:rPr>
                <w:rFonts w:ascii="宋体" w:hAnsi="宋体"/>
                <w:sz w:val="18"/>
                <w:szCs w:val="18"/>
              </w:rPr>
            </w:pPr>
            <w:r>
              <w:rPr>
                <w:rFonts w:ascii="宋体" w:hAnsi="宋体"/>
                <w:sz w:val="18"/>
                <w:szCs w:val="18"/>
              </w:rPr>
              <w:t>13.35～37.06</w:t>
            </w:r>
          </w:p>
        </w:tc>
        <w:tc>
          <w:tcPr>
            <w:tcW w:w="1360" w:type="dxa"/>
            <w:noWrap w:val="0"/>
            <w:vAlign w:val="center"/>
          </w:tcPr>
          <w:p w14:paraId="05A0F6F5">
            <w:pPr>
              <w:jc w:val="center"/>
              <w:rPr>
                <w:rFonts w:ascii="宋体" w:hAnsi="宋体"/>
                <w:sz w:val="18"/>
                <w:szCs w:val="18"/>
              </w:rPr>
            </w:pPr>
            <w:r>
              <w:rPr>
                <w:rFonts w:ascii="宋体" w:hAnsi="宋体"/>
                <w:sz w:val="18"/>
                <w:szCs w:val="18"/>
              </w:rPr>
              <w:t>10.34～19.88</w:t>
            </w:r>
          </w:p>
        </w:tc>
        <w:tc>
          <w:tcPr>
            <w:tcW w:w="1260" w:type="dxa"/>
            <w:noWrap w:val="0"/>
            <w:vAlign w:val="center"/>
          </w:tcPr>
          <w:p w14:paraId="755E0F47">
            <w:pPr>
              <w:jc w:val="center"/>
              <w:rPr>
                <w:rFonts w:ascii="宋体" w:hAnsi="宋体"/>
                <w:sz w:val="18"/>
                <w:szCs w:val="18"/>
              </w:rPr>
            </w:pPr>
            <w:r>
              <w:rPr>
                <w:rFonts w:ascii="宋体" w:hAnsi="宋体"/>
                <w:sz w:val="18"/>
                <w:szCs w:val="18"/>
              </w:rPr>
              <w:t>0.21～1.98</w:t>
            </w:r>
          </w:p>
        </w:tc>
        <w:tc>
          <w:tcPr>
            <w:tcW w:w="1620" w:type="dxa"/>
            <w:noWrap w:val="0"/>
            <w:vAlign w:val="center"/>
          </w:tcPr>
          <w:p w14:paraId="111A7CF5">
            <w:pPr>
              <w:jc w:val="center"/>
              <w:rPr>
                <w:rFonts w:hint="eastAsia" w:ascii="宋体" w:hAnsi="宋体"/>
                <w:sz w:val="18"/>
                <w:szCs w:val="18"/>
              </w:rPr>
            </w:pPr>
            <w:r>
              <w:rPr>
                <w:rFonts w:ascii="宋体" w:hAnsi="宋体"/>
                <w:sz w:val="18"/>
                <w:szCs w:val="18"/>
              </w:rPr>
              <w:t>21.0</w:t>
            </w:r>
            <w:r>
              <w:rPr>
                <w:rFonts w:hint="eastAsia" w:ascii="宋体" w:hAnsi="宋体"/>
                <w:sz w:val="18"/>
                <w:szCs w:val="18"/>
              </w:rPr>
              <w:t>0</w:t>
            </w:r>
            <w:r>
              <w:rPr>
                <w:rFonts w:ascii="宋体" w:hAnsi="宋体"/>
                <w:sz w:val="18"/>
                <w:szCs w:val="18"/>
              </w:rPr>
              <w:t>～39.7</w:t>
            </w:r>
            <w:r>
              <w:rPr>
                <w:rFonts w:hint="eastAsia" w:ascii="宋体" w:hAnsi="宋体"/>
                <w:sz w:val="18"/>
                <w:szCs w:val="18"/>
              </w:rPr>
              <w:t>5</w:t>
            </w:r>
          </w:p>
        </w:tc>
        <w:tc>
          <w:tcPr>
            <w:tcW w:w="800" w:type="dxa"/>
            <w:vMerge w:val="restart"/>
            <w:noWrap w:val="0"/>
            <w:vAlign w:val="center"/>
          </w:tcPr>
          <w:p w14:paraId="5DEC5C4B">
            <w:pPr>
              <w:jc w:val="center"/>
              <w:rPr>
                <w:rFonts w:hint="eastAsia" w:ascii="宋体" w:hAnsi="宋体"/>
                <w:sz w:val="18"/>
                <w:szCs w:val="18"/>
              </w:rPr>
            </w:pPr>
            <w:r>
              <w:rPr>
                <w:rFonts w:hint="eastAsia" w:ascii="宋体" w:hAnsi="宋体"/>
                <w:sz w:val="18"/>
                <w:szCs w:val="18"/>
              </w:rPr>
              <w:t>贫煤</w:t>
            </w:r>
          </w:p>
        </w:tc>
      </w:tr>
      <w:tr w14:paraId="44C2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C72A734">
            <w:pPr>
              <w:jc w:val="center"/>
              <w:rPr>
                <w:rFonts w:ascii="宋体" w:hAnsi="宋体"/>
                <w:sz w:val="18"/>
                <w:szCs w:val="18"/>
              </w:rPr>
            </w:pPr>
          </w:p>
        </w:tc>
        <w:tc>
          <w:tcPr>
            <w:tcW w:w="624" w:type="dxa"/>
            <w:vMerge w:val="continue"/>
            <w:noWrap w:val="0"/>
            <w:vAlign w:val="center"/>
          </w:tcPr>
          <w:p w14:paraId="188C81FC">
            <w:pPr>
              <w:jc w:val="center"/>
              <w:rPr>
                <w:rFonts w:ascii="宋体" w:hAnsi="宋体"/>
                <w:sz w:val="18"/>
                <w:szCs w:val="18"/>
              </w:rPr>
            </w:pPr>
          </w:p>
        </w:tc>
        <w:tc>
          <w:tcPr>
            <w:tcW w:w="1262" w:type="dxa"/>
            <w:noWrap w:val="0"/>
            <w:vAlign w:val="center"/>
          </w:tcPr>
          <w:p w14:paraId="2FC4C9AE">
            <w:pPr>
              <w:jc w:val="center"/>
              <w:rPr>
                <w:rFonts w:ascii="宋体" w:hAnsi="宋体"/>
                <w:sz w:val="18"/>
                <w:szCs w:val="18"/>
              </w:rPr>
            </w:pPr>
            <w:r>
              <w:rPr>
                <w:rFonts w:ascii="宋体" w:hAnsi="宋体"/>
                <w:sz w:val="18"/>
                <w:szCs w:val="18"/>
              </w:rPr>
              <w:t>1.02</w:t>
            </w:r>
          </w:p>
        </w:tc>
        <w:tc>
          <w:tcPr>
            <w:tcW w:w="1360" w:type="dxa"/>
            <w:noWrap w:val="0"/>
            <w:vAlign w:val="center"/>
          </w:tcPr>
          <w:p w14:paraId="044E667C">
            <w:pPr>
              <w:jc w:val="center"/>
              <w:rPr>
                <w:rFonts w:ascii="宋体" w:hAnsi="宋体"/>
                <w:sz w:val="18"/>
                <w:szCs w:val="18"/>
              </w:rPr>
            </w:pPr>
            <w:r>
              <w:rPr>
                <w:rFonts w:ascii="宋体" w:hAnsi="宋体"/>
                <w:sz w:val="18"/>
                <w:szCs w:val="18"/>
              </w:rPr>
              <w:t>22.09</w:t>
            </w:r>
          </w:p>
        </w:tc>
        <w:tc>
          <w:tcPr>
            <w:tcW w:w="1360" w:type="dxa"/>
            <w:noWrap w:val="0"/>
            <w:vAlign w:val="center"/>
          </w:tcPr>
          <w:p w14:paraId="3D1606A2">
            <w:pPr>
              <w:jc w:val="center"/>
              <w:rPr>
                <w:rFonts w:ascii="宋体" w:hAnsi="宋体"/>
                <w:sz w:val="18"/>
                <w:szCs w:val="18"/>
              </w:rPr>
            </w:pPr>
            <w:r>
              <w:rPr>
                <w:rFonts w:ascii="宋体" w:hAnsi="宋体"/>
                <w:sz w:val="18"/>
                <w:szCs w:val="18"/>
              </w:rPr>
              <w:t>14.43</w:t>
            </w:r>
          </w:p>
        </w:tc>
        <w:tc>
          <w:tcPr>
            <w:tcW w:w="1260" w:type="dxa"/>
            <w:noWrap w:val="0"/>
            <w:vAlign w:val="center"/>
          </w:tcPr>
          <w:p w14:paraId="5B3E49FF">
            <w:pPr>
              <w:jc w:val="center"/>
              <w:rPr>
                <w:rFonts w:ascii="宋体" w:hAnsi="宋体"/>
                <w:sz w:val="18"/>
                <w:szCs w:val="18"/>
              </w:rPr>
            </w:pPr>
            <w:r>
              <w:rPr>
                <w:rFonts w:ascii="宋体" w:hAnsi="宋体"/>
                <w:sz w:val="18"/>
                <w:szCs w:val="18"/>
              </w:rPr>
              <w:t>0.60</w:t>
            </w:r>
          </w:p>
        </w:tc>
        <w:tc>
          <w:tcPr>
            <w:tcW w:w="1620" w:type="dxa"/>
            <w:noWrap w:val="0"/>
            <w:vAlign w:val="center"/>
          </w:tcPr>
          <w:p w14:paraId="52755985">
            <w:pPr>
              <w:jc w:val="center"/>
              <w:rPr>
                <w:rFonts w:hint="eastAsia" w:ascii="宋体" w:hAnsi="宋体"/>
                <w:sz w:val="18"/>
                <w:szCs w:val="18"/>
              </w:rPr>
            </w:pPr>
            <w:r>
              <w:rPr>
                <w:rFonts w:ascii="宋体" w:hAnsi="宋体"/>
                <w:sz w:val="18"/>
                <w:szCs w:val="18"/>
              </w:rPr>
              <w:t>27.</w:t>
            </w:r>
            <w:r>
              <w:rPr>
                <w:rFonts w:hint="eastAsia" w:ascii="宋体" w:hAnsi="宋体"/>
                <w:sz w:val="18"/>
                <w:szCs w:val="18"/>
              </w:rPr>
              <w:t>39</w:t>
            </w:r>
          </w:p>
        </w:tc>
        <w:tc>
          <w:tcPr>
            <w:tcW w:w="800" w:type="dxa"/>
            <w:vMerge w:val="continue"/>
            <w:noWrap w:val="0"/>
            <w:vAlign w:val="center"/>
          </w:tcPr>
          <w:p w14:paraId="35A41AC6">
            <w:pPr>
              <w:jc w:val="center"/>
              <w:rPr>
                <w:rFonts w:ascii="宋体" w:hAnsi="宋体"/>
                <w:sz w:val="18"/>
                <w:szCs w:val="18"/>
              </w:rPr>
            </w:pPr>
          </w:p>
        </w:tc>
      </w:tr>
      <w:tr w14:paraId="21F9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4FEEFC3D">
            <w:pPr>
              <w:jc w:val="center"/>
              <w:rPr>
                <w:rFonts w:ascii="宋体" w:hAnsi="宋体"/>
                <w:sz w:val="18"/>
                <w:szCs w:val="18"/>
              </w:rPr>
            </w:pPr>
          </w:p>
        </w:tc>
        <w:tc>
          <w:tcPr>
            <w:tcW w:w="624" w:type="dxa"/>
            <w:vMerge w:val="restart"/>
            <w:noWrap w:val="0"/>
            <w:vAlign w:val="center"/>
          </w:tcPr>
          <w:p w14:paraId="06B8E5A4">
            <w:pPr>
              <w:jc w:val="center"/>
              <w:rPr>
                <w:rFonts w:ascii="宋体" w:hAnsi="宋体"/>
                <w:sz w:val="18"/>
                <w:szCs w:val="18"/>
              </w:rPr>
            </w:pPr>
            <w:r>
              <w:rPr>
                <w:rFonts w:ascii="宋体" w:hAnsi="宋体"/>
                <w:sz w:val="18"/>
                <w:szCs w:val="18"/>
              </w:rPr>
              <w:t>洗煤</w:t>
            </w:r>
          </w:p>
        </w:tc>
        <w:tc>
          <w:tcPr>
            <w:tcW w:w="1262" w:type="dxa"/>
            <w:noWrap w:val="0"/>
            <w:vAlign w:val="center"/>
          </w:tcPr>
          <w:p w14:paraId="06B8094E">
            <w:pPr>
              <w:jc w:val="center"/>
              <w:rPr>
                <w:rFonts w:ascii="宋体" w:hAnsi="宋体"/>
                <w:sz w:val="18"/>
                <w:szCs w:val="18"/>
              </w:rPr>
            </w:pPr>
            <w:r>
              <w:rPr>
                <w:rFonts w:ascii="宋体" w:hAnsi="宋体"/>
                <w:sz w:val="18"/>
                <w:szCs w:val="18"/>
              </w:rPr>
              <w:t>0.41～1.37</w:t>
            </w:r>
          </w:p>
        </w:tc>
        <w:tc>
          <w:tcPr>
            <w:tcW w:w="1360" w:type="dxa"/>
            <w:noWrap w:val="0"/>
            <w:vAlign w:val="center"/>
          </w:tcPr>
          <w:p w14:paraId="503FC805">
            <w:pPr>
              <w:jc w:val="center"/>
              <w:rPr>
                <w:rFonts w:ascii="宋体" w:hAnsi="宋体"/>
                <w:sz w:val="18"/>
                <w:szCs w:val="18"/>
              </w:rPr>
            </w:pPr>
            <w:r>
              <w:rPr>
                <w:rFonts w:ascii="宋体" w:hAnsi="宋体"/>
                <w:sz w:val="18"/>
                <w:szCs w:val="18"/>
              </w:rPr>
              <w:t>6.41～13.46</w:t>
            </w:r>
          </w:p>
        </w:tc>
        <w:tc>
          <w:tcPr>
            <w:tcW w:w="1360" w:type="dxa"/>
            <w:noWrap w:val="0"/>
            <w:vAlign w:val="center"/>
          </w:tcPr>
          <w:p w14:paraId="13C63F38">
            <w:pPr>
              <w:jc w:val="center"/>
              <w:rPr>
                <w:rFonts w:ascii="宋体" w:hAnsi="宋体"/>
                <w:sz w:val="18"/>
                <w:szCs w:val="18"/>
              </w:rPr>
            </w:pPr>
            <w:r>
              <w:rPr>
                <w:rFonts w:ascii="宋体" w:hAnsi="宋体"/>
                <w:sz w:val="18"/>
                <w:szCs w:val="18"/>
              </w:rPr>
              <w:t>10.89～16.22</w:t>
            </w:r>
          </w:p>
        </w:tc>
        <w:tc>
          <w:tcPr>
            <w:tcW w:w="1260" w:type="dxa"/>
            <w:noWrap w:val="0"/>
            <w:vAlign w:val="center"/>
          </w:tcPr>
          <w:p w14:paraId="76C74B8E">
            <w:pPr>
              <w:jc w:val="center"/>
              <w:rPr>
                <w:rFonts w:ascii="宋体" w:hAnsi="宋体"/>
                <w:sz w:val="18"/>
                <w:szCs w:val="18"/>
              </w:rPr>
            </w:pPr>
            <w:r>
              <w:rPr>
                <w:rFonts w:ascii="宋体" w:hAnsi="宋体"/>
                <w:sz w:val="18"/>
                <w:szCs w:val="18"/>
              </w:rPr>
              <w:t>0.28～1.40</w:t>
            </w:r>
          </w:p>
        </w:tc>
        <w:tc>
          <w:tcPr>
            <w:tcW w:w="1620" w:type="dxa"/>
            <w:noWrap w:val="0"/>
            <w:vAlign w:val="center"/>
          </w:tcPr>
          <w:p w14:paraId="70C20CB8">
            <w:pPr>
              <w:rPr>
                <w:rFonts w:hint="eastAsia" w:ascii="宋体" w:hAnsi="宋体"/>
                <w:sz w:val="18"/>
                <w:szCs w:val="18"/>
              </w:rPr>
            </w:pPr>
            <w:r>
              <w:rPr>
                <w:rFonts w:ascii="宋体" w:hAnsi="宋体"/>
                <w:sz w:val="18"/>
                <w:szCs w:val="18"/>
              </w:rPr>
              <w:t>32.9</w:t>
            </w:r>
            <w:r>
              <w:rPr>
                <w:rFonts w:hint="eastAsia" w:ascii="宋体" w:hAnsi="宋体"/>
                <w:sz w:val="18"/>
                <w:szCs w:val="18"/>
              </w:rPr>
              <w:t>2</w:t>
            </w:r>
            <w:r>
              <w:rPr>
                <w:rFonts w:ascii="宋体" w:hAnsi="宋体"/>
                <w:sz w:val="18"/>
                <w:szCs w:val="18"/>
              </w:rPr>
              <w:t>～34.1</w:t>
            </w:r>
            <w:r>
              <w:rPr>
                <w:rFonts w:hint="eastAsia" w:ascii="宋体" w:hAnsi="宋体"/>
                <w:sz w:val="18"/>
                <w:szCs w:val="18"/>
              </w:rPr>
              <w:t>4</w:t>
            </w:r>
          </w:p>
        </w:tc>
        <w:tc>
          <w:tcPr>
            <w:tcW w:w="800" w:type="dxa"/>
            <w:vMerge w:val="continue"/>
            <w:noWrap w:val="0"/>
            <w:vAlign w:val="center"/>
          </w:tcPr>
          <w:p w14:paraId="5A04F015">
            <w:pPr>
              <w:jc w:val="center"/>
              <w:rPr>
                <w:rFonts w:ascii="宋体" w:hAnsi="宋体"/>
                <w:sz w:val="18"/>
                <w:szCs w:val="18"/>
              </w:rPr>
            </w:pPr>
          </w:p>
        </w:tc>
      </w:tr>
      <w:tr w14:paraId="0A4D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BB16F7B">
            <w:pPr>
              <w:jc w:val="center"/>
              <w:rPr>
                <w:rFonts w:ascii="宋体" w:hAnsi="宋体"/>
                <w:sz w:val="18"/>
                <w:szCs w:val="18"/>
              </w:rPr>
            </w:pPr>
          </w:p>
        </w:tc>
        <w:tc>
          <w:tcPr>
            <w:tcW w:w="624" w:type="dxa"/>
            <w:vMerge w:val="continue"/>
            <w:noWrap w:val="0"/>
            <w:vAlign w:val="center"/>
          </w:tcPr>
          <w:p w14:paraId="308A208E">
            <w:pPr>
              <w:jc w:val="center"/>
              <w:rPr>
                <w:rFonts w:ascii="宋体" w:hAnsi="宋体"/>
                <w:sz w:val="18"/>
                <w:szCs w:val="18"/>
              </w:rPr>
            </w:pPr>
          </w:p>
        </w:tc>
        <w:tc>
          <w:tcPr>
            <w:tcW w:w="1262" w:type="dxa"/>
            <w:noWrap w:val="0"/>
            <w:vAlign w:val="center"/>
          </w:tcPr>
          <w:p w14:paraId="0DAE2D8A">
            <w:pPr>
              <w:jc w:val="center"/>
              <w:rPr>
                <w:rFonts w:ascii="宋体" w:hAnsi="宋体"/>
                <w:sz w:val="18"/>
                <w:szCs w:val="18"/>
              </w:rPr>
            </w:pPr>
            <w:r>
              <w:rPr>
                <w:rFonts w:ascii="宋体" w:hAnsi="宋体"/>
                <w:sz w:val="18"/>
                <w:szCs w:val="18"/>
              </w:rPr>
              <w:t>1.03</w:t>
            </w:r>
          </w:p>
        </w:tc>
        <w:tc>
          <w:tcPr>
            <w:tcW w:w="1360" w:type="dxa"/>
            <w:noWrap w:val="0"/>
            <w:vAlign w:val="center"/>
          </w:tcPr>
          <w:p w14:paraId="1262361F">
            <w:pPr>
              <w:jc w:val="center"/>
              <w:rPr>
                <w:rFonts w:ascii="宋体" w:hAnsi="宋体"/>
                <w:sz w:val="18"/>
                <w:szCs w:val="18"/>
              </w:rPr>
            </w:pPr>
            <w:r>
              <w:rPr>
                <w:rFonts w:ascii="宋体" w:hAnsi="宋体"/>
                <w:sz w:val="18"/>
                <w:szCs w:val="18"/>
              </w:rPr>
              <w:t>7.84</w:t>
            </w:r>
          </w:p>
        </w:tc>
        <w:tc>
          <w:tcPr>
            <w:tcW w:w="1360" w:type="dxa"/>
            <w:noWrap w:val="0"/>
            <w:vAlign w:val="center"/>
          </w:tcPr>
          <w:p w14:paraId="5DCA9C5E">
            <w:pPr>
              <w:jc w:val="center"/>
              <w:rPr>
                <w:rFonts w:ascii="宋体" w:hAnsi="宋体"/>
                <w:sz w:val="18"/>
                <w:szCs w:val="18"/>
              </w:rPr>
            </w:pPr>
            <w:r>
              <w:rPr>
                <w:rFonts w:ascii="宋体" w:hAnsi="宋体"/>
                <w:sz w:val="18"/>
                <w:szCs w:val="18"/>
              </w:rPr>
              <w:t>13.12</w:t>
            </w:r>
          </w:p>
        </w:tc>
        <w:tc>
          <w:tcPr>
            <w:tcW w:w="1260" w:type="dxa"/>
            <w:noWrap w:val="0"/>
            <w:vAlign w:val="center"/>
          </w:tcPr>
          <w:p w14:paraId="782C7817">
            <w:pPr>
              <w:jc w:val="center"/>
              <w:rPr>
                <w:rFonts w:ascii="宋体" w:hAnsi="宋体"/>
                <w:sz w:val="18"/>
                <w:szCs w:val="18"/>
              </w:rPr>
            </w:pPr>
            <w:r>
              <w:rPr>
                <w:rFonts w:ascii="宋体" w:hAnsi="宋体"/>
                <w:sz w:val="18"/>
                <w:szCs w:val="18"/>
              </w:rPr>
              <w:t>0.52</w:t>
            </w:r>
          </w:p>
        </w:tc>
        <w:tc>
          <w:tcPr>
            <w:tcW w:w="1620" w:type="dxa"/>
            <w:noWrap w:val="0"/>
            <w:vAlign w:val="center"/>
          </w:tcPr>
          <w:p w14:paraId="408B6294">
            <w:pPr>
              <w:jc w:val="center"/>
              <w:rPr>
                <w:rFonts w:hint="eastAsia" w:ascii="宋体" w:hAnsi="宋体"/>
                <w:sz w:val="18"/>
                <w:szCs w:val="18"/>
              </w:rPr>
            </w:pPr>
            <w:r>
              <w:rPr>
                <w:rFonts w:ascii="宋体" w:hAnsi="宋体"/>
                <w:sz w:val="18"/>
                <w:szCs w:val="18"/>
              </w:rPr>
              <w:t>33.3</w:t>
            </w:r>
            <w:r>
              <w:rPr>
                <w:rFonts w:hint="eastAsia" w:ascii="宋体" w:hAnsi="宋体"/>
                <w:sz w:val="18"/>
                <w:szCs w:val="18"/>
              </w:rPr>
              <w:t>0</w:t>
            </w:r>
          </w:p>
        </w:tc>
        <w:tc>
          <w:tcPr>
            <w:tcW w:w="800" w:type="dxa"/>
            <w:vMerge w:val="continue"/>
            <w:noWrap w:val="0"/>
            <w:vAlign w:val="center"/>
          </w:tcPr>
          <w:p w14:paraId="271BEBC3">
            <w:pPr>
              <w:jc w:val="center"/>
              <w:rPr>
                <w:rFonts w:ascii="宋体" w:hAnsi="宋体"/>
                <w:sz w:val="18"/>
                <w:szCs w:val="18"/>
              </w:rPr>
            </w:pPr>
          </w:p>
        </w:tc>
      </w:tr>
      <w:tr w14:paraId="7A4C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3431C6CF">
            <w:pPr>
              <w:jc w:val="center"/>
              <w:rPr>
                <w:rFonts w:hint="eastAsia" w:ascii="宋体" w:hAnsi="宋体"/>
                <w:sz w:val="18"/>
                <w:szCs w:val="18"/>
              </w:rPr>
            </w:pPr>
            <w:r>
              <w:rPr>
                <w:rFonts w:hint="eastAsia" w:ascii="宋体" w:hAnsi="宋体"/>
                <w:sz w:val="18"/>
                <w:szCs w:val="18"/>
              </w:rPr>
              <w:t>K3</w:t>
            </w:r>
          </w:p>
        </w:tc>
        <w:tc>
          <w:tcPr>
            <w:tcW w:w="624" w:type="dxa"/>
            <w:vMerge w:val="restart"/>
            <w:noWrap w:val="0"/>
            <w:vAlign w:val="center"/>
          </w:tcPr>
          <w:p w14:paraId="66B813CE">
            <w:pPr>
              <w:jc w:val="center"/>
              <w:rPr>
                <w:rFonts w:ascii="宋体" w:hAnsi="宋体"/>
                <w:sz w:val="18"/>
                <w:szCs w:val="18"/>
              </w:rPr>
            </w:pPr>
            <w:r>
              <w:rPr>
                <w:rFonts w:ascii="宋体" w:hAnsi="宋体"/>
                <w:sz w:val="18"/>
                <w:szCs w:val="18"/>
              </w:rPr>
              <w:t>原煤</w:t>
            </w:r>
          </w:p>
        </w:tc>
        <w:tc>
          <w:tcPr>
            <w:tcW w:w="1262" w:type="dxa"/>
            <w:noWrap w:val="0"/>
            <w:vAlign w:val="center"/>
          </w:tcPr>
          <w:p w14:paraId="3D107FB5">
            <w:pPr>
              <w:jc w:val="center"/>
              <w:rPr>
                <w:rFonts w:ascii="宋体" w:hAnsi="宋体"/>
                <w:sz w:val="18"/>
                <w:szCs w:val="18"/>
              </w:rPr>
            </w:pPr>
            <w:r>
              <w:rPr>
                <w:rFonts w:ascii="宋体" w:hAnsi="宋体"/>
                <w:sz w:val="18"/>
                <w:szCs w:val="18"/>
              </w:rPr>
              <w:t>0.34～7.00</w:t>
            </w:r>
          </w:p>
        </w:tc>
        <w:tc>
          <w:tcPr>
            <w:tcW w:w="1360" w:type="dxa"/>
            <w:noWrap w:val="0"/>
            <w:vAlign w:val="center"/>
          </w:tcPr>
          <w:p w14:paraId="2BB9303D">
            <w:pPr>
              <w:jc w:val="center"/>
              <w:rPr>
                <w:rFonts w:ascii="宋体" w:hAnsi="宋体"/>
                <w:sz w:val="18"/>
                <w:szCs w:val="18"/>
              </w:rPr>
            </w:pPr>
            <w:r>
              <w:rPr>
                <w:rFonts w:ascii="宋体" w:hAnsi="宋体"/>
                <w:sz w:val="18"/>
                <w:szCs w:val="18"/>
              </w:rPr>
              <w:t>18.71～30.22</w:t>
            </w:r>
          </w:p>
        </w:tc>
        <w:tc>
          <w:tcPr>
            <w:tcW w:w="1360" w:type="dxa"/>
            <w:noWrap w:val="0"/>
            <w:vAlign w:val="center"/>
          </w:tcPr>
          <w:p w14:paraId="027D007A">
            <w:pPr>
              <w:jc w:val="center"/>
              <w:rPr>
                <w:rFonts w:ascii="宋体" w:hAnsi="宋体"/>
                <w:sz w:val="18"/>
                <w:szCs w:val="18"/>
              </w:rPr>
            </w:pPr>
            <w:r>
              <w:rPr>
                <w:rFonts w:ascii="宋体" w:hAnsi="宋体"/>
                <w:sz w:val="18"/>
                <w:szCs w:val="18"/>
              </w:rPr>
              <w:t>11.40～17.75</w:t>
            </w:r>
          </w:p>
        </w:tc>
        <w:tc>
          <w:tcPr>
            <w:tcW w:w="1260" w:type="dxa"/>
            <w:noWrap w:val="0"/>
            <w:vAlign w:val="center"/>
          </w:tcPr>
          <w:p w14:paraId="66C1DFDD">
            <w:pPr>
              <w:jc w:val="center"/>
              <w:rPr>
                <w:rFonts w:ascii="宋体" w:hAnsi="宋体"/>
                <w:sz w:val="18"/>
                <w:szCs w:val="18"/>
              </w:rPr>
            </w:pPr>
            <w:r>
              <w:rPr>
                <w:rFonts w:ascii="宋体" w:hAnsi="宋体"/>
                <w:sz w:val="18"/>
                <w:szCs w:val="18"/>
              </w:rPr>
              <w:t>0.23～4.99</w:t>
            </w:r>
          </w:p>
        </w:tc>
        <w:tc>
          <w:tcPr>
            <w:tcW w:w="1620" w:type="dxa"/>
            <w:noWrap w:val="0"/>
            <w:vAlign w:val="center"/>
          </w:tcPr>
          <w:p w14:paraId="6F0B3321">
            <w:pPr>
              <w:jc w:val="center"/>
              <w:rPr>
                <w:rFonts w:hint="eastAsia" w:ascii="宋体" w:hAnsi="宋体"/>
                <w:sz w:val="18"/>
                <w:szCs w:val="18"/>
              </w:rPr>
            </w:pPr>
            <w:r>
              <w:rPr>
                <w:rFonts w:ascii="宋体" w:hAnsi="宋体"/>
                <w:sz w:val="18"/>
                <w:szCs w:val="18"/>
              </w:rPr>
              <w:t>24.</w:t>
            </w:r>
            <w:r>
              <w:rPr>
                <w:rFonts w:hint="eastAsia" w:ascii="宋体" w:hAnsi="宋体"/>
                <w:sz w:val="18"/>
                <w:szCs w:val="18"/>
              </w:rPr>
              <w:t>19</w:t>
            </w:r>
            <w:r>
              <w:rPr>
                <w:rFonts w:ascii="宋体" w:hAnsi="宋体"/>
                <w:sz w:val="18"/>
                <w:szCs w:val="18"/>
              </w:rPr>
              <w:t>～29.1</w:t>
            </w:r>
            <w:r>
              <w:rPr>
                <w:rFonts w:hint="eastAsia" w:ascii="宋体" w:hAnsi="宋体"/>
                <w:sz w:val="18"/>
                <w:szCs w:val="18"/>
              </w:rPr>
              <w:t>4</w:t>
            </w:r>
          </w:p>
        </w:tc>
        <w:tc>
          <w:tcPr>
            <w:tcW w:w="800" w:type="dxa"/>
            <w:vMerge w:val="restart"/>
            <w:noWrap w:val="0"/>
            <w:vAlign w:val="center"/>
          </w:tcPr>
          <w:p w14:paraId="019E01DF">
            <w:pPr>
              <w:jc w:val="center"/>
              <w:rPr>
                <w:rFonts w:ascii="宋体" w:hAnsi="宋体"/>
                <w:sz w:val="18"/>
                <w:szCs w:val="18"/>
              </w:rPr>
            </w:pPr>
            <w:r>
              <w:rPr>
                <w:rFonts w:hint="eastAsia" w:ascii="宋体" w:hAnsi="宋体"/>
                <w:sz w:val="18"/>
                <w:szCs w:val="18"/>
              </w:rPr>
              <w:t>贫煤</w:t>
            </w:r>
          </w:p>
        </w:tc>
      </w:tr>
      <w:tr w14:paraId="1092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5E142120">
            <w:pPr>
              <w:jc w:val="center"/>
              <w:rPr>
                <w:rFonts w:ascii="宋体" w:hAnsi="宋体"/>
                <w:sz w:val="18"/>
                <w:szCs w:val="18"/>
              </w:rPr>
            </w:pPr>
          </w:p>
        </w:tc>
        <w:tc>
          <w:tcPr>
            <w:tcW w:w="624" w:type="dxa"/>
            <w:vMerge w:val="continue"/>
            <w:noWrap w:val="0"/>
            <w:vAlign w:val="center"/>
          </w:tcPr>
          <w:p w14:paraId="0155780C">
            <w:pPr>
              <w:jc w:val="center"/>
              <w:rPr>
                <w:rFonts w:ascii="宋体" w:hAnsi="宋体"/>
                <w:sz w:val="18"/>
                <w:szCs w:val="18"/>
              </w:rPr>
            </w:pPr>
          </w:p>
        </w:tc>
        <w:tc>
          <w:tcPr>
            <w:tcW w:w="1262" w:type="dxa"/>
            <w:noWrap w:val="0"/>
            <w:vAlign w:val="center"/>
          </w:tcPr>
          <w:p w14:paraId="1A478D81">
            <w:pPr>
              <w:jc w:val="center"/>
              <w:rPr>
                <w:rFonts w:ascii="宋体" w:hAnsi="宋体"/>
                <w:sz w:val="18"/>
                <w:szCs w:val="18"/>
              </w:rPr>
            </w:pPr>
            <w:r>
              <w:rPr>
                <w:rFonts w:ascii="宋体" w:hAnsi="宋体"/>
                <w:sz w:val="18"/>
                <w:szCs w:val="18"/>
              </w:rPr>
              <w:t>1.53</w:t>
            </w:r>
          </w:p>
        </w:tc>
        <w:tc>
          <w:tcPr>
            <w:tcW w:w="1360" w:type="dxa"/>
            <w:noWrap w:val="0"/>
            <w:vAlign w:val="center"/>
          </w:tcPr>
          <w:p w14:paraId="71FB4C6B">
            <w:pPr>
              <w:jc w:val="center"/>
              <w:rPr>
                <w:rFonts w:ascii="宋体" w:hAnsi="宋体"/>
                <w:sz w:val="18"/>
                <w:szCs w:val="18"/>
              </w:rPr>
            </w:pPr>
            <w:r>
              <w:rPr>
                <w:rFonts w:ascii="宋体" w:hAnsi="宋体"/>
                <w:sz w:val="18"/>
                <w:szCs w:val="18"/>
              </w:rPr>
              <w:t>24.48</w:t>
            </w:r>
          </w:p>
        </w:tc>
        <w:tc>
          <w:tcPr>
            <w:tcW w:w="1360" w:type="dxa"/>
            <w:noWrap w:val="0"/>
            <w:vAlign w:val="center"/>
          </w:tcPr>
          <w:p w14:paraId="138B3B3D">
            <w:pPr>
              <w:jc w:val="center"/>
              <w:rPr>
                <w:rFonts w:ascii="宋体" w:hAnsi="宋体"/>
                <w:sz w:val="18"/>
                <w:szCs w:val="18"/>
              </w:rPr>
            </w:pPr>
            <w:r>
              <w:rPr>
                <w:rFonts w:ascii="宋体" w:hAnsi="宋体"/>
                <w:sz w:val="18"/>
                <w:szCs w:val="18"/>
              </w:rPr>
              <w:t>14.31</w:t>
            </w:r>
          </w:p>
        </w:tc>
        <w:tc>
          <w:tcPr>
            <w:tcW w:w="1260" w:type="dxa"/>
            <w:noWrap w:val="0"/>
            <w:vAlign w:val="center"/>
          </w:tcPr>
          <w:p w14:paraId="2B0BCB83">
            <w:pPr>
              <w:jc w:val="center"/>
              <w:rPr>
                <w:rFonts w:ascii="宋体" w:hAnsi="宋体"/>
                <w:sz w:val="18"/>
                <w:szCs w:val="18"/>
              </w:rPr>
            </w:pPr>
            <w:r>
              <w:rPr>
                <w:rFonts w:ascii="宋体" w:hAnsi="宋体"/>
                <w:sz w:val="18"/>
                <w:szCs w:val="18"/>
              </w:rPr>
              <w:t>2.23</w:t>
            </w:r>
          </w:p>
        </w:tc>
        <w:tc>
          <w:tcPr>
            <w:tcW w:w="1620" w:type="dxa"/>
            <w:noWrap w:val="0"/>
            <w:vAlign w:val="center"/>
          </w:tcPr>
          <w:p w14:paraId="106798BB">
            <w:pPr>
              <w:jc w:val="center"/>
              <w:rPr>
                <w:rFonts w:hint="eastAsia" w:ascii="宋体" w:hAnsi="宋体"/>
                <w:sz w:val="18"/>
                <w:szCs w:val="18"/>
              </w:rPr>
            </w:pPr>
            <w:r>
              <w:rPr>
                <w:rFonts w:ascii="宋体" w:hAnsi="宋体"/>
                <w:sz w:val="18"/>
                <w:szCs w:val="18"/>
              </w:rPr>
              <w:t>26.6</w:t>
            </w:r>
            <w:r>
              <w:rPr>
                <w:rFonts w:hint="eastAsia" w:ascii="宋体" w:hAnsi="宋体"/>
                <w:sz w:val="18"/>
                <w:szCs w:val="18"/>
              </w:rPr>
              <w:t>4</w:t>
            </w:r>
          </w:p>
        </w:tc>
        <w:tc>
          <w:tcPr>
            <w:tcW w:w="800" w:type="dxa"/>
            <w:vMerge w:val="continue"/>
            <w:noWrap w:val="0"/>
            <w:vAlign w:val="center"/>
          </w:tcPr>
          <w:p w14:paraId="3B324468">
            <w:pPr>
              <w:jc w:val="center"/>
              <w:rPr>
                <w:rFonts w:ascii="宋体" w:hAnsi="宋体"/>
                <w:sz w:val="18"/>
                <w:szCs w:val="18"/>
              </w:rPr>
            </w:pPr>
          </w:p>
        </w:tc>
      </w:tr>
      <w:tr w14:paraId="7604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0124390F">
            <w:pPr>
              <w:jc w:val="center"/>
              <w:rPr>
                <w:rFonts w:ascii="宋体" w:hAnsi="宋体"/>
                <w:color w:val="FF0000"/>
                <w:sz w:val="18"/>
                <w:szCs w:val="18"/>
              </w:rPr>
            </w:pPr>
          </w:p>
        </w:tc>
        <w:tc>
          <w:tcPr>
            <w:tcW w:w="624" w:type="dxa"/>
            <w:vMerge w:val="restart"/>
            <w:noWrap w:val="0"/>
            <w:vAlign w:val="center"/>
          </w:tcPr>
          <w:p w14:paraId="6537709B">
            <w:pPr>
              <w:jc w:val="center"/>
              <w:rPr>
                <w:rFonts w:ascii="宋体" w:hAnsi="宋体"/>
                <w:sz w:val="18"/>
                <w:szCs w:val="18"/>
              </w:rPr>
            </w:pPr>
            <w:r>
              <w:rPr>
                <w:rFonts w:ascii="宋体" w:hAnsi="宋体"/>
                <w:sz w:val="18"/>
                <w:szCs w:val="18"/>
              </w:rPr>
              <w:t>洗煤</w:t>
            </w:r>
          </w:p>
        </w:tc>
        <w:tc>
          <w:tcPr>
            <w:tcW w:w="1262" w:type="dxa"/>
            <w:noWrap w:val="0"/>
            <w:vAlign w:val="center"/>
          </w:tcPr>
          <w:p w14:paraId="5A0E54C0">
            <w:pPr>
              <w:jc w:val="center"/>
              <w:rPr>
                <w:rFonts w:ascii="宋体" w:hAnsi="宋体"/>
                <w:sz w:val="18"/>
                <w:szCs w:val="18"/>
              </w:rPr>
            </w:pPr>
            <w:r>
              <w:rPr>
                <w:rFonts w:ascii="宋体" w:hAnsi="宋体"/>
                <w:sz w:val="18"/>
                <w:szCs w:val="18"/>
              </w:rPr>
              <w:t>0.32～1.13</w:t>
            </w:r>
          </w:p>
        </w:tc>
        <w:tc>
          <w:tcPr>
            <w:tcW w:w="1360" w:type="dxa"/>
            <w:noWrap w:val="0"/>
            <w:vAlign w:val="center"/>
          </w:tcPr>
          <w:p w14:paraId="56AA658F">
            <w:pPr>
              <w:jc w:val="center"/>
              <w:rPr>
                <w:rFonts w:ascii="宋体" w:hAnsi="宋体"/>
                <w:sz w:val="18"/>
                <w:szCs w:val="18"/>
              </w:rPr>
            </w:pPr>
            <w:r>
              <w:rPr>
                <w:rFonts w:ascii="宋体" w:hAnsi="宋体"/>
                <w:sz w:val="18"/>
                <w:szCs w:val="18"/>
              </w:rPr>
              <w:t>8.67～20.27</w:t>
            </w:r>
          </w:p>
        </w:tc>
        <w:tc>
          <w:tcPr>
            <w:tcW w:w="1360" w:type="dxa"/>
            <w:noWrap w:val="0"/>
            <w:vAlign w:val="center"/>
          </w:tcPr>
          <w:p w14:paraId="26D2594F">
            <w:pPr>
              <w:jc w:val="center"/>
              <w:rPr>
                <w:rFonts w:ascii="宋体" w:hAnsi="宋体"/>
                <w:sz w:val="18"/>
                <w:szCs w:val="18"/>
              </w:rPr>
            </w:pPr>
            <w:r>
              <w:rPr>
                <w:rFonts w:ascii="宋体" w:hAnsi="宋体"/>
                <w:sz w:val="18"/>
                <w:szCs w:val="18"/>
              </w:rPr>
              <w:t>10.68～15.63</w:t>
            </w:r>
          </w:p>
        </w:tc>
        <w:tc>
          <w:tcPr>
            <w:tcW w:w="1260" w:type="dxa"/>
            <w:noWrap w:val="0"/>
            <w:vAlign w:val="center"/>
          </w:tcPr>
          <w:p w14:paraId="2682EDC9">
            <w:pPr>
              <w:jc w:val="center"/>
              <w:rPr>
                <w:rFonts w:ascii="宋体" w:hAnsi="宋体"/>
                <w:sz w:val="18"/>
                <w:szCs w:val="18"/>
              </w:rPr>
            </w:pPr>
            <w:r>
              <w:rPr>
                <w:rFonts w:ascii="宋体" w:hAnsi="宋体"/>
                <w:sz w:val="18"/>
                <w:szCs w:val="18"/>
              </w:rPr>
              <w:t>0.20～1.80</w:t>
            </w:r>
          </w:p>
        </w:tc>
        <w:tc>
          <w:tcPr>
            <w:tcW w:w="1620" w:type="dxa"/>
            <w:noWrap w:val="0"/>
            <w:vAlign w:val="center"/>
          </w:tcPr>
          <w:p w14:paraId="60AF413E">
            <w:pPr>
              <w:jc w:val="center"/>
              <w:rPr>
                <w:rFonts w:hint="eastAsia" w:ascii="宋体" w:hAnsi="宋体"/>
                <w:sz w:val="18"/>
                <w:szCs w:val="18"/>
              </w:rPr>
            </w:pPr>
            <w:r>
              <w:rPr>
                <w:rFonts w:ascii="宋体" w:hAnsi="宋体"/>
                <w:sz w:val="18"/>
                <w:szCs w:val="18"/>
              </w:rPr>
              <w:t>31.2</w:t>
            </w:r>
            <w:r>
              <w:rPr>
                <w:rFonts w:hint="eastAsia" w:ascii="宋体" w:hAnsi="宋体"/>
                <w:sz w:val="18"/>
                <w:szCs w:val="18"/>
              </w:rPr>
              <w:t>5</w:t>
            </w:r>
            <w:r>
              <w:rPr>
                <w:rFonts w:ascii="宋体" w:hAnsi="宋体"/>
                <w:sz w:val="18"/>
                <w:szCs w:val="18"/>
              </w:rPr>
              <w:t>～33.</w:t>
            </w:r>
            <w:r>
              <w:rPr>
                <w:rFonts w:hint="eastAsia" w:ascii="宋体" w:hAnsi="宋体"/>
                <w:sz w:val="18"/>
                <w:szCs w:val="18"/>
              </w:rPr>
              <w:t>17</w:t>
            </w:r>
          </w:p>
        </w:tc>
        <w:tc>
          <w:tcPr>
            <w:tcW w:w="800" w:type="dxa"/>
            <w:vMerge w:val="continue"/>
            <w:noWrap w:val="0"/>
            <w:vAlign w:val="center"/>
          </w:tcPr>
          <w:p w14:paraId="038459B4">
            <w:pPr>
              <w:jc w:val="center"/>
              <w:rPr>
                <w:rFonts w:ascii="宋体" w:hAnsi="宋体"/>
                <w:sz w:val="18"/>
                <w:szCs w:val="18"/>
              </w:rPr>
            </w:pPr>
          </w:p>
        </w:tc>
      </w:tr>
      <w:tr w14:paraId="6AE7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FAB329E">
            <w:pPr>
              <w:jc w:val="center"/>
              <w:rPr>
                <w:rFonts w:ascii="宋体" w:hAnsi="宋体"/>
                <w:color w:val="FF0000"/>
                <w:sz w:val="18"/>
                <w:szCs w:val="18"/>
              </w:rPr>
            </w:pPr>
          </w:p>
        </w:tc>
        <w:tc>
          <w:tcPr>
            <w:tcW w:w="624" w:type="dxa"/>
            <w:vMerge w:val="continue"/>
            <w:noWrap w:val="0"/>
            <w:vAlign w:val="center"/>
          </w:tcPr>
          <w:p w14:paraId="73478F30">
            <w:pPr>
              <w:jc w:val="center"/>
              <w:rPr>
                <w:rFonts w:ascii="宋体" w:hAnsi="宋体"/>
                <w:sz w:val="18"/>
                <w:szCs w:val="18"/>
              </w:rPr>
            </w:pPr>
          </w:p>
        </w:tc>
        <w:tc>
          <w:tcPr>
            <w:tcW w:w="1262" w:type="dxa"/>
            <w:noWrap w:val="0"/>
            <w:vAlign w:val="center"/>
          </w:tcPr>
          <w:p w14:paraId="6AB6A8A4">
            <w:pPr>
              <w:jc w:val="center"/>
              <w:rPr>
                <w:rFonts w:ascii="宋体" w:hAnsi="宋体"/>
                <w:sz w:val="18"/>
                <w:szCs w:val="18"/>
              </w:rPr>
            </w:pPr>
            <w:r>
              <w:rPr>
                <w:rFonts w:ascii="宋体" w:hAnsi="宋体"/>
                <w:sz w:val="18"/>
                <w:szCs w:val="18"/>
              </w:rPr>
              <w:t>0.92</w:t>
            </w:r>
          </w:p>
        </w:tc>
        <w:tc>
          <w:tcPr>
            <w:tcW w:w="1360" w:type="dxa"/>
            <w:noWrap w:val="0"/>
            <w:vAlign w:val="center"/>
          </w:tcPr>
          <w:p w14:paraId="1A3999A1">
            <w:pPr>
              <w:jc w:val="center"/>
              <w:rPr>
                <w:rFonts w:ascii="宋体" w:hAnsi="宋体"/>
                <w:sz w:val="18"/>
                <w:szCs w:val="18"/>
              </w:rPr>
            </w:pPr>
            <w:r>
              <w:rPr>
                <w:rFonts w:ascii="宋体" w:hAnsi="宋体"/>
                <w:sz w:val="18"/>
                <w:szCs w:val="18"/>
              </w:rPr>
              <w:t>11.47</w:t>
            </w:r>
          </w:p>
        </w:tc>
        <w:tc>
          <w:tcPr>
            <w:tcW w:w="1360" w:type="dxa"/>
            <w:noWrap w:val="0"/>
            <w:vAlign w:val="center"/>
          </w:tcPr>
          <w:p w14:paraId="230B2134">
            <w:pPr>
              <w:jc w:val="center"/>
              <w:rPr>
                <w:rFonts w:ascii="宋体" w:hAnsi="宋体"/>
                <w:sz w:val="18"/>
                <w:szCs w:val="18"/>
              </w:rPr>
            </w:pPr>
            <w:r>
              <w:rPr>
                <w:rFonts w:ascii="宋体" w:hAnsi="宋体"/>
                <w:sz w:val="18"/>
                <w:szCs w:val="18"/>
              </w:rPr>
              <w:t>12.89</w:t>
            </w:r>
          </w:p>
        </w:tc>
        <w:tc>
          <w:tcPr>
            <w:tcW w:w="1260" w:type="dxa"/>
            <w:noWrap w:val="0"/>
            <w:vAlign w:val="center"/>
          </w:tcPr>
          <w:p w14:paraId="5B2E50FC">
            <w:pPr>
              <w:jc w:val="center"/>
              <w:rPr>
                <w:rFonts w:ascii="宋体" w:hAnsi="宋体"/>
                <w:sz w:val="18"/>
                <w:szCs w:val="18"/>
              </w:rPr>
            </w:pPr>
            <w:r>
              <w:rPr>
                <w:rFonts w:ascii="宋体" w:hAnsi="宋体"/>
                <w:sz w:val="18"/>
                <w:szCs w:val="18"/>
              </w:rPr>
              <w:t>1.05</w:t>
            </w:r>
          </w:p>
        </w:tc>
        <w:tc>
          <w:tcPr>
            <w:tcW w:w="1620" w:type="dxa"/>
            <w:noWrap w:val="0"/>
            <w:vAlign w:val="center"/>
          </w:tcPr>
          <w:p w14:paraId="65273934">
            <w:pPr>
              <w:jc w:val="center"/>
              <w:rPr>
                <w:rFonts w:hint="eastAsia" w:ascii="宋体" w:hAnsi="宋体"/>
                <w:sz w:val="18"/>
                <w:szCs w:val="18"/>
              </w:rPr>
            </w:pPr>
            <w:r>
              <w:rPr>
                <w:rFonts w:ascii="宋体" w:hAnsi="宋体"/>
                <w:sz w:val="18"/>
                <w:szCs w:val="18"/>
              </w:rPr>
              <w:t>32.2</w:t>
            </w:r>
            <w:r>
              <w:rPr>
                <w:rFonts w:hint="eastAsia" w:ascii="宋体" w:hAnsi="宋体"/>
                <w:sz w:val="18"/>
                <w:szCs w:val="18"/>
              </w:rPr>
              <w:t>1</w:t>
            </w:r>
          </w:p>
        </w:tc>
        <w:tc>
          <w:tcPr>
            <w:tcW w:w="800" w:type="dxa"/>
            <w:vMerge w:val="continue"/>
            <w:noWrap w:val="0"/>
            <w:vAlign w:val="center"/>
          </w:tcPr>
          <w:p w14:paraId="6E3441CA">
            <w:pPr>
              <w:jc w:val="center"/>
              <w:rPr>
                <w:rFonts w:ascii="宋体" w:hAnsi="宋体"/>
                <w:sz w:val="18"/>
                <w:szCs w:val="18"/>
              </w:rPr>
            </w:pPr>
          </w:p>
        </w:tc>
      </w:tr>
      <w:tr w14:paraId="5D3C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6825D4E3">
            <w:pPr>
              <w:jc w:val="center"/>
              <w:rPr>
                <w:rFonts w:ascii="宋体" w:hAnsi="宋体"/>
                <w:sz w:val="18"/>
                <w:szCs w:val="18"/>
              </w:rPr>
            </w:pPr>
            <w:r>
              <w:rPr>
                <w:rFonts w:ascii="宋体" w:hAnsi="宋体"/>
                <w:sz w:val="18"/>
                <w:szCs w:val="18"/>
              </w:rPr>
              <w:t>K9</w:t>
            </w:r>
          </w:p>
        </w:tc>
        <w:tc>
          <w:tcPr>
            <w:tcW w:w="624" w:type="dxa"/>
            <w:vMerge w:val="restart"/>
            <w:noWrap w:val="0"/>
            <w:vAlign w:val="center"/>
          </w:tcPr>
          <w:p w14:paraId="58C4CE0A">
            <w:pPr>
              <w:jc w:val="center"/>
              <w:rPr>
                <w:rFonts w:ascii="宋体" w:hAnsi="宋体"/>
                <w:sz w:val="18"/>
                <w:szCs w:val="18"/>
              </w:rPr>
            </w:pPr>
            <w:r>
              <w:rPr>
                <w:rFonts w:ascii="宋体" w:hAnsi="宋体"/>
                <w:sz w:val="18"/>
                <w:szCs w:val="18"/>
              </w:rPr>
              <w:t>原煤</w:t>
            </w:r>
          </w:p>
        </w:tc>
        <w:tc>
          <w:tcPr>
            <w:tcW w:w="1262" w:type="dxa"/>
            <w:noWrap w:val="0"/>
            <w:vAlign w:val="center"/>
          </w:tcPr>
          <w:p w14:paraId="41FA223F">
            <w:pPr>
              <w:jc w:val="center"/>
              <w:rPr>
                <w:rFonts w:ascii="宋体" w:hAnsi="宋体"/>
                <w:sz w:val="18"/>
                <w:szCs w:val="18"/>
              </w:rPr>
            </w:pPr>
            <w:r>
              <w:rPr>
                <w:rFonts w:ascii="宋体" w:hAnsi="宋体"/>
                <w:sz w:val="18"/>
                <w:szCs w:val="18"/>
              </w:rPr>
              <w:t>0.46～1.83</w:t>
            </w:r>
          </w:p>
        </w:tc>
        <w:tc>
          <w:tcPr>
            <w:tcW w:w="1360" w:type="dxa"/>
            <w:noWrap w:val="0"/>
            <w:vAlign w:val="center"/>
          </w:tcPr>
          <w:p w14:paraId="44F03ECE">
            <w:pPr>
              <w:jc w:val="center"/>
              <w:rPr>
                <w:rFonts w:ascii="宋体" w:hAnsi="宋体"/>
                <w:sz w:val="18"/>
                <w:szCs w:val="18"/>
              </w:rPr>
            </w:pPr>
            <w:r>
              <w:rPr>
                <w:rFonts w:ascii="宋体" w:hAnsi="宋体"/>
                <w:sz w:val="18"/>
                <w:szCs w:val="18"/>
              </w:rPr>
              <w:t>11.88～33.64</w:t>
            </w:r>
          </w:p>
        </w:tc>
        <w:tc>
          <w:tcPr>
            <w:tcW w:w="1360" w:type="dxa"/>
            <w:noWrap w:val="0"/>
            <w:vAlign w:val="center"/>
          </w:tcPr>
          <w:p w14:paraId="50106BB3">
            <w:pPr>
              <w:jc w:val="center"/>
              <w:rPr>
                <w:rFonts w:ascii="宋体" w:hAnsi="宋体"/>
                <w:sz w:val="18"/>
                <w:szCs w:val="18"/>
              </w:rPr>
            </w:pPr>
            <w:r>
              <w:rPr>
                <w:rFonts w:ascii="宋体" w:hAnsi="宋体"/>
                <w:sz w:val="18"/>
                <w:szCs w:val="18"/>
              </w:rPr>
              <w:t>10.29～19.48</w:t>
            </w:r>
          </w:p>
        </w:tc>
        <w:tc>
          <w:tcPr>
            <w:tcW w:w="1260" w:type="dxa"/>
            <w:noWrap w:val="0"/>
            <w:vAlign w:val="center"/>
          </w:tcPr>
          <w:p w14:paraId="17DDD02C">
            <w:pPr>
              <w:jc w:val="center"/>
              <w:rPr>
                <w:rFonts w:ascii="宋体" w:hAnsi="宋体"/>
                <w:sz w:val="18"/>
                <w:szCs w:val="18"/>
              </w:rPr>
            </w:pPr>
            <w:r>
              <w:rPr>
                <w:rFonts w:ascii="宋体" w:hAnsi="宋体"/>
                <w:sz w:val="18"/>
                <w:szCs w:val="18"/>
              </w:rPr>
              <w:t>0.38～3.71</w:t>
            </w:r>
          </w:p>
        </w:tc>
        <w:tc>
          <w:tcPr>
            <w:tcW w:w="1620" w:type="dxa"/>
            <w:noWrap w:val="0"/>
            <w:vAlign w:val="center"/>
          </w:tcPr>
          <w:p w14:paraId="274070B7">
            <w:pPr>
              <w:jc w:val="center"/>
              <w:rPr>
                <w:rFonts w:ascii="宋体" w:hAnsi="宋体"/>
                <w:sz w:val="18"/>
                <w:szCs w:val="18"/>
              </w:rPr>
            </w:pPr>
            <w:r>
              <w:rPr>
                <w:rFonts w:ascii="宋体" w:hAnsi="宋体"/>
                <w:sz w:val="18"/>
                <w:szCs w:val="18"/>
              </w:rPr>
              <w:t>22.26～35.87</w:t>
            </w:r>
          </w:p>
        </w:tc>
        <w:tc>
          <w:tcPr>
            <w:tcW w:w="800" w:type="dxa"/>
            <w:vMerge w:val="restart"/>
            <w:noWrap w:val="0"/>
            <w:vAlign w:val="center"/>
          </w:tcPr>
          <w:p w14:paraId="3D646A40">
            <w:pPr>
              <w:jc w:val="center"/>
              <w:rPr>
                <w:rFonts w:ascii="宋体" w:hAnsi="宋体"/>
                <w:sz w:val="18"/>
                <w:szCs w:val="18"/>
              </w:rPr>
            </w:pPr>
            <w:r>
              <w:rPr>
                <w:rFonts w:hint="eastAsia" w:ascii="宋体" w:hAnsi="宋体"/>
                <w:sz w:val="18"/>
                <w:szCs w:val="18"/>
              </w:rPr>
              <w:t>贫煤</w:t>
            </w:r>
          </w:p>
        </w:tc>
      </w:tr>
      <w:tr w14:paraId="3587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0087CF7">
            <w:pPr>
              <w:jc w:val="center"/>
              <w:rPr>
                <w:rFonts w:ascii="宋体" w:hAnsi="宋体"/>
                <w:sz w:val="18"/>
                <w:szCs w:val="18"/>
              </w:rPr>
            </w:pPr>
          </w:p>
        </w:tc>
        <w:tc>
          <w:tcPr>
            <w:tcW w:w="624" w:type="dxa"/>
            <w:vMerge w:val="continue"/>
            <w:noWrap w:val="0"/>
            <w:vAlign w:val="center"/>
          </w:tcPr>
          <w:p w14:paraId="38B5103F">
            <w:pPr>
              <w:jc w:val="center"/>
              <w:rPr>
                <w:rFonts w:ascii="宋体" w:hAnsi="宋体"/>
                <w:sz w:val="18"/>
                <w:szCs w:val="18"/>
              </w:rPr>
            </w:pPr>
          </w:p>
        </w:tc>
        <w:tc>
          <w:tcPr>
            <w:tcW w:w="1262" w:type="dxa"/>
            <w:noWrap w:val="0"/>
            <w:vAlign w:val="center"/>
          </w:tcPr>
          <w:p w14:paraId="660E9FA4">
            <w:pPr>
              <w:jc w:val="center"/>
              <w:rPr>
                <w:rFonts w:ascii="宋体" w:hAnsi="宋体"/>
                <w:sz w:val="18"/>
                <w:szCs w:val="18"/>
              </w:rPr>
            </w:pPr>
            <w:r>
              <w:rPr>
                <w:rFonts w:ascii="宋体" w:hAnsi="宋体"/>
                <w:sz w:val="18"/>
                <w:szCs w:val="18"/>
              </w:rPr>
              <w:t>1.01</w:t>
            </w:r>
          </w:p>
        </w:tc>
        <w:tc>
          <w:tcPr>
            <w:tcW w:w="1360" w:type="dxa"/>
            <w:noWrap w:val="0"/>
            <w:vAlign w:val="center"/>
          </w:tcPr>
          <w:p w14:paraId="26C094A4">
            <w:pPr>
              <w:jc w:val="center"/>
              <w:rPr>
                <w:rFonts w:ascii="宋体" w:hAnsi="宋体"/>
                <w:sz w:val="18"/>
                <w:szCs w:val="18"/>
              </w:rPr>
            </w:pPr>
            <w:r>
              <w:rPr>
                <w:rFonts w:ascii="宋体" w:hAnsi="宋体"/>
                <w:sz w:val="18"/>
                <w:szCs w:val="18"/>
              </w:rPr>
              <w:t>26.67</w:t>
            </w:r>
          </w:p>
        </w:tc>
        <w:tc>
          <w:tcPr>
            <w:tcW w:w="1360" w:type="dxa"/>
            <w:noWrap w:val="0"/>
            <w:vAlign w:val="center"/>
          </w:tcPr>
          <w:p w14:paraId="02E05187">
            <w:pPr>
              <w:jc w:val="center"/>
              <w:rPr>
                <w:rFonts w:ascii="宋体" w:hAnsi="宋体"/>
                <w:sz w:val="18"/>
                <w:szCs w:val="18"/>
              </w:rPr>
            </w:pPr>
            <w:r>
              <w:rPr>
                <w:rFonts w:ascii="宋体" w:hAnsi="宋体"/>
                <w:sz w:val="18"/>
                <w:szCs w:val="18"/>
              </w:rPr>
              <w:t>13.66</w:t>
            </w:r>
          </w:p>
        </w:tc>
        <w:tc>
          <w:tcPr>
            <w:tcW w:w="1260" w:type="dxa"/>
            <w:noWrap w:val="0"/>
            <w:vAlign w:val="center"/>
          </w:tcPr>
          <w:p w14:paraId="5E651E3B">
            <w:pPr>
              <w:jc w:val="center"/>
              <w:rPr>
                <w:rFonts w:ascii="宋体" w:hAnsi="宋体"/>
                <w:sz w:val="18"/>
                <w:szCs w:val="18"/>
              </w:rPr>
            </w:pPr>
            <w:r>
              <w:rPr>
                <w:rFonts w:ascii="宋体" w:hAnsi="宋体"/>
                <w:sz w:val="18"/>
                <w:szCs w:val="18"/>
              </w:rPr>
              <w:t>1.76</w:t>
            </w:r>
          </w:p>
        </w:tc>
        <w:tc>
          <w:tcPr>
            <w:tcW w:w="1620" w:type="dxa"/>
            <w:noWrap w:val="0"/>
            <w:vAlign w:val="center"/>
          </w:tcPr>
          <w:p w14:paraId="13AD649E">
            <w:pPr>
              <w:jc w:val="center"/>
              <w:rPr>
                <w:rFonts w:ascii="宋体" w:hAnsi="宋体"/>
                <w:sz w:val="18"/>
                <w:szCs w:val="18"/>
              </w:rPr>
            </w:pPr>
            <w:r>
              <w:rPr>
                <w:rFonts w:ascii="宋体" w:hAnsi="宋体"/>
                <w:sz w:val="18"/>
                <w:szCs w:val="18"/>
              </w:rPr>
              <w:t>26.27</w:t>
            </w:r>
          </w:p>
        </w:tc>
        <w:tc>
          <w:tcPr>
            <w:tcW w:w="800" w:type="dxa"/>
            <w:vMerge w:val="continue"/>
            <w:noWrap w:val="0"/>
            <w:vAlign w:val="center"/>
          </w:tcPr>
          <w:p w14:paraId="139B0A66">
            <w:pPr>
              <w:jc w:val="center"/>
              <w:rPr>
                <w:rFonts w:ascii="宋体" w:hAnsi="宋体"/>
                <w:sz w:val="18"/>
                <w:szCs w:val="18"/>
              </w:rPr>
            </w:pPr>
          </w:p>
        </w:tc>
      </w:tr>
      <w:tr w14:paraId="4FAE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5E3CE98A">
            <w:pPr>
              <w:jc w:val="center"/>
              <w:rPr>
                <w:rFonts w:ascii="宋体" w:hAnsi="宋体"/>
                <w:sz w:val="18"/>
                <w:szCs w:val="18"/>
              </w:rPr>
            </w:pPr>
          </w:p>
        </w:tc>
        <w:tc>
          <w:tcPr>
            <w:tcW w:w="624" w:type="dxa"/>
            <w:vMerge w:val="restart"/>
            <w:noWrap w:val="0"/>
            <w:vAlign w:val="center"/>
          </w:tcPr>
          <w:p w14:paraId="7D683EBB">
            <w:pPr>
              <w:jc w:val="center"/>
              <w:rPr>
                <w:rFonts w:ascii="宋体" w:hAnsi="宋体"/>
                <w:sz w:val="18"/>
                <w:szCs w:val="18"/>
              </w:rPr>
            </w:pPr>
            <w:r>
              <w:rPr>
                <w:rFonts w:ascii="宋体" w:hAnsi="宋体"/>
                <w:sz w:val="18"/>
                <w:szCs w:val="18"/>
              </w:rPr>
              <w:t>洗煤</w:t>
            </w:r>
          </w:p>
        </w:tc>
        <w:tc>
          <w:tcPr>
            <w:tcW w:w="1262" w:type="dxa"/>
            <w:noWrap w:val="0"/>
            <w:vAlign w:val="center"/>
          </w:tcPr>
          <w:p w14:paraId="1969C832">
            <w:pPr>
              <w:jc w:val="center"/>
              <w:rPr>
                <w:rFonts w:ascii="宋体" w:hAnsi="宋体"/>
                <w:sz w:val="18"/>
                <w:szCs w:val="18"/>
              </w:rPr>
            </w:pPr>
            <w:r>
              <w:rPr>
                <w:rFonts w:ascii="宋体" w:hAnsi="宋体"/>
                <w:sz w:val="18"/>
                <w:szCs w:val="18"/>
              </w:rPr>
              <w:t>0.34～1.57</w:t>
            </w:r>
          </w:p>
        </w:tc>
        <w:tc>
          <w:tcPr>
            <w:tcW w:w="1360" w:type="dxa"/>
            <w:noWrap w:val="0"/>
            <w:vAlign w:val="center"/>
          </w:tcPr>
          <w:p w14:paraId="021B371A">
            <w:pPr>
              <w:jc w:val="center"/>
              <w:rPr>
                <w:rFonts w:ascii="宋体" w:hAnsi="宋体"/>
                <w:sz w:val="18"/>
                <w:szCs w:val="18"/>
              </w:rPr>
            </w:pPr>
            <w:r>
              <w:rPr>
                <w:rFonts w:ascii="宋体" w:hAnsi="宋体"/>
                <w:sz w:val="18"/>
                <w:szCs w:val="18"/>
              </w:rPr>
              <w:t>5.95～17.48</w:t>
            </w:r>
          </w:p>
        </w:tc>
        <w:tc>
          <w:tcPr>
            <w:tcW w:w="1360" w:type="dxa"/>
            <w:noWrap w:val="0"/>
            <w:vAlign w:val="center"/>
          </w:tcPr>
          <w:p w14:paraId="67660645">
            <w:pPr>
              <w:jc w:val="center"/>
              <w:rPr>
                <w:rFonts w:ascii="宋体" w:hAnsi="宋体"/>
                <w:sz w:val="18"/>
                <w:szCs w:val="18"/>
              </w:rPr>
            </w:pPr>
            <w:r>
              <w:rPr>
                <w:rFonts w:ascii="宋体" w:hAnsi="宋体"/>
                <w:sz w:val="18"/>
                <w:szCs w:val="18"/>
              </w:rPr>
              <w:t>10.87～14.19</w:t>
            </w:r>
          </w:p>
        </w:tc>
        <w:tc>
          <w:tcPr>
            <w:tcW w:w="1260" w:type="dxa"/>
            <w:noWrap w:val="0"/>
            <w:vAlign w:val="center"/>
          </w:tcPr>
          <w:p w14:paraId="2A477290">
            <w:pPr>
              <w:jc w:val="center"/>
              <w:rPr>
                <w:rFonts w:ascii="宋体" w:hAnsi="宋体"/>
                <w:sz w:val="18"/>
                <w:szCs w:val="18"/>
              </w:rPr>
            </w:pPr>
            <w:r>
              <w:rPr>
                <w:rFonts w:ascii="宋体" w:hAnsi="宋体"/>
                <w:sz w:val="18"/>
                <w:szCs w:val="18"/>
              </w:rPr>
              <w:t>0.74～1.67</w:t>
            </w:r>
          </w:p>
        </w:tc>
        <w:tc>
          <w:tcPr>
            <w:tcW w:w="1620" w:type="dxa"/>
            <w:noWrap w:val="0"/>
            <w:vAlign w:val="center"/>
          </w:tcPr>
          <w:p w14:paraId="77156801">
            <w:pPr>
              <w:jc w:val="center"/>
              <w:rPr>
                <w:rFonts w:ascii="宋体" w:hAnsi="宋体"/>
                <w:sz w:val="18"/>
                <w:szCs w:val="18"/>
              </w:rPr>
            </w:pPr>
            <w:r>
              <w:rPr>
                <w:rFonts w:ascii="宋体" w:hAnsi="宋体"/>
                <w:sz w:val="18"/>
                <w:szCs w:val="18"/>
              </w:rPr>
              <w:t>31.22～33.36</w:t>
            </w:r>
          </w:p>
        </w:tc>
        <w:tc>
          <w:tcPr>
            <w:tcW w:w="800" w:type="dxa"/>
            <w:vMerge w:val="continue"/>
            <w:noWrap w:val="0"/>
            <w:vAlign w:val="center"/>
          </w:tcPr>
          <w:p w14:paraId="75DDA25D">
            <w:pPr>
              <w:jc w:val="center"/>
              <w:rPr>
                <w:rFonts w:ascii="宋体" w:hAnsi="宋体"/>
                <w:sz w:val="18"/>
                <w:szCs w:val="18"/>
              </w:rPr>
            </w:pPr>
          </w:p>
        </w:tc>
      </w:tr>
      <w:tr w14:paraId="044A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66490EB6">
            <w:pPr>
              <w:jc w:val="center"/>
              <w:rPr>
                <w:rFonts w:ascii="宋体" w:hAnsi="宋体"/>
                <w:sz w:val="18"/>
                <w:szCs w:val="18"/>
              </w:rPr>
            </w:pPr>
          </w:p>
        </w:tc>
        <w:tc>
          <w:tcPr>
            <w:tcW w:w="624" w:type="dxa"/>
            <w:vMerge w:val="continue"/>
            <w:noWrap w:val="0"/>
            <w:vAlign w:val="center"/>
          </w:tcPr>
          <w:p w14:paraId="10E426A3">
            <w:pPr>
              <w:jc w:val="center"/>
              <w:rPr>
                <w:rFonts w:ascii="宋体" w:hAnsi="宋体"/>
                <w:sz w:val="18"/>
                <w:szCs w:val="18"/>
              </w:rPr>
            </w:pPr>
          </w:p>
        </w:tc>
        <w:tc>
          <w:tcPr>
            <w:tcW w:w="1262" w:type="dxa"/>
            <w:noWrap w:val="0"/>
            <w:vAlign w:val="center"/>
          </w:tcPr>
          <w:p w14:paraId="3E1BC76C">
            <w:pPr>
              <w:jc w:val="center"/>
              <w:rPr>
                <w:rFonts w:ascii="宋体" w:hAnsi="宋体"/>
                <w:sz w:val="18"/>
                <w:szCs w:val="18"/>
              </w:rPr>
            </w:pPr>
            <w:r>
              <w:rPr>
                <w:rFonts w:ascii="宋体" w:hAnsi="宋体"/>
                <w:sz w:val="18"/>
                <w:szCs w:val="18"/>
              </w:rPr>
              <w:t>1.03</w:t>
            </w:r>
          </w:p>
        </w:tc>
        <w:tc>
          <w:tcPr>
            <w:tcW w:w="1360" w:type="dxa"/>
            <w:noWrap w:val="0"/>
            <w:vAlign w:val="center"/>
          </w:tcPr>
          <w:p w14:paraId="2A6291A2">
            <w:pPr>
              <w:jc w:val="center"/>
              <w:rPr>
                <w:rFonts w:ascii="宋体" w:hAnsi="宋体"/>
                <w:sz w:val="18"/>
                <w:szCs w:val="18"/>
              </w:rPr>
            </w:pPr>
            <w:r>
              <w:rPr>
                <w:rFonts w:ascii="宋体" w:hAnsi="宋体"/>
                <w:sz w:val="18"/>
                <w:szCs w:val="18"/>
              </w:rPr>
              <w:t>10.58</w:t>
            </w:r>
          </w:p>
        </w:tc>
        <w:tc>
          <w:tcPr>
            <w:tcW w:w="1360" w:type="dxa"/>
            <w:noWrap w:val="0"/>
            <w:vAlign w:val="center"/>
          </w:tcPr>
          <w:p w14:paraId="1EF587F2">
            <w:pPr>
              <w:jc w:val="center"/>
              <w:rPr>
                <w:rFonts w:ascii="宋体" w:hAnsi="宋体"/>
                <w:sz w:val="18"/>
                <w:szCs w:val="18"/>
              </w:rPr>
            </w:pPr>
            <w:r>
              <w:rPr>
                <w:rFonts w:ascii="宋体" w:hAnsi="宋体"/>
                <w:sz w:val="18"/>
                <w:szCs w:val="18"/>
              </w:rPr>
              <w:t>12.55</w:t>
            </w:r>
          </w:p>
        </w:tc>
        <w:tc>
          <w:tcPr>
            <w:tcW w:w="1260" w:type="dxa"/>
            <w:noWrap w:val="0"/>
            <w:vAlign w:val="center"/>
          </w:tcPr>
          <w:p w14:paraId="7DF390A9">
            <w:pPr>
              <w:jc w:val="center"/>
              <w:rPr>
                <w:rFonts w:ascii="宋体" w:hAnsi="宋体"/>
                <w:sz w:val="18"/>
                <w:szCs w:val="18"/>
              </w:rPr>
            </w:pPr>
            <w:r>
              <w:rPr>
                <w:rFonts w:ascii="宋体" w:hAnsi="宋体"/>
                <w:sz w:val="18"/>
                <w:szCs w:val="18"/>
              </w:rPr>
              <w:t>1.18</w:t>
            </w:r>
          </w:p>
        </w:tc>
        <w:tc>
          <w:tcPr>
            <w:tcW w:w="1620" w:type="dxa"/>
            <w:noWrap w:val="0"/>
            <w:vAlign w:val="center"/>
          </w:tcPr>
          <w:p w14:paraId="52A22010">
            <w:pPr>
              <w:jc w:val="center"/>
              <w:rPr>
                <w:rFonts w:ascii="宋体" w:hAnsi="宋体"/>
                <w:sz w:val="18"/>
                <w:szCs w:val="18"/>
              </w:rPr>
            </w:pPr>
            <w:r>
              <w:rPr>
                <w:rFonts w:ascii="宋体" w:hAnsi="宋体"/>
                <w:sz w:val="18"/>
                <w:szCs w:val="18"/>
              </w:rPr>
              <w:t>32.46</w:t>
            </w:r>
          </w:p>
        </w:tc>
        <w:tc>
          <w:tcPr>
            <w:tcW w:w="800" w:type="dxa"/>
            <w:vMerge w:val="continue"/>
            <w:noWrap w:val="0"/>
            <w:vAlign w:val="center"/>
          </w:tcPr>
          <w:p w14:paraId="1BF4C1FB">
            <w:pPr>
              <w:jc w:val="center"/>
              <w:rPr>
                <w:rFonts w:ascii="宋体" w:hAnsi="宋体"/>
                <w:sz w:val="18"/>
                <w:szCs w:val="18"/>
              </w:rPr>
            </w:pPr>
          </w:p>
        </w:tc>
      </w:tr>
      <w:tr w14:paraId="1931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1A8B9655">
            <w:pPr>
              <w:jc w:val="center"/>
              <w:rPr>
                <w:rFonts w:ascii="宋体" w:hAnsi="宋体"/>
                <w:sz w:val="18"/>
                <w:szCs w:val="18"/>
              </w:rPr>
            </w:pPr>
            <w:r>
              <w:rPr>
                <w:rFonts w:ascii="宋体" w:hAnsi="宋体"/>
                <w:sz w:val="18"/>
                <w:szCs w:val="18"/>
              </w:rPr>
              <w:t>K10</w:t>
            </w:r>
          </w:p>
        </w:tc>
        <w:tc>
          <w:tcPr>
            <w:tcW w:w="624" w:type="dxa"/>
            <w:vMerge w:val="restart"/>
            <w:noWrap w:val="0"/>
            <w:vAlign w:val="center"/>
          </w:tcPr>
          <w:p w14:paraId="6FA924CD">
            <w:pPr>
              <w:jc w:val="center"/>
              <w:rPr>
                <w:rFonts w:ascii="宋体" w:hAnsi="宋体"/>
                <w:sz w:val="18"/>
                <w:szCs w:val="18"/>
              </w:rPr>
            </w:pPr>
            <w:r>
              <w:rPr>
                <w:rFonts w:ascii="宋体" w:hAnsi="宋体"/>
                <w:sz w:val="18"/>
                <w:szCs w:val="18"/>
              </w:rPr>
              <w:t>原煤</w:t>
            </w:r>
          </w:p>
        </w:tc>
        <w:tc>
          <w:tcPr>
            <w:tcW w:w="1262" w:type="dxa"/>
            <w:noWrap w:val="0"/>
            <w:vAlign w:val="center"/>
          </w:tcPr>
          <w:p w14:paraId="0F79B9CC">
            <w:pPr>
              <w:jc w:val="center"/>
              <w:rPr>
                <w:rFonts w:ascii="宋体" w:hAnsi="宋体"/>
                <w:sz w:val="18"/>
                <w:szCs w:val="18"/>
              </w:rPr>
            </w:pPr>
            <w:r>
              <w:rPr>
                <w:rFonts w:ascii="宋体" w:hAnsi="宋体"/>
                <w:sz w:val="18"/>
                <w:szCs w:val="18"/>
              </w:rPr>
              <w:t>0.18～1.93</w:t>
            </w:r>
          </w:p>
        </w:tc>
        <w:tc>
          <w:tcPr>
            <w:tcW w:w="1360" w:type="dxa"/>
            <w:noWrap w:val="0"/>
            <w:vAlign w:val="center"/>
          </w:tcPr>
          <w:p w14:paraId="53C3B465">
            <w:pPr>
              <w:jc w:val="center"/>
              <w:rPr>
                <w:rFonts w:ascii="宋体" w:hAnsi="宋体"/>
                <w:sz w:val="18"/>
                <w:szCs w:val="18"/>
              </w:rPr>
            </w:pPr>
            <w:r>
              <w:rPr>
                <w:rFonts w:ascii="宋体" w:hAnsi="宋体"/>
                <w:sz w:val="18"/>
                <w:szCs w:val="18"/>
              </w:rPr>
              <w:t>18.03～33.64</w:t>
            </w:r>
          </w:p>
        </w:tc>
        <w:tc>
          <w:tcPr>
            <w:tcW w:w="1360" w:type="dxa"/>
            <w:noWrap w:val="0"/>
            <w:vAlign w:val="center"/>
          </w:tcPr>
          <w:p w14:paraId="2A793CFF">
            <w:pPr>
              <w:jc w:val="center"/>
              <w:rPr>
                <w:rFonts w:ascii="宋体" w:hAnsi="宋体"/>
                <w:sz w:val="18"/>
                <w:szCs w:val="18"/>
              </w:rPr>
            </w:pPr>
            <w:r>
              <w:rPr>
                <w:rFonts w:ascii="宋体" w:hAnsi="宋体"/>
                <w:sz w:val="18"/>
                <w:szCs w:val="18"/>
              </w:rPr>
              <w:t>10.67～16.45</w:t>
            </w:r>
          </w:p>
        </w:tc>
        <w:tc>
          <w:tcPr>
            <w:tcW w:w="1260" w:type="dxa"/>
            <w:noWrap w:val="0"/>
            <w:vAlign w:val="center"/>
          </w:tcPr>
          <w:p w14:paraId="1CA30720">
            <w:pPr>
              <w:jc w:val="center"/>
              <w:rPr>
                <w:rFonts w:ascii="宋体" w:hAnsi="宋体"/>
                <w:sz w:val="18"/>
                <w:szCs w:val="18"/>
              </w:rPr>
            </w:pPr>
            <w:r>
              <w:rPr>
                <w:rFonts w:ascii="宋体" w:hAnsi="宋体"/>
                <w:sz w:val="18"/>
                <w:szCs w:val="18"/>
              </w:rPr>
              <w:t>0.15～4.93</w:t>
            </w:r>
          </w:p>
        </w:tc>
        <w:tc>
          <w:tcPr>
            <w:tcW w:w="1620" w:type="dxa"/>
            <w:noWrap w:val="0"/>
            <w:vAlign w:val="center"/>
          </w:tcPr>
          <w:p w14:paraId="58EF5948">
            <w:pPr>
              <w:jc w:val="center"/>
              <w:rPr>
                <w:rFonts w:ascii="宋体" w:hAnsi="宋体"/>
                <w:sz w:val="18"/>
                <w:szCs w:val="18"/>
              </w:rPr>
            </w:pPr>
            <w:r>
              <w:rPr>
                <w:rFonts w:ascii="宋体" w:hAnsi="宋体"/>
                <w:sz w:val="18"/>
                <w:szCs w:val="18"/>
              </w:rPr>
              <w:t>22.75～29.26</w:t>
            </w:r>
          </w:p>
        </w:tc>
        <w:tc>
          <w:tcPr>
            <w:tcW w:w="800" w:type="dxa"/>
            <w:vMerge w:val="restart"/>
            <w:noWrap w:val="0"/>
            <w:vAlign w:val="center"/>
          </w:tcPr>
          <w:p w14:paraId="7B40D4F9">
            <w:pPr>
              <w:jc w:val="center"/>
              <w:rPr>
                <w:rFonts w:ascii="宋体" w:hAnsi="宋体"/>
                <w:sz w:val="18"/>
                <w:szCs w:val="18"/>
              </w:rPr>
            </w:pPr>
            <w:r>
              <w:rPr>
                <w:rFonts w:hint="eastAsia" w:ascii="宋体" w:hAnsi="宋体"/>
                <w:sz w:val="18"/>
                <w:szCs w:val="18"/>
              </w:rPr>
              <w:t>贫煤</w:t>
            </w:r>
          </w:p>
        </w:tc>
      </w:tr>
      <w:tr w14:paraId="63EB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5A080E3">
            <w:pPr>
              <w:jc w:val="center"/>
              <w:rPr>
                <w:rFonts w:ascii="宋体" w:hAnsi="宋体"/>
                <w:sz w:val="18"/>
                <w:szCs w:val="18"/>
              </w:rPr>
            </w:pPr>
          </w:p>
        </w:tc>
        <w:tc>
          <w:tcPr>
            <w:tcW w:w="624" w:type="dxa"/>
            <w:vMerge w:val="continue"/>
            <w:noWrap w:val="0"/>
            <w:vAlign w:val="center"/>
          </w:tcPr>
          <w:p w14:paraId="0D2BD1CB">
            <w:pPr>
              <w:jc w:val="center"/>
              <w:rPr>
                <w:rFonts w:ascii="宋体" w:hAnsi="宋体"/>
                <w:sz w:val="18"/>
                <w:szCs w:val="18"/>
              </w:rPr>
            </w:pPr>
          </w:p>
        </w:tc>
        <w:tc>
          <w:tcPr>
            <w:tcW w:w="1262" w:type="dxa"/>
            <w:noWrap w:val="0"/>
            <w:vAlign w:val="center"/>
          </w:tcPr>
          <w:p w14:paraId="1DEDF4C5">
            <w:pPr>
              <w:jc w:val="center"/>
              <w:rPr>
                <w:rFonts w:ascii="宋体" w:hAnsi="宋体"/>
                <w:sz w:val="18"/>
                <w:szCs w:val="18"/>
              </w:rPr>
            </w:pPr>
            <w:r>
              <w:rPr>
                <w:rFonts w:ascii="宋体" w:hAnsi="宋体"/>
                <w:sz w:val="18"/>
                <w:szCs w:val="18"/>
              </w:rPr>
              <w:t>1.10</w:t>
            </w:r>
          </w:p>
        </w:tc>
        <w:tc>
          <w:tcPr>
            <w:tcW w:w="1360" w:type="dxa"/>
            <w:noWrap w:val="0"/>
            <w:vAlign w:val="center"/>
          </w:tcPr>
          <w:p w14:paraId="16B05A30">
            <w:pPr>
              <w:jc w:val="center"/>
              <w:rPr>
                <w:rFonts w:ascii="宋体" w:hAnsi="宋体"/>
                <w:sz w:val="18"/>
                <w:szCs w:val="18"/>
              </w:rPr>
            </w:pPr>
            <w:r>
              <w:rPr>
                <w:rFonts w:ascii="宋体" w:hAnsi="宋体"/>
                <w:sz w:val="18"/>
                <w:szCs w:val="18"/>
              </w:rPr>
              <w:t>23.73</w:t>
            </w:r>
          </w:p>
        </w:tc>
        <w:tc>
          <w:tcPr>
            <w:tcW w:w="1360" w:type="dxa"/>
            <w:noWrap w:val="0"/>
            <w:vAlign w:val="center"/>
          </w:tcPr>
          <w:p w14:paraId="0649A17D">
            <w:pPr>
              <w:jc w:val="center"/>
              <w:rPr>
                <w:rFonts w:ascii="宋体" w:hAnsi="宋体"/>
                <w:sz w:val="18"/>
                <w:szCs w:val="18"/>
              </w:rPr>
            </w:pPr>
            <w:r>
              <w:rPr>
                <w:rFonts w:ascii="宋体" w:hAnsi="宋体"/>
                <w:sz w:val="18"/>
                <w:szCs w:val="18"/>
              </w:rPr>
              <w:t>13.65</w:t>
            </w:r>
          </w:p>
        </w:tc>
        <w:tc>
          <w:tcPr>
            <w:tcW w:w="1260" w:type="dxa"/>
            <w:noWrap w:val="0"/>
            <w:vAlign w:val="center"/>
          </w:tcPr>
          <w:p w14:paraId="387D9003">
            <w:pPr>
              <w:jc w:val="center"/>
              <w:rPr>
                <w:rFonts w:ascii="宋体" w:hAnsi="宋体"/>
                <w:sz w:val="18"/>
                <w:szCs w:val="18"/>
              </w:rPr>
            </w:pPr>
            <w:r>
              <w:rPr>
                <w:rFonts w:ascii="宋体" w:hAnsi="宋体"/>
                <w:sz w:val="18"/>
                <w:szCs w:val="18"/>
              </w:rPr>
              <w:t>2.81</w:t>
            </w:r>
          </w:p>
        </w:tc>
        <w:tc>
          <w:tcPr>
            <w:tcW w:w="1620" w:type="dxa"/>
            <w:noWrap w:val="0"/>
            <w:vAlign w:val="center"/>
          </w:tcPr>
          <w:p w14:paraId="77BF440C">
            <w:pPr>
              <w:jc w:val="center"/>
              <w:rPr>
                <w:rFonts w:ascii="宋体" w:hAnsi="宋体"/>
                <w:sz w:val="18"/>
                <w:szCs w:val="18"/>
              </w:rPr>
            </w:pPr>
            <w:r>
              <w:rPr>
                <w:rFonts w:ascii="宋体" w:hAnsi="宋体"/>
                <w:sz w:val="18"/>
                <w:szCs w:val="18"/>
              </w:rPr>
              <w:t>26.67</w:t>
            </w:r>
          </w:p>
        </w:tc>
        <w:tc>
          <w:tcPr>
            <w:tcW w:w="800" w:type="dxa"/>
            <w:vMerge w:val="continue"/>
            <w:noWrap w:val="0"/>
            <w:vAlign w:val="center"/>
          </w:tcPr>
          <w:p w14:paraId="46CBB61C">
            <w:pPr>
              <w:jc w:val="center"/>
              <w:rPr>
                <w:rFonts w:ascii="宋体" w:hAnsi="宋体"/>
                <w:sz w:val="18"/>
                <w:szCs w:val="18"/>
              </w:rPr>
            </w:pPr>
          </w:p>
        </w:tc>
      </w:tr>
      <w:tr w14:paraId="69DE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09370D69">
            <w:pPr>
              <w:jc w:val="center"/>
              <w:rPr>
                <w:rFonts w:ascii="宋体" w:hAnsi="宋体"/>
                <w:sz w:val="18"/>
                <w:szCs w:val="18"/>
              </w:rPr>
            </w:pPr>
          </w:p>
        </w:tc>
        <w:tc>
          <w:tcPr>
            <w:tcW w:w="624" w:type="dxa"/>
            <w:vMerge w:val="restart"/>
            <w:noWrap w:val="0"/>
            <w:vAlign w:val="center"/>
          </w:tcPr>
          <w:p w14:paraId="40C3D434">
            <w:pPr>
              <w:jc w:val="center"/>
              <w:rPr>
                <w:rFonts w:ascii="宋体" w:hAnsi="宋体"/>
                <w:sz w:val="18"/>
                <w:szCs w:val="18"/>
              </w:rPr>
            </w:pPr>
            <w:r>
              <w:rPr>
                <w:rFonts w:ascii="宋体" w:hAnsi="宋体"/>
                <w:sz w:val="18"/>
                <w:szCs w:val="18"/>
              </w:rPr>
              <w:t>洗煤</w:t>
            </w:r>
          </w:p>
        </w:tc>
        <w:tc>
          <w:tcPr>
            <w:tcW w:w="1262" w:type="dxa"/>
            <w:noWrap w:val="0"/>
            <w:vAlign w:val="center"/>
          </w:tcPr>
          <w:p w14:paraId="7D2EB2B5">
            <w:pPr>
              <w:jc w:val="center"/>
              <w:rPr>
                <w:rFonts w:ascii="宋体" w:hAnsi="宋体"/>
                <w:sz w:val="18"/>
                <w:szCs w:val="18"/>
              </w:rPr>
            </w:pPr>
            <w:r>
              <w:rPr>
                <w:rFonts w:ascii="宋体" w:hAnsi="宋体"/>
                <w:sz w:val="18"/>
                <w:szCs w:val="18"/>
              </w:rPr>
              <w:t>0.27～1.89</w:t>
            </w:r>
          </w:p>
        </w:tc>
        <w:tc>
          <w:tcPr>
            <w:tcW w:w="1360" w:type="dxa"/>
            <w:noWrap w:val="0"/>
            <w:vAlign w:val="center"/>
          </w:tcPr>
          <w:p w14:paraId="11531100">
            <w:pPr>
              <w:jc w:val="center"/>
              <w:rPr>
                <w:rFonts w:ascii="宋体" w:hAnsi="宋体"/>
                <w:sz w:val="18"/>
                <w:szCs w:val="18"/>
              </w:rPr>
            </w:pPr>
            <w:r>
              <w:rPr>
                <w:rFonts w:ascii="宋体" w:hAnsi="宋体"/>
                <w:sz w:val="18"/>
                <w:szCs w:val="18"/>
              </w:rPr>
              <w:t>5.99～15.21</w:t>
            </w:r>
          </w:p>
        </w:tc>
        <w:tc>
          <w:tcPr>
            <w:tcW w:w="1360" w:type="dxa"/>
            <w:noWrap w:val="0"/>
            <w:vAlign w:val="center"/>
          </w:tcPr>
          <w:p w14:paraId="78759C68">
            <w:pPr>
              <w:jc w:val="center"/>
              <w:rPr>
                <w:rFonts w:ascii="宋体" w:hAnsi="宋体"/>
                <w:sz w:val="18"/>
                <w:szCs w:val="18"/>
              </w:rPr>
            </w:pPr>
            <w:r>
              <w:rPr>
                <w:rFonts w:ascii="宋体" w:hAnsi="宋体"/>
                <w:sz w:val="18"/>
                <w:szCs w:val="18"/>
              </w:rPr>
              <w:t>10.49～13.47</w:t>
            </w:r>
          </w:p>
        </w:tc>
        <w:tc>
          <w:tcPr>
            <w:tcW w:w="1260" w:type="dxa"/>
            <w:noWrap w:val="0"/>
            <w:vAlign w:val="center"/>
          </w:tcPr>
          <w:p w14:paraId="61A7A6F9">
            <w:pPr>
              <w:jc w:val="center"/>
              <w:rPr>
                <w:rFonts w:ascii="宋体" w:hAnsi="宋体"/>
                <w:sz w:val="18"/>
                <w:szCs w:val="18"/>
              </w:rPr>
            </w:pPr>
            <w:r>
              <w:rPr>
                <w:rFonts w:ascii="宋体" w:hAnsi="宋体"/>
                <w:sz w:val="18"/>
                <w:szCs w:val="18"/>
              </w:rPr>
              <w:t>0.54～6.88</w:t>
            </w:r>
          </w:p>
        </w:tc>
        <w:tc>
          <w:tcPr>
            <w:tcW w:w="1620" w:type="dxa"/>
            <w:noWrap w:val="0"/>
            <w:vAlign w:val="center"/>
          </w:tcPr>
          <w:p w14:paraId="1D60DEBC">
            <w:pPr>
              <w:jc w:val="center"/>
              <w:rPr>
                <w:rFonts w:ascii="宋体" w:hAnsi="宋体"/>
                <w:sz w:val="18"/>
                <w:szCs w:val="18"/>
              </w:rPr>
            </w:pPr>
            <w:r>
              <w:rPr>
                <w:rFonts w:ascii="宋体" w:hAnsi="宋体"/>
                <w:sz w:val="18"/>
                <w:szCs w:val="18"/>
              </w:rPr>
              <w:t>30.52～33.82</w:t>
            </w:r>
          </w:p>
        </w:tc>
        <w:tc>
          <w:tcPr>
            <w:tcW w:w="800" w:type="dxa"/>
            <w:vMerge w:val="continue"/>
            <w:noWrap w:val="0"/>
            <w:vAlign w:val="center"/>
          </w:tcPr>
          <w:p w14:paraId="50742272">
            <w:pPr>
              <w:jc w:val="center"/>
              <w:rPr>
                <w:rFonts w:hint="eastAsia" w:ascii="宋体" w:hAnsi="宋体"/>
                <w:sz w:val="18"/>
                <w:szCs w:val="18"/>
              </w:rPr>
            </w:pPr>
          </w:p>
        </w:tc>
      </w:tr>
      <w:tr w14:paraId="36CE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C3C7C8C">
            <w:pPr>
              <w:jc w:val="center"/>
              <w:rPr>
                <w:rFonts w:ascii="宋体" w:hAnsi="宋体"/>
                <w:sz w:val="18"/>
                <w:szCs w:val="18"/>
              </w:rPr>
            </w:pPr>
          </w:p>
        </w:tc>
        <w:tc>
          <w:tcPr>
            <w:tcW w:w="624" w:type="dxa"/>
            <w:vMerge w:val="continue"/>
            <w:noWrap w:val="0"/>
            <w:vAlign w:val="center"/>
          </w:tcPr>
          <w:p w14:paraId="2C2630C1">
            <w:pPr>
              <w:jc w:val="center"/>
              <w:rPr>
                <w:rFonts w:ascii="宋体" w:hAnsi="宋体"/>
                <w:sz w:val="18"/>
                <w:szCs w:val="18"/>
              </w:rPr>
            </w:pPr>
          </w:p>
        </w:tc>
        <w:tc>
          <w:tcPr>
            <w:tcW w:w="1262" w:type="dxa"/>
            <w:noWrap w:val="0"/>
            <w:vAlign w:val="center"/>
          </w:tcPr>
          <w:p w14:paraId="118FE2BB">
            <w:pPr>
              <w:jc w:val="center"/>
              <w:rPr>
                <w:rFonts w:ascii="宋体" w:hAnsi="宋体"/>
                <w:sz w:val="18"/>
                <w:szCs w:val="18"/>
              </w:rPr>
            </w:pPr>
            <w:r>
              <w:rPr>
                <w:rFonts w:ascii="宋体" w:hAnsi="宋体"/>
                <w:sz w:val="18"/>
                <w:szCs w:val="18"/>
              </w:rPr>
              <w:t>1.02</w:t>
            </w:r>
          </w:p>
        </w:tc>
        <w:tc>
          <w:tcPr>
            <w:tcW w:w="1360" w:type="dxa"/>
            <w:noWrap w:val="0"/>
            <w:vAlign w:val="center"/>
          </w:tcPr>
          <w:p w14:paraId="2B9CD87B">
            <w:pPr>
              <w:jc w:val="center"/>
              <w:rPr>
                <w:rFonts w:ascii="宋体" w:hAnsi="宋体"/>
                <w:sz w:val="18"/>
                <w:szCs w:val="18"/>
              </w:rPr>
            </w:pPr>
            <w:r>
              <w:rPr>
                <w:rFonts w:ascii="宋体" w:hAnsi="宋体"/>
                <w:sz w:val="18"/>
                <w:szCs w:val="18"/>
              </w:rPr>
              <w:t>9.03</w:t>
            </w:r>
          </w:p>
        </w:tc>
        <w:tc>
          <w:tcPr>
            <w:tcW w:w="1360" w:type="dxa"/>
            <w:noWrap w:val="0"/>
            <w:vAlign w:val="center"/>
          </w:tcPr>
          <w:p w14:paraId="31E2C2C0">
            <w:pPr>
              <w:jc w:val="center"/>
              <w:rPr>
                <w:rFonts w:ascii="宋体" w:hAnsi="宋体"/>
                <w:sz w:val="18"/>
                <w:szCs w:val="18"/>
              </w:rPr>
            </w:pPr>
            <w:r>
              <w:rPr>
                <w:rFonts w:ascii="宋体" w:hAnsi="宋体"/>
                <w:sz w:val="18"/>
                <w:szCs w:val="18"/>
              </w:rPr>
              <w:t>12.31</w:t>
            </w:r>
          </w:p>
        </w:tc>
        <w:tc>
          <w:tcPr>
            <w:tcW w:w="1260" w:type="dxa"/>
            <w:noWrap w:val="0"/>
            <w:vAlign w:val="center"/>
          </w:tcPr>
          <w:p w14:paraId="6585067D">
            <w:pPr>
              <w:jc w:val="center"/>
              <w:rPr>
                <w:rFonts w:ascii="宋体" w:hAnsi="宋体"/>
                <w:sz w:val="18"/>
                <w:szCs w:val="18"/>
              </w:rPr>
            </w:pPr>
            <w:r>
              <w:rPr>
                <w:rFonts w:ascii="宋体" w:hAnsi="宋体"/>
                <w:sz w:val="18"/>
                <w:szCs w:val="18"/>
              </w:rPr>
              <w:t>1.13</w:t>
            </w:r>
          </w:p>
        </w:tc>
        <w:tc>
          <w:tcPr>
            <w:tcW w:w="1620" w:type="dxa"/>
            <w:noWrap w:val="0"/>
            <w:vAlign w:val="center"/>
          </w:tcPr>
          <w:p w14:paraId="041D97E5">
            <w:pPr>
              <w:jc w:val="center"/>
              <w:rPr>
                <w:rFonts w:ascii="宋体" w:hAnsi="宋体"/>
                <w:sz w:val="18"/>
                <w:szCs w:val="18"/>
              </w:rPr>
            </w:pPr>
            <w:r>
              <w:rPr>
                <w:rFonts w:ascii="宋体" w:hAnsi="宋体"/>
                <w:sz w:val="18"/>
                <w:szCs w:val="18"/>
              </w:rPr>
              <w:t>32.25</w:t>
            </w:r>
          </w:p>
        </w:tc>
        <w:tc>
          <w:tcPr>
            <w:tcW w:w="800" w:type="dxa"/>
            <w:vMerge w:val="continue"/>
            <w:noWrap w:val="0"/>
            <w:vAlign w:val="center"/>
          </w:tcPr>
          <w:p w14:paraId="4A3F4A5D">
            <w:pPr>
              <w:jc w:val="center"/>
              <w:rPr>
                <w:rFonts w:ascii="宋体" w:hAnsi="宋体"/>
                <w:sz w:val="18"/>
                <w:szCs w:val="18"/>
              </w:rPr>
            </w:pPr>
          </w:p>
        </w:tc>
      </w:tr>
      <w:tr w14:paraId="1D90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731AA5C0">
            <w:pPr>
              <w:jc w:val="center"/>
              <w:rPr>
                <w:rFonts w:ascii="宋体" w:hAnsi="宋体"/>
                <w:sz w:val="18"/>
                <w:szCs w:val="18"/>
              </w:rPr>
            </w:pPr>
            <w:r>
              <w:rPr>
                <w:rFonts w:ascii="宋体" w:hAnsi="宋体"/>
                <w:sz w:val="18"/>
                <w:szCs w:val="18"/>
              </w:rPr>
              <w:t>K13</w:t>
            </w:r>
          </w:p>
        </w:tc>
        <w:tc>
          <w:tcPr>
            <w:tcW w:w="624" w:type="dxa"/>
            <w:vMerge w:val="restart"/>
            <w:noWrap w:val="0"/>
            <w:vAlign w:val="center"/>
          </w:tcPr>
          <w:p w14:paraId="21C276B4">
            <w:pPr>
              <w:jc w:val="center"/>
              <w:rPr>
                <w:rFonts w:ascii="宋体" w:hAnsi="宋体"/>
                <w:sz w:val="18"/>
                <w:szCs w:val="18"/>
              </w:rPr>
            </w:pPr>
            <w:r>
              <w:rPr>
                <w:rFonts w:ascii="宋体" w:hAnsi="宋体"/>
                <w:sz w:val="18"/>
                <w:szCs w:val="18"/>
              </w:rPr>
              <w:t>原煤</w:t>
            </w:r>
          </w:p>
        </w:tc>
        <w:tc>
          <w:tcPr>
            <w:tcW w:w="1262" w:type="dxa"/>
            <w:noWrap w:val="0"/>
            <w:vAlign w:val="center"/>
          </w:tcPr>
          <w:p w14:paraId="4B6751AD">
            <w:pPr>
              <w:jc w:val="center"/>
              <w:rPr>
                <w:rFonts w:ascii="宋体" w:hAnsi="宋体"/>
                <w:sz w:val="18"/>
                <w:szCs w:val="18"/>
              </w:rPr>
            </w:pPr>
            <w:r>
              <w:rPr>
                <w:rFonts w:ascii="宋体" w:hAnsi="宋体"/>
                <w:sz w:val="18"/>
                <w:szCs w:val="18"/>
              </w:rPr>
              <w:t>0.53～1.45</w:t>
            </w:r>
          </w:p>
        </w:tc>
        <w:tc>
          <w:tcPr>
            <w:tcW w:w="1360" w:type="dxa"/>
            <w:noWrap w:val="0"/>
            <w:vAlign w:val="center"/>
          </w:tcPr>
          <w:p w14:paraId="59F532D1">
            <w:pPr>
              <w:jc w:val="center"/>
              <w:rPr>
                <w:rFonts w:ascii="宋体" w:hAnsi="宋体"/>
                <w:sz w:val="18"/>
                <w:szCs w:val="18"/>
              </w:rPr>
            </w:pPr>
            <w:r>
              <w:rPr>
                <w:rFonts w:ascii="宋体" w:hAnsi="宋体"/>
                <w:sz w:val="18"/>
                <w:szCs w:val="18"/>
              </w:rPr>
              <w:t>7.48～28.87</w:t>
            </w:r>
          </w:p>
        </w:tc>
        <w:tc>
          <w:tcPr>
            <w:tcW w:w="1360" w:type="dxa"/>
            <w:noWrap w:val="0"/>
            <w:vAlign w:val="center"/>
          </w:tcPr>
          <w:p w14:paraId="44714925">
            <w:pPr>
              <w:jc w:val="center"/>
              <w:rPr>
                <w:rFonts w:ascii="宋体" w:hAnsi="宋体"/>
                <w:sz w:val="18"/>
                <w:szCs w:val="18"/>
              </w:rPr>
            </w:pPr>
            <w:r>
              <w:rPr>
                <w:rFonts w:ascii="宋体" w:hAnsi="宋体"/>
                <w:sz w:val="18"/>
                <w:szCs w:val="18"/>
              </w:rPr>
              <w:t>11.01～15.25</w:t>
            </w:r>
          </w:p>
        </w:tc>
        <w:tc>
          <w:tcPr>
            <w:tcW w:w="1260" w:type="dxa"/>
            <w:noWrap w:val="0"/>
            <w:vAlign w:val="center"/>
          </w:tcPr>
          <w:p w14:paraId="2D74DF2D">
            <w:pPr>
              <w:jc w:val="center"/>
              <w:rPr>
                <w:rFonts w:ascii="宋体" w:hAnsi="宋体"/>
                <w:sz w:val="18"/>
                <w:szCs w:val="18"/>
              </w:rPr>
            </w:pPr>
            <w:r>
              <w:rPr>
                <w:rFonts w:ascii="宋体" w:hAnsi="宋体"/>
                <w:sz w:val="18"/>
                <w:szCs w:val="18"/>
              </w:rPr>
              <w:t>0.37～4.93</w:t>
            </w:r>
          </w:p>
        </w:tc>
        <w:tc>
          <w:tcPr>
            <w:tcW w:w="1620" w:type="dxa"/>
            <w:noWrap w:val="0"/>
            <w:vAlign w:val="center"/>
          </w:tcPr>
          <w:p w14:paraId="5A682F0B">
            <w:pPr>
              <w:jc w:val="center"/>
              <w:rPr>
                <w:rFonts w:ascii="宋体" w:hAnsi="宋体"/>
                <w:sz w:val="18"/>
                <w:szCs w:val="18"/>
              </w:rPr>
            </w:pPr>
            <w:r>
              <w:rPr>
                <w:rFonts w:ascii="宋体" w:hAnsi="宋体"/>
                <w:sz w:val="18"/>
                <w:szCs w:val="18"/>
              </w:rPr>
              <w:t>25.33～33.56</w:t>
            </w:r>
          </w:p>
        </w:tc>
        <w:tc>
          <w:tcPr>
            <w:tcW w:w="800" w:type="dxa"/>
            <w:vMerge w:val="restart"/>
            <w:noWrap w:val="0"/>
            <w:vAlign w:val="center"/>
          </w:tcPr>
          <w:p w14:paraId="183EE728">
            <w:pPr>
              <w:jc w:val="center"/>
              <w:rPr>
                <w:rFonts w:ascii="宋体" w:hAnsi="宋体"/>
                <w:sz w:val="18"/>
                <w:szCs w:val="18"/>
              </w:rPr>
            </w:pPr>
            <w:r>
              <w:rPr>
                <w:rFonts w:hint="eastAsia" w:ascii="宋体" w:hAnsi="宋体"/>
                <w:sz w:val="18"/>
                <w:szCs w:val="18"/>
              </w:rPr>
              <w:t>贫煤</w:t>
            </w:r>
          </w:p>
        </w:tc>
      </w:tr>
      <w:tr w14:paraId="3B07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4800BA7A">
            <w:pPr>
              <w:jc w:val="center"/>
              <w:rPr>
                <w:rFonts w:ascii="宋体" w:hAnsi="宋体"/>
                <w:sz w:val="18"/>
                <w:szCs w:val="18"/>
              </w:rPr>
            </w:pPr>
          </w:p>
        </w:tc>
        <w:tc>
          <w:tcPr>
            <w:tcW w:w="624" w:type="dxa"/>
            <w:vMerge w:val="continue"/>
            <w:noWrap w:val="0"/>
            <w:vAlign w:val="center"/>
          </w:tcPr>
          <w:p w14:paraId="015AB047">
            <w:pPr>
              <w:jc w:val="center"/>
              <w:rPr>
                <w:rFonts w:ascii="宋体" w:hAnsi="宋体"/>
                <w:sz w:val="18"/>
                <w:szCs w:val="18"/>
              </w:rPr>
            </w:pPr>
          </w:p>
        </w:tc>
        <w:tc>
          <w:tcPr>
            <w:tcW w:w="1262" w:type="dxa"/>
            <w:noWrap w:val="0"/>
            <w:vAlign w:val="center"/>
          </w:tcPr>
          <w:p w14:paraId="6EE99DA5">
            <w:pPr>
              <w:jc w:val="center"/>
              <w:rPr>
                <w:rFonts w:ascii="宋体" w:hAnsi="宋体"/>
                <w:sz w:val="18"/>
                <w:szCs w:val="18"/>
              </w:rPr>
            </w:pPr>
            <w:r>
              <w:rPr>
                <w:rFonts w:ascii="宋体" w:hAnsi="宋体"/>
                <w:sz w:val="18"/>
                <w:szCs w:val="18"/>
              </w:rPr>
              <w:t>1.06</w:t>
            </w:r>
          </w:p>
        </w:tc>
        <w:tc>
          <w:tcPr>
            <w:tcW w:w="1360" w:type="dxa"/>
            <w:noWrap w:val="0"/>
            <w:vAlign w:val="center"/>
          </w:tcPr>
          <w:p w14:paraId="48036BE4">
            <w:pPr>
              <w:jc w:val="center"/>
              <w:rPr>
                <w:rFonts w:ascii="宋体" w:hAnsi="宋体"/>
                <w:sz w:val="18"/>
                <w:szCs w:val="18"/>
              </w:rPr>
            </w:pPr>
            <w:r>
              <w:rPr>
                <w:rFonts w:ascii="宋体" w:hAnsi="宋体"/>
                <w:sz w:val="18"/>
                <w:szCs w:val="18"/>
              </w:rPr>
              <w:t>19.49</w:t>
            </w:r>
          </w:p>
        </w:tc>
        <w:tc>
          <w:tcPr>
            <w:tcW w:w="1360" w:type="dxa"/>
            <w:noWrap w:val="0"/>
            <w:vAlign w:val="center"/>
          </w:tcPr>
          <w:p w14:paraId="014B72CF">
            <w:pPr>
              <w:jc w:val="center"/>
              <w:rPr>
                <w:rFonts w:ascii="宋体" w:hAnsi="宋体"/>
                <w:sz w:val="18"/>
                <w:szCs w:val="18"/>
              </w:rPr>
            </w:pPr>
            <w:r>
              <w:rPr>
                <w:rFonts w:ascii="宋体" w:hAnsi="宋体"/>
                <w:sz w:val="18"/>
                <w:szCs w:val="18"/>
              </w:rPr>
              <w:t>13.00</w:t>
            </w:r>
          </w:p>
        </w:tc>
        <w:tc>
          <w:tcPr>
            <w:tcW w:w="1260" w:type="dxa"/>
            <w:noWrap w:val="0"/>
            <w:vAlign w:val="center"/>
          </w:tcPr>
          <w:p w14:paraId="363EDF7E">
            <w:pPr>
              <w:jc w:val="center"/>
              <w:rPr>
                <w:rFonts w:ascii="宋体" w:hAnsi="宋体"/>
                <w:sz w:val="18"/>
                <w:szCs w:val="18"/>
              </w:rPr>
            </w:pPr>
            <w:r>
              <w:rPr>
                <w:rFonts w:ascii="宋体" w:hAnsi="宋体"/>
                <w:sz w:val="18"/>
                <w:szCs w:val="18"/>
              </w:rPr>
              <w:t>2.22</w:t>
            </w:r>
          </w:p>
        </w:tc>
        <w:tc>
          <w:tcPr>
            <w:tcW w:w="1620" w:type="dxa"/>
            <w:noWrap w:val="0"/>
            <w:vAlign w:val="center"/>
          </w:tcPr>
          <w:p w14:paraId="3B61AA43">
            <w:pPr>
              <w:jc w:val="center"/>
              <w:rPr>
                <w:rFonts w:ascii="宋体" w:hAnsi="宋体"/>
                <w:sz w:val="18"/>
                <w:szCs w:val="18"/>
              </w:rPr>
            </w:pPr>
            <w:r>
              <w:rPr>
                <w:rFonts w:ascii="宋体" w:hAnsi="宋体"/>
                <w:sz w:val="18"/>
                <w:szCs w:val="18"/>
              </w:rPr>
              <w:t>28.61</w:t>
            </w:r>
          </w:p>
        </w:tc>
        <w:tc>
          <w:tcPr>
            <w:tcW w:w="800" w:type="dxa"/>
            <w:vMerge w:val="continue"/>
            <w:noWrap w:val="0"/>
            <w:vAlign w:val="center"/>
          </w:tcPr>
          <w:p w14:paraId="292F6B53">
            <w:pPr>
              <w:jc w:val="center"/>
              <w:rPr>
                <w:rFonts w:ascii="宋体" w:hAnsi="宋体"/>
                <w:sz w:val="18"/>
                <w:szCs w:val="18"/>
              </w:rPr>
            </w:pPr>
          </w:p>
        </w:tc>
      </w:tr>
      <w:tr w14:paraId="3D28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74CA93C8">
            <w:pPr>
              <w:jc w:val="center"/>
              <w:rPr>
                <w:rFonts w:ascii="宋体" w:hAnsi="宋体"/>
                <w:sz w:val="18"/>
                <w:szCs w:val="18"/>
              </w:rPr>
            </w:pPr>
          </w:p>
        </w:tc>
        <w:tc>
          <w:tcPr>
            <w:tcW w:w="624" w:type="dxa"/>
            <w:vMerge w:val="restart"/>
            <w:noWrap w:val="0"/>
            <w:vAlign w:val="center"/>
          </w:tcPr>
          <w:p w14:paraId="598D0631">
            <w:pPr>
              <w:jc w:val="center"/>
              <w:rPr>
                <w:rFonts w:ascii="宋体" w:hAnsi="宋体"/>
                <w:sz w:val="18"/>
                <w:szCs w:val="18"/>
              </w:rPr>
            </w:pPr>
            <w:r>
              <w:rPr>
                <w:rFonts w:ascii="宋体" w:hAnsi="宋体"/>
                <w:sz w:val="18"/>
                <w:szCs w:val="18"/>
              </w:rPr>
              <w:t>洗煤</w:t>
            </w:r>
          </w:p>
        </w:tc>
        <w:tc>
          <w:tcPr>
            <w:tcW w:w="1262" w:type="dxa"/>
            <w:noWrap w:val="0"/>
            <w:vAlign w:val="center"/>
          </w:tcPr>
          <w:p w14:paraId="0E32CFF3">
            <w:pPr>
              <w:jc w:val="center"/>
              <w:rPr>
                <w:rFonts w:ascii="宋体" w:hAnsi="宋体"/>
                <w:sz w:val="18"/>
                <w:szCs w:val="18"/>
              </w:rPr>
            </w:pPr>
            <w:r>
              <w:rPr>
                <w:rFonts w:ascii="宋体" w:hAnsi="宋体"/>
                <w:sz w:val="18"/>
                <w:szCs w:val="18"/>
              </w:rPr>
              <w:t>0.53～1.89</w:t>
            </w:r>
          </w:p>
        </w:tc>
        <w:tc>
          <w:tcPr>
            <w:tcW w:w="1360" w:type="dxa"/>
            <w:noWrap w:val="0"/>
            <w:vAlign w:val="center"/>
          </w:tcPr>
          <w:p w14:paraId="0B763B6E">
            <w:pPr>
              <w:jc w:val="center"/>
              <w:rPr>
                <w:rFonts w:ascii="宋体" w:hAnsi="宋体"/>
                <w:sz w:val="18"/>
                <w:szCs w:val="18"/>
              </w:rPr>
            </w:pPr>
            <w:r>
              <w:rPr>
                <w:rFonts w:ascii="宋体" w:hAnsi="宋体"/>
                <w:sz w:val="18"/>
                <w:szCs w:val="18"/>
              </w:rPr>
              <w:t>6.16～12.75</w:t>
            </w:r>
          </w:p>
        </w:tc>
        <w:tc>
          <w:tcPr>
            <w:tcW w:w="1360" w:type="dxa"/>
            <w:noWrap w:val="0"/>
            <w:vAlign w:val="center"/>
          </w:tcPr>
          <w:p w14:paraId="0360B302">
            <w:pPr>
              <w:jc w:val="center"/>
              <w:rPr>
                <w:rFonts w:ascii="宋体" w:hAnsi="宋体"/>
                <w:sz w:val="18"/>
                <w:szCs w:val="18"/>
              </w:rPr>
            </w:pPr>
            <w:r>
              <w:rPr>
                <w:rFonts w:ascii="宋体" w:hAnsi="宋体"/>
                <w:sz w:val="18"/>
                <w:szCs w:val="18"/>
              </w:rPr>
              <w:t>10.55～14.13</w:t>
            </w:r>
          </w:p>
        </w:tc>
        <w:tc>
          <w:tcPr>
            <w:tcW w:w="1260" w:type="dxa"/>
            <w:noWrap w:val="0"/>
            <w:vAlign w:val="center"/>
          </w:tcPr>
          <w:p w14:paraId="354EA9EA">
            <w:pPr>
              <w:jc w:val="center"/>
              <w:rPr>
                <w:rFonts w:ascii="宋体" w:hAnsi="宋体"/>
                <w:sz w:val="18"/>
                <w:szCs w:val="18"/>
              </w:rPr>
            </w:pPr>
            <w:r>
              <w:rPr>
                <w:rFonts w:ascii="宋体" w:hAnsi="宋体"/>
                <w:sz w:val="18"/>
                <w:szCs w:val="18"/>
              </w:rPr>
              <w:t>0.31～2.21</w:t>
            </w:r>
          </w:p>
        </w:tc>
        <w:tc>
          <w:tcPr>
            <w:tcW w:w="1620" w:type="dxa"/>
            <w:noWrap w:val="0"/>
            <w:vAlign w:val="center"/>
          </w:tcPr>
          <w:p w14:paraId="07AE0A09">
            <w:pPr>
              <w:jc w:val="center"/>
              <w:rPr>
                <w:rFonts w:ascii="宋体" w:hAnsi="宋体"/>
                <w:sz w:val="18"/>
                <w:szCs w:val="18"/>
              </w:rPr>
            </w:pPr>
            <w:r>
              <w:rPr>
                <w:rFonts w:ascii="宋体" w:hAnsi="宋体"/>
                <w:sz w:val="18"/>
                <w:szCs w:val="18"/>
              </w:rPr>
              <w:t>31.79～33.68</w:t>
            </w:r>
          </w:p>
        </w:tc>
        <w:tc>
          <w:tcPr>
            <w:tcW w:w="800" w:type="dxa"/>
            <w:vMerge w:val="continue"/>
            <w:noWrap w:val="0"/>
            <w:vAlign w:val="center"/>
          </w:tcPr>
          <w:p w14:paraId="2D263B79">
            <w:pPr>
              <w:jc w:val="center"/>
              <w:rPr>
                <w:rFonts w:ascii="宋体" w:hAnsi="宋体"/>
                <w:sz w:val="18"/>
                <w:szCs w:val="18"/>
              </w:rPr>
            </w:pPr>
          </w:p>
        </w:tc>
      </w:tr>
      <w:tr w14:paraId="6AEC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823D9CC">
            <w:pPr>
              <w:jc w:val="center"/>
              <w:rPr>
                <w:rFonts w:ascii="宋体" w:hAnsi="宋体"/>
                <w:sz w:val="18"/>
                <w:szCs w:val="18"/>
              </w:rPr>
            </w:pPr>
          </w:p>
        </w:tc>
        <w:tc>
          <w:tcPr>
            <w:tcW w:w="624" w:type="dxa"/>
            <w:vMerge w:val="continue"/>
            <w:noWrap w:val="0"/>
            <w:vAlign w:val="center"/>
          </w:tcPr>
          <w:p w14:paraId="7F9A8734">
            <w:pPr>
              <w:jc w:val="center"/>
              <w:rPr>
                <w:rFonts w:ascii="宋体" w:hAnsi="宋体"/>
                <w:sz w:val="18"/>
                <w:szCs w:val="18"/>
              </w:rPr>
            </w:pPr>
          </w:p>
        </w:tc>
        <w:tc>
          <w:tcPr>
            <w:tcW w:w="1262" w:type="dxa"/>
            <w:noWrap w:val="0"/>
            <w:vAlign w:val="center"/>
          </w:tcPr>
          <w:p w14:paraId="7A7127EF">
            <w:pPr>
              <w:jc w:val="center"/>
              <w:rPr>
                <w:rFonts w:ascii="宋体" w:hAnsi="宋体"/>
                <w:sz w:val="18"/>
                <w:szCs w:val="18"/>
              </w:rPr>
            </w:pPr>
            <w:r>
              <w:rPr>
                <w:rFonts w:ascii="宋体" w:hAnsi="宋体"/>
                <w:sz w:val="18"/>
                <w:szCs w:val="18"/>
              </w:rPr>
              <w:t>1.15</w:t>
            </w:r>
          </w:p>
        </w:tc>
        <w:tc>
          <w:tcPr>
            <w:tcW w:w="1360" w:type="dxa"/>
            <w:noWrap w:val="0"/>
            <w:vAlign w:val="center"/>
          </w:tcPr>
          <w:p w14:paraId="3AAADDF9">
            <w:pPr>
              <w:jc w:val="center"/>
              <w:rPr>
                <w:rFonts w:ascii="宋体" w:hAnsi="宋体"/>
                <w:sz w:val="18"/>
                <w:szCs w:val="18"/>
              </w:rPr>
            </w:pPr>
            <w:r>
              <w:rPr>
                <w:rFonts w:ascii="宋体" w:hAnsi="宋体"/>
                <w:sz w:val="18"/>
                <w:szCs w:val="18"/>
              </w:rPr>
              <w:t>8.59</w:t>
            </w:r>
          </w:p>
        </w:tc>
        <w:tc>
          <w:tcPr>
            <w:tcW w:w="1360" w:type="dxa"/>
            <w:noWrap w:val="0"/>
            <w:vAlign w:val="center"/>
          </w:tcPr>
          <w:p w14:paraId="6D6AC882">
            <w:pPr>
              <w:jc w:val="center"/>
              <w:rPr>
                <w:rFonts w:ascii="宋体" w:hAnsi="宋体"/>
                <w:sz w:val="18"/>
                <w:szCs w:val="18"/>
              </w:rPr>
            </w:pPr>
            <w:r>
              <w:rPr>
                <w:rFonts w:ascii="宋体" w:hAnsi="宋体"/>
                <w:sz w:val="18"/>
                <w:szCs w:val="18"/>
              </w:rPr>
              <w:t>12.04</w:t>
            </w:r>
          </w:p>
        </w:tc>
        <w:tc>
          <w:tcPr>
            <w:tcW w:w="1260" w:type="dxa"/>
            <w:noWrap w:val="0"/>
            <w:vAlign w:val="center"/>
          </w:tcPr>
          <w:p w14:paraId="0EA26307">
            <w:pPr>
              <w:jc w:val="center"/>
              <w:rPr>
                <w:rFonts w:ascii="宋体" w:hAnsi="宋体"/>
                <w:sz w:val="18"/>
                <w:szCs w:val="18"/>
              </w:rPr>
            </w:pPr>
            <w:r>
              <w:rPr>
                <w:rFonts w:ascii="宋体" w:hAnsi="宋体"/>
                <w:sz w:val="18"/>
                <w:szCs w:val="18"/>
              </w:rPr>
              <w:t>1.23</w:t>
            </w:r>
          </w:p>
        </w:tc>
        <w:tc>
          <w:tcPr>
            <w:tcW w:w="1620" w:type="dxa"/>
            <w:noWrap w:val="0"/>
            <w:vAlign w:val="center"/>
          </w:tcPr>
          <w:p w14:paraId="0E9377AF">
            <w:pPr>
              <w:jc w:val="center"/>
              <w:rPr>
                <w:rFonts w:ascii="宋体" w:hAnsi="宋体"/>
                <w:sz w:val="18"/>
                <w:szCs w:val="18"/>
              </w:rPr>
            </w:pPr>
            <w:r>
              <w:rPr>
                <w:rFonts w:ascii="宋体" w:hAnsi="宋体"/>
                <w:sz w:val="18"/>
                <w:szCs w:val="18"/>
              </w:rPr>
              <w:t>33.15</w:t>
            </w:r>
          </w:p>
        </w:tc>
        <w:tc>
          <w:tcPr>
            <w:tcW w:w="800" w:type="dxa"/>
            <w:vMerge w:val="continue"/>
            <w:noWrap w:val="0"/>
            <w:vAlign w:val="center"/>
          </w:tcPr>
          <w:p w14:paraId="1C435FA7">
            <w:pPr>
              <w:jc w:val="center"/>
              <w:rPr>
                <w:rFonts w:ascii="宋体" w:hAnsi="宋体"/>
                <w:sz w:val="18"/>
                <w:szCs w:val="18"/>
              </w:rPr>
            </w:pPr>
          </w:p>
        </w:tc>
      </w:tr>
      <w:tr w14:paraId="7736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6CD2D56A">
            <w:pPr>
              <w:jc w:val="center"/>
              <w:rPr>
                <w:rFonts w:ascii="宋体" w:hAnsi="宋体"/>
                <w:sz w:val="18"/>
                <w:szCs w:val="18"/>
              </w:rPr>
            </w:pPr>
            <w:r>
              <w:rPr>
                <w:rFonts w:ascii="宋体" w:hAnsi="宋体"/>
                <w:sz w:val="18"/>
                <w:szCs w:val="18"/>
              </w:rPr>
              <w:t>K18</w:t>
            </w:r>
          </w:p>
        </w:tc>
        <w:tc>
          <w:tcPr>
            <w:tcW w:w="624" w:type="dxa"/>
            <w:vMerge w:val="restart"/>
            <w:noWrap w:val="0"/>
            <w:vAlign w:val="center"/>
          </w:tcPr>
          <w:p w14:paraId="2456FEF3">
            <w:pPr>
              <w:jc w:val="center"/>
              <w:rPr>
                <w:rFonts w:ascii="宋体" w:hAnsi="宋体"/>
                <w:sz w:val="18"/>
                <w:szCs w:val="18"/>
              </w:rPr>
            </w:pPr>
            <w:r>
              <w:rPr>
                <w:rFonts w:ascii="宋体" w:hAnsi="宋体"/>
                <w:sz w:val="18"/>
                <w:szCs w:val="18"/>
              </w:rPr>
              <w:t>原煤</w:t>
            </w:r>
          </w:p>
        </w:tc>
        <w:tc>
          <w:tcPr>
            <w:tcW w:w="1262" w:type="dxa"/>
            <w:noWrap w:val="0"/>
            <w:vAlign w:val="center"/>
          </w:tcPr>
          <w:p w14:paraId="1263BD1E">
            <w:pPr>
              <w:jc w:val="center"/>
              <w:rPr>
                <w:rFonts w:ascii="宋体" w:hAnsi="宋体"/>
                <w:sz w:val="18"/>
                <w:szCs w:val="18"/>
              </w:rPr>
            </w:pPr>
            <w:r>
              <w:rPr>
                <w:rFonts w:ascii="宋体" w:hAnsi="宋体"/>
                <w:sz w:val="18"/>
                <w:szCs w:val="18"/>
              </w:rPr>
              <w:t>0.65～1.68</w:t>
            </w:r>
          </w:p>
        </w:tc>
        <w:tc>
          <w:tcPr>
            <w:tcW w:w="1360" w:type="dxa"/>
            <w:noWrap w:val="0"/>
            <w:vAlign w:val="center"/>
          </w:tcPr>
          <w:p w14:paraId="278EFD3C">
            <w:pPr>
              <w:jc w:val="center"/>
              <w:rPr>
                <w:rFonts w:ascii="宋体" w:hAnsi="宋体"/>
                <w:sz w:val="18"/>
                <w:szCs w:val="18"/>
              </w:rPr>
            </w:pPr>
            <w:r>
              <w:rPr>
                <w:rFonts w:ascii="宋体" w:hAnsi="宋体"/>
                <w:sz w:val="18"/>
                <w:szCs w:val="18"/>
              </w:rPr>
              <w:t>9.71～34.26</w:t>
            </w:r>
          </w:p>
        </w:tc>
        <w:tc>
          <w:tcPr>
            <w:tcW w:w="1360" w:type="dxa"/>
            <w:noWrap w:val="0"/>
            <w:vAlign w:val="center"/>
          </w:tcPr>
          <w:p w14:paraId="4054168D">
            <w:pPr>
              <w:jc w:val="center"/>
              <w:rPr>
                <w:rFonts w:ascii="宋体" w:hAnsi="宋体"/>
                <w:sz w:val="18"/>
                <w:szCs w:val="18"/>
              </w:rPr>
            </w:pPr>
            <w:r>
              <w:rPr>
                <w:rFonts w:ascii="宋体" w:hAnsi="宋体"/>
                <w:sz w:val="18"/>
                <w:szCs w:val="18"/>
              </w:rPr>
              <w:t>10.73～14.92</w:t>
            </w:r>
          </w:p>
        </w:tc>
        <w:tc>
          <w:tcPr>
            <w:tcW w:w="1260" w:type="dxa"/>
            <w:noWrap w:val="0"/>
            <w:vAlign w:val="center"/>
          </w:tcPr>
          <w:p w14:paraId="773E7EC5">
            <w:pPr>
              <w:jc w:val="center"/>
              <w:rPr>
                <w:rFonts w:ascii="宋体" w:hAnsi="宋体"/>
                <w:sz w:val="18"/>
                <w:szCs w:val="18"/>
              </w:rPr>
            </w:pPr>
            <w:r>
              <w:rPr>
                <w:rFonts w:ascii="宋体" w:hAnsi="宋体"/>
                <w:sz w:val="18"/>
                <w:szCs w:val="18"/>
              </w:rPr>
              <w:t>0.10～2.28</w:t>
            </w:r>
          </w:p>
          <w:p w14:paraId="627B8F0D">
            <w:pPr>
              <w:jc w:val="center"/>
              <w:rPr>
                <w:rFonts w:ascii="宋体" w:hAnsi="宋体"/>
                <w:sz w:val="18"/>
                <w:szCs w:val="18"/>
              </w:rPr>
            </w:pPr>
            <w:r>
              <w:rPr>
                <w:rFonts w:ascii="宋体" w:hAnsi="宋体"/>
                <w:sz w:val="18"/>
                <w:szCs w:val="18"/>
              </w:rPr>
              <w:t>1.14</w:t>
            </w:r>
          </w:p>
        </w:tc>
        <w:tc>
          <w:tcPr>
            <w:tcW w:w="1620" w:type="dxa"/>
            <w:noWrap w:val="0"/>
            <w:vAlign w:val="center"/>
          </w:tcPr>
          <w:p w14:paraId="56075CCA">
            <w:pPr>
              <w:jc w:val="center"/>
              <w:rPr>
                <w:rFonts w:ascii="宋体" w:hAnsi="宋体"/>
                <w:sz w:val="18"/>
                <w:szCs w:val="18"/>
              </w:rPr>
            </w:pPr>
            <w:r>
              <w:rPr>
                <w:rFonts w:ascii="宋体" w:hAnsi="宋体"/>
                <w:sz w:val="18"/>
                <w:szCs w:val="18"/>
              </w:rPr>
              <w:t>22.67～32.53</w:t>
            </w:r>
          </w:p>
        </w:tc>
        <w:tc>
          <w:tcPr>
            <w:tcW w:w="800" w:type="dxa"/>
            <w:vMerge w:val="restart"/>
            <w:noWrap w:val="0"/>
            <w:vAlign w:val="center"/>
          </w:tcPr>
          <w:p w14:paraId="67E1F333">
            <w:pPr>
              <w:jc w:val="center"/>
              <w:rPr>
                <w:rFonts w:ascii="宋体" w:hAnsi="宋体"/>
                <w:sz w:val="18"/>
                <w:szCs w:val="18"/>
              </w:rPr>
            </w:pPr>
            <w:r>
              <w:rPr>
                <w:rFonts w:hint="eastAsia" w:ascii="宋体" w:hAnsi="宋体"/>
                <w:sz w:val="18"/>
                <w:szCs w:val="18"/>
              </w:rPr>
              <w:t>贫煤</w:t>
            </w:r>
          </w:p>
        </w:tc>
      </w:tr>
      <w:tr w14:paraId="4251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2A70020A">
            <w:pPr>
              <w:jc w:val="center"/>
              <w:rPr>
                <w:rFonts w:ascii="宋体" w:hAnsi="宋体"/>
                <w:sz w:val="18"/>
                <w:szCs w:val="18"/>
              </w:rPr>
            </w:pPr>
          </w:p>
        </w:tc>
        <w:tc>
          <w:tcPr>
            <w:tcW w:w="624" w:type="dxa"/>
            <w:vMerge w:val="continue"/>
            <w:noWrap w:val="0"/>
            <w:vAlign w:val="center"/>
          </w:tcPr>
          <w:p w14:paraId="7F717C4D">
            <w:pPr>
              <w:jc w:val="center"/>
              <w:rPr>
                <w:rFonts w:ascii="宋体" w:hAnsi="宋体"/>
                <w:sz w:val="18"/>
                <w:szCs w:val="18"/>
              </w:rPr>
            </w:pPr>
          </w:p>
        </w:tc>
        <w:tc>
          <w:tcPr>
            <w:tcW w:w="1262" w:type="dxa"/>
            <w:noWrap w:val="0"/>
            <w:vAlign w:val="center"/>
          </w:tcPr>
          <w:p w14:paraId="220C8A7C">
            <w:pPr>
              <w:jc w:val="center"/>
              <w:rPr>
                <w:rFonts w:ascii="宋体" w:hAnsi="宋体"/>
                <w:sz w:val="18"/>
                <w:szCs w:val="18"/>
              </w:rPr>
            </w:pPr>
            <w:r>
              <w:rPr>
                <w:rFonts w:ascii="宋体" w:hAnsi="宋体"/>
                <w:sz w:val="18"/>
                <w:szCs w:val="18"/>
              </w:rPr>
              <w:t>1.22</w:t>
            </w:r>
          </w:p>
        </w:tc>
        <w:tc>
          <w:tcPr>
            <w:tcW w:w="1360" w:type="dxa"/>
            <w:noWrap w:val="0"/>
            <w:vAlign w:val="center"/>
          </w:tcPr>
          <w:p w14:paraId="0987B667">
            <w:pPr>
              <w:jc w:val="center"/>
              <w:rPr>
                <w:rFonts w:ascii="宋体" w:hAnsi="宋体"/>
                <w:sz w:val="18"/>
                <w:szCs w:val="18"/>
              </w:rPr>
            </w:pPr>
            <w:r>
              <w:rPr>
                <w:rFonts w:ascii="宋体" w:hAnsi="宋体"/>
                <w:sz w:val="18"/>
                <w:szCs w:val="18"/>
              </w:rPr>
              <w:t>17.04</w:t>
            </w:r>
          </w:p>
        </w:tc>
        <w:tc>
          <w:tcPr>
            <w:tcW w:w="1360" w:type="dxa"/>
            <w:noWrap w:val="0"/>
            <w:vAlign w:val="center"/>
          </w:tcPr>
          <w:p w14:paraId="0485F131">
            <w:pPr>
              <w:jc w:val="center"/>
              <w:rPr>
                <w:rFonts w:ascii="宋体" w:hAnsi="宋体"/>
                <w:sz w:val="18"/>
                <w:szCs w:val="18"/>
              </w:rPr>
            </w:pPr>
            <w:r>
              <w:rPr>
                <w:rFonts w:ascii="宋体" w:hAnsi="宋体"/>
                <w:sz w:val="18"/>
                <w:szCs w:val="18"/>
              </w:rPr>
              <w:t>13.08</w:t>
            </w:r>
          </w:p>
        </w:tc>
        <w:tc>
          <w:tcPr>
            <w:tcW w:w="1260" w:type="dxa"/>
            <w:noWrap w:val="0"/>
            <w:vAlign w:val="center"/>
          </w:tcPr>
          <w:p w14:paraId="64631A7F">
            <w:pPr>
              <w:jc w:val="center"/>
              <w:rPr>
                <w:rFonts w:ascii="宋体" w:hAnsi="宋体"/>
                <w:sz w:val="18"/>
                <w:szCs w:val="18"/>
              </w:rPr>
            </w:pPr>
            <w:r>
              <w:rPr>
                <w:rFonts w:ascii="宋体" w:hAnsi="宋体"/>
                <w:sz w:val="18"/>
                <w:szCs w:val="18"/>
              </w:rPr>
              <w:t>0.53</w:t>
            </w:r>
          </w:p>
        </w:tc>
        <w:tc>
          <w:tcPr>
            <w:tcW w:w="1620" w:type="dxa"/>
            <w:noWrap w:val="0"/>
            <w:vAlign w:val="center"/>
          </w:tcPr>
          <w:p w14:paraId="6BF74110">
            <w:pPr>
              <w:jc w:val="center"/>
              <w:rPr>
                <w:rFonts w:ascii="宋体" w:hAnsi="宋体"/>
                <w:sz w:val="18"/>
                <w:szCs w:val="18"/>
              </w:rPr>
            </w:pPr>
            <w:r>
              <w:rPr>
                <w:rFonts w:ascii="宋体" w:hAnsi="宋体"/>
                <w:sz w:val="18"/>
                <w:szCs w:val="18"/>
              </w:rPr>
              <w:t>28.50</w:t>
            </w:r>
          </w:p>
        </w:tc>
        <w:tc>
          <w:tcPr>
            <w:tcW w:w="800" w:type="dxa"/>
            <w:vMerge w:val="continue"/>
            <w:noWrap w:val="0"/>
            <w:vAlign w:val="center"/>
          </w:tcPr>
          <w:p w14:paraId="47394A13">
            <w:pPr>
              <w:jc w:val="center"/>
              <w:rPr>
                <w:rFonts w:ascii="宋体" w:hAnsi="宋体"/>
                <w:sz w:val="18"/>
                <w:szCs w:val="18"/>
              </w:rPr>
            </w:pPr>
          </w:p>
        </w:tc>
      </w:tr>
      <w:tr w14:paraId="6234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2FC1A33">
            <w:pPr>
              <w:jc w:val="center"/>
              <w:rPr>
                <w:rFonts w:ascii="宋体" w:hAnsi="宋体"/>
                <w:sz w:val="18"/>
                <w:szCs w:val="18"/>
              </w:rPr>
            </w:pPr>
          </w:p>
        </w:tc>
        <w:tc>
          <w:tcPr>
            <w:tcW w:w="624" w:type="dxa"/>
            <w:vMerge w:val="restart"/>
            <w:noWrap w:val="0"/>
            <w:vAlign w:val="center"/>
          </w:tcPr>
          <w:p w14:paraId="276383DC">
            <w:pPr>
              <w:jc w:val="center"/>
              <w:rPr>
                <w:rFonts w:ascii="宋体" w:hAnsi="宋体"/>
                <w:sz w:val="18"/>
                <w:szCs w:val="18"/>
              </w:rPr>
            </w:pPr>
            <w:r>
              <w:rPr>
                <w:rFonts w:ascii="宋体" w:hAnsi="宋体"/>
                <w:sz w:val="18"/>
                <w:szCs w:val="18"/>
              </w:rPr>
              <w:t>洗煤</w:t>
            </w:r>
          </w:p>
        </w:tc>
        <w:tc>
          <w:tcPr>
            <w:tcW w:w="1262" w:type="dxa"/>
            <w:noWrap w:val="0"/>
            <w:vAlign w:val="center"/>
          </w:tcPr>
          <w:p w14:paraId="4A38DF4C">
            <w:pPr>
              <w:jc w:val="center"/>
              <w:rPr>
                <w:rFonts w:ascii="宋体" w:hAnsi="宋体"/>
                <w:sz w:val="18"/>
                <w:szCs w:val="18"/>
              </w:rPr>
            </w:pPr>
            <w:r>
              <w:rPr>
                <w:rFonts w:ascii="宋体" w:hAnsi="宋体"/>
                <w:sz w:val="18"/>
                <w:szCs w:val="18"/>
              </w:rPr>
              <w:t>0.53～1.57</w:t>
            </w:r>
          </w:p>
        </w:tc>
        <w:tc>
          <w:tcPr>
            <w:tcW w:w="1360" w:type="dxa"/>
            <w:noWrap w:val="0"/>
            <w:vAlign w:val="center"/>
          </w:tcPr>
          <w:p w14:paraId="4E09CAFE">
            <w:pPr>
              <w:jc w:val="center"/>
              <w:rPr>
                <w:rFonts w:ascii="宋体" w:hAnsi="宋体"/>
                <w:sz w:val="18"/>
                <w:szCs w:val="18"/>
              </w:rPr>
            </w:pPr>
            <w:r>
              <w:rPr>
                <w:rFonts w:ascii="宋体" w:hAnsi="宋体"/>
                <w:sz w:val="18"/>
                <w:szCs w:val="18"/>
              </w:rPr>
              <w:t>4.62～12.57</w:t>
            </w:r>
          </w:p>
        </w:tc>
        <w:tc>
          <w:tcPr>
            <w:tcW w:w="1360" w:type="dxa"/>
            <w:noWrap w:val="0"/>
            <w:vAlign w:val="center"/>
          </w:tcPr>
          <w:p w14:paraId="17781E0C">
            <w:pPr>
              <w:jc w:val="center"/>
              <w:rPr>
                <w:rFonts w:ascii="宋体" w:hAnsi="宋体"/>
                <w:sz w:val="18"/>
                <w:szCs w:val="18"/>
              </w:rPr>
            </w:pPr>
            <w:r>
              <w:rPr>
                <w:rFonts w:ascii="宋体" w:hAnsi="宋体"/>
                <w:sz w:val="18"/>
                <w:szCs w:val="18"/>
              </w:rPr>
              <w:t>10.17～13.59</w:t>
            </w:r>
          </w:p>
        </w:tc>
        <w:tc>
          <w:tcPr>
            <w:tcW w:w="1260" w:type="dxa"/>
            <w:noWrap w:val="0"/>
            <w:vAlign w:val="center"/>
          </w:tcPr>
          <w:p w14:paraId="7DDAD550">
            <w:pPr>
              <w:jc w:val="center"/>
              <w:rPr>
                <w:rFonts w:ascii="宋体" w:hAnsi="宋体"/>
                <w:sz w:val="18"/>
                <w:szCs w:val="18"/>
              </w:rPr>
            </w:pPr>
            <w:r>
              <w:rPr>
                <w:rFonts w:ascii="宋体" w:hAnsi="宋体"/>
                <w:sz w:val="18"/>
                <w:szCs w:val="18"/>
              </w:rPr>
              <w:t>0.11～1.63</w:t>
            </w:r>
          </w:p>
        </w:tc>
        <w:tc>
          <w:tcPr>
            <w:tcW w:w="1620" w:type="dxa"/>
            <w:noWrap w:val="0"/>
            <w:vAlign w:val="center"/>
          </w:tcPr>
          <w:p w14:paraId="61240F36">
            <w:pPr>
              <w:jc w:val="center"/>
              <w:rPr>
                <w:rFonts w:ascii="宋体" w:hAnsi="宋体"/>
                <w:sz w:val="18"/>
                <w:szCs w:val="18"/>
              </w:rPr>
            </w:pPr>
            <w:r>
              <w:rPr>
                <w:rFonts w:ascii="宋体" w:hAnsi="宋体"/>
                <w:sz w:val="18"/>
                <w:szCs w:val="18"/>
              </w:rPr>
              <w:t>31.71～34.56</w:t>
            </w:r>
          </w:p>
        </w:tc>
        <w:tc>
          <w:tcPr>
            <w:tcW w:w="800" w:type="dxa"/>
            <w:vMerge w:val="continue"/>
            <w:noWrap w:val="0"/>
            <w:vAlign w:val="center"/>
          </w:tcPr>
          <w:p w14:paraId="7ED2A3D6">
            <w:pPr>
              <w:jc w:val="center"/>
              <w:rPr>
                <w:rFonts w:ascii="宋体" w:hAnsi="宋体"/>
                <w:sz w:val="18"/>
                <w:szCs w:val="18"/>
              </w:rPr>
            </w:pPr>
          </w:p>
        </w:tc>
      </w:tr>
      <w:tr w14:paraId="1DC3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5ACE1A29">
            <w:pPr>
              <w:jc w:val="center"/>
              <w:rPr>
                <w:rFonts w:ascii="宋体" w:hAnsi="宋体"/>
                <w:sz w:val="18"/>
                <w:szCs w:val="18"/>
              </w:rPr>
            </w:pPr>
          </w:p>
        </w:tc>
        <w:tc>
          <w:tcPr>
            <w:tcW w:w="624" w:type="dxa"/>
            <w:vMerge w:val="continue"/>
            <w:noWrap w:val="0"/>
            <w:vAlign w:val="center"/>
          </w:tcPr>
          <w:p w14:paraId="447FC483">
            <w:pPr>
              <w:jc w:val="center"/>
              <w:rPr>
                <w:rFonts w:ascii="宋体" w:hAnsi="宋体"/>
                <w:sz w:val="18"/>
                <w:szCs w:val="18"/>
              </w:rPr>
            </w:pPr>
          </w:p>
        </w:tc>
        <w:tc>
          <w:tcPr>
            <w:tcW w:w="1262" w:type="dxa"/>
            <w:noWrap w:val="0"/>
            <w:vAlign w:val="center"/>
          </w:tcPr>
          <w:p w14:paraId="35E61B29">
            <w:pPr>
              <w:jc w:val="center"/>
              <w:rPr>
                <w:rFonts w:ascii="宋体" w:hAnsi="宋体"/>
                <w:sz w:val="18"/>
                <w:szCs w:val="18"/>
              </w:rPr>
            </w:pPr>
            <w:r>
              <w:rPr>
                <w:rFonts w:ascii="宋体" w:hAnsi="宋体"/>
                <w:sz w:val="18"/>
                <w:szCs w:val="18"/>
              </w:rPr>
              <w:t>1.09</w:t>
            </w:r>
          </w:p>
        </w:tc>
        <w:tc>
          <w:tcPr>
            <w:tcW w:w="1360" w:type="dxa"/>
            <w:noWrap w:val="0"/>
            <w:vAlign w:val="center"/>
          </w:tcPr>
          <w:p w14:paraId="2B403A87">
            <w:pPr>
              <w:jc w:val="center"/>
              <w:rPr>
                <w:rFonts w:ascii="宋体" w:hAnsi="宋体"/>
                <w:sz w:val="18"/>
                <w:szCs w:val="18"/>
              </w:rPr>
            </w:pPr>
            <w:r>
              <w:rPr>
                <w:rFonts w:ascii="宋体" w:hAnsi="宋体"/>
                <w:sz w:val="18"/>
                <w:szCs w:val="18"/>
              </w:rPr>
              <w:t>6.70</w:t>
            </w:r>
          </w:p>
        </w:tc>
        <w:tc>
          <w:tcPr>
            <w:tcW w:w="1360" w:type="dxa"/>
            <w:noWrap w:val="0"/>
            <w:vAlign w:val="center"/>
          </w:tcPr>
          <w:p w14:paraId="3BC2DB7A">
            <w:pPr>
              <w:jc w:val="center"/>
              <w:rPr>
                <w:rFonts w:ascii="宋体" w:hAnsi="宋体"/>
                <w:sz w:val="18"/>
                <w:szCs w:val="18"/>
              </w:rPr>
            </w:pPr>
            <w:r>
              <w:rPr>
                <w:rFonts w:ascii="宋体" w:hAnsi="宋体"/>
                <w:sz w:val="18"/>
                <w:szCs w:val="18"/>
              </w:rPr>
              <w:t>12.23</w:t>
            </w:r>
          </w:p>
        </w:tc>
        <w:tc>
          <w:tcPr>
            <w:tcW w:w="1260" w:type="dxa"/>
            <w:noWrap w:val="0"/>
            <w:vAlign w:val="center"/>
          </w:tcPr>
          <w:p w14:paraId="0CEF9F3A">
            <w:pPr>
              <w:jc w:val="center"/>
              <w:rPr>
                <w:rFonts w:ascii="宋体" w:hAnsi="宋体"/>
                <w:sz w:val="18"/>
                <w:szCs w:val="18"/>
              </w:rPr>
            </w:pPr>
            <w:r>
              <w:rPr>
                <w:rFonts w:ascii="宋体" w:hAnsi="宋体"/>
                <w:sz w:val="18"/>
                <w:szCs w:val="18"/>
              </w:rPr>
              <w:t>0.40</w:t>
            </w:r>
          </w:p>
        </w:tc>
        <w:tc>
          <w:tcPr>
            <w:tcW w:w="1620" w:type="dxa"/>
            <w:noWrap w:val="0"/>
            <w:vAlign w:val="center"/>
          </w:tcPr>
          <w:p w14:paraId="293C9678">
            <w:pPr>
              <w:jc w:val="center"/>
              <w:rPr>
                <w:rFonts w:ascii="宋体" w:hAnsi="宋体"/>
                <w:sz w:val="18"/>
                <w:szCs w:val="18"/>
              </w:rPr>
            </w:pPr>
            <w:r>
              <w:rPr>
                <w:rFonts w:ascii="宋体" w:hAnsi="宋体"/>
                <w:sz w:val="18"/>
                <w:szCs w:val="18"/>
              </w:rPr>
              <w:t>33.60</w:t>
            </w:r>
          </w:p>
        </w:tc>
        <w:tc>
          <w:tcPr>
            <w:tcW w:w="800" w:type="dxa"/>
            <w:vMerge w:val="continue"/>
            <w:noWrap w:val="0"/>
            <w:vAlign w:val="center"/>
          </w:tcPr>
          <w:p w14:paraId="17907BA8">
            <w:pPr>
              <w:jc w:val="center"/>
              <w:rPr>
                <w:rFonts w:ascii="宋体" w:hAnsi="宋体"/>
                <w:sz w:val="18"/>
                <w:szCs w:val="18"/>
              </w:rPr>
            </w:pPr>
          </w:p>
        </w:tc>
      </w:tr>
      <w:tr w14:paraId="260F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087862FB">
            <w:pPr>
              <w:jc w:val="center"/>
              <w:rPr>
                <w:rFonts w:ascii="宋体" w:hAnsi="宋体"/>
                <w:sz w:val="18"/>
                <w:szCs w:val="18"/>
              </w:rPr>
            </w:pPr>
            <w:r>
              <w:rPr>
                <w:rFonts w:ascii="宋体" w:hAnsi="宋体"/>
                <w:sz w:val="18"/>
                <w:szCs w:val="18"/>
              </w:rPr>
              <w:t>K26</w:t>
            </w:r>
          </w:p>
        </w:tc>
        <w:tc>
          <w:tcPr>
            <w:tcW w:w="624" w:type="dxa"/>
            <w:vMerge w:val="restart"/>
            <w:noWrap w:val="0"/>
            <w:vAlign w:val="center"/>
          </w:tcPr>
          <w:p w14:paraId="064FC27F">
            <w:pPr>
              <w:jc w:val="center"/>
              <w:rPr>
                <w:rFonts w:ascii="宋体" w:hAnsi="宋体"/>
                <w:sz w:val="18"/>
                <w:szCs w:val="18"/>
              </w:rPr>
            </w:pPr>
            <w:r>
              <w:rPr>
                <w:rFonts w:ascii="宋体" w:hAnsi="宋体"/>
                <w:sz w:val="18"/>
                <w:szCs w:val="18"/>
              </w:rPr>
              <w:t>原煤</w:t>
            </w:r>
          </w:p>
        </w:tc>
        <w:tc>
          <w:tcPr>
            <w:tcW w:w="1262" w:type="dxa"/>
            <w:noWrap w:val="0"/>
            <w:vAlign w:val="center"/>
          </w:tcPr>
          <w:p w14:paraId="160709CC">
            <w:pPr>
              <w:jc w:val="center"/>
              <w:rPr>
                <w:rFonts w:ascii="宋体" w:hAnsi="宋体"/>
                <w:sz w:val="18"/>
                <w:szCs w:val="18"/>
              </w:rPr>
            </w:pPr>
            <w:r>
              <w:rPr>
                <w:rFonts w:ascii="宋体" w:hAnsi="宋体"/>
                <w:sz w:val="18"/>
                <w:szCs w:val="18"/>
              </w:rPr>
              <w:t>0.73～1.61</w:t>
            </w:r>
          </w:p>
        </w:tc>
        <w:tc>
          <w:tcPr>
            <w:tcW w:w="1360" w:type="dxa"/>
            <w:noWrap w:val="0"/>
            <w:vAlign w:val="center"/>
          </w:tcPr>
          <w:p w14:paraId="4B436BC2">
            <w:pPr>
              <w:jc w:val="center"/>
              <w:rPr>
                <w:rFonts w:ascii="宋体" w:hAnsi="宋体"/>
                <w:sz w:val="18"/>
                <w:szCs w:val="18"/>
              </w:rPr>
            </w:pPr>
            <w:r>
              <w:rPr>
                <w:rFonts w:ascii="宋体" w:hAnsi="宋体"/>
                <w:sz w:val="18"/>
                <w:szCs w:val="18"/>
              </w:rPr>
              <w:t>10.76～39.80</w:t>
            </w:r>
          </w:p>
        </w:tc>
        <w:tc>
          <w:tcPr>
            <w:tcW w:w="1360" w:type="dxa"/>
            <w:noWrap w:val="0"/>
            <w:vAlign w:val="center"/>
          </w:tcPr>
          <w:p w14:paraId="104D67B5">
            <w:pPr>
              <w:jc w:val="center"/>
              <w:rPr>
                <w:rFonts w:ascii="宋体" w:hAnsi="宋体"/>
                <w:sz w:val="18"/>
                <w:szCs w:val="18"/>
              </w:rPr>
            </w:pPr>
            <w:r>
              <w:rPr>
                <w:rFonts w:ascii="宋体" w:hAnsi="宋体"/>
                <w:sz w:val="18"/>
                <w:szCs w:val="18"/>
              </w:rPr>
              <w:t>11.72～17.67</w:t>
            </w:r>
          </w:p>
        </w:tc>
        <w:tc>
          <w:tcPr>
            <w:tcW w:w="1260" w:type="dxa"/>
            <w:noWrap w:val="0"/>
            <w:vAlign w:val="center"/>
          </w:tcPr>
          <w:p w14:paraId="3E04CACA">
            <w:pPr>
              <w:jc w:val="center"/>
              <w:rPr>
                <w:rFonts w:ascii="宋体" w:hAnsi="宋体"/>
                <w:sz w:val="18"/>
                <w:szCs w:val="18"/>
              </w:rPr>
            </w:pPr>
            <w:r>
              <w:rPr>
                <w:rFonts w:ascii="宋体" w:hAnsi="宋体"/>
                <w:sz w:val="18"/>
                <w:szCs w:val="18"/>
              </w:rPr>
              <w:t>0.10～0.48</w:t>
            </w:r>
          </w:p>
        </w:tc>
        <w:tc>
          <w:tcPr>
            <w:tcW w:w="1620" w:type="dxa"/>
            <w:noWrap w:val="0"/>
            <w:vAlign w:val="center"/>
          </w:tcPr>
          <w:p w14:paraId="390BECBE">
            <w:pPr>
              <w:jc w:val="center"/>
              <w:rPr>
                <w:rFonts w:ascii="宋体" w:hAnsi="宋体"/>
                <w:sz w:val="18"/>
                <w:szCs w:val="18"/>
              </w:rPr>
            </w:pPr>
            <w:r>
              <w:rPr>
                <w:rFonts w:ascii="宋体" w:hAnsi="宋体"/>
                <w:sz w:val="18"/>
                <w:szCs w:val="18"/>
              </w:rPr>
              <w:t>24.72～32.05</w:t>
            </w:r>
          </w:p>
        </w:tc>
        <w:tc>
          <w:tcPr>
            <w:tcW w:w="800" w:type="dxa"/>
            <w:vMerge w:val="restart"/>
            <w:noWrap w:val="0"/>
            <w:vAlign w:val="center"/>
          </w:tcPr>
          <w:p w14:paraId="4CD9E9B3">
            <w:pPr>
              <w:jc w:val="center"/>
              <w:rPr>
                <w:rFonts w:ascii="宋体" w:hAnsi="宋体"/>
                <w:sz w:val="18"/>
                <w:szCs w:val="18"/>
              </w:rPr>
            </w:pPr>
            <w:r>
              <w:rPr>
                <w:rFonts w:hint="eastAsia" w:ascii="宋体" w:hAnsi="宋体"/>
                <w:sz w:val="18"/>
                <w:szCs w:val="18"/>
              </w:rPr>
              <w:t>贫煤</w:t>
            </w:r>
          </w:p>
        </w:tc>
      </w:tr>
      <w:tr w14:paraId="7469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59860535">
            <w:pPr>
              <w:jc w:val="center"/>
              <w:rPr>
                <w:rFonts w:ascii="宋体" w:hAnsi="宋体"/>
                <w:sz w:val="18"/>
                <w:szCs w:val="18"/>
              </w:rPr>
            </w:pPr>
          </w:p>
        </w:tc>
        <w:tc>
          <w:tcPr>
            <w:tcW w:w="624" w:type="dxa"/>
            <w:vMerge w:val="continue"/>
            <w:noWrap w:val="0"/>
            <w:vAlign w:val="center"/>
          </w:tcPr>
          <w:p w14:paraId="1C95275F">
            <w:pPr>
              <w:jc w:val="center"/>
              <w:rPr>
                <w:rFonts w:ascii="宋体" w:hAnsi="宋体"/>
                <w:sz w:val="18"/>
                <w:szCs w:val="18"/>
              </w:rPr>
            </w:pPr>
          </w:p>
        </w:tc>
        <w:tc>
          <w:tcPr>
            <w:tcW w:w="1262" w:type="dxa"/>
            <w:noWrap w:val="0"/>
            <w:vAlign w:val="center"/>
          </w:tcPr>
          <w:p w14:paraId="7F68CEED">
            <w:pPr>
              <w:jc w:val="center"/>
              <w:rPr>
                <w:rFonts w:ascii="宋体" w:hAnsi="宋体"/>
                <w:sz w:val="18"/>
                <w:szCs w:val="18"/>
              </w:rPr>
            </w:pPr>
            <w:r>
              <w:rPr>
                <w:rFonts w:ascii="宋体" w:hAnsi="宋体"/>
                <w:sz w:val="18"/>
                <w:szCs w:val="18"/>
              </w:rPr>
              <w:t>1.14</w:t>
            </w:r>
          </w:p>
        </w:tc>
        <w:tc>
          <w:tcPr>
            <w:tcW w:w="1360" w:type="dxa"/>
            <w:noWrap w:val="0"/>
            <w:vAlign w:val="center"/>
          </w:tcPr>
          <w:p w14:paraId="7C06E2E2">
            <w:pPr>
              <w:jc w:val="center"/>
              <w:rPr>
                <w:rFonts w:ascii="宋体" w:hAnsi="宋体"/>
                <w:sz w:val="18"/>
                <w:szCs w:val="18"/>
              </w:rPr>
            </w:pPr>
            <w:r>
              <w:rPr>
                <w:rFonts w:ascii="宋体" w:hAnsi="宋体"/>
                <w:sz w:val="18"/>
                <w:szCs w:val="18"/>
              </w:rPr>
              <w:t>21.21</w:t>
            </w:r>
          </w:p>
        </w:tc>
        <w:tc>
          <w:tcPr>
            <w:tcW w:w="1360" w:type="dxa"/>
            <w:noWrap w:val="0"/>
            <w:vAlign w:val="center"/>
          </w:tcPr>
          <w:p w14:paraId="0B44C3C9">
            <w:pPr>
              <w:jc w:val="center"/>
              <w:rPr>
                <w:rFonts w:ascii="宋体" w:hAnsi="宋体"/>
                <w:sz w:val="18"/>
                <w:szCs w:val="18"/>
              </w:rPr>
            </w:pPr>
            <w:r>
              <w:rPr>
                <w:rFonts w:ascii="宋体" w:hAnsi="宋体"/>
                <w:sz w:val="18"/>
                <w:szCs w:val="18"/>
              </w:rPr>
              <w:t>12.99</w:t>
            </w:r>
          </w:p>
        </w:tc>
        <w:tc>
          <w:tcPr>
            <w:tcW w:w="1260" w:type="dxa"/>
            <w:noWrap w:val="0"/>
            <w:vAlign w:val="center"/>
          </w:tcPr>
          <w:p w14:paraId="507C3F5B">
            <w:pPr>
              <w:jc w:val="center"/>
              <w:rPr>
                <w:rFonts w:ascii="宋体" w:hAnsi="宋体"/>
                <w:sz w:val="18"/>
                <w:szCs w:val="18"/>
              </w:rPr>
            </w:pPr>
            <w:r>
              <w:rPr>
                <w:rFonts w:ascii="宋体" w:hAnsi="宋体"/>
                <w:sz w:val="18"/>
                <w:szCs w:val="18"/>
              </w:rPr>
              <w:t>0.19</w:t>
            </w:r>
          </w:p>
        </w:tc>
        <w:tc>
          <w:tcPr>
            <w:tcW w:w="1620" w:type="dxa"/>
            <w:noWrap w:val="0"/>
            <w:vAlign w:val="center"/>
          </w:tcPr>
          <w:p w14:paraId="040603C7">
            <w:pPr>
              <w:jc w:val="center"/>
              <w:rPr>
                <w:rFonts w:ascii="宋体" w:hAnsi="宋体"/>
                <w:sz w:val="18"/>
                <w:szCs w:val="18"/>
              </w:rPr>
            </w:pPr>
            <w:r>
              <w:rPr>
                <w:rFonts w:ascii="宋体" w:hAnsi="宋体"/>
                <w:sz w:val="18"/>
                <w:szCs w:val="18"/>
              </w:rPr>
              <w:t>27.72</w:t>
            </w:r>
          </w:p>
        </w:tc>
        <w:tc>
          <w:tcPr>
            <w:tcW w:w="800" w:type="dxa"/>
            <w:vMerge w:val="continue"/>
            <w:noWrap w:val="0"/>
            <w:vAlign w:val="center"/>
          </w:tcPr>
          <w:p w14:paraId="1F3A588F">
            <w:pPr>
              <w:jc w:val="center"/>
              <w:rPr>
                <w:rFonts w:ascii="宋体" w:hAnsi="宋体"/>
                <w:sz w:val="18"/>
                <w:szCs w:val="18"/>
              </w:rPr>
            </w:pPr>
          </w:p>
        </w:tc>
      </w:tr>
      <w:tr w14:paraId="6009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22075AA5">
            <w:pPr>
              <w:jc w:val="center"/>
              <w:rPr>
                <w:rFonts w:ascii="宋体" w:hAnsi="宋体"/>
                <w:sz w:val="18"/>
                <w:szCs w:val="18"/>
              </w:rPr>
            </w:pPr>
          </w:p>
        </w:tc>
        <w:tc>
          <w:tcPr>
            <w:tcW w:w="624" w:type="dxa"/>
            <w:vMerge w:val="restart"/>
            <w:noWrap w:val="0"/>
            <w:vAlign w:val="center"/>
          </w:tcPr>
          <w:p w14:paraId="7F5F1AA3">
            <w:pPr>
              <w:jc w:val="center"/>
              <w:rPr>
                <w:rFonts w:ascii="宋体" w:hAnsi="宋体"/>
                <w:sz w:val="18"/>
                <w:szCs w:val="18"/>
              </w:rPr>
            </w:pPr>
            <w:r>
              <w:rPr>
                <w:rFonts w:ascii="宋体" w:hAnsi="宋体"/>
                <w:sz w:val="18"/>
                <w:szCs w:val="18"/>
              </w:rPr>
              <w:t>洗煤</w:t>
            </w:r>
          </w:p>
        </w:tc>
        <w:tc>
          <w:tcPr>
            <w:tcW w:w="1262" w:type="dxa"/>
            <w:noWrap w:val="0"/>
            <w:vAlign w:val="center"/>
          </w:tcPr>
          <w:p w14:paraId="3096417F">
            <w:pPr>
              <w:jc w:val="center"/>
              <w:rPr>
                <w:rFonts w:ascii="宋体" w:hAnsi="宋体"/>
                <w:sz w:val="18"/>
                <w:szCs w:val="18"/>
              </w:rPr>
            </w:pPr>
            <w:r>
              <w:rPr>
                <w:rFonts w:ascii="宋体" w:hAnsi="宋体"/>
                <w:sz w:val="18"/>
                <w:szCs w:val="18"/>
              </w:rPr>
              <w:t>0.74～1.64</w:t>
            </w:r>
          </w:p>
        </w:tc>
        <w:tc>
          <w:tcPr>
            <w:tcW w:w="1360" w:type="dxa"/>
            <w:noWrap w:val="0"/>
            <w:vAlign w:val="center"/>
          </w:tcPr>
          <w:p w14:paraId="075C1C4E">
            <w:pPr>
              <w:jc w:val="center"/>
              <w:rPr>
                <w:rFonts w:ascii="宋体" w:hAnsi="宋体"/>
                <w:sz w:val="18"/>
                <w:szCs w:val="18"/>
              </w:rPr>
            </w:pPr>
            <w:r>
              <w:rPr>
                <w:rFonts w:ascii="宋体" w:hAnsi="宋体"/>
                <w:sz w:val="18"/>
                <w:szCs w:val="18"/>
              </w:rPr>
              <w:t>5.46～11.20</w:t>
            </w:r>
          </w:p>
        </w:tc>
        <w:tc>
          <w:tcPr>
            <w:tcW w:w="1360" w:type="dxa"/>
            <w:noWrap w:val="0"/>
            <w:vAlign w:val="center"/>
          </w:tcPr>
          <w:p w14:paraId="45AE5108">
            <w:pPr>
              <w:jc w:val="center"/>
              <w:rPr>
                <w:rFonts w:ascii="宋体" w:hAnsi="宋体"/>
                <w:sz w:val="18"/>
                <w:szCs w:val="18"/>
              </w:rPr>
            </w:pPr>
            <w:r>
              <w:rPr>
                <w:rFonts w:ascii="宋体" w:hAnsi="宋体"/>
                <w:sz w:val="18"/>
                <w:szCs w:val="18"/>
              </w:rPr>
              <w:t>10.11～12.47</w:t>
            </w:r>
          </w:p>
        </w:tc>
        <w:tc>
          <w:tcPr>
            <w:tcW w:w="1260" w:type="dxa"/>
            <w:noWrap w:val="0"/>
            <w:vAlign w:val="center"/>
          </w:tcPr>
          <w:p w14:paraId="1141BF4F">
            <w:pPr>
              <w:jc w:val="center"/>
              <w:rPr>
                <w:rFonts w:ascii="宋体" w:hAnsi="宋体"/>
                <w:sz w:val="18"/>
                <w:szCs w:val="18"/>
              </w:rPr>
            </w:pPr>
            <w:r>
              <w:rPr>
                <w:rFonts w:ascii="宋体" w:hAnsi="宋体"/>
                <w:sz w:val="18"/>
                <w:szCs w:val="18"/>
              </w:rPr>
              <w:t>0.14～0.32</w:t>
            </w:r>
          </w:p>
        </w:tc>
        <w:tc>
          <w:tcPr>
            <w:tcW w:w="1620" w:type="dxa"/>
            <w:noWrap w:val="0"/>
            <w:vAlign w:val="center"/>
          </w:tcPr>
          <w:p w14:paraId="3172DF63">
            <w:pPr>
              <w:jc w:val="center"/>
              <w:rPr>
                <w:rFonts w:ascii="宋体" w:hAnsi="宋体"/>
                <w:sz w:val="18"/>
                <w:szCs w:val="18"/>
              </w:rPr>
            </w:pPr>
            <w:r>
              <w:rPr>
                <w:rFonts w:ascii="宋体" w:hAnsi="宋体"/>
                <w:sz w:val="18"/>
                <w:szCs w:val="18"/>
              </w:rPr>
              <w:t>32.46～33.96</w:t>
            </w:r>
          </w:p>
        </w:tc>
        <w:tc>
          <w:tcPr>
            <w:tcW w:w="800" w:type="dxa"/>
            <w:vMerge w:val="continue"/>
            <w:noWrap w:val="0"/>
            <w:vAlign w:val="center"/>
          </w:tcPr>
          <w:p w14:paraId="489B9FBF">
            <w:pPr>
              <w:jc w:val="center"/>
              <w:rPr>
                <w:rFonts w:ascii="宋体" w:hAnsi="宋体"/>
                <w:sz w:val="18"/>
                <w:szCs w:val="18"/>
              </w:rPr>
            </w:pPr>
          </w:p>
        </w:tc>
      </w:tr>
      <w:tr w14:paraId="36A5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6400B0E3">
            <w:pPr>
              <w:jc w:val="center"/>
              <w:rPr>
                <w:rFonts w:ascii="宋体" w:hAnsi="宋体"/>
                <w:sz w:val="18"/>
                <w:szCs w:val="18"/>
              </w:rPr>
            </w:pPr>
          </w:p>
        </w:tc>
        <w:tc>
          <w:tcPr>
            <w:tcW w:w="624" w:type="dxa"/>
            <w:vMerge w:val="continue"/>
            <w:noWrap w:val="0"/>
            <w:vAlign w:val="center"/>
          </w:tcPr>
          <w:p w14:paraId="1419A0EB">
            <w:pPr>
              <w:jc w:val="center"/>
              <w:rPr>
                <w:rFonts w:ascii="宋体" w:hAnsi="宋体"/>
                <w:sz w:val="18"/>
                <w:szCs w:val="18"/>
              </w:rPr>
            </w:pPr>
          </w:p>
        </w:tc>
        <w:tc>
          <w:tcPr>
            <w:tcW w:w="1262" w:type="dxa"/>
            <w:noWrap w:val="0"/>
            <w:vAlign w:val="center"/>
          </w:tcPr>
          <w:p w14:paraId="7ECF3DD8">
            <w:pPr>
              <w:jc w:val="center"/>
              <w:rPr>
                <w:rFonts w:ascii="宋体" w:hAnsi="宋体"/>
                <w:sz w:val="18"/>
                <w:szCs w:val="18"/>
              </w:rPr>
            </w:pPr>
            <w:r>
              <w:rPr>
                <w:rFonts w:ascii="宋体" w:hAnsi="宋体"/>
                <w:sz w:val="18"/>
                <w:szCs w:val="18"/>
              </w:rPr>
              <w:t>1.16</w:t>
            </w:r>
          </w:p>
        </w:tc>
        <w:tc>
          <w:tcPr>
            <w:tcW w:w="1360" w:type="dxa"/>
            <w:noWrap w:val="0"/>
            <w:vAlign w:val="center"/>
          </w:tcPr>
          <w:p w14:paraId="2A7B3076">
            <w:pPr>
              <w:jc w:val="center"/>
              <w:rPr>
                <w:rFonts w:ascii="宋体" w:hAnsi="宋体"/>
                <w:sz w:val="18"/>
                <w:szCs w:val="18"/>
              </w:rPr>
            </w:pPr>
            <w:r>
              <w:rPr>
                <w:rFonts w:ascii="宋体" w:hAnsi="宋体"/>
                <w:sz w:val="18"/>
                <w:szCs w:val="18"/>
              </w:rPr>
              <w:t>8.07</w:t>
            </w:r>
          </w:p>
        </w:tc>
        <w:tc>
          <w:tcPr>
            <w:tcW w:w="1360" w:type="dxa"/>
            <w:noWrap w:val="0"/>
            <w:vAlign w:val="center"/>
          </w:tcPr>
          <w:p w14:paraId="0DB1A9B9">
            <w:pPr>
              <w:jc w:val="center"/>
              <w:rPr>
                <w:rFonts w:ascii="宋体" w:hAnsi="宋体"/>
                <w:sz w:val="18"/>
                <w:szCs w:val="18"/>
              </w:rPr>
            </w:pPr>
            <w:r>
              <w:rPr>
                <w:rFonts w:ascii="宋体" w:hAnsi="宋体"/>
                <w:sz w:val="18"/>
                <w:szCs w:val="18"/>
              </w:rPr>
              <w:t>11.62</w:t>
            </w:r>
          </w:p>
        </w:tc>
        <w:tc>
          <w:tcPr>
            <w:tcW w:w="1260" w:type="dxa"/>
            <w:noWrap w:val="0"/>
            <w:vAlign w:val="center"/>
          </w:tcPr>
          <w:p w14:paraId="7D26AA54">
            <w:pPr>
              <w:jc w:val="center"/>
              <w:rPr>
                <w:rFonts w:ascii="宋体" w:hAnsi="宋体"/>
                <w:sz w:val="18"/>
                <w:szCs w:val="18"/>
              </w:rPr>
            </w:pPr>
            <w:r>
              <w:rPr>
                <w:rFonts w:ascii="宋体" w:hAnsi="宋体"/>
                <w:sz w:val="18"/>
                <w:szCs w:val="18"/>
              </w:rPr>
              <w:t>0.28</w:t>
            </w:r>
          </w:p>
        </w:tc>
        <w:tc>
          <w:tcPr>
            <w:tcW w:w="1620" w:type="dxa"/>
            <w:noWrap w:val="0"/>
            <w:vAlign w:val="center"/>
          </w:tcPr>
          <w:p w14:paraId="6898B704">
            <w:pPr>
              <w:jc w:val="center"/>
              <w:rPr>
                <w:rFonts w:ascii="宋体" w:hAnsi="宋体"/>
                <w:sz w:val="18"/>
                <w:szCs w:val="18"/>
              </w:rPr>
            </w:pPr>
            <w:r>
              <w:rPr>
                <w:rFonts w:ascii="宋体" w:hAnsi="宋体"/>
                <w:sz w:val="18"/>
                <w:szCs w:val="18"/>
              </w:rPr>
              <w:t>33.25</w:t>
            </w:r>
          </w:p>
        </w:tc>
        <w:tc>
          <w:tcPr>
            <w:tcW w:w="800" w:type="dxa"/>
            <w:vMerge w:val="continue"/>
            <w:noWrap w:val="0"/>
            <w:vAlign w:val="center"/>
          </w:tcPr>
          <w:p w14:paraId="3AB8B17E">
            <w:pPr>
              <w:jc w:val="center"/>
              <w:rPr>
                <w:rFonts w:ascii="宋体" w:hAnsi="宋体"/>
                <w:sz w:val="18"/>
                <w:szCs w:val="18"/>
              </w:rPr>
            </w:pPr>
          </w:p>
        </w:tc>
      </w:tr>
      <w:tr w14:paraId="1CA8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5669AD6D">
            <w:pPr>
              <w:jc w:val="center"/>
              <w:rPr>
                <w:rFonts w:ascii="宋体" w:hAnsi="宋体"/>
                <w:sz w:val="18"/>
                <w:szCs w:val="18"/>
              </w:rPr>
            </w:pPr>
            <w:r>
              <w:rPr>
                <w:rFonts w:ascii="宋体" w:hAnsi="宋体"/>
                <w:sz w:val="18"/>
                <w:szCs w:val="18"/>
              </w:rPr>
              <w:t>K35-b</w:t>
            </w:r>
          </w:p>
        </w:tc>
        <w:tc>
          <w:tcPr>
            <w:tcW w:w="624" w:type="dxa"/>
            <w:vMerge w:val="restart"/>
            <w:noWrap w:val="0"/>
            <w:vAlign w:val="center"/>
          </w:tcPr>
          <w:p w14:paraId="6D14F25F">
            <w:pPr>
              <w:jc w:val="center"/>
              <w:rPr>
                <w:rFonts w:ascii="宋体" w:hAnsi="宋体"/>
                <w:sz w:val="18"/>
                <w:szCs w:val="18"/>
              </w:rPr>
            </w:pPr>
            <w:r>
              <w:rPr>
                <w:rFonts w:ascii="宋体" w:hAnsi="宋体"/>
                <w:sz w:val="18"/>
                <w:szCs w:val="18"/>
              </w:rPr>
              <w:t>原煤</w:t>
            </w:r>
          </w:p>
        </w:tc>
        <w:tc>
          <w:tcPr>
            <w:tcW w:w="1262" w:type="dxa"/>
            <w:noWrap w:val="0"/>
            <w:vAlign w:val="center"/>
          </w:tcPr>
          <w:p w14:paraId="053533F1">
            <w:pPr>
              <w:jc w:val="center"/>
              <w:rPr>
                <w:rFonts w:ascii="宋体" w:hAnsi="宋体"/>
                <w:sz w:val="18"/>
                <w:szCs w:val="18"/>
              </w:rPr>
            </w:pPr>
            <w:r>
              <w:rPr>
                <w:rFonts w:ascii="宋体" w:hAnsi="宋体"/>
                <w:sz w:val="18"/>
                <w:szCs w:val="18"/>
              </w:rPr>
              <w:t>0.74～1.31</w:t>
            </w:r>
          </w:p>
        </w:tc>
        <w:tc>
          <w:tcPr>
            <w:tcW w:w="1360" w:type="dxa"/>
            <w:noWrap w:val="0"/>
            <w:vAlign w:val="center"/>
          </w:tcPr>
          <w:p w14:paraId="39A06028">
            <w:pPr>
              <w:jc w:val="center"/>
              <w:rPr>
                <w:rFonts w:ascii="宋体" w:hAnsi="宋体"/>
                <w:sz w:val="18"/>
                <w:szCs w:val="18"/>
              </w:rPr>
            </w:pPr>
            <w:r>
              <w:rPr>
                <w:rFonts w:ascii="宋体" w:hAnsi="宋体"/>
                <w:sz w:val="18"/>
                <w:szCs w:val="18"/>
              </w:rPr>
              <w:t>17.48～39.23</w:t>
            </w:r>
          </w:p>
        </w:tc>
        <w:tc>
          <w:tcPr>
            <w:tcW w:w="1360" w:type="dxa"/>
            <w:noWrap w:val="0"/>
            <w:vAlign w:val="center"/>
          </w:tcPr>
          <w:p w14:paraId="5C8C8F49">
            <w:pPr>
              <w:jc w:val="center"/>
              <w:rPr>
                <w:rFonts w:ascii="宋体" w:hAnsi="宋体"/>
                <w:sz w:val="18"/>
                <w:szCs w:val="18"/>
              </w:rPr>
            </w:pPr>
            <w:r>
              <w:rPr>
                <w:rFonts w:ascii="宋体" w:hAnsi="宋体"/>
                <w:sz w:val="18"/>
                <w:szCs w:val="18"/>
              </w:rPr>
              <w:t>11.61～12.28</w:t>
            </w:r>
          </w:p>
        </w:tc>
        <w:tc>
          <w:tcPr>
            <w:tcW w:w="1260" w:type="dxa"/>
            <w:noWrap w:val="0"/>
            <w:vAlign w:val="center"/>
          </w:tcPr>
          <w:p w14:paraId="3B60E608">
            <w:pPr>
              <w:jc w:val="center"/>
              <w:rPr>
                <w:rFonts w:ascii="宋体" w:hAnsi="宋体"/>
                <w:sz w:val="18"/>
                <w:szCs w:val="18"/>
              </w:rPr>
            </w:pPr>
            <w:r>
              <w:rPr>
                <w:rFonts w:ascii="宋体" w:hAnsi="宋体"/>
                <w:sz w:val="18"/>
                <w:szCs w:val="18"/>
              </w:rPr>
              <w:t>0.12～0.24</w:t>
            </w:r>
          </w:p>
        </w:tc>
        <w:tc>
          <w:tcPr>
            <w:tcW w:w="1620" w:type="dxa"/>
            <w:noWrap w:val="0"/>
            <w:vAlign w:val="center"/>
          </w:tcPr>
          <w:p w14:paraId="1AAEB0EC">
            <w:pPr>
              <w:jc w:val="center"/>
              <w:rPr>
                <w:rFonts w:ascii="宋体" w:hAnsi="宋体"/>
                <w:sz w:val="18"/>
                <w:szCs w:val="18"/>
              </w:rPr>
            </w:pPr>
            <w:r>
              <w:rPr>
                <w:rFonts w:ascii="宋体" w:hAnsi="宋体"/>
                <w:sz w:val="18"/>
                <w:szCs w:val="18"/>
              </w:rPr>
              <w:t>20.64～29.77</w:t>
            </w:r>
          </w:p>
        </w:tc>
        <w:tc>
          <w:tcPr>
            <w:tcW w:w="800" w:type="dxa"/>
            <w:vMerge w:val="restart"/>
            <w:noWrap w:val="0"/>
            <w:vAlign w:val="center"/>
          </w:tcPr>
          <w:p w14:paraId="4A717DD2">
            <w:pPr>
              <w:jc w:val="center"/>
              <w:rPr>
                <w:rFonts w:ascii="宋体" w:hAnsi="宋体"/>
                <w:sz w:val="18"/>
                <w:szCs w:val="18"/>
              </w:rPr>
            </w:pPr>
            <w:r>
              <w:rPr>
                <w:rFonts w:hint="eastAsia" w:ascii="宋体" w:hAnsi="宋体"/>
                <w:sz w:val="18"/>
                <w:szCs w:val="18"/>
              </w:rPr>
              <w:t>贫煤</w:t>
            </w:r>
          </w:p>
        </w:tc>
      </w:tr>
      <w:tr w14:paraId="413B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0AB371A5">
            <w:pPr>
              <w:jc w:val="center"/>
              <w:rPr>
                <w:rFonts w:ascii="宋体" w:hAnsi="宋体"/>
                <w:sz w:val="18"/>
                <w:szCs w:val="18"/>
              </w:rPr>
            </w:pPr>
          </w:p>
        </w:tc>
        <w:tc>
          <w:tcPr>
            <w:tcW w:w="624" w:type="dxa"/>
            <w:vMerge w:val="continue"/>
            <w:noWrap w:val="0"/>
            <w:vAlign w:val="center"/>
          </w:tcPr>
          <w:p w14:paraId="7E00938D">
            <w:pPr>
              <w:jc w:val="center"/>
              <w:rPr>
                <w:rFonts w:ascii="宋体" w:hAnsi="宋体"/>
                <w:sz w:val="18"/>
                <w:szCs w:val="18"/>
              </w:rPr>
            </w:pPr>
          </w:p>
        </w:tc>
        <w:tc>
          <w:tcPr>
            <w:tcW w:w="1262" w:type="dxa"/>
            <w:noWrap w:val="0"/>
            <w:vAlign w:val="center"/>
          </w:tcPr>
          <w:p w14:paraId="40E795AF">
            <w:pPr>
              <w:jc w:val="center"/>
              <w:rPr>
                <w:rFonts w:ascii="宋体" w:hAnsi="宋体"/>
                <w:sz w:val="18"/>
                <w:szCs w:val="18"/>
              </w:rPr>
            </w:pPr>
            <w:r>
              <w:rPr>
                <w:rFonts w:ascii="宋体" w:hAnsi="宋体"/>
                <w:sz w:val="18"/>
                <w:szCs w:val="18"/>
              </w:rPr>
              <w:t>1.04</w:t>
            </w:r>
          </w:p>
        </w:tc>
        <w:tc>
          <w:tcPr>
            <w:tcW w:w="1360" w:type="dxa"/>
            <w:noWrap w:val="0"/>
            <w:vAlign w:val="center"/>
          </w:tcPr>
          <w:p w14:paraId="0AEF92AE">
            <w:pPr>
              <w:jc w:val="center"/>
              <w:rPr>
                <w:rFonts w:ascii="宋体" w:hAnsi="宋体"/>
                <w:sz w:val="18"/>
                <w:szCs w:val="18"/>
              </w:rPr>
            </w:pPr>
            <w:r>
              <w:rPr>
                <w:rFonts w:ascii="宋体" w:hAnsi="宋体"/>
                <w:sz w:val="18"/>
                <w:szCs w:val="18"/>
              </w:rPr>
              <w:t>29.71</w:t>
            </w:r>
          </w:p>
        </w:tc>
        <w:tc>
          <w:tcPr>
            <w:tcW w:w="1360" w:type="dxa"/>
            <w:noWrap w:val="0"/>
            <w:vAlign w:val="center"/>
          </w:tcPr>
          <w:p w14:paraId="7FF789B0">
            <w:pPr>
              <w:jc w:val="center"/>
              <w:rPr>
                <w:rFonts w:ascii="宋体" w:hAnsi="宋体"/>
                <w:sz w:val="18"/>
                <w:szCs w:val="18"/>
              </w:rPr>
            </w:pPr>
            <w:r>
              <w:rPr>
                <w:rFonts w:ascii="宋体" w:hAnsi="宋体"/>
                <w:sz w:val="18"/>
                <w:szCs w:val="18"/>
              </w:rPr>
              <w:t>11.91</w:t>
            </w:r>
          </w:p>
        </w:tc>
        <w:tc>
          <w:tcPr>
            <w:tcW w:w="1260" w:type="dxa"/>
            <w:noWrap w:val="0"/>
            <w:vAlign w:val="center"/>
          </w:tcPr>
          <w:p w14:paraId="57469BE9">
            <w:pPr>
              <w:jc w:val="center"/>
              <w:rPr>
                <w:rFonts w:ascii="宋体" w:hAnsi="宋体"/>
                <w:sz w:val="18"/>
                <w:szCs w:val="18"/>
              </w:rPr>
            </w:pPr>
            <w:r>
              <w:rPr>
                <w:rFonts w:ascii="宋体" w:hAnsi="宋体"/>
                <w:sz w:val="18"/>
                <w:szCs w:val="18"/>
              </w:rPr>
              <w:t>0.18</w:t>
            </w:r>
          </w:p>
        </w:tc>
        <w:tc>
          <w:tcPr>
            <w:tcW w:w="1620" w:type="dxa"/>
            <w:noWrap w:val="0"/>
            <w:vAlign w:val="center"/>
          </w:tcPr>
          <w:p w14:paraId="21DBB4E5">
            <w:pPr>
              <w:jc w:val="center"/>
              <w:rPr>
                <w:rFonts w:ascii="宋体" w:hAnsi="宋体"/>
                <w:sz w:val="18"/>
                <w:szCs w:val="18"/>
              </w:rPr>
            </w:pPr>
            <w:r>
              <w:rPr>
                <w:rFonts w:ascii="宋体" w:hAnsi="宋体"/>
                <w:sz w:val="18"/>
                <w:szCs w:val="18"/>
              </w:rPr>
              <w:t>26.53</w:t>
            </w:r>
          </w:p>
        </w:tc>
        <w:tc>
          <w:tcPr>
            <w:tcW w:w="800" w:type="dxa"/>
            <w:vMerge w:val="continue"/>
            <w:noWrap w:val="0"/>
            <w:vAlign w:val="center"/>
          </w:tcPr>
          <w:p w14:paraId="65C98CEF">
            <w:pPr>
              <w:jc w:val="center"/>
              <w:rPr>
                <w:rFonts w:ascii="宋体" w:hAnsi="宋体"/>
                <w:color w:val="FF0000"/>
                <w:sz w:val="18"/>
                <w:szCs w:val="18"/>
              </w:rPr>
            </w:pPr>
          </w:p>
        </w:tc>
      </w:tr>
      <w:tr w14:paraId="688C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1C78676">
            <w:pPr>
              <w:jc w:val="center"/>
              <w:rPr>
                <w:rFonts w:ascii="宋体" w:hAnsi="宋体"/>
                <w:sz w:val="18"/>
                <w:szCs w:val="18"/>
              </w:rPr>
            </w:pPr>
          </w:p>
        </w:tc>
        <w:tc>
          <w:tcPr>
            <w:tcW w:w="624" w:type="dxa"/>
            <w:vMerge w:val="restart"/>
            <w:noWrap w:val="0"/>
            <w:vAlign w:val="center"/>
          </w:tcPr>
          <w:p w14:paraId="6B9FD94F">
            <w:pPr>
              <w:jc w:val="center"/>
              <w:rPr>
                <w:rFonts w:ascii="宋体" w:hAnsi="宋体"/>
                <w:sz w:val="18"/>
                <w:szCs w:val="18"/>
              </w:rPr>
            </w:pPr>
            <w:r>
              <w:rPr>
                <w:rFonts w:ascii="宋体" w:hAnsi="宋体"/>
                <w:sz w:val="18"/>
                <w:szCs w:val="18"/>
              </w:rPr>
              <w:t>洗煤</w:t>
            </w:r>
          </w:p>
        </w:tc>
        <w:tc>
          <w:tcPr>
            <w:tcW w:w="1262" w:type="dxa"/>
            <w:noWrap w:val="0"/>
            <w:vAlign w:val="center"/>
          </w:tcPr>
          <w:p w14:paraId="531339FD">
            <w:pPr>
              <w:jc w:val="center"/>
              <w:rPr>
                <w:rFonts w:ascii="宋体" w:hAnsi="宋体"/>
                <w:sz w:val="18"/>
                <w:szCs w:val="18"/>
              </w:rPr>
            </w:pPr>
            <w:r>
              <w:rPr>
                <w:rFonts w:ascii="宋体" w:hAnsi="宋体"/>
                <w:sz w:val="18"/>
                <w:szCs w:val="18"/>
              </w:rPr>
              <w:t>0.69～1.35</w:t>
            </w:r>
          </w:p>
        </w:tc>
        <w:tc>
          <w:tcPr>
            <w:tcW w:w="1360" w:type="dxa"/>
            <w:noWrap w:val="0"/>
            <w:vAlign w:val="center"/>
          </w:tcPr>
          <w:p w14:paraId="7044484A">
            <w:pPr>
              <w:jc w:val="center"/>
              <w:rPr>
                <w:rFonts w:ascii="宋体" w:hAnsi="宋体"/>
                <w:sz w:val="18"/>
                <w:szCs w:val="18"/>
              </w:rPr>
            </w:pPr>
            <w:r>
              <w:rPr>
                <w:rFonts w:ascii="宋体" w:hAnsi="宋体"/>
                <w:sz w:val="18"/>
                <w:szCs w:val="18"/>
              </w:rPr>
              <w:t>6.74～11.20</w:t>
            </w:r>
          </w:p>
        </w:tc>
        <w:tc>
          <w:tcPr>
            <w:tcW w:w="1360" w:type="dxa"/>
            <w:noWrap w:val="0"/>
            <w:vAlign w:val="center"/>
          </w:tcPr>
          <w:p w14:paraId="413BC73E">
            <w:pPr>
              <w:jc w:val="center"/>
              <w:rPr>
                <w:rFonts w:ascii="宋体" w:hAnsi="宋体"/>
                <w:sz w:val="18"/>
                <w:szCs w:val="18"/>
              </w:rPr>
            </w:pPr>
            <w:r>
              <w:rPr>
                <w:rFonts w:ascii="宋体" w:hAnsi="宋体"/>
                <w:sz w:val="18"/>
                <w:szCs w:val="18"/>
              </w:rPr>
              <w:t>10.58～11.50</w:t>
            </w:r>
          </w:p>
        </w:tc>
        <w:tc>
          <w:tcPr>
            <w:tcW w:w="1260" w:type="dxa"/>
            <w:noWrap w:val="0"/>
            <w:vAlign w:val="center"/>
          </w:tcPr>
          <w:p w14:paraId="5C0C513A">
            <w:pPr>
              <w:jc w:val="center"/>
              <w:rPr>
                <w:rFonts w:ascii="宋体" w:hAnsi="宋体"/>
                <w:sz w:val="18"/>
                <w:szCs w:val="18"/>
              </w:rPr>
            </w:pPr>
            <w:r>
              <w:rPr>
                <w:rFonts w:ascii="宋体" w:hAnsi="宋体"/>
                <w:sz w:val="18"/>
                <w:szCs w:val="18"/>
              </w:rPr>
              <w:t>0.18～0.29</w:t>
            </w:r>
          </w:p>
        </w:tc>
        <w:tc>
          <w:tcPr>
            <w:tcW w:w="1620" w:type="dxa"/>
            <w:noWrap w:val="0"/>
            <w:vAlign w:val="center"/>
          </w:tcPr>
          <w:p w14:paraId="633270C1">
            <w:pPr>
              <w:jc w:val="center"/>
              <w:rPr>
                <w:rFonts w:ascii="宋体" w:hAnsi="宋体"/>
                <w:sz w:val="18"/>
                <w:szCs w:val="18"/>
              </w:rPr>
            </w:pPr>
            <w:r>
              <w:rPr>
                <w:rFonts w:ascii="宋体" w:hAnsi="宋体"/>
                <w:sz w:val="18"/>
                <w:szCs w:val="18"/>
              </w:rPr>
              <w:t>32.14～34.16</w:t>
            </w:r>
          </w:p>
        </w:tc>
        <w:tc>
          <w:tcPr>
            <w:tcW w:w="800" w:type="dxa"/>
            <w:vMerge w:val="continue"/>
            <w:noWrap w:val="0"/>
            <w:vAlign w:val="center"/>
          </w:tcPr>
          <w:p w14:paraId="6A815573">
            <w:pPr>
              <w:jc w:val="center"/>
              <w:rPr>
                <w:rFonts w:ascii="宋体" w:hAnsi="宋体"/>
                <w:color w:val="FF0000"/>
                <w:sz w:val="18"/>
                <w:szCs w:val="18"/>
              </w:rPr>
            </w:pPr>
          </w:p>
        </w:tc>
      </w:tr>
      <w:tr w14:paraId="1AB0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C68C1D0">
            <w:pPr>
              <w:jc w:val="center"/>
              <w:rPr>
                <w:rFonts w:ascii="宋体" w:hAnsi="宋体"/>
                <w:sz w:val="18"/>
                <w:szCs w:val="18"/>
              </w:rPr>
            </w:pPr>
          </w:p>
        </w:tc>
        <w:tc>
          <w:tcPr>
            <w:tcW w:w="624" w:type="dxa"/>
            <w:vMerge w:val="continue"/>
            <w:noWrap w:val="0"/>
            <w:vAlign w:val="center"/>
          </w:tcPr>
          <w:p w14:paraId="30078B58">
            <w:pPr>
              <w:jc w:val="center"/>
              <w:rPr>
                <w:rFonts w:ascii="宋体" w:hAnsi="宋体"/>
                <w:sz w:val="18"/>
                <w:szCs w:val="18"/>
              </w:rPr>
            </w:pPr>
          </w:p>
        </w:tc>
        <w:tc>
          <w:tcPr>
            <w:tcW w:w="1262" w:type="dxa"/>
            <w:noWrap w:val="0"/>
            <w:vAlign w:val="center"/>
          </w:tcPr>
          <w:p w14:paraId="1751FAAD">
            <w:pPr>
              <w:jc w:val="center"/>
              <w:rPr>
                <w:rFonts w:ascii="宋体" w:hAnsi="宋体"/>
                <w:sz w:val="18"/>
                <w:szCs w:val="18"/>
              </w:rPr>
            </w:pPr>
            <w:r>
              <w:rPr>
                <w:rFonts w:ascii="宋体" w:hAnsi="宋体"/>
                <w:sz w:val="18"/>
                <w:szCs w:val="18"/>
              </w:rPr>
              <w:t>1.09</w:t>
            </w:r>
          </w:p>
        </w:tc>
        <w:tc>
          <w:tcPr>
            <w:tcW w:w="1360" w:type="dxa"/>
            <w:noWrap w:val="0"/>
            <w:vAlign w:val="center"/>
          </w:tcPr>
          <w:p w14:paraId="0C3667D9">
            <w:pPr>
              <w:jc w:val="center"/>
              <w:rPr>
                <w:rFonts w:ascii="宋体" w:hAnsi="宋体"/>
                <w:sz w:val="18"/>
                <w:szCs w:val="18"/>
              </w:rPr>
            </w:pPr>
            <w:r>
              <w:rPr>
                <w:rFonts w:ascii="宋体" w:hAnsi="宋体"/>
                <w:sz w:val="18"/>
                <w:szCs w:val="18"/>
              </w:rPr>
              <w:t>9.12</w:t>
            </w:r>
          </w:p>
        </w:tc>
        <w:tc>
          <w:tcPr>
            <w:tcW w:w="1360" w:type="dxa"/>
            <w:noWrap w:val="0"/>
            <w:vAlign w:val="center"/>
          </w:tcPr>
          <w:p w14:paraId="634AF5BA">
            <w:pPr>
              <w:jc w:val="center"/>
              <w:rPr>
                <w:rFonts w:ascii="宋体" w:hAnsi="宋体"/>
                <w:sz w:val="18"/>
                <w:szCs w:val="18"/>
              </w:rPr>
            </w:pPr>
            <w:r>
              <w:rPr>
                <w:rFonts w:ascii="宋体" w:hAnsi="宋体"/>
                <w:sz w:val="18"/>
                <w:szCs w:val="18"/>
              </w:rPr>
              <w:t>10.92</w:t>
            </w:r>
          </w:p>
        </w:tc>
        <w:tc>
          <w:tcPr>
            <w:tcW w:w="1260" w:type="dxa"/>
            <w:noWrap w:val="0"/>
            <w:vAlign w:val="center"/>
          </w:tcPr>
          <w:p w14:paraId="4EA1DAB6">
            <w:pPr>
              <w:jc w:val="center"/>
              <w:rPr>
                <w:rFonts w:ascii="宋体" w:hAnsi="宋体"/>
                <w:sz w:val="18"/>
                <w:szCs w:val="18"/>
              </w:rPr>
            </w:pPr>
            <w:r>
              <w:rPr>
                <w:rFonts w:ascii="宋体" w:hAnsi="宋体"/>
                <w:sz w:val="18"/>
                <w:szCs w:val="18"/>
              </w:rPr>
              <w:t>0.24</w:t>
            </w:r>
          </w:p>
        </w:tc>
        <w:tc>
          <w:tcPr>
            <w:tcW w:w="1620" w:type="dxa"/>
            <w:noWrap w:val="0"/>
            <w:vAlign w:val="center"/>
          </w:tcPr>
          <w:p w14:paraId="7B510E96">
            <w:pPr>
              <w:jc w:val="center"/>
              <w:rPr>
                <w:rFonts w:ascii="宋体" w:hAnsi="宋体"/>
                <w:sz w:val="18"/>
                <w:szCs w:val="18"/>
              </w:rPr>
            </w:pPr>
            <w:r>
              <w:rPr>
                <w:rFonts w:ascii="宋体" w:hAnsi="宋体"/>
                <w:sz w:val="18"/>
                <w:szCs w:val="18"/>
              </w:rPr>
              <w:t>33.15</w:t>
            </w:r>
          </w:p>
        </w:tc>
        <w:tc>
          <w:tcPr>
            <w:tcW w:w="800" w:type="dxa"/>
            <w:vMerge w:val="continue"/>
            <w:noWrap w:val="0"/>
            <w:vAlign w:val="center"/>
          </w:tcPr>
          <w:p w14:paraId="392288AA">
            <w:pPr>
              <w:jc w:val="center"/>
              <w:rPr>
                <w:rFonts w:ascii="宋体" w:hAnsi="宋体"/>
                <w:color w:val="FF0000"/>
                <w:sz w:val="18"/>
                <w:szCs w:val="18"/>
              </w:rPr>
            </w:pPr>
          </w:p>
        </w:tc>
      </w:tr>
      <w:tr w14:paraId="0C52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31461A9D">
            <w:pPr>
              <w:jc w:val="center"/>
              <w:rPr>
                <w:rFonts w:ascii="宋体" w:hAnsi="宋体"/>
                <w:sz w:val="18"/>
                <w:szCs w:val="18"/>
              </w:rPr>
            </w:pPr>
            <w:r>
              <w:rPr>
                <w:rFonts w:ascii="宋体" w:hAnsi="宋体"/>
                <w:sz w:val="18"/>
                <w:szCs w:val="18"/>
              </w:rPr>
              <w:t>K106-b</w:t>
            </w:r>
          </w:p>
        </w:tc>
        <w:tc>
          <w:tcPr>
            <w:tcW w:w="624" w:type="dxa"/>
            <w:vMerge w:val="restart"/>
            <w:noWrap w:val="0"/>
            <w:vAlign w:val="center"/>
          </w:tcPr>
          <w:p w14:paraId="79EA0AA0">
            <w:pPr>
              <w:jc w:val="center"/>
              <w:rPr>
                <w:rFonts w:ascii="宋体" w:hAnsi="宋体"/>
                <w:sz w:val="18"/>
                <w:szCs w:val="18"/>
              </w:rPr>
            </w:pPr>
            <w:r>
              <w:rPr>
                <w:rFonts w:ascii="宋体" w:hAnsi="宋体"/>
                <w:sz w:val="18"/>
                <w:szCs w:val="18"/>
              </w:rPr>
              <w:t>原煤</w:t>
            </w:r>
          </w:p>
        </w:tc>
        <w:tc>
          <w:tcPr>
            <w:tcW w:w="1262" w:type="dxa"/>
            <w:noWrap w:val="0"/>
            <w:vAlign w:val="center"/>
          </w:tcPr>
          <w:p w14:paraId="5B213773">
            <w:pPr>
              <w:jc w:val="center"/>
              <w:rPr>
                <w:rFonts w:ascii="宋体" w:hAnsi="宋体"/>
                <w:sz w:val="18"/>
                <w:szCs w:val="18"/>
              </w:rPr>
            </w:pPr>
            <w:r>
              <w:rPr>
                <w:rFonts w:ascii="宋体" w:hAnsi="宋体"/>
                <w:sz w:val="18"/>
                <w:szCs w:val="18"/>
              </w:rPr>
              <w:t>0.62～1.53</w:t>
            </w:r>
          </w:p>
        </w:tc>
        <w:tc>
          <w:tcPr>
            <w:tcW w:w="1360" w:type="dxa"/>
            <w:noWrap w:val="0"/>
            <w:vAlign w:val="center"/>
          </w:tcPr>
          <w:p w14:paraId="31384BCB">
            <w:pPr>
              <w:jc w:val="center"/>
              <w:rPr>
                <w:rFonts w:ascii="宋体" w:hAnsi="宋体"/>
                <w:sz w:val="18"/>
                <w:szCs w:val="18"/>
              </w:rPr>
            </w:pPr>
            <w:r>
              <w:rPr>
                <w:rFonts w:ascii="宋体" w:hAnsi="宋体"/>
                <w:sz w:val="18"/>
                <w:szCs w:val="18"/>
              </w:rPr>
              <w:t>15.97～36.86</w:t>
            </w:r>
          </w:p>
        </w:tc>
        <w:tc>
          <w:tcPr>
            <w:tcW w:w="1360" w:type="dxa"/>
            <w:noWrap w:val="0"/>
            <w:vAlign w:val="center"/>
          </w:tcPr>
          <w:p w14:paraId="7E7D7CEB">
            <w:pPr>
              <w:jc w:val="center"/>
              <w:rPr>
                <w:rFonts w:ascii="宋体" w:hAnsi="宋体"/>
                <w:sz w:val="18"/>
                <w:szCs w:val="18"/>
              </w:rPr>
            </w:pPr>
            <w:r>
              <w:rPr>
                <w:rFonts w:ascii="宋体" w:hAnsi="宋体"/>
                <w:sz w:val="18"/>
                <w:szCs w:val="18"/>
              </w:rPr>
              <w:t>8.00～13.12</w:t>
            </w:r>
          </w:p>
        </w:tc>
        <w:tc>
          <w:tcPr>
            <w:tcW w:w="1260" w:type="dxa"/>
            <w:noWrap w:val="0"/>
            <w:vAlign w:val="center"/>
          </w:tcPr>
          <w:p w14:paraId="6E9AF597">
            <w:pPr>
              <w:jc w:val="center"/>
              <w:rPr>
                <w:rFonts w:ascii="宋体" w:hAnsi="宋体"/>
                <w:sz w:val="18"/>
                <w:szCs w:val="18"/>
              </w:rPr>
            </w:pPr>
            <w:r>
              <w:rPr>
                <w:rFonts w:ascii="宋体" w:hAnsi="宋体"/>
                <w:sz w:val="18"/>
                <w:szCs w:val="18"/>
              </w:rPr>
              <w:t>0.08～3.34</w:t>
            </w:r>
          </w:p>
        </w:tc>
        <w:tc>
          <w:tcPr>
            <w:tcW w:w="1620" w:type="dxa"/>
            <w:noWrap w:val="0"/>
            <w:vAlign w:val="center"/>
          </w:tcPr>
          <w:p w14:paraId="245E158D">
            <w:pPr>
              <w:jc w:val="center"/>
              <w:rPr>
                <w:rFonts w:ascii="宋体" w:hAnsi="宋体"/>
                <w:sz w:val="18"/>
                <w:szCs w:val="18"/>
              </w:rPr>
            </w:pPr>
            <w:r>
              <w:rPr>
                <w:rFonts w:ascii="宋体" w:hAnsi="宋体"/>
                <w:sz w:val="18"/>
                <w:szCs w:val="18"/>
              </w:rPr>
              <w:t>21.52～29.38</w:t>
            </w:r>
          </w:p>
        </w:tc>
        <w:tc>
          <w:tcPr>
            <w:tcW w:w="800" w:type="dxa"/>
            <w:vMerge w:val="restart"/>
            <w:noWrap w:val="0"/>
            <w:vAlign w:val="center"/>
          </w:tcPr>
          <w:p w14:paraId="0AC7A181">
            <w:pPr>
              <w:rPr>
                <w:rFonts w:ascii="宋体" w:hAnsi="宋体"/>
                <w:sz w:val="18"/>
                <w:szCs w:val="18"/>
              </w:rPr>
            </w:pPr>
            <w:r>
              <w:rPr>
                <w:rFonts w:hint="eastAsia" w:ascii="宋体" w:hAnsi="宋体"/>
                <w:sz w:val="18"/>
                <w:szCs w:val="18"/>
              </w:rPr>
              <w:t>无烟煤</w:t>
            </w:r>
          </w:p>
        </w:tc>
      </w:tr>
      <w:tr w14:paraId="7E39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0A372E69">
            <w:pPr>
              <w:jc w:val="center"/>
              <w:rPr>
                <w:rFonts w:ascii="宋体" w:hAnsi="宋体"/>
                <w:sz w:val="18"/>
                <w:szCs w:val="18"/>
              </w:rPr>
            </w:pPr>
          </w:p>
        </w:tc>
        <w:tc>
          <w:tcPr>
            <w:tcW w:w="624" w:type="dxa"/>
            <w:vMerge w:val="continue"/>
            <w:noWrap w:val="0"/>
            <w:vAlign w:val="center"/>
          </w:tcPr>
          <w:p w14:paraId="38979414">
            <w:pPr>
              <w:jc w:val="center"/>
              <w:rPr>
                <w:rFonts w:ascii="宋体" w:hAnsi="宋体"/>
                <w:sz w:val="18"/>
                <w:szCs w:val="18"/>
              </w:rPr>
            </w:pPr>
          </w:p>
        </w:tc>
        <w:tc>
          <w:tcPr>
            <w:tcW w:w="1262" w:type="dxa"/>
            <w:noWrap w:val="0"/>
            <w:vAlign w:val="center"/>
          </w:tcPr>
          <w:p w14:paraId="6180CAE7">
            <w:pPr>
              <w:jc w:val="center"/>
              <w:rPr>
                <w:rFonts w:ascii="宋体" w:hAnsi="宋体"/>
                <w:sz w:val="18"/>
                <w:szCs w:val="18"/>
              </w:rPr>
            </w:pPr>
            <w:r>
              <w:rPr>
                <w:rFonts w:ascii="宋体" w:hAnsi="宋体"/>
                <w:sz w:val="18"/>
                <w:szCs w:val="18"/>
              </w:rPr>
              <w:t>1.10</w:t>
            </w:r>
          </w:p>
        </w:tc>
        <w:tc>
          <w:tcPr>
            <w:tcW w:w="1360" w:type="dxa"/>
            <w:noWrap w:val="0"/>
            <w:vAlign w:val="center"/>
          </w:tcPr>
          <w:p w14:paraId="7CA6F3CD">
            <w:pPr>
              <w:jc w:val="center"/>
              <w:rPr>
                <w:rFonts w:ascii="宋体" w:hAnsi="宋体"/>
                <w:sz w:val="18"/>
                <w:szCs w:val="18"/>
              </w:rPr>
            </w:pPr>
            <w:r>
              <w:rPr>
                <w:rFonts w:ascii="宋体" w:hAnsi="宋体"/>
                <w:sz w:val="18"/>
                <w:szCs w:val="18"/>
              </w:rPr>
              <w:t>29.50</w:t>
            </w:r>
          </w:p>
        </w:tc>
        <w:tc>
          <w:tcPr>
            <w:tcW w:w="1360" w:type="dxa"/>
            <w:noWrap w:val="0"/>
            <w:vAlign w:val="center"/>
          </w:tcPr>
          <w:p w14:paraId="0394172A">
            <w:pPr>
              <w:jc w:val="center"/>
              <w:rPr>
                <w:rFonts w:ascii="宋体" w:hAnsi="宋体"/>
                <w:sz w:val="18"/>
                <w:szCs w:val="18"/>
              </w:rPr>
            </w:pPr>
            <w:r>
              <w:rPr>
                <w:rFonts w:ascii="宋体" w:hAnsi="宋体"/>
                <w:sz w:val="18"/>
                <w:szCs w:val="18"/>
              </w:rPr>
              <w:t>10.75</w:t>
            </w:r>
          </w:p>
        </w:tc>
        <w:tc>
          <w:tcPr>
            <w:tcW w:w="1260" w:type="dxa"/>
            <w:noWrap w:val="0"/>
            <w:vAlign w:val="center"/>
          </w:tcPr>
          <w:p w14:paraId="00099AA2">
            <w:pPr>
              <w:jc w:val="center"/>
              <w:rPr>
                <w:rFonts w:ascii="宋体" w:hAnsi="宋体"/>
                <w:sz w:val="18"/>
                <w:szCs w:val="18"/>
              </w:rPr>
            </w:pPr>
            <w:r>
              <w:rPr>
                <w:rFonts w:ascii="宋体" w:hAnsi="宋体"/>
                <w:sz w:val="18"/>
                <w:szCs w:val="18"/>
              </w:rPr>
              <w:t>1.80</w:t>
            </w:r>
          </w:p>
        </w:tc>
        <w:tc>
          <w:tcPr>
            <w:tcW w:w="1620" w:type="dxa"/>
            <w:noWrap w:val="0"/>
            <w:vAlign w:val="center"/>
          </w:tcPr>
          <w:p w14:paraId="03E4D569">
            <w:pPr>
              <w:jc w:val="center"/>
              <w:rPr>
                <w:rFonts w:ascii="宋体" w:hAnsi="宋体"/>
                <w:sz w:val="18"/>
                <w:szCs w:val="18"/>
              </w:rPr>
            </w:pPr>
            <w:r>
              <w:rPr>
                <w:rFonts w:ascii="宋体" w:hAnsi="宋体"/>
                <w:sz w:val="18"/>
                <w:szCs w:val="18"/>
              </w:rPr>
              <w:t>24.95</w:t>
            </w:r>
          </w:p>
        </w:tc>
        <w:tc>
          <w:tcPr>
            <w:tcW w:w="800" w:type="dxa"/>
            <w:vMerge w:val="continue"/>
            <w:noWrap w:val="0"/>
            <w:vAlign w:val="center"/>
          </w:tcPr>
          <w:p w14:paraId="36DC83E5">
            <w:pPr>
              <w:jc w:val="center"/>
              <w:rPr>
                <w:rFonts w:ascii="宋体" w:hAnsi="宋体"/>
                <w:sz w:val="18"/>
                <w:szCs w:val="18"/>
              </w:rPr>
            </w:pPr>
          </w:p>
        </w:tc>
      </w:tr>
      <w:tr w14:paraId="51F1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1CD7A382">
            <w:pPr>
              <w:jc w:val="center"/>
              <w:rPr>
                <w:rFonts w:ascii="宋体" w:hAnsi="宋体"/>
                <w:sz w:val="18"/>
                <w:szCs w:val="18"/>
              </w:rPr>
            </w:pPr>
          </w:p>
        </w:tc>
        <w:tc>
          <w:tcPr>
            <w:tcW w:w="624" w:type="dxa"/>
            <w:vMerge w:val="restart"/>
            <w:noWrap w:val="0"/>
            <w:vAlign w:val="center"/>
          </w:tcPr>
          <w:p w14:paraId="03CA5AC9">
            <w:pPr>
              <w:jc w:val="center"/>
              <w:rPr>
                <w:rFonts w:ascii="宋体" w:hAnsi="宋体"/>
                <w:sz w:val="18"/>
                <w:szCs w:val="18"/>
              </w:rPr>
            </w:pPr>
            <w:r>
              <w:rPr>
                <w:rFonts w:ascii="宋体" w:hAnsi="宋体"/>
                <w:sz w:val="18"/>
                <w:szCs w:val="18"/>
              </w:rPr>
              <w:t>洗煤</w:t>
            </w:r>
          </w:p>
        </w:tc>
        <w:tc>
          <w:tcPr>
            <w:tcW w:w="1262" w:type="dxa"/>
            <w:noWrap w:val="0"/>
            <w:vAlign w:val="center"/>
          </w:tcPr>
          <w:p w14:paraId="3F091B01">
            <w:pPr>
              <w:jc w:val="center"/>
              <w:rPr>
                <w:rFonts w:ascii="宋体" w:hAnsi="宋体"/>
                <w:sz w:val="18"/>
                <w:szCs w:val="18"/>
              </w:rPr>
            </w:pPr>
            <w:r>
              <w:rPr>
                <w:rFonts w:ascii="宋体" w:hAnsi="宋体"/>
                <w:sz w:val="18"/>
                <w:szCs w:val="18"/>
              </w:rPr>
              <w:t>0.59～1.67</w:t>
            </w:r>
          </w:p>
        </w:tc>
        <w:tc>
          <w:tcPr>
            <w:tcW w:w="1360" w:type="dxa"/>
            <w:noWrap w:val="0"/>
            <w:vAlign w:val="center"/>
          </w:tcPr>
          <w:p w14:paraId="048EBC3A">
            <w:pPr>
              <w:jc w:val="center"/>
              <w:rPr>
                <w:rFonts w:ascii="宋体" w:hAnsi="宋体"/>
                <w:sz w:val="18"/>
                <w:szCs w:val="18"/>
              </w:rPr>
            </w:pPr>
            <w:r>
              <w:rPr>
                <w:rFonts w:ascii="宋体" w:hAnsi="宋体"/>
                <w:sz w:val="18"/>
                <w:szCs w:val="18"/>
              </w:rPr>
              <w:t>3.18～12.42</w:t>
            </w:r>
          </w:p>
        </w:tc>
        <w:tc>
          <w:tcPr>
            <w:tcW w:w="1360" w:type="dxa"/>
            <w:noWrap w:val="0"/>
            <w:vAlign w:val="center"/>
          </w:tcPr>
          <w:p w14:paraId="41DC6B19">
            <w:pPr>
              <w:jc w:val="center"/>
              <w:rPr>
                <w:rFonts w:ascii="宋体" w:hAnsi="宋体"/>
                <w:sz w:val="18"/>
                <w:szCs w:val="18"/>
              </w:rPr>
            </w:pPr>
            <w:r>
              <w:rPr>
                <w:rFonts w:ascii="宋体" w:hAnsi="宋体"/>
                <w:sz w:val="18"/>
                <w:szCs w:val="18"/>
              </w:rPr>
              <w:t>7.44～11.08</w:t>
            </w:r>
          </w:p>
        </w:tc>
        <w:tc>
          <w:tcPr>
            <w:tcW w:w="1260" w:type="dxa"/>
            <w:noWrap w:val="0"/>
            <w:vAlign w:val="center"/>
          </w:tcPr>
          <w:p w14:paraId="3972AAA4">
            <w:pPr>
              <w:jc w:val="center"/>
              <w:rPr>
                <w:rFonts w:ascii="宋体" w:hAnsi="宋体"/>
                <w:sz w:val="18"/>
                <w:szCs w:val="18"/>
              </w:rPr>
            </w:pPr>
            <w:r>
              <w:rPr>
                <w:rFonts w:ascii="宋体" w:hAnsi="宋体"/>
                <w:sz w:val="18"/>
                <w:szCs w:val="18"/>
              </w:rPr>
              <w:t>0.25～2.07</w:t>
            </w:r>
          </w:p>
        </w:tc>
        <w:tc>
          <w:tcPr>
            <w:tcW w:w="1620" w:type="dxa"/>
            <w:noWrap w:val="0"/>
            <w:vAlign w:val="center"/>
          </w:tcPr>
          <w:p w14:paraId="05474E48">
            <w:pPr>
              <w:jc w:val="center"/>
              <w:rPr>
                <w:rFonts w:ascii="宋体" w:hAnsi="宋体"/>
                <w:sz w:val="18"/>
                <w:szCs w:val="18"/>
              </w:rPr>
            </w:pPr>
            <w:r>
              <w:rPr>
                <w:rFonts w:ascii="宋体" w:hAnsi="宋体"/>
                <w:sz w:val="18"/>
                <w:szCs w:val="18"/>
              </w:rPr>
              <w:t>32.07～35.18</w:t>
            </w:r>
          </w:p>
        </w:tc>
        <w:tc>
          <w:tcPr>
            <w:tcW w:w="800" w:type="dxa"/>
            <w:vMerge w:val="continue"/>
            <w:noWrap w:val="0"/>
            <w:vAlign w:val="center"/>
          </w:tcPr>
          <w:p w14:paraId="0EAE3C56">
            <w:pPr>
              <w:jc w:val="center"/>
              <w:rPr>
                <w:rFonts w:ascii="宋体" w:hAnsi="宋体"/>
                <w:sz w:val="18"/>
                <w:szCs w:val="18"/>
              </w:rPr>
            </w:pPr>
          </w:p>
        </w:tc>
      </w:tr>
      <w:tr w14:paraId="0BC4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A4F7FEF">
            <w:pPr>
              <w:jc w:val="center"/>
              <w:rPr>
                <w:rFonts w:ascii="宋体" w:hAnsi="宋体"/>
                <w:sz w:val="18"/>
                <w:szCs w:val="18"/>
              </w:rPr>
            </w:pPr>
          </w:p>
        </w:tc>
        <w:tc>
          <w:tcPr>
            <w:tcW w:w="624" w:type="dxa"/>
            <w:vMerge w:val="continue"/>
            <w:noWrap w:val="0"/>
            <w:vAlign w:val="center"/>
          </w:tcPr>
          <w:p w14:paraId="24BC1A19">
            <w:pPr>
              <w:jc w:val="center"/>
              <w:rPr>
                <w:rFonts w:ascii="宋体" w:hAnsi="宋体"/>
                <w:sz w:val="18"/>
                <w:szCs w:val="18"/>
              </w:rPr>
            </w:pPr>
          </w:p>
        </w:tc>
        <w:tc>
          <w:tcPr>
            <w:tcW w:w="1262" w:type="dxa"/>
            <w:noWrap w:val="0"/>
            <w:vAlign w:val="center"/>
          </w:tcPr>
          <w:p w14:paraId="60046C06">
            <w:pPr>
              <w:jc w:val="center"/>
              <w:rPr>
                <w:rFonts w:ascii="宋体" w:hAnsi="宋体"/>
                <w:sz w:val="18"/>
                <w:szCs w:val="18"/>
              </w:rPr>
            </w:pPr>
            <w:r>
              <w:rPr>
                <w:rFonts w:ascii="宋体" w:hAnsi="宋体"/>
                <w:sz w:val="18"/>
                <w:szCs w:val="18"/>
              </w:rPr>
              <w:t>1.22</w:t>
            </w:r>
          </w:p>
        </w:tc>
        <w:tc>
          <w:tcPr>
            <w:tcW w:w="1360" w:type="dxa"/>
            <w:noWrap w:val="0"/>
            <w:vAlign w:val="center"/>
          </w:tcPr>
          <w:p w14:paraId="6BDB7F71">
            <w:pPr>
              <w:jc w:val="center"/>
              <w:rPr>
                <w:rFonts w:ascii="宋体" w:hAnsi="宋体"/>
                <w:sz w:val="18"/>
                <w:szCs w:val="18"/>
              </w:rPr>
            </w:pPr>
            <w:r>
              <w:rPr>
                <w:rFonts w:ascii="宋体" w:hAnsi="宋体"/>
                <w:sz w:val="18"/>
                <w:szCs w:val="18"/>
              </w:rPr>
              <w:t>7.19</w:t>
            </w:r>
          </w:p>
        </w:tc>
        <w:tc>
          <w:tcPr>
            <w:tcW w:w="1360" w:type="dxa"/>
            <w:noWrap w:val="0"/>
            <w:vAlign w:val="center"/>
          </w:tcPr>
          <w:p w14:paraId="5FEB5094">
            <w:pPr>
              <w:jc w:val="center"/>
              <w:rPr>
                <w:rFonts w:ascii="宋体" w:hAnsi="宋体"/>
                <w:sz w:val="18"/>
                <w:szCs w:val="18"/>
              </w:rPr>
            </w:pPr>
            <w:r>
              <w:rPr>
                <w:rFonts w:ascii="宋体" w:hAnsi="宋体"/>
                <w:sz w:val="18"/>
                <w:szCs w:val="18"/>
              </w:rPr>
              <w:t>9.16</w:t>
            </w:r>
          </w:p>
        </w:tc>
        <w:tc>
          <w:tcPr>
            <w:tcW w:w="1260" w:type="dxa"/>
            <w:noWrap w:val="0"/>
            <w:vAlign w:val="center"/>
          </w:tcPr>
          <w:p w14:paraId="215ACF2F">
            <w:pPr>
              <w:jc w:val="center"/>
              <w:rPr>
                <w:rFonts w:ascii="宋体" w:hAnsi="宋体"/>
                <w:sz w:val="18"/>
                <w:szCs w:val="18"/>
              </w:rPr>
            </w:pPr>
            <w:r>
              <w:rPr>
                <w:rFonts w:ascii="宋体" w:hAnsi="宋体"/>
                <w:sz w:val="18"/>
                <w:szCs w:val="18"/>
              </w:rPr>
              <w:t>1.48</w:t>
            </w:r>
          </w:p>
        </w:tc>
        <w:tc>
          <w:tcPr>
            <w:tcW w:w="1620" w:type="dxa"/>
            <w:noWrap w:val="0"/>
            <w:vAlign w:val="center"/>
          </w:tcPr>
          <w:p w14:paraId="028667E1">
            <w:pPr>
              <w:jc w:val="center"/>
              <w:rPr>
                <w:rFonts w:ascii="宋体" w:hAnsi="宋体"/>
                <w:sz w:val="18"/>
                <w:szCs w:val="18"/>
              </w:rPr>
            </w:pPr>
            <w:r>
              <w:rPr>
                <w:rFonts w:ascii="宋体" w:hAnsi="宋体"/>
                <w:sz w:val="18"/>
                <w:szCs w:val="18"/>
              </w:rPr>
              <w:t>33.68</w:t>
            </w:r>
          </w:p>
        </w:tc>
        <w:tc>
          <w:tcPr>
            <w:tcW w:w="800" w:type="dxa"/>
            <w:vMerge w:val="continue"/>
            <w:noWrap w:val="0"/>
            <w:vAlign w:val="center"/>
          </w:tcPr>
          <w:p w14:paraId="22FA7B10">
            <w:pPr>
              <w:jc w:val="center"/>
              <w:rPr>
                <w:rFonts w:ascii="宋体" w:hAnsi="宋体"/>
                <w:sz w:val="18"/>
                <w:szCs w:val="18"/>
              </w:rPr>
            </w:pPr>
          </w:p>
        </w:tc>
      </w:tr>
      <w:tr w14:paraId="635F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71D64FF4">
            <w:pPr>
              <w:jc w:val="center"/>
              <w:rPr>
                <w:rFonts w:ascii="宋体" w:hAnsi="宋体"/>
                <w:sz w:val="18"/>
                <w:szCs w:val="18"/>
              </w:rPr>
            </w:pPr>
            <w:r>
              <w:rPr>
                <w:rFonts w:ascii="宋体" w:hAnsi="宋体"/>
                <w:sz w:val="18"/>
                <w:szCs w:val="18"/>
              </w:rPr>
              <w:t>K109-b</w:t>
            </w:r>
          </w:p>
        </w:tc>
        <w:tc>
          <w:tcPr>
            <w:tcW w:w="624" w:type="dxa"/>
            <w:vMerge w:val="restart"/>
            <w:noWrap w:val="0"/>
            <w:vAlign w:val="center"/>
          </w:tcPr>
          <w:p w14:paraId="48064409">
            <w:pPr>
              <w:jc w:val="center"/>
              <w:rPr>
                <w:rFonts w:ascii="宋体" w:hAnsi="宋体"/>
                <w:sz w:val="18"/>
                <w:szCs w:val="18"/>
              </w:rPr>
            </w:pPr>
            <w:r>
              <w:rPr>
                <w:rFonts w:ascii="宋体" w:hAnsi="宋体"/>
                <w:sz w:val="18"/>
                <w:szCs w:val="18"/>
              </w:rPr>
              <w:t>原煤</w:t>
            </w:r>
          </w:p>
        </w:tc>
        <w:tc>
          <w:tcPr>
            <w:tcW w:w="1262" w:type="dxa"/>
            <w:noWrap w:val="0"/>
            <w:vAlign w:val="center"/>
          </w:tcPr>
          <w:p w14:paraId="54C5F688">
            <w:pPr>
              <w:jc w:val="center"/>
              <w:rPr>
                <w:rFonts w:ascii="宋体" w:hAnsi="宋体"/>
                <w:sz w:val="18"/>
                <w:szCs w:val="18"/>
              </w:rPr>
            </w:pPr>
            <w:r>
              <w:rPr>
                <w:rFonts w:ascii="宋体" w:hAnsi="宋体"/>
                <w:sz w:val="18"/>
                <w:szCs w:val="18"/>
              </w:rPr>
              <w:t>0.74～1.44</w:t>
            </w:r>
          </w:p>
        </w:tc>
        <w:tc>
          <w:tcPr>
            <w:tcW w:w="1360" w:type="dxa"/>
            <w:noWrap w:val="0"/>
            <w:vAlign w:val="center"/>
          </w:tcPr>
          <w:p w14:paraId="63DC29AA">
            <w:pPr>
              <w:jc w:val="center"/>
              <w:rPr>
                <w:rFonts w:ascii="宋体" w:hAnsi="宋体"/>
                <w:sz w:val="18"/>
                <w:szCs w:val="18"/>
              </w:rPr>
            </w:pPr>
            <w:r>
              <w:rPr>
                <w:rFonts w:ascii="宋体" w:hAnsi="宋体"/>
                <w:sz w:val="18"/>
                <w:szCs w:val="18"/>
              </w:rPr>
              <w:t>16.02～37.12</w:t>
            </w:r>
          </w:p>
        </w:tc>
        <w:tc>
          <w:tcPr>
            <w:tcW w:w="1360" w:type="dxa"/>
            <w:noWrap w:val="0"/>
            <w:vAlign w:val="center"/>
          </w:tcPr>
          <w:p w14:paraId="66F7B3E3">
            <w:pPr>
              <w:jc w:val="center"/>
              <w:rPr>
                <w:rFonts w:ascii="宋体" w:hAnsi="宋体"/>
                <w:sz w:val="18"/>
                <w:szCs w:val="18"/>
              </w:rPr>
            </w:pPr>
            <w:r>
              <w:rPr>
                <w:rFonts w:ascii="宋体" w:hAnsi="宋体"/>
                <w:sz w:val="18"/>
                <w:szCs w:val="18"/>
              </w:rPr>
              <w:t>7.53～14.45</w:t>
            </w:r>
          </w:p>
        </w:tc>
        <w:tc>
          <w:tcPr>
            <w:tcW w:w="1260" w:type="dxa"/>
            <w:noWrap w:val="0"/>
            <w:vAlign w:val="center"/>
          </w:tcPr>
          <w:p w14:paraId="02F7C3BC">
            <w:pPr>
              <w:jc w:val="center"/>
              <w:rPr>
                <w:rFonts w:ascii="宋体" w:hAnsi="宋体"/>
                <w:sz w:val="18"/>
                <w:szCs w:val="18"/>
              </w:rPr>
            </w:pPr>
            <w:r>
              <w:rPr>
                <w:rFonts w:ascii="宋体" w:hAnsi="宋体"/>
                <w:sz w:val="18"/>
                <w:szCs w:val="18"/>
              </w:rPr>
              <w:t>0.51～4.52</w:t>
            </w:r>
          </w:p>
        </w:tc>
        <w:tc>
          <w:tcPr>
            <w:tcW w:w="1620" w:type="dxa"/>
            <w:noWrap w:val="0"/>
            <w:vAlign w:val="center"/>
          </w:tcPr>
          <w:p w14:paraId="7EE8CF1D">
            <w:pPr>
              <w:jc w:val="center"/>
              <w:rPr>
                <w:rFonts w:ascii="宋体" w:hAnsi="宋体"/>
                <w:sz w:val="18"/>
                <w:szCs w:val="18"/>
              </w:rPr>
            </w:pPr>
            <w:r>
              <w:rPr>
                <w:rFonts w:ascii="宋体" w:hAnsi="宋体"/>
                <w:sz w:val="18"/>
                <w:szCs w:val="18"/>
              </w:rPr>
              <w:t>21.28～30.15</w:t>
            </w:r>
          </w:p>
        </w:tc>
        <w:tc>
          <w:tcPr>
            <w:tcW w:w="800" w:type="dxa"/>
            <w:vMerge w:val="restart"/>
            <w:noWrap w:val="0"/>
            <w:vAlign w:val="center"/>
          </w:tcPr>
          <w:p w14:paraId="3AAB57B8">
            <w:pPr>
              <w:rPr>
                <w:rFonts w:ascii="宋体" w:hAnsi="宋体"/>
                <w:sz w:val="18"/>
                <w:szCs w:val="18"/>
              </w:rPr>
            </w:pPr>
            <w:r>
              <w:rPr>
                <w:rFonts w:hint="eastAsia" w:ascii="宋体" w:hAnsi="宋体"/>
                <w:sz w:val="18"/>
                <w:szCs w:val="18"/>
              </w:rPr>
              <w:t>无烟煤</w:t>
            </w:r>
          </w:p>
        </w:tc>
      </w:tr>
      <w:tr w14:paraId="381D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5807B3A0">
            <w:pPr>
              <w:jc w:val="center"/>
              <w:rPr>
                <w:rFonts w:ascii="宋体" w:hAnsi="宋体"/>
                <w:sz w:val="18"/>
                <w:szCs w:val="18"/>
              </w:rPr>
            </w:pPr>
          </w:p>
        </w:tc>
        <w:tc>
          <w:tcPr>
            <w:tcW w:w="624" w:type="dxa"/>
            <w:vMerge w:val="continue"/>
            <w:noWrap w:val="0"/>
            <w:vAlign w:val="center"/>
          </w:tcPr>
          <w:p w14:paraId="7EBFB3CD">
            <w:pPr>
              <w:jc w:val="center"/>
              <w:rPr>
                <w:rFonts w:ascii="宋体" w:hAnsi="宋体"/>
                <w:sz w:val="18"/>
                <w:szCs w:val="18"/>
              </w:rPr>
            </w:pPr>
          </w:p>
        </w:tc>
        <w:tc>
          <w:tcPr>
            <w:tcW w:w="1262" w:type="dxa"/>
            <w:noWrap w:val="0"/>
            <w:vAlign w:val="center"/>
          </w:tcPr>
          <w:p w14:paraId="76CFE4EC">
            <w:pPr>
              <w:jc w:val="center"/>
              <w:rPr>
                <w:rFonts w:ascii="宋体" w:hAnsi="宋体"/>
                <w:sz w:val="18"/>
                <w:szCs w:val="18"/>
              </w:rPr>
            </w:pPr>
            <w:r>
              <w:rPr>
                <w:rFonts w:ascii="宋体" w:hAnsi="宋体"/>
                <w:sz w:val="18"/>
                <w:szCs w:val="18"/>
              </w:rPr>
              <w:t>1.09</w:t>
            </w:r>
          </w:p>
        </w:tc>
        <w:tc>
          <w:tcPr>
            <w:tcW w:w="1360" w:type="dxa"/>
            <w:noWrap w:val="0"/>
            <w:vAlign w:val="center"/>
          </w:tcPr>
          <w:p w14:paraId="13425212">
            <w:pPr>
              <w:jc w:val="center"/>
              <w:rPr>
                <w:rFonts w:ascii="宋体" w:hAnsi="宋体"/>
                <w:sz w:val="18"/>
                <w:szCs w:val="18"/>
              </w:rPr>
            </w:pPr>
            <w:r>
              <w:rPr>
                <w:rFonts w:ascii="宋体" w:hAnsi="宋体"/>
                <w:sz w:val="18"/>
                <w:szCs w:val="18"/>
              </w:rPr>
              <w:t>22.05</w:t>
            </w:r>
          </w:p>
        </w:tc>
        <w:tc>
          <w:tcPr>
            <w:tcW w:w="1360" w:type="dxa"/>
            <w:noWrap w:val="0"/>
            <w:vAlign w:val="center"/>
          </w:tcPr>
          <w:p w14:paraId="03AF07EB">
            <w:pPr>
              <w:jc w:val="center"/>
              <w:rPr>
                <w:rFonts w:ascii="宋体" w:hAnsi="宋体"/>
                <w:sz w:val="18"/>
                <w:szCs w:val="18"/>
              </w:rPr>
            </w:pPr>
            <w:r>
              <w:rPr>
                <w:rFonts w:ascii="宋体" w:hAnsi="宋体"/>
                <w:sz w:val="18"/>
                <w:szCs w:val="18"/>
              </w:rPr>
              <w:t>10.61</w:t>
            </w:r>
          </w:p>
        </w:tc>
        <w:tc>
          <w:tcPr>
            <w:tcW w:w="1260" w:type="dxa"/>
            <w:noWrap w:val="0"/>
            <w:vAlign w:val="center"/>
          </w:tcPr>
          <w:p w14:paraId="30C62242">
            <w:pPr>
              <w:jc w:val="center"/>
              <w:rPr>
                <w:rFonts w:ascii="宋体" w:hAnsi="宋体"/>
                <w:sz w:val="18"/>
                <w:szCs w:val="18"/>
              </w:rPr>
            </w:pPr>
            <w:r>
              <w:rPr>
                <w:rFonts w:ascii="宋体" w:hAnsi="宋体"/>
                <w:sz w:val="18"/>
                <w:szCs w:val="18"/>
              </w:rPr>
              <w:t>2.24</w:t>
            </w:r>
          </w:p>
        </w:tc>
        <w:tc>
          <w:tcPr>
            <w:tcW w:w="1620" w:type="dxa"/>
            <w:noWrap w:val="0"/>
            <w:vAlign w:val="center"/>
          </w:tcPr>
          <w:p w14:paraId="1FD3EB4F">
            <w:pPr>
              <w:jc w:val="center"/>
              <w:rPr>
                <w:rFonts w:ascii="宋体" w:hAnsi="宋体"/>
                <w:sz w:val="18"/>
                <w:szCs w:val="18"/>
              </w:rPr>
            </w:pPr>
            <w:r>
              <w:rPr>
                <w:rFonts w:ascii="宋体" w:hAnsi="宋体"/>
                <w:sz w:val="18"/>
                <w:szCs w:val="18"/>
              </w:rPr>
              <w:t>27.26</w:t>
            </w:r>
          </w:p>
        </w:tc>
        <w:tc>
          <w:tcPr>
            <w:tcW w:w="800" w:type="dxa"/>
            <w:vMerge w:val="continue"/>
            <w:noWrap w:val="0"/>
            <w:vAlign w:val="center"/>
          </w:tcPr>
          <w:p w14:paraId="3B62A132">
            <w:pPr>
              <w:jc w:val="center"/>
              <w:rPr>
                <w:rFonts w:ascii="宋体" w:hAnsi="宋体"/>
                <w:sz w:val="18"/>
                <w:szCs w:val="18"/>
              </w:rPr>
            </w:pPr>
          </w:p>
        </w:tc>
      </w:tr>
      <w:tr w14:paraId="13D3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6248BEDE">
            <w:pPr>
              <w:jc w:val="center"/>
              <w:rPr>
                <w:rFonts w:ascii="宋体" w:hAnsi="宋体"/>
                <w:sz w:val="18"/>
                <w:szCs w:val="18"/>
              </w:rPr>
            </w:pPr>
          </w:p>
        </w:tc>
        <w:tc>
          <w:tcPr>
            <w:tcW w:w="624" w:type="dxa"/>
            <w:vMerge w:val="restart"/>
            <w:noWrap w:val="0"/>
            <w:vAlign w:val="center"/>
          </w:tcPr>
          <w:p w14:paraId="261A90E9">
            <w:pPr>
              <w:jc w:val="center"/>
              <w:rPr>
                <w:rFonts w:ascii="宋体" w:hAnsi="宋体"/>
                <w:sz w:val="18"/>
                <w:szCs w:val="18"/>
              </w:rPr>
            </w:pPr>
            <w:r>
              <w:rPr>
                <w:rFonts w:ascii="宋体" w:hAnsi="宋体"/>
                <w:sz w:val="18"/>
                <w:szCs w:val="18"/>
              </w:rPr>
              <w:t>洗煤</w:t>
            </w:r>
          </w:p>
        </w:tc>
        <w:tc>
          <w:tcPr>
            <w:tcW w:w="1262" w:type="dxa"/>
            <w:noWrap w:val="0"/>
            <w:vAlign w:val="center"/>
          </w:tcPr>
          <w:p w14:paraId="239A372E">
            <w:pPr>
              <w:jc w:val="center"/>
              <w:rPr>
                <w:rFonts w:ascii="宋体" w:hAnsi="宋体"/>
                <w:sz w:val="18"/>
                <w:szCs w:val="18"/>
              </w:rPr>
            </w:pPr>
            <w:r>
              <w:rPr>
                <w:rFonts w:ascii="宋体" w:hAnsi="宋体"/>
                <w:sz w:val="18"/>
                <w:szCs w:val="18"/>
              </w:rPr>
              <w:t>0.61～1.86</w:t>
            </w:r>
          </w:p>
        </w:tc>
        <w:tc>
          <w:tcPr>
            <w:tcW w:w="1360" w:type="dxa"/>
            <w:noWrap w:val="0"/>
            <w:vAlign w:val="center"/>
          </w:tcPr>
          <w:p w14:paraId="0658B187">
            <w:pPr>
              <w:jc w:val="center"/>
              <w:rPr>
                <w:rFonts w:ascii="宋体" w:hAnsi="宋体"/>
                <w:sz w:val="18"/>
                <w:szCs w:val="18"/>
              </w:rPr>
            </w:pPr>
            <w:r>
              <w:rPr>
                <w:rFonts w:ascii="宋体" w:hAnsi="宋体"/>
                <w:sz w:val="18"/>
                <w:szCs w:val="18"/>
              </w:rPr>
              <w:t>4.19～11.85</w:t>
            </w:r>
          </w:p>
        </w:tc>
        <w:tc>
          <w:tcPr>
            <w:tcW w:w="1360" w:type="dxa"/>
            <w:noWrap w:val="0"/>
            <w:vAlign w:val="center"/>
          </w:tcPr>
          <w:p w14:paraId="566189B5">
            <w:pPr>
              <w:jc w:val="center"/>
              <w:rPr>
                <w:rFonts w:ascii="宋体" w:hAnsi="宋体"/>
                <w:sz w:val="18"/>
                <w:szCs w:val="18"/>
              </w:rPr>
            </w:pPr>
            <w:r>
              <w:rPr>
                <w:rFonts w:ascii="宋体" w:hAnsi="宋体"/>
                <w:sz w:val="18"/>
                <w:szCs w:val="18"/>
              </w:rPr>
              <w:t>5.59～9.23</w:t>
            </w:r>
          </w:p>
        </w:tc>
        <w:tc>
          <w:tcPr>
            <w:tcW w:w="1260" w:type="dxa"/>
            <w:noWrap w:val="0"/>
            <w:vAlign w:val="center"/>
          </w:tcPr>
          <w:p w14:paraId="6D515D4D">
            <w:pPr>
              <w:jc w:val="center"/>
              <w:rPr>
                <w:rFonts w:ascii="宋体" w:hAnsi="宋体"/>
                <w:sz w:val="18"/>
                <w:szCs w:val="18"/>
              </w:rPr>
            </w:pPr>
            <w:r>
              <w:rPr>
                <w:rFonts w:ascii="宋体" w:hAnsi="宋体"/>
                <w:sz w:val="18"/>
                <w:szCs w:val="18"/>
              </w:rPr>
              <w:t>0.50～2.25</w:t>
            </w:r>
          </w:p>
        </w:tc>
        <w:tc>
          <w:tcPr>
            <w:tcW w:w="1620" w:type="dxa"/>
            <w:noWrap w:val="0"/>
            <w:vAlign w:val="center"/>
          </w:tcPr>
          <w:p w14:paraId="2A6A7788">
            <w:pPr>
              <w:jc w:val="center"/>
              <w:rPr>
                <w:rFonts w:ascii="宋体" w:hAnsi="宋体"/>
                <w:sz w:val="18"/>
                <w:szCs w:val="18"/>
              </w:rPr>
            </w:pPr>
            <w:r>
              <w:rPr>
                <w:rFonts w:ascii="宋体" w:hAnsi="宋体"/>
                <w:sz w:val="18"/>
                <w:szCs w:val="18"/>
              </w:rPr>
              <w:t>31.83～34.48</w:t>
            </w:r>
          </w:p>
        </w:tc>
        <w:tc>
          <w:tcPr>
            <w:tcW w:w="800" w:type="dxa"/>
            <w:vMerge w:val="continue"/>
            <w:noWrap w:val="0"/>
            <w:vAlign w:val="center"/>
          </w:tcPr>
          <w:p w14:paraId="36FCD114">
            <w:pPr>
              <w:jc w:val="center"/>
              <w:rPr>
                <w:rFonts w:ascii="宋体" w:hAnsi="宋体"/>
                <w:sz w:val="18"/>
                <w:szCs w:val="18"/>
              </w:rPr>
            </w:pPr>
          </w:p>
        </w:tc>
      </w:tr>
      <w:tr w14:paraId="2D95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681FEC2D">
            <w:pPr>
              <w:jc w:val="center"/>
              <w:rPr>
                <w:rFonts w:ascii="宋体" w:hAnsi="宋体"/>
                <w:sz w:val="18"/>
                <w:szCs w:val="18"/>
              </w:rPr>
            </w:pPr>
          </w:p>
        </w:tc>
        <w:tc>
          <w:tcPr>
            <w:tcW w:w="624" w:type="dxa"/>
            <w:vMerge w:val="continue"/>
            <w:noWrap w:val="0"/>
            <w:vAlign w:val="center"/>
          </w:tcPr>
          <w:p w14:paraId="7CD9AF38">
            <w:pPr>
              <w:jc w:val="center"/>
              <w:rPr>
                <w:rFonts w:ascii="宋体" w:hAnsi="宋体"/>
                <w:sz w:val="18"/>
                <w:szCs w:val="18"/>
              </w:rPr>
            </w:pPr>
          </w:p>
        </w:tc>
        <w:tc>
          <w:tcPr>
            <w:tcW w:w="1262" w:type="dxa"/>
            <w:noWrap w:val="0"/>
            <w:vAlign w:val="center"/>
          </w:tcPr>
          <w:p w14:paraId="0AAAB5E5">
            <w:pPr>
              <w:jc w:val="center"/>
              <w:rPr>
                <w:rFonts w:ascii="宋体" w:hAnsi="宋体"/>
                <w:sz w:val="18"/>
                <w:szCs w:val="18"/>
              </w:rPr>
            </w:pPr>
            <w:r>
              <w:rPr>
                <w:rFonts w:ascii="宋体" w:hAnsi="宋体"/>
                <w:sz w:val="18"/>
                <w:szCs w:val="18"/>
              </w:rPr>
              <w:t>1.10</w:t>
            </w:r>
          </w:p>
        </w:tc>
        <w:tc>
          <w:tcPr>
            <w:tcW w:w="1360" w:type="dxa"/>
            <w:noWrap w:val="0"/>
            <w:vAlign w:val="center"/>
          </w:tcPr>
          <w:p w14:paraId="1411751D">
            <w:pPr>
              <w:jc w:val="center"/>
              <w:rPr>
                <w:rFonts w:ascii="宋体" w:hAnsi="宋体"/>
                <w:sz w:val="18"/>
                <w:szCs w:val="18"/>
              </w:rPr>
            </w:pPr>
            <w:r>
              <w:rPr>
                <w:rFonts w:ascii="宋体" w:hAnsi="宋体"/>
                <w:sz w:val="18"/>
                <w:szCs w:val="18"/>
              </w:rPr>
              <w:t>7.45</w:t>
            </w:r>
          </w:p>
        </w:tc>
        <w:tc>
          <w:tcPr>
            <w:tcW w:w="1360" w:type="dxa"/>
            <w:noWrap w:val="0"/>
            <w:vAlign w:val="center"/>
          </w:tcPr>
          <w:p w14:paraId="53412D1B">
            <w:pPr>
              <w:jc w:val="center"/>
              <w:rPr>
                <w:rFonts w:hint="eastAsia" w:ascii="宋体" w:hAnsi="宋体"/>
                <w:sz w:val="18"/>
                <w:szCs w:val="18"/>
              </w:rPr>
            </w:pPr>
            <w:r>
              <w:rPr>
                <w:rFonts w:hint="eastAsia" w:ascii="宋体" w:hAnsi="宋体"/>
                <w:sz w:val="18"/>
                <w:szCs w:val="18"/>
              </w:rPr>
              <w:t>8.23</w:t>
            </w:r>
          </w:p>
        </w:tc>
        <w:tc>
          <w:tcPr>
            <w:tcW w:w="1260" w:type="dxa"/>
            <w:noWrap w:val="0"/>
            <w:vAlign w:val="center"/>
          </w:tcPr>
          <w:p w14:paraId="262F621F">
            <w:pPr>
              <w:jc w:val="center"/>
              <w:rPr>
                <w:rFonts w:ascii="宋体" w:hAnsi="宋体"/>
                <w:sz w:val="18"/>
                <w:szCs w:val="18"/>
              </w:rPr>
            </w:pPr>
            <w:r>
              <w:rPr>
                <w:rFonts w:ascii="宋体" w:hAnsi="宋体"/>
                <w:sz w:val="18"/>
                <w:szCs w:val="18"/>
              </w:rPr>
              <w:t>1.50</w:t>
            </w:r>
          </w:p>
        </w:tc>
        <w:tc>
          <w:tcPr>
            <w:tcW w:w="1620" w:type="dxa"/>
            <w:noWrap w:val="0"/>
            <w:vAlign w:val="center"/>
          </w:tcPr>
          <w:p w14:paraId="2D749191">
            <w:pPr>
              <w:jc w:val="center"/>
              <w:rPr>
                <w:rFonts w:ascii="宋体" w:hAnsi="宋体"/>
                <w:sz w:val="18"/>
                <w:szCs w:val="18"/>
              </w:rPr>
            </w:pPr>
            <w:r>
              <w:rPr>
                <w:rFonts w:ascii="宋体" w:hAnsi="宋体"/>
                <w:sz w:val="18"/>
                <w:szCs w:val="18"/>
              </w:rPr>
              <w:t>33.62</w:t>
            </w:r>
          </w:p>
        </w:tc>
        <w:tc>
          <w:tcPr>
            <w:tcW w:w="800" w:type="dxa"/>
            <w:vMerge w:val="continue"/>
            <w:noWrap w:val="0"/>
            <w:vAlign w:val="center"/>
          </w:tcPr>
          <w:p w14:paraId="3A2A517E">
            <w:pPr>
              <w:jc w:val="center"/>
              <w:rPr>
                <w:rFonts w:ascii="宋体" w:hAnsi="宋体"/>
                <w:sz w:val="18"/>
                <w:szCs w:val="18"/>
              </w:rPr>
            </w:pPr>
          </w:p>
        </w:tc>
      </w:tr>
      <w:tr w14:paraId="5E76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restart"/>
            <w:noWrap w:val="0"/>
            <w:vAlign w:val="center"/>
          </w:tcPr>
          <w:p w14:paraId="4232AC20">
            <w:pPr>
              <w:jc w:val="center"/>
              <w:rPr>
                <w:rFonts w:ascii="宋体" w:hAnsi="宋体"/>
                <w:sz w:val="18"/>
                <w:szCs w:val="18"/>
              </w:rPr>
            </w:pPr>
            <w:r>
              <w:rPr>
                <w:rFonts w:ascii="宋体" w:hAnsi="宋体"/>
                <w:sz w:val="18"/>
                <w:szCs w:val="18"/>
              </w:rPr>
              <w:t>K110-a</w:t>
            </w:r>
          </w:p>
        </w:tc>
        <w:tc>
          <w:tcPr>
            <w:tcW w:w="624" w:type="dxa"/>
            <w:vMerge w:val="restart"/>
            <w:noWrap w:val="0"/>
            <w:vAlign w:val="center"/>
          </w:tcPr>
          <w:p w14:paraId="744321B4">
            <w:pPr>
              <w:jc w:val="center"/>
              <w:rPr>
                <w:rFonts w:ascii="宋体" w:hAnsi="宋体"/>
                <w:sz w:val="18"/>
                <w:szCs w:val="18"/>
              </w:rPr>
            </w:pPr>
            <w:r>
              <w:rPr>
                <w:rFonts w:ascii="宋体" w:hAnsi="宋体"/>
                <w:sz w:val="18"/>
                <w:szCs w:val="18"/>
              </w:rPr>
              <w:t>原煤</w:t>
            </w:r>
          </w:p>
        </w:tc>
        <w:tc>
          <w:tcPr>
            <w:tcW w:w="1262" w:type="dxa"/>
            <w:noWrap w:val="0"/>
            <w:vAlign w:val="center"/>
          </w:tcPr>
          <w:p w14:paraId="607C5823">
            <w:pPr>
              <w:jc w:val="center"/>
              <w:rPr>
                <w:rFonts w:ascii="宋体" w:hAnsi="宋体"/>
                <w:sz w:val="18"/>
                <w:szCs w:val="18"/>
              </w:rPr>
            </w:pPr>
            <w:r>
              <w:rPr>
                <w:rFonts w:ascii="宋体" w:hAnsi="宋体"/>
                <w:sz w:val="18"/>
                <w:szCs w:val="18"/>
              </w:rPr>
              <w:t>0.57～1.44</w:t>
            </w:r>
          </w:p>
        </w:tc>
        <w:tc>
          <w:tcPr>
            <w:tcW w:w="1360" w:type="dxa"/>
            <w:noWrap w:val="0"/>
            <w:vAlign w:val="center"/>
          </w:tcPr>
          <w:p w14:paraId="544706CA">
            <w:pPr>
              <w:jc w:val="center"/>
              <w:rPr>
                <w:rFonts w:ascii="宋体" w:hAnsi="宋体"/>
                <w:sz w:val="18"/>
                <w:szCs w:val="18"/>
              </w:rPr>
            </w:pPr>
            <w:r>
              <w:rPr>
                <w:rFonts w:ascii="宋体" w:hAnsi="宋体"/>
                <w:sz w:val="18"/>
                <w:szCs w:val="18"/>
              </w:rPr>
              <w:t>17.70～32.64</w:t>
            </w:r>
          </w:p>
        </w:tc>
        <w:tc>
          <w:tcPr>
            <w:tcW w:w="1360" w:type="dxa"/>
            <w:noWrap w:val="0"/>
            <w:vAlign w:val="center"/>
          </w:tcPr>
          <w:p w14:paraId="2C952ED7">
            <w:pPr>
              <w:jc w:val="center"/>
              <w:rPr>
                <w:rFonts w:ascii="宋体" w:hAnsi="宋体"/>
                <w:sz w:val="18"/>
                <w:szCs w:val="18"/>
              </w:rPr>
            </w:pPr>
            <w:r>
              <w:rPr>
                <w:rFonts w:ascii="宋体" w:hAnsi="宋体"/>
                <w:sz w:val="18"/>
                <w:szCs w:val="18"/>
              </w:rPr>
              <w:t>8.68～13.76</w:t>
            </w:r>
          </w:p>
        </w:tc>
        <w:tc>
          <w:tcPr>
            <w:tcW w:w="1260" w:type="dxa"/>
            <w:noWrap w:val="0"/>
            <w:vAlign w:val="center"/>
          </w:tcPr>
          <w:p w14:paraId="500C595F">
            <w:pPr>
              <w:jc w:val="center"/>
              <w:rPr>
                <w:rFonts w:ascii="宋体" w:hAnsi="宋体"/>
                <w:sz w:val="18"/>
                <w:szCs w:val="18"/>
              </w:rPr>
            </w:pPr>
            <w:r>
              <w:rPr>
                <w:rFonts w:ascii="宋体" w:hAnsi="宋体"/>
                <w:sz w:val="18"/>
                <w:szCs w:val="18"/>
              </w:rPr>
              <w:t>1.11～4.52</w:t>
            </w:r>
          </w:p>
        </w:tc>
        <w:tc>
          <w:tcPr>
            <w:tcW w:w="1620" w:type="dxa"/>
            <w:noWrap w:val="0"/>
            <w:vAlign w:val="center"/>
          </w:tcPr>
          <w:p w14:paraId="63064610">
            <w:pPr>
              <w:jc w:val="center"/>
              <w:rPr>
                <w:rFonts w:ascii="宋体" w:hAnsi="宋体"/>
                <w:sz w:val="18"/>
                <w:szCs w:val="18"/>
              </w:rPr>
            </w:pPr>
            <w:r>
              <w:rPr>
                <w:rFonts w:ascii="宋体" w:hAnsi="宋体"/>
                <w:sz w:val="18"/>
                <w:szCs w:val="18"/>
              </w:rPr>
              <w:t>23.73～31.83</w:t>
            </w:r>
          </w:p>
        </w:tc>
        <w:tc>
          <w:tcPr>
            <w:tcW w:w="800" w:type="dxa"/>
            <w:vMerge w:val="restart"/>
            <w:noWrap w:val="0"/>
            <w:vAlign w:val="center"/>
          </w:tcPr>
          <w:p w14:paraId="4F1870C9">
            <w:pPr>
              <w:jc w:val="center"/>
              <w:rPr>
                <w:rFonts w:hint="eastAsia" w:ascii="宋体" w:hAnsi="宋体"/>
                <w:sz w:val="18"/>
                <w:szCs w:val="18"/>
              </w:rPr>
            </w:pPr>
            <w:r>
              <w:rPr>
                <w:rFonts w:hint="eastAsia" w:ascii="宋体" w:hAnsi="宋体"/>
                <w:sz w:val="18"/>
                <w:szCs w:val="18"/>
              </w:rPr>
              <w:t>无烟煤</w:t>
            </w:r>
          </w:p>
        </w:tc>
      </w:tr>
      <w:tr w14:paraId="62BB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2D94721B">
            <w:pPr>
              <w:jc w:val="center"/>
              <w:rPr>
                <w:rFonts w:ascii="宋体" w:hAnsi="宋体"/>
                <w:sz w:val="18"/>
                <w:szCs w:val="18"/>
              </w:rPr>
            </w:pPr>
          </w:p>
        </w:tc>
        <w:tc>
          <w:tcPr>
            <w:tcW w:w="624" w:type="dxa"/>
            <w:vMerge w:val="continue"/>
            <w:noWrap w:val="0"/>
            <w:vAlign w:val="center"/>
          </w:tcPr>
          <w:p w14:paraId="67249AD0">
            <w:pPr>
              <w:jc w:val="center"/>
              <w:rPr>
                <w:rFonts w:ascii="宋体" w:hAnsi="宋体"/>
                <w:sz w:val="18"/>
                <w:szCs w:val="18"/>
              </w:rPr>
            </w:pPr>
          </w:p>
        </w:tc>
        <w:tc>
          <w:tcPr>
            <w:tcW w:w="1262" w:type="dxa"/>
            <w:noWrap w:val="0"/>
            <w:vAlign w:val="center"/>
          </w:tcPr>
          <w:p w14:paraId="6BF30D14">
            <w:pPr>
              <w:jc w:val="center"/>
              <w:rPr>
                <w:rFonts w:ascii="宋体" w:hAnsi="宋体"/>
                <w:sz w:val="18"/>
                <w:szCs w:val="18"/>
              </w:rPr>
            </w:pPr>
            <w:r>
              <w:rPr>
                <w:rFonts w:ascii="宋体" w:hAnsi="宋体"/>
                <w:sz w:val="18"/>
                <w:szCs w:val="18"/>
              </w:rPr>
              <w:t>1.15</w:t>
            </w:r>
          </w:p>
        </w:tc>
        <w:tc>
          <w:tcPr>
            <w:tcW w:w="1360" w:type="dxa"/>
            <w:noWrap w:val="0"/>
            <w:vAlign w:val="center"/>
          </w:tcPr>
          <w:p w14:paraId="6FB1522E">
            <w:pPr>
              <w:jc w:val="center"/>
              <w:rPr>
                <w:rFonts w:ascii="宋体" w:hAnsi="宋体"/>
                <w:sz w:val="18"/>
                <w:szCs w:val="18"/>
              </w:rPr>
            </w:pPr>
            <w:r>
              <w:rPr>
                <w:rFonts w:ascii="宋体" w:hAnsi="宋体"/>
                <w:sz w:val="18"/>
                <w:szCs w:val="18"/>
              </w:rPr>
              <w:t>24.51</w:t>
            </w:r>
          </w:p>
        </w:tc>
        <w:tc>
          <w:tcPr>
            <w:tcW w:w="1360" w:type="dxa"/>
            <w:noWrap w:val="0"/>
            <w:vAlign w:val="center"/>
          </w:tcPr>
          <w:p w14:paraId="582E9910">
            <w:pPr>
              <w:jc w:val="center"/>
              <w:rPr>
                <w:rFonts w:ascii="宋体" w:hAnsi="宋体"/>
                <w:sz w:val="18"/>
                <w:szCs w:val="18"/>
              </w:rPr>
            </w:pPr>
            <w:r>
              <w:rPr>
                <w:rFonts w:ascii="宋体" w:hAnsi="宋体"/>
                <w:sz w:val="18"/>
                <w:szCs w:val="18"/>
              </w:rPr>
              <w:t>10.75</w:t>
            </w:r>
          </w:p>
        </w:tc>
        <w:tc>
          <w:tcPr>
            <w:tcW w:w="1260" w:type="dxa"/>
            <w:noWrap w:val="0"/>
            <w:vAlign w:val="center"/>
          </w:tcPr>
          <w:p w14:paraId="02295850">
            <w:pPr>
              <w:jc w:val="center"/>
              <w:rPr>
                <w:rFonts w:ascii="宋体" w:hAnsi="宋体"/>
                <w:sz w:val="18"/>
                <w:szCs w:val="18"/>
              </w:rPr>
            </w:pPr>
            <w:r>
              <w:rPr>
                <w:rFonts w:ascii="宋体" w:hAnsi="宋体"/>
                <w:sz w:val="18"/>
                <w:szCs w:val="18"/>
              </w:rPr>
              <w:t>2.64</w:t>
            </w:r>
          </w:p>
        </w:tc>
        <w:tc>
          <w:tcPr>
            <w:tcW w:w="1620" w:type="dxa"/>
            <w:noWrap w:val="0"/>
            <w:vAlign w:val="center"/>
          </w:tcPr>
          <w:p w14:paraId="31F83F41">
            <w:pPr>
              <w:jc w:val="center"/>
              <w:rPr>
                <w:rFonts w:ascii="宋体" w:hAnsi="宋体"/>
                <w:sz w:val="18"/>
                <w:szCs w:val="18"/>
              </w:rPr>
            </w:pPr>
            <w:r>
              <w:rPr>
                <w:rFonts w:ascii="宋体" w:hAnsi="宋体"/>
                <w:sz w:val="18"/>
                <w:szCs w:val="18"/>
              </w:rPr>
              <w:t>26.95</w:t>
            </w:r>
          </w:p>
        </w:tc>
        <w:tc>
          <w:tcPr>
            <w:tcW w:w="800" w:type="dxa"/>
            <w:vMerge w:val="continue"/>
            <w:noWrap w:val="0"/>
            <w:vAlign w:val="center"/>
          </w:tcPr>
          <w:p w14:paraId="692235D8">
            <w:pPr>
              <w:jc w:val="center"/>
              <w:rPr>
                <w:rFonts w:ascii="宋体" w:hAnsi="宋体"/>
                <w:color w:val="FF0000"/>
                <w:sz w:val="18"/>
                <w:szCs w:val="18"/>
              </w:rPr>
            </w:pPr>
          </w:p>
        </w:tc>
      </w:tr>
      <w:tr w14:paraId="2DED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906132D">
            <w:pPr>
              <w:jc w:val="center"/>
              <w:rPr>
                <w:rFonts w:ascii="宋体" w:hAnsi="宋体"/>
                <w:sz w:val="18"/>
                <w:szCs w:val="18"/>
              </w:rPr>
            </w:pPr>
          </w:p>
        </w:tc>
        <w:tc>
          <w:tcPr>
            <w:tcW w:w="624" w:type="dxa"/>
            <w:vMerge w:val="restart"/>
            <w:noWrap w:val="0"/>
            <w:vAlign w:val="center"/>
          </w:tcPr>
          <w:p w14:paraId="5A866708">
            <w:pPr>
              <w:jc w:val="center"/>
              <w:rPr>
                <w:rFonts w:ascii="宋体" w:hAnsi="宋体"/>
                <w:sz w:val="18"/>
                <w:szCs w:val="18"/>
              </w:rPr>
            </w:pPr>
            <w:r>
              <w:rPr>
                <w:rFonts w:ascii="宋体" w:hAnsi="宋体"/>
                <w:sz w:val="18"/>
                <w:szCs w:val="18"/>
              </w:rPr>
              <w:t>洗煤</w:t>
            </w:r>
          </w:p>
        </w:tc>
        <w:tc>
          <w:tcPr>
            <w:tcW w:w="1262" w:type="dxa"/>
            <w:noWrap w:val="0"/>
            <w:vAlign w:val="center"/>
          </w:tcPr>
          <w:p w14:paraId="69672CA9">
            <w:pPr>
              <w:jc w:val="center"/>
              <w:rPr>
                <w:rFonts w:ascii="宋体" w:hAnsi="宋体"/>
                <w:sz w:val="18"/>
                <w:szCs w:val="18"/>
              </w:rPr>
            </w:pPr>
            <w:r>
              <w:rPr>
                <w:rFonts w:ascii="宋体" w:hAnsi="宋体"/>
                <w:sz w:val="18"/>
                <w:szCs w:val="18"/>
              </w:rPr>
              <w:t>0.46～1.43</w:t>
            </w:r>
          </w:p>
        </w:tc>
        <w:tc>
          <w:tcPr>
            <w:tcW w:w="1360" w:type="dxa"/>
            <w:noWrap w:val="0"/>
            <w:vAlign w:val="center"/>
          </w:tcPr>
          <w:p w14:paraId="1C38510B">
            <w:pPr>
              <w:jc w:val="center"/>
              <w:rPr>
                <w:rFonts w:ascii="宋体" w:hAnsi="宋体"/>
                <w:sz w:val="18"/>
                <w:szCs w:val="18"/>
              </w:rPr>
            </w:pPr>
            <w:r>
              <w:rPr>
                <w:rFonts w:ascii="宋体" w:hAnsi="宋体"/>
                <w:sz w:val="18"/>
                <w:szCs w:val="18"/>
              </w:rPr>
              <w:t>5.21～13.59</w:t>
            </w:r>
          </w:p>
        </w:tc>
        <w:tc>
          <w:tcPr>
            <w:tcW w:w="1360" w:type="dxa"/>
            <w:noWrap w:val="0"/>
            <w:vAlign w:val="center"/>
          </w:tcPr>
          <w:p w14:paraId="39AD5599">
            <w:pPr>
              <w:jc w:val="center"/>
              <w:rPr>
                <w:rFonts w:ascii="宋体" w:hAnsi="宋体"/>
                <w:sz w:val="18"/>
                <w:szCs w:val="18"/>
              </w:rPr>
            </w:pPr>
            <w:r>
              <w:rPr>
                <w:rFonts w:ascii="宋体" w:hAnsi="宋体"/>
                <w:sz w:val="18"/>
                <w:szCs w:val="18"/>
              </w:rPr>
              <w:t>7.58～10.02</w:t>
            </w:r>
          </w:p>
        </w:tc>
        <w:tc>
          <w:tcPr>
            <w:tcW w:w="1260" w:type="dxa"/>
            <w:noWrap w:val="0"/>
            <w:vAlign w:val="center"/>
          </w:tcPr>
          <w:p w14:paraId="58532102">
            <w:pPr>
              <w:jc w:val="center"/>
              <w:rPr>
                <w:rFonts w:ascii="宋体" w:hAnsi="宋体"/>
                <w:sz w:val="18"/>
                <w:szCs w:val="18"/>
              </w:rPr>
            </w:pPr>
            <w:r>
              <w:rPr>
                <w:rFonts w:ascii="宋体" w:hAnsi="宋体"/>
                <w:sz w:val="18"/>
                <w:szCs w:val="18"/>
              </w:rPr>
              <w:t>1.66～2.23</w:t>
            </w:r>
          </w:p>
        </w:tc>
        <w:tc>
          <w:tcPr>
            <w:tcW w:w="1620" w:type="dxa"/>
            <w:noWrap w:val="0"/>
            <w:vAlign w:val="center"/>
          </w:tcPr>
          <w:p w14:paraId="50B8FD75">
            <w:pPr>
              <w:jc w:val="center"/>
              <w:rPr>
                <w:rFonts w:ascii="宋体" w:hAnsi="宋体"/>
                <w:sz w:val="18"/>
                <w:szCs w:val="18"/>
              </w:rPr>
            </w:pPr>
            <w:r>
              <w:rPr>
                <w:rFonts w:ascii="宋体" w:hAnsi="宋体"/>
                <w:sz w:val="18"/>
                <w:szCs w:val="18"/>
              </w:rPr>
              <w:t>31.23～34.79</w:t>
            </w:r>
          </w:p>
        </w:tc>
        <w:tc>
          <w:tcPr>
            <w:tcW w:w="800" w:type="dxa"/>
            <w:vMerge w:val="continue"/>
            <w:noWrap w:val="0"/>
            <w:vAlign w:val="center"/>
          </w:tcPr>
          <w:p w14:paraId="3437AF05">
            <w:pPr>
              <w:jc w:val="center"/>
              <w:rPr>
                <w:rFonts w:ascii="宋体" w:hAnsi="宋体"/>
                <w:color w:val="FF0000"/>
                <w:sz w:val="18"/>
                <w:szCs w:val="18"/>
              </w:rPr>
            </w:pPr>
          </w:p>
        </w:tc>
      </w:tr>
      <w:tr w14:paraId="23DD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40" w:hRule="exact"/>
          <w:tblHeader/>
        </w:trPr>
        <w:tc>
          <w:tcPr>
            <w:tcW w:w="802" w:type="dxa"/>
            <w:vMerge w:val="continue"/>
            <w:noWrap w:val="0"/>
            <w:vAlign w:val="center"/>
          </w:tcPr>
          <w:p w14:paraId="3C9FC9F1">
            <w:pPr>
              <w:jc w:val="center"/>
              <w:rPr>
                <w:rFonts w:ascii="宋体" w:hAnsi="宋体"/>
                <w:sz w:val="18"/>
                <w:szCs w:val="18"/>
              </w:rPr>
            </w:pPr>
          </w:p>
        </w:tc>
        <w:tc>
          <w:tcPr>
            <w:tcW w:w="624" w:type="dxa"/>
            <w:vMerge w:val="continue"/>
            <w:noWrap w:val="0"/>
            <w:vAlign w:val="center"/>
          </w:tcPr>
          <w:p w14:paraId="48520BB7">
            <w:pPr>
              <w:jc w:val="center"/>
              <w:rPr>
                <w:rFonts w:ascii="宋体" w:hAnsi="宋体"/>
                <w:sz w:val="18"/>
                <w:szCs w:val="18"/>
              </w:rPr>
            </w:pPr>
          </w:p>
        </w:tc>
        <w:tc>
          <w:tcPr>
            <w:tcW w:w="1262" w:type="dxa"/>
            <w:noWrap w:val="0"/>
            <w:vAlign w:val="center"/>
          </w:tcPr>
          <w:p w14:paraId="2D1CDCA3">
            <w:pPr>
              <w:jc w:val="center"/>
              <w:rPr>
                <w:rFonts w:ascii="宋体" w:hAnsi="宋体"/>
                <w:sz w:val="18"/>
                <w:szCs w:val="18"/>
              </w:rPr>
            </w:pPr>
            <w:r>
              <w:rPr>
                <w:rFonts w:ascii="宋体" w:hAnsi="宋体"/>
                <w:sz w:val="18"/>
                <w:szCs w:val="18"/>
              </w:rPr>
              <w:t>1.13</w:t>
            </w:r>
          </w:p>
        </w:tc>
        <w:tc>
          <w:tcPr>
            <w:tcW w:w="1360" w:type="dxa"/>
            <w:noWrap w:val="0"/>
            <w:vAlign w:val="center"/>
          </w:tcPr>
          <w:p w14:paraId="68571F8E">
            <w:pPr>
              <w:jc w:val="center"/>
              <w:rPr>
                <w:rFonts w:ascii="宋体" w:hAnsi="宋体"/>
                <w:sz w:val="18"/>
                <w:szCs w:val="18"/>
              </w:rPr>
            </w:pPr>
            <w:r>
              <w:rPr>
                <w:rFonts w:ascii="宋体" w:hAnsi="宋体"/>
                <w:sz w:val="18"/>
                <w:szCs w:val="18"/>
              </w:rPr>
              <w:t>8.00</w:t>
            </w:r>
          </w:p>
        </w:tc>
        <w:tc>
          <w:tcPr>
            <w:tcW w:w="1360" w:type="dxa"/>
            <w:noWrap w:val="0"/>
            <w:vAlign w:val="center"/>
          </w:tcPr>
          <w:p w14:paraId="153E1DE8">
            <w:pPr>
              <w:jc w:val="center"/>
              <w:rPr>
                <w:rFonts w:ascii="宋体" w:hAnsi="宋体"/>
                <w:sz w:val="18"/>
                <w:szCs w:val="18"/>
              </w:rPr>
            </w:pPr>
            <w:r>
              <w:rPr>
                <w:rFonts w:ascii="宋体" w:hAnsi="宋体"/>
                <w:sz w:val="18"/>
                <w:szCs w:val="18"/>
              </w:rPr>
              <w:t>8.68</w:t>
            </w:r>
          </w:p>
        </w:tc>
        <w:tc>
          <w:tcPr>
            <w:tcW w:w="1260" w:type="dxa"/>
            <w:noWrap w:val="0"/>
            <w:vAlign w:val="center"/>
          </w:tcPr>
          <w:p w14:paraId="69C9D5DA">
            <w:pPr>
              <w:jc w:val="center"/>
              <w:rPr>
                <w:rFonts w:ascii="宋体" w:hAnsi="宋体"/>
                <w:sz w:val="18"/>
                <w:szCs w:val="18"/>
              </w:rPr>
            </w:pPr>
            <w:r>
              <w:rPr>
                <w:rFonts w:ascii="宋体" w:hAnsi="宋体"/>
                <w:sz w:val="18"/>
                <w:szCs w:val="18"/>
              </w:rPr>
              <w:t>1.59</w:t>
            </w:r>
          </w:p>
        </w:tc>
        <w:tc>
          <w:tcPr>
            <w:tcW w:w="1620" w:type="dxa"/>
            <w:noWrap w:val="0"/>
            <w:vAlign w:val="center"/>
          </w:tcPr>
          <w:p w14:paraId="50A28A19">
            <w:pPr>
              <w:jc w:val="center"/>
              <w:rPr>
                <w:rFonts w:ascii="宋体" w:hAnsi="宋体"/>
                <w:sz w:val="18"/>
                <w:szCs w:val="18"/>
              </w:rPr>
            </w:pPr>
            <w:r>
              <w:rPr>
                <w:rFonts w:ascii="宋体" w:hAnsi="宋体"/>
                <w:sz w:val="18"/>
                <w:szCs w:val="18"/>
              </w:rPr>
              <w:t>33.26</w:t>
            </w:r>
          </w:p>
        </w:tc>
        <w:tc>
          <w:tcPr>
            <w:tcW w:w="800" w:type="dxa"/>
            <w:vMerge w:val="continue"/>
            <w:noWrap w:val="0"/>
            <w:vAlign w:val="center"/>
          </w:tcPr>
          <w:p w14:paraId="3E5D5471">
            <w:pPr>
              <w:jc w:val="center"/>
              <w:rPr>
                <w:rFonts w:ascii="宋体" w:hAnsi="宋体"/>
                <w:color w:val="FF0000"/>
                <w:sz w:val="18"/>
                <w:szCs w:val="18"/>
              </w:rPr>
            </w:pPr>
          </w:p>
        </w:tc>
      </w:tr>
    </w:tbl>
    <w:p w14:paraId="4DDAE632">
      <w:pPr>
        <w:spacing w:after="50" w:line="360" w:lineRule="auto"/>
        <w:ind w:firstLine="480" w:firstLineChars="200"/>
        <w:rPr>
          <w:rFonts w:hint="eastAsia" w:hAnsi="宋体"/>
          <w:sz w:val="24"/>
        </w:rPr>
      </w:pPr>
      <w:r>
        <w:rPr>
          <w:rFonts w:hint="eastAsia" w:hAnsi="宋体"/>
          <w:sz w:val="24"/>
        </w:rPr>
        <w:t>由于该矿井没有瓦斯储量图及测定相关的资料，故采用经验公式计算煤层瓦斯含量，根据煤层瓦斯含量经验公式为：</w:t>
      </w:r>
    </w:p>
    <w:p w14:paraId="63335FC6">
      <w:pPr>
        <w:spacing w:after="50" w:line="360" w:lineRule="auto"/>
        <w:ind w:firstLine="480"/>
        <w:jc w:val="center"/>
        <w:rPr>
          <w:rFonts w:ascii="宋体" w:hAnsi="宋体"/>
          <w:sz w:val="24"/>
        </w:rPr>
      </w:pPr>
      <w:r>
        <w:rPr>
          <w:rFonts w:ascii="宋体" w:hAnsi="宋体"/>
          <w:position w:val="-54"/>
          <w:sz w:val="24"/>
        </w:rPr>
        <w:object>
          <v:shape id="_x0000_i1059" o:spt="75" type="#_x0000_t75" style="height:48pt;width:319.65pt;" o:ole="t" filled="f" o:preferrelative="t" stroked="f" coordsize="21600,21600">
            <v:path/>
            <v:fill on="f" alignshape="1" focussize="0,0"/>
            <v:stroke on="f"/>
            <v:imagedata r:id="rId74" o:title=""/>
            <o:lock v:ext="edit" aspectratio="t"/>
            <w10:wrap type="none"/>
            <w10:anchorlock/>
          </v:shape>
          <o:OLEObject Type="Embed" ProgID="Equation.3" ShapeID="_x0000_i1059" DrawAspect="Content" ObjectID="_1468075748" r:id="rId73">
            <o:LockedField>false</o:LockedField>
          </o:OLEObject>
        </w:object>
      </w:r>
    </w:p>
    <w:p w14:paraId="171C95BA">
      <w:pPr>
        <w:spacing w:after="50" w:line="360" w:lineRule="auto"/>
        <w:ind w:firstLine="480"/>
        <w:rPr>
          <w:rFonts w:ascii="宋体" w:hAnsi="宋体"/>
          <w:sz w:val="24"/>
        </w:rPr>
      </w:pPr>
      <w:r>
        <w:rPr>
          <w:rFonts w:ascii="宋体" w:hAnsi="宋体"/>
          <w:sz w:val="24"/>
        </w:rPr>
        <w:t>式中：Wx</w:t>
      </w:r>
      <w:r>
        <w:rPr>
          <w:rFonts w:hint="eastAsia" w:ascii="宋体" w:hAnsi="宋体"/>
          <w:sz w:val="24"/>
        </w:rPr>
        <w:t>—</w:t>
      </w:r>
      <w:r>
        <w:rPr>
          <w:rFonts w:ascii="宋体" w:hAnsi="宋体"/>
          <w:sz w:val="24"/>
        </w:rPr>
        <w:t>在P、t条件下的吸附瓦斯含量，m</w:t>
      </w:r>
      <w:r>
        <w:rPr>
          <w:rFonts w:ascii="宋体" w:hAnsi="宋体"/>
          <w:sz w:val="24"/>
          <w:vertAlign w:val="superscript"/>
        </w:rPr>
        <w:t>3</w:t>
      </w:r>
      <w:r>
        <w:rPr>
          <w:rFonts w:ascii="宋体" w:hAnsi="宋体"/>
          <w:sz w:val="24"/>
        </w:rPr>
        <w:t>/t；</w:t>
      </w:r>
    </w:p>
    <w:p w14:paraId="6B6EEEBC">
      <w:pPr>
        <w:spacing w:after="50" w:line="360" w:lineRule="auto"/>
        <w:ind w:firstLine="1200" w:firstLineChars="500"/>
        <w:rPr>
          <w:rFonts w:hint="eastAsia" w:ascii="宋体" w:hAnsi="宋体"/>
          <w:sz w:val="24"/>
        </w:rPr>
      </w:pPr>
      <w:r>
        <w:rPr>
          <w:rFonts w:ascii="宋体" w:hAnsi="宋体"/>
          <w:sz w:val="24"/>
        </w:rPr>
        <w:t>W</w:t>
      </w:r>
      <w:r>
        <w:rPr>
          <w:rFonts w:ascii="宋体" w:hAnsi="宋体"/>
          <w:sz w:val="24"/>
          <w:vertAlign w:val="subscript"/>
        </w:rPr>
        <w:t>Y</w:t>
      </w:r>
      <w:r>
        <w:rPr>
          <w:rFonts w:hint="eastAsia" w:ascii="宋体" w:hAnsi="宋体"/>
          <w:sz w:val="24"/>
        </w:rPr>
        <w:t>—</w:t>
      </w:r>
      <w:r>
        <w:rPr>
          <w:rFonts w:ascii="宋体" w:hAnsi="宋体"/>
          <w:sz w:val="24"/>
        </w:rPr>
        <w:t>在P、t条件下的游离瓦斯含量，m</w:t>
      </w:r>
      <w:r>
        <w:rPr>
          <w:rFonts w:ascii="宋体" w:hAnsi="宋体"/>
          <w:sz w:val="24"/>
          <w:vertAlign w:val="superscript"/>
        </w:rPr>
        <w:t>3</w:t>
      </w:r>
      <w:r>
        <w:rPr>
          <w:rFonts w:ascii="宋体" w:hAnsi="宋体"/>
          <w:sz w:val="24"/>
        </w:rPr>
        <w:t>/t；</w:t>
      </w:r>
    </w:p>
    <w:p w14:paraId="52CD8050">
      <w:pPr>
        <w:spacing w:after="50" w:line="360" w:lineRule="auto"/>
        <w:ind w:firstLine="1200" w:firstLineChars="500"/>
        <w:rPr>
          <w:rFonts w:hint="eastAsia" w:ascii="宋体" w:hAnsi="宋体"/>
          <w:sz w:val="24"/>
        </w:rPr>
      </w:pPr>
      <w:r>
        <w:rPr>
          <w:rFonts w:ascii="宋体" w:hAnsi="宋体"/>
          <w:sz w:val="24"/>
        </w:rPr>
        <w:t>A</w:t>
      </w:r>
      <w:r>
        <w:rPr>
          <w:rFonts w:ascii="宋体" w:hAnsi="宋体"/>
          <w:sz w:val="24"/>
          <w:vertAlign w:val="superscript"/>
        </w:rPr>
        <w:t>f</w:t>
      </w:r>
      <w:r>
        <w:rPr>
          <w:rFonts w:hint="eastAsia" w:ascii="宋体" w:hAnsi="宋体"/>
          <w:sz w:val="24"/>
        </w:rPr>
        <w:t>—</w:t>
      </w:r>
      <w:r>
        <w:rPr>
          <w:rFonts w:ascii="宋体" w:hAnsi="宋体"/>
          <w:sz w:val="24"/>
        </w:rPr>
        <w:t>煤层灰分，％；</w:t>
      </w:r>
    </w:p>
    <w:p w14:paraId="24886C2A">
      <w:pPr>
        <w:spacing w:after="50" w:line="360" w:lineRule="auto"/>
        <w:ind w:firstLine="1200" w:firstLineChars="500"/>
        <w:rPr>
          <w:rFonts w:hint="eastAsia" w:ascii="宋体" w:hAnsi="宋体"/>
          <w:sz w:val="24"/>
        </w:rPr>
      </w:pPr>
      <w:r>
        <w:rPr>
          <w:rFonts w:ascii="宋体" w:hAnsi="宋体"/>
          <w:sz w:val="24"/>
        </w:rPr>
        <w:t>W</w:t>
      </w:r>
      <w:r>
        <w:rPr>
          <w:rFonts w:ascii="宋体" w:hAnsi="宋体"/>
          <w:sz w:val="24"/>
          <w:vertAlign w:val="superscript"/>
        </w:rPr>
        <w:t>f</w:t>
      </w:r>
      <w:r>
        <w:rPr>
          <w:rFonts w:hint="eastAsia" w:ascii="宋体" w:hAnsi="宋体"/>
          <w:sz w:val="24"/>
        </w:rPr>
        <w:t>—</w:t>
      </w:r>
      <w:r>
        <w:rPr>
          <w:rFonts w:ascii="宋体" w:hAnsi="宋体"/>
          <w:sz w:val="24"/>
        </w:rPr>
        <w:t>煤层水分，％；</w:t>
      </w:r>
    </w:p>
    <w:p w14:paraId="367EC1AF">
      <w:pPr>
        <w:spacing w:after="50" w:line="360" w:lineRule="auto"/>
        <w:ind w:firstLine="1200" w:firstLineChars="500"/>
        <w:rPr>
          <w:rFonts w:hint="eastAsia" w:ascii="宋体" w:hAnsi="宋体"/>
          <w:sz w:val="24"/>
        </w:rPr>
      </w:pPr>
      <w:r>
        <w:rPr>
          <w:rFonts w:ascii="宋体" w:hAnsi="宋体"/>
          <w:sz w:val="24"/>
        </w:rPr>
        <w:object>
          <v:shape id="_x0000_i1060" o:spt="75" type="#_x0000_t75" style="height:15.75pt;width:15.75pt;" o:ole="t" filled="f" o:preferrelative="t" stroked="f" coordsize="21600,21600">
            <v:path/>
            <v:fill on="f" focussize="0,0"/>
            <v:stroke on="f"/>
            <v:imagedata r:id="rId76" o:title=""/>
            <o:lock v:ext="edit" aspectratio="t"/>
            <w10:wrap type="none"/>
            <w10:anchorlock/>
          </v:shape>
          <o:OLEObject Type="Embed" ProgID="Equation.3" ShapeID="_x0000_i1060" DrawAspect="Content" ObjectID="_1468075749" r:id="rId75">
            <o:LockedField>false</o:LockedField>
          </o:OLEObject>
        </w:object>
      </w:r>
      <w:r>
        <w:rPr>
          <w:rFonts w:hint="eastAsia" w:ascii="宋体" w:hAnsi="宋体"/>
          <w:sz w:val="24"/>
        </w:rPr>
        <w:t>—</w:t>
      </w:r>
      <w:r>
        <w:rPr>
          <w:rFonts w:ascii="宋体" w:hAnsi="宋体"/>
          <w:sz w:val="24"/>
        </w:rPr>
        <w:t>煤层挥发分，％</w:t>
      </w:r>
    </w:p>
    <w:p w14:paraId="54F0F9A4">
      <w:pPr>
        <w:spacing w:after="50" w:line="360" w:lineRule="auto"/>
        <w:ind w:firstLine="1200" w:firstLineChars="500"/>
        <w:rPr>
          <w:rFonts w:hint="eastAsia" w:ascii="宋体" w:hAnsi="宋体"/>
          <w:sz w:val="24"/>
        </w:rPr>
      </w:pPr>
      <w:r>
        <w:rPr>
          <w:rFonts w:ascii="宋体" w:hAnsi="宋体"/>
          <w:sz w:val="24"/>
        </w:rPr>
        <w:t>P</w:t>
      </w:r>
      <w:r>
        <w:rPr>
          <w:rFonts w:hint="eastAsia" w:ascii="宋体" w:hAnsi="宋体"/>
          <w:sz w:val="24"/>
        </w:rPr>
        <w:t>—</w:t>
      </w:r>
      <w:r>
        <w:rPr>
          <w:rFonts w:ascii="宋体" w:hAnsi="宋体"/>
          <w:sz w:val="24"/>
        </w:rPr>
        <w:t>煤层瓦斯压力，Mpa；</w:t>
      </w:r>
      <w:r>
        <w:rPr>
          <w:rFonts w:hint="eastAsia" w:ascii="宋体" w:hAnsi="宋体"/>
          <w:sz w:val="24"/>
        </w:rPr>
        <w:t>按矿井开采该煤层时的实际最低开采标高进行计算，P＝</w:t>
      </w:r>
      <w:r>
        <w:rPr>
          <w:rFonts w:ascii="宋体" w:hAnsi="宋体"/>
          <w:sz w:val="24"/>
        </w:rPr>
        <w:t>（2.03～10.13）H/1000</w:t>
      </w:r>
      <w:r>
        <w:rPr>
          <w:rFonts w:hint="eastAsia" w:ascii="宋体" w:hAnsi="宋体"/>
          <w:sz w:val="24"/>
        </w:rPr>
        <w:t>，设计取5.0；</w:t>
      </w:r>
    </w:p>
    <w:p w14:paraId="5450EAAD">
      <w:pPr>
        <w:adjustRightInd w:val="0"/>
        <w:snapToGrid w:val="0"/>
        <w:spacing w:line="360" w:lineRule="auto"/>
        <w:ind w:firstLine="480" w:firstLineChars="200"/>
        <w:rPr>
          <w:rFonts w:hint="eastAsia" w:ascii="宋体" w:hAnsi="宋体"/>
          <w:sz w:val="24"/>
        </w:rPr>
      </w:pPr>
      <w:r>
        <w:rPr>
          <w:rFonts w:hint="eastAsia" w:ascii="宋体" w:hAnsi="宋体"/>
          <w:sz w:val="24"/>
        </w:rPr>
        <w:t>式中：P──距地表垂深H处煤层瓦斯压力，kPa；</w:t>
      </w:r>
    </w:p>
    <w:p w14:paraId="31B44B68">
      <w:pPr>
        <w:adjustRightInd w:val="0"/>
        <w:snapToGrid w:val="0"/>
        <w:spacing w:line="360" w:lineRule="auto"/>
        <w:ind w:firstLine="1200" w:firstLineChars="500"/>
        <w:rPr>
          <w:rFonts w:hint="eastAsia" w:ascii="宋体" w:hAnsi="宋体"/>
          <w:sz w:val="24"/>
        </w:rPr>
      </w:pPr>
      <w:r>
        <w:rPr>
          <w:rFonts w:hint="eastAsia" w:ascii="宋体" w:hAnsi="宋体"/>
          <w:sz w:val="24"/>
        </w:rPr>
        <w:t>H──</w:t>
      </w:r>
      <w:r>
        <w:rPr>
          <w:rFonts w:ascii="宋体" w:hAnsi="宋体"/>
          <w:sz w:val="24"/>
        </w:rPr>
        <w:t>煤层开采</w:t>
      </w:r>
      <w:r>
        <w:rPr>
          <w:rFonts w:hint="eastAsia" w:ascii="宋体" w:hAnsi="宋体"/>
          <w:sz w:val="24"/>
        </w:rPr>
        <w:t>最低标高距</w:t>
      </w:r>
      <w:r>
        <w:rPr>
          <w:rFonts w:ascii="宋体" w:hAnsi="宋体"/>
          <w:sz w:val="24"/>
        </w:rPr>
        <w:t>地表垂深</w:t>
      </w:r>
      <w:r>
        <w:rPr>
          <w:rFonts w:hint="eastAsia" w:ascii="宋体" w:hAnsi="宋体"/>
          <w:sz w:val="24"/>
        </w:rPr>
        <w:t>，</w:t>
      </w:r>
      <w:r>
        <w:rPr>
          <w:rFonts w:ascii="宋体" w:hAnsi="宋体"/>
          <w:sz w:val="24"/>
        </w:rPr>
        <w:t>m</w:t>
      </w:r>
      <w:r>
        <w:rPr>
          <w:rFonts w:hint="eastAsia" w:ascii="宋体" w:hAnsi="宋体"/>
          <w:sz w:val="24"/>
        </w:rPr>
        <w:t>。</w:t>
      </w:r>
    </w:p>
    <w:p w14:paraId="677E2027">
      <w:pPr>
        <w:spacing w:line="360" w:lineRule="auto"/>
        <w:ind w:firstLine="480" w:firstLineChars="200"/>
        <w:jc w:val="left"/>
        <w:rPr>
          <w:rFonts w:hint="eastAsia" w:ascii="宋体" w:hAnsi="宋体"/>
          <w:sz w:val="24"/>
        </w:rPr>
      </w:pPr>
      <w:r>
        <w:rPr>
          <w:rFonts w:hint="eastAsia" w:ascii="宋体" w:hAnsi="宋体"/>
          <w:sz w:val="24"/>
        </w:rPr>
        <w:t>开采</w:t>
      </w:r>
      <w:r>
        <w:rPr>
          <w:rFonts w:ascii="宋体" w:hAnsi="宋体"/>
          <w:sz w:val="24"/>
        </w:rPr>
        <w:t>K1-b</w:t>
      </w:r>
      <w:r>
        <w:rPr>
          <w:rFonts w:hint="eastAsia" w:ascii="宋体" w:hAnsi="宋体"/>
          <w:sz w:val="24"/>
        </w:rPr>
        <w:t>煤层时的实际最低开采标高为+1834m,距地表垂高为373m；</w:t>
      </w:r>
    </w:p>
    <w:p w14:paraId="07193B20">
      <w:pPr>
        <w:spacing w:line="360" w:lineRule="auto"/>
        <w:ind w:firstLine="480" w:firstLineChars="200"/>
        <w:jc w:val="left"/>
        <w:rPr>
          <w:rFonts w:hint="eastAsia" w:ascii="宋体" w:hAnsi="宋体"/>
          <w:sz w:val="24"/>
        </w:rPr>
      </w:pPr>
      <w:r>
        <w:rPr>
          <w:rFonts w:hint="eastAsia" w:ascii="宋体" w:hAnsi="宋体"/>
          <w:sz w:val="24"/>
        </w:rPr>
        <w:t>开采K3煤层时的实际最低开采标高为+1824m,距地表垂高为382m；</w:t>
      </w:r>
    </w:p>
    <w:p w14:paraId="40EE0F4A">
      <w:pPr>
        <w:spacing w:line="360" w:lineRule="auto"/>
        <w:ind w:firstLine="480" w:firstLineChars="200"/>
        <w:jc w:val="left"/>
        <w:rPr>
          <w:rFonts w:hint="eastAsia" w:ascii="宋体" w:hAnsi="宋体"/>
          <w:sz w:val="24"/>
        </w:rPr>
      </w:pPr>
      <w:r>
        <w:rPr>
          <w:rFonts w:hint="eastAsia" w:ascii="宋体" w:hAnsi="宋体"/>
          <w:sz w:val="24"/>
        </w:rPr>
        <w:t>开采K9煤层时的实际最低开采标高为+1794m,距地表垂高为414m；</w:t>
      </w:r>
    </w:p>
    <w:p w14:paraId="068D32BC">
      <w:pPr>
        <w:spacing w:line="360" w:lineRule="auto"/>
        <w:ind w:firstLine="480" w:firstLineChars="200"/>
        <w:jc w:val="left"/>
        <w:rPr>
          <w:rFonts w:hint="eastAsia" w:ascii="宋体" w:hAnsi="宋体"/>
          <w:sz w:val="24"/>
        </w:rPr>
      </w:pPr>
      <w:r>
        <w:rPr>
          <w:rFonts w:hint="eastAsia" w:ascii="宋体" w:hAnsi="宋体"/>
          <w:sz w:val="24"/>
        </w:rPr>
        <w:t>开采K10煤层时的实际最低开采标高为+1782m,距地表垂高为425m；</w:t>
      </w:r>
    </w:p>
    <w:p w14:paraId="643E6D55">
      <w:pPr>
        <w:spacing w:line="360" w:lineRule="auto"/>
        <w:ind w:firstLine="480" w:firstLineChars="200"/>
        <w:jc w:val="left"/>
        <w:rPr>
          <w:rFonts w:hint="eastAsia" w:ascii="宋体" w:hAnsi="宋体"/>
          <w:sz w:val="24"/>
        </w:rPr>
      </w:pPr>
      <w:r>
        <w:rPr>
          <w:rFonts w:hint="eastAsia" w:ascii="宋体" w:hAnsi="宋体"/>
          <w:sz w:val="24"/>
        </w:rPr>
        <w:t>开采K13煤层时的实际最低开采标高为+1765m,距地表垂高为442m；</w:t>
      </w:r>
    </w:p>
    <w:p w14:paraId="3E214C4C">
      <w:pPr>
        <w:spacing w:line="360" w:lineRule="auto"/>
        <w:ind w:firstLine="480" w:firstLineChars="200"/>
        <w:jc w:val="left"/>
        <w:rPr>
          <w:rFonts w:hint="eastAsia" w:ascii="宋体" w:hAnsi="宋体"/>
          <w:sz w:val="24"/>
        </w:rPr>
      </w:pPr>
      <w:r>
        <w:rPr>
          <w:rFonts w:hint="eastAsia" w:ascii="宋体" w:hAnsi="宋体"/>
          <w:sz w:val="24"/>
        </w:rPr>
        <w:t>开采K18煤层时的实际最低开采标高为+1732m,距地表垂高为476m；</w:t>
      </w:r>
    </w:p>
    <w:p w14:paraId="036F341A">
      <w:pPr>
        <w:spacing w:line="360" w:lineRule="auto"/>
        <w:ind w:firstLine="480" w:firstLineChars="200"/>
        <w:jc w:val="left"/>
        <w:rPr>
          <w:rFonts w:hint="eastAsia" w:ascii="宋体" w:hAnsi="宋体"/>
          <w:sz w:val="24"/>
        </w:rPr>
      </w:pPr>
      <w:r>
        <w:rPr>
          <w:rFonts w:hint="eastAsia" w:ascii="宋体" w:hAnsi="宋体"/>
          <w:sz w:val="24"/>
        </w:rPr>
        <w:t>开采K26煤层时的实际最低开采标高为+1670m,距地表垂高为538m；</w:t>
      </w:r>
    </w:p>
    <w:p w14:paraId="5D9324FB">
      <w:pPr>
        <w:spacing w:line="360" w:lineRule="auto"/>
        <w:ind w:firstLine="480" w:firstLineChars="200"/>
        <w:jc w:val="left"/>
        <w:rPr>
          <w:rFonts w:hint="eastAsia" w:ascii="宋体" w:hAnsi="宋体"/>
          <w:sz w:val="24"/>
        </w:rPr>
      </w:pPr>
      <w:r>
        <w:rPr>
          <w:rFonts w:hint="eastAsia" w:ascii="宋体" w:hAnsi="宋体"/>
          <w:sz w:val="24"/>
        </w:rPr>
        <w:t>开采K35</w:t>
      </w:r>
      <w:r>
        <w:rPr>
          <w:rFonts w:ascii="宋体" w:hAnsi="宋体"/>
          <w:sz w:val="24"/>
        </w:rPr>
        <w:t>-b</w:t>
      </w:r>
      <w:r>
        <w:rPr>
          <w:rFonts w:hint="eastAsia" w:ascii="宋体" w:hAnsi="宋体"/>
          <w:sz w:val="24"/>
        </w:rPr>
        <w:t>煤层时的实际最低开采标高为+1647m,距地表垂高为560m；</w:t>
      </w:r>
    </w:p>
    <w:p w14:paraId="4D2AAC9F">
      <w:pPr>
        <w:spacing w:line="360" w:lineRule="auto"/>
        <w:ind w:firstLine="480" w:firstLineChars="200"/>
        <w:jc w:val="left"/>
        <w:rPr>
          <w:rFonts w:hint="eastAsia" w:ascii="宋体" w:hAnsi="宋体"/>
          <w:sz w:val="24"/>
        </w:rPr>
      </w:pPr>
      <w:r>
        <w:rPr>
          <w:rFonts w:hint="eastAsia" w:ascii="宋体" w:hAnsi="宋体"/>
          <w:sz w:val="24"/>
        </w:rPr>
        <w:t>开采K106</w:t>
      </w:r>
      <w:r>
        <w:rPr>
          <w:rFonts w:ascii="宋体" w:hAnsi="宋体"/>
          <w:sz w:val="24"/>
        </w:rPr>
        <w:t>-</w:t>
      </w:r>
      <w:r>
        <w:rPr>
          <w:rFonts w:hint="eastAsia" w:ascii="宋体" w:hAnsi="宋体"/>
          <w:sz w:val="24"/>
        </w:rPr>
        <w:t>b煤层时的实际最低开采标高为+1458m,距地表垂高为622m；</w:t>
      </w:r>
    </w:p>
    <w:p w14:paraId="1C7A3A92">
      <w:pPr>
        <w:spacing w:line="360" w:lineRule="auto"/>
        <w:ind w:firstLine="480" w:firstLineChars="200"/>
        <w:jc w:val="left"/>
        <w:rPr>
          <w:rFonts w:hint="eastAsia" w:ascii="宋体" w:hAnsi="宋体"/>
          <w:sz w:val="24"/>
        </w:rPr>
      </w:pPr>
      <w:r>
        <w:rPr>
          <w:rFonts w:hint="eastAsia" w:ascii="宋体" w:hAnsi="宋体"/>
          <w:sz w:val="24"/>
        </w:rPr>
        <w:t>开采K109</w:t>
      </w:r>
      <w:r>
        <w:rPr>
          <w:rFonts w:ascii="宋体" w:hAnsi="宋体"/>
          <w:sz w:val="24"/>
        </w:rPr>
        <w:t>-</w:t>
      </w:r>
      <w:r>
        <w:rPr>
          <w:rFonts w:hint="eastAsia" w:ascii="宋体" w:hAnsi="宋体"/>
          <w:sz w:val="24"/>
        </w:rPr>
        <w:t>b煤层时的实际最低开采标高为+1458m,距地表垂高为645m；</w:t>
      </w:r>
    </w:p>
    <w:p w14:paraId="702ECF3F">
      <w:pPr>
        <w:spacing w:line="360" w:lineRule="auto"/>
        <w:ind w:firstLine="480" w:firstLineChars="200"/>
        <w:jc w:val="left"/>
        <w:rPr>
          <w:rFonts w:hint="eastAsia" w:ascii="宋体" w:hAnsi="宋体"/>
          <w:sz w:val="24"/>
        </w:rPr>
      </w:pPr>
      <w:r>
        <w:rPr>
          <w:rFonts w:hint="eastAsia" w:ascii="宋体" w:hAnsi="宋体"/>
          <w:sz w:val="24"/>
        </w:rPr>
        <w:t>开采K110</w:t>
      </w:r>
      <w:r>
        <w:rPr>
          <w:rFonts w:ascii="宋体" w:hAnsi="宋体"/>
          <w:sz w:val="24"/>
        </w:rPr>
        <w:t>-</w:t>
      </w:r>
      <w:r>
        <w:rPr>
          <w:rFonts w:hint="eastAsia" w:ascii="宋体" w:hAnsi="宋体"/>
          <w:sz w:val="24"/>
        </w:rPr>
        <w:t>a煤层时的实际最低开采标高为+1458m,距地表垂高为653m。</w:t>
      </w:r>
    </w:p>
    <w:p w14:paraId="46DEBF92">
      <w:pPr>
        <w:spacing w:after="50" w:line="360" w:lineRule="auto"/>
        <w:ind w:firstLine="1154" w:firstLineChars="481"/>
        <w:rPr>
          <w:rFonts w:hint="eastAsia" w:ascii="宋体" w:hAnsi="宋体"/>
          <w:sz w:val="24"/>
        </w:rPr>
      </w:pPr>
      <w:r>
        <w:rPr>
          <w:rFonts w:ascii="宋体" w:hAnsi="宋体"/>
          <w:sz w:val="24"/>
        </w:rPr>
        <w:t>Fn</w:t>
      </w:r>
      <w:r>
        <w:rPr>
          <w:rFonts w:hint="eastAsia" w:ascii="宋体" w:hAnsi="宋体"/>
          <w:sz w:val="24"/>
        </w:rPr>
        <w:t>—</w:t>
      </w:r>
      <w:r>
        <w:rPr>
          <w:rFonts w:ascii="宋体" w:hAnsi="宋体"/>
          <w:sz w:val="24"/>
        </w:rPr>
        <w:t>煤的孔隙率，%</w:t>
      </w:r>
      <w:r>
        <w:rPr>
          <w:rFonts w:hint="eastAsia" w:ascii="宋体" w:hAnsi="宋体"/>
          <w:sz w:val="24"/>
        </w:rPr>
        <w:t>，查表：贫煤取3.4，无烟煤取4.0</w:t>
      </w:r>
      <w:r>
        <w:rPr>
          <w:rFonts w:ascii="宋体" w:hAnsi="宋体"/>
          <w:sz w:val="24"/>
        </w:rPr>
        <w:t>；</w:t>
      </w:r>
    </w:p>
    <w:p w14:paraId="441BB635">
      <w:pPr>
        <w:spacing w:after="50" w:line="360" w:lineRule="auto"/>
        <w:ind w:firstLine="1154" w:firstLineChars="481"/>
        <w:rPr>
          <w:rFonts w:hint="eastAsia" w:ascii="宋体" w:hAnsi="宋体"/>
          <w:sz w:val="24"/>
        </w:rPr>
      </w:pPr>
      <w:r>
        <w:rPr>
          <w:rFonts w:ascii="宋体" w:hAnsi="宋体"/>
          <w:sz w:val="24"/>
        </w:rPr>
        <w:t>e</w:t>
      </w:r>
      <w:r>
        <w:rPr>
          <w:rFonts w:ascii="宋体" w:hAnsi="宋体"/>
          <w:sz w:val="24"/>
          <w:vertAlign w:val="superscript"/>
        </w:rPr>
        <w:t>n</w:t>
      </w:r>
      <w:r>
        <w:rPr>
          <w:rFonts w:hint="eastAsia" w:ascii="宋体" w:hAnsi="宋体"/>
          <w:sz w:val="24"/>
        </w:rPr>
        <w:t>—</w:t>
      </w:r>
      <w:r>
        <w:rPr>
          <w:rFonts w:ascii="宋体" w:hAnsi="宋体"/>
          <w:sz w:val="24"/>
        </w:rPr>
        <w:t>温度系数</w:t>
      </w:r>
      <w:r>
        <w:rPr>
          <w:rFonts w:hint="eastAsia" w:ascii="宋体" w:hAnsi="宋体"/>
          <w:sz w:val="24"/>
        </w:rPr>
        <w:t>；</w:t>
      </w:r>
    </w:p>
    <w:p w14:paraId="3AAE52C1">
      <w:pPr>
        <w:spacing w:after="50" w:line="360" w:lineRule="auto"/>
        <w:ind w:firstLine="1154" w:firstLineChars="481"/>
        <w:rPr>
          <w:rFonts w:hint="eastAsia" w:ascii="宋体" w:hAnsi="宋体"/>
          <w:sz w:val="24"/>
        </w:rPr>
      </w:pPr>
      <w:r>
        <w:rPr>
          <w:rFonts w:ascii="宋体" w:hAnsi="宋体"/>
          <w:sz w:val="24"/>
        </w:rPr>
        <w:t>e</w:t>
      </w:r>
      <w:r>
        <w:rPr>
          <w:rFonts w:hint="eastAsia" w:ascii="宋体" w:hAnsi="宋体"/>
          <w:sz w:val="24"/>
        </w:rPr>
        <w:t>—</w:t>
      </w:r>
      <w:r>
        <w:rPr>
          <w:rFonts w:ascii="宋体" w:hAnsi="宋体"/>
          <w:sz w:val="24"/>
        </w:rPr>
        <w:t>为自然对数底；</w:t>
      </w:r>
    </w:p>
    <w:p w14:paraId="08E16625">
      <w:pPr>
        <w:spacing w:after="50" w:line="360" w:lineRule="auto"/>
        <w:ind w:firstLine="1154" w:firstLineChars="481"/>
        <w:rPr>
          <w:rFonts w:hint="eastAsia" w:ascii="宋体" w:hAnsi="宋体"/>
          <w:sz w:val="24"/>
        </w:rPr>
      </w:pPr>
      <w:r>
        <w:rPr>
          <w:rFonts w:ascii="宋体" w:hAnsi="宋体"/>
          <w:position w:val="-24"/>
          <w:sz w:val="24"/>
        </w:rPr>
        <w:object>
          <v:shape id="_x0000_i1061" o:spt="75" type="#_x0000_t75" style="height:31pt;width:96.85pt;" o:ole="t" filled="f" o:preferrelative="t" stroked="f" coordsize="21600,21600">
            <v:path/>
            <v:fill on="f" alignshape="1" focussize="0,0"/>
            <v:stroke on="f"/>
            <v:imagedata r:id="rId78" o:title=""/>
            <o:lock v:ext="edit" aspectratio="t"/>
            <w10:wrap type="none"/>
            <w10:anchorlock/>
          </v:shape>
          <o:OLEObject Type="Embed" ProgID="Equation.3" ShapeID="_x0000_i1061" DrawAspect="Content" ObjectID="_1468075750" r:id="rId77">
            <o:LockedField>false</o:LockedField>
          </o:OLEObject>
        </w:object>
      </w:r>
    </w:p>
    <w:p w14:paraId="23ED5ED7">
      <w:pPr>
        <w:spacing w:after="50" w:line="360" w:lineRule="auto"/>
        <w:ind w:firstLine="1154" w:firstLineChars="481"/>
        <w:rPr>
          <w:rFonts w:hint="eastAsia" w:ascii="宋体" w:hAnsi="宋体"/>
          <w:sz w:val="24"/>
        </w:rPr>
      </w:pPr>
      <w:r>
        <w:rPr>
          <w:rFonts w:ascii="宋体" w:hAnsi="宋体"/>
          <w:sz w:val="24"/>
        </w:rPr>
        <w:t>a</w:t>
      </w:r>
      <w:r>
        <w:rPr>
          <w:rFonts w:hint="eastAsia" w:ascii="宋体" w:hAnsi="宋体"/>
          <w:sz w:val="24"/>
        </w:rPr>
        <w:t>—</w:t>
      </w:r>
      <w:r>
        <w:rPr>
          <w:rFonts w:ascii="宋体" w:hAnsi="宋体"/>
          <w:sz w:val="24"/>
        </w:rPr>
        <w:t>2.4+0.21</w:t>
      </w:r>
      <w:r>
        <w:rPr>
          <w:rFonts w:ascii="宋体" w:hAnsi="宋体"/>
          <w:position w:val="-6"/>
          <w:sz w:val="24"/>
        </w:rPr>
        <w:object>
          <v:shape id="_x0000_i1062" o:spt="75" type="#_x0000_t75" style="height:15.75pt;width:15.75pt;" o:ole="t" filled="f" o:preferrelative="t" stroked="f" coordsize="21600,21600">
            <v:path/>
            <v:fill on="f" focussize="0,0"/>
            <v:stroke on="f"/>
            <v:imagedata r:id="rId76" o:title=""/>
            <o:lock v:ext="edit" aspectratio="t"/>
            <w10:wrap type="none"/>
            <w10:anchorlock/>
          </v:shape>
          <o:OLEObject Type="Embed" ProgID="Equation.3" ShapeID="_x0000_i1062" DrawAspect="Content" ObjectID="_1468075751" r:id="rId79">
            <o:LockedField>false</o:LockedField>
          </o:OLEObject>
        </w:object>
      </w:r>
      <w:r>
        <w:rPr>
          <w:rFonts w:ascii="宋体" w:hAnsi="宋体"/>
          <w:sz w:val="24"/>
        </w:rPr>
        <w:t>；</w:t>
      </w:r>
    </w:p>
    <w:p w14:paraId="2F09A46D">
      <w:pPr>
        <w:spacing w:after="50" w:line="360" w:lineRule="auto"/>
        <w:ind w:firstLine="1154" w:firstLineChars="481"/>
        <w:rPr>
          <w:rFonts w:hint="eastAsia" w:ascii="宋体" w:hAnsi="宋体"/>
          <w:sz w:val="24"/>
        </w:rPr>
      </w:pPr>
      <w:r>
        <w:rPr>
          <w:rFonts w:ascii="宋体" w:hAnsi="宋体"/>
          <w:sz w:val="24"/>
        </w:rPr>
        <w:t>b</w:t>
      </w:r>
      <w:r>
        <w:rPr>
          <w:rFonts w:hint="eastAsia" w:ascii="宋体" w:hAnsi="宋体"/>
          <w:sz w:val="24"/>
        </w:rPr>
        <w:t>—</w:t>
      </w:r>
      <w:r>
        <w:rPr>
          <w:rFonts w:ascii="宋体" w:hAnsi="宋体"/>
          <w:sz w:val="24"/>
        </w:rPr>
        <w:t>1-0.004</w:t>
      </w:r>
      <w:r>
        <w:rPr>
          <w:rFonts w:ascii="宋体" w:hAnsi="宋体"/>
          <w:position w:val="-6"/>
          <w:sz w:val="24"/>
        </w:rPr>
        <w:object>
          <v:shape id="_x0000_i1063" o:spt="75" type="#_x0000_t75" style="height:15.75pt;width:15.75pt;" o:ole="t" filled="f" o:preferrelative="t" stroked="f" coordsize="21600,21600">
            <v:path/>
            <v:fill on="f" focussize="0,0"/>
            <v:stroke on="f"/>
            <v:imagedata r:id="rId76" o:title=""/>
            <o:lock v:ext="edit" aspectratio="t"/>
            <w10:wrap type="none"/>
            <w10:anchorlock/>
          </v:shape>
          <o:OLEObject Type="Embed" ProgID="Equation.3" ShapeID="_x0000_i1063" DrawAspect="Content" ObjectID="_1468075752" r:id="rId80">
            <o:LockedField>false</o:LockedField>
          </o:OLEObject>
        </w:object>
      </w:r>
      <w:r>
        <w:rPr>
          <w:rFonts w:ascii="宋体" w:hAnsi="宋体"/>
          <w:sz w:val="24"/>
        </w:rPr>
        <w:t>；</w:t>
      </w:r>
    </w:p>
    <w:p w14:paraId="4825D07C">
      <w:pPr>
        <w:spacing w:after="50" w:line="360" w:lineRule="auto"/>
        <w:ind w:firstLine="1154" w:firstLineChars="481"/>
        <w:rPr>
          <w:rFonts w:hint="eastAsia" w:ascii="宋体" w:hAnsi="宋体"/>
          <w:sz w:val="24"/>
        </w:rPr>
      </w:pPr>
      <w:r>
        <w:rPr>
          <w:rFonts w:ascii="宋体" w:hAnsi="宋体"/>
          <w:sz w:val="24"/>
        </w:rPr>
        <w:t>K</w:t>
      </w:r>
      <w:r>
        <w:rPr>
          <w:rFonts w:ascii="宋体" w:hAnsi="宋体"/>
          <w:sz w:val="24"/>
          <w:vertAlign w:val="subscript"/>
        </w:rPr>
        <w:t>Y</w:t>
      </w:r>
      <w:r>
        <w:rPr>
          <w:rFonts w:hint="eastAsia" w:ascii="宋体" w:hAnsi="宋体"/>
          <w:sz w:val="24"/>
        </w:rPr>
        <w:t>—</w:t>
      </w:r>
      <w:r>
        <w:rPr>
          <w:rFonts w:ascii="宋体" w:hAnsi="宋体"/>
          <w:sz w:val="24"/>
        </w:rPr>
        <w:t>相对于煤层瓦斯压力下的瓦斯压缩系数；</w:t>
      </w:r>
    </w:p>
    <w:p w14:paraId="17394C61">
      <w:pPr>
        <w:spacing w:after="50" w:line="360" w:lineRule="auto"/>
        <w:ind w:firstLine="1154" w:firstLineChars="481"/>
        <w:rPr>
          <w:rFonts w:hint="eastAsia" w:ascii="宋体" w:hAnsi="宋体"/>
          <w:sz w:val="24"/>
        </w:rPr>
      </w:pPr>
      <w:r>
        <w:rPr>
          <w:rFonts w:ascii="宋体" w:hAnsi="宋体"/>
          <w:sz w:val="24"/>
        </w:rPr>
        <w:t>γ</w:t>
      </w:r>
      <w:r>
        <w:rPr>
          <w:rFonts w:hint="eastAsia" w:ascii="宋体" w:hAnsi="宋体"/>
          <w:sz w:val="24"/>
        </w:rPr>
        <w:t>—</w:t>
      </w:r>
      <w:r>
        <w:rPr>
          <w:rFonts w:ascii="宋体" w:hAnsi="宋体"/>
          <w:sz w:val="24"/>
        </w:rPr>
        <w:t>煤的容重，t/m</w:t>
      </w:r>
      <w:r>
        <w:rPr>
          <w:rFonts w:ascii="宋体" w:hAnsi="宋体"/>
          <w:sz w:val="24"/>
          <w:vertAlign w:val="superscript"/>
        </w:rPr>
        <w:t>3</w:t>
      </w:r>
      <w:r>
        <w:rPr>
          <w:rFonts w:ascii="宋体" w:hAnsi="宋体"/>
          <w:sz w:val="24"/>
        </w:rPr>
        <w:t>；</w:t>
      </w:r>
    </w:p>
    <w:p w14:paraId="52719446">
      <w:pPr>
        <w:spacing w:after="50" w:line="360" w:lineRule="auto"/>
        <w:ind w:firstLine="1154" w:firstLineChars="481"/>
        <w:rPr>
          <w:rFonts w:hint="eastAsia" w:ascii="宋体" w:hAnsi="宋体"/>
          <w:sz w:val="24"/>
        </w:rPr>
      </w:pPr>
      <w:r>
        <w:rPr>
          <w:rFonts w:ascii="宋体" w:hAnsi="宋体"/>
          <w:sz w:val="24"/>
        </w:rPr>
        <w:t>t</w:t>
      </w:r>
      <w:r>
        <w:rPr>
          <w:rFonts w:hint="eastAsia" w:ascii="宋体" w:hAnsi="宋体"/>
          <w:sz w:val="24"/>
        </w:rPr>
        <w:t>—</w:t>
      </w:r>
      <w:r>
        <w:rPr>
          <w:rFonts w:ascii="宋体" w:hAnsi="宋体"/>
          <w:sz w:val="24"/>
        </w:rPr>
        <w:t>温度，C°</w:t>
      </w:r>
      <w:r>
        <w:rPr>
          <w:rFonts w:hint="eastAsia" w:ascii="宋体" w:hAnsi="宋体"/>
          <w:sz w:val="24"/>
        </w:rPr>
        <w:t>取20</w:t>
      </w:r>
      <w:r>
        <w:rPr>
          <w:rFonts w:ascii="宋体" w:hAnsi="宋体"/>
          <w:sz w:val="24"/>
        </w:rPr>
        <w:t>C°；</w:t>
      </w:r>
    </w:p>
    <w:p w14:paraId="0979CD9F">
      <w:pPr>
        <w:spacing w:line="360" w:lineRule="auto"/>
        <w:jc w:val="center"/>
        <w:rPr>
          <w:rFonts w:hint="eastAsia" w:ascii="宋体" w:hAnsi="宋体"/>
          <w:b/>
          <w:color w:val="000000"/>
          <w:kern w:val="24"/>
          <w:sz w:val="24"/>
        </w:rPr>
      </w:pPr>
      <w:r>
        <w:rPr>
          <w:rFonts w:hint="eastAsia" w:ascii="宋体" w:hAnsi="宋体"/>
          <w:b/>
          <w:color w:val="000000"/>
          <w:kern w:val="24"/>
          <w:sz w:val="24"/>
        </w:rPr>
        <w:t>煤的容重（</w:t>
      </w:r>
      <w:r>
        <w:rPr>
          <w:rFonts w:ascii="宋体" w:hAnsi="宋体"/>
          <w:b/>
          <w:color w:val="000000"/>
          <w:kern w:val="24"/>
          <w:sz w:val="24"/>
        </w:rPr>
        <w:t>γ</w:t>
      </w:r>
      <w:r>
        <w:rPr>
          <w:rFonts w:hint="eastAsia" w:ascii="宋体" w:hAnsi="宋体"/>
          <w:b/>
          <w:color w:val="000000"/>
          <w:kern w:val="24"/>
          <w:sz w:val="24"/>
        </w:rPr>
        <w:t>）</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669"/>
        <w:gridCol w:w="639"/>
        <w:gridCol w:w="639"/>
        <w:gridCol w:w="639"/>
        <w:gridCol w:w="639"/>
        <w:gridCol w:w="639"/>
        <w:gridCol w:w="639"/>
        <w:gridCol w:w="744"/>
        <w:gridCol w:w="871"/>
        <w:gridCol w:w="858"/>
        <w:gridCol w:w="850"/>
      </w:tblGrid>
      <w:tr w14:paraId="710C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2" w:hRule="atLeast"/>
          <w:jc w:val="center"/>
        </w:trPr>
        <w:tc>
          <w:tcPr>
            <w:tcW w:w="1240" w:type="dxa"/>
            <w:noWrap w:val="0"/>
            <w:vAlign w:val="center"/>
          </w:tcPr>
          <w:p w14:paraId="50912228">
            <w:pPr>
              <w:jc w:val="center"/>
              <w:rPr>
                <w:rFonts w:hint="eastAsia" w:ascii="宋体" w:hAnsi="宋体"/>
                <w:szCs w:val="21"/>
              </w:rPr>
            </w:pPr>
            <w:r>
              <w:rPr>
                <w:rFonts w:hint="eastAsia" w:ascii="宋体" w:hAnsi="宋体"/>
                <w:szCs w:val="21"/>
              </w:rPr>
              <w:t>煤层编号</w:t>
            </w:r>
          </w:p>
        </w:tc>
        <w:tc>
          <w:tcPr>
            <w:tcW w:w="669" w:type="dxa"/>
            <w:noWrap w:val="0"/>
            <w:vAlign w:val="center"/>
          </w:tcPr>
          <w:p w14:paraId="5DC87145">
            <w:pPr>
              <w:jc w:val="center"/>
              <w:rPr>
                <w:rFonts w:hint="eastAsia" w:ascii="宋体" w:hAnsi="宋体"/>
                <w:szCs w:val="21"/>
              </w:rPr>
            </w:pPr>
            <w:r>
              <w:rPr>
                <w:rFonts w:ascii="宋体" w:hAnsi="宋体"/>
                <w:szCs w:val="21"/>
              </w:rPr>
              <w:t>K1-b</w:t>
            </w:r>
          </w:p>
        </w:tc>
        <w:tc>
          <w:tcPr>
            <w:tcW w:w="639" w:type="dxa"/>
            <w:noWrap w:val="0"/>
            <w:vAlign w:val="center"/>
          </w:tcPr>
          <w:p w14:paraId="54406A1C">
            <w:pPr>
              <w:jc w:val="center"/>
              <w:rPr>
                <w:rFonts w:hint="eastAsia" w:ascii="宋体" w:hAnsi="宋体"/>
                <w:szCs w:val="21"/>
              </w:rPr>
            </w:pPr>
            <w:r>
              <w:rPr>
                <w:rFonts w:hint="eastAsia" w:ascii="宋体" w:hAnsi="宋体"/>
                <w:szCs w:val="21"/>
              </w:rPr>
              <w:t>K3</w:t>
            </w:r>
          </w:p>
        </w:tc>
        <w:tc>
          <w:tcPr>
            <w:tcW w:w="639" w:type="dxa"/>
            <w:noWrap w:val="0"/>
            <w:vAlign w:val="center"/>
          </w:tcPr>
          <w:p w14:paraId="2074D5AF">
            <w:pPr>
              <w:jc w:val="center"/>
              <w:rPr>
                <w:rFonts w:hint="eastAsia" w:ascii="宋体" w:hAnsi="宋体"/>
                <w:szCs w:val="21"/>
              </w:rPr>
            </w:pPr>
            <w:r>
              <w:rPr>
                <w:rFonts w:hint="eastAsia" w:ascii="宋体" w:hAnsi="宋体"/>
                <w:szCs w:val="21"/>
              </w:rPr>
              <w:t>K9</w:t>
            </w:r>
          </w:p>
        </w:tc>
        <w:tc>
          <w:tcPr>
            <w:tcW w:w="639" w:type="dxa"/>
            <w:noWrap w:val="0"/>
            <w:vAlign w:val="center"/>
          </w:tcPr>
          <w:p w14:paraId="1E7B7EA2">
            <w:pPr>
              <w:jc w:val="center"/>
              <w:rPr>
                <w:rFonts w:hint="eastAsia" w:ascii="宋体" w:hAnsi="宋体"/>
                <w:szCs w:val="21"/>
              </w:rPr>
            </w:pPr>
            <w:r>
              <w:rPr>
                <w:rFonts w:hint="eastAsia" w:ascii="宋体" w:hAnsi="宋体"/>
                <w:szCs w:val="21"/>
              </w:rPr>
              <w:t>K10</w:t>
            </w:r>
          </w:p>
        </w:tc>
        <w:tc>
          <w:tcPr>
            <w:tcW w:w="639" w:type="dxa"/>
            <w:noWrap w:val="0"/>
            <w:vAlign w:val="center"/>
          </w:tcPr>
          <w:p w14:paraId="08CBC62B">
            <w:pPr>
              <w:jc w:val="center"/>
              <w:rPr>
                <w:rFonts w:hint="eastAsia" w:ascii="宋体" w:hAnsi="宋体"/>
                <w:szCs w:val="21"/>
              </w:rPr>
            </w:pPr>
            <w:r>
              <w:rPr>
                <w:rFonts w:hint="eastAsia" w:ascii="宋体" w:hAnsi="宋体"/>
                <w:szCs w:val="21"/>
              </w:rPr>
              <w:t>K13</w:t>
            </w:r>
          </w:p>
        </w:tc>
        <w:tc>
          <w:tcPr>
            <w:tcW w:w="639" w:type="dxa"/>
            <w:noWrap w:val="0"/>
            <w:vAlign w:val="center"/>
          </w:tcPr>
          <w:p w14:paraId="7B92E533">
            <w:pPr>
              <w:jc w:val="center"/>
              <w:rPr>
                <w:rFonts w:hint="eastAsia" w:ascii="宋体" w:hAnsi="宋体"/>
                <w:szCs w:val="21"/>
              </w:rPr>
            </w:pPr>
            <w:r>
              <w:rPr>
                <w:rFonts w:hint="eastAsia" w:ascii="宋体" w:hAnsi="宋体"/>
                <w:szCs w:val="21"/>
              </w:rPr>
              <w:t>K18</w:t>
            </w:r>
          </w:p>
        </w:tc>
        <w:tc>
          <w:tcPr>
            <w:tcW w:w="639" w:type="dxa"/>
            <w:noWrap w:val="0"/>
            <w:vAlign w:val="center"/>
          </w:tcPr>
          <w:p w14:paraId="264D6AC9">
            <w:pPr>
              <w:jc w:val="center"/>
              <w:rPr>
                <w:rFonts w:hint="eastAsia" w:ascii="宋体" w:hAnsi="宋体"/>
                <w:szCs w:val="21"/>
              </w:rPr>
            </w:pPr>
            <w:r>
              <w:rPr>
                <w:rFonts w:hint="eastAsia" w:ascii="宋体" w:hAnsi="宋体"/>
                <w:szCs w:val="21"/>
              </w:rPr>
              <w:t>K26</w:t>
            </w:r>
          </w:p>
        </w:tc>
        <w:tc>
          <w:tcPr>
            <w:tcW w:w="744" w:type="dxa"/>
            <w:noWrap w:val="0"/>
            <w:vAlign w:val="center"/>
          </w:tcPr>
          <w:p w14:paraId="1688611B">
            <w:pPr>
              <w:jc w:val="center"/>
              <w:rPr>
                <w:rFonts w:hint="eastAsia" w:ascii="宋体" w:hAnsi="宋体"/>
                <w:szCs w:val="21"/>
              </w:rPr>
            </w:pPr>
            <w:r>
              <w:rPr>
                <w:rFonts w:hint="eastAsia" w:ascii="宋体" w:hAnsi="宋体"/>
                <w:szCs w:val="21"/>
              </w:rPr>
              <w:t>K35</w:t>
            </w:r>
            <w:r>
              <w:rPr>
                <w:rFonts w:ascii="宋体" w:hAnsi="宋体"/>
                <w:szCs w:val="21"/>
              </w:rPr>
              <w:t>-b</w:t>
            </w:r>
          </w:p>
        </w:tc>
        <w:tc>
          <w:tcPr>
            <w:tcW w:w="871" w:type="dxa"/>
            <w:noWrap w:val="0"/>
            <w:vAlign w:val="center"/>
          </w:tcPr>
          <w:p w14:paraId="7A50FA72">
            <w:pPr>
              <w:jc w:val="center"/>
              <w:rPr>
                <w:rFonts w:hint="eastAsia" w:ascii="宋体" w:hAnsi="宋体"/>
                <w:szCs w:val="21"/>
              </w:rPr>
            </w:pPr>
            <w:r>
              <w:rPr>
                <w:rFonts w:hint="eastAsia" w:ascii="宋体" w:hAnsi="宋体"/>
                <w:szCs w:val="21"/>
              </w:rPr>
              <w:t>K106</w:t>
            </w:r>
            <w:r>
              <w:rPr>
                <w:rFonts w:ascii="宋体" w:hAnsi="宋体"/>
                <w:szCs w:val="21"/>
              </w:rPr>
              <w:t>-</w:t>
            </w:r>
            <w:r>
              <w:rPr>
                <w:rFonts w:hint="eastAsia" w:ascii="宋体" w:hAnsi="宋体"/>
                <w:szCs w:val="21"/>
              </w:rPr>
              <w:t>b</w:t>
            </w:r>
          </w:p>
        </w:tc>
        <w:tc>
          <w:tcPr>
            <w:tcW w:w="858" w:type="dxa"/>
            <w:noWrap w:val="0"/>
            <w:vAlign w:val="center"/>
          </w:tcPr>
          <w:p w14:paraId="5E484E52">
            <w:pPr>
              <w:jc w:val="center"/>
              <w:rPr>
                <w:rFonts w:hint="eastAsia" w:ascii="宋体" w:hAnsi="宋体"/>
                <w:szCs w:val="21"/>
              </w:rPr>
            </w:pPr>
            <w:r>
              <w:rPr>
                <w:rFonts w:hint="eastAsia" w:ascii="宋体" w:hAnsi="宋体"/>
                <w:szCs w:val="21"/>
              </w:rPr>
              <w:t>K109</w:t>
            </w:r>
            <w:r>
              <w:rPr>
                <w:rFonts w:ascii="宋体" w:hAnsi="宋体"/>
                <w:szCs w:val="21"/>
              </w:rPr>
              <w:t>-</w:t>
            </w:r>
            <w:r>
              <w:rPr>
                <w:rFonts w:hint="eastAsia" w:ascii="宋体" w:hAnsi="宋体"/>
                <w:szCs w:val="21"/>
              </w:rPr>
              <w:t>b</w:t>
            </w:r>
          </w:p>
        </w:tc>
        <w:tc>
          <w:tcPr>
            <w:tcW w:w="850" w:type="dxa"/>
            <w:noWrap w:val="0"/>
            <w:vAlign w:val="center"/>
          </w:tcPr>
          <w:p w14:paraId="64B515C5">
            <w:pPr>
              <w:jc w:val="center"/>
              <w:rPr>
                <w:rFonts w:hint="eastAsia" w:ascii="宋体" w:hAnsi="宋体"/>
                <w:szCs w:val="21"/>
              </w:rPr>
            </w:pPr>
            <w:r>
              <w:rPr>
                <w:rFonts w:hint="eastAsia" w:ascii="宋体" w:hAnsi="宋体"/>
                <w:szCs w:val="21"/>
              </w:rPr>
              <w:t>K110</w:t>
            </w:r>
            <w:r>
              <w:rPr>
                <w:rFonts w:ascii="宋体" w:hAnsi="宋体"/>
                <w:szCs w:val="21"/>
              </w:rPr>
              <w:t>-</w:t>
            </w:r>
            <w:r>
              <w:rPr>
                <w:rFonts w:hint="eastAsia" w:ascii="宋体" w:hAnsi="宋体"/>
                <w:szCs w:val="21"/>
              </w:rPr>
              <w:t>a</w:t>
            </w:r>
          </w:p>
        </w:tc>
      </w:tr>
      <w:tr w14:paraId="2BDC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2" w:hRule="atLeast"/>
          <w:jc w:val="center"/>
        </w:trPr>
        <w:tc>
          <w:tcPr>
            <w:tcW w:w="1240" w:type="dxa"/>
            <w:noWrap w:val="0"/>
            <w:vAlign w:val="center"/>
          </w:tcPr>
          <w:p w14:paraId="2F7D9512">
            <w:pPr>
              <w:jc w:val="center"/>
              <w:rPr>
                <w:rFonts w:hint="eastAsia" w:ascii="宋体" w:hAnsi="宋体"/>
                <w:szCs w:val="21"/>
              </w:rPr>
            </w:pPr>
            <w:r>
              <w:rPr>
                <w:rFonts w:hint="eastAsia" w:ascii="宋体" w:hAnsi="宋体"/>
                <w:szCs w:val="21"/>
              </w:rPr>
              <w:t>容重（</w:t>
            </w:r>
            <w:r>
              <w:rPr>
                <w:rFonts w:ascii="宋体" w:hAnsi="宋体"/>
                <w:szCs w:val="21"/>
              </w:rPr>
              <w:t>t/m</w:t>
            </w:r>
            <w:r>
              <w:rPr>
                <w:rFonts w:ascii="宋体" w:hAnsi="宋体"/>
                <w:szCs w:val="21"/>
                <w:vertAlign w:val="superscript"/>
              </w:rPr>
              <w:t>3</w:t>
            </w:r>
            <w:r>
              <w:rPr>
                <w:rFonts w:hint="eastAsia" w:ascii="宋体" w:hAnsi="宋体"/>
                <w:szCs w:val="21"/>
              </w:rPr>
              <w:t>）</w:t>
            </w:r>
          </w:p>
        </w:tc>
        <w:tc>
          <w:tcPr>
            <w:tcW w:w="669" w:type="dxa"/>
            <w:noWrap w:val="0"/>
            <w:vAlign w:val="center"/>
          </w:tcPr>
          <w:p w14:paraId="39182D86">
            <w:pPr>
              <w:jc w:val="center"/>
              <w:rPr>
                <w:rFonts w:hint="eastAsia" w:ascii="宋体" w:hAnsi="宋体"/>
                <w:szCs w:val="21"/>
              </w:rPr>
            </w:pPr>
            <w:r>
              <w:rPr>
                <w:rFonts w:hint="eastAsia" w:ascii="宋体" w:hAnsi="宋体"/>
                <w:szCs w:val="21"/>
              </w:rPr>
              <w:t>1.49</w:t>
            </w:r>
          </w:p>
        </w:tc>
        <w:tc>
          <w:tcPr>
            <w:tcW w:w="639" w:type="dxa"/>
            <w:noWrap w:val="0"/>
            <w:vAlign w:val="center"/>
          </w:tcPr>
          <w:p w14:paraId="16DD935F">
            <w:pPr>
              <w:jc w:val="center"/>
              <w:rPr>
                <w:rFonts w:hint="eastAsia" w:ascii="宋体" w:hAnsi="宋体"/>
                <w:szCs w:val="21"/>
              </w:rPr>
            </w:pPr>
            <w:r>
              <w:rPr>
                <w:rFonts w:hint="eastAsia" w:ascii="宋体" w:hAnsi="宋体"/>
                <w:szCs w:val="21"/>
              </w:rPr>
              <w:t>1.51</w:t>
            </w:r>
          </w:p>
        </w:tc>
        <w:tc>
          <w:tcPr>
            <w:tcW w:w="639" w:type="dxa"/>
            <w:noWrap w:val="0"/>
            <w:vAlign w:val="center"/>
          </w:tcPr>
          <w:p w14:paraId="0B0FCD58">
            <w:pPr>
              <w:jc w:val="center"/>
              <w:rPr>
                <w:rFonts w:hint="eastAsia" w:ascii="宋体" w:hAnsi="宋体"/>
                <w:szCs w:val="21"/>
              </w:rPr>
            </w:pPr>
            <w:r>
              <w:rPr>
                <w:rFonts w:hint="eastAsia" w:ascii="宋体" w:hAnsi="宋体"/>
                <w:szCs w:val="21"/>
              </w:rPr>
              <w:t>1.53</w:t>
            </w:r>
          </w:p>
        </w:tc>
        <w:tc>
          <w:tcPr>
            <w:tcW w:w="639" w:type="dxa"/>
            <w:noWrap w:val="0"/>
            <w:vAlign w:val="center"/>
          </w:tcPr>
          <w:p w14:paraId="6D3FF855">
            <w:pPr>
              <w:jc w:val="center"/>
              <w:rPr>
                <w:rFonts w:hint="eastAsia" w:ascii="宋体" w:hAnsi="宋体"/>
                <w:szCs w:val="21"/>
              </w:rPr>
            </w:pPr>
            <w:r>
              <w:rPr>
                <w:rFonts w:hint="eastAsia" w:ascii="宋体" w:hAnsi="宋体"/>
                <w:szCs w:val="21"/>
              </w:rPr>
              <w:t>1.51</w:t>
            </w:r>
          </w:p>
        </w:tc>
        <w:tc>
          <w:tcPr>
            <w:tcW w:w="639" w:type="dxa"/>
            <w:noWrap w:val="0"/>
            <w:vAlign w:val="center"/>
          </w:tcPr>
          <w:p w14:paraId="71D7A3CF">
            <w:pPr>
              <w:jc w:val="center"/>
              <w:rPr>
                <w:rFonts w:hint="eastAsia" w:ascii="宋体" w:hAnsi="宋体"/>
                <w:szCs w:val="21"/>
              </w:rPr>
            </w:pPr>
            <w:r>
              <w:rPr>
                <w:rFonts w:hint="eastAsia" w:ascii="宋体" w:hAnsi="宋体"/>
                <w:szCs w:val="21"/>
              </w:rPr>
              <w:t>1.47</w:t>
            </w:r>
          </w:p>
        </w:tc>
        <w:tc>
          <w:tcPr>
            <w:tcW w:w="639" w:type="dxa"/>
            <w:noWrap w:val="0"/>
            <w:vAlign w:val="center"/>
          </w:tcPr>
          <w:p w14:paraId="54356821">
            <w:pPr>
              <w:jc w:val="center"/>
              <w:rPr>
                <w:rFonts w:hint="eastAsia" w:ascii="宋体" w:hAnsi="宋体"/>
                <w:szCs w:val="21"/>
              </w:rPr>
            </w:pPr>
            <w:r>
              <w:rPr>
                <w:rFonts w:hint="eastAsia" w:ascii="宋体" w:hAnsi="宋体"/>
                <w:szCs w:val="21"/>
              </w:rPr>
              <w:t>1.44</w:t>
            </w:r>
          </w:p>
        </w:tc>
        <w:tc>
          <w:tcPr>
            <w:tcW w:w="639" w:type="dxa"/>
            <w:noWrap w:val="0"/>
            <w:vAlign w:val="center"/>
          </w:tcPr>
          <w:p w14:paraId="4C2AF412">
            <w:pPr>
              <w:jc w:val="center"/>
              <w:rPr>
                <w:rFonts w:hint="eastAsia" w:ascii="宋体" w:hAnsi="宋体"/>
                <w:szCs w:val="21"/>
              </w:rPr>
            </w:pPr>
            <w:r>
              <w:rPr>
                <w:rFonts w:hint="eastAsia" w:ascii="宋体" w:hAnsi="宋体"/>
                <w:szCs w:val="21"/>
              </w:rPr>
              <w:t>1.48</w:t>
            </w:r>
          </w:p>
        </w:tc>
        <w:tc>
          <w:tcPr>
            <w:tcW w:w="744" w:type="dxa"/>
            <w:noWrap w:val="0"/>
            <w:vAlign w:val="center"/>
          </w:tcPr>
          <w:p w14:paraId="7FA46DDF">
            <w:pPr>
              <w:jc w:val="center"/>
              <w:rPr>
                <w:rFonts w:hint="eastAsia" w:ascii="宋体" w:hAnsi="宋体"/>
                <w:szCs w:val="21"/>
              </w:rPr>
            </w:pPr>
            <w:r>
              <w:rPr>
                <w:rFonts w:hint="eastAsia" w:ascii="宋体" w:hAnsi="宋体"/>
                <w:szCs w:val="21"/>
              </w:rPr>
              <w:t>1.56</w:t>
            </w:r>
          </w:p>
        </w:tc>
        <w:tc>
          <w:tcPr>
            <w:tcW w:w="871" w:type="dxa"/>
            <w:noWrap w:val="0"/>
            <w:vAlign w:val="center"/>
          </w:tcPr>
          <w:p w14:paraId="4CD7775D">
            <w:pPr>
              <w:jc w:val="center"/>
              <w:rPr>
                <w:rFonts w:hint="eastAsia" w:ascii="宋体" w:hAnsi="宋体"/>
                <w:szCs w:val="21"/>
              </w:rPr>
            </w:pPr>
            <w:r>
              <w:rPr>
                <w:rFonts w:hint="eastAsia" w:ascii="宋体" w:hAnsi="宋体"/>
                <w:szCs w:val="21"/>
              </w:rPr>
              <w:t>1.56</w:t>
            </w:r>
          </w:p>
        </w:tc>
        <w:tc>
          <w:tcPr>
            <w:tcW w:w="858" w:type="dxa"/>
            <w:noWrap w:val="0"/>
            <w:vAlign w:val="center"/>
          </w:tcPr>
          <w:p w14:paraId="2F7BFECB">
            <w:pPr>
              <w:jc w:val="center"/>
              <w:rPr>
                <w:rFonts w:hint="eastAsia" w:ascii="宋体" w:hAnsi="宋体"/>
                <w:szCs w:val="21"/>
              </w:rPr>
            </w:pPr>
            <w:r>
              <w:rPr>
                <w:rFonts w:hint="eastAsia" w:ascii="宋体" w:hAnsi="宋体"/>
                <w:szCs w:val="21"/>
              </w:rPr>
              <w:t>1.49</w:t>
            </w:r>
          </w:p>
        </w:tc>
        <w:tc>
          <w:tcPr>
            <w:tcW w:w="850" w:type="dxa"/>
            <w:noWrap w:val="0"/>
            <w:vAlign w:val="center"/>
          </w:tcPr>
          <w:p w14:paraId="665D276B">
            <w:pPr>
              <w:jc w:val="center"/>
              <w:rPr>
                <w:rFonts w:hint="eastAsia" w:ascii="宋体" w:hAnsi="宋体"/>
                <w:szCs w:val="21"/>
              </w:rPr>
            </w:pPr>
            <w:r>
              <w:rPr>
                <w:rFonts w:hint="eastAsia" w:ascii="宋体" w:hAnsi="宋体"/>
                <w:szCs w:val="21"/>
              </w:rPr>
              <w:t>1.51</w:t>
            </w:r>
          </w:p>
        </w:tc>
      </w:tr>
    </w:tbl>
    <w:p w14:paraId="46BE0273">
      <w:pPr>
        <w:spacing w:line="360" w:lineRule="auto"/>
        <w:ind w:firstLine="480" w:firstLineChars="200"/>
        <w:jc w:val="left"/>
        <w:rPr>
          <w:rFonts w:ascii="宋体" w:hAnsi="宋体"/>
          <w:sz w:val="24"/>
        </w:rPr>
      </w:pPr>
      <w:r>
        <w:rPr>
          <w:rFonts w:hint="eastAsia" w:ascii="宋体" w:hAnsi="宋体"/>
          <w:sz w:val="24"/>
        </w:rPr>
        <w:t>将以上各参数代入公式计算得</w:t>
      </w:r>
      <w:r>
        <w:rPr>
          <w:rFonts w:ascii="宋体" w:hAnsi="宋体"/>
          <w:sz w:val="24"/>
        </w:rPr>
        <w:t>各煤层瓦斯含量如下见表。</w:t>
      </w:r>
    </w:p>
    <w:p w14:paraId="0AB7AF9E">
      <w:pPr>
        <w:jc w:val="center"/>
        <w:rPr>
          <w:rFonts w:hint="eastAsia" w:ascii="宋体" w:hAnsi="宋体"/>
          <w:b/>
          <w:color w:val="000000"/>
          <w:kern w:val="24"/>
          <w:sz w:val="24"/>
        </w:rPr>
      </w:pPr>
      <w:r>
        <w:rPr>
          <w:rFonts w:ascii="宋体" w:hAnsi="宋体"/>
          <w:b/>
          <w:color w:val="000000"/>
          <w:kern w:val="24"/>
          <w:sz w:val="24"/>
        </w:rPr>
        <w:t>矿井各煤层瓦斯含量</w:t>
      </w:r>
      <w:r>
        <w:rPr>
          <w:rFonts w:hint="eastAsia" w:ascii="宋体" w:hAnsi="宋体"/>
          <w:b/>
          <w:color w:val="000000"/>
          <w:kern w:val="24"/>
          <w:sz w:val="24"/>
        </w:rPr>
        <w:t>计算表</w:t>
      </w:r>
    </w:p>
    <w:tbl>
      <w:tblPr>
        <w:tblStyle w:val="62"/>
        <w:tblW w:w="0" w:type="auto"/>
        <w:jc w:val="center"/>
        <w:tblLayout w:type="fixed"/>
        <w:tblCellMar>
          <w:top w:w="0" w:type="dxa"/>
          <w:left w:w="108" w:type="dxa"/>
          <w:bottom w:w="0" w:type="dxa"/>
          <w:right w:w="108" w:type="dxa"/>
        </w:tblCellMar>
      </w:tblPr>
      <w:tblGrid>
        <w:gridCol w:w="756"/>
        <w:gridCol w:w="576"/>
        <w:gridCol w:w="666"/>
        <w:gridCol w:w="666"/>
        <w:gridCol w:w="576"/>
        <w:gridCol w:w="580"/>
        <w:gridCol w:w="576"/>
        <w:gridCol w:w="711"/>
        <w:gridCol w:w="780"/>
        <w:gridCol w:w="580"/>
        <w:gridCol w:w="576"/>
        <w:gridCol w:w="700"/>
        <w:gridCol w:w="576"/>
        <w:gridCol w:w="961"/>
      </w:tblGrid>
      <w:tr w14:paraId="1C6DE2A4">
        <w:tblPrEx>
          <w:tblCellMar>
            <w:top w:w="0" w:type="dxa"/>
            <w:left w:w="108" w:type="dxa"/>
            <w:bottom w:w="0" w:type="dxa"/>
            <w:right w:w="108" w:type="dxa"/>
          </w:tblCellMar>
        </w:tblPrEx>
        <w:trPr>
          <w:wBefore w:w="0" w:type="dxa"/>
          <w:wAfter w:w="0" w:type="dxa"/>
          <w:trHeight w:val="255" w:hRule="atLeast"/>
          <w:jc w:val="center"/>
        </w:trPr>
        <w:tc>
          <w:tcPr>
            <w:tcW w:w="756" w:type="dxa"/>
            <w:vMerge w:val="restart"/>
            <w:tcBorders>
              <w:top w:val="single" w:color="auto" w:sz="4" w:space="0"/>
              <w:left w:val="single" w:color="auto" w:sz="4" w:space="0"/>
              <w:bottom w:val="single" w:color="auto" w:sz="4" w:space="0"/>
              <w:right w:val="single" w:color="auto" w:sz="4" w:space="0"/>
            </w:tcBorders>
            <w:noWrap w:val="0"/>
            <w:vAlign w:val="center"/>
          </w:tcPr>
          <w:p w14:paraId="6A2E17D9">
            <w:pPr>
              <w:widowControl/>
              <w:jc w:val="center"/>
              <w:rPr>
                <w:rFonts w:ascii="宋体" w:hAnsi="宋体" w:cs="宋体"/>
                <w:kern w:val="0"/>
                <w:sz w:val="18"/>
                <w:szCs w:val="18"/>
              </w:rPr>
            </w:pPr>
            <w:r>
              <w:rPr>
                <w:rFonts w:hint="eastAsia" w:ascii="宋体" w:hAnsi="宋体" w:cs="宋体"/>
                <w:kern w:val="0"/>
                <w:sz w:val="18"/>
                <w:szCs w:val="18"/>
              </w:rPr>
              <w:t>煤层</w:t>
            </w:r>
          </w:p>
        </w:tc>
        <w:tc>
          <w:tcPr>
            <w:tcW w:w="576" w:type="dxa"/>
            <w:vMerge w:val="restart"/>
            <w:tcBorders>
              <w:top w:val="single" w:color="auto" w:sz="4" w:space="0"/>
              <w:left w:val="single" w:color="auto" w:sz="4" w:space="0"/>
              <w:bottom w:val="single" w:color="auto" w:sz="4" w:space="0"/>
              <w:right w:val="single" w:color="auto" w:sz="4" w:space="0"/>
            </w:tcBorders>
            <w:noWrap w:val="0"/>
            <w:vAlign w:val="center"/>
          </w:tcPr>
          <w:p w14:paraId="46DB6664">
            <w:pPr>
              <w:widowControl/>
              <w:jc w:val="center"/>
              <w:rPr>
                <w:rFonts w:hint="eastAsia" w:ascii="宋体" w:hAnsi="宋体" w:cs="宋体"/>
                <w:kern w:val="0"/>
                <w:sz w:val="18"/>
                <w:szCs w:val="18"/>
                <w:vertAlign w:val="superscript"/>
              </w:rPr>
            </w:pPr>
            <w:r>
              <w:rPr>
                <w:rFonts w:hint="eastAsia" w:ascii="宋体" w:hAnsi="宋体" w:cs="宋体"/>
                <w:kern w:val="0"/>
                <w:sz w:val="18"/>
                <w:szCs w:val="18"/>
              </w:rPr>
              <w:t>W</w:t>
            </w:r>
            <w:r>
              <w:rPr>
                <w:rFonts w:hint="eastAsia" w:ascii="宋体" w:hAnsi="宋体" w:cs="宋体"/>
                <w:kern w:val="0"/>
                <w:sz w:val="18"/>
                <w:szCs w:val="18"/>
                <w:vertAlign w:val="superscript"/>
              </w:rPr>
              <w:t>f</w:t>
            </w:r>
          </w:p>
          <w:p w14:paraId="1F395EEB">
            <w:pPr>
              <w:widowControl/>
              <w:jc w:val="center"/>
              <w:rPr>
                <w:rFonts w:ascii="宋体" w:hAnsi="宋体" w:cs="宋体"/>
                <w:kern w:val="0"/>
                <w:sz w:val="18"/>
                <w:szCs w:val="18"/>
              </w:rPr>
            </w:pPr>
            <w:r>
              <w:rPr>
                <w:rFonts w:hint="eastAsia" w:ascii="宋体" w:hAnsi="宋体" w:cs="宋体"/>
                <w:kern w:val="0"/>
                <w:sz w:val="18"/>
                <w:szCs w:val="18"/>
              </w:rPr>
              <w:t>(％)</w:t>
            </w:r>
          </w:p>
        </w:tc>
        <w:tc>
          <w:tcPr>
            <w:tcW w:w="666" w:type="dxa"/>
            <w:vMerge w:val="restart"/>
            <w:tcBorders>
              <w:top w:val="single" w:color="auto" w:sz="4" w:space="0"/>
              <w:left w:val="single" w:color="auto" w:sz="4" w:space="0"/>
              <w:bottom w:val="single" w:color="auto" w:sz="4" w:space="0"/>
              <w:right w:val="single" w:color="auto" w:sz="4" w:space="0"/>
            </w:tcBorders>
            <w:noWrap w:val="0"/>
            <w:vAlign w:val="center"/>
          </w:tcPr>
          <w:p w14:paraId="3EA4CD14">
            <w:pPr>
              <w:widowControl/>
              <w:jc w:val="center"/>
              <w:rPr>
                <w:rFonts w:hint="eastAsia" w:ascii="宋体" w:hAnsi="宋体" w:cs="宋体"/>
                <w:kern w:val="0"/>
                <w:sz w:val="18"/>
                <w:szCs w:val="18"/>
                <w:vertAlign w:val="superscript"/>
              </w:rPr>
            </w:pPr>
            <w:r>
              <w:rPr>
                <w:rFonts w:hint="eastAsia" w:ascii="宋体" w:hAnsi="宋体" w:cs="宋体"/>
                <w:kern w:val="0"/>
                <w:sz w:val="18"/>
                <w:szCs w:val="18"/>
              </w:rPr>
              <w:t>A</w:t>
            </w:r>
            <w:r>
              <w:rPr>
                <w:rFonts w:hint="eastAsia" w:ascii="宋体" w:hAnsi="宋体" w:cs="宋体"/>
                <w:kern w:val="0"/>
                <w:sz w:val="18"/>
                <w:szCs w:val="18"/>
                <w:vertAlign w:val="superscript"/>
              </w:rPr>
              <w:t>f</w:t>
            </w:r>
          </w:p>
          <w:p w14:paraId="034A60FC">
            <w:pPr>
              <w:widowControl/>
              <w:jc w:val="center"/>
              <w:rPr>
                <w:rFonts w:ascii="宋体" w:hAnsi="宋体" w:cs="宋体"/>
                <w:kern w:val="0"/>
                <w:sz w:val="18"/>
                <w:szCs w:val="18"/>
              </w:rPr>
            </w:pPr>
            <w:r>
              <w:rPr>
                <w:rFonts w:hint="eastAsia" w:ascii="宋体" w:hAnsi="宋体" w:cs="宋体"/>
                <w:kern w:val="0"/>
                <w:sz w:val="18"/>
                <w:szCs w:val="18"/>
              </w:rPr>
              <w:t>(％)</w:t>
            </w:r>
          </w:p>
        </w:tc>
        <w:tc>
          <w:tcPr>
            <w:tcW w:w="666" w:type="dxa"/>
            <w:vMerge w:val="restart"/>
            <w:tcBorders>
              <w:top w:val="single" w:color="auto" w:sz="4" w:space="0"/>
              <w:left w:val="single" w:color="auto" w:sz="4" w:space="0"/>
              <w:bottom w:val="single" w:color="auto" w:sz="4" w:space="0"/>
              <w:right w:val="single" w:color="auto" w:sz="4" w:space="0"/>
            </w:tcBorders>
            <w:noWrap w:val="0"/>
            <w:vAlign w:val="center"/>
          </w:tcPr>
          <w:p w14:paraId="790995C0">
            <w:pPr>
              <w:widowControl/>
              <w:jc w:val="center"/>
              <w:rPr>
                <w:rFonts w:hint="eastAsia" w:ascii="宋体" w:hAnsi="宋体" w:cs="宋体"/>
                <w:kern w:val="0"/>
                <w:sz w:val="18"/>
                <w:szCs w:val="18"/>
                <w:vertAlign w:val="superscript"/>
              </w:rPr>
            </w:pPr>
            <w:r>
              <w:rPr>
                <w:rFonts w:hint="eastAsia" w:ascii="宋体" w:hAnsi="宋体" w:cs="宋体"/>
                <w:kern w:val="0"/>
                <w:sz w:val="18"/>
                <w:szCs w:val="18"/>
              </w:rPr>
              <w:t>V</w:t>
            </w:r>
            <w:r>
              <w:rPr>
                <w:rFonts w:hint="eastAsia" w:ascii="宋体" w:hAnsi="宋体" w:cs="宋体"/>
                <w:kern w:val="0"/>
                <w:sz w:val="18"/>
                <w:szCs w:val="18"/>
                <w:vertAlign w:val="superscript"/>
              </w:rPr>
              <w:t>r</w:t>
            </w:r>
          </w:p>
          <w:p w14:paraId="1D760087">
            <w:pPr>
              <w:widowControl/>
              <w:jc w:val="center"/>
              <w:rPr>
                <w:rFonts w:ascii="宋体" w:hAnsi="宋体" w:cs="宋体"/>
                <w:kern w:val="0"/>
                <w:sz w:val="18"/>
                <w:szCs w:val="18"/>
              </w:rPr>
            </w:pPr>
            <w:r>
              <w:rPr>
                <w:rFonts w:hint="eastAsia" w:ascii="宋体" w:hAnsi="宋体" w:cs="宋体"/>
                <w:kern w:val="0"/>
                <w:sz w:val="18"/>
                <w:szCs w:val="18"/>
              </w:rPr>
              <w:t>(％)</w:t>
            </w:r>
          </w:p>
        </w:tc>
        <w:tc>
          <w:tcPr>
            <w:tcW w:w="576" w:type="dxa"/>
            <w:vMerge w:val="restart"/>
            <w:tcBorders>
              <w:top w:val="single" w:color="auto" w:sz="4" w:space="0"/>
              <w:left w:val="single" w:color="auto" w:sz="4" w:space="0"/>
              <w:bottom w:val="single" w:color="auto" w:sz="4" w:space="0"/>
              <w:right w:val="single" w:color="auto" w:sz="4" w:space="0"/>
            </w:tcBorders>
            <w:noWrap w:val="0"/>
            <w:vAlign w:val="center"/>
          </w:tcPr>
          <w:p w14:paraId="02FAA111">
            <w:pPr>
              <w:widowControl/>
              <w:jc w:val="center"/>
              <w:rPr>
                <w:rFonts w:hint="eastAsia" w:ascii="宋体" w:hAnsi="宋体" w:cs="宋体"/>
                <w:kern w:val="0"/>
                <w:sz w:val="18"/>
                <w:szCs w:val="18"/>
                <w:vertAlign w:val="subscript"/>
              </w:rPr>
            </w:pPr>
            <w:r>
              <w:rPr>
                <w:rFonts w:hint="eastAsia" w:ascii="宋体" w:hAnsi="宋体" w:cs="宋体"/>
                <w:kern w:val="0"/>
                <w:sz w:val="18"/>
                <w:szCs w:val="18"/>
              </w:rPr>
              <w:t>f</w:t>
            </w:r>
            <w:r>
              <w:rPr>
                <w:rFonts w:hint="eastAsia" w:ascii="宋体" w:hAnsi="宋体" w:cs="宋体"/>
                <w:kern w:val="0"/>
                <w:sz w:val="18"/>
                <w:szCs w:val="18"/>
                <w:vertAlign w:val="subscript"/>
              </w:rPr>
              <w:t>n</w:t>
            </w:r>
          </w:p>
          <w:p w14:paraId="05FEACD0">
            <w:pPr>
              <w:widowControl/>
              <w:jc w:val="center"/>
              <w:rPr>
                <w:rFonts w:ascii="宋体" w:hAnsi="宋体" w:cs="宋体"/>
                <w:kern w:val="0"/>
                <w:sz w:val="18"/>
                <w:szCs w:val="18"/>
              </w:rPr>
            </w:pPr>
            <w:r>
              <w:rPr>
                <w:rFonts w:hint="eastAsia" w:ascii="宋体" w:hAnsi="宋体" w:cs="宋体"/>
                <w:kern w:val="0"/>
                <w:sz w:val="18"/>
                <w:szCs w:val="18"/>
              </w:rPr>
              <w:t>(％)</w:t>
            </w:r>
          </w:p>
        </w:tc>
        <w:tc>
          <w:tcPr>
            <w:tcW w:w="580" w:type="dxa"/>
            <w:vMerge w:val="restart"/>
            <w:tcBorders>
              <w:top w:val="single" w:color="auto" w:sz="4" w:space="0"/>
              <w:left w:val="single" w:color="auto" w:sz="4" w:space="0"/>
              <w:bottom w:val="single" w:color="auto" w:sz="4" w:space="0"/>
              <w:right w:val="single" w:color="auto" w:sz="4" w:space="0"/>
            </w:tcBorders>
            <w:noWrap w:val="0"/>
            <w:vAlign w:val="center"/>
          </w:tcPr>
          <w:p w14:paraId="7E0D9C2D">
            <w:pPr>
              <w:widowControl/>
              <w:jc w:val="center"/>
              <w:rPr>
                <w:rFonts w:hint="eastAsia" w:ascii="宋体" w:hAnsi="宋体" w:cs="宋体"/>
                <w:kern w:val="0"/>
                <w:sz w:val="18"/>
                <w:szCs w:val="18"/>
              </w:rPr>
            </w:pPr>
            <w:r>
              <w:rPr>
                <w:rFonts w:hint="eastAsia" w:ascii="宋体" w:hAnsi="宋体" w:cs="宋体"/>
                <w:kern w:val="0"/>
                <w:sz w:val="18"/>
                <w:szCs w:val="18"/>
              </w:rPr>
              <w:t>H</w:t>
            </w:r>
          </w:p>
          <w:p w14:paraId="2D873687">
            <w:pPr>
              <w:widowControl/>
              <w:jc w:val="center"/>
              <w:rPr>
                <w:rFonts w:ascii="宋体" w:hAnsi="宋体" w:cs="宋体"/>
                <w:kern w:val="0"/>
                <w:sz w:val="18"/>
                <w:szCs w:val="18"/>
              </w:rPr>
            </w:pPr>
            <w:r>
              <w:rPr>
                <w:rFonts w:hint="eastAsia" w:ascii="宋体" w:hAnsi="宋体" w:cs="宋体"/>
                <w:kern w:val="0"/>
                <w:sz w:val="18"/>
                <w:szCs w:val="18"/>
              </w:rPr>
              <w:t>(m)</w:t>
            </w:r>
          </w:p>
        </w:tc>
        <w:tc>
          <w:tcPr>
            <w:tcW w:w="576" w:type="dxa"/>
            <w:vMerge w:val="restart"/>
            <w:tcBorders>
              <w:top w:val="single" w:color="auto" w:sz="4" w:space="0"/>
              <w:left w:val="single" w:color="auto" w:sz="4" w:space="0"/>
              <w:bottom w:val="single" w:color="auto" w:sz="4" w:space="0"/>
              <w:right w:val="single" w:color="auto" w:sz="4" w:space="0"/>
            </w:tcBorders>
            <w:noWrap w:val="0"/>
            <w:vAlign w:val="center"/>
          </w:tcPr>
          <w:p w14:paraId="5ABE4245">
            <w:pPr>
              <w:widowControl/>
              <w:jc w:val="center"/>
              <w:rPr>
                <w:rFonts w:ascii="宋体" w:hAnsi="宋体" w:cs="宋体"/>
                <w:kern w:val="0"/>
                <w:sz w:val="18"/>
                <w:szCs w:val="18"/>
              </w:rPr>
            </w:pPr>
            <w:r>
              <w:rPr>
                <w:rFonts w:hint="eastAsia" w:ascii="宋体" w:hAnsi="宋体" w:cs="宋体"/>
                <w:kern w:val="0"/>
                <w:sz w:val="18"/>
                <w:szCs w:val="18"/>
              </w:rPr>
              <w:t>K</w:t>
            </w:r>
            <w:r>
              <w:rPr>
                <w:rFonts w:hint="eastAsia" w:ascii="宋体" w:hAnsi="宋体" w:cs="宋体"/>
                <w:kern w:val="0"/>
                <w:sz w:val="18"/>
                <w:szCs w:val="18"/>
                <w:vertAlign w:val="subscript"/>
              </w:rPr>
              <w:t>Y</w:t>
            </w:r>
          </w:p>
        </w:tc>
        <w:tc>
          <w:tcPr>
            <w:tcW w:w="711" w:type="dxa"/>
            <w:vMerge w:val="restart"/>
            <w:tcBorders>
              <w:top w:val="single" w:color="auto" w:sz="4" w:space="0"/>
              <w:left w:val="single" w:color="auto" w:sz="4" w:space="0"/>
              <w:bottom w:val="single" w:color="auto" w:sz="4" w:space="0"/>
              <w:right w:val="single" w:color="auto" w:sz="4" w:space="0"/>
            </w:tcBorders>
            <w:noWrap w:val="0"/>
            <w:vAlign w:val="center"/>
          </w:tcPr>
          <w:p w14:paraId="6FC0EF05">
            <w:pPr>
              <w:widowControl/>
              <w:jc w:val="center"/>
              <w:rPr>
                <w:rFonts w:hint="eastAsia" w:ascii="宋体" w:hAnsi="宋体" w:cs="宋体"/>
                <w:kern w:val="0"/>
                <w:sz w:val="18"/>
                <w:szCs w:val="18"/>
              </w:rPr>
            </w:pPr>
            <w:r>
              <w:rPr>
                <w:rFonts w:hint="eastAsia" w:ascii="宋体" w:hAnsi="宋体" w:cs="宋体"/>
                <w:kern w:val="0"/>
                <w:sz w:val="18"/>
                <w:szCs w:val="18"/>
              </w:rPr>
              <w:t>T</w:t>
            </w:r>
          </w:p>
          <w:p w14:paraId="20CAC98A">
            <w:pPr>
              <w:widowControl/>
              <w:jc w:val="center"/>
              <w:rPr>
                <w:rFonts w:ascii="宋体" w:hAnsi="宋体" w:cs="宋体"/>
                <w:kern w:val="0"/>
                <w:sz w:val="18"/>
                <w:szCs w:val="18"/>
              </w:rPr>
            </w:pPr>
            <w:r>
              <w:rPr>
                <w:rFonts w:hint="eastAsia" w:ascii="宋体" w:hAnsi="宋体" w:cs="宋体"/>
                <w:kern w:val="0"/>
                <w:sz w:val="18"/>
                <w:szCs w:val="18"/>
              </w:rPr>
              <w:t>(°C)</w:t>
            </w:r>
          </w:p>
        </w:tc>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60E13E7B">
            <w:pPr>
              <w:widowControl/>
              <w:jc w:val="center"/>
              <w:rPr>
                <w:rFonts w:hint="eastAsia" w:ascii="宋体" w:hAnsi="宋体" w:cs="宋体"/>
                <w:kern w:val="0"/>
                <w:sz w:val="18"/>
                <w:szCs w:val="18"/>
              </w:rPr>
            </w:pPr>
            <w:r>
              <w:rPr>
                <w:rFonts w:hint="eastAsia" w:ascii="宋体" w:hAnsi="宋体" w:cs="宋体"/>
                <w:kern w:val="0"/>
                <w:sz w:val="18"/>
                <w:szCs w:val="18"/>
              </w:rPr>
              <w:t>γ</w:t>
            </w:r>
          </w:p>
          <w:p w14:paraId="313FF016">
            <w:pPr>
              <w:widowControl/>
              <w:jc w:val="center"/>
              <w:rPr>
                <w:rFonts w:ascii="宋体" w:hAnsi="宋体" w:cs="宋体"/>
                <w:kern w:val="0"/>
                <w:sz w:val="18"/>
                <w:szCs w:val="18"/>
              </w:rPr>
            </w:pPr>
            <w:r>
              <w:rPr>
                <w:rFonts w:hint="eastAsia" w:ascii="宋体" w:hAnsi="宋体" w:cs="宋体"/>
                <w:kern w:val="0"/>
                <w:sz w:val="18"/>
                <w:szCs w:val="18"/>
              </w:rPr>
              <w:t>(t/m</w:t>
            </w:r>
            <w:r>
              <w:rPr>
                <w:rFonts w:hint="eastAsia" w:ascii="宋体" w:hAnsi="宋体" w:cs="宋体"/>
                <w:strike/>
                <w:kern w:val="0"/>
                <w:sz w:val="18"/>
                <w:szCs w:val="18"/>
                <w:vertAlign w:val="superscript"/>
              </w:rPr>
              <w:t>3</w:t>
            </w:r>
            <w:r>
              <w:rPr>
                <w:rFonts w:hint="eastAsia" w:ascii="宋体" w:hAnsi="宋体" w:cs="宋体"/>
                <w:kern w:val="0"/>
                <w:sz w:val="18"/>
                <w:szCs w:val="18"/>
              </w:rPr>
              <w:t>)</w:t>
            </w:r>
          </w:p>
        </w:tc>
        <w:tc>
          <w:tcPr>
            <w:tcW w:w="580" w:type="dxa"/>
            <w:vMerge w:val="restart"/>
            <w:tcBorders>
              <w:top w:val="single" w:color="auto" w:sz="4" w:space="0"/>
              <w:left w:val="single" w:color="auto" w:sz="4" w:space="0"/>
              <w:bottom w:val="single" w:color="auto" w:sz="4" w:space="0"/>
              <w:right w:val="single" w:color="auto" w:sz="4" w:space="0"/>
            </w:tcBorders>
            <w:noWrap w:val="0"/>
            <w:vAlign w:val="center"/>
          </w:tcPr>
          <w:p w14:paraId="0C0B2721">
            <w:pPr>
              <w:widowControl/>
              <w:jc w:val="center"/>
              <w:rPr>
                <w:rFonts w:ascii="宋体" w:hAnsi="宋体" w:cs="宋体"/>
                <w:kern w:val="0"/>
                <w:sz w:val="18"/>
                <w:szCs w:val="18"/>
              </w:rPr>
            </w:pPr>
            <w:r>
              <w:rPr>
                <w:rFonts w:hint="eastAsia" w:ascii="宋体" w:hAnsi="宋体" w:cs="宋体"/>
                <w:kern w:val="0"/>
                <w:sz w:val="18"/>
                <w:szCs w:val="18"/>
              </w:rPr>
              <w:t>a</w:t>
            </w:r>
          </w:p>
        </w:tc>
        <w:tc>
          <w:tcPr>
            <w:tcW w:w="576" w:type="dxa"/>
            <w:vMerge w:val="restart"/>
            <w:tcBorders>
              <w:top w:val="single" w:color="auto" w:sz="4" w:space="0"/>
              <w:left w:val="single" w:color="auto" w:sz="4" w:space="0"/>
              <w:bottom w:val="single" w:color="auto" w:sz="4" w:space="0"/>
              <w:right w:val="single" w:color="auto" w:sz="4" w:space="0"/>
            </w:tcBorders>
            <w:noWrap w:val="0"/>
            <w:vAlign w:val="center"/>
          </w:tcPr>
          <w:p w14:paraId="0FAF3019">
            <w:pPr>
              <w:widowControl/>
              <w:jc w:val="center"/>
              <w:rPr>
                <w:rFonts w:ascii="宋体" w:hAnsi="宋体" w:cs="宋体"/>
                <w:kern w:val="0"/>
                <w:sz w:val="18"/>
                <w:szCs w:val="18"/>
              </w:rPr>
            </w:pPr>
            <w:r>
              <w:rPr>
                <w:rFonts w:hint="eastAsia" w:ascii="宋体" w:hAnsi="宋体" w:cs="宋体"/>
                <w:kern w:val="0"/>
                <w:sz w:val="18"/>
                <w:szCs w:val="18"/>
              </w:rPr>
              <w:t>b</w:t>
            </w:r>
          </w:p>
        </w:tc>
        <w:tc>
          <w:tcPr>
            <w:tcW w:w="700" w:type="dxa"/>
            <w:vMerge w:val="restart"/>
            <w:tcBorders>
              <w:top w:val="single" w:color="auto" w:sz="4" w:space="0"/>
              <w:left w:val="single" w:color="auto" w:sz="4" w:space="0"/>
              <w:bottom w:val="single" w:color="auto" w:sz="4" w:space="0"/>
              <w:right w:val="single" w:color="auto" w:sz="4" w:space="0"/>
            </w:tcBorders>
            <w:noWrap w:val="0"/>
            <w:vAlign w:val="center"/>
          </w:tcPr>
          <w:p w14:paraId="635DE929">
            <w:pPr>
              <w:widowControl/>
              <w:jc w:val="center"/>
              <w:rPr>
                <w:rFonts w:hint="eastAsia" w:ascii="宋体" w:hAnsi="宋体" w:cs="宋体"/>
                <w:kern w:val="0"/>
                <w:sz w:val="18"/>
                <w:szCs w:val="18"/>
              </w:rPr>
            </w:pPr>
            <w:r>
              <w:rPr>
                <w:rFonts w:hint="eastAsia" w:ascii="宋体" w:hAnsi="宋体" w:cs="宋体"/>
                <w:kern w:val="0"/>
                <w:sz w:val="18"/>
                <w:szCs w:val="18"/>
              </w:rPr>
              <w:t>P</w:t>
            </w:r>
          </w:p>
          <w:p w14:paraId="424963AC">
            <w:pPr>
              <w:widowControl/>
              <w:jc w:val="center"/>
              <w:rPr>
                <w:rFonts w:ascii="宋体" w:hAnsi="宋体" w:cs="宋体"/>
                <w:kern w:val="0"/>
                <w:sz w:val="18"/>
                <w:szCs w:val="18"/>
              </w:rPr>
            </w:pPr>
            <w:r>
              <w:rPr>
                <w:rFonts w:hint="eastAsia" w:ascii="宋体" w:hAnsi="宋体" w:cs="宋体"/>
                <w:kern w:val="0"/>
                <w:sz w:val="18"/>
                <w:szCs w:val="18"/>
              </w:rPr>
              <w:t>(MPa)</w:t>
            </w:r>
          </w:p>
        </w:tc>
        <w:tc>
          <w:tcPr>
            <w:tcW w:w="576" w:type="dxa"/>
            <w:vMerge w:val="restart"/>
            <w:tcBorders>
              <w:top w:val="single" w:color="auto" w:sz="4" w:space="0"/>
              <w:left w:val="single" w:color="auto" w:sz="4" w:space="0"/>
              <w:bottom w:val="single" w:color="auto" w:sz="4" w:space="0"/>
              <w:right w:val="single" w:color="auto" w:sz="4" w:space="0"/>
            </w:tcBorders>
            <w:noWrap w:val="0"/>
            <w:vAlign w:val="center"/>
          </w:tcPr>
          <w:p w14:paraId="0EB81672">
            <w:pPr>
              <w:widowControl/>
              <w:jc w:val="center"/>
              <w:rPr>
                <w:rFonts w:ascii="宋体" w:hAnsi="宋体" w:cs="宋体"/>
                <w:kern w:val="0"/>
                <w:sz w:val="18"/>
                <w:szCs w:val="18"/>
              </w:rPr>
            </w:pPr>
            <w:r>
              <w:rPr>
                <w:rFonts w:hint="eastAsia" w:ascii="宋体" w:hAnsi="宋体" w:cs="宋体"/>
                <w:kern w:val="0"/>
                <w:sz w:val="18"/>
                <w:szCs w:val="18"/>
              </w:rPr>
              <w:t>e</w:t>
            </w:r>
            <w:r>
              <w:rPr>
                <w:rFonts w:hint="eastAsia" w:ascii="宋体" w:hAnsi="宋体" w:cs="宋体"/>
                <w:kern w:val="0"/>
                <w:sz w:val="18"/>
                <w:szCs w:val="18"/>
                <w:vertAlign w:val="superscript"/>
              </w:rPr>
              <w:t>n</w:t>
            </w:r>
          </w:p>
        </w:tc>
        <w:tc>
          <w:tcPr>
            <w:tcW w:w="961" w:type="dxa"/>
            <w:vMerge w:val="restart"/>
            <w:tcBorders>
              <w:top w:val="single" w:color="auto" w:sz="4" w:space="0"/>
              <w:left w:val="single" w:color="auto" w:sz="4" w:space="0"/>
              <w:bottom w:val="single" w:color="auto" w:sz="4" w:space="0"/>
              <w:right w:val="single" w:color="auto" w:sz="4" w:space="0"/>
            </w:tcBorders>
            <w:noWrap w:val="0"/>
            <w:vAlign w:val="center"/>
          </w:tcPr>
          <w:p w14:paraId="787FC81E">
            <w:pPr>
              <w:widowControl/>
              <w:jc w:val="center"/>
              <w:rPr>
                <w:rFonts w:ascii="宋体" w:hAnsi="宋体" w:cs="宋体"/>
                <w:kern w:val="0"/>
                <w:sz w:val="18"/>
                <w:szCs w:val="18"/>
              </w:rPr>
            </w:pPr>
            <w:r>
              <w:rPr>
                <w:rFonts w:hint="eastAsia" w:ascii="宋体" w:hAnsi="宋体" w:cs="宋体"/>
                <w:kern w:val="0"/>
                <w:sz w:val="18"/>
                <w:szCs w:val="18"/>
              </w:rPr>
              <w:t>瓦斯含量</w:t>
            </w:r>
            <w:r>
              <w:rPr>
                <w:rFonts w:hint="eastAsia" w:ascii="宋体" w:hAnsi="宋体" w:cs="宋体"/>
                <w:kern w:val="0"/>
                <w:sz w:val="18"/>
                <w:szCs w:val="18"/>
              </w:rPr>
              <w:br w:type="textWrapping"/>
            </w:r>
            <w:r>
              <w:rPr>
                <w:rFonts w:hint="eastAsia" w:ascii="宋体" w:hAnsi="宋体" w:cs="宋体"/>
                <w:kern w:val="0"/>
                <w:sz w:val="18"/>
                <w:szCs w:val="18"/>
              </w:rPr>
              <w:t>(m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730671D1">
        <w:tblPrEx>
          <w:tblCellMar>
            <w:top w:w="0" w:type="dxa"/>
            <w:left w:w="108" w:type="dxa"/>
            <w:bottom w:w="0" w:type="dxa"/>
            <w:right w:w="108" w:type="dxa"/>
          </w:tblCellMar>
        </w:tblPrEx>
        <w:trPr>
          <w:wBefore w:w="0" w:type="dxa"/>
          <w:wAfter w:w="0" w:type="dxa"/>
          <w:trHeight w:val="255" w:hRule="atLeast"/>
          <w:jc w:val="center"/>
        </w:trPr>
        <w:tc>
          <w:tcPr>
            <w:tcW w:w="756" w:type="dxa"/>
            <w:vMerge w:val="continue"/>
            <w:tcBorders>
              <w:top w:val="single" w:color="auto" w:sz="4" w:space="0"/>
              <w:left w:val="single" w:color="auto" w:sz="4" w:space="0"/>
              <w:bottom w:val="single" w:color="auto" w:sz="4" w:space="0"/>
              <w:right w:val="single" w:color="auto" w:sz="4" w:space="0"/>
            </w:tcBorders>
            <w:noWrap w:val="0"/>
            <w:vAlign w:val="center"/>
          </w:tcPr>
          <w:p w14:paraId="3D42C0CB">
            <w:pPr>
              <w:widowControl/>
              <w:jc w:val="left"/>
              <w:rPr>
                <w:rFonts w:ascii="宋体" w:hAnsi="宋体" w:cs="宋体"/>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noWrap w:val="0"/>
            <w:vAlign w:val="center"/>
          </w:tcPr>
          <w:p w14:paraId="7F65425E">
            <w:pPr>
              <w:widowControl/>
              <w:jc w:val="left"/>
              <w:rPr>
                <w:rFonts w:ascii="宋体" w:hAnsi="宋体" w:cs="宋体"/>
                <w:kern w:val="0"/>
                <w:sz w:val="18"/>
                <w:szCs w:val="18"/>
              </w:rPr>
            </w:pPr>
          </w:p>
        </w:tc>
        <w:tc>
          <w:tcPr>
            <w:tcW w:w="666" w:type="dxa"/>
            <w:vMerge w:val="continue"/>
            <w:tcBorders>
              <w:top w:val="single" w:color="auto" w:sz="4" w:space="0"/>
              <w:left w:val="single" w:color="auto" w:sz="4" w:space="0"/>
              <w:bottom w:val="single" w:color="auto" w:sz="4" w:space="0"/>
              <w:right w:val="single" w:color="auto" w:sz="4" w:space="0"/>
            </w:tcBorders>
            <w:noWrap w:val="0"/>
            <w:vAlign w:val="center"/>
          </w:tcPr>
          <w:p w14:paraId="07E93E86">
            <w:pPr>
              <w:widowControl/>
              <w:jc w:val="left"/>
              <w:rPr>
                <w:rFonts w:ascii="宋体" w:hAnsi="宋体" w:cs="宋体"/>
                <w:kern w:val="0"/>
                <w:sz w:val="18"/>
                <w:szCs w:val="18"/>
              </w:rPr>
            </w:pPr>
          </w:p>
        </w:tc>
        <w:tc>
          <w:tcPr>
            <w:tcW w:w="666" w:type="dxa"/>
            <w:vMerge w:val="continue"/>
            <w:tcBorders>
              <w:top w:val="single" w:color="auto" w:sz="4" w:space="0"/>
              <w:left w:val="single" w:color="auto" w:sz="4" w:space="0"/>
              <w:bottom w:val="single" w:color="auto" w:sz="4" w:space="0"/>
              <w:right w:val="single" w:color="auto" w:sz="4" w:space="0"/>
            </w:tcBorders>
            <w:noWrap w:val="0"/>
            <w:vAlign w:val="center"/>
          </w:tcPr>
          <w:p w14:paraId="3B5956F9">
            <w:pPr>
              <w:widowControl/>
              <w:jc w:val="left"/>
              <w:rPr>
                <w:rFonts w:ascii="宋体" w:hAnsi="宋体" w:cs="宋体"/>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noWrap w:val="0"/>
            <w:vAlign w:val="center"/>
          </w:tcPr>
          <w:p w14:paraId="3F1D44F8">
            <w:pPr>
              <w:widowControl/>
              <w:jc w:val="left"/>
              <w:rPr>
                <w:rFonts w:ascii="宋体" w:hAnsi="宋体" w:cs="宋体"/>
                <w:kern w:val="0"/>
                <w:sz w:val="18"/>
                <w:szCs w:val="18"/>
              </w:rPr>
            </w:pPr>
          </w:p>
        </w:tc>
        <w:tc>
          <w:tcPr>
            <w:tcW w:w="580" w:type="dxa"/>
            <w:vMerge w:val="continue"/>
            <w:tcBorders>
              <w:top w:val="single" w:color="auto" w:sz="4" w:space="0"/>
              <w:left w:val="single" w:color="auto" w:sz="4" w:space="0"/>
              <w:bottom w:val="single" w:color="auto" w:sz="4" w:space="0"/>
              <w:right w:val="single" w:color="auto" w:sz="4" w:space="0"/>
            </w:tcBorders>
            <w:noWrap w:val="0"/>
            <w:vAlign w:val="center"/>
          </w:tcPr>
          <w:p w14:paraId="79984F9E">
            <w:pPr>
              <w:widowControl/>
              <w:jc w:val="left"/>
              <w:rPr>
                <w:rFonts w:ascii="宋体" w:hAnsi="宋体" w:cs="宋体"/>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noWrap w:val="0"/>
            <w:vAlign w:val="center"/>
          </w:tcPr>
          <w:p w14:paraId="4B5017C9">
            <w:pPr>
              <w:widowControl/>
              <w:jc w:val="left"/>
              <w:rPr>
                <w:rFonts w:ascii="宋体" w:hAnsi="宋体" w:cs="宋体"/>
                <w:kern w:val="0"/>
                <w:sz w:val="18"/>
                <w:szCs w:val="18"/>
              </w:rPr>
            </w:pPr>
          </w:p>
        </w:tc>
        <w:tc>
          <w:tcPr>
            <w:tcW w:w="711" w:type="dxa"/>
            <w:vMerge w:val="continue"/>
            <w:tcBorders>
              <w:top w:val="single" w:color="auto" w:sz="4" w:space="0"/>
              <w:left w:val="single" w:color="auto" w:sz="4" w:space="0"/>
              <w:bottom w:val="single" w:color="auto" w:sz="4" w:space="0"/>
              <w:right w:val="single" w:color="auto" w:sz="4" w:space="0"/>
            </w:tcBorders>
            <w:noWrap w:val="0"/>
            <w:vAlign w:val="center"/>
          </w:tcPr>
          <w:p w14:paraId="0595E430">
            <w:pPr>
              <w:widowControl/>
              <w:jc w:val="left"/>
              <w:rPr>
                <w:rFonts w:ascii="宋体" w:hAnsi="宋体" w:cs="宋体"/>
                <w:kern w:val="0"/>
                <w:sz w:val="18"/>
                <w:szCs w:val="18"/>
              </w:rPr>
            </w:pPr>
          </w:p>
        </w:tc>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B82637D">
            <w:pPr>
              <w:widowControl/>
              <w:jc w:val="left"/>
              <w:rPr>
                <w:rFonts w:ascii="宋体" w:hAnsi="宋体" w:cs="宋体"/>
                <w:kern w:val="0"/>
                <w:sz w:val="18"/>
                <w:szCs w:val="18"/>
              </w:rPr>
            </w:pPr>
          </w:p>
        </w:tc>
        <w:tc>
          <w:tcPr>
            <w:tcW w:w="580" w:type="dxa"/>
            <w:vMerge w:val="continue"/>
            <w:tcBorders>
              <w:top w:val="single" w:color="auto" w:sz="4" w:space="0"/>
              <w:left w:val="single" w:color="auto" w:sz="4" w:space="0"/>
              <w:bottom w:val="single" w:color="auto" w:sz="4" w:space="0"/>
              <w:right w:val="single" w:color="auto" w:sz="4" w:space="0"/>
            </w:tcBorders>
            <w:noWrap w:val="0"/>
            <w:vAlign w:val="center"/>
          </w:tcPr>
          <w:p w14:paraId="4197F285">
            <w:pPr>
              <w:widowControl/>
              <w:jc w:val="left"/>
              <w:rPr>
                <w:rFonts w:ascii="宋体" w:hAnsi="宋体" w:cs="宋体"/>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noWrap w:val="0"/>
            <w:vAlign w:val="center"/>
          </w:tcPr>
          <w:p w14:paraId="70889B07">
            <w:pPr>
              <w:widowControl/>
              <w:jc w:val="left"/>
              <w:rPr>
                <w:rFonts w:ascii="宋体" w:hAnsi="宋体" w:cs="宋体"/>
                <w:kern w:val="0"/>
                <w:sz w:val="18"/>
                <w:szCs w:val="18"/>
              </w:rPr>
            </w:pPr>
          </w:p>
        </w:tc>
        <w:tc>
          <w:tcPr>
            <w:tcW w:w="700" w:type="dxa"/>
            <w:vMerge w:val="continue"/>
            <w:tcBorders>
              <w:top w:val="single" w:color="auto" w:sz="4" w:space="0"/>
              <w:left w:val="single" w:color="auto" w:sz="4" w:space="0"/>
              <w:bottom w:val="single" w:color="auto" w:sz="4" w:space="0"/>
              <w:right w:val="single" w:color="auto" w:sz="4" w:space="0"/>
            </w:tcBorders>
            <w:noWrap w:val="0"/>
            <w:vAlign w:val="center"/>
          </w:tcPr>
          <w:p w14:paraId="5D3206F4">
            <w:pPr>
              <w:widowControl/>
              <w:jc w:val="left"/>
              <w:rPr>
                <w:rFonts w:ascii="宋体" w:hAnsi="宋体" w:cs="宋体"/>
                <w:kern w:val="0"/>
                <w:sz w:val="18"/>
                <w:szCs w:val="18"/>
              </w:rPr>
            </w:pPr>
          </w:p>
        </w:tc>
        <w:tc>
          <w:tcPr>
            <w:tcW w:w="576" w:type="dxa"/>
            <w:vMerge w:val="continue"/>
            <w:tcBorders>
              <w:top w:val="single" w:color="auto" w:sz="4" w:space="0"/>
              <w:left w:val="single" w:color="auto" w:sz="4" w:space="0"/>
              <w:bottom w:val="single" w:color="auto" w:sz="4" w:space="0"/>
              <w:right w:val="single" w:color="auto" w:sz="4" w:space="0"/>
            </w:tcBorders>
            <w:noWrap w:val="0"/>
            <w:vAlign w:val="center"/>
          </w:tcPr>
          <w:p w14:paraId="084AA678">
            <w:pPr>
              <w:widowControl/>
              <w:jc w:val="left"/>
              <w:rPr>
                <w:rFonts w:ascii="宋体" w:hAnsi="宋体" w:cs="宋体"/>
                <w:kern w:val="0"/>
                <w:sz w:val="18"/>
                <w:szCs w:val="18"/>
              </w:rPr>
            </w:pPr>
          </w:p>
        </w:tc>
        <w:tc>
          <w:tcPr>
            <w:tcW w:w="961" w:type="dxa"/>
            <w:vMerge w:val="continue"/>
            <w:tcBorders>
              <w:top w:val="single" w:color="auto" w:sz="4" w:space="0"/>
              <w:left w:val="single" w:color="auto" w:sz="4" w:space="0"/>
              <w:bottom w:val="single" w:color="auto" w:sz="4" w:space="0"/>
              <w:right w:val="single" w:color="auto" w:sz="4" w:space="0"/>
            </w:tcBorders>
            <w:noWrap w:val="0"/>
            <w:vAlign w:val="center"/>
          </w:tcPr>
          <w:p w14:paraId="6B1D128F">
            <w:pPr>
              <w:widowControl/>
              <w:jc w:val="left"/>
              <w:rPr>
                <w:rFonts w:ascii="宋体" w:hAnsi="宋体" w:cs="宋体"/>
                <w:kern w:val="0"/>
                <w:sz w:val="18"/>
                <w:szCs w:val="18"/>
              </w:rPr>
            </w:pPr>
          </w:p>
        </w:tc>
      </w:tr>
      <w:tr w14:paraId="28EF5C61">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20E05929">
            <w:pPr>
              <w:widowControl/>
              <w:jc w:val="left"/>
              <w:rPr>
                <w:rFonts w:ascii="宋体" w:hAnsi="宋体" w:cs="宋体"/>
                <w:kern w:val="0"/>
                <w:sz w:val="18"/>
                <w:szCs w:val="18"/>
              </w:rPr>
            </w:pPr>
            <w:r>
              <w:rPr>
                <w:rFonts w:hint="eastAsia" w:ascii="宋体" w:hAnsi="宋体" w:cs="宋体"/>
                <w:kern w:val="0"/>
                <w:sz w:val="18"/>
                <w:szCs w:val="18"/>
              </w:rPr>
              <w:t>K1-b</w:t>
            </w:r>
          </w:p>
        </w:tc>
        <w:tc>
          <w:tcPr>
            <w:tcW w:w="576" w:type="dxa"/>
            <w:tcBorders>
              <w:top w:val="nil"/>
              <w:left w:val="nil"/>
              <w:bottom w:val="single" w:color="auto" w:sz="4" w:space="0"/>
              <w:right w:val="single" w:color="auto" w:sz="4" w:space="0"/>
            </w:tcBorders>
            <w:noWrap w:val="0"/>
            <w:vAlign w:val="center"/>
          </w:tcPr>
          <w:p w14:paraId="6237D73D">
            <w:pPr>
              <w:widowControl/>
              <w:jc w:val="center"/>
              <w:rPr>
                <w:rFonts w:ascii="宋体" w:hAnsi="宋体" w:cs="宋体"/>
                <w:kern w:val="0"/>
                <w:sz w:val="18"/>
                <w:szCs w:val="18"/>
              </w:rPr>
            </w:pPr>
            <w:r>
              <w:rPr>
                <w:rFonts w:hint="eastAsia" w:ascii="宋体" w:hAnsi="宋体" w:cs="宋体"/>
                <w:kern w:val="0"/>
                <w:sz w:val="18"/>
                <w:szCs w:val="18"/>
              </w:rPr>
              <w:t xml:space="preserve">1.02 </w:t>
            </w:r>
          </w:p>
        </w:tc>
        <w:tc>
          <w:tcPr>
            <w:tcW w:w="666" w:type="dxa"/>
            <w:tcBorders>
              <w:top w:val="nil"/>
              <w:left w:val="nil"/>
              <w:bottom w:val="single" w:color="auto" w:sz="4" w:space="0"/>
              <w:right w:val="single" w:color="auto" w:sz="4" w:space="0"/>
            </w:tcBorders>
            <w:noWrap w:val="0"/>
            <w:vAlign w:val="center"/>
          </w:tcPr>
          <w:p w14:paraId="5F08502B">
            <w:pPr>
              <w:widowControl/>
              <w:jc w:val="center"/>
              <w:rPr>
                <w:rFonts w:ascii="宋体" w:hAnsi="宋体" w:cs="宋体"/>
                <w:kern w:val="0"/>
                <w:sz w:val="18"/>
                <w:szCs w:val="18"/>
              </w:rPr>
            </w:pPr>
            <w:r>
              <w:rPr>
                <w:rFonts w:hint="eastAsia" w:ascii="宋体" w:hAnsi="宋体" w:cs="宋体"/>
                <w:kern w:val="0"/>
                <w:sz w:val="18"/>
                <w:szCs w:val="18"/>
              </w:rPr>
              <w:t>22.09</w:t>
            </w:r>
          </w:p>
        </w:tc>
        <w:tc>
          <w:tcPr>
            <w:tcW w:w="666" w:type="dxa"/>
            <w:tcBorders>
              <w:top w:val="nil"/>
              <w:left w:val="nil"/>
              <w:bottom w:val="single" w:color="auto" w:sz="4" w:space="0"/>
              <w:right w:val="single" w:color="auto" w:sz="4" w:space="0"/>
            </w:tcBorders>
            <w:noWrap w:val="0"/>
            <w:vAlign w:val="center"/>
          </w:tcPr>
          <w:p w14:paraId="341B9435">
            <w:pPr>
              <w:widowControl/>
              <w:jc w:val="center"/>
              <w:rPr>
                <w:rFonts w:ascii="宋体" w:hAnsi="宋体" w:cs="宋体"/>
                <w:kern w:val="0"/>
                <w:sz w:val="18"/>
                <w:szCs w:val="18"/>
              </w:rPr>
            </w:pPr>
            <w:r>
              <w:rPr>
                <w:rFonts w:hint="eastAsia" w:ascii="宋体" w:hAnsi="宋体" w:cs="宋体"/>
                <w:kern w:val="0"/>
                <w:sz w:val="18"/>
                <w:szCs w:val="18"/>
              </w:rPr>
              <w:t xml:space="preserve">14.43 </w:t>
            </w:r>
          </w:p>
        </w:tc>
        <w:tc>
          <w:tcPr>
            <w:tcW w:w="576" w:type="dxa"/>
            <w:tcBorders>
              <w:top w:val="nil"/>
              <w:left w:val="nil"/>
              <w:bottom w:val="single" w:color="auto" w:sz="4" w:space="0"/>
              <w:right w:val="single" w:color="auto" w:sz="4" w:space="0"/>
            </w:tcBorders>
            <w:noWrap w:val="0"/>
            <w:vAlign w:val="center"/>
          </w:tcPr>
          <w:p w14:paraId="0EAFF64C">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5C9B3257">
            <w:pPr>
              <w:widowControl/>
              <w:jc w:val="center"/>
              <w:rPr>
                <w:rFonts w:ascii="宋体" w:hAnsi="宋体" w:cs="宋体"/>
                <w:kern w:val="0"/>
                <w:sz w:val="18"/>
                <w:szCs w:val="18"/>
              </w:rPr>
            </w:pPr>
            <w:r>
              <w:rPr>
                <w:rFonts w:hint="eastAsia" w:ascii="宋体" w:hAnsi="宋体" w:cs="宋体"/>
                <w:kern w:val="0"/>
                <w:sz w:val="18"/>
                <w:szCs w:val="18"/>
              </w:rPr>
              <w:t>373</w:t>
            </w:r>
          </w:p>
        </w:tc>
        <w:tc>
          <w:tcPr>
            <w:tcW w:w="576" w:type="dxa"/>
            <w:tcBorders>
              <w:top w:val="nil"/>
              <w:left w:val="nil"/>
              <w:bottom w:val="single" w:color="auto" w:sz="4" w:space="0"/>
              <w:right w:val="single" w:color="auto" w:sz="4" w:space="0"/>
            </w:tcBorders>
            <w:noWrap w:val="0"/>
            <w:vAlign w:val="center"/>
          </w:tcPr>
          <w:p w14:paraId="2B7DD17B">
            <w:pPr>
              <w:widowControl/>
              <w:jc w:val="center"/>
              <w:rPr>
                <w:rFonts w:ascii="宋体" w:hAnsi="宋体" w:cs="宋体"/>
                <w:kern w:val="0"/>
                <w:sz w:val="18"/>
                <w:szCs w:val="18"/>
              </w:rPr>
            </w:pPr>
            <w:r>
              <w:rPr>
                <w:rFonts w:hint="eastAsia" w:ascii="宋体" w:hAnsi="宋体" w:cs="宋体"/>
                <w:kern w:val="0"/>
                <w:sz w:val="18"/>
                <w:szCs w:val="18"/>
              </w:rPr>
              <w:t>1.04</w:t>
            </w:r>
          </w:p>
        </w:tc>
        <w:tc>
          <w:tcPr>
            <w:tcW w:w="711" w:type="dxa"/>
            <w:tcBorders>
              <w:top w:val="nil"/>
              <w:left w:val="nil"/>
              <w:bottom w:val="single" w:color="auto" w:sz="4" w:space="0"/>
              <w:right w:val="single" w:color="auto" w:sz="4" w:space="0"/>
            </w:tcBorders>
            <w:noWrap w:val="0"/>
            <w:vAlign w:val="center"/>
          </w:tcPr>
          <w:p w14:paraId="65CCA504">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12C45B33">
            <w:pPr>
              <w:widowControl/>
              <w:jc w:val="center"/>
              <w:rPr>
                <w:rFonts w:ascii="宋体" w:hAnsi="宋体" w:cs="宋体"/>
                <w:kern w:val="0"/>
                <w:sz w:val="18"/>
                <w:szCs w:val="18"/>
              </w:rPr>
            </w:pPr>
            <w:r>
              <w:rPr>
                <w:rFonts w:hint="eastAsia" w:ascii="宋体" w:hAnsi="宋体" w:cs="宋体"/>
                <w:kern w:val="0"/>
                <w:sz w:val="18"/>
                <w:szCs w:val="18"/>
              </w:rPr>
              <w:t>1.49</w:t>
            </w:r>
          </w:p>
        </w:tc>
        <w:tc>
          <w:tcPr>
            <w:tcW w:w="580" w:type="dxa"/>
            <w:tcBorders>
              <w:top w:val="nil"/>
              <w:left w:val="nil"/>
              <w:bottom w:val="single" w:color="auto" w:sz="4" w:space="0"/>
              <w:right w:val="single" w:color="auto" w:sz="4" w:space="0"/>
            </w:tcBorders>
            <w:noWrap w:val="0"/>
            <w:vAlign w:val="center"/>
          </w:tcPr>
          <w:p w14:paraId="4FBA7C34">
            <w:pPr>
              <w:widowControl/>
              <w:jc w:val="center"/>
              <w:rPr>
                <w:rFonts w:ascii="宋体" w:hAnsi="宋体" w:cs="宋体"/>
                <w:kern w:val="0"/>
                <w:sz w:val="18"/>
                <w:szCs w:val="18"/>
              </w:rPr>
            </w:pPr>
            <w:r>
              <w:rPr>
                <w:rFonts w:hint="eastAsia" w:ascii="宋体" w:hAnsi="宋体" w:cs="宋体"/>
                <w:kern w:val="0"/>
                <w:sz w:val="18"/>
                <w:szCs w:val="18"/>
              </w:rPr>
              <w:t xml:space="preserve">5.43 </w:t>
            </w:r>
          </w:p>
        </w:tc>
        <w:tc>
          <w:tcPr>
            <w:tcW w:w="576" w:type="dxa"/>
            <w:tcBorders>
              <w:top w:val="nil"/>
              <w:left w:val="nil"/>
              <w:bottom w:val="single" w:color="auto" w:sz="4" w:space="0"/>
              <w:right w:val="single" w:color="auto" w:sz="4" w:space="0"/>
            </w:tcBorders>
            <w:noWrap w:val="0"/>
            <w:vAlign w:val="center"/>
          </w:tcPr>
          <w:p w14:paraId="1389F793">
            <w:pPr>
              <w:widowControl/>
              <w:jc w:val="center"/>
              <w:rPr>
                <w:rFonts w:ascii="宋体" w:hAnsi="宋体" w:cs="宋体"/>
                <w:kern w:val="0"/>
                <w:sz w:val="18"/>
                <w:szCs w:val="18"/>
              </w:rPr>
            </w:pPr>
            <w:r>
              <w:rPr>
                <w:rFonts w:hint="eastAsia" w:ascii="宋体" w:hAnsi="宋体" w:cs="宋体"/>
                <w:kern w:val="0"/>
                <w:sz w:val="18"/>
                <w:szCs w:val="18"/>
              </w:rPr>
              <w:t xml:space="preserve">0.94 </w:t>
            </w:r>
          </w:p>
        </w:tc>
        <w:tc>
          <w:tcPr>
            <w:tcW w:w="700" w:type="dxa"/>
            <w:tcBorders>
              <w:top w:val="nil"/>
              <w:left w:val="nil"/>
              <w:bottom w:val="single" w:color="auto" w:sz="4" w:space="0"/>
              <w:right w:val="single" w:color="auto" w:sz="4" w:space="0"/>
            </w:tcBorders>
            <w:noWrap w:val="0"/>
            <w:vAlign w:val="center"/>
          </w:tcPr>
          <w:p w14:paraId="7B3B2F2D">
            <w:pPr>
              <w:widowControl/>
              <w:jc w:val="center"/>
              <w:rPr>
                <w:rFonts w:ascii="宋体" w:hAnsi="宋体" w:cs="宋体"/>
                <w:kern w:val="0"/>
                <w:sz w:val="18"/>
                <w:szCs w:val="18"/>
              </w:rPr>
            </w:pPr>
            <w:r>
              <w:rPr>
                <w:rFonts w:hint="eastAsia" w:ascii="宋体" w:hAnsi="宋体" w:cs="宋体"/>
                <w:kern w:val="0"/>
                <w:sz w:val="18"/>
                <w:szCs w:val="18"/>
              </w:rPr>
              <w:t xml:space="preserve">1.87 </w:t>
            </w:r>
          </w:p>
        </w:tc>
        <w:tc>
          <w:tcPr>
            <w:tcW w:w="576" w:type="dxa"/>
            <w:tcBorders>
              <w:top w:val="nil"/>
              <w:left w:val="nil"/>
              <w:bottom w:val="single" w:color="auto" w:sz="4" w:space="0"/>
              <w:right w:val="single" w:color="auto" w:sz="4" w:space="0"/>
            </w:tcBorders>
            <w:noWrap w:val="0"/>
            <w:vAlign w:val="center"/>
          </w:tcPr>
          <w:p w14:paraId="105FAD34">
            <w:pPr>
              <w:widowControl/>
              <w:jc w:val="center"/>
              <w:rPr>
                <w:rFonts w:ascii="宋体" w:hAnsi="宋体" w:cs="宋体"/>
                <w:kern w:val="0"/>
                <w:sz w:val="18"/>
                <w:szCs w:val="18"/>
              </w:rPr>
            </w:pPr>
            <w:r>
              <w:rPr>
                <w:rFonts w:hint="eastAsia" w:ascii="宋体" w:hAnsi="宋体" w:cs="宋体"/>
                <w:kern w:val="0"/>
                <w:sz w:val="18"/>
                <w:szCs w:val="18"/>
              </w:rPr>
              <w:t xml:space="preserve">1.49 </w:t>
            </w:r>
          </w:p>
        </w:tc>
        <w:tc>
          <w:tcPr>
            <w:tcW w:w="961" w:type="dxa"/>
            <w:tcBorders>
              <w:top w:val="nil"/>
              <w:left w:val="nil"/>
              <w:bottom w:val="single" w:color="auto" w:sz="4" w:space="0"/>
              <w:right w:val="single" w:color="auto" w:sz="4" w:space="0"/>
            </w:tcBorders>
            <w:noWrap w:val="0"/>
            <w:vAlign w:val="center"/>
          </w:tcPr>
          <w:p w14:paraId="72E83F39">
            <w:pPr>
              <w:widowControl/>
              <w:jc w:val="center"/>
              <w:rPr>
                <w:rFonts w:ascii="宋体" w:hAnsi="宋体" w:cs="宋体"/>
                <w:kern w:val="0"/>
                <w:sz w:val="18"/>
                <w:szCs w:val="18"/>
              </w:rPr>
            </w:pPr>
            <w:r>
              <w:rPr>
                <w:rFonts w:hint="eastAsia" w:ascii="宋体" w:hAnsi="宋体" w:cs="宋体"/>
                <w:kern w:val="0"/>
                <w:sz w:val="18"/>
                <w:szCs w:val="18"/>
              </w:rPr>
              <w:t xml:space="preserve">14.60 </w:t>
            </w:r>
          </w:p>
        </w:tc>
      </w:tr>
      <w:tr w14:paraId="6DB173EA">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1B6DED58">
            <w:pPr>
              <w:widowControl/>
              <w:jc w:val="left"/>
              <w:rPr>
                <w:rFonts w:ascii="宋体" w:hAnsi="宋体" w:cs="宋体"/>
                <w:kern w:val="0"/>
                <w:sz w:val="18"/>
                <w:szCs w:val="18"/>
              </w:rPr>
            </w:pPr>
            <w:r>
              <w:rPr>
                <w:rFonts w:hint="eastAsia" w:ascii="宋体" w:hAnsi="宋体" w:cs="宋体"/>
                <w:kern w:val="0"/>
                <w:sz w:val="18"/>
                <w:szCs w:val="18"/>
              </w:rPr>
              <w:t>K3</w:t>
            </w:r>
          </w:p>
        </w:tc>
        <w:tc>
          <w:tcPr>
            <w:tcW w:w="576" w:type="dxa"/>
            <w:tcBorders>
              <w:top w:val="nil"/>
              <w:left w:val="nil"/>
              <w:bottom w:val="single" w:color="auto" w:sz="4" w:space="0"/>
              <w:right w:val="single" w:color="auto" w:sz="4" w:space="0"/>
            </w:tcBorders>
            <w:noWrap w:val="0"/>
            <w:vAlign w:val="center"/>
          </w:tcPr>
          <w:p w14:paraId="42AE99EF">
            <w:pPr>
              <w:widowControl/>
              <w:jc w:val="center"/>
              <w:rPr>
                <w:rFonts w:ascii="宋体" w:hAnsi="宋体" w:cs="宋体"/>
                <w:kern w:val="0"/>
                <w:sz w:val="18"/>
                <w:szCs w:val="18"/>
              </w:rPr>
            </w:pPr>
            <w:r>
              <w:rPr>
                <w:rFonts w:hint="eastAsia" w:ascii="宋体" w:hAnsi="宋体" w:cs="宋体"/>
                <w:kern w:val="0"/>
                <w:sz w:val="18"/>
                <w:szCs w:val="18"/>
              </w:rPr>
              <w:t xml:space="preserve">1.53 </w:t>
            </w:r>
          </w:p>
        </w:tc>
        <w:tc>
          <w:tcPr>
            <w:tcW w:w="666" w:type="dxa"/>
            <w:tcBorders>
              <w:top w:val="nil"/>
              <w:left w:val="nil"/>
              <w:bottom w:val="single" w:color="auto" w:sz="4" w:space="0"/>
              <w:right w:val="single" w:color="auto" w:sz="4" w:space="0"/>
            </w:tcBorders>
            <w:noWrap w:val="0"/>
            <w:vAlign w:val="center"/>
          </w:tcPr>
          <w:p w14:paraId="4521E9A7">
            <w:pPr>
              <w:widowControl/>
              <w:jc w:val="center"/>
              <w:rPr>
                <w:rFonts w:ascii="宋体" w:hAnsi="宋体" w:cs="宋体"/>
                <w:kern w:val="0"/>
                <w:sz w:val="18"/>
                <w:szCs w:val="18"/>
              </w:rPr>
            </w:pPr>
            <w:r>
              <w:rPr>
                <w:rFonts w:hint="eastAsia" w:ascii="宋体" w:hAnsi="宋体" w:cs="宋体"/>
                <w:kern w:val="0"/>
                <w:sz w:val="18"/>
                <w:szCs w:val="18"/>
              </w:rPr>
              <w:t>24.48</w:t>
            </w:r>
          </w:p>
        </w:tc>
        <w:tc>
          <w:tcPr>
            <w:tcW w:w="666" w:type="dxa"/>
            <w:tcBorders>
              <w:top w:val="nil"/>
              <w:left w:val="nil"/>
              <w:bottom w:val="single" w:color="auto" w:sz="4" w:space="0"/>
              <w:right w:val="single" w:color="auto" w:sz="4" w:space="0"/>
            </w:tcBorders>
            <w:noWrap w:val="0"/>
            <w:vAlign w:val="center"/>
          </w:tcPr>
          <w:p w14:paraId="3BE38822">
            <w:pPr>
              <w:widowControl/>
              <w:jc w:val="center"/>
              <w:rPr>
                <w:rFonts w:ascii="宋体" w:hAnsi="宋体" w:cs="宋体"/>
                <w:kern w:val="0"/>
                <w:sz w:val="18"/>
                <w:szCs w:val="18"/>
              </w:rPr>
            </w:pPr>
            <w:r>
              <w:rPr>
                <w:rFonts w:hint="eastAsia" w:ascii="宋体" w:hAnsi="宋体" w:cs="宋体"/>
                <w:kern w:val="0"/>
                <w:sz w:val="18"/>
                <w:szCs w:val="18"/>
              </w:rPr>
              <w:t xml:space="preserve">14.31 </w:t>
            </w:r>
          </w:p>
        </w:tc>
        <w:tc>
          <w:tcPr>
            <w:tcW w:w="576" w:type="dxa"/>
            <w:tcBorders>
              <w:top w:val="nil"/>
              <w:left w:val="nil"/>
              <w:bottom w:val="single" w:color="auto" w:sz="4" w:space="0"/>
              <w:right w:val="single" w:color="auto" w:sz="4" w:space="0"/>
            </w:tcBorders>
            <w:noWrap w:val="0"/>
            <w:vAlign w:val="center"/>
          </w:tcPr>
          <w:p w14:paraId="27905D6C">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3330E725">
            <w:pPr>
              <w:widowControl/>
              <w:jc w:val="center"/>
              <w:rPr>
                <w:rFonts w:ascii="宋体" w:hAnsi="宋体" w:cs="宋体"/>
                <w:kern w:val="0"/>
                <w:sz w:val="18"/>
                <w:szCs w:val="18"/>
              </w:rPr>
            </w:pPr>
            <w:r>
              <w:rPr>
                <w:rFonts w:hint="eastAsia" w:ascii="宋体" w:hAnsi="宋体" w:cs="宋体"/>
                <w:kern w:val="0"/>
                <w:sz w:val="18"/>
                <w:szCs w:val="18"/>
              </w:rPr>
              <w:t>382</w:t>
            </w:r>
          </w:p>
        </w:tc>
        <w:tc>
          <w:tcPr>
            <w:tcW w:w="576" w:type="dxa"/>
            <w:tcBorders>
              <w:top w:val="nil"/>
              <w:left w:val="nil"/>
              <w:bottom w:val="single" w:color="auto" w:sz="4" w:space="0"/>
              <w:right w:val="single" w:color="auto" w:sz="4" w:space="0"/>
            </w:tcBorders>
            <w:noWrap w:val="0"/>
            <w:vAlign w:val="center"/>
          </w:tcPr>
          <w:p w14:paraId="3FADFFAE">
            <w:pPr>
              <w:widowControl/>
              <w:jc w:val="center"/>
              <w:rPr>
                <w:rFonts w:ascii="宋体" w:hAnsi="宋体" w:cs="宋体"/>
                <w:kern w:val="0"/>
                <w:sz w:val="18"/>
                <w:szCs w:val="18"/>
              </w:rPr>
            </w:pPr>
            <w:r>
              <w:rPr>
                <w:rFonts w:hint="eastAsia" w:ascii="宋体" w:hAnsi="宋体" w:cs="宋体"/>
                <w:kern w:val="0"/>
                <w:sz w:val="18"/>
                <w:szCs w:val="18"/>
              </w:rPr>
              <w:t>1.04</w:t>
            </w:r>
          </w:p>
        </w:tc>
        <w:tc>
          <w:tcPr>
            <w:tcW w:w="711" w:type="dxa"/>
            <w:tcBorders>
              <w:top w:val="nil"/>
              <w:left w:val="nil"/>
              <w:bottom w:val="single" w:color="auto" w:sz="4" w:space="0"/>
              <w:right w:val="single" w:color="auto" w:sz="4" w:space="0"/>
            </w:tcBorders>
            <w:noWrap w:val="0"/>
            <w:vAlign w:val="center"/>
          </w:tcPr>
          <w:p w14:paraId="0B57588C">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0CB09704">
            <w:pPr>
              <w:widowControl/>
              <w:jc w:val="center"/>
              <w:rPr>
                <w:rFonts w:ascii="宋体" w:hAnsi="宋体" w:cs="宋体"/>
                <w:kern w:val="0"/>
                <w:sz w:val="18"/>
                <w:szCs w:val="18"/>
              </w:rPr>
            </w:pPr>
            <w:r>
              <w:rPr>
                <w:rFonts w:hint="eastAsia" w:ascii="宋体" w:hAnsi="宋体" w:cs="宋体"/>
                <w:kern w:val="0"/>
                <w:sz w:val="18"/>
                <w:szCs w:val="18"/>
              </w:rPr>
              <w:t>1.51</w:t>
            </w:r>
          </w:p>
        </w:tc>
        <w:tc>
          <w:tcPr>
            <w:tcW w:w="580" w:type="dxa"/>
            <w:tcBorders>
              <w:top w:val="nil"/>
              <w:left w:val="nil"/>
              <w:bottom w:val="single" w:color="auto" w:sz="4" w:space="0"/>
              <w:right w:val="single" w:color="auto" w:sz="4" w:space="0"/>
            </w:tcBorders>
            <w:noWrap w:val="0"/>
            <w:vAlign w:val="center"/>
          </w:tcPr>
          <w:p w14:paraId="4A3B21D4">
            <w:pPr>
              <w:widowControl/>
              <w:jc w:val="center"/>
              <w:rPr>
                <w:rFonts w:ascii="宋体" w:hAnsi="宋体" w:cs="宋体"/>
                <w:kern w:val="0"/>
                <w:sz w:val="18"/>
                <w:szCs w:val="18"/>
              </w:rPr>
            </w:pPr>
            <w:r>
              <w:rPr>
                <w:rFonts w:hint="eastAsia" w:ascii="宋体" w:hAnsi="宋体" w:cs="宋体"/>
                <w:kern w:val="0"/>
                <w:sz w:val="18"/>
                <w:szCs w:val="18"/>
              </w:rPr>
              <w:t xml:space="preserve">5.41 </w:t>
            </w:r>
          </w:p>
        </w:tc>
        <w:tc>
          <w:tcPr>
            <w:tcW w:w="576" w:type="dxa"/>
            <w:tcBorders>
              <w:top w:val="nil"/>
              <w:left w:val="nil"/>
              <w:bottom w:val="single" w:color="auto" w:sz="4" w:space="0"/>
              <w:right w:val="single" w:color="auto" w:sz="4" w:space="0"/>
            </w:tcBorders>
            <w:noWrap w:val="0"/>
            <w:vAlign w:val="center"/>
          </w:tcPr>
          <w:p w14:paraId="171573D5">
            <w:pPr>
              <w:widowControl/>
              <w:jc w:val="center"/>
              <w:rPr>
                <w:rFonts w:ascii="宋体" w:hAnsi="宋体" w:cs="宋体"/>
                <w:kern w:val="0"/>
                <w:sz w:val="18"/>
                <w:szCs w:val="18"/>
              </w:rPr>
            </w:pPr>
            <w:r>
              <w:rPr>
                <w:rFonts w:hint="eastAsia" w:ascii="宋体" w:hAnsi="宋体" w:cs="宋体"/>
                <w:kern w:val="0"/>
                <w:sz w:val="18"/>
                <w:szCs w:val="18"/>
              </w:rPr>
              <w:t xml:space="preserve">0.94 </w:t>
            </w:r>
          </w:p>
        </w:tc>
        <w:tc>
          <w:tcPr>
            <w:tcW w:w="700" w:type="dxa"/>
            <w:tcBorders>
              <w:top w:val="nil"/>
              <w:left w:val="nil"/>
              <w:bottom w:val="single" w:color="auto" w:sz="4" w:space="0"/>
              <w:right w:val="single" w:color="auto" w:sz="4" w:space="0"/>
            </w:tcBorders>
            <w:noWrap w:val="0"/>
            <w:vAlign w:val="center"/>
          </w:tcPr>
          <w:p w14:paraId="063491BC">
            <w:pPr>
              <w:widowControl/>
              <w:jc w:val="center"/>
              <w:rPr>
                <w:rFonts w:ascii="宋体" w:hAnsi="宋体" w:cs="宋体"/>
                <w:kern w:val="0"/>
                <w:sz w:val="18"/>
                <w:szCs w:val="18"/>
              </w:rPr>
            </w:pPr>
            <w:r>
              <w:rPr>
                <w:rFonts w:hint="eastAsia" w:ascii="宋体" w:hAnsi="宋体" w:cs="宋体"/>
                <w:kern w:val="0"/>
                <w:sz w:val="18"/>
                <w:szCs w:val="18"/>
              </w:rPr>
              <w:t xml:space="preserve">1.91 </w:t>
            </w:r>
          </w:p>
        </w:tc>
        <w:tc>
          <w:tcPr>
            <w:tcW w:w="576" w:type="dxa"/>
            <w:tcBorders>
              <w:top w:val="nil"/>
              <w:left w:val="nil"/>
              <w:bottom w:val="single" w:color="auto" w:sz="4" w:space="0"/>
              <w:right w:val="single" w:color="auto" w:sz="4" w:space="0"/>
            </w:tcBorders>
            <w:noWrap w:val="0"/>
            <w:vAlign w:val="center"/>
          </w:tcPr>
          <w:p w14:paraId="075FFE8E">
            <w:pPr>
              <w:widowControl/>
              <w:jc w:val="center"/>
              <w:rPr>
                <w:rFonts w:ascii="宋体" w:hAnsi="宋体" w:cs="宋体"/>
                <w:kern w:val="0"/>
                <w:sz w:val="18"/>
                <w:szCs w:val="18"/>
              </w:rPr>
            </w:pPr>
            <w:r>
              <w:rPr>
                <w:rFonts w:hint="eastAsia" w:ascii="宋体" w:hAnsi="宋体" w:cs="宋体"/>
                <w:kern w:val="0"/>
                <w:sz w:val="18"/>
                <w:szCs w:val="18"/>
              </w:rPr>
              <w:t xml:space="preserve">1.49 </w:t>
            </w:r>
          </w:p>
        </w:tc>
        <w:tc>
          <w:tcPr>
            <w:tcW w:w="961" w:type="dxa"/>
            <w:tcBorders>
              <w:top w:val="nil"/>
              <w:left w:val="nil"/>
              <w:bottom w:val="single" w:color="auto" w:sz="4" w:space="0"/>
              <w:right w:val="single" w:color="auto" w:sz="4" w:space="0"/>
            </w:tcBorders>
            <w:noWrap w:val="0"/>
            <w:vAlign w:val="center"/>
          </w:tcPr>
          <w:p w14:paraId="73893C62">
            <w:pPr>
              <w:widowControl/>
              <w:jc w:val="center"/>
              <w:rPr>
                <w:rFonts w:ascii="宋体" w:hAnsi="宋体" w:cs="宋体"/>
                <w:kern w:val="0"/>
                <w:sz w:val="18"/>
                <w:szCs w:val="18"/>
              </w:rPr>
            </w:pPr>
            <w:r>
              <w:rPr>
                <w:rFonts w:hint="eastAsia" w:ascii="宋体" w:hAnsi="宋体" w:cs="宋体"/>
                <w:kern w:val="0"/>
                <w:sz w:val="18"/>
                <w:szCs w:val="18"/>
              </w:rPr>
              <w:t xml:space="preserve">12.70 </w:t>
            </w:r>
          </w:p>
        </w:tc>
      </w:tr>
      <w:tr w14:paraId="679DF4BB">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64D65B8A">
            <w:pPr>
              <w:widowControl/>
              <w:jc w:val="left"/>
              <w:rPr>
                <w:rFonts w:ascii="宋体" w:hAnsi="宋体" w:cs="宋体"/>
                <w:kern w:val="0"/>
                <w:sz w:val="18"/>
                <w:szCs w:val="18"/>
              </w:rPr>
            </w:pPr>
            <w:r>
              <w:rPr>
                <w:rFonts w:hint="eastAsia" w:ascii="宋体" w:hAnsi="宋体" w:cs="宋体"/>
                <w:kern w:val="0"/>
                <w:sz w:val="18"/>
                <w:szCs w:val="18"/>
              </w:rPr>
              <w:t>K9</w:t>
            </w:r>
          </w:p>
        </w:tc>
        <w:tc>
          <w:tcPr>
            <w:tcW w:w="576" w:type="dxa"/>
            <w:tcBorders>
              <w:top w:val="nil"/>
              <w:left w:val="nil"/>
              <w:bottom w:val="single" w:color="auto" w:sz="4" w:space="0"/>
              <w:right w:val="single" w:color="auto" w:sz="4" w:space="0"/>
            </w:tcBorders>
            <w:noWrap w:val="0"/>
            <w:vAlign w:val="center"/>
          </w:tcPr>
          <w:p w14:paraId="2F71A2A4">
            <w:pPr>
              <w:widowControl/>
              <w:jc w:val="center"/>
              <w:rPr>
                <w:rFonts w:ascii="宋体" w:hAnsi="宋体" w:cs="宋体"/>
                <w:kern w:val="0"/>
                <w:sz w:val="18"/>
                <w:szCs w:val="18"/>
              </w:rPr>
            </w:pPr>
            <w:r>
              <w:rPr>
                <w:rFonts w:hint="eastAsia" w:ascii="宋体" w:hAnsi="宋体" w:cs="宋体"/>
                <w:kern w:val="0"/>
                <w:sz w:val="18"/>
                <w:szCs w:val="18"/>
              </w:rPr>
              <w:t xml:space="preserve">1.01 </w:t>
            </w:r>
          </w:p>
        </w:tc>
        <w:tc>
          <w:tcPr>
            <w:tcW w:w="666" w:type="dxa"/>
            <w:tcBorders>
              <w:top w:val="nil"/>
              <w:left w:val="nil"/>
              <w:bottom w:val="single" w:color="auto" w:sz="4" w:space="0"/>
              <w:right w:val="single" w:color="auto" w:sz="4" w:space="0"/>
            </w:tcBorders>
            <w:noWrap w:val="0"/>
            <w:vAlign w:val="center"/>
          </w:tcPr>
          <w:p w14:paraId="36296C41">
            <w:pPr>
              <w:widowControl/>
              <w:jc w:val="center"/>
              <w:rPr>
                <w:rFonts w:ascii="宋体" w:hAnsi="宋体" w:cs="宋体"/>
                <w:kern w:val="0"/>
                <w:sz w:val="18"/>
                <w:szCs w:val="18"/>
              </w:rPr>
            </w:pPr>
            <w:r>
              <w:rPr>
                <w:rFonts w:hint="eastAsia" w:ascii="宋体" w:hAnsi="宋体" w:cs="宋体"/>
                <w:kern w:val="0"/>
                <w:sz w:val="18"/>
                <w:szCs w:val="18"/>
              </w:rPr>
              <w:t>26.67</w:t>
            </w:r>
          </w:p>
        </w:tc>
        <w:tc>
          <w:tcPr>
            <w:tcW w:w="666" w:type="dxa"/>
            <w:tcBorders>
              <w:top w:val="nil"/>
              <w:left w:val="nil"/>
              <w:bottom w:val="single" w:color="auto" w:sz="4" w:space="0"/>
              <w:right w:val="single" w:color="auto" w:sz="4" w:space="0"/>
            </w:tcBorders>
            <w:noWrap w:val="0"/>
            <w:vAlign w:val="center"/>
          </w:tcPr>
          <w:p w14:paraId="0A261BCA">
            <w:pPr>
              <w:widowControl/>
              <w:jc w:val="center"/>
              <w:rPr>
                <w:rFonts w:ascii="宋体" w:hAnsi="宋体" w:cs="宋体"/>
                <w:kern w:val="0"/>
                <w:sz w:val="18"/>
                <w:szCs w:val="18"/>
              </w:rPr>
            </w:pPr>
            <w:r>
              <w:rPr>
                <w:rFonts w:hint="eastAsia" w:ascii="宋体" w:hAnsi="宋体" w:cs="宋体"/>
                <w:kern w:val="0"/>
                <w:sz w:val="18"/>
                <w:szCs w:val="18"/>
              </w:rPr>
              <w:t xml:space="preserve">13.66 </w:t>
            </w:r>
          </w:p>
        </w:tc>
        <w:tc>
          <w:tcPr>
            <w:tcW w:w="576" w:type="dxa"/>
            <w:tcBorders>
              <w:top w:val="nil"/>
              <w:left w:val="nil"/>
              <w:bottom w:val="single" w:color="auto" w:sz="4" w:space="0"/>
              <w:right w:val="single" w:color="auto" w:sz="4" w:space="0"/>
            </w:tcBorders>
            <w:noWrap w:val="0"/>
            <w:vAlign w:val="center"/>
          </w:tcPr>
          <w:p w14:paraId="2CD42B24">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0077C16C">
            <w:pPr>
              <w:widowControl/>
              <w:jc w:val="center"/>
              <w:rPr>
                <w:rFonts w:ascii="宋体" w:hAnsi="宋体" w:cs="宋体"/>
                <w:kern w:val="0"/>
                <w:sz w:val="18"/>
                <w:szCs w:val="18"/>
              </w:rPr>
            </w:pPr>
            <w:r>
              <w:rPr>
                <w:rFonts w:hint="eastAsia" w:ascii="宋体" w:hAnsi="宋体" w:cs="宋体"/>
                <w:kern w:val="0"/>
                <w:sz w:val="18"/>
                <w:szCs w:val="18"/>
              </w:rPr>
              <w:t>414</w:t>
            </w:r>
          </w:p>
        </w:tc>
        <w:tc>
          <w:tcPr>
            <w:tcW w:w="576" w:type="dxa"/>
            <w:tcBorders>
              <w:top w:val="nil"/>
              <w:left w:val="nil"/>
              <w:bottom w:val="single" w:color="auto" w:sz="4" w:space="0"/>
              <w:right w:val="single" w:color="auto" w:sz="4" w:space="0"/>
            </w:tcBorders>
            <w:noWrap w:val="0"/>
            <w:vAlign w:val="center"/>
          </w:tcPr>
          <w:p w14:paraId="5DD32875">
            <w:pPr>
              <w:widowControl/>
              <w:jc w:val="center"/>
              <w:rPr>
                <w:rFonts w:ascii="宋体" w:hAnsi="宋体" w:cs="宋体"/>
                <w:kern w:val="0"/>
                <w:sz w:val="18"/>
                <w:szCs w:val="18"/>
              </w:rPr>
            </w:pPr>
            <w:r>
              <w:rPr>
                <w:rFonts w:hint="eastAsia" w:ascii="宋体" w:hAnsi="宋体" w:cs="宋体"/>
                <w:kern w:val="0"/>
                <w:sz w:val="18"/>
                <w:szCs w:val="18"/>
              </w:rPr>
              <w:t>1.03</w:t>
            </w:r>
          </w:p>
        </w:tc>
        <w:tc>
          <w:tcPr>
            <w:tcW w:w="711" w:type="dxa"/>
            <w:tcBorders>
              <w:top w:val="nil"/>
              <w:left w:val="nil"/>
              <w:bottom w:val="single" w:color="auto" w:sz="4" w:space="0"/>
              <w:right w:val="single" w:color="auto" w:sz="4" w:space="0"/>
            </w:tcBorders>
            <w:noWrap w:val="0"/>
            <w:vAlign w:val="center"/>
          </w:tcPr>
          <w:p w14:paraId="1A82BB00">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4442589F">
            <w:pPr>
              <w:widowControl/>
              <w:jc w:val="center"/>
              <w:rPr>
                <w:rFonts w:ascii="宋体" w:hAnsi="宋体" w:cs="宋体"/>
                <w:kern w:val="0"/>
                <w:sz w:val="18"/>
                <w:szCs w:val="18"/>
              </w:rPr>
            </w:pPr>
            <w:r>
              <w:rPr>
                <w:rFonts w:hint="eastAsia" w:ascii="宋体" w:hAnsi="宋体" w:cs="宋体"/>
                <w:kern w:val="0"/>
                <w:sz w:val="18"/>
                <w:szCs w:val="18"/>
              </w:rPr>
              <w:t>1.53</w:t>
            </w:r>
          </w:p>
        </w:tc>
        <w:tc>
          <w:tcPr>
            <w:tcW w:w="580" w:type="dxa"/>
            <w:tcBorders>
              <w:top w:val="nil"/>
              <w:left w:val="nil"/>
              <w:bottom w:val="single" w:color="auto" w:sz="4" w:space="0"/>
              <w:right w:val="single" w:color="auto" w:sz="4" w:space="0"/>
            </w:tcBorders>
            <w:noWrap w:val="0"/>
            <w:vAlign w:val="center"/>
          </w:tcPr>
          <w:p w14:paraId="2DFE567C">
            <w:pPr>
              <w:widowControl/>
              <w:jc w:val="center"/>
              <w:rPr>
                <w:rFonts w:ascii="宋体" w:hAnsi="宋体" w:cs="宋体"/>
                <w:kern w:val="0"/>
                <w:sz w:val="18"/>
                <w:szCs w:val="18"/>
              </w:rPr>
            </w:pPr>
            <w:r>
              <w:rPr>
                <w:rFonts w:hint="eastAsia" w:ascii="宋体" w:hAnsi="宋体" w:cs="宋体"/>
                <w:kern w:val="0"/>
                <w:sz w:val="18"/>
                <w:szCs w:val="18"/>
              </w:rPr>
              <w:t xml:space="preserve">5.27 </w:t>
            </w:r>
          </w:p>
        </w:tc>
        <w:tc>
          <w:tcPr>
            <w:tcW w:w="576" w:type="dxa"/>
            <w:tcBorders>
              <w:top w:val="nil"/>
              <w:left w:val="nil"/>
              <w:bottom w:val="single" w:color="auto" w:sz="4" w:space="0"/>
              <w:right w:val="single" w:color="auto" w:sz="4" w:space="0"/>
            </w:tcBorders>
            <w:noWrap w:val="0"/>
            <w:vAlign w:val="center"/>
          </w:tcPr>
          <w:p w14:paraId="55CF0682">
            <w:pPr>
              <w:widowControl/>
              <w:jc w:val="center"/>
              <w:rPr>
                <w:rFonts w:ascii="宋体" w:hAnsi="宋体" w:cs="宋体"/>
                <w:kern w:val="0"/>
                <w:sz w:val="18"/>
                <w:szCs w:val="18"/>
              </w:rPr>
            </w:pPr>
            <w:r>
              <w:rPr>
                <w:rFonts w:hint="eastAsia" w:ascii="宋体" w:hAnsi="宋体" w:cs="宋体"/>
                <w:kern w:val="0"/>
                <w:sz w:val="18"/>
                <w:szCs w:val="18"/>
              </w:rPr>
              <w:t xml:space="preserve">0.95 </w:t>
            </w:r>
          </w:p>
        </w:tc>
        <w:tc>
          <w:tcPr>
            <w:tcW w:w="700" w:type="dxa"/>
            <w:tcBorders>
              <w:top w:val="nil"/>
              <w:left w:val="nil"/>
              <w:bottom w:val="single" w:color="auto" w:sz="4" w:space="0"/>
              <w:right w:val="single" w:color="auto" w:sz="4" w:space="0"/>
            </w:tcBorders>
            <w:noWrap w:val="0"/>
            <w:vAlign w:val="center"/>
          </w:tcPr>
          <w:p w14:paraId="78233A7B">
            <w:pPr>
              <w:widowControl/>
              <w:jc w:val="center"/>
              <w:rPr>
                <w:rFonts w:ascii="宋体" w:hAnsi="宋体" w:cs="宋体"/>
                <w:kern w:val="0"/>
                <w:sz w:val="18"/>
                <w:szCs w:val="18"/>
              </w:rPr>
            </w:pPr>
            <w:r>
              <w:rPr>
                <w:rFonts w:hint="eastAsia" w:ascii="宋体" w:hAnsi="宋体" w:cs="宋体"/>
                <w:kern w:val="0"/>
                <w:sz w:val="18"/>
                <w:szCs w:val="18"/>
              </w:rPr>
              <w:t xml:space="preserve">2.07 </w:t>
            </w:r>
          </w:p>
        </w:tc>
        <w:tc>
          <w:tcPr>
            <w:tcW w:w="576" w:type="dxa"/>
            <w:tcBorders>
              <w:top w:val="nil"/>
              <w:left w:val="nil"/>
              <w:bottom w:val="single" w:color="auto" w:sz="4" w:space="0"/>
              <w:right w:val="single" w:color="auto" w:sz="4" w:space="0"/>
            </w:tcBorders>
            <w:noWrap w:val="0"/>
            <w:vAlign w:val="center"/>
          </w:tcPr>
          <w:p w14:paraId="31EBB678">
            <w:pPr>
              <w:widowControl/>
              <w:jc w:val="center"/>
              <w:rPr>
                <w:rFonts w:ascii="宋体" w:hAnsi="宋体" w:cs="宋体"/>
                <w:kern w:val="0"/>
                <w:sz w:val="18"/>
                <w:szCs w:val="18"/>
              </w:rPr>
            </w:pPr>
            <w:r>
              <w:rPr>
                <w:rFonts w:hint="eastAsia" w:ascii="宋体" w:hAnsi="宋体" w:cs="宋体"/>
                <w:kern w:val="0"/>
                <w:sz w:val="18"/>
                <w:szCs w:val="18"/>
              </w:rPr>
              <w:t xml:space="preserve">1.49 </w:t>
            </w:r>
          </w:p>
        </w:tc>
        <w:tc>
          <w:tcPr>
            <w:tcW w:w="961" w:type="dxa"/>
            <w:tcBorders>
              <w:top w:val="nil"/>
              <w:left w:val="nil"/>
              <w:bottom w:val="single" w:color="auto" w:sz="4" w:space="0"/>
              <w:right w:val="single" w:color="auto" w:sz="4" w:space="0"/>
            </w:tcBorders>
            <w:noWrap w:val="0"/>
            <w:vAlign w:val="center"/>
          </w:tcPr>
          <w:p w14:paraId="0C97804B">
            <w:pPr>
              <w:widowControl/>
              <w:jc w:val="center"/>
              <w:rPr>
                <w:rFonts w:ascii="宋体" w:hAnsi="宋体" w:cs="宋体"/>
                <w:kern w:val="0"/>
                <w:sz w:val="18"/>
                <w:szCs w:val="18"/>
              </w:rPr>
            </w:pPr>
            <w:r>
              <w:rPr>
                <w:rFonts w:hint="eastAsia" w:ascii="宋体" w:hAnsi="宋体" w:cs="宋体"/>
                <w:kern w:val="0"/>
                <w:sz w:val="18"/>
                <w:szCs w:val="18"/>
              </w:rPr>
              <w:t xml:space="preserve">14.31 </w:t>
            </w:r>
          </w:p>
        </w:tc>
      </w:tr>
      <w:tr w14:paraId="42EEF922">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3B6882DB">
            <w:pPr>
              <w:widowControl/>
              <w:jc w:val="left"/>
              <w:rPr>
                <w:rFonts w:ascii="宋体" w:hAnsi="宋体" w:cs="宋体"/>
                <w:kern w:val="0"/>
                <w:sz w:val="18"/>
                <w:szCs w:val="18"/>
              </w:rPr>
            </w:pPr>
            <w:r>
              <w:rPr>
                <w:rFonts w:hint="eastAsia" w:ascii="宋体" w:hAnsi="宋体" w:cs="宋体"/>
                <w:kern w:val="0"/>
                <w:sz w:val="18"/>
                <w:szCs w:val="18"/>
              </w:rPr>
              <w:t>K10</w:t>
            </w:r>
          </w:p>
        </w:tc>
        <w:tc>
          <w:tcPr>
            <w:tcW w:w="576" w:type="dxa"/>
            <w:tcBorders>
              <w:top w:val="nil"/>
              <w:left w:val="nil"/>
              <w:bottom w:val="single" w:color="auto" w:sz="4" w:space="0"/>
              <w:right w:val="single" w:color="auto" w:sz="4" w:space="0"/>
            </w:tcBorders>
            <w:noWrap w:val="0"/>
            <w:vAlign w:val="center"/>
          </w:tcPr>
          <w:p w14:paraId="50EA8947">
            <w:pPr>
              <w:widowControl/>
              <w:jc w:val="center"/>
              <w:rPr>
                <w:rFonts w:ascii="宋体" w:hAnsi="宋体" w:cs="宋体"/>
                <w:kern w:val="0"/>
                <w:sz w:val="18"/>
                <w:szCs w:val="18"/>
              </w:rPr>
            </w:pPr>
            <w:r>
              <w:rPr>
                <w:rFonts w:hint="eastAsia" w:ascii="宋体" w:hAnsi="宋体" w:cs="宋体"/>
                <w:kern w:val="0"/>
                <w:sz w:val="18"/>
                <w:szCs w:val="18"/>
              </w:rPr>
              <w:t xml:space="preserve">1.10 </w:t>
            </w:r>
          </w:p>
        </w:tc>
        <w:tc>
          <w:tcPr>
            <w:tcW w:w="666" w:type="dxa"/>
            <w:tcBorders>
              <w:top w:val="nil"/>
              <w:left w:val="nil"/>
              <w:bottom w:val="single" w:color="auto" w:sz="4" w:space="0"/>
              <w:right w:val="single" w:color="auto" w:sz="4" w:space="0"/>
            </w:tcBorders>
            <w:noWrap w:val="0"/>
            <w:vAlign w:val="center"/>
          </w:tcPr>
          <w:p w14:paraId="1BAAC841">
            <w:pPr>
              <w:widowControl/>
              <w:jc w:val="center"/>
              <w:rPr>
                <w:rFonts w:ascii="宋体" w:hAnsi="宋体" w:cs="宋体"/>
                <w:kern w:val="0"/>
                <w:sz w:val="18"/>
                <w:szCs w:val="18"/>
              </w:rPr>
            </w:pPr>
            <w:r>
              <w:rPr>
                <w:rFonts w:hint="eastAsia" w:ascii="宋体" w:hAnsi="宋体" w:cs="宋体"/>
                <w:kern w:val="0"/>
                <w:sz w:val="18"/>
                <w:szCs w:val="18"/>
              </w:rPr>
              <w:t>23.73</w:t>
            </w:r>
          </w:p>
        </w:tc>
        <w:tc>
          <w:tcPr>
            <w:tcW w:w="666" w:type="dxa"/>
            <w:tcBorders>
              <w:top w:val="nil"/>
              <w:left w:val="nil"/>
              <w:bottom w:val="single" w:color="auto" w:sz="4" w:space="0"/>
              <w:right w:val="single" w:color="auto" w:sz="4" w:space="0"/>
            </w:tcBorders>
            <w:noWrap w:val="0"/>
            <w:vAlign w:val="center"/>
          </w:tcPr>
          <w:p w14:paraId="2E178DDD">
            <w:pPr>
              <w:widowControl/>
              <w:jc w:val="center"/>
              <w:rPr>
                <w:rFonts w:ascii="宋体" w:hAnsi="宋体" w:cs="宋体"/>
                <w:kern w:val="0"/>
                <w:sz w:val="18"/>
                <w:szCs w:val="18"/>
              </w:rPr>
            </w:pPr>
            <w:r>
              <w:rPr>
                <w:rFonts w:hint="eastAsia" w:ascii="宋体" w:hAnsi="宋体" w:cs="宋体"/>
                <w:kern w:val="0"/>
                <w:sz w:val="18"/>
                <w:szCs w:val="18"/>
              </w:rPr>
              <w:t xml:space="preserve">13.65 </w:t>
            </w:r>
          </w:p>
        </w:tc>
        <w:tc>
          <w:tcPr>
            <w:tcW w:w="576" w:type="dxa"/>
            <w:tcBorders>
              <w:top w:val="nil"/>
              <w:left w:val="nil"/>
              <w:bottom w:val="single" w:color="auto" w:sz="4" w:space="0"/>
              <w:right w:val="single" w:color="auto" w:sz="4" w:space="0"/>
            </w:tcBorders>
            <w:noWrap w:val="0"/>
            <w:vAlign w:val="center"/>
          </w:tcPr>
          <w:p w14:paraId="71A2E3CB">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230BF473">
            <w:pPr>
              <w:widowControl/>
              <w:jc w:val="center"/>
              <w:rPr>
                <w:rFonts w:ascii="宋体" w:hAnsi="宋体" w:cs="宋体"/>
                <w:kern w:val="0"/>
                <w:sz w:val="18"/>
                <w:szCs w:val="18"/>
              </w:rPr>
            </w:pPr>
            <w:r>
              <w:rPr>
                <w:rFonts w:hint="eastAsia" w:ascii="宋体" w:hAnsi="宋体" w:cs="宋体"/>
                <w:kern w:val="0"/>
                <w:sz w:val="18"/>
                <w:szCs w:val="18"/>
              </w:rPr>
              <w:t>425</w:t>
            </w:r>
          </w:p>
        </w:tc>
        <w:tc>
          <w:tcPr>
            <w:tcW w:w="576" w:type="dxa"/>
            <w:tcBorders>
              <w:top w:val="nil"/>
              <w:left w:val="nil"/>
              <w:bottom w:val="single" w:color="auto" w:sz="4" w:space="0"/>
              <w:right w:val="single" w:color="auto" w:sz="4" w:space="0"/>
            </w:tcBorders>
            <w:noWrap w:val="0"/>
            <w:vAlign w:val="center"/>
          </w:tcPr>
          <w:p w14:paraId="2C85A5A7">
            <w:pPr>
              <w:widowControl/>
              <w:jc w:val="center"/>
              <w:rPr>
                <w:rFonts w:ascii="宋体" w:hAnsi="宋体" w:cs="宋体"/>
                <w:kern w:val="0"/>
                <w:sz w:val="18"/>
                <w:szCs w:val="18"/>
              </w:rPr>
            </w:pPr>
            <w:r>
              <w:rPr>
                <w:rFonts w:hint="eastAsia" w:ascii="宋体" w:hAnsi="宋体" w:cs="宋体"/>
                <w:kern w:val="0"/>
                <w:sz w:val="18"/>
                <w:szCs w:val="18"/>
              </w:rPr>
              <w:t>1.03</w:t>
            </w:r>
          </w:p>
        </w:tc>
        <w:tc>
          <w:tcPr>
            <w:tcW w:w="711" w:type="dxa"/>
            <w:tcBorders>
              <w:top w:val="nil"/>
              <w:left w:val="nil"/>
              <w:bottom w:val="single" w:color="auto" w:sz="4" w:space="0"/>
              <w:right w:val="single" w:color="auto" w:sz="4" w:space="0"/>
            </w:tcBorders>
            <w:noWrap w:val="0"/>
            <w:vAlign w:val="center"/>
          </w:tcPr>
          <w:p w14:paraId="59384317">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3425887D">
            <w:pPr>
              <w:widowControl/>
              <w:jc w:val="center"/>
              <w:rPr>
                <w:rFonts w:ascii="宋体" w:hAnsi="宋体" w:cs="宋体"/>
                <w:kern w:val="0"/>
                <w:sz w:val="18"/>
                <w:szCs w:val="18"/>
              </w:rPr>
            </w:pPr>
            <w:r>
              <w:rPr>
                <w:rFonts w:hint="eastAsia" w:ascii="宋体" w:hAnsi="宋体" w:cs="宋体"/>
                <w:kern w:val="0"/>
                <w:sz w:val="18"/>
                <w:szCs w:val="18"/>
              </w:rPr>
              <w:t>1.51</w:t>
            </w:r>
          </w:p>
        </w:tc>
        <w:tc>
          <w:tcPr>
            <w:tcW w:w="580" w:type="dxa"/>
            <w:tcBorders>
              <w:top w:val="nil"/>
              <w:left w:val="nil"/>
              <w:bottom w:val="single" w:color="auto" w:sz="4" w:space="0"/>
              <w:right w:val="single" w:color="auto" w:sz="4" w:space="0"/>
            </w:tcBorders>
            <w:noWrap w:val="0"/>
            <w:vAlign w:val="center"/>
          </w:tcPr>
          <w:p w14:paraId="09972B2F">
            <w:pPr>
              <w:widowControl/>
              <w:jc w:val="center"/>
              <w:rPr>
                <w:rFonts w:ascii="宋体" w:hAnsi="宋体" w:cs="宋体"/>
                <w:kern w:val="0"/>
                <w:sz w:val="18"/>
                <w:szCs w:val="18"/>
              </w:rPr>
            </w:pPr>
            <w:r>
              <w:rPr>
                <w:rFonts w:hint="eastAsia" w:ascii="宋体" w:hAnsi="宋体" w:cs="宋体"/>
                <w:kern w:val="0"/>
                <w:sz w:val="18"/>
                <w:szCs w:val="18"/>
              </w:rPr>
              <w:t xml:space="preserve">5.27 </w:t>
            </w:r>
          </w:p>
        </w:tc>
        <w:tc>
          <w:tcPr>
            <w:tcW w:w="576" w:type="dxa"/>
            <w:tcBorders>
              <w:top w:val="nil"/>
              <w:left w:val="nil"/>
              <w:bottom w:val="single" w:color="auto" w:sz="4" w:space="0"/>
              <w:right w:val="single" w:color="auto" w:sz="4" w:space="0"/>
            </w:tcBorders>
            <w:noWrap w:val="0"/>
            <w:vAlign w:val="center"/>
          </w:tcPr>
          <w:p w14:paraId="352DE546">
            <w:pPr>
              <w:widowControl/>
              <w:jc w:val="center"/>
              <w:rPr>
                <w:rFonts w:ascii="宋体" w:hAnsi="宋体" w:cs="宋体"/>
                <w:kern w:val="0"/>
                <w:sz w:val="18"/>
                <w:szCs w:val="18"/>
              </w:rPr>
            </w:pPr>
            <w:r>
              <w:rPr>
                <w:rFonts w:hint="eastAsia" w:ascii="宋体" w:hAnsi="宋体" w:cs="宋体"/>
                <w:kern w:val="0"/>
                <w:sz w:val="18"/>
                <w:szCs w:val="18"/>
              </w:rPr>
              <w:t xml:space="preserve">0.95 </w:t>
            </w:r>
          </w:p>
        </w:tc>
        <w:tc>
          <w:tcPr>
            <w:tcW w:w="700" w:type="dxa"/>
            <w:tcBorders>
              <w:top w:val="nil"/>
              <w:left w:val="nil"/>
              <w:bottom w:val="single" w:color="auto" w:sz="4" w:space="0"/>
              <w:right w:val="single" w:color="auto" w:sz="4" w:space="0"/>
            </w:tcBorders>
            <w:noWrap w:val="0"/>
            <w:vAlign w:val="center"/>
          </w:tcPr>
          <w:p w14:paraId="0FA08942">
            <w:pPr>
              <w:widowControl/>
              <w:jc w:val="center"/>
              <w:rPr>
                <w:rFonts w:ascii="宋体" w:hAnsi="宋体" w:cs="宋体"/>
                <w:kern w:val="0"/>
                <w:sz w:val="18"/>
                <w:szCs w:val="18"/>
              </w:rPr>
            </w:pPr>
            <w:r>
              <w:rPr>
                <w:rFonts w:hint="eastAsia" w:ascii="宋体" w:hAnsi="宋体" w:cs="宋体"/>
                <w:kern w:val="0"/>
                <w:sz w:val="18"/>
                <w:szCs w:val="18"/>
              </w:rPr>
              <w:t xml:space="preserve">2.13 </w:t>
            </w:r>
          </w:p>
        </w:tc>
        <w:tc>
          <w:tcPr>
            <w:tcW w:w="576" w:type="dxa"/>
            <w:tcBorders>
              <w:top w:val="nil"/>
              <w:left w:val="nil"/>
              <w:bottom w:val="single" w:color="auto" w:sz="4" w:space="0"/>
              <w:right w:val="single" w:color="auto" w:sz="4" w:space="0"/>
            </w:tcBorders>
            <w:noWrap w:val="0"/>
            <w:vAlign w:val="center"/>
          </w:tcPr>
          <w:p w14:paraId="50D7D72A">
            <w:pPr>
              <w:widowControl/>
              <w:jc w:val="center"/>
              <w:rPr>
                <w:rFonts w:ascii="宋体" w:hAnsi="宋体" w:cs="宋体"/>
                <w:kern w:val="0"/>
                <w:sz w:val="18"/>
                <w:szCs w:val="18"/>
              </w:rPr>
            </w:pPr>
            <w:r>
              <w:rPr>
                <w:rFonts w:hint="eastAsia" w:ascii="宋体" w:hAnsi="宋体" w:cs="宋体"/>
                <w:kern w:val="0"/>
                <w:sz w:val="18"/>
                <w:szCs w:val="18"/>
              </w:rPr>
              <w:t xml:space="preserve">1.49 </w:t>
            </w:r>
          </w:p>
        </w:tc>
        <w:tc>
          <w:tcPr>
            <w:tcW w:w="961" w:type="dxa"/>
            <w:tcBorders>
              <w:top w:val="nil"/>
              <w:left w:val="nil"/>
              <w:bottom w:val="single" w:color="auto" w:sz="4" w:space="0"/>
              <w:right w:val="single" w:color="auto" w:sz="4" w:space="0"/>
            </w:tcBorders>
            <w:noWrap w:val="0"/>
            <w:vAlign w:val="center"/>
          </w:tcPr>
          <w:p w14:paraId="2690FE39">
            <w:pPr>
              <w:widowControl/>
              <w:jc w:val="center"/>
              <w:rPr>
                <w:rFonts w:ascii="宋体" w:hAnsi="宋体" w:cs="宋体"/>
                <w:kern w:val="0"/>
                <w:sz w:val="18"/>
                <w:szCs w:val="18"/>
              </w:rPr>
            </w:pPr>
            <w:r>
              <w:rPr>
                <w:rFonts w:hint="eastAsia" w:ascii="宋体" w:hAnsi="宋体" w:cs="宋体"/>
                <w:kern w:val="0"/>
                <w:sz w:val="18"/>
                <w:szCs w:val="18"/>
              </w:rPr>
              <w:t xml:space="preserve">14.66 </w:t>
            </w:r>
          </w:p>
        </w:tc>
      </w:tr>
      <w:tr w14:paraId="498A1509">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49DF713E">
            <w:pPr>
              <w:widowControl/>
              <w:jc w:val="left"/>
              <w:rPr>
                <w:rFonts w:ascii="宋体" w:hAnsi="宋体" w:cs="宋体"/>
                <w:kern w:val="0"/>
                <w:sz w:val="18"/>
                <w:szCs w:val="18"/>
              </w:rPr>
            </w:pPr>
            <w:r>
              <w:rPr>
                <w:rFonts w:hint="eastAsia" w:ascii="宋体" w:hAnsi="宋体" w:cs="宋体"/>
                <w:kern w:val="0"/>
                <w:sz w:val="18"/>
                <w:szCs w:val="18"/>
              </w:rPr>
              <w:t>K13</w:t>
            </w:r>
          </w:p>
        </w:tc>
        <w:tc>
          <w:tcPr>
            <w:tcW w:w="576" w:type="dxa"/>
            <w:tcBorders>
              <w:top w:val="nil"/>
              <w:left w:val="nil"/>
              <w:bottom w:val="single" w:color="auto" w:sz="4" w:space="0"/>
              <w:right w:val="single" w:color="auto" w:sz="4" w:space="0"/>
            </w:tcBorders>
            <w:noWrap w:val="0"/>
            <w:vAlign w:val="center"/>
          </w:tcPr>
          <w:p w14:paraId="5A529E95">
            <w:pPr>
              <w:widowControl/>
              <w:jc w:val="center"/>
              <w:rPr>
                <w:rFonts w:ascii="宋体" w:hAnsi="宋体" w:cs="宋体"/>
                <w:kern w:val="0"/>
                <w:sz w:val="18"/>
                <w:szCs w:val="18"/>
              </w:rPr>
            </w:pPr>
            <w:r>
              <w:rPr>
                <w:rFonts w:hint="eastAsia" w:ascii="宋体" w:hAnsi="宋体" w:cs="宋体"/>
                <w:kern w:val="0"/>
                <w:sz w:val="18"/>
                <w:szCs w:val="18"/>
              </w:rPr>
              <w:t xml:space="preserve">1.06 </w:t>
            </w:r>
          </w:p>
        </w:tc>
        <w:tc>
          <w:tcPr>
            <w:tcW w:w="666" w:type="dxa"/>
            <w:tcBorders>
              <w:top w:val="nil"/>
              <w:left w:val="nil"/>
              <w:bottom w:val="single" w:color="auto" w:sz="4" w:space="0"/>
              <w:right w:val="single" w:color="auto" w:sz="4" w:space="0"/>
            </w:tcBorders>
            <w:noWrap w:val="0"/>
            <w:vAlign w:val="center"/>
          </w:tcPr>
          <w:p w14:paraId="0A23D8BC">
            <w:pPr>
              <w:widowControl/>
              <w:jc w:val="center"/>
              <w:rPr>
                <w:rFonts w:ascii="宋体" w:hAnsi="宋体" w:cs="宋体"/>
                <w:kern w:val="0"/>
                <w:sz w:val="18"/>
                <w:szCs w:val="18"/>
              </w:rPr>
            </w:pPr>
            <w:r>
              <w:rPr>
                <w:rFonts w:hint="eastAsia" w:ascii="宋体" w:hAnsi="宋体" w:cs="宋体"/>
                <w:kern w:val="0"/>
                <w:sz w:val="18"/>
                <w:szCs w:val="18"/>
              </w:rPr>
              <w:t>19.49</w:t>
            </w:r>
          </w:p>
        </w:tc>
        <w:tc>
          <w:tcPr>
            <w:tcW w:w="666" w:type="dxa"/>
            <w:tcBorders>
              <w:top w:val="nil"/>
              <w:left w:val="nil"/>
              <w:bottom w:val="single" w:color="auto" w:sz="4" w:space="0"/>
              <w:right w:val="single" w:color="auto" w:sz="4" w:space="0"/>
            </w:tcBorders>
            <w:noWrap w:val="0"/>
            <w:vAlign w:val="center"/>
          </w:tcPr>
          <w:p w14:paraId="33B9D435">
            <w:pPr>
              <w:widowControl/>
              <w:jc w:val="center"/>
              <w:rPr>
                <w:rFonts w:ascii="宋体" w:hAnsi="宋体" w:cs="宋体"/>
                <w:kern w:val="0"/>
                <w:sz w:val="18"/>
                <w:szCs w:val="18"/>
              </w:rPr>
            </w:pPr>
            <w:r>
              <w:rPr>
                <w:rFonts w:hint="eastAsia" w:ascii="宋体" w:hAnsi="宋体" w:cs="宋体"/>
                <w:kern w:val="0"/>
                <w:sz w:val="18"/>
                <w:szCs w:val="18"/>
              </w:rPr>
              <w:t xml:space="preserve">13.00 </w:t>
            </w:r>
          </w:p>
        </w:tc>
        <w:tc>
          <w:tcPr>
            <w:tcW w:w="576" w:type="dxa"/>
            <w:tcBorders>
              <w:top w:val="nil"/>
              <w:left w:val="nil"/>
              <w:bottom w:val="single" w:color="auto" w:sz="4" w:space="0"/>
              <w:right w:val="single" w:color="auto" w:sz="4" w:space="0"/>
            </w:tcBorders>
            <w:noWrap w:val="0"/>
            <w:vAlign w:val="center"/>
          </w:tcPr>
          <w:p w14:paraId="28252539">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07D56DD4">
            <w:pPr>
              <w:widowControl/>
              <w:jc w:val="center"/>
              <w:rPr>
                <w:rFonts w:ascii="宋体" w:hAnsi="宋体" w:cs="宋体"/>
                <w:kern w:val="0"/>
                <w:sz w:val="18"/>
                <w:szCs w:val="18"/>
              </w:rPr>
            </w:pPr>
            <w:r>
              <w:rPr>
                <w:rFonts w:hint="eastAsia" w:ascii="宋体" w:hAnsi="宋体" w:cs="宋体"/>
                <w:kern w:val="0"/>
                <w:sz w:val="18"/>
                <w:szCs w:val="18"/>
              </w:rPr>
              <w:t>442</w:t>
            </w:r>
          </w:p>
        </w:tc>
        <w:tc>
          <w:tcPr>
            <w:tcW w:w="576" w:type="dxa"/>
            <w:tcBorders>
              <w:top w:val="nil"/>
              <w:left w:val="nil"/>
              <w:bottom w:val="single" w:color="auto" w:sz="4" w:space="0"/>
              <w:right w:val="single" w:color="auto" w:sz="4" w:space="0"/>
            </w:tcBorders>
            <w:noWrap w:val="0"/>
            <w:vAlign w:val="center"/>
          </w:tcPr>
          <w:p w14:paraId="1FDC1C29">
            <w:pPr>
              <w:widowControl/>
              <w:jc w:val="center"/>
              <w:rPr>
                <w:rFonts w:ascii="宋体" w:hAnsi="宋体" w:cs="宋体"/>
                <w:kern w:val="0"/>
                <w:sz w:val="18"/>
                <w:szCs w:val="18"/>
              </w:rPr>
            </w:pPr>
            <w:r>
              <w:rPr>
                <w:rFonts w:hint="eastAsia" w:ascii="宋体" w:hAnsi="宋体" w:cs="宋体"/>
                <w:kern w:val="0"/>
                <w:sz w:val="18"/>
                <w:szCs w:val="18"/>
              </w:rPr>
              <w:t>1.03</w:t>
            </w:r>
          </w:p>
        </w:tc>
        <w:tc>
          <w:tcPr>
            <w:tcW w:w="711" w:type="dxa"/>
            <w:tcBorders>
              <w:top w:val="nil"/>
              <w:left w:val="nil"/>
              <w:bottom w:val="single" w:color="auto" w:sz="4" w:space="0"/>
              <w:right w:val="single" w:color="auto" w:sz="4" w:space="0"/>
            </w:tcBorders>
            <w:noWrap w:val="0"/>
            <w:vAlign w:val="center"/>
          </w:tcPr>
          <w:p w14:paraId="37FCE609">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37A995F3">
            <w:pPr>
              <w:widowControl/>
              <w:jc w:val="center"/>
              <w:rPr>
                <w:rFonts w:ascii="宋体" w:hAnsi="宋体" w:cs="宋体"/>
                <w:kern w:val="0"/>
                <w:sz w:val="18"/>
                <w:szCs w:val="18"/>
              </w:rPr>
            </w:pPr>
            <w:r>
              <w:rPr>
                <w:rFonts w:hint="eastAsia" w:ascii="宋体" w:hAnsi="宋体" w:cs="宋体"/>
                <w:kern w:val="0"/>
                <w:sz w:val="18"/>
                <w:szCs w:val="18"/>
              </w:rPr>
              <w:t>1.47</w:t>
            </w:r>
          </w:p>
        </w:tc>
        <w:tc>
          <w:tcPr>
            <w:tcW w:w="580" w:type="dxa"/>
            <w:tcBorders>
              <w:top w:val="nil"/>
              <w:left w:val="nil"/>
              <w:bottom w:val="single" w:color="auto" w:sz="4" w:space="0"/>
              <w:right w:val="single" w:color="auto" w:sz="4" w:space="0"/>
            </w:tcBorders>
            <w:noWrap w:val="0"/>
            <w:vAlign w:val="center"/>
          </w:tcPr>
          <w:p w14:paraId="4C7365E0">
            <w:pPr>
              <w:widowControl/>
              <w:jc w:val="center"/>
              <w:rPr>
                <w:rFonts w:ascii="宋体" w:hAnsi="宋体" w:cs="宋体"/>
                <w:kern w:val="0"/>
                <w:sz w:val="18"/>
                <w:szCs w:val="18"/>
              </w:rPr>
            </w:pPr>
            <w:r>
              <w:rPr>
                <w:rFonts w:hint="eastAsia" w:ascii="宋体" w:hAnsi="宋体" w:cs="宋体"/>
                <w:kern w:val="0"/>
                <w:sz w:val="18"/>
                <w:szCs w:val="18"/>
              </w:rPr>
              <w:t xml:space="preserve">5.13 </w:t>
            </w:r>
          </w:p>
        </w:tc>
        <w:tc>
          <w:tcPr>
            <w:tcW w:w="576" w:type="dxa"/>
            <w:tcBorders>
              <w:top w:val="nil"/>
              <w:left w:val="nil"/>
              <w:bottom w:val="single" w:color="auto" w:sz="4" w:space="0"/>
              <w:right w:val="single" w:color="auto" w:sz="4" w:space="0"/>
            </w:tcBorders>
            <w:noWrap w:val="0"/>
            <w:vAlign w:val="center"/>
          </w:tcPr>
          <w:p w14:paraId="4BC6B061">
            <w:pPr>
              <w:widowControl/>
              <w:jc w:val="center"/>
              <w:rPr>
                <w:rFonts w:ascii="宋体" w:hAnsi="宋体" w:cs="宋体"/>
                <w:kern w:val="0"/>
                <w:sz w:val="18"/>
                <w:szCs w:val="18"/>
              </w:rPr>
            </w:pPr>
            <w:r>
              <w:rPr>
                <w:rFonts w:hint="eastAsia" w:ascii="宋体" w:hAnsi="宋体" w:cs="宋体"/>
                <w:kern w:val="0"/>
                <w:sz w:val="18"/>
                <w:szCs w:val="18"/>
              </w:rPr>
              <w:t xml:space="preserve">0.95 </w:t>
            </w:r>
          </w:p>
        </w:tc>
        <w:tc>
          <w:tcPr>
            <w:tcW w:w="700" w:type="dxa"/>
            <w:tcBorders>
              <w:top w:val="nil"/>
              <w:left w:val="nil"/>
              <w:bottom w:val="single" w:color="auto" w:sz="4" w:space="0"/>
              <w:right w:val="single" w:color="auto" w:sz="4" w:space="0"/>
            </w:tcBorders>
            <w:noWrap w:val="0"/>
            <w:vAlign w:val="center"/>
          </w:tcPr>
          <w:p w14:paraId="4C18C6AF">
            <w:pPr>
              <w:widowControl/>
              <w:jc w:val="center"/>
              <w:rPr>
                <w:rFonts w:ascii="宋体" w:hAnsi="宋体" w:cs="宋体"/>
                <w:kern w:val="0"/>
                <w:sz w:val="18"/>
                <w:szCs w:val="18"/>
              </w:rPr>
            </w:pPr>
            <w:r>
              <w:rPr>
                <w:rFonts w:hint="eastAsia" w:ascii="宋体" w:hAnsi="宋体" w:cs="宋体"/>
                <w:kern w:val="0"/>
                <w:sz w:val="18"/>
                <w:szCs w:val="18"/>
              </w:rPr>
              <w:t xml:space="preserve">2.21 </w:t>
            </w:r>
          </w:p>
        </w:tc>
        <w:tc>
          <w:tcPr>
            <w:tcW w:w="576" w:type="dxa"/>
            <w:tcBorders>
              <w:top w:val="nil"/>
              <w:left w:val="nil"/>
              <w:bottom w:val="single" w:color="auto" w:sz="4" w:space="0"/>
              <w:right w:val="single" w:color="auto" w:sz="4" w:space="0"/>
            </w:tcBorders>
            <w:noWrap w:val="0"/>
            <w:vAlign w:val="center"/>
          </w:tcPr>
          <w:p w14:paraId="2C70ADD0">
            <w:pPr>
              <w:widowControl/>
              <w:jc w:val="center"/>
              <w:rPr>
                <w:rFonts w:ascii="宋体" w:hAnsi="宋体" w:cs="宋体"/>
                <w:kern w:val="0"/>
                <w:sz w:val="18"/>
                <w:szCs w:val="18"/>
              </w:rPr>
            </w:pPr>
            <w:r>
              <w:rPr>
                <w:rFonts w:hint="eastAsia" w:ascii="宋体" w:hAnsi="宋体" w:cs="宋体"/>
                <w:kern w:val="0"/>
                <w:sz w:val="18"/>
                <w:szCs w:val="18"/>
              </w:rPr>
              <w:t xml:space="preserve">1.49 </w:t>
            </w:r>
          </w:p>
        </w:tc>
        <w:tc>
          <w:tcPr>
            <w:tcW w:w="961" w:type="dxa"/>
            <w:tcBorders>
              <w:top w:val="nil"/>
              <w:left w:val="nil"/>
              <w:bottom w:val="single" w:color="auto" w:sz="4" w:space="0"/>
              <w:right w:val="single" w:color="auto" w:sz="4" w:space="0"/>
            </w:tcBorders>
            <w:noWrap w:val="0"/>
            <w:vAlign w:val="center"/>
          </w:tcPr>
          <w:p w14:paraId="14893FDB">
            <w:pPr>
              <w:widowControl/>
              <w:jc w:val="center"/>
              <w:rPr>
                <w:rFonts w:ascii="宋体" w:hAnsi="宋体" w:cs="宋体"/>
                <w:kern w:val="0"/>
                <w:sz w:val="18"/>
                <w:szCs w:val="18"/>
              </w:rPr>
            </w:pPr>
            <w:r>
              <w:rPr>
                <w:rFonts w:hint="eastAsia" w:ascii="宋体" w:hAnsi="宋体" w:cs="宋体"/>
                <w:kern w:val="0"/>
                <w:sz w:val="18"/>
                <w:szCs w:val="18"/>
              </w:rPr>
              <w:t xml:space="preserve">15.92 </w:t>
            </w:r>
          </w:p>
        </w:tc>
      </w:tr>
      <w:tr w14:paraId="56D3E11A">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5295303B">
            <w:pPr>
              <w:widowControl/>
              <w:jc w:val="left"/>
              <w:rPr>
                <w:rFonts w:ascii="宋体" w:hAnsi="宋体" w:cs="宋体"/>
                <w:kern w:val="0"/>
                <w:sz w:val="18"/>
                <w:szCs w:val="18"/>
              </w:rPr>
            </w:pPr>
            <w:r>
              <w:rPr>
                <w:rFonts w:hint="eastAsia" w:ascii="宋体" w:hAnsi="宋体" w:cs="宋体"/>
                <w:kern w:val="0"/>
                <w:sz w:val="18"/>
                <w:szCs w:val="18"/>
              </w:rPr>
              <w:t>K18</w:t>
            </w:r>
          </w:p>
        </w:tc>
        <w:tc>
          <w:tcPr>
            <w:tcW w:w="576" w:type="dxa"/>
            <w:tcBorders>
              <w:top w:val="nil"/>
              <w:left w:val="nil"/>
              <w:bottom w:val="single" w:color="auto" w:sz="4" w:space="0"/>
              <w:right w:val="single" w:color="auto" w:sz="4" w:space="0"/>
            </w:tcBorders>
            <w:noWrap w:val="0"/>
            <w:vAlign w:val="center"/>
          </w:tcPr>
          <w:p w14:paraId="4AB562A6">
            <w:pPr>
              <w:widowControl/>
              <w:jc w:val="center"/>
              <w:rPr>
                <w:rFonts w:ascii="宋体" w:hAnsi="宋体" w:cs="宋体"/>
                <w:kern w:val="0"/>
                <w:sz w:val="18"/>
                <w:szCs w:val="18"/>
              </w:rPr>
            </w:pPr>
            <w:r>
              <w:rPr>
                <w:rFonts w:hint="eastAsia" w:ascii="宋体" w:hAnsi="宋体" w:cs="宋体"/>
                <w:kern w:val="0"/>
                <w:sz w:val="18"/>
                <w:szCs w:val="18"/>
              </w:rPr>
              <w:t xml:space="preserve">1.22 </w:t>
            </w:r>
          </w:p>
        </w:tc>
        <w:tc>
          <w:tcPr>
            <w:tcW w:w="666" w:type="dxa"/>
            <w:tcBorders>
              <w:top w:val="nil"/>
              <w:left w:val="nil"/>
              <w:bottom w:val="single" w:color="auto" w:sz="4" w:space="0"/>
              <w:right w:val="single" w:color="auto" w:sz="4" w:space="0"/>
            </w:tcBorders>
            <w:noWrap w:val="0"/>
            <w:vAlign w:val="center"/>
          </w:tcPr>
          <w:p w14:paraId="3F8182EA">
            <w:pPr>
              <w:widowControl/>
              <w:jc w:val="center"/>
              <w:rPr>
                <w:rFonts w:ascii="宋体" w:hAnsi="宋体" w:cs="宋体"/>
                <w:kern w:val="0"/>
                <w:sz w:val="18"/>
                <w:szCs w:val="18"/>
              </w:rPr>
            </w:pPr>
            <w:r>
              <w:rPr>
                <w:rFonts w:hint="eastAsia" w:ascii="宋体" w:hAnsi="宋体" w:cs="宋体"/>
                <w:kern w:val="0"/>
                <w:sz w:val="18"/>
                <w:szCs w:val="18"/>
              </w:rPr>
              <w:t>17.04</w:t>
            </w:r>
          </w:p>
        </w:tc>
        <w:tc>
          <w:tcPr>
            <w:tcW w:w="666" w:type="dxa"/>
            <w:tcBorders>
              <w:top w:val="nil"/>
              <w:left w:val="nil"/>
              <w:bottom w:val="single" w:color="auto" w:sz="4" w:space="0"/>
              <w:right w:val="single" w:color="auto" w:sz="4" w:space="0"/>
            </w:tcBorders>
            <w:noWrap w:val="0"/>
            <w:vAlign w:val="center"/>
          </w:tcPr>
          <w:p w14:paraId="45117111">
            <w:pPr>
              <w:widowControl/>
              <w:jc w:val="center"/>
              <w:rPr>
                <w:rFonts w:ascii="宋体" w:hAnsi="宋体" w:cs="宋体"/>
                <w:kern w:val="0"/>
                <w:sz w:val="18"/>
                <w:szCs w:val="18"/>
              </w:rPr>
            </w:pPr>
            <w:r>
              <w:rPr>
                <w:rFonts w:hint="eastAsia" w:ascii="宋体" w:hAnsi="宋体" w:cs="宋体"/>
                <w:kern w:val="0"/>
                <w:sz w:val="18"/>
                <w:szCs w:val="18"/>
              </w:rPr>
              <w:t xml:space="preserve">13.08 </w:t>
            </w:r>
          </w:p>
        </w:tc>
        <w:tc>
          <w:tcPr>
            <w:tcW w:w="576" w:type="dxa"/>
            <w:tcBorders>
              <w:top w:val="nil"/>
              <w:left w:val="nil"/>
              <w:bottom w:val="single" w:color="auto" w:sz="4" w:space="0"/>
              <w:right w:val="single" w:color="auto" w:sz="4" w:space="0"/>
            </w:tcBorders>
            <w:noWrap w:val="0"/>
            <w:vAlign w:val="center"/>
          </w:tcPr>
          <w:p w14:paraId="3405A1B5">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6DEC60EE">
            <w:pPr>
              <w:widowControl/>
              <w:jc w:val="center"/>
              <w:rPr>
                <w:rFonts w:ascii="宋体" w:hAnsi="宋体" w:cs="宋体"/>
                <w:kern w:val="0"/>
                <w:sz w:val="18"/>
                <w:szCs w:val="18"/>
              </w:rPr>
            </w:pPr>
            <w:r>
              <w:rPr>
                <w:rFonts w:hint="eastAsia" w:ascii="宋体" w:hAnsi="宋体" w:cs="宋体"/>
                <w:kern w:val="0"/>
                <w:sz w:val="18"/>
                <w:szCs w:val="18"/>
              </w:rPr>
              <w:t>476</w:t>
            </w:r>
          </w:p>
        </w:tc>
        <w:tc>
          <w:tcPr>
            <w:tcW w:w="576" w:type="dxa"/>
            <w:tcBorders>
              <w:top w:val="nil"/>
              <w:left w:val="nil"/>
              <w:bottom w:val="single" w:color="auto" w:sz="4" w:space="0"/>
              <w:right w:val="single" w:color="auto" w:sz="4" w:space="0"/>
            </w:tcBorders>
            <w:noWrap w:val="0"/>
            <w:vAlign w:val="center"/>
          </w:tcPr>
          <w:p w14:paraId="1ED4FDFC">
            <w:pPr>
              <w:widowControl/>
              <w:jc w:val="center"/>
              <w:rPr>
                <w:rFonts w:ascii="宋体" w:hAnsi="宋体" w:cs="宋体"/>
                <w:kern w:val="0"/>
                <w:sz w:val="18"/>
                <w:szCs w:val="18"/>
              </w:rPr>
            </w:pPr>
            <w:r>
              <w:rPr>
                <w:rFonts w:hint="eastAsia" w:ascii="宋体" w:hAnsi="宋体" w:cs="宋体"/>
                <w:kern w:val="0"/>
                <w:sz w:val="18"/>
                <w:szCs w:val="18"/>
              </w:rPr>
              <w:t>1.03</w:t>
            </w:r>
          </w:p>
        </w:tc>
        <w:tc>
          <w:tcPr>
            <w:tcW w:w="711" w:type="dxa"/>
            <w:tcBorders>
              <w:top w:val="nil"/>
              <w:left w:val="nil"/>
              <w:bottom w:val="single" w:color="auto" w:sz="4" w:space="0"/>
              <w:right w:val="single" w:color="auto" w:sz="4" w:space="0"/>
            </w:tcBorders>
            <w:noWrap w:val="0"/>
            <w:vAlign w:val="center"/>
          </w:tcPr>
          <w:p w14:paraId="455A3B22">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51FFDB82">
            <w:pPr>
              <w:widowControl/>
              <w:jc w:val="center"/>
              <w:rPr>
                <w:rFonts w:ascii="宋体" w:hAnsi="宋体" w:cs="宋体"/>
                <w:kern w:val="0"/>
                <w:sz w:val="18"/>
                <w:szCs w:val="18"/>
              </w:rPr>
            </w:pPr>
            <w:r>
              <w:rPr>
                <w:rFonts w:hint="eastAsia" w:ascii="宋体" w:hAnsi="宋体" w:cs="宋体"/>
                <w:kern w:val="0"/>
                <w:sz w:val="18"/>
                <w:szCs w:val="18"/>
              </w:rPr>
              <w:t>1.44</w:t>
            </w:r>
          </w:p>
        </w:tc>
        <w:tc>
          <w:tcPr>
            <w:tcW w:w="580" w:type="dxa"/>
            <w:tcBorders>
              <w:top w:val="nil"/>
              <w:left w:val="nil"/>
              <w:bottom w:val="single" w:color="auto" w:sz="4" w:space="0"/>
              <w:right w:val="single" w:color="auto" w:sz="4" w:space="0"/>
            </w:tcBorders>
            <w:noWrap w:val="0"/>
            <w:vAlign w:val="center"/>
          </w:tcPr>
          <w:p w14:paraId="7139C911">
            <w:pPr>
              <w:widowControl/>
              <w:jc w:val="center"/>
              <w:rPr>
                <w:rFonts w:ascii="宋体" w:hAnsi="宋体" w:cs="宋体"/>
                <w:kern w:val="0"/>
                <w:sz w:val="18"/>
                <w:szCs w:val="18"/>
              </w:rPr>
            </w:pPr>
            <w:r>
              <w:rPr>
                <w:rFonts w:hint="eastAsia" w:ascii="宋体" w:hAnsi="宋体" w:cs="宋体"/>
                <w:kern w:val="0"/>
                <w:sz w:val="18"/>
                <w:szCs w:val="18"/>
              </w:rPr>
              <w:t xml:space="preserve">5.15 </w:t>
            </w:r>
          </w:p>
        </w:tc>
        <w:tc>
          <w:tcPr>
            <w:tcW w:w="576" w:type="dxa"/>
            <w:tcBorders>
              <w:top w:val="nil"/>
              <w:left w:val="nil"/>
              <w:bottom w:val="single" w:color="auto" w:sz="4" w:space="0"/>
              <w:right w:val="single" w:color="auto" w:sz="4" w:space="0"/>
            </w:tcBorders>
            <w:noWrap w:val="0"/>
            <w:vAlign w:val="center"/>
          </w:tcPr>
          <w:p w14:paraId="7089BC5A">
            <w:pPr>
              <w:widowControl/>
              <w:jc w:val="center"/>
              <w:rPr>
                <w:rFonts w:ascii="宋体" w:hAnsi="宋体" w:cs="宋体"/>
                <w:kern w:val="0"/>
                <w:sz w:val="18"/>
                <w:szCs w:val="18"/>
              </w:rPr>
            </w:pPr>
            <w:r>
              <w:rPr>
                <w:rFonts w:hint="eastAsia" w:ascii="宋体" w:hAnsi="宋体" w:cs="宋体"/>
                <w:kern w:val="0"/>
                <w:sz w:val="18"/>
                <w:szCs w:val="18"/>
              </w:rPr>
              <w:t xml:space="preserve">0.95 </w:t>
            </w:r>
          </w:p>
        </w:tc>
        <w:tc>
          <w:tcPr>
            <w:tcW w:w="700" w:type="dxa"/>
            <w:tcBorders>
              <w:top w:val="nil"/>
              <w:left w:val="nil"/>
              <w:bottom w:val="single" w:color="auto" w:sz="4" w:space="0"/>
              <w:right w:val="single" w:color="auto" w:sz="4" w:space="0"/>
            </w:tcBorders>
            <w:noWrap w:val="0"/>
            <w:vAlign w:val="center"/>
          </w:tcPr>
          <w:p w14:paraId="4BB0F093">
            <w:pPr>
              <w:widowControl/>
              <w:jc w:val="center"/>
              <w:rPr>
                <w:rFonts w:ascii="宋体" w:hAnsi="宋体" w:cs="宋体"/>
                <w:kern w:val="0"/>
                <w:sz w:val="18"/>
                <w:szCs w:val="18"/>
              </w:rPr>
            </w:pPr>
            <w:r>
              <w:rPr>
                <w:rFonts w:hint="eastAsia" w:ascii="宋体" w:hAnsi="宋体" w:cs="宋体"/>
                <w:kern w:val="0"/>
                <w:sz w:val="18"/>
                <w:szCs w:val="18"/>
              </w:rPr>
              <w:t xml:space="preserve">2.38 </w:t>
            </w:r>
          </w:p>
        </w:tc>
        <w:tc>
          <w:tcPr>
            <w:tcW w:w="576" w:type="dxa"/>
            <w:tcBorders>
              <w:top w:val="nil"/>
              <w:left w:val="nil"/>
              <w:bottom w:val="single" w:color="auto" w:sz="4" w:space="0"/>
              <w:right w:val="single" w:color="auto" w:sz="4" w:space="0"/>
            </w:tcBorders>
            <w:noWrap w:val="0"/>
            <w:vAlign w:val="center"/>
          </w:tcPr>
          <w:p w14:paraId="6717AA2D">
            <w:pPr>
              <w:widowControl/>
              <w:jc w:val="center"/>
              <w:rPr>
                <w:rFonts w:ascii="宋体" w:hAnsi="宋体" w:cs="宋体"/>
                <w:kern w:val="0"/>
                <w:sz w:val="18"/>
                <w:szCs w:val="18"/>
              </w:rPr>
            </w:pPr>
            <w:r>
              <w:rPr>
                <w:rFonts w:hint="eastAsia" w:ascii="宋体" w:hAnsi="宋体" w:cs="宋体"/>
                <w:kern w:val="0"/>
                <w:sz w:val="18"/>
                <w:szCs w:val="18"/>
              </w:rPr>
              <w:t xml:space="preserve">1.49 </w:t>
            </w:r>
          </w:p>
        </w:tc>
        <w:tc>
          <w:tcPr>
            <w:tcW w:w="961" w:type="dxa"/>
            <w:tcBorders>
              <w:top w:val="nil"/>
              <w:left w:val="nil"/>
              <w:bottom w:val="single" w:color="auto" w:sz="4" w:space="0"/>
              <w:right w:val="single" w:color="auto" w:sz="4" w:space="0"/>
            </w:tcBorders>
            <w:noWrap w:val="0"/>
            <w:vAlign w:val="center"/>
          </w:tcPr>
          <w:p w14:paraId="05E14758">
            <w:pPr>
              <w:widowControl/>
              <w:jc w:val="center"/>
              <w:rPr>
                <w:rFonts w:ascii="宋体" w:hAnsi="宋体" w:cs="宋体"/>
                <w:kern w:val="0"/>
                <w:sz w:val="18"/>
                <w:szCs w:val="18"/>
              </w:rPr>
            </w:pPr>
            <w:r>
              <w:rPr>
                <w:rFonts w:hint="eastAsia" w:ascii="宋体" w:hAnsi="宋体" w:cs="宋体"/>
                <w:kern w:val="0"/>
                <w:sz w:val="18"/>
                <w:szCs w:val="18"/>
              </w:rPr>
              <w:t xml:space="preserve">16.04 </w:t>
            </w:r>
          </w:p>
        </w:tc>
      </w:tr>
      <w:tr w14:paraId="17AEB7E0">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121C921C">
            <w:pPr>
              <w:widowControl/>
              <w:jc w:val="left"/>
              <w:rPr>
                <w:rFonts w:ascii="宋体" w:hAnsi="宋体" w:cs="宋体"/>
                <w:kern w:val="0"/>
                <w:sz w:val="18"/>
                <w:szCs w:val="18"/>
              </w:rPr>
            </w:pPr>
            <w:r>
              <w:rPr>
                <w:rFonts w:hint="eastAsia" w:ascii="宋体" w:hAnsi="宋体" w:cs="宋体"/>
                <w:kern w:val="0"/>
                <w:sz w:val="18"/>
                <w:szCs w:val="18"/>
              </w:rPr>
              <w:t>K26</w:t>
            </w:r>
          </w:p>
        </w:tc>
        <w:tc>
          <w:tcPr>
            <w:tcW w:w="576" w:type="dxa"/>
            <w:tcBorders>
              <w:top w:val="nil"/>
              <w:left w:val="nil"/>
              <w:bottom w:val="single" w:color="auto" w:sz="4" w:space="0"/>
              <w:right w:val="single" w:color="auto" w:sz="4" w:space="0"/>
            </w:tcBorders>
            <w:noWrap w:val="0"/>
            <w:vAlign w:val="center"/>
          </w:tcPr>
          <w:p w14:paraId="3BB3E6FC">
            <w:pPr>
              <w:widowControl/>
              <w:jc w:val="center"/>
              <w:rPr>
                <w:rFonts w:ascii="宋体" w:hAnsi="宋体" w:cs="宋体"/>
                <w:kern w:val="0"/>
                <w:sz w:val="18"/>
                <w:szCs w:val="18"/>
              </w:rPr>
            </w:pPr>
            <w:r>
              <w:rPr>
                <w:rFonts w:hint="eastAsia" w:ascii="宋体" w:hAnsi="宋体" w:cs="宋体"/>
                <w:kern w:val="0"/>
                <w:sz w:val="18"/>
                <w:szCs w:val="18"/>
              </w:rPr>
              <w:t xml:space="preserve">1.14 </w:t>
            </w:r>
          </w:p>
        </w:tc>
        <w:tc>
          <w:tcPr>
            <w:tcW w:w="666" w:type="dxa"/>
            <w:tcBorders>
              <w:top w:val="nil"/>
              <w:left w:val="nil"/>
              <w:bottom w:val="single" w:color="auto" w:sz="4" w:space="0"/>
              <w:right w:val="single" w:color="auto" w:sz="4" w:space="0"/>
            </w:tcBorders>
            <w:noWrap w:val="0"/>
            <w:vAlign w:val="center"/>
          </w:tcPr>
          <w:p w14:paraId="79704A0F">
            <w:pPr>
              <w:widowControl/>
              <w:jc w:val="center"/>
              <w:rPr>
                <w:rFonts w:ascii="宋体" w:hAnsi="宋体" w:cs="宋体"/>
                <w:kern w:val="0"/>
                <w:sz w:val="18"/>
                <w:szCs w:val="18"/>
              </w:rPr>
            </w:pPr>
            <w:r>
              <w:rPr>
                <w:rFonts w:hint="eastAsia" w:ascii="宋体" w:hAnsi="宋体" w:cs="宋体"/>
                <w:kern w:val="0"/>
                <w:sz w:val="18"/>
                <w:szCs w:val="18"/>
              </w:rPr>
              <w:t>21.21</w:t>
            </w:r>
          </w:p>
        </w:tc>
        <w:tc>
          <w:tcPr>
            <w:tcW w:w="666" w:type="dxa"/>
            <w:tcBorders>
              <w:top w:val="nil"/>
              <w:left w:val="nil"/>
              <w:bottom w:val="single" w:color="auto" w:sz="4" w:space="0"/>
              <w:right w:val="single" w:color="auto" w:sz="4" w:space="0"/>
            </w:tcBorders>
            <w:noWrap w:val="0"/>
            <w:vAlign w:val="center"/>
          </w:tcPr>
          <w:p w14:paraId="4779DA99">
            <w:pPr>
              <w:widowControl/>
              <w:jc w:val="center"/>
              <w:rPr>
                <w:rFonts w:ascii="宋体" w:hAnsi="宋体" w:cs="宋体"/>
                <w:kern w:val="0"/>
                <w:sz w:val="18"/>
                <w:szCs w:val="18"/>
              </w:rPr>
            </w:pPr>
            <w:r>
              <w:rPr>
                <w:rFonts w:hint="eastAsia" w:ascii="宋体" w:hAnsi="宋体" w:cs="宋体"/>
                <w:kern w:val="0"/>
                <w:sz w:val="18"/>
                <w:szCs w:val="18"/>
              </w:rPr>
              <w:t xml:space="preserve">12.99 </w:t>
            </w:r>
          </w:p>
        </w:tc>
        <w:tc>
          <w:tcPr>
            <w:tcW w:w="576" w:type="dxa"/>
            <w:tcBorders>
              <w:top w:val="nil"/>
              <w:left w:val="nil"/>
              <w:bottom w:val="single" w:color="auto" w:sz="4" w:space="0"/>
              <w:right w:val="single" w:color="auto" w:sz="4" w:space="0"/>
            </w:tcBorders>
            <w:noWrap w:val="0"/>
            <w:vAlign w:val="center"/>
          </w:tcPr>
          <w:p w14:paraId="6EAE8FB2">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28207035">
            <w:pPr>
              <w:widowControl/>
              <w:jc w:val="center"/>
              <w:rPr>
                <w:rFonts w:ascii="宋体" w:hAnsi="宋体" w:cs="宋体"/>
                <w:kern w:val="0"/>
                <w:sz w:val="18"/>
                <w:szCs w:val="18"/>
              </w:rPr>
            </w:pPr>
            <w:r>
              <w:rPr>
                <w:rFonts w:hint="eastAsia" w:ascii="宋体" w:hAnsi="宋体" w:cs="宋体"/>
                <w:kern w:val="0"/>
                <w:sz w:val="18"/>
                <w:szCs w:val="18"/>
              </w:rPr>
              <w:t>538</w:t>
            </w:r>
          </w:p>
        </w:tc>
        <w:tc>
          <w:tcPr>
            <w:tcW w:w="576" w:type="dxa"/>
            <w:tcBorders>
              <w:top w:val="nil"/>
              <w:left w:val="nil"/>
              <w:bottom w:val="single" w:color="auto" w:sz="4" w:space="0"/>
              <w:right w:val="single" w:color="auto" w:sz="4" w:space="0"/>
            </w:tcBorders>
            <w:noWrap w:val="0"/>
            <w:vAlign w:val="center"/>
          </w:tcPr>
          <w:p w14:paraId="2D9E42FB">
            <w:pPr>
              <w:widowControl/>
              <w:jc w:val="center"/>
              <w:rPr>
                <w:rFonts w:ascii="宋体" w:hAnsi="宋体" w:cs="宋体"/>
                <w:kern w:val="0"/>
                <w:sz w:val="18"/>
                <w:szCs w:val="18"/>
              </w:rPr>
            </w:pPr>
            <w:r>
              <w:rPr>
                <w:rFonts w:hint="eastAsia" w:ascii="宋体" w:hAnsi="宋体" w:cs="宋体"/>
                <w:kern w:val="0"/>
                <w:sz w:val="18"/>
                <w:szCs w:val="18"/>
              </w:rPr>
              <w:t>1.03</w:t>
            </w:r>
          </w:p>
        </w:tc>
        <w:tc>
          <w:tcPr>
            <w:tcW w:w="711" w:type="dxa"/>
            <w:tcBorders>
              <w:top w:val="nil"/>
              <w:left w:val="nil"/>
              <w:bottom w:val="single" w:color="auto" w:sz="4" w:space="0"/>
              <w:right w:val="single" w:color="auto" w:sz="4" w:space="0"/>
            </w:tcBorders>
            <w:noWrap w:val="0"/>
            <w:vAlign w:val="center"/>
          </w:tcPr>
          <w:p w14:paraId="591EE15C">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65AC33FB">
            <w:pPr>
              <w:widowControl/>
              <w:jc w:val="center"/>
              <w:rPr>
                <w:rFonts w:ascii="宋体" w:hAnsi="宋体" w:cs="宋体"/>
                <w:kern w:val="0"/>
                <w:sz w:val="18"/>
                <w:szCs w:val="18"/>
              </w:rPr>
            </w:pPr>
            <w:r>
              <w:rPr>
                <w:rFonts w:hint="eastAsia" w:ascii="宋体" w:hAnsi="宋体" w:cs="宋体"/>
                <w:kern w:val="0"/>
                <w:sz w:val="18"/>
                <w:szCs w:val="18"/>
              </w:rPr>
              <w:t>1.48</w:t>
            </w:r>
          </w:p>
        </w:tc>
        <w:tc>
          <w:tcPr>
            <w:tcW w:w="580" w:type="dxa"/>
            <w:tcBorders>
              <w:top w:val="nil"/>
              <w:left w:val="nil"/>
              <w:bottom w:val="single" w:color="auto" w:sz="4" w:space="0"/>
              <w:right w:val="single" w:color="auto" w:sz="4" w:space="0"/>
            </w:tcBorders>
            <w:noWrap w:val="0"/>
            <w:vAlign w:val="center"/>
          </w:tcPr>
          <w:p w14:paraId="592A9E24">
            <w:pPr>
              <w:widowControl/>
              <w:jc w:val="center"/>
              <w:rPr>
                <w:rFonts w:ascii="宋体" w:hAnsi="宋体" w:cs="宋体"/>
                <w:kern w:val="0"/>
                <w:sz w:val="18"/>
                <w:szCs w:val="18"/>
              </w:rPr>
            </w:pPr>
            <w:r>
              <w:rPr>
                <w:rFonts w:hint="eastAsia" w:ascii="宋体" w:hAnsi="宋体" w:cs="宋体"/>
                <w:kern w:val="0"/>
                <w:sz w:val="18"/>
                <w:szCs w:val="18"/>
              </w:rPr>
              <w:t xml:space="preserve">5.13 </w:t>
            </w:r>
          </w:p>
        </w:tc>
        <w:tc>
          <w:tcPr>
            <w:tcW w:w="576" w:type="dxa"/>
            <w:tcBorders>
              <w:top w:val="nil"/>
              <w:left w:val="nil"/>
              <w:bottom w:val="single" w:color="auto" w:sz="4" w:space="0"/>
              <w:right w:val="single" w:color="auto" w:sz="4" w:space="0"/>
            </w:tcBorders>
            <w:noWrap w:val="0"/>
            <w:vAlign w:val="center"/>
          </w:tcPr>
          <w:p w14:paraId="2B3FFC3D">
            <w:pPr>
              <w:widowControl/>
              <w:jc w:val="center"/>
              <w:rPr>
                <w:rFonts w:ascii="宋体" w:hAnsi="宋体" w:cs="宋体"/>
                <w:kern w:val="0"/>
                <w:sz w:val="18"/>
                <w:szCs w:val="18"/>
              </w:rPr>
            </w:pPr>
            <w:r>
              <w:rPr>
                <w:rFonts w:hint="eastAsia" w:ascii="宋体" w:hAnsi="宋体" w:cs="宋体"/>
                <w:kern w:val="0"/>
                <w:sz w:val="18"/>
                <w:szCs w:val="18"/>
              </w:rPr>
              <w:t xml:space="preserve">0.95 </w:t>
            </w:r>
          </w:p>
        </w:tc>
        <w:tc>
          <w:tcPr>
            <w:tcW w:w="700" w:type="dxa"/>
            <w:tcBorders>
              <w:top w:val="nil"/>
              <w:left w:val="nil"/>
              <w:bottom w:val="single" w:color="auto" w:sz="4" w:space="0"/>
              <w:right w:val="single" w:color="auto" w:sz="4" w:space="0"/>
            </w:tcBorders>
            <w:noWrap w:val="0"/>
            <w:vAlign w:val="center"/>
          </w:tcPr>
          <w:p w14:paraId="753D5EF8">
            <w:pPr>
              <w:widowControl/>
              <w:jc w:val="center"/>
              <w:rPr>
                <w:rFonts w:ascii="宋体" w:hAnsi="宋体" w:cs="宋体"/>
                <w:kern w:val="0"/>
                <w:sz w:val="18"/>
                <w:szCs w:val="18"/>
              </w:rPr>
            </w:pPr>
            <w:r>
              <w:rPr>
                <w:rFonts w:hint="eastAsia" w:ascii="宋体" w:hAnsi="宋体" w:cs="宋体"/>
                <w:kern w:val="0"/>
                <w:sz w:val="18"/>
                <w:szCs w:val="18"/>
              </w:rPr>
              <w:t xml:space="preserve">2.69 </w:t>
            </w:r>
          </w:p>
        </w:tc>
        <w:tc>
          <w:tcPr>
            <w:tcW w:w="576" w:type="dxa"/>
            <w:tcBorders>
              <w:top w:val="nil"/>
              <w:left w:val="nil"/>
              <w:bottom w:val="single" w:color="auto" w:sz="4" w:space="0"/>
              <w:right w:val="single" w:color="auto" w:sz="4" w:space="0"/>
            </w:tcBorders>
            <w:noWrap w:val="0"/>
            <w:vAlign w:val="center"/>
          </w:tcPr>
          <w:p w14:paraId="56D6FDEF">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961" w:type="dxa"/>
            <w:tcBorders>
              <w:top w:val="nil"/>
              <w:left w:val="nil"/>
              <w:bottom w:val="single" w:color="auto" w:sz="4" w:space="0"/>
              <w:right w:val="single" w:color="auto" w:sz="4" w:space="0"/>
            </w:tcBorders>
            <w:noWrap w:val="0"/>
            <w:vAlign w:val="center"/>
          </w:tcPr>
          <w:p w14:paraId="50F28E9D">
            <w:pPr>
              <w:widowControl/>
              <w:jc w:val="center"/>
              <w:rPr>
                <w:rFonts w:ascii="宋体" w:hAnsi="宋体" w:cs="宋体"/>
                <w:kern w:val="0"/>
                <w:sz w:val="18"/>
                <w:szCs w:val="18"/>
              </w:rPr>
            </w:pPr>
            <w:r>
              <w:rPr>
                <w:rFonts w:hint="eastAsia" w:ascii="宋体" w:hAnsi="宋体" w:cs="宋体"/>
                <w:kern w:val="0"/>
                <w:sz w:val="18"/>
                <w:szCs w:val="18"/>
              </w:rPr>
              <w:t xml:space="preserve">15.95 </w:t>
            </w:r>
          </w:p>
        </w:tc>
      </w:tr>
      <w:tr w14:paraId="6611495D">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2CE85AD0">
            <w:pPr>
              <w:widowControl/>
              <w:jc w:val="left"/>
              <w:rPr>
                <w:rFonts w:ascii="宋体" w:hAnsi="宋体" w:cs="宋体"/>
                <w:kern w:val="0"/>
                <w:sz w:val="18"/>
                <w:szCs w:val="18"/>
              </w:rPr>
            </w:pPr>
            <w:r>
              <w:rPr>
                <w:rFonts w:hint="eastAsia" w:ascii="宋体" w:hAnsi="宋体" w:cs="宋体"/>
                <w:kern w:val="0"/>
                <w:sz w:val="18"/>
                <w:szCs w:val="18"/>
              </w:rPr>
              <w:t>K35-b</w:t>
            </w:r>
          </w:p>
        </w:tc>
        <w:tc>
          <w:tcPr>
            <w:tcW w:w="576" w:type="dxa"/>
            <w:tcBorders>
              <w:top w:val="nil"/>
              <w:left w:val="nil"/>
              <w:bottom w:val="single" w:color="auto" w:sz="4" w:space="0"/>
              <w:right w:val="single" w:color="auto" w:sz="4" w:space="0"/>
            </w:tcBorders>
            <w:noWrap w:val="0"/>
            <w:vAlign w:val="center"/>
          </w:tcPr>
          <w:p w14:paraId="2ED579C1">
            <w:pPr>
              <w:widowControl/>
              <w:jc w:val="center"/>
              <w:rPr>
                <w:rFonts w:ascii="宋体" w:hAnsi="宋体" w:cs="宋体"/>
                <w:kern w:val="0"/>
                <w:sz w:val="18"/>
                <w:szCs w:val="18"/>
              </w:rPr>
            </w:pPr>
            <w:r>
              <w:rPr>
                <w:rFonts w:hint="eastAsia" w:ascii="宋体" w:hAnsi="宋体" w:cs="宋体"/>
                <w:kern w:val="0"/>
                <w:sz w:val="18"/>
                <w:szCs w:val="18"/>
              </w:rPr>
              <w:t xml:space="preserve">1.04 </w:t>
            </w:r>
          </w:p>
        </w:tc>
        <w:tc>
          <w:tcPr>
            <w:tcW w:w="666" w:type="dxa"/>
            <w:tcBorders>
              <w:top w:val="nil"/>
              <w:left w:val="nil"/>
              <w:bottom w:val="single" w:color="auto" w:sz="4" w:space="0"/>
              <w:right w:val="single" w:color="auto" w:sz="4" w:space="0"/>
            </w:tcBorders>
            <w:noWrap w:val="0"/>
            <w:vAlign w:val="center"/>
          </w:tcPr>
          <w:p w14:paraId="4D9F5003">
            <w:pPr>
              <w:widowControl/>
              <w:jc w:val="center"/>
              <w:rPr>
                <w:rFonts w:ascii="宋体" w:hAnsi="宋体" w:cs="宋体"/>
                <w:kern w:val="0"/>
                <w:sz w:val="18"/>
                <w:szCs w:val="18"/>
              </w:rPr>
            </w:pPr>
            <w:r>
              <w:rPr>
                <w:rFonts w:hint="eastAsia" w:ascii="宋体" w:hAnsi="宋体" w:cs="宋体"/>
                <w:kern w:val="0"/>
                <w:sz w:val="18"/>
                <w:szCs w:val="18"/>
              </w:rPr>
              <w:t>29.71</w:t>
            </w:r>
          </w:p>
        </w:tc>
        <w:tc>
          <w:tcPr>
            <w:tcW w:w="666" w:type="dxa"/>
            <w:tcBorders>
              <w:top w:val="nil"/>
              <w:left w:val="nil"/>
              <w:bottom w:val="single" w:color="auto" w:sz="4" w:space="0"/>
              <w:right w:val="single" w:color="auto" w:sz="4" w:space="0"/>
            </w:tcBorders>
            <w:noWrap w:val="0"/>
            <w:vAlign w:val="center"/>
          </w:tcPr>
          <w:p w14:paraId="3FFCD239">
            <w:pPr>
              <w:widowControl/>
              <w:jc w:val="center"/>
              <w:rPr>
                <w:rFonts w:ascii="宋体" w:hAnsi="宋体" w:cs="宋体"/>
                <w:kern w:val="0"/>
                <w:sz w:val="18"/>
                <w:szCs w:val="18"/>
              </w:rPr>
            </w:pPr>
            <w:r>
              <w:rPr>
                <w:rFonts w:hint="eastAsia" w:ascii="宋体" w:hAnsi="宋体" w:cs="宋体"/>
                <w:kern w:val="0"/>
                <w:sz w:val="18"/>
                <w:szCs w:val="18"/>
              </w:rPr>
              <w:t xml:space="preserve">11.91 </w:t>
            </w:r>
          </w:p>
        </w:tc>
        <w:tc>
          <w:tcPr>
            <w:tcW w:w="576" w:type="dxa"/>
            <w:tcBorders>
              <w:top w:val="nil"/>
              <w:left w:val="nil"/>
              <w:bottom w:val="single" w:color="auto" w:sz="4" w:space="0"/>
              <w:right w:val="single" w:color="auto" w:sz="4" w:space="0"/>
            </w:tcBorders>
            <w:noWrap w:val="0"/>
            <w:vAlign w:val="center"/>
          </w:tcPr>
          <w:p w14:paraId="0BFFFCFF">
            <w:pPr>
              <w:widowControl/>
              <w:jc w:val="center"/>
              <w:rPr>
                <w:rFonts w:ascii="宋体" w:hAnsi="宋体" w:cs="宋体"/>
                <w:kern w:val="0"/>
                <w:sz w:val="18"/>
                <w:szCs w:val="18"/>
              </w:rPr>
            </w:pPr>
            <w:r>
              <w:rPr>
                <w:rFonts w:hint="eastAsia" w:ascii="宋体" w:hAnsi="宋体" w:cs="宋体"/>
                <w:kern w:val="0"/>
                <w:sz w:val="18"/>
                <w:szCs w:val="18"/>
              </w:rPr>
              <w:t xml:space="preserve">3.4 </w:t>
            </w:r>
          </w:p>
        </w:tc>
        <w:tc>
          <w:tcPr>
            <w:tcW w:w="580" w:type="dxa"/>
            <w:tcBorders>
              <w:top w:val="nil"/>
              <w:left w:val="nil"/>
              <w:bottom w:val="single" w:color="auto" w:sz="4" w:space="0"/>
              <w:right w:val="single" w:color="auto" w:sz="4" w:space="0"/>
            </w:tcBorders>
            <w:noWrap w:val="0"/>
            <w:vAlign w:val="center"/>
          </w:tcPr>
          <w:p w14:paraId="29CCC07D">
            <w:pPr>
              <w:widowControl/>
              <w:jc w:val="center"/>
              <w:rPr>
                <w:rFonts w:ascii="宋体" w:hAnsi="宋体" w:cs="宋体"/>
                <w:kern w:val="0"/>
                <w:sz w:val="18"/>
                <w:szCs w:val="18"/>
              </w:rPr>
            </w:pPr>
            <w:r>
              <w:rPr>
                <w:rFonts w:hint="eastAsia" w:ascii="宋体" w:hAnsi="宋体" w:cs="宋体"/>
                <w:kern w:val="0"/>
                <w:sz w:val="18"/>
                <w:szCs w:val="18"/>
              </w:rPr>
              <w:t>560</w:t>
            </w:r>
          </w:p>
        </w:tc>
        <w:tc>
          <w:tcPr>
            <w:tcW w:w="576" w:type="dxa"/>
            <w:tcBorders>
              <w:top w:val="nil"/>
              <w:left w:val="nil"/>
              <w:bottom w:val="single" w:color="auto" w:sz="4" w:space="0"/>
              <w:right w:val="single" w:color="auto" w:sz="4" w:space="0"/>
            </w:tcBorders>
            <w:noWrap w:val="0"/>
            <w:vAlign w:val="center"/>
          </w:tcPr>
          <w:p w14:paraId="1B812841">
            <w:pPr>
              <w:widowControl/>
              <w:jc w:val="center"/>
              <w:rPr>
                <w:rFonts w:ascii="宋体" w:hAnsi="宋体" w:cs="宋体"/>
                <w:kern w:val="0"/>
                <w:sz w:val="18"/>
                <w:szCs w:val="18"/>
              </w:rPr>
            </w:pPr>
            <w:r>
              <w:rPr>
                <w:rFonts w:hint="eastAsia" w:ascii="宋体" w:hAnsi="宋体" w:cs="宋体"/>
                <w:kern w:val="0"/>
                <w:sz w:val="18"/>
                <w:szCs w:val="18"/>
              </w:rPr>
              <w:t>1.03</w:t>
            </w:r>
          </w:p>
        </w:tc>
        <w:tc>
          <w:tcPr>
            <w:tcW w:w="711" w:type="dxa"/>
            <w:tcBorders>
              <w:top w:val="nil"/>
              <w:left w:val="nil"/>
              <w:bottom w:val="single" w:color="auto" w:sz="4" w:space="0"/>
              <w:right w:val="single" w:color="auto" w:sz="4" w:space="0"/>
            </w:tcBorders>
            <w:noWrap w:val="0"/>
            <w:vAlign w:val="center"/>
          </w:tcPr>
          <w:p w14:paraId="561C1266">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39F24796">
            <w:pPr>
              <w:widowControl/>
              <w:jc w:val="center"/>
              <w:rPr>
                <w:rFonts w:ascii="宋体" w:hAnsi="宋体" w:cs="宋体"/>
                <w:kern w:val="0"/>
                <w:sz w:val="18"/>
                <w:szCs w:val="18"/>
              </w:rPr>
            </w:pPr>
            <w:r>
              <w:rPr>
                <w:rFonts w:hint="eastAsia" w:ascii="宋体" w:hAnsi="宋体" w:cs="宋体"/>
                <w:kern w:val="0"/>
                <w:sz w:val="18"/>
                <w:szCs w:val="18"/>
              </w:rPr>
              <w:t>1.56</w:t>
            </w:r>
          </w:p>
        </w:tc>
        <w:tc>
          <w:tcPr>
            <w:tcW w:w="580" w:type="dxa"/>
            <w:tcBorders>
              <w:top w:val="nil"/>
              <w:left w:val="nil"/>
              <w:bottom w:val="single" w:color="auto" w:sz="4" w:space="0"/>
              <w:right w:val="single" w:color="auto" w:sz="4" w:space="0"/>
            </w:tcBorders>
            <w:noWrap w:val="0"/>
            <w:vAlign w:val="center"/>
          </w:tcPr>
          <w:p w14:paraId="3EB433C2">
            <w:pPr>
              <w:widowControl/>
              <w:jc w:val="center"/>
              <w:rPr>
                <w:rFonts w:ascii="宋体" w:hAnsi="宋体" w:cs="宋体"/>
                <w:kern w:val="0"/>
                <w:sz w:val="18"/>
                <w:szCs w:val="18"/>
              </w:rPr>
            </w:pPr>
            <w:r>
              <w:rPr>
                <w:rFonts w:hint="eastAsia" w:ascii="宋体" w:hAnsi="宋体" w:cs="宋体"/>
                <w:kern w:val="0"/>
                <w:sz w:val="18"/>
                <w:szCs w:val="18"/>
              </w:rPr>
              <w:t xml:space="preserve">4.90 </w:t>
            </w:r>
          </w:p>
        </w:tc>
        <w:tc>
          <w:tcPr>
            <w:tcW w:w="576" w:type="dxa"/>
            <w:tcBorders>
              <w:top w:val="nil"/>
              <w:left w:val="nil"/>
              <w:bottom w:val="single" w:color="auto" w:sz="4" w:space="0"/>
              <w:right w:val="single" w:color="auto" w:sz="4" w:space="0"/>
            </w:tcBorders>
            <w:noWrap w:val="0"/>
            <w:vAlign w:val="center"/>
          </w:tcPr>
          <w:p w14:paraId="747375D8">
            <w:pPr>
              <w:widowControl/>
              <w:jc w:val="center"/>
              <w:rPr>
                <w:rFonts w:ascii="宋体" w:hAnsi="宋体" w:cs="宋体"/>
                <w:kern w:val="0"/>
                <w:sz w:val="18"/>
                <w:szCs w:val="18"/>
              </w:rPr>
            </w:pPr>
            <w:r>
              <w:rPr>
                <w:rFonts w:hint="eastAsia" w:ascii="宋体" w:hAnsi="宋体" w:cs="宋体"/>
                <w:kern w:val="0"/>
                <w:sz w:val="18"/>
                <w:szCs w:val="18"/>
              </w:rPr>
              <w:t xml:space="preserve">0.95 </w:t>
            </w:r>
          </w:p>
        </w:tc>
        <w:tc>
          <w:tcPr>
            <w:tcW w:w="700" w:type="dxa"/>
            <w:tcBorders>
              <w:top w:val="nil"/>
              <w:left w:val="nil"/>
              <w:bottom w:val="single" w:color="auto" w:sz="4" w:space="0"/>
              <w:right w:val="single" w:color="auto" w:sz="4" w:space="0"/>
            </w:tcBorders>
            <w:noWrap w:val="0"/>
            <w:vAlign w:val="center"/>
          </w:tcPr>
          <w:p w14:paraId="0F2EF78C">
            <w:pPr>
              <w:widowControl/>
              <w:jc w:val="center"/>
              <w:rPr>
                <w:rFonts w:ascii="宋体" w:hAnsi="宋体" w:cs="宋体"/>
                <w:kern w:val="0"/>
                <w:sz w:val="18"/>
                <w:szCs w:val="18"/>
              </w:rPr>
            </w:pPr>
            <w:r>
              <w:rPr>
                <w:rFonts w:hint="eastAsia" w:ascii="宋体" w:hAnsi="宋体" w:cs="宋体"/>
                <w:kern w:val="0"/>
                <w:sz w:val="18"/>
                <w:szCs w:val="18"/>
              </w:rPr>
              <w:t xml:space="preserve">2.80 </w:t>
            </w:r>
          </w:p>
        </w:tc>
        <w:tc>
          <w:tcPr>
            <w:tcW w:w="576" w:type="dxa"/>
            <w:tcBorders>
              <w:top w:val="nil"/>
              <w:left w:val="nil"/>
              <w:bottom w:val="single" w:color="auto" w:sz="4" w:space="0"/>
              <w:right w:val="single" w:color="auto" w:sz="4" w:space="0"/>
            </w:tcBorders>
            <w:noWrap w:val="0"/>
            <w:vAlign w:val="center"/>
          </w:tcPr>
          <w:p w14:paraId="383E5B50">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961" w:type="dxa"/>
            <w:tcBorders>
              <w:top w:val="nil"/>
              <w:left w:val="nil"/>
              <w:bottom w:val="single" w:color="auto" w:sz="4" w:space="0"/>
              <w:right w:val="single" w:color="auto" w:sz="4" w:space="0"/>
            </w:tcBorders>
            <w:noWrap w:val="0"/>
            <w:vAlign w:val="center"/>
          </w:tcPr>
          <w:p w14:paraId="3C3F183B">
            <w:pPr>
              <w:widowControl/>
              <w:jc w:val="center"/>
              <w:rPr>
                <w:rFonts w:ascii="宋体" w:hAnsi="宋体" w:cs="宋体"/>
                <w:kern w:val="0"/>
                <w:sz w:val="18"/>
                <w:szCs w:val="18"/>
              </w:rPr>
            </w:pPr>
            <w:r>
              <w:rPr>
                <w:rFonts w:hint="eastAsia" w:ascii="宋体" w:hAnsi="宋体" w:cs="宋体"/>
                <w:kern w:val="0"/>
                <w:sz w:val="18"/>
                <w:szCs w:val="18"/>
              </w:rPr>
              <w:t xml:space="preserve">14.92 </w:t>
            </w:r>
          </w:p>
        </w:tc>
      </w:tr>
      <w:tr w14:paraId="09D1B9C2">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478B75AC">
            <w:pPr>
              <w:widowControl/>
              <w:jc w:val="left"/>
              <w:rPr>
                <w:rFonts w:ascii="宋体" w:hAnsi="宋体" w:cs="宋体"/>
                <w:kern w:val="0"/>
                <w:sz w:val="18"/>
                <w:szCs w:val="18"/>
              </w:rPr>
            </w:pPr>
            <w:r>
              <w:rPr>
                <w:rFonts w:hint="eastAsia" w:ascii="宋体" w:hAnsi="宋体" w:cs="宋体"/>
                <w:kern w:val="0"/>
                <w:sz w:val="18"/>
                <w:szCs w:val="18"/>
              </w:rPr>
              <w:t>K106-b</w:t>
            </w:r>
          </w:p>
        </w:tc>
        <w:tc>
          <w:tcPr>
            <w:tcW w:w="576" w:type="dxa"/>
            <w:tcBorders>
              <w:top w:val="nil"/>
              <w:left w:val="nil"/>
              <w:bottom w:val="single" w:color="auto" w:sz="4" w:space="0"/>
              <w:right w:val="single" w:color="auto" w:sz="4" w:space="0"/>
            </w:tcBorders>
            <w:noWrap w:val="0"/>
            <w:vAlign w:val="center"/>
          </w:tcPr>
          <w:p w14:paraId="716DABF6">
            <w:pPr>
              <w:widowControl/>
              <w:jc w:val="center"/>
              <w:rPr>
                <w:rFonts w:ascii="宋体" w:hAnsi="宋体" w:cs="宋体"/>
                <w:kern w:val="0"/>
                <w:sz w:val="18"/>
                <w:szCs w:val="18"/>
              </w:rPr>
            </w:pPr>
            <w:r>
              <w:rPr>
                <w:rFonts w:hint="eastAsia" w:ascii="宋体" w:hAnsi="宋体" w:cs="宋体"/>
                <w:kern w:val="0"/>
                <w:sz w:val="18"/>
                <w:szCs w:val="18"/>
              </w:rPr>
              <w:t xml:space="preserve">1.10 </w:t>
            </w:r>
          </w:p>
        </w:tc>
        <w:tc>
          <w:tcPr>
            <w:tcW w:w="666" w:type="dxa"/>
            <w:tcBorders>
              <w:top w:val="nil"/>
              <w:left w:val="nil"/>
              <w:bottom w:val="single" w:color="auto" w:sz="4" w:space="0"/>
              <w:right w:val="single" w:color="auto" w:sz="4" w:space="0"/>
            </w:tcBorders>
            <w:noWrap w:val="0"/>
            <w:vAlign w:val="center"/>
          </w:tcPr>
          <w:p w14:paraId="7B3D3E4B">
            <w:pPr>
              <w:widowControl/>
              <w:jc w:val="center"/>
              <w:rPr>
                <w:rFonts w:ascii="宋体" w:hAnsi="宋体" w:cs="宋体"/>
                <w:kern w:val="0"/>
                <w:sz w:val="18"/>
                <w:szCs w:val="18"/>
              </w:rPr>
            </w:pPr>
            <w:r>
              <w:rPr>
                <w:rFonts w:hint="eastAsia" w:ascii="宋体" w:hAnsi="宋体" w:cs="宋体"/>
                <w:kern w:val="0"/>
                <w:sz w:val="18"/>
                <w:szCs w:val="18"/>
              </w:rPr>
              <w:t>29.5</w:t>
            </w:r>
          </w:p>
        </w:tc>
        <w:tc>
          <w:tcPr>
            <w:tcW w:w="666" w:type="dxa"/>
            <w:tcBorders>
              <w:top w:val="nil"/>
              <w:left w:val="nil"/>
              <w:bottom w:val="single" w:color="auto" w:sz="4" w:space="0"/>
              <w:right w:val="single" w:color="auto" w:sz="4" w:space="0"/>
            </w:tcBorders>
            <w:noWrap w:val="0"/>
            <w:vAlign w:val="center"/>
          </w:tcPr>
          <w:p w14:paraId="58889C4D">
            <w:pPr>
              <w:widowControl/>
              <w:jc w:val="center"/>
              <w:rPr>
                <w:rFonts w:ascii="宋体" w:hAnsi="宋体" w:cs="宋体"/>
                <w:kern w:val="0"/>
                <w:sz w:val="18"/>
                <w:szCs w:val="18"/>
              </w:rPr>
            </w:pPr>
            <w:r>
              <w:rPr>
                <w:rFonts w:hint="eastAsia" w:ascii="宋体" w:hAnsi="宋体" w:cs="宋体"/>
                <w:kern w:val="0"/>
                <w:sz w:val="18"/>
                <w:szCs w:val="18"/>
              </w:rPr>
              <w:t xml:space="preserve">10.75 </w:t>
            </w:r>
          </w:p>
        </w:tc>
        <w:tc>
          <w:tcPr>
            <w:tcW w:w="576" w:type="dxa"/>
            <w:tcBorders>
              <w:top w:val="nil"/>
              <w:left w:val="nil"/>
              <w:bottom w:val="single" w:color="auto" w:sz="4" w:space="0"/>
              <w:right w:val="single" w:color="auto" w:sz="4" w:space="0"/>
            </w:tcBorders>
            <w:noWrap w:val="0"/>
            <w:vAlign w:val="center"/>
          </w:tcPr>
          <w:p w14:paraId="5DA88B93">
            <w:pPr>
              <w:widowControl/>
              <w:jc w:val="center"/>
              <w:rPr>
                <w:rFonts w:ascii="宋体" w:hAnsi="宋体" w:cs="宋体"/>
                <w:kern w:val="0"/>
                <w:sz w:val="18"/>
                <w:szCs w:val="18"/>
              </w:rPr>
            </w:pPr>
            <w:r>
              <w:rPr>
                <w:rFonts w:hint="eastAsia" w:ascii="宋体" w:hAnsi="宋体" w:cs="宋体"/>
                <w:kern w:val="0"/>
                <w:sz w:val="18"/>
                <w:szCs w:val="18"/>
              </w:rPr>
              <w:t xml:space="preserve">4.0 </w:t>
            </w:r>
          </w:p>
        </w:tc>
        <w:tc>
          <w:tcPr>
            <w:tcW w:w="580" w:type="dxa"/>
            <w:tcBorders>
              <w:top w:val="nil"/>
              <w:left w:val="nil"/>
              <w:bottom w:val="single" w:color="auto" w:sz="4" w:space="0"/>
              <w:right w:val="single" w:color="auto" w:sz="4" w:space="0"/>
            </w:tcBorders>
            <w:noWrap w:val="0"/>
            <w:vAlign w:val="center"/>
          </w:tcPr>
          <w:p w14:paraId="64188833">
            <w:pPr>
              <w:widowControl/>
              <w:jc w:val="center"/>
              <w:rPr>
                <w:rFonts w:ascii="宋体" w:hAnsi="宋体" w:cs="宋体"/>
                <w:kern w:val="0"/>
                <w:sz w:val="18"/>
                <w:szCs w:val="18"/>
              </w:rPr>
            </w:pPr>
            <w:r>
              <w:rPr>
                <w:rFonts w:hint="eastAsia" w:ascii="宋体" w:hAnsi="宋体" w:cs="宋体"/>
                <w:kern w:val="0"/>
                <w:sz w:val="18"/>
                <w:szCs w:val="18"/>
              </w:rPr>
              <w:t>622</w:t>
            </w:r>
          </w:p>
        </w:tc>
        <w:tc>
          <w:tcPr>
            <w:tcW w:w="576" w:type="dxa"/>
            <w:tcBorders>
              <w:top w:val="nil"/>
              <w:left w:val="nil"/>
              <w:bottom w:val="single" w:color="auto" w:sz="4" w:space="0"/>
              <w:right w:val="single" w:color="auto" w:sz="4" w:space="0"/>
            </w:tcBorders>
            <w:noWrap w:val="0"/>
            <w:vAlign w:val="center"/>
          </w:tcPr>
          <w:p w14:paraId="0102125F">
            <w:pPr>
              <w:widowControl/>
              <w:jc w:val="center"/>
              <w:rPr>
                <w:rFonts w:ascii="宋体" w:hAnsi="宋体" w:cs="宋体"/>
                <w:kern w:val="0"/>
                <w:sz w:val="18"/>
                <w:szCs w:val="18"/>
              </w:rPr>
            </w:pPr>
            <w:r>
              <w:rPr>
                <w:rFonts w:hint="eastAsia" w:ascii="宋体" w:hAnsi="宋体" w:cs="宋体"/>
                <w:kern w:val="0"/>
                <w:sz w:val="18"/>
                <w:szCs w:val="18"/>
              </w:rPr>
              <w:t>1.02</w:t>
            </w:r>
          </w:p>
        </w:tc>
        <w:tc>
          <w:tcPr>
            <w:tcW w:w="711" w:type="dxa"/>
            <w:tcBorders>
              <w:top w:val="nil"/>
              <w:left w:val="nil"/>
              <w:bottom w:val="single" w:color="auto" w:sz="4" w:space="0"/>
              <w:right w:val="single" w:color="auto" w:sz="4" w:space="0"/>
            </w:tcBorders>
            <w:noWrap w:val="0"/>
            <w:vAlign w:val="center"/>
          </w:tcPr>
          <w:p w14:paraId="09B420C1">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3357544D">
            <w:pPr>
              <w:widowControl/>
              <w:jc w:val="center"/>
              <w:rPr>
                <w:rFonts w:ascii="宋体" w:hAnsi="宋体" w:cs="宋体"/>
                <w:kern w:val="0"/>
                <w:sz w:val="18"/>
                <w:szCs w:val="18"/>
              </w:rPr>
            </w:pPr>
            <w:r>
              <w:rPr>
                <w:rFonts w:hint="eastAsia" w:ascii="宋体" w:hAnsi="宋体" w:cs="宋体"/>
                <w:kern w:val="0"/>
                <w:sz w:val="18"/>
                <w:szCs w:val="18"/>
              </w:rPr>
              <w:t>1.56</w:t>
            </w:r>
          </w:p>
        </w:tc>
        <w:tc>
          <w:tcPr>
            <w:tcW w:w="580" w:type="dxa"/>
            <w:tcBorders>
              <w:top w:val="nil"/>
              <w:left w:val="nil"/>
              <w:bottom w:val="single" w:color="auto" w:sz="4" w:space="0"/>
              <w:right w:val="single" w:color="auto" w:sz="4" w:space="0"/>
            </w:tcBorders>
            <w:noWrap w:val="0"/>
            <w:vAlign w:val="center"/>
          </w:tcPr>
          <w:p w14:paraId="642A8452">
            <w:pPr>
              <w:widowControl/>
              <w:jc w:val="center"/>
              <w:rPr>
                <w:rFonts w:ascii="宋体" w:hAnsi="宋体" w:cs="宋体"/>
                <w:kern w:val="0"/>
                <w:sz w:val="18"/>
                <w:szCs w:val="18"/>
              </w:rPr>
            </w:pPr>
            <w:r>
              <w:rPr>
                <w:rFonts w:hint="eastAsia" w:ascii="宋体" w:hAnsi="宋体" w:cs="宋体"/>
                <w:kern w:val="0"/>
                <w:sz w:val="18"/>
                <w:szCs w:val="18"/>
              </w:rPr>
              <w:t xml:space="preserve">4.66 </w:t>
            </w:r>
          </w:p>
        </w:tc>
        <w:tc>
          <w:tcPr>
            <w:tcW w:w="576" w:type="dxa"/>
            <w:tcBorders>
              <w:top w:val="nil"/>
              <w:left w:val="nil"/>
              <w:bottom w:val="single" w:color="auto" w:sz="4" w:space="0"/>
              <w:right w:val="single" w:color="auto" w:sz="4" w:space="0"/>
            </w:tcBorders>
            <w:noWrap w:val="0"/>
            <w:vAlign w:val="center"/>
          </w:tcPr>
          <w:p w14:paraId="526BD828">
            <w:pPr>
              <w:widowControl/>
              <w:jc w:val="center"/>
              <w:rPr>
                <w:rFonts w:ascii="宋体" w:hAnsi="宋体" w:cs="宋体"/>
                <w:kern w:val="0"/>
                <w:sz w:val="18"/>
                <w:szCs w:val="18"/>
              </w:rPr>
            </w:pPr>
            <w:r>
              <w:rPr>
                <w:rFonts w:hint="eastAsia" w:ascii="宋体" w:hAnsi="宋体" w:cs="宋体"/>
                <w:kern w:val="0"/>
                <w:sz w:val="18"/>
                <w:szCs w:val="18"/>
              </w:rPr>
              <w:t xml:space="preserve">0.96 </w:t>
            </w:r>
          </w:p>
        </w:tc>
        <w:tc>
          <w:tcPr>
            <w:tcW w:w="700" w:type="dxa"/>
            <w:tcBorders>
              <w:top w:val="nil"/>
              <w:left w:val="nil"/>
              <w:bottom w:val="single" w:color="auto" w:sz="4" w:space="0"/>
              <w:right w:val="single" w:color="auto" w:sz="4" w:space="0"/>
            </w:tcBorders>
            <w:noWrap w:val="0"/>
            <w:vAlign w:val="center"/>
          </w:tcPr>
          <w:p w14:paraId="7B2CF65B">
            <w:pPr>
              <w:widowControl/>
              <w:jc w:val="center"/>
              <w:rPr>
                <w:rFonts w:ascii="宋体" w:hAnsi="宋体" w:cs="宋体"/>
                <w:kern w:val="0"/>
                <w:sz w:val="18"/>
                <w:szCs w:val="18"/>
              </w:rPr>
            </w:pPr>
            <w:r>
              <w:rPr>
                <w:rFonts w:hint="eastAsia" w:ascii="宋体" w:hAnsi="宋体" w:cs="宋体"/>
                <w:kern w:val="0"/>
                <w:sz w:val="18"/>
                <w:szCs w:val="18"/>
              </w:rPr>
              <w:t xml:space="preserve">3.11 </w:t>
            </w:r>
          </w:p>
        </w:tc>
        <w:tc>
          <w:tcPr>
            <w:tcW w:w="576" w:type="dxa"/>
            <w:tcBorders>
              <w:top w:val="nil"/>
              <w:left w:val="nil"/>
              <w:bottom w:val="single" w:color="auto" w:sz="4" w:space="0"/>
              <w:right w:val="single" w:color="auto" w:sz="4" w:space="0"/>
            </w:tcBorders>
            <w:noWrap w:val="0"/>
            <w:vAlign w:val="center"/>
          </w:tcPr>
          <w:p w14:paraId="55AA99EE">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961" w:type="dxa"/>
            <w:tcBorders>
              <w:top w:val="nil"/>
              <w:left w:val="nil"/>
              <w:bottom w:val="single" w:color="auto" w:sz="4" w:space="0"/>
              <w:right w:val="single" w:color="auto" w:sz="4" w:space="0"/>
            </w:tcBorders>
            <w:noWrap w:val="0"/>
            <w:vAlign w:val="center"/>
          </w:tcPr>
          <w:p w14:paraId="2074E0A8">
            <w:pPr>
              <w:widowControl/>
              <w:jc w:val="center"/>
              <w:rPr>
                <w:rFonts w:ascii="宋体" w:hAnsi="宋体" w:cs="宋体"/>
                <w:kern w:val="0"/>
                <w:sz w:val="18"/>
                <w:szCs w:val="18"/>
              </w:rPr>
            </w:pPr>
            <w:r>
              <w:rPr>
                <w:rFonts w:hint="eastAsia" w:ascii="宋体" w:hAnsi="宋体" w:cs="宋体"/>
                <w:kern w:val="0"/>
                <w:sz w:val="18"/>
                <w:szCs w:val="18"/>
              </w:rPr>
              <w:t xml:space="preserve">15.44 </w:t>
            </w:r>
          </w:p>
        </w:tc>
      </w:tr>
      <w:tr w14:paraId="68F5AE14">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4EB53C6A">
            <w:pPr>
              <w:widowControl/>
              <w:jc w:val="left"/>
              <w:rPr>
                <w:rFonts w:ascii="宋体" w:hAnsi="宋体" w:cs="宋体"/>
                <w:kern w:val="0"/>
                <w:sz w:val="18"/>
                <w:szCs w:val="18"/>
              </w:rPr>
            </w:pPr>
            <w:r>
              <w:rPr>
                <w:rFonts w:hint="eastAsia" w:ascii="宋体" w:hAnsi="宋体" w:cs="宋体"/>
                <w:kern w:val="0"/>
                <w:sz w:val="18"/>
                <w:szCs w:val="18"/>
              </w:rPr>
              <w:t>K109-b</w:t>
            </w:r>
          </w:p>
        </w:tc>
        <w:tc>
          <w:tcPr>
            <w:tcW w:w="576" w:type="dxa"/>
            <w:tcBorders>
              <w:top w:val="nil"/>
              <w:left w:val="nil"/>
              <w:bottom w:val="single" w:color="auto" w:sz="4" w:space="0"/>
              <w:right w:val="single" w:color="auto" w:sz="4" w:space="0"/>
            </w:tcBorders>
            <w:noWrap w:val="0"/>
            <w:vAlign w:val="center"/>
          </w:tcPr>
          <w:p w14:paraId="06BAAA37">
            <w:pPr>
              <w:widowControl/>
              <w:jc w:val="center"/>
              <w:rPr>
                <w:rFonts w:ascii="宋体" w:hAnsi="宋体" w:cs="宋体"/>
                <w:kern w:val="0"/>
                <w:sz w:val="18"/>
                <w:szCs w:val="18"/>
              </w:rPr>
            </w:pPr>
            <w:r>
              <w:rPr>
                <w:rFonts w:hint="eastAsia" w:ascii="宋体" w:hAnsi="宋体" w:cs="宋体"/>
                <w:kern w:val="0"/>
                <w:sz w:val="18"/>
                <w:szCs w:val="18"/>
              </w:rPr>
              <w:t xml:space="preserve">1.09 </w:t>
            </w:r>
          </w:p>
        </w:tc>
        <w:tc>
          <w:tcPr>
            <w:tcW w:w="666" w:type="dxa"/>
            <w:tcBorders>
              <w:top w:val="nil"/>
              <w:left w:val="nil"/>
              <w:bottom w:val="single" w:color="auto" w:sz="4" w:space="0"/>
              <w:right w:val="single" w:color="auto" w:sz="4" w:space="0"/>
            </w:tcBorders>
            <w:noWrap w:val="0"/>
            <w:vAlign w:val="center"/>
          </w:tcPr>
          <w:p w14:paraId="61FB6F5B">
            <w:pPr>
              <w:widowControl/>
              <w:jc w:val="center"/>
              <w:rPr>
                <w:rFonts w:ascii="宋体" w:hAnsi="宋体" w:cs="宋体"/>
                <w:kern w:val="0"/>
                <w:sz w:val="18"/>
                <w:szCs w:val="18"/>
              </w:rPr>
            </w:pPr>
            <w:r>
              <w:rPr>
                <w:rFonts w:hint="eastAsia" w:ascii="宋体" w:hAnsi="宋体" w:cs="宋体"/>
                <w:kern w:val="0"/>
                <w:sz w:val="18"/>
                <w:szCs w:val="18"/>
              </w:rPr>
              <w:t>22.05</w:t>
            </w:r>
          </w:p>
        </w:tc>
        <w:tc>
          <w:tcPr>
            <w:tcW w:w="666" w:type="dxa"/>
            <w:tcBorders>
              <w:top w:val="nil"/>
              <w:left w:val="nil"/>
              <w:bottom w:val="single" w:color="auto" w:sz="4" w:space="0"/>
              <w:right w:val="single" w:color="auto" w:sz="4" w:space="0"/>
            </w:tcBorders>
            <w:noWrap w:val="0"/>
            <w:vAlign w:val="center"/>
          </w:tcPr>
          <w:p w14:paraId="23399F24">
            <w:pPr>
              <w:widowControl/>
              <w:jc w:val="center"/>
              <w:rPr>
                <w:rFonts w:ascii="宋体" w:hAnsi="宋体" w:cs="宋体"/>
                <w:kern w:val="0"/>
                <w:sz w:val="18"/>
                <w:szCs w:val="18"/>
              </w:rPr>
            </w:pPr>
            <w:r>
              <w:rPr>
                <w:rFonts w:hint="eastAsia" w:ascii="宋体" w:hAnsi="宋体" w:cs="宋体"/>
                <w:kern w:val="0"/>
                <w:sz w:val="18"/>
                <w:szCs w:val="18"/>
              </w:rPr>
              <w:t xml:space="preserve">10.61 </w:t>
            </w:r>
          </w:p>
        </w:tc>
        <w:tc>
          <w:tcPr>
            <w:tcW w:w="576" w:type="dxa"/>
            <w:tcBorders>
              <w:top w:val="nil"/>
              <w:left w:val="nil"/>
              <w:bottom w:val="single" w:color="auto" w:sz="4" w:space="0"/>
              <w:right w:val="single" w:color="auto" w:sz="4" w:space="0"/>
            </w:tcBorders>
            <w:noWrap w:val="0"/>
            <w:vAlign w:val="center"/>
          </w:tcPr>
          <w:p w14:paraId="2B232A50">
            <w:pPr>
              <w:widowControl/>
              <w:jc w:val="center"/>
              <w:rPr>
                <w:rFonts w:ascii="宋体" w:hAnsi="宋体" w:cs="宋体"/>
                <w:kern w:val="0"/>
                <w:sz w:val="18"/>
                <w:szCs w:val="18"/>
              </w:rPr>
            </w:pPr>
            <w:r>
              <w:rPr>
                <w:rFonts w:hint="eastAsia" w:ascii="宋体" w:hAnsi="宋体" w:cs="宋体"/>
                <w:kern w:val="0"/>
                <w:sz w:val="18"/>
                <w:szCs w:val="18"/>
              </w:rPr>
              <w:t xml:space="preserve">4.0 </w:t>
            </w:r>
          </w:p>
        </w:tc>
        <w:tc>
          <w:tcPr>
            <w:tcW w:w="580" w:type="dxa"/>
            <w:tcBorders>
              <w:top w:val="nil"/>
              <w:left w:val="nil"/>
              <w:bottom w:val="single" w:color="auto" w:sz="4" w:space="0"/>
              <w:right w:val="single" w:color="auto" w:sz="4" w:space="0"/>
            </w:tcBorders>
            <w:noWrap w:val="0"/>
            <w:vAlign w:val="center"/>
          </w:tcPr>
          <w:p w14:paraId="6D13DF78">
            <w:pPr>
              <w:widowControl/>
              <w:jc w:val="center"/>
              <w:rPr>
                <w:rFonts w:ascii="宋体" w:hAnsi="宋体" w:cs="宋体"/>
                <w:kern w:val="0"/>
                <w:sz w:val="18"/>
                <w:szCs w:val="18"/>
              </w:rPr>
            </w:pPr>
            <w:r>
              <w:rPr>
                <w:rFonts w:hint="eastAsia" w:ascii="宋体" w:hAnsi="宋体" w:cs="宋体"/>
                <w:kern w:val="0"/>
                <w:sz w:val="18"/>
                <w:szCs w:val="18"/>
              </w:rPr>
              <w:t>645</w:t>
            </w:r>
          </w:p>
        </w:tc>
        <w:tc>
          <w:tcPr>
            <w:tcW w:w="576" w:type="dxa"/>
            <w:tcBorders>
              <w:top w:val="nil"/>
              <w:left w:val="nil"/>
              <w:bottom w:val="single" w:color="auto" w:sz="4" w:space="0"/>
              <w:right w:val="single" w:color="auto" w:sz="4" w:space="0"/>
            </w:tcBorders>
            <w:noWrap w:val="0"/>
            <w:vAlign w:val="center"/>
          </w:tcPr>
          <w:p w14:paraId="048A9FCC">
            <w:pPr>
              <w:widowControl/>
              <w:jc w:val="center"/>
              <w:rPr>
                <w:rFonts w:ascii="宋体" w:hAnsi="宋体" w:cs="宋体"/>
                <w:kern w:val="0"/>
                <w:sz w:val="18"/>
                <w:szCs w:val="18"/>
              </w:rPr>
            </w:pPr>
            <w:r>
              <w:rPr>
                <w:rFonts w:hint="eastAsia" w:ascii="宋体" w:hAnsi="宋体" w:cs="宋体"/>
                <w:kern w:val="0"/>
                <w:sz w:val="18"/>
                <w:szCs w:val="18"/>
              </w:rPr>
              <w:t>1.02</w:t>
            </w:r>
          </w:p>
        </w:tc>
        <w:tc>
          <w:tcPr>
            <w:tcW w:w="711" w:type="dxa"/>
            <w:tcBorders>
              <w:top w:val="nil"/>
              <w:left w:val="nil"/>
              <w:bottom w:val="single" w:color="auto" w:sz="4" w:space="0"/>
              <w:right w:val="single" w:color="auto" w:sz="4" w:space="0"/>
            </w:tcBorders>
            <w:noWrap w:val="0"/>
            <w:vAlign w:val="center"/>
          </w:tcPr>
          <w:p w14:paraId="13DD2E99">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7D745127">
            <w:pPr>
              <w:widowControl/>
              <w:jc w:val="center"/>
              <w:rPr>
                <w:rFonts w:ascii="宋体" w:hAnsi="宋体" w:cs="宋体"/>
                <w:kern w:val="0"/>
                <w:sz w:val="18"/>
                <w:szCs w:val="18"/>
              </w:rPr>
            </w:pPr>
            <w:r>
              <w:rPr>
                <w:rFonts w:hint="eastAsia" w:ascii="宋体" w:hAnsi="宋体" w:cs="宋体"/>
                <w:kern w:val="0"/>
                <w:sz w:val="18"/>
                <w:szCs w:val="18"/>
              </w:rPr>
              <w:t>1.49</w:t>
            </w:r>
          </w:p>
        </w:tc>
        <w:tc>
          <w:tcPr>
            <w:tcW w:w="580" w:type="dxa"/>
            <w:tcBorders>
              <w:top w:val="nil"/>
              <w:left w:val="nil"/>
              <w:bottom w:val="single" w:color="auto" w:sz="4" w:space="0"/>
              <w:right w:val="single" w:color="auto" w:sz="4" w:space="0"/>
            </w:tcBorders>
            <w:noWrap w:val="0"/>
            <w:vAlign w:val="center"/>
          </w:tcPr>
          <w:p w14:paraId="597D5D51">
            <w:pPr>
              <w:widowControl/>
              <w:jc w:val="center"/>
              <w:rPr>
                <w:rFonts w:ascii="宋体" w:hAnsi="宋体" w:cs="宋体"/>
                <w:kern w:val="0"/>
                <w:sz w:val="18"/>
                <w:szCs w:val="18"/>
              </w:rPr>
            </w:pPr>
            <w:r>
              <w:rPr>
                <w:rFonts w:hint="eastAsia" w:ascii="宋体" w:hAnsi="宋体" w:cs="宋体"/>
                <w:kern w:val="0"/>
                <w:sz w:val="18"/>
                <w:szCs w:val="18"/>
              </w:rPr>
              <w:t xml:space="preserve">4.63 </w:t>
            </w:r>
          </w:p>
        </w:tc>
        <w:tc>
          <w:tcPr>
            <w:tcW w:w="576" w:type="dxa"/>
            <w:tcBorders>
              <w:top w:val="nil"/>
              <w:left w:val="nil"/>
              <w:bottom w:val="single" w:color="auto" w:sz="4" w:space="0"/>
              <w:right w:val="single" w:color="auto" w:sz="4" w:space="0"/>
            </w:tcBorders>
            <w:noWrap w:val="0"/>
            <w:vAlign w:val="center"/>
          </w:tcPr>
          <w:p w14:paraId="19778783">
            <w:pPr>
              <w:widowControl/>
              <w:jc w:val="center"/>
              <w:rPr>
                <w:rFonts w:ascii="宋体" w:hAnsi="宋体" w:cs="宋体"/>
                <w:kern w:val="0"/>
                <w:sz w:val="18"/>
                <w:szCs w:val="18"/>
              </w:rPr>
            </w:pPr>
            <w:r>
              <w:rPr>
                <w:rFonts w:hint="eastAsia" w:ascii="宋体" w:hAnsi="宋体" w:cs="宋体"/>
                <w:kern w:val="0"/>
                <w:sz w:val="18"/>
                <w:szCs w:val="18"/>
              </w:rPr>
              <w:t xml:space="preserve">0.96 </w:t>
            </w:r>
          </w:p>
        </w:tc>
        <w:tc>
          <w:tcPr>
            <w:tcW w:w="700" w:type="dxa"/>
            <w:tcBorders>
              <w:top w:val="nil"/>
              <w:left w:val="nil"/>
              <w:bottom w:val="single" w:color="auto" w:sz="4" w:space="0"/>
              <w:right w:val="single" w:color="auto" w:sz="4" w:space="0"/>
            </w:tcBorders>
            <w:noWrap w:val="0"/>
            <w:vAlign w:val="center"/>
          </w:tcPr>
          <w:p w14:paraId="46A317EC">
            <w:pPr>
              <w:widowControl/>
              <w:jc w:val="center"/>
              <w:rPr>
                <w:rFonts w:ascii="宋体" w:hAnsi="宋体" w:cs="宋体"/>
                <w:kern w:val="0"/>
                <w:sz w:val="18"/>
                <w:szCs w:val="18"/>
              </w:rPr>
            </w:pPr>
            <w:r>
              <w:rPr>
                <w:rFonts w:hint="eastAsia" w:ascii="宋体" w:hAnsi="宋体" w:cs="宋体"/>
                <w:kern w:val="0"/>
                <w:sz w:val="18"/>
                <w:szCs w:val="18"/>
              </w:rPr>
              <w:t xml:space="preserve">3.23 </w:t>
            </w:r>
          </w:p>
        </w:tc>
        <w:tc>
          <w:tcPr>
            <w:tcW w:w="576" w:type="dxa"/>
            <w:tcBorders>
              <w:top w:val="nil"/>
              <w:left w:val="nil"/>
              <w:bottom w:val="single" w:color="auto" w:sz="4" w:space="0"/>
              <w:right w:val="single" w:color="auto" w:sz="4" w:space="0"/>
            </w:tcBorders>
            <w:noWrap w:val="0"/>
            <w:vAlign w:val="center"/>
          </w:tcPr>
          <w:p w14:paraId="5358D1E9">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961" w:type="dxa"/>
            <w:tcBorders>
              <w:top w:val="nil"/>
              <w:left w:val="nil"/>
              <w:bottom w:val="single" w:color="auto" w:sz="4" w:space="0"/>
              <w:right w:val="single" w:color="auto" w:sz="4" w:space="0"/>
            </w:tcBorders>
            <w:noWrap w:val="0"/>
            <w:vAlign w:val="center"/>
          </w:tcPr>
          <w:p w14:paraId="6B08E3C1">
            <w:pPr>
              <w:widowControl/>
              <w:jc w:val="center"/>
              <w:rPr>
                <w:rFonts w:ascii="宋体" w:hAnsi="宋体" w:cs="宋体"/>
                <w:kern w:val="0"/>
                <w:sz w:val="18"/>
                <w:szCs w:val="18"/>
              </w:rPr>
            </w:pPr>
            <w:r>
              <w:rPr>
                <w:rFonts w:hint="eastAsia" w:ascii="宋体" w:hAnsi="宋体" w:cs="宋体"/>
                <w:kern w:val="0"/>
                <w:sz w:val="18"/>
                <w:szCs w:val="18"/>
              </w:rPr>
              <w:t xml:space="preserve">17.24 </w:t>
            </w:r>
          </w:p>
        </w:tc>
      </w:tr>
      <w:tr w14:paraId="40EDA809">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0F8FF45D">
            <w:pPr>
              <w:widowControl/>
              <w:jc w:val="left"/>
              <w:rPr>
                <w:rFonts w:ascii="宋体" w:hAnsi="宋体" w:cs="宋体"/>
                <w:kern w:val="0"/>
                <w:sz w:val="18"/>
                <w:szCs w:val="18"/>
              </w:rPr>
            </w:pPr>
            <w:r>
              <w:rPr>
                <w:rFonts w:hint="eastAsia" w:ascii="宋体" w:hAnsi="宋体" w:cs="宋体"/>
                <w:kern w:val="0"/>
                <w:sz w:val="18"/>
                <w:szCs w:val="18"/>
              </w:rPr>
              <w:t>K110-a</w:t>
            </w:r>
          </w:p>
        </w:tc>
        <w:tc>
          <w:tcPr>
            <w:tcW w:w="576" w:type="dxa"/>
            <w:tcBorders>
              <w:top w:val="nil"/>
              <w:left w:val="nil"/>
              <w:bottom w:val="single" w:color="auto" w:sz="4" w:space="0"/>
              <w:right w:val="single" w:color="auto" w:sz="4" w:space="0"/>
            </w:tcBorders>
            <w:noWrap w:val="0"/>
            <w:vAlign w:val="center"/>
          </w:tcPr>
          <w:p w14:paraId="63D9EA11">
            <w:pPr>
              <w:widowControl/>
              <w:jc w:val="center"/>
              <w:rPr>
                <w:rFonts w:ascii="宋体" w:hAnsi="宋体" w:cs="宋体"/>
                <w:kern w:val="0"/>
                <w:sz w:val="18"/>
                <w:szCs w:val="18"/>
              </w:rPr>
            </w:pPr>
            <w:r>
              <w:rPr>
                <w:rFonts w:hint="eastAsia" w:ascii="宋体" w:hAnsi="宋体" w:cs="宋体"/>
                <w:kern w:val="0"/>
                <w:sz w:val="18"/>
                <w:szCs w:val="18"/>
              </w:rPr>
              <w:t xml:space="preserve">1.15 </w:t>
            </w:r>
          </w:p>
        </w:tc>
        <w:tc>
          <w:tcPr>
            <w:tcW w:w="666" w:type="dxa"/>
            <w:tcBorders>
              <w:top w:val="nil"/>
              <w:left w:val="nil"/>
              <w:bottom w:val="single" w:color="auto" w:sz="4" w:space="0"/>
              <w:right w:val="single" w:color="auto" w:sz="4" w:space="0"/>
            </w:tcBorders>
            <w:noWrap w:val="0"/>
            <w:vAlign w:val="center"/>
          </w:tcPr>
          <w:p w14:paraId="79C5C62F">
            <w:pPr>
              <w:widowControl/>
              <w:jc w:val="center"/>
              <w:rPr>
                <w:rFonts w:ascii="宋体" w:hAnsi="宋体" w:cs="宋体"/>
                <w:kern w:val="0"/>
                <w:sz w:val="18"/>
                <w:szCs w:val="18"/>
              </w:rPr>
            </w:pPr>
            <w:r>
              <w:rPr>
                <w:rFonts w:hint="eastAsia" w:ascii="宋体" w:hAnsi="宋体" w:cs="宋体"/>
                <w:kern w:val="0"/>
                <w:sz w:val="18"/>
                <w:szCs w:val="18"/>
              </w:rPr>
              <w:t>24.51</w:t>
            </w:r>
          </w:p>
        </w:tc>
        <w:tc>
          <w:tcPr>
            <w:tcW w:w="666" w:type="dxa"/>
            <w:tcBorders>
              <w:top w:val="nil"/>
              <w:left w:val="nil"/>
              <w:bottom w:val="single" w:color="auto" w:sz="4" w:space="0"/>
              <w:right w:val="single" w:color="auto" w:sz="4" w:space="0"/>
            </w:tcBorders>
            <w:noWrap w:val="0"/>
            <w:vAlign w:val="center"/>
          </w:tcPr>
          <w:p w14:paraId="23D97A43">
            <w:pPr>
              <w:widowControl/>
              <w:jc w:val="center"/>
              <w:rPr>
                <w:rFonts w:ascii="宋体" w:hAnsi="宋体" w:cs="宋体"/>
                <w:kern w:val="0"/>
                <w:sz w:val="18"/>
                <w:szCs w:val="18"/>
              </w:rPr>
            </w:pPr>
            <w:r>
              <w:rPr>
                <w:rFonts w:hint="eastAsia" w:ascii="宋体" w:hAnsi="宋体" w:cs="宋体"/>
                <w:kern w:val="0"/>
                <w:sz w:val="18"/>
                <w:szCs w:val="18"/>
              </w:rPr>
              <w:t xml:space="preserve">10.75 </w:t>
            </w:r>
          </w:p>
        </w:tc>
        <w:tc>
          <w:tcPr>
            <w:tcW w:w="576" w:type="dxa"/>
            <w:tcBorders>
              <w:top w:val="nil"/>
              <w:left w:val="nil"/>
              <w:bottom w:val="single" w:color="auto" w:sz="4" w:space="0"/>
              <w:right w:val="single" w:color="auto" w:sz="4" w:space="0"/>
            </w:tcBorders>
            <w:noWrap w:val="0"/>
            <w:vAlign w:val="center"/>
          </w:tcPr>
          <w:p w14:paraId="1D16524E">
            <w:pPr>
              <w:widowControl/>
              <w:jc w:val="center"/>
              <w:rPr>
                <w:rFonts w:ascii="宋体" w:hAnsi="宋体" w:cs="宋体"/>
                <w:kern w:val="0"/>
                <w:sz w:val="18"/>
                <w:szCs w:val="18"/>
              </w:rPr>
            </w:pPr>
            <w:r>
              <w:rPr>
                <w:rFonts w:hint="eastAsia" w:ascii="宋体" w:hAnsi="宋体" w:cs="宋体"/>
                <w:kern w:val="0"/>
                <w:sz w:val="18"/>
                <w:szCs w:val="18"/>
              </w:rPr>
              <w:t xml:space="preserve">4.0 </w:t>
            </w:r>
          </w:p>
        </w:tc>
        <w:tc>
          <w:tcPr>
            <w:tcW w:w="580" w:type="dxa"/>
            <w:tcBorders>
              <w:top w:val="nil"/>
              <w:left w:val="nil"/>
              <w:bottom w:val="single" w:color="auto" w:sz="4" w:space="0"/>
              <w:right w:val="single" w:color="auto" w:sz="4" w:space="0"/>
            </w:tcBorders>
            <w:noWrap w:val="0"/>
            <w:vAlign w:val="center"/>
          </w:tcPr>
          <w:p w14:paraId="06E18F7C">
            <w:pPr>
              <w:widowControl/>
              <w:jc w:val="center"/>
              <w:rPr>
                <w:rFonts w:ascii="宋体" w:hAnsi="宋体" w:cs="宋体"/>
                <w:kern w:val="0"/>
                <w:sz w:val="18"/>
                <w:szCs w:val="18"/>
              </w:rPr>
            </w:pPr>
            <w:r>
              <w:rPr>
                <w:rFonts w:hint="eastAsia" w:ascii="宋体" w:hAnsi="宋体" w:cs="宋体"/>
                <w:kern w:val="0"/>
                <w:sz w:val="18"/>
                <w:szCs w:val="18"/>
              </w:rPr>
              <w:t>653</w:t>
            </w:r>
          </w:p>
        </w:tc>
        <w:tc>
          <w:tcPr>
            <w:tcW w:w="576" w:type="dxa"/>
            <w:tcBorders>
              <w:top w:val="nil"/>
              <w:left w:val="nil"/>
              <w:bottom w:val="single" w:color="auto" w:sz="4" w:space="0"/>
              <w:right w:val="single" w:color="auto" w:sz="4" w:space="0"/>
            </w:tcBorders>
            <w:noWrap w:val="0"/>
            <w:vAlign w:val="center"/>
          </w:tcPr>
          <w:p w14:paraId="754E5B3B">
            <w:pPr>
              <w:widowControl/>
              <w:jc w:val="center"/>
              <w:rPr>
                <w:rFonts w:ascii="宋体" w:hAnsi="宋体" w:cs="宋体"/>
                <w:kern w:val="0"/>
                <w:sz w:val="18"/>
                <w:szCs w:val="18"/>
              </w:rPr>
            </w:pPr>
            <w:r>
              <w:rPr>
                <w:rFonts w:hint="eastAsia" w:ascii="宋体" w:hAnsi="宋体" w:cs="宋体"/>
                <w:kern w:val="0"/>
                <w:sz w:val="18"/>
                <w:szCs w:val="18"/>
              </w:rPr>
              <w:t>1.02</w:t>
            </w:r>
          </w:p>
        </w:tc>
        <w:tc>
          <w:tcPr>
            <w:tcW w:w="711" w:type="dxa"/>
            <w:tcBorders>
              <w:top w:val="nil"/>
              <w:left w:val="nil"/>
              <w:bottom w:val="single" w:color="auto" w:sz="4" w:space="0"/>
              <w:right w:val="single" w:color="auto" w:sz="4" w:space="0"/>
            </w:tcBorders>
            <w:noWrap w:val="0"/>
            <w:vAlign w:val="center"/>
          </w:tcPr>
          <w:p w14:paraId="3BF78711">
            <w:pPr>
              <w:widowControl/>
              <w:jc w:val="center"/>
              <w:rPr>
                <w:rFonts w:ascii="宋体" w:hAnsi="宋体" w:cs="宋体"/>
                <w:kern w:val="0"/>
                <w:sz w:val="18"/>
                <w:szCs w:val="18"/>
              </w:rPr>
            </w:pPr>
            <w:r>
              <w:rPr>
                <w:rFonts w:hint="eastAsia" w:ascii="宋体" w:hAnsi="宋体" w:cs="宋体"/>
                <w:kern w:val="0"/>
                <w:sz w:val="18"/>
                <w:szCs w:val="18"/>
              </w:rPr>
              <w:t>20</w:t>
            </w:r>
          </w:p>
        </w:tc>
        <w:tc>
          <w:tcPr>
            <w:tcW w:w="780" w:type="dxa"/>
            <w:tcBorders>
              <w:top w:val="nil"/>
              <w:left w:val="nil"/>
              <w:bottom w:val="single" w:color="auto" w:sz="4" w:space="0"/>
              <w:right w:val="single" w:color="auto" w:sz="4" w:space="0"/>
            </w:tcBorders>
            <w:noWrap w:val="0"/>
            <w:vAlign w:val="center"/>
          </w:tcPr>
          <w:p w14:paraId="51AFD5DB">
            <w:pPr>
              <w:widowControl/>
              <w:jc w:val="center"/>
              <w:rPr>
                <w:rFonts w:ascii="宋体" w:hAnsi="宋体" w:cs="宋体"/>
                <w:kern w:val="0"/>
                <w:sz w:val="18"/>
                <w:szCs w:val="18"/>
              </w:rPr>
            </w:pPr>
            <w:r>
              <w:rPr>
                <w:rFonts w:hint="eastAsia" w:ascii="宋体" w:hAnsi="宋体" w:cs="宋体"/>
                <w:kern w:val="0"/>
                <w:sz w:val="18"/>
                <w:szCs w:val="18"/>
              </w:rPr>
              <w:t>1.51</w:t>
            </w:r>
          </w:p>
        </w:tc>
        <w:tc>
          <w:tcPr>
            <w:tcW w:w="580" w:type="dxa"/>
            <w:tcBorders>
              <w:top w:val="nil"/>
              <w:left w:val="nil"/>
              <w:bottom w:val="single" w:color="auto" w:sz="4" w:space="0"/>
              <w:right w:val="single" w:color="auto" w:sz="4" w:space="0"/>
            </w:tcBorders>
            <w:noWrap w:val="0"/>
            <w:vAlign w:val="center"/>
          </w:tcPr>
          <w:p w14:paraId="58D440B5">
            <w:pPr>
              <w:widowControl/>
              <w:jc w:val="center"/>
              <w:rPr>
                <w:rFonts w:ascii="宋体" w:hAnsi="宋体" w:cs="宋体"/>
                <w:kern w:val="0"/>
                <w:sz w:val="18"/>
                <w:szCs w:val="18"/>
              </w:rPr>
            </w:pPr>
            <w:r>
              <w:rPr>
                <w:rFonts w:hint="eastAsia" w:ascii="宋体" w:hAnsi="宋体" w:cs="宋体"/>
                <w:kern w:val="0"/>
                <w:sz w:val="18"/>
                <w:szCs w:val="18"/>
              </w:rPr>
              <w:t xml:space="preserve">4.66 </w:t>
            </w:r>
          </w:p>
        </w:tc>
        <w:tc>
          <w:tcPr>
            <w:tcW w:w="576" w:type="dxa"/>
            <w:tcBorders>
              <w:top w:val="nil"/>
              <w:left w:val="nil"/>
              <w:bottom w:val="single" w:color="auto" w:sz="4" w:space="0"/>
              <w:right w:val="single" w:color="auto" w:sz="4" w:space="0"/>
            </w:tcBorders>
            <w:noWrap w:val="0"/>
            <w:vAlign w:val="center"/>
          </w:tcPr>
          <w:p w14:paraId="39C9161C">
            <w:pPr>
              <w:widowControl/>
              <w:jc w:val="center"/>
              <w:rPr>
                <w:rFonts w:ascii="宋体" w:hAnsi="宋体" w:cs="宋体"/>
                <w:kern w:val="0"/>
                <w:sz w:val="18"/>
                <w:szCs w:val="18"/>
              </w:rPr>
            </w:pPr>
            <w:r>
              <w:rPr>
                <w:rFonts w:hint="eastAsia" w:ascii="宋体" w:hAnsi="宋体" w:cs="宋体"/>
                <w:kern w:val="0"/>
                <w:sz w:val="18"/>
                <w:szCs w:val="18"/>
              </w:rPr>
              <w:t xml:space="preserve">0.96 </w:t>
            </w:r>
          </w:p>
        </w:tc>
        <w:tc>
          <w:tcPr>
            <w:tcW w:w="700" w:type="dxa"/>
            <w:tcBorders>
              <w:top w:val="nil"/>
              <w:left w:val="nil"/>
              <w:bottom w:val="single" w:color="auto" w:sz="4" w:space="0"/>
              <w:right w:val="single" w:color="auto" w:sz="4" w:space="0"/>
            </w:tcBorders>
            <w:noWrap w:val="0"/>
            <w:vAlign w:val="center"/>
          </w:tcPr>
          <w:p w14:paraId="5FE78021">
            <w:pPr>
              <w:widowControl/>
              <w:jc w:val="center"/>
              <w:rPr>
                <w:rFonts w:ascii="宋体" w:hAnsi="宋体" w:cs="宋体"/>
                <w:kern w:val="0"/>
                <w:sz w:val="18"/>
                <w:szCs w:val="18"/>
              </w:rPr>
            </w:pPr>
            <w:r>
              <w:rPr>
                <w:rFonts w:hint="eastAsia" w:ascii="宋体" w:hAnsi="宋体" w:cs="宋体"/>
                <w:kern w:val="0"/>
                <w:sz w:val="18"/>
                <w:szCs w:val="18"/>
              </w:rPr>
              <w:t xml:space="preserve">3.27 </w:t>
            </w:r>
          </w:p>
        </w:tc>
        <w:tc>
          <w:tcPr>
            <w:tcW w:w="576" w:type="dxa"/>
            <w:tcBorders>
              <w:top w:val="nil"/>
              <w:left w:val="nil"/>
              <w:bottom w:val="single" w:color="auto" w:sz="4" w:space="0"/>
              <w:right w:val="single" w:color="auto" w:sz="4" w:space="0"/>
            </w:tcBorders>
            <w:noWrap w:val="0"/>
            <w:vAlign w:val="center"/>
          </w:tcPr>
          <w:p w14:paraId="0B29DDC8">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961" w:type="dxa"/>
            <w:tcBorders>
              <w:top w:val="nil"/>
              <w:left w:val="nil"/>
              <w:bottom w:val="single" w:color="auto" w:sz="4" w:space="0"/>
              <w:right w:val="single" w:color="auto" w:sz="4" w:space="0"/>
            </w:tcBorders>
            <w:noWrap w:val="0"/>
            <w:vAlign w:val="center"/>
          </w:tcPr>
          <w:p w14:paraId="17F9D303">
            <w:pPr>
              <w:widowControl/>
              <w:jc w:val="center"/>
              <w:rPr>
                <w:rFonts w:ascii="宋体" w:hAnsi="宋体" w:cs="宋体"/>
                <w:kern w:val="0"/>
                <w:sz w:val="18"/>
                <w:szCs w:val="18"/>
              </w:rPr>
            </w:pPr>
            <w:r>
              <w:rPr>
                <w:rFonts w:hint="eastAsia" w:ascii="宋体" w:hAnsi="宋体" w:cs="宋体"/>
                <w:kern w:val="0"/>
                <w:sz w:val="18"/>
                <w:szCs w:val="18"/>
              </w:rPr>
              <w:t xml:space="preserve">16.47 </w:t>
            </w:r>
          </w:p>
        </w:tc>
      </w:tr>
    </w:tbl>
    <w:p w14:paraId="669115D4">
      <w:pPr>
        <w:pStyle w:val="49"/>
        <w:adjustRightInd w:val="0"/>
        <w:textAlignment w:val="baseline"/>
        <w:rPr>
          <w:rFonts w:ascii="宋体" w:hAnsi="宋体"/>
        </w:rPr>
      </w:pPr>
      <w:r>
        <w:rPr>
          <w:rFonts w:hint="eastAsia" w:ascii="宋体" w:hAnsi="宋体"/>
        </w:rPr>
        <w:t>（2）</w:t>
      </w:r>
      <w:r>
        <w:rPr>
          <w:rFonts w:ascii="宋体" w:hAnsi="宋体"/>
        </w:rPr>
        <w:t>矿井瓦斯涌出量预测分析</w:t>
      </w:r>
    </w:p>
    <w:p w14:paraId="441FE19C">
      <w:pPr>
        <w:spacing w:after="50" w:line="360" w:lineRule="auto"/>
        <w:ind w:firstLine="480" w:firstLineChars="200"/>
        <w:rPr>
          <w:rFonts w:ascii="宋体" w:hAnsi="宋体"/>
          <w:sz w:val="24"/>
        </w:rPr>
      </w:pPr>
      <w:r>
        <w:rPr>
          <w:rFonts w:ascii="宋体" w:hAnsi="宋体"/>
          <w:sz w:val="24"/>
        </w:rPr>
        <w:t>矿井开采煤层为倾斜煤层，可采煤层11层，采用</w:t>
      </w:r>
      <w:r>
        <w:rPr>
          <w:rFonts w:hint="eastAsia" w:ascii="宋体" w:hAnsi="宋体"/>
          <w:sz w:val="24"/>
        </w:rPr>
        <w:t>区段</w:t>
      </w:r>
      <w:r>
        <w:rPr>
          <w:rFonts w:ascii="宋体" w:hAnsi="宋体"/>
          <w:sz w:val="24"/>
        </w:rPr>
        <w:t>下行式开采。矿井主要开采煤层</w:t>
      </w:r>
      <w:r>
        <w:rPr>
          <w:rFonts w:hint="eastAsia" w:ascii="宋体" w:hAnsi="宋体"/>
          <w:sz w:val="24"/>
        </w:rPr>
        <w:t>层</w:t>
      </w:r>
      <w:r>
        <w:rPr>
          <w:rFonts w:ascii="宋体" w:hAnsi="宋体"/>
          <w:sz w:val="24"/>
        </w:rPr>
        <w:t>间距</w:t>
      </w:r>
      <w:r>
        <w:rPr>
          <w:rFonts w:hint="eastAsia" w:ascii="宋体" w:hAnsi="宋体"/>
          <w:sz w:val="24"/>
        </w:rPr>
        <w:t xml:space="preserve">详见 </w:t>
      </w:r>
      <w:r>
        <w:rPr>
          <w:rFonts w:ascii="宋体" w:hAnsi="宋体"/>
          <w:b/>
          <w:sz w:val="24"/>
        </w:rPr>
        <w:t>表</w:t>
      </w:r>
      <w:r>
        <w:rPr>
          <w:rFonts w:hint="eastAsia" w:ascii="宋体" w:hAnsi="宋体"/>
          <w:b/>
          <w:sz w:val="24"/>
        </w:rPr>
        <w:t>4</w:t>
      </w:r>
      <w:r>
        <w:rPr>
          <w:rFonts w:ascii="宋体" w:hAnsi="宋体"/>
          <w:b/>
          <w:sz w:val="24"/>
        </w:rPr>
        <w:t>-1-</w:t>
      </w:r>
      <w:r>
        <w:rPr>
          <w:rFonts w:hint="eastAsia" w:ascii="宋体" w:hAnsi="宋体"/>
          <w:b/>
          <w:sz w:val="24"/>
        </w:rPr>
        <w:t>2</w:t>
      </w:r>
      <w:r>
        <w:rPr>
          <w:rFonts w:ascii="宋体" w:hAnsi="宋体"/>
          <w:sz w:val="24"/>
        </w:rPr>
        <w:t>。</w:t>
      </w:r>
    </w:p>
    <w:p w14:paraId="3017EF23">
      <w:pPr>
        <w:spacing w:line="360" w:lineRule="auto"/>
        <w:jc w:val="center"/>
        <w:rPr>
          <w:rFonts w:hint="eastAsia" w:ascii="宋体" w:hAnsi="宋体"/>
          <w:b/>
          <w:color w:val="000000"/>
          <w:kern w:val="24"/>
          <w:sz w:val="24"/>
        </w:rPr>
      </w:pPr>
      <w:r>
        <w:rPr>
          <w:rFonts w:ascii="宋体" w:hAnsi="宋体"/>
          <w:b/>
          <w:color w:val="000000"/>
          <w:kern w:val="24"/>
          <w:sz w:val="24"/>
        </w:rPr>
        <w:t>表</w:t>
      </w:r>
      <w:r>
        <w:rPr>
          <w:rFonts w:hint="eastAsia" w:ascii="宋体" w:hAnsi="宋体"/>
          <w:b/>
          <w:color w:val="000000"/>
          <w:kern w:val="24"/>
          <w:sz w:val="24"/>
        </w:rPr>
        <w:t>4</w:t>
      </w:r>
      <w:r>
        <w:rPr>
          <w:rFonts w:ascii="宋体" w:hAnsi="宋体"/>
          <w:b/>
          <w:color w:val="000000"/>
          <w:kern w:val="24"/>
          <w:sz w:val="24"/>
        </w:rPr>
        <w:t>-1-</w:t>
      </w:r>
      <w:r>
        <w:rPr>
          <w:rFonts w:hint="eastAsia" w:ascii="宋体" w:hAnsi="宋体"/>
          <w:b/>
          <w:color w:val="000000"/>
          <w:kern w:val="24"/>
          <w:sz w:val="24"/>
        </w:rPr>
        <w:t>2</w:t>
      </w:r>
      <w:r>
        <w:rPr>
          <w:rFonts w:ascii="宋体" w:hAnsi="宋体"/>
          <w:b/>
          <w:color w:val="000000"/>
          <w:kern w:val="24"/>
          <w:sz w:val="24"/>
        </w:rPr>
        <w:t xml:space="preserve">            开采煤层特征表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631"/>
        <w:gridCol w:w="1489"/>
        <w:gridCol w:w="1489"/>
        <w:gridCol w:w="930"/>
        <w:gridCol w:w="744"/>
        <w:gridCol w:w="930"/>
        <w:gridCol w:w="744"/>
        <w:gridCol w:w="1303"/>
      </w:tblGrid>
      <w:tr w14:paraId="0529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jc w:val="center"/>
        </w:trPr>
        <w:tc>
          <w:tcPr>
            <w:tcW w:w="858" w:type="dxa"/>
            <w:vMerge w:val="restart"/>
            <w:noWrap w:val="0"/>
            <w:vAlign w:val="center"/>
          </w:tcPr>
          <w:p w14:paraId="1B9A419E">
            <w:pPr>
              <w:jc w:val="center"/>
              <w:rPr>
                <w:rFonts w:ascii="宋体" w:hAnsi="宋体"/>
                <w:snapToGrid w:val="0"/>
                <w:kern w:val="0"/>
                <w:szCs w:val="21"/>
                <w:lang w:val="en-GB"/>
              </w:rPr>
            </w:pPr>
            <w:r>
              <w:rPr>
                <w:rFonts w:ascii="宋体" w:hAnsi="宋体"/>
                <w:snapToGrid w:val="0"/>
                <w:kern w:val="0"/>
                <w:szCs w:val="21"/>
                <w:lang w:val="en-GB"/>
              </w:rPr>
              <w:t>煤层</w:t>
            </w:r>
          </w:p>
          <w:p w14:paraId="4155BAFB">
            <w:pPr>
              <w:jc w:val="center"/>
              <w:rPr>
                <w:rFonts w:ascii="宋体" w:hAnsi="宋体"/>
                <w:snapToGrid w:val="0"/>
                <w:kern w:val="0"/>
                <w:szCs w:val="21"/>
                <w:lang w:val="en-GB"/>
              </w:rPr>
            </w:pPr>
            <w:r>
              <w:rPr>
                <w:rFonts w:ascii="宋体" w:hAnsi="宋体"/>
                <w:snapToGrid w:val="0"/>
                <w:kern w:val="0"/>
                <w:szCs w:val="21"/>
                <w:lang w:val="en-GB"/>
              </w:rPr>
              <w:t>编号</w:t>
            </w:r>
          </w:p>
        </w:tc>
        <w:tc>
          <w:tcPr>
            <w:tcW w:w="631" w:type="dxa"/>
            <w:vMerge w:val="restart"/>
            <w:noWrap w:val="0"/>
            <w:vAlign w:val="center"/>
          </w:tcPr>
          <w:p w14:paraId="6BA9F5F2">
            <w:pPr>
              <w:jc w:val="center"/>
              <w:rPr>
                <w:rFonts w:hint="eastAsia" w:ascii="宋体" w:hAnsi="宋体"/>
                <w:snapToGrid w:val="0"/>
                <w:kern w:val="0"/>
                <w:szCs w:val="21"/>
                <w:lang w:val="en-GB"/>
              </w:rPr>
            </w:pPr>
            <w:r>
              <w:rPr>
                <w:rFonts w:hint="eastAsia" w:ascii="宋体" w:hAnsi="宋体"/>
                <w:snapToGrid w:val="0"/>
                <w:kern w:val="0"/>
                <w:szCs w:val="21"/>
                <w:lang w:val="en-GB"/>
              </w:rPr>
              <w:t>位置</w:t>
            </w:r>
          </w:p>
        </w:tc>
        <w:tc>
          <w:tcPr>
            <w:tcW w:w="1489" w:type="dxa"/>
            <w:noWrap w:val="0"/>
            <w:vAlign w:val="center"/>
          </w:tcPr>
          <w:p w14:paraId="2511EBFC">
            <w:pPr>
              <w:jc w:val="center"/>
              <w:rPr>
                <w:rFonts w:ascii="宋体" w:hAnsi="宋体"/>
                <w:snapToGrid w:val="0"/>
                <w:kern w:val="0"/>
                <w:szCs w:val="21"/>
                <w:lang w:val="en-GB"/>
              </w:rPr>
            </w:pPr>
            <w:r>
              <w:rPr>
                <w:rFonts w:hint="eastAsia" w:ascii="宋体" w:hAnsi="宋体"/>
                <w:snapToGrid w:val="0"/>
                <w:kern w:val="0"/>
                <w:szCs w:val="21"/>
                <w:lang w:val="en-GB"/>
              </w:rPr>
              <w:t>煤层厚度</w:t>
            </w:r>
            <w:r>
              <w:rPr>
                <w:rFonts w:ascii="宋体" w:hAnsi="宋体"/>
                <w:snapToGrid w:val="0"/>
                <w:kern w:val="0"/>
                <w:szCs w:val="21"/>
                <w:lang w:val="en-GB"/>
              </w:rPr>
              <w:t>（m）</w:t>
            </w:r>
          </w:p>
        </w:tc>
        <w:tc>
          <w:tcPr>
            <w:tcW w:w="1489" w:type="dxa"/>
            <w:noWrap w:val="0"/>
            <w:vAlign w:val="center"/>
          </w:tcPr>
          <w:p w14:paraId="12C91B29">
            <w:pPr>
              <w:jc w:val="center"/>
              <w:rPr>
                <w:rFonts w:ascii="宋体" w:hAnsi="宋体"/>
                <w:snapToGrid w:val="0"/>
                <w:kern w:val="0"/>
                <w:szCs w:val="21"/>
                <w:lang w:val="en-GB"/>
              </w:rPr>
            </w:pPr>
            <w:r>
              <w:rPr>
                <w:rFonts w:ascii="宋体" w:hAnsi="宋体"/>
                <w:snapToGrid w:val="0"/>
                <w:kern w:val="0"/>
                <w:szCs w:val="21"/>
                <w:lang w:val="en-GB"/>
              </w:rPr>
              <w:t>层间距（m）</w:t>
            </w:r>
          </w:p>
        </w:tc>
        <w:tc>
          <w:tcPr>
            <w:tcW w:w="930" w:type="dxa"/>
            <w:vMerge w:val="restart"/>
            <w:noWrap w:val="0"/>
            <w:vAlign w:val="center"/>
          </w:tcPr>
          <w:p w14:paraId="45AA1673">
            <w:pPr>
              <w:jc w:val="center"/>
              <w:rPr>
                <w:rFonts w:ascii="宋体" w:hAnsi="宋体"/>
                <w:szCs w:val="21"/>
              </w:rPr>
            </w:pPr>
            <w:r>
              <w:rPr>
                <w:rFonts w:ascii="宋体" w:hAnsi="宋体"/>
                <w:szCs w:val="21"/>
              </w:rPr>
              <w:t>煤</w:t>
            </w:r>
            <w:r>
              <w:rPr>
                <w:rFonts w:hint="eastAsia" w:ascii="宋体" w:hAnsi="宋体"/>
                <w:szCs w:val="21"/>
              </w:rPr>
              <w:t xml:space="preserve"> </w:t>
            </w:r>
            <w:r>
              <w:rPr>
                <w:rFonts w:ascii="宋体" w:hAnsi="宋体"/>
                <w:szCs w:val="21"/>
              </w:rPr>
              <w:t>层</w:t>
            </w:r>
          </w:p>
          <w:p w14:paraId="764FA582">
            <w:pPr>
              <w:jc w:val="center"/>
              <w:rPr>
                <w:rFonts w:ascii="宋体" w:hAnsi="宋体"/>
                <w:szCs w:val="21"/>
              </w:rPr>
            </w:pPr>
            <w:r>
              <w:rPr>
                <w:rFonts w:ascii="宋体" w:hAnsi="宋体"/>
                <w:szCs w:val="21"/>
              </w:rPr>
              <w:t>稳定性</w:t>
            </w:r>
          </w:p>
        </w:tc>
        <w:tc>
          <w:tcPr>
            <w:tcW w:w="744" w:type="dxa"/>
            <w:vMerge w:val="restart"/>
            <w:noWrap w:val="0"/>
            <w:vAlign w:val="center"/>
          </w:tcPr>
          <w:p w14:paraId="41BE42CC">
            <w:pPr>
              <w:jc w:val="center"/>
              <w:rPr>
                <w:rFonts w:ascii="宋体" w:hAnsi="宋体"/>
                <w:szCs w:val="21"/>
              </w:rPr>
            </w:pPr>
            <w:r>
              <w:rPr>
                <w:rFonts w:ascii="宋体" w:hAnsi="宋体"/>
                <w:szCs w:val="21"/>
              </w:rPr>
              <w:t>夹矸</w:t>
            </w:r>
          </w:p>
          <w:p w14:paraId="7AFE7804">
            <w:pPr>
              <w:jc w:val="center"/>
              <w:rPr>
                <w:rFonts w:ascii="宋体" w:hAnsi="宋体"/>
                <w:szCs w:val="21"/>
              </w:rPr>
            </w:pPr>
            <w:r>
              <w:rPr>
                <w:rFonts w:ascii="宋体" w:hAnsi="宋体"/>
                <w:szCs w:val="21"/>
              </w:rPr>
              <w:t>（层）</w:t>
            </w:r>
          </w:p>
        </w:tc>
        <w:tc>
          <w:tcPr>
            <w:tcW w:w="930" w:type="dxa"/>
            <w:vMerge w:val="restart"/>
            <w:noWrap w:val="0"/>
            <w:vAlign w:val="center"/>
          </w:tcPr>
          <w:p w14:paraId="054A7414">
            <w:pPr>
              <w:jc w:val="center"/>
              <w:rPr>
                <w:rFonts w:hint="eastAsia" w:ascii="宋体" w:hAnsi="宋体"/>
                <w:szCs w:val="21"/>
              </w:rPr>
            </w:pPr>
            <w:r>
              <w:rPr>
                <w:rFonts w:ascii="宋体" w:hAnsi="宋体"/>
                <w:szCs w:val="21"/>
              </w:rPr>
              <w:t>煤层</w:t>
            </w:r>
          </w:p>
          <w:p w14:paraId="128DB3DD">
            <w:pPr>
              <w:jc w:val="center"/>
              <w:rPr>
                <w:rFonts w:ascii="宋体" w:hAnsi="宋体"/>
                <w:szCs w:val="21"/>
              </w:rPr>
            </w:pPr>
            <w:r>
              <w:rPr>
                <w:rFonts w:ascii="宋体" w:hAnsi="宋体"/>
                <w:szCs w:val="21"/>
              </w:rPr>
              <w:t>结构</w:t>
            </w:r>
          </w:p>
        </w:tc>
        <w:tc>
          <w:tcPr>
            <w:tcW w:w="744" w:type="dxa"/>
            <w:vMerge w:val="restart"/>
            <w:noWrap w:val="0"/>
            <w:vAlign w:val="center"/>
          </w:tcPr>
          <w:p w14:paraId="63537313">
            <w:pPr>
              <w:jc w:val="center"/>
              <w:rPr>
                <w:rFonts w:hint="eastAsia" w:ascii="宋体" w:hAnsi="宋体"/>
                <w:szCs w:val="21"/>
              </w:rPr>
            </w:pPr>
            <w:r>
              <w:rPr>
                <w:rFonts w:hint="eastAsia" w:ascii="宋体" w:hAnsi="宋体"/>
                <w:szCs w:val="21"/>
              </w:rPr>
              <w:t>可采性</w:t>
            </w:r>
          </w:p>
        </w:tc>
        <w:tc>
          <w:tcPr>
            <w:tcW w:w="1303" w:type="dxa"/>
            <w:vMerge w:val="restart"/>
            <w:noWrap w:val="0"/>
            <w:vAlign w:val="center"/>
          </w:tcPr>
          <w:p w14:paraId="61A7A51C">
            <w:pPr>
              <w:jc w:val="center"/>
              <w:rPr>
                <w:rFonts w:hint="eastAsia" w:ascii="宋体" w:hAnsi="宋体"/>
                <w:szCs w:val="21"/>
              </w:rPr>
            </w:pPr>
            <w:r>
              <w:rPr>
                <w:rFonts w:hint="eastAsia" w:ascii="宋体" w:hAnsi="宋体"/>
                <w:szCs w:val="21"/>
              </w:rPr>
              <w:t>矿区范围</w:t>
            </w:r>
          </w:p>
          <w:p w14:paraId="63AE56C0">
            <w:pPr>
              <w:jc w:val="center"/>
              <w:rPr>
                <w:rFonts w:hint="eastAsia" w:ascii="宋体" w:hAnsi="宋体"/>
                <w:szCs w:val="21"/>
              </w:rPr>
            </w:pPr>
            <w:r>
              <w:rPr>
                <w:rFonts w:hint="eastAsia" w:ascii="宋体" w:hAnsi="宋体"/>
                <w:szCs w:val="21"/>
              </w:rPr>
              <w:t>可采性</w:t>
            </w:r>
          </w:p>
        </w:tc>
      </w:tr>
      <w:tr w14:paraId="6A81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jc w:val="center"/>
        </w:trPr>
        <w:tc>
          <w:tcPr>
            <w:tcW w:w="858" w:type="dxa"/>
            <w:vMerge w:val="continue"/>
            <w:noWrap w:val="0"/>
            <w:vAlign w:val="top"/>
          </w:tcPr>
          <w:p w14:paraId="740E2A7E">
            <w:pPr>
              <w:rPr>
                <w:rFonts w:ascii="宋体" w:hAnsi="宋体"/>
                <w:snapToGrid w:val="0"/>
                <w:kern w:val="0"/>
                <w:szCs w:val="21"/>
                <w:lang w:val="en-GB"/>
              </w:rPr>
            </w:pPr>
          </w:p>
        </w:tc>
        <w:tc>
          <w:tcPr>
            <w:tcW w:w="631" w:type="dxa"/>
            <w:vMerge w:val="continue"/>
            <w:noWrap w:val="0"/>
            <w:vAlign w:val="top"/>
          </w:tcPr>
          <w:p w14:paraId="35092D34">
            <w:pPr>
              <w:rPr>
                <w:rFonts w:ascii="宋体" w:hAnsi="宋体"/>
                <w:snapToGrid w:val="0"/>
                <w:kern w:val="0"/>
                <w:szCs w:val="21"/>
                <w:lang w:val="en-GB"/>
              </w:rPr>
            </w:pPr>
          </w:p>
        </w:tc>
        <w:tc>
          <w:tcPr>
            <w:tcW w:w="1489" w:type="dxa"/>
            <w:noWrap w:val="0"/>
            <w:vAlign w:val="center"/>
          </w:tcPr>
          <w:p w14:paraId="4E1B5348">
            <w:pPr>
              <w:rPr>
                <w:rFonts w:ascii="宋体" w:hAnsi="宋体"/>
                <w:snapToGrid w:val="0"/>
                <w:kern w:val="0"/>
                <w:szCs w:val="21"/>
                <w:lang w:val="en-GB"/>
              </w:rPr>
            </w:pPr>
            <w:r>
              <w:rPr>
                <w:rFonts w:ascii="宋体" w:hAnsi="宋体"/>
                <w:snapToGrid w:val="0"/>
                <w:kern w:val="0"/>
                <w:szCs w:val="21"/>
                <w:lang w:val="en-GB"/>
              </w:rPr>
              <w:t>最小～最大</w:t>
            </w:r>
          </w:p>
        </w:tc>
        <w:tc>
          <w:tcPr>
            <w:tcW w:w="1489" w:type="dxa"/>
            <w:noWrap w:val="0"/>
            <w:vAlign w:val="top"/>
          </w:tcPr>
          <w:p w14:paraId="7073C6F3">
            <w:pPr>
              <w:rPr>
                <w:rFonts w:ascii="宋体" w:hAnsi="宋体"/>
                <w:snapToGrid w:val="0"/>
                <w:kern w:val="0"/>
                <w:szCs w:val="21"/>
                <w:lang w:val="en-GB"/>
              </w:rPr>
            </w:pPr>
            <w:r>
              <w:rPr>
                <w:rFonts w:ascii="宋体" w:hAnsi="宋体"/>
                <w:snapToGrid w:val="0"/>
                <w:kern w:val="0"/>
                <w:szCs w:val="21"/>
                <w:lang w:val="en-GB"/>
              </w:rPr>
              <w:t>最小～最大</w:t>
            </w:r>
          </w:p>
        </w:tc>
        <w:tc>
          <w:tcPr>
            <w:tcW w:w="930" w:type="dxa"/>
            <w:vMerge w:val="continue"/>
            <w:noWrap w:val="0"/>
            <w:vAlign w:val="top"/>
          </w:tcPr>
          <w:p w14:paraId="17EE0F25">
            <w:pPr>
              <w:rPr>
                <w:rFonts w:ascii="宋体" w:hAnsi="宋体"/>
                <w:szCs w:val="21"/>
              </w:rPr>
            </w:pPr>
          </w:p>
        </w:tc>
        <w:tc>
          <w:tcPr>
            <w:tcW w:w="744" w:type="dxa"/>
            <w:vMerge w:val="continue"/>
            <w:noWrap w:val="0"/>
            <w:vAlign w:val="top"/>
          </w:tcPr>
          <w:p w14:paraId="508DB81D">
            <w:pPr>
              <w:rPr>
                <w:rFonts w:ascii="宋体" w:hAnsi="宋体"/>
                <w:szCs w:val="21"/>
              </w:rPr>
            </w:pPr>
          </w:p>
        </w:tc>
        <w:tc>
          <w:tcPr>
            <w:tcW w:w="930" w:type="dxa"/>
            <w:vMerge w:val="continue"/>
            <w:noWrap w:val="0"/>
            <w:vAlign w:val="center"/>
          </w:tcPr>
          <w:p w14:paraId="20B8246B">
            <w:pPr>
              <w:jc w:val="center"/>
              <w:rPr>
                <w:rFonts w:ascii="宋体" w:hAnsi="宋体"/>
                <w:szCs w:val="21"/>
              </w:rPr>
            </w:pPr>
          </w:p>
        </w:tc>
        <w:tc>
          <w:tcPr>
            <w:tcW w:w="744" w:type="dxa"/>
            <w:vMerge w:val="continue"/>
            <w:noWrap w:val="0"/>
            <w:vAlign w:val="center"/>
          </w:tcPr>
          <w:p w14:paraId="4AF7CF38">
            <w:pPr>
              <w:jc w:val="center"/>
              <w:rPr>
                <w:rFonts w:ascii="宋体" w:hAnsi="宋体"/>
                <w:szCs w:val="21"/>
              </w:rPr>
            </w:pPr>
          </w:p>
        </w:tc>
        <w:tc>
          <w:tcPr>
            <w:tcW w:w="1303" w:type="dxa"/>
            <w:vMerge w:val="continue"/>
            <w:noWrap w:val="0"/>
            <w:vAlign w:val="top"/>
          </w:tcPr>
          <w:p w14:paraId="64585FD6">
            <w:pPr>
              <w:rPr>
                <w:rFonts w:ascii="宋体" w:hAnsi="宋体"/>
                <w:szCs w:val="21"/>
              </w:rPr>
            </w:pPr>
          </w:p>
        </w:tc>
      </w:tr>
      <w:tr w14:paraId="486B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jc w:val="center"/>
        </w:trPr>
        <w:tc>
          <w:tcPr>
            <w:tcW w:w="858" w:type="dxa"/>
            <w:vMerge w:val="continue"/>
            <w:noWrap w:val="0"/>
            <w:vAlign w:val="top"/>
          </w:tcPr>
          <w:p w14:paraId="292F08B5">
            <w:pPr>
              <w:rPr>
                <w:rFonts w:ascii="宋体" w:hAnsi="宋体"/>
                <w:snapToGrid w:val="0"/>
                <w:kern w:val="0"/>
                <w:szCs w:val="21"/>
                <w:lang w:val="en-GB"/>
              </w:rPr>
            </w:pPr>
          </w:p>
        </w:tc>
        <w:tc>
          <w:tcPr>
            <w:tcW w:w="631" w:type="dxa"/>
            <w:vMerge w:val="continue"/>
            <w:noWrap w:val="0"/>
            <w:vAlign w:val="top"/>
          </w:tcPr>
          <w:p w14:paraId="01018D9C">
            <w:pPr>
              <w:jc w:val="center"/>
              <w:rPr>
                <w:rFonts w:ascii="宋体" w:hAnsi="宋体"/>
                <w:snapToGrid w:val="0"/>
                <w:kern w:val="0"/>
                <w:szCs w:val="21"/>
                <w:lang w:val="en-GB"/>
              </w:rPr>
            </w:pPr>
          </w:p>
        </w:tc>
        <w:tc>
          <w:tcPr>
            <w:tcW w:w="1489" w:type="dxa"/>
            <w:noWrap w:val="0"/>
            <w:vAlign w:val="top"/>
          </w:tcPr>
          <w:p w14:paraId="27F62452">
            <w:pPr>
              <w:jc w:val="center"/>
              <w:rPr>
                <w:rFonts w:ascii="宋体" w:hAnsi="宋体"/>
                <w:snapToGrid w:val="0"/>
                <w:kern w:val="0"/>
                <w:szCs w:val="21"/>
                <w:lang w:val="en-GB"/>
              </w:rPr>
            </w:pPr>
            <w:r>
              <w:rPr>
                <w:rFonts w:ascii="宋体" w:hAnsi="宋体"/>
                <w:snapToGrid w:val="0"/>
                <w:kern w:val="0"/>
                <w:szCs w:val="21"/>
                <w:lang w:val="en-GB"/>
              </w:rPr>
              <w:t>平均</w:t>
            </w:r>
          </w:p>
        </w:tc>
        <w:tc>
          <w:tcPr>
            <w:tcW w:w="1489" w:type="dxa"/>
            <w:noWrap w:val="0"/>
            <w:vAlign w:val="top"/>
          </w:tcPr>
          <w:p w14:paraId="1BEFF42E">
            <w:pPr>
              <w:jc w:val="center"/>
              <w:rPr>
                <w:rFonts w:ascii="宋体" w:hAnsi="宋体"/>
                <w:snapToGrid w:val="0"/>
                <w:kern w:val="0"/>
                <w:szCs w:val="21"/>
                <w:lang w:val="en-GB"/>
              </w:rPr>
            </w:pPr>
            <w:r>
              <w:rPr>
                <w:rFonts w:ascii="宋体" w:hAnsi="宋体"/>
                <w:snapToGrid w:val="0"/>
                <w:kern w:val="0"/>
                <w:szCs w:val="21"/>
                <w:lang w:val="en-GB"/>
              </w:rPr>
              <w:t>平均</w:t>
            </w:r>
          </w:p>
        </w:tc>
        <w:tc>
          <w:tcPr>
            <w:tcW w:w="930" w:type="dxa"/>
            <w:vMerge w:val="continue"/>
            <w:noWrap w:val="0"/>
            <w:vAlign w:val="top"/>
          </w:tcPr>
          <w:p w14:paraId="51C38D9F">
            <w:pPr>
              <w:jc w:val="center"/>
              <w:rPr>
                <w:rFonts w:ascii="宋体" w:hAnsi="宋体"/>
                <w:szCs w:val="21"/>
              </w:rPr>
            </w:pPr>
          </w:p>
        </w:tc>
        <w:tc>
          <w:tcPr>
            <w:tcW w:w="744" w:type="dxa"/>
            <w:vMerge w:val="continue"/>
            <w:noWrap w:val="0"/>
            <w:vAlign w:val="top"/>
          </w:tcPr>
          <w:p w14:paraId="0DF8DB92">
            <w:pPr>
              <w:jc w:val="center"/>
              <w:rPr>
                <w:rFonts w:ascii="宋体" w:hAnsi="宋体"/>
                <w:szCs w:val="21"/>
              </w:rPr>
            </w:pPr>
          </w:p>
        </w:tc>
        <w:tc>
          <w:tcPr>
            <w:tcW w:w="930" w:type="dxa"/>
            <w:vMerge w:val="continue"/>
            <w:noWrap w:val="0"/>
            <w:vAlign w:val="center"/>
          </w:tcPr>
          <w:p w14:paraId="466BD41D">
            <w:pPr>
              <w:jc w:val="center"/>
              <w:rPr>
                <w:rFonts w:ascii="宋体" w:hAnsi="宋体"/>
                <w:szCs w:val="21"/>
              </w:rPr>
            </w:pPr>
          </w:p>
        </w:tc>
        <w:tc>
          <w:tcPr>
            <w:tcW w:w="744" w:type="dxa"/>
            <w:vMerge w:val="continue"/>
            <w:noWrap w:val="0"/>
            <w:vAlign w:val="center"/>
          </w:tcPr>
          <w:p w14:paraId="38EAAE3D">
            <w:pPr>
              <w:jc w:val="center"/>
              <w:rPr>
                <w:rFonts w:ascii="宋体" w:hAnsi="宋体"/>
                <w:szCs w:val="21"/>
              </w:rPr>
            </w:pPr>
          </w:p>
        </w:tc>
        <w:tc>
          <w:tcPr>
            <w:tcW w:w="1303" w:type="dxa"/>
            <w:vMerge w:val="continue"/>
            <w:noWrap w:val="0"/>
            <w:vAlign w:val="top"/>
          </w:tcPr>
          <w:p w14:paraId="32E0F6ED">
            <w:pPr>
              <w:jc w:val="center"/>
              <w:rPr>
                <w:rFonts w:ascii="宋体" w:hAnsi="宋体"/>
                <w:szCs w:val="21"/>
              </w:rPr>
            </w:pPr>
          </w:p>
        </w:tc>
      </w:tr>
      <w:tr w14:paraId="4473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jc w:val="center"/>
        </w:trPr>
        <w:tc>
          <w:tcPr>
            <w:tcW w:w="858" w:type="dxa"/>
            <w:vMerge w:val="restart"/>
            <w:noWrap w:val="0"/>
            <w:vAlign w:val="center"/>
          </w:tcPr>
          <w:p w14:paraId="28064CCB">
            <w:pPr>
              <w:jc w:val="center"/>
              <w:rPr>
                <w:rFonts w:hint="eastAsia" w:ascii="宋体" w:hAnsi="宋体"/>
                <w:snapToGrid w:val="0"/>
                <w:kern w:val="0"/>
                <w:szCs w:val="21"/>
              </w:rPr>
            </w:pPr>
            <w:r>
              <w:rPr>
                <w:rFonts w:hint="eastAsia" w:ascii="宋体" w:hAnsi="宋体"/>
                <w:snapToGrid w:val="0"/>
                <w:kern w:val="0"/>
                <w:szCs w:val="21"/>
              </w:rPr>
              <w:t>K</w:t>
            </w:r>
            <w:r>
              <w:rPr>
                <w:rFonts w:ascii="宋体" w:hAnsi="宋体"/>
                <w:snapToGrid w:val="0"/>
                <w:kern w:val="0"/>
                <w:szCs w:val="21"/>
              </w:rPr>
              <w:t>1</w:t>
            </w:r>
            <w:r>
              <w:rPr>
                <w:rFonts w:hint="eastAsia" w:ascii="宋体" w:hAnsi="宋体"/>
                <w:snapToGrid w:val="0"/>
                <w:kern w:val="0"/>
                <w:szCs w:val="21"/>
              </w:rPr>
              <w:t>-b</w:t>
            </w:r>
          </w:p>
        </w:tc>
        <w:tc>
          <w:tcPr>
            <w:tcW w:w="631" w:type="dxa"/>
            <w:vMerge w:val="restart"/>
            <w:noWrap w:val="0"/>
            <w:vAlign w:val="center"/>
          </w:tcPr>
          <w:p w14:paraId="14A6290B">
            <w:pPr>
              <w:jc w:val="center"/>
              <w:rPr>
                <w:rFonts w:hint="eastAsia"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52DF9422">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64" o:spt="75" type="#_x0000_t75" style="height:31pt;width:57pt;" o:ole="t" filled="f" o:preferrelative="t" stroked="f" coordsize="21600,21600">
                  <v:path/>
                  <v:fill on="f" alignshape="1" focussize="0,0"/>
                  <v:stroke on="f"/>
                  <v:imagedata r:id="rId17" o:title=""/>
                  <o:lock v:ext="edit" aspectratio="t"/>
                  <w10:wrap type="none"/>
                  <w10:anchorlock/>
                </v:shape>
                <o:OLEObject Type="Embed" ProgID="Equation.3" ShapeID="_x0000_i1064" DrawAspect="Content" ObjectID="_1468075753" r:id="rId81">
                  <o:LockedField>false</o:LockedField>
                </o:OLEObject>
              </w:object>
            </w:r>
          </w:p>
        </w:tc>
        <w:tc>
          <w:tcPr>
            <w:tcW w:w="1489" w:type="dxa"/>
            <w:noWrap w:val="0"/>
            <w:vAlign w:val="center"/>
          </w:tcPr>
          <w:p w14:paraId="7BFDA8F4">
            <w:pPr>
              <w:jc w:val="center"/>
              <w:rPr>
                <w:rFonts w:ascii="宋体" w:hAnsi="宋体"/>
                <w:snapToGrid w:val="0"/>
                <w:kern w:val="0"/>
                <w:szCs w:val="21"/>
                <w:lang w:val="en-GB"/>
              </w:rPr>
            </w:pPr>
            <w:r>
              <w:rPr>
                <w:rFonts w:ascii="宋体" w:hAnsi="宋体"/>
                <w:snapToGrid w:val="0"/>
                <w:kern w:val="0"/>
                <w:szCs w:val="21"/>
              </w:rPr>
              <w:t>距</w:t>
            </w:r>
            <w:r>
              <w:rPr>
                <w:rFonts w:ascii="宋体" w:hAnsi="宋体"/>
                <w:bCs/>
                <w:snapToGrid w:val="0"/>
                <w:kern w:val="0"/>
                <w:szCs w:val="21"/>
              </w:rPr>
              <w:t>顶界</w:t>
            </w:r>
            <w:r>
              <w:rPr>
                <w:rFonts w:hint="eastAsia" w:ascii="宋体" w:hAnsi="宋体"/>
                <w:bCs/>
                <w:snapToGrid w:val="0"/>
                <w:kern w:val="0"/>
                <w:szCs w:val="21"/>
              </w:rPr>
              <w:t>15-25m</w:t>
            </w:r>
            <w:r>
              <w:rPr>
                <w:rFonts w:ascii="宋体" w:hAnsi="宋体"/>
                <w:snapToGrid w:val="0"/>
                <w:kern w:val="0"/>
                <w:szCs w:val="21"/>
                <w:lang w:val="en-GB"/>
              </w:rPr>
              <w:t xml:space="preserve"> </w:t>
            </w:r>
          </w:p>
        </w:tc>
        <w:tc>
          <w:tcPr>
            <w:tcW w:w="930" w:type="dxa"/>
            <w:vMerge w:val="restart"/>
            <w:noWrap w:val="0"/>
            <w:vAlign w:val="center"/>
          </w:tcPr>
          <w:p w14:paraId="0805D5BB">
            <w:pPr>
              <w:jc w:val="center"/>
              <w:rPr>
                <w:rFonts w:ascii="宋体" w:hAnsi="宋体"/>
                <w:snapToGrid w:val="0"/>
                <w:kern w:val="0"/>
                <w:szCs w:val="21"/>
                <w:lang w:val="en-GB"/>
              </w:rPr>
            </w:pPr>
            <w:r>
              <w:rPr>
                <w:rFonts w:ascii="宋体" w:hAnsi="宋体"/>
                <w:snapToGrid w:val="0"/>
                <w:kern w:val="0"/>
                <w:szCs w:val="21"/>
                <w:lang w:val="en-GB"/>
              </w:rPr>
              <w:t>稳定</w:t>
            </w:r>
          </w:p>
        </w:tc>
        <w:tc>
          <w:tcPr>
            <w:tcW w:w="744" w:type="dxa"/>
            <w:vMerge w:val="restart"/>
            <w:noWrap w:val="0"/>
            <w:vAlign w:val="center"/>
          </w:tcPr>
          <w:p w14:paraId="659E7A4D">
            <w:pPr>
              <w:jc w:val="center"/>
              <w:rPr>
                <w:rFonts w:hint="eastAsia" w:ascii="宋体" w:hAnsi="宋体"/>
                <w:snapToGrid w:val="0"/>
                <w:kern w:val="0"/>
                <w:szCs w:val="21"/>
                <w:lang w:val="en-GB"/>
              </w:rPr>
            </w:pPr>
            <w:r>
              <w:rPr>
                <w:rFonts w:hint="eastAsia" w:ascii="宋体" w:hAnsi="宋体"/>
                <w:snapToGrid w:val="0"/>
                <w:kern w:val="0"/>
                <w:szCs w:val="21"/>
                <w:lang w:val="en-GB"/>
              </w:rPr>
              <w:t>1</w:t>
            </w:r>
            <w:r>
              <w:rPr>
                <w:rFonts w:ascii="宋体" w:hAnsi="宋体"/>
                <w:snapToGrid w:val="0"/>
                <w:kern w:val="0"/>
                <w:szCs w:val="21"/>
                <w:lang w:val="en-GB"/>
              </w:rPr>
              <w:t>～</w:t>
            </w:r>
            <w:r>
              <w:rPr>
                <w:rFonts w:hint="eastAsia" w:ascii="宋体" w:hAnsi="宋体"/>
                <w:snapToGrid w:val="0"/>
                <w:kern w:val="0"/>
                <w:szCs w:val="21"/>
                <w:lang w:val="en-GB"/>
              </w:rPr>
              <w:t>2</w:t>
            </w:r>
          </w:p>
        </w:tc>
        <w:tc>
          <w:tcPr>
            <w:tcW w:w="930" w:type="dxa"/>
            <w:vMerge w:val="restart"/>
            <w:noWrap w:val="0"/>
            <w:vAlign w:val="center"/>
          </w:tcPr>
          <w:p w14:paraId="34D760A0">
            <w:pPr>
              <w:jc w:val="center"/>
              <w:rPr>
                <w:rFonts w:hint="eastAsia" w:ascii="宋体" w:hAnsi="宋体"/>
                <w:snapToGrid w:val="0"/>
                <w:kern w:val="0"/>
                <w:szCs w:val="21"/>
                <w:lang w:val="en-GB"/>
              </w:rPr>
            </w:pPr>
            <w:r>
              <w:rPr>
                <w:rFonts w:ascii="宋体" w:hAnsi="宋体"/>
                <w:snapToGrid w:val="0"/>
                <w:kern w:val="0"/>
                <w:szCs w:val="21"/>
                <w:lang w:val="en-GB"/>
              </w:rPr>
              <w:t>较</w:t>
            </w:r>
            <w:r>
              <w:rPr>
                <w:rFonts w:hint="eastAsia" w:ascii="宋体" w:hAnsi="宋体"/>
                <w:snapToGrid w:val="0"/>
                <w:kern w:val="0"/>
                <w:szCs w:val="21"/>
                <w:lang w:val="en-GB"/>
              </w:rPr>
              <w:t>复杂</w:t>
            </w:r>
          </w:p>
        </w:tc>
        <w:tc>
          <w:tcPr>
            <w:tcW w:w="744" w:type="dxa"/>
            <w:vMerge w:val="restart"/>
            <w:noWrap w:val="0"/>
            <w:vAlign w:val="center"/>
          </w:tcPr>
          <w:p w14:paraId="2704F569">
            <w:pPr>
              <w:jc w:val="center"/>
              <w:rPr>
                <w:rFonts w:hint="eastAsia" w:ascii="宋体" w:hAnsi="宋体"/>
                <w:szCs w:val="21"/>
              </w:rPr>
            </w:pPr>
            <w:r>
              <w:rPr>
                <w:rFonts w:hint="eastAsia" w:ascii="宋体" w:hAnsi="宋体"/>
                <w:szCs w:val="21"/>
              </w:rPr>
              <w:t>全区</w:t>
            </w:r>
          </w:p>
          <w:p w14:paraId="262BCAC3">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6EE4966D">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72D01D52">
            <w:pPr>
              <w:jc w:val="center"/>
              <w:rPr>
                <w:rFonts w:hint="eastAsia" w:ascii="宋体" w:hAnsi="宋体"/>
                <w:snapToGrid w:val="0"/>
                <w:kern w:val="0"/>
                <w:szCs w:val="21"/>
                <w:lang w:val="en-GB"/>
              </w:rPr>
            </w:pPr>
            <w:r>
              <w:rPr>
                <w:rFonts w:ascii="宋体" w:hAnsi="宋体"/>
                <w:snapToGrid w:val="0"/>
                <w:kern w:val="0"/>
                <w:szCs w:val="21"/>
              </w:rPr>
              <w:t>内</w:t>
            </w:r>
            <w:r>
              <w:rPr>
                <w:rFonts w:hint="eastAsia" w:ascii="宋体" w:hAnsi="宋体"/>
                <w:snapToGrid w:val="0"/>
                <w:kern w:val="0"/>
                <w:szCs w:val="21"/>
              </w:rPr>
              <w:t>可采</w:t>
            </w:r>
          </w:p>
        </w:tc>
      </w:tr>
      <w:tr w14:paraId="713A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395F7A58">
            <w:pPr>
              <w:jc w:val="center"/>
              <w:rPr>
                <w:rFonts w:ascii="宋体" w:hAnsi="宋体"/>
                <w:snapToGrid w:val="0"/>
                <w:kern w:val="0"/>
                <w:szCs w:val="21"/>
                <w:lang w:val="en-GB"/>
              </w:rPr>
            </w:pPr>
          </w:p>
        </w:tc>
        <w:tc>
          <w:tcPr>
            <w:tcW w:w="631" w:type="dxa"/>
            <w:vMerge w:val="continue"/>
            <w:noWrap w:val="0"/>
            <w:vAlign w:val="center"/>
          </w:tcPr>
          <w:p w14:paraId="0C942280">
            <w:pPr>
              <w:jc w:val="center"/>
              <w:rPr>
                <w:rFonts w:ascii="宋体" w:hAnsi="宋体"/>
                <w:snapToGrid w:val="0"/>
                <w:kern w:val="0"/>
                <w:szCs w:val="21"/>
                <w:lang w:val="en-GB"/>
              </w:rPr>
            </w:pPr>
          </w:p>
        </w:tc>
        <w:tc>
          <w:tcPr>
            <w:tcW w:w="1489" w:type="dxa"/>
            <w:vMerge w:val="continue"/>
            <w:noWrap w:val="0"/>
            <w:vAlign w:val="center"/>
          </w:tcPr>
          <w:p w14:paraId="2EC1929B">
            <w:pPr>
              <w:jc w:val="center"/>
              <w:rPr>
                <w:rFonts w:ascii="宋体" w:hAnsi="宋体"/>
                <w:snapToGrid w:val="0"/>
                <w:color w:val="FF0000"/>
                <w:kern w:val="0"/>
                <w:szCs w:val="21"/>
                <w:lang w:val="en-GB"/>
              </w:rPr>
            </w:pPr>
          </w:p>
        </w:tc>
        <w:tc>
          <w:tcPr>
            <w:tcW w:w="1489" w:type="dxa"/>
            <w:vMerge w:val="restart"/>
            <w:noWrap w:val="0"/>
            <w:vAlign w:val="center"/>
          </w:tcPr>
          <w:p w14:paraId="57444569">
            <w:pPr>
              <w:jc w:val="center"/>
              <w:rPr>
                <w:rFonts w:ascii="宋体" w:hAnsi="宋体"/>
                <w:snapToGrid w:val="0"/>
                <w:kern w:val="0"/>
                <w:szCs w:val="21"/>
                <w:lang w:val="en-GB"/>
              </w:rPr>
            </w:pPr>
            <w:r>
              <w:rPr>
                <w:rFonts w:ascii="宋体" w:hAnsi="宋体"/>
                <w:snapToGrid w:val="0"/>
                <w:kern w:val="0"/>
                <w:szCs w:val="21"/>
              </w:rPr>
              <w:object>
                <v:shape id="_x0000_i1065" o:spt="75" type="#_x0000_t75" style="height:31pt;width:33pt;" o:ole="t" filled="f" o:preferrelative="t" stroked="f" coordsize="21600,21600">
                  <v:path/>
                  <v:fill on="f" alignshape="1" focussize="0,0"/>
                  <v:stroke on="f"/>
                  <v:imagedata r:id="rId19" o:title=""/>
                  <o:lock v:ext="edit" aspectratio="t"/>
                  <w10:wrap type="none"/>
                  <w10:anchorlock/>
                </v:shape>
                <o:OLEObject Type="Embed" ProgID="Equation.3" ShapeID="_x0000_i1065" DrawAspect="Content" ObjectID="_1468075754" r:id="rId82">
                  <o:LockedField>false</o:LockedField>
                </o:OLEObject>
              </w:object>
            </w:r>
          </w:p>
        </w:tc>
        <w:tc>
          <w:tcPr>
            <w:tcW w:w="930" w:type="dxa"/>
            <w:vMerge w:val="continue"/>
            <w:noWrap w:val="0"/>
            <w:vAlign w:val="center"/>
          </w:tcPr>
          <w:p w14:paraId="5DFD9626">
            <w:pPr>
              <w:jc w:val="center"/>
              <w:rPr>
                <w:rFonts w:ascii="宋体" w:hAnsi="宋体"/>
                <w:snapToGrid w:val="0"/>
                <w:kern w:val="0"/>
                <w:szCs w:val="21"/>
                <w:lang w:val="en-GB"/>
              </w:rPr>
            </w:pPr>
          </w:p>
        </w:tc>
        <w:tc>
          <w:tcPr>
            <w:tcW w:w="744" w:type="dxa"/>
            <w:vMerge w:val="continue"/>
            <w:noWrap w:val="0"/>
            <w:vAlign w:val="center"/>
          </w:tcPr>
          <w:p w14:paraId="184EC120">
            <w:pPr>
              <w:jc w:val="center"/>
              <w:rPr>
                <w:rFonts w:ascii="宋体" w:hAnsi="宋体"/>
                <w:snapToGrid w:val="0"/>
                <w:kern w:val="0"/>
                <w:szCs w:val="21"/>
                <w:lang w:val="en-GB"/>
              </w:rPr>
            </w:pPr>
          </w:p>
        </w:tc>
        <w:tc>
          <w:tcPr>
            <w:tcW w:w="930" w:type="dxa"/>
            <w:vMerge w:val="continue"/>
            <w:noWrap w:val="0"/>
            <w:vAlign w:val="center"/>
          </w:tcPr>
          <w:p w14:paraId="2E505664">
            <w:pPr>
              <w:jc w:val="center"/>
              <w:rPr>
                <w:rFonts w:ascii="宋体" w:hAnsi="宋体"/>
                <w:snapToGrid w:val="0"/>
                <w:kern w:val="0"/>
                <w:szCs w:val="21"/>
                <w:lang w:val="en-GB"/>
              </w:rPr>
            </w:pPr>
          </w:p>
        </w:tc>
        <w:tc>
          <w:tcPr>
            <w:tcW w:w="744" w:type="dxa"/>
            <w:vMerge w:val="continue"/>
            <w:noWrap w:val="0"/>
            <w:vAlign w:val="center"/>
          </w:tcPr>
          <w:p w14:paraId="61359911">
            <w:pPr>
              <w:jc w:val="center"/>
              <w:rPr>
                <w:rFonts w:ascii="宋体" w:hAnsi="宋体"/>
                <w:snapToGrid w:val="0"/>
                <w:kern w:val="0"/>
                <w:szCs w:val="21"/>
                <w:lang w:val="en-GB"/>
              </w:rPr>
            </w:pPr>
          </w:p>
        </w:tc>
        <w:tc>
          <w:tcPr>
            <w:tcW w:w="1303" w:type="dxa"/>
            <w:vMerge w:val="continue"/>
            <w:noWrap w:val="0"/>
            <w:vAlign w:val="center"/>
          </w:tcPr>
          <w:p w14:paraId="5791A057">
            <w:pPr>
              <w:jc w:val="center"/>
              <w:rPr>
                <w:rFonts w:ascii="宋体" w:hAnsi="宋体"/>
                <w:snapToGrid w:val="0"/>
                <w:kern w:val="0"/>
                <w:szCs w:val="21"/>
                <w:lang w:val="en-GB"/>
              </w:rPr>
            </w:pPr>
          </w:p>
        </w:tc>
      </w:tr>
      <w:tr w14:paraId="48DA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7ED75093">
            <w:pPr>
              <w:jc w:val="center"/>
              <w:rPr>
                <w:rFonts w:hint="eastAsia" w:ascii="宋体" w:hAnsi="宋体"/>
                <w:snapToGrid w:val="0"/>
                <w:kern w:val="0"/>
                <w:szCs w:val="21"/>
              </w:rPr>
            </w:pPr>
            <w:r>
              <w:rPr>
                <w:rFonts w:hint="eastAsia" w:ascii="宋体" w:hAnsi="宋体"/>
                <w:snapToGrid w:val="0"/>
                <w:kern w:val="0"/>
                <w:szCs w:val="21"/>
              </w:rPr>
              <w:t>K3</w:t>
            </w:r>
          </w:p>
        </w:tc>
        <w:tc>
          <w:tcPr>
            <w:tcW w:w="631" w:type="dxa"/>
            <w:vMerge w:val="restart"/>
            <w:noWrap w:val="0"/>
            <w:vAlign w:val="center"/>
          </w:tcPr>
          <w:p w14:paraId="5DE82AE3">
            <w:pPr>
              <w:jc w:val="center"/>
              <w:rPr>
                <w:rFonts w:ascii="宋体" w:hAnsi="宋体"/>
                <w:snapToGrid w:val="0"/>
                <w:kern w:val="0"/>
                <w:szCs w:val="21"/>
                <w:lang w:val="en-GB"/>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6038237F">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66" o:spt="75" type="#_x0000_t75" style="height:31pt;width:59pt;" o:ole="t" filled="f" o:preferrelative="t" stroked="f" coordsize="21600,21600">
                  <v:path/>
                  <v:fill on="f" alignshape="1" focussize="0,0"/>
                  <v:stroke on="f"/>
                  <v:imagedata r:id="rId21" o:title=""/>
                  <o:lock v:ext="edit" aspectratio="t"/>
                  <w10:wrap type="none"/>
                  <w10:anchorlock/>
                </v:shape>
                <o:OLEObject Type="Embed" ProgID="Equation.3" ShapeID="_x0000_i1066" DrawAspect="Content" ObjectID="_1468075755" r:id="rId83">
                  <o:LockedField>false</o:LockedField>
                </o:OLEObject>
              </w:object>
            </w:r>
          </w:p>
        </w:tc>
        <w:tc>
          <w:tcPr>
            <w:tcW w:w="1489" w:type="dxa"/>
            <w:vMerge w:val="continue"/>
            <w:noWrap w:val="0"/>
            <w:vAlign w:val="center"/>
          </w:tcPr>
          <w:p w14:paraId="60214ED2">
            <w:pPr>
              <w:jc w:val="center"/>
              <w:rPr>
                <w:rFonts w:ascii="宋体" w:hAnsi="宋体"/>
                <w:snapToGrid w:val="0"/>
                <w:kern w:val="0"/>
                <w:szCs w:val="21"/>
                <w:lang w:val="en-GB"/>
              </w:rPr>
            </w:pPr>
          </w:p>
        </w:tc>
        <w:tc>
          <w:tcPr>
            <w:tcW w:w="930" w:type="dxa"/>
            <w:vMerge w:val="restart"/>
            <w:noWrap w:val="0"/>
            <w:vAlign w:val="center"/>
          </w:tcPr>
          <w:p w14:paraId="69F504D7">
            <w:pPr>
              <w:jc w:val="center"/>
              <w:rPr>
                <w:rFonts w:ascii="宋体" w:hAnsi="宋体"/>
                <w:snapToGrid w:val="0"/>
                <w:kern w:val="0"/>
                <w:szCs w:val="21"/>
              </w:rPr>
            </w:pPr>
            <w:r>
              <w:rPr>
                <w:rFonts w:hint="eastAsia" w:ascii="宋体" w:hAnsi="宋体"/>
                <w:snapToGrid w:val="0"/>
                <w:kern w:val="0"/>
                <w:szCs w:val="21"/>
                <w:lang w:val="en-GB"/>
              </w:rPr>
              <w:t>不</w:t>
            </w:r>
            <w:r>
              <w:rPr>
                <w:rFonts w:ascii="宋体" w:hAnsi="宋体"/>
                <w:snapToGrid w:val="0"/>
                <w:kern w:val="0"/>
                <w:szCs w:val="21"/>
                <w:lang w:val="en-GB"/>
              </w:rPr>
              <w:t>稳定</w:t>
            </w:r>
          </w:p>
        </w:tc>
        <w:tc>
          <w:tcPr>
            <w:tcW w:w="744" w:type="dxa"/>
            <w:vMerge w:val="restart"/>
            <w:noWrap w:val="0"/>
            <w:vAlign w:val="center"/>
          </w:tcPr>
          <w:p w14:paraId="1C73FDC6">
            <w:pPr>
              <w:jc w:val="center"/>
              <w:rPr>
                <w:rFonts w:ascii="宋体" w:hAnsi="宋体"/>
                <w:snapToGrid w:val="0"/>
                <w:kern w:val="0"/>
                <w:szCs w:val="21"/>
              </w:rPr>
            </w:pPr>
            <w:r>
              <w:rPr>
                <w:rFonts w:hint="eastAsia" w:ascii="宋体" w:hAnsi="宋体"/>
                <w:snapToGrid w:val="0"/>
                <w:kern w:val="0"/>
                <w:szCs w:val="21"/>
                <w:lang w:val="en-GB"/>
              </w:rPr>
              <w:t>局部1</w:t>
            </w:r>
            <w:r>
              <w:rPr>
                <w:rFonts w:ascii="宋体" w:hAnsi="宋体"/>
                <w:snapToGrid w:val="0"/>
                <w:kern w:val="0"/>
                <w:szCs w:val="21"/>
                <w:lang w:val="en-GB"/>
              </w:rPr>
              <w:t>～</w:t>
            </w:r>
            <w:r>
              <w:rPr>
                <w:rFonts w:hint="eastAsia" w:ascii="宋体" w:hAnsi="宋体"/>
                <w:snapToGrid w:val="0"/>
                <w:kern w:val="0"/>
                <w:szCs w:val="21"/>
                <w:lang w:val="en-GB"/>
              </w:rPr>
              <w:t>2</w:t>
            </w:r>
          </w:p>
        </w:tc>
        <w:tc>
          <w:tcPr>
            <w:tcW w:w="930" w:type="dxa"/>
            <w:vMerge w:val="restart"/>
            <w:noWrap w:val="0"/>
            <w:vAlign w:val="center"/>
          </w:tcPr>
          <w:p w14:paraId="12B83BFC">
            <w:pPr>
              <w:jc w:val="center"/>
              <w:rPr>
                <w:rFonts w:ascii="宋体" w:hAnsi="宋体"/>
                <w:snapToGrid w:val="0"/>
                <w:kern w:val="0"/>
                <w:szCs w:val="21"/>
                <w:lang w:val="en-GB"/>
              </w:rPr>
            </w:pPr>
            <w:r>
              <w:rPr>
                <w:rFonts w:ascii="宋体" w:hAnsi="宋体"/>
                <w:snapToGrid w:val="0"/>
                <w:kern w:val="0"/>
                <w:szCs w:val="21"/>
                <w:lang w:val="en-GB"/>
              </w:rPr>
              <w:t>简单</w:t>
            </w:r>
          </w:p>
        </w:tc>
        <w:tc>
          <w:tcPr>
            <w:tcW w:w="744" w:type="dxa"/>
            <w:vMerge w:val="restart"/>
            <w:noWrap w:val="0"/>
            <w:vAlign w:val="center"/>
          </w:tcPr>
          <w:p w14:paraId="4E0DF708">
            <w:pPr>
              <w:jc w:val="center"/>
              <w:rPr>
                <w:rFonts w:hint="eastAsia" w:ascii="宋体" w:hAnsi="宋体"/>
                <w:szCs w:val="21"/>
              </w:rPr>
            </w:pPr>
            <w:r>
              <w:rPr>
                <w:rFonts w:hint="eastAsia" w:ascii="宋体" w:hAnsi="宋体"/>
                <w:szCs w:val="21"/>
              </w:rPr>
              <w:t>局部</w:t>
            </w:r>
          </w:p>
          <w:p w14:paraId="6237FA3B">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0536D9E9">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31D689D7">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7BCD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1D84A5D1">
            <w:pPr>
              <w:jc w:val="center"/>
              <w:rPr>
                <w:rFonts w:ascii="宋体" w:hAnsi="宋体"/>
                <w:snapToGrid w:val="0"/>
                <w:kern w:val="0"/>
                <w:szCs w:val="21"/>
                <w:lang w:val="en-GB"/>
              </w:rPr>
            </w:pPr>
          </w:p>
        </w:tc>
        <w:tc>
          <w:tcPr>
            <w:tcW w:w="631" w:type="dxa"/>
            <w:vMerge w:val="continue"/>
            <w:noWrap w:val="0"/>
            <w:vAlign w:val="center"/>
          </w:tcPr>
          <w:p w14:paraId="0C6DE6A6">
            <w:pPr>
              <w:jc w:val="center"/>
              <w:rPr>
                <w:rFonts w:ascii="宋体" w:hAnsi="宋体"/>
                <w:snapToGrid w:val="0"/>
                <w:kern w:val="0"/>
                <w:szCs w:val="21"/>
                <w:lang w:val="en-GB"/>
              </w:rPr>
            </w:pPr>
          </w:p>
        </w:tc>
        <w:tc>
          <w:tcPr>
            <w:tcW w:w="1489" w:type="dxa"/>
            <w:vMerge w:val="continue"/>
            <w:noWrap w:val="0"/>
            <w:vAlign w:val="center"/>
          </w:tcPr>
          <w:p w14:paraId="00078086">
            <w:pPr>
              <w:jc w:val="center"/>
              <w:rPr>
                <w:rFonts w:ascii="宋体" w:hAnsi="宋体"/>
                <w:snapToGrid w:val="0"/>
                <w:color w:val="FF0000"/>
                <w:kern w:val="0"/>
                <w:szCs w:val="21"/>
                <w:lang w:val="en-GB"/>
              </w:rPr>
            </w:pPr>
          </w:p>
        </w:tc>
        <w:tc>
          <w:tcPr>
            <w:tcW w:w="1489" w:type="dxa"/>
            <w:vMerge w:val="restart"/>
            <w:noWrap w:val="0"/>
            <w:vAlign w:val="center"/>
          </w:tcPr>
          <w:p w14:paraId="69911830">
            <w:pPr>
              <w:jc w:val="center"/>
              <w:rPr>
                <w:rFonts w:ascii="宋体" w:hAnsi="宋体"/>
                <w:snapToGrid w:val="0"/>
                <w:kern w:val="0"/>
                <w:szCs w:val="21"/>
                <w:lang w:val="en-GB"/>
              </w:rPr>
            </w:pPr>
            <w:r>
              <w:rPr>
                <w:rFonts w:ascii="宋体" w:hAnsi="宋体"/>
                <w:snapToGrid w:val="0"/>
                <w:kern w:val="0"/>
                <w:position w:val="-24"/>
                <w:szCs w:val="21"/>
              </w:rPr>
              <w:object>
                <v:shape id="_x0000_i1067" o:spt="75" type="#_x0000_t75" style="height:31pt;width:40pt;" o:ole="t" filled="f" o:preferrelative="t" stroked="f" coordsize="21600,21600">
                  <v:path/>
                  <v:fill on="f" alignshape="1" focussize="0,0"/>
                  <v:stroke on="f"/>
                  <v:imagedata r:id="rId23" o:title=""/>
                  <o:lock v:ext="edit" aspectratio="t"/>
                  <w10:wrap type="none"/>
                  <w10:anchorlock/>
                </v:shape>
                <o:OLEObject Type="Embed" ProgID="Equation.3" ShapeID="_x0000_i1067" DrawAspect="Content" ObjectID="_1468075756" r:id="rId84">
                  <o:LockedField>false</o:LockedField>
                </o:OLEObject>
              </w:object>
            </w:r>
          </w:p>
        </w:tc>
        <w:tc>
          <w:tcPr>
            <w:tcW w:w="930" w:type="dxa"/>
            <w:vMerge w:val="continue"/>
            <w:noWrap w:val="0"/>
            <w:vAlign w:val="center"/>
          </w:tcPr>
          <w:p w14:paraId="36FD3F29">
            <w:pPr>
              <w:jc w:val="center"/>
              <w:rPr>
                <w:rFonts w:ascii="宋体" w:hAnsi="宋体"/>
                <w:snapToGrid w:val="0"/>
                <w:kern w:val="0"/>
                <w:szCs w:val="21"/>
                <w:lang w:val="en-GB"/>
              </w:rPr>
            </w:pPr>
          </w:p>
        </w:tc>
        <w:tc>
          <w:tcPr>
            <w:tcW w:w="744" w:type="dxa"/>
            <w:vMerge w:val="continue"/>
            <w:noWrap w:val="0"/>
            <w:vAlign w:val="center"/>
          </w:tcPr>
          <w:p w14:paraId="56BD41FF">
            <w:pPr>
              <w:jc w:val="center"/>
              <w:rPr>
                <w:rFonts w:ascii="宋体" w:hAnsi="宋体"/>
                <w:snapToGrid w:val="0"/>
                <w:kern w:val="0"/>
                <w:szCs w:val="21"/>
                <w:lang w:val="en-GB"/>
              </w:rPr>
            </w:pPr>
          </w:p>
        </w:tc>
        <w:tc>
          <w:tcPr>
            <w:tcW w:w="930" w:type="dxa"/>
            <w:vMerge w:val="continue"/>
            <w:noWrap w:val="0"/>
            <w:vAlign w:val="center"/>
          </w:tcPr>
          <w:p w14:paraId="44AA8087">
            <w:pPr>
              <w:jc w:val="center"/>
              <w:rPr>
                <w:rFonts w:ascii="宋体" w:hAnsi="宋体"/>
                <w:snapToGrid w:val="0"/>
                <w:kern w:val="0"/>
                <w:szCs w:val="21"/>
                <w:lang w:val="en-GB"/>
              </w:rPr>
            </w:pPr>
          </w:p>
        </w:tc>
        <w:tc>
          <w:tcPr>
            <w:tcW w:w="744" w:type="dxa"/>
            <w:vMerge w:val="continue"/>
            <w:noWrap w:val="0"/>
            <w:vAlign w:val="center"/>
          </w:tcPr>
          <w:p w14:paraId="77949A96">
            <w:pPr>
              <w:jc w:val="center"/>
              <w:rPr>
                <w:rFonts w:ascii="宋体" w:hAnsi="宋体"/>
                <w:snapToGrid w:val="0"/>
                <w:kern w:val="0"/>
                <w:szCs w:val="21"/>
                <w:lang w:val="en-GB"/>
              </w:rPr>
            </w:pPr>
          </w:p>
        </w:tc>
        <w:tc>
          <w:tcPr>
            <w:tcW w:w="1303" w:type="dxa"/>
            <w:vMerge w:val="continue"/>
            <w:noWrap w:val="0"/>
            <w:vAlign w:val="center"/>
          </w:tcPr>
          <w:p w14:paraId="0E114888">
            <w:pPr>
              <w:jc w:val="center"/>
              <w:rPr>
                <w:rFonts w:ascii="宋体" w:hAnsi="宋体"/>
                <w:snapToGrid w:val="0"/>
                <w:kern w:val="0"/>
                <w:szCs w:val="21"/>
                <w:lang w:val="en-GB"/>
              </w:rPr>
            </w:pPr>
          </w:p>
        </w:tc>
      </w:tr>
      <w:tr w14:paraId="4ADB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0D6F8890">
            <w:pPr>
              <w:jc w:val="center"/>
              <w:rPr>
                <w:rFonts w:hint="eastAsia" w:ascii="宋体" w:hAnsi="宋体"/>
                <w:snapToGrid w:val="0"/>
                <w:kern w:val="0"/>
                <w:szCs w:val="21"/>
              </w:rPr>
            </w:pPr>
            <w:r>
              <w:rPr>
                <w:rFonts w:hint="eastAsia" w:ascii="宋体" w:hAnsi="宋体"/>
                <w:snapToGrid w:val="0"/>
                <w:kern w:val="0"/>
                <w:szCs w:val="21"/>
              </w:rPr>
              <w:t>K9</w:t>
            </w:r>
          </w:p>
        </w:tc>
        <w:tc>
          <w:tcPr>
            <w:tcW w:w="631" w:type="dxa"/>
            <w:vMerge w:val="restart"/>
            <w:noWrap w:val="0"/>
            <w:vAlign w:val="center"/>
          </w:tcPr>
          <w:p w14:paraId="05E6FC57">
            <w:pPr>
              <w:jc w:val="center"/>
              <w:rPr>
                <w:rFonts w:ascii="宋体" w:hAnsi="宋体"/>
                <w:snapToGrid w:val="0"/>
                <w:kern w:val="0"/>
                <w:szCs w:val="21"/>
                <w:lang w:val="en-GB"/>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648A9476">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68" o:spt="75" type="#_x0000_t75" style="height:31pt;width:59pt;" o:ole="t" filled="f" o:preferrelative="t" stroked="f" coordsize="21600,21600">
                  <v:path/>
                  <v:fill on="f" alignshape="1" focussize="0,0"/>
                  <v:stroke on="f"/>
                  <v:imagedata r:id="rId25" o:title=""/>
                  <o:lock v:ext="edit" aspectratio="t"/>
                  <w10:wrap type="none"/>
                  <w10:anchorlock/>
                </v:shape>
                <o:OLEObject Type="Embed" ProgID="Equation.3" ShapeID="_x0000_i1068" DrawAspect="Content" ObjectID="_1468075757" r:id="rId85">
                  <o:LockedField>false</o:LockedField>
                </o:OLEObject>
              </w:object>
            </w:r>
          </w:p>
        </w:tc>
        <w:tc>
          <w:tcPr>
            <w:tcW w:w="1489" w:type="dxa"/>
            <w:vMerge w:val="continue"/>
            <w:noWrap w:val="0"/>
            <w:vAlign w:val="center"/>
          </w:tcPr>
          <w:p w14:paraId="314378AA">
            <w:pPr>
              <w:jc w:val="center"/>
              <w:rPr>
                <w:rFonts w:ascii="宋体" w:hAnsi="宋体"/>
                <w:snapToGrid w:val="0"/>
                <w:kern w:val="0"/>
                <w:szCs w:val="21"/>
                <w:lang w:val="en-GB"/>
              </w:rPr>
            </w:pPr>
          </w:p>
        </w:tc>
        <w:tc>
          <w:tcPr>
            <w:tcW w:w="930" w:type="dxa"/>
            <w:vMerge w:val="restart"/>
            <w:noWrap w:val="0"/>
            <w:vAlign w:val="center"/>
          </w:tcPr>
          <w:p w14:paraId="0B2AA084">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4E115F79">
            <w:pPr>
              <w:jc w:val="center"/>
              <w:rPr>
                <w:rFonts w:ascii="宋体" w:hAnsi="宋体"/>
                <w:snapToGrid w:val="0"/>
                <w:kern w:val="0"/>
                <w:szCs w:val="21"/>
              </w:rPr>
            </w:pPr>
            <w:r>
              <w:rPr>
                <w:rFonts w:hint="eastAsia" w:ascii="宋体" w:hAnsi="宋体"/>
                <w:snapToGrid w:val="0"/>
                <w:kern w:val="0"/>
                <w:szCs w:val="21"/>
                <w:lang w:val="en-GB"/>
              </w:rPr>
              <w:t>局部1</w:t>
            </w:r>
            <w:r>
              <w:rPr>
                <w:rFonts w:ascii="宋体" w:hAnsi="宋体"/>
                <w:snapToGrid w:val="0"/>
                <w:kern w:val="0"/>
                <w:szCs w:val="21"/>
                <w:lang w:val="en-GB"/>
              </w:rPr>
              <w:t>～2</w:t>
            </w:r>
          </w:p>
        </w:tc>
        <w:tc>
          <w:tcPr>
            <w:tcW w:w="930" w:type="dxa"/>
            <w:vMerge w:val="restart"/>
            <w:noWrap w:val="0"/>
            <w:vAlign w:val="center"/>
          </w:tcPr>
          <w:p w14:paraId="2346395A">
            <w:pPr>
              <w:jc w:val="center"/>
              <w:rPr>
                <w:rFonts w:ascii="宋体" w:hAnsi="宋体"/>
                <w:snapToGrid w:val="0"/>
                <w:kern w:val="0"/>
                <w:szCs w:val="21"/>
                <w:lang w:val="en-GB"/>
              </w:rPr>
            </w:pPr>
            <w:r>
              <w:rPr>
                <w:rFonts w:ascii="宋体" w:hAnsi="宋体"/>
                <w:snapToGrid w:val="0"/>
                <w:kern w:val="0"/>
                <w:szCs w:val="21"/>
                <w:lang w:val="en-GB"/>
              </w:rPr>
              <w:t>简单</w:t>
            </w:r>
          </w:p>
        </w:tc>
        <w:tc>
          <w:tcPr>
            <w:tcW w:w="744" w:type="dxa"/>
            <w:vMerge w:val="restart"/>
            <w:noWrap w:val="0"/>
            <w:vAlign w:val="center"/>
          </w:tcPr>
          <w:p w14:paraId="747270CC">
            <w:pPr>
              <w:jc w:val="center"/>
              <w:rPr>
                <w:rFonts w:hint="eastAsia" w:ascii="宋体" w:hAnsi="宋体"/>
                <w:szCs w:val="21"/>
              </w:rPr>
            </w:pPr>
            <w:r>
              <w:rPr>
                <w:rFonts w:hint="eastAsia" w:ascii="宋体" w:hAnsi="宋体"/>
                <w:szCs w:val="21"/>
              </w:rPr>
              <w:t>大部</w:t>
            </w:r>
          </w:p>
          <w:p w14:paraId="17A21D56">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6C4859D5">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441740EB">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4D73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742E1F4D">
            <w:pPr>
              <w:jc w:val="center"/>
              <w:rPr>
                <w:rFonts w:ascii="宋体" w:hAnsi="宋体"/>
                <w:snapToGrid w:val="0"/>
                <w:kern w:val="0"/>
                <w:szCs w:val="21"/>
                <w:lang w:val="en-GB"/>
              </w:rPr>
            </w:pPr>
          </w:p>
        </w:tc>
        <w:tc>
          <w:tcPr>
            <w:tcW w:w="631" w:type="dxa"/>
            <w:vMerge w:val="continue"/>
            <w:noWrap w:val="0"/>
            <w:vAlign w:val="center"/>
          </w:tcPr>
          <w:p w14:paraId="3FE07994">
            <w:pPr>
              <w:jc w:val="center"/>
              <w:rPr>
                <w:rFonts w:ascii="宋体" w:hAnsi="宋体"/>
                <w:snapToGrid w:val="0"/>
                <w:kern w:val="0"/>
                <w:szCs w:val="21"/>
                <w:lang w:val="en-GB"/>
              </w:rPr>
            </w:pPr>
          </w:p>
        </w:tc>
        <w:tc>
          <w:tcPr>
            <w:tcW w:w="1489" w:type="dxa"/>
            <w:vMerge w:val="continue"/>
            <w:noWrap w:val="0"/>
            <w:vAlign w:val="center"/>
          </w:tcPr>
          <w:p w14:paraId="376C540C">
            <w:pPr>
              <w:jc w:val="center"/>
              <w:rPr>
                <w:rFonts w:ascii="宋体" w:hAnsi="宋体"/>
                <w:snapToGrid w:val="0"/>
                <w:color w:val="FF0000"/>
                <w:kern w:val="0"/>
                <w:szCs w:val="21"/>
                <w:lang w:val="en-GB"/>
              </w:rPr>
            </w:pPr>
          </w:p>
        </w:tc>
        <w:tc>
          <w:tcPr>
            <w:tcW w:w="1489" w:type="dxa"/>
            <w:vMerge w:val="restart"/>
            <w:noWrap w:val="0"/>
            <w:vAlign w:val="center"/>
          </w:tcPr>
          <w:p w14:paraId="35987257">
            <w:pPr>
              <w:jc w:val="center"/>
              <w:rPr>
                <w:rFonts w:ascii="宋体" w:hAnsi="宋体"/>
                <w:snapToGrid w:val="0"/>
                <w:kern w:val="0"/>
                <w:szCs w:val="21"/>
                <w:lang w:val="en-GB"/>
              </w:rPr>
            </w:pPr>
            <w:r>
              <w:rPr>
                <w:rFonts w:ascii="宋体" w:hAnsi="宋体"/>
                <w:snapToGrid w:val="0"/>
                <w:kern w:val="0"/>
                <w:szCs w:val="21"/>
              </w:rPr>
              <w:object>
                <v:shape id="_x0000_i1069" o:spt="75" type="#_x0000_t75" style="height:31pt;width:33pt;" o:ole="t" filled="f" o:preferrelative="t" stroked="f" coordsize="21600,21600">
                  <v:path/>
                  <v:fill on="f" alignshape="1" focussize="0,0"/>
                  <v:stroke on="f"/>
                  <v:imagedata r:id="rId27" o:title=""/>
                  <o:lock v:ext="edit" aspectratio="t"/>
                  <w10:wrap type="none"/>
                  <w10:anchorlock/>
                </v:shape>
                <o:OLEObject Type="Embed" ProgID="Equation.3" ShapeID="_x0000_i1069" DrawAspect="Content" ObjectID="_1468075758" r:id="rId86">
                  <o:LockedField>false</o:LockedField>
                </o:OLEObject>
              </w:object>
            </w:r>
          </w:p>
        </w:tc>
        <w:tc>
          <w:tcPr>
            <w:tcW w:w="930" w:type="dxa"/>
            <w:vMerge w:val="continue"/>
            <w:noWrap w:val="0"/>
            <w:vAlign w:val="center"/>
          </w:tcPr>
          <w:p w14:paraId="517B3A3A">
            <w:pPr>
              <w:jc w:val="center"/>
              <w:rPr>
                <w:rFonts w:ascii="宋体" w:hAnsi="宋体"/>
                <w:snapToGrid w:val="0"/>
                <w:kern w:val="0"/>
                <w:szCs w:val="21"/>
                <w:lang w:val="en-GB"/>
              </w:rPr>
            </w:pPr>
          </w:p>
        </w:tc>
        <w:tc>
          <w:tcPr>
            <w:tcW w:w="744" w:type="dxa"/>
            <w:vMerge w:val="continue"/>
            <w:noWrap w:val="0"/>
            <w:vAlign w:val="center"/>
          </w:tcPr>
          <w:p w14:paraId="7DD67ACB">
            <w:pPr>
              <w:jc w:val="center"/>
              <w:rPr>
                <w:rFonts w:ascii="宋体" w:hAnsi="宋体"/>
                <w:snapToGrid w:val="0"/>
                <w:kern w:val="0"/>
                <w:szCs w:val="21"/>
                <w:lang w:val="en-GB"/>
              </w:rPr>
            </w:pPr>
          </w:p>
        </w:tc>
        <w:tc>
          <w:tcPr>
            <w:tcW w:w="930" w:type="dxa"/>
            <w:vMerge w:val="continue"/>
            <w:noWrap w:val="0"/>
            <w:vAlign w:val="center"/>
          </w:tcPr>
          <w:p w14:paraId="70A5F4EB">
            <w:pPr>
              <w:jc w:val="center"/>
              <w:rPr>
                <w:rFonts w:ascii="宋体" w:hAnsi="宋体"/>
                <w:snapToGrid w:val="0"/>
                <w:kern w:val="0"/>
                <w:szCs w:val="21"/>
                <w:lang w:val="en-GB"/>
              </w:rPr>
            </w:pPr>
          </w:p>
        </w:tc>
        <w:tc>
          <w:tcPr>
            <w:tcW w:w="744" w:type="dxa"/>
            <w:vMerge w:val="continue"/>
            <w:noWrap w:val="0"/>
            <w:vAlign w:val="center"/>
          </w:tcPr>
          <w:p w14:paraId="6A754960">
            <w:pPr>
              <w:jc w:val="center"/>
              <w:rPr>
                <w:rFonts w:ascii="宋体" w:hAnsi="宋体"/>
                <w:snapToGrid w:val="0"/>
                <w:kern w:val="0"/>
                <w:szCs w:val="21"/>
                <w:lang w:val="en-GB"/>
              </w:rPr>
            </w:pPr>
          </w:p>
        </w:tc>
        <w:tc>
          <w:tcPr>
            <w:tcW w:w="1303" w:type="dxa"/>
            <w:vMerge w:val="continue"/>
            <w:noWrap w:val="0"/>
            <w:vAlign w:val="center"/>
          </w:tcPr>
          <w:p w14:paraId="10B2836B">
            <w:pPr>
              <w:jc w:val="center"/>
              <w:rPr>
                <w:rFonts w:ascii="宋体" w:hAnsi="宋体"/>
                <w:snapToGrid w:val="0"/>
                <w:kern w:val="0"/>
                <w:szCs w:val="21"/>
                <w:lang w:val="en-GB"/>
              </w:rPr>
            </w:pPr>
          </w:p>
        </w:tc>
      </w:tr>
      <w:tr w14:paraId="5BAE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7D8C31C4">
            <w:pPr>
              <w:jc w:val="center"/>
              <w:rPr>
                <w:rFonts w:hint="eastAsia" w:ascii="宋体" w:hAnsi="宋体"/>
                <w:snapToGrid w:val="0"/>
                <w:kern w:val="0"/>
                <w:szCs w:val="21"/>
              </w:rPr>
            </w:pPr>
            <w:r>
              <w:rPr>
                <w:rFonts w:hint="eastAsia" w:ascii="宋体" w:hAnsi="宋体"/>
                <w:snapToGrid w:val="0"/>
                <w:kern w:val="0"/>
                <w:szCs w:val="21"/>
              </w:rPr>
              <w:t>K10</w:t>
            </w:r>
          </w:p>
        </w:tc>
        <w:tc>
          <w:tcPr>
            <w:tcW w:w="631" w:type="dxa"/>
            <w:vMerge w:val="restart"/>
            <w:noWrap w:val="0"/>
            <w:vAlign w:val="center"/>
          </w:tcPr>
          <w:p w14:paraId="6D1805DB">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0DF4F754">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70" o:spt="75" type="#_x0000_t75" style="height:31pt;width:59pt;" o:ole="t" filled="f" o:preferrelative="t" stroked="f" coordsize="21600,21600">
                  <v:path/>
                  <v:fill on="f" alignshape="1" focussize="0,0"/>
                  <v:stroke on="f"/>
                  <v:imagedata r:id="rId29" o:title=""/>
                  <o:lock v:ext="edit" aspectratio="t"/>
                  <w10:wrap type="none"/>
                  <w10:anchorlock/>
                </v:shape>
                <o:OLEObject Type="Embed" ProgID="Equation.3" ShapeID="_x0000_i1070" DrawAspect="Content" ObjectID="_1468075759" r:id="rId87">
                  <o:LockedField>false</o:LockedField>
                </o:OLEObject>
              </w:object>
            </w:r>
          </w:p>
        </w:tc>
        <w:tc>
          <w:tcPr>
            <w:tcW w:w="1489" w:type="dxa"/>
            <w:vMerge w:val="continue"/>
            <w:noWrap w:val="0"/>
            <w:vAlign w:val="center"/>
          </w:tcPr>
          <w:p w14:paraId="71D00A6C">
            <w:pPr>
              <w:jc w:val="center"/>
              <w:rPr>
                <w:rFonts w:ascii="宋体" w:hAnsi="宋体"/>
                <w:snapToGrid w:val="0"/>
                <w:kern w:val="0"/>
                <w:szCs w:val="21"/>
                <w:lang w:val="en-GB"/>
              </w:rPr>
            </w:pPr>
          </w:p>
        </w:tc>
        <w:tc>
          <w:tcPr>
            <w:tcW w:w="930" w:type="dxa"/>
            <w:vMerge w:val="restart"/>
            <w:noWrap w:val="0"/>
            <w:vAlign w:val="center"/>
          </w:tcPr>
          <w:p w14:paraId="74DA07FB">
            <w:pPr>
              <w:jc w:val="center"/>
              <w:rPr>
                <w:rFonts w:ascii="宋体" w:hAnsi="宋体"/>
                <w:snapToGrid w:val="0"/>
                <w:kern w:val="0"/>
                <w:szCs w:val="21"/>
              </w:rPr>
            </w:pPr>
            <w:r>
              <w:rPr>
                <w:rFonts w:hint="eastAsia" w:ascii="宋体" w:hAnsi="宋体"/>
                <w:snapToGrid w:val="0"/>
                <w:kern w:val="0"/>
                <w:szCs w:val="21"/>
                <w:lang w:val="en-GB"/>
              </w:rPr>
              <w:t>不</w:t>
            </w:r>
            <w:r>
              <w:rPr>
                <w:rFonts w:ascii="宋体" w:hAnsi="宋体"/>
                <w:snapToGrid w:val="0"/>
                <w:kern w:val="0"/>
                <w:szCs w:val="21"/>
                <w:lang w:val="en-GB"/>
              </w:rPr>
              <w:t>稳定</w:t>
            </w:r>
          </w:p>
        </w:tc>
        <w:tc>
          <w:tcPr>
            <w:tcW w:w="744" w:type="dxa"/>
            <w:vMerge w:val="restart"/>
            <w:noWrap w:val="0"/>
            <w:vAlign w:val="center"/>
          </w:tcPr>
          <w:p w14:paraId="72AA36C9">
            <w:pPr>
              <w:jc w:val="center"/>
              <w:rPr>
                <w:rFonts w:ascii="宋体" w:hAnsi="宋体"/>
                <w:snapToGrid w:val="0"/>
                <w:kern w:val="0"/>
                <w:szCs w:val="21"/>
              </w:rPr>
            </w:pPr>
            <w:r>
              <w:rPr>
                <w:rFonts w:hint="eastAsia" w:ascii="宋体" w:hAnsi="宋体"/>
                <w:snapToGrid w:val="0"/>
                <w:kern w:val="0"/>
                <w:szCs w:val="21"/>
                <w:lang w:val="en-GB"/>
              </w:rPr>
              <w:t>局部2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688FFE05">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简单</w:t>
            </w:r>
          </w:p>
        </w:tc>
        <w:tc>
          <w:tcPr>
            <w:tcW w:w="744" w:type="dxa"/>
            <w:vMerge w:val="restart"/>
            <w:noWrap w:val="0"/>
            <w:vAlign w:val="center"/>
          </w:tcPr>
          <w:p w14:paraId="2C0718B4">
            <w:pPr>
              <w:jc w:val="center"/>
              <w:rPr>
                <w:rFonts w:hint="eastAsia" w:ascii="宋体" w:hAnsi="宋体"/>
                <w:szCs w:val="21"/>
              </w:rPr>
            </w:pPr>
            <w:r>
              <w:rPr>
                <w:rFonts w:hint="eastAsia" w:ascii="宋体" w:hAnsi="宋体"/>
                <w:szCs w:val="21"/>
              </w:rPr>
              <w:t>局部</w:t>
            </w:r>
          </w:p>
          <w:p w14:paraId="56589493">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1A6F45FB">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69FE32D6">
            <w:pPr>
              <w:jc w:val="center"/>
              <w:rPr>
                <w:rFonts w:ascii="宋体" w:hAnsi="宋体"/>
                <w:szCs w:val="21"/>
              </w:rPr>
            </w:pPr>
            <w:r>
              <w:rPr>
                <w:rFonts w:hint="eastAsia" w:ascii="宋体" w:hAnsi="宋体"/>
                <w:snapToGrid w:val="0"/>
                <w:kern w:val="0"/>
                <w:szCs w:val="21"/>
              </w:rPr>
              <w:t>局部可采</w:t>
            </w:r>
          </w:p>
        </w:tc>
      </w:tr>
      <w:tr w14:paraId="6357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6A1EA597">
            <w:pPr>
              <w:jc w:val="center"/>
              <w:rPr>
                <w:rFonts w:ascii="宋体" w:hAnsi="宋体"/>
                <w:snapToGrid w:val="0"/>
                <w:kern w:val="0"/>
                <w:szCs w:val="21"/>
                <w:lang w:val="en-GB"/>
              </w:rPr>
            </w:pPr>
          </w:p>
        </w:tc>
        <w:tc>
          <w:tcPr>
            <w:tcW w:w="631" w:type="dxa"/>
            <w:vMerge w:val="continue"/>
            <w:noWrap w:val="0"/>
            <w:vAlign w:val="center"/>
          </w:tcPr>
          <w:p w14:paraId="1ECE2DE3">
            <w:pPr>
              <w:jc w:val="center"/>
              <w:rPr>
                <w:rFonts w:ascii="宋体" w:hAnsi="宋体"/>
                <w:snapToGrid w:val="0"/>
                <w:kern w:val="0"/>
                <w:szCs w:val="21"/>
                <w:lang w:val="en-GB"/>
              </w:rPr>
            </w:pPr>
          </w:p>
        </w:tc>
        <w:tc>
          <w:tcPr>
            <w:tcW w:w="1489" w:type="dxa"/>
            <w:vMerge w:val="continue"/>
            <w:noWrap w:val="0"/>
            <w:vAlign w:val="center"/>
          </w:tcPr>
          <w:p w14:paraId="564D9559">
            <w:pPr>
              <w:jc w:val="center"/>
              <w:rPr>
                <w:rFonts w:ascii="宋体" w:hAnsi="宋体"/>
                <w:snapToGrid w:val="0"/>
                <w:color w:val="FF0000"/>
                <w:kern w:val="0"/>
                <w:szCs w:val="21"/>
                <w:lang w:val="en-GB"/>
              </w:rPr>
            </w:pPr>
          </w:p>
        </w:tc>
        <w:tc>
          <w:tcPr>
            <w:tcW w:w="1489" w:type="dxa"/>
            <w:vMerge w:val="restart"/>
            <w:noWrap w:val="0"/>
            <w:vAlign w:val="center"/>
          </w:tcPr>
          <w:p w14:paraId="40A5D23D">
            <w:pPr>
              <w:jc w:val="center"/>
              <w:rPr>
                <w:rFonts w:ascii="宋体" w:hAnsi="宋体"/>
                <w:snapToGrid w:val="0"/>
                <w:kern w:val="0"/>
                <w:szCs w:val="21"/>
                <w:lang w:val="en-GB"/>
              </w:rPr>
            </w:pPr>
            <w:r>
              <w:rPr>
                <w:rFonts w:ascii="宋体" w:hAnsi="宋体"/>
                <w:snapToGrid w:val="0"/>
                <w:kern w:val="0"/>
                <w:szCs w:val="21"/>
              </w:rPr>
              <w:object>
                <v:shape id="_x0000_i1071" o:spt="75" type="#_x0000_t75" style="height:31pt;width:40pt;" o:ole="t" filled="f" o:preferrelative="t" stroked="f" coordsize="21600,21600">
                  <v:path/>
                  <v:fill on="f" alignshape="1" focussize="0,0"/>
                  <v:stroke on="f"/>
                  <v:imagedata r:id="rId31" o:title=""/>
                  <o:lock v:ext="edit" aspectratio="t"/>
                  <w10:wrap type="none"/>
                  <w10:anchorlock/>
                </v:shape>
                <o:OLEObject Type="Embed" ProgID="Equation.3" ShapeID="_x0000_i1071" DrawAspect="Content" ObjectID="_1468075760" r:id="rId88">
                  <o:LockedField>false</o:LockedField>
                </o:OLEObject>
              </w:object>
            </w:r>
          </w:p>
        </w:tc>
        <w:tc>
          <w:tcPr>
            <w:tcW w:w="930" w:type="dxa"/>
            <w:vMerge w:val="continue"/>
            <w:noWrap w:val="0"/>
            <w:vAlign w:val="center"/>
          </w:tcPr>
          <w:p w14:paraId="48EE6E94">
            <w:pPr>
              <w:jc w:val="center"/>
              <w:rPr>
                <w:rFonts w:ascii="宋体" w:hAnsi="宋体"/>
                <w:snapToGrid w:val="0"/>
                <w:kern w:val="0"/>
                <w:szCs w:val="21"/>
                <w:lang w:val="en-GB"/>
              </w:rPr>
            </w:pPr>
          </w:p>
        </w:tc>
        <w:tc>
          <w:tcPr>
            <w:tcW w:w="744" w:type="dxa"/>
            <w:vMerge w:val="continue"/>
            <w:noWrap w:val="0"/>
            <w:vAlign w:val="center"/>
          </w:tcPr>
          <w:p w14:paraId="3BA9F9DE">
            <w:pPr>
              <w:jc w:val="center"/>
              <w:rPr>
                <w:rFonts w:ascii="宋体" w:hAnsi="宋体"/>
                <w:snapToGrid w:val="0"/>
                <w:kern w:val="0"/>
                <w:szCs w:val="21"/>
                <w:lang w:val="en-GB"/>
              </w:rPr>
            </w:pPr>
          </w:p>
        </w:tc>
        <w:tc>
          <w:tcPr>
            <w:tcW w:w="930" w:type="dxa"/>
            <w:vMerge w:val="continue"/>
            <w:noWrap w:val="0"/>
            <w:vAlign w:val="center"/>
          </w:tcPr>
          <w:p w14:paraId="000E5B65">
            <w:pPr>
              <w:jc w:val="center"/>
              <w:rPr>
                <w:rFonts w:ascii="宋体" w:hAnsi="宋体"/>
                <w:snapToGrid w:val="0"/>
                <w:kern w:val="0"/>
                <w:szCs w:val="21"/>
                <w:lang w:val="en-GB"/>
              </w:rPr>
            </w:pPr>
          </w:p>
        </w:tc>
        <w:tc>
          <w:tcPr>
            <w:tcW w:w="744" w:type="dxa"/>
            <w:vMerge w:val="continue"/>
            <w:noWrap w:val="0"/>
            <w:vAlign w:val="center"/>
          </w:tcPr>
          <w:p w14:paraId="3E74C7B4">
            <w:pPr>
              <w:jc w:val="center"/>
              <w:rPr>
                <w:rFonts w:ascii="宋体" w:hAnsi="宋体"/>
                <w:snapToGrid w:val="0"/>
                <w:kern w:val="0"/>
                <w:szCs w:val="21"/>
                <w:lang w:val="en-GB"/>
              </w:rPr>
            </w:pPr>
          </w:p>
        </w:tc>
        <w:tc>
          <w:tcPr>
            <w:tcW w:w="1303" w:type="dxa"/>
            <w:vMerge w:val="continue"/>
            <w:noWrap w:val="0"/>
            <w:vAlign w:val="center"/>
          </w:tcPr>
          <w:p w14:paraId="38D31373">
            <w:pPr>
              <w:jc w:val="center"/>
              <w:rPr>
                <w:rFonts w:ascii="宋体" w:hAnsi="宋体"/>
                <w:snapToGrid w:val="0"/>
                <w:kern w:val="0"/>
                <w:szCs w:val="21"/>
                <w:lang w:val="en-GB"/>
              </w:rPr>
            </w:pPr>
          </w:p>
        </w:tc>
      </w:tr>
      <w:tr w14:paraId="6FD8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3FB55A50">
            <w:pPr>
              <w:jc w:val="center"/>
              <w:rPr>
                <w:rFonts w:hint="eastAsia" w:ascii="宋体" w:hAnsi="宋体"/>
                <w:snapToGrid w:val="0"/>
                <w:kern w:val="0"/>
                <w:szCs w:val="21"/>
              </w:rPr>
            </w:pPr>
            <w:r>
              <w:rPr>
                <w:rFonts w:hint="eastAsia" w:ascii="宋体" w:hAnsi="宋体"/>
                <w:snapToGrid w:val="0"/>
                <w:kern w:val="0"/>
                <w:szCs w:val="21"/>
              </w:rPr>
              <w:t>K13</w:t>
            </w:r>
          </w:p>
        </w:tc>
        <w:tc>
          <w:tcPr>
            <w:tcW w:w="631" w:type="dxa"/>
            <w:vMerge w:val="restart"/>
            <w:noWrap w:val="0"/>
            <w:vAlign w:val="center"/>
          </w:tcPr>
          <w:p w14:paraId="20724074">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4</w:t>
            </w:r>
          </w:p>
        </w:tc>
        <w:tc>
          <w:tcPr>
            <w:tcW w:w="1489" w:type="dxa"/>
            <w:vMerge w:val="restart"/>
            <w:noWrap w:val="0"/>
            <w:vAlign w:val="center"/>
          </w:tcPr>
          <w:p w14:paraId="092FFC27">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72" o:spt="75" type="#_x0000_t75" style="height:31pt;width:57pt;" o:ole="t" filled="f" o:preferrelative="t" stroked="f" coordsize="21600,21600">
                  <v:path/>
                  <v:fill on="f" alignshape="1" focussize="0,0"/>
                  <v:stroke on="f"/>
                  <v:imagedata r:id="rId33" o:title=""/>
                  <o:lock v:ext="edit" aspectratio="t"/>
                  <w10:wrap type="none"/>
                  <w10:anchorlock/>
                </v:shape>
                <o:OLEObject Type="Embed" ProgID="Equation.3" ShapeID="_x0000_i1072" DrawAspect="Content" ObjectID="_1468075761" r:id="rId89">
                  <o:LockedField>false</o:LockedField>
                </o:OLEObject>
              </w:object>
            </w:r>
          </w:p>
        </w:tc>
        <w:tc>
          <w:tcPr>
            <w:tcW w:w="1489" w:type="dxa"/>
            <w:vMerge w:val="continue"/>
            <w:noWrap w:val="0"/>
            <w:vAlign w:val="center"/>
          </w:tcPr>
          <w:p w14:paraId="1E5DD2A1">
            <w:pPr>
              <w:jc w:val="center"/>
              <w:rPr>
                <w:rFonts w:ascii="宋体" w:hAnsi="宋体"/>
                <w:snapToGrid w:val="0"/>
                <w:kern w:val="0"/>
                <w:szCs w:val="21"/>
                <w:lang w:val="en-GB"/>
              </w:rPr>
            </w:pPr>
          </w:p>
        </w:tc>
        <w:tc>
          <w:tcPr>
            <w:tcW w:w="930" w:type="dxa"/>
            <w:vMerge w:val="restart"/>
            <w:noWrap w:val="0"/>
            <w:vAlign w:val="center"/>
          </w:tcPr>
          <w:p w14:paraId="44C44463">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5F342B3B">
            <w:pPr>
              <w:jc w:val="center"/>
              <w:rPr>
                <w:rFonts w:ascii="宋体" w:hAnsi="宋体"/>
                <w:snapToGrid w:val="0"/>
                <w:kern w:val="0"/>
                <w:szCs w:val="21"/>
              </w:rPr>
            </w:pPr>
            <w:r>
              <w:rPr>
                <w:rFonts w:hint="eastAsia" w:ascii="宋体" w:hAnsi="宋体"/>
                <w:snapToGrid w:val="0"/>
                <w:kern w:val="0"/>
                <w:szCs w:val="21"/>
                <w:lang w:val="en-GB"/>
              </w:rPr>
              <w:t>1</w:t>
            </w:r>
            <w:r>
              <w:rPr>
                <w:rFonts w:ascii="宋体" w:hAnsi="宋体"/>
                <w:snapToGrid w:val="0"/>
                <w:kern w:val="0"/>
                <w:szCs w:val="21"/>
                <w:lang w:val="en-GB"/>
              </w:rPr>
              <w:t>～</w:t>
            </w:r>
            <w:r>
              <w:rPr>
                <w:rFonts w:hint="eastAsia" w:ascii="宋体" w:hAnsi="宋体"/>
                <w:snapToGrid w:val="0"/>
                <w:kern w:val="0"/>
                <w:szCs w:val="21"/>
                <w:lang w:val="en-GB"/>
              </w:rPr>
              <w:t>2</w:t>
            </w:r>
          </w:p>
        </w:tc>
        <w:tc>
          <w:tcPr>
            <w:tcW w:w="930" w:type="dxa"/>
            <w:vMerge w:val="restart"/>
            <w:noWrap w:val="0"/>
            <w:vAlign w:val="center"/>
          </w:tcPr>
          <w:p w14:paraId="2401AA32">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简单</w:t>
            </w:r>
          </w:p>
        </w:tc>
        <w:tc>
          <w:tcPr>
            <w:tcW w:w="744" w:type="dxa"/>
            <w:vMerge w:val="restart"/>
            <w:noWrap w:val="0"/>
            <w:vAlign w:val="center"/>
          </w:tcPr>
          <w:p w14:paraId="65BE6CD6">
            <w:pPr>
              <w:jc w:val="center"/>
              <w:rPr>
                <w:rFonts w:hint="eastAsia" w:ascii="宋体" w:hAnsi="宋体"/>
                <w:szCs w:val="21"/>
              </w:rPr>
            </w:pPr>
            <w:r>
              <w:rPr>
                <w:rFonts w:hint="eastAsia" w:ascii="宋体" w:hAnsi="宋体"/>
                <w:szCs w:val="21"/>
              </w:rPr>
              <w:t>全区</w:t>
            </w:r>
          </w:p>
          <w:p w14:paraId="096732ED">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3320F532">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56E1A61A">
            <w:pPr>
              <w:jc w:val="center"/>
              <w:rPr>
                <w:rFonts w:hint="eastAsia"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1F16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651EA1A2">
            <w:pPr>
              <w:jc w:val="center"/>
              <w:rPr>
                <w:rFonts w:ascii="宋体" w:hAnsi="宋体"/>
                <w:snapToGrid w:val="0"/>
                <w:kern w:val="0"/>
                <w:szCs w:val="21"/>
                <w:lang w:val="en-GB"/>
              </w:rPr>
            </w:pPr>
          </w:p>
        </w:tc>
        <w:tc>
          <w:tcPr>
            <w:tcW w:w="631" w:type="dxa"/>
            <w:vMerge w:val="continue"/>
            <w:noWrap w:val="0"/>
            <w:vAlign w:val="center"/>
          </w:tcPr>
          <w:p w14:paraId="7603C874">
            <w:pPr>
              <w:jc w:val="center"/>
              <w:rPr>
                <w:rFonts w:ascii="宋体" w:hAnsi="宋体"/>
                <w:snapToGrid w:val="0"/>
                <w:kern w:val="0"/>
                <w:szCs w:val="21"/>
                <w:lang w:val="en-GB"/>
              </w:rPr>
            </w:pPr>
          </w:p>
        </w:tc>
        <w:tc>
          <w:tcPr>
            <w:tcW w:w="1489" w:type="dxa"/>
            <w:vMerge w:val="continue"/>
            <w:noWrap w:val="0"/>
            <w:vAlign w:val="center"/>
          </w:tcPr>
          <w:p w14:paraId="3C859A89">
            <w:pPr>
              <w:jc w:val="center"/>
              <w:rPr>
                <w:rFonts w:ascii="宋体" w:hAnsi="宋体"/>
                <w:snapToGrid w:val="0"/>
                <w:color w:val="FF0000"/>
                <w:kern w:val="0"/>
                <w:szCs w:val="21"/>
                <w:lang w:val="en-GB"/>
              </w:rPr>
            </w:pPr>
          </w:p>
        </w:tc>
        <w:tc>
          <w:tcPr>
            <w:tcW w:w="1489" w:type="dxa"/>
            <w:vMerge w:val="restart"/>
            <w:noWrap w:val="0"/>
            <w:vAlign w:val="center"/>
          </w:tcPr>
          <w:p w14:paraId="66F7A2FF">
            <w:pPr>
              <w:jc w:val="center"/>
              <w:rPr>
                <w:rFonts w:ascii="宋体" w:hAnsi="宋体"/>
                <w:snapToGrid w:val="0"/>
                <w:kern w:val="0"/>
                <w:szCs w:val="21"/>
                <w:lang w:val="en-GB"/>
              </w:rPr>
            </w:pPr>
            <w:r>
              <w:rPr>
                <w:rFonts w:ascii="宋体" w:hAnsi="宋体"/>
                <w:snapToGrid w:val="0"/>
                <w:kern w:val="0"/>
                <w:szCs w:val="21"/>
              </w:rPr>
              <w:object>
                <v:shape id="_x0000_i1073" o:spt="75" type="#_x0000_t75" style="height:31pt;width:41pt;" o:ole="t" filled="f" o:preferrelative="t" stroked="f" coordsize="21600,21600">
                  <v:path/>
                  <v:fill on="f" alignshape="1" focussize="0,0"/>
                  <v:stroke on="f"/>
                  <v:imagedata r:id="rId35" o:title=""/>
                  <o:lock v:ext="edit" aspectratio="t"/>
                  <w10:wrap type="none"/>
                  <w10:anchorlock/>
                </v:shape>
                <o:OLEObject Type="Embed" ProgID="Equation.3" ShapeID="_x0000_i1073" DrawAspect="Content" ObjectID="_1468075762" r:id="rId90">
                  <o:LockedField>false</o:LockedField>
                </o:OLEObject>
              </w:object>
            </w:r>
          </w:p>
        </w:tc>
        <w:tc>
          <w:tcPr>
            <w:tcW w:w="930" w:type="dxa"/>
            <w:vMerge w:val="continue"/>
            <w:noWrap w:val="0"/>
            <w:vAlign w:val="center"/>
          </w:tcPr>
          <w:p w14:paraId="10EF0EE3">
            <w:pPr>
              <w:jc w:val="center"/>
              <w:rPr>
                <w:rFonts w:ascii="宋体" w:hAnsi="宋体"/>
                <w:snapToGrid w:val="0"/>
                <w:kern w:val="0"/>
                <w:szCs w:val="21"/>
                <w:lang w:val="en-GB"/>
              </w:rPr>
            </w:pPr>
          </w:p>
        </w:tc>
        <w:tc>
          <w:tcPr>
            <w:tcW w:w="744" w:type="dxa"/>
            <w:vMerge w:val="continue"/>
            <w:noWrap w:val="0"/>
            <w:vAlign w:val="center"/>
          </w:tcPr>
          <w:p w14:paraId="28CEF819">
            <w:pPr>
              <w:jc w:val="center"/>
              <w:rPr>
                <w:rFonts w:ascii="宋体" w:hAnsi="宋体"/>
                <w:snapToGrid w:val="0"/>
                <w:kern w:val="0"/>
                <w:szCs w:val="21"/>
                <w:lang w:val="en-GB"/>
              </w:rPr>
            </w:pPr>
          </w:p>
        </w:tc>
        <w:tc>
          <w:tcPr>
            <w:tcW w:w="930" w:type="dxa"/>
            <w:vMerge w:val="continue"/>
            <w:noWrap w:val="0"/>
            <w:vAlign w:val="center"/>
          </w:tcPr>
          <w:p w14:paraId="4760BB92">
            <w:pPr>
              <w:jc w:val="center"/>
              <w:rPr>
                <w:rFonts w:ascii="宋体" w:hAnsi="宋体"/>
                <w:snapToGrid w:val="0"/>
                <w:kern w:val="0"/>
                <w:szCs w:val="21"/>
                <w:lang w:val="en-GB"/>
              </w:rPr>
            </w:pPr>
          </w:p>
        </w:tc>
        <w:tc>
          <w:tcPr>
            <w:tcW w:w="744" w:type="dxa"/>
            <w:vMerge w:val="continue"/>
            <w:noWrap w:val="0"/>
            <w:vAlign w:val="center"/>
          </w:tcPr>
          <w:p w14:paraId="629E4127">
            <w:pPr>
              <w:jc w:val="center"/>
              <w:rPr>
                <w:rFonts w:ascii="宋体" w:hAnsi="宋体"/>
                <w:snapToGrid w:val="0"/>
                <w:kern w:val="0"/>
                <w:szCs w:val="21"/>
                <w:lang w:val="en-GB"/>
              </w:rPr>
            </w:pPr>
          </w:p>
        </w:tc>
        <w:tc>
          <w:tcPr>
            <w:tcW w:w="1303" w:type="dxa"/>
            <w:vMerge w:val="continue"/>
            <w:noWrap w:val="0"/>
            <w:vAlign w:val="center"/>
          </w:tcPr>
          <w:p w14:paraId="4C7E62C8">
            <w:pPr>
              <w:jc w:val="center"/>
              <w:rPr>
                <w:rFonts w:ascii="宋体" w:hAnsi="宋体"/>
                <w:snapToGrid w:val="0"/>
                <w:kern w:val="0"/>
                <w:szCs w:val="21"/>
                <w:lang w:val="en-GB"/>
              </w:rPr>
            </w:pPr>
          </w:p>
        </w:tc>
      </w:tr>
      <w:tr w14:paraId="41ED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776AD6A5">
            <w:pPr>
              <w:jc w:val="center"/>
              <w:rPr>
                <w:rFonts w:hint="eastAsia" w:ascii="宋体" w:hAnsi="宋体"/>
                <w:snapToGrid w:val="0"/>
                <w:kern w:val="0"/>
                <w:szCs w:val="21"/>
              </w:rPr>
            </w:pPr>
            <w:r>
              <w:rPr>
                <w:rFonts w:hint="eastAsia" w:ascii="宋体" w:hAnsi="宋体"/>
                <w:snapToGrid w:val="0"/>
                <w:kern w:val="0"/>
                <w:szCs w:val="21"/>
              </w:rPr>
              <w:t>K18</w:t>
            </w:r>
          </w:p>
        </w:tc>
        <w:tc>
          <w:tcPr>
            <w:tcW w:w="631" w:type="dxa"/>
            <w:vMerge w:val="restart"/>
            <w:noWrap w:val="0"/>
            <w:vAlign w:val="center"/>
          </w:tcPr>
          <w:p w14:paraId="0B76D65B">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3</w:t>
            </w:r>
          </w:p>
        </w:tc>
        <w:tc>
          <w:tcPr>
            <w:tcW w:w="1489" w:type="dxa"/>
            <w:vMerge w:val="restart"/>
            <w:noWrap w:val="0"/>
            <w:vAlign w:val="center"/>
          </w:tcPr>
          <w:p w14:paraId="49266CC8">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74" o:spt="75" type="#_x0000_t75" style="height:31pt;width:59pt;" o:ole="t" filled="f" o:preferrelative="t" stroked="f" coordsize="21600,21600">
                  <v:path/>
                  <v:fill on="f" alignshape="1" focussize="0,0"/>
                  <v:stroke on="f"/>
                  <v:imagedata r:id="rId37" o:title=""/>
                  <o:lock v:ext="edit" aspectratio="t"/>
                  <w10:wrap type="none"/>
                  <w10:anchorlock/>
                </v:shape>
                <o:OLEObject Type="Embed" ProgID="Equation.3" ShapeID="_x0000_i1074" DrawAspect="Content" ObjectID="_1468075763" r:id="rId91">
                  <o:LockedField>false</o:LockedField>
                </o:OLEObject>
              </w:object>
            </w:r>
          </w:p>
        </w:tc>
        <w:tc>
          <w:tcPr>
            <w:tcW w:w="1489" w:type="dxa"/>
            <w:vMerge w:val="continue"/>
            <w:noWrap w:val="0"/>
            <w:vAlign w:val="center"/>
          </w:tcPr>
          <w:p w14:paraId="1EF1F2DC">
            <w:pPr>
              <w:jc w:val="center"/>
              <w:rPr>
                <w:rFonts w:ascii="宋体" w:hAnsi="宋体"/>
                <w:snapToGrid w:val="0"/>
                <w:kern w:val="0"/>
                <w:szCs w:val="21"/>
                <w:lang w:val="en-GB"/>
              </w:rPr>
            </w:pPr>
          </w:p>
        </w:tc>
        <w:tc>
          <w:tcPr>
            <w:tcW w:w="930" w:type="dxa"/>
            <w:vMerge w:val="restart"/>
            <w:noWrap w:val="0"/>
            <w:vAlign w:val="center"/>
          </w:tcPr>
          <w:p w14:paraId="240EC684">
            <w:pPr>
              <w:jc w:val="center"/>
              <w:rPr>
                <w:rFonts w:ascii="宋体" w:hAnsi="宋体"/>
                <w:snapToGrid w:val="0"/>
                <w:kern w:val="0"/>
                <w:szCs w:val="21"/>
              </w:rPr>
            </w:pPr>
            <w:r>
              <w:rPr>
                <w:rFonts w:ascii="宋体" w:hAnsi="宋体"/>
                <w:snapToGrid w:val="0"/>
                <w:kern w:val="0"/>
                <w:szCs w:val="21"/>
                <w:lang w:val="en-GB"/>
              </w:rPr>
              <w:t>稳定</w:t>
            </w:r>
          </w:p>
        </w:tc>
        <w:tc>
          <w:tcPr>
            <w:tcW w:w="744" w:type="dxa"/>
            <w:vMerge w:val="restart"/>
            <w:noWrap w:val="0"/>
            <w:vAlign w:val="center"/>
          </w:tcPr>
          <w:p w14:paraId="4094C1B2">
            <w:pPr>
              <w:jc w:val="center"/>
              <w:rPr>
                <w:rFonts w:ascii="宋体" w:hAnsi="宋体"/>
                <w:snapToGrid w:val="0"/>
                <w:kern w:val="0"/>
                <w:szCs w:val="21"/>
              </w:rPr>
            </w:pPr>
            <w:r>
              <w:rPr>
                <w:rFonts w:hint="eastAsia" w:ascii="宋体" w:hAnsi="宋体"/>
                <w:snapToGrid w:val="0"/>
                <w:kern w:val="0"/>
                <w:szCs w:val="21"/>
                <w:lang w:val="en-GB"/>
              </w:rPr>
              <w:t>局部2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02CD387A">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简单</w:t>
            </w:r>
          </w:p>
        </w:tc>
        <w:tc>
          <w:tcPr>
            <w:tcW w:w="744" w:type="dxa"/>
            <w:vMerge w:val="restart"/>
            <w:noWrap w:val="0"/>
            <w:vAlign w:val="center"/>
          </w:tcPr>
          <w:p w14:paraId="0648CF22">
            <w:pPr>
              <w:jc w:val="center"/>
              <w:rPr>
                <w:rFonts w:hint="eastAsia" w:ascii="宋体" w:hAnsi="宋体"/>
                <w:szCs w:val="21"/>
              </w:rPr>
            </w:pPr>
            <w:r>
              <w:rPr>
                <w:rFonts w:hint="eastAsia" w:ascii="宋体" w:hAnsi="宋体"/>
                <w:szCs w:val="21"/>
              </w:rPr>
              <w:t>全区</w:t>
            </w:r>
          </w:p>
          <w:p w14:paraId="67074F39">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18A84C75">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79B846A9">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5BD1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1CE3AFE1">
            <w:pPr>
              <w:jc w:val="center"/>
              <w:rPr>
                <w:rFonts w:ascii="宋体" w:hAnsi="宋体"/>
                <w:snapToGrid w:val="0"/>
                <w:kern w:val="0"/>
                <w:szCs w:val="21"/>
                <w:lang w:val="en-GB"/>
              </w:rPr>
            </w:pPr>
          </w:p>
        </w:tc>
        <w:tc>
          <w:tcPr>
            <w:tcW w:w="631" w:type="dxa"/>
            <w:vMerge w:val="continue"/>
            <w:noWrap w:val="0"/>
            <w:vAlign w:val="center"/>
          </w:tcPr>
          <w:p w14:paraId="63890046">
            <w:pPr>
              <w:jc w:val="center"/>
              <w:rPr>
                <w:rFonts w:ascii="宋体" w:hAnsi="宋体"/>
                <w:snapToGrid w:val="0"/>
                <w:kern w:val="0"/>
                <w:szCs w:val="21"/>
                <w:lang w:val="en-GB"/>
              </w:rPr>
            </w:pPr>
          </w:p>
        </w:tc>
        <w:tc>
          <w:tcPr>
            <w:tcW w:w="1489" w:type="dxa"/>
            <w:vMerge w:val="continue"/>
            <w:noWrap w:val="0"/>
            <w:vAlign w:val="center"/>
          </w:tcPr>
          <w:p w14:paraId="76CFAA18">
            <w:pPr>
              <w:jc w:val="center"/>
              <w:rPr>
                <w:rFonts w:ascii="宋体" w:hAnsi="宋体"/>
                <w:snapToGrid w:val="0"/>
                <w:color w:val="FF0000"/>
                <w:kern w:val="0"/>
                <w:szCs w:val="21"/>
                <w:lang w:val="en-GB"/>
              </w:rPr>
            </w:pPr>
          </w:p>
        </w:tc>
        <w:tc>
          <w:tcPr>
            <w:tcW w:w="1489" w:type="dxa"/>
            <w:vMerge w:val="restart"/>
            <w:noWrap w:val="0"/>
            <w:vAlign w:val="center"/>
          </w:tcPr>
          <w:p w14:paraId="2ACC682B">
            <w:pPr>
              <w:jc w:val="center"/>
              <w:rPr>
                <w:rFonts w:ascii="宋体" w:hAnsi="宋体"/>
                <w:snapToGrid w:val="0"/>
                <w:kern w:val="0"/>
                <w:szCs w:val="21"/>
                <w:lang w:val="en-GB"/>
              </w:rPr>
            </w:pPr>
            <w:r>
              <w:rPr>
                <w:rFonts w:ascii="宋体" w:hAnsi="宋体"/>
                <w:snapToGrid w:val="0"/>
                <w:kern w:val="0"/>
                <w:szCs w:val="21"/>
              </w:rPr>
              <w:object>
                <v:shape id="_x0000_i1075" o:spt="75" type="#_x0000_t75" style="height:31pt;width:41pt;" o:ole="t" filled="f" o:preferrelative="t" stroked="f" coordsize="21600,21600">
                  <v:path/>
                  <v:fill on="f" alignshape="1" focussize="0,0"/>
                  <v:stroke on="f"/>
                  <v:imagedata r:id="rId39" o:title=""/>
                  <o:lock v:ext="edit" aspectratio="t"/>
                  <w10:wrap type="none"/>
                  <w10:anchorlock/>
                </v:shape>
                <o:OLEObject Type="Embed" ProgID="Equation.3" ShapeID="_x0000_i1075" DrawAspect="Content" ObjectID="_1468075764" r:id="rId92">
                  <o:LockedField>false</o:LockedField>
                </o:OLEObject>
              </w:object>
            </w:r>
          </w:p>
        </w:tc>
        <w:tc>
          <w:tcPr>
            <w:tcW w:w="930" w:type="dxa"/>
            <w:vMerge w:val="continue"/>
            <w:noWrap w:val="0"/>
            <w:vAlign w:val="center"/>
          </w:tcPr>
          <w:p w14:paraId="35EE4C0F">
            <w:pPr>
              <w:jc w:val="center"/>
              <w:rPr>
                <w:rFonts w:ascii="宋体" w:hAnsi="宋体"/>
                <w:snapToGrid w:val="0"/>
                <w:kern w:val="0"/>
                <w:szCs w:val="21"/>
                <w:lang w:val="en-GB"/>
              </w:rPr>
            </w:pPr>
          </w:p>
        </w:tc>
        <w:tc>
          <w:tcPr>
            <w:tcW w:w="744" w:type="dxa"/>
            <w:vMerge w:val="continue"/>
            <w:noWrap w:val="0"/>
            <w:vAlign w:val="center"/>
          </w:tcPr>
          <w:p w14:paraId="11A3046D">
            <w:pPr>
              <w:jc w:val="center"/>
              <w:rPr>
                <w:rFonts w:ascii="宋体" w:hAnsi="宋体"/>
                <w:snapToGrid w:val="0"/>
                <w:kern w:val="0"/>
                <w:szCs w:val="21"/>
                <w:lang w:val="en-GB"/>
              </w:rPr>
            </w:pPr>
          </w:p>
        </w:tc>
        <w:tc>
          <w:tcPr>
            <w:tcW w:w="930" w:type="dxa"/>
            <w:vMerge w:val="continue"/>
            <w:noWrap w:val="0"/>
            <w:vAlign w:val="center"/>
          </w:tcPr>
          <w:p w14:paraId="2C70B332">
            <w:pPr>
              <w:jc w:val="center"/>
              <w:rPr>
                <w:rFonts w:ascii="宋体" w:hAnsi="宋体"/>
                <w:snapToGrid w:val="0"/>
                <w:kern w:val="0"/>
                <w:szCs w:val="21"/>
                <w:lang w:val="en-GB"/>
              </w:rPr>
            </w:pPr>
          </w:p>
        </w:tc>
        <w:tc>
          <w:tcPr>
            <w:tcW w:w="744" w:type="dxa"/>
            <w:vMerge w:val="continue"/>
            <w:noWrap w:val="0"/>
            <w:vAlign w:val="center"/>
          </w:tcPr>
          <w:p w14:paraId="3B7997FD">
            <w:pPr>
              <w:jc w:val="center"/>
              <w:rPr>
                <w:rFonts w:ascii="宋体" w:hAnsi="宋体"/>
                <w:snapToGrid w:val="0"/>
                <w:kern w:val="0"/>
                <w:szCs w:val="21"/>
                <w:lang w:val="en-GB"/>
              </w:rPr>
            </w:pPr>
          </w:p>
        </w:tc>
        <w:tc>
          <w:tcPr>
            <w:tcW w:w="1303" w:type="dxa"/>
            <w:vMerge w:val="continue"/>
            <w:noWrap w:val="0"/>
            <w:vAlign w:val="center"/>
          </w:tcPr>
          <w:p w14:paraId="30DEFEC7">
            <w:pPr>
              <w:jc w:val="center"/>
              <w:rPr>
                <w:rFonts w:ascii="宋体" w:hAnsi="宋体"/>
                <w:snapToGrid w:val="0"/>
                <w:kern w:val="0"/>
                <w:szCs w:val="21"/>
                <w:lang w:val="en-GB"/>
              </w:rPr>
            </w:pPr>
          </w:p>
        </w:tc>
      </w:tr>
      <w:tr w14:paraId="0F71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17FCB893">
            <w:pPr>
              <w:jc w:val="center"/>
              <w:rPr>
                <w:rFonts w:hint="eastAsia" w:ascii="宋体" w:hAnsi="宋体"/>
                <w:snapToGrid w:val="0"/>
                <w:kern w:val="0"/>
                <w:szCs w:val="21"/>
              </w:rPr>
            </w:pPr>
            <w:r>
              <w:rPr>
                <w:rFonts w:hint="eastAsia" w:ascii="宋体" w:hAnsi="宋体"/>
                <w:snapToGrid w:val="0"/>
                <w:kern w:val="0"/>
                <w:szCs w:val="21"/>
              </w:rPr>
              <w:t>K26</w:t>
            </w:r>
          </w:p>
        </w:tc>
        <w:tc>
          <w:tcPr>
            <w:tcW w:w="631" w:type="dxa"/>
            <w:vMerge w:val="restart"/>
            <w:noWrap w:val="0"/>
            <w:vAlign w:val="center"/>
          </w:tcPr>
          <w:p w14:paraId="33BE22F2">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3</w:t>
            </w:r>
          </w:p>
        </w:tc>
        <w:tc>
          <w:tcPr>
            <w:tcW w:w="1489" w:type="dxa"/>
            <w:vMerge w:val="restart"/>
            <w:noWrap w:val="0"/>
            <w:vAlign w:val="center"/>
          </w:tcPr>
          <w:p w14:paraId="3DFE200A">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76" o:spt="75" type="#_x0000_t75" style="height:31pt;width:58pt;" o:ole="t" filled="f" o:preferrelative="t" stroked="f" coordsize="21600,21600">
                  <v:path/>
                  <v:fill on="f" alignshape="1" focussize="0,0"/>
                  <v:stroke on="f"/>
                  <v:imagedata r:id="rId41" o:title=""/>
                  <o:lock v:ext="edit" aspectratio="t"/>
                  <w10:wrap type="none"/>
                  <w10:anchorlock/>
                </v:shape>
                <o:OLEObject Type="Embed" ProgID="Equation.3" ShapeID="_x0000_i1076" DrawAspect="Content" ObjectID="_1468075765" r:id="rId93">
                  <o:LockedField>false</o:LockedField>
                </o:OLEObject>
              </w:object>
            </w:r>
          </w:p>
        </w:tc>
        <w:tc>
          <w:tcPr>
            <w:tcW w:w="1489" w:type="dxa"/>
            <w:vMerge w:val="continue"/>
            <w:noWrap w:val="0"/>
            <w:vAlign w:val="center"/>
          </w:tcPr>
          <w:p w14:paraId="4178F4DE">
            <w:pPr>
              <w:jc w:val="center"/>
              <w:rPr>
                <w:rFonts w:ascii="宋体" w:hAnsi="宋体"/>
                <w:snapToGrid w:val="0"/>
                <w:kern w:val="0"/>
                <w:szCs w:val="21"/>
                <w:lang w:val="en-GB"/>
              </w:rPr>
            </w:pPr>
          </w:p>
        </w:tc>
        <w:tc>
          <w:tcPr>
            <w:tcW w:w="930" w:type="dxa"/>
            <w:vMerge w:val="restart"/>
            <w:noWrap w:val="0"/>
            <w:vAlign w:val="center"/>
          </w:tcPr>
          <w:p w14:paraId="4ADCE5DC">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4BC70B3C">
            <w:pPr>
              <w:jc w:val="center"/>
              <w:rPr>
                <w:rFonts w:hint="eastAsia" w:ascii="宋体" w:hAnsi="宋体"/>
                <w:snapToGrid w:val="0"/>
                <w:kern w:val="0"/>
                <w:szCs w:val="21"/>
              </w:rPr>
            </w:pPr>
            <w:r>
              <w:rPr>
                <w:rFonts w:hint="eastAsia" w:ascii="宋体" w:hAnsi="宋体"/>
                <w:snapToGrid w:val="0"/>
                <w:kern w:val="0"/>
                <w:szCs w:val="21"/>
                <w:lang w:val="en-GB"/>
              </w:rPr>
              <w:t>局部2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3BEB1CC4">
            <w:pPr>
              <w:jc w:val="center"/>
              <w:rPr>
                <w:rFonts w:ascii="宋体" w:hAnsi="宋体"/>
                <w:snapToGrid w:val="0"/>
                <w:kern w:val="0"/>
                <w:szCs w:val="21"/>
                <w:lang w:val="en-GB"/>
              </w:rPr>
            </w:pPr>
            <w:r>
              <w:rPr>
                <w:rFonts w:hint="eastAsia" w:ascii="宋体" w:hAnsi="宋体"/>
                <w:snapToGrid w:val="0"/>
                <w:kern w:val="0"/>
                <w:szCs w:val="21"/>
                <w:lang w:val="en-GB"/>
              </w:rPr>
              <w:t>简单</w:t>
            </w:r>
          </w:p>
        </w:tc>
        <w:tc>
          <w:tcPr>
            <w:tcW w:w="744" w:type="dxa"/>
            <w:vMerge w:val="restart"/>
            <w:noWrap w:val="0"/>
            <w:vAlign w:val="center"/>
          </w:tcPr>
          <w:p w14:paraId="411FE836">
            <w:pPr>
              <w:jc w:val="center"/>
              <w:rPr>
                <w:rFonts w:hint="eastAsia" w:ascii="宋体" w:hAnsi="宋体"/>
                <w:szCs w:val="21"/>
              </w:rPr>
            </w:pPr>
            <w:r>
              <w:rPr>
                <w:rFonts w:hint="eastAsia" w:ascii="宋体" w:hAnsi="宋体"/>
                <w:szCs w:val="21"/>
              </w:rPr>
              <w:t>大部</w:t>
            </w:r>
          </w:p>
          <w:p w14:paraId="23629940">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5A424A8E">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3D12929D">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6275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3D0301DA">
            <w:pPr>
              <w:jc w:val="center"/>
              <w:rPr>
                <w:rFonts w:ascii="宋体" w:hAnsi="宋体"/>
                <w:snapToGrid w:val="0"/>
                <w:kern w:val="0"/>
                <w:szCs w:val="21"/>
                <w:lang w:val="en-GB"/>
              </w:rPr>
            </w:pPr>
          </w:p>
        </w:tc>
        <w:tc>
          <w:tcPr>
            <w:tcW w:w="631" w:type="dxa"/>
            <w:vMerge w:val="continue"/>
            <w:noWrap w:val="0"/>
            <w:vAlign w:val="center"/>
          </w:tcPr>
          <w:p w14:paraId="27FB6339">
            <w:pPr>
              <w:jc w:val="center"/>
              <w:rPr>
                <w:rFonts w:ascii="宋体" w:hAnsi="宋体"/>
                <w:snapToGrid w:val="0"/>
                <w:kern w:val="0"/>
                <w:szCs w:val="21"/>
                <w:lang w:val="en-GB"/>
              </w:rPr>
            </w:pPr>
          </w:p>
        </w:tc>
        <w:tc>
          <w:tcPr>
            <w:tcW w:w="1489" w:type="dxa"/>
            <w:vMerge w:val="continue"/>
            <w:noWrap w:val="0"/>
            <w:vAlign w:val="center"/>
          </w:tcPr>
          <w:p w14:paraId="00E12EBA">
            <w:pPr>
              <w:jc w:val="center"/>
              <w:rPr>
                <w:rFonts w:ascii="宋体" w:hAnsi="宋体"/>
                <w:snapToGrid w:val="0"/>
                <w:color w:val="FF0000"/>
                <w:kern w:val="0"/>
                <w:szCs w:val="21"/>
                <w:lang w:val="en-GB"/>
              </w:rPr>
            </w:pPr>
          </w:p>
        </w:tc>
        <w:tc>
          <w:tcPr>
            <w:tcW w:w="1489" w:type="dxa"/>
            <w:vMerge w:val="restart"/>
            <w:noWrap w:val="0"/>
            <w:vAlign w:val="center"/>
          </w:tcPr>
          <w:p w14:paraId="48994E33">
            <w:pPr>
              <w:jc w:val="center"/>
              <w:rPr>
                <w:rFonts w:ascii="宋体" w:hAnsi="宋体"/>
                <w:snapToGrid w:val="0"/>
                <w:kern w:val="0"/>
                <w:szCs w:val="21"/>
                <w:lang w:val="en-GB"/>
              </w:rPr>
            </w:pPr>
            <w:r>
              <w:rPr>
                <w:rFonts w:ascii="宋体" w:hAnsi="宋体"/>
                <w:snapToGrid w:val="0"/>
                <w:kern w:val="0"/>
                <w:szCs w:val="21"/>
              </w:rPr>
              <w:object>
                <v:shape id="_x0000_i1077" o:spt="75" type="#_x0000_t75" style="height:31pt;width:39pt;" o:ole="t" filled="f" o:preferrelative="t" stroked="f" coordsize="21600,21600">
                  <v:path/>
                  <v:fill on="f" alignshape="1" focussize="0,0"/>
                  <v:stroke on="f"/>
                  <v:imagedata r:id="rId43" o:title=""/>
                  <o:lock v:ext="edit" aspectratio="t"/>
                  <w10:wrap type="none"/>
                  <w10:anchorlock/>
                </v:shape>
                <o:OLEObject Type="Embed" ProgID="Equation.3" ShapeID="_x0000_i1077" DrawAspect="Content" ObjectID="_1468075766" r:id="rId94">
                  <o:LockedField>false</o:LockedField>
                </o:OLEObject>
              </w:object>
            </w:r>
          </w:p>
        </w:tc>
        <w:tc>
          <w:tcPr>
            <w:tcW w:w="930" w:type="dxa"/>
            <w:vMerge w:val="continue"/>
            <w:noWrap w:val="0"/>
            <w:vAlign w:val="center"/>
          </w:tcPr>
          <w:p w14:paraId="5B1932B8">
            <w:pPr>
              <w:jc w:val="center"/>
              <w:rPr>
                <w:rFonts w:ascii="宋体" w:hAnsi="宋体"/>
                <w:snapToGrid w:val="0"/>
                <w:kern w:val="0"/>
                <w:szCs w:val="21"/>
                <w:lang w:val="en-GB"/>
              </w:rPr>
            </w:pPr>
          </w:p>
        </w:tc>
        <w:tc>
          <w:tcPr>
            <w:tcW w:w="744" w:type="dxa"/>
            <w:vMerge w:val="continue"/>
            <w:noWrap w:val="0"/>
            <w:vAlign w:val="center"/>
          </w:tcPr>
          <w:p w14:paraId="43F7397D">
            <w:pPr>
              <w:jc w:val="center"/>
              <w:rPr>
                <w:rFonts w:ascii="宋体" w:hAnsi="宋体"/>
                <w:snapToGrid w:val="0"/>
                <w:kern w:val="0"/>
                <w:szCs w:val="21"/>
                <w:lang w:val="en-GB"/>
              </w:rPr>
            </w:pPr>
          </w:p>
        </w:tc>
        <w:tc>
          <w:tcPr>
            <w:tcW w:w="930" w:type="dxa"/>
            <w:vMerge w:val="continue"/>
            <w:noWrap w:val="0"/>
            <w:vAlign w:val="center"/>
          </w:tcPr>
          <w:p w14:paraId="4439B189">
            <w:pPr>
              <w:jc w:val="center"/>
              <w:rPr>
                <w:rFonts w:ascii="宋体" w:hAnsi="宋体"/>
                <w:snapToGrid w:val="0"/>
                <w:kern w:val="0"/>
                <w:szCs w:val="21"/>
                <w:lang w:val="en-GB"/>
              </w:rPr>
            </w:pPr>
          </w:p>
        </w:tc>
        <w:tc>
          <w:tcPr>
            <w:tcW w:w="744" w:type="dxa"/>
            <w:vMerge w:val="continue"/>
            <w:noWrap w:val="0"/>
            <w:vAlign w:val="center"/>
          </w:tcPr>
          <w:p w14:paraId="490AE910">
            <w:pPr>
              <w:jc w:val="center"/>
              <w:rPr>
                <w:rFonts w:ascii="宋体" w:hAnsi="宋体"/>
                <w:snapToGrid w:val="0"/>
                <w:kern w:val="0"/>
                <w:szCs w:val="21"/>
                <w:lang w:val="en-GB"/>
              </w:rPr>
            </w:pPr>
          </w:p>
        </w:tc>
        <w:tc>
          <w:tcPr>
            <w:tcW w:w="1303" w:type="dxa"/>
            <w:vMerge w:val="continue"/>
            <w:noWrap w:val="0"/>
            <w:vAlign w:val="center"/>
          </w:tcPr>
          <w:p w14:paraId="5B5A0A95">
            <w:pPr>
              <w:jc w:val="center"/>
              <w:rPr>
                <w:rFonts w:ascii="宋体" w:hAnsi="宋体"/>
                <w:snapToGrid w:val="0"/>
                <w:kern w:val="0"/>
                <w:szCs w:val="21"/>
                <w:lang w:val="en-GB"/>
              </w:rPr>
            </w:pPr>
          </w:p>
        </w:tc>
      </w:tr>
      <w:tr w14:paraId="0CA4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1C9F47C6">
            <w:pPr>
              <w:jc w:val="center"/>
              <w:rPr>
                <w:rFonts w:hint="eastAsia" w:ascii="宋体" w:hAnsi="宋体"/>
                <w:snapToGrid w:val="0"/>
                <w:kern w:val="0"/>
                <w:szCs w:val="21"/>
              </w:rPr>
            </w:pPr>
            <w:r>
              <w:rPr>
                <w:rFonts w:hint="eastAsia" w:ascii="宋体" w:hAnsi="宋体"/>
                <w:snapToGrid w:val="0"/>
                <w:kern w:val="0"/>
                <w:szCs w:val="21"/>
              </w:rPr>
              <w:t>K35-b</w:t>
            </w:r>
          </w:p>
        </w:tc>
        <w:tc>
          <w:tcPr>
            <w:tcW w:w="631" w:type="dxa"/>
            <w:vMerge w:val="restart"/>
            <w:noWrap w:val="0"/>
            <w:vAlign w:val="center"/>
          </w:tcPr>
          <w:p w14:paraId="03A1C7C0">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3</w:t>
            </w:r>
          </w:p>
        </w:tc>
        <w:tc>
          <w:tcPr>
            <w:tcW w:w="1489" w:type="dxa"/>
            <w:vMerge w:val="restart"/>
            <w:noWrap w:val="0"/>
            <w:vAlign w:val="center"/>
          </w:tcPr>
          <w:p w14:paraId="68B59929">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78" o:spt="75" type="#_x0000_t75" style="height:31pt;width:59pt;" o:ole="t" filled="f" o:preferrelative="t" stroked="f" coordsize="21600,21600">
                  <v:path/>
                  <v:fill on="f" alignshape="1" focussize="0,0"/>
                  <v:stroke on="f"/>
                  <v:imagedata r:id="rId45" o:title=""/>
                  <o:lock v:ext="edit" aspectratio="t"/>
                  <w10:wrap type="none"/>
                  <w10:anchorlock/>
                </v:shape>
                <o:OLEObject Type="Embed" ProgID="Equation.3" ShapeID="_x0000_i1078" DrawAspect="Content" ObjectID="_1468075767" r:id="rId95">
                  <o:LockedField>false</o:LockedField>
                </o:OLEObject>
              </w:object>
            </w:r>
          </w:p>
        </w:tc>
        <w:tc>
          <w:tcPr>
            <w:tcW w:w="1489" w:type="dxa"/>
            <w:vMerge w:val="continue"/>
            <w:noWrap w:val="0"/>
            <w:vAlign w:val="center"/>
          </w:tcPr>
          <w:p w14:paraId="796AB942">
            <w:pPr>
              <w:jc w:val="center"/>
              <w:rPr>
                <w:rFonts w:ascii="宋体" w:hAnsi="宋体"/>
                <w:snapToGrid w:val="0"/>
                <w:kern w:val="0"/>
                <w:szCs w:val="21"/>
                <w:lang w:val="en-GB"/>
              </w:rPr>
            </w:pPr>
          </w:p>
        </w:tc>
        <w:tc>
          <w:tcPr>
            <w:tcW w:w="930" w:type="dxa"/>
            <w:vMerge w:val="restart"/>
            <w:noWrap w:val="0"/>
            <w:vAlign w:val="center"/>
          </w:tcPr>
          <w:p w14:paraId="1AA814D1">
            <w:pPr>
              <w:jc w:val="center"/>
              <w:rPr>
                <w:rFonts w:ascii="宋体" w:hAnsi="宋体"/>
                <w:snapToGrid w:val="0"/>
                <w:kern w:val="0"/>
                <w:szCs w:val="21"/>
              </w:rPr>
            </w:pPr>
            <w:r>
              <w:rPr>
                <w:rFonts w:hint="eastAsia" w:ascii="宋体" w:hAnsi="宋体"/>
                <w:snapToGrid w:val="0"/>
                <w:kern w:val="0"/>
                <w:szCs w:val="21"/>
                <w:lang w:val="en-GB"/>
              </w:rPr>
              <w:t>不</w:t>
            </w:r>
            <w:r>
              <w:rPr>
                <w:rFonts w:ascii="宋体" w:hAnsi="宋体"/>
                <w:snapToGrid w:val="0"/>
                <w:kern w:val="0"/>
                <w:szCs w:val="21"/>
                <w:lang w:val="en-GB"/>
              </w:rPr>
              <w:t>稳定</w:t>
            </w:r>
          </w:p>
        </w:tc>
        <w:tc>
          <w:tcPr>
            <w:tcW w:w="744" w:type="dxa"/>
            <w:vMerge w:val="restart"/>
            <w:noWrap w:val="0"/>
            <w:vAlign w:val="center"/>
          </w:tcPr>
          <w:p w14:paraId="1442805E">
            <w:pPr>
              <w:jc w:val="center"/>
              <w:rPr>
                <w:rFonts w:ascii="宋体" w:hAnsi="宋体"/>
                <w:snapToGrid w:val="0"/>
                <w:kern w:val="0"/>
                <w:szCs w:val="21"/>
              </w:rPr>
            </w:pPr>
          </w:p>
        </w:tc>
        <w:tc>
          <w:tcPr>
            <w:tcW w:w="930" w:type="dxa"/>
            <w:vMerge w:val="restart"/>
            <w:noWrap w:val="0"/>
            <w:vAlign w:val="center"/>
          </w:tcPr>
          <w:p w14:paraId="3D807D3E">
            <w:pPr>
              <w:jc w:val="center"/>
              <w:rPr>
                <w:rFonts w:ascii="宋体" w:hAnsi="宋体"/>
                <w:snapToGrid w:val="0"/>
                <w:kern w:val="0"/>
                <w:szCs w:val="21"/>
                <w:lang w:val="en-GB"/>
              </w:rPr>
            </w:pPr>
            <w:r>
              <w:rPr>
                <w:rFonts w:ascii="宋体" w:hAnsi="宋体"/>
                <w:snapToGrid w:val="0"/>
                <w:kern w:val="0"/>
                <w:szCs w:val="21"/>
                <w:lang w:val="en-GB"/>
              </w:rPr>
              <w:t>较简单</w:t>
            </w:r>
          </w:p>
        </w:tc>
        <w:tc>
          <w:tcPr>
            <w:tcW w:w="744" w:type="dxa"/>
            <w:vMerge w:val="restart"/>
            <w:noWrap w:val="0"/>
            <w:vAlign w:val="center"/>
          </w:tcPr>
          <w:p w14:paraId="50929C8D">
            <w:pPr>
              <w:jc w:val="center"/>
              <w:rPr>
                <w:rFonts w:hint="eastAsia" w:ascii="宋体" w:hAnsi="宋体"/>
                <w:szCs w:val="21"/>
              </w:rPr>
            </w:pPr>
            <w:r>
              <w:rPr>
                <w:rFonts w:hint="eastAsia" w:ascii="宋体" w:hAnsi="宋体"/>
                <w:szCs w:val="21"/>
              </w:rPr>
              <w:t>局部</w:t>
            </w:r>
          </w:p>
          <w:p w14:paraId="796410AE">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0A127D2D">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12D28C06">
            <w:pPr>
              <w:jc w:val="center"/>
              <w:rPr>
                <w:rFonts w:ascii="宋体" w:hAnsi="宋体"/>
                <w:szCs w:val="21"/>
              </w:rPr>
            </w:pPr>
            <w:r>
              <w:rPr>
                <w:rFonts w:hint="eastAsia" w:ascii="宋体" w:hAnsi="宋体"/>
                <w:snapToGrid w:val="0"/>
                <w:kern w:val="0"/>
                <w:szCs w:val="21"/>
              </w:rPr>
              <w:t>局部可采</w:t>
            </w:r>
          </w:p>
        </w:tc>
      </w:tr>
      <w:tr w14:paraId="2BBE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37FC1C7E">
            <w:pPr>
              <w:jc w:val="center"/>
              <w:rPr>
                <w:rFonts w:ascii="宋体" w:hAnsi="宋体"/>
                <w:snapToGrid w:val="0"/>
                <w:kern w:val="0"/>
                <w:szCs w:val="21"/>
                <w:lang w:val="en-GB"/>
              </w:rPr>
            </w:pPr>
          </w:p>
        </w:tc>
        <w:tc>
          <w:tcPr>
            <w:tcW w:w="631" w:type="dxa"/>
            <w:vMerge w:val="continue"/>
            <w:noWrap w:val="0"/>
            <w:vAlign w:val="center"/>
          </w:tcPr>
          <w:p w14:paraId="63506463">
            <w:pPr>
              <w:jc w:val="center"/>
              <w:rPr>
                <w:rFonts w:ascii="宋体" w:hAnsi="宋体"/>
                <w:snapToGrid w:val="0"/>
                <w:kern w:val="0"/>
                <w:szCs w:val="21"/>
                <w:lang w:val="en-GB"/>
              </w:rPr>
            </w:pPr>
          </w:p>
        </w:tc>
        <w:tc>
          <w:tcPr>
            <w:tcW w:w="1489" w:type="dxa"/>
            <w:vMerge w:val="continue"/>
            <w:noWrap w:val="0"/>
            <w:vAlign w:val="center"/>
          </w:tcPr>
          <w:p w14:paraId="4D0D46AD">
            <w:pPr>
              <w:jc w:val="center"/>
              <w:rPr>
                <w:rFonts w:ascii="宋体" w:hAnsi="宋体"/>
                <w:snapToGrid w:val="0"/>
                <w:color w:val="FF0000"/>
                <w:kern w:val="0"/>
                <w:szCs w:val="21"/>
                <w:lang w:val="en-GB"/>
              </w:rPr>
            </w:pPr>
          </w:p>
        </w:tc>
        <w:tc>
          <w:tcPr>
            <w:tcW w:w="1489" w:type="dxa"/>
            <w:vMerge w:val="restart"/>
            <w:noWrap w:val="0"/>
            <w:vAlign w:val="center"/>
          </w:tcPr>
          <w:p w14:paraId="4BFB0C8E">
            <w:pPr>
              <w:jc w:val="center"/>
              <w:rPr>
                <w:rFonts w:ascii="宋体" w:hAnsi="宋体"/>
                <w:snapToGrid w:val="0"/>
                <w:kern w:val="0"/>
                <w:szCs w:val="21"/>
                <w:lang w:val="en-GB"/>
              </w:rPr>
            </w:pPr>
            <w:r>
              <w:rPr>
                <w:rFonts w:ascii="宋体" w:hAnsi="宋体"/>
                <w:snapToGrid w:val="0"/>
                <w:kern w:val="0"/>
                <w:szCs w:val="21"/>
              </w:rPr>
              <w:object>
                <v:shape id="_x0000_i1079" o:spt="75" type="#_x0000_t75" style="height:31pt;width:53pt;" o:ole="t" filled="f" o:preferrelative="t" stroked="f" coordsize="21600,21600">
                  <v:path/>
                  <v:fill on="f" alignshape="1" focussize="0,0"/>
                  <v:stroke on="f"/>
                  <v:imagedata r:id="rId47" o:title=""/>
                  <o:lock v:ext="edit" aspectratio="t"/>
                  <w10:wrap type="none"/>
                  <w10:anchorlock/>
                </v:shape>
                <o:OLEObject Type="Embed" ProgID="Equation.3" ShapeID="_x0000_i1079" DrawAspect="Content" ObjectID="_1468075768" r:id="rId96">
                  <o:LockedField>false</o:LockedField>
                </o:OLEObject>
              </w:object>
            </w:r>
          </w:p>
        </w:tc>
        <w:tc>
          <w:tcPr>
            <w:tcW w:w="930" w:type="dxa"/>
            <w:vMerge w:val="continue"/>
            <w:noWrap w:val="0"/>
            <w:vAlign w:val="center"/>
          </w:tcPr>
          <w:p w14:paraId="60FCACE9">
            <w:pPr>
              <w:jc w:val="center"/>
              <w:rPr>
                <w:rFonts w:ascii="宋体" w:hAnsi="宋体"/>
                <w:snapToGrid w:val="0"/>
                <w:kern w:val="0"/>
                <w:szCs w:val="21"/>
                <w:lang w:val="en-GB"/>
              </w:rPr>
            </w:pPr>
          </w:p>
        </w:tc>
        <w:tc>
          <w:tcPr>
            <w:tcW w:w="744" w:type="dxa"/>
            <w:vMerge w:val="continue"/>
            <w:noWrap w:val="0"/>
            <w:vAlign w:val="center"/>
          </w:tcPr>
          <w:p w14:paraId="58D598C4">
            <w:pPr>
              <w:jc w:val="center"/>
              <w:rPr>
                <w:rFonts w:ascii="宋体" w:hAnsi="宋体"/>
                <w:snapToGrid w:val="0"/>
                <w:kern w:val="0"/>
                <w:szCs w:val="21"/>
                <w:lang w:val="en-GB"/>
              </w:rPr>
            </w:pPr>
          </w:p>
        </w:tc>
        <w:tc>
          <w:tcPr>
            <w:tcW w:w="930" w:type="dxa"/>
            <w:vMerge w:val="continue"/>
            <w:noWrap w:val="0"/>
            <w:vAlign w:val="center"/>
          </w:tcPr>
          <w:p w14:paraId="78708FC1">
            <w:pPr>
              <w:jc w:val="center"/>
              <w:rPr>
                <w:rFonts w:ascii="宋体" w:hAnsi="宋体"/>
                <w:snapToGrid w:val="0"/>
                <w:kern w:val="0"/>
                <w:szCs w:val="21"/>
                <w:lang w:val="en-GB"/>
              </w:rPr>
            </w:pPr>
          </w:p>
        </w:tc>
        <w:tc>
          <w:tcPr>
            <w:tcW w:w="744" w:type="dxa"/>
            <w:vMerge w:val="continue"/>
            <w:noWrap w:val="0"/>
            <w:vAlign w:val="center"/>
          </w:tcPr>
          <w:p w14:paraId="7A9AE509">
            <w:pPr>
              <w:jc w:val="center"/>
              <w:rPr>
                <w:rFonts w:ascii="宋体" w:hAnsi="宋体"/>
                <w:snapToGrid w:val="0"/>
                <w:kern w:val="0"/>
                <w:szCs w:val="21"/>
                <w:lang w:val="en-GB"/>
              </w:rPr>
            </w:pPr>
          </w:p>
        </w:tc>
        <w:tc>
          <w:tcPr>
            <w:tcW w:w="1303" w:type="dxa"/>
            <w:vMerge w:val="continue"/>
            <w:noWrap w:val="0"/>
            <w:vAlign w:val="center"/>
          </w:tcPr>
          <w:p w14:paraId="5A2E3D62">
            <w:pPr>
              <w:jc w:val="center"/>
              <w:rPr>
                <w:rFonts w:ascii="宋体" w:hAnsi="宋体"/>
                <w:snapToGrid w:val="0"/>
                <w:kern w:val="0"/>
                <w:szCs w:val="21"/>
                <w:lang w:val="en-GB"/>
              </w:rPr>
            </w:pPr>
          </w:p>
        </w:tc>
      </w:tr>
      <w:tr w14:paraId="7B9B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66EB8165">
            <w:pPr>
              <w:jc w:val="center"/>
              <w:rPr>
                <w:rFonts w:hint="eastAsia" w:ascii="宋体" w:hAnsi="宋体"/>
                <w:snapToGrid w:val="0"/>
                <w:kern w:val="0"/>
                <w:szCs w:val="21"/>
              </w:rPr>
            </w:pPr>
            <w:r>
              <w:rPr>
                <w:rFonts w:hint="eastAsia" w:ascii="宋体" w:hAnsi="宋体"/>
                <w:snapToGrid w:val="0"/>
                <w:kern w:val="0"/>
                <w:szCs w:val="21"/>
              </w:rPr>
              <w:t>K106-b</w:t>
            </w:r>
          </w:p>
        </w:tc>
        <w:tc>
          <w:tcPr>
            <w:tcW w:w="631" w:type="dxa"/>
            <w:vMerge w:val="restart"/>
            <w:noWrap w:val="0"/>
            <w:vAlign w:val="center"/>
          </w:tcPr>
          <w:p w14:paraId="28DD0E4A">
            <w:pPr>
              <w:jc w:val="center"/>
              <w:rPr>
                <w:rFonts w:ascii="宋体" w:hAnsi="宋体"/>
                <w:snapToGrid w:val="0"/>
                <w:kern w:val="0"/>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1</w:t>
            </w:r>
          </w:p>
        </w:tc>
        <w:tc>
          <w:tcPr>
            <w:tcW w:w="1489" w:type="dxa"/>
            <w:vMerge w:val="restart"/>
            <w:noWrap w:val="0"/>
            <w:vAlign w:val="center"/>
          </w:tcPr>
          <w:p w14:paraId="6C451912">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80" o:spt="75" type="#_x0000_t75" style="height:31pt;width:58pt;" o:ole="t" filled="f" o:preferrelative="t" stroked="f" coordsize="21600,21600">
                  <v:path/>
                  <v:fill on="f" alignshape="1" focussize="0,0"/>
                  <v:stroke on="f"/>
                  <v:imagedata r:id="rId49" o:title=""/>
                  <o:lock v:ext="edit" aspectratio="t"/>
                  <w10:wrap type="none"/>
                  <w10:anchorlock/>
                </v:shape>
                <o:OLEObject Type="Embed" ProgID="Equation.3" ShapeID="_x0000_i1080" DrawAspect="Content" ObjectID="_1468075769" r:id="rId97">
                  <o:LockedField>false</o:LockedField>
                </o:OLEObject>
              </w:object>
            </w:r>
          </w:p>
        </w:tc>
        <w:tc>
          <w:tcPr>
            <w:tcW w:w="1489" w:type="dxa"/>
            <w:vMerge w:val="continue"/>
            <w:noWrap w:val="0"/>
            <w:vAlign w:val="center"/>
          </w:tcPr>
          <w:p w14:paraId="0BE3365C">
            <w:pPr>
              <w:jc w:val="center"/>
              <w:rPr>
                <w:rFonts w:ascii="宋体" w:hAnsi="宋体"/>
                <w:snapToGrid w:val="0"/>
                <w:kern w:val="0"/>
                <w:szCs w:val="21"/>
                <w:lang w:val="en-GB"/>
              </w:rPr>
            </w:pPr>
          </w:p>
        </w:tc>
        <w:tc>
          <w:tcPr>
            <w:tcW w:w="930" w:type="dxa"/>
            <w:vMerge w:val="restart"/>
            <w:noWrap w:val="0"/>
            <w:vAlign w:val="center"/>
          </w:tcPr>
          <w:p w14:paraId="49894D9B">
            <w:pPr>
              <w:jc w:val="center"/>
              <w:rPr>
                <w:rFonts w:ascii="宋体" w:hAnsi="宋体"/>
                <w:snapToGrid w:val="0"/>
                <w:kern w:val="0"/>
                <w:szCs w:val="21"/>
              </w:rPr>
            </w:pPr>
            <w:r>
              <w:rPr>
                <w:rFonts w:hint="eastAsia" w:ascii="宋体" w:hAnsi="宋体"/>
                <w:snapToGrid w:val="0"/>
                <w:kern w:val="0"/>
                <w:szCs w:val="21"/>
                <w:lang w:val="en-GB"/>
              </w:rPr>
              <w:t>较</w:t>
            </w:r>
            <w:r>
              <w:rPr>
                <w:rFonts w:ascii="宋体" w:hAnsi="宋体"/>
                <w:snapToGrid w:val="0"/>
                <w:kern w:val="0"/>
                <w:szCs w:val="21"/>
                <w:lang w:val="en-GB"/>
              </w:rPr>
              <w:t>稳定</w:t>
            </w:r>
          </w:p>
        </w:tc>
        <w:tc>
          <w:tcPr>
            <w:tcW w:w="744" w:type="dxa"/>
            <w:vMerge w:val="restart"/>
            <w:noWrap w:val="0"/>
            <w:vAlign w:val="center"/>
          </w:tcPr>
          <w:p w14:paraId="752778AF">
            <w:pPr>
              <w:jc w:val="center"/>
              <w:rPr>
                <w:rFonts w:hint="eastAsia" w:ascii="宋体" w:hAnsi="宋体"/>
                <w:snapToGrid w:val="0"/>
                <w:kern w:val="0"/>
                <w:szCs w:val="21"/>
              </w:rPr>
            </w:pPr>
            <w:r>
              <w:rPr>
                <w:rFonts w:hint="eastAsia" w:ascii="宋体" w:hAnsi="宋体"/>
                <w:snapToGrid w:val="0"/>
                <w:kern w:val="0"/>
                <w:szCs w:val="21"/>
                <w:lang w:val="en-GB"/>
              </w:rPr>
              <w:t>2</w:t>
            </w:r>
            <w:r>
              <w:rPr>
                <w:rFonts w:ascii="宋体" w:hAnsi="宋体"/>
                <w:snapToGrid w:val="0"/>
                <w:kern w:val="0"/>
                <w:szCs w:val="21"/>
                <w:lang w:val="en-GB"/>
              </w:rPr>
              <w:t>～</w:t>
            </w:r>
            <w:r>
              <w:rPr>
                <w:rFonts w:hint="eastAsia" w:ascii="宋体" w:hAnsi="宋体"/>
                <w:snapToGrid w:val="0"/>
                <w:kern w:val="0"/>
                <w:szCs w:val="21"/>
                <w:lang w:val="en-GB"/>
              </w:rPr>
              <w:t>3</w:t>
            </w:r>
          </w:p>
        </w:tc>
        <w:tc>
          <w:tcPr>
            <w:tcW w:w="930" w:type="dxa"/>
            <w:vMerge w:val="restart"/>
            <w:noWrap w:val="0"/>
            <w:vAlign w:val="center"/>
          </w:tcPr>
          <w:p w14:paraId="441092B7">
            <w:pPr>
              <w:jc w:val="center"/>
              <w:rPr>
                <w:rFonts w:ascii="宋体" w:hAnsi="宋体"/>
                <w:snapToGrid w:val="0"/>
                <w:kern w:val="0"/>
                <w:szCs w:val="21"/>
                <w:lang w:val="en-GB"/>
              </w:rPr>
            </w:pPr>
            <w:r>
              <w:rPr>
                <w:rFonts w:hint="eastAsia" w:ascii="宋体" w:hAnsi="宋体"/>
                <w:snapToGrid w:val="0"/>
                <w:kern w:val="0"/>
                <w:szCs w:val="21"/>
                <w:lang w:val="en-GB"/>
              </w:rPr>
              <w:t>较</w:t>
            </w:r>
            <w:r>
              <w:rPr>
                <w:rFonts w:ascii="宋体" w:hAnsi="宋体"/>
                <w:snapToGrid w:val="0"/>
                <w:kern w:val="0"/>
                <w:szCs w:val="21"/>
                <w:lang w:val="en-GB"/>
              </w:rPr>
              <w:t>复杂</w:t>
            </w:r>
          </w:p>
        </w:tc>
        <w:tc>
          <w:tcPr>
            <w:tcW w:w="744" w:type="dxa"/>
            <w:vMerge w:val="restart"/>
            <w:noWrap w:val="0"/>
            <w:vAlign w:val="center"/>
          </w:tcPr>
          <w:p w14:paraId="1E41C96B">
            <w:pPr>
              <w:jc w:val="center"/>
              <w:rPr>
                <w:rFonts w:hint="eastAsia" w:ascii="宋体" w:hAnsi="宋体"/>
                <w:szCs w:val="21"/>
              </w:rPr>
            </w:pPr>
            <w:r>
              <w:rPr>
                <w:rFonts w:hint="eastAsia" w:ascii="宋体" w:hAnsi="宋体"/>
                <w:szCs w:val="21"/>
              </w:rPr>
              <w:t>局部</w:t>
            </w:r>
          </w:p>
          <w:p w14:paraId="6642808B">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6AC45B3E">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6B3353D9">
            <w:pPr>
              <w:jc w:val="center"/>
              <w:rPr>
                <w:rFonts w:ascii="宋体" w:hAnsi="宋体"/>
                <w:szCs w:val="21"/>
              </w:rPr>
            </w:pPr>
            <w:r>
              <w:rPr>
                <w:rFonts w:hint="eastAsia" w:ascii="宋体" w:hAnsi="宋体"/>
                <w:snapToGrid w:val="0"/>
                <w:kern w:val="0"/>
                <w:szCs w:val="21"/>
              </w:rPr>
              <w:t>局部可采</w:t>
            </w:r>
          </w:p>
        </w:tc>
      </w:tr>
      <w:tr w14:paraId="4F6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702D19E7">
            <w:pPr>
              <w:jc w:val="center"/>
              <w:rPr>
                <w:rFonts w:ascii="宋体" w:hAnsi="宋体"/>
                <w:snapToGrid w:val="0"/>
                <w:kern w:val="0"/>
                <w:szCs w:val="21"/>
                <w:lang w:val="en-GB"/>
              </w:rPr>
            </w:pPr>
          </w:p>
        </w:tc>
        <w:tc>
          <w:tcPr>
            <w:tcW w:w="631" w:type="dxa"/>
            <w:vMerge w:val="continue"/>
            <w:noWrap w:val="0"/>
            <w:vAlign w:val="center"/>
          </w:tcPr>
          <w:p w14:paraId="1B9A3ECF">
            <w:pPr>
              <w:jc w:val="center"/>
              <w:rPr>
                <w:rFonts w:ascii="宋体" w:hAnsi="宋体"/>
                <w:snapToGrid w:val="0"/>
                <w:kern w:val="0"/>
                <w:szCs w:val="21"/>
                <w:lang w:val="en-GB"/>
              </w:rPr>
            </w:pPr>
          </w:p>
        </w:tc>
        <w:tc>
          <w:tcPr>
            <w:tcW w:w="1489" w:type="dxa"/>
            <w:vMerge w:val="continue"/>
            <w:noWrap w:val="0"/>
            <w:vAlign w:val="center"/>
          </w:tcPr>
          <w:p w14:paraId="11F27D3C">
            <w:pPr>
              <w:jc w:val="center"/>
              <w:rPr>
                <w:rFonts w:ascii="宋体" w:hAnsi="宋体"/>
                <w:snapToGrid w:val="0"/>
                <w:color w:val="FF0000"/>
                <w:kern w:val="0"/>
                <w:szCs w:val="21"/>
                <w:lang w:val="en-GB"/>
              </w:rPr>
            </w:pPr>
          </w:p>
        </w:tc>
        <w:tc>
          <w:tcPr>
            <w:tcW w:w="1489" w:type="dxa"/>
            <w:vMerge w:val="restart"/>
            <w:noWrap w:val="0"/>
            <w:vAlign w:val="center"/>
          </w:tcPr>
          <w:p w14:paraId="3EBF4F9E">
            <w:pPr>
              <w:jc w:val="center"/>
              <w:rPr>
                <w:rFonts w:ascii="宋体" w:hAnsi="宋体"/>
                <w:snapToGrid w:val="0"/>
                <w:kern w:val="0"/>
                <w:szCs w:val="21"/>
                <w:lang w:val="en-GB"/>
              </w:rPr>
            </w:pPr>
            <w:r>
              <w:rPr>
                <w:rFonts w:ascii="宋体" w:hAnsi="宋体"/>
                <w:snapToGrid w:val="0"/>
                <w:kern w:val="0"/>
                <w:szCs w:val="21"/>
              </w:rPr>
              <w:object>
                <v:shape id="_x0000_i1081" o:spt="75" type="#_x0000_t75" style="height:31pt;width:41pt;" o:ole="t" filled="f" o:preferrelative="t" stroked="f" coordsize="21600,21600">
                  <v:path/>
                  <v:fill on="f" alignshape="1" focussize="0,0"/>
                  <v:stroke on="f"/>
                  <v:imagedata r:id="rId51" o:title=""/>
                  <o:lock v:ext="edit" aspectratio="t"/>
                  <w10:wrap type="none"/>
                  <w10:anchorlock/>
                </v:shape>
                <o:OLEObject Type="Embed" ProgID="Equation.3" ShapeID="_x0000_i1081" DrawAspect="Content" ObjectID="_1468075770" r:id="rId98">
                  <o:LockedField>false</o:LockedField>
                </o:OLEObject>
              </w:object>
            </w:r>
          </w:p>
        </w:tc>
        <w:tc>
          <w:tcPr>
            <w:tcW w:w="930" w:type="dxa"/>
            <w:vMerge w:val="continue"/>
            <w:noWrap w:val="0"/>
            <w:vAlign w:val="center"/>
          </w:tcPr>
          <w:p w14:paraId="5D327A2F">
            <w:pPr>
              <w:jc w:val="center"/>
              <w:rPr>
                <w:rFonts w:ascii="宋体" w:hAnsi="宋体"/>
                <w:snapToGrid w:val="0"/>
                <w:kern w:val="0"/>
                <w:szCs w:val="21"/>
                <w:lang w:val="en-GB"/>
              </w:rPr>
            </w:pPr>
          </w:p>
        </w:tc>
        <w:tc>
          <w:tcPr>
            <w:tcW w:w="744" w:type="dxa"/>
            <w:vMerge w:val="continue"/>
            <w:noWrap w:val="0"/>
            <w:vAlign w:val="center"/>
          </w:tcPr>
          <w:p w14:paraId="46048196">
            <w:pPr>
              <w:jc w:val="center"/>
              <w:rPr>
                <w:rFonts w:ascii="宋体" w:hAnsi="宋体"/>
                <w:snapToGrid w:val="0"/>
                <w:kern w:val="0"/>
                <w:szCs w:val="21"/>
                <w:lang w:val="en-GB"/>
              </w:rPr>
            </w:pPr>
          </w:p>
        </w:tc>
        <w:tc>
          <w:tcPr>
            <w:tcW w:w="930" w:type="dxa"/>
            <w:vMerge w:val="continue"/>
            <w:noWrap w:val="0"/>
            <w:vAlign w:val="center"/>
          </w:tcPr>
          <w:p w14:paraId="61C6443F">
            <w:pPr>
              <w:jc w:val="center"/>
              <w:rPr>
                <w:rFonts w:ascii="宋体" w:hAnsi="宋体"/>
                <w:snapToGrid w:val="0"/>
                <w:kern w:val="0"/>
                <w:szCs w:val="21"/>
                <w:lang w:val="en-GB"/>
              </w:rPr>
            </w:pPr>
          </w:p>
        </w:tc>
        <w:tc>
          <w:tcPr>
            <w:tcW w:w="744" w:type="dxa"/>
            <w:vMerge w:val="continue"/>
            <w:noWrap w:val="0"/>
            <w:vAlign w:val="center"/>
          </w:tcPr>
          <w:p w14:paraId="489472D3">
            <w:pPr>
              <w:jc w:val="center"/>
              <w:rPr>
                <w:rFonts w:ascii="宋体" w:hAnsi="宋体"/>
                <w:snapToGrid w:val="0"/>
                <w:kern w:val="0"/>
                <w:szCs w:val="21"/>
                <w:lang w:val="en-GB"/>
              </w:rPr>
            </w:pPr>
          </w:p>
        </w:tc>
        <w:tc>
          <w:tcPr>
            <w:tcW w:w="1303" w:type="dxa"/>
            <w:vMerge w:val="continue"/>
            <w:noWrap w:val="0"/>
            <w:vAlign w:val="center"/>
          </w:tcPr>
          <w:p w14:paraId="20BAA987">
            <w:pPr>
              <w:jc w:val="center"/>
              <w:rPr>
                <w:rFonts w:ascii="宋体" w:hAnsi="宋体"/>
                <w:snapToGrid w:val="0"/>
                <w:kern w:val="0"/>
                <w:szCs w:val="21"/>
                <w:lang w:val="en-GB"/>
              </w:rPr>
            </w:pPr>
          </w:p>
        </w:tc>
      </w:tr>
      <w:tr w14:paraId="2FA4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5300080B">
            <w:pPr>
              <w:jc w:val="center"/>
              <w:rPr>
                <w:rFonts w:hint="eastAsia" w:ascii="宋体" w:hAnsi="宋体"/>
                <w:snapToGrid w:val="0"/>
                <w:kern w:val="0"/>
                <w:szCs w:val="21"/>
              </w:rPr>
            </w:pPr>
            <w:r>
              <w:rPr>
                <w:rFonts w:hint="eastAsia" w:ascii="宋体" w:hAnsi="宋体"/>
                <w:snapToGrid w:val="0"/>
                <w:kern w:val="0"/>
                <w:szCs w:val="21"/>
              </w:rPr>
              <w:t>K109-b</w:t>
            </w:r>
          </w:p>
        </w:tc>
        <w:tc>
          <w:tcPr>
            <w:tcW w:w="631" w:type="dxa"/>
            <w:vMerge w:val="restart"/>
            <w:noWrap w:val="0"/>
            <w:vAlign w:val="center"/>
          </w:tcPr>
          <w:p w14:paraId="45C9F848">
            <w:pPr>
              <w:jc w:val="center"/>
              <w:rPr>
                <w:rFonts w:ascii="宋体" w:hAnsi="宋体"/>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1</w:t>
            </w:r>
          </w:p>
        </w:tc>
        <w:tc>
          <w:tcPr>
            <w:tcW w:w="1489" w:type="dxa"/>
            <w:vMerge w:val="restart"/>
            <w:noWrap w:val="0"/>
            <w:vAlign w:val="center"/>
          </w:tcPr>
          <w:p w14:paraId="2A10A728">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82" o:spt="75" type="#_x0000_t75" style="height:31pt;width:58pt;" o:ole="t" filled="f" o:preferrelative="t" stroked="f" coordsize="21600,21600">
                  <v:path/>
                  <v:fill on="f" alignshape="1" focussize="0,0"/>
                  <v:stroke on="f"/>
                  <v:imagedata r:id="rId53" o:title=""/>
                  <o:lock v:ext="edit" aspectratio="t"/>
                  <w10:wrap type="none"/>
                  <w10:anchorlock/>
                </v:shape>
                <o:OLEObject Type="Embed" ProgID="Equation.3" ShapeID="_x0000_i1082" DrawAspect="Content" ObjectID="_1468075771" r:id="rId99">
                  <o:LockedField>false</o:LockedField>
                </o:OLEObject>
              </w:object>
            </w:r>
          </w:p>
        </w:tc>
        <w:tc>
          <w:tcPr>
            <w:tcW w:w="1489" w:type="dxa"/>
            <w:vMerge w:val="continue"/>
            <w:noWrap w:val="0"/>
            <w:vAlign w:val="center"/>
          </w:tcPr>
          <w:p w14:paraId="231BB0E3">
            <w:pPr>
              <w:jc w:val="center"/>
              <w:rPr>
                <w:rFonts w:ascii="宋体" w:hAnsi="宋体"/>
                <w:snapToGrid w:val="0"/>
                <w:kern w:val="0"/>
                <w:szCs w:val="21"/>
                <w:lang w:val="en-GB"/>
              </w:rPr>
            </w:pPr>
          </w:p>
        </w:tc>
        <w:tc>
          <w:tcPr>
            <w:tcW w:w="930" w:type="dxa"/>
            <w:vMerge w:val="restart"/>
            <w:noWrap w:val="0"/>
            <w:vAlign w:val="center"/>
          </w:tcPr>
          <w:p w14:paraId="54217C14">
            <w:pPr>
              <w:jc w:val="center"/>
              <w:rPr>
                <w:rFonts w:ascii="宋体" w:hAnsi="宋体"/>
                <w:snapToGrid w:val="0"/>
                <w:kern w:val="0"/>
                <w:szCs w:val="21"/>
              </w:rPr>
            </w:pPr>
            <w:r>
              <w:rPr>
                <w:rFonts w:ascii="宋体" w:hAnsi="宋体"/>
                <w:snapToGrid w:val="0"/>
                <w:kern w:val="0"/>
                <w:szCs w:val="21"/>
                <w:lang w:val="en-GB"/>
              </w:rPr>
              <w:t>较稳定</w:t>
            </w:r>
          </w:p>
        </w:tc>
        <w:tc>
          <w:tcPr>
            <w:tcW w:w="744" w:type="dxa"/>
            <w:vMerge w:val="restart"/>
            <w:noWrap w:val="0"/>
            <w:vAlign w:val="center"/>
          </w:tcPr>
          <w:p w14:paraId="6C11E3B6">
            <w:pPr>
              <w:jc w:val="center"/>
              <w:rPr>
                <w:rFonts w:hint="eastAsia" w:ascii="宋体" w:hAnsi="宋体"/>
                <w:snapToGrid w:val="0"/>
                <w:kern w:val="0"/>
                <w:szCs w:val="21"/>
              </w:rPr>
            </w:pPr>
            <w:r>
              <w:rPr>
                <w:rFonts w:hint="eastAsia" w:ascii="宋体" w:hAnsi="宋体"/>
                <w:snapToGrid w:val="0"/>
                <w:kern w:val="0"/>
                <w:szCs w:val="21"/>
                <w:lang w:val="en-GB"/>
              </w:rPr>
              <w:t>1</w:t>
            </w:r>
          </w:p>
        </w:tc>
        <w:tc>
          <w:tcPr>
            <w:tcW w:w="930" w:type="dxa"/>
            <w:vMerge w:val="restart"/>
            <w:noWrap w:val="0"/>
            <w:vAlign w:val="center"/>
          </w:tcPr>
          <w:p w14:paraId="6F7F8CF9">
            <w:pPr>
              <w:jc w:val="center"/>
              <w:rPr>
                <w:rFonts w:ascii="宋体" w:hAnsi="宋体"/>
                <w:snapToGrid w:val="0"/>
                <w:kern w:val="0"/>
                <w:szCs w:val="21"/>
                <w:lang w:val="en-GB"/>
              </w:rPr>
            </w:pPr>
            <w:r>
              <w:rPr>
                <w:rFonts w:ascii="宋体" w:hAnsi="宋体"/>
                <w:snapToGrid w:val="0"/>
                <w:kern w:val="0"/>
                <w:szCs w:val="21"/>
                <w:lang w:val="en-GB"/>
              </w:rPr>
              <w:t>较简单</w:t>
            </w:r>
          </w:p>
        </w:tc>
        <w:tc>
          <w:tcPr>
            <w:tcW w:w="744" w:type="dxa"/>
            <w:vMerge w:val="restart"/>
            <w:noWrap w:val="0"/>
            <w:vAlign w:val="center"/>
          </w:tcPr>
          <w:p w14:paraId="5EEDAA5F">
            <w:pPr>
              <w:jc w:val="center"/>
              <w:rPr>
                <w:rFonts w:hint="eastAsia" w:ascii="宋体" w:hAnsi="宋体"/>
                <w:szCs w:val="21"/>
              </w:rPr>
            </w:pPr>
            <w:r>
              <w:rPr>
                <w:rFonts w:hint="eastAsia" w:ascii="宋体" w:hAnsi="宋体"/>
                <w:szCs w:val="21"/>
              </w:rPr>
              <w:t>大部</w:t>
            </w:r>
          </w:p>
          <w:p w14:paraId="04B45E81">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7666BD27">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范围内</w:t>
            </w:r>
          </w:p>
          <w:p w14:paraId="4F1E4604">
            <w:pPr>
              <w:jc w:val="center"/>
              <w:rPr>
                <w:rFonts w:ascii="宋体" w:hAnsi="宋体"/>
                <w:szCs w:val="21"/>
              </w:rPr>
            </w:pPr>
            <w:r>
              <w:rPr>
                <w:rFonts w:hint="eastAsia" w:ascii="宋体" w:hAnsi="宋体"/>
                <w:snapToGrid w:val="0"/>
                <w:kern w:val="0"/>
                <w:szCs w:val="21"/>
              </w:rPr>
              <w:t>局部可采</w:t>
            </w:r>
          </w:p>
        </w:tc>
      </w:tr>
      <w:tr w14:paraId="652D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continue"/>
            <w:noWrap w:val="0"/>
            <w:vAlign w:val="center"/>
          </w:tcPr>
          <w:p w14:paraId="13EF0C73">
            <w:pPr>
              <w:jc w:val="center"/>
              <w:rPr>
                <w:rFonts w:ascii="宋体" w:hAnsi="宋体"/>
                <w:snapToGrid w:val="0"/>
                <w:kern w:val="0"/>
                <w:szCs w:val="21"/>
                <w:lang w:val="en-GB"/>
              </w:rPr>
            </w:pPr>
          </w:p>
        </w:tc>
        <w:tc>
          <w:tcPr>
            <w:tcW w:w="631" w:type="dxa"/>
            <w:vMerge w:val="continue"/>
            <w:noWrap w:val="0"/>
            <w:vAlign w:val="center"/>
          </w:tcPr>
          <w:p w14:paraId="5B876A4F">
            <w:pPr>
              <w:jc w:val="center"/>
              <w:rPr>
                <w:rFonts w:ascii="宋体" w:hAnsi="宋体"/>
                <w:snapToGrid w:val="0"/>
                <w:kern w:val="0"/>
                <w:szCs w:val="21"/>
                <w:lang w:val="en-GB"/>
              </w:rPr>
            </w:pPr>
          </w:p>
        </w:tc>
        <w:tc>
          <w:tcPr>
            <w:tcW w:w="1489" w:type="dxa"/>
            <w:vMerge w:val="continue"/>
            <w:noWrap w:val="0"/>
            <w:vAlign w:val="center"/>
          </w:tcPr>
          <w:p w14:paraId="37580F82">
            <w:pPr>
              <w:jc w:val="center"/>
              <w:rPr>
                <w:rFonts w:ascii="宋体" w:hAnsi="宋体"/>
                <w:snapToGrid w:val="0"/>
                <w:color w:val="FF0000"/>
                <w:kern w:val="0"/>
                <w:szCs w:val="21"/>
                <w:lang w:val="en-GB"/>
              </w:rPr>
            </w:pPr>
          </w:p>
        </w:tc>
        <w:tc>
          <w:tcPr>
            <w:tcW w:w="1489" w:type="dxa"/>
            <w:vMerge w:val="restart"/>
            <w:noWrap w:val="0"/>
            <w:vAlign w:val="center"/>
          </w:tcPr>
          <w:p w14:paraId="27A9E962">
            <w:pPr>
              <w:jc w:val="center"/>
              <w:rPr>
                <w:rFonts w:ascii="宋体" w:hAnsi="宋体"/>
                <w:snapToGrid w:val="0"/>
                <w:kern w:val="0"/>
                <w:szCs w:val="21"/>
                <w:lang w:val="en-GB"/>
              </w:rPr>
            </w:pPr>
            <w:r>
              <w:rPr>
                <w:rFonts w:ascii="宋体" w:hAnsi="宋体"/>
                <w:snapToGrid w:val="0"/>
                <w:kern w:val="0"/>
                <w:szCs w:val="21"/>
              </w:rPr>
              <w:object>
                <v:shape id="_x0000_i1083" o:spt="75" type="#_x0000_t75" style="height:31pt;width:38pt;" o:ole="t" filled="f" o:preferrelative="t" stroked="f" coordsize="21600,21600">
                  <v:path/>
                  <v:fill on="f" alignshape="1" focussize="0,0"/>
                  <v:stroke on="f"/>
                  <v:imagedata r:id="rId55" o:title=""/>
                  <o:lock v:ext="edit" aspectratio="t"/>
                  <w10:wrap type="none"/>
                  <w10:anchorlock/>
                </v:shape>
                <o:OLEObject Type="Embed" ProgID="Equation.3" ShapeID="_x0000_i1083" DrawAspect="Content" ObjectID="_1468075772" r:id="rId100">
                  <o:LockedField>false</o:LockedField>
                </o:OLEObject>
              </w:object>
            </w:r>
          </w:p>
        </w:tc>
        <w:tc>
          <w:tcPr>
            <w:tcW w:w="930" w:type="dxa"/>
            <w:vMerge w:val="continue"/>
            <w:noWrap w:val="0"/>
            <w:vAlign w:val="center"/>
          </w:tcPr>
          <w:p w14:paraId="73E71C4D">
            <w:pPr>
              <w:jc w:val="center"/>
              <w:rPr>
                <w:rFonts w:ascii="宋体" w:hAnsi="宋体"/>
                <w:snapToGrid w:val="0"/>
                <w:kern w:val="0"/>
                <w:szCs w:val="21"/>
                <w:lang w:val="en-GB"/>
              </w:rPr>
            </w:pPr>
          </w:p>
        </w:tc>
        <w:tc>
          <w:tcPr>
            <w:tcW w:w="744" w:type="dxa"/>
            <w:vMerge w:val="continue"/>
            <w:noWrap w:val="0"/>
            <w:vAlign w:val="center"/>
          </w:tcPr>
          <w:p w14:paraId="2D9CB14B">
            <w:pPr>
              <w:jc w:val="center"/>
              <w:rPr>
                <w:rFonts w:ascii="宋体" w:hAnsi="宋体"/>
                <w:snapToGrid w:val="0"/>
                <w:kern w:val="0"/>
                <w:szCs w:val="21"/>
                <w:lang w:val="en-GB"/>
              </w:rPr>
            </w:pPr>
          </w:p>
        </w:tc>
        <w:tc>
          <w:tcPr>
            <w:tcW w:w="930" w:type="dxa"/>
            <w:vMerge w:val="continue"/>
            <w:noWrap w:val="0"/>
            <w:vAlign w:val="center"/>
          </w:tcPr>
          <w:p w14:paraId="4241FA19">
            <w:pPr>
              <w:jc w:val="center"/>
              <w:rPr>
                <w:rFonts w:ascii="宋体" w:hAnsi="宋体"/>
                <w:snapToGrid w:val="0"/>
                <w:kern w:val="0"/>
                <w:szCs w:val="21"/>
                <w:lang w:val="en-GB"/>
              </w:rPr>
            </w:pPr>
          </w:p>
        </w:tc>
        <w:tc>
          <w:tcPr>
            <w:tcW w:w="744" w:type="dxa"/>
            <w:vMerge w:val="continue"/>
            <w:noWrap w:val="0"/>
            <w:vAlign w:val="center"/>
          </w:tcPr>
          <w:p w14:paraId="7B2A2811">
            <w:pPr>
              <w:jc w:val="center"/>
              <w:rPr>
                <w:rFonts w:ascii="宋体" w:hAnsi="宋体"/>
                <w:snapToGrid w:val="0"/>
                <w:kern w:val="0"/>
                <w:szCs w:val="21"/>
                <w:lang w:val="en-GB"/>
              </w:rPr>
            </w:pPr>
          </w:p>
        </w:tc>
        <w:tc>
          <w:tcPr>
            <w:tcW w:w="1303" w:type="dxa"/>
            <w:vMerge w:val="continue"/>
            <w:noWrap w:val="0"/>
            <w:vAlign w:val="center"/>
          </w:tcPr>
          <w:p w14:paraId="51031BB4">
            <w:pPr>
              <w:jc w:val="center"/>
              <w:rPr>
                <w:rFonts w:ascii="宋体" w:hAnsi="宋体"/>
                <w:snapToGrid w:val="0"/>
                <w:kern w:val="0"/>
                <w:szCs w:val="21"/>
                <w:lang w:val="en-GB"/>
              </w:rPr>
            </w:pPr>
          </w:p>
        </w:tc>
      </w:tr>
      <w:tr w14:paraId="7903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3" w:hRule="atLeast"/>
          <w:jc w:val="center"/>
        </w:trPr>
        <w:tc>
          <w:tcPr>
            <w:tcW w:w="858" w:type="dxa"/>
            <w:vMerge w:val="restart"/>
            <w:noWrap w:val="0"/>
            <w:vAlign w:val="center"/>
          </w:tcPr>
          <w:p w14:paraId="0166C38F">
            <w:pPr>
              <w:jc w:val="center"/>
              <w:rPr>
                <w:rFonts w:hint="eastAsia" w:ascii="宋体" w:hAnsi="宋体"/>
                <w:snapToGrid w:val="0"/>
                <w:kern w:val="0"/>
                <w:szCs w:val="21"/>
              </w:rPr>
            </w:pPr>
            <w:r>
              <w:rPr>
                <w:rFonts w:hint="eastAsia" w:ascii="宋体" w:hAnsi="宋体"/>
                <w:snapToGrid w:val="0"/>
                <w:kern w:val="0"/>
                <w:szCs w:val="21"/>
              </w:rPr>
              <w:t>K110-a</w:t>
            </w:r>
          </w:p>
        </w:tc>
        <w:tc>
          <w:tcPr>
            <w:tcW w:w="631" w:type="dxa"/>
            <w:vMerge w:val="restart"/>
            <w:noWrap w:val="0"/>
            <w:vAlign w:val="center"/>
          </w:tcPr>
          <w:p w14:paraId="694BE6DF">
            <w:pPr>
              <w:jc w:val="center"/>
              <w:rPr>
                <w:rFonts w:ascii="宋体" w:hAnsi="宋体"/>
                <w:szCs w:val="21"/>
              </w:rPr>
            </w:pPr>
            <w:r>
              <w:rPr>
                <w:rFonts w:hint="eastAsia" w:ascii="宋体" w:hAnsi="宋体"/>
                <w:snapToGrid w:val="0"/>
                <w:kern w:val="0"/>
                <w:szCs w:val="21"/>
              </w:rPr>
              <w:t>P</w:t>
            </w:r>
            <w:r>
              <w:rPr>
                <w:rFonts w:hint="eastAsia" w:ascii="宋体" w:hAnsi="宋体"/>
                <w:snapToGrid w:val="0"/>
                <w:kern w:val="0"/>
                <w:szCs w:val="21"/>
                <w:vertAlign w:val="subscript"/>
              </w:rPr>
              <w:t>3</w:t>
            </w:r>
            <w:r>
              <w:rPr>
                <w:rFonts w:hint="eastAsia" w:ascii="宋体" w:hAnsi="宋体"/>
                <w:snapToGrid w:val="0"/>
                <w:kern w:val="0"/>
                <w:szCs w:val="21"/>
              </w:rPr>
              <w:t>l</w:t>
            </w:r>
            <w:r>
              <w:rPr>
                <w:rFonts w:hint="eastAsia" w:ascii="宋体" w:hAnsi="宋体"/>
                <w:snapToGrid w:val="0"/>
                <w:kern w:val="0"/>
                <w:szCs w:val="21"/>
                <w:vertAlign w:val="superscript"/>
              </w:rPr>
              <w:t>1</w:t>
            </w:r>
          </w:p>
        </w:tc>
        <w:tc>
          <w:tcPr>
            <w:tcW w:w="1489" w:type="dxa"/>
            <w:vMerge w:val="restart"/>
            <w:noWrap w:val="0"/>
            <w:vAlign w:val="center"/>
          </w:tcPr>
          <w:p w14:paraId="449442D8">
            <w:pPr>
              <w:jc w:val="center"/>
              <w:rPr>
                <w:rFonts w:ascii="宋体" w:hAnsi="宋体"/>
                <w:snapToGrid w:val="0"/>
                <w:color w:val="FF0000"/>
                <w:kern w:val="0"/>
                <w:szCs w:val="21"/>
                <w:lang w:val="en-GB"/>
              </w:rPr>
            </w:pPr>
            <w:r>
              <w:rPr>
                <w:rFonts w:ascii="宋体" w:hAnsi="宋体"/>
                <w:snapToGrid w:val="0"/>
                <w:color w:val="FF0000"/>
                <w:kern w:val="0"/>
                <w:szCs w:val="21"/>
              </w:rPr>
              <w:object>
                <v:shape id="_x0000_i1084" o:spt="75" type="#_x0000_t75" style="height:31pt;width:57pt;" o:ole="t" filled="f" o:preferrelative="t" stroked="f" coordsize="21600,21600">
                  <v:path/>
                  <v:fill on="f" alignshape="1" focussize="0,0"/>
                  <v:stroke on="f"/>
                  <v:imagedata r:id="rId57" o:title=""/>
                  <o:lock v:ext="edit" aspectratio="t"/>
                  <w10:wrap type="none"/>
                  <w10:anchorlock/>
                </v:shape>
                <o:OLEObject Type="Embed" ProgID="Equation.3" ShapeID="_x0000_i1084" DrawAspect="Content" ObjectID="_1468075773" r:id="rId101">
                  <o:LockedField>false</o:LockedField>
                </o:OLEObject>
              </w:object>
            </w:r>
          </w:p>
        </w:tc>
        <w:tc>
          <w:tcPr>
            <w:tcW w:w="1489" w:type="dxa"/>
            <w:vMerge w:val="continue"/>
            <w:noWrap w:val="0"/>
            <w:vAlign w:val="center"/>
          </w:tcPr>
          <w:p w14:paraId="5F45C5FE">
            <w:pPr>
              <w:jc w:val="center"/>
              <w:rPr>
                <w:rFonts w:ascii="宋体" w:hAnsi="宋体"/>
                <w:snapToGrid w:val="0"/>
                <w:kern w:val="0"/>
                <w:szCs w:val="21"/>
                <w:lang w:val="en-GB"/>
              </w:rPr>
            </w:pPr>
          </w:p>
        </w:tc>
        <w:tc>
          <w:tcPr>
            <w:tcW w:w="930" w:type="dxa"/>
            <w:vMerge w:val="restart"/>
            <w:noWrap w:val="0"/>
            <w:vAlign w:val="center"/>
          </w:tcPr>
          <w:p w14:paraId="602F2CBD">
            <w:pPr>
              <w:jc w:val="center"/>
              <w:rPr>
                <w:rFonts w:ascii="宋体" w:hAnsi="宋体"/>
                <w:snapToGrid w:val="0"/>
                <w:kern w:val="0"/>
                <w:szCs w:val="21"/>
              </w:rPr>
            </w:pPr>
            <w:r>
              <w:rPr>
                <w:rFonts w:hint="eastAsia" w:ascii="宋体" w:hAnsi="宋体"/>
                <w:snapToGrid w:val="0"/>
                <w:kern w:val="0"/>
                <w:szCs w:val="21"/>
                <w:lang w:val="en-GB"/>
              </w:rPr>
              <w:t>较</w:t>
            </w:r>
            <w:r>
              <w:rPr>
                <w:rFonts w:ascii="宋体" w:hAnsi="宋体"/>
                <w:snapToGrid w:val="0"/>
                <w:kern w:val="0"/>
                <w:szCs w:val="21"/>
                <w:lang w:val="en-GB"/>
              </w:rPr>
              <w:t>稳定</w:t>
            </w:r>
          </w:p>
        </w:tc>
        <w:tc>
          <w:tcPr>
            <w:tcW w:w="744" w:type="dxa"/>
            <w:vMerge w:val="restart"/>
            <w:noWrap w:val="0"/>
            <w:vAlign w:val="center"/>
          </w:tcPr>
          <w:p w14:paraId="5DB37DF5">
            <w:pPr>
              <w:jc w:val="center"/>
              <w:rPr>
                <w:rFonts w:hint="eastAsia" w:ascii="宋体" w:hAnsi="宋体"/>
                <w:snapToGrid w:val="0"/>
                <w:kern w:val="0"/>
                <w:szCs w:val="21"/>
              </w:rPr>
            </w:pPr>
            <w:r>
              <w:rPr>
                <w:rFonts w:hint="eastAsia" w:ascii="宋体" w:hAnsi="宋体"/>
                <w:snapToGrid w:val="0"/>
                <w:kern w:val="0"/>
                <w:szCs w:val="21"/>
                <w:lang w:val="en-GB"/>
              </w:rPr>
              <w:t>2</w:t>
            </w:r>
            <w:r>
              <w:rPr>
                <w:rFonts w:ascii="宋体" w:hAnsi="宋体"/>
                <w:snapToGrid w:val="0"/>
                <w:kern w:val="0"/>
                <w:szCs w:val="21"/>
                <w:lang w:val="en-GB"/>
              </w:rPr>
              <w:t>～</w:t>
            </w:r>
            <w:r>
              <w:rPr>
                <w:rFonts w:hint="eastAsia" w:ascii="宋体" w:hAnsi="宋体"/>
                <w:snapToGrid w:val="0"/>
                <w:kern w:val="0"/>
                <w:szCs w:val="21"/>
                <w:lang w:val="en-GB"/>
              </w:rPr>
              <w:t>4</w:t>
            </w:r>
          </w:p>
        </w:tc>
        <w:tc>
          <w:tcPr>
            <w:tcW w:w="930" w:type="dxa"/>
            <w:vMerge w:val="restart"/>
            <w:noWrap w:val="0"/>
            <w:vAlign w:val="center"/>
          </w:tcPr>
          <w:p w14:paraId="12F3BB19">
            <w:pPr>
              <w:jc w:val="center"/>
              <w:rPr>
                <w:rFonts w:hint="eastAsia" w:ascii="宋体" w:hAnsi="宋体"/>
                <w:snapToGrid w:val="0"/>
                <w:kern w:val="0"/>
                <w:szCs w:val="21"/>
                <w:lang w:val="en-GB"/>
              </w:rPr>
            </w:pPr>
            <w:r>
              <w:rPr>
                <w:rFonts w:ascii="宋体" w:hAnsi="宋体"/>
                <w:snapToGrid w:val="0"/>
                <w:kern w:val="0"/>
                <w:szCs w:val="21"/>
                <w:lang w:val="en-GB"/>
              </w:rPr>
              <w:t>较</w:t>
            </w:r>
            <w:r>
              <w:rPr>
                <w:rFonts w:hint="eastAsia" w:ascii="宋体" w:hAnsi="宋体"/>
                <w:snapToGrid w:val="0"/>
                <w:kern w:val="0"/>
                <w:szCs w:val="21"/>
                <w:lang w:val="en-GB"/>
              </w:rPr>
              <w:t>复杂</w:t>
            </w:r>
          </w:p>
        </w:tc>
        <w:tc>
          <w:tcPr>
            <w:tcW w:w="744" w:type="dxa"/>
            <w:vMerge w:val="restart"/>
            <w:noWrap w:val="0"/>
            <w:vAlign w:val="center"/>
          </w:tcPr>
          <w:p w14:paraId="56E7C04B">
            <w:pPr>
              <w:jc w:val="center"/>
              <w:rPr>
                <w:rFonts w:hint="eastAsia" w:ascii="宋体" w:hAnsi="宋体"/>
                <w:szCs w:val="21"/>
              </w:rPr>
            </w:pPr>
            <w:r>
              <w:rPr>
                <w:rFonts w:hint="eastAsia" w:ascii="宋体" w:hAnsi="宋体"/>
                <w:szCs w:val="21"/>
              </w:rPr>
              <w:t>大部</w:t>
            </w:r>
          </w:p>
          <w:p w14:paraId="22855F49">
            <w:pPr>
              <w:jc w:val="center"/>
              <w:rPr>
                <w:rFonts w:ascii="宋体" w:hAnsi="宋体"/>
                <w:snapToGrid w:val="0"/>
                <w:kern w:val="0"/>
                <w:szCs w:val="21"/>
                <w:lang w:val="en-GB"/>
              </w:rPr>
            </w:pPr>
            <w:r>
              <w:rPr>
                <w:rFonts w:hint="eastAsia" w:ascii="宋体" w:hAnsi="宋体"/>
                <w:szCs w:val="21"/>
              </w:rPr>
              <w:t>可采</w:t>
            </w:r>
          </w:p>
        </w:tc>
        <w:tc>
          <w:tcPr>
            <w:tcW w:w="1303" w:type="dxa"/>
            <w:vMerge w:val="restart"/>
            <w:noWrap w:val="0"/>
            <w:vAlign w:val="center"/>
          </w:tcPr>
          <w:p w14:paraId="260CCE56">
            <w:pPr>
              <w:jc w:val="center"/>
              <w:rPr>
                <w:rFonts w:hint="eastAsia" w:ascii="宋体" w:hAnsi="宋体"/>
                <w:snapToGrid w:val="0"/>
                <w:kern w:val="0"/>
                <w:szCs w:val="21"/>
              </w:rPr>
            </w:pPr>
            <w:r>
              <w:rPr>
                <w:rFonts w:hint="eastAsia" w:ascii="宋体" w:hAnsi="宋体"/>
                <w:snapToGrid w:val="0"/>
                <w:kern w:val="0"/>
                <w:szCs w:val="21"/>
              </w:rPr>
              <w:t>矿区</w:t>
            </w:r>
            <w:r>
              <w:rPr>
                <w:rFonts w:ascii="宋体" w:hAnsi="宋体"/>
                <w:snapToGrid w:val="0"/>
                <w:kern w:val="0"/>
                <w:szCs w:val="21"/>
              </w:rPr>
              <w:t>范围</w:t>
            </w:r>
          </w:p>
          <w:p w14:paraId="136B7AC9">
            <w:pPr>
              <w:jc w:val="center"/>
              <w:rPr>
                <w:rFonts w:ascii="宋体" w:hAnsi="宋体"/>
                <w:szCs w:val="21"/>
              </w:rPr>
            </w:pPr>
            <w:r>
              <w:rPr>
                <w:rFonts w:ascii="宋体" w:hAnsi="宋体"/>
                <w:snapToGrid w:val="0"/>
                <w:kern w:val="0"/>
                <w:szCs w:val="21"/>
              </w:rPr>
              <w:t>内</w:t>
            </w:r>
            <w:r>
              <w:rPr>
                <w:rFonts w:hint="eastAsia" w:ascii="宋体" w:hAnsi="宋体"/>
                <w:snapToGrid w:val="0"/>
                <w:kern w:val="0"/>
                <w:szCs w:val="21"/>
              </w:rPr>
              <w:t>可采</w:t>
            </w:r>
          </w:p>
        </w:tc>
      </w:tr>
      <w:tr w14:paraId="71AE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5" w:hRule="atLeast"/>
          <w:jc w:val="center"/>
        </w:trPr>
        <w:tc>
          <w:tcPr>
            <w:tcW w:w="858" w:type="dxa"/>
            <w:vMerge w:val="continue"/>
            <w:noWrap w:val="0"/>
            <w:vAlign w:val="center"/>
          </w:tcPr>
          <w:p w14:paraId="483B8A42">
            <w:pPr>
              <w:jc w:val="center"/>
              <w:rPr>
                <w:rFonts w:hint="eastAsia" w:ascii="宋体" w:hAnsi="宋体"/>
                <w:snapToGrid w:val="0"/>
                <w:kern w:val="0"/>
                <w:szCs w:val="21"/>
              </w:rPr>
            </w:pPr>
          </w:p>
        </w:tc>
        <w:tc>
          <w:tcPr>
            <w:tcW w:w="631" w:type="dxa"/>
            <w:vMerge w:val="continue"/>
            <w:noWrap w:val="0"/>
            <w:vAlign w:val="center"/>
          </w:tcPr>
          <w:p w14:paraId="0D3D7065">
            <w:pPr>
              <w:jc w:val="center"/>
              <w:rPr>
                <w:rFonts w:hint="eastAsia" w:ascii="宋体" w:hAnsi="宋体"/>
                <w:snapToGrid w:val="0"/>
                <w:kern w:val="0"/>
                <w:szCs w:val="21"/>
              </w:rPr>
            </w:pPr>
          </w:p>
        </w:tc>
        <w:tc>
          <w:tcPr>
            <w:tcW w:w="1489" w:type="dxa"/>
            <w:vMerge w:val="continue"/>
            <w:noWrap w:val="0"/>
            <w:vAlign w:val="center"/>
          </w:tcPr>
          <w:p w14:paraId="3C3D6C9F">
            <w:pPr>
              <w:jc w:val="center"/>
              <w:rPr>
                <w:rFonts w:ascii="宋体" w:hAnsi="宋体"/>
                <w:snapToGrid w:val="0"/>
                <w:color w:val="FF0000"/>
                <w:kern w:val="0"/>
                <w:szCs w:val="21"/>
              </w:rPr>
            </w:pPr>
          </w:p>
        </w:tc>
        <w:tc>
          <w:tcPr>
            <w:tcW w:w="1489" w:type="dxa"/>
            <w:noWrap w:val="0"/>
            <w:vAlign w:val="center"/>
          </w:tcPr>
          <w:p w14:paraId="4B2A3852">
            <w:pPr>
              <w:jc w:val="center"/>
              <w:rPr>
                <w:rFonts w:ascii="宋体" w:hAnsi="宋体"/>
                <w:snapToGrid w:val="0"/>
                <w:kern w:val="0"/>
                <w:szCs w:val="21"/>
                <w:lang w:val="en-GB"/>
              </w:rPr>
            </w:pPr>
            <w:r>
              <w:rPr>
                <w:rFonts w:ascii="宋体" w:hAnsi="宋体"/>
                <w:snapToGrid w:val="0"/>
                <w:kern w:val="0"/>
                <w:szCs w:val="21"/>
              </w:rPr>
              <w:t>距</w:t>
            </w:r>
            <w:r>
              <w:rPr>
                <w:rFonts w:hint="eastAsia" w:ascii="宋体" w:hAnsi="宋体"/>
                <w:bCs/>
                <w:snapToGrid w:val="0"/>
                <w:kern w:val="0"/>
                <w:szCs w:val="21"/>
              </w:rPr>
              <w:t>底</w:t>
            </w:r>
            <w:r>
              <w:rPr>
                <w:rFonts w:ascii="宋体" w:hAnsi="宋体"/>
                <w:bCs/>
                <w:snapToGrid w:val="0"/>
                <w:kern w:val="0"/>
                <w:szCs w:val="21"/>
              </w:rPr>
              <w:t>界</w:t>
            </w:r>
            <w:r>
              <w:rPr>
                <w:rFonts w:hint="eastAsia" w:ascii="宋体" w:hAnsi="宋体"/>
                <w:bCs/>
                <w:snapToGrid w:val="0"/>
                <w:kern w:val="0"/>
                <w:szCs w:val="21"/>
              </w:rPr>
              <w:t>6-15m</w:t>
            </w:r>
          </w:p>
        </w:tc>
        <w:tc>
          <w:tcPr>
            <w:tcW w:w="930" w:type="dxa"/>
            <w:vMerge w:val="continue"/>
            <w:noWrap w:val="0"/>
            <w:vAlign w:val="center"/>
          </w:tcPr>
          <w:p w14:paraId="6C17B20A">
            <w:pPr>
              <w:jc w:val="center"/>
              <w:rPr>
                <w:rFonts w:hint="eastAsia" w:ascii="宋体" w:hAnsi="宋体"/>
                <w:snapToGrid w:val="0"/>
                <w:kern w:val="0"/>
                <w:szCs w:val="21"/>
                <w:lang w:val="en-GB"/>
              </w:rPr>
            </w:pPr>
          </w:p>
        </w:tc>
        <w:tc>
          <w:tcPr>
            <w:tcW w:w="744" w:type="dxa"/>
            <w:vMerge w:val="continue"/>
            <w:noWrap w:val="0"/>
            <w:vAlign w:val="center"/>
          </w:tcPr>
          <w:p w14:paraId="2552494A">
            <w:pPr>
              <w:jc w:val="center"/>
              <w:rPr>
                <w:rFonts w:hint="eastAsia" w:ascii="宋体" w:hAnsi="宋体"/>
                <w:snapToGrid w:val="0"/>
                <w:kern w:val="0"/>
                <w:szCs w:val="21"/>
                <w:lang w:val="en-GB"/>
              </w:rPr>
            </w:pPr>
          </w:p>
        </w:tc>
        <w:tc>
          <w:tcPr>
            <w:tcW w:w="930" w:type="dxa"/>
            <w:vMerge w:val="continue"/>
            <w:noWrap w:val="0"/>
            <w:vAlign w:val="center"/>
          </w:tcPr>
          <w:p w14:paraId="713A7411">
            <w:pPr>
              <w:jc w:val="center"/>
              <w:rPr>
                <w:rFonts w:ascii="宋体" w:hAnsi="宋体"/>
                <w:snapToGrid w:val="0"/>
                <w:kern w:val="0"/>
                <w:szCs w:val="21"/>
                <w:lang w:val="en-GB"/>
              </w:rPr>
            </w:pPr>
          </w:p>
        </w:tc>
        <w:tc>
          <w:tcPr>
            <w:tcW w:w="744" w:type="dxa"/>
            <w:vMerge w:val="continue"/>
            <w:noWrap w:val="0"/>
            <w:vAlign w:val="center"/>
          </w:tcPr>
          <w:p w14:paraId="4DB708D6">
            <w:pPr>
              <w:jc w:val="center"/>
              <w:rPr>
                <w:rFonts w:hint="eastAsia" w:ascii="宋体" w:hAnsi="宋体"/>
                <w:szCs w:val="21"/>
              </w:rPr>
            </w:pPr>
          </w:p>
        </w:tc>
        <w:tc>
          <w:tcPr>
            <w:tcW w:w="1303" w:type="dxa"/>
            <w:vMerge w:val="continue"/>
            <w:noWrap w:val="0"/>
            <w:vAlign w:val="center"/>
          </w:tcPr>
          <w:p w14:paraId="40932816">
            <w:pPr>
              <w:jc w:val="center"/>
              <w:rPr>
                <w:rFonts w:hint="eastAsia" w:ascii="宋体" w:hAnsi="宋体"/>
                <w:snapToGrid w:val="0"/>
                <w:kern w:val="0"/>
                <w:szCs w:val="21"/>
              </w:rPr>
            </w:pPr>
          </w:p>
        </w:tc>
      </w:tr>
    </w:tbl>
    <w:p w14:paraId="0EA8B735">
      <w:pPr>
        <w:spacing w:after="50" w:line="360" w:lineRule="auto"/>
        <w:ind w:firstLine="480" w:firstLineChars="200"/>
        <w:rPr>
          <w:rFonts w:ascii="宋体" w:hAnsi="宋体"/>
          <w:sz w:val="24"/>
        </w:rPr>
      </w:pPr>
      <w:r>
        <w:rPr>
          <w:rFonts w:hint="eastAsia" w:ascii="宋体" w:hAnsi="宋体"/>
          <w:sz w:val="24"/>
        </w:rPr>
        <w:t>（3）</w:t>
      </w:r>
      <w:r>
        <w:rPr>
          <w:rFonts w:ascii="宋体" w:hAnsi="宋体"/>
          <w:sz w:val="24"/>
        </w:rPr>
        <w:t>矿井瓦斯涌出量预测计算</w:t>
      </w:r>
    </w:p>
    <w:p w14:paraId="25E9474D">
      <w:pPr>
        <w:spacing w:after="50" w:line="360" w:lineRule="auto"/>
        <w:ind w:firstLine="480" w:firstLineChars="200"/>
        <w:rPr>
          <w:rFonts w:ascii="宋体" w:hAnsi="宋体"/>
          <w:sz w:val="24"/>
        </w:rPr>
      </w:pPr>
      <w:r>
        <w:rPr>
          <w:rFonts w:ascii="宋体" w:hAnsi="宋体"/>
          <w:sz w:val="24"/>
        </w:rPr>
        <w:t>根椐《矿井瓦斯涌出量预测方法》（AQ1018－2006）标准，采用分源预测法预测矿井相对瓦斯涌出量。</w:t>
      </w:r>
    </w:p>
    <w:p w14:paraId="5D5C0625">
      <w:pPr>
        <w:spacing w:after="50" w:line="360" w:lineRule="auto"/>
        <w:ind w:firstLine="480" w:firstLineChars="200"/>
        <w:rPr>
          <w:rFonts w:hint="eastAsia" w:ascii="宋体" w:hAnsi="宋体"/>
          <w:sz w:val="24"/>
        </w:rPr>
      </w:pPr>
      <w:r>
        <w:rPr>
          <w:rFonts w:ascii="宋体" w:hAnsi="宋体"/>
          <w:sz w:val="24"/>
        </w:rPr>
        <w:t>1）采煤工作面瓦斯涌出量预测</w:t>
      </w:r>
    </w:p>
    <w:p w14:paraId="54A6B5FA">
      <w:pPr>
        <w:adjustRightInd w:val="0"/>
        <w:snapToGrid w:val="0"/>
        <w:spacing w:line="360" w:lineRule="auto"/>
        <w:ind w:firstLine="480" w:firstLineChars="200"/>
        <w:jc w:val="center"/>
        <w:rPr>
          <w:rFonts w:hint="eastAsia" w:ascii="宋体" w:hAnsi="宋体"/>
          <w:sz w:val="24"/>
          <w:szCs w:val="28"/>
          <w:vertAlign w:val="subscript"/>
        </w:rPr>
      </w:pPr>
      <w:r>
        <w:rPr>
          <w:rFonts w:ascii="宋体" w:hAnsi="宋体"/>
          <w:sz w:val="24"/>
          <w:szCs w:val="28"/>
        </w:rPr>
        <w:t>q</w:t>
      </w:r>
      <w:r>
        <w:rPr>
          <w:rFonts w:hint="eastAsia" w:ascii="宋体" w:hAnsi="宋体"/>
          <w:sz w:val="24"/>
          <w:szCs w:val="28"/>
          <w:vertAlign w:val="subscript"/>
        </w:rPr>
        <w:t>采</w:t>
      </w:r>
      <w:r>
        <w:rPr>
          <w:rFonts w:hint="eastAsia" w:ascii="宋体" w:hAnsi="宋体"/>
          <w:sz w:val="24"/>
          <w:szCs w:val="28"/>
        </w:rPr>
        <w:t>＝q</w:t>
      </w:r>
      <w:r>
        <w:rPr>
          <w:rFonts w:hint="eastAsia" w:ascii="宋体" w:hAnsi="宋体"/>
          <w:sz w:val="24"/>
          <w:szCs w:val="28"/>
          <w:vertAlign w:val="subscript"/>
        </w:rPr>
        <w:t>1</w:t>
      </w:r>
      <w:r>
        <w:rPr>
          <w:rFonts w:hint="eastAsia" w:ascii="宋体" w:hAnsi="宋体"/>
          <w:sz w:val="24"/>
          <w:szCs w:val="28"/>
        </w:rPr>
        <w:t>＋q</w:t>
      </w:r>
      <w:r>
        <w:rPr>
          <w:rFonts w:hint="eastAsia" w:ascii="宋体" w:hAnsi="宋体"/>
          <w:sz w:val="24"/>
          <w:szCs w:val="28"/>
          <w:vertAlign w:val="subscript"/>
        </w:rPr>
        <w:t>2</w:t>
      </w:r>
    </w:p>
    <w:p w14:paraId="0F71161A">
      <w:pPr>
        <w:adjustRightInd w:val="0"/>
        <w:snapToGrid w:val="0"/>
        <w:spacing w:line="360" w:lineRule="auto"/>
        <w:ind w:firstLine="480" w:firstLineChars="200"/>
        <w:rPr>
          <w:rFonts w:hint="eastAsia" w:ascii="宋体" w:hAnsi="宋体"/>
          <w:sz w:val="24"/>
          <w:szCs w:val="28"/>
        </w:rPr>
      </w:pPr>
      <w:r>
        <w:rPr>
          <w:rFonts w:hint="eastAsia" w:ascii="宋体" w:hAnsi="宋体"/>
          <w:sz w:val="24"/>
        </w:rPr>
        <w:t>式中：</w:t>
      </w:r>
      <w:r>
        <w:rPr>
          <w:rFonts w:ascii="宋体" w:hAnsi="宋体"/>
          <w:sz w:val="24"/>
        </w:rPr>
        <w:t>q</w:t>
      </w:r>
      <w:r>
        <w:rPr>
          <w:rFonts w:hint="eastAsia" w:ascii="宋体" w:hAnsi="宋体"/>
          <w:sz w:val="24"/>
          <w:vertAlign w:val="subscript"/>
        </w:rPr>
        <w:t>采</w:t>
      </w:r>
      <w:r>
        <w:rPr>
          <w:rFonts w:hint="eastAsia" w:ascii="宋体" w:hAnsi="宋体"/>
          <w:sz w:val="24"/>
        </w:rPr>
        <w:t>──回采工作面相对瓦斯涌出</w:t>
      </w:r>
      <w:r>
        <w:rPr>
          <w:rFonts w:hint="eastAsia" w:ascii="宋体" w:hAnsi="宋体"/>
          <w:sz w:val="24"/>
          <w:szCs w:val="28"/>
        </w:rPr>
        <w:t>量，m</w:t>
      </w:r>
      <w:r>
        <w:rPr>
          <w:rFonts w:hint="eastAsia" w:ascii="宋体" w:hAnsi="宋体"/>
          <w:sz w:val="24"/>
          <w:szCs w:val="28"/>
          <w:vertAlign w:val="superscript"/>
        </w:rPr>
        <w:t>3</w:t>
      </w:r>
      <w:r>
        <w:rPr>
          <w:rFonts w:hint="eastAsia" w:ascii="宋体" w:hAnsi="宋体"/>
          <w:sz w:val="24"/>
          <w:szCs w:val="28"/>
        </w:rPr>
        <w:t>/t；</w:t>
      </w:r>
    </w:p>
    <w:p w14:paraId="773AA27B">
      <w:pPr>
        <w:spacing w:line="360" w:lineRule="auto"/>
        <w:ind w:firstLine="480" w:firstLineChars="200"/>
        <w:rPr>
          <w:rFonts w:ascii="宋体" w:hAnsi="宋体"/>
          <w:sz w:val="24"/>
        </w:rPr>
      </w:pPr>
      <w:r>
        <w:rPr>
          <w:rFonts w:hint="eastAsia" w:ascii="宋体" w:hAnsi="宋体"/>
          <w:sz w:val="24"/>
        </w:rPr>
        <w:t xml:space="preserve">① </w:t>
      </w:r>
      <w:r>
        <w:rPr>
          <w:rFonts w:ascii="宋体" w:hAnsi="宋体"/>
          <w:sz w:val="24"/>
        </w:rPr>
        <w:t>采面本层瓦斯涌出</w:t>
      </w:r>
    </w:p>
    <w:p w14:paraId="57DBBBC4">
      <w:pPr>
        <w:spacing w:line="360" w:lineRule="auto"/>
        <w:ind w:firstLine="480" w:firstLineChars="200"/>
        <w:rPr>
          <w:rFonts w:hint="eastAsia" w:ascii="宋体" w:hAnsi="宋体"/>
          <w:sz w:val="24"/>
        </w:rPr>
      </w:pPr>
      <w:r>
        <w:rPr>
          <w:rFonts w:ascii="宋体" w:hAnsi="宋体"/>
          <w:sz w:val="24"/>
        </w:rPr>
        <w:t>采煤工作面本层瓦斯涌出量</w:t>
      </w:r>
      <w:r>
        <w:rPr>
          <w:rFonts w:hint="eastAsia" w:ascii="宋体" w:hAnsi="宋体"/>
          <w:sz w:val="24"/>
        </w:rPr>
        <w:t>：</w:t>
      </w:r>
    </w:p>
    <w:p w14:paraId="10591A90">
      <w:pPr>
        <w:spacing w:line="360" w:lineRule="auto"/>
        <w:ind w:firstLine="480"/>
        <w:jc w:val="center"/>
        <w:rPr>
          <w:rFonts w:ascii="宋体" w:hAnsi="宋体"/>
          <w:sz w:val="24"/>
        </w:rPr>
      </w:pPr>
      <w:r>
        <w:rPr>
          <w:rFonts w:hint="eastAsia" w:ascii="宋体" w:hAnsi="宋体"/>
          <w:sz w:val="24"/>
        </w:rPr>
        <w:t>q</w:t>
      </w:r>
      <w:r>
        <w:rPr>
          <w:rFonts w:hint="eastAsia" w:ascii="宋体" w:hAnsi="宋体"/>
          <w:sz w:val="24"/>
          <w:vertAlign w:val="subscript"/>
        </w:rPr>
        <w:t>1</w:t>
      </w:r>
      <w:r>
        <w:rPr>
          <w:rFonts w:ascii="宋体" w:hAnsi="宋体"/>
          <w:sz w:val="24"/>
        </w:rPr>
        <w:t>＝K</w:t>
      </w:r>
      <w:r>
        <w:rPr>
          <w:rFonts w:ascii="宋体" w:hAnsi="宋体"/>
          <w:sz w:val="24"/>
          <w:vertAlign w:val="subscript"/>
        </w:rPr>
        <w:t>1</w:t>
      </w:r>
      <w:r>
        <w:rPr>
          <w:rFonts w:ascii="宋体" w:hAnsi="宋体"/>
          <w:sz w:val="24"/>
        </w:rPr>
        <w:t>·K</w:t>
      </w:r>
      <w:r>
        <w:rPr>
          <w:rFonts w:ascii="宋体" w:hAnsi="宋体"/>
          <w:sz w:val="24"/>
          <w:vertAlign w:val="subscript"/>
        </w:rPr>
        <w:t>2</w:t>
      </w:r>
      <w:r>
        <w:rPr>
          <w:rFonts w:ascii="宋体" w:hAnsi="宋体"/>
          <w:sz w:val="24"/>
        </w:rPr>
        <w:t>·K</w:t>
      </w:r>
      <w:r>
        <w:rPr>
          <w:rFonts w:ascii="宋体" w:hAnsi="宋体"/>
          <w:sz w:val="24"/>
          <w:vertAlign w:val="subscript"/>
        </w:rPr>
        <w:t>3</w:t>
      </w:r>
      <w:r>
        <w:rPr>
          <w:rFonts w:ascii="宋体" w:hAnsi="宋体"/>
          <w:sz w:val="24"/>
        </w:rPr>
        <w:t>·</w:t>
      </w:r>
      <w:r>
        <w:rPr>
          <w:rFonts w:ascii="宋体" w:hAnsi="宋体"/>
          <w:position w:val="-24"/>
          <w:sz w:val="24"/>
        </w:rPr>
        <w:object>
          <v:shape id="_x0000_i1085" o:spt="75" type="#_x0000_t75" style="height:30.75pt;width:17.25pt;" o:ole="t" filled="f" o:preferrelative="t" stroked="f" coordsize="21600,21600">
            <v:path/>
            <v:fill on="f" focussize="0,0"/>
            <v:stroke on="f"/>
            <v:imagedata r:id="rId103" o:title=""/>
            <o:lock v:ext="edit" aspectratio="t"/>
            <w10:wrap type="none"/>
            <w10:anchorlock/>
          </v:shape>
          <o:OLEObject Type="Embed" ProgID="Equation.3" ShapeID="_x0000_i1085" DrawAspect="Content" ObjectID="_1468075774" r:id="rId102">
            <o:LockedField>false</o:LockedField>
          </o:OLEObject>
        </w:object>
      </w:r>
      <w:r>
        <w:rPr>
          <w:rFonts w:ascii="宋体" w:hAnsi="宋体"/>
          <w:sz w:val="24"/>
        </w:rPr>
        <w:t>·(W</w:t>
      </w:r>
      <w:r>
        <w:rPr>
          <w:rFonts w:ascii="宋体" w:hAnsi="宋体"/>
          <w:sz w:val="24"/>
          <w:vertAlign w:val="subscript"/>
        </w:rPr>
        <w:t>0</w:t>
      </w:r>
      <w:r>
        <w:rPr>
          <w:rFonts w:ascii="宋体" w:hAnsi="宋体"/>
          <w:sz w:val="24"/>
        </w:rPr>
        <w:t>-W</w:t>
      </w:r>
      <w:r>
        <w:rPr>
          <w:rFonts w:ascii="宋体" w:hAnsi="宋体"/>
          <w:sz w:val="24"/>
          <w:vertAlign w:val="subscript"/>
        </w:rPr>
        <w:t>C</w:t>
      </w:r>
      <w:r>
        <w:rPr>
          <w:rFonts w:ascii="宋体" w:hAnsi="宋体"/>
          <w:sz w:val="24"/>
        </w:rPr>
        <w:t>)</w:t>
      </w:r>
    </w:p>
    <w:p w14:paraId="019E05D3">
      <w:pPr>
        <w:spacing w:line="360" w:lineRule="auto"/>
        <w:ind w:firstLine="480" w:firstLineChars="200"/>
        <w:rPr>
          <w:rFonts w:hint="eastAsia" w:ascii="宋体" w:hAnsi="宋体"/>
          <w:sz w:val="24"/>
        </w:rPr>
      </w:pPr>
      <w:r>
        <w:rPr>
          <w:rFonts w:ascii="宋体" w:hAnsi="宋体"/>
          <w:sz w:val="24"/>
        </w:rPr>
        <w:t>式中：q</w:t>
      </w:r>
      <w:r>
        <w:rPr>
          <w:rFonts w:hint="eastAsia" w:ascii="宋体" w:hAnsi="宋体"/>
          <w:sz w:val="24"/>
          <w:vertAlign w:val="subscript"/>
        </w:rPr>
        <w:t>1</w:t>
      </w:r>
      <w:r>
        <w:rPr>
          <w:rFonts w:hint="eastAsia" w:ascii="宋体" w:hAnsi="宋体"/>
          <w:sz w:val="24"/>
        </w:rPr>
        <w:t>—</w:t>
      </w:r>
      <w:r>
        <w:rPr>
          <w:rFonts w:ascii="宋体" w:hAnsi="宋体"/>
          <w:sz w:val="24"/>
        </w:rPr>
        <w:t>开采本煤层</w:t>
      </w:r>
      <w:r>
        <w:rPr>
          <w:rFonts w:hint="eastAsia" w:ascii="宋体" w:hAnsi="宋体"/>
          <w:sz w:val="24"/>
        </w:rPr>
        <w:t>相对</w:t>
      </w:r>
      <w:r>
        <w:rPr>
          <w:rFonts w:ascii="宋体" w:hAnsi="宋体"/>
          <w:sz w:val="24"/>
        </w:rPr>
        <w:t>瓦斯涌出量，m</w:t>
      </w:r>
      <w:r>
        <w:rPr>
          <w:rFonts w:ascii="宋体" w:hAnsi="宋体"/>
          <w:sz w:val="24"/>
          <w:vertAlign w:val="superscript"/>
        </w:rPr>
        <w:t>3</w:t>
      </w:r>
      <w:r>
        <w:rPr>
          <w:rFonts w:ascii="宋体" w:hAnsi="宋体"/>
          <w:sz w:val="24"/>
        </w:rPr>
        <w:t>/t；</w:t>
      </w:r>
    </w:p>
    <w:p w14:paraId="288AA6E5">
      <w:pPr>
        <w:spacing w:line="360" w:lineRule="auto"/>
        <w:ind w:firstLine="1200" w:firstLineChars="500"/>
        <w:rPr>
          <w:rFonts w:hint="eastAsia" w:ascii="宋体" w:hAnsi="宋体"/>
          <w:sz w:val="24"/>
        </w:rPr>
      </w:pPr>
      <w:r>
        <w:rPr>
          <w:rFonts w:ascii="宋体" w:hAnsi="宋体"/>
          <w:sz w:val="24"/>
        </w:rPr>
        <w:t>K</w:t>
      </w:r>
      <w:r>
        <w:rPr>
          <w:rFonts w:ascii="宋体" w:hAnsi="宋体"/>
          <w:sz w:val="24"/>
          <w:vertAlign w:val="subscript"/>
        </w:rPr>
        <w:t>1</w:t>
      </w:r>
      <w:r>
        <w:rPr>
          <w:rFonts w:hint="eastAsia" w:ascii="宋体" w:hAnsi="宋体"/>
          <w:sz w:val="24"/>
        </w:rPr>
        <w:t>—</w:t>
      </w:r>
      <w:r>
        <w:rPr>
          <w:rFonts w:ascii="宋体" w:hAnsi="宋体"/>
          <w:sz w:val="24"/>
        </w:rPr>
        <w:t>围岩瓦斯涌出系系，取1.1～1.3，全部</w:t>
      </w:r>
      <w:r>
        <w:rPr>
          <w:rFonts w:hint="eastAsia" w:ascii="宋体" w:hAnsi="宋体"/>
          <w:sz w:val="24"/>
        </w:rPr>
        <w:t>垮</w:t>
      </w:r>
      <w:r>
        <w:rPr>
          <w:rFonts w:ascii="宋体" w:hAnsi="宋体"/>
          <w:sz w:val="24"/>
        </w:rPr>
        <w:t>落法取1.3；局部充填法取1.2；全部充填法取1.1</w:t>
      </w:r>
      <w:r>
        <w:rPr>
          <w:rFonts w:hint="eastAsia" w:ascii="宋体" w:hAnsi="宋体"/>
          <w:sz w:val="24"/>
        </w:rPr>
        <w:t>，本矿取1.3</w:t>
      </w:r>
      <w:r>
        <w:rPr>
          <w:rFonts w:ascii="宋体" w:hAnsi="宋体"/>
          <w:sz w:val="24"/>
        </w:rPr>
        <w:t>；</w:t>
      </w:r>
    </w:p>
    <w:p w14:paraId="475714E8">
      <w:pPr>
        <w:spacing w:line="360" w:lineRule="auto"/>
        <w:ind w:firstLine="1200" w:firstLineChars="500"/>
        <w:rPr>
          <w:rFonts w:hint="eastAsia" w:ascii="宋体" w:hAnsi="宋体"/>
          <w:sz w:val="24"/>
        </w:rPr>
      </w:pPr>
      <w:r>
        <w:rPr>
          <w:rFonts w:ascii="宋体" w:hAnsi="宋体"/>
          <w:sz w:val="24"/>
        </w:rPr>
        <w:t>K</w:t>
      </w:r>
      <w:r>
        <w:rPr>
          <w:rFonts w:ascii="宋体" w:hAnsi="宋体"/>
          <w:sz w:val="24"/>
          <w:vertAlign w:val="subscript"/>
        </w:rPr>
        <w:t>2</w:t>
      </w:r>
      <w:r>
        <w:rPr>
          <w:rFonts w:hint="eastAsia" w:ascii="宋体" w:hAnsi="宋体"/>
          <w:sz w:val="24"/>
        </w:rPr>
        <w:t>—</w:t>
      </w:r>
      <w:r>
        <w:rPr>
          <w:rFonts w:ascii="宋体" w:hAnsi="宋体"/>
          <w:sz w:val="24"/>
        </w:rPr>
        <w:t>工作面丢煤瓦斯涌出系数，</w:t>
      </w:r>
      <w:r>
        <w:rPr>
          <w:rFonts w:hint="eastAsia" w:ascii="宋体" w:hAnsi="宋体"/>
          <w:sz w:val="24"/>
        </w:rPr>
        <w:t>用</w:t>
      </w:r>
      <w:r>
        <w:rPr>
          <w:rFonts w:ascii="宋体" w:hAnsi="宋体"/>
          <w:sz w:val="24"/>
        </w:rPr>
        <w:t>回采率的倒数计算；</w:t>
      </w:r>
    </w:p>
    <w:p w14:paraId="5D1F73E1">
      <w:pPr>
        <w:spacing w:line="360" w:lineRule="auto"/>
        <w:ind w:firstLine="1200" w:firstLineChars="500"/>
        <w:rPr>
          <w:rFonts w:hint="eastAsia" w:ascii="宋体" w:hAnsi="宋体"/>
          <w:sz w:val="24"/>
        </w:rPr>
      </w:pPr>
      <w:r>
        <w:rPr>
          <w:rFonts w:ascii="宋体" w:hAnsi="宋体"/>
          <w:sz w:val="24"/>
        </w:rPr>
        <w:t>K</w:t>
      </w:r>
      <w:r>
        <w:rPr>
          <w:rFonts w:ascii="宋体" w:hAnsi="宋体"/>
          <w:sz w:val="24"/>
          <w:vertAlign w:val="subscript"/>
        </w:rPr>
        <w:t>3</w:t>
      </w:r>
      <w:r>
        <w:rPr>
          <w:rFonts w:hint="eastAsia" w:ascii="宋体" w:hAnsi="宋体"/>
          <w:sz w:val="24"/>
        </w:rPr>
        <w:t>—</w:t>
      </w:r>
      <w:r>
        <w:rPr>
          <w:rFonts w:ascii="宋体" w:hAnsi="宋体"/>
          <w:sz w:val="24"/>
        </w:rPr>
        <w:t>采区内准备巷道预排瓦斯对开采层瓦斯涌出影响系数，查（AQ1018－2006）标准；采用长壁后退式回采时按下式计算：K</w:t>
      </w:r>
      <w:r>
        <w:rPr>
          <w:rFonts w:ascii="宋体" w:hAnsi="宋体"/>
          <w:sz w:val="24"/>
          <w:vertAlign w:val="subscript"/>
        </w:rPr>
        <w:t>3</w:t>
      </w:r>
      <w:r>
        <w:rPr>
          <w:rFonts w:ascii="宋体" w:hAnsi="宋体"/>
          <w:sz w:val="24"/>
        </w:rPr>
        <w:t>＝(L-2h)/L</w:t>
      </w:r>
      <w:r>
        <w:rPr>
          <w:rFonts w:hint="eastAsia" w:ascii="宋体" w:hAnsi="宋体"/>
          <w:sz w:val="24"/>
        </w:rPr>
        <w:t>；</w:t>
      </w:r>
    </w:p>
    <w:p w14:paraId="48792345">
      <w:pPr>
        <w:spacing w:line="360" w:lineRule="auto"/>
        <w:ind w:firstLine="1200" w:firstLineChars="500"/>
        <w:rPr>
          <w:rFonts w:hint="eastAsia" w:ascii="宋体" w:hAnsi="宋体"/>
          <w:sz w:val="24"/>
        </w:rPr>
      </w:pPr>
      <w:r>
        <w:rPr>
          <w:rFonts w:ascii="宋体" w:hAnsi="宋体"/>
          <w:sz w:val="24"/>
        </w:rPr>
        <w:t>L</w:t>
      </w:r>
      <w:r>
        <w:rPr>
          <w:rFonts w:hint="eastAsia" w:ascii="宋体" w:hAnsi="宋体"/>
          <w:sz w:val="24"/>
        </w:rPr>
        <w:t>—</w:t>
      </w:r>
      <w:r>
        <w:rPr>
          <w:rFonts w:ascii="宋体" w:hAnsi="宋体"/>
          <w:sz w:val="24"/>
        </w:rPr>
        <w:t>工作面长度，m；</w:t>
      </w:r>
    </w:p>
    <w:p w14:paraId="259D8CE4">
      <w:pPr>
        <w:spacing w:line="360" w:lineRule="auto"/>
        <w:ind w:firstLine="1200" w:firstLineChars="500"/>
        <w:rPr>
          <w:rFonts w:hint="eastAsia" w:ascii="宋体" w:hAnsi="宋体"/>
          <w:sz w:val="24"/>
        </w:rPr>
      </w:pPr>
      <w:r>
        <w:rPr>
          <w:rFonts w:hint="eastAsia" w:ascii="宋体" w:hAnsi="宋体"/>
          <w:sz w:val="24"/>
        </w:rPr>
        <w:t>h—</w:t>
      </w:r>
      <w:r>
        <w:rPr>
          <w:rFonts w:ascii="宋体" w:hAnsi="宋体"/>
          <w:sz w:val="24"/>
        </w:rPr>
        <w:t>掘进巷</w:t>
      </w:r>
      <w:r>
        <w:rPr>
          <w:rFonts w:hint="eastAsia" w:ascii="宋体" w:hAnsi="宋体"/>
          <w:sz w:val="24"/>
        </w:rPr>
        <w:t>道</w:t>
      </w:r>
      <w:r>
        <w:rPr>
          <w:rFonts w:ascii="宋体" w:hAnsi="宋体"/>
          <w:sz w:val="24"/>
        </w:rPr>
        <w:t>预排等值宽度，m</w:t>
      </w:r>
      <w:r>
        <w:rPr>
          <w:rFonts w:hint="eastAsia" w:ascii="宋体" w:hAnsi="宋体"/>
          <w:sz w:val="24"/>
        </w:rPr>
        <w:t>，</w:t>
      </w:r>
      <w:r>
        <w:rPr>
          <w:rFonts w:ascii="宋体" w:hAnsi="宋体"/>
          <w:sz w:val="24"/>
        </w:rPr>
        <w:t>查（AQ1018－2006）标准</w:t>
      </w:r>
      <w:r>
        <w:rPr>
          <w:rFonts w:hint="eastAsia" w:ascii="宋体" w:hAnsi="宋体"/>
          <w:sz w:val="24"/>
        </w:rPr>
        <w:t>；</w:t>
      </w:r>
    </w:p>
    <w:p w14:paraId="16C5B3F6">
      <w:pPr>
        <w:spacing w:line="360" w:lineRule="auto"/>
        <w:ind w:firstLine="1200" w:firstLineChars="500"/>
        <w:rPr>
          <w:rFonts w:hint="eastAsia" w:ascii="宋体" w:hAnsi="宋体"/>
          <w:sz w:val="24"/>
        </w:rPr>
      </w:pPr>
      <w:r>
        <w:rPr>
          <w:rFonts w:hint="eastAsia" w:ascii="宋体" w:hAnsi="宋体"/>
          <w:sz w:val="24"/>
        </w:rPr>
        <w:t>m—</w:t>
      </w:r>
      <w:r>
        <w:rPr>
          <w:rFonts w:ascii="宋体" w:hAnsi="宋体"/>
          <w:sz w:val="24"/>
        </w:rPr>
        <w:t>开采煤层厚度，m；</w:t>
      </w:r>
    </w:p>
    <w:p w14:paraId="17FA1A7B">
      <w:pPr>
        <w:spacing w:line="360" w:lineRule="auto"/>
        <w:ind w:firstLine="1200" w:firstLineChars="500"/>
        <w:rPr>
          <w:rFonts w:hint="eastAsia" w:ascii="宋体" w:hAnsi="宋体"/>
          <w:sz w:val="24"/>
        </w:rPr>
      </w:pPr>
      <w:r>
        <w:rPr>
          <w:rFonts w:ascii="宋体" w:hAnsi="宋体"/>
          <w:sz w:val="24"/>
        </w:rPr>
        <w:t>M</w:t>
      </w:r>
      <w:r>
        <w:rPr>
          <w:rFonts w:hint="eastAsia" w:ascii="宋体" w:hAnsi="宋体"/>
          <w:sz w:val="24"/>
        </w:rPr>
        <w:t>—</w:t>
      </w:r>
      <w:r>
        <w:rPr>
          <w:rFonts w:ascii="宋体" w:hAnsi="宋体"/>
          <w:sz w:val="24"/>
        </w:rPr>
        <w:t>工作面采高，m；</w:t>
      </w:r>
    </w:p>
    <w:p w14:paraId="073BFE2B">
      <w:pPr>
        <w:spacing w:line="360" w:lineRule="auto"/>
        <w:ind w:firstLine="1200" w:firstLineChars="500"/>
        <w:rPr>
          <w:rFonts w:hint="eastAsia" w:ascii="宋体" w:hAnsi="宋体"/>
          <w:sz w:val="24"/>
        </w:rPr>
      </w:pPr>
      <w:r>
        <w:rPr>
          <w:rFonts w:ascii="宋体" w:hAnsi="宋体"/>
          <w:sz w:val="24"/>
        </w:rPr>
        <w:t>W</w:t>
      </w:r>
      <w:r>
        <w:rPr>
          <w:rFonts w:ascii="宋体" w:hAnsi="宋体"/>
          <w:sz w:val="24"/>
          <w:vertAlign w:val="subscript"/>
        </w:rPr>
        <w:t>0</w:t>
      </w:r>
      <w:r>
        <w:rPr>
          <w:rFonts w:hint="eastAsia" w:ascii="宋体" w:hAnsi="宋体"/>
          <w:sz w:val="24"/>
        </w:rPr>
        <w:t>—</w:t>
      </w:r>
      <w:r>
        <w:rPr>
          <w:rFonts w:ascii="宋体" w:hAnsi="宋体"/>
          <w:sz w:val="24"/>
        </w:rPr>
        <w:t>煤层原始瓦斯含量，m</w:t>
      </w:r>
      <w:r>
        <w:rPr>
          <w:rFonts w:ascii="宋体" w:hAnsi="宋体"/>
          <w:sz w:val="24"/>
          <w:vertAlign w:val="superscript"/>
        </w:rPr>
        <w:t>3</w:t>
      </w:r>
      <w:r>
        <w:rPr>
          <w:rFonts w:ascii="宋体" w:hAnsi="宋体"/>
          <w:sz w:val="24"/>
        </w:rPr>
        <w:t>/t</w:t>
      </w:r>
    </w:p>
    <w:p w14:paraId="62AE64E1">
      <w:pPr>
        <w:spacing w:line="360" w:lineRule="auto"/>
        <w:ind w:firstLine="1200" w:firstLineChars="500"/>
        <w:rPr>
          <w:rFonts w:ascii="宋体" w:hAnsi="宋体"/>
          <w:sz w:val="24"/>
        </w:rPr>
      </w:pPr>
      <w:r>
        <w:rPr>
          <w:rFonts w:ascii="宋体" w:hAnsi="宋体"/>
          <w:sz w:val="24"/>
        </w:rPr>
        <w:t>Wc</w:t>
      </w:r>
      <w:r>
        <w:rPr>
          <w:rFonts w:hint="eastAsia" w:ascii="宋体" w:hAnsi="宋体"/>
          <w:sz w:val="24"/>
        </w:rPr>
        <w:t>—</w:t>
      </w:r>
      <w:r>
        <w:rPr>
          <w:rFonts w:ascii="宋体" w:hAnsi="宋体"/>
          <w:sz w:val="24"/>
        </w:rPr>
        <w:t>煤层残存瓦斯涌出量，m</w:t>
      </w:r>
      <w:r>
        <w:rPr>
          <w:rFonts w:ascii="宋体" w:hAnsi="宋体"/>
          <w:sz w:val="24"/>
          <w:vertAlign w:val="superscript"/>
        </w:rPr>
        <w:t>3</w:t>
      </w:r>
      <w:r>
        <w:rPr>
          <w:rFonts w:ascii="宋体" w:hAnsi="宋体"/>
          <w:sz w:val="24"/>
        </w:rPr>
        <w:t>/t，</w:t>
      </w:r>
      <w:r>
        <w:rPr>
          <w:rFonts w:hint="eastAsia" w:ascii="宋体" w:hAnsi="宋体"/>
          <w:sz w:val="24"/>
        </w:rPr>
        <w:t>查（</w:t>
      </w:r>
      <w:r>
        <w:rPr>
          <w:rFonts w:ascii="宋体" w:hAnsi="宋体"/>
          <w:sz w:val="24"/>
        </w:rPr>
        <w:t>AQ1018-2006</w:t>
      </w:r>
      <w:r>
        <w:rPr>
          <w:rFonts w:hint="eastAsia" w:ascii="宋体" w:hAnsi="宋体"/>
          <w:sz w:val="24"/>
        </w:rPr>
        <w:t>）标准</w:t>
      </w:r>
      <w:r>
        <w:rPr>
          <w:rFonts w:ascii="宋体" w:hAnsi="宋体"/>
          <w:sz w:val="24"/>
        </w:rPr>
        <w:t>。</w:t>
      </w:r>
    </w:p>
    <w:p w14:paraId="11BDD436">
      <w:pPr>
        <w:spacing w:line="360" w:lineRule="auto"/>
        <w:ind w:firstLine="480" w:firstLineChars="200"/>
        <w:rPr>
          <w:rFonts w:hint="eastAsia" w:ascii="宋体" w:hAnsi="宋体"/>
          <w:sz w:val="24"/>
        </w:rPr>
      </w:pPr>
      <w:r>
        <w:rPr>
          <w:rFonts w:hint="eastAsia" w:ascii="宋体" w:hAnsi="宋体"/>
          <w:sz w:val="24"/>
        </w:rPr>
        <w:t>将</w:t>
      </w:r>
      <w:r>
        <w:rPr>
          <w:rFonts w:ascii="宋体" w:hAnsi="宋体"/>
          <w:sz w:val="24"/>
        </w:rPr>
        <w:t>以上</w:t>
      </w:r>
      <w:r>
        <w:rPr>
          <w:rFonts w:hint="eastAsia" w:ascii="宋体" w:hAnsi="宋体"/>
          <w:sz w:val="24"/>
        </w:rPr>
        <w:t>各参数代入</w:t>
      </w:r>
      <w:r>
        <w:rPr>
          <w:rFonts w:ascii="宋体" w:hAnsi="宋体"/>
          <w:sz w:val="24"/>
        </w:rPr>
        <w:t>公式</w:t>
      </w:r>
      <w:r>
        <w:rPr>
          <w:rFonts w:hint="eastAsia" w:ascii="宋体" w:hAnsi="宋体"/>
          <w:sz w:val="24"/>
        </w:rPr>
        <w:t>计算得</w:t>
      </w:r>
      <w:r>
        <w:rPr>
          <w:rFonts w:ascii="宋体" w:hAnsi="宋体"/>
          <w:sz w:val="24"/>
        </w:rPr>
        <w:t>采煤工作面本层瓦斯涌出量如下表</w:t>
      </w:r>
    </w:p>
    <w:p w14:paraId="414B8BF4">
      <w:pPr>
        <w:jc w:val="center"/>
        <w:rPr>
          <w:rFonts w:hint="eastAsia" w:ascii="宋体" w:hAnsi="宋体"/>
          <w:b/>
          <w:color w:val="000000"/>
          <w:kern w:val="24"/>
          <w:sz w:val="24"/>
        </w:rPr>
      </w:pPr>
      <w:r>
        <w:rPr>
          <w:rFonts w:hint="eastAsia" w:ascii="宋体" w:hAnsi="宋体"/>
          <w:b/>
          <w:color w:val="000000"/>
          <w:kern w:val="24"/>
          <w:sz w:val="24"/>
        </w:rPr>
        <w:t>各煤层</w:t>
      </w:r>
      <w:r>
        <w:rPr>
          <w:rFonts w:ascii="宋体" w:hAnsi="宋体"/>
          <w:b/>
          <w:color w:val="000000"/>
          <w:kern w:val="24"/>
          <w:sz w:val="24"/>
        </w:rPr>
        <w:t>采煤工作面本层瓦斯涌出量</w:t>
      </w:r>
      <w:r>
        <w:rPr>
          <w:rFonts w:hint="eastAsia" w:ascii="宋体" w:hAnsi="宋体"/>
          <w:b/>
          <w:color w:val="000000"/>
          <w:kern w:val="24"/>
          <w:sz w:val="24"/>
        </w:rPr>
        <w:t>计算表</w:t>
      </w:r>
    </w:p>
    <w:tbl>
      <w:tblPr>
        <w:tblStyle w:val="62"/>
        <w:tblW w:w="0" w:type="auto"/>
        <w:jc w:val="center"/>
        <w:tblLayout w:type="fixed"/>
        <w:tblCellMar>
          <w:top w:w="0" w:type="dxa"/>
          <w:left w:w="108" w:type="dxa"/>
          <w:bottom w:w="0" w:type="dxa"/>
          <w:right w:w="108" w:type="dxa"/>
        </w:tblCellMar>
      </w:tblPr>
      <w:tblGrid>
        <w:gridCol w:w="756"/>
        <w:gridCol w:w="540"/>
        <w:gridCol w:w="760"/>
        <w:gridCol w:w="720"/>
        <w:gridCol w:w="756"/>
        <w:gridCol w:w="580"/>
        <w:gridCol w:w="700"/>
        <w:gridCol w:w="700"/>
        <w:gridCol w:w="760"/>
        <w:gridCol w:w="820"/>
        <w:gridCol w:w="816"/>
        <w:gridCol w:w="1140"/>
      </w:tblGrid>
      <w:tr w14:paraId="02966E85">
        <w:tblPrEx>
          <w:tblCellMar>
            <w:top w:w="0" w:type="dxa"/>
            <w:left w:w="108" w:type="dxa"/>
            <w:bottom w:w="0" w:type="dxa"/>
            <w:right w:w="108" w:type="dxa"/>
          </w:tblCellMar>
        </w:tblPrEx>
        <w:trPr>
          <w:wBefore w:w="0" w:type="dxa"/>
          <w:wAfter w:w="0" w:type="dxa"/>
          <w:trHeight w:val="2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4648FC82">
            <w:pPr>
              <w:widowControl/>
              <w:jc w:val="center"/>
              <w:rPr>
                <w:rFonts w:ascii="宋体" w:hAnsi="宋体" w:cs="宋体"/>
                <w:kern w:val="0"/>
                <w:sz w:val="18"/>
                <w:szCs w:val="18"/>
              </w:rPr>
            </w:pPr>
            <w:r>
              <w:rPr>
                <w:rFonts w:hint="eastAsia" w:ascii="宋体" w:hAnsi="宋体" w:cs="宋体"/>
                <w:kern w:val="0"/>
                <w:sz w:val="18"/>
                <w:szCs w:val="18"/>
              </w:rPr>
              <w:t>煤层</w:t>
            </w:r>
          </w:p>
        </w:tc>
        <w:tc>
          <w:tcPr>
            <w:tcW w:w="540" w:type="dxa"/>
            <w:tcBorders>
              <w:top w:val="single" w:color="auto" w:sz="4" w:space="0"/>
              <w:left w:val="nil"/>
              <w:bottom w:val="single" w:color="auto" w:sz="4" w:space="0"/>
              <w:right w:val="single" w:color="auto" w:sz="4" w:space="0"/>
            </w:tcBorders>
            <w:noWrap w:val="0"/>
            <w:vAlign w:val="center"/>
          </w:tcPr>
          <w:p w14:paraId="78FC0D0D">
            <w:pPr>
              <w:widowControl/>
              <w:jc w:val="center"/>
              <w:rPr>
                <w:rFonts w:ascii="宋体" w:hAnsi="宋体" w:cs="宋体"/>
                <w:kern w:val="0"/>
                <w:sz w:val="18"/>
                <w:szCs w:val="18"/>
              </w:rPr>
            </w:pPr>
            <w:r>
              <w:rPr>
                <w:rFonts w:hint="eastAsia" w:ascii="宋体" w:hAnsi="宋体" w:cs="宋体"/>
                <w:kern w:val="0"/>
                <w:sz w:val="18"/>
                <w:szCs w:val="18"/>
              </w:rPr>
              <w:t>K</w:t>
            </w:r>
            <w:r>
              <w:rPr>
                <w:rFonts w:hint="eastAsia" w:ascii="宋体" w:hAnsi="宋体" w:cs="宋体"/>
                <w:kern w:val="0"/>
                <w:sz w:val="18"/>
                <w:szCs w:val="18"/>
                <w:vertAlign w:val="subscript"/>
              </w:rPr>
              <w:t>1</w:t>
            </w:r>
          </w:p>
        </w:tc>
        <w:tc>
          <w:tcPr>
            <w:tcW w:w="760" w:type="dxa"/>
            <w:tcBorders>
              <w:top w:val="single" w:color="auto" w:sz="4" w:space="0"/>
              <w:left w:val="nil"/>
              <w:bottom w:val="single" w:color="auto" w:sz="4" w:space="0"/>
              <w:right w:val="single" w:color="auto" w:sz="4" w:space="0"/>
            </w:tcBorders>
            <w:noWrap w:val="0"/>
            <w:vAlign w:val="center"/>
          </w:tcPr>
          <w:p w14:paraId="41761179">
            <w:pPr>
              <w:widowControl/>
              <w:jc w:val="center"/>
              <w:rPr>
                <w:rFonts w:ascii="宋体" w:hAnsi="宋体" w:cs="宋体"/>
                <w:kern w:val="0"/>
                <w:sz w:val="18"/>
                <w:szCs w:val="18"/>
              </w:rPr>
            </w:pPr>
            <w:r>
              <w:rPr>
                <w:rFonts w:hint="eastAsia" w:ascii="宋体" w:hAnsi="宋体" w:cs="宋体"/>
                <w:kern w:val="0"/>
                <w:sz w:val="18"/>
                <w:szCs w:val="18"/>
              </w:rPr>
              <w:t>工作面</w:t>
            </w:r>
            <w:r>
              <w:rPr>
                <w:rFonts w:hint="eastAsia" w:ascii="宋体" w:hAnsi="宋体" w:cs="宋体"/>
                <w:kern w:val="0"/>
                <w:sz w:val="18"/>
                <w:szCs w:val="18"/>
              </w:rPr>
              <w:br w:type="textWrapping"/>
            </w:r>
            <w:r>
              <w:rPr>
                <w:rFonts w:hint="eastAsia" w:ascii="宋体" w:hAnsi="宋体" w:cs="宋体"/>
                <w:kern w:val="0"/>
                <w:sz w:val="18"/>
                <w:szCs w:val="18"/>
              </w:rPr>
              <w:t>回采率</w:t>
            </w:r>
          </w:p>
        </w:tc>
        <w:tc>
          <w:tcPr>
            <w:tcW w:w="720" w:type="dxa"/>
            <w:tcBorders>
              <w:top w:val="single" w:color="auto" w:sz="4" w:space="0"/>
              <w:left w:val="nil"/>
              <w:bottom w:val="single" w:color="auto" w:sz="4" w:space="0"/>
              <w:right w:val="single" w:color="auto" w:sz="4" w:space="0"/>
            </w:tcBorders>
            <w:noWrap w:val="0"/>
            <w:vAlign w:val="center"/>
          </w:tcPr>
          <w:p w14:paraId="0AD4C6D4">
            <w:pPr>
              <w:widowControl/>
              <w:jc w:val="center"/>
              <w:rPr>
                <w:rFonts w:ascii="宋体" w:hAnsi="宋体" w:cs="宋体"/>
                <w:kern w:val="0"/>
                <w:sz w:val="18"/>
                <w:szCs w:val="18"/>
              </w:rPr>
            </w:pPr>
            <w:r>
              <w:rPr>
                <w:rFonts w:hint="eastAsia" w:ascii="宋体" w:hAnsi="宋体" w:cs="宋体"/>
                <w:kern w:val="0"/>
                <w:sz w:val="18"/>
                <w:szCs w:val="18"/>
              </w:rPr>
              <w:t>K</w:t>
            </w:r>
            <w:r>
              <w:rPr>
                <w:rFonts w:hint="eastAsia" w:ascii="宋体" w:hAnsi="宋体" w:cs="宋体"/>
                <w:kern w:val="0"/>
                <w:sz w:val="18"/>
                <w:szCs w:val="18"/>
                <w:vertAlign w:val="subscript"/>
              </w:rPr>
              <w:t>2</w:t>
            </w:r>
          </w:p>
        </w:tc>
        <w:tc>
          <w:tcPr>
            <w:tcW w:w="756" w:type="dxa"/>
            <w:tcBorders>
              <w:top w:val="single" w:color="auto" w:sz="4" w:space="0"/>
              <w:left w:val="nil"/>
              <w:bottom w:val="single" w:color="auto" w:sz="4" w:space="0"/>
              <w:right w:val="single" w:color="auto" w:sz="4" w:space="0"/>
            </w:tcBorders>
            <w:noWrap w:val="0"/>
            <w:vAlign w:val="center"/>
          </w:tcPr>
          <w:p w14:paraId="5D24DACC">
            <w:pPr>
              <w:widowControl/>
              <w:jc w:val="center"/>
              <w:rPr>
                <w:rFonts w:ascii="宋体" w:hAnsi="宋体" w:cs="宋体"/>
                <w:kern w:val="0"/>
                <w:sz w:val="18"/>
                <w:szCs w:val="18"/>
              </w:rPr>
            </w:pPr>
            <w:r>
              <w:rPr>
                <w:rFonts w:hint="eastAsia" w:ascii="宋体" w:hAnsi="宋体" w:cs="宋体"/>
                <w:kern w:val="0"/>
                <w:sz w:val="18"/>
                <w:szCs w:val="18"/>
              </w:rPr>
              <w:t>K</w:t>
            </w:r>
            <w:r>
              <w:rPr>
                <w:rFonts w:hint="eastAsia" w:ascii="宋体" w:hAnsi="宋体" w:cs="宋体"/>
                <w:kern w:val="0"/>
                <w:sz w:val="18"/>
                <w:szCs w:val="18"/>
                <w:vertAlign w:val="subscript"/>
              </w:rPr>
              <w:t>3</w:t>
            </w:r>
          </w:p>
        </w:tc>
        <w:tc>
          <w:tcPr>
            <w:tcW w:w="580" w:type="dxa"/>
            <w:tcBorders>
              <w:top w:val="single" w:color="auto" w:sz="4" w:space="0"/>
              <w:left w:val="nil"/>
              <w:bottom w:val="single" w:color="auto" w:sz="4" w:space="0"/>
              <w:right w:val="single" w:color="auto" w:sz="4" w:space="0"/>
            </w:tcBorders>
            <w:noWrap w:val="0"/>
            <w:vAlign w:val="center"/>
          </w:tcPr>
          <w:p w14:paraId="40D13433">
            <w:pPr>
              <w:widowControl/>
              <w:jc w:val="center"/>
              <w:rPr>
                <w:rFonts w:hint="eastAsia" w:ascii="宋体" w:hAnsi="宋体" w:cs="宋体"/>
                <w:kern w:val="0"/>
                <w:sz w:val="18"/>
                <w:szCs w:val="18"/>
              </w:rPr>
            </w:pPr>
            <w:r>
              <w:rPr>
                <w:rFonts w:hint="eastAsia" w:ascii="宋体" w:hAnsi="宋体" w:cs="宋体"/>
                <w:kern w:val="0"/>
                <w:sz w:val="18"/>
                <w:szCs w:val="18"/>
              </w:rPr>
              <w:t>L</w:t>
            </w:r>
          </w:p>
          <w:p w14:paraId="6A3D93F8">
            <w:pPr>
              <w:widowControl/>
              <w:jc w:val="center"/>
              <w:rPr>
                <w:rFonts w:ascii="宋体" w:hAnsi="宋体" w:cs="宋体"/>
                <w:kern w:val="0"/>
                <w:sz w:val="18"/>
                <w:szCs w:val="18"/>
              </w:rPr>
            </w:pPr>
            <w:r>
              <w:rPr>
                <w:rFonts w:hint="eastAsia" w:ascii="宋体" w:hAnsi="宋体" w:cs="宋体"/>
                <w:kern w:val="0"/>
                <w:sz w:val="18"/>
                <w:szCs w:val="18"/>
              </w:rPr>
              <w:t>(m)</w:t>
            </w:r>
          </w:p>
        </w:tc>
        <w:tc>
          <w:tcPr>
            <w:tcW w:w="700" w:type="dxa"/>
            <w:tcBorders>
              <w:top w:val="single" w:color="auto" w:sz="4" w:space="0"/>
              <w:left w:val="nil"/>
              <w:bottom w:val="single" w:color="auto" w:sz="4" w:space="0"/>
              <w:right w:val="single" w:color="auto" w:sz="4" w:space="0"/>
            </w:tcBorders>
            <w:noWrap w:val="0"/>
            <w:vAlign w:val="center"/>
          </w:tcPr>
          <w:p w14:paraId="6784025A">
            <w:pPr>
              <w:widowControl/>
              <w:jc w:val="center"/>
              <w:rPr>
                <w:rFonts w:hint="eastAsia" w:ascii="宋体" w:hAnsi="宋体" w:cs="宋体"/>
                <w:kern w:val="0"/>
                <w:sz w:val="18"/>
                <w:szCs w:val="18"/>
              </w:rPr>
            </w:pPr>
            <w:r>
              <w:rPr>
                <w:rFonts w:ascii="宋体" w:hAnsi="宋体" w:cs="宋体"/>
                <w:kern w:val="0"/>
                <w:sz w:val="18"/>
                <w:szCs w:val="18"/>
              </w:rPr>
              <w:t>H</w:t>
            </w:r>
          </w:p>
          <w:p w14:paraId="18694711">
            <w:pPr>
              <w:widowControl/>
              <w:jc w:val="center"/>
              <w:rPr>
                <w:rFonts w:ascii="宋体" w:hAnsi="宋体" w:cs="宋体"/>
                <w:kern w:val="0"/>
                <w:sz w:val="18"/>
                <w:szCs w:val="18"/>
              </w:rPr>
            </w:pPr>
            <w:r>
              <w:rPr>
                <w:rFonts w:hint="eastAsia" w:ascii="宋体" w:hAnsi="宋体" w:cs="宋体"/>
                <w:kern w:val="0"/>
                <w:sz w:val="18"/>
                <w:szCs w:val="18"/>
              </w:rPr>
              <w:t>(m)</w:t>
            </w:r>
          </w:p>
        </w:tc>
        <w:tc>
          <w:tcPr>
            <w:tcW w:w="700" w:type="dxa"/>
            <w:tcBorders>
              <w:top w:val="single" w:color="auto" w:sz="4" w:space="0"/>
              <w:left w:val="nil"/>
              <w:bottom w:val="single" w:color="auto" w:sz="4" w:space="0"/>
              <w:right w:val="single" w:color="auto" w:sz="4" w:space="0"/>
            </w:tcBorders>
            <w:noWrap w:val="0"/>
            <w:vAlign w:val="center"/>
          </w:tcPr>
          <w:p w14:paraId="0A0E1076">
            <w:pPr>
              <w:widowControl/>
              <w:jc w:val="center"/>
              <w:rPr>
                <w:rFonts w:hint="eastAsia" w:ascii="宋体" w:hAnsi="宋体" w:cs="宋体"/>
                <w:kern w:val="0"/>
                <w:sz w:val="18"/>
                <w:szCs w:val="18"/>
              </w:rPr>
            </w:pPr>
            <w:r>
              <w:rPr>
                <w:rFonts w:hint="eastAsia" w:ascii="宋体" w:hAnsi="宋体" w:cs="宋体"/>
                <w:kern w:val="0"/>
                <w:sz w:val="18"/>
                <w:szCs w:val="18"/>
              </w:rPr>
              <w:t>m</w:t>
            </w:r>
          </w:p>
          <w:p w14:paraId="3D68D8D0">
            <w:pPr>
              <w:widowControl/>
              <w:jc w:val="center"/>
              <w:rPr>
                <w:rFonts w:ascii="宋体" w:hAnsi="宋体" w:cs="宋体"/>
                <w:kern w:val="0"/>
                <w:sz w:val="18"/>
                <w:szCs w:val="18"/>
              </w:rPr>
            </w:pPr>
            <w:r>
              <w:rPr>
                <w:rFonts w:hint="eastAsia" w:ascii="宋体" w:hAnsi="宋体" w:cs="宋体"/>
                <w:kern w:val="0"/>
                <w:sz w:val="18"/>
                <w:szCs w:val="18"/>
              </w:rPr>
              <w:t>(m)</w:t>
            </w:r>
          </w:p>
        </w:tc>
        <w:tc>
          <w:tcPr>
            <w:tcW w:w="760" w:type="dxa"/>
            <w:tcBorders>
              <w:top w:val="single" w:color="auto" w:sz="4" w:space="0"/>
              <w:left w:val="nil"/>
              <w:bottom w:val="single" w:color="auto" w:sz="4" w:space="0"/>
              <w:right w:val="single" w:color="auto" w:sz="4" w:space="0"/>
            </w:tcBorders>
            <w:noWrap w:val="0"/>
            <w:vAlign w:val="center"/>
          </w:tcPr>
          <w:p w14:paraId="2962546B">
            <w:pPr>
              <w:widowControl/>
              <w:jc w:val="center"/>
              <w:rPr>
                <w:rFonts w:hint="eastAsia" w:ascii="宋体" w:hAnsi="宋体" w:cs="宋体"/>
                <w:kern w:val="0"/>
                <w:sz w:val="18"/>
                <w:szCs w:val="18"/>
              </w:rPr>
            </w:pPr>
            <w:r>
              <w:rPr>
                <w:rFonts w:hint="eastAsia" w:ascii="宋体" w:hAnsi="宋体" w:cs="宋体"/>
                <w:kern w:val="0"/>
                <w:sz w:val="18"/>
                <w:szCs w:val="18"/>
              </w:rPr>
              <w:t>M</w:t>
            </w:r>
          </w:p>
          <w:p w14:paraId="41874B06">
            <w:pPr>
              <w:widowControl/>
              <w:jc w:val="center"/>
              <w:rPr>
                <w:rFonts w:ascii="宋体" w:hAnsi="宋体" w:cs="宋体"/>
                <w:kern w:val="0"/>
                <w:sz w:val="18"/>
                <w:szCs w:val="18"/>
              </w:rPr>
            </w:pPr>
            <w:r>
              <w:rPr>
                <w:rFonts w:hint="eastAsia" w:ascii="宋体" w:hAnsi="宋体" w:cs="宋体"/>
                <w:kern w:val="0"/>
                <w:sz w:val="18"/>
                <w:szCs w:val="18"/>
              </w:rPr>
              <w:t>(m)</w:t>
            </w:r>
          </w:p>
        </w:tc>
        <w:tc>
          <w:tcPr>
            <w:tcW w:w="820" w:type="dxa"/>
            <w:tcBorders>
              <w:top w:val="single" w:color="auto" w:sz="4" w:space="0"/>
              <w:left w:val="nil"/>
              <w:bottom w:val="single" w:color="auto" w:sz="4" w:space="0"/>
              <w:right w:val="single" w:color="auto" w:sz="4" w:space="0"/>
            </w:tcBorders>
            <w:noWrap w:val="0"/>
            <w:vAlign w:val="center"/>
          </w:tcPr>
          <w:p w14:paraId="20ABE03C">
            <w:pPr>
              <w:widowControl/>
              <w:jc w:val="center"/>
              <w:rPr>
                <w:rFonts w:hint="eastAsia" w:ascii="宋体" w:hAnsi="宋体" w:cs="宋体"/>
                <w:kern w:val="0"/>
                <w:sz w:val="18"/>
                <w:szCs w:val="18"/>
                <w:vertAlign w:val="subscript"/>
              </w:rPr>
            </w:pPr>
            <w:r>
              <w:rPr>
                <w:rFonts w:hint="eastAsia" w:ascii="宋体" w:hAnsi="宋体" w:cs="宋体"/>
                <w:kern w:val="0"/>
                <w:sz w:val="18"/>
                <w:szCs w:val="18"/>
              </w:rPr>
              <w:t>W</w:t>
            </w:r>
            <w:r>
              <w:rPr>
                <w:rFonts w:hint="eastAsia" w:ascii="宋体" w:hAnsi="宋体" w:cs="宋体"/>
                <w:kern w:val="0"/>
                <w:sz w:val="18"/>
                <w:szCs w:val="18"/>
                <w:vertAlign w:val="subscript"/>
              </w:rPr>
              <w:t>0</w:t>
            </w:r>
          </w:p>
          <w:p w14:paraId="5C86AB9C">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816" w:type="dxa"/>
            <w:tcBorders>
              <w:top w:val="single" w:color="auto" w:sz="4" w:space="0"/>
              <w:left w:val="nil"/>
              <w:bottom w:val="single" w:color="auto" w:sz="4" w:space="0"/>
              <w:right w:val="single" w:color="auto" w:sz="4" w:space="0"/>
            </w:tcBorders>
            <w:noWrap w:val="0"/>
            <w:vAlign w:val="center"/>
          </w:tcPr>
          <w:p w14:paraId="3CEA6F65">
            <w:pPr>
              <w:widowControl/>
              <w:jc w:val="center"/>
              <w:rPr>
                <w:rFonts w:hint="eastAsia" w:ascii="宋体" w:hAnsi="宋体" w:cs="宋体"/>
                <w:kern w:val="0"/>
                <w:sz w:val="18"/>
                <w:szCs w:val="18"/>
              </w:rPr>
            </w:pPr>
            <w:r>
              <w:rPr>
                <w:rFonts w:hint="eastAsia" w:ascii="宋体" w:hAnsi="宋体" w:cs="宋体"/>
                <w:kern w:val="0"/>
                <w:sz w:val="18"/>
                <w:szCs w:val="18"/>
              </w:rPr>
              <w:t>Wc</w:t>
            </w:r>
          </w:p>
          <w:p w14:paraId="5687346D">
            <w:pPr>
              <w:widowControl/>
              <w:jc w:val="center"/>
              <w:rPr>
                <w:rFonts w:ascii="宋体" w:hAnsi="宋体" w:cs="宋体"/>
                <w:kern w:val="0"/>
                <w:sz w:val="18"/>
                <w:szCs w:val="18"/>
              </w:rPr>
            </w:pPr>
            <w:r>
              <w:rPr>
                <w:rFonts w:hint="eastAsia" w:ascii="宋体" w:hAnsi="宋体" w:cs="宋体"/>
                <w:kern w:val="0"/>
                <w:sz w:val="18"/>
                <w:szCs w:val="18"/>
              </w:rPr>
              <w:t>(m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40" w:type="dxa"/>
            <w:tcBorders>
              <w:top w:val="single" w:color="auto" w:sz="4" w:space="0"/>
              <w:left w:val="nil"/>
              <w:bottom w:val="single" w:color="auto" w:sz="4" w:space="0"/>
              <w:right w:val="single" w:color="auto" w:sz="4" w:space="0"/>
            </w:tcBorders>
            <w:noWrap w:val="0"/>
            <w:vAlign w:val="center"/>
          </w:tcPr>
          <w:p w14:paraId="66B25B4F">
            <w:pPr>
              <w:widowControl/>
              <w:jc w:val="center"/>
              <w:rPr>
                <w:rFonts w:ascii="宋体" w:hAnsi="宋体" w:cs="宋体"/>
                <w:kern w:val="0"/>
                <w:sz w:val="18"/>
                <w:szCs w:val="18"/>
              </w:rPr>
            </w:pPr>
            <w:r>
              <w:rPr>
                <w:rFonts w:hint="eastAsia" w:ascii="宋体" w:hAnsi="宋体" w:cs="宋体"/>
                <w:kern w:val="0"/>
                <w:sz w:val="18"/>
                <w:szCs w:val="18"/>
              </w:rPr>
              <w:t>瓦斯涌出量</w:t>
            </w:r>
            <w:r>
              <w:rPr>
                <w:rFonts w:hint="eastAsia" w:ascii="宋体" w:hAnsi="宋体" w:cs="宋体"/>
                <w:kern w:val="0"/>
                <w:sz w:val="18"/>
                <w:szCs w:val="18"/>
              </w:rPr>
              <w:br w:type="textWrapping"/>
            </w:r>
            <w:r>
              <w:rPr>
                <w:rFonts w:hint="eastAsia" w:ascii="宋体" w:hAnsi="宋体" w:cs="宋体"/>
                <w:kern w:val="0"/>
                <w:sz w:val="18"/>
                <w:szCs w:val="18"/>
              </w:rPr>
              <w:t>(m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4D03BB97">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3EDE02D1">
            <w:pPr>
              <w:widowControl/>
              <w:jc w:val="left"/>
              <w:rPr>
                <w:rFonts w:ascii="宋体" w:hAnsi="宋体" w:cs="宋体"/>
                <w:kern w:val="0"/>
                <w:sz w:val="18"/>
                <w:szCs w:val="18"/>
              </w:rPr>
            </w:pPr>
            <w:r>
              <w:rPr>
                <w:rFonts w:hint="eastAsia" w:ascii="宋体" w:hAnsi="宋体" w:cs="宋体"/>
                <w:kern w:val="0"/>
                <w:sz w:val="18"/>
                <w:szCs w:val="18"/>
              </w:rPr>
              <w:t>K1-b</w:t>
            </w:r>
          </w:p>
        </w:tc>
        <w:tc>
          <w:tcPr>
            <w:tcW w:w="540" w:type="dxa"/>
            <w:tcBorders>
              <w:top w:val="nil"/>
              <w:left w:val="nil"/>
              <w:bottom w:val="single" w:color="auto" w:sz="4" w:space="0"/>
              <w:right w:val="single" w:color="auto" w:sz="4" w:space="0"/>
            </w:tcBorders>
            <w:noWrap w:val="0"/>
            <w:vAlign w:val="center"/>
          </w:tcPr>
          <w:p w14:paraId="55791B17">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12F4B691">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7A47D412">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66FBE16C">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586E5AEF">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70861A61">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6E5414CF">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760" w:type="dxa"/>
            <w:tcBorders>
              <w:top w:val="nil"/>
              <w:left w:val="nil"/>
              <w:bottom w:val="single" w:color="auto" w:sz="4" w:space="0"/>
              <w:right w:val="single" w:color="auto" w:sz="4" w:space="0"/>
            </w:tcBorders>
            <w:noWrap w:val="0"/>
            <w:vAlign w:val="center"/>
          </w:tcPr>
          <w:p w14:paraId="060CB566">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820" w:type="dxa"/>
            <w:tcBorders>
              <w:top w:val="nil"/>
              <w:left w:val="nil"/>
              <w:bottom w:val="single" w:color="auto" w:sz="4" w:space="0"/>
              <w:right w:val="single" w:color="auto" w:sz="4" w:space="0"/>
            </w:tcBorders>
            <w:noWrap w:val="0"/>
            <w:vAlign w:val="center"/>
          </w:tcPr>
          <w:p w14:paraId="259E5FE6">
            <w:pPr>
              <w:widowControl/>
              <w:jc w:val="center"/>
              <w:rPr>
                <w:rFonts w:ascii="宋体" w:hAnsi="宋体" w:cs="宋体"/>
                <w:kern w:val="0"/>
                <w:sz w:val="18"/>
                <w:szCs w:val="18"/>
              </w:rPr>
            </w:pPr>
            <w:r>
              <w:rPr>
                <w:rFonts w:hint="eastAsia" w:ascii="宋体" w:hAnsi="宋体" w:cs="宋体"/>
                <w:kern w:val="0"/>
                <w:sz w:val="18"/>
                <w:szCs w:val="18"/>
              </w:rPr>
              <w:t>14.6</w:t>
            </w:r>
          </w:p>
        </w:tc>
        <w:tc>
          <w:tcPr>
            <w:tcW w:w="816" w:type="dxa"/>
            <w:tcBorders>
              <w:top w:val="nil"/>
              <w:left w:val="nil"/>
              <w:bottom w:val="single" w:color="auto" w:sz="4" w:space="0"/>
              <w:right w:val="single" w:color="auto" w:sz="4" w:space="0"/>
            </w:tcBorders>
            <w:noWrap w:val="0"/>
            <w:vAlign w:val="center"/>
          </w:tcPr>
          <w:p w14:paraId="7AE04B09">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7B3A6C4C">
            <w:pPr>
              <w:widowControl/>
              <w:jc w:val="center"/>
              <w:rPr>
                <w:rFonts w:ascii="宋体" w:hAnsi="宋体" w:cs="宋体"/>
                <w:kern w:val="0"/>
                <w:sz w:val="18"/>
                <w:szCs w:val="18"/>
              </w:rPr>
            </w:pPr>
            <w:r>
              <w:rPr>
                <w:rFonts w:hint="eastAsia" w:ascii="宋体" w:hAnsi="宋体" w:cs="宋体"/>
                <w:kern w:val="0"/>
                <w:sz w:val="18"/>
                <w:szCs w:val="18"/>
              </w:rPr>
              <w:t xml:space="preserve">9.437 </w:t>
            </w:r>
          </w:p>
        </w:tc>
      </w:tr>
      <w:tr w14:paraId="100A6FBC">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1590C538">
            <w:pPr>
              <w:widowControl/>
              <w:jc w:val="left"/>
              <w:rPr>
                <w:rFonts w:ascii="宋体" w:hAnsi="宋体" w:cs="宋体"/>
                <w:kern w:val="0"/>
                <w:sz w:val="18"/>
                <w:szCs w:val="18"/>
              </w:rPr>
            </w:pPr>
            <w:r>
              <w:rPr>
                <w:rFonts w:hint="eastAsia" w:ascii="宋体" w:hAnsi="宋体" w:cs="宋体"/>
                <w:kern w:val="0"/>
                <w:sz w:val="18"/>
                <w:szCs w:val="18"/>
              </w:rPr>
              <w:t>K3</w:t>
            </w:r>
          </w:p>
        </w:tc>
        <w:tc>
          <w:tcPr>
            <w:tcW w:w="540" w:type="dxa"/>
            <w:tcBorders>
              <w:top w:val="nil"/>
              <w:left w:val="nil"/>
              <w:bottom w:val="single" w:color="auto" w:sz="4" w:space="0"/>
              <w:right w:val="single" w:color="auto" w:sz="4" w:space="0"/>
            </w:tcBorders>
            <w:noWrap w:val="0"/>
            <w:vAlign w:val="center"/>
          </w:tcPr>
          <w:p w14:paraId="4A6426EB">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4EAB9AFC">
            <w:pPr>
              <w:widowControl/>
              <w:jc w:val="center"/>
              <w:rPr>
                <w:rFonts w:ascii="宋体" w:hAnsi="宋体" w:cs="宋体"/>
                <w:kern w:val="0"/>
                <w:sz w:val="18"/>
                <w:szCs w:val="18"/>
              </w:rPr>
            </w:pPr>
            <w:r>
              <w:rPr>
                <w:rFonts w:hint="eastAsia" w:ascii="宋体" w:hAnsi="宋体" w:cs="宋体"/>
                <w:kern w:val="0"/>
                <w:sz w:val="18"/>
                <w:szCs w:val="18"/>
              </w:rPr>
              <w:t>0.97</w:t>
            </w:r>
          </w:p>
        </w:tc>
        <w:tc>
          <w:tcPr>
            <w:tcW w:w="720" w:type="dxa"/>
            <w:tcBorders>
              <w:top w:val="nil"/>
              <w:left w:val="nil"/>
              <w:bottom w:val="single" w:color="auto" w:sz="4" w:space="0"/>
              <w:right w:val="single" w:color="auto" w:sz="4" w:space="0"/>
            </w:tcBorders>
            <w:noWrap w:val="0"/>
            <w:vAlign w:val="center"/>
          </w:tcPr>
          <w:p w14:paraId="7EE27331">
            <w:pPr>
              <w:widowControl/>
              <w:jc w:val="center"/>
              <w:rPr>
                <w:rFonts w:ascii="宋体" w:hAnsi="宋体" w:cs="宋体"/>
                <w:kern w:val="0"/>
                <w:sz w:val="18"/>
                <w:szCs w:val="18"/>
              </w:rPr>
            </w:pPr>
            <w:r>
              <w:rPr>
                <w:rFonts w:hint="eastAsia" w:ascii="宋体" w:hAnsi="宋体" w:cs="宋体"/>
                <w:kern w:val="0"/>
                <w:sz w:val="18"/>
                <w:szCs w:val="18"/>
              </w:rPr>
              <w:t xml:space="preserve">1.031 </w:t>
            </w:r>
          </w:p>
        </w:tc>
        <w:tc>
          <w:tcPr>
            <w:tcW w:w="756" w:type="dxa"/>
            <w:tcBorders>
              <w:top w:val="nil"/>
              <w:left w:val="nil"/>
              <w:bottom w:val="single" w:color="auto" w:sz="4" w:space="0"/>
              <w:right w:val="single" w:color="auto" w:sz="4" w:space="0"/>
            </w:tcBorders>
            <w:noWrap w:val="0"/>
            <w:vAlign w:val="center"/>
          </w:tcPr>
          <w:p w14:paraId="51EE5D20">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2490A447">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71F8D9C7">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34B83BAA">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760" w:type="dxa"/>
            <w:tcBorders>
              <w:top w:val="nil"/>
              <w:left w:val="nil"/>
              <w:bottom w:val="single" w:color="auto" w:sz="4" w:space="0"/>
              <w:right w:val="single" w:color="auto" w:sz="4" w:space="0"/>
            </w:tcBorders>
            <w:noWrap w:val="0"/>
            <w:vAlign w:val="center"/>
          </w:tcPr>
          <w:p w14:paraId="5643E650">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820" w:type="dxa"/>
            <w:tcBorders>
              <w:top w:val="nil"/>
              <w:left w:val="nil"/>
              <w:bottom w:val="single" w:color="auto" w:sz="4" w:space="0"/>
              <w:right w:val="single" w:color="auto" w:sz="4" w:space="0"/>
            </w:tcBorders>
            <w:noWrap w:val="0"/>
            <w:vAlign w:val="center"/>
          </w:tcPr>
          <w:p w14:paraId="4A84901A">
            <w:pPr>
              <w:widowControl/>
              <w:jc w:val="center"/>
              <w:rPr>
                <w:rFonts w:ascii="宋体" w:hAnsi="宋体" w:cs="宋体"/>
                <w:kern w:val="0"/>
                <w:sz w:val="18"/>
                <w:szCs w:val="18"/>
              </w:rPr>
            </w:pPr>
            <w:r>
              <w:rPr>
                <w:rFonts w:hint="eastAsia" w:ascii="宋体" w:hAnsi="宋体" w:cs="宋体"/>
                <w:kern w:val="0"/>
                <w:sz w:val="18"/>
                <w:szCs w:val="18"/>
              </w:rPr>
              <w:t>12.7</w:t>
            </w:r>
          </w:p>
        </w:tc>
        <w:tc>
          <w:tcPr>
            <w:tcW w:w="816" w:type="dxa"/>
            <w:tcBorders>
              <w:top w:val="nil"/>
              <w:left w:val="nil"/>
              <w:bottom w:val="single" w:color="auto" w:sz="4" w:space="0"/>
              <w:right w:val="single" w:color="auto" w:sz="4" w:space="0"/>
            </w:tcBorders>
            <w:noWrap w:val="0"/>
            <w:vAlign w:val="center"/>
          </w:tcPr>
          <w:p w14:paraId="31B04CD7">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54C0B5D0">
            <w:pPr>
              <w:widowControl/>
              <w:jc w:val="center"/>
              <w:rPr>
                <w:rFonts w:ascii="宋体" w:hAnsi="宋体" w:cs="宋体"/>
                <w:kern w:val="0"/>
                <w:sz w:val="18"/>
                <w:szCs w:val="18"/>
              </w:rPr>
            </w:pPr>
            <w:r>
              <w:rPr>
                <w:rFonts w:hint="eastAsia" w:ascii="宋体" w:hAnsi="宋体" w:cs="宋体"/>
                <w:kern w:val="0"/>
                <w:sz w:val="18"/>
                <w:szCs w:val="18"/>
              </w:rPr>
              <w:t xml:space="preserve">7.413 </w:t>
            </w:r>
          </w:p>
        </w:tc>
      </w:tr>
      <w:tr w14:paraId="5197AD0F">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4CC4293A">
            <w:pPr>
              <w:widowControl/>
              <w:jc w:val="left"/>
              <w:rPr>
                <w:rFonts w:ascii="宋体" w:hAnsi="宋体" w:cs="宋体"/>
                <w:kern w:val="0"/>
                <w:sz w:val="18"/>
                <w:szCs w:val="18"/>
              </w:rPr>
            </w:pPr>
            <w:r>
              <w:rPr>
                <w:rFonts w:hint="eastAsia" w:ascii="宋体" w:hAnsi="宋体" w:cs="宋体"/>
                <w:kern w:val="0"/>
                <w:sz w:val="18"/>
                <w:szCs w:val="18"/>
              </w:rPr>
              <w:t>K9</w:t>
            </w:r>
          </w:p>
        </w:tc>
        <w:tc>
          <w:tcPr>
            <w:tcW w:w="540" w:type="dxa"/>
            <w:tcBorders>
              <w:top w:val="nil"/>
              <w:left w:val="nil"/>
              <w:bottom w:val="single" w:color="auto" w:sz="4" w:space="0"/>
              <w:right w:val="single" w:color="auto" w:sz="4" w:space="0"/>
            </w:tcBorders>
            <w:noWrap w:val="0"/>
            <w:vAlign w:val="center"/>
          </w:tcPr>
          <w:p w14:paraId="561846A9">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30E8DB19">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0340C589">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572F7B8B">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5CB4A3B5">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55DEBB8C">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430D8B3C">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760" w:type="dxa"/>
            <w:tcBorders>
              <w:top w:val="nil"/>
              <w:left w:val="nil"/>
              <w:bottom w:val="single" w:color="auto" w:sz="4" w:space="0"/>
              <w:right w:val="single" w:color="auto" w:sz="4" w:space="0"/>
            </w:tcBorders>
            <w:noWrap w:val="0"/>
            <w:vAlign w:val="center"/>
          </w:tcPr>
          <w:p w14:paraId="0EF0B77C">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820" w:type="dxa"/>
            <w:tcBorders>
              <w:top w:val="nil"/>
              <w:left w:val="nil"/>
              <w:bottom w:val="single" w:color="auto" w:sz="4" w:space="0"/>
              <w:right w:val="single" w:color="auto" w:sz="4" w:space="0"/>
            </w:tcBorders>
            <w:noWrap w:val="0"/>
            <w:vAlign w:val="center"/>
          </w:tcPr>
          <w:p w14:paraId="0AD90AD2">
            <w:pPr>
              <w:widowControl/>
              <w:jc w:val="center"/>
              <w:rPr>
                <w:rFonts w:ascii="宋体" w:hAnsi="宋体" w:cs="宋体"/>
                <w:kern w:val="0"/>
                <w:sz w:val="18"/>
                <w:szCs w:val="18"/>
              </w:rPr>
            </w:pPr>
            <w:r>
              <w:rPr>
                <w:rFonts w:hint="eastAsia" w:ascii="宋体" w:hAnsi="宋体" w:cs="宋体"/>
                <w:kern w:val="0"/>
                <w:sz w:val="18"/>
                <w:szCs w:val="18"/>
              </w:rPr>
              <w:t>14.31</w:t>
            </w:r>
          </w:p>
        </w:tc>
        <w:tc>
          <w:tcPr>
            <w:tcW w:w="816" w:type="dxa"/>
            <w:tcBorders>
              <w:top w:val="nil"/>
              <w:left w:val="nil"/>
              <w:bottom w:val="single" w:color="auto" w:sz="4" w:space="0"/>
              <w:right w:val="single" w:color="auto" w:sz="4" w:space="0"/>
            </w:tcBorders>
            <w:noWrap w:val="0"/>
            <w:vAlign w:val="center"/>
          </w:tcPr>
          <w:p w14:paraId="4E27A7F4">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585ABD54">
            <w:pPr>
              <w:widowControl/>
              <w:jc w:val="center"/>
              <w:rPr>
                <w:rFonts w:ascii="宋体" w:hAnsi="宋体" w:cs="宋体"/>
                <w:kern w:val="0"/>
                <w:sz w:val="18"/>
                <w:szCs w:val="18"/>
              </w:rPr>
            </w:pPr>
            <w:r>
              <w:rPr>
                <w:rFonts w:hint="eastAsia" w:ascii="宋体" w:hAnsi="宋体" w:cs="宋体"/>
                <w:kern w:val="0"/>
                <w:sz w:val="18"/>
                <w:szCs w:val="18"/>
              </w:rPr>
              <w:t xml:space="preserve">9.152 </w:t>
            </w:r>
          </w:p>
        </w:tc>
      </w:tr>
      <w:tr w14:paraId="2422671F">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17FCD60C">
            <w:pPr>
              <w:widowControl/>
              <w:jc w:val="left"/>
              <w:rPr>
                <w:rFonts w:ascii="宋体" w:hAnsi="宋体" w:cs="宋体"/>
                <w:kern w:val="0"/>
                <w:sz w:val="18"/>
                <w:szCs w:val="18"/>
              </w:rPr>
            </w:pPr>
            <w:r>
              <w:rPr>
                <w:rFonts w:hint="eastAsia" w:ascii="宋体" w:hAnsi="宋体" w:cs="宋体"/>
                <w:kern w:val="0"/>
                <w:sz w:val="18"/>
                <w:szCs w:val="18"/>
              </w:rPr>
              <w:t>K10</w:t>
            </w:r>
          </w:p>
        </w:tc>
        <w:tc>
          <w:tcPr>
            <w:tcW w:w="540" w:type="dxa"/>
            <w:tcBorders>
              <w:top w:val="nil"/>
              <w:left w:val="nil"/>
              <w:bottom w:val="single" w:color="auto" w:sz="4" w:space="0"/>
              <w:right w:val="single" w:color="auto" w:sz="4" w:space="0"/>
            </w:tcBorders>
            <w:noWrap w:val="0"/>
            <w:vAlign w:val="center"/>
          </w:tcPr>
          <w:p w14:paraId="50E8F1B7">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4AC269EF">
            <w:pPr>
              <w:widowControl/>
              <w:jc w:val="center"/>
              <w:rPr>
                <w:rFonts w:ascii="宋体" w:hAnsi="宋体" w:cs="宋体"/>
                <w:kern w:val="0"/>
                <w:sz w:val="18"/>
                <w:szCs w:val="18"/>
              </w:rPr>
            </w:pPr>
            <w:r>
              <w:rPr>
                <w:rFonts w:hint="eastAsia" w:ascii="宋体" w:hAnsi="宋体" w:cs="宋体"/>
                <w:kern w:val="0"/>
                <w:sz w:val="18"/>
                <w:szCs w:val="18"/>
              </w:rPr>
              <w:t>0.97</w:t>
            </w:r>
          </w:p>
        </w:tc>
        <w:tc>
          <w:tcPr>
            <w:tcW w:w="720" w:type="dxa"/>
            <w:tcBorders>
              <w:top w:val="nil"/>
              <w:left w:val="nil"/>
              <w:bottom w:val="single" w:color="auto" w:sz="4" w:space="0"/>
              <w:right w:val="single" w:color="auto" w:sz="4" w:space="0"/>
            </w:tcBorders>
            <w:noWrap w:val="0"/>
            <w:vAlign w:val="center"/>
          </w:tcPr>
          <w:p w14:paraId="3D7D657A">
            <w:pPr>
              <w:widowControl/>
              <w:jc w:val="center"/>
              <w:rPr>
                <w:rFonts w:ascii="宋体" w:hAnsi="宋体" w:cs="宋体"/>
                <w:kern w:val="0"/>
                <w:sz w:val="18"/>
                <w:szCs w:val="18"/>
              </w:rPr>
            </w:pPr>
            <w:r>
              <w:rPr>
                <w:rFonts w:hint="eastAsia" w:ascii="宋体" w:hAnsi="宋体" w:cs="宋体"/>
                <w:kern w:val="0"/>
                <w:sz w:val="18"/>
                <w:szCs w:val="18"/>
              </w:rPr>
              <w:t xml:space="preserve">1.031 </w:t>
            </w:r>
          </w:p>
        </w:tc>
        <w:tc>
          <w:tcPr>
            <w:tcW w:w="756" w:type="dxa"/>
            <w:tcBorders>
              <w:top w:val="nil"/>
              <w:left w:val="nil"/>
              <w:bottom w:val="single" w:color="auto" w:sz="4" w:space="0"/>
              <w:right w:val="single" w:color="auto" w:sz="4" w:space="0"/>
            </w:tcBorders>
            <w:noWrap w:val="0"/>
            <w:vAlign w:val="center"/>
          </w:tcPr>
          <w:p w14:paraId="311BEC44">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1BD5940D">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6A6BC265">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11AC8B99">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760" w:type="dxa"/>
            <w:tcBorders>
              <w:top w:val="nil"/>
              <w:left w:val="nil"/>
              <w:bottom w:val="single" w:color="auto" w:sz="4" w:space="0"/>
              <w:right w:val="single" w:color="auto" w:sz="4" w:space="0"/>
            </w:tcBorders>
            <w:noWrap w:val="0"/>
            <w:vAlign w:val="center"/>
          </w:tcPr>
          <w:p w14:paraId="48FBD66F">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820" w:type="dxa"/>
            <w:tcBorders>
              <w:top w:val="nil"/>
              <w:left w:val="nil"/>
              <w:bottom w:val="single" w:color="auto" w:sz="4" w:space="0"/>
              <w:right w:val="single" w:color="auto" w:sz="4" w:space="0"/>
            </w:tcBorders>
            <w:noWrap w:val="0"/>
            <w:vAlign w:val="center"/>
          </w:tcPr>
          <w:p w14:paraId="55B60709">
            <w:pPr>
              <w:widowControl/>
              <w:jc w:val="center"/>
              <w:rPr>
                <w:rFonts w:ascii="宋体" w:hAnsi="宋体" w:cs="宋体"/>
                <w:kern w:val="0"/>
                <w:sz w:val="18"/>
                <w:szCs w:val="18"/>
              </w:rPr>
            </w:pPr>
            <w:r>
              <w:rPr>
                <w:rFonts w:hint="eastAsia" w:ascii="宋体" w:hAnsi="宋体" w:cs="宋体"/>
                <w:kern w:val="0"/>
                <w:sz w:val="18"/>
                <w:szCs w:val="18"/>
              </w:rPr>
              <w:t>14.66</w:t>
            </w:r>
          </w:p>
        </w:tc>
        <w:tc>
          <w:tcPr>
            <w:tcW w:w="816" w:type="dxa"/>
            <w:tcBorders>
              <w:top w:val="nil"/>
              <w:left w:val="nil"/>
              <w:bottom w:val="single" w:color="auto" w:sz="4" w:space="0"/>
              <w:right w:val="single" w:color="auto" w:sz="4" w:space="0"/>
            </w:tcBorders>
            <w:noWrap w:val="0"/>
            <w:vAlign w:val="center"/>
          </w:tcPr>
          <w:p w14:paraId="02CE0C47">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53199EB2">
            <w:pPr>
              <w:widowControl/>
              <w:jc w:val="center"/>
              <w:rPr>
                <w:rFonts w:ascii="宋体" w:hAnsi="宋体" w:cs="宋体"/>
                <w:kern w:val="0"/>
                <w:sz w:val="18"/>
                <w:szCs w:val="18"/>
              </w:rPr>
            </w:pPr>
            <w:r>
              <w:rPr>
                <w:rFonts w:hint="eastAsia" w:ascii="宋体" w:hAnsi="宋体" w:cs="宋体"/>
                <w:kern w:val="0"/>
                <w:sz w:val="18"/>
                <w:szCs w:val="18"/>
              </w:rPr>
              <w:t xml:space="preserve">9.300 </w:t>
            </w:r>
          </w:p>
        </w:tc>
      </w:tr>
      <w:tr w14:paraId="3DA3C9D0">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4133A6AF">
            <w:pPr>
              <w:widowControl/>
              <w:jc w:val="left"/>
              <w:rPr>
                <w:rFonts w:ascii="宋体" w:hAnsi="宋体" w:cs="宋体"/>
                <w:kern w:val="0"/>
                <w:sz w:val="18"/>
                <w:szCs w:val="18"/>
              </w:rPr>
            </w:pPr>
            <w:r>
              <w:rPr>
                <w:rFonts w:hint="eastAsia" w:ascii="宋体" w:hAnsi="宋体" w:cs="宋体"/>
                <w:kern w:val="0"/>
                <w:sz w:val="18"/>
                <w:szCs w:val="18"/>
              </w:rPr>
              <w:t>K13</w:t>
            </w:r>
          </w:p>
        </w:tc>
        <w:tc>
          <w:tcPr>
            <w:tcW w:w="540" w:type="dxa"/>
            <w:tcBorders>
              <w:top w:val="nil"/>
              <w:left w:val="nil"/>
              <w:bottom w:val="single" w:color="auto" w:sz="4" w:space="0"/>
              <w:right w:val="single" w:color="auto" w:sz="4" w:space="0"/>
            </w:tcBorders>
            <w:noWrap w:val="0"/>
            <w:vAlign w:val="center"/>
          </w:tcPr>
          <w:p w14:paraId="32E81095">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32B3020B">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293C871E">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3AFAE7C9">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1547923A">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440A6400">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3E654693">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60" w:type="dxa"/>
            <w:tcBorders>
              <w:top w:val="nil"/>
              <w:left w:val="nil"/>
              <w:bottom w:val="single" w:color="auto" w:sz="4" w:space="0"/>
              <w:right w:val="single" w:color="auto" w:sz="4" w:space="0"/>
            </w:tcBorders>
            <w:noWrap w:val="0"/>
            <w:vAlign w:val="center"/>
          </w:tcPr>
          <w:p w14:paraId="3060AF85">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820" w:type="dxa"/>
            <w:tcBorders>
              <w:top w:val="nil"/>
              <w:left w:val="nil"/>
              <w:bottom w:val="single" w:color="auto" w:sz="4" w:space="0"/>
              <w:right w:val="single" w:color="auto" w:sz="4" w:space="0"/>
            </w:tcBorders>
            <w:noWrap w:val="0"/>
            <w:vAlign w:val="center"/>
          </w:tcPr>
          <w:p w14:paraId="5853C295">
            <w:pPr>
              <w:widowControl/>
              <w:jc w:val="center"/>
              <w:rPr>
                <w:rFonts w:ascii="宋体" w:hAnsi="宋体" w:cs="宋体"/>
                <w:kern w:val="0"/>
                <w:sz w:val="18"/>
                <w:szCs w:val="18"/>
              </w:rPr>
            </w:pPr>
            <w:r>
              <w:rPr>
                <w:rFonts w:hint="eastAsia" w:ascii="宋体" w:hAnsi="宋体" w:cs="宋体"/>
                <w:kern w:val="0"/>
                <w:sz w:val="18"/>
                <w:szCs w:val="18"/>
              </w:rPr>
              <w:t>15.92</w:t>
            </w:r>
          </w:p>
        </w:tc>
        <w:tc>
          <w:tcPr>
            <w:tcW w:w="816" w:type="dxa"/>
            <w:tcBorders>
              <w:top w:val="nil"/>
              <w:left w:val="nil"/>
              <w:bottom w:val="single" w:color="auto" w:sz="4" w:space="0"/>
              <w:right w:val="single" w:color="auto" w:sz="4" w:space="0"/>
            </w:tcBorders>
            <w:noWrap w:val="0"/>
            <w:vAlign w:val="center"/>
          </w:tcPr>
          <w:p w14:paraId="1ED619F9">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552DACF3">
            <w:pPr>
              <w:widowControl/>
              <w:jc w:val="center"/>
              <w:rPr>
                <w:rFonts w:ascii="宋体" w:hAnsi="宋体" w:cs="宋体"/>
                <w:kern w:val="0"/>
                <w:sz w:val="18"/>
                <w:szCs w:val="18"/>
              </w:rPr>
            </w:pPr>
            <w:r>
              <w:rPr>
                <w:rFonts w:hint="eastAsia" w:ascii="宋体" w:hAnsi="宋体" w:cs="宋体"/>
                <w:kern w:val="0"/>
                <w:sz w:val="18"/>
                <w:szCs w:val="18"/>
              </w:rPr>
              <w:t xml:space="preserve">10.734 </w:t>
            </w:r>
          </w:p>
        </w:tc>
      </w:tr>
      <w:tr w14:paraId="4DE47E80">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6995B648">
            <w:pPr>
              <w:widowControl/>
              <w:jc w:val="left"/>
              <w:rPr>
                <w:rFonts w:ascii="宋体" w:hAnsi="宋体" w:cs="宋体"/>
                <w:kern w:val="0"/>
                <w:sz w:val="18"/>
                <w:szCs w:val="18"/>
              </w:rPr>
            </w:pPr>
            <w:r>
              <w:rPr>
                <w:rFonts w:hint="eastAsia" w:ascii="宋体" w:hAnsi="宋体" w:cs="宋体"/>
                <w:kern w:val="0"/>
                <w:sz w:val="18"/>
                <w:szCs w:val="18"/>
              </w:rPr>
              <w:t>K18</w:t>
            </w:r>
          </w:p>
        </w:tc>
        <w:tc>
          <w:tcPr>
            <w:tcW w:w="540" w:type="dxa"/>
            <w:tcBorders>
              <w:top w:val="nil"/>
              <w:left w:val="nil"/>
              <w:bottom w:val="single" w:color="auto" w:sz="4" w:space="0"/>
              <w:right w:val="single" w:color="auto" w:sz="4" w:space="0"/>
            </w:tcBorders>
            <w:noWrap w:val="0"/>
            <w:vAlign w:val="center"/>
          </w:tcPr>
          <w:p w14:paraId="681E8B41">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7C622C7C">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33D2C132">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6FE1EC05">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262628D2">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0A6A1470">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2B6C348D">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760" w:type="dxa"/>
            <w:tcBorders>
              <w:top w:val="nil"/>
              <w:left w:val="nil"/>
              <w:bottom w:val="single" w:color="auto" w:sz="4" w:space="0"/>
              <w:right w:val="single" w:color="auto" w:sz="4" w:space="0"/>
            </w:tcBorders>
            <w:noWrap w:val="0"/>
            <w:vAlign w:val="center"/>
          </w:tcPr>
          <w:p w14:paraId="7E795C89">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820" w:type="dxa"/>
            <w:tcBorders>
              <w:top w:val="nil"/>
              <w:left w:val="nil"/>
              <w:bottom w:val="single" w:color="auto" w:sz="4" w:space="0"/>
              <w:right w:val="single" w:color="auto" w:sz="4" w:space="0"/>
            </w:tcBorders>
            <w:noWrap w:val="0"/>
            <w:vAlign w:val="center"/>
          </w:tcPr>
          <w:p w14:paraId="6AE97C72">
            <w:pPr>
              <w:widowControl/>
              <w:jc w:val="center"/>
              <w:rPr>
                <w:rFonts w:ascii="宋体" w:hAnsi="宋体" w:cs="宋体"/>
                <w:kern w:val="0"/>
                <w:sz w:val="18"/>
                <w:szCs w:val="18"/>
              </w:rPr>
            </w:pPr>
            <w:r>
              <w:rPr>
                <w:rFonts w:hint="eastAsia" w:ascii="宋体" w:hAnsi="宋体" w:cs="宋体"/>
                <w:kern w:val="0"/>
                <w:sz w:val="18"/>
                <w:szCs w:val="18"/>
              </w:rPr>
              <w:t>16.04</w:t>
            </w:r>
          </w:p>
        </w:tc>
        <w:tc>
          <w:tcPr>
            <w:tcW w:w="816" w:type="dxa"/>
            <w:tcBorders>
              <w:top w:val="nil"/>
              <w:left w:val="nil"/>
              <w:bottom w:val="single" w:color="auto" w:sz="4" w:space="0"/>
              <w:right w:val="single" w:color="auto" w:sz="4" w:space="0"/>
            </w:tcBorders>
            <w:noWrap w:val="0"/>
            <w:vAlign w:val="center"/>
          </w:tcPr>
          <w:p w14:paraId="77D541C1">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351558E8">
            <w:pPr>
              <w:widowControl/>
              <w:jc w:val="center"/>
              <w:rPr>
                <w:rFonts w:ascii="宋体" w:hAnsi="宋体" w:cs="宋体"/>
                <w:kern w:val="0"/>
                <w:sz w:val="18"/>
                <w:szCs w:val="18"/>
              </w:rPr>
            </w:pPr>
            <w:r>
              <w:rPr>
                <w:rFonts w:hint="eastAsia" w:ascii="宋体" w:hAnsi="宋体" w:cs="宋体"/>
                <w:kern w:val="0"/>
                <w:sz w:val="18"/>
                <w:szCs w:val="18"/>
              </w:rPr>
              <w:t xml:space="preserve">10.852 </w:t>
            </w:r>
          </w:p>
        </w:tc>
      </w:tr>
      <w:tr w14:paraId="70A78151">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68B3A4ED">
            <w:pPr>
              <w:widowControl/>
              <w:jc w:val="left"/>
              <w:rPr>
                <w:rFonts w:ascii="宋体" w:hAnsi="宋体" w:cs="宋体"/>
                <w:kern w:val="0"/>
                <w:sz w:val="18"/>
                <w:szCs w:val="18"/>
              </w:rPr>
            </w:pPr>
            <w:r>
              <w:rPr>
                <w:rFonts w:hint="eastAsia" w:ascii="宋体" w:hAnsi="宋体" w:cs="宋体"/>
                <w:kern w:val="0"/>
                <w:sz w:val="18"/>
                <w:szCs w:val="18"/>
              </w:rPr>
              <w:t>K26</w:t>
            </w:r>
          </w:p>
        </w:tc>
        <w:tc>
          <w:tcPr>
            <w:tcW w:w="540" w:type="dxa"/>
            <w:tcBorders>
              <w:top w:val="nil"/>
              <w:left w:val="nil"/>
              <w:bottom w:val="single" w:color="auto" w:sz="4" w:space="0"/>
              <w:right w:val="single" w:color="auto" w:sz="4" w:space="0"/>
            </w:tcBorders>
            <w:noWrap w:val="0"/>
            <w:vAlign w:val="center"/>
          </w:tcPr>
          <w:p w14:paraId="7607E347">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0B8ABDEF">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15E31B2E">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1C76B54C">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57EB8280">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6A4B674E">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1FBADAE4">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760" w:type="dxa"/>
            <w:tcBorders>
              <w:top w:val="nil"/>
              <w:left w:val="nil"/>
              <w:bottom w:val="single" w:color="auto" w:sz="4" w:space="0"/>
              <w:right w:val="single" w:color="auto" w:sz="4" w:space="0"/>
            </w:tcBorders>
            <w:noWrap w:val="0"/>
            <w:vAlign w:val="center"/>
          </w:tcPr>
          <w:p w14:paraId="388AE29A">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820" w:type="dxa"/>
            <w:tcBorders>
              <w:top w:val="nil"/>
              <w:left w:val="nil"/>
              <w:bottom w:val="single" w:color="auto" w:sz="4" w:space="0"/>
              <w:right w:val="single" w:color="auto" w:sz="4" w:space="0"/>
            </w:tcBorders>
            <w:noWrap w:val="0"/>
            <w:vAlign w:val="center"/>
          </w:tcPr>
          <w:p w14:paraId="750D063D">
            <w:pPr>
              <w:widowControl/>
              <w:jc w:val="center"/>
              <w:rPr>
                <w:rFonts w:ascii="宋体" w:hAnsi="宋体" w:cs="宋体"/>
                <w:kern w:val="0"/>
                <w:sz w:val="18"/>
                <w:szCs w:val="18"/>
              </w:rPr>
            </w:pPr>
            <w:r>
              <w:rPr>
                <w:rFonts w:hint="eastAsia" w:ascii="宋体" w:hAnsi="宋体" w:cs="宋体"/>
                <w:kern w:val="0"/>
                <w:sz w:val="18"/>
                <w:szCs w:val="18"/>
              </w:rPr>
              <w:t>15.95</w:t>
            </w:r>
          </w:p>
        </w:tc>
        <w:tc>
          <w:tcPr>
            <w:tcW w:w="816" w:type="dxa"/>
            <w:tcBorders>
              <w:top w:val="nil"/>
              <w:left w:val="nil"/>
              <w:bottom w:val="single" w:color="auto" w:sz="4" w:space="0"/>
              <w:right w:val="single" w:color="auto" w:sz="4" w:space="0"/>
            </w:tcBorders>
            <w:noWrap w:val="0"/>
            <w:vAlign w:val="center"/>
          </w:tcPr>
          <w:p w14:paraId="2638CBE7">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140" w:type="dxa"/>
            <w:tcBorders>
              <w:top w:val="nil"/>
              <w:left w:val="nil"/>
              <w:bottom w:val="single" w:color="auto" w:sz="4" w:space="0"/>
              <w:right w:val="single" w:color="auto" w:sz="4" w:space="0"/>
            </w:tcBorders>
            <w:noWrap w:val="0"/>
            <w:vAlign w:val="center"/>
          </w:tcPr>
          <w:p w14:paraId="6D139170">
            <w:pPr>
              <w:widowControl/>
              <w:jc w:val="center"/>
              <w:rPr>
                <w:rFonts w:ascii="宋体" w:hAnsi="宋体" w:cs="宋体"/>
                <w:kern w:val="0"/>
                <w:sz w:val="18"/>
                <w:szCs w:val="18"/>
              </w:rPr>
            </w:pPr>
            <w:r>
              <w:rPr>
                <w:rFonts w:hint="eastAsia" w:ascii="宋体" w:hAnsi="宋体" w:cs="宋体"/>
                <w:kern w:val="0"/>
                <w:sz w:val="18"/>
                <w:szCs w:val="18"/>
              </w:rPr>
              <w:t xml:space="preserve">10.764 </w:t>
            </w:r>
          </w:p>
        </w:tc>
      </w:tr>
      <w:tr w14:paraId="5FF44512">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7715EC16">
            <w:pPr>
              <w:widowControl/>
              <w:jc w:val="left"/>
              <w:rPr>
                <w:rFonts w:ascii="宋体" w:hAnsi="宋体" w:cs="宋体"/>
                <w:kern w:val="0"/>
                <w:sz w:val="18"/>
                <w:szCs w:val="18"/>
              </w:rPr>
            </w:pPr>
            <w:r>
              <w:rPr>
                <w:rFonts w:hint="eastAsia" w:ascii="宋体" w:hAnsi="宋体" w:cs="宋体"/>
                <w:kern w:val="0"/>
                <w:sz w:val="18"/>
                <w:szCs w:val="18"/>
              </w:rPr>
              <w:t>K35-b</w:t>
            </w:r>
          </w:p>
        </w:tc>
        <w:tc>
          <w:tcPr>
            <w:tcW w:w="540" w:type="dxa"/>
            <w:tcBorders>
              <w:top w:val="nil"/>
              <w:left w:val="nil"/>
              <w:bottom w:val="single" w:color="auto" w:sz="4" w:space="0"/>
              <w:right w:val="single" w:color="auto" w:sz="4" w:space="0"/>
            </w:tcBorders>
            <w:noWrap w:val="0"/>
            <w:vAlign w:val="center"/>
          </w:tcPr>
          <w:p w14:paraId="58071ACA">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1C97E759">
            <w:pPr>
              <w:widowControl/>
              <w:jc w:val="center"/>
              <w:rPr>
                <w:rFonts w:ascii="宋体" w:hAnsi="宋体" w:cs="宋体"/>
                <w:kern w:val="0"/>
                <w:sz w:val="18"/>
                <w:szCs w:val="18"/>
              </w:rPr>
            </w:pPr>
            <w:r>
              <w:rPr>
                <w:rFonts w:hint="eastAsia" w:ascii="宋体" w:hAnsi="宋体" w:cs="宋体"/>
                <w:kern w:val="0"/>
                <w:sz w:val="18"/>
                <w:szCs w:val="18"/>
              </w:rPr>
              <w:t>0.97</w:t>
            </w:r>
          </w:p>
        </w:tc>
        <w:tc>
          <w:tcPr>
            <w:tcW w:w="720" w:type="dxa"/>
            <w:tcBorders>
              <w:top w:val="nil"/>
              <w:left w:val="nil"/>
              <w:bottom w:val="single" w:color="auto" w:sz="4" w:space="0"/>
              <w:right w:val="single" w:color="auto" w:sz="4" w:space="0"/>
            </w:tcBorders>
            <w:noWrap w:val="0"/>
            <w:vAlign w:val="center"/>
          </w:tcPr>
          <w:p w14:paraId="2CFDA1AF">
            <w:pPr>
              <w:widowControl/>
              <w:jc w:val="center"/>
              <w:rPr>
                <w:rFonts w:ascii="宋体" w:hAnsi="宋体" w:cs="宋体"/>
                <w:kern w:val="0"/>
                <w:sz w:val="18"/>
                <w:szCs w:val="18"/>
              </w:rPr>
            </w:pPr>
            <w:r>
              <w:rPr>
                <w:rFonts w:hint="eastAsia" w:ascii="宋体" w:hAnsi="宋体" w:cs="宋体"/>
                <w:kern w:val="0"/>
                <w:sz w:val="18"/>
                <w:szCs w:val="18"/>
              </w:rPr>
              <w:t xml:space="preserve">1.031 </w:t>
            </w:r>
          </w:p>
        </w:tc>
        <w:tc>
          <w:tcPr>
            <w:tcW w:w="756" w:type="dxa"/>
            <w:tcBorders>
              <w:top w:val="nil"/>
              <w:left w:val="nil"/>
              <w:bottom w:val="single" w:color="auto" w:sz="4" w:space="0"/>
              <w:right w:val="single" w:color="auto" w:sz="4" w:space="0"/>
            </w:tcBorders>
            <w:noWrap w:val="0"/>
            <w:vAlign w:val="center"/>
          </w:tcPr>
          <w:p w14:paraId="11EFE151">
            <w:pPr>
              <w:widowControl/>
              <w:jc w:val="center"/>
              <w:rPr>
                <w:rFonts w:ascii="宋体" w:hAnsi="宋体" w:cs="宋体"/>
                <w:kern w:val="0"/>
                <w:sz w:val="18"/>
                <w:szCs w:val="18"/>
              </w:rPr>
            </w:pPr>
            <w:r>
              <w:rPr>
                <w:rFonts w:hint="eastAsia" w:ascii="宋体" w:hAnsi="宋体" w:cs="宋体"/>
                <w:kern w:val="0"/>
                <w:sz w:val="18"/>
                <w:szCs w:val="18"/>
              </w:rPr>
              <w:t>0.7183</w:t>
            </w:r>
          </w:p>
        </w:tc>
        <w:tc>
          <w:tcPr>
            <w:tcW w:w="580" w:type="dxa"/>
            <w:tcBorders>
              <w:top w:val="nil"/>
              <w:left w:val="nil"/>
              <w:bottom w:val="single" w:color="auto" w:sz="4" w:space="0"/>
              <w:right w:val="single" w:color="auto" w:sz="4" w:space="0"/>
            </w:tcBorders>
            <w:noWrap w:val="0"/>
            <w:vAlign w:val="center"/>
          </w:tcPr>
          <w:p w14:paraId="5605E082">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3F3B219F">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700" w:type="dxa"/>
            <w:tcBorders>
              <w:top w:val="nil"/>
              <w:left w:val="nil"/>
              <w:bottom w:val="single" w:color="auto" w:sz="4" w:space="0"/>
              <w:right w:val="single" w:color="auto" w:sz="4" w:space="0"/>
            </w:tcBorders>
            <w:noWrap w:val="0"/>
            <w:vAlign w:val="center"/>
          </w:tcPr>
          <w:p w14:paraId="40860040">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760" w:type="dxa"/>
            <w:tcBorders>
              <w:top w:val="nil"/>
              <w:left w:val="nil"/>
              <w:bottom w:val="single" w:color="auto" w:sz="4" w:space="0"/>
              <w:right w:val="single" w:color="auto" w:sz="4" w:space="0"/>
            </w:tcBorders>
            <w:noWrap w:val="0"/>
            <w:vAlign w:val="center"/>
          </w:tcPr>
          <w:p w14:paraId="2FF9D94F">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820" w:type="dxa"/>
            <w:tcBorders>
              <w:top w:val="nil"/>
              <w:left w:val="nil"/>
              <w:bottom w:val="single" w:color="auto" w:sz="4" w:space="0"/>
              <w:right w:val="single" w:color="auto" w:sz="4" w:space="0"/>
            </w:tcBorders>
            <w:noWrap w:val="0"/>
            <w:vAlign w:val="center"/>
          </w:tcPr>
          <w:p w14:paraId="3FEF6B8C">
            <w:pPr>
              <w:widowControl/>
              <w:jc w:val="center"/>
              <w:rPr>
                <w:rFonts w:ascii="宋体" w:hAnsi="宋体" w:cs="宋体"/>
                <w:kern w:val="0"/>
                <w:sz w:val="18"/>
                <w:szCs w:val="18"/>
              </w:rPr>
            </w:pPr>
            <w:r>
              <w:rPr>
                <w:rFonts w:hint="eastAsia" w:ascii="宋体" w:hAnsi="宋体" w:cs="宋体"/>
                <w:kern w:val="0"/>
                <w:sz w:val="18"/>
                <w:szCs w:val="18"/>
              </w:rPr>
              <w:t>14.92</w:t>
            </w:r>
          </w:p>
        </w:tc>
        <w:tc>
          <w:tcPr>
            <w:tcW w:w="816" w:type="dxa"/>
            <w:tcBorders>
              <w:top w:val="nil"/>
              <w:left w:val="nil"/>
              <w:bottom w:val="single" w:color="auto" w:sz="4" w:space="0"/>
              <w:right w:val="single" w:color="auto" w:sz="4" w:space="0"/>
            </w:tcBorders>
            <w:noWrap w:val="0"/>
            <w:vAlign w:val="center"/>
          </w:tcPr>
          <w:p w14:paraId="69C992AB">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140" w:type="dxa"/>
            <w:tcBorders>
              <w:top w:val="nil"/>
              <w:left w:val="nil"/>
              <w:bottom w:val="single" w:color="auto" w:sz="4" w:space="0"/>
              <w:right w:val="single" w:color="auto" w:sz="4" w:space="0"/>
            </w:tcBorders>
            <w:noWrap w:val="0"/>
            <w:vAlign w:val="center"/>
          </w:tcPr>
          <w:p w14:paraId="10AD3CB6">
            <w:pPr>
              <w:widowControl/>
              <w:jc w:val="center"/>
              <w:rPr>
                <w:rFonts w:ascii="宋体" w:hAnsi="宋体" w:cs="宋体"/>
                <w:kern w:val="0"/>
                <w:sz w:val="18"/>
                <w:szCs w:val="18"/>
              </w:rPr>
            </w:pPr>
            <w:r>
              <w:rPr>
                <w:rFonts w:hint="eastAsia" w:ascii="宋体" w:hAnsi="宋体" w:cs="宋体"/>
                <w:kern w:val="0"/>
                <w:sz w:val="18"/>
                <w:szCs w:val="18"/>
              </w:rPr>
              <w:t xml:space="preserve">8.587 </w:t>
            </w:r>
          </w:p>
        </w:tc>
      </w:tr>
      <w:tr w14:paraId="36513B04">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10FC7CDB">
            <w:pPr>
              <w:widowControl/>
              <w:jc w:val="left"/>
              <w:rPr>
                <w:rFonts w:ascii="宋体" w:hAnsi="宋体" w:cs="宋体"/>
                <w:kern w:val="0"/>
                <w:sz w:val="18"/>
                <w:szCs w:val="18"/>
              </w:rPr>
            </w:pPr>
            <w:r>
              <w:rPr>
                <w:rFonts w:hint="eastAsia" w:ascii="宋体" w:hAnsi="宋体" w:cs="宋体"/>
                <w:kern w:val="0"/>
                <w:sz w:val="18"/>
                <w:szCs w:val="18"/>
              </w:rPr>
              <w:t>K106-b</w:t>
            </w:r>
          </w:p>
        </w:tc>
        <w:tc>
          <w:tcPr>
            <w:tcW w:w="540" w:type="dxa"/>
            <w:tcBorders>
              <w:top w:val="nil"/>
              <w:left w:val="nil"/>
              <w:bottom w:val="single" w:color="auto" w:sz="4" w:space="0"/>
              <w:right w:val="single" w:color="auto" w:sz="4" w:space="0"/>
            </w:tcBorders>
            <w:noWrap w:val="0"/>
            <w:vAlign w:val="center"/>
          </w:tcPr>
          <w:p w14:paraId="523179CC">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5C562B7C">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0B5478AA">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6EB4A3A9">
            <w:pPr>
              <w:widowControl/>
              <w:jc w:val="center"/>
              <w:rPr>
                <w:rFonts w:ascii="宋体" w:hAnsi="宋体" w:cs="宋体"/>
                <w:kern w:val="0"/>
                <w:sz w:val="18"/>
                <w:szCs w:val="18"/>
              </w:rPr>
            </w:pPr>
            <w:r>
              <w:rPr>
                <w:rFonts w:hint="eastAsia" w:ascii="宋体" w:hAnsi="宋体" w:cs="宋体"/>
                <w:kern w:val="0"/>
                <w:sz w:val="18"/>
                <w:szCs w:val="18"/>
              </w:rPr>
              <w:t>0.8</w:t>
            </w:r>
          </w:p>
        </w:tc>
        <w:tc>
          <w:tcPr>
            <w:tcW w:w="580" w:type="dxa"/>
            <w:tcBorders>
              <w:top w:val="nil"/>
              <w:left w:val="nil"/>
              <w:bottom w:val="single" w:color="auto" w:sz="4" w:space="0"/>
              <w:right w:val="single" w:color="auto" w:sz="4" w:space="0"/>
            </w:tcBorders>
            <w:noWrap w:val="0"/>
            <w:vAlign w:val="center"/>
          </w:tcPr>
          <w:p w14:paraId="7CFC4960">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2A4AEA9F">
            <w:pPr>
              <w:widowControl/>
              <w:jc w:val="center"/>
              <w:rPr>
                <w:rFonts w:ascii="宋体" w:hAnsi="宋体" w:cs="宋体"/>
                <w:kern w:val="0"/>
                <w:sz w:val="18"/>
                <w:szCs w:val="18"/>
              </w:rPr>
            </w:pPr>
            <w:r>
              <w:rPr>
                <w:rFonts w:hint="eastAsia" w:ascii="宋体" w:hAnsi="宋体" w:cs="宋体"/>
                <w:kern w:val="0"/>
                <w:sz w:val="18"/>
                <w:szCs w:val="18"/>
              </w:rPr>
              <w:t xml:space="preserve">12.0 </w:t>
            </w:r>
          </w:p>
        </w:tc>
        <w:tc>
          <w:tcPr>
            <w:tcW w:w="700" w:type="dxa"/>
            <w:tcBorders>
              <w:top w:val="nil"/>
              <w:left w:val="nil"/>
              <w:bottom w:val="single" w:color="auto" w:sz="4" w:space="0"/>
              <w:right w:val="single" w:color="auto" w:sz="4" w:space="0"/>
            </w:tcBorders>
            <w:noWrap w:val="0"/>
            <w:vAlign w:val="center"/>
          </w:tcPr>
          <w:p w14:paraId="6CF6F2F6">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760" w:type="dxa"/>
            <w:tcBorders>
              <w:top w:val="nil"/>
              <w:left w:val="nil"/>
              <w:bottom w:val="single" w:color="auto" w:sz="4" w:space="0"/>
              <w:right w:val="single" w:color="auto" w:sz="4" w:space="0"/>
            </w:tcBorders>
            <w:noWrap w:val="0"/>
            <w:vAlign w:val="center"/>
          </w:tcPr>
          <w:p w14:paraId="4041FD44">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820" w:type="dxa"/>
            <w:tcBorders>
              <w:top w:val="nil"/>
              <w:left w:val="nil"/>
              <w:bottom w:val="single" w:color="auto" w:sz="4" w:space="0"/>
              <w:right w:val="single" w:color="auto" w:sz="4" w:space="0"/>
            </w:tcBorders>
            <w:noWrap w:val="0"/>
            <w:vAlign w:val="center"/>
          </w:tcPr>
          <w:p w14:paraId="3A37DD16">
            <w:pPr>
              <w:widowControl/>
              <w:jc w:val="center"/>
              <w:rPr>
                <w:rFonts w:ascii="宋体" w:hAnsi="宋体" w:cs="宋体"/>
                <w:kern w:val="0"/>
                <w:sz w:val="18"/>
                <w:szCs w:val="18"/>
              </w:rPr>
            </w:pPr>
            <w:r>
              <w:rPr>
                <w:rFonts w:hint="eastAsia" w:ascii="宋体" w:hAnsi="宋体" w:cs="宋体"/>
                <w:kern w:val="0"/>
                <w:sz w:val="18"/>
                <w:szCs w:val="18"/>
              </w:rPr>
              <w:t>15.44</w:t>
            </w:r>
          </w:p>
        </w:tc>
        <w:tc>
          <w:tcPr>
            <w:tcW w:w="816" w:type="dxa"/>
            <w:tcBorders>
              <w:top w:val="nil"/>
              <w:left w:val="nil"/>
              <w:bottom w:val="single" w:color="auto" w:sz="4" w:space="0"/>
              <w:right w:val="single" w:color="auto" w:sz="4" w:space="0"/>
            </w:tcBorders>
            <w:noWrap w:val="0"/>
            <w:vAlign w:val="center"/>
          </w:tcPr>
          <w:p w14:paraId="7A7BA912">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140" w:type="dxa"/>
            <w:tcBorders>
              <w:top w:val="nil"/>
              <w:left w:val="nil"/>
              <w:bottom w:val="single" w:color="auto" w:sz="4" w:space="0"/>
              <w:right w:val="single" w:color="auto" w:sz="4" w:space="0"/>
            </w:tcBorders>
            <w:noWrap w:val="0"/>
            <w:vAlign w:val="center"/>
          </w:tcPr>
          <w:p w14:paraId="08B77FF3">
            <w:pPr>
              <w:widowControl/>
              <w:jc w:val="center"/>
              <w:rPr>
                <w:rFonts w:ascii="宋体" w:hAnsi="宋体" w:cs="宋体"/>
                <w:kern w:val="0"/>
                <w:sz w:val="18"/>
                <w:szCs w:val="18"/>
              </w:rPr>
            </w:pPr>
            <w:r>
              <w:rPr>
                <w:rFonts w:hint="eastAsia" w:ascii="宋体" w:hAnsi="宋体" w:cs="宋体"/>
                <w:kern w:val="0"/>
                <w:sz w:val="18"/>
                <w:szCs w:val="18"/>
              </w:rPr>
              <w:t xml:space="preserve">10.334 </w:t>
            </w:r>
          </w:p>
        </w:tc>
      </w:tr>
      <w:tr w14:paraId="171B34C3">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3294709F">
            <w:pPr>
              <w:widowControl/>
              <w:jc w:val="left"/>
              <w:rPr>
                <w:rFonts w:ascii="宋体" w:hAnsi="宋体" w:cs="宋体"/>
                <w:kern w:val="0"/>
                <w:sz w:val="18"/>
                <w:szCs w:val="18"/>
              </w:rPr>
            </w:pPr>
            <w:r>
              <w:rPr>
                <w:rFonts w:hint="eastAsia" w:ascii="宋体" w:hAnsi="宋体" w:cs="宋体"/>
                <w:kern w:val="0"/>
                <w:sz w:val="18"/>
                <w:szCs w:val="18"/>
              </w:rPr>
              <w:t>K109-b</w:t>
            </w:r>
          </w:p>
        </w:tc>
        <w:tc>
          <w:tcPr>
            <w:tcW w:w="540" w:type="dxa"/>
            <w:tcBorders>
              <w:top w:val="nil"/>
              <w:left w:val="nil"/>
              <w:bottom w:val="single" w:color="auto" w:sz="4" w:space="0"/>
              <w:right w:val="single" w:color="auto" w:sz="4" w:space="0"/>
            </w:tcBorders>
            <w:noWrap w:val="0"/>
            <w:vAlign w:val="center"/>
          </w:tcPr>
          <w:p w14:paraId="2BD82B63">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3DB3ABAC">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45A7F28F">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00B6BEF3">
            <w:pPr>
              <w:widowControl/>
              <w:jc w:val="center"/>
              <w:rPr>
                <w:rFonts w:ascii="宋体" w:hAnsi="宋体" w:cs="宋体"/>
                <w:kern w:val="0"/>
                <w:sz w:val="18"/>
                <w:szCs w:val="18"/>
              </w:rPr>
            </w:pPr>
            <w:r>
              <w:rPr>
                <w:rFonts w:hint="eastAsia" w:ascii="宋体" w:hAnsi="宋体" w:cs="宋体"/>
                <w:kern w:val="0"/>
                <w:sz w:val="18"/>
                <w:szCs w:val="18"/>
              </w:rPr>
              <w:t>0.8</w:t>
            </w:r>
          </w:p>
        </w:tc>
        <w:tc>
          <w:tcPr>
            <w:tcW w:w="580" w:type="dxa"/>
            <w:tcBorders>
              <w:top w:val="nil"/>
              <w:left w:val="nil"/>
              <w:bottom w:val="single" w:color="auto" w:sz="4" w:space="0"/>
              <w:right w:val="single" w:color="auto" w:sz="4" w:space="0"/>
            </w:tcBorders>
            <w:noWrap w:val="0"/>
            <w:vAlign w:val="center"/>
          </w:tcPr>
          <w:p w14:paraId="7E0B14FA">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10386445">
            <w:pPr>
              <w:widowControl/>
              <w:jc w:val="center"/>
              <w:rPr>
                <w:rFonts w:ascii="宋体" w:hAnsi="宋体" w:cs="宋体"/>
                <w:kern w:val="0"/>
                <w:sz w:val="18"/>
                <w:szCs w:val="18"/>
              </w:rPr>
            </w:pPr>
            <w:r>
              <w:rPr>
                <w:rFonts w:hint="eastAsia" w:ascii="宋体" w:hAnsi="宋体" w:cs="宋体"/>
                <w:kern w:val="0"/>
                <w:sz w:val="18"/>
                <w:szCs w:val="18"/>
              </w:rPr>
              <w:t xml:space="preserve">12.0 </w:t>
            </w:r>
          </w:p>
        </w:tc>
        <w:tc>
          <w:tcPr>
            <w:tcW w:w="700" w:type="dxa"/>
            <w:tcBorders>
              <w:top w:val="nil"/>
              <w:left w:val="nil"/>
              <w:bottom w:val="single" w:color="auto" w:sz="4" w:space="0"/>
              <w:right w:val="single" w:color="auto" w:sz="4" w:space="0"/>
            </w:tcBorders>
            <w:noWrap w:val="0"/>
            <w:vAlign w:val="center"/>
          </w:tcPr>
          <w:p w14:paraId="0813710A">
            <w:pPr>
              <w:widowControl/>
              <w:jc w:val="center"/>
              <w:rPr>
                <w:rFonts w:ascii="宋体" w:hAnsi="宋体" w:cs="宋体"/>
                <w:kern w:val="0"/>
                <w:sz w:val="18"/>
                <w:szCs w:val="18"/>
              </w:rPr>
            </w:pPr>
            <w:r>
              <w:rPr>
                <w:rFonts w:hint="eastAsia" w:ascii="宋体" w:hAnsi="宋体" w:cs="宋体"/>
                <w:kern w:val="0"/>
                <w:sz w:val="18"/>
                <w:szCs w:val="18"/>
              </w:rPr>
              <w:t xml:space="preserve">1.58 </w:t>
            </w:r>
          </w:p>
        </w:tc>
        <w:tc>
          <w:tcPr>
            <w:tcW w:w="760" w:type="dxa"/>
            <w:tcBorders>
              <w:top w:val="nil"/>
              <w:left w:val="nil"/>
              <w:bottom w:val="single" w:color="auto" w:sz="4" w:space="0"/>
              <w:right w:val="single" w:color="auto" w:sz="4" w:space="0"/>
            </w:tcBorders>
            <w:noWrap w:val="0"/>
            <w:vAlign w:val="center"/>
          </w:tcPr>
          <w:p w14:paraId="0DEC2422">
            <w:pPr>
              <w:widowControl/>
              <w:jc w:val="center"/>
              <w:rPr>
                <w:rFonts w:ascii="宋体" w:hAnsi="宋体" w:cs="宋体"/>
                <w:kern w:val="0"/>
                <w:sz w:val="18"/>
                <w:szCs w:val="18"/>
              </w:rPr>
            </w:pPr>
            <w:r>
              <w:rPr>
                <w:rFonts w:hint="eastAsia" w:ascii="宋体" w:hAnsi="宋体" w:cs="宋体"/>
                <w:kern w:val="0"/>
                <w:sz w:val="18"/>
                <w:szCs w:val="18"/>
              </w:rPr>
              <w:t xml:space="preserve">1.58 </w:t>
            </w:r>
          </w:p>
        </w:tc>
        <w:tc>
          <w:tcPr>
            <w:tcW w:w="820" w:type="dxa"/>
            <w:tcBorders>
              <w:top w:val="nil"/>
              <w:left w:val="nil"/>
              <w:bottom w:val="single" w:color="auto" w:sz="4" w:space="0"/>
              <w:right w:val="single" w:color="auto" w:sz="4" w:space="0"/>
            </w:tcBorders>
            <w:noWrap w:val="0"/>
            <w:vAlign w:val="center"/>
          </w:tcPr>
          <w:p w14:paraId="5432E247">
            <w:pPr>
              <w:widowControl/>
              <w:jc w:val="center"/>
              <w:rPr>
                <w:rFonts w:ascii="宋体" w:hAnsi="宋体" w:cs="宋体"/>
                <w:kern w:val="0"/>
                <w:sz w:val="18"/>
                <w:szCs w:val="18"/>
              </w:rPr>
            </w:pPr>
            <w:r>
              <w:rPr>
                <w:rFonts w:hint="eastAsia" w:ascii="宋体" w:hAnsi="宋体" w:cs="宋体"/>
                <w:kern w:val="0"/>
                <w:sz w:val="18"/>
                <w:szCs w:val="18"/>
              </w:rPr>
              <w:t>17.24</w:t>
            </w:r>
          </w:p>
        </w:tc>
        <w:tc>
          <w:tcPr>
            <w:tcW w:w="816" w:type="dxa"/>
            <w:tcBorders>
              <w:top w:val="nil"/>
              <w:left w:val="nil"/>
              <w:bottom w:val="single" w:color="auto" w:sz="4" w:space="0"/>
              <w:right w:val="single" w:color="auto" w:sz="4" w:space="0"/>
            </w:tcBorders>
            <w:noWrap w:val="0"/>
            <w:vAlign w:val="center"/>
          </w:tcPr>
          <w:p w14:paraId="64B448CE">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140" w:type="dxa"/>
            <w:tcBorders>
              <w:top w:val="nil"/>
              <w:left w:val="nil"/>
              <w:bottom w:val="single" w:color="auto" w:sz="4" w:space="0"/>
              <w:right w:val="single" w:color="auto" w:sz="4" w:space="0"/>
            </w:tcBorders>
            <w:noWrap w:val="0"/>
            <w:vAlign w:val="center"/>
          </w:tcPr>
          <w:p w14:paraId="24887C3D">
            <w:pPr>
              <w:widowControl/>
              <w:jc w:val="center"/>
              <w:rPr>
                <w:rFonts w:ascii="宋体" w:hAnsi="宋体" w:cs="宋体"/>
                <w:kern w:val="0"/>
                <w:sz w:val="18"/>
                <w:szCs w:val="18"/>
              </w:rPr>
            </w:pPr>
            <w:r>
              <w:rPr>
                <w:rFonts w:hint="eastAsia" w:ascii="宋体" w:hAnsi="宋体" w:cs="宋体"/>
                <w:kern w:val="0"/>
                <w:sz w:val="18"/>
                <w:szCs w:val="18"/>
              </w:rPr>
              <w:t xml:space="preserve">12.305 </w:t>
            </w:r>
          </w:p>
        </w:tc>
      </w:tr>
      <w:tr w14:paraId="1E639140">
        <w:tblPrEx>
          <w:tblCellMar>
            <w:top w:w="0" w:type="dxa"/>
            <w:left w:w="108" w:type="dxa"/>
            <w:bottom w:w="0" w:type="dxa"/>
            <w:right w:w="108" w:type="dxa"/>
          </w:tblCellMar>
        </w:tblPrEx>
        <w:trPr>
          <w:wBefore w:w="0" w:type="dxa"/>
          <w:wAfter w:w="0" w:type="dxa"/>
          <w:trHeight w:val="255" w:hRule="atLeast"/>
          <w:jc w:val="center"/>
        </w:trPr>
        <w:tc>
          <w:tcPr>
            <w:tcW w:w="756" w:type="dxa"/>
            <w:tcBorders>
              <w:top w:val="nil"/>
              <w:left w:val="single" w:color="auto" w:sz="4" w:space="0"/>
              <w:bottom w:val="single" w:color="auto" w:sz="4" w:space="0"/>
              <w:right w:val="single" w:color="auto" w:sz="4" w:space="0"/>
            </w:tcBorders>
            <w:noWrap w:val="0"/>
            <w:vAlign w:val="center"/>
          </w:tcPr>
          <w:p w14:paraId="4546F244">
            <w:pPr>
              <w:widowControl/>
              <w:jc w:val="left"/>
              <w:rPr>
                <w:rFonts w:ascii="宋体" w:hAnsi="宋体" w:cs="宋体"/>
                <w:kern w:val="0"/>
                <w:sz w:val="18"/>
                <w:szCs w:val="18"/>
              </w:rPr>
            </w:pPr>
            <w:r>
              <w:rPr>
                <w:rFonts w:hint="eastAsia" w:ascii="宋体" w:hAnsi="宋体" w:cs="宋体"/>
                <w:kern w:val="0"/>
                <w:sz w:val="18"/>
                <w:szCs w:val="18"/>
              </w:rPr>
              <w:t>K110-a</w:t>
            </w:r>
          </w:p>
        </w:tc>
        <w:tc>
          <w:tcPr>
            <w:tcW w:w="540" w:type="dxa"/>
            <w:tcBorders>
              <w:top w:val="nil"/>
              <w:left w:val="nil"/>
              <w:bottom w:val="single" w:color="auto" w:sz="4" w:space="0"/>
              <w:right w:val="single" w:color="auto" w:sz="4" w:space="0"/>
            </w:tcBorders>
            <w:noWrap w:val="0"/>
            <w:vAlign w:val="center"/>
          </w:tcPr>
          <w:p w14:paraId="1E85A111">
            <w:pPr>
              <w:widowControl/>
              <w:jc w:val="center"/>
              <w:rPr>
                <w:rFonts w:ascii="宋体" w:hAnsi="宋体" w:cs="宋体"/>
                <w:kern w:val="0"/>
                <w:sz w:val="18"/>
                <w:szCs w:val="18"/>
              </w:rPr>
            </w:pPr>
            <w:r>
              <w:rPr>
                <w:rFonts w:hint="eastAsia" w:ascii="宋体" w:hAnsi="宋体" w:cs="宋体"/>
                <w:kern w:val="0"/>
                <w:sz w:val="18"/>
                <w:szCs w:val="18"/>
              </w:rPr>
              <w:t>1.3</w:t>
            </w:r>
          </w:p>
        </w:tc>
        <w:tc>
          <w:tcPr>
            <w:tcW w:w="760" w:type="dxa"/>
            <w:tcBorders>
              <w:top w:val="nil"/>
              <w:left w:val="nil"/>
              <w:bottom w:val="single" w:color="auto" w:sz="4" w:space="0"/>
              <w:right w:val="single" w:color="auto" w:sz="4" w:space="0"/>
            </w:tcBorders>
            <w:noWrap w:val="0"/>
            <w:vAlign w:val="center"/>
          </w:tcPr>
          <w:p w14:paraId="4C6C6D19">
            <w:pPr>
              <w:widowControl/>
              <w:jc w:val="center"/>
              <w:rPr>
                <w:rFonts w:ascii="宋体" w:hAnsi="宋体" w:cs="宋体"/>
                <w:kern w:val="0"/>
                <w:sz w:val="18"/>
                <w:szCs w:val="18"/>
              </w:rPr>
            </w:pPr>
            <w:r>
              <w:rPr>
                <w:rFonts w:hint="eastAsia" w:ascii="宋体" w:hAnsi="宋体" w:cs="宋体"/>
                <w:kern w:val="0"/>
                <w:sz w:val="18"/>
                <w:szCs w:val="18"/>
              </w:rPr>
              <w:t>0.95</w:t>
            </w:r>
          </w:p>
        </w:tc>
        <w:tc>
          <w:tcPr>
            <w:tcW w:w="720" w:type="dxa"/>
            <w:tcBorders>
              <w:top w:val="nil"/>
              <w:left w:val="nil"/>
              <w:bottom w:val="single" w:color="auto" w:sz="4" w:space="0"/>
              <w:right w:val="single" w:color="auto" w:sz="4" w:space="0"/>
            </w:tcBorders>
            <w:noWrap w:val="0"/>
            <w:vAlign w:val="center"/>
          </w:tcPr>
          <w:p w14:paraId="6FA9E263">
            <w:pPr>
              <w:widowControl/>
              <w:jc w:val="center"/>
              <w:rPr>
                <w:rFonts w:ascii="宋体" w:hAnsi="宋体" w:cs="宋体"/>
                <w:kern w:val="0"/>
                <w:sz w:val="18"/>
                <w:szCs w:val="18"/>
              </w:rPr>
            </w:pPr>
            <w:r>
              <w:rPr>
                <w:rFonts w:hint="eastAsia" w:ascii="宋体" w:hAnsi="宋体" w:cs="宋体"/>
                <w:kern w:val="0"/>
                <w:sz w:val="18"/>
                <w:szCs w:val="18"/>
              </w:rPr>
              <w:t xml:space="preserve">1.053 </w:t>
            </w:r>
          </w:p>
        </w:tc>
        <w:tc>
          <w:tcPr>
            <w:tcW w:w="756" w:type="dxa"/>
            <w:tcBorders>
              <w:top w:val="nil"/>
              <w:left w:val="nil"/>
              <w:bottom w:val="single" w:color="auto" w:sz="4" w:space="0"/>
              <w:right w:val="single" w:color="auto" w:sz="4" w:space="0"/>
            </w:tcBorders>
            <w:noWrap w:val="0"/>
            <w:vAlign w:val="center"/>
          </w:tcPr>
          <w:p w14:paraId="72662923">
            <w:pPr>
              <w:widowControl/>
              <w:jc w:val="center"/>
              <w:rPr>
                <w:rFonts w:ascii="宋体" w:hAnsi="宋体" w:cs="宋体"/>
                <w:kern w:val="0"/>
                <w:sz w:val="18"/>
                <w:szCs w:val="18"/>
              </w:rPr>
            </w:pPr>
            <w:r>
              <w:rPr>
                <w:rFonts w:hint="eastAsia" w:ascii="宋体" w:hAnsi="宋体" w:cs="宋体"/>
                <w:kern w:val="0"/>
                <w:sz w:val="18"/>
                <w:szCs w:val="18"/>
              </w:rPr>
              <w:t>0.8</w:t>
            </w:r>
          </w:p>
        </w:tc>
        <w:tc>
          <w:tcPr>
            <w:tcW w:w="580" w:type="dxa"/>
            <w:tcBorders>
              <w:top w:val="nil"/>
              <w:left w:val="nil"/>
              <w:bottom w:val="single" w:color="auto" w:sz="4" w:space="0"/>
              <w:right w:val="single" w:color="auto" w:sz="4" w:space="0"/>
            </w:tcBorders>
            <w:noWrap w:val="0"/>
            <w:vAlign w:val="center"/>
          </w:tcPr>
          <w:p w14:paraId="013E04C6">
            <w:pPr>
              <w:widowControl/>
              <w:jc w:val="center"/>
              <w:rPr>
                <w:rFonts w:ascii="宋体" w:hAnsi="宋体" w:cs="宋体"/>
                <w:kern w:val="0"/>
                <w:sz w:val="18"/>
                <w:szCs w:val="18"/>
              </w:rPr>
            </w:pPr>
            <w:r>
              <w:rPr>
                <w:rFonts w:hint="eastAsia" w:ascii="宋体" w:hAnsi="宋体" w:cs="宋体"/>
                <w:kern w:val="0"/>
                <w:sz w:val="18"/>
                <w:szCs w:val="18"/>
              </w:rPr>
              <w:t>120</w:t>
            </w:r>
          </w:p>
        </w:tc>
        <w:tc>
          <w:tcPr>
            <w:tcW w:w="700" w:type="dxa"/>
            <w:tcBorders>
              <w:top w:val="nil"/>
              <w:left w:val="nil"/>
              <w:bottom w:val="single" w:color="auto" w:sz="4" w:space="0"/>
              <w:right w:val="single" w:color="auto" w:sz="4" w:space="0"/>
            </w:tcBorders>
            <w:noWrap w:val="0"/>
            <w:vAlign w:val="center"/>
          </w:tcPr>
          <w:p w14:paraId="6C6E296A">
            <w:pPr>
              <w:widowControl/>
              <w:jc w:val="center"/>
              <w:rPr>
                <w:rFonts w:ascii="宋体" w:hAnsi="宋体" w:cs="宋体"/>
                <w:kern w:val="0"/>
                <w:sz w:val="18"/>
                <w:szCs w:val="18"/>
              </w:rPr>
            </w:pPr>
            <w:r>
              <w:rPr>
                <w:rFonts w:hint="eastAsia" w:ascii="宋体" w:hAnsi="宋体" w:cs="宋体"/>
                <w:kern w:val="0"/>
                <w:sz w:val="18"/>
                <w:szCs w:val="18"/>
              </w:rPr>
              <w:t xml:space="preserve">12.0 </w:t>
            </w:r>
          </w:p>
        </w:tc>
        <w:tc>
          <w:tcPr>
            <w:tcW w:w="700" w:type="dxa"/>
            <w:tcBorders>
              <w:top w:val="nil"/>
              <w:left w:val="nil"/>
              <w:bottom w:val="single" w:color="auto" w:sz="4" w:space="0"/>
              <w:right w:val="single" w:color="auto" w:sz="4" w:space="0"/>
            </w:tcBorders>
            <w:noWrap w:val="0"/>
            <w:vAlign w:val="center"/>
          </w:tcPr>
          <w:p w14:paraId="74C16323">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760" w:type="dxa"/>
            <w:tcBorders>
              <w:top w:val="nil"/>
              <w:left w:val="nil"/>
              <w:bottom w:val="single" w:color="auto" w:sz="4" w:space="0"/>
              <w:right w:val="single" w:color="auto" w:sz="4" w:space="0"/>
            </w:tcBorders>
            <w:noWrap w:val="0"/>
            <w:vAlign w:val="center"/>
          </w:tcPr>
          <w:p w14:paraId="4A1718CE">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820" w:type="dxa"/>
            <w:tcBorders>
              <w:top w:val="nil"/>
              <w:left w:val="nil"/>
              <w:bottom w:val="single" w:color="auto" w:sz="4" w:space="0"/>
              <w:right w:val="single" w:color="auto" w:sz="4" w:space="0"/>
            </w:tcBorders>
            <w:noWrap w:val="0"/>
            <w:vAlign w:val="center"/>
          </w:tcPr>
          <w:p w14:paraId="28BF1762">
            <w:pPr>
              <w:widowControl/>
              <w:jc w:val="center"/>
              <w:rPr>
                <w:rFonts w:ascii="宋体" w:hAnsi="宋体" w:cs="宋体"/>
                <w:kern w:val="0"/>
                <w:sz w:val="18"/>
                <w:szCs w:val="18"/>
              </w:rPr>
            </w:pPr>
            <w:r>
              <w:rPr>
                <w:rFonts w:hint="eastAsia" w:ascii="宋体" w:hAnsi="宋体" w:cs="宋体"/>
                <w:kern w:val="0"/>
                <w:sz w:val="18"/>
                <w:szCs w:val="18"/>
              </w:rPr>
              <w:t>16.47</w:t>
            </w:r>
          </w:p>
        </w:tc>
        <w:tc>
          <w:tcPr>
            <w:tcW w:w="816" w:type="dxa"/>
            <w:tcBorders>
              <w:top w:val="nil"/>
              <w:left w:val="nil"/>
              <w:bottom w:val="single" w:color="auto" w:sz="4" w:space="0"/>
              <w:right w:val="single" w:color="auto" w:sz="4" w:space="0"/>
            </w:tcBorders>
            <w:noWrap w:val="0"/>
            <w:vAlign w:val="center"/>
          </w:tcPr>
          <w:p w14:paraId="62A6C8DA">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140" w:type="dxa"/>
            <w:tcBorders>
              <w:top w:val="nil"/>
              <w:left w:val="nil"/>
              <w:bottom w:val="single" w:color="auto" w:sz="4" w:space="0"/>
              <w:right w:val="single" w:color="auto" w:sz="4" w:space="0"/>
            </w:tcBorders>
            <w:noWrap w:val="0"/>
            <w:vAlign w:val="center"/>
          </w:tcPr>
          <w:p w14:paraId="4CFAC121">
            <w:pPr>
              <w:widowControl/>
              <w:jc w:val="center"/>
              <w:rPr>
                <w:rFonts w:ascii="宋体" w:hAnsi="宋体" w:cs="宋体"/>
                <w:kern w:val="0"/>
                <w:sz w:val="18"/>
                <w:szCs w:val="18"/>
              </w:rPr>
            </w:pPr>
            <w:r>
              <w:rPr>
                <w:rFonts w:hint="eastAsia" w:ascii="宋体" w:hAnsi="宋体" w:cs="宋体"/>
                <w:kern w:val="0"/>
                <w:sz w:val="18"/>
                <w:szCs w:val="18"/>
              </w:rPr>
              <w:t xml:space="preserve">11.462 </w:t>
            </w:r>
          </w:p>
        </w:tc>
      </w:tr>
    </w:tbl>
    <w:p w14:paraId="6AB658C9">
      <w:pPr>
        <w:spacing w:line="360" w:lineRule="auto"/>
        <w:ind w:firstLine="480" w:firstLineChars="200"/>
        <w:rPr>
          <w:rFonts w:ascii="宋体" w:hAnsi="宋体"/>
          <w:sz w:val="24"/>
        </w:rPr>
      </w:pPr>
      <w:r>
        <w:rPr>
          <w:rFonts w:hint="eastAsia" w:ascii="宋体" w:hAnsi="宋体"/>
          <w:sz w:val="24"/>
        </w:rPr>
        <w:t xml:space="preserve">② </w:t>
      </w:r>
      <w:r>
        <w:rPr>
          <w:rFonts w:ascii="宋体" w:hAnsi="宋体"/>
          <w:sz w:val="24"/>
        </w:rPr>
        <w:t>邻近层瓦斯涌出量</w:t>
      </w:r>
    </w:p>
    <w:p w14:paraId="5A1EFD7D">
      <w:pPr>
        <w:spacing w:line="360" w:lineRule="auto"/>
        <w:jc w:val="center"/>
        <w:rPr>
          <w:rFonts w:ascii="宋体" w:hAnsi="宋体"/>
          <w:sz w:val="24"/>
        </w:rPr>
      </w:pPr>
      <w:r>
        <w:rPr>
          <w:rFonts w:ascii="宋体" w:hAnsi="宋体"/>
          <w:position w:val="-10"/>
          <w:sz w:val="24"/>
        </w:rPr>
        <w:object>
          <v:shape id="_x0000_i1086" o:spt="75" type="#_x0000_t75" style="height:17pt;width:9pt;" o:ole="t" filled="f" o:preferrelative="t" stroked="f" coordsize="21600,21600">
            <v:path/>
            <v:fill on="f" alignshape="1" focussize="0,0"/>
            <v:stroke on="f"/>
            <v:imagedata r:id="rId105" o:title=""/>
            <o:lock v:ext="edit" aspectratio="t"/>
            <w10:wrap type="none"/>
            <w10:anchorlock/>
          </v:shape>
          <o:OLEObject Type="Embed" ProgID="Equation.3" ShapeID="_x0000_i1086" DrawAspect="Content" ObjectID="_1468075775" r:id="rId104">
            <o:LockedField>false</o:LockedField>
          </o:OLEObject>
        </w:object>
      </w:r>
      <w:r>
        <w:rPr>
          <w:rFonts w:ascii="宋体" w:hAnsi="宋体"/>
          <w:position w:val="-28"/>
          <w:sz w:val="24"/>
        </w:rPr>
        <w:object>
          <v:shape id="_x0000_i1087" o:spt="75" type="#_x0000_t75" style="height:30.9pt;width:129.8pt;" o:ole="t" filled="f" o:preferrelative="t" stroked="f" coordsize="21600,21600">
            <v:path/>
            <v:fill on="f" alignshape="1" focussize="0,0"/>
            <v:stroke on="f"/>
            <v:imagedata r:id="rId107" o:title=""/>
            <o:lock v:ext="edit" aspectratio="t"/>
            <w10:wrap type="none"/>
            <w10:anchorlock/>
          </v:shape>
          <o:OLEObject Type="Embed" ProgID="Equation.3" ShapeID="_x0000_i1087" DrawAspect="Content" ObjectID="_1468075776" r:id="rId106">
            <o:LockedField>false</o:LockedField>
          </o:OLEObject>
        </w:object>
      </w:r>
    </w:p>
    <w:p w14:paraId="44C5EFA3">
      <w:pPr>
        <w:spacing w:line="360" w:lineRule="auto"/>
        <w:ind w:firstLine="480" w:firstLineChars="200"/>
        <w:rPr>
          <w:rFonts w:ascii="宋体" w:hAnsi="宋体"/>
          <w:sz w:val="24"/>
        </w:rPr>
      </w:pPr>
      <w:r>
        <w:rPr>
          <w:rFonts w:ascii="宋体" w:hAnsi="宋体"/>
          <w:sz w:val="24"/>
        </w:rPr>
        <w:t>式中：q</w:t>
      </w:r>
      <w:r>
        <w:rPr>
          <w:rFonts w:ascii="宋体" w:hAnsi="宋体"/>
          <w:sz w:val="24"/>
          <w:vertAlign w:val="subscript"/>
        </w:rPr>
        <w:t>2</w:t>
      </w:r>
      <w:r>
        <w:rPr>
          <w:rFonts w:ascii="宋体" w:hAnsi="宋体"/>
          <w:sz w:val="24"/>
        </w:rPr>
        <w:t>—邻近层相对瓦斯涌出量，m</w:t>
      </w:r>
      <w:r>
        <w:rPr>
          <w:rFonts w:ascii="宋体" w:hAnsi="宋体"/>
          <w:sz w:val="24"/>
          <w:vertAlign w:val="superscript"/>
        </w:rPr>
        <w:t>3</w:t>
      </w:r>
      <w:r>
        <w:rPr>
          <w:rFonts w:ascii="宋体" w:hAnsi="宋体"/>
          <w:sz w:val="24"/>
        </w:rPr>
        <w:t>/t；</w:t>
      </w:r>
    </w:p>
    <w:p w14:paraId="0145CAC0">
      <w:pPr>
        <w:spacing w:line="360" w:lineRule="auto"/>
        <w:ind w:firstLine="1200" w:firstLineChars="500"/>
        <w:rPr>
          <w:rFonts w:hint="eastAsia" w:ascii="宋体" w:hAnsi="宋体"/>
          <w:sz w:val="24"/>
        </w:rPr>
      </w:pPr>
      <w:r>
        <w:rPr>
          <w:rFonts w:ascii="宋体" w:hAnsi="宋体"/>
          <w:sz w:val="24"/>
        </w:rPr>
        <w:t>m</w:t>
      </w:r>
      <w:r>
        <w:rPr>
          <w:rFonts w:ascii="宋体" w:hAnsi="宋体"/>
          <w:sz w:val="24"/>
          <w:vertAlign w:val="subscript"/>
        </w:rPr>
        <w:t>i</w:t>
      </w:r>
      <w:r>
        <w:rPr>
          <w:rFonts w:ascii="宋体" w:hAnsi="宋体"/>
          <w:sz w:val="24"/>
        </w:rPr>
        <w:t>—第i</w:t>
      </w:r>
      <w:r>
        <w:rPr>
          <w:rFonts w:hint="eastAsia" w:ascii="宋体" w:hAnsi="宋体"/>
          <w:sz w:val="24"/>
        </w:rPr>
        <w:t>个</w:t>
      </w:r>
      <w:r>
        <w:rPr>
          <w:rFonts w:ascii="宋体" w:hAnsi="宋体"/>
          <w:sz w:val="24"/>
        </w:rPr>
        <w:t>邻近层煤层厚度，m。</w:t>
      </w:r>
    </w:p>
    <w:p w14:paraId="0A30DFE0">
      <w:pPr>
        <w:spacing w:line="360" w:lineRule="auto"/>
        <w:ind w:firstLine="1200" w:firstLineChars="500"/>
        <w:rPr>
          <w:rFonts w:hint="eastAsia" w:ascii="宋体" w:hAnsi="宋体"/>
          <w:sz w:val="24"/>
        </w:rPr>
      </w:pPr>
      <w:r>
        <w:rPr>
          <w:rFonts w:ascii="宋体" w:hAnsi="宋体"/>
          <w:sz w:val="24"/>
        </w:rPr>
        <w:t>M—工作面采高，m；</w:t>
      </w:r>
    </w:p>
    <w:p w14:paraId="4D258B2E">
      <w:pPr>
        <w:spacing w:line="360" w:lineRule="auto"/>
        <w:ind w:firstLine="1200" w:firstLineChars="500"/>
        <w:rPr>
          <w:rFonts w:hint="eastAsia" w:ascii="宋体" w:hAnsi="宋体"/>
          <w:sz w:val="24"/>
        </w:rPr>
      </w:pPr>
      <w:r>
        <w:rPr>
          <w:rFonts w:ascii="宋体" w:hAnsi="宋体"/>
          <w:position w:val="-12"/>
          <w:sz w:val="24"/>
        </w:rPr>
        <w:object>
          <v:shape id="_x0000_i1088" o:spt="75" type="#_x0000_t75" style="height:18pt;width:13pt;" o:ole="t" filled="f" o:preferrelative="t" stroked="f" coordsize="21600,21600">
            <v:path/>
            <v:fill on="f" alignshape="1" focussize="0,0"/>
            <v:stroke on="f"/>
            <v:imagedata r:id="rId109" o:title=""/>
            <o:lock v:ext="edit" aspectratio="t"/>
            <w10:wrap type="none"/>
            <w10:anchorlock/>
          </v:shape>
          <o:OLEObject Type="Embed" ProgID="Equation.3" ShapeID="_x0000_i1088" DrawAspect="Content" ObjectID="_1468075777" r:id="rId108">
            <o:LockedField>false</o:LockedField>
          </o:OLEObject>
        </w:object>
      </w:r>
      <w:r>
        <w:rPr>
          <w:rFonts w:hint="eastAsia" w:ascii="宋体" w:hAnsi="宋体"/>
          <w:sz w:val="24"/>
        </w:rPr>
        <w:t>—</w:t>
      </w:r>
      <w:r>
        <w:rPr>
          <w:rFonts w:ascii="宋体" w:hAnsi="宋体"/>
          <w:sz w:val="24"/>
        </w:rPr>
        <w:t>第i个邻近层瓦斯排放率，%</w:t>
      </w:r>
      <w:r>
        <w:rPr>
          <w:rFonts w:hint="eastAsia" w:ascii="宋体" w:hAnsi="宋体"/>
          <w:sz w:val="24"/>
        </w:rPr>
        <w:t>,</w:t>
      </w:r>
      <w:r>
        <w:rPr>
          <w:rFonts w:ascii="宋体" w:hAnsi="宋体"/>
          <w:sz w:val="24"/>
        </w:rPr>
        <w:t>按（AQ1018-2006）</w:t>
      </w:r>
      <w:r>
        <w:rPr>
          <w:rFonts w:hint="eastAsia" w:ascii="宋体" w:hAnsi="宋体"/>
          <w:sz w:val="24"/>
        </w:rPr>
        <w:t>标准</w:t>
      </w:r>
      <w:r>
        <w:rPr>
          <w:rFonts w:ascii="宋体" w:hAnsi="宋体"/>
          <w:sz w:val="24"/>
        </w:rPr>
        <w:t>附</w:t>
      </w:r>
      <w:r>
        <w:rPr>
          <w:rFonts w:hint="eastAsia" w:ascii="宋体" w:hAnsi="宋体"/>
          <w:sz w:val="24"/>
        </w:rPr>
        <w:t>图D.1</w:t>
      </w:r>
      <w:r>
        <w:rPr>
          <w:rFonts w:ascii="宋体" w:hAnsi="宋体"/>
          <w:sz w:val="24"/>
        </w:rPr>
        <w:t>选取；</w:t>
      </w:r>
    </w:p>
    <w:p w14:paraId="46501E0D">
      <w:pPr>
        <w:spacing w:line="360" w:lineRule="auto"/>
        <w:ind w:firstLine="1200" w:firstLineChars="500"/>
        <w:rPr>
          <w:rFonts w:hint="eastAsia" w:ascii="宋体" w:hAnsi="宋体"/>
          <w:sz w:val="24"/>
        </w:rPr>
      </w:pPr>
      <w:r>
        <w:rPr>
          <w:rFonts w:ascii="宋体" w:hAnsi="宋体"/>
          <w:sz w:val="24"/>
        </w:rPr>
        <w:t>W</w:t>
      </w:r>
      <w:r>
        <w:rPr>
          <w:rFonts w:ascii="宋体" w:hAnsi="宋体"/>
          <w:sz w:val="24"/>
          <w:vertAlign w:val="subscript"/>
        </w:rPr>
        <w:t>oi</w:t>
      </w:r>
      <w:r>
        <w:rPr>
          <w:rFonts w:ascii="宋体" w:hAnsi="宋体"/>
          <w:sz w:val="24"/>
        </w:rPr>
        <w:t>—第i个邻近煤层原始瓦斯含量，</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／t</w:t>
      </w:r>
      <w:r>
        <w:rPr>
          <w:rFonts w:ascii="宋体" w:hAnsi="宋体"/>
          <w:sz w:val="24"/>
        </w:rPr>
        <w:t>；</w:t>
      </w:r>
    </w:p>
    <w:p w14:paraId="7A21B73E">
      <w:pPr>
        <w:spacing w:line="360" w:lineRule="auto"/>
        <w:ind w:firstLine="1200" w:firstLineChars="500"/>
        <w:rPr>
          <w:rFonts w:ascii="宋体" w:hAnsi="宋体"/>
          <w:sz w:val="24"/>
        </w:rPr>
      </w:pPr>
      <w:r>
        <w:rPr>
          <w:rFonts w:ascii="宋体" w:hAnsi="宋体"/>
          <w:sz w:val="24"/>
        </w:rPr>
        <w:t>W</w:t>
      </w:r>
      <w:r>
        <w:rPr>
          <w:rFonts w:ascii="宋体" w:hAnsi="宋体"/>
          <w:sz w:val="24"/>
          <w:vertAlign w:val="subscript"/>
        </w:rPr>
        <w:t>ci</w:t>
      </w:r>
      <w:r>
        <w:rPr>
          <w:rFonts w:ascii="宋体" w:hAnsi="宋体"/>
          <w:sz w:val="24"/>
        </w:rPr>
        <w:t>—第i邻近层煤层残存瓦斯含量，m</w:t>
      </w:r>
      <w:r>
        <w:rPr>
          <w:rFonts w:ascii="宋体" w:hAnsi="宋体"/>
          <w:sz w:val="24"/>
          <w:vertAlign w:val="superscript"/>
        </w:rPr>
        <w:t>3</w:t>
      </w:r>
      <w:r>
        <w:rPr>
          <w:rFonts w:ascii="宋体" w:hAnsi="宋体"/>
          <w:sz w:val="24"/>
        </w:rPr>
        <w:t>/t，按（AQ1018-2006）</w:t>
      </w:r>
      <w:r>
        <w:rPr>
          <w:rFonts w:hint="eastAsia" w:ascii="宋体" w:hAnsi="宋体"/>
          <w:sz w:val="24"/>
        </w:rPr>
        <w:t>标准</w:t>
      </w:r>
      <w:r>
        <w:rPr>
          <w:rFonts w:ascii="宋体" w:hAnsi="宋体"/>
          <w:sz w:val="24"/>
        </w:rPr>
        <w:t>附录C选取；</w:t>
      </w:r>
    </w:p>
    <w:p w14:paraId="3A4532BE">
      <w:pPr>
        <w:spacing w:line="360" w:lineRule="auto"/>
        <w:ind w:firstLine="480" w:firstLineChars="200"/>
        <w:rPr>
          <w:rFonts w:hint="eastAsia" w:ascii="宋体" w:hAnsi="宋体"/>
          <w:sz w:val="24"/>
        </w:rPr>
      </w:pPr>
      <w:r>
        <w:rPr>
          <w:rFonts w:hint="eastAsia" w:ascii="宋体" w:hAnsi="宋体"/>
          <w:sz w:val="24"/>
        </w:rPr>
        <w:t>本矿可采煤层为</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w:t>
      </w:r>
      <w:r>
        <w:rPr>
          <w:rFonts w:ascii="宋体" w:hAnsi="宋体"/>
          <w:sz w:val="24"/>
        </w:rPr>
        <w:t>-</w:t>
      </w:r>
      <w:r>
        <w:rPr>
          <w:rFonts w:hint="eastAsia" w:ascii="宋体" w:hAnsi="宋体"/>
          <w:sz w:val="24"/>
        </w:rPr>
        <w:t>a煤层，</w:t>
      </w:r>
      <w:r>
        <w:rPr>
          <w:rFonts w:ascii="宋体" w:hAnsi="宋体"/>
          <w:sz w:val="24"/>
        </w:rPr>
        <w:t>根椐（AQ1018-2006）</w:t>
      </w:r>
      <w:r>
        <w:rPr>
          <w:rFonts w:hint="eastAsia" w:ascii="宋体" w:hAnsi="宋体"/>
          <w:sz w:val="24"/>
        </w:rPr>
        <w:t>标准</w:t>
      </w:r>
      <w:r>
        <w:rPr>
          <w:rFonts w:ascii="宋体" w:hAnsi="宋体"/>
          <w:sz w:val="24"/>
        </w:rPr>
        <w:t>附</w:t>
      </w:r>
      <w:r>
        <w:rPr>
          <w:rFonts w:hint="eastAsia" w:ascii="宋体" w:hAnsi="宋体"/>
          <w:sz w:val="24"/>
        </w:rPr>
        <w:t>图D.1 邻近层瓦斯排放率与层间距的关系曲线,倾斜煤层下邻近层与开采层之间的层间距大于90m以后，下邻近层对上邻近层的开采无影响，上邻近层与开采层之间的层间距大于100m以后，上邻近层对下邻近层的开采无影响。</w:t>
      </w:r>
    </w:p>
    <w:p w14:paraId="15F7D734">
      <w:pPr>
        <w:adjustRightInd w:val="0"/>
        <w:snapToGrid w:val="0"/>
        <w:spacing w:line="360" w:lineRule="auto"/>
        <w:ind w:firstLine="480" w:firstLineChars="200"/>
        <w:rPr>
          <w:rFonts w:hint="eastAsia" w:ascii="宋体" w:hAnsi="宋体"/>
          <w:sz w:val="24"/>
        </w:rPr>
      </w:pPr>
      <w:r>
        <w:rPr>
          <w:rFonts w:hint="eastAsia" w:ascii="宋体" w:hAnsi="宋体"/>
          <w:sz w:val="24"/>
        </w:rPr>
        <w:t>不可采邻近层涌入开采层的瓦斯量，按开采层相对瓦斯涌出量的2%计算。</w:t>
      </w:r>
    </w:p>
    <w:p w14:paraId="52AAF6AE">
      <w:pPr>
        <w:adjustRightInd w:val="0"/>
        <w:snapToGrid w:val="0"/>
        <w:spacing w:line="360" w:lineRule="auto"/>
        <w:ind w:firstLine="482" w:firstLineChars="200"/>
        <w:rPr>
          <w:rFonts w:hint="eastAsia" w:ascii="宋体" w:hAnsi="宋体"/>
          <w:b/>
          <w:sz w:val="24"/>
        </w:rPr>
      </w:pPr>
      <w:r>
        <w:rPr>
          <w:rFonts w:hint="eastAsia" w:ascii="宋体" w:hAnsi="宋体"/>
          <w:b/>
          <w:sz w:val="24"/>
        </w:rPr>
        <w:t>矿井采用区段下行式开采，区段间煤层开采顺序为：</w:t>
      </w:r>
      <w:r>
        <w:rPr>
          <w:rFonts w:ascii="宋体" w:hAnsi="宋体"/>
          <w:b/>
          <w:sz w:val="24"/>
        </w:rPr>
        <w:t>K1-b</w:t>
      </w:r>
      <w:r>
        <w:rPr>
          <w:rFonts w:hint="eastAsia" w:ascii="宋体" w:hAnsi="宋体"/>
          <w:b/>
          <w:sz w:val="24"/>
        </w:rPr>
        <w:t>→K3→K9→K10→K13→K18→K26→K35</w:t>
      </w:r>
      <w:r>
        <w:rPr>
          <w:rFonts w:ascii="宋体" w:hAnsi="宋体"/>
          <w:b/>
          <w:sz w:val="24"/>
        </w:rPr>
        <w:t>-b</w:t>
      </w:r>
      <w:r>
        <w:rPr>
          <w:rFonts w:hint="eastAsia" w:ascii="宋体" w:hAnsi="宋体"/>
          <w:b/>
          <w:sz w:val="24"/>
        </w:rPr>
        <w:t>→K106</w:t>
      </w:r>
      <w:r>
        <w:rPr>
          <w:rFonts w:ascii="宋体" w:hAnsi="宋体"/>
          <w:b/>
          <w:sz w:val="24"/>
        </w:rPr>
        <w:t>-</w:t>
      </w:r>
      <w:r>
        <w:rPr>
          <w:rFonts w:hint="eastAsia" w:ascii="宋体" w:hAnsi="宋体"/>
          <w:b/>
          <w:sz w:val="24"/>
        </w:rPr>
        <w:t>b→K109</w:t>
      </w:r>
      <w:r>
        <w:rPr>
          <w:rFonts w:ascii="宋体" w:hAnsi="宋体"/>
          <w:b/>
          <w:sz w:val="24"/>
        </w:rPr>
        <w:t>-</w:t>
      </w:r>
      <w:r>
        <w:rPr>
          <w:rFonts w:hint="eastAsia" w:ascii="宋体" w:hAnsi="宋体"/>
          <w:b/>
          <w:sz w:val="24"/>
        </w:rPr>
        <w:t>b→K110</w:t>
      </w:r>
      <w:r>
        <w:rPr>
          <w:rFonts w:ascii="宋体" w:hAnsi="宋体"/>
          <w:b/>
          <w:sz w:val="24"/>
        </w:rPr>
        <w:t>-</w:t>
      </w:r>
      <w:r>
        <w:rPr>
          <w:rFonts w:hint="eastAsia" w:ascii="宋体" w:hAnsi="宋体"/>
          <w:b/>
          <w:sz w:val="24"/>
        </w:rPr>
        <w:t>a煤层，在同一区段内开采下一层煤层时，上一层已经采空，下一层煤的开采范围位于上一层煤的采空区下方，视为下层煤开采的保护层，故上层煤的瓦斯不涌入开采层工作面，因此，不考虑上层煤涌开采层的瓦斯量。</w:t>
      </w:r>
    </w:p>
    <w:p w14:paraId="2F256D0A">
      <w:pPr>
        <w:spacing w:line="360" w:lineRule="auto"/>
        <w:ind w:firstLine="480" w:firstLineChars="200"/>
        <w:rPr>
          <w:rFonts w:ascii="宋体" w:hAnsi="宋体"/>
          <w:sz w:val="24"/>
        </w:rPr>
      </w:pPr>
      <w:r>
        <w:rPr>
          <w:rFonts w:ascii="宋体" w:hAnsi="宋体"/>
          <w:sz w:val="24"/>
        </w:rPr>
        <w:t>·</w:t>
      </w:r>
      <w:r>
        <w:rPr>
          <w:rFonts w:hint="eastAsia" w:ascii="宋体" w:hAnsi="宋体"/>
          <w:sz w:val="24"/>
        </w:rPr>
        <w:t>开采</w:t>
      </w:r>
      <w:r>
        <w:rPr>
          <w:rFonts w:ascii="宋体" w:hAnsi="宋体"/>
          <w:sz w:val="24"/>
        </w:rPr>
        <w:t>K1-b煤层</w:t>
      </w:r>
      <w:r>
        <w:rPr>
          <w:rFonts w:hint="eastAsia" w:ascii="宋体" w:hAnsi="宋体"/>
          <w:sz w:val="24"/>
        </w:rPr>
        <w:t>时</w:t>
      </w:r>
      <w:r>
        <w:rPr>
          <w:rFonts w:ascii="宋体" w:hAnsi="宋体"/>
          <w:sz w:val="24"/>
        </w:rPr>
        <w:t>，K1-b煤层属可采煤层</w:t>
      </w:r>
      <w:r>
        <w:rPr>
          <w:rFonts w:hint="eastAsia" w:ascii="宋体" w:hAnsi="宋体"/>
          <w:sz w:val="24"/>
        </w:rPr>
        <w:t>的</w:t>
      </w:r>
      <w:r>
        <w:rPr>
          <w:rFonts w:ascii="宋体" w:hAnsi="宋体"/>
          <w:sz w:val="24"/>
        </w:rPr>
        <w:t>最上部煤层，无上邻近层，其下邻近层根椐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697201D8">
      <w:pPr>
        <w:spacing w:line="360" w:lineRule="auto"/>
        <w:jc w:val="center"/>
        <w:rPr>
          <w:rFonts w:hint="eastAsia" w:ascii="宋体" w:hAnsi="宋体"/>
          <w:b/>
          <w:color w:val="000000"/>
          <w:kern w:val="24"/>
          <w:sz w:val="24"/>
        </w:rPr>
      </w:pPr>
      <w:r>
        <w:rPr>
          <w:rFonts w:ascii="宋体" w:hAnsi="宋体"/>
          <w:b/>
          <w:color w:val="000000"/>
          <w:kern w:val="24"/>
          <w:sz w:val="24"/>
        </w:rPr>
        <w:t>K1-b煤层开采时邻近层向工作面</w:t>
      </w:r>
      <w:r>
        <w:rPr>
          <w:rFonts w:hint="eastAsia" w:ascii="宋体" w:hAnsi="宋体" w:cs="宋体"/>
          <w:b/>
          <w:color w:val="000000"/>
          <w:kern w:val="24"/>
          <w:sz w:val="24"/>
        </w:rPr>
        <w:t>瓦斯涌出量统计表</w:t>
      </w:r>
    </w:p>
    <w:tbl>
      <w:tblPr>
        <w:tblStyle w:val="62"/>
        <w:tblW w:w="0" w:type="auto"/>
        <w:tblInd w:w="94" w:type="dxa"/>
        <w:tblLayout w:type="fixed"/>
        <w:tblCellMar>
          <w:top w:w="0" w:type="dxa"/>
          <w:left w:w="108" w:type="dxa"/>
          <w:bottom w:w="0" w:type="dxa"/>
          <w:right w:w="108" w:type="dxa"/>
        </w:tblCellMar>
      </w:tblPr>
      <w:tblGrid>
        <w:gridCol w:w="961"/>
        <w:gridCol w:w="1080"/>
        <w:gridCol w:w="1222"/>
        <w:gridCol w:w="1082"/>
        <w:gridCol w:w="1042"/>
        <w:gridCol w:w="1102"/>
        <w:gridCol w:w="1160"/>
        <w:gridCol w:w="1442"/>
      </w:tblGrid>
      <w:tr w14:paraId="3CEDB113">
        <w:tblPrEx>
          <w:tblCellMar>
            <w:top w:w="0" w:type="dxa"/>
            <w:left w:w="108" w:type="dxa"/>
            <w:bottom w:w="0" w:type="dxa"/>
            <w:right w:w="108" w:type="dxa"/>
          </w:tblCellMar>
        </w:tblPrEx>
        <w:trPr>
          <w:wBefore w:w="0" w:type="dxa"/>
          <w:wAfter w:w="0" w:type="dxa"/>
          <w:trHeight w:val="512" w:hRule="atLeast"/>
        </w:trPr>
        <w:tc>
          <w:tcPr>
            <w:tcW w:w="961" w:type="dxa"/>
            <w:tcBorders>
              <w:top w:val="single" w:color="auto" w:sz="4" w:space="0"/>
              <w:left w:val="single" w:color="auto" w:sz="4" w:space="0"/>
              <w:bottom w:val="single" w:color="auto" w:sz="4" w:space="0"/>
              <w:right w:val="single" w:color="auto" w:sz="4" w:space="0"/>
            </w:tcBorders>
            <w:noWrap w:val="0"/>
            <w:vAlign w:val="center"/>
          </w:tcPr>
          <w:p w14:paraId="1A6A52C5">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80" w:type="dxa"/>
            <w:tcBorders>
              <w:top w:val="single" w:color="auto" w:sz="4" w:space="0"/>
              <w:left w:val="nil"/>
              <w:bottom w:val="single" w:color="auto" w:sz="4" w:space="0"/>
              <w:right w:val="single" w:color="auto" w:sz="4" w:space="0"/>
            </w:tcBorders>
            <w:noWrap w:val="0"/>
            <w:vAlign w:val="center"/>
          </w:tcPr>
          <w:p w14:paraId="548906DE">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2" w:type="dxa"/>
            <w:tcBorders>
              <w:top w:val="single" w:color="auto" w:sz="4" w:space="0"/>
              <w:left w:val="nil"/>
              <w:bottom w:val="single" w:color="auto" w:sz="4" w:space="0"/>
              <w:right w:val="single" w:color="auto" w:sz="4" w:space="0"/>
            </w:tcBorders>
            <w:noWrap w:val="0"/>
            <w:vAlign w:val="center"/>
          </w:tcPr>
          <w:p w14:paraId="0560FE5A">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2" w:type="dxa"/>
            <w:tcBorders>
              <w:top w:val="single" w:color="auto" w:sz="4" w:space="0"/>
              <w:left w:val="nil"/>
              <w:bottom w:val="single" w:color="auto" w:sz="4" w:space="0"/>
              <w:right w:val="single" w:color="auto" w:sz="4" w:space="0"/>
            </w:tcBorders>
            <w:noWrap w:val="0"/>
            <w:vAlign w:val="center"/>
          </w:tcPr>
          <w:p w14:paraId="7FB812C6">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2" w:type="dxa"/>
            <w:tcBorders>
              <w:top w:val="single" w:color="auto" w:sz="4" w:space="0"/>
              <w:left w:val="nil"/>
              <w:bottom w:val="single" w:color="auto" w:sz="4" w:space="0"/>
              <w:right w:val="single" w:color="auto" w:sz="4" w:space="0"/>
            </w:tcBorders>
            <w:noWrap w:val="0"/>
            <w:vAlign w:val="center"/>
          </w:tcPr>
          <w:p w14:paraId="5D5E4841">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2" w:type="dxa"/>
            <w:tcBorders>
              <w:top w:val="single" w:color="auto" w:sz="4" w:space="0"/>
              <w:left w:val="nil"/>
              <w:bottom w:val="single" w:color="auto" w:sz="4" w:space="0"/>
              <w:right w:val="single" w:color="auto" w:sz="4" w:space="0"/>
            </w:tcBorders>
            <w:noWrap w:val="0"/>
            <w:vAlign w:val="center"/>
          </w:tcPr>
          <w:p w14:paraId="69737523">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60" w:type="dxa"/>
            <w:tcBorders>
              <w:top w:val="single" w:color="auto" w:sz="4" w:space="0"/>
              <w:left w:val="nil"/>
              <w:bottom w:val="single" w:color="auto" w:sz="4" w:space="0"/>
              <w:right w:val="single" w:color="auto" w:sz="4" w:space="0"/>
            </w:tcBorders>
            <w:noWrap w:val="0"/>
            <w:vAlign w:val="center"/>
          </w:tcPr>
          <w:p w14:paraId="60750BCB">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2" w:type="dxa"/>
            <w:tcBorders>
              <w:top w:val="single" w:color="auto" w:sz="4" w:space="0"/>
              <w:left w:val="nil"/>
              <w:bottom w:val="single" w:color="auto" w:sz="4" w:space="0"/>
              <w:right w:val="single" w:color="auto" w:sz="4" w:space="0"/>
            </w:tcBorders>
            <w:noWrap w:val="0"/>
            <w:vAlign w:val="center"/>
          </w:tcPr>
          <w:p w14:paraId="32DF2E70">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6822EDFF">
        <w:tblPrEx>
          <w:tblCellMar>
            <w:top w:w="0" w:type="dxa"/>
            <w:left w:w="108" w:type="dxa"/>
            <w:bottom w:w="0" w:type="dxa"/>
            <w:right w:w="108" w:type="dxa"/>
          </w:tblCellMar>
        </w:tblPrEx>
        <w:trPr>
          <w:wBefore w:w="0" w:type="dxa"/>
          <w:wAfter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45B089D6">
            <w:pPr>
              <w:widowControl/>
              <w:jc w:val="left"/>
              <w:rPr>
                <w:rFonts w:ascii="宋体" w:hAnsi="宋体" w:cs="宋体"/>
                <w:kern w:val="0"/>
                <w:sz w:val="18"/>
                <w:szCs w:val="18"/>
              </w:rPr>
            </w:pPr>
            <w:r>
              <w:rPr>
                <w:rFonts w:hint="eastAsia" w:ascii="宋体" w:hAnsi="宋体" w:cs="宋体"/>
                <w:kern w:val="0"/>
                <w:sz w:val="18"/>
                <w:szCs w:val="18"/>
              </w:rPr>
              <w:t>K3</w:t>
            </w:r>
          </w:p>
        </w:tc>
        <w:tc>
          <w:tcPr>
            <w:tcW w:w="1080" w:type="dxa"/>
            <w:tcBorders>
              <w:top w:val="nil"/>
              <w:left w:val="nil"/>
              <w:bottom w:val="single" w:color="auto" w:sz="4" w:space="0"/>
              <w:right w:val="single" w:color="auto" w:sz="4" w:space="0"/>
            </w:tcBorders>
            <w:noWrap w:val="0"/>
            <w:vAlign w:val="center"/>
          </w:tcPr>
          <w:p w14:paraId="48C2F6E0">
            <w:pPr>
              <w:widowControl/>
              <w:jc w:val="center"/>
              <w:rPr>
                <w:rFonts w:ascii="宋体" w:hAnsi="宋体" w:cs="宋体"/>
                <w:kern w:val="0"/>
                <w:sz w:val="18"/>
                <w:szCs w:val="18"/>
              </w:rPr>
            </w:pPr>
            <w:r>
              <w:rPr>
                <w:rFonts w:hint="eastAsia" w:ascii="宋体" w:hAnsi="宋体" w:cs="宋体"/>
                <w:kern w:val="0"/>
                <w:sz w:val="18"/>
                <w:szCs w:val="18"/>
              </w:rPr>
              <w:t>10</w:t>
            </w:r>
          </w:p>
        </w:tc>
        <w:tc>
          <w:tcPr>
            <w:tcW w:w="1222" w:type="dxa"/>
            <w:tcBorders>
              <w:top w:val="nil"/>
              <w:left w:val="nil"/>
              <w:bottom w:val="single" w:color="auto" w:sz="4" w:space="0"/>
              <w:right w:val="single" w:color="auto" w:sz="4" w:space="0"/>
            </w:tcBorders>
            <w:noWrap w:val="0"/>
            <w:vAlign w:val="center"/>
          </w:tcPr>
          <w:p w14:paraId="21A88702">
            <w:pPr>
              <w:widowControl/>
              <w:jc w:val="center"/>
              <w:rPr>
                <w:rFonts w:ascii="宋体" w:hAnsi="宋体" w:cs="宋体"/>
                <w:kern w:val="0"/>
                <w:sz w:val="18"/>
                <w:szCs w:val="18"/>
              </w:rPr>
            </w:pPr>
            <w:r>
              <w:rPr>
                <w:rFonts w:hint="eastAsia" w:ascii="宋体" w:hAnsi="宋体" w:cs="宋体"/>
                <w:kern w:val="0"/>
                <w:sz w:val="18"/>
                <w:szCs w:val="18"/>
              </w:rPr>
              <w:t xml:space="preserve">0.58 </w:t>
            </w:r>
          </w:p>
        </w:tc>
        <w:tc>
          <w:tcPr>
            <w:tcW w:w="1082" w:type="dxa"/>
            <w:tcBorders>
              <w:top w:val="nil"/>
              <w:left w:val="nil"/>
              <w:bottom w:val="single" w:color="auto" w:sz="4" w:space="0"/>
              <w:right w:val="single" w:color="auto" w:sz="4" w:space="0"/>
            </w:tcBorders>
            <w:noWrap w:val="0"/>
            <w:vAlign w:val="center"/>
          </w:tcPr>
          <w:p w14:paraId="377BADB7">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1042" w:type="dxa"/>
            <w:tcBorders>
              <w:top w:val="nil"/>
              <w:left w:val="nil"/>
              <w:bottom w:val="single" w:color="auto" w:sz="4" w:space="0"/>
              <w:right w:val="single" w:color="auto" w:sz="4" w:space="0"/>
            </w:tcBorders>
            <w:noWrap w:val="0"/>
            <w:vAlign w:val="center"/>
          </w:tcPr>
          <w:p w14:paraId="531F5963">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1102" w:type="dxa"/>
            <w:tcBorders>
              <w:top w:val="nil"/>
              <w:left w:val="nil"/>
              <w:bottom w:val="single" w:color="auto" w:sz="4" w:space="0"/>
              <w:right w:val="single" w:color="auto" w:sz="4" w:space="0"/>
            </w:tcBorders>
            <w:noWrap w:val="0"/>
            <w:vAlign w:val="center"/>
          </w:tcPr>
          <w:p w14:paraId="7D7AB367">
            <w:pPr>
              <w:widowControl/>
              <w:jc w:val="center"/>
              <w:rPr>
                <w:rFonts w:ascii="宋体" w:hAnsi="宋体" w:cs="宋体"/>
                <w:kern w:val="0"/>
                <w:sz w:val="18"/>
                <w:szCs w:val="18"/>
              </w:rPr>
            </w:pPr>
            <w:r>
              <w:rPr>
                <w:rFonts w:hint="eastAsia" w:ascii="宋体" w:hAnsi="宋体" w:cs="宋体"/>
                <w:kern w:val="0"/>
                <w:sz w:val="18"/>
                <w:szCs w:val="18"/>
              </w:rPr>
              <w:t xml:space="preserve">12.70 </w:t>
            </w:r>
          </w:p>
        </w:tc>
        <w:tc>
          <w:tcPr>
            <w:tcW w:w="1160" w:type="dxa"/>
            <w:tcBorders>
              <w:top w:val="nil"/>
              <w:left w:val="nil"/>
              <w:bottom w:val="single" w:color="auto" w:sz="4" w:space="0"/>
              <w:right w:val="single" w:color="auto" w:sz="4" w:space="0"/>
            </w:tcBorders>
            <w:noWrap w:val="0"/>
            <w:vAlign w:val="center"/>
          </w:tcPr>
          <w:p w14:paraId="0115AAB3">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2" w:type="dxa"/>
            <w:tcBorders>
              <w:top w:val="nil"/>
              <w:left w:val="nil"/>
              <w:bottom w:val="single" w:color="auto" w:sz="4" w:space="0"/>
              <w:right w:val="single" w:color="auto" w:sz="4" w:space="0"/>
            </w:tcBorders>
            <w:noWrap w:val="0"/>
            <w:vAlign w:val="center"/>
          </w:tcPr>
          <w:p w14:paraId="268FBB65">
            <w:pPr>
              <w:widowControl/>
              <w:jc w:val="center"/>
              <w:rPr>
                <w:rFonts w:ascii="宋体" w:hAnsi="宋体" w:cs="宋体"/>
                <w:kern w:val="0"/>
                <w:sz w:val="18"/>
                <w:szCs w:val="18"/>
              </w:rPr>
            </w:pPr>
            <w:r>
              <w:rPr>
                <w:rFonts w:hint="eastAsia" w:ascii="宋体" w:hAnsi="宋体" w:cs="宋体"/>
                <w:kern w:val="0"/>
                <w:sz w:val="18"/>
                <w:szCs w:val="18"/>
              </w:rPr>
              <w:t xml:space="preserve">2.19 </w:t>
            </w:r>
          </w:p>
        </w:tc>
      </w:tr>
      <w:tr w14:paraId="5A5AD655">
        <w:tblPrEx>
          <w:tblCellMar>
            <w:top w:w="0" w:type="dxa"/>
            <w:left w:w="108" w:type="dxa"/>
            <w:bottom w:w="0" w:type="dxa"/>
            <w:right w:w="108" w:type="dxa"/>
          </w:tblCellMar>
        </w:tblPrEx>
        <w:trPr>
          <w:wBefore w:w="0" w:type="dxa"/>
          <w:wAfter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347FC95D">
            <w:pPr>
              <w:widowControl/>
              <w:jc w:val="left"/>
              <w:rPr>
                <w:rFonts w:ascii="宋体" w:hAnsi="宋体" w:cs="宋体"/>
                <w:kern w:val="0"/>
                <w:sz w:val="18"/>
                <w:szCs w:val="18"/>
              </w:rPr>
            </w:pPr>
            <w:r>
              <w:rPr>
                <w:rFonts w:hint="eastAsia" w:ascii="宋体" w:hAnsi="宋体" w:cs="宋体"/>
                <w:kern w:val="0"/>
                <w:sz w:val="18"/>
                <w:szCs w:val="18"/>
              </w:rPr>
              <w:t>K9</w:t>
            </w:r>
          </w:p>
        </w:tc>
        <w:tc>
          <w:tcPr>
            <w:tcW w:w="1080" w:type="dxa"/>
            <w:tcBorders>
              <w:top w:val="nil"/>
              <w:left w:val="nil"/>
              <w:bottom w:val="single" w:color="auto" w:sz="4" w:space="0"/>
              <w:right w:val="single" w:color="auto" w:sz="4" w:space="0"/>
            </w:tcBorders>
            <w:noWrap w:val="0"/>
            <w:vAlign w:val="center"/>
          </w:tcPr>
          <w:p w14:paraId="1F080891">
            <w:pPr>
              <w:widowControl/>
              <w:jc w:val="center"/>
              <w:rPr>
                <w:rFonts w:ascii="宋体" w:hAnsi="宋体" w:cs="宋体"/>
                <w:kern w:val="0"/>
                <w:sz w:val="18"/>
                <w:szCs w:val="18"/>
              </w:rPr>
            </w:pPr>
            <w:r>
              <w:rPr>
                <w:rFonts w:hint="eastAsia" w:ascii="宋体" w:hAnsi="宋体" w:cs="宋体"/>
                <w:kern w:val="0"/>
                <w:sz w:val="18"/>
                <w:szCs w:val="18"/>
              </w:rPr>
              <w:t>38</w:t>
            </w:r>
          </w:p>
        </w:tc>
        <w:tc>
          <w:tcPr>
            <w:tcW w:w="1222" w:type="dxa"/>
            <w:tcBorders>
              <w:top w:val="nil"/>
              <w:left w:val="nil"/>
              <w:bottom w:val="single" w:color="auto" w:sz="4" w:space="0"/>
              <w:right w:val="single" w:color="auto" w:sz="4" w:space="0"/>
            </w:tcBorders>
            <w:noWrap w:val="0"/>
            <w:vAlign w:val="center"/>
          </w:tcPr>
          <w:p w14:paraId="369D796A">
            <w:pPr>
              <w:widowControl/>
              <w:jc w:val="center"/>
              <w:rPr>
                <w:rFonts w:ascii="宋体" w:hAnsi="宋体" w:cs="宋体"/>
                <w:kern w:val="0"/>
                <w:sz w:val="18"/>
                <w:szCs w:val="18"/>
              </w:rPr>
            </w:pPr>
            <w:r>
              <w:rPr>
                <w:rFonts w:hint="eastAsia" w:ascii="宋体" w:hAnsi="宋体" w:cs="宋体"/>
                <w:kern w:val="0"/>
                <w:sz w:val="18"/>
                <w:szCs w:val="18"/>
              </w:rPr>
              <w:t xml:space="preserve">0.32 </w:t>
            </w:r>
          </w:p>
        </w:tc>
        <w:tc>
          <w:tcPr>
            <w:tcW w:w="1082" w:type="dxa"/>
            <w:tcBorders>
              <w:top w:val="nil"/>
              <w:left w:val="nil"/>
              <w:bottom w:val="single" w:color="auto" w:sz="4" w:space="0"/>
              <w:right w:val="single" w:color="auto" w:sz="4" w:space="0"/>
            </w:tcBorders>
            <w:noWrap w:val="0"/>
            <w:vAlign w:val="center"/>
          </w:tcPr>
          <w:p w14:paraId="7AA77677">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042" w:type="dxa"/>
            <w:tcBorders>
              <w:top w:val="nil"/>
              <w:left w:val="nil"/>
              <w:bottom w:val="single" w:color="auto" w:sz="4" w:space="0"/>
              <w:right w:val="single" w:color="auto" w:sz="4" w:space="0"/>
            </w:tcBorders>
            <w:noWrap w:val="0"/>
            <w:vAlign w:val="center"/>
          </w:tcPr>
          <w:p w14:paraId="7EA70715">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1102" w:type="dxa"/>
            <w:tcBorders>
              <w:top w:val="nil"/>
              <w:left w:val="nil"/>
              <w:bottom w:val="single" w:color="auto" w:sz="4" w:space="0"/>
              <w:right w:val="single" w:color="auto" w:sz="4" w:space="0"/>
            </w:tcBorders>
            <w:noWrap w:val="0"/>
            <w:vAlign w:val="center"/>
          </w:tcPr>
          <w:p w14:paraId="1C7435C9">
            <w:pPr>
              <w:widowControl/>
              <w:jc w:val="center"/>
              <w:rPr>
                <w:rFonts w:ascii="宋体" w:hAnsi="宋体" w:cs="宋体"/>
                <w:kern w:val="0"/>
                <w:sz w:val="18"/>
                <w:szCs w:val="18"/>
              </w:rPr>
            </w:pPr>
            <w:r>
              <w:rPr>
                <w:rFonts w:hint="eastAsia" w:ascii="宋体" w:hAnsi="宋体" w:cs="宋体"/>
                <w:kern w:val="0"/>
                <w:sz w:val="18"/>
                <w:szCs w:val="18"/>
              </w:rPr>
              <w:t xml:space="preserve">14.31 </w:t>
            </w:r>
          </w:p>
        </w:tc>
        <w:tc>
          <w:tcPr>
            <w:tcW w:w="1160" w:type="dxa"/>
            <w:tcBorders>
              <w:top w:val="nil"/>
              <w:left w:val="nil"/>
              <w:bottom w:val="single" w:color="auto" w:sz="4" w:space="0"/>
              <w:right w:val="single" w:color="auto" w:sz="4" w:space="0"/>
            </w:tcBorders>
            <w:noWrap w:val="0"/>
            <w:vAlign w:val="center"/>
          </w:tcPr>
          <w:p w14:paraId="636244A2">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2" w:type="dxa"/>
            <w:tcBorders>
              <w:top w:val="nil"/>
              <w:left w:val="nil"/>
              <w:bottom w:val="single" w:color="auto" w:sz="4" w:space="0"/>
              <w:right w:val="single" w:color="auto" w:sz="4" w:space="0"/>
            </w:tcBorders>
            <w:noWrap w:val="0"/>
            <w:vAlign w:val="center"/>
          </w:tcPr>
          <w:p w14:paraId="6BD1C6EA">
            <w:pPr>
              <w:widowControl/>
              <w:jc w:val="center"/>
              <w:rPr>
                <w:rFonts w:ascii="宋体" w:hAnsi="宋体" w:cs="宋体"/>
                <w:kern w:val="0"/>
                <w:sz w:val="18"/>
                <w:szCs w:val="18"/>
              </w:rPr>
            </w:pPr>
            <w:r>
              <w:rPr>
                <w:rFonts w:hint="eastAsia" w:ascii="宋体" w:hAnsi="宋体" w:cs="宋体"/>
                <w:kern w:val="0"/>
                <w:sz w:val="18"/>
                <w:szCs w:val="18"/>
              </w:rPr>
              <w:t xml:space="preserve">1.71 </w:t>
            </w:r>
          </w:p>
        </w:tc>
      </w:tr>
      <w:tr w14:paraId="1B2FC9DD">
        <w:tblPrEx>
          <w:tblCellMar>
            <w:top w:w="0" w:type="dxa"/>
            <w:left w:w="108" w:type="dxa"/>
            <w:bottom w:w="0" w:type="dxa"/>
            <w:right w:w="108" w:type="dxa"/>
          </w:tblCellMar>
        </w:tblPrEx>
        <w:trPr>
          <w:wBefore w:w="0" w:type="dxa"/>
          <w:wAfter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6AD43043">
            <w:pPr>
              <w:widowControl/>
              <w:jc w:val="left"/>
              <w:rPr>
                <w:rFonts w:ascii="宋体" w:hAnsi="宋体" w:cs="宋体"/>
                <w:kern w:val="0"/>
                <w:sz w:val="18"/>
                <w:szCs w:val="18"/>
              </w:rPr>
            </w:pPr>
            <w:r>
              <w:rPr>
                <w:rFonts w:hint="eastAsia" w:ascii="宋体" w:hAnsi="宋体" w:cs="宋体"/>
                <w:kern w:val="0"/>
                <w:sz w:val="18"/>
                <w:szCs w:val="18"/>
              </w:rPr>
              <w:t>K10</w:t>
            </w:r>
          </w:p>
        </w:tc>
        <w:tc>
          <w:tcPr>
            <w:tcW w:w="1080" w:type="dxa"/>
            <w:tcBorders>
              <w:top w:val="nil"/>
              <w:left w:val="nil"/>
              <w:bottom w:val="single" w:color="auto" w:sz="4" w:space="0"/>
              <w:right w:val="single" w:color="auto" w:sz="4" w:space="0"/>
            </w:tcBorders>
            <w:noWrap w:val="0"/>
            <w:vAlign w:val="center"/>
          </w:tcPr>
          <w:p w14:paraId="0619E789">
            <w:pPr>
              <w:widowControl/>
              <w:jc w:val="center"/>
              <w:rPr>
                <w:rFonts w:ascii="宋体" w:hAnsi="宋体" w:cs="宋体"/>
                <w:kern w:val="0"/>
                <w:sz w:val="18"/>
                <w:szCs w:val="18"/>
              </w:rPr>
            </w:pPr>
            <w:r>
              <w:rPr>
                <w:rFonts w:hint="eastAsia" w:ascii="宋体" w:hAnsi="宋体" w:cs="宋体"/>
                <w:kern w:val="0"/>
                <w:sz w:val="18"/>
                <w:szCs w:val="18"/>
              </w:rPr>
              <w:t>48</w:t>
            </w:r>
          </w:p>
        </w:tc>
        <w:tc>
          <w:tcPr>
            <w:tcW w:w="1222" w:type="dxa"/>
            <w:tcBorders>
              <w:top w:val="nil"/>
              <w:left w:val="nil"/>
              <w:bottom w:val="single" w:color="auto" w:sz="4" w:space="0"/>
              <w:right w:val="single" w:color="auto" w:sz="4" w:space="0"/>
            </w:tcBorders>
            <w:noWrap w:val="0"/>
            <w:vAlign w:val="center"/>
          </w:tcPr>
          <w:p w14:paraId="4BCF0AF4">
            <w:pPr>
              <w:widowControl/>
              <w:jc w:val="center"/>
              <w:rPr>
                <w:rFonts w:ascii="宋体" w:hAnsi="宋体" w:cs="宋体"/>
                <w:kern w:val="0"/>
                <w:sz w:val="18"/>
                <w:szCs w:val="18"/>
              </w:rPr>
            </w:pPr>
            <w:r>
              <w:rPr>
                <w:rFonts w:hint="eastAsia" w:ascii="宋体" w:hAnsi="宋体" w:cs="宋体"/>
                <w:kern w:val="0"/>
                <w:sz w:val="18"/>
                <w:szCs w:val="18"/>
              </w:rPr>
              <w:t xml:space="preserve">0.19 </w:t>
            </w:r>
          </w:p>
        </w:tc>
        <w:tc>
          <w:tcPr>
            <w:tcW w:w="1082" w:type="dxa"/>
            <w:tcBorders>
              <w:top w:val="nil"/>
              <w:left w:val="nil"/>
              <w:bottom w:val="single" w:color="auto" w:sz="4" w:space="0"/>
              <w:right w:val="single" w:color="auto" w:sz="4" w:space="0"/>
            </w:tcBorders>
            <w:noWrap w:val="0"/>
            <w:vAlign w:val="center"/>
          </w:tcPr>
          <w:p w14:paraId="504E55E8">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042" w:type="dxa"/>
            <w:tcBorders>
              <w:top w:val="nil"/>
              <w:left w:val="nil"/>
              <w:bottom w:val="single" w:color="auto" w:sz="4" w:space="0"/>
              <w:right w:val="single" w:color="auto" w:sz="4" w:space="0"/>
            </w:tcBorders>
            <w:noWrap w:val="0"/>
            <w:vAlign w:val="center"/>
          </w:tcPr>
          <w:p w14:paraId="1EB8D8FA">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1102" w:type="dxa"/>
            <w:tcBorders>
              <w:top w:val="nil"/>
              <w:left w:val="nil"/>
              <w:bottom w:val="single" w:color="auto" w:sz="4" w:space="0"/>
              <w:right w:val="single" w:color="auto" w:sz="4" w:space="0"/>
            </w:tcBorders>
            <w:noWrap w:val="0"/>
            <w:vAlign w:val="center"/>
          </w:tcPr>
          <w:p w14:paraId="228DC59C">
            <w:pPr>
              <w:widowControl/>
              <w:jc w:val="center"/>
              <w:rPr>
                <w:rFonts w:ascii="宋体" w:hAnsi="宋体" w:cs="宋体"/>
                <w:kern w:val="0"/>
                <w:sz w:val="18"/>
                <w:szCs w:val="18"/>
              </w:rPr>
            </w:pPr>
            <w:r>
              <w:rPr>
                <w:rFonts w:hint="eastAsia" w:ascii="宋体" w:hAnsi="宋体" w:cs="宋体"/>
                <w:kern w:val="0"/>
                <w:sz w:val="18"/>
                <w:szCs w:val="18"/>
              </w:rPr>
              <w:t xml:space="preserve">14.66 </w:t>
            </w:r>
          </w:p>
        </w:tc>
        <w:tc>
          <w:tcPr>
            <w:tcW w:w="1160" w:type="dxa"/>
            <w:tcBorders>
              <w:top w:val="nil"/>
              <w:left w:val="nil"/>
              <w:bottom w:val="single" w:color="auto" w:sz="4" w:space="0"/>
              <w:right w:val="single" w:color="auto" w:sz="4" w:space="0"/>
            </w:tcBorders>
            <w:noWrap w:val="0"/>
            <w:vAlign w:val="center"/>
          </w:tcPr>
          <w:p w14:paraId="78E47898">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2" w:type="dxa"/>
            <w:tcBorders>
              <w:top w:val="nil"/>
              <w:left w:val="nil"/>
              <w:bottom w:val="single" w:color="auto" w:sz="4" w:space="0"/>
              <w:right w:val="single" w:color="auto" w:sz="4" w:space="0"/>
            </w:tcBorders>
            <w:noWrap w:val="0"/>
            <w:vAlign w:val="center"/>
          </w:tcPr>
          <w:p w14:paraId="470C916F">
            <w:pPr>
              <w:widowControl/>
              <w:jc w:val="center"/>
              <w:rPr>
                <w:rFonts w:ascii="宋体" w:hAnsi="宋体" w:cs="宋体"/>
                <w:kern w:val="0"/>
                <w:sz w:val="18"/>
                <w:szCs w:val="18"/>
              </w:rPr>
            </w:pPr>
            <w:r>
              <w:rPr>
                <w:rFonts w:hint="eastAsia" w:ascii="宋体" w:hAnsi="宋体" w:cs="宋体"/>
                <w:kern w:val="0"/>
                <w:sz w:val="18"/>
                <w:szCs w:val="18"/>
              </w:rPr>
              <w:t xml:space="preserve">0.93 </w:t>
            </w:r>
          </w:p>
        </w:tc>
      </w:tr>
      <w:tr w14:paraId="2C6F43F9">
        <w:tblPrEx>
          <w:tblCellMar>
            <w:top w:w="0" w:type="dxa"/>
            <w:left w:w="108" w:type="dxa"/>
            <w:bottom w:w="0" w:type="dxa"/>
            <w:right w:w="108" w:type="dxa"/>
          </w:tblCellMar>
        </w:tblPrEx>
        <w:trPr>
          <w:wBefore w:w="0" w:type="dxa"/>
          <w:wAfter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3F8CE567">
            <w:pPr>
              <w:widowControl/>
              <w:jc w:val="left"/>
              <w:rPr>
                <w:rFonts w:ascii="宋体" w:hAnsi="宋体" w:cs="宋体"/>
                <w:kern w:val="0"/>
                <w:sz w:val="18"/>
                <w:szCs w:val="18"/>
              </w:rPr>
            </w:pPr>
            <w:r>
              <w:rPr>
                <w:rFonts w:hint="eastAsia" w:ascii="宋体" w:hAnsi="宋体" w:cs="宋体"/>
                <w:kern w:val="0"/>
                <w:sz w:val="18"/>
                <w:szCs w:val="18"/>
              </w:rPr>
              <w:t>K13</w:t>
            </w:r>
          </w:p>
        </w:tc>
        <w:tc>
          <w:tcPr>
            <w:tcW w:w="1080" w:type="dxa"/>
            <w:tcBorders>
              <w:top w:val="nil"/>
              <w:left w:val="nil"/>
              <w:bottom w:val="single" w:color="auto" w:sz="4" w:space="0"/>
              <w:right w:val="single" w:color="auto" w:sz="4" w:space="0"/>
            </w:tcBorders>
            <w:noWrap w:val="0"/>
            <w:vAlign w:val="center"/>
          </w:tcPr>
          <w:p w14:paraId="695C88AF">
            <w:pPr>
              <w:widowControl/>
              <w:jc w:val="center"/>
              <w:rPr>
                <w:rFonts w:ascii="宋体" w:hAnsi="宋体" w:cs="宋体"/>
                <w:kern w:val="0"/>
                <w:sz w:val="18"/>
                <w:szCs w:val="18"/>
              </w:rPr>
            </w:pPr>
            <w:r>
              <w:rPr>
                <w:rFonts w:hint="eastAsia" w:ascii="宋体" w:hAnsi="宋体" w:cs="宋体"/>
                <w:kern w:val="0"/>
                <w:sz w:val="18"/>
                <w:szCs w:val="18"/>
              </w:rPr>
              <w:t>58</w:t>
            </w:r>
          </w:p>
        </w:tc>
        <w:tc>
          <w:tcPr>
            <w:tcW w:w="1222" w:type="dxa"/>
            <w:tcBorders>
              <w:top w:val="nil"/>
              <w:left w:val="nil"/>
              <w:bottom w:val="single" w:color="auto" w:sz="4" w:space="0"/>
              <w:right w:val="single" w:color="auto" w:sz="4" w:space="0"/>
            </w:tcBorders>
            <w:noWrap w:val="0"/>
            <w:vAlign w:val="center"/>
          </w:tcPr>
          <w:p w14:paraId="5A347724">
            <w:pPr>
              <w:widowControl/>
              <w:jc w:val="center"/>
              <w:rPr>
                <w:rFonts w:ascii="宋体" w:hAnsi="宋体" w:cs="宋体"/>
                <w:kern w:val="0"/>
                <w:sz w:val="18"/>
                <w:szCs w:val="18"/>
              </w:rPr>
            </w:pPr>
            <w:r>
              <w:rPr>
                <w:rFonts w:hint="eastAsia" w:ascii="宋体" w:hAnsi="宋体" w:cs="宋体"/>
                <w:kern w:val="0"/>
                <w:sz w:val="18"/>
                <w:szCs w:val="18"/>
              </w:rPr>
              <w:t xml:space="preserve">0.13 </w:t>
            </w:r>
          </w:p>
        </w:tc>
        <w:tc>
          <w:tcPr>
            <w:tcW w:w="1082" w:type="dxa"/>
            <w:tcBorders>
              <w:top w:val="nil"/>
              <w:left w:val="nil"/>
              <w:bottom w:val="single" w:color="auto" w:sz="4" w:space="0"/>
              <w:right w:val="single" w:color="auto" w:sz="4" w:space="0"/>
            </w:tcBorders>
            <w:noWrap w:val="0"/>
            <w:vAlign w:val="center"/>
          </w:tcPr>
          <w:p w14:paraId="11C7F46C">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42" w:type="dxa"/>
            <w:tcBorders>
              <w:top w:val="nil"/>
              <w:left w:val="nil"/>
              <w:bottom w:val="single" w:color="auto" w:sz="4" w:space="0"/>
              <w:right w:val="single" w:color="auto" w:sz="4" w:space="0"/>
            </w:tcBorders>
            <w:noWrap w:val="0"/>
            <w:vAlign w:val="center"/>
          </w:tcPr>
          <w:p w14:paraId="5AEF4C57">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1102" w:type="dxa"/>
            <w:tcBorders>
              <w:top w:val="nil"/>
              <w:left w:val="nil"/>
              <w:bottom w:val="single" w:color="auto" w:sz="4" w:space="0"/>
              <w:right w:val="single" w:color="auto" w:sz="4" w:space="0"/>
            </w:tcBorders>
            <w:noWrap w:val="0"/>
            <w:vAlign w:val="center"/>
          </w:tcPr>
          <w:p w14:paraId="04B5A32C">
            <w:pPr>
              <w:widowControl/>
              <w:jc w:val="center"/>
              <w:rPr>
                <w:rFonts w:ascii="宋体" w:hAnsi="宋体" w:cs="宋体"/>
                <w:kern w:val="0"/>
                <w:sz w:val="18"/>
                <w:szCs w:val="18"/>
              </w:rPr>
            </w:pPr>
            <w:r>
              <w:rPr>
                <w:rFonts w:hint="eastAsia" w:ascii="宋体" w:hAnsi="宋体" w:cs="宋体"/>
                <w:kern w:val="0"/>
                <w:sz w:val="18"/>
                <w:szCs w:val="18"/>
              </w:rPr>
              <w:t xml:space="preserve">15.92 </w:t>
            </w:r>
          </w:p>
        </w:tc>
        <w:tc>
          <w:tcPr>
            <w:tcW w:w="1160" w:type="dxa"/>
            <w:tcBorders>
              <w:top w:val="nil"/>
              <w:left w:val="nil"/>
              <w:bottom w:val="single" w:color="auto" w:sz="4" w:space="0"/>
              <w:right w:val="single" w:color="auto" w:sz="4" w:space="0"/>
            </w:tcBorders>
            <w:noWrap w:val="0"/>
            <w:vAlign w:val="center"/>
          </w:tcPr>
          <w:p w14:paraId="08C0BE60">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2" w:type="dxa"/>
            <w:tcBorders>
              <w:top w:val="nil"/>
              <w:left w:val="nil"/>
              <w:bottom w:val="single" w:color="auto" w:sz="4" w:space="0"/>
              <w:right w:val="single" w:color="auto" w:sz="4" w:space="0"/>
            </w:tcBorders>
            <w:noWrap w:val="0"/>
            <w:vAlign w:val="center"/>
          </w:tcPr>
          <w:p w14:paraId="2BE51E17">
            <w:pPr>
              <w:widowControl/>
              <w:jc w:val="center"/>
              <w:rPr>
                <w:rFonts w:ascii="宋体" w:hAnsi="宋体" w:cs="宋体"/>
                <w:kern w:val="0"/>
                <w:sz w:val="18"/>
                <w:szCs w:val="18"/>
              </w:rPr>
            </w:pPr>
            <w:r>
              <w:rPr>
                <w:rFonts w:hint="eastAsia" w:ascii="宋体" w:hAnsi="宋体" w:cs="宋体"/>
                <w:kern w:val="0"/>
                <w:sz w:val="18"/>
                <w:szCs w:val="18"/>
              </w:rPr>
              <w:t xml:space="preserve">1.04 </w:t>
            </w:r>
          </w:p>
        </w:tc>
      </w:tr>
      <w:tr w14:paraId="0158E103">
        <w:tblPrEx>
          <w:tblCellMar>
            <w:top w:w="0" w:type="dxa"/>
            <w:left w:w="108" w:type="dxa"/>
            <w:bottom w:w="0" w:type="dxa"/>
            <w:right w:w="108" w:type="dxa"/>
          </w:tblCellMar>
        </w:tblPrEx>
        <w:trPr>
          <w:wBefore w:w="0" w:type="dxa"/>
          <w:wAfter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17AA086B">
            <w:pPr>
              <w:widowControl/>
              <w:jc w:val="left"/>
              <w:rPr>
                <w:rFonts w:ascii="宋体" w:hAnsi="宋体" w:cs="宋体"/>
                <w:kern w:val="0"/>
                <w:sz w:val="18"/>
                <w:szCs w:val="18"/>
              </w:rPr>
            </w:pPr>
            <w:r>
              <w:rPr>
                <w:rFonts w:hint="eastAsia" w:ascii="宋体" w:hAnsi="宋体" w:cs="宋体"/>
                <w:kern w:val="0"/>
                <w:sz w:val="18"/>
                <w:szCs w:val="18"/>
              </w:rPr>
              <w:t>K18</w:t>
            </w:r>
          </w:p>
        </w:tc>
        <w:tc>
          <w:tcPr>
            <w:tcW w:w="1080" w:type="dxa"/>
            <w:tcBorders>
              <w:top w:val="nil"/>
              <w:left w:val="nil"/>
              <w:bottom w:val="single" w:color="auto" w:sz="4" w:space="0"/>
              <w:right w:val="single" w:color="auto" w:sz="4" w:space="0"/>
            </w:tcBorders>
            <w:noWrap w:val="0"/>
            <w:vAlign w:val="center"/>
          </w:tcPr>
          <w:p w14:paraId="367A3617">
            <w:pPr>
              <w:widowControl/>
              <w:jc w:val="center"/>
              <w:rPr>
                <w:rFonts w:ascii="宋体" w:hAnsi="宋体" w:cs="宋体"/>
                <w:kern w:val="0"/>
                <w:sz w:val="18"/>
                <w:szCs w:val="18"/>
              </w:rPr>
            </w:pPr>
            <w:r>
              <w:rPr>
                <w:rFonts w:hint="eastAsia" w:ascii="宋体" w:hAnsi="宋体" w:cs="宋体"/>
                <w:kern w:val="0"/>
                <w:sz w:val="18"/>
                <w:szCs w:val="18"/>
              </w:rPr>
              <w:t>88</w:t>
            </w:r>
          </w:p>
        </w:tc>
        <w:tc>
          <w:tcPr>
            <w:tcW w:w="1222" w:type="dxa"/>
            <w:tcBorders>
              <w:top w:val="nil"/>
              <w:left w:val="nil"/>
              <w:bottom w:val="single" w:color="auto" w:sz="4" w:space="0"/>
              <w:right w:val="single" w:color="auto" w:sz="4" w:space="0"/>
            </w:tcBorders>
            <w:noWrap w:val="0"/>
            <w:vAlign w:val="center"/>
          </w:tcPr>
          <w:p w14:paraId="146F8756">
            <w:pPr>
              <w:widowControl/>
              <w:jc w:val="center"/>
              <w:rPr>
                <w:rFonts w:ascii="宋体" w:hAnsi="宋体" w:cs="宋体"/>
                <w:kern w:val="0"/>
                <w:sz w:val="18"/>
                <w:szCs w:val="18"/>
              </w:rPr>
            </w:pPr>
            <w:r>
              <w:rPr>
                <w:rFonts w:hint="eastAsia" w:ascii="宋体" w:hAnsi="宋体" w:cs="宋体"/>
                <w:kern w:val="0"/>
                <w:sz w:val="18"/>
                <w:szCs w:val="18"/>
              </w:rPr>
              <w:t xml:space="preserve">0.08 </w:t>
            </w:r>
          </w:p>
        </w:tc>
        <w:tc>
          <w:tcPr>
            <w:tcW w:w="1082" w:type="dxa"/>
            <w:tcBorders>
              <w:top w:val="nil"/>
              <w:left w:val="nil"/>
              <w:bottom w:val="single" w:color="auto" w:sz="4" w:space="0"/>
              <w:right w:val="single" w:color="auto" w:sz="4" w:space="0"/>
            </w:tcBorders>
            <w:noWrap w:val="0"/>
            <w:vAlign w:val="center"/>
          </w:tcPr>
          <w:p w14:paraId="40BD6D33">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042" w:type="dxa"/>
            <w:tcBorders>
              <w:top w:val="nil"/>
              <w:left w:val="nil"/>
              <w:bottom w:val="single" w:color="auto" w:sz="4" w:space="0"/>
              <w:right w:val="single" w:color="auto" w:sz="4" w:space="0"/>
            </w:tcBorders>
            <w:noWrap w:val="0"/>
            <w:vAlign w:val="center"/>
          </w:tcPr>
          <w:p w14:paraId="5B892B6E">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1102" w:type="dxa"/>
            <w:tcBorders>
              <w:top w:val="nil"/>
              <w:left w:val="nil"/>
              <w:bottom w:val="single" w:color="auto" w:sz="4" w:space="0"/>
              <w:right w:val="single" w:color="auto" w:sz="4" w:space="0"/>
            </w:tcBorders>
            <w:noWrap w:val="0"/>
            <w:vAlign w:val="center"/>
          </w:tcPr>
          <w:p w14:paraId="5C41BB3F">
            <w:pPr>
              <w:widowControl/>
              <w:jc w:val="center"/>
              <w:rPr>
                <w:rFonts w:ascii="宋体" w:hAnsi="宋体" w:cs="宋体"/>
                <w:kern w:val="0"/>
                <w:sz w:val="18"/>
                <w:szCs w:val="18"/>
              </w:rPr>
            </w:pPr>
            <w:r>
              <w:rPr>
                <w:rFonts w:hint="eastAsia" w:ascii="宋体" w:hAnsi="宋体" w:cs="宋体"/>
                <w:kern w:val="0"/>
                <w:sz w:val="18"/>
                <w:szCs w:val="18"/>
              </w:rPr>
              <w:t xml:space="preserve">16.04 </w:t>
            </w:r>
          </w:p>
        </w:tc>
        <w:tc>
          <w:tcPr>
            <w:tcW w:w="1160" w:type="dxa"/>
            <w:tcBorders>
              <w:top w:val="nil"/>
              <w:left w:val="nil"/>
              <w:bottom w:val="single" w:color="auto" w:sz="4" w:space="0"/>
              <w:right w:val="single" w:color="auto" w:sz="4" w:space="0"/>
            </w:tcBorders>
            <w:noWrap w:val="0"/>
            <w:vAlign w:val="center"/>
          </w:tcPr>
          <w:p w14:paraId="276909F3">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2" w:type="dxa"/>
            <w:tcBorders>
              <w:top w:val="nil"/>
              <w:left w:val="nil"/>
              <w:bottom w:val="single" w:color="auto" w:sz="4" w:space="0"/>
              <w:right w:val="single" w:color="auto" w:sz="4" w:space="0"/>
            </w:tcBorders>
            <w:noWrap w:val="0"/>
            <w:vAlign w:val="center"/>
          </w:tcPr>
          <w:p w14:paraId="65BB58D2">
            <w:pPr>
              <w:widowControl/>
              <w:jc w:val="center"/>
              <w:rPr>
                <w:rFonts w:ascii="宋体" w:hAnsi="宋体" w:cs="宋体"/>
                <w:kern w:val="0"/>
                <w:sz w:val="18"/>
                <w:szCs w:val="18"/>
              </w:rPr>
            </w:pPr>
            <w:r>
              <w:rPr>
                <w:rFonts w:hint="eastAsia" w:ascii="宋体" w:hAnsi="宋体" w:cs="宋体"/>
                <w:kern w:val="0"/>
                <w:sz w:val="18"/>
                <w:szCs w:val="18"/>
              </w:rPr>
              <w:t xml:space="preserve">1.20 </w:t>
            </w:r>
          </w:p>
        </w:tc>
      </w:tr>
      <w:tr w14:paraId="6443225D">
        <w:tblPrEx>
          <w:tblCellMar>
            <w:top w:w="0" w:type="dxa"/>
            <w:left w:w="108" w:type="dxa"/>
            <w:bottom w:w="0" w:type="dxa"/>
            <w:right w:w="108" w:type="dxa"/>
          </w:tblCellMar>
        </w:tblPrEx>
        <w:trPr>
          <w:wBefore w:w="0" w:type="dxa"/>
          <w:wAfter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18A38FAD">
            <w:pPr>
              <w:widowControl/>
              <w:jc w:val="left"/>
              <w:rPr>
                <w:rFonts w:ascii="宋体" w:hAnsi="宋体" w:cs="宋体"/>
                <w:kern w:val="0"/>
                <w:sz w:val="18"/>
                <w:szCs w:val="18"/>
              </w:rPr>
            </w:pPr>
            <w:r>
              <w:rPr>
                <w:rFonts w:hint="eastAsia" w:ascii="宋体" w:hAnsi="宋体" w:cs="宋体"/>
                <w:kern w:val="0"/>
                <w:sz w:val="18"/>
                <w:szCs w:val="18"/>
              </w:rPr>
              <w:t>K26</w:t>
            </w:r>
          </w:p>
        </w:tc>
        <w:tc>
          <w:tcPr>
            <w:tcW w:w="1080" w:type="dxa"/>
            <w:tcBorders>
              <w:top w:val="nil"/>
              <w:left w:val="nil"/>
              <w:bottom w:val="single" w:color="auto" w:sz="4" w:space="0"/>
              <w:right w:val="single" w:color="auto" w:sz="4" w:space="0"/>
            </w:tcBorders>
            <w:noWrap w:val="0"/>
            <w:vAlign w:val="center"/>
          </w:tcPr>
          <w:p w14:paraId="01FDEB9F">
            <w:pPr>
              <w:widowControl/>
              <w:jc w:val="center"/>
              <w:rPr>
                <w:rFonts w:ascii="宋体" w:hAnsi="宋体" w:cs="宋体"/>
                <w:kern w:val="0"/>
                <w:sz w:val="18"/>
                <w:szCs w:val="18"/>
              </w:rPr>
            </w:pPr>
            <w:r>
              <w:rPr>
                <w:rFonts w:hint="eastAsia" w:ascii="宋体" w:hAnsi="宋体" w:cs="宋体"/>
                <w:kern w:val="0"/>
                <w:sz w:val="18"/>
                <w:szCs w:val="18"/>
              </w:rPr>
              <w:t>116</w:t>
            </w:r>
          </w:p>
        </w:tc>
        <w:tc>
          <w:tcPr>
            <w:tcW w:w="1222" w:type="dxa"/>
            <w:tcBorders>
              <w:top w:val="nil"/>
              <w:left w:val="nil"/>
              <w:bottom w:val="single" w:color="auto" w:sz="4" w:space="0"/>
              <w:right w:val="single" w:color="auto" w:sz="4" w:space="0"/>
            </w:tcBorders>
            <w:noWrap w:val="0"/>
            <w:vAlign w:val="center"/>
          </w:tcPr>
          <w:p w14:paraId="4C8F744F">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082" w:type="dxa"/>
            <w:tcBorders>
              <w:top w:val="nil"/>
              <w:left w:val="nil"/>
              <w:bottom w:val="single" w:color="auto" w:sz="4" w:space="0"/>
              <w:right w:val="single" w:color="auto" w:sz="4" w:space="0"/>
            </w:tcBorders>
            <w:noWrap w:val="0"/>
            <w:vAlign w:val="center"/>
          </w:tcPr>
          <w:p w14:paraId="70348D0C">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042" w:type="dxa"/>
            <w:tcBorders>
              <w:top w:val="nil"/>
              <w:left w:val="nil"/>
              <w:bottom w:val="single" w:color="auto" w:sz="4" w:space="0"/>
              <w:right w:val="single" w:color="auto" w:sz="4" w:space="0"/>
            </w:tcBorders>
            <w:noWrap w:val="0"/>
            <w:vAlign w:val="center"/>
          </w:tcPr>
          <w:p w14:paraId="0709FD62">
            <w:pPr>
              <w:widowControl/>
              <w:jc w:val="center"/>
              <w:rPr>
                <w:rFonts w:ascii="宋体" w:hAnsi="宋体" w:cs="宋体"/>
                <w:kern w:val="0"/>
                <w:sz w:val="18"/>
                <w:szCs w:val="18"/>
              </w:rPr>
            </w:pPr>
            <w:r>
              <w:rPr>
                <w:rFonts w:hint="eastAsia" w:ascii="宋体" w:hAnsi="宋体" w:cs="宋体"/>
                <w:kern w:val="0"/>
                <w:sz w:val="18"/>
                <w:szCs w:val="18"/>
              </w:rPr>
              <w:t xml:space="preserve">2.30 </w:t>
            </w:r>
          </w:p>
        </w:tc>
        <w:tc>
          <w:tcPr>
            <w:tcW w:w="1102" w:type="dxa"/>
            <w:tcBorders>
              <w:top w:val="nil"/>
              <w:left w:val="nil"/>
              <w:bottom w:val="single" w:color="auto" w:sz="4" w:space="0"/>
              <w:right w:val="single" w:color="auto" w:sz="4" w:space="0"/>
            </w:tcBorders>
            <w:noWrap w:val="0"/>
            <w:vAlign w:val="center"/>
          </w:tcPr>
          <w:p w14:paraId="79FBA9F7">
            <w:pPr>
              <w:widowControl/>
              <w:jc w:val="center"/>
              <w:rPr>
                <w:rFonts w:ascii="宋体" w:hAnsi="宋体" w:cs="宋体"/>
                <w:kern w:val="0"/>
                <w:sz w:val="18"/>
                <w:szCs w:val="18"/>
              </w:rPr>
            </w:pPr>
            <w:r>
              <w:rPr>
                <w:rFonts w:hint="eastAsia" w:ascii="宋体" w:hAnsi="宋体" w:cs="宋体"/>
                <w:kern w:val="0"/>
                <w:sz w:val="18"/>
                <w:szCs w:val="18"/>
              </w:rPr>
              <w:t xml:space="preserve">15.95 </w:t>
            </w:r>
          </w:p>
        </w:tc>
        <w:tc>
          <w:tcPr>
            <w:tcW w:w="1160" w:type="dxa"/>
            <w:tcBorders>
              <w:top w:val="nil"/>
              <w:left w:val="nil"/>
              <w:bottom w:val="single" w:color="auto" w:sz="4" w:space="0"/>
              <w:right w:val="single" w:color="auto" w:sz="4" w:space="0"/>
            </w:tcBorders>
            <w:noWrap w:val="0"/>
            <w:vAlign w:val="center"/>
          </w:tcPr>
          <w:p w14:paraId="4D793C7A">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2" w:type="dxa"/>
            <w:tcBorders>
              <w:top w:val="nil"/>
              <w:left w:val="nil"/>
              <w:bottom w:val="single" w:color="auto" w:sz="4" w:space="0"/>
              <w:right w:val="single" w:color="auto" w:sz="4" w:space="0"/>
            </w:tcBorders>
            <w:noWrap w:val="0"/>
            <w:vAlign w:val="center"/>
          </w:tcPr>
          <w:p w14:paraId="56CE7440">
            <w:pPr>
              <w:widowControl/>
              <w:jc w:val="center"/>
              <w:rPr>
                <w:rFonts w:ascii="宋体" w:hAnsi="宋体" w:cs="宋体"/>
                <w:kern w:val="0"/>
                <w:sz w:val="18"/>
                <w:szCs w:val="18"/>
              </w:rPr>
            </w:pPr>
            <w:r>
              <w:rPr>
                <w:rFonts w:hint="eastAsia" w:ascii="宋体" w:hAnsi="宋体" w:cs="宋体"/>
                <w:kern w:val="0"/>
                <w:sz w:val="18"/>
                <w:szCs w:val="18"/>
              </w:rPr>
              <w:t xml:space="preserve">0.00 </w:t>
            </w:r>
          </w:p>
        </w:tc>
      </w:tr>
      <w:tr w14:paraId="5CCE919E">
        <w:tblPrEx>
          <w:tblCellMar>
            <w:top w:w="0" w:type="dxa"/>
            <w:left w:w="108" w:type="dxa"/>
            <w:bottom w:w="0" w:type="dxa"/>
            <w:right w:w="108" w:type="dxa"/>
          </w:tblCellMar>
        </w:tblPrEx>
        <w:trPr>
          <w:wBefore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637723F1">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88" w:type="dxa"/>
            <w:gridSpan w:val="6"/>
            <w:tcBorders>
              <w:top w:val="single" w:color="auto" w:sz="4" w:space="0"/>
              <w:left w:val="nil"/>
              <w:bottom w:val="single" w:color="auto" w:sz="4" w:space="0"/>
              <w:right w:val="single" w:color="000000" w:sz="4" w:space="0"/>
            </w:tcBorders>
            <w:noWrap w:val="0"/>
            <w:vAlign w:val="center"/>
          </w:tcPr>
          <w:p w14:paraId="5577963A">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2" w:type="dxa"/>
            <w:tcBorders>
              <w:top w:val="nil"/>
              <w:left w:val="nil"/>
              <w:bottom w:val="single" w:color="auto" w:sz="4" w:space="0"/>
              <w:right w:val="single" w:color="auto" w:sz="4" w:space="0"/>
            </w:tcBorders>
            <w:noWrap w:val="0"/>
            <w:vAlign w:val="center"/>
          </w:tcPr>
          <w:p w14:paraId="699CF3F8">
            <w:pPr>
              <w:widowControl/>
              <w:jc w:val="center"/>
              <w:rPr>
                <w:rFonts w:ascii="宋体" w:hAnsi="宋体" w:cs="宋体"/>
                <w:kern w:val="0"/>
                <w:sz w:val="18"/>
                <w:szCs w:val="18"/>
              </w:rPr>
            </w:pPr>
            <w:r>
              <w:rPr>
                <w:rFonts w:hint="eastAsia" w:ascii="宋体" w:hAnsi="宋体" w:cs="宋体"/>
                <w:kern w:val="0"/>
                <w:sz w:val="18"/>
                <w:szCs w:val="18"/>
              </w:rPr>
              <w:t xml:space="preserve">0.19 </w:t>
            </w:r>
          </w:p>
        </w:tc>
      </w:tr>
      <w:tr w14:paraId="6B3DEF4E">
        <w:tblPrEx>
          <w:tblCellMar>
            <w:top w:w="0" w:type="dxa"/>
            <w:left w:w="108" w:type="dxa"/>
            <w:bottom w:w="0" w:type="dxa"/>
            <w:right w:w="108" w:type="dxa"/>
          </w:tblCellMar>
        </w:tblPrEx>
        <w:trPr>
          <w:wBefore w:w="0" w:type="dxa"/>
          <w:trHeight w:val="278" w:hRule="atLeast"/>
        </w:trPr>
        <w:tc>
          <w:tcPr>
            <w:tcW w:w="961" w:type="dxa"/>
            <w:tcBorders>
              <w:top w:val="nil"/>
              <w:left w:val="single" w:color="auto" w:sz="4" w:space="0"/>
              <w:bottom w:val="single" w:color="auto" w:sz="4" w:space="0"/>
              <w:right w:val="single" w:color="auto" w:sz="4" w:space="0"/>
            </w:tcBorders>
            <w:noWrap w:val="0"/>
            <w:vAlign w:val="center"/>
          </w:tcPr>
          <w:p w14:paraId="2989E3D6">
            <w:pPr>
              <w:widowControl/>
              <w:jc w:val="center"/>
              <w:rPr>
                <w:rFonts w:ascii="宋体" w:hAnsi="宋体" w:cs="宋体"/>
                <w:kern w:val="0"/>
                <w:sz w:val="18"/>
                <w:szCs w:val="18"/>
              </w:rPr>
            </w:pPr>
            <w:r>
              <w:rPr>
                <w:rFonts w:hint="eastAsia" w:ascii="宋体" w:hAnsi="宋体" w:cs="宋体"/>
                <w:kern w:val="0"/>
                <w:sz w:val="18"/>
                <w:szCs w:val="18"/>
              </w:rPr>
              <w:t>合  计</w:t>
            </w:r>
          </w:p>
        </w:tc>
        <w:tc>
          <w:tcPr>
            <w:tcW w:w="6688" w:type="dxa"/>
            <w:gridSpan w:val="6"/>
            <w:tcBorders>
              <w:top w:val="single" w:color="auto" w:sz="4" w:space="0"/>
              <w:left w:val="nil"/>
              <w:bottom w:val="single" w:color="auto" w:sz="4" w:space="0"/>
              <w:right w:val="single" w:color="000000" w:sz="4" w:space="0"/>
            </w:tcBorders>
            <w:noWrap w:val="0"/>
            <w:vAlign w:val="center"/>
          </w:tcPr>
          <w:p w14:paraId="5CB30D1B">
            <w:pPr>
              <w:widowControl/>
              <w:jc w:val="center"/>
              <w:rPr>
                <w:rFonts w:ascii="宋体" w:hAnsi="宋体" w:cs="宋体"/>
                <w:kern w:val="0"/>
                <w:sz w:val="18"/>
                <w:szCs w:val="18"/>
              </w:rPr>
            </w:pPr>
            <w:r>
              <w:rPr>
                <w:rFonts w:hint="eastAsia" w:ascii="宋体" w:hAnsi="宋体" w:cs="宋体"/>
                <w:kern w:val="0"/>
                <w:sz w:val="18"/>
                <w:szCs w:val="18"/>
              </w:rPr>
              <w:t>　</w:t>
            </w:r>
          </w:p>
        </w:tc>
        <w:tc>
          <w:tcPr>
            <w:tcW w:w="1442" w:type="dxa"/>
            <w:tcBorders>
              <w:top w:val="nil"/>
              <w:left w:val="nil"/>
              <w:bottom w:val="single" w:color="auto" w:sz="4" w:space="0"/>
              <w:right w:val="single" w:color="auto" w:sz="4" w:space="0"/>
            </w:tcBorders>
            <w:noWrap w:val="0"/>
            <w:vAlign w:val="center"/>
          </w:tcPr>
          <w:p w14:paraId="40AA2094">
            <w:pPr>
              <w:widowControl/>
              <w:jc w:val="center"/>
              <w:rPr>
                <w:rFonts w:ascii="宋体" w:hAnsi="宋体" w:cs="宋体"/>
                <w:kern w:val="0"/>
                <w:sz w:val="18"/>
                <w:szCs w:val="18"/>
              </w:rPr>
            </w:pPr>
            <w:r>
              <w:rPr>
                <w:rFonts w:hint="eastAsia" w:ascii="宋体" w:hAnsi="宋体" w:cs="宋体"/>
                <w:kern w:val="0"/>
                <w:sz w:val="18"/>
                <w:szCs w:val="18"/>
              </w:rPr>
              <w:t xml:space="preserve">7.27 </w:t>
            </w:r>
          </w:p>
        </w:tc>
      </w:tr>
    </w:tbl>
    <w:p w14:paraId="2E853F68">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K1-b煤层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60F9A735">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＝9.437+7.27＝16.71</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4614D974">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开采K3</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4BD618C8">
      <w:pPr>
        <w:spacing w:line="360" w:lineRule="auto"/>
        <w:jc w:val="center"/>
        <w:rPr>
          <w:rFonts w:hint="eastAsia" w:ascii="宋体" w:hAnsi="宋体"/>
          <w:b/>
          <w:color w:val="000000"/>
          <w:kern w:val="24"/>
          <w:sz w:val="24"/>
        </w:rPr>
      </w:pPr>
      <w:r>
        <w:rPr>
          <w:rFonts w:hint="eastAsia" w:ascii="宋体" w:hAnsi="宋体"/>
          <w:b/>
          <w:color w:val="000000"/>
          <w:kern w:val="24"/>
          <w:sz w:val="24"/>
        </w:rPr>
        <w:t>K3</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64"/>
        <w:gridCol w:w="1220"/>
        <w:gridCol w:w="1080"/>
        <w:gridCol w:w="1040"/>
        <w:gridCol w:w="1100"/>
        <w:gridCol w:w="1158"/>
        <w:gridCol w:w="1440"/>
      </w:tblGrid>
      <w:tr w14:paraId="3E775ECE">
        <w:tblPrEx>
          <w:tblCellMar>
            <w:top w:w="0" w:type="dxa"/>
            <w:left w:w="108" w:type="dxa"/>
            <w:bottom w:w="0" w:type="dxa"/>
            <w:right w:w="108" w:type="dxa"/>
          </w:tblCellMar>
        </w:tblPrEx>
        <w:trPr>
          <w:wBefore w:w="0" w:type="dxa"/>
          <w:wAfter w:w="0" w:type="dxa"/>
          <w:trHeight w:val="255"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413F046E">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64" w:type="dxa"/>
            <w:tcBorders>
              <w:top w:val="single" w:color="auto" w:sz="4" w:space="0"/>
              <w:left w:val="nil"/>
              <w:bottom w:val="single" w:color="auto" w:sz="4" w:space="0"/>
              <w:right w:val="single" w:color="auto" w:sz="4" w:space="0"/>
            </w:tcBorders>
            <w:noWrap w:val="0"/>
            <w:vAlign w:val="center"/>
          </w:tcPr>
          <w:p w14:paraId="78B30CB4">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6DBBCBDD">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5F79B5DA">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6B9BB1BC">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24A3F1C8">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58" w:type="dxa"/>
            <w:tcBorders>
              <w:top w:val="single" w:color="auto" w:sz="4" w:space="0"/>
              <w:left w:val="nil"/>
              <w:bottom w:val="single" w:color="auto" w:sz="4" w:space="0"/>
              <w:right w:val="single" w:color="auto" w:sz="4" w:space="0"/>
            </w:tcBorders>
            <w:noWrap w:val="0"/>
            <w:vAlign w:val="center"/>
          </w:tcPr>
          <w:p w14:paraId="53097F71">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64B1288B">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33492A0D">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6FC6AA68">
            <w:pPr>
              <w:widowControl/>
              <w:jc w:val="left"/>
              <w:rPr>
                <w:rFonts w:ascii="宋体" w:hAnsi="宋体" w:cs="宋体"/>
                <w:kern w:val="0"/>
                <w:sz w:val="18"/>
                <w:szCs w:val="18"/>
              </w:rPr>
            </w:pPr>
            <w:r>
              <w:rPr>
                <w:rFonts w:hint="eastAsia" w:ascii="宋体" w:hAnsi="宋体" w:cs="宋体"/>
                <w:kern w:val="0"/>
                <w:sz w:val="18"/>
                <w:szCs w:val="18"/>
              </w:rPr>
              <w:t>K9</w:t>
            </w:r>
          </w:p>
        </w:tc>
        <w:tc>
          <w:tcPr>
            <w:tcW w:w="1064" w:type="dxa"/>
            <w:tcBorders>
              <w:top w:val="nil"/>
              <w:left w:val="nil"/>
              <w:bottom w:val="single" w:color="auto" w:sz="4" w:space="0"/>
              <w:right w:val="single" w:color="auto" w:sz="4" w:space="0"/>
            </w:tcBorders>
            <w:noWrap w:val="0"/>
            <w:vAlign w:val="center"/>
          </w:tcPr>
          <w:p w14:paraId="7955FA2C">
            <w:pPr>
              <w:widowControl/>
              <w:jc w:val="center"/>
              <w:rPr>
                <w:rFonts w:ascii="宋体" w:hAnsi="宋体" w:cs="宋体"/>
                <w:kern w:val="0"/>
                <w:sz w:val="18"/>
                <w:szCs w:val="18"/>
              </w:rPr>
            </w:pPr>
            <w:r>
              <w:rPr>
                <w:rFonts w:hint="eastAsia" w:ascii="宋体" w:hAnsi="宋体" w:cs="宋体"/>
                <w:kern w:val="0"/>
                <w:sz w:val="18"/>
                <w:szCs w:val="18"/>
              </w:rPr>
              <w:t>28</w:t>
            </w:r>
          </w:p>
        </w:tc>
        <w:tc>
          <w:tcPr>
            <w:tcW w:w="1220" w:type="dxa"/>
            <w:tcBorders>
              <w:top w:val="nil"/>
              <w:left w:val="nil"/>
              <w:bottom w:val="single" w:color="auto" w:sz="4" w:space="0"/>
              <w:right w:val="single" w:color="auto" w:sz="4" w:space="0"/>
            </w:tcBorders>
            <w:noWrap w:val="0"/>
            <w:vAlign w:val="center"/>
          </w:tcPr>
          <w:p w14:paraId="70172B97">
            <w:pPr>
              <w:widowControl/>
              <w:jc w:val="center"/>
              <w:rPr>
                <w:rFonts w:ascii="宋体" w:hAnsi="宋体" w:cs="宋体"/>
                <w:kern w:val="0"/>
                <w:sz w:val="18"/>
                <w:szCs w:val="18"/>
              </w:rPr>
            </w:pPr>
            <w:r>
              <w:rPr>
                <w:rFonts w:hint="eastAsia" w:ascii="宋体" w:hAnsi="宋体" w:cs="宋体"/>
                <w:kern w:val="0"/>
                <w:sz w:val="18"/>
                <w:szCs w:val="18"/>
              </w:rPr>
              <w:t xml:space="preserve">0.39 </w:t>
            </w:r>
          </w:p>
        </w:tc>
        <w:tc>
          <w:tcPr>
            <w:tcW w:w="1080" w:type="dxa"/>
            <w:tcBorders>
              <w:top w:val="nil"/>
              <w:left w:val="nil"/>
              <w:bottom w:val="single" w:color="auto" w:sz="4" w:space="0"/>
              <w:right w:val="single" w:color="auto" w:sz="4" w:space="0"/>
            </w:tcBorders>
            <w:noWrap w:val="0"/>
            <w:vAlign w:val="center"/>
          </w:tcPr>
          <w:p w14:paraId="242FD0BC">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040" w:type="dxa"/>
            <w:tcBorders>
              <w:top w:val="nil"/>
              <w:left w:val="nil"/>
              <w:bottom w:val="single" w:color="auto" w:sz="4" w:space="0"/>
              <w:right w:val="single" w:color="auto" w:sz="4" w:space="0"/>
            </w:tcBorders>
            <w:noWrap w:val="0"/>
            <w:vAlign w:val="center"/>
          </w:tcPr>
          <w:p w14:paraId="7170D362">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1100" w:type="dxa"/>
            <w:tcBorders>
              <w:top w:val="nil"/>
              <w:left w:val="nil"/>
              <w:bottom w:val="single" w:color="auto" w:sz="4" w:space="0"/>
              <w:right w:val="single" w:color="auto" w:sz="4" w:space="0"/>
            </w:tcBorders>
            <w:noWrap w:val="0"/>
            <w:vAlign w:val="center"/>
          </w:tcPr>
          <w:p w14:paraId="5310E614">
            <w:pPr>
              <w:widowControl/>
              <w:jc w:val="center"/>
              <w:rPr>
                <w:rFonts w:ascii="宋体" w:hAnsi="宋体" w:cs="宋体"/>
                <w:kern w:val="0"/>
                <w:sz w:val="18"/>
                <w:szCs w:val="18"/>
              </w:rPr>
            </w:pPr>
            <w:r>
              <w:rPr>
                <w:rFonts w:hint="eastAsia" w:ascii="宋体" w:hAnsi="宋体" w:cs="宋体"/>
                <w:kern w:val="0"/>
                <w:sz w:val="18"/>
                <w:szCs w:val="18"/>
              </w:rPr>
              <w:t>14.31</w:t>
            </w:r>
          </w:p>
        </w:tc>
        <w:tc>
          <w:tcPr>
            <w:tcW w:w="1158" w:type="dxa"/>
            <w:tcBorders>
              <w:top w:val="nil"/>
              <w:left w:val="nil"/>
              <w:bottom w:val="single" w:color="auto" w:sz="4" w:space="0"/>
              <w:right w:val="single" w:color="auto" w:sz="4" w:space="0"/>
            </w:tcBorders>
            <w:noWrap w:val="0"/>
            <w:vAlign w:val="center"/>
          </w:tcPr>
          <w:p w14:paraId="7B9CDFD0">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1B708B93">
            <w:pPr>
              <w:widowControl/>
              <w:jc w:val="center"/>
              <w:rPr>
                <w:rFonts w:ascii="宋体" w:hAnsi="宋体" w:cs="宋体"/>
                <w:kern w:val="0"/>
                <w:sz w:val="18"/>
                <w:szCs w:val="18"/>
              </w:rPr>
            </w:pPr>
            <w:r>
              <w:rPr>
                <w:rFonts w:hint="eastAsia" w:ascii="宋体" w:hAnsi="宋体" w:cs="宋体"/>
                <w:kern w:val="0"/>
                <w:sz w:val="18"/>
                <w:szCs w:val="18"/>
              </w:rPr>
              <w:t xml:space="preserve">4.24 </w:t>
            </w:r>
          </w:p>
        </w:tc>
      </w:tr>
      <w:tr w14:paraId="10876635">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20825301">
            <w:pPr>
              <w:widowControl/>
              <w:jc w:val="left"/>
              <w:rPr>
                <w:rFonts w:ascii="宋体" w:hAnsi="宋体" w:cs="宋体"/>
                <w:kern w:val="0"/>
                <w:sz w:val="18"/>
                <w:szCs w:val="18"/>
              </w:rPr>
            </w:pPr>
            <w:r>
              <w:rPr>
                <w:rFonts w:hint="eastAsia" w:ascii="宋体" w:hAnsi="宋体" w:cs="宋体"/>
                <w:kern w:val="0"/>
                <w:sz w:val="18"/>
                <w:szCs w:val="18"/>
              </w:rPr>
              <w:t>K10</w:t>
            </w:r>
          </w:p>
        </w:tc>
        <w:tc>
          <w:tcPr>
            <w:tcW w:w="1064" w:type="dxa"/>
            <w:tcBorders>
              <w:top w:val="nil"/>
              <w:left w:val="nil"/>
              <w:bottom w:val="single" w:color="auto" w:sz="4" w:space="0"/>
              <w:right w:val="single" w:color="auto" w:sz="4" w:space="0"/>
            </w:tcBorders>
            <w:noWrap w:val="0"/>
            <w:vAlign w:val="center"/>
          </w:tcPr>
          <w:p w14:paraId="2B0F35D8">
            <w:pPr>
              <w:widowControl/>
              <w:jc w:val="center"/>
              <w:rPr>
                <w:rFonts w:ascii="宋体" w:hAnsi="宋体" w:cs="宋体"/>
                <w:kern w:val="0"/>
                <w:sz w:val="18"/>
                <w:szCs w:val="18"/>
              </w:rPr>
            </w:pPr>
            <w:r>
              <w:rPr>
                <w:rFonts w:hint="eastAsia" w:ascii="宋体" w:hAnsi="宋体" w:cs="宋体"/>
                <w:kern w:val="0"/>
                <w:sz w:val="18"/>
                <w:szCs w:val="18"/>
              </w:rPr>
              <w:t>38</w:t>
            </w:r>
          </w:p>
        </w:tc>
        <w:tc>
          <w:tcPr>
            <w:tcW w:w="1220" w:type="dxa"/>
            <w:tcBorders>
              <w:top w:val="nil"/>
              <w:left w:val="nil"/>
              <w:bottom w:val="single" w:color="auto" w:sz="4" w:space="0"/>
              <w:right w:val="single" w:color="auto" w:sz="4" w:space="0"/>
            </w:tcBorders>
            <w:noWrap w:val="0"/>
            <w:vAlign w:val="center"/>
          </w:tcPr>
          <w:p w14:paraId="5CF7A08E">
            <w:pPr>
              <w:widowControl/>
              <w:jc w:val="center"/>
              <w:rPr>
                <w:rFonts w:ascii="宋体" w:hAnsi="宋体" w:cs="宋体"/>
                <w:kern w:val="0"/>
                <w:sz w:val="18"/>
                <w:szCs w:val="18"/>
              </w:rPr>
            </w:pPr>
            <w:r>
              <w:rPr>
                <w:rFonts w:hint="eastAsia" w:ascii="宋体" w:hAnsi="宋体" w:cs="宋体"/>
                <w:kern w:val="0"/>
                <w:sz w:val="18"/>
                <w:szCs w:val="18"/>
              </w:rPr>
              <w:t xml:space="preserve">0.32 </w:t>
            </w:r>
          </w:p>
        </w:tc>
        <w:tc>
          <w:tcPr>
            <w:tcW w:w="1080" w:type="dxa"/>
            <w:tcBorders>
              <w:top w:val="nil"/>
              <w:left w:val="nil"/>
              <w:bottom w:val="single" w:color="auto" w:sz="4" w:space="0"/>
              <w:right w:val="single" w:color="auto" w:sz="4" w:space="0"/>
            </w:tcBorders>
            <w:noWrap w:val="0"/>
            <w:vAlign w:val="center"/>
          </w:tcPr>
          <w:p w14:paraId="42C6AC95">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040" w:type="dxa"/>
            <w:tcBorders>
              <w:top w:val="nil"/>
              <w:left w:val="nil"/>
              <w:bottom w:val="single" w:color="auto" w:sz="4" w:space="0"/>
              <w:right w:val="single" w:color="auto" w:sz="4" w:space="0"/>
            </w:tcBorders>
            <w:noWrap w:val="0"/>
            <w:vAlign w:val="center"/>
          </w:tcPr>
          <w:p w14:paraId="17000D08">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1100" w:type="dxa"/>
            <w:tcBorders>
              <w:top w:val="nil"/>
              <w:left w:val="nil"/>
              <w:bottom w:val="single" w:color="auto" w:sz="4" w:space="0"/>
              <w:right w:val="single" w:color="auto" w:sz="4" w:space="0"/>
            </w:tcBorders>
            <w:noWrap w:val="0"/>
            <w:vAlign w:val="center"/>
          </w:tcPr>
          <w:p w14:paraId="0BB96967">
            <w:pPr>
              <w:widowControl/>
              <w:jc w:val="center"/>
              <w:rPr>
                <w:rFonts w:ascii="宋体" w:hAnsi="宋体" w:cs="宋体"/>
                <w:kern w:val="0"/>
                <w:sz w:val="18"/>
                <w:szCs w:val="18"/>
              </w:rPr>
            </w:pPr>
            <w:r>
              <w:rPr>
                <w:rFonts w:hint="eastAsia" w:ascii="宋体" w:hAnsi="宋体" w:cs="宋体"/>
                <w:kern w:val="0"/>
                <w:sz w:val="18"/>
                <w:szCs w:val="18"/>
              </w:rPr>
              <w:t>14.66</w:t>
            </w:r>
          </w:p>
        </w:tc>
        <w:tc>
          <w:tcPr>
            <w:tcW w:w="1158" w:type="dxa"/>
            <w:tcBorders>
              <w:top w:val="nil"/>
              <w:left w:val="nil"/>
              <w:bottom w:val="single" w:color="auto" w:sz="4" w:space="0"/>
              <w:right w:val="single" w:color="auto" w:sz="4" w:space="0"/>
            </w:tcBorders>
            <w:noWrap w:val="0"/>
            <w:vAlign w:val="center"/>
          </w:tcPr>
          <w:p w14:paraId="424A6AA0">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7DA5276B">
            <w:pPr>
              <w:widowControl/>
              <w:jc w:val="center"/>
              <w:rPr>
                <w:rFonts w:ascii="宋体" w:hAnsi="宋体" w:cs="宋体"/>
                <w:kern w:val="0"/>
                <w:sz w:val="18"/>
                <w:szCs w:val="18"/>
              </w:rPr>
            </w:pPr>
            <w:r>
              <w:rPr>
                <w:rFonts w:hint="eastAsia" w:ascii="宋体" w:hAnsi="宋体" w:cs="宋体"/>
                <w:kern w:val="0"/>
                <w:sz w:val="18"/>
                <w:szCs w:val="18"/>
              </w:rPr>
              <w:t xml:space="preserve">3.20 </w:t>
            </w:r>
          </w:p>
        </w:tc>
      </w:tr>
      <w:tr w14:paraId="494D12E3">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6A669574">
            <w:pPr>
              <w:widowControl/>
              <w:jc w:val="left"/>
              <w:rPr>
                <w:rFonts w:ascii="宋体" w:hAnsi="宋体" w:cs="宋体"/>
                <w:kern w:val="0"/>
                <w:sz w:val="18"/>
                <w:szCs w:val="18"/>
              </w:rPr>
            </w:pPr>
            <w:r>
              <w:rPr>
                <w:rFonts w:hint="eastAsia" w:ascii="宋体" w:hAnsi="宋体" w:cs="宋体"/>
                <w:kern w:val="0"/>
                <w:sz w:val="18"/>
                <w:szCs w:val="18"/>
              </w:rPr>
              <w:t>K13</w:t>
            </w:r>
          </w:p>
        </w:tc>
        <w:tc>
          <w:tcPr>
            <w:tcW w:w="1064" w:type="dxa"/>
            <w:tcBorders>
              <w:top w:val="nil"/>
              <w:left w:val="nil"/>
              <w:bottom w:val="single" w:color="auto" w:sz="4" w:space="0"/>
              <w:right w:val="single" w:color="auto" w:sz="4" w:space="0"/>
            </w:tcBorders>
            <w:noWrap w:val="0"/>
            <w:vAlign w:val="center"/>
          </w:tcPr>
          <w:p w14:paraId="6BF2B408">
            <w:pPr>
              <w:widowControl/>
              <w:jc w:val="center"/>
              <w:rPr>
                <w:rFonts w:ascii="宋体" w:hAnsi="宋体" w:cs="宋体"/>
                <w:kern w:val="0"/>
                <w:sz w:val="18"/>
                <w:szCs w:val="18"/>
              </w:rPr>
            </w:pPr>
            <w:r>
              <w:rPr>
                <w:rFonts w:hint="eastAsia" w:ascii="宋体" w:hAnsi="宋体" w:cs="宋体"/>
                <w:kern w:val="0"/>
                <w:sz w:val="18"/>
                <w:szCs w:val="18"/>
              </w:rPr>
              <w:t>48</w:t>
            </w:r>
          </w:p>
        </w:tc>
        <w:tc>
          <w:tcPr>
            <w:tcW w:w="1220" w:type="dxa"/>
            <w:tcBorders>
              <w:top w:val="nil"/>
              <w:left w:val="nil"/>
              <w:bottom w:val="single" w:color="auto" w:sz="4" w:space="0"/>
              <w:right w:val="single" w:color="auto" w:sz="4" w:space="0"/>
            </w:tcBorders>
            <w:noWrap w:val="0"/>
            <w:vAlign w:val="center"/>
          </w:tcPr>
          <w:p w14:paraId="3DC4432E">
            <w:pPr>
              <w:widowControl/>
              <w:jc w:val="center"/>
              <w:rPr>
                <w:rFonts w:ascii="宋体" w:hAnsi="宋体" w:cs="宋体"/>
                <w:kern w:val="0"/>
                <w:sz w:val="18"/>
                <w:szCs w:val="18"/>
              </w:rPr>
            </w:pPr>
            <w:r>
              <w:rPr>
                <w:rFonts w:hint="eastAsia" w:ascii="宋体" w:hAnsi="宋体" w:cs="宋体"/>
                <w:kern w:val="0"/>
                <w:sz w:val="18"/>
                <w:szCs w:val="18"/>
              </w:rPr>
              <w:t xml:space="preserve">0.19 </w:t>
            </w:r>
          </w:p>
        </w:tc>
        <w:tc>
          <w:tcPr>
            <w:tcW w:w="1080" w:type="dxa"/>
            <w:tcBorders>
              <w:top w:val="nil"/>
              <w:left w:val="nil"/>
              <w:bottom w:val="single" w:color="auto" w:sz="4" w:space="0"/>
              <w:right w:val="single" w:color="auto" w:sz="4" w:space="0"/>
            </w:tcBorders>
            <w:noWrap w:val="0"/>
            <w:vAlign w:val="center"/>
          </w:tcPr>
          <w:p w14:paraId="232EC1A0">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40" w:type="dxa"/>
            <w:tcBorders>
              <w:top w:val="nil"/>
              <w:left w:val="nil"/>
              <w:bottom w:val="single" w:color="auto" w:sz="4" w:space="0"/>
              <w:right w:val="single" w:color="auto" w:sz="4" w:space="0"/>
            </w:tcBorders>
            <w:noWrap w:val="0"/>
            <w:vAlign w:val="center"/>
          </w:tcPr>
          <w:p w14:paraId="20C56BC3">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1100" w:type="dxa"/>
            <w:tcBorders>
              <w:top w:val="nil"/>
              <w:left w:val="nil"/>
              <w:bottom w:val="single" w:color="auto" w:sz="4" w:space="0"/>
              <w:right w:val="single" w:color="auto" w:sz="4" w:space="0"/>
            </w:tcBorders>
            <w:noWrap w:val="0"/>
            <w:vAlign w:val="center"/>
          </w:tcPr>
          <w:p w14:paraId="0FADD74E">
            <w:pPr>
              <w:widowControl/>
              <w:jc w:val="center"/>
              <w:rPr>
                <w:rFonts w:ascii="宋体" w:hAnsi="宋体" w:cs="宋体"/>
                <w:kern w:val="0"/>
                <w:sz w:val="18"/>
                <w:szCs w:val="18"/>
              </w:rPr>
            </w:pPr>
            <w:r>
              <w:rPr>
                <w:rFonts w:hint="eastAsia" w:ascii="宋体" w:hAnsi="宋体" w:cs="宋体"/>
                <w:kern w:val="0"/>
                <w:sz w:val="18"/>
                <w:szCs w:val="18"/>
              </w:rPr>
              <w:t>15.92</w:t>
            </w:r>
          </w:p>
        </w:tc>
        <w:tc>
          <w:tcPr>
            <w:tcW w:w="1158" w:type="dxa"/>
            <w:tcBorders>
              <w:top w:val="nil"/>
              <w:left w:val="nil"/>
              <w:bottom w:val="single" w:color="auto" w:sz="4" w:space="0"/>
              <w:right w:val="single" w:color="auto" w:sz="4" w:space="0"/>
            </w:tcBorders>
            <w:noWrap w:val="0"/>
            <w:vAlign w:val="center"/>
          </w:tcPr>
          <w:p w14:paraId="47E253E0">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391464AD">
            <w:pPr>
              <w:widowControl/>
              <w:jc w:val="center"/>
              <w:rPr>
                <w:rFonts w:ascii="宋体" w:hAnsi="宋体" w:cs="宋体"/>
                <w:kern w:val="0"/>
                <w:sz w:val="18"/>
                <w:szCs w:val="18"/>
              </w:rPr>
            </w:pPr>
            <w:r>
              <w:rPr>
                <w:rFonts w:hint="eastAsia" w:ascii="宋体" w:hAnsi="宋体" w:cs="宋体"/>
                <w:kern w:val="0"/>
                <w:sz w:val="18"/>
                <w:szCs w:val="18"/>
              </w:rPr>
              <w:t xml:space="preserve">3.10 </w:t>
            </w:r>
          </w:p>
        </w:tc>
      </w:tr>
      <w:tr w14:paraId="2A3093ED">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614CD497">
            <w:pPr>
              <w:widowControl/>
              <w:jc w:val="left"/>
              <w:rPr>
                <w:rFonts w:ascii="宋体" w:hAnsi="宋体" w:cs="宋体"/>
                <w:kern w:val="0"/>
                <w:sz w:val="18"/>
                <w:szCs w:val="18"/>
              </w:rPr>
            </w:pPr>
            <w:r>
              <w:rPr>
                <w:rFonts w:hint="eastAsia" w:ascii="宋体" w:hAnsi="宋体" w:cs="宋体"/>
                <w:kern w:val="0"/>
                <w:sz w:val="18"/>
                <w:szCs w:val="18"/>
              </w:rPr>
              <w:t>K18</w:t>
            </w:r>
          </w:p>
        </w:tc>
        <w:tc>
          <w:tcPr>
            <w:tcW w:w="1064" w:type="dxa"/>
            <w:tcBorders>
              <w:top w:val="nil"/>
              <w:left w:val="nil"/>
              <w:bottom w:val="single" w:color="auto" w:sz="4" w:space="0"/>
              <w:right w:val="single" w:color="auto" w:sz="4" w:space="0"/>
            </w:tcBorders>
            <w:noWrap w:val="0"/>
            <w:vAlign w:val="center"/>
          </w:tcPr>
          <w:p w14:paraId="63AF19B7">
            <w:pPr>
              <w:widowControl/>
              <w:jc w:val="center"/>
              <w:rPr>
                <w:rFonts w:ascii="宋体" w:hAnsi="宋体" w:cs="宋体"/>
                <w:kern w:val="0"/>
                <w:sz w:val="18"/>
                <w:szCs w:val="18"/>
              </w:rPr>
            </w:pPr>
            <w:r>
              <w:rPr>
                <w:rFonts w:hint="eastAsia" w:ascii="宋体" w:hAnsi="宋体" w:cs="宋体"/>
                <w:kern w:val="0"/>
                <w:sz w:val="18"/>
                <w:szCs w:val="18"/>
              </w:rPr>
              <w:t>78</w:t>
            </w:r>
          </w:p>
        </w:tc>
        <w:tc>
          <w:tcPr>
            <w:tcW w:w="1220" w:type="dxa"/>
            <w:tcBorders>
              <w:top w:val="nil"/>
              <w:left w:val="nil"/>
              <w:bottom w:val="single" w:color="auto" w:sz="4" w:space="0"/>
              <w:right w:val="single" w:color="auto" w:sz="4" w:space="0"/>
            </w:tcBorders>
            <w:noWrap w:val="0"/>
            <w:vAlign w:val="center"/>
          </w:tcPr>
          <w:p w14:paraId="5B918FAC">
            <w:pPr>
              <w:widowControl/>
              <w:jc w:val="center"/>
              <w:rPr>
                <w:rFonts w:ascii="宋体" w:hAnsi="宋体" w:cs="宋体"/>
                <w:kern w:val="0"/>
                <w:sz w:val="18"/>
                <w:szCs w:val="18"/>
              </w:rPr>
            </w:pPr>
            <w:r>
              <w:rPr>
                <w:rFonts w:hint="eastAsia" w:ascii="宋体" w:hAnsi="宋体" w:cs="宋体"/>
                <w:kern w:val="0"/>
                <w:sz w:val="18"/>
                <w:szCs w:val="18"/>
              </w:rPr>
              <w:t xml:space="preserve">0.05 </w:t>
            </w:r>
          </w:p>
        </w:tc>
        <w:tc>
          <w:tcPr>
            <w:tcW w:w="1080" w:type="dxa"/>
            <w:tcBorders>
              <w:top w:val="nil"/>
              <w:left w:val="nil"/>
              <w:bottom w:val="single" w:color="auto" w:sz="4" w:space="0"/>
              <w:right w:val="single" w:color="auto" w:sz="4" w:space="0"/>
            </w:tcBorders>
            <w:noWrap w:val="0"/>
            <w:vAlign w:val="center"/>
          </w:tcPr>
          <w:p w14:paraId="40260FCC">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040" w:type="dxa"/>
            <w:tcBorders>
              <w:top w:val="nil"/>
              <w:left w:val="nil"/>
              <w:bottom w:val="single" w:color="auto" w:sz="4" w:space="0"/>
              <w:right w:val="single" w:color="auto" w:sz="4" w:space="0"/>
            </w:tcBorders>
            <w:noWrap w:val="0"/>
            <w:vAlign w:val="center"/>
          </w:tcPr>
          <w:p w14:paraId="2E26170C">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1100" w:type="dxa"/>
            <w:tcBorders>
              <w:top w:val="nil"/>
              <w:left w:val="nil"/>
              <w:bottom w:val="single" w:color="auto" w:sz="4" w:space="0"/>
              <w:right w:val="single" w:color="auto" w:sz="4" w:space="0"/>
            </w:tcBorders>
            <w:noWrap w:val="0"/>
            <w:vAlign w:val="center"/>
          </w:tcPr>
          <w:p w14:paraId="5FC45340">
            <w:pPr>
              <w:widowControl/>
              <w:jc w:val="center"/>
              <w:rPr>
                <w:rFonts w:ascii="宋体" w:hAnsi="宋体" w:cs="宋体"/>
                <w:kern w:val="0"/>
                <w:sz w:val="18"/>
                <w:szCs w:val="18"/>
              </w:rPr>
            </w:pPr>
            <w:r>
              <w:rPr>
                <w:rFonts w:hint="eastAsia" w:ascii="宋体" w:hAnsi="宋体" w:cs="宋体"/>
                <w:kern w:val="0"/>
                <w:sz w:val="18"/>
                <w:szCs w:val="18"/>
              </w:rPr>
              <w:t>16.04</w:t>
            </w:r>
          </w:p>
        </w:tc>
        <w:tc>
          <w:tcPr>
            <w:tcW w:w="1158" w:type="dxa"/>
            <w:tcBorders>
              <w:top w:val="nil"/>
              <w:left w:val="nil"/>
              <w:bottom w:val="single" w:color="auto" w:sz="4" w:space="0"/>
              <w:right w:val="single" w:color="auto" w:sz="4" w:space="0"/>
            </w:tcBorders>
            <w:noWrap w:val="0"/>
            <w:vAlign w:val="center"/>
          </w:tcPr>
          <w:p w14:paraId="4531AD11">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29AFF308">
            <w:pPr>
              <w:widowControl/>
              <w:jc w:val="center"/>
              <w:rPr>
                <w:rFonts w:ascii="宋体" w:hAnsi="宋体" w:cs="宋体"/>
                <w:kern w:val="0"/>
                <w:sz w:val="18"/>
                <w:szCs w:val="18"/>
              </w:rPr>
            </w:pPr>
            <w:r>
              <w:rPr>
                <w:rFonts w:hint="eastAsia" w:ascii="宋体" w:hAnsi="宋体" w:cs="宋体"/>
                <w:kern w:val="0"/>
                <w:sz w:val="18"/>
                <w:szCs w:val="18"/>
              </w:rPr>
              <w:t xml:space="preserve">1.52 </w:t>
            </w:r>
          </w:p>
        </w:tc>
      </w:tr>
      <w:tr w14:paraId="61DEC973">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25FA5C48">
            <w:pPr>
              <w:widowControl/>
              <w:jc w:val="left"/>
              <w:rPr>
                <w:rFonts w:ascii="宋体" w:hAnsi="宋体" w:cs="宋体"/>
                <w:kern w:val="0"/>
                <w:sz w:val="18"/>
                <w:szCs w:val="18"/>
              </w:rPr>
            </w:pPr>
            <w:r>
              <w:rPr>
                <w:rFonts w:hint="eastAsia" w:ascii="宋体" w:hAnsi="宋体" w:cs="宋体"/>
                <w:kern w:val="0"/>
                <w:sz w:val="18"/>
                <w:szCs w:val="18"/>
              </w:rPr>
              <w:t>K26</w:t>
            </w:r>
          </w:p>
        </w:tc>
        <w:tc>
          <w:tcPr>
            <w:tcW w:w="1064" w:type="dxa"/>
            <w:tcBorders>
              <w:top w:val="nil"/>
              <w:left w:val="nil"/>
              <w:bottom w:val="single" w:color="auto" w:sz="4" w:space="0"/>
              <w:right w:val="single" w:color="auto" w:sz="4" w:space="0"/>
            </w:tcBorders>
            <w:noWrap w:val="0"/>
            <w:vAlign w:val="center"/>
          </w:tcPr>
          <w:p w14:paraId="175B774A">
            <w:pPr>
              <w:widowControl/>
              <w:jc w:val="center"/>
              <w:rPr>
                <w:rFonts w:ascii="宋体" w:hAnsi="宋体" w:cs="宋体"/>
                <w:kern w:val="0"/>
                <w:sz w:val="18"/>
                <w:szCs w:val="18"/>
              </w:rPr>
            </w:pPr>
            <w:r>
              <w:rPr>
                <w:rFonts w:hint="eastAsia" w:ascii="宋体" w:hAnsi="宋体" w:cs="宋体"/>
                <w:kern w:val="0"/>
                <w:sz w:val="18"/>
                <w:szCs w:val="18"/>
              </w:rPr>
              <w:t>106</w:t>
            </w:r>
          </w:p>
        </w:tc>
        <w:tc>
          <w:tcPr>
            <w:tcW w:w="1220" w:type="dxa"/>
            <w:tcBorders>
              <w:top w:val="nil"/>
              <w:left w:val="nil"/>
              <w:bottom w:val="single" w:color="auto" w:sz="4" w:space="0"/>
              <w:right w:val="single" w:color="auto" w:sz="4" w:space="0"/>
            </w:tcBorders>
            <w:noWrap w:val="0"/>
            <w:vAlign w:val="center"/>
          </w:tcPr>
          <w:p w14:paraId="276535E9">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080" w:type="dxa"/>
            <w:tcBorders>
              <w:top w:val="nil"/>
              <w:left w:val="nil"/>
              <w:bottom w:val="single" w:color="auto" w:sz="4" w:space="0"/>
              <w:right w:val="single" w:color="auto" w:sz="4" w:space="0"/>
            </w:tcBorders>
            <w:noWrap w:val="0"/>
            <w:vAlign w:val="center"/>
          </w:tcPr>
          <w:p w14:paraId="28844265">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040" w:type="dxa"/>
            <w:tcBorders>
              <w:top w:val="nil"/>
              <w:left w:val="nil"/>
              <w:bottom w:val="single" w:color="auto" w:sz="4" w:space="0"/>
              <w:right w:val="single" w:color="auto" w:sz="4" w:space="0"/>
            </w:tcBorders>
            <w:noWrap w:val="0"/>
            <w:vAlign w:val="center"/>
          </w:tcPr>
          <w:p w14:paraId="4D3BB345">
            <w:pPr>
              <w:widowControl/>
              <w:jc w:val="center"/>
              <w:rPr>
                <w:rFonts w:ascii="宋体" w:hAnsi="宋体" w:cs="宋体"/>
                <w:kern w:val="0"/>
                <w:sz w:val="18"/>
                <w:szCs w:val="18"/>
              </w:rPr>
            </w:pPr>
            <w:r>
              <w:rPr>
                <w:rFonts w:hint="eastAsia" w:ascii="宋体" w:hAnsi="宋体" w:cs="宋体"/>
                <w:kern w:val="0"/>
                <w:sz w:val="18"/>
                <w:szCs w:val="18"/>
              </w:rPr>
              <w:t xml:space="preserve">1.13 </w:t>
            </w:r>
          </w:p>
        </w:tc>
        <w:tc>
          <w:tcPr>
            <w:tcW w:w="1100" w:type="dxa"/>
            <w:tcBorders>
              <w:top w:val="nil"/>
              <w:left w:val="nil"/>
              <w:bottom w:val="single" w:color="auto" w:sz="4" w:space="0"/>
              <w:right w:val="single" w:color="auto" w:sz="4" w:space="0"/>
            </w:tcBorders>
            <w:noWrap w:val="0"/>
            <w:vAlign w:val="center"/>
          </w:tcPr>
          <w:p w14:paraId="43F62422">
            <w:pPr>
              <w:widowControl/>
              <w:jc w:val="center"/>
              <w:rPr>
                <w:rFonts w:ascii="宋体" w:hAnsi="宋体" w:cs="宋体"/>
                <w:kern w:val="0"/>
                <w:sz w:val="18"/>
                <w:szCs w:val="18"/>
              </w:rPr>
            </w:pPr>
            <w:r>
              <w:rPr>
                <w:rFonts w:hint="eastAsia" w:ascii="宋体" w:hAnsi="宋体" w:cs="宋体"/>
                <w:kern w:val="0"/>
                <w:sz w:val="18"/>
                <w:szCs w:val="18"/>
              </w:rPr>
              <w:t>15.95</w:t>
            </w:r>
          </w:p>
        </w:tc>
        <w:tc>
          <w:tcPr>
            <w:tcW w:w="1158" w:type="dxa"/>
            <w:tcBorders>
              <w:top w:val="nil"/>
              <w:left w:val="nil"/>
              <w:bottom w:val="single" w:color="auto" w:sz="4" w:space="0"/>
              <w:right w:val="single" w:color="auto" w:sz="4" w:space="0"/>
            </w:tcBorders>
            <w:noWrap w:val="0"/>
            <w:vAlign w:val="center"/>
          </w:tcPr>
          <w:p w14:paraId="59162277">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6D0F1898">
            <w:pPr>
              <w:widowControl/>
              <w:jc w:val="center"/>
              <w:rPr>
                <w:rFonts w:ascii="宋体" w:hAnsi="宋体" w:cs="宋体"/>
                <w:kern w:val="0"/>
                <w:sz w:val="18"/>
                <w:szCs w:val="18"/>
              </w:rPr>
            </w:pPr>
            <w:r>
              <w:rPr>
                <w:rFonts w:hint="eastAsia" w:ascii="宋体" w:hAnsi="宋体" w:cs="宋体"/>
                <w:kern w:val="0"/>
                <w:sz w:val="18"/>
                <w:szCs w:val="18"/>
              </w:rPr>
              <w:t xml:space="preserve">0.00 </w:t>
            </w:r>
          </w:p>
        </w:tc>
      </w:tr>
      <w:tr w14:paraId="073D34B3">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296F6496">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62" w:type="dxa"/>
            <w:gridSpan w:val="6"/>
            <w:tcBorders>
              <w:top w:val="single" w:color="auto" w:sz="4" w:space="0"/>
              <w:left w:val="nil"/>
              <w:bottom w:val="single" w:color="auto" w:sz="4" w:space="0"/>
              <w:right w:val="single" w:color="000000" w:sz="4" w:space="0"/>
            </w:tcBorders>
            <w:noWrap w:val="0"/>
            <w:vAlign w:val="center"/>
          </w:tcPr>
          <w:p w14:paraId="27C65C7E">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29945A02">
            <w:pPr>
              <w:widowControl/>
              <w:jc w:val="center"/>
              <w:rPr>
                <w:rFonts w:ascii="宋体" w:hAnsi="宋体" w:cs="宋体"/>
                <w:kern w:val="0"/>
                <w:sz w:val="18"/>
                <w:szCs w:val="18"/>
              </w:rPr>
            </w:pPr>
            <w:r>
              <w:rPr>
                <w:rFonts w:hint="eastAsia" w:ascii="宋体" w:hAnsi="宋体" w:cs="宋体"/>
                <w:kern w:val="0"/>
                <w:sz w:val="18"/>
                <w:szCs w:val="18"/>
              </w:rPr>
              <w:t xml:space="preserve">0.15 </w:t>
            </w:r>
          </w:p>
        </w:tc>
      </w:tr>
      <w:tr w14:paraId="5FC95C77">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7C5A9479">
            <w:pPr>
              <w:widowControl/>
              <w:jc w:val="center"/>
              <w:rPr>
                <w:rFonts w:ascii="宋体" w:hAnsi="宋体" w:cs="宋体"/>
                <w:kern w:val="0"/>
                <w:sz w:val="18"/>
                <w:szCs w:val="18"/>
              </w:rPr>
            </w:pPr>
            <w:r>
              <w:rPr>
                <w:rFonts w:hint="eastAsia" w:ascii="宋体" w:hAnsi="宋体" w:cs="宋体"/>
                <w:kern w:val="0"/>
                <w:sz w:val="18"/>
                <w:szCs w:val="18"/>
              </w:rPr>
              <w:t>合  计</w:t>
            </w:r>
          </w:p>
        </w:tc>
        <w:tc>
          <w:tcPr>
            <w:tcW w:w="6662" w:type="dxa"/>
            <w:gridSpan w:val="6"/>
            <w:tcBorders>
              <w:top w:val="single" w:color="auto" w:sz="4" w:space="0"/>
              <w:left w:val="nil"/>
              <w:bottom w:val="single" w:color="auto" w:sz="4" w:space="0"/>
              <w:right w:val="single" w:color="000000" w:sz="4" w:space="0"/>
            </w:tcBorders>
            <w:noWrap w:val="0"/>
            <w:vAlign w:val="center"/>
          </w:tcPr>
          <w:p w14:paraId="2738422D">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6E0784F8">
            <w:pPr>
              <w:widowControl/>
              <w:jc w:val="center"/>
              <w:rPr>
                <w:rFonts w:ascii="宋体" w:hAnsi="宋体" w:cs="宋体"/>
                <w:kern w:val="0"/>
                <w:sz w:val="18"/>
                <w:szCs w:val="18"/>
              </w:rPr>
            </w:pPr>
            <w:r>
              <w:rPr>
                <w:rFonts w:hint="eastAsia" w:ascii="宋体" w:hAnsi="宋体" w:cs="宋体"/>
                <w:kern w:val="0"/>
                <w:sz w:val="18"/>
                <w:szCs w:val="18"/>
              </w:rPr>
              <w:t xml:space="preserve">12.22 </w:t>
            </w:r>
          </w:p>
        </w:tc>
      </w:tr>
    </w:tbl>
    <w:p w14:paraId="4474F602">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w:t>
      </w:r>
      <w:r>
        <w:rPr>
          <w:rFonts w:hint="eastAsia" w:ascii="宋体" w:hAnsi="宋体"/>
          <w:sz w:val="24"/>
        </w:rPr>
        <w:t>3</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4ADA41FA">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＝7.431+12.22＝19.65</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6DB1BFDB">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开采K9</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0635DD45">
      <w:pPr>
        <w:spacing w:line="360" w:lineRule="auto"/>
        <w:jc w:val="center"/>
        <w:rPr>
          <w:rFonts w:hint="eastAsia" w:ascii="宋体" w:hAnsi="宋体"/>
          <w:b/>
          <w:color w:val="000000"/>
          <w:kern w:val="24"/>
          <w:sz w:val="24"/>
        </w:rPr>
      </w:pPr>
      <w:r>
        <w:rPr>
          <w:rFonts w:hint="eastAsia" w:ascii="宋体" w:hAnsi="宋体"/>
          <w:b/>
          <w:color w:val="000000"/>
          <w:kern w:val="24"/>
          <w:sz w:val="24"/>
        </w:rPr>
        <w:t>K9</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64"/>
        <w:gridCol w:w="1220"/>
        <w:gridCol w:w="1080"/>
        <w:gridCol w:w="1040"/>
        <w:gridCol w:w="1100"/>
        <w:gridCol w:w="1144"/>
        <w:gridCol w:w="1440"/>
      </w:tblGrid>
      <w:tr w14:paraId="628941C3">
        <w:tblPrEx>
          <w:tblCellMar>
            <w:top w:w="0" w:type="dxa"/>
            <w:left w:w="108" w:type="dxa"/>
            <w:bottom w:w="0" w:type="dxa"/>
            <w:right w:w="108" w:type="dxa"/>
          </w:tblCellMar>
        </w:tblPrEx>
        <w:trPr>
          <w:wBefore w:w="0" w:type="dxa"/>
          <w:wAfter w:w="0" w:type="dxa"/>
          <w:trHeight w:val="255"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02475FDA">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64" w:type="dxa"/>
            <w:tcBorders>
              <w:top w:val="single" w:color="auto" w:sz="4" w:space="0"/>
              <w:left w:val="nil"/>
              <w:bottom w:val="single" w:color="auto" w:sz="4" w:space="0"/>
              <w:right w:val="single" w:color="auto" w:sz="4" w:space="0"/>
            </w:tcBorders>
            <w:noWrap w:val="0"/>
            <w:vAlign w:val="center"/>
          </w:tcPr>
          <w:p w14:paraId="5C832E5F">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15A68A79">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72D96475">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768D3525">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706B9AAF">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44" w:type="dxa"/>
            <w:tcBorders>
              <w:top w:val="single" w:color="auto" w:sz="4" w:space="0"/>
              <w:left w:val="nil"/>
              <w:bottom w:val="single" w:color="auto" w:sz="4" w:space="0"/>
              <w:right w:val="single" w:color="auto" w:sz="4" w:space="0"/>
            </w:tcBorders>
            <w:noWrap w:val="0"/>
            <w:vAlign w:val="center"/>
          </w:tcPr>
          <w:p w14:paraId="2A69CCCD">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1315FA09">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7B6D35EC">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7BB091C3">
            <w:pPr>
              <w:widowControl/>
              <w:jc w:val="left"/>
              <w:rPr>
                <w:rFonts w:ascii="宋体" w:hAnsi="宋体" w:cs="宋体"/>
                <w:kern w:val="0"/>
                <w:sz w:val="18"/>
                <w:szCs w:val="18"/>
              </w:rPr>
            </w:pPr>
            <w:r>
              <w:rPr>
                <w:rFonts w:hint="eastAsia" w:ascii="宋体" w:hAnsi="宋体" w:cs="宋体"/>
                <w:kern w:val="0"/>
                <w:sz w:val="18"/>
                <w:szCs w:val="18"/>
              </w:rPr>
              <w:t>K10</w:t>
            </w:r>
          </w:p>
        </w:tc>
        <w:tc>
          <w:tcPr>
            <w:tcW w:w="1064" w:type="dxa"/>
            <w:tcBorders>
              <w:top w:val="nil"/>
              <w:left w:val="nil"/>
              <w:bottom w:val="single" w:color="auto" w:sz="4" w:space="0"/>
              <w:right w:val="single" w:color="auto" w:sz="4" w:space="0"/>
            </w:tcBorders>
            <w:noWrap w:val="0"/>
            <w:vAlign w:val="center"/>
          </w:tcPr>
          <w:p w14:paraId="511431E2">
            <w:pPr>
              <w:widowControl/>
              <w:jc w:val="center"/>
              <w:rPr>
                <w:rFonts w:ascii="宋体" w:hAnsi="宋体" w:cs="宋体"/>
                <w:kern w:val="0"/>
                <w:sz w:val="18"/>
                <w:szCs w:val="18"/>
              </w:rPr>
            </w:pPr>
            <w:r>
              <w:rPr>
                <w:rFonts w:hint="eastAsia" w:ascii="宋体" w:hAnsi="宋体" w:cs="宋体"/>
                <w:kern w:val="0"/>
                <w:sz w:val="18"/>
                <w:szCs w:val="18"/>
              </w:rPr>
              <w:t>10</w:t>
            </w:r>
          </w:p>
        </w:tc>
        <w:tc>
          <w:tcPr>
            <w:tcW w:w="1220" w:type="dxa"/>
            <w:tcBorders>
              <w:top w:val="nil"/>
              <w:left w:val="nil"/>
              <w:bottom w:val="single" w:color="auto" w:sz="4" w:space="0"/>
              <w:right w:val="single" w:color="auto" w:sz="4" w:space="0"/>
            </w:tcBorders>
            <w:noWrap w:val="0"/>
            <w:vAlign w:val="center"/>
          </w:tcPr>
          <w:p w14:paraId="61551B22">
            <w:pPr>
              <w:widowControl/>
              <w:jc w:val="center"/>
              <w:rPr>
                <w:rFonts w:ascii="宋体" w:hAnsi="宋体" w:cs="宋体"/>
                <w:kern w:val="0"/>
                <w:sz w:val="18"/>
                <w:szCs w:val="18"/>
              </w:rPr>
            </w:pPr>
            <w:r>
              <w:rPr>
                <w:rFonts w:hint="eastAsia" w:ascii="宋体" w:hAnsi="宋体" w:cs="宋体"/>
                <w:kern w:val="0"/>
                <w:sz w:val="18"/>
                <w:szCs w:val="18"/>
              </w:rPr>
              <w:t xml:space="preserve">0.58 </w:t>
            </w:r>
          </w:p>
        </w:tc>
        <w:tc>
          <w:tcPr>
            <w:tcW w:w="1080" w:type="dxa"/>
            <w:tcBorders>
              <w:top w:val="nil"/>
              <w:left w:val="nil"/>
              <w:bottom w:val="single" w:color="auto" w:sz="4" w:space="0"/>
              <w:right w:val="single" w:color="auto" w:sz="4" w:space="0"/>
            </w:tcBorders>
            <w:noWrap w:val="0"/>
            <w:vAlign w:val="center"/>
          </w:tcPr>
          <w:p w14:paraId="1C4C8E40">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040" w:type="dxa"/>
            <w:tcBorders>
              <w:top w:val="nil"/>
              <w:left w:val="nil"/>
              <w:bottom w:val="single" w:color="auto" w:sz="4" w:space="0"/>
              <w:right w:val="single" w:color="auto" w:sz="4" w:space="0"/>
            </w:tcBorders>
            <w:noWrap w:val="0"/>
            <w:vAlign w:val="center"/>
          </w:tcPr>
          <w:p w14:paraId="66BB8D50">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100" w:type="dxa"/>
            <w:tcBorders>
              <w:top w:val="nil"/>
              <w:left w:val="nil"/>
              <w:bottom w:val="single" w:color="auto" w:sz="4" w:space="0"/>
              <w:right w:val="single" w:color="auto" w:sz="4" w:space="0"/>
            </w:tcBorders>
            <w:noWrap w:val="0"/>
            <w:vAlign w:val="center"/>
          </w:tcPr>
          <w:p w14:paraId="55161B52">
            <w:pPr>
              <w:widowControl/>
              <w:jc w:val="center"/>
              <w:rPr>
                <w:rFonts w:ascii="宋体" w:hAnsi="宋体" w:cs="宋体"/>
                <w:kern w:val="0"/>
                <w:sz w:val="18"/>
                <w:szCs w:val="18"/>
              </w:rPr>
            </w:pPr>
            <w:r>
              <w:rPr>
                <w:rFonts w:hint="eastAsia" w:ascii="宋体" w:hAnsi="宋体" w:cs="宋体"/>
                <w:kern w:val="0"/>
                <w:sz w:val="18"/>
                <w:szCs w:val="18"/>
              </w:rPr>
              <w:t>14.66</w:t>
            </w:r>
          </w:p>
        </w:tc>
        <w:tc>
          <w:tcPr>
            <w:tcW w:w="1144" w:type="dxa"/>
            <w:tcBorders>
              <w:top w:val="nil"/>
              <w:left w:val="nil"/>
              <w:bottom w:val="single" w:color="auto" w:sz="4" w:space="0"/>
              <w:right w:val="single" w:color="auto" w:sz="4" w:space="0"/>
            </w:tcBorders>
            <w:noWrap w:val="0"/>
            <w:vAlign w:val="center"/>
          </w:tcPr>
          <w:p w14:paraId="31BB10ED">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7CA4A2C6">
            <w:pPr>
              <w:widowControl/>
              <w:jc w:val="center"/>
              <w:rPr>
                <w:rFonts w:ascii="宋体" w:hAnsi="宋体" w:cs="宋体"/>
                <w:kern w:val="0"/>
                <w:sz w:val="18"/>
                <w:szCs w:val="18"/>
              </w:rPr>
            </w:pPr>
            <w:r>
              <w:rPr>
                <w:rFonts w:hint="eastAsia" w:ascii="宋体" w:hAnsi="宋体" w:cs="宋体"/>
                <w:kern w:val="0"/>
                <w:sz w:val="18"/>
                <w:szCs w:val="18"/>
              </w:rPr>
              <w:t xml:space="preserve">4.97 </w:t>
            </w:r>
          </w:p>
        </w:tc>
      </w:tr>
      <w:tr w14:paraId="7047BE07">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0E0EAF9B">
            <w:pPr>
              <w:widowControl/>
              <w:jc w:val="left"/>
              <w:rPr>
                <w:rFonts w:ascii="宋体" w:hAnsi="宋体" w:cs="宋体"/>
                <w:kern w:val="0"/>
                <w:sz w:val="18"/>
                <w:szCs w:val="18"/>
              </w:rPr>
            </w:pPr>
            <w:r>
              <w:rPr>
                <w:rFonts w:hint="eastAsia" w:ascii="宋体" w:hAnsi="宋体" w:cs="宋体"/>
                <w:kern w:val="0"/>
                <w:sz w:val="18"/>
                <w:szCs w:val="18"/>
              </w:rPr>
              <w:t>K13</w:t>
            </w:r>
          </w:p>
        </w:tc>
        <w:tc>
          <w:tcPr>
            <w:tcW w:w="1064" w:type="dxa"/>
            <w:tcBorders>
              <w:top w:val="nil"/>
              <w:left w:val="nil"/>
              <w:bottom w:val="single" w:color="auto" w:sz="4" w:space="0"/>
              <w:right w:val="single" w:color="auto" w:sz="4" w:space="0"/>
            </w:tcBorders>
            <w:noWrap w:val="0"/>
            <w:vAlign w:val="center"/>
          </w:tcPr>
          <w:p w14:paraId="564DDE55">
            <w:pPr>
              <w:widowControl/>
              <w:jc w:val="center"/>
              <w:rPr>
                <w:rFonts w:ascii="宋体" w:hAnsi="宋体" w:cs="宋体"/>
                <w:kern w:val="0"/>
                <w:sz w:val="18"/>
                <w:szCs w:val="18"/>
              </w:rPr>
            </w:pPr>
            <w:r>
              <w:rPr>
                <w:rFonts w:hint="eastAsia" w:ascii="宋体" w:hAnsi="宋体" w:cs="宋体"/>
                <w:kern w:val="0"/>
                <w:sz w:val="18"/>
                <w:szCs w:val="18"/>
              </w:rPr>
              <w:t>20</w:t>
            </w:r>
          </w:p>
        </w:tc>
        <w:tc>
          <w:tcPr>
            <w:tcW w:w="1220" w:type="dxa"/>
            <w:tcBorders>
              <w:top w:val="nil"/>
              <w:left w:val="nil"/>
              <w:bottom w:val="single" w:color="auto" w:sz="4" w:space="0"/>
              <w:right w:val="single" w:color="auto" w:sz="4" w:space="0"/>
            </w:tcBorders>
            <w:noWrap w:val="0"/>
            <w:vAlign w:val="center"/>
          </w:tcPr>
          <w:p w14:paraId="3D508C5C">
            <w:pPr>
              <w:widowControl/>
              <w:jc w:val="center"/>
              <w:rPr>
                <w:rFonts w:ascii="宋体" w:hAnsi="宋体" w:cs="宋体"/>
                <w:kern w:val="0"/>
                <w:sz w:val="18"/>
                <w:szCs w:val="18"/>
              </w:rPr>
            </w:pPr>
            <w:r>
              <w:rPr>
                <w:rFonts w:hint="eastAsia" w:ascii="宋体" w:hAnsi="宋体" w:cs="宋体"/>
                <w:kern w:val="0"/>
                <w:sz w:val="18"/>
                <w:szCs w:val="18"/>
              </w:rPr>
              <w:t xml:space="preserve">0.41 </w:t>
            </w:r>
          </w:p>
        </w:tc>
        <w:tc>
          <w:tcPr>
            <w:tcW w:w="1080" w:type="dxa"/>
            <w:tcBorders>
              <w:top w:val="nil"/>
              <w:left w:val="nil"/>
              <w:bottom w:val="single" w:color="auto" w:sz="4" w:space="0"/>
              <w:right w:val="single" w:color="auto" w:sz="4" w:space="0"/>
            </w:tcBorders>
            <w:noWrap w:val="0"/>
            <w:vAlign w:val="center"/>
          </w:tcPr>
          <w:p w14:paraId="41AE1977">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40" w:type="dxa"/>
            <w:tcBorders>
              <w:top w:val="nil"/>
              <w:left w:val="nil"/>
              <w:bottom w:val="single" w:color="auto" w:sz="4" w:space="0"/>
              <w:right w:val="single" w:color="auto" w:sz="4" w:space="0"/>
            </w:tcBorders>
            <w:noWrap w:val="0"/>
            <w:vAlign w:val="center"/>
          </w:tcPr>
          <w:p w14:paraId="1C0B0704">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100" w:type="dxa"/>
            <w:tcBorders>
              <w:top w:val="nil"/>
              <w:left w:val="nil"/>
              <w:bottom w:val="single" w:color="auto" w:sz="4" w:space="0"/>
              <w:right w:val="single" w:color="auto" w:sz="4" w:space="0"/>
            </w:tcBorders>
            <w:noWrap w:val="0"/>
            <w:vAlign w:val="center"/>
          </w:tcPr>
          <w:p w14:paraId="7D1F01AE">
            <w:pPr>
              <w:widowControl/>
              <w:jc w:val="center"/>
              <w:rPr>
                <w:rFonts w:ascii="宋体" w:hAnsi="宋体" w:cs="宋体"/>
                <w:kern w:val="0"/>
                <w:sz w:val="18"/>
                <w:szCs w:val="18"/>
              </w:rPr>
            </w:pPr>
            <w:r>
              <w:rPr>
                <w:rFonts w:hint="eastAsia" w:ascii="宋体" w:hAnsi="宋体" w:cs="宋体"/>
                <w:kern w:val="0"/>
                <w:sz w:val="18"/>
                <w:szCs w:val="18"/>
              </w:rPr>
              <w:t>15.92</w:t>
            </w:r>
          </w:p>
        </w:tc>
        <w:tc>
          <w:tcPr>
            <w:tcW w:w="1144" w:type="dxa"/>
            <w:tcBorders>
              <w:top w:val="nil"/>
              <w:left w:val="nil"/>
              <w:bottom w:val="single" w:color="auto" w:sz="4" w:space="0"/>
              <w:right w:val="single" w:color="auto" w:sz="4" w:space="0"/>
            </w:tcBorders>
            <w:noWrap w:val="0"/>
            <w:vAlign w:val="center"/>
          </w:tcPr>
          <w:p w14:paraId="3D09A955">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02DA81B1">
            <w:pPr>
              <w:widowControl/>
              <w:jc w:val="center"/>
              <w:rPr>
                <w:rFonts w:ascii="宋体" w:hAnsi="宋体" w:cs="宋体"/>
                <w:kern w:val="0"/>
                <w:sz w:val="18"/>
                <w:szCs w:val="18"/>
              </w:rPr>
            </w:pPr>
            <w:r>
              <w:rPr>
                <w:rFonts w:hint="eastAsia" w:ascii="宋体" w:hAnsi="宋体" w:cs="宋体"/>
                <w:kern w:val="0"/>
                <w:sz w:val="18"/>
                <w:szCs w:val="18"/>
              </w:rPr>
              <w:t xml:space="preserve">5.73 </w:t>
            </w:r>
          </w:p>
        </w:tc>
      </w:tr>
      <w:tr w14:paraId="4A5DAE19">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371C73D4">
            <w:pPr>
              <w:widowControl/>
              <w:jc w:val="left"/>
              <w:rPr>
                <w:rFonts w:ascii="宋体" w:hAnsi="宋体" w:cs="宋体"/>
                <w:kern w:val="0"/>
                <w:sz w:val="18"/>
                <w:szCs w:val="18"/>
              </w:rPr>
            </w:pPr>
            <w:r>
              <w:rPr>
                <w:rFonts w:hint="eastAsia" w:ascii="宋体" w:hAnsi="宋体" w:cs="宋体"/>
                <w:kern w:val="0"/>
                <w:sz w:val="18"/>
                <w:szCs w:val="18"/>
              </w:rPr>
              <w:t>K18</w:t>
            </w:r>
          </w:p>
        </w:tc>
        <w:tc>
          <w:tcPr>
            <w:tcW w:w="1064" w:type="dxa"/>
            <w:tcBorders>
              <w:top w:val="nil"/>
              <w:left w:val="nil"/>
              <w:bottom w:val="single" w:color="auto" w:sz="4" w:space="0"/>
              <w:right w:val="single" w:color="auto" w:sz="4" w:space="0"/>
            </w:tcBorders>
            <w:noWrap w:val="0"/>
            <w:vAlign w:val="center"/>
          </w:tcPr>
          <w:p w14:paraId="6A6776D0">
            <w:pPr>
              <w:widowControl/>
              <w:jc w:val="center"/>
              <w:rPr>
                <w:rFonts w:ascii="宋体" w:hAnsi="宋体" w:cs="宋体"/>
                <w:kern w:val="0"/>
                <w:sz w:val="18"/>
                <w:szCs w:val="18"/>
              </w:rPr>
            </w:pPr>
            <w:r>
              <w:rPr>
                <w:rFonts w:hint="eastAsia" w:ascii="宋体" w:hAnsi="宋体" w:cs="宋体"/>
                <w:kern w:val="0"/>
                <w:sz w:val="18"/>
                <w:szCs w:val="18"/>
              </w:rPr>
              <w:t>50</w:t>
            </w:r>
          </w:p>
        </w:tc>
        <w:tc>
          <w:tcPr>
            <w:tcW w:w="1220" w:type="dxa"/>
            <w:tcBorders>
              <w:top w:val="nil"/>
              <w:left w:val="nil"/>
              <w:bottom w:val="single" w:color="auto" w:sz="4" w:space="0"/>
              <w:right w:val="single" w:color="auto" w:sz="4" w:space="0"/>
            </w:tcBorders>
            <w:noWrap w:val="0"/>
            <w:vAlign w:val="center"/>
          </w:tcPr>
          <w:p w14:paraId="10EBAE3E">
            <w:pPr>
              <w:widowControl/>
              <w:jc w:val="center"/>
              <w:rPr>
                <w:rFonts w:ascii="宋体" w:hAnsi="宋体" w:cs="宋体"/>
                <w:kern w:val="0"/>
                <w:sz w:val="18"/>
                <w:szCs w:val="18"/>
              </w:rPr>
            </w:pPr>
            <w:r>
              <w:rPr>
                <w:rFonts w:hint="eastAsia" w:ascii="宋体" w:hAnsi="宋体" w:cs="宋体"/>
                <w:kern w:val="0"/>
                <w:sz w:val="18"/>
                <w:szCs w:val="18"/>
              </w:rPr>
              <w:t xml:space="preserve">0.17 </w:t>
            </w:r>
          </w:p>
        </w:tc>
        <w:tc>
          <w:tcPr>
            <w:tcW w:w="1080" w:type="dxa"/>
            <w:tcBorders>
              <w:top w:val="nil"/>
              <w:left w:val="nil"/>
              <w:bottom w:val="single" w:color="auto" w:sz="4" w:space="0"/>
              <w:right w:val="single" w:color="auto" w:sz="4" w:space="0"/>
            </w:tcBorders>
            <w:noWrap w:val="0"/>
            <w:vAlign w:val="center"/>
          </w:tcPr>
          <w:p w14:paraId="628DE396">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040" w:type="dxa"/>
            <w:tcBorders>
              <w:top w:val="nil"/>
              <w:left w:val="nil"/>
              <w:bottom w:val="single" w:color="auto" w:sz="4" w:space="0"/>
              <w:right w:val="single" w:color="auto" w:sz="4" w:space="0"/>
            </w:tcBorders>
            <w:noWrap w:val="0"/>
            <w:vAlign w:val="center"/>
          </w:tcPr>
          <w:p w14:paraId="4357A03F">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100" w:type="dxa"/>
            <w:tcBorders>
              <w:top w:val="nil"/>
              <w:left w:val="nil"/>
              <w:bottom w:val="single" w:color="auto" w:sz="4" w:space="0"/>
              <w:right w:val="single" w:color="auto" w:sz="4" w:space="0"/>
            </w:tcBorders>
            <w:noWrap w:val="0"/>
            <w:vAlign w:val="center"/>
          </w:tcPr>
          <w:p w14:paraId="6D6C1F9E">
            <w:pPr>
              <w:widowControl/>
              <w:jc w:val="center"/>
              <w:rPr>
                <w:rFonts w:ascii="宋体" w:hAnsi="宋体" w:cs="宋体"/>
                <w:kern w:val="0"/>
                <w:sz w:val="18"/>
                <w:szCs w:val="18"/>
              </w:rPr>
            </w:pPr>
            <w:r>
              <w:rPr>
                <w:rFonts w:hint="eastAsia" w:ascii="宋体" w:hAnsi="宋体" w:cs="宋体"/>
                <w:kern w:val="0"/>
                <w:sz w:val="18"/>
                <w:szCs w:val="18"/>
              </w:rPr>
              <w:t>16.04</w:t>
            </w:r>
          </w:p>
        </w:tc>
        <w:tc>
          <w:tcPr>
            <w:tcW w:w="1144" w:type="dxa"/>
            <w:tcBorders>
              <w:top w:val="nil"/>
              <w:left w:val="nil"/>
              <w:bottom w:val="single" w:color="auto" w:sz="4" w:space="0"/>
              <w:right w:val="single" w:color="auto" w:sz="4" w:space="0"/>
            </w:tcBorders>
            <w:noWrap w:val="0"/>
            <w:vAlign w:val="center"/>
          </w:tcPr>
          <w:p w14:paraId="552E2808">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16168896">
            <w:pPr>
              <w:widowControl/>
              <w:jc w:val="center"/>
              <w:rPr>
                <w:rFonts w:ascii="宋体" w:hAnsi="宋体" w:cs="宋体"/>
                <w:kern w:val="0"/>
                <w:sz w:val="18"/>
                <w:szCs w:val="18"/>
              </w:rPr>
            </w:pPr>
            <w:r>
              <w:rPr>
                <w:rFonts w:hint="eastAsia" w:ascii="宋体" w:hAnsi="宋体" w:cs="宋体"/>
                <w:kern w:val="0"/>
                <w:sz w:val="18"/>
                <w:szCs w:val="18"/>
              </w:rPr>
              <w:t xml:space="preserve">4.44 </w:t>
            </w:r>
          </w:p>
        </w:tc>
      </w:tr>
      <w:tr w14:paraId="2D6B49CD">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6DF606AB">
            <w:pPr>
              <w:widowControl/>
              <w:jc w:val="left"/>
              <w:rPr>
                <w:rFonts w:ascii="宋体" w:hAnsi="宋体" w:cs="宋体"/>
                <w:kern w:val="0"/>
                <w:sz w:val="18"/>
                <w:szCs w:val="18"/>
              </w:rPr>
            </w:pPr>
            <w:r>
              <w:rPr>
                <w:rFonts w:hint="eastAsia" w:ascii="宋体" w:hAnsi="宋体" w:cs="宋体"/>
                <w:kern w:val="0"/>
                <w:sz w:val="18"/>
                <w:szCs w:val="18"/>
              </w:rPr>
              <w:t>K26</w:t>
            </w:r>
          </w:p>
        </w:tc>
        <w:tc>
          <w:tcPr>
            <w:tcW w:w="1064" w:type="dxa"/>
            <w:tcBorders>
              <w:top w:val="nil"/>
              <w:left w:val="nil"/>
              <w:bottom w:val="single" w:color="auto" w:sz="4" w:space="0"/>
              <w:right w:val="single" w:color="auto" w:sz="4" w:space="0"/>
            </w:tcBorders>
            <w:noWrap w:val="0"/>
            <w:vAlign w:val="center"/>
          </w:tcPr>
          <w:p w14:paraId="2D1CAB3B">
            <w:pPr>
              <w:widowControl/>
              <w:jc w:val="center"/>
              <w:rPr>
                <w:rFonts w:ascii="宋体" w:hAnsi="宋体" w:cs="宋体"/>
                <w:kern w:val="0"/>
                <w:sz w:val="18"/>
                <w:szCs w:val="18"/>
              </w:rPr>
            </w:pPr>
            <w:r>
              <w:rPr>
                <w:rFonts w:hint="eastAsia" w:ascii="宋体" w:hAnsi="宋体" w:cs="宋体"/>
                <w:kern w:val="0"/>
                <w:sz w:val="18"/>
                <w:szCs w:val="18"/>
              </w:rPr>
              <w:t>78</w:t>
            </w:r>
          </w:p>
        </w:tc>
        <w:tc>
          <w:tcPr>
            <w:tcW w:w="1220" w:type="dxa"/>
            <w:tcBorders>
              <w:top w:val="nil"/>
              <w:left w:val="nil"/>
              <w:bottom w:val="single" w:color="auto" w:sz="4" w:space="0"/>
              <w:right w:val="single" w:color="auto" w:sz="4" w:space="0"/>
            </w:tcBorders>
            <w:noWrap w:val="0"/>
            <w:vAlign w:val="center"/>
          </w:tcPr>
          <w:p w14:paraId="270C5EBC">
            <w:pPr>
              <w:widowControl/>
              <w:jc w:val="center"/>
              <w:rPr>
                <w:rFonts w:ascii="宋体" w:hAnsi="宋体" w:cs="宋体"/>
                <w:kern w:val="0"/>
                <w:sz w:val="18"/>
                <w:szCs w:val="18"/>
              </w:rPr>
            </w:pPr>
            <w:r>
              <w:rPr>
                <w:rFonts w:hint="eastAsia" w:ascii="宋体" w:hAnsi="宋体" w:cs="宋体"/>
                <w:kern w:val="0"/>
                <w:sz w:val="18"/>
                <w:szCs w:val="18"/>
              </w:rPr>
              <w:t xml:space="preserve">0.05 </w:t>
            </w:r>
          </w:p>
        </w:tc>
        <w:tc>
          <w:tcPr>
            <w:tcW w:w="1080" w:type="dxa"/>
            <w:tcBorders>
              <w:top w:val="nil"/>
              <w:left w:val="nil"/>
              <w:bottom w:val="single" w:color="auto" w:sz="4" w:space="0"/>
              <w:right w:val="single" w:color="auto" w:sz="4" w:space="0"/>
            </w:tcBorders>
            <w:noWrap w:val="0"/>
            <w:vAlign w:val="center"/>
          </w:tcPr>
          <w:p w14:paraId="17A8E540">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040" w:type="dxa"/>
            <w:tcBorders>
              <w:top w:val="nil"/>
              <w:left w:val="nil"/>
              <w:bottom w:val="single" w:color="auto" w:sz="4" w:space="0"/>
              <w:right w:val="single" w:color="auto" w:sz="4" w:space="0"/>
            </w:tcBorders>
            <w:noWrap w:val="0"/>
            <w:vAlign w:val="center"/>
          </w:tcPr>
          <w:p w14:paraId="11E1C4FB">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100" w:type="dxa"/>
            <w:tcBorders>
              <w:top w:val="nil"/>
              <w:left w:val="nil"/>
              <w:bottom w:val="single" w:color="auto" w:sz="4" w:space="0"/>
              <w:right w:val="single" w:color="auto" w:sz="4" w:space="0"/>
            </w:tcBorders>
            <w:noWrap w:val="0"/>
            <w:vAlign w:val="center"/>
          </w:tcPr>
          <w:p w14:paraId="63054770">
            <w:pPr>
              <w:widowControl/>
              <w:jc w:val="center"/>
              <w:rPr>
                <w:rFonts w:ascii="宋体" w:hAnsi="宋体" w:cs="宋体"/>
                <w:kern w:val="0"/>
                <w:sz w:val="18"/>
                <w:szCs w:val="18"/>
              </w:rPr>
            </w:pPr>
            <w:r>
              <w:rPr>
                <w:rFonts w:hint="eastAsia" w:ascii="宋体" w:hAnsi="宋体" w:cs="宋体"/>
                <w:kern w:val="0"/>
                <w:sz w:val="18"/>
                <w:szCs w:val="18"/>
              </w:rPr>
              <w:t>15.95</w:t>
            </w:r>
          </w:p>
        </w:tc>
        <w:tc>
          <w:tcPr>
            <w:tcW w:w="1144" w:type="dxa"/>
            <w:tcBorders>
              <w:top w:val="nil"/>
              <w:left w:val="nil"/>
              <w:bottom w:val="single" w:color="auto" w:sz="4" w:space="0"/>
              <w:right w:val="single" w:color="auto" w:sz="4" w:space="0"/>
            </w:tcBorders>
            <w:noWrap w:val="0"/>
            <w:vAlign w:val="center"/>
          </w:tcPr>
          <w:p w14:paraId="1B48D37A">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7E66D6E6">
            <w:pPr>
              <w:widowControl/>
              <w:jc w:val="center"/>
              <w:rPr>
                <w:rFonts w:ascii="宋体" w:hAnsi="宋体" w:cs="宋体"/>
                <w:kern w:val="0"/>
                <w:sz w:val="18"/>
                <w:szCs w:val="18"/>
              </w:rPr>
            </w:pPr>
            <w:r>
              <w:rPr>
                <w:rFonts w:hint="eastAsia" w:ascii="宋体" w:hAnsi="宋体" w:cs="宋体"/>
                <w:kern w:val="0"/>
                <w:sz w:val="18"/>
                <w:szCs w:val="18"/>
              </w:rPr>
              <w:t xml:space="preserve">0.65 </w:t>
            </w:r>
          </w:p>
        </w:tc>
      </w:tr>
      <w:tr w14:paraId="60728C7F">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6779E1E9">
            <w:pPr>
              <w:widowControl/>
              <w:jc w:val="left"/>
              <w:rPr>
                <w:rFonts w:ascii="宋体" w:hAnsi="宋体" w:cs="宋体"/>
                <w:kern w:val="0"/>
                <w:sz w:val="18"/>
                <w:szCs w:val="18"/>
              </w:rPr>
            </w:pPr>
            <w:r>
              <w:rPr>
                <w:rFonts w:hint="eastAsia" w:ascii="宋体" w:hAnsi="宋体" w:cs="宋体"/>
                <w:kern w:val="0"/>
                <w:sz w:val="18"/>
                <w:szCs w:val="18"/>
              </w:rPr>
              <w:t>K35-b</w:t>
            </w:r>
          </w:p>
        </w:tc>
        <w:tc>
          <w:tcPr>
            <w:tcW w:w="1064" w:type="dxa"/>
            <w:tcBorders>
              <w:top w:val="nil"/>
              <w:left w:val="nil"/>
              <w:bottom w:val="single" w:color="auto" w:sz="4" w:space="0"/>
              <w:right w:val="single" w:color="auto" w:sz="4" w:space="0"/>
            </w:tcBorders>
            <w:noWrap w:val="0"/>
            <w:vAlign w:val="center"/>
          </w:tcPr>
          <w:p w14:paraId="17092294">
            <w:pPr>
              <w:widowControl/>
              <w:jc w:val="center"/>
              <w:rPr>
                <w:rFonts w:ascii="宋体" w:hAnsi="宋体" w:cs="宋体"/>
                <w:kern w:val="0"/>
                <w:sz w:val="18"/>
                <w:szCs w:val="18"/>
              </w:rPr>
            </w:pPr>
            <w:r>
              <w:rPr>
                <w:rFonts w:hint="eastAsia" w:ascii="宋体" w:hAnsi="宋体" w:cs="宋体"/>
                <w:kern w:val="0"/>
                <w:sz w:val="18"/>
                <w:szCs w:val="18"/>
              </w:rPr>
              <w:t>98</w:t>
            </w:r>
          </w:p>
        </w:tc>
        <w:tc>
          <w:tcPr>
            <w:tcW w:w="1220" w:type="dxa"/>
            <w:tcBorders>
              <w:top w:val="nil"/>
              <w:left w:val="nil"/>
              <w:bottom w:val="single" w:color="auto" w:sz="4" w:space="0"/>
              <w:right w:val="single" w:color="auto" w:sz="4" w:space="0"/>
            </w:tcBorders>
            <w:noWrap w:val="0"/>
            <w:vAlign w:val="center"/>
          </w:tcPr>
          <w:p w14:paraId="00505886">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080" w:type="dxa"/>
            <w:tcBorders>
              <w:top w:val="nil"/>
              <w:left w:val="nil"/>
              <w:bottom w:val="single" w:color="auto" w:sz="4" w:space="0"/>
              <w:right w:val="single" w:color="auto" w:sz="4" w:space="0"/>
            </w:tcBorders>
            <w:noWrap w:val="0"/>
            <w:vAlign w:val="center"/>
          </w:tcPr>
          <w:p w14:paraId="6878045F">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1040" w:type="dxa"/>
            <w:tcBorders>
              <w:top w:val="nil"/>
              <w:left w:val="nil"/>
              <w:bottom w:val="single" w:color="auto" w:sz="4" w:space="0"/>
              <w:right w:val="single" w:color="auto" w:sz="4" w:space="0"/>
            </w:tcBorders>
            <w:noWrap w:val="0"/>
            <w:vAlign w:val="center"/>
          </w:tcPr>
          <w:p w14:paraId="79F14D0C">
            <w:pPr>
              <w:widowControl/>
              <w:jc w:val="center"/>
              <w:rPr>
                <w:rFonts w:ascii="宋体" w:hAnsi="宋体" w:cs="宋体"/>
                <w:kern w:val="0"/>
                <w:sz w:val="18"/>
                <w:szCs w:val="18"/>
              </w:rPr>
            </w:pPr>
            <w:r>
              <w:rPr>
                <w:rFonts w:hint="eastAsia" w:ascii="宋体" w:hAnsi="宋体" w:cs="宋体"/>
                <w:kern w:val="0"/>
                <w:sz w:val="18"/>
                <w:szCs w:val="18"/>
              </w:rPr>
              <w:t xml:space="preserve">1.32 </w:t>
            </w:r>
          </w:p>
        </w:tc>
        <w:tc>
          <w:tcPr>
            <w:tcW w:w="1100" w:type="dxa"/>
            <w:tcBorders>
              <w:top w:val="nil"/>
              <w:left w:val="nil"/>
              <w:bottom w:val="single" w:color="auto" w:sz="4" w:space="0"/>
              <w:right w:val="single" w:color="auto" w:sz="4" w:space="0"/>
            </w:tcBorders>
            <w:noWrap w:val="0"/>
            <w:vAlign w:val="center"/>
          </w:tcPr>
          <w:p w14:paraId="369F22BB">
            <w:pPr>
              <w:widowControl/>
              <w:jc w:val="center"/>
              <w:rPr>
                <w:rFonts w:ascii="宋体" w:hAnsi="宋体" w:cs="宋体"/>
                <w:kern w:val="0"/>
                <w:sz w:val="18"/>
                <w:szCs w:val="18"/>
              </w:rPr>
            </w:pPr>
            <w:r>
              <w:rPr>
                <w:rFonts w:hint="eastAsia" w:ascii="宋体" w:hAnsi="宋体" w:cs="宋体"/>
                <w:kern w:val="0"/>
                <w:sz w:val="18"/>
                <w:szCs w:val="18"/>
              </w:rPr>
              <w:t>14.92</w:t>
            </w:r>
          </w:p>
        </w:tc>
        <w:tc>
          <w:tcPr>
            <w:tcW w:w="1144" w:type="dxa"/>
            <w:tcBorders>
              <w:top w:val="nil"/>
              <w:left w:val="nil"/>
              <w:bottom w:val="single" w:color="auto" w:sz="4" w:space="0"/>
              <w:right w:val="single" w:color="auto" w:sz="4" w:space="0"/>
            </w:tcBorders>
            <w:noWrap w:val="0"/>
            <w:vAlign w:val="center"/>
          </w:tcPr>
          <w:p w14:paraId="012DE0F4">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62822DB3">
            <w:pPr>
              <w:widowControl/>
              <w:jc w:val="center"/>
              <w:rPr>
                <w:rFonts w:ascii="宋体" w:hAnsi="宋体" w:cs="宋体"/>
                <w:kern w:val="0"/>
                <w:sz w:val="18"/>
                <w:szCs w:val="18"/>
              </w:rPr>
            </w:pPr>
            <w:r>
              <w:rPr>
                <w:rFonts w:hint="eastAsia" w:ascii="宋体" w:hAnsi="宋体" w:cs="宋体"/>
                <w:kern w:val="0"/>
                <w:sz w:val="18"/>
                <w:szCs w:val="18"/>
              </w:rPr>
              <w:t xml:space="preserve">0.00 </w:t>
            </w:r>
          </w:p>
        </w:tc>
      </w:tr>
      <w:tr w14:paraId="4D3F4248">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17110B49">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48" w:type="dxa"/>
            <w:gridSpan w:val="6"/>
            <w:tcBorders>
              <w:top w:val="single" w:color="auto" w:sz="4" w:space="0"/>
              <w:left w:val="nil"/>
              <w:bottom w:val="single" w:color="auto" w:sz="4" w:space="0"/>
              <w:right w:val="single" w:color="auto" w:sz="4" w:space="0"/>
            </w:tcBorders>
            <w:noWrap w:val="0"/>
            <w:vAlign w:val="center"/>
          </w:tcPr>
          <w:p w14:paraId="4D8A4C83">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0835FD43">
            <w:pPr>
              <w:widowControl/>
              <w:jc w:val="center"/>
              <w:rPr>
                <w:rFonts w:ascii="宋体" w:hAnsi="宋体" w:cs="宋体"/>
                <w:kern w:val="0"/>
                <w:sz w:val="18"/>
                <w:szCs w:val="18"/>
              </w:rPr>
            </w:pPr>
            <w:r>
              <w:rPr>
                <w:rFonts w:hint="eastAsia" w:ascii="宋体" w:hAnsi="宋体" w:cs="宋体"/>
                <w:kern w:val="0"/>
                <w:sz w:val="18"/>
                <w:szCs w:val="18"/>
              </w:rPr>
              <w:t xml:space="preserve">0.18 </w:t>
            </w:r>
          </w:p>
        </w:tc>
      </w:tr>
      <w:tr w14:paraId="79814642">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0FC5694C">
            <w:pPr>
              <w:widowControl/>
              <w:jc w:val="center"/>
              <w:rPr>
                <w:rFonts w:ascii="宋体" w:hAnsi="宋体" w:cs="宋体"/>
                <w:kern w:val="0"/>
                <w:sz w:val="18"/>
                <w:szCs w:val="18"/>
              </w:rPr>
            </w:pPr>
            <w:r>
              <w:rPr>
                <w:rFonts w:hint="eastAsia" w:ascii="宋体" w:hAnsi="宋体" w:cs="宋体"/>
                <w:kern w:val="0"/>
                <w:sz w:val="18"/>
                <w:szCs w:val="18"/>
              </w:rPr>
              <w:t>合  计</w:t>
            </w:r>
          </w:p>
        </w:tc>
        <w:tc>
          <w:tcPr>
            <w:tcW w:w="6648" w:type="dxa"/>
            <w:gridSpan w:val="6"/>
            <w:tcBorders>
              <w:top w:val="single" w:color="auto" w:sz="4" w:space="0"/>
              <w:left w:val="nil"/>
              <w:bottom w:val="single" w:color="auto" w:sz="4" w:space="0"/>
              <w:right w:val="single" w:color="auto" w:sz="4" w:space="0"/>
            </w:tcBorders>
            <w:noWrap w:val="0"/>
            <w:vAlign w:val="center"/>
          </w:tcPr>
          <w:p w14:paraId="02398ABD">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4A0CC9A4">
            <w:pPr>
              <w:widowControl/>
              <w:jc w:val="center"/>
              <w:rPr>
                <w:rFonts w:ascii="宋体" w:hAnsi="宋体" w:cs="宋体"/>
                <w:kern w:val="0"/>
                <w:sz w:val="18"/>
                <w:szCs w:val="18"/>
              </w:rPr>
            </w:pPr>
            <w:r>
              <w:rPr>
                <w:rFonts w:hint="eastAsia" w:ascii="宋体" w:hAnsi="宋体" w:cs="宋体"/>
                <w:kern w:val="0"/>
                <w:sz w:val="18"/>
                <w:szCs w:val="18"/>
              </w:rPr>
              <w:t xml:space="preserve">15.97 </w:t>
            </w:r>
          </w:p>
        </w:tc>
      </w:tr>
    </w:tbl>
    <w:p w14:paraId="76E44899">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w:t>
      </w:r>
      <w:r>
        <w:rPr>
          <w:rFonts w:hint="eastAsia" w:ascii="宋体" w:hAnsi="宋体"/>
          <w:sz w:val="24"/>
        </w:rPr>
        <w:t>9</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488217D8">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＝9.152+15.97＝25.12</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5C484401">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开采K10</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3A82B383">
      <w:pPr>
        <w:spacing w:line="360" w:lineRule="auto"/>
        <w:jc w:val="center"/>
        <w:rPr>
          <w:rFonts w:hint="eastAsia" w:ascii="宋体" w:hAnsi="宋体"/>
          <w:b/>
          <w:color w:val="000000"/>
          <w:kern w:val="24"/>
          <w:sz w:val="24"/>
        </w:rPr>
      </w:pPr>
      <w:r>
        <w:rPr>
          <w:rFonts w:hint="eastAsia" w:ascii="宋体" w:hAnsi="宋体"/>
          <w:b/>
          <w:color w:val="000000"/>
          <w:kern w:val="24"/>
          <w:sz w:val="24"/>
        </w:rPr>
        <w:t>K10</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92"/>
        <w:gridCol w:w="1220"/>
        <w:gridCol w:w="1080"/>
        <w:gridCol w:w="1040"/>
        <w:gridCol w:w="1100"/>
        <w:gridCol w:w="1158"/>
        <w:gridCol w:w="1440"/>
      </w:tblGrid>
      <w:tr w14:paraId="596EF6BD">
        <w:tblPrEx>
          <w:tblCellMar>
            <w:top w:w="0" w:type="dxa"/>
            <w:left w:w="108" w:type="dxa"/>
            <w:bottom w:w="0" w:type="dxa"/>
            <w:right w:w="108" w:type="dxa"/>
          </w:tblCellMar>
        </w:tblPrEx>
        <w:trPr>
          <w:wBefore w:w="0" w:type="dxa"/>
          <w:wAfter w:w="0" w:type="dxa"/>
          <w:trHeight w:val="255"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4D5ADB37">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92" w:type="dxa"/>
            <w:tcBorders>
              <w:top w:val="single" w:color="auto" w:sz="4" w:space="0"/>
              <w:left w:val="nil"/>
              <w:bottom w:val="single" w:color="auto" w:sz="4" w:space="0"/>
              <w:right w:val="single" w:color="auto" w:sz="4" w:space="0"/>
            </w:tcBorders>
            <w:noWrap w:val="0"/>
            <w:vAlign w:val="center"/>
          </w:tcPr>
          <w:p w14:paraId="2905F3F4">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525EFE5D">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1BD0D7A8">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4FB0ACA0">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7AA625EB">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58" w:type="dxa"/>
            <w:tcBorders>
              <w:top w:val="single" w:color="auto" w:sz="4" w:space="0"/>
              <w:left w:val="nil"/>
              <w:bottom w:val="single" w:color="auto" w:sz="4" w:space="0"/>
              <w:right w:val="single" w:color="auto" w:sz="4" w:space="0"/>
            </w:tcBorders>
            <w:noWrap w:val="0"/>
            <w:vAlign w:val="center"/>
          </w:tcPr>
          <w:p w14:paraId="0E124124">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23425B7F">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6E7F330C">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4F2CB304">
            <w:pPr>
              <w:widowControl/>
              <w:jc w:val="left"/>
              <w:rPr>
                <w:rFonts w:ascii="宋体" w:hAnsi="宋体" w:cs="宋体"/>
                <w:kern w:val="0"/>
                <w:sz w:val="18"/>
                <w:szCs w:val="18"/>
              </w:rPr>
            </w:pPr>
            <w:r>
              <w:rPr>
                <w:rFonts w:hint="eastAsia" w:ascii="宋体" w:hAnsi="宋体" w:cs="宋体"/>
                <w:kern w:val="0"/>
                <w:sz w:val="18"/>
                <w:szCs w:val="18"/>
              </w:rPr>
              <w:t>K13</w:t>
            </w:r>
          </w:p>
        </w:tc>
        <w:tc>
          <w:tcPr>
            <w:tcW w:w="1092" w:type="dxa"/>
            <w:tcBorders>
              <w:top w:val="nil"/>
              <w:left w:val="nil"/>
              <w:bottom w:val="single" w:color="auto" w:sz="4" w:space="0"/>
              <w:right w:val="single" w:color="auto" w:sz="4" w:space="0"/>
            </w:tcBorders>
            <w:noWrap w:val="0"/>
            <w:vAlign w:val="center"/>
          </w:tcPr>
          <w:p w14:paraId="36C79FAB">
            <w:pPr>
              <w:widowControl/>
              <w:jc w:val="center"/>
              <w:rPr>
                <w:rFonts w:ascii="宋体" w:hAnsi="宋体" w:cs="宋体"/>
                <w:kern w:val="0"/>
                <w:sz w:val="18"/>
                <w:szCs w:val="18"/>
              </w:rPr>
            </w:pPr>
            <w:r>
              <w:rPr>
                <w:rFonts w:hint="eastAsia" w:ascii="宋体" w:hAnsi="宋体" w:cs="宋体"/>
                <w:kern w:val="0"/>
                <w:sz w:val="18"/>
                <w:szCs w:val="18"/>
              </w:rPr>
              <w:t>10</w:t>
            </w:r>
          </w:p>
        </w:tc>
        <w:tc>
          <w:tcPr>
            <w:tcW w:w="1220" w:type="dxa"/>
            <w:tcBorders>
              <w:top w:val="nil"/>
              <w:left w:val="nil"/>
              <w:bottom w:val="single" w:color="auto" w:sz="4" w:space="0"/>
              <w:right w:val="single" w:color="auto" w:sz="4" w:space="0"/>
            </w:tcBorders>
            <w:noWrap w:val="0"/>
            <w:vAlign w:val="center"/>
          </w:tcPr>
          <w:p w14:paraId="3F342190">
            <w:pPr>
              <w:widowControl/>
              <w:jc w:val="center"/>
              <w:rPr>
                <w:rFonts w:ascii="宋体" w:hAnsi="宋体" w:cs="宋体"/>
                <w:kern w:val="0"/>
                <w:sz w:val="18"/>
                <w:szCs w:val="18"/>
              </w:rPr>
            </w:pPr>
            <w:r>
              <w:rPr>
                <w:rFonts w:hint="eastAsia" w:ascii="宋体" w:hAnsi="宋体" w:cs="宋体"/>
                <w:kern w:val="0"/>
                <w:sz w:val="18"/>
                <w:szCs w:val="18"/>
              </w:rPr>
              <w:t xml:space="preserve">0.58 </w:t>
            </w:r>
          </w:p>
        </w:tc>
        <w:tc>
          <w:tcPr>
            <w:tcW w:w="1080" w:type="dxa"/>
            <w:tcBorders>
              <w:top w:val="nil"/>
              <w:left w:val="nil"/>
              <w:bottom w:val="single" w:color="auto" w:sz="4" w:space="0"/>
              <w:right w:val="single" w:color="auto" w:sz="4" w:space="0"/>
            </w:tcBorders>
            <w:noWrap w:val="0"/>
            <w:vAlign w:val="center"/>
          </w:tcPr>
          <w:p w14:paraId="6A4E7F02">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40" w:type="dxa"/>
            <w:tcBorders>
              <w:top w:val="nil"/>
              <w:left w:val="nil"/>
              <w:bottom w:val="single" w:color="auto" w:sz="4" w:space="0"/>
              <w:right w:val="single" w:color="auto" w:sz="4" w:space="0"/>
            </w:tcBorders>
            <w:noWrap w:val="0"/>
            <w:vAlign w:val="center"/>
          </w:tcPr>
          <w:p w14:paraId="1F22B832">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100" w:type="dxa"/>
            <w:tcBorders>
              <w:top w:val="nil"/>
              <w:left w:val="nil"/>
              <w:bottom w:val="single" w:color="auto" w:sz="4" w:space="0"/>
              <w:right w:val="single" w:color="auto" w:sz="4" w:space="0"/>
            </w:tcBorders>
            <w:noWrap w:val="0"/>
            <w:vAlign w:val="center"/>
          </w:tcPr>
          <w:p w14:paraId="3785AE4C">
            <w:pPr>
              <w:widowControl/>
              <w:jc w:val="center"/>
              <w:rPr>
                <w:rFonts w:ascii="宋体" w:hAnsi="宋体" w:cs="宋体"/>
                <w:kern w:val="0"/>
                <w:sz w:val="18"/>
                <w:szCs w:val="18"/>
              </w:rPr>
            </w:pPr>
            <w:r>
              <w:rPr>
                <w:rFonts w:hint="eastAsia" w:ascii="宋体" w:hAnsi="宋体" w:cs="宋体"/>
                <w:kern w:val="0"/>
                <w:sz w:val="18"/>
                <w:szCs w:val="18"/>
              </w:rPr>
              <w:t>15.92</w:t>
            </w:r>
          </w:p>
        </w:tc>
        <w:tc>
          <w:tcPr>
            <w:tcW w:w="1158" w:type="dxa"/>
            <w:tcBorders>
              <w:top w:val="nil"/>
              <w:left w:val="nil"/>
              <w:bottom w:val="single" w:color="auto" w:sz="4" w:space="0"/>
              <w:right w:val="single" w:color="auto" w:sz="4" w:space="0"/>
            </w:tcBorders>
            <w:noWrap w:val="0"/>
            <w:vAlign w:val="center"/>
          </w:tcPr>
          <w:p w14:paraId="64860276">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4B4E8347">
            <w:pPr>
              <w:widowControl/>
              <w:jc w:val="center"/>
              <w:rPr>
                <w:rFonts w:ascii="宋体" w:hAnsi="宋体" w:cs="宋体"/>
                <w:kern w:val="0"/>
                <w:sz w:val="18"/>
                <w:szCs w:val="18"/>
              </w:rPr>
            </w:pPr>
            <w:r>
              <w:rPr>
                <w:rFonts w:hint="eastAsia" w:ascii="宋体" w:hAnsi="宋体" w:cs="宋体"/>
                <w:kern w:val="0"/>
                <w:sz w:val="18"/>
                <w:szCs w:val="18"/>
              </w:rPr>
              <w:t xml:space="preserve">9.15 </w:t>
            </w:r>
          </w:p>
        </w:tc>
      </w:tr>
      <w:tr w14:paraId="11FD5776">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6FEFA190">
            <w:pPr>
              <w:widowControl/>
              <w:jc w:val="left"/>
              <w:rPr>
                <w:rFonts w:ascii="宋体" w:hAnsi="宋体" w:cs="宋体"/>
                <w:kern w:val="0"/>
                <w:sz w:val="18"/>
                <w:szCs w:val="18"/>
              </w:rPr>
            </w:pPr>
            <w:r>
              <w:rPr>
                <w:rFonts w:hint="eastAsia" w:ascii="宋体" w:hAnsi="宋体" w:cs="宋体"/>
                <w:kern w:val="0"/>
                <w:sz w:val="18"/>
                <w:szCs w:val="18"/>
              </w:rPr>
              <w:t>K18</w:t>
            </w:r>
          </w:p>
        </w:tc>
        <w:tc>
          <w:tcPr>
            <w:tcW w:w="1092" w:type="dxa"/>
            <w:tcBorders>
              <w:top w:val="nil"/>
              <w:left w:val="nil"/>
              <w:bottom w:val="single" w:color="auto" w:sz="4" w:space="0"/>
              <w:right w:val="single" w:color="auto" w:sz="4" w:space="0"/>
            </w:tcBorders>
            <w:noWrap w:val="0"/>
            <w:vAlign w:val="center"/>
          </w:tcPr>
          <w:p w14:paraId="2950FDC2">
            <w:pPr>
              <w:widowControl/>
              <w:jc w:val="center"/>
              <w:rPr>
                <w:rFonts w:ascii="宋体" w:hAnsi="宋体" w:cs="宋体"/>
                <w:kern w:val="0"/>
                <w:sz w:val="18"/>
                <w:szCs w:val="18"/>
              </w:rPr>
            </w:pPr>
            <w:r>
              <w:rPr>
                <w:rFonts w:hint="eastAsia" w:ascii="宋体" w:hAnsi="宋体" w:cs="宋体"/>
                <w:kern w:val="0"/>
                <w:sz w:val="18"/>
                <w:szCs w:val="18"/>
              </w:rPr>
              <w:t>40</w:t>
            </w:r>
          </w:p>
        </w:tc>
        <w:tc>
          <w:tcPr>
            <w:tcW w:w="1220" w:type="dxa"/>
            <w:tcBorders>
              <w:top w:val="nil"/>
              <w:left w:val="nil"/>
              <w:bottom w:val="single" w:color="auto" w:sz="4" w:space="0"/>
              <w:right w:val="single" w:color="auto" w:sz="4" w:space="0"/>
            </w:tcBorders>
            <w:noWrap w:val="0"/>
            <w:vAlign w:val="center"/>
          </w:tcPr>
          <w:p w14:paraId="0DECDA48">
            <w:pPr>
              <w:widowControl/>
              <w:jc w:val="center"/>
              <w:rPr>
                <w:rFonts w:ascii="宋体" w:hAnsi="宋体" w:cs="宋体"/>
                <w:kern w:val="0"/>
                <w:sz w:val="18"/>
                <w:szCs w:val="18"/>
              </w:rPr>
            </w:pPr>
            <w:r>
              <w:rPr>
                <w:rFonts w:hint="eastAsia" w:ascii="宋体" w:hAnsi="宋体" w:cs="宋体"/>
                <w:kern w:val="0"/>
                <w:sz w:val="18"/>
                <w:szCs w:val="18"/>
              </w:rPr>
              <w:t xml:space="preserve">0.29 </w:t>
            </w:r>
          </w:p>
        </w:tc>
        <w:tc>
          <w:tcPr>
            <w:tcW w:w="1080" w:type="dxa"/>
            <w:tcBorders>
              <w:top w:val="nil"/>
              <w:left w:val="nil"/>
              <w:bottom w:val="single" w:color="auto" w:sz="4" w:space="0"/>
              <w:right w:val="single" w:color="auto" w:sz="4" w:space="0"/>
            </w:tcBorders>
            <w:noWrap w:val="0"/>
            <w:vAlign w:val="center"/>
          </w:tcPr>
          <w:p w14:paraId="5794BD9D">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040" w:type="dxa"/>
            <w:tcBorders>
              <w:top w:val="nil"/>
              <w:left w:val="nil"/>
              <w:bottom w:val="single" w:color="auto" w:sz="4" w:space="0"/>
              <w:right w:val="single" w:color="auto" w:sz="4" w:space="0"/>
            </w:tcBorders>
            <w:noWrap w:val="0"/>
            <w:vAlign w:val="center"/>
          </w:tcPr>
          <w:p w14:paraId="18090CB4">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100" w:type="dxa"/>
            <w:tcBorders>
              <w:top w:val="nil"/>
              <w:left w:val="nil"/>
              <w:bottom w:val="single" w:color="auto" w:sz="4" w:space="0"/>
              <w:right w:val="single" w:color="auto" w:sz="4" w:space="0"/>
            </w:tcBorders>
            <w:noWrap w:val="0"/>
            <w:vAlign w:val="center"/>
          </w:tcPr>
          <w:p w14:paraId="064B9C47">
            <w:pPr>
              <w:widowControl/>
              <w:jc w:val="center"/>
              <w:rPr>
                <w:rFonts w:ascii="宋体" w:hAnsi="宋体" w:cs="宋体"/>
                <w:kern w:val="0"/>
                <w:sz w:val="18"/>
                <w:szCs w:val="18"/>
              </w:rPr>
            </w:pPr>
            <w:r>
              <w:rPr>
                <w:rFonts w:hint="eastAsia" w:ascii="宋体" w:hAnsi="宋体" w:cs="宋体"/>
                <w:kern w:val="0"/>
                <w:sz w:val="18"/>
                <w:szCs w:val="18"/>
              </w:rPr>
              <w:t>16.04</w:t>
            </w:r>
          </w:p>
        </w:tc>
        <w:tc>
          <w:tcPr>
            <w:tcW w:w="1158" w:type="dxa"/>
            <w:tcBorders>
              <w:top w:val="nil"/>
              <w:left w:val="nil"/>
              <w:bottom w:val="single" w:color="auto" w:sz="4" w:space="0"/>
              <w:right w:val="single" w:color="auto" w:sz="4" w:space="0"/>
            </w:tcBorders>
            <w:noWrap w:val="0"/>
            <w:vAlign w:val="center"/>
          </w:tcPr>
          <w:p w14:paraId="122453EA">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47C78E27">
            <w:pPr>
              <w:widowControl/>
              <w:jc w:val="center"/>
              <w:rPr>
                <w:rFonts w:ascii="宋体" w:hAnsi="宋体" w:cs="宋体"/>
                <w:kern w:val="0"/>
                <w:sz w:val="18"/>
                <w:szCs w:val="18"/>
              </w:rPr>
            </w:pPr>
            <w:r>
              <w:rPr>
                <w:rFonts w:hint="eastAsia" w:ascii="宋体" w:hAnsi="宋体" w:cs="宋体"/>
                <w:kern w:val="0"/>
                <w:sz w:val="18"/>
                <w:szCs w:val="18"/>
              </w:rPr>
              <w:t xml:space="preserve">8.54 </w:t>
            </w:r>
          </w:p>
        </w:tc>
      </w:tr>
      <w:tr w14:paraId="16C65F42">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2C50FEF7">
            <w:pPr>
              <w:widowControl/>
              <w:jc w:val="left"/>
              <w:rPr>
                <w:rFonts w:ascii="宋体" w:hAnsi="宋体" w:cs="宋体"/>
                <w:kern w:val="0"/>
                <w:sz w:val="18"/>
                <w:szCs w:val="18"/>
              </w:rPr>
            </w:pPr>
            <w:r>
              <w:rPr>
                <w:rFonts w:hint="eastAsia" w:ascii="宋体" w:hAnsi="宋体" w:cs="宋体"/>
                <w:kern w:val="0"/>
                <w:sz w:val="18"/>
                <w:szCs w:val="18"/>
              </w:rPr>
              <w:t>K26</w:t>
            </w:r>
          </w:p>
        </w:tc>
        <w:tc>
          <w:tcPr>
            <w:tcW w:w="1092" w:type="dxa"/>
            <w:tcBorders>
              <w:top w:val="nil"/>
              <w:left w:val="nil"/>
              <w:bottom w:val="single" w:color="auto" w:sz="4" w:space="0"/>
              <w:right w:val="single" w:color="auto" w:sz="4" w:space="0"/>
            </w:tcBorders>
            <w:noWrap w:val="0"/>
            <w:vAlign w:val="center"/>
          </w:tcPr>
          <w:p w14:paraId="3DEBD0BF">
            <w:pPr>
              <w:widowControl/>
              <w:jc w:val="center"/>
              <w:rPr>
                <w:rFonts w:ascii="宋体" w:hAnsi="宋体" w:cs="宋体"/>
                <w:kern w:val="0"/>
                <w:sz w:val="18"/>
                <w:szCs w:val="18"/>
              </w:rPr>
            </w:pPr>
            <w:r>
              <w:rPr>
                <w:rFonts w:hint="eastAsia" w:ascii="宋体" w:hAnsi="宋体" w:cs="宋体"/>
                <w:kern w:val="0"/>
                <w:sz w:val="18"/>
                <w:szCs w:val="18"/>
              </w:rPr>
              <w:t>68</w:t>
            </w:r>
          </w:p>
        </w:tc>
        <w:tc>
          <w:tcPr>
            <w:tcW w:w="1220" w:type="dxa"/>
            <w:tcBorders>
              <w:top w:val="nil"/>
              <w:left w:val="nil"/>
              <w:bottom w:val="single" w:color="auto" w:sz="4" w:space="0"/>
              <w:right w:val="single" w:color="auto" w:sz="4" w:space="0"/>
            </w:tcBorders>
            <w:noWrap w:val="0"/>
            <w:vAlign w:val="center"/>
          </w:tcPr>
          <w:p w14:paraId="58D6655A">
            <w:pPr>
              <w:widowControl/>
              <w:jc w:val="center"/>
              <w:rPr>
                <w:rFonts w:ascii="宋体" w:hAnsi="宋体" w:cs="宋体"/>
                <w:kern w:val="0"/>
                <w:sz w:val="18"/>
                <w:szCs w:val="18"/>
              </w:rPr>
            </w:pPr>
            <w:r>
              <w:rPr>
                <w:rFonts w:hint="eastAsia" w:ascii="宋体" w:hAnsi="宋体" w:cs="宋体"/>
                <w:kern w:val="0"/>
                <w:sz w:val="18"/>
                <w:szCs w:val="18"/>
              </w:rPr>
              <w:t xml:space="preserve">0.11 </w:t>
            </w:r>
          </w:p>
        </w:tc>
        <w:tc>
          <w:tcPr>
            <w:tcW w:w="1080" w:type="dxa"/>
            <w:tcBorders>
              <w:top w:val="nil"/>
              <w:left w:val="nil"/>
              <w:bottom w:val="single" w:color="auto" w:sz="4" w:space="0"/>
              <w:right w:val="single" w:color="auto" w:sz="4" w:space="0"/>
            </w:tcBorders>
            <w:noWrap w:val="0"/>
            <w:vAlign w:val="center"/>
          </w:tcPr>
          <w:p w14:paraId="2C87E10A">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040" w:type="dxa"/>
            <w:tcBorders>
              <w:top w:val="nil"/>
              <w:left w:val="nil"/>
              <w:bottom w:val="single" w:color="auto" w:sz="4" w:space="0"/>
              <w:right w:val="single" w:color="auto" w:sz="4" w:space="0"/>
            </w:tcBorders>
            <w:noWrap w:val="0"/>
            <w:vAlign w:val="center"/>
          </w:tcPr>
          <w:p w14:paraId="249221AB">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100" w:type="dxa"/>
            <w:tcBorders>
              <w:top w:val="nil"/>
              <w:left w:val="nil"/>
              <w:bottom w:val="single" w:color="auto" w:sz="4" w:space="0"/>
              <w:right w:val="single" w:color="auto" w:sz="4" w:space="0"/>
            </w:tcBorders>
            <w:noWrap w:val="0"/>
            <w:vAlign w:val="center"/>
          </w:tcPr>
          <w:p w14:paraId="11AB1131">
            <w:pPr>
              <w:widowControl/>
              <w:jc w:val="center"/>
              <w:rPr>
                <w:rFonts w:ascii="宋体" w:hAnsi="宋体" w:cs="宋体"/>
                <w:kern w:val="0"/>
                <w:sz w:val="18"/>
                <w:szCs w:val="18"/>
              </w:rPr>
            </w:pPr>
            <w:r>
              <w:rPr>
                <w:rFonts w:hint="eastAsia" w:ascii="宋体" w:hAnsi="宋体" w:cs="宋体"/>
                <w:kern w:val="0"/>
                <w:sz w:val="18"/>
                <w:szCs w:val="18"/>
              </w:rPr>
              <w:t>15.95</w:t>
            </w:r>
          </w:p>
        </w:tc>
        <w:tc>
          <w:tcPr>
            <w:tcW w:w="1158" w:type="dxa"/>
            <w:tcBorders>
              <w:top w:val="nil"/>
              <w:left w:val="nil"/>
              <w:bottom w:val="single" w:color="auto" w:sz="4" w:space="0"/>
              <w:right w:val="single" w:color="auto" w:sz="4" w:space="0"/>
            </w:tcBorders>
            <w:noWrap w:val="0"/>
            <w:vAlign w:val="center"/>
          </w:tcPr>
          <w:p w14:paraId="7F45F1D8">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2E98D0EF">
            <w:pPr>
              <w:widowControl/>
              <w:jc w:val="center"/>
              <w:rPr>
                <w:rFonts w:ascii="宋体" w:hAnsi="宋体" w:cs="宋体"/>
                <w:kern w:val="0"/>
                <w:sz w:val="18"/>
                <w:szCs w:val="18"/>
              </w:rPr>
            </w:pPr>
            <w:r>
              <w:rPr>
                <w:rFonts w:hint="eastAsia" w:ascii="宋体" w:hAnsi="宋体" w:cs="宋体"/>
                <w:kern w:val="0"/>
                <w:sz w:val="18"/>
                <w:szCs w:val="18"/>
              </w:rPr>
              <w:t xml:space="preserve">1.62 </w:t>
            </w:r>
          </w:p>
        </w:tc>
      </w:tr>
      <w:tr w14:paraId="71E3111D">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3247FD26">
            <w:pPr>
              <w:widowControl/>
              <w:jc w:val="left"/>
              <w:rPr>
                <w:rFonts w:ascii="宋体" w:hAnsi="宋体" w:cs="宋体"/>
                <w:kern w:val="0"/>
                <w:sz w:val="18"/>
                <w:szCs w:val="18"/>
              </w:rPr>
            </w:pPr>
            <w:r>
              <w:rPr>
                <w:rFonts w:hint="eastAsia" w:ascii="宋体" w:hAnsi="宋体" w:cs="宋体"/>
                <w:kern w:val="0"/>
                <w:sz w:val="18"/>
                <w:szCs w:val="18"/>
              </w:rPr>
              <w:t>K35-b</w:t>
            </w:r>
          </w:p>
        </w:tc>
        <w:tc>
          <w:tcPr>
            <w:tcW w:w="1092" w:type="dxa"/>
            <w:tcBorders>
              <w:top w:val="nil"/>
              <w:left w:val="nil"/>
              <w:bottom w:val="single" w:color="auto" w:sz="4" w:space="0"/>
              <w:right w:val="single" w:color="auto" w:sz="4" w:space="0"/>
            </w:tcBorders>
            <w:noWrap w:val="0"/>
            <w:vAlign w:val="center"/>
          </w:tcPr>
          <w:p w14:paraId="42757B3F">
            <w:pPr>
              <w:widowControl/>
              <w:jc w:val="center"/>
              <w:rPr>
                <w:rFonts w:ascii="宋体" w:hAnsi="宋体" w:cs="宋体"/>
                <w:kern w:val="0"/>
                <w:sz w:val="18"/>
                <w:szCs w:val="18"/>
              </w:rPr>
            </w:pPr>
            <w:r>
              <w:rPr>
                <w:rFonts w:hint="eastAsia" w:ascii="宋体" w:hAnsi="宋体" w:cs="宋体"/>
                <w:kern w:val="0"/>
                <w:sz w:val="18"/>
                <w:szCs w:val="18"/>
              </w:rPr>
              <w:t>88</w:t>
            </w:r>
          </w:p>
        </w:tc>
        <w:tc>
          <w:tcPr>
            <w:tcW w:w="1220" w:type="dxa"/>
            <w:tcBorders>
              <w:top w:val="nil"/>
              <w:left w:val="nil"/>
              <w:bottom w:val="single" w:color="auto" w:sz="4" w:space="0"/>
              <w:right w:val="single" w:color="auto" w:sz="4" w:space="0"/>
            </w:tcBorders>
            <w:noWrap w:val="0"/>
            <w:vAlign w:val="center"/>
          </w:tcPr>
          <w:p w14:paraId="48A7358D">
            <w:pPr>
              <w:widowControl/>
              <w:jc w:val="center"/>
              <w:rPr>
                <w:rFonts w:ascii="宋体" w:hAnsi="宋体" w:cs="宋体"/>
                <w:kern w:val="0"/>
                <w:sz w:val="18"/>
                <w:szCs w:val="18"/>
              </w:rPr>
            </w:pPr>
            <w:r>
              <w:rPr>
                <w:rFonts w:hint="eastAsia" w:ascii="宋体" w:hAnsi="宋体" w:cs="宋体"/>
                <w:kern w:val="0"/>
                <w:sz w:val="18"/>
                <w:szCs w:val="18"/>
              </w:rPr>
              <w:t xml:space="preserve">0.08 </w:t>
            </w:r>
          </w:p>
        </w:tc>
        <w:tc>
          <w:tcPr>
            <w:tcW w:w="1080" w:type="dxa"/>
            <w:tcBorders>
              <w:top w:val="nil"/>
              <w:left w:val="nil"/>
              <w:bottom w:val="single" w:color="auto" w:sz="4" w:space="0"/>
              <w:right w:val="single" w:color="auto" w:sz="4" w:space="0"/>
            </w:tcBorders>
            <w:noWrap w:val="0"/>
            <w:vAlign w:val="center"/>
          </w:tcPr>
          <w:p w14:paraId="7B847A02">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1040" w:type="dxa"/>
            <w:tcBorders>
              <w:top w:val="nil"/>
              <w:left w:val="nil"/>
              <w:bottom w:val="single" w:color="auto" w:sz="4" w:space="0"/>
              <w:right w:val="single" w:color="auto" w:sz="4" w:space="0"/>
            </w:tcBorders>
            <w:noWrap w:val="0"/>
            <w:vAlign w:val="center"/>
          </w:tcPr>
          <w:p w14:paraId="14F06471">
            <w:pPr>
              <w:widowControl/>
              <w:jc w:val="center"/>
              <w:rPr>
                <w:rFonts w:ascii="宋体" w:hAnsi="宋体" w:cs="宋体"/>
                <w:kern w:val="0"/>
                <w:sz w:val="18"/>
                <w:szCs w:val="18"/>
              </w:rPr>
            </w:pPr>
            <w:r>
              <w:rPr>
                <w:rFonts w:hint="eastAsia" w:ascii="宋体" w:hAnsi="宋体" w:cs="宋体"/>
                <w:kern w:val="0"/>
                <w:sz w:val="18"/>
                <w:szCs w:val="18"/>
              </w:rPr>
              <w:t xml:space="preserve">1.17 </w:t>
            </w:r>
          </w:p>
        </w:tc>
        <w:tc>
          <w:tcPr>
            <w:tcW w:w="1100" w:type="dxa"/>
            <w:tcBorders>
              <w:top w:val="nil"/>
              <w:left w:val="nil"/>
              <w:bottom w:val="single" w:color="auto" w:sz="4" w:space="0"/>
              <w:right w:val="single" w:color="auto" w:sz="4" w:space="0"/>
            </w:tcBorders>
            <w:noWrap w:val="0"/>
            <w:vAlign w:val="center"/>
          </w:tcPr>
          <w:p w14:paraId="1B81661B">
            <w:pPr>
              <w:widowControl/>
              <w:jc w:val="center"/>
              <w:rPr>
                <w:rFonts w:ascii="宋体" w:hAnsi="宋体" w:cs="宋体"/>
                <w:kern w:val="0"/>
                <w:sz w:val="18"/>
                <w:szCs w:val="18"/>
              </w:rPr>
            </w:pPr>
            <w:r>
              <w:rPr>
                <w:rFonts w:hint="eastAsia" w:ascii="宋体" w:hAnsi="宋体" w:cs="宋体"/>
                <w:kern w:val="0"/>
                <w:sz w:val="18"/>
                <w:szCs w:val="18"/>
              </w:rPr>
              <w:t>14.92</w:t>
            </w:r>
          </w:p>
        </w:tc>
        <w:tc>
          <w:tcPr>
            <w:tcW w:w="1158" w:type="dxa"/>
            <w:tcBorders>
              <w:top w:val="nil"/>
              <w:left w:val="nil"/>
              <w:bottom w:val="single" w:color="auto" w:sz="4" w:space="0"/>
              <w:right w:val="single" w:color="auto" w:sz="4" w:space="0"/>
            </w:tcBorders>
            <w:noWrap w:val="0"/>
            <w:vAlign w:val="center"/>
          </w:tcPr>
          <w:p w14:paraId="1D216835">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7EDA1661">
            <w:pPr>
              <w:widowControl/>
              <w:jc w:val="center"/>
              <w:rPr>
                <w:rFonts w:ascii="宋体" w:hAnsi="宋体" w:cs="宋体"/>
                <w:kern w:val="0"/>
                <w:sz w:val="18"/>
                <w:szCs w:val="18"/>
              </w:rPr>
            </w:pPr>
            <w:r>
              <w:rPr>
                <w:rFonts w:hint="eastAsia" w:ascii="宋体" w:hAnsi="宋体" w:cs="宋体"/>
                <w:kern w:val="0"/>
                <w:sz w:val="18"/>
                <w:szCs w:val="18"/>
              </w:rPr>
              <w:t xml:space="preserve">0.49 </w:t>
            </w:r>
          </w:p>
        </w:tc>
      </w:tr>
      <w:tr w14:paraId="2E1F2972">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08BCFFEF">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90" w:type="dxa"/>
            <w:gridSpan w:val="6"/>
            <w:tcBorders>
              <w:top w:val="single" w:color="auto" w:sz="4" w:space="0"/>
              <w:left w:val="nil"/>
              <w:bottom w:val="single" w:color="auto" w:sz="4" w:space="0"/>
              <w:right w:val="single" w:color="auto" w:sz="4" w:space="0"/>
            </w:tcBorders>
            <w:noWrap w:val="0"/>
            <w:vAlign w:val="center"/>
          </w:tcPr>
          <w:p w14:paraId="44EE1F75">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762DAA08">
            <w:pPr>
              <w:widowControl/>
              <w:jc w:val="center"/>
              <w:rPr>
                <w:rFonts w:ascii="宋体" w:hAnsi="宋体" w:cs="宋体"/>
                <w:kern w:val="0"/>
                <w:sz w:val="18"/>
                <w:szCs w:val="18"/>
              </w:rPr>
            </w:pPr>
            <w:r>
              <w:rPr>
                <w:rFonts w:hint="eastAsia" w:ascii="宋体" w:hAnsi="宋体" w:cs="宋体"/>
                <w:kern w:val="0"/>
                <w:sz w:val="18"/>
                <w:szCs w:val="18"/>
              </w:rPr>
              <w:t xml:space="preserve">0.19 </w:t>
            </w:r>
          </w:p>
        </w:tc>
      </w:tr>
      <w:tr w14:paraId="79675B8B">
        <w:tblPrEx>
          <w:tblCellMar>
            <w:top w:w="0" w:type="dxa"/>
            <w:left w:w="108" w:type="dxa"/>
            <w:bottom w:w="0" w:type="dxa"/>
            <w:right w:w="108" w:type="dxa"/>
          </w:tblCellMar>
        </w:tblPrEx>
        <w:trPr>
          <w:wBefore w:w="0" w:type="dxa"/>
          <w:wAfter w:w="0" w:type="dxa"/>
          <w:trHeight w:val="255" w:hRule="atLeast"/>
          <w:jc w:val="center"/>
        </w:trPr>
        <w:tc>
          <w:tcPr>
            <w:tcW w:w="960" w:type="dxa"/>
            <w:tcBorders>
              <w:top w:val="nil"/>
              <w:left w:val="single" w:color="auto" w:sz="4" w:space="0"/>
              <w:bottom w:val="single" w:color="auto" w:sz="4" w:space="0"/>
              <w:right w:val="single" w:color="auto" w:sz="4" w:space="0"/>
            </w:tcBorders>
            <w:noWrap w:val="0"/>
            <w:vAlign w:val="center"/>
          </w:tcPr>
          <w:p w14:paraId="03DF4F3C">
            <w:pPr>
              <w:widowControl/>
              <w:jc w:val="center"/>
              <w:rPr>
                <w:rFonts w:ascii="宋体" w:hAnsi="宋体" w:cs="宋体"/>
                <w:kern w:val="0"/>
                <w:sz w:val="18"/>
                <w:szCs w:val="18"/>
              </w:rPr>
            </w:pPr>
            <w:r>
              <w:rPr>
                <w:rFonts w:hint="eastAsia" w:ascii="宋体" w:hAnsi="宋体" w:cs="宋体"/>
                <w:kern w:val="0"/>
                <w:sz w:val="18"/>
                <w:szCs w:val="18"/>
              </w:rPr>
              <w:t>合  计</w:t>
            </w:r>
          </w:p>
        </w:tc>
        <w:tc>
          <w:tcPr>
            <w:tcW w:w="6690" w:type="dxa"/>
            <w:gridSpan w:val="6"/>
            <w:tcBorders>
              <w:top w:val="single" w:color="auto" w:sz="4" w:space="0"/>
              <w:left w:val="nil"/>
              <w:bottom w:val="single" w:color="auto" w:sz="4" w:space="0"/>
              <w:right w:val="single" w:color="auto" w:sz="4" w:space="0"/>
            </w:tcBorders>
            <w:noWrap w:val="0"/>
            <w:vAlign w:val="center"/>
          </w:tcPr>
          <w:p w14:paraId="726742AC">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50079CF0">
            <w:pPr>
              <w:widowControl/>
              <w:jc w:val="center"/>
              <w:rPr>
                <w:rFonts w:ascii="宋体" w:hAnsi="宋体" w:cs="宋体"/>
                <w:kern w:val="0"/>
                <w:sz w:val="18"/>
                <w:szCs w:val="18"/>
              </w:rPr>
            </w:pPr>
            <w:r>
              <w:rPr>
                <w:rFonts w:hint="eastAsia" w:ascii="宋体" w:hAnsi="宋体" w:cs="宋体"/>
                <w:kern w:val="0"/>
                <w:sz w:val="18"/>
                <w:szCs w:val="18"/>
              </w:rPr>
              <w:t xml:space="preserve">19.98 </w:t>
            </w:r>
          </w:p>
        </w:tc>
      </w:tr>
    </w:tbl>
    <w:p w14:paraId="55E9FBA8">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w:t>
      </w:r>
      <w:r>
        <w:rPr>
          <w:rFonts w:hint="eastAsia" w:ascii="宋体" w:hAnsi="宋体"/>
          <w:sz w:val="24"/>
        </w:rPr>
        <w:t>10</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5469F59C">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＝9.30+19.98＝29.28</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19FDD726">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开采K13</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5518796B">
      <w:pPr>
        <w:spacing w:line="360" w:lineRule="auto"/>
        <w:jc w:val="center"/>
        <w:rPr>
          <w:rFonts w:hint="eastAsia" w:ascii="宋体" w:hAnsi="宋体"/>
          <w:b/>
          <w:color w:val="000000"/>
          <w:kern w:val="24"/>
          <w:sz w:val="24"/>
        </w:rPr>
      </w:pPr>
      <w:r>
        <w:rPr>
          <w:rFonts w:hint="eastAsia" w:ascii="宋体" w:hAnsi="宋体"/>
          <w:b/>
          <w:color w:val="000000"/>
          <w:kern w:val="24"/>
          <w:sz w:val="24"/>
        </w:rPr>
        <w:t>K13</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92"/>
        <w:gridCol w:w="1220"/>
        <w:gridCol w:w="1008"/>
        <w:gridCol w:w="1040"/>
        <w:gridCol w:w="1088"/>
        <w:gridCol w:w="1184"/>
        <w:gridCol w:w="1440"/>
      </w:tblGrid>
      <w:tr w14:paraId="02E905BF">
        <w:tblPrEx>
          <w:tblCellMar>
            <w:top w:w="0" w:type="dxa"/>
            <w:left w:w="108" w:type="dxa"/>
            <w:bottom w:w="0" w:type="dxa"/>
            <w:right w:w="108" w:type="dxa"/>
          </w:tblCellMar>
        </w:tblPrEx>
        <w:trPr>
          <w:wBefore w:w="0" w:type="dxa"/>
          <w:wAfter w:w="0" w:type="dxa"/>
          <w:trHeight w:val="312"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26A145F6">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92" w:type="dxa"/>
            <w:tcBorders>
              <w:top w:val="single" w:color="auto" w:sz="4" w:space="0"/>
              <w:left w:val="nil"/>
              <w:bottom w:val="single" w:color="auto" w:sz="4" w:space="0"/>
              <w:right w:val="single" w:color="auto" w:sz="4" w:space="0"/>
            </w:tcBorders>
            <w:noWrap w:val="0"/>
            <w:vAlign w:val="center"/>
          </w:tcPr>
          <w:p w14:paraId="31EB2DD1">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4ADCBF3A">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08" w:type="dxa"/>
            <w:tcBorders>
              <w:top w:val="single" w:color="auto" w:sz="4" w:space="0"/>
              <w:left w:val="nil"/>
              <w:bottom w:val="single" w:color="auto" w:sz="4" w:space="0"/>
              <w:right w:val="single" w:color="auto" w:sz="4" w:space="0"/>
            </w:tcBorders>
            <w:noWrap w:val="0"/>
            <w:vAlign w:val="center"/>
          </w:tcPr>
          <w:p w14:paraId="57F19DE2">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264D6720">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088" w:type="dxa"/>
            <w:tcBorders>
              <w:top w:val="single" w:color="auto" w:sz="4" w:space="0"/>
              <w:left w:val="nil"/>
              <w:bottom w:val="single" w:color="auto" w:sz="4" w:space="0"/>
              <w:right w:val="single" w:color="auto" w:sz="4" w:space="0"/>
            </w:tcBorders>
            <w:noWrap w:val="0"/>
            <w:vAlign w:val="center"/>
          </w:tcPr>
          <w:p w14:paraId="1079B26E">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84" w:type="dxa"/>
            <w:tcBorders>
              <w:top w:val="single" w:color="auto" w:sz="4" w:space="0"/>
              <w:left w:val="nil"/>
              <w:bottom w:val="single" w:color="auto" w:sz="4" w:space="0"/>
              <w:right w:val="single" w:color="auto" w:sz="4" w:space="0"/>
            </w:tcBorders>
            <w:noWrap w:val="0"/>
            <w:vAlign w:val="center"/>
          </w:tcPr>
          <w:p w14:paraId="3C0F7594">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0270148E">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4DBE6E65">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6E321CC6">
            <w:pPr>
              <w:widowControl/>
              <w:jc w:val="left"/>
              <w:rPr>
                <w:rFonts w:ascii="宋体" w:hAnsi="宋体" w:cs="宋体"/>
                <w:kern w:val="0"/>
                <w:sz w:val="18"/>
                <w:szCs w:val="18"/>
              </w:rPr>
            </w:pPr>
            <w:r>
              <w:rPr>
                <w:rFonts w:hint="eastAsia" w:ascii="宋体" w:hAnsi="宋体" w:cs="宋体"/>
                <w:kern w:val="0"/>
                <w:sz w:val="18"/>
                <w:szCs w:val="18"/>
              </w:rPr>
              <w:t>K18</w:t>
            </w:r>
          </w:p>
        </w:tc>
        <w:tc>
          <w:tcPr>
            <w:tcW w:w="1092" w:type="dxa"/>
            <w:tcBorders>
              <w:top w:val="nil"/>
              <w:left w:val="nil"/>
              <w:bottom w:val="single" w:color="auto" w:sz="4" w:space="0"/>
              <w:right w:val="single" w:color="auto" w:sz="4" w:space="0"/>
            </w:tcBorders>
            <w:noWrap w:val="0"/>
            <w:vAlign w:val="center"/>
          </w:tcPr>
          <w:p w14:paraId="6C387FF8">
            <w:pPr>
              <w:widowControl/>
              <w:jc w:val="center"/>
              <w:rPr>
                <w:rFonts w:ascii="宋体" w:hAnsi="宋体" w:cs="宋体"/>
                <w:kern w:val="0"/>
                <w:sz w:val="18"/>
                <w:szCs w:val="18"/>
              </w:rPr>
            </w:pPr>
            <w:r>
              <w:rPr>
                <w:rFonts w:hint="eastAsia" w:ascii="宋体" w:hAnsi="宋体" w:cs="宋体"/>
                <w:kern w:val="0"/>
                <w:sz w:val="18"/>
                <w:szCs w:val="18"/>
              </w:rPr>
              <w:t>30</w:t>
            </w:r>
          </w:p>
        </w:tc>
        <w:tc>
          <w:tcPr>
            <w:tcW w:w="1220" w:type="dxa"/>
            <w:tcBorders>
              <w:top w:val="nil"/>
              <w:left w:val="nil"/>
              <w:bottom w:val="single" w:color="auto" w:sz="4" w:space="0"/>
              <w:right w:val="single" w:color="auto" w:sz="4" w:space="0"/>
            </w:tcBorders>
            <w:noWrap w:val="0"/>
            <w:vAlign w:val="center"/>
          </w:tcPr>
          <w:p w14:paraId="5EBCB446">
            <w:pPr>
              <w:widowControl/>
              <w:jc w:val="center"/>
              <w:rPr>
                <w:rFonts w:ascii="宋体" w:hAnsi="宋体" w:cs="宋体"/>
                <w:kern w:val="0"/>
                <w:sz w:val="18"/>
                <w:szCs w:val="18"/>
              </w:rPr>
            </w:pPr>
            <w:r>
              <w:rPr>
                <w:rFonts w:hint="eastAsia" w:ascii="宋体" w:hAnsi="宋体" w:cs="宋体"/>
                <w:kern w:val="0"/>
                <w:sz w:val="18"/>
                <w:szCs w:val="18"/>
              </w:rPr>
              <w:t xml:space="preserve">0.37 </w:t>
            </w:r>
          </w:p>
        </w:tc>
        <w:tc>
          <w:tcPr>
            <w:tcW w:w="1008" w:type="dxa"/>
            <w:tcBorders>
              <w:top w:val="nil"/>
              <w:left w:val="nil"/>
              <w:bottom w:val="single" w:color="auto" w:sz="4" w:space="0"/>
              <w:right w:val="single" w:color="auto" w:sz="4" w:space="0"/>
            </w:tcBorders>
            <w:noWrap w:val="0"/>
            <w:vAlign w:val="center"/>
          </w:tcPr>
          <w:p w14:paraId="5535ADFE">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040" w:type="dxa"/>
            <w:tcBorders>
              <w:top w:val="nil"/>
              <w:left w:val="nil"/>
              <w:bottom w:val="single" w:color="auto" w:sz="4" w:space="0"/>
              <w:right w:val="single" w:color="auto" w:sz="4" w:space="0"/>
            </w:tcBorders>
            <w:noWrap w:val="0"/>
            <w:vAlign w:val="center"/>
          </w:tcPr>
          <w:p w14:paraId="1F3019CF">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88" w:type="dxa"/>
            <w:tcBorders>
              <w:top w:val="nil"/>
              <w:left w:val="nil"/>
              <w:bottom w:val="single" w:color="auto" w:sz="4" w:space="0"/>
              <w:right w:val="single" w:color="auto" w:sz="4" w:space="0"/>
            </w:tcBorders>
            <w:noWrap w:val="0"/>
            <w:vAlign w:val="center"/>
          </w:tcPr>
          <w:p w14:paraId="073E2EEF">
            <w:pPr>
              <w:widowControl/>
              <w:jc w:val="center"/>
              <w:rPr>
                <w:rFonts w:ascii="宋体" w:hAnsi="宋体" w:cs="宋体"/>
                <w:kern w:val="0"/>
                <w:sz w:val="18"/>
                <w:szCs w:val="18"/>
              </w:rPr>
            </w:pPr>
            <w:r>
              <w:rPr>
                <w:rFonts w:hint="eastAsia" w:ascii="宋体" w:hAnsi="宋体" w:cs="宋体"/>
                <w:kern w:val="0"/>
                <w:sz w:val="18"/>
                <w:szCs w:val="18"/>
              </w:rPr>
              <w:t>16.04</w:t>
            </w:r>
          </w:p>
        </w:tc>
        <w:tc>
          <w:tcPr>
            <w:tcW w:w="1184" w:type="dxa"/>
            <w:tcBorders>
              <w:top w:val="nil"/>
              <w:left w:val="nil"/>
              <w:bottom w:val="single" w:color="auto" w:sz="4" w:space="0"/>
              <w:right w:val="single" w:color="auto" w:sz="4" w:space="0"/>
            </w:tcBorders>
            <w:noWrap w:val="0"/>
            <w:vAlign w:val="center"/>
          </w:tcPr>
          <w:p w14:paraId="51F75BAE">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7CD1DF70">
            <w:pPr>
              <w:widowControl/>
              <w:jc w:val="center"/>
              <w:rPr>
                <w:rFonts w:ascii="宋体" w:hAnsi="宋体" w:cs="宋体"/>
                <w:kern w:val="0"/>
                <w:sz w:val="18"/>
                <w:szCs w:val="18"/>
              </w:rPr>
            </w:pPr>
            <w:r>
              <w:rPr>
                <w:rFonts w:hint="eastAsia" w:ascii="宋体" w:hAnsi="宋体" w:cs="宋体"/>
                <w:kern w:val="0"/>
                <w:sz w:val="18"/>
                <w:szCs w:val="18"/>
              </w:rPr>
              <w:t xml:space="preserve">7.54 </w:t>
            </w:r>
          </w:p>
        </w:tc>
      </w:tr>
      <w:tr w14:paraId="2A76665D">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488DBA97">
            <w:pPr>
              <w:widowControl/>
              <w:jc w:val="left"/>
              <w:rPr>
                <w:rFonts w:ascii="宋体" w:hAnsi="宋体" w:cs="宋体"/>
                <w:kern w:val="0"/>
                <w:sz w:val="18"/>
                <w:szCs w:val="18"/>
              </w:rPr>
            </w:pPr>
            <w:r>
              <w:rPr>
                <w:rFonts w:hint="eastAsia" w:ascii="宋体" w:hAnsi="宋体" w:cs="宋体"/>
                <w:kern w:val="0"/>
                <w:sz w:val="18"/>
                <w:szCs w:val="18"/>
              </w:rPr>
              <w:t>K26</w:t>
            </w:r>
          </w:p>
        </w:tc>
        <w:tc>
          <w:tcPr>
            <w:tcW w:w="1092" w:type="dxa"/>
            <w:tcBorders>
              <w:top w:val="nil"/>
              <w:left w:val="nil"/>
              <w:bottom w:val="single" w:color="auto" w:sz="4" w:space="0"/>
              <w:right w:val="single" w:color="auto" w:sz="4" w:space="0"/>
            </w:tcBorders>
            <w:noWrap w:val="0"/>
            <w:vAlign w:val="center"/>
          </w:tcPr>
          <w:p w14:paraId="27C723F3">
            <w:pPr>
              <w:widowControl/>
              <w:jc w:val="center"/>
              <w:rPr>
                <w:rFonts w:ascii="宋体" w:hAnsi="宋体" w:cs="宋体"/>
                <w:kern w:val="0"/>
                <w:sz w:val="18"/>
                <w:szCs w:val="18"/>
              </w:rPr>
            </w:pPr>
            <w:r>
              <w:rPr>
                <w:rFonts w:hint="eastAsia" w:ascii="宋体" w:hAnsi="宋体" w:cs="宋体"/>
                <w:kern w:val="0"/>
                <w:sz w:val="18"/>
                <w:szCs w:val="18"/>
              </w:rPr>
              <w:t>58</w:t>
            </w:r>
          </w:p>
        </w:tc>
        <w:tc>
          <w:tcPr>
            <w:tcW w:w="1220" w:type="dxa"/>
            <w:tcBorders>
              <w:top w:val="nil"/>
              <w:left w:val="nil"/>
              <w:bottom w:val="single" w:color="auto" w:sz="4" w:space="0"/>
              <w:right w:val="single" w:color="auto" w:sz="4" w:space="0"/>
            </w:tcBorders>
            <w:noWrap w:val="0"/>
            <w:vAlign w:val="center"/>
          </w:tcPr>
          <w:p w14:paraId="77026E56">
            <w:pPr>
              <w:widowControl/>
              <w:jc w:val="center"/>
              <w:rPr>
                <w:rFonts w:ascii="宋体" w:hAnsi="宋体" w:cs="宋体"/>
                <w:kern w:val="0"/>
                <w:sz w:val="18"/>
                <w:szCs w:val="18"/>
              </w:rPr>
            </w:pPr>
            <w:r>
              <w:rPr>
                <w:rFonts w:hint="eastAsia" w:ascii="宋体" w:hAnsi="宋体" w:cs="宋体"/>
                <w:kern w:val="0"/>
                <w:sz w:val="18"/>
                <w:szCs w:val="18"/>
              </w:rPr>
              <w:t xml:space="preserve">0.13 </w:t>
            </w:r>
          </w:p>
        </w:tc>
        <w:tc>
          <w:tcPr>
            <w:tcW w:w="1008" w:type="dxa"/>
            <w:tcBorders>
              <w:top w:val="nil"/>
              <w:left w:val="nil"/>
              <w:bottom w:val="single" w:color="auto" w:sz="4" w:space="0"/>
              <w:right w:val="single" w:color="auto" w:sz="4" w:space="0"/>
            </w:tcBorders>
            <w:noWrap w:val="0"/>
            <w:vAlign w:val="center"/>
          </w:tcPr>
          <w:p w14:paraId="6823E8DF">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040" w:type="dxa"/>
            <w:tcBorders>
              <w:top w:val="nil"/>
              <w:left w:val="nil"/>
              <w:bottom w:val="single" w:color="auto" w:sz="4" w:space="0"/>
              <w:right w:val="single" w:color="auto" w:sz="4" w:space="0"/>
            </w:tcBorders>
            <w:noWrap w:val="0"/>
            <w:vAlign w:val="center"/>
          </w:tcPr>
          <w:p w14:paraId="6DDFCBA8">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88" w:type="dxa"/>
            <w:tcBorders>
              <w:top w:val="nil"/>
              <w:left w:val="nil"/>
              <w:bottom w:val="single" w:color="auto" w:sz="4" w:space="0"/>
              <w:right w:val="single" w:color="auto" w:sz="4" w:space="0"/>
            </w:tcBorders>
            <w:noWrap w:val="0"/>
            <w:vAlign w:val="center"/>
          </w:tcPr>
          <w:p w14:paraId="44F7457A">
            <w:pPr>
              <w:widowControl/>
              <w:jc w:val="center"/>
              <w:rPr>
                <w:rFonts w:ascii="宋体" w:hAnsi="宋体" w:cs="宋体"/>
                <w:kern w:val="0"/>
                <w:sz w:val="18"/>
                <w:szCs w:val="18"/>
              </w:rPr>
            </w:pPr>
            <w:r>
              <w:rPr>
                <w:rFonts w:hint="eastAsia" w:ascii="宋体" w:hAnsi="宋体" w:cs="宋体"/>
                <w:kern w:val="0"/>
                <w:sz w:val="18"/>
                <w:szCs w:val="18"/>
              </w:rPr>
              <w:t>15.95</w:t>
            </w:r>
          </w:p>
        </w:tc>
        <w:tc>
          <w:tcPr>
            <w:tcW w:w="1184" w:type="dxa"/>
            <w:tcBorders>
              <w:top w:val="nil"/>
              <w:left w:val="nil"/>
              <w:bottom w:val="single" w:color="auto" w:sz="4" w:space="0"/>
              <w:right w:val="single" w:color="auto" w:sz="4" w:space="0"/>
            </w:tcBorders>
            <w:noWrap w:val="0"/>
            <w:vAlign w:val="center"/>
          </w:tcPr>
          <w:p w14:paraId="010720A8">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58A89484">
            <w:pPr>
              <w:widowControl/>
              <w:jc w:val="center"/>
              <w:rPr>
                <w:rFonts w:ascii="宋体" w:hAnsi="宋体" w:cs="宋体"/>
                <w:kern w:val="0"/>
                <w:sz w:val="18"/>
                <w:szCs w:val="18"/>
              </w:rPr>
            </w:pPr>
            <w:r>
              <w:rPr>
                <w:rFonts w:hint="eastAsia" w:ascii="宋体" w:hAnsi="宋体" w:cs="宋体"/>
                <w:kern w:val="0"/>
                <w:sz w:val="18"/>
                <w:szCs w:val="18"/>
              </w:rPr>
              <w:t xml:space="preserve">1.32 </w:t>
            </w:r>
          </w:p>
        </w:tc>
      </w:tr>
      <w:tr w14:paraId="3656CE7B">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5A058D62">
            <w:pPr>
              <w:widowControl/>
              <w:jc w:val="left"/>
              <w:rPr>
                <w:rFonts w:ascii="宋体" w:hAnsi="宋体" w:cs="宋体"/>
                <w:kern w:val="0"/>
                <w:sz w:val="18"/>
                <w:szCs w:val="18"/>
              </w:rPr>
            </w:pPr>
            <w:r>
              <w:rPr>
                <w:rFonts w:hint="eastAsia" w:ascii="宋体" w:hAnsi="宋体" w:cs="宋体"/>
                <w:kern w:val="0"/>
                <w:sz w:val="18"/>
                <w:szCs w:val="18"/>
              </w:rPr>
              <w:t>K35-b</w:t>
            </w:r>
          </w:p>
        </w:tc>
        <w:tc>
          <w:tcPr>
            <w:tcW w:w="1092" w:type="dxa"/>
            <w:tcBorders>
              <w:top w:val="nil"/>
              <w:left w:val="nil"/>
              <w:bottom w:val="single" w:color="auto" w:sz="4" w:space="0"/>
              <w:right w:val="single" w:color="auto" w:sz="4" w:space="0"/>
            </w:tcBorders>
            <w:noWrap w:val="0"/>
            <w:vAlign w:val="center"/>
          </w:tcPr>
          <w:p w14:paraId="112F161E">
            <w:pPr>
              <w:widowControl/>
              <w:jc w:val="center"/>
              <w:rPr>
                <w:rFonts w:ascii="宋体" w:hAnsi="宋体" w:cs="宋体"/>
                <w:kern w:val="0"/>
                <w:sz w:val="18"/>
                <w:szCs w:val="18"/>
              </w:rPr>
            </w:pPr>
            <w:r>
              <w:rPr>
                <w:rFonts w:hint="eastAsia" w:ascii="宋体" w:hAnsi="宋体" w:cs="宋体"/>
                <w:kern w:val="0"/>
                <w:sz w:val="18"/>
                <w:szCs w:val="18"/>
              </w:rPr>
              <w:t>78</w:t>
            </w:r>
          </w:p>
        </w:tc>
        <w:tc>
          <w:tcPr>
            <w:tcW w:w="1220" w:type="dxa"/>
            <w:tcBorders>
              <w:top w:val="nil"/>
              <w:left w:val="nil"/>
              <w:bottom w:val="single" w:color="auto" w:sz="4" w:space="0"/>
              <w:right w:val="single" w:color="auto" w:sz="4" w:space="0"/>
            </w:tcBorders>
            <w:noWrap w:val="0"/>
            <w:vAlign w:val="center"/>
          </w:tcPr>
          <w:p w14:paraId="12530836">
            <w:pPr>
              <w:widowControl/>
              <w:jc w:val="center"/>
              <w:rPr>
                <w:rFonts w:ascii="宋体" w:hAnsi="宋体" w:cs="宋体"/>
                <w:kern w:val="0"/>
                <w:sz w:val="18"/>
                <w:szCs w:val="18"/>
              </w:rPr>
            </w:pPr>
            <w:r>
              <w:rPr>
                <w:rFonts w:hint="eastAsia" w:ascii="宋体" w:hAnsi="宋体" w:cs="宋体"/>
                <w:kern w:val="0"/>
                <w:sz w:val="18"/>
                <w:szCs w:val="18"/>
              </w:rPr>
              <w:t xml:space="preserve">0.05 </w:t>
            </w:r>
          </w:p>
        </w:tc>
        <w:tc>
          <w:tcPr>
            <w:tcW w:w="1008" w:type="dxa"/>
            <w:tcBorders>
              <w:top w:val="nil"/>
              <w:left w:val="nil"/>
              <w:bottom w:val="single" w:color="auto" w:sz="4" w:space="0"/>
              <w:right w:val="single" w:color="auto" w:sz="4" w:space="0"/>
            </w:tcBorders>
            <w:noWrap w:val="0"/>
            <w:vAlign w:val="center"/>
          </w:tcPr>
          <w:p w14:paraId="44B18CB9">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1040" w:type="dxa"/>
            <w:tcBorders>
              <w:top w:val="nil"/>
              <w:left w:val="nil"/>
              <w:bottom w:val="single" w:color="auto" w:sz="4" w:space="0"/>
              <w:right w:val="single" w:color="auto" w:sz="4" w:space="0"/>
            </w:tcBorders>
            <w:noWrap w:val="0"/>
            <w:vAlign w:val="center"/>
          </w:tcPr>
          <w:p w14:paraId="18F0B569">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88" w:type="dxa"/>
            <w:tcBorders>
              <w:top w:val="nil"/>
              <w:left w:val="nil"/>
              <w:bottom w:val="single" w:color="auto" w:sz="4" w:space="0"/>
              <w:right w:val="single" w:color="auto" w:sz="4" w:space="0"/>
            </w:tcBorders>
            <w:noWrap w:val="0"/>
            <w:vAlign w:val="center"/>
          </w:tcPr>
          <w:p w14:paraId="0E871385">
            <w:pPr>
              <w:widowControl/>
              <w:jc w:val="center"/>
              <w:rPr>
                <w:rFonts w:ascii="宋体" w:hAnsi="宋体" w:cs="宋体"/>
                <w:kern w:val="0"/>
                <w:sz w:val="18"/>
                <w:szCs w:val="18"/>
              </w:rPr>
            </w:pPr>
            <w:r>
              <w:rPr>
                <w:rFonts w:hint="eastAsia" w:ascii="宋体" w:hAnsi="宋体" w:cs="宋体"/>
                <w:kern w:val="0"/>
                <w:sz w:val="18"/>
                <w:szCs w:val="18"/>
              </w:rPr>
              <w:t>14.92</w:t>
            </w:r>
          </w:p>
        </w:tc>
        <w:tc>
          <w:tcPr>
            <w:tcW w:w="1184" w:type="dxa"/>
            <w:tcBorders>
              <w:top w:val="nil"/>
              <w:left w:val="nil"/>
              <w:bottom w:val="single" w:color="auto" w:sz="4" w:space="0"/>
              <w:right w:val="single" w:color="auto" w:sz="4" w:space="0"/>
            </w:tcBorders>
            <w:noWrap w:val="0"/>
            <w:vAlign w:val="center"/>
          </w:tcPr>
          <w:p w14:paraId="4F3FB278">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37CC7D86">
            <w:pPr>
              <w:widowControl/>
              <w:jc w:val="center"/>
              <w:rPr>
                <w:rFonts w:ascii="宋体" w:hAnsi="宋体" w:cs="宋体"/>
                <w:kern w:val="0"/>
                <w:sz w:val="18"/>
                <w:szCs w:val="18"/>
              </w:rPr>
            </w:pPr>
            <w:r>
              <w:rPr>
                <w:rFonts w:hint="eastAsia" w:ascii="宋体" w:hAnsi="宋体" w:cs="宋体"/>
                <w:kern w:val="0"/>
                <w:sz w:val="18"/>
                <w:szCs w:val="18"/>
              </w:rPr>
              <w:t xml:space="preserve">0.21 </w:t>
            </w:r>
          </w:p>
        </w:tc>
      </w:tr>
      <w:tr w14:paraId="28FED651">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1DACF189">
            <w:pPr>
              <w:widowControl/>
              <w:jc w:val="left"/>
              <w:rPr>
                <w:rFonts w:ascii="宋体" w:hAnsi="宋体" w:cs="宋体"/>
                <w:kern w:val="0"/>
                <w:sz w:val="18"/>
                <w:szCs w:val="18"/>
              </w:rPr>
            </w:pPr>
            <w:r>
              <w:rPr>
                <w:rFonts w:hint="eastAsia" w:ascii="宋体" w:hAnsi="宋体" w:cs="宋体"/>
                <w:kern w:val="0"/>
                <w:sz w:val="18"/>
                <w:szCs w:val="18"/>
              </w:rPr>
              <w:t>K106-b</w:t>
            </w:r>
          </w:p>
        </w:tc>
        <w:tc>
          <w:tcPr>
            <w:tcW w:w="1092" w:type="dxa"/>
            <w:tcBorders>
              <w:top w:val="nil"/>
              <w:left w:val="nil"/>
              <w:bottom w:val="single" w:color="auto" w:sz="4" w:space="0"/>
              <w:right w:val="single" w:color="auto" w:sz="4" w:space="0"/>
            </w:tcBorders>
            <w:noWrap w:val="0"/>
            <w:vAlign w:val="center"/>
          </w:tcPr>
          <w:p w14:paraId="0373CE24">
            <w:pPr>
              <w:widowControl/>
              <w:jc w:val="center"/>
              <w:rPr>
                <w:rFonts w:ascii="宋体" w:hAnsi="宋体" w:cs="宋体"/>
                <w:kern w:val="0"/>
                <w:sz w:val="18"/>
                <w:szCs w:val="18"/>
              </w:rPr>
            </w:pPr>
            <w:r>
              <w:rPr>
                <w:rFonts w:hint="eastAsia" w:ascii="宋体" w:hAnsi="宋体" w:cs="宋体"/>
                <w:kern w:val="0"/>
                <w:sz w:val="18"/>
                <w:szCs w:val="18"/>
              </w:rPr>
              <w:t>323</w:t>
            </w:r>
          </w:p>
        </w:tc>
        <w:tc>
          <w:tcPr>
            <w:tcW w:w="1220" w:type="dxa"/>
            <w:tcBorders>
              <w:top w:val="nil"/>
              <w:left w:val="nil"/>
              <w:bottom w:val="single" w:color="auto" w:sz="4" w:space="0"/>
              <w:right w:val="single" w:color="auto" w:sz="4" w:space="0"/>
            </w:tcBorders>
            <w:noWrap w:val="0"/>
            <w:vAlign w:val="center"/>
          </w:tcPr>
          <w:p w14:paraId="686B4AA2">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008" w:type="dxa"/>
            <w:tcBorders>
              <w:top w:val="nil"/>
              <w:left w:val="nil"/>
              <w:bottom w:val="single" w:color="auto" w:sz="4" w:space="0"/>
              <w:right w:val="single" w:color="auto" w:sz="4" w:space="0"/>
            </w:tcBorders>
            <w:noWrap w:val="0"/>
            <w:vAlign w:val="center"/>
          </w:tcPr>
          <w:p w14:paraId="20F234B1">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1040" w:type="dxa"/>
            <w:tcBorders>
              <w:top w:val="nil"/>
              <w:left w:val="nil"/>
              <w:bottom w:val="single" w:color="auto" w:sz="4" w:space="0"/>
              <w:right w:val="single" w:color="auto" w:sz="4" w:space="0"/>
            </w:tcBorders>
            <w:noWrap w:val="0"/>
            <w:vAlign w:val="center"/>
          </w:tcPr>
          <w:p w14:paraId="7F582403">
            <w:pPr>
              <w:widowControl/>
              <w:jc w:val="center"/>
              <w:rPr>
                <w:rFonts w:ascii="宋体" w:hAnsi="宋体" w:cs="宋体"/>
                <w:kern w:val="0"/>
                <w:sz w:val="18"/>
                <w:szCs w:val="18"/>
              </w:rPr>
            </w:pPr>
            <w:r>
              <w:rPr>
                <w:rFonts w:hint="eastAsia" w:ascii="宋体" w:hAnsi="宋体" w:cs="宋体"/>
                <w:kern w:val="0"/>
                <w:sz w:val="18"/>
                <w:szCs w:val="18"/>
              </w:rPr>
              <w:t xml:space="preserve">1.69 </w:t>
            </w:r>
          </w:p>
        </w:tc>
        <w:tc>
          <w:tcPr>
            <w:tcW w:w="1088" w:type="dxa"/>
            <w:tcBorders>
              <w:top w:val="nil"/>
              <w:left w:val="nil"/>
              <w:bottom w:val="single" w:color="auto" w:sz="4" w:space="0"/>
              <w:right w:val="single" w:color="auto" w:sz="4" w:space="0"/>
            </w:tcBorders>
            <w:noWrap w:val="0"/>
            <w:vAlign w:val="center"/>
          </w:tcPr>
          <w:p w14:paraId="78F8AF84">
            <w:pPr>
              <w:widowControl/>
              <w:jc w:val="center"/>
              <w:rPr>
                <w:rFonts w:ascii="宋体" w:hAnsi="宋体" w:cs="宋体"/>
                <w:kern w:val="0"/>
                <w:sz w:val="18"/>
                <w:szCs w:val="18"/>
              </w:rPr>
            </w:pPr>
            <w:r>
              <w:rPr>
                <w:rFonts w:hint="eastAsia" w:ascii="宋体" w:hAnsi="宋体" w:cs="宋体"/>
                <w:kern w:val="0"/>
                <w:sz w:val="18"/>
                <w:szCs w:val="18"/>
              </w:rPr>
              <w:t>15.44</w:t>
            </w:r>
          </w:p>
        </w:tc>
        <w:tc>
          <w:tcPr>
            <w:tcW w:w="1184" w:type="dxa"/>
            <w:tcBorders>
              <w:top w:val="nil"/>
              <w:left w:val="nil"/>
              <w:bottom w:val="single" w:color="auto" w:sz="4" w:space="0"/>
              <w:right w:val="single" w:color="auto" w:sz="4" w:space="0"/>
            </w:tcBorders>
            <w:noWrap w:val="0"/>
            <w:vAlign w:val="center"/>
          </w:tcPr>
          <w:p w14:paraId="63466C95">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29969F0C">
            <w:pPr>
              <w:widowControl/>
              <w:jc w:val="center"/>
              <w:rPr>
                <w:rFonts w:ascii="宋体" w:hAnsi="宋体" w:cs="宋体"/>
                <w:kern w:val="0"/>
                <w:sz w:val="18"/>
                <w:szCs w:val="18"/>
              </w:rPr>
            </w:pPr>
            <w:r>
              <w:rPr>
                <w:rFonts w:hint="eastAsia" w:ascii="宋体" w:hAnsi="宋体" w:cs="宋体"/>
                <w:kern w:val="0"/>
                <w:sz w:val="18"/>
                <w:szCs w:val="18"/>
              </w:rPr>
              <w:t xml:space="preserve">0.00 </w:t>
            </w:r>
          </w:p>
        </w:tc>
      </w:tr>
      <w:tr w14:paraId="2D1B8105">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26EB973D">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32" w:type="dxa"/>
            <w:gridSpan w:val="6"/>
            <w:tcBorders>
              <w:top w:val="single" w:color="auto" w:sz="4" w:space="0"/>
              <w:left w:val="nil"/>
              <w:bottom w:val="single" w:color="auto" w:sz="4" w:space="0"/>
              <w:right w:val="single" w:color="auto" w:sz="4" w:space="0"/>
            </w:tcBorders>
            <w:noWrap w:val="0"/>
            <w:vAlign w:val="center"/>
          </w:tcPr>
          <w:p w14:paraId="094F7421">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47F5144A">
            <w:pPr>
              <w:widowControl/>
              <w:jc w:val="center"/>
              <w:rPr>
                <w:rFonts w:ascii="宋体" w:hAnsi="宋体" w:cs="宋体"/>
                <w:kern w:val="0"/>
                <w:sz w:val="18"/>
                <w:szCs w:val="18"/>
              </w:rPr>
            </w:pPr>
            <w:r>
              <w:rPr>
                <w:rFonts w:hint="eastAsia" w:ascii="宋体" w:hAnsi="宋体" w:cs="宋体"/>
                <w:kern w:val="0"/>
                <w:sz w:val="18"/>
                <w:szCs w:val="18"/>
              </w:rPr>
              <w:t xml:space="preserve">0.21 </w:t>
            </w:r>
          </w:p>
        </w:tc>
      </w:tr>
      <w:tr w14:paraId="27896E12">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4152CF01">
            <w:pPr>
              <w:widowControl/>
              <w:jc w:val="center"/>
              <w:rPr>
                <w:rFonts w:ascii="宋体" w:hAnsi="宋体" w:cs="宋体"/>
                <w:kern w:val="0"/>
                <w:sz w:val="18"/>
                <w:szCs w:val="18"/>
              </w:rPr>
            </w:pPr>
            <w:r>
              <w:rPr>
                <w:rFonts w:hint="eastAsia" w:ascii="宋体" w:hAnsi="宋体" w:cs="宋体"/>
                <w:kern w:val="0"/>
                <w:sz w:val="18"/>
                <w:szCs w:val="18"/>
              </w:rPr>
              <w:t>合  计</w:t>
            </w:r>
          </w:p>
        </w:tc>
        <w:tc>
          <w:tcPr>
            <w:tcW w:w="6632" w:type="dxa"/>
            <w:gridSpan w:val="6"/>
            <w:tcBorders>
              <w:top w:val="single" w:color="auto" w:sz="4" w:space="0"/>
              <w:left w:val="nil"/>
              <w:bottom w:val="single" w:color="auto" w:sz="4" w:space="0"/>
              <w:right w:val="single" w:color="auto" w:sz="4" w:space="0"/>
            </w:tcBorders>
            <w:noWrap w:val="0"/>
            <w:vAlign w:val="center"/>
          </w:tcPr>
          <w:p w14:paraId="6C3C7A66">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2A52C09C">
            <w:pPr>
              <w:widowControl/>
              <w:jc w:val="center"/>
              <w:rPr>
                <w:rFonts w:ascii="宋体" w:hAnsi="宋体" w:cs="宋体"/>
                <w:kern w:val="0"/>
                <w:sz w:val="18"/>
                <w:szCs w:val="18"/>
              </w:rPr>
            </w:pPr>
            <w:r>
              <w:rPr>
                <w:rFonts w:hint="eastAsia" w:ascii="宋体" w:hAnsi="宋体" w:cs="宋体"/>
                <w:kern w:val="0"/>
                <w:sz w:val="18"/>
                <w:szCs w:val="18"/>
              </w:rPr>
              <w:t xml:space="preserve">9.29 </w:t>
            </w:r>
          </w:p>
        </w:tc>
      </w:tr>
    </w:tbl>
    <w:p w14:paraId="29FBCBD9">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w:t>
      </w:r>
      <w:r>
        <w:rPr>
          <w:rFonts w:hint="eastAsia" w:ascii="宋体" w:hAnsi="宋体"/>
          <w:sz w:val="24"/>
        </w:rPr>
        <w:t>13</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41A404FD">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＝10.734+9.29＝20.03</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7EE9EF14">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开采K18</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31B4E541">
      <w:pPr>
        <w:spacing w:line="360" w:lineRule="auto"/>
        <w:jc w:val="center"/>
        <w:rPr>
          <w:rFonts w:hint="eastAsia" w:ascii="宋体" w:hAnsi="宋体"/>
          <w:b/>
          <w:color w:val="000000"/>
          <w:kern w:val="24"/>
          <w:sz w:val="24"/>
        </w:rPr>
      </w:pPr>
      <w:r>
        <w:rPr>
          <w:rFonts w:hint="eastAsia" w:ascii="宋体" w:hAnsi="宋体"/>
          <w:b/>
          <w:color w:val="000000"/>
          <w:kern w:val="24"/>
          <w:sz w:val="24"/>
        </w:rPr>
        <w:t>K18</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64"/>
        <w:gridCol w:w="1220"/>
        <w:gridCol w:w="1080"/>
        <w:gridCol w:w="1040"/>
        <w:gridCol w:w="1100"/>
        <w:gridCol w:w="1158"/>
        <w:gridCol w:w="1440"/>
      </w:tblGrid>
      <w:tr w14:paraId="5F501AE5">
        <w:tblPrEx>
          <w:tblCellMar>
            <w:top w:w="0" w:type="dxa"/>
            <w:left w:w="108" w:type="dxa"/>
            <w:bottom w:w="0" w:type="dxa"/>
            <w:right w:w="108" w:type="dxa"/>
          </w:tblCellMar>
        </w:tblPrEx>
        <w:trPr>
          <w:wBefore w:w="0" w:type="dxa"/>
          <w:wAfter w:w="0" w:type="dxa"/>
          <w:trHeight w:val="312"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4EE60CB8">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64" w:type="dxa"/>
            <w:tcBorders>
              <w:top w:val="single" w:color="auto" w:sz="4" w:space="0"/>
              <w:left w:val="nil"/>
              <w:bottom w:val="single" w:color="auto" w:sz="4" w:space="0"/>
              <w:right w:val="single" w:color="auto" w:sz="4" w:space="0"/>
            </w:tcBorders>
            <w:noWrap w:val="0"/>
            <w:vAlign w:val="center"/>
          </w:tcPr>
          <w:p w14:paraId="5B604A67">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37769107">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25D8E459">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00BF9B8D">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2DFE9BA8">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58" w:type="dxa"/>
            <w:tcBorders>
              <w:top w:val="single" w:color="auto" w:sz="4" w:space="0"/>
              <w:left w:val="nil"/>
              <w:bottom w:val="single" w:color="auto" w:sz="4" w:space="0"/>
              <w:right w:val="single" w:color="auto" w:sz="4" w:space="0"/>
            </w:tcBorders>
            <w:noWrap w:val="0"/>
            <w:vAlign w:val="center"/>
          </w:tcPr>
          <w:p w14:paraId="717A75C8">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2B9D7FFD">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0D2FB508">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541B83BE">
            <w:pPr>
              <w:widowControl/>
              <w:jc w:val="left"/>
              <w:rPr>
                <w:rFonts w:ascii="宋体" w:hAnsi="宋体" w:cs="宋体"/>
                <w:kern w:val="0"/>
                <w:sz w:val="18"/>
                <w:szCs w:val="18"/>
              </w:rPr>
            </w:pPr>
            <w:r>
              <w:rPr>
                <w:rFonts w:hint="eastAsia" w:ascii="宋体" w:hAnsi="宋体" w:cs="宋体"/>
                <w:kern w:val="0"/>
                <w:sz w:val="18"/>
                <w:szCs w:val="18"/>
              </w:rPr>
              <w:t>K26</w:t>
            </w:r>
          </w:p>
        </w:tc>
        <w:tc>
          <w:tcPr>
            <w:tcW w:w="1064" w:type="dxa"/>
            <w:tcBorders>
              <w:top w:val="nil"/>
              <w:left w:val="nil"/>
              <w:bottom w:val="single" w:color="auto" w:sz="4" w:space="0"/>
              <w:right w:val="single" w:color="auto" w:sz="4" w:space="0"/>
            </w:tcBorders>
            <w:noWrap w:val="0"/>
            <w:vAlign w:val="center"/>
          </w:tcPr>
          <w:p w14:paraId="4F2FF12D">
            <w:pPr>
              <w:widowControl/>
              <w:jc w:val="center"/>
              <w:rPr>
                <w:rFonts w:ascii="宋体" w:hAnsi="宋体" w:cs="宋体"/>
                <w:kern w:val="0"/>
                <w:sz w:val="18"/>
                <w:szCs w:val="18"/>
              </w:rPr>
            </w:pPr>
            <w:r>
              <w:rPr>
                <w:rFonts w:hint="eastAsia" w:ascii="宋体" w:hAnsi="宋体" w:cs="宋体"/>
                <w:kern w:val="0"/>
                <w:sz w:val="18"/>
                <w:szCs w:val="18"/>
              </w:rPr>
              <w:t>28</w:t>
            </w:r>
          </w:p>
        </w:tc>
        <w:tc>
          <w:tcPr>
            <w:tcW w:w="1220" w:type="dxa"/>
            <w:tcBorders>
              <w:top w:val="nil"/>
              <w:left w:val="nil"/>
              <w:bottom w:val="single" w:color="auto" w:sz="4" w:space="0"/>
              <w:right w:val="single" w:color="auto" w:sz="4" w:space="0"/>
            </w:tcBorders>
            <w:noWrap w:val="0"/>
            <w:vAlign w:val="center"/>
          </w:tcPr>
          <w:p w14:paraId="552D77A3">
            <w:pPr>
              <w:widowControl/>
              <w:jc w:val="center"/>
              <w:rPr>
                <w:rFonts w:ascii="宋体" w:hAnsi="宋体" w:cs="宋体"/>
                <w:kern w:val="0"/>
                <w:sz w:val="18"/>
                <w:szCs w:val="18"/>
              </w:rPr>
            </w:pPr>
            <w:r>
              <w:rPr>
                <w:rFonts w:hint="eastAsia" w:ascii="宋体" w:hAnsi="宋体" w:cs="宋体"/>
                <w:kern w:val="0"/>
                <w:sz w:val="18"/>
                <w:szCs w:val="18"/>
              </w:rPr>
              <w:t xml:space="preserve">0.39 </w:t>
            </w:r>
          </w:p>
        </w:tc>
        <w:tc>
          <w:tcPr>
            <w:tcW w:w="1080" w:type="dxa"/>
            <w:tcBorders>
              <w:top w:val="nil"/>
              <w:left w:val="nil"/>
              <w:bottom w:val="single" w:color="auto" w:sz="4" w:space="0"/>
              <w:right w:val="single" w:color="auto" w:sz="4" w:space="0"/>
            </w:tcBorders>
            <w:noWrap w:val="0"/>
            <w:vAlign w:val="center"/>
          </w:tcPr>
          <w:p w14:paraId="66A2A3E4">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040" w:type="dxa"/>
            <w:tcBorders>
              <w:top w:val="nil"/>
              <w:left w:val="nil"/>
              <w:bottom w:val="single" w:color="auto" w:sz="4" w:space="0"/>
              <w:right w:val="single" w:color="auto" w:sz="4" w:space="0"/>
            </w:tcBorders>
            <w:noWrap w:val="0"/>
            <w:vAlign w:val="center"/>
          </w:tcPr>
          <w:p w14:paraId="4669C61B">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100" w:type="dxa"/>
            <w:tcBorders>
              <w:top w:val="nil"/>
              <w:left w:val="nil"/>
              <w:bottom w:val="single" w:color="auto" w:sz="4" w:space="0"/>
              <w:right w:val="single" w:color="auto" w:sz="4" w:space="0"/>
            </w:tcBorders>
            <w:noWrap w:val="0"/>
            <w:vAlign w:val="center"/>
          </w:tcPr>
          <w:p w14:paraId="2C779FF8">
            <w:pPr>
              <w:widowControl/>
              <w:jc w:val="center"/>
              <w:rPr>
                <w:rFonts w:ascii="宋体" w:hAnsi="宋体" w:cs="宋体"/>
                <w:kern w:val="0"/>
                <w:sz w:val="18"/>
                <w:szCs w:val="18"/>
              </w:rPr>
            </w:pPr>
            <w:r>
              <w:rPr>
                <w:rFonts w:hint="eastAsia" w:ascii="宋体" w:hAnsi="宋体" w:cs="宋体"/>
                <w:kern w:val="0"/>
                <w:sz w:val="18"/>
                <w:szCs w:val="18"/>
              </w:rPr>
              <w:t>15.95</w:t>
            </w:r>
          </w:p>
        </w:tc>
        <w:tc>
          <w:tcPr>
            <w:tcW w:w="1158" w:type="dxa"/>
            <w:tcBorders>
              <w:top w:val="nil"/>
              <w:left w:val="nil"/>
              <w:bottom w:val="single" w:color="auto" w:sz="4" w:space="0"/>
              <w:right w:val="single" w:color="auto" w:sz="4" w:space="0"/>
            </w:tcBorders>
            <w:noWrap w:val="0"/>
            <w:vAlign w:val="center"/>
          </w:tcPr>
          <w:p w14:paraId="6F92B7BE">
            <w:pPr>
              <w:widowControl/>
              <w:jc w:val="center"/>
              <w:rPr>
                <w:rFonts w:ascii="宋体" w:hAnsi="宋体" w:cs="宋体"/>
                <w:kern w:val="0"/>
                <w:sz w:val="18"/>
                <w:szCs w:val="18"/>
              </w:rPr>
            </w:pPr>
            <w:r>
              <w:rPr>
                <w:rFonts w:hint="eastAsia" w:ascii="宋体" w:hAnsi="宋体" w:cs="宋体"/>
                <w:kern w:val="0"/>
                <w:sz w:val="18"/>
                <w:szCs w:val="18"/>
              </w:rPr>
              <w:t xml:space="preserve">5.0 </w:t>
            </w:r>
          </w:p>
        </w:tc>
        <w:tc>
          <w:tcPr>
            <w:tcW w:w="1440" w:type="dxa"/>
            <w:tcBorders>
              <w:top w:val="nil"/>
              <w:left w:val="nil"/>
              <w:bottom w:val="single" w:color="auto" w:sz="4" w:space="0"/>
              <w:right w:val="single" w:color="auto" w:sz="4" w:space="0"/>
            </w:tcBorders>
            <w:noWrap w:val="0"/>
            <w:vAlign w:val="center"/>
          </w:tcPr>
          <w:p w14:paraId="4229D8B1">
            <w:pPr>
              <w:widowControl/>
              <w:jc w:val="center"/>
              <w:rPr>
                <w:rFonts w:ascii="宋体" w:hAnsi="宋体" w:cs="宋体"/>
                <w:kern w:val="0"/>
                <w:sz w:val="18"/>
                <w:szCs w:val="18"/>
              </w:rPr>
            </w:pPr>
            <w:r>
              <w:rPr>
                <w:rFonts w:hint="eastAsia" w:ascii="宋体" w:hAnsi="宋体" w:cs="宋体"/>
                <w:kern w:val="0"/>
                <w:sz w:val="18"/>
                <w:szCs w:val="18"/>
              </w:rPr>
              <w:t xml:space="preserve">2.15 </w:t>
            </w:r>
          </w:p>
        </w:tc>
      </w:tr>
      <w:tr w14:paraId="15A8CEDD">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181A578E">
            <w:pPr>
              <w:widowControl/>
              <w:jc w:val="left"/>
              <w:rPr>
                <w:rFonts w:ascii="宋体" w:hAnsi="宋体" w:cs="宋体"/>
                <w:kern w:val="0"/>
                <w:sz w:val="18"/>
                <w:szCs w:val="18"/>
              </w:rPr>
            </w:pPr>
            <w:r>
              <w:rPr>
                <w:rFonts w:hint="eastAsia" w:ascii="宋体" w:hAnsi="宋体" w:cs="宋体"/>
                <w:kern w:val="0"/>
                <w:sz w:val="18"/>
                <w:szCs w:val="18"/>
              </w:rPr>
              <w:t>K35-b</w:t>
            </w:r>
          </w:p>
        </w:tc>
        <w:tc>
          <w:tcPr>
            <w:tcW w:w="1064" w:type="dxa"/>
            <w:tcBorders>
              <w:top w:val="nil"/>
              <w:left w:val="nil"/>
              <w:bottom w:val="single" w:color="auto" w:sz="4" w:space="0"/>
              <w:right w:val="single" w:color="auto" w:sz="4" w:space="0"/>
            </w:tcBorders>
            <w:noWrap w:val="0"/>
            <w:vAlign w:val="center"/>
          </w:tcPr>
          <w:p w14:paraId="52917914">
            <w:pPr>
              <w:widowControl/>
              <w:jc w:val="center"/>
              <w:rPr>
                <w:rFonts w:ascii="宋体" w:hAnsi="宋体" w:cs="宋体"/>
                <w:kern w:val="0"/>
                <w:sz w:val="18"/>
                <w:szCs w:val="18"/>
              </w:rPr>
            </w:pPr>
            <w:r>
              <w:rPr>
                <w:rFonts w:hint="eastAsia" w:ascii="宋体" w:hAnsi="宋体" w:cs="宋体"/>
                <w:kern w:val="0"/>
                <w:sz w:val="18"/>
                <w:szCs w:val="18"/>
              </w:rPr>
              <w:t>48</w:t>
            </w:r>
          </w:p>
        </w:tc>
        <w:tc>
          <w:tcPr>
            <w:tcW w:w="1220" w:type="dxa"/>
            <w:tcBorders>
              <w:top w:val="nil"/>
              <w:left w:val="nil"/>
              <w:bottom w:val="single" w:color="auto" w:sz="4" w:space="0"/>
              <w:right w:val="single" w:color="auto" w:sz="4" w:space="0"/>
            </w:tcBorders>
            <w:noWrap w:val="0"/>
            <w:vAlign w:val="center"/>
          </w:tcPr>
          <w:p w14:paraId="59ED0977">
            <w:pPr>
              <w:widowControl/>
              <w:jc w:val="center"/>
              <w:rPr>
                <w:rFonts w:ascii="宋体" w:hAnsi="宋体" w:cs="宋体"/>
                <w:kern w:val="0"/>
                <w:sz w:val="18"/>
                <w:szCs w:val="18"/>
              </w:rPr>
            </w:pPr>
            <w:r>
              <w:rPr>
                <w:rFonts w:hint="eastAsia" w:ascii="宋体" w:hAnsi="宋体" w:cs="宋体"/>
                <w:kern w:val="0"/>
                <w:sz w:val="18"/>
                <w:szCs w:val="18"/>
              </w:rPr>
              <w:t xml:space="preserve">0.19 </w:t>
            </w:r>
          </w:p>
        </w:tc>
        <w:tc>
          <w:tcPr>
            <w:tcW w:w="1080" w:type="dxa"/>
            <w:tcBorders>
              <w:top w:val="nil"/>
              <w:left w:val="nil"/>
              <w:bottom w:val="single" w:color="auto" w:sz="4" w:space="0"/>
              <w:right w:val="single" w:color="auto" w:sz="4" w:space="0"/>
            </w:tcBorders>
            <w:noWrap w:val="0"/>
            <w:vAlign w:val="center"/>
          </w:tcPr>
          <w:p w14:paraId="3F731A2C">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1040" w:type="dxa"/>
            <w:tcBorders>
              <w:top w:val="nil"/>
              <w:left w:val="nil"/>
              <w:bottom w:val="single" w:color="auto" w:sz="4" w:space="0"/>
              <w:right w:val="single" w:color="auto" w:sz="4" w:space="0"/>
            </w:tcBorders>
            <w:noWrap w:val="0"/>
            <w:vAlign w:val="center"/>
          </w:tcPr>
          <w:p w14:paraId="6B6953AD">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100" w:type="dxa"/>
            <w:tcBorders>
              <w:top w:val="nil"/>
              <w:left w:val="nil"/>
              <w:bottom w:val="single" w:color="auto" w:sz="4" w:space="0"/>
              <w:right w:val="single" w:color="auto" w:sz="4" w:space="0"/>
            </w:tcBorders>
            <w:noWrap w:val="0"/>
            <w:vAlign w:val="center"/>
          </w:tcPr>
          <w:p w14:paraId="7A1C0B79">
            <w:pPr>
              <w:widowControl/>
              <w:jc w:val="center"/>
              <w:rPr>
                <w:rFonts w:ascii="宋体" w:hAnsi="宋体" w:cs="宋体"/>
                <w:kern w:val="0"/>
                <w:sz w:val="18"/>
                <w:szCs w:val="18"/>
              </w:rPr>
            </w:pPr>
            <w:r>
              <w:rPr>
                <w:rFonts w:hint="eastAsia" w:ascii="宋体" w:hAnsi="宋体" w:cs="宋体"/>
                <w:kern w:val="0"/>
                <w:sz w:val="18"/>
                <w:szCs w:val="18"/>
              </w:rPr>
              <w:t>14.92</w:t>
            </w:r>
          </w:p>
        </w:tc>
        <w:tc>
          <w:tcPr>
            <w:tcW w:w="1158" w:type="dxa"/>
            <w:tcBorders>
              <w:top w:val="nil"/>
              <w:left w:val="nil"/>
              <w:bottom w:val="single" w:color="auto" w:sz="4" w:space="0"/>
              <w:right w:val="single" w:color="auto" w:sz="4" w:space="0"/>
            </w:tcBorders>
            <w:noWrap w:val="0"/>
            <w:vAlign w:val="center"/>
          </w:tcPr>
          <w:p w14:paraId="28109FEF">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1EB6F2C0">
            <w:pPr>
              <w:widowControl/>
              <w:jc w:val="center"/>
              <w:rPr>
                <w:rFonts w:ascii="宋体" w:hAnsi="宋体" w:cs="宋体"/>
                <w:kern w:val="0"/>
                <w:sz w:val="18"/>
                <w:szCs w:val="18"/>
              </w:rPr>
            </w:pPr>
            <w:r>
              <w:rPr>
                <w:rFonts w:hint="eastAsia" w:ascii="宋体" w:hAnsi="宋体" w:cs="宋体"/>
                <w:kern w:val="0"/>
                <w:sz w:val="18"/>
                <w:szCs w:val="18"/>
              </w:rPr>
              <w:t xml:space="preserve">0.44 </w:t>
            </w:r>
          </w:p>
        </w:tc>
      </w:tr>
      <w:tr w14:paraId="5E80AF90">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3EDF771B">
            <w:pPr>
              <w:widowControl/>
              <w:jc w:val="left"/>
              <w:rPr>
                <w:rFonts w:ascii="宋体" w:hAnsi="宋体" w:cs="宋体"/>
                <w:kern w:val="0"/>
                <w:sz w:val="18"/>
                <w:szCs w:val="18"/>
              </w:rPr>
            </w:pPr>
            <w:r>
              <w:rPr>
                <w:rFonts w:hint="eastAsia" w:ascii="宋体" w:hAnsi="宋体" w:cs="宋体"/>
                <w:kern w:val="0"/>
                <w:sz w:val="18"/>
                <w:szCs w:val="18"/>
              </w:rPr>
              <w:t>K106-b</w:t>
            </w:r>
          </w:p>
        </w:tc>
        <w:tc>
          <w:tcPr>
            <w:tcW w:w="1064" w:type="dxa"/>
            <w:tcBorders>
              <w:top w:val="nil"/>
              <w:left w:val="nil"/>
              <w:bottom w:val="single" w:color="auto" w:sz="4" w:space="0"/>
              <w:right w:val="single" w:color="auto" w:sz="4" w:space="0"/>
            </w:tcBorders>
            <w:noWrap w:val="0"/>
            <w:vAlign w:val="center"/>
          </w:tcPr>
          <w:p w14:paraId="557B07B5">
            <w:pPr>
              <w:widowControl/>
              <w:jc w:val="center"/>
              <w:rPr>
                <w:rFonts w:ascii="宋体" w:hAnsi="宋体" w:cs="宋体"/>
                <w:kern w:val="0"/>
                <w:sz w:val="18"/>
                <w:szCs w:val="18"/>
              </w:rPr>
            </w:pPr>
            <w:r>
              <w:rPr>
                <w:rFonts w:hint="eastAsia" w:ascii="宋体" w:hAnsi="宋体" w:cs="宋体"/>
                <w:kern w:val="0"/>
                <w:sz w:val="18"/>
                <w:szCs w:val="18"/>
              </w:rPr>
              <w:t>293</w:t>
            </w:r>
          </w:p>
        </w:tc>
        <w:tc>
          <w:tcPr>
            <w:tcW w:w="1220" w:type="dxa"/>
            <w:tcBorders>
              <w:top w:val="nil"/>
              <w:left w:val="nil"/>
              <w:bottom w:val="single" w:color="auto" w:sz="4" w:space="0"/>
              <w:right w:val="single" w:color="auto" w:sz="4" w:space="0"/>
            </w:tcBorders>
            <w:noWrap w:val="0"/>
            <w:vAlign w:val="center"/>
          </w:tcPr>
          <w:p w14:paraId="3B08D05D">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080" w:type="dxa"/>
            <w:tcBorders>
              <w:top w:val="nil"/>
              <w:left w:val="nil"/>
              <w:bottom w:val="single" w:color="auto" w:sz="4" w:space="0"/>
              <w:right w:val="single" w:color="auto" w:sz="4" w:space="0"/>
            </w:tcBorders>
            <w:noWrap w:val="0"/>
            <w:vAlign w:val="center"/>
          </w:tcPr>
          <w:p w14:paraId="1D5E3F58">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1040" w:type="dxa"/>
            <w:tcBorders>
              <w:top w:val="nil"/>
              <w:left w:val="nil"/>
              <w:bottom w:val="single" w:color="auto" w:sz="4" w:space="0"/>
              <w:right w:val="single" w:color="auto" w:sz="4" w:space="0"/>
            </w:tcBorders>
            <w:noWrap w:val="0"/>
            <w:vAlign w:val="center"/>
          </w:tcPr>
          <w:p w14:paraId="1953AF3B">
            <w:pPr>
              <w:widowControl/>
              <w:jc w:val="center"/>
              <w:rPr>
                <w:rFonts w:ascii="宋体" w:hAnsi="宋体" w:cs="宋体"/>
                <w:kern w:val="0"/>
                <w:sz w:val="18"/>
                <w:szCs w:val="18"/>
              </w:rPr>
            </w:pPr>
            <w:r>
              <w:rPr>
                <w:rFonts w:hint="eastAsia" w:ascii="宋体" w:hAnsi="宋体" w:cs="宋体"/>
                <w:kern w:val="0"/>
                <w:sz w:val="18"/>
                <w:szCs w:val="18"/>
              </w:rPr>
              <w:t xml:space="preserve">3.12 </w:t>
            </w:r>
          </w:p>
        </w:tc>
        <w:tc>
          <w:tcPr>
            <w:tcW w:w="1100" w:type="dxa"/>
            <w:tcBorders>
              <w:top w:val="nil"/>
              <w:left w:val="nil"/>
              <w:bottom w:val="single" w:color="auto" w:sz="4" w:space="0"/>
              <w:right w:val="single" w:color="auto" w:sz="4" w:space="0"/>
            </w:tcBorders>
            <w:noWrap w:val="0"/>
            <w:vAlign w:val="center"/>
          </w:tcPr>
          <w:p w14:paraId="1AD409E8">
            <w:pPr>
              <w:widowControl/>
              <w:jc w:val="center"/>
              <w:rPr>
                <w:rFonts w:ascii="宋体" w:hAnsi="宋体" w:cs="宋体"/>
                <w:kern w:val="0"/>
                <w:sz w:val="18"/>
                <w:szCs w:val="18"/>
              </w:rPr>
            </w:pPr>
            <w:r>
              <w:rPr>
                <w:rFonts w:hint="eastAsia" w:ascii="宋体" w:hAnsi="宋体" w:cs="宋体"/>
                <w:kern w:val="0"/>
                <w:sz w:val="18"/>
                <w:szCs w:val="18"/>
              </w:rPr>
              <w:t>15.44</w:t>
            </w:r>
          </w:p>
        </w:tc>
        <w:tc>
          <w:tcPr>
            <w:tcW w:w="1158" w:type="dxa"/>
            <w:tcBorders>
              <w:top w:val="nil"/>
              <w:left w:val="nil"/>
              <w:bottom w:val="single" w:color="auto" w:sz="4" w:space="0"/>
              <w:right w:val="single" w:color="auto" w:sz="4" w:space="0"/>
            </w:tcBorders>
            <w:noWrap w:val="0"/>
            <w:vAlign w:val="center"/>
          </w:tcPr>
          <w:p w14:paraId="58248AC8">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1568C830">
            <w:pPr>
              <w:widowControl/>
              <w:jc w:val="center"/>
              <w:rPr>
                <w:rFonts w:ascii="宋体" w:hAnsi="宋体" w:cs="宋体"/>
                <w:kern w:val="0"/>
                <w:sz w:val="18"/>
                <w:szCs w:val="18"/>
              </w:rPr>
            </w:pPr>
            <w:r>
              <w:rPr>
                <w:rFonts w:hint="eastAsia" w:ascii="宋体" w:hAnsi="宋体" w:cs="宋体"/>
                <w:kern w:val="0"/>
                <w:sz w:val="18"/>
                <w:szCs w:val="18"/>
              </w:rPr>
              <w:t xml:space="preserve">0.00 </w:t>
            </w:r>
          </w:p>
        </w:tc>
      </w:tr>
      <w:tr w14:paraId="392D4AD3">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3F9B755E">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62" w:type="dxa"/>
            <w:gridSpan w:val="6"/>
            <w:tcBorders>
              <w:top w:val="single" w:color="auto" w:sz="4" w:space="0"/>
              <w:left w:val="nil"/>
              <w:bottom w:val="single" w:color="auto" w:sz="4" w:space="0"/>
              <w:right w:val="single" w:color="auto" w:sz="4" w:space="0"/>
            </w:tcBorders>
            <w:noWrap w:val="0"/>
            <w:vAlign w:val="center"/>
          </w:tcPr>
          <w:p w14:paraId="1D947796">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31C42A98">
            <w:pPr>
              <w:widowControl/>
              <w:jc w:val="center"/>
              <w:rPr>
                <w:rFonts w:ascii="宋体" w:hAnsi="宋体" w:cs="宋体"/>
                <w:kern w:val="0"/>
                <w:sz w:val="18"/>
                <w:szCs w:val="18"/>
              </w:rPr>
            </w:pPr>
            <w:r>
              <w:rPr>
                <w:rFonts w:hint="eastAsia" w:ascii="宋体" w:hAnsi="宋体" w:cs="宋体"/>
                <w:kern w:val="0"/>
                <w:sz w:val="18"/>
                <w:szCs w:val="18"/>
              </w:rPr>
              <w:t xml:space="preserve">0.22 </w:t>
            </w:r>
          </w:p>
        </w:tc>
      </w:tr>
      <w:tr w14:paraId="07F3CF2D">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3E8289F7">
            <w:pPr>
              <w:widowControl/>
              <w:jc w:val="center"/>
              <w:rPr>
                <w:rFonts w:ascii="宋体" w:hAnsi="宋体" w:cs="宋体"/>
                <w:kern w:val="0"/>
                <w:sz w:val="18"/>
                <w:szCs w:val="18"/>
              </w:rPr>
            </w:pPr>
            <w:r>
              <w:rPr>
                <w:rFonts w:hint="eastAsia" w:ascii="宋体" w:hAnsi="宋体" w:cs="宋体"/>
                <w:kern w:val="0"/>
                <w:sz w:val="18"/>
                <w:szCs w:val="18"/>
              </w:rPr>
              <w:t>合  计</w:t>
            </w:r>
          </w:p>
        </w:tc>
        <w:tc>
          <w:tcPr>
            <w:tcW w:w="6662" w:type="dxa"/>
            <w:gridSpan w:val="6"/>
            <w:tcBorders>
              <w:top w:val="single" w:color="auto" w:sz="4" w:space="0"/>
              <w:left w:val="nil"/>
              <w:bottom w:val="single" w:color="auto" w:sz="4" w:space="0"/>
              <w:right w:val="single" w:color="auto" w:sz="4" w:space="0"/>
            </w:tcBorders>
            <w:noWrap w:val="0"/>
            <w:vAlign w:val="center"/>
          </w:tcPr>
          <w:p w14:paraId="74AE634B">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29FECF4C">
            <w:pPr>
              <w:widowControl/>
              <w:jc w:val="center"/>
              <w:rPr>
                <w:rFonts w:ascii="宋体" w:hAnsi="宋体" w:cs="宋体"/>
                <w:kern w:val="0"/>
                <w:sz w:val="18"/>
                <w:szCs w:val="18"/>
              </w:rPr>
            </w:pPr>
            <w:r>
              <w:rPr>
                <w:rFonts w:hint="eastAsia" w:ascii="宋体" w:hAnsi="宋体" w:cs="宋体"/>
                <w:kern w:val="0"/>
                <w:sz w:val="18"/>
                <w:szCs w:val="18"/>
              </w:rPr>
              <w:t xml:space="preserve">2.81 </w:t>
            </w:r>
          </w:p>
        </w:tc>
      </w:tr>
    </w:tbl>
    <w:p w14:paraId="4715E894">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w:t>
      </w:r>
      <w:r>
        <w:rPr>
          <w:rFonts w:hint="eastAsia" w:ascii="宋体" w:hAnsi="宋体"/>
          <w:sz w:val="24"/>
        </w:rPr>
        <w:t>18</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584C534B">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＝10.852+2.81＝13.66</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19E602F2">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开采K26</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7E8A53F0">
      <w:pPr>
        <w:spacing w:line="360" w:lineRule="auto"/>
        <w:jc w:val="center"/>
        <w:rPr>
          <w:rFonts w:hint="eastAsia" w:ascii="宋体" w:hAnsi="宋体"/>
          <w:b/>
          <w:color w:val="000000"/>
          <w:kern w:val="24"/>
          <w:sz w:val="24"/>
        </w:rPr>
      </w:pPr>
      <w:r>
        <w:rPr>
          <w:rFonts w:hint="eastAsia" w:ascii="宋体" w:hAnsi="宋体"/>
          <w:b/>
          <w:color w:val="000000"/>
          <w:kern w:val="24"/>
          <w:sz w:val="24"/>
        </w:rPr>
        <w:t>K26</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64"/>
        <w:gridCol w:w="1220"/>
        <w:gridCol w:w="1080"/>
        <w:gridCol w:w="1040"/>
        <w:gridCol w:w="1100"/>
        <w:gridCol w:w="1144"/>
        <w:gridCol w:w="1440"/>
      </w:tblGrid>
      <w:tr w14:paraId="6CD81120">
        <w:tblPrEx>
          <w:tblCellMar>
            <w:top w:w="0" w:type="dxa"/>
            <w:left w:w="108" w:type="dxa"/>
            <w:bottom w:w="0" w:type="dxa"/>
            <w:right w:w="108" w:type="dxa"/>
          </w:tblCellMar>
        </w:tblPrEx>
        <w:trPr>
          <w:wBefore w:w="0" w:type="dxa"/>
          <w:wAfter w:w="0" w:type="dxa"/>
          <w:trHeight w:val="312"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07DCD5C4">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64" w:type="dxa"/>
            <w:tcBorders>
              <w:top w:val="single" w:color="auto" w:sz="4" w:space="0"/>
              <w:left w:val="nil"/>
              <w:bottom w:val="single" w:color="auto" w:sz="4" w:space="0"/>
              <w:right w:val="single" w:color="auto" w:sz="4" w:space="0"/>
            </w:tcBorders>
            <w:noWrap w:val="0"/>
            <w:vAlign w:val="center"/>
          </w:tcPr>
          <w:p w14:paraId="19E140D9">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64B0E37A">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5BA7B9E7">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707A337E">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53AB6408">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44" w:type="dxa"/>
            <w:tcBorders>
              <w:top w:val="single" w:color="auto" w:sz="4" w:space="0"/>
              <w:left w:val="nil"/>
              <w:bottom w:val="single" w:color="auto" w:sz="4" w:space="0"/>
              <w:right w:val="single" w:color="auto" w:sz="4" w:space="0"/>
            </w:tcBorders>
            <w:noWrap w:val="0"/>
            <w:vAlign w:val="center"/>
          </w:tcPr>
          <w:p w14:paraId="54C77724">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4EBCB91F">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1234DCA9">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58251DD6">
            <w:pPr>
              <w:widowControl/>
              <w:jc w:val="left"/>
              <w:rPr>
                <w:rFonts w:ascii="宋体" w:hAnsi="宋体" w:cs="宋体"/>
                <w:kern w:val="0"/>
                <w:sz w:val="18"/>
                <w:szCs w:val="18"/>
              </w:rPr>
            </w:pPr>
            <w:r>
              <w:rPr>
                <w:rFonts w:hint="eastAsia" w:ascii="宋体" w:hAnsi="宋体" w:cs="宋体"/>
                <w:kern w:val="0"/>
                <w:sz w:val="18"/>
                <w:szCs w:val="18"/>
              </w:rPr>
              <w:t>K35-b</w:t>
            </w:r>
          </w:p>
        </w:tc>
        <w:tc>
          <w:tcPr>
            <w:tcW w:w="1064" w:type="dxa"/>
            <w:tcBorders>
              <w:top w:val="nil"/>
              <w:left w:val="nil"/>
              <w:bottom w:val="single" w:color="auto" w:sz="4" w:space="0"/>
              <w:right w:val="single" w:color="auto" w:sz="4" w:space="0"/>
            </w:tcBorders>
            <w:noWrap w:val="0"/>
            <w:vAlign w:val="center"/>
          </w:tcPr>
          <w:p w14:paraId="0B3827BC">
            <w:pPr>
              <w:widowControl/>
              <w:jc w:val="center"/>
              <w:rPr>
                <w:rFonts w:ascii="宋体" w:hAnsi="宋体" w:cs="宋体"/>
                <w:kern w:val="0"/>
                <w:sz w:val="18"/>
                <w:szCs w:val="18"/>
              </w:rPr>
            </w:pPr>
            <w:r>
              <w:rPr>
                <w:rFonts w:hint="eastAsia" w:ascii="宋体" w:hAnsi="宋体" w:cs="宋体"/>
                <w:kern w:val="0"/>
                <w:sz w:val="18"/>
                <w:szCs w:val="18"/>
              </w:rPr>
              <w:t>20</w:t>
            </w:r>
          </w:p>
        </w:tc>
        <w:tc>
          <w:tcPr>
            <w:tcW w:w="1220" w:type="dxa"/>
            <w:tcBorders>
              <w:top w:val="nil"/>
              <w:left w:val="nil"/>
              <w:bottom w:val="single" w:color="auto" w:sz="4" w:space="0"/>
              <w:right w:val="single" w:color="auto" w:sz="4" w:space="0"/>
            </w:tcBorders>
            <w:noWrap w:val="0"/>
            <w:vAlign w:val="center"/>
          </w:tcPr>
          <w:p w14:paraId="3D50CB9D">
            <w:pPr>
              <w:widowControl/>
              <w:jc w:val="center"/>
              <w:rPr>
                <w:rFonts w:ascii="宋体" w:hAnsi="宋体" w:cs="宋体"/>
                <w:kern w:val="0"/>
                <w:sz w:val="18"/>
                <w:szCs w:val="18"/>
              </w:rPr>
            </w:pPr>
            <w:r>
              <w:rPr>
                <w:rFonts w:hint="eastAsia" w:ascii="宋体" w:hAnsi="宋体" w:cs="宋体"/>
                <w:kern w:val="0"/>
                <w:sz w:val="18"/>
                <w:szCs w:val="18"/>
              </w:rPr>
              <w:t xml:space="preserve">0.41 </w:t>
            </w:r>
          </w:p>
        </w:tc>
        <w:tc>
          <w:tcPr>
            <w:tcW w:w="1080" w:type="dxa"/>
            <w:tcBorders>
              <w:top w:val="nil"/>
              <w:left w:val="nil"/>
              <w:bottom w:val="single" w:color="auto" w:sz="4" w:space="0"/>
              <w:right w:val="single" w:color="auto" w:sz="4" w:space="0"/>
            </w:tcBorders>
            <w:noWrap w:val="0"/>
            <w:vAlign w:val="center"/>
          </w:tcPr>
          <w:p w14:paraId="7495F707">
            <w:pPr>
              <w:widowControl/>
              <w:jc w:val="center"/>
              <w:rPr>
                <w:rFonts w:ascii="宋体" w:hAnsi="宋体" w:cs="宋体"/>
                <w:kern w:val="0"/>
                <w:sz w:val="18"/>
                <w:szCs w:val="18"/>
              </w:rPr>
            </w:pPr>
            <w:r>
              <w:rPr>
                <w:rFonts w:hint="eastAsia" w:ascii="宋体" w:hAnsi="宋体" w:cs="宋体"/>
                <w:kern w:val="0"/>
                <w:sz w:val="18"/>
                <w:szCs w:val="18"/>
              </w:rPr>
              <w:t xml:space="preserve">0.81 </w:t>
            </w:r>
          </w:p>
        </w:tc>
        <w:tc>
          <w:tcPr>
            <w:tcW w:w="1040" w:type="dxa"/>
            <w:tcBorders>
              <w:top w:val="nil"/>
              <w:left w:val="nil"/>
              <w:bottom w:val="single" w:color="auto" w:sz="4" w:space="0"/>
              <w:right w:val="single" w:color="auto" w:sz="4" w:space="0"/>
            </w:tcBorders>
            <w:noWrap w:val="0"/>
            <w:vAlign w:val="center"/>
          </w:tcPr>
          <w:p w14:paraId="20E70C20">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100" w:type="dxa"/>
            <w:tcBorders>
              <w:top w:val="nil"/>
              <w:left w:val="nil"/>
              <w:bottom w:val="single" w:color="auto" w:sz="4" w:space="0"/>
              <w:right w:val="single" w:color="auto" w:sz="4" w:space="0"/>
            </w:tcBorders>
            <w:noWrap w:val="0"/>
            <w:vAlign w:val="center"/>
          </w:tcPr>
          <w:p w14:paraId="65BA8D20">
            <w:pPr>
              <w:widowControl/>
              <w:jc w:val="center"/>
              <w:rPr>
                <w:rFonts w:ascii="宋体" w:hAnsi="宋体" w:cs="宋体"/>
                <w:kern w:val="0"/>
                <w:sz w:val="18"/>
                <w:szCs w:val="18"/>
              </w:rPr>
            </w:pPr>
            <w:r>
              <w:rPr>
                <w:rFonts w:hint="eastAsia" w:ascii="宋体" w:hAnsi="宋体" w:cs="宋体"/>
                <w:kern w:val="0"/>
                <w:sz w:val="18"/>
                <w:szCs w:val="18"/>
              </w:rPr>
              <w:t>14.92</w:t>
            </w:r>
          </w:p>
        </w:tc>
        <w:tc>
          <w:tcPr>
            <w:tcW w:w="1144" w:type="dxa"/>
            <w:tcBorders>
              <w:top w:val="nil"/>
              <w:left w:val="nil"/>
              <w:bottom w:val="single" w:color="auto" w:sz="4" w:space="0"/>
              <w:right w:val="single" w:color="auto" w:sz="4" w:space="0"/>
            </w:tcBorders>
            <w:noWrap w:val="0"/>
            <w:vAlign w:val="center"/>
          </w:tcPr>
          <w:p w14:paraId="2C4D3F57">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24EE637C">
            <w:pPr>
              <w:widowControl/>
              <w:jc w:val="center"/>
              <w:rPr>
                <w:rFonts w:ascii="宋体" w:hAnsi="宋体" w:cs="宋体"/>
                <w:kern w:val="0"/>
                <w:sz w:val="18"/>
                <w:szCs w:val="18"/>
              </w:rPr>
            </w:pPr>
            <w:r>
              <w:rPr>
                <w:rFonts w:hint="eastAsia" w:ascii="宋体" w:hAnsi="宋体" w:cs="宋体"/>
                <w:kern w:val="0"/>
                <w:sz w:val="18"/>
                <w:szCs w:val="18"/>
              </w:rPr>
              <w:t xml:space="preserve">1.89 </w:t>
            </w:r>
          </w:p>
        </w:tc>
      </w:tr>
      <w:tr w14:paraId="303D311E">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07F5B285">
            <w:pPr>
              <w:widowControl/>
              <w:jc w:val="left"/>
              <w:rPr>
                <w:rFonts w:ascii="宋体" w:hAnsi="宋体" w:cs="宋体"/>
                <w:kern w:val="0"/>
                <w:sz w:val="18"/>
                <w:szCs w:val="18"/>
              </w:rPr>
            </w:pPr>
            <w:r>
              <w:rPr>
                <w:rFonts w:hint="eastAsia" w:ascii="宋体" w:hAnsi="宋体" w:cs="宋体"/>
                <w:kern w:val="0"/>
                <w:sz w:val="18"/>
                <w:szCs w:val="18"/>
              </w:rPr>
              <w:t>K106-b</w:t>
            </w:r>
          </w:p>
        </w:tc>
        <w:tc>
          <w:tcPr>
            <w:tcW w:w="1064" w:type="dxa"/>
            <w:tcBorders>
              <w:top w:val="nil"/>
              <w:left w:val="nil"/>
              <w:bottom w:val="single" w:color="auto" w:sz="4" w:space="0"/>
              <w:right w:val="single" w:color="auto" w:sz="4" w:space="0"/>
            </w:tcBorders>
            <w:noWrap w:val="0"/>
            <w:vAlign w:val="center"/>
          </w:tcPr>
          <w:p w14:paraId="2827C585">
            <w:pPr>
              <w:widowControl/>
              <w:jc w:val="center"/>
              <w:rPr>
                <w:rFonts w:ascii="宋体" w:hAnsi="宋体" w:cs="宋体"/>
                <w:kern w:val="0"/>
                <w:sz w:val="18"/>
                <w:szCs w:val="18"/>
              </w:rPr>
            </w:pPr>
            <w:r>
              <w:rPr>
                <w:rFonts w:hint="eastAsia" w:ascii="宋体" w:hAnsi="宋体" w:cs="宋体"/>
                <w:kern w:val="0"/>
                <w:sz w:val="18"/>
                <w:szCs w:val="18"/>
              </w:rPr>
              <w:t>265</w:t>
            </w:r>
          </w:p>
        </w:tc>
        <w:tc>
          <w:tcPr>
            <w:tcW w:w="1220" w:type="dxa"/>
            <w:tcBorders>
              <w:top w:val="nil"/>
              <w:left w:val="nil"/>
              <w:bottom w:val="single" w:color="auto" w:sz="4" w:space="0"/>
              <w:right w:val="single" w:color="auto" w:sz="4" w:space="0"/>
            </w:tcBorders>
            <w:noWrap w:val="0"/>
            <w:vAlign w:val="center"/>
          </w:tcPr>
          <w:p w14:paraId="12A12743">
            <w:pPr>
              <w:widowControl/>
              <w:jc w:val="center"/>
              <w:rPr>
                <w:rFonts w:ascii="宋体" w:hAnsi="宋体" w:cs="宋体"/>
                <w:kern w:val="0"/>
                <w:sz w:val="18"/>
                <w:szCs w:val="18"/>
              </w:rPr>
            </w:pPr>
            <w:r>
              <w:rPr>
                <w:rFonts w:hint="eastAsia" w:ascii="宋体" w:hAnsi="宋体" w:cs="宋体"/>
                <w:kern w:val="0"/>
                <w:sz w:val="18"/>
                <w:szCs w:val="18"/>
              </w:rPr>
              <w:t xml:space="preserve">0.00 </w:t>
            </w:r>
          </w:p>
        </w:tc>
        <w:tc>
          <w:tcPr>
            <w:tcW w:w="1080" w:type="dxa"/>
            <w:tcBorders>
              <w:top w:val="nil"/>
              <w:left w:val="nil"/>
              <w:bottom w:val="single" w:color="auto" w:sz="4" w:space="0"/>
              <w:right w:val="single" w:color="auto" w:sz="4" w:space="0"/>
            </w:tcBorders>
            <w:noWrap w:val="0"/>
            <w:vAlign w:val="center"/>
          </w:tcPr>
          <w:p w14:paraId="2252A008">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1040" w:type="dxa"/>
            <w:tcBorders>
              <w:top w:val="nil"/>
              <w:left w:val="nil"/>
              <w:bottom w:val="single" w:color="auto" w:sz="4" w:space="0"/>
              <w:right w:val="single" w:color="auto" w:sz="4" w:space="0"/>
            </w:tcBorders>
            <w:noWrap w:val="0"/>
            <w:vAlign w:val="center"/>
          </w:tcPr>
          <w:p w14:paraId="69F24950">
            <w:pPr>
              <w:widowControl/>
              <w:jc w:val="center"/>
              <w:rPr>
                <w:rFonts w:ascii="宋体" w:hAnsi="宋体" w:cs="宋体"/>
                <w:kern w:val="0"/>
                <w:sz w:val="18"/>
                <w:szCs w:val="18"/>
              </w:rPr>
            </w:pPr>
            <w:r>
              <w:rPr>
                <w:rFonts w:hint="eastAsia" w:ascii="宋体" w:hAnsi="宋体" w:cs="宋体"/>
                <w:kern w:val="0"/>
                <w:sz w:val="18"/>
                <w:szCs w:val="18"/>
              </w:rPr>
              <w:t xml:space="preserve">1.57 </w:t>
            </w:r>
          </w:p>
        </w:tc>
        <w:tc>
          <w:tcPr>
            <w:tcW w:w="1100" w:type="dxa"/>
            <w:tcBorders>
              <w:top w:val="nil"/>
              <w:left w:val="nil"/>
              <w:bottom w:val="single" w:color="auto" w:sz="4" w:space="0"/>
              <w:right w:val="single" w:color="auto" w:sz="4" w:space="0"/>
            </w:tcBorders>
            <w:noWrap w:val="0"/>
            <w:vAlign w:val="center"/>
          </w:tcPr>
          <w:p w14:paraId="6A42863C">
            <w:pPr>
              <w:widowControl/>
              <w:jc w:val="center"/>
              <w:rPr>
                <w:rFonts w:ascii="宋体" w:hAnsi="宋体" w:cs="宋体"/>
                <w:kern w:val="0"/>
                <w:sz w:val="18"/>
                <w:szCs w:val="18"/>
              </w:rPr>
            </w:pPr>
            <w:r>
              <w:rPr>
                <w:rFonts w:hint="eastAsia" w:ascii="宋体" w:hAnsi="宋体" w:cs="宋体"/>
                <w:kern w:val="0"/>
                <w:sz w:val="18"/>
                <w:szCs w:val="18"/>
              </w:rPr>
              <w:t>15.44</w:t>
            </w:r>
          </w:p>
        </w:tc>
        <w:tc>
          <w:tcPr>
            <w:tcW w:w="1144" w:type="dxa"/>
            <w:tcBorders>
              <w:top w:val="nil"/>
              <w:left w:val="nil"/>
              <w:bottom w:val="single" w:color="auto" w:sz="4" w:space="0"/>
              <w:right w:val="single" w:color="auto" w:sz="4" w:space="0"/>
            </w:tcBorders>
            <w:noWrap w:val="0"/>
            <w:vAlign w:val="center"/>
          </w:tcPr>
          <w:p w14:paraId="2AAFF8AB">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080DD707">
            <w:pPr>
              <w:widowControl/>
              <w:jc w:val="center"/>
              <w:rPr>
                <w:rFonts w:ascii="宋体" w:hAnsi="宋体" w:cs="宋体"/>
                <w:kern w:val="0"/>
                <w:sz w:val="18"/>
                <w:szCs w:val="18"/>
              </w:rPr>
            </w:pPr>
            <w:r>
              <w:rPr>
                <w:rFonts w:hint="eastAsia" w:ascii="宋体" w:hAnsi="宋体" w:cs="宋体"/>
                <w:kern w:val="0"/>
                <w:sz w:val="18"/>
                <w:szCs w:val="18"/>
              </w:rPr>
              <w:t xml:space="preserve">0.00 </w:t>
            </w:r>
          </w:p>
        </w:tc>
      </w:tr>
      <w:tr w14:paraId="4EA1EED1">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5A9617E7">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48" w:type="dxa"/>
            <w:gridSpan w:val="6"/>
            <w:tcBorders>
              <w:top w:val="single" w:color="auto" w:sz="4" w:space="0"/>
              <w:left w:val="nil"/>
              <w:bottom w:val="single" w:color="auto" w:sz="4" w:space="0"/>
              <w:right w:val="single" w:color="auto" w:sz="4" w:space="0"/>
            </w:tcBorders>
            <w:noWrap w:val="0"/>
            <w:vAlign w:val="center"/>
          </w:tcPr>
          <w:p w14:paraId="04B25F52">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3B913806">
            <w:pPr>
              <w:widowControl/>
              <w:jc w:val="center"/>
              <w:rPr>
                <w:rFonts w:ascii="宋体" w:hAnsi="宋体" w:cs="宋体"/>
                <w:kern w:val="0"/>
                <w:sz w:val="18"/>
                <w:szCs w:val="18"/>
              </w:rPr>
            </w:pPr>
            <w:r>
              <w:rPr>
                <w:rFonts w:hint="eastAsia" w:ascii="宋体" w:hAnsi="宋体" w:cs="宋体"/>
                <w:kern w:val="0"/>
                <w:sz w:val="18"/>
                <w:szCs w:val="18"/>
              </w:rPr>
              <w:t xml:space="preserve">0.22 </w:t>
            </w:r>
          </w:p>
        </w:tc>
      </w:tr>
      <w:tr w14:paraId="4B4F41A2">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50C3E051">
            <w:pPr>
              <w:widowControl/>
              <w:jc w:val="center"/>
              <w:rPr>
                <w:rFonts w:ascii="宋体" w:hAnsi="宋体" w:cs="宋体"/>
                <w:kern w:val="0"/>
                <w:sz w:val="18"/>
                <w:szCs w:val="18"/>
              </w:rPr>
            </w:pPr>
            <w:r>
              <w:rPr>
                <w:rFonts w:hint="eastAsia" w:ascii="宋体" w:hAnsi="宋体" w:cs="宋体"/>
                <w:kern w:val="0"/>
                <w:sz w:val="18"/>
                <w:szCs w:val="18"/>
              </w:rPr>
              <w:t>合  计</w:t>
            </w:r>
          </w:p>
        </w:tc>
        <w:tc>
          <w:tcPr>
            <w:tcW w:w="6648" w:type="dxa"/>
            <w:gridSpan w:val="6"/>
            <w:tcBorders>
              <w:top w:val="single" w:color="auto" w:sz="4" w:space="0"/>
              <w:left w:val="nil"/>
              <w:bottom w:val="single" w:color="auto" w:sz="4" w:space="0"/>
              <w:right w:val="single" w:color="auto" w:sz="4" w:space="0"/>
            </w:tcBorders>
            <w:noWrap w:val="0"/>
            <w:vAlign w:val="center"/>
          </w:tcPr>
          <w:p w14:paraId="30421AF2">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4957D27D">
            <w:pPr>
              <w:widowControl/>
              <w:jc w:val="center"/>
              <w:rPr>
                <w:rFonts w:ascii="宋体" w:hAnsi="宋体" w:cs="宋体"/>
                <w:kern w:val="0"/>
                <w:sz w:val="18"/>
                <w:szCs w:val="18"/>
              </w:rPr>
            </w:pPr>
            <w:r>
              <w:rPr>
                <w:rFonts w:hint="eastAsia" w:ascii="宋体" w:hAnsi="宋体" w:cs="宋体"/>
                <w:kern w:val="0"/>
                <w:sz w:val="18"/>
                <w:szCs w:val="18"/>
              </w:rPr>
              <w:t xml:space="preserve">2.10 </w:t>
            </w:r>
          </w:p>
        </w:tc>
      </w:tr>
    </w:tbl>
    <w:p w14:paraId="040E345E">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w:t>
      </w:r>
      <w:r>
        <w:rPr>
          <w:rFonts w:ascii="宋体" w:hAnsi="宋体"/>
          <w:sz w:val="24"/>
        </w:rPr>
        <w:t>K</w:t>
      </w:r>
      <w:r>
        <w:rPr>
          <w:rFonts w:hint="eastAsia" w:ascii="宋体" w:hAnsi="宋体"/>
          <w:sz w:val="24"/>
        </w:rPr>
        <w:t>26</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1A42F6AB">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＝10.764+2.1＝12.86</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4986EB67">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开采K35-b</w:t>
      </w:r>
      <w:r>
        <w:rPr>
          <w:rFonts w:ascii="宋体" w:hAnsi="宋体"/>
          <w:sz w:val="24"/>
        </w:rPr>
        <w:t>煤层</w:t>
      </w:r>
      <w:r>
        <w:rPr>
          <w:rFonts w:hint="eastAsia" w:ascii="宋体" w:hAnsi="宋体"/>
          <w:sz w:val="24"/>
        </w:rPr>
        <w:t>时</w:t>
      </w:r>
      <w:r>
        <w:rPr>
          <w:rFonts w:ascii="宋体" w:hAnsi="宋体"/>
          <w:sz w:val="24"/>
        </w:rPr>
        <w:t>，其下邻近层</w:t>
      </w:r>
      <w:r>
        <w:rPr>
          <w:rFonts w:hint="eastAsia" w:ascii="宋体" w:hAnsi="宋体"/>
          <w:sz w:val="24"/>
        </w:rPr>
        <w:t>距离该煤层层间距为245m，上邻近层均已采空，因此，开采K35-b</w:t>
      </w:r>
      <w:r>
        <w:rPr>
          <w:rFonts w:ascii="宋体" w:hAnsi="宋体"/>
          <w:sz w:val="24"/>
        </w:rPr>
        <w:t>煤层</w:t>
      </w:r>
      <w:r>
        <w:rPr>
          <w:rFonts w:hint="eastAsia" w:ascii="宋体" w:hAnsi="宋体"/>
          <w:sz w:val="24"/>
        </w:rPr>
        <w:t>时，邻近层瓦斯涌出量主要为不可采层瓦斯涌出量，</w:t>
      </w:r>
      <w:r>
        <w:rPr>
          <w:rFonts w:ascii="宋体" w:hAnsi="宋体"/>
          <w:sz w:val="24"/>
        </w:rPr>
        <w:t>计算如下。</w:t>
      </w:r>
    </w:p>
    <w:p w14:paraId="60DC9355">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＝8.587+8.587×0.02＝8.76</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25F8B976">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开采K106-b</w:t>
      </w:r>
      <w:r>
        <w:rPr>
          <w:rFonts w:ascii="宋体" w:hAnsi="宋体"/>
          <w:sz w:val="24"/>
        </w:rPr>
        <w:t>煤层</w:t>
      </w:r>
      <w:r>
        <w:rPr>
          <w:rFonts w:hint="eastAsia" w:ascii="宋体" w:hAnsi="宋体"/>
          <w:sz w:val="24"/>
        </w:rPr>
        <w:t>时</w:t>
      </w:r>
      <w:r>
        <w:rPr>
          <w:rFonts w:ascii="宋体" w:hAnsi="宋体"/>
          <w:sz w:val="24"/>
        </w:rPr>
        <w:t>，</w:t>
      </w:r>
      <w:r>
        <w:rPr>
          <w:rFonts w:hint="eastAsia" w:ascii="宋体" w:hAnsi="宋体"/>
          <w:sz w:val="24"/>
        </w:rPr>
        <w:t>上</w:t>
      </w:r>
      <w:r>
        <w:rPr>
          <w:rFonts w:ascii="宋体" w:hAnsi="宋体"/>
          <w:sz w:val="24"/>
        </w:rPr>
        <w:t>邻近层</w:t>
      </w:r>
      <w:r>
        <w:rPr>
          <w:rFonts w:hint="eastAsia" w:ascii="宋体" w:hAnsi="宋体"/>
          <w:sz w:val="24"/>
        </w:rPr>
        <w:t>距离该煤层层间距为245m，对该煤层开采无影响，</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07F1A02C">
      <w:pPr>
        <w:spacing w:line="360" w:lineRule="auto"/>
        <w:jc w:val="center"/>
        <w:rPr>
          <w:rFonts w:hint="eastAsia" w:ascii="宋体" w:hAnsi="宋体"/>
          <w:b/>
          <w:color w:val="000000"/>
          <w:kern w:val="24"/>
          <w:sz w:val="24"/>
        </w:rPr>
      </w:pPr>
      <w:r>
        <w:rPr>
          <w:rFonts w:hint="eastAsia" w:ascii="宋体" w:hAnsi="宋体"/>
          <w:b/>
          <w:color w:val="000000"/>
          <w:kern w:val="24"/>
          <w:sz w:val="24"/>
        </w:rPr>
        <w:t>K106-b</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92"/>
        <w:gridCol w:w="1220"/>
        <w:gridCol w:w="1080"/>
        <w:gridCol w:w="1040"/>
        <w:gridCol w:w="1100"/>
        <w:gridCol w:w="1158"/>
        <w:gridCol w:w="1440"/>
      </w:tblGrid>
      <w:tr w14:paraId="645AFDAF">
        <w:tblPrEx>
          <w:tblCellMar>
            <w:top w:w="0" w:type="dxa"/>
            <w:left w:w="108" w:type="dxa"/>
            <w:bottom w:w="0" w:type="dxa"/>
            <w:right w:w="108" w:type="dxa"/>
          </w:tblCellMar>
        </w:tblPrEx>
        <w:trPr>
          <w:wBefore w:w="0" w:type="dxa"/>
          <w:wAfter w:w="0" w:type="dxa"/>
          <w:trHeight w:val="312"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44C8E621">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92" w:type="dxa"/>
            <w:tcBorders>
              <w:top w:val="single" w:color="auto" w:sz="4" w:space="0"/>
              <w:left w:val="nil"/>
              <w:bottom w:val="single" w:color="auto" w:sz="4" w:space="0"/>
              <w:right w:val="single" w:color="auto" w:sz="4" w:space="0"/>
            </w:tcBorders>
            <w:noWrap w:val="0"/>
            <w:vAlign w:val="center"/>
          </w:tcPr>
          <w:p w14:paraId="47DCC63E">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19B19304">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218DCA68">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5D0AD38B">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0337F428">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58" w:type="dxa"/>
            <w:tcBorders>
              <w:top w:val="single" w:color="auto" w:sz="4" w:space="0"/>
              <w:left w:val="nil"/>
              <w:bottom w:val="single" w:color="auto" w:sz="4" w:space="0"/>
              <w:right w:val="single" w:color="auto" w:sz="4" w:space="0"/>
            </w:tcBorders>
            <w:noWrap w:val="0"/>
            <w:vAlign w:val="center"/>
          </w:tcPr>
          <w:p w14:paraId="0204F113">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686FD8F1">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7FB250FA">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1D97C90F">
            <w:pPr>
              <w:widowControl/>
              <w:jc w:val="left"/>
              <w:rPr>
                <w:rFonts w:ascii="宋体" w:hAnsi="宋体" w:cs="宋体"/>
                <w:kern w:val="0"/>
                <w:sz w:val="18"/>
                <w:szCs w:val="18"/>
              </w:rPr>
            </w:pPr>
            <w:r>
              <w:rPr>
                <w:rFonts w:hint="eastAsia" w:ascii="宋体" w:hAnsi="宋体" w:cs="宋体"/>
                <w:kern w:val="0"/>
                <w:sz w:val="18"/>
                <w:szCs w:val="18"/>
              </w:rPr>
              <w:t>K109-b</w:t>
            </w:r>
          </w:p>
        </w:tc>
        <w:tc>
          <w:tcPr>
            <w:tcW w:w="1092" w:type="dxa"/>
            <w:tcBorders>
              <w:top w:val="nil"/>
              <w:left w:val="nil"/>
              <w:bottom w:val="single" w:color="auto" w:sz="4" w:space="0"/>
              <w:right w:val="single" w:color="auto" w:sz="4" w:space="0"/>
            </w:tcBorders>
            <w:noWrap w:val="0"/>
            <w:vAlign w:val="center"/>
          </w:tcPr>
          <w:p w14:paraId="64373FC1">
            <w:pPr>
              <w:widowControl/>
              <w:jc w:val="center"/>
              <w:rPr>
                <w:rFonts w:ascii="宋体" w:hAnsi="宋体" w:cs="宋体"/>
                <w:kern w:val="0"/>
                <w:sz w:val="18"/>
                <w:szCs w:val="18"/>
              </w:rPr>
            </w:pPr>
            <w:r>
              <w:rPr>
                <w:rFonts w:hint="eastAsia" w:ascii="宋体" w:hAnsi="宋体" w:cs="宋体"/>
                <w:kern w:val="0"/>
                <w:sz w:val="18"/>
                <w:szCs w:val="18"/>
              </w:rPr>
              <w:t>25</w:t>
            </w:r>
          </w:p>
        </w:tc>
        <w:tc>
          <w:tcPr>
            <w:tcW w:w="1220" w:type="dxa"/>
            <w:tcBorders>
              <w:top w:val="nil"/>
              <w:left w:val="nil"/>
              <w:bottom w:val="single" w:color="auto" w:sz="4" w:space="0"/>
              <w:right w:val="single" w:color="auto" w:sz="4" w:space="0"/>
            </w:tcBorders>
            <w:noWrap w:val="0"/>
            <w:vAlign w:val="center"/>
          </w:tcPr>
          <w:p w14:paraId="68152308">
            <w:pPr>
              <w:widowControl/>
              <w:jc w:val="center"/>
              <w:rPr>
                <w:rFonts w:ascii="宋体" w:hAnsi="宋体" w:cs="宋体"/>
                <w:kern w:val="0"/>
                <w:sz w:val="18"/>
                <w:szCs w:val="18"/>
              </w:rPr>
            </w:pPr>
            <w:r>
              <w:rPr>
                <w:rFonts w:hint="eastAsia" w:ascii="宋体" w:hAnsi="宋体" w:cs="宋体"/>
                <w:kern w:val="0"/>
                <w:sz w:val="18"/>
                <w:szCs w:val="18"/>
              </w:rPr>
              <w:t xml:space="preserve">0.40 </w:t>
            </w:r>
          </w:p>
        </w:tc>
        <w:tc>
          <w:tcPr>
            <w:tcW w:w="1080" w:type="dxa"/>
            <w:tcBorders>
              <w:top w:val="nil"/>
              <w:left w:val="nil"/>
              <w:bottom w:val="single" w:color="auto" w:sz="4" w:space="0"/>
              <w:right w:val="single" w:color="auto" w:sz="4" w:space="0"/>
            </w:tcBorders>
            <w:noWrap w:val="0"/>
            <w:vAlign w:val="center"/>
          </w:tcPr>
          <w:p w14:paraId="0C24BDBB">
            <w:pPr>
              <w:widowControl/>
              <w:jc w:val="center"/>
              <w:rPr>
                <w:rFonts w:ascii="宋体" w:hAnsi="宋体" w:cs="宋体"/>
                <w:kern w:val="0"/>
                <w:sz w:val="18"/>
                <w:szCs w:val="18"/>
              </w:rPr>
            </w:pPr>
            <w:r>
              <w:rPr>
                <w:rFonts w:hint="eastAsia" w:ascii="宋体" w:hAnsi="宋体" w:cs="宋体"/>
                <w:kern w:val="0"/>
                <w:sz w:val="18"/>
                <w:szCs w:val="18"/>
              </w:rPr>
              <w:t xml:space="preserve">1.58 </w:t>
            </w:r>
          </w:p>
        </w:tc>
        <w:tc>
          <w:tcPr>
            <w:tcW w:w="1040" w:type="dxa"/>
            <w:tcBorders>
              <w:top w:val="nil"/>
              <w:left w:val="nil"/>
              <w:bottom w:val="single" w:color="auto" w:sz="4" w:space="0"/>
              <w:right w:val="single" w:color="auto" w:sz="4" w:space="0"/>
            </w:tcBorders>
            <w:noWrap w:val="0"/>
            <w:vAlign w:val="center"/>
          </w:tcPr>
          <w:p w14:paraId="75BE190B">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1100" w:type="dxa"/>
            <w:tcBorders>
              <w:top w:val="nil"/>
              <w:left w:val="nil"/>
              <w:bottom w:val="single" w:color="auto" w:sz="4" w:space="0"/>
              <w:right w:val="single" w:color="auto" w:sz="4" w:space="0"/>
            </w:tcBorders>
            <w:noWrap w:val="0"/>
            <w:vAlign w:val="center"/>
          </w:tcPr>
          <w:p w14:paraId="68E943ED">
            <w:pPr>
              <w:widowControl/>
              <w:jc w:val="center"/>
              <w:rPr>
                <w:rFonts w:ascii="宋体" w:hAnsi="宋体" w:cs="宋体"/>
                <w:kern w:val="0"/>
                <w:sz w:val="18"/>
                <w:szCs w:val="18"/>
              </w:rPr>
            </w:pPr>
            <w:r>
              <w:rPr>
                <w:rFonts w:hint="eastAsia" w:ascii="宋体" w:hAnsi="宋体" w:cs="宋体"/>
                <w:kern w:val="0"/>
                <w:sz w:val="18"/>
                <w:szCs w:val="18"/>
              </w:rPr>
              <w:t>17.24</w:t>
            </w:r>
          </w:p>
        </w:tc>
        <w:tc>
          <w:tcPr>
            <w:tcW w:w="1158" w:type="dxa"/>
            <w:tcBorders>
              <w:top w:val="nil"/>
              <w:left w:val="nil"/>
              <w:bottom w:val="single" w:color="auto" w:sz="4" w:space="0"/>
              <w:right w:val="single" w:color="auto" w:sz="4" w:space="0"/>
            </w:tcBorders>
            <w:noWrap w:val="0"/>
            <w:vAlign w:val="center"/>
          </w:tcPr>
          <w:p w14:paraId="025DEB17">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77C420CD">
            <w:pPr>
              <w:widowControl/>
              <w:jc w:val="center"/>
              <w:rPr>
                <w:rFonts w:ascii="宋体" w:hAnsi="宋体" w:cs="宋体"/>
                <w:kern w:val="0"/>
                <w:sz w:val="18"/>
                <w:szCs w:val="18"/>
              </w:rPr>
            </w:pPr>
            <w:r>
              <w:rPr>
                <w:rFonts w:hint="eastAsia" w:ascii="宋体" w:hAnsi="宋体" w:cs="宋体"/>
                <w:kern w:val="0"/>
                <w:sz w:val="18"/>
                <w:szCs w:val="18"/>
              </w:rPr>
              <w:t xml:space="preserve">4.13 </w:t>
            </w:r>
          </w:p>
        </w:tc>
      </w:tr>
      <w:tr w14:paraId="51636CBA">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44B43D20">
            <w:pPr>
              <w:widowControl/>
              <w:jc w:val="left"/>
              <w:rPr>
                <w:rFonts w:ascii="宋体" w:hAnsi="宋体" w:cs="宋体"/>
                <w:kern w:val="0"/>
                <w:sz w:val="18"/>
                <w:szCs w:val="18"/>
              </w:rPr>
            </w:pPr>
            <w:r>
              <w:rPr>
                <w:rFonts w:hint="eastAsia" w:ascii="宋体" w:hAnsi="宋体" w:cs="宋体"/>
                <w:kern w:val="0"/>
                <w:sz w:val="18"/>
                <w:szCs w:val="18"/>
              </w:rPr>
              <w:t>K110-a</w:t>
            </w:r>
          </w:p>
        </w:tc>
        <w:tc>
          <w:tcPr>
            <w:tcW w:w="1092" w:type="dxa"/>
            <w:tcBorders>
              <w:top w:val="nil"/>
              <w:left w:val="nil"/>
              <w:bottom w:val="single" w:color="auto" w:sz="4" w:space="0"/>
              <w:right w:val="single" w:color="auto" w:sz="4" w:space="0"/>
            </w:tcBorders>
            <w:noWrap w:val="0"/>
            <w:vAlign w:val="center"/>
          </w:tcPr>
          <w:p w14:paraId="36049BD7">
            <w:pPr>
              <w:widowControl/>
              <w:jc w:val="center"/>
              <w:rPr>
                <w:rFonts w:ascii="宋体" w:hAnsi="宋体" w:cs="宋体"/>
                <w:kern w:val="0"/>
                <w:sz w:val="18"/>
                <w:szCs w:val="18"/>
              </w:rPr>
            </w:pPr>
            <w:r>
              <w:rPr>
                <w:rFonts w:hint="eastAsia" w:ascii="宋体" w:hAnsi="宋体" w:cs="宋体"/>
                <w:kern w:val="0"/>
                <w:sz w:val="18"/>
                <w:szCs w:val="18"/>
              </w:rPr>
              <w:t>38</w:t>
            </w:r>
          </w:p>
        </w:tc>
        <w:tc>
          <w:tcPr>
            <w:tcW w:w="1220" w:type="dxa"/>
            <w:tcBorders>
              <w:top w:val="nil"/>
              <w:left w:val="nil"/>
              <w:bottom w:val="single" w:color="auto" w:sz="4" w:space="0"/>
              <w:right w:val="single" w:color="auto" w:sz="4" w:space="0"/>
            </w:tcBorders>
            <w:noWrap w:val="0"/>
            <w:vAlign w:val="center"/>
          </w:tcPr>
          <w:p w14:paraId="39EB7875">
            <w:pPr>
              <w:widowControl/>
              <w:jc w:val="center"/>
              <w:rPr>
                <w:rFonts w:ascii="宋体" w:hAnsi="宋体" w:cs="宋体"/>
                <w:kern w:val="0"/>
                <w:sz w:val="18"/>
                <w:szCs w:val="18"/>
              </w:rPr>
            </w:pPr>
            <w:r>
              <w:rPr>
                <w:rFonts w:hint="eastAsia" w:ascii="宋体" w:hAnsi="宋体" w:cs="宋体"/>
                <w:kern w:val="0"/>
                <w:sz w:val="18"/>
                <w:szCs w:val="18"/>
              </w:rPr>
              <w:t xml:space="preserve">0.32 </w:t>
            </w:r>
          </w:p>
        </w:tc>
        <w:tc>
          <w:tcPr>
            <w:tcW w:w="1080" w:type="dxa"/>
            <w:tcBorders>
              <w:top w:val="nil"/>
              <w:left w:val="nil"/>
              <w:bottom w:val="single" w:color="auto" w:sz="4" w:space="0"/>
              <w:right w:val="single" w:color="auto" w:sz="4" w:space="0"/>
            </w:tcBorders>
            <w:noWrap w:val="0"/>
            <w:vAlign w:val="center"/>
          </w:tcPr>
          <w:p w14:paraId="0D689CBD">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1040" w:type="dxa"/>
            <w:tcBorders>
              <w:top w:val="nil"/>
              <w:left w:val="nil"/>
              <w:bottom w:val="single" w:color="auto" w:sz="4" w:space="0"/>
              <w:right w:val="single" w:color="auto" w:sz="4" w:space="0"/>
            </w:tcBorders>
            <w:noWrap w:val="0"/>
            <w:vAlign w:val="center"/>
          </w:tcPr>
          <w:p w14:paraId="7992E314">
            <w:pPr>
              <w:widowControl/>
              <w:jc w:val="center"/>
              <w:rPr>
                <w:rFonts w:ascii="宋体" w:hAnsi="宋体" w:cs="宋体"/>
                <w:kern w:val="0"/>
                <w:sz w:val="18"/>
                <w:szCs w:val="18"/>
              </w:rPr>
            </w:pPr>
            <w:r>
              <w:rPr>
                <w:rFonts w:hint="eastAsia" w:ascii="宋体" w:hAnsi="宋体" w:cs="宋体"/>
                <w:kern w:val="0"/>
                <w:sz w:val="18"/>
                <w:szCs w:val="18"/>
              </w:rPr>
              <w:t xml:space="preserve">1.72 </w:t>
            </w:r>
          </w:p>
        </w:tc>
        <w:tc>
          <w:tcPr>
            <w:tcW w:w="1100" w:type="dxa"/>
            <w:tcBorders>
              <w:top w:val="nil"/>
              <w:left w:val="nil"/>
              <w:bottom w:val="single" w:color="auto" w:sz="4" w:space="0"/>
              <w:right w:val="single" w:color="auto" w:sz="4" w:space="0"/>
            </w:tcBorders>
            <w:noWrap w:val="0"/>
            <w:vAlign w:val="center"/>
          </w:tcPr>
          <w:p w14:paraId="79212135">
            <w:pPr>
              <w:widowControl/>
              <w:jc w:val="center"/>
              <w:rPr>
                <w:rFonts w:ascii="宋体" w:hAnsi="宋体" w:cs="宋体"/>
                <w:kern w:val="0"/>
                <w:sz w:val="18"/>
                <w:szCs w:val="18"/>
              </w:rPr>
            </w:pPr>
            <w:r>
              <w:rPr>
                <w:rFonts w:hint="eastAsia" w:ascii="宋体" w:hAnsi="宋体" w:cs="宋体"/>
                <w:kern w:val="0"/>
                <w:sz w:val="18"/>
                <w:szCs w:val="18"/>
              </w:rPr>
              <w:t>16.47</w:t>
            </w:r>
          </w:p>
        </w:tc>
        <w:tc>
          <w:tcPr>
            <w:tcW w:w="1158" w:type="dxa"/>
            <w:tcBorders>
              <w:top w:val="nil"/>
              <w:left w:val="nil"/>
              <w:bottom w:val="single" w:color="auto" w:sz="4" w:space="0"/>
              <w:right w:val="single" w:color="auto" w:sz="4" w:space="0"/>
            </w:tcBorders>
            <w:noWrap w:val="0"/>
            <w:vAlign w:val="center"/>
          </w:tcPr>
          <w:p w14:paraId="1964F81B">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5A49B0E4">
            <w:pPr>
              <w:widowControl/>
              <w:jc w:val="center"/>
              <w:rPr>
                <w:rFonts w:ascii="宋体" w:hAnsi="宋体" w:cs="宋体"/>
                <w:kern w:val="0"/>
                <w:sz w:val="18"/>
                <w:szCs w:val="18"/>
              </w:rPr>
            </w:pPr>
            <w:r>
              <w:rPr>
                <w:rFonts w:hint="eastAsia" w:ascii="宋体" w:hAnsi="宋体" w:cs="宋体"/>
                <w:kern w:val="0"/>
                <w:sz w:val="18"/>
                <w:szCs w:val="18"/>
              </w:rPr>
              <w:t xml:space="preserve">2.88 </w:t>
            </w:r>
          </w:p>
        </w:tc>
      </w:tr>
      <w:tr w14:paraId="6D0BCA53">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4B4260AA">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90" w:type="dxa"/>
            <w:gridSpan w:val="6"/>
            <w:tcBorders>
              <w:top w:val="single" w:color="auto" w:sz="4" w:space="0"/>
              <w:left w:val="nil"/>
              <w:bottom w:val="single" w:color="auto" w:sz="4" w:space="0"/>
              <w:right w:val="single" w:color="auto" w:sz="4" w:space="0"/>
            </w:tcBorders>
            <w:noWrap w:val="0"/>
            <w:vAlign w:val="center"/>
          </w:tcPr>
          <w:p w14:paraId="524C9917">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5D245B07">
            <w:pPr>
              <w:widowControl/>
              <w:jc w:val="center"/>
              <w:rPr>
                <w:rFonts w:ascii="宋体" w:hAnsi="宋体" w:cs="宋体"/>
                <w:kern w:val="0"/>
                <w:sz w:val="18"/>
                <w:szCs w:val="18"/>
              </w:rPr>
            </w:pPr>
            <w:r>
              <w:rPr>
                <w:rFonts w:hint="eastAsia" w:ascii="宋体" w:hAnsi="宋体" w:cs="宋体"/>
                <w:kern w:val="0"/>
                <w:sz w:val="18"/>
                <w:szCs w:val="18"/>
              </w:rPr>
              <w:t xml:space="preserve">0.21 </w:t>
            </w:r>
          </w:p>
        </w:tc>
      </w:tr>
      <w:tr w14:paraId="13649533">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004BF89E">
            <w:pPr>
              <w:widowControl/>
              <w:jc w:val="center"/>
              <w:rPr>
                <w:rFonts w:ascii="宋体" w:hAnsi="宋体" w:cs="宋体"/>
                <w:kern w:val="0"/>
                <w:sz w:val="18"/>
                <w:szCs w:val="18"/>
              </w:rPr>
            </w:pPr>
            <w:r>
              <w:rPr>
                <w:rFonts w:hint="eastAsia" w:ascii="宋体" w:hAnsi="宋体" w:cs="宋体"/>
                <w:kern w:val="0"/>
                <w:sz w:val="18"/>
                <w:szCs w:val="18"/>
              </w:rPr>
              <w:t>合  计</w:t>
            </w:r>
          </w:p>
        </w:tc>
        <w:tc>
          <w:tcPr>
            <w:tcW w:w="6690" w:type="dxa"/>
            <w:gridSpan w:val="6"/>
            <w:tcBorders>
              <w:top w:val="single" w:color="auto" w:sz="4" w:space="0"/>
              <w:left w:val="nil"/>
              <w:bottom w:val="single" w:color="auto" w:sz="4" w:space="0"/>
              <w:right w:val="single" w:color="auto" w:sz="4" w:space="0"/>
            </w:tcBorders>
            <w:noWrap w:val="0"/>
            <w:vAlign w:val="center"/>
          </w:tcPr>
          <w:p w14:paraId="3417AD33">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7B8F040C">
            <w:pPr>
              <w:widowControl/>
              <w:jc w:val="center"/>
              <w:rPr>
                <w:rFonts w:ascii="宋体" w:hAnsi="宋体" w:cs="宋体"/>
                <w:kern w:val="0"/>
                <w:sz w:val="18"/>
                <w:szCs w:val="18"/>
              </w:rPr>
            </w:pPr>
            <w:r>
              <w:rPr>
                <w:rFonts w:hint="eastAsia" w:ascii="宋体" w:hAnsi="宋体" w:cs="宋体"/>
                <w:kern w:val="0"/>
                <w:sz w:val="18"/>
                <w:szCs w:val="18"/>
              </w:rPr>
              <w:t xml:space="preserve">7.22 </w:t>
            </w:r>
          </w:p>
        </w:tc>
      </w:tr>
    </w:tbl>
    <w:p w14:paraId="7C9E5C0C">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开采K106-b</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20C5B01E">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＝10.334+7.22＝17.55</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3C2D94A0">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开采K109-b</w:t>
      </w:r>
      <w:r>
        <w:rPr>
          <w:rFonts w:ascii="宋体" w:hAnsi="宋体"/>
          <w:sz w:val="24"/>
        </w:rPr>
        <w:t>煤层</w:t>
      </w:r>
      <w:r>
        <w:rPr>
          <w:rFonts w:hint="eastAsia" w:ascii="宋体" w:hAnsi="宋体"/>
          <w:sz w:val="24"/>
        </w:rPr>
        <w:t>时</w:t>
      </w:r>
      <w:r>
        <w:rPr>
          <w:rFonts w:ascii="宋体" w:hAnsi="宋体"/>
          <w:sz w:val="24"/>
        </w:rPr>
        <w:t>，其下邻近层根椐</w:t>
      </w:r>
      <w:r>
        <w:rPr>
          <w:rFonts w:hint="eastAsia" w:ascii="宋体" w:hAnsi="宋体"/>
          <w:sz w:val="24"/>
        </w:rPr>
        <w:t>以上公式</w:t>
      </w:r>
      <w:r>
        <w:rPr>
          <w:rFonts w:ascii="宋体" w:hAnsi="宋体"/>
          <w:sz w:val="24"/>
        </w:rPr>
        <w:t>按照（AQ1018-2006）</w:t>
      </w:r>
      <w:r>
        <w:rPr>
          <w:rFonts w:hint="eastAsia" w:ascii="宋体" w:hAnsi="宋体"/>
          <w:sz w:val="24"/>
        </w:rPr>
        <w:t>标准</w:t>
      </w:r>
      <w:r>
        <w:rPr>
          <w:rFonts w:ascii="宋体" w:hAnsi="宋体"/>
          <w:sz w:val="24"/>
        </w:rPr>
        <w:t>附录</w:t>
      </w:r>
      <w:r>
        <w:rPr>
          <w:rFonts w:hint="eastAsia" w:ascii="宋体" w:hAnsi="宋体"/>
          <w:sz w:val="24"/>
        </w:rPr>
        <w:t>及附图选取参数</w:t>
      </w:r>
      <w:r>
        <w:rPr>
          <w:rFonts w:ascii="宋体" w:hAnsi="宋体"/>
          <w:sz w:val="24"/>
        </w:rPr>
        <w:t>，瓦期涌出量计算结果如下表。</w:t>
      </w:r>
    </w:p>
    <w:p w14:paraId="535485F9">
      <w:pPr>
        <w:spacing w:line="360" w:lineRule="auto"/>
        <w:jc w:val="center"/>
        <w:rPr>
          <w:rFonts w:hint="eastAsia" w:ascii="宋体" w:hAnsi="宋体"/>
          <w:b/>
          <w:color w:val="000000"/>
          <w:kern w:val="24"/>
          <w:sz w:val="24"/>
        </w:rPr>
      </w:pPr>
      <w:r>
        <w:rPr>
          <w:rFonts w:hint="eastAsia" w:ascii="宋体" w:hAnsi="宋体"/>
          <w:b/>
          <w:color w:val="000000"/>
          <w:kern w:val="24"/>
          <w:sz w:val="24"/>
        </w:rPr>
        <w:t>K109-b</w:t>
      </w:r>
      <w:r>
        <w:rPr>
          <w:rFonts w:ascii="宋体" w:hAnsi="宋体"/>
          <w:b/>
          <w:color w:val="000000"/>
          <w:kern w:val="24"/>
          <w:sz w:val="24"/>
        </w:rPr>
        <w:t>煤层开采时邻近层向工作面</w:t>
      </w:r>
      <w:r>
        <w:rPr>
          <w:rFonts w:hint="eastAsia" w:ascii="宋体" w:hAnsi="宋体" w:cs="宋体"/>
          <w:b/>
          <w:color w:val="000000"/>
          <w:kern w:val="24"/>
          <w:sz w:val="24"/>
        </w:rPr>
        <w:t>瓦斯涌出量统计表</w:t>
      </w:r>
    </w:p>
    <w:tbl>
      <w:tblPr>
        <w:tblStyle w:val="62"/>
        <w:tblW w:w="0" w:type="auto"/>
        <w:jc w:val="center"/>
        <w:tblLayout w:type="fixed"/>
        <w:tblCellMar>
          <w:top w:w="0" w:type="dxa"/>
          <w:left w:w="108" w:type="dxa"/>
          <w:bottom w:w="0" w:type="dxa"/>
          <w:right w:w="108" w:type="dxa"/>
        </w:tblCellMar>
      </w:tblPr>
      <w:tblGrid>
        <w:gridCol w:w="960"/>
        <w:gridCol w:w="1064"/>
        <w:gridCol w:w="1220"/>
        <w:gridCol w:w="1080"/>
        <w:gridCol w:w="1040"/>
        <w:gridCol w:w="1100"/>
        <w:gridCol w:w="1130"/>
        <w:gridCol w:w="1440"/>
      </w:tblGrid>
      <w:tr w14:paraId="38399F95">
        <w:tblPrEx>
          <w:tblCellMar>
            <w:top w:w="0" w:type="dxa"/>
            <w:left w:w="108" w:type="dxa"/>
            <w:bottom w:w="0" w:type="dxa"/>
            <w:right w:w="108" w:type="dxa"/>
          </w:tblCellMar>
        </w:tblPrEx>
        <w:trPr>
          <w:wBefore w:w="0" w:type="dxa"/>
          <w:wAfter w:w="0" w:type="dxa"/>
          <w:trHeight w:val="312" w:hRule="atLeast"/>
          <w:jc w:val="center"/>
        </w:trPr>
        <w:tc>
          <w:tcPr>
            <w:tcW w:w="960" w:type="dxa"/>
            <w:tcBorders>
              <w:top w:val="single" w:color="auto" w:sz="4" w:space="0"/>
              <w:left w:val="single" w:color="auto" w:sz="4" w:space="0"/>
              <w:bottom w:val="single" w:color="auto" w:sz="4" w:space="0"/>
              <w:right w:val="single" w:color="auto" w:sz="4" w:space="0"/>
            </w:tcBorders>
            <w:noWrap w:val="0"/>
            <w:vAlign w:val="center"/>
          </w:tcPr>
          <w:p w14:paraId="4C99DA70">
            <w:pPr>
              <w:widowControl/>
              <w:jc w:val="center"/>
              <w:rPr>
                <w:rFonts w:ascii="宋体" w:hAnsi="宋体" w:cs="宋体"/>
                <w:kern w:val="0"/>
                <w:sz w:val="18"/>
                <w:szCs w:val="18"/>
              </w:rPr>
            </w:pPr>
            <w:r>
              <w:rPr>
                <w:rFonts w:hint="eastAsia" w:ascii="宋体" w:hAnsi="宋体" w:cs="宋体"/>
                <w:kern w:val="0"/>
                <w:sz w:val="18"/>
                <w:szCs w:val="18"/>
              </w:rPr>
              <w:t>邻近层</w:t>
            </w:r>
            <w:r>
              <w:rPr>
                <w:rFonts w:hint="eastAsia" w:ascii="宋体" w:hAnsi="宋体" w:cs="宋体"/>
                <w:kern w:val="0"/>
                <w:sz w:val="18"/>
                <w:szCs w:val="18"/>
              </w:rPr>
              <w:br w:type="textWrapping"/>
            </w:r>
            <w:r>
              <w:rPr>
                <w:rFonts w:hint="eastAsia" w:ascii="宋体" w:hAnsi="宋体" w:cs="宋体"/>
                <w:kern w:val="0"/>
                <w:sz w:val="18"/>
                <w:szCs w:val="18"/>
              </w:rPr>
              <w:t>(下伏)</w:t>
            </w:r>
          </w:p>
        </w:tc>
        <w:tc>
          <w:tcPr>
            <w:tcW w:w="1064" w:type="dxa"/>
            <w:tcBorders>
              <w:top w:val="single" w:color="auto" w:sz="4" w:space="0"/>
              <w:left w:val="nil"/>
              <w:bottom w:val="single" w:color="auto" w:sz="4" w:space="0"/>
              <w:right w:val="single" w:color="auto" w:sz="4" w:space="0"/>
            </w:tcBorders>
            <w:noWrap w:val="0"/>
            <w:vAlign w:val="center"/>
          </w:tcPr>
          <w:p w14:paraId="6AD59F1B">
            <w:pPr>
              <w:widowControl/>
              <w:jc w:val="center"/>
              <w:rPr>
                <w:rFonts w:ascii="宋体" w:hAnsi="宋体" w:cs="宋体"/>
                <w:kern w:val="0"/>
                <w:sz w:val="18"/>
                <w:szCs w:val="18"/>
              </w:rPr>
            </w:pPr>
            <w:r>
              <w:rPr>
                <w:rFonts w:hint="eastAsia" w:ascii="宋体" w:hAnsi="宋体" w:cs="宋体"/>
                <w:kern w:val="0"/>
                <w:sz w:val="18"/>
                <w:szCs w:val="18"/>
              </w:rPr>
              <w:t>距开采层</w:t>
            </w:r>
            <w:r>
              <w:rPr>
                <w:rFonts w:hint="eastAsia" w:ascii="宋体" w:hAnsi="宋体" w:cs="宋体"/>
                <w:kern w:val="0"/>
                <w:sz w:val="18"/>
                <w:szCs w:val="18"/>
              </w:rPr>
              <w:br w:type="textWrapping"/>
            </w:r>
            <w:r>
              <w:rPr>
                <w:rFonts w:hint="eastAsia" w:ascii="宋体" w:hAnsi="宋体" w:cs="宋体"/>
                <w:kern w:val="0"/>
                <w:sz w:val="18"/>
                <w:szCs w:val="18"/>
              </w:rPr>
              <w:t>层间距(m)</w:t>
            </w:r>
          </w:p>
        </w:tc>
        <w:tc>
          <w:tcPr>
            <w:tcW w:w="1220" w:type="dxa"/>
            <w:tcBorders>
              <w:top w:val="single" w:color="auto" w:sz="4" w:space="0"/>
              <w:left w:val="nil"/>
              <w:bottom w:val="single" w:color="auto" w:sz="4" w:space="0"/>
              <w:right w:val="single" w:color="auto" w:sz="4" w:space="0"/>
            </w:tcBorders>
            <w:noWrap w:val="0"/>
            <w:vAlign w:val="center"/>
          </w:tcPr>
          <w:p w14:paraId="407D6B83">
            <w:pPr>
              <w:widowControl/>
              <w:jc w:val="center"/>
              <w:rPr>
                <w:rFonts w:ascii="宋体" w:hAnsi="宋体" w:cs="宋体"/>
                <w:kern w:val="0"/>
                <w:sz w:val="18"/>
                <w:szCs w:val="18"/>
              </w:rPr>
            </w:pPr>
            <w:r>
              <w:rPr>
                <w:rFonts w:hint="eastAsia" w:ascii="宋体" w:hAnsi="宋体" w:cs="宋体"/>
                <w:kern w:val="0"/>
                <w:sz w:val="18"/>
                <w:szCs w:val="18"/>
              </w:rPr>
              <w:t>邻近层瓦斯排放率η(%)</w:t>
            </w:r>
          </w:p>
        </w:tc>
        <w:tc>
          <w:tcPr>
            <w:tcW w:w="1080" w:type="dxa"/>
            <w:tcBorders>
              <w:top w:val="single" w:color="auto" w:sz="4" w:space="0"/>
              <w:left w:val="nil"/>
              <w:bottom w:val="single" w:color="auto" w:sz="4" w:space="0"/>
              <w:right w:val="single" w:color="auto" w:sz="4" w:space="0"/>
            </w:tcBorders>
            <w:noWrap w:val="0"/>
            <w:vAlign w:val="center"/>
          </w:tcPr>
          <w:p w14:paraId="38A04060">
            <w:pPr>
              <w:widowControl/>
              <w:jc w:val="center"/>
              <w:rPr>
                <w:rFonts w:ascii="宋体" w:hAnsi="宋体" w:cs="宋体"/>
                <w:kern w:val="0"/>
                <w:sz w:val="18"/>
                <w:szCs w:val="18"/>
              </w:rPr>
            </w:pPr>
            <w:r>
              <w:rPr>
                <w:rFonts w:hint="eastAsia" w:ascii="宋体" w:hAnsi="宋体" w:cs="宋体"/>
                <w:kern w:val="0"/>
                <w:sz w:val="18"/>
                <w:szCs w:val="18"/>
              </w:rPr>
              <w:t>邻近层厚度(m)</w:t>
            </w:r>
          </w:p>
        </w:tc>
        <w:tc>
          <w:tcPr>
            <w:tcW w:w="1040" w:type="dxa"/>
            <w:tcBorders>
              <w:top w:val="single" w:color="auto" w:sz="4" w:space="0"/>
              <w:left w:val="nil"/>
              <w:bottom w:val="single" w:color="auto" w:sz="4" w:space="0"/>
              <w:right w:val="single" w:color="auto" w:sz="4" w:space="0"/>
            </w:tcBorders>
            <w:noWrap w:val="0"/>
            <w:vAlign w:val="center"/>
          </w:tcPr>
          <w:p w14:paraId="098B3086">
            <w:pPr>
              <w:widowControl/>
              <w:jc w:val="center"/>
              <w:rPr>
                <w:rFonts w:ascii="宋体" w:hAnsi="宋体" w:cs="宋体"/>
                <w:kern w:val="0"/>
                <w:sz w:val="18"/>
                <w:szCs w:val="18"/>
              </w:rPr>
            </w:pPr>
            <w:r>
              <w:rPr>
                <w:rFonts w:hint="eastAsia" w:ascii="宋体" w:hAnsi="宋体" w:cs="宋体"/>
                <w:kern w:val="0"/>
                <w:sz w:val="18"/>
                <w:szCs w:val="18"/>
              </w:rPr>
              <w:t>开采层采高(m)</w:t>
            </w:r>
          </w:p>
        </w:tc>
        <w:tc>
          <w:tcPr>
            <w:tcW w:w="1100" w:type="dxa"/>
            <w:tcBorders>
              <w:top w:val="single" w:color="auto" w:sz="4" w:space="0"/>
              <w:left w:val="nil"/>
              <w:bottom w:val="single" w:color="auto" w:sz="4" w:space="0"/>
              <w:right w:val="single" w:color="auto" w:sz="4" w:space="0"/>
            </w:tcBorders>
            <w:noWrap w:val="0"/>
            <w:vAlign w:val="center"/>
          </w:tcPr>
          <w:p w14:paraId="2A3F6B6A">
            <w:pPr>
              <w:widowControl/>
              <w:jc w:val="center"/>
              <w:rPr>
                <w:rFonts w:ascii="宋体" w:hAnsi="宋体" w:cs="宋体"/>
                <w:kern w:val="0"/>
                <w:sz w:val="18"/>
                <w:szCs w:val="18"/>
              </w:rPr>
            </w:pPr>
            <w:r>
              <w:rPr>
                <w:rFonts w:hint="eastAsia" w:ascii="宋体" w:hAnsi="宋体" w:cs="宋体"/>
                <w:kern w:val="0"/>
                <w:sz w:val="18"/>
                <w:szCs w:val="18"/>
              </w:rPr>
              <w:t>原始瓦斯含量(m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130" w:type="dxa"/>
            <w:tcBorders>
              <w:top w:val="single" w:color="auto" w:sz="4" w:space="0"/>
              <w:left w:val="nil"/>
              <w:bottom w:val="single" w:color="auto" w:sz="4" w:space="0"/>
              <w:right w:val="single" w:color="auto" w:sz="4" w:space="0"/>
            </w:tcBorders>
            <w:noWrap w:val="0"/>
            <w:vAlign w:val="center"/>
          </w:tcPr>
          <w:p w14:paraId="49E56529">
            <w:pPr>
              <w:widowControl/>
              <w:jc w:val="center"/>
              <w:rPr>
                <w:rFonts w:ascii="宋体" w:hAnsi="宋体" w:cs="宋体"/>
                <w:kern w:val="0"/>
                <w:sz w:val="18"/>
                <w:szCs w:val="18"/>
              </w:rPr>
            </w:pPr>
            <w:r>
              <w:rPr>
                <w:rFonts w:hint="eastAsia" w:ascii="宋体" w:hAnsi="宋体" w:cs="宋体"/>
                <w:kern w:val="0"/>
                <w:sz w:val="18"/>
                <w:szCs w:val="18"/>
              </w:rPr>
              <w:t>残存瓦斯含量(m</w:t>
            </w:r>
            <w:r>
              <w:rPr>
                <w:rFonts w:hint="eastAsia" w:ascii="宋体" w:hAnsi="宋体" w:cs="宋体"/>
                <w:kern w:val="0"/>
                <w:sz w:val="18"/>
                <w:szCs w:val="18"/>
                <w:vertAlign w:val="superscript"/>
              </w:rPr>
              <w:t>3</w:t>
            </w:r>
            <w:r>
              <w:rPr>
                <w:rFonts w:hint="eastAsia" w:ascii="宋体" w:hAnsi="宋体" w:cs="宋体"/>
                <w:kern w:val="0"/>
                <w:sz w:val="18"/>
                <w:szCs w:val="18"/>
              </w:rPr>
              <w:t>/t)</w:t>
            </w:r>
          </w:p>
        </w:tc>
        <w:tc>
          <w:tcPr>
            <w:tcW w:w="1440" w:type="dxa"/>
            <w:tcBorders>
              <w:top w:val="single" w:color="auto" w:sz="4" w:space="0"/>
              <w:left w:val="nil"/>
              <w:bottom w:val="single" w:color="auto" w:sz="4" w:space="0"/>
              <w:right w:val="single" w:color="auto" w:sz="4" w:space="0"/>
            </w:tcBorders>
            <w:noWrap w:val="0"/>
            <w:vAlign w:val="center"/>
          </w:tcPr>
          <w:p w14:paraId="2FF2590A">
            <w:pPr>
              <w:widowControl/>
              <w:jc w:val="center"/>
              <w:rPr>
                <w:rFonts w:ascii="宋体" w:hAnsi="宋体" w:cs="宋体"/>
                <w:kern w:val="0"/>
                <w:sz w:val="18"/>
                <w:szCs w:val="18"/>
              </w:rPr>
            </w:pPr>
            <w:r>
              <w:rPr>
                <w:rFonts w:hint="eastAsia" w:ascii="宋体" w:hAnsi="宋体" w:cs="宋体"/>
                <w:kern w:val="0"/>
                <w:sz w:val="18"/>
                <w:szCs w:val="18"/>
              </w:rPr>
              <w:t>邻近层相对瓦斯涌出量(m</w:t>
            </w:r>
            <w:r>
              <w:rPr>
                <w:rFonts w:hint="eastAsia" w:ascii="宋体" w:hAnsi="宋体" w:cs="宋体"/>
                <w:kern w:val="0"/>
                <w:sz w:val="18"/>
                <w:szCs w:val="18"/>
                <w:vertAlign w:val="superscript"/>
              </w:rPr>
              <w:t>3</w:t>
            </w:r>
            <w:r>
              <w:rPr>
                <w:rFonts w:hint="eastAsia" w:ascii="宋体" w:hAnsi="宋体" w:cs="宋体"/>
                <w:kern w:val="0"/>
                <w:sz w:val="18"/>
                <w:szCs w:val="18"/>
              </w:rPr>
              <w:t>/t)</w:t>
            </w:r>
          </w:p>
        </w:tc>
      </w:tr>
      <w:tr w14:paraId="7FA58F7D">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1144B340">
            <w:pPr>
              <w:widowControl/>
              <w:jc w:val="left"/>
              <w:rPr>
                <w:rFonts w:ascii="宋体" w:hAnsi="宋体" w:cs="宋体"/>
                <w:kern w:val="0"/>
                <w:sz w:val="18"/>
                <w:szCs w:val="18"/>
              </w:rPr>
            </w:pPr>
            <w:r>
              <w:rPr>
                <w:rFonts w:hint="eastAsia" w:ascii="宋体" w:hAnsi="宋体" w:cs="宋体"/>
                <w:kern w:val="0"/>
                <w:sz w:val="18"/>
                <w:szCs w:val="18"/>
              </w:rPr>
              <w:t>K110-a</w:t>
            </w:r>
          </w:p>
        </w:tc>
        <w:tc>
          <w:tcPr>
            <w:tcW w:w="1064" w:type="dxa"/>
            <w:tcBorders>
              <w:top w:val="nil"/>
              <w:left w:val="nil"/>
              <w:bottom w:val="single" w:color="auto" w:sz="4" w:space="0"/>
              <w:right w:val="single" w:color="auto" w:sz="4" w:space="0"/>
            </w:tcBorders>
            <w:noWrap w:val="0"/>
            <w:vAlign w:val="center"/>
          </w:tcPr>
          <w:p w14:paraId="4CB8DABC">
            <w:pPr>
              <w:widowControl/>
              <w:jc w:val="center"/>
              <w:rPr>
                <w:rFonts w:ascii="宋体" w:hAnsi="宋体" w:cs="宋体"/>
                <w:kern w:val="0"/>
                <w:sz w:val="18"/>
                <w:szCs w:val="18"/>
              </w:rPr>
            </w:pPr>
            <w:r>
              <w:rPr>
                <w:rFonts w:hint="eastAsia" w:ascii="宋体" w:hAnsi="宋体" w:cs="宋体"/>
                <w:kern w:val="0"/>
                <w:sz w:val="18"/>
                <w:szCs w:val="18"/>
              </w:rPr>
              <w:t>13</w:t>
            </w:r>
          </w:p>
        </w:tc>
        <w:tc>
          <w:tcPr>
            <w:tcW w:w="1220" w:type="dxa"/>
            <w:tcBorders>
              <w:top w:val="nil"/>
              <w:left w:val="nil"/>
              <w:bottom w:val="single" w:color="auto" w:sz="4" w:space="0"/>
              <w:right w:val="single" w:color="auto" w:sz="4" w:space="0"/>
            </w:tcBorders>
            <w:noWrap w:val="0"/>
            <w:vAlign w:val="center"/>
          </w:tcPr>
          <w:p w14:paraId="7EDC1895">
            <w:pPr>
              <w:widowControl/>
              <w:jc w:val="center"/>
              <w:rPr>
                <w:rFonts w:ascii="宋体" w:hAnsi="宋体" w:cs="宋体"/>
                <w:kern w:val="0"/>
                <w:sz w:val="18"/>
                <w:szCs w:val="18"/>
              </w:rPr>
            </w:pPr>
            <w:r>
              <w:rPr>
                <w:rFonts w:hint="eastAsia" w:ascii="宋体" w:hAnsi="宋体" w:cs="宋体"/>
                <w:kern w:val="0"/>
                <w:sz w:val="18"/>
                <w:szCs w:val="18"/>
              </w:rPr>
              <w:t xml:space="preserve">0.57 </w:t>
            </w:r>
          </w:p>
        </w:tc>
        <w:tc>
          <w:tcPr>
            <w:tcW w:w="1080" w:type="dxa"/>
            <w:tcBorders>
              <w:top w:val="nil"/>
              <w:left w:val="nil"/>
              <w:bottom w:val="single" w:color="auto" w:sz="4" w:space="0"/>
              <w:right w:val="single" w:color="auto" w:sz="4" w:space="0"/>
            </w:tcBorders>
            <w:noWrap w:val="0"/>
            <w:vAlign w:val="center"/>
          </w:tcPr>
          <w:p w14:paraId="0CF625E8">
            <w:pPr>
              <w:widowControl/>
              <w:jc w:val="center"/>
              <w:rPr>
                <w:rFonts w:ascii="宋体" w:hAnsi="宋体" w:cs="宋体"/>
                <w:kern w:val="0"/>
                <w:sz w:val="18"/>
                <w:szCs w:val="18"/>
              </w:rPr>
            </w:pPr>
            <w:r>
              <w:rPr>
                <w:rFonts w:hint="eastAsia" w:ascii="宋体" w:hAnsi="宋体" w:cs="宋体"/>
                <w:kern w:val="0"/>
                <w:sz w:val="18"/>
                <w:szCs w:val="18"/>
              </w:rPr>
              <w:t xml:space="preserve">1.48 </w:t>
            </w:r>
          </w:p>
        </w:tc>
        <w:tc>
          <w:tcPr>
            <w:tcW w:w="1040" w:type="dxa"/>
            <w:tcBorders>
              <w:top w:val="nil"/>
              <w:left w:val="nil"/>
              <w:bottom w:val="single" w:color="auto" w:sz="4" w:space="0"/>
              <w:right w:val="single" w:color="auto" w:sz="4" w:space="0"/>
            </w:tcBorders>
            <w:noWrap w:val="0"/>
            <w:vAlign w:val="center"/>
          </w:tcPr>
          <w:p w14:paraId="45C0C0C9">
            <w:pPr>
              <w:widowControl/>
              <w:jc w:val="center"/>
              <w:rPr>
                <w:rFonts w:ascii="宋体" w:hAnsi="宋体" w:cs="宋体"/>
                <w:kern w:val="0"/>
                <w:sz w:val="18"/>
                <w:szCs w:val="18"/>
              </w:rPr>
            </w:pPr>
            <w:r>
              <w:rPr>
                <w:rFonts w:hint="eastAsia" w:ascii="宋体" w:hAnsi="宋体" w:cs="宋体"/>
                <w:kern w:val="0"/>
                <w:sz w:val="18"/>
                <w:szCs w:val="18"/>
              </w:rPr>
              <w:t xml:space="preserve">1.58 </w:t>
            </w:r>
          </w:p>
        </w:tc>
        <w:tc>
          <w:tcPr>
            <w:tcW w:w="1100" w:type="dxa"/>
            <w:tcBorders>
              <w:top w:val="nil"/>
              <w:left w:val="nil"/>
              <w:bottom w:val="single" w:color="auto" w:sz="4" w:space="0"/>
              <w:right w:val="single" w:color="auto" w:sz="4" w:space="0"/>
            </w:tcBorders>
            <w:noWrap w:val="0"/>
            <w:vAlign w:val="center"/>
          </w:tcPr>
          <w:p w14:paraId="590B42A8">
            <w:pPr>
              <w:widowControl/>
              <w:jc w:val="center"/>
              <w:rPr>
                <w:rFonts w:ascii="宋体" w:hAnsi="宋体" w:cs="宋体"/>
                <w:kern w:val="0"/>
                <w:sz w:val="18"/>
                <w:szCs w:val="18"/>
              </w:rPr>
            </w:pPr>
            <w:r>
              <w:rPr>
                <w:rFonts w:hint="eastAsia" w:ascii="宋体" w:hAnsi="宋体" w:cs="宋体"/>
                <w:kern w:val="0"/>
                <w:sz w:val="18"/>
                <w:szCs w:val="18"/>
              </w:rPr>
              <w:t>16.47</w:t>
            </w:r>
          </w:p>
        </w:tc>
        <w:tc>
          <w:tcPr>
            <w:tcW w:w="1130" w:type="dxa"/>
            <w:tcBorders>
              <w:top w:val="nil"/>
              <w:left w:val="nil"/>
              <w:bottom w:val="single" w:color="auto" w:sz="4" w:space="0"/>
              <w:right w:val="single" w:color="auto" w:sz="4" w:space="0"/>
            </w:tcBorders>
            <w:noWrap w:val="0"/>
            <w:vAlign w:val="center"/>
          </w:tcPr>
          <w:p w14:paraId="2F81954D">
            <w:pPr>
              <w:widowControl/>
              <w:jc w:val="center"/>
              <w:rPr>
                <w:rFonts w:ascii="宋体" w:hAnsi="宋体" w:cs="宋体"/>
                <w:kern w:val="0"/>
                <w:sz w:val="18"/>
                <w:szCs w:val="18"/>
              </w:rPr>
            </w:pPr>
            <w:r>
              <w:rPr>
                <w:rFonts w:hint="eastAsia" w:ascii="宋体" w:hAnsi="宋体" w:cs="宋体"/>
                <w:kern w:val="0"/>
                <w:sz w:val="18"/>
                <w:szCs w:val="18"/>
              </w:rPr>
              <w:t xml:space="preserve">6.0 </w:t>
            </w:r>
          </w:p>
        </w:tc>
        <w:tc>
          <w:tcPr>
            <w:tcW w:w="1440" w:type="dxa"/>
            <w:tcBorders>
              <w:top w:val="nil"/>
              <w:left w:val="nil"/>
              <w:bottom w:val="single" w:color="auto" w:sz="4" w:space="0"/>
              <w:right w:val="single" w:color="auto" w:sz="4" w:space="0"/>
            </w:tcBorders>
            <w:noWrap w:val="0"/>
            <w:vAlign w:val="center"/>
          </w:tcPr>
          <w:p w14:paraId="0A6860E8">
            <w:pPr>
              <w:widowControl/>
              <w:jc w:val="center"/>
              <w:rPr>
                <w:rFonts w:ascii="宋体" w:hAnsi="宋体" w:cs="宋体"/>
                <w:kern w:val="0"/>
                <w:sz w:val="18"/>
                <w:szCs w:val="18"/>
              </w:rPr>
            </w:pPr>
            <w:r>
              <w:rPr>
                <w:rFonts w:hint="eastAsia" w:ascii="宋体" w:hAnsi="宋体" w:cs="宋体"/>
                <w:kern w:val="0"/>
                <w:sz w:val="18"/>
                <w:szCs w:val="18"/>
              </w:rPr>
              <w:t xml:space="preserve">5.59 </w:t>
            </w:r>
          </w:p>
        </w:tc>
      </w:tr>
      <w:tr w14:paraId="2BCC3671">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3DEF41A8">
            <w:pPr>
              <w:widowControl/>
              <w:jc w:val="center"/>
              <w:rPr>
                <w:rFonts w:ascii="宋体" w:hAnsi="宋体" w:cs="宋体"/>
                <w:kern w:val="0"/>
                <w:sz w:val="18"/>
                <w:szCs w:val="18"/>
              </w:rPr>
            </w:pPr>
            <w:r>
              <w:rPr>
                <w:rFonts w:hint="eastAsia" w:ascii="宋体" w:hAnsi="宋体" w:cs="宋体"/>
                <w:kern w:val="0"/>
                <w:sz w:val="18"/>
                <w:szCs w:val="18"/>
              </w:rPr>
              <w:t>不可采层</w:t>
            </w:r>
          </w:p>
        </w:tc>
        <w:tc>
          <w:tcPr>
            <w:tcW w:w="6634" w:type="dxa"/>
            <w:gridSpan w:val="6"/>
            <w:tcBorders>
              <w:top w:val="single" w:color="auto" w:sz="4" w:space="0"/>
              <w:left w:val="nil"/>
              <w:bottom w:val="single" w:color="auto" w:sz="4" w:space="0"/>
              <w:right w:val="single" w:color="auto" w:sz="4" w:space="0"/>
            </w:tcBorders>
            <w:noWrap w:val="0"/>
            <w:vAlign w:val="center"/>
          </w:tcPr>
          <w:p w14:paraId="4D89D9D3">
            <w:pPr>
              <w:widowControl/>
              <w:jc w:val="center"/>
              <w:rPr>
                <w:rFonts w:ascii="宋体" w:hAnsi="宋体" w:cs="宋体"/>
                <w:kern w:val="0"/>
                <w:sz w:val="18"/>
                <w:szCs w:val="18"/>
              </w:rPr>
            </w:pPr>
            <w:r>
              <w:rPr>
                <w:rFonts w:hint="eastAsia" w:ascii="宋体" w:hAnsi="宋体" w:cs="宋体"/>
                <w:kern w:val="0"/>
                <w:sz w:val="18"/>
                <w:szCs w:val="18"/>
              </w:rPr>
              <w:t>按开采层相对瓦斯涌出量最大的2%计算</w:t>
            </w:r>
          </w:p>
        </w:tc>
        <w:tc>
          <w:tcPr>
            <w:tcW w:w="1440" w:type="dxa"/>
            <w:tcBorders>
              <w:top w:val="nil"/>
              <w:left w:val="nil"/>
              <w:bottom w:val="single" w:color="auto" w:sz="4" w:space="0"/>
              <w:right w:val="single" w:color="auto" w:sz="4" w:space="0"/>
            </w:tcBorders>
            <w:noWrap w:val="0"/>
            <w:vAlign w:val="center"/>
          </w:tcPr>
          <w:p w14:paraId="32C95546">
            <w:pPr>
              <w:widowControl/>
              <w:jc w:val="center"/>
              <w:rPr>
                <w:rFonts w:ascii="宋体" w:hAnsi="宋体" w:cs="宋体"/>
                <w:kern w:val="0"/>
                <w:sz w:val="18"/>
                <w:szCs w:val="18"/>
              </w:rPr>
            </w:pPr>
            <w:r>
              <w:rPr>
                <w:rFonts w:hint="eastAsia" w:ascii="宋体" w:hAnsi="宋体" w:cs="宋体"/>
                <w:kern w:val="0"/>
                <w:sz w:val="18"/>
                <w:szCs w:val="18"/>
              </w:rPr>
              <w:t xml:space="preserve">0.25 </w:t>
            </w:r>
          </w:p>
        </w:tc>
      </w:tr>
      <w:tr w14:paraId="5F47AF93">
        <w:tblPrEx>
          <w:tblCellMar>
            <w:top w:w="0" w:type="dxa"/>
            <w:left w:w="108" w:type="dxa"/>
            <w:bottom w:w="0" w:type="dxa"/>
            <w:right w:w="108" w:type="dxa"/>
          </w:tblCellMar>
        </w:tblPrEx>
        <w:trPr>
          <w:wBefore w:w="0" w:type="dxa"/>
          <w:wAfter w:w="0" w:type="dxa"/>
          <w:trHeight w:val="312" w:hRule="atLeast"/>
          <w:jc w:val="center"/>
        </w:trPr>
        <w:tc>
          <w:tcPr>
            <w:tcW w:w="960" w:type="dxa"/>
            <w:tcBorders>
              <w:top w:val="nil"/>
              <w:left w:val="single" w:color="auto" w:sz="4" w:space="0"/>
              <w:bottom w:val="single" w:color="auto" w:sz="4" w:space="0"/>
              <w:right w:val="single" w:color="auto" w:sz="4" w:space="0"/>
            </w:tcBorders>
            <w:noWrap w:val="0"/>
            <w:vAlign w:val="center"/>
          </w:tcPr>
          <w:p w14:paraId="1354B8E2">
            <w:pPr>
              <w:widowControl/>
              <w:jc w:val="center"/>
              <w:rPr>
                <w:rFonts w:ascii="宋体" w:hAnsi="宋体" w:cs="宋体"/>
                <w:kern w:val="0"/>
                <w:sz w:val="18"/>
                <w:szCs w:val="18"/>
              </w:rPr>
            </w:pPr>
            <w:r>
              <w:rPr>
                <w:rFonts w:hint="eastAsia" w:ascii="宋体" w:hAnsi="宋体" w:cs="宋体"/>
                <w:kern w:val="0"/>
                <w:sz w:val="18"/>
                <w:szCs w:val="18"/>
              </w:rPr>
              <w:t>合  计</w:t>
            </w:r>
          </w:p>
        </w:tc>
        <w:tc>
          <w:tcPr>
            <w:tcW w:w="6634" w:type="dxa"/>
            <w:gridSpan w:val="6"/>
            <w:tcBorders>
              <w:top w:val="single" w:color="auto" w:sz="4" w:space="0"/>
              <w:left w:val="nil"/>
              <w:bottom w:val="single" w:color="auto" w:sz="4" w:space="0"/>
              <w:right w:val="single" w:color="auto" w:sz="4" w:space="0"/>
            </w:tcBorders>
            <w:noWrap w:val="0"/>
            <w:vAlign w:val="center"/>
          </w:tcPr>
          <w:p w14:paraId="6B49D841">
            <w:pPr>
              <w:widowControl/>
              <w:jc w:val="center"/>
              <w:rPr>
                <w:rFonts w:ascii="宋体" w:hAnsi="宋体" w:cs="宋体"/>
                <w:kern w:val="0"/>
                <w:sz w:val="18"/>
                <w:szCs w:val="18"/>
              </w:rPr>
            </w:pPr>
            <w:r>
              <w:rPr>
                <w:rFonts w:hint="eastAsia" w:ascii="宋体" w:hAnsi="宋体" w:cs="宋体"/>
                <w:kern w:val="0"/>
                <w:sz w:val="18"/>
                <w:szCs w:val="18"/>
              </w:rPr>
              <w:t>　</w:t>
            </w:r>
          </w:p>
        </w:tc>
        <w:tc>
          <w:tcPr>
            <w:tcW w:w="1440" w:type="dxa"/>
            <w:tcBorders>
              <w:top w:val="nil"/>
              <w:left w:val="nil"/>
              <w:bottom w:val="single" w:color="auto" w:sz="4" w:space="0"/>
              <w:right w:val="single" w:color="auto" w:sz="4" w:space="0"/>
            </w:tcBorders>
            <w:noWrap w:val="0"/>
            <w:vAlign w:val="center"/>
          </w:tcPr>
          <w:p w14:paraId="315EAEB6">
            <w:pPr>
              <w:widowControl/>
              <w:jc w:val="center"/>
              <w:rPr>
                <w:rFonts w:ascii="宋体" w:hAnsi="宋体" w:cs="宋体"/>
                <w:kern w:val="0"/>
                <w:sz w:val="18"/>
                <w:szCs w:val="18"/>
              </w:rPr>
            </w:pPr>
            <w:r>
              <w:rPr>
                <w:rFonts w:hint="eastAsia" w:ascii="宋体" w:hAnsi="宋体" w:cs="宋体"/>
                <w:kern w:val="0"/>
                <w:sz w:val="18"/>
                <w:szCs w:val="18"/>
              </w:rPr>
              <w:t xml:space="preserve">5.84 </w:t>
            </w:r>
          </w:p>
        </w:tc>
      </w:tr>
    </w:tbl>
    <w:p w14:paraId="7672CE3E">
      <w:pPr>
        <w:spacing w:line="360" w:lineRule="auto"/>
        <w:ind w:firstLine="480" w:firstLineChars="200"/>
        <w:rPr>
          <w:rFonts w:hint="eastAsia" w:ascii="宋体" w:hAnsi="宋体"/>
          <w:sz w:val="24"/>
        </w:rPr>
      </w:pPr>
      <w:r>
        <w:rPr>
          <w:rFonts w:ascii="宋体" w:hAnsi="宋体"/>
          <w:sz w:val="24"/>
        </w:rPr>
        <w:t>则</w:t>
      </w:r>
      <w:r>
        <w:rPr>
          <w:rFonts w:hint="eastAsia" w:ascii="宋体" w:hAnsi="宋体"/>
          <w:sz w:val="24"/>
        </w:rPr>
        <w:t>开采K109-b</w:t>
      </w:r>
      <w:r>
        <w:rPr>
          <w:rFonts w:ascii="宋体" w:hAnsi="宋体"/>
          <w:sz w:val="24"/>
        </w:rPr>
        <w:t>煤层</w:t>
      </w:r>
      <w:r>
        <w:rPr>
          <w:rFonts w:hint="eastAsia" w:ascii="宋体" w:hAnsi="宋体"/>
          <w:sz w:val="24"/>
        </w:rPr>
        <w:t>时，采</w:t>
      </w:r>
      <w:r>
        <w:rPr>
          <w:rFonts w:ascii="宋体" w:hAnsi="宋体"/>
          <w:sz w:val="24"/>
        </w:rPr>
        <w:t>面</w:t>
      </w:r>
      <w:r>
        <w:rPr>
          <w:rFonts w:hint="eastAsia" w:ascii="宋体" w:hAnsi="宋体"/>
          <w:sz w:val="24"/>
        </w:rPr>
        <w:t>工作面相对</w:t>
      </w:r>
      <w:r>
        <w:rPr>
          <w:rFonts w:ascii="宋体" w:hAnsi="宋体"/>
          <w:sz w:val="24"/>
        </w:rPr>
        <w:t>瓦斯涌出量为：</w:t>
      </w:r>
    </w:p>
    <w:p w14:paraId="42E2737D">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＝12.305+5.84＝18.15</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111C3661">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开采K110-a</w:t>
      </w:r>
      <w:r>
        <w:rPr>
          <w:rFonts w:ascii="宋体" w:hAnsi="宋体"/>
          <w:sz w:val="24"/>
        </w:rPr>
        <w:t>煤层</w:t>
      </w:r>
      <w:r>
        <w:rPr>
          <w:rFonts w:hint="eastAsia" w:ascii="宋体" w:hAnsi="宋体"/>
          <w:sz w:val="24"/>
        </w:rPr>
        <w:t>时</w:t>
      </w:r>
      <w:r>
        <w:rPr>
          <w:rFonts w:ascii="宋体" w:hAnsi="宋体"/>
          <w:sz w:val="24"/>
        </w:rPr>
        <w:t>，</w:t>
      </w:r>
      <w:r>
        <w:rPr>
          <w:rFonts w:hint="eastAsia" w:ascii="宋体" w:hAnsi="宋体"/>
          <w:sz w:val="24"/>
        </w:rPr>
        <w:t>K110-a</w:t>
      </w:r>
      <w:r>
        <w:rPr>
          <w:rFonts w:ascii="宋体" w:hAnsi="宋体"/>
          <w:sz w:val="24"/>
        </w:rPr>
        <w:t>煤层</w:t>
      </w:r>
      <w:r>
        <w:rPr>
          <w:rFonts w:hint="eastAsia" w:ascii="宋体" w:hAnsi="宋体"/>
          <w:sz w:val="24"/>
        </w:rPr>
        <w:t>为矿区范围内的最下部可采煤层，其下部矿区范围内无可采</w:t>
      </w:r>
      <w:r>
        <w:rPr>
          <w:rFonts w:ascii="宋体" w:hAnsi="宋体"/>
          <w:sz w:val="24"/>
        </w:rPr>
        <w:t>邻近层</w:t>
      </w:r>
      <w:r>
        <w:rPr>
          <w:rFonts w:hint="eastAsia" w:ascii="宋体" w:hAnsi="宋体"/>
          <w:sz w:val="24"/>
        </w:rPr>
        <w:t>，上邻近层均已采空，因此，开采K110-a</w:t>
      </w:r>
      <w:r>
        <w:rPr>
          <w:rFonts w:ascii="宋体" w:hAnsi="宋体"/>
          <w:sz w:val="24"/>
        </w:rPr>
        <w:t>煤层</w:t>
      </w:r>
      <w:r>
        <w:rPr>
          <w:rFonts w:hint="eastAsia" w:ascii="宋体" w:hAnsi="宋体"/>
          <w:sz w:val="24"/>
        </w:rPr>
        <w:t>时，邻近层瓦斯涌出量主要为不可采层瓦斯涌出量，</w:t>
      </w:r>
      <w:r>
        <w:rPr>
          <w:rFonts w:ascii="宋体" w:hAnsi="宋体"/>
          <w:sz w:val="24"/>
        </w:rPr>
        <w:t>计算如下。</w:t>
      </w:r>
    </w:p>
    <w:p w14:paraId="44FE8C1F">
      <w:pPr>
        <w:spacing w:line="360" w:lineRule="auto"/>
        <w:ind w:firstLine="480" w:firstLineChars="200"/>
        <w:rPr>
          <w:rFonts w:hint="eastAsia" w:ascii="宋体" w:hAnsi="宋体"/>
          <w:color w:val="FF0000"/>
          <w:sz w:val="24"/>
        </w:rPr>
      </w:pPr>
      <w:r>
        <w:rPr>
          <w:rFonts w:ascii="宋体" w:hAnsi="宋体"/>
          <w:color w:val="FF0000"/>
          <w:sz w:val="24"/>
          <w:szCs w:val="28"/>
        </w:rPr>
        <w:t>q</w:t>
      </w:r>
      <w:r>
        <w:rPr>
          <w:rFonts w:hint="eastAsia" w:ascii="宋体" w:hAnsi="宋体"/>
          <w:color w:val="FF0000"/>
          <w:sz w:val="24"/>
          <w:szCs w:val="28"/>
          <w:vertAlign w:val="subscript"/>
        </w:rPr>
        <w:t>采</w:t>
      </w:r>
      <w:r>
        <w:rPr>
          <w:rFonts w:hint="eastAsia" w:ascii="宋体" w:hAnsi="宋体"/>
          <w:color w:val="FF0000"/>
          <w:sz w:val="24"/>
          <w:szCs w:val="28"/>
        </w:rPr>
        <w:t>＝q</w:t>
      </w:r>
      <w:r>
        <w:rPr>
          <w:rFonts w:hint="eastAsia" w:ascii="宋体" w:hAnsi="宋体"/>
          <w:color w:val="FF0000"/>
          <w:sz w:val="24"/>
          <w:szCs w:val="28"/>
          <w:vertAlign w:val="subscript"/>
        </w:rPr>
        <w:t>1</w:t>
      </w:r>
      <w:r>
        <w:rPr>
          <w:rFonts w:hint="eastAsia" w:ascii="宋体" w:hAnsi="宋体"/>
          <w:color w:val="FF0000"/>
          <w:sz w:val="24"/>
          <w:szCs w:val="28"/>
        </w:rPr>
        <w:t>＋q</w:t>
      </w:r>
      <w:r>
        <w:rPr>
          <w:rFonts w:hint="eastAsia" w:ascii="宋体" w:hAnsi="宋体"/>
          <w:color w:val="FF0000"/>
          <w:sz w:val="24"/>
          <w:szCs w:val="28"/>
          <w:vertAlign w:val="subscript"/>
        </w:rPr>
        <w:t>2</w:t>
      </w:r>
      <w:r>
        <w:rPr>
          <w:rFonts w:hint="eastAsia" w:ascii="宋体" w:hAnsi="宋体"/>
          <w:color w:val="FF0000"/>
          <w:sz w:val="24"/>
        </w:rPr>
        <w:t>＝11.462+11.462×0.02＝11.69</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/t)</w:t>
      </w:r>
    </w:p>
    <w:p w14:paraId="6615B5CE">
      <w:pPr>
        <w:spacing w:line="360" w:lineRule="auto"/>
        <w:ind w:firstLine="480" w:firstLineChars="200"/>
        <w:rPr>
          <w:rFonts w:ascii="宋体" w:hAnsi="宋体"/>
          <w:sz w:val="24"/>
        </w:rPr>
      </w:pPr>
      <w:r>
        <w:rPr>
          <w:rFonts w:hint="eastAsia" w:ascii="宋体" w:hAnsi="宋体"/>
          <w:sz w:val="24"/>
        </w:rPr>
        <w:t>③ 回</w:t>
      </w:r>
      <w:r>
        <w:rPr>
          <w:rFonts w:ascii="宋体" w:hAnsi="宋体"/>
          <w:sz w:val="24"/>
        </w:rPr>
        <w:t>采</w:t>
      </w:r>
      <w:r>
        <w:rPr>
          <w:rFonts w:hint="eastAsia" w:ascii="宋体" w:hAnsi="宋体"/>
          <w:sz w:val="24"/>
        </w:rPr>
        <w:t>工作</w:t>
      </w:r>
      <w:r>
        <w:rPr>
          <w:rFonts w:ascii="宋体" w:hAnsi="宋体"/>
          <w:sz w:val="24"/>
        </w:rPr>
        <w:t>面瓦斯涌出量</w:t>
      </w:r>
    </w:p>
    <w:p w14:paraId="4ED4E72F">
      <w:pPr>
        <w:spacing w:line="360" w:lineRule="auto"/>
        <w:ind w:firstLine="480" w:firstLineChars="200"/>
        <w:rPr>
          <w:rFonts w:hint="eastAsia" w:ascii="宋体" w:hAnsi="宋体"/>
          <w:sz w:val="24"/>
        </w:rPr>
      </w:pPr>
      <w:r>
        <w:rPr>
          <w:rFonts w:hint="eastAsia" w:ascii="宋体" w:hAnsi="宋体"/>
          <w:sz w:val="24"/>
        </w:rPr>
        <w:t>根据以上计算可知道，当开采K10煤层至该煤层在矿区范围内最深标高＋1782m标高时，回采工作面相对瓦斯涌出量最大，为29.28</w:t>
      </w:r>
      <w:r>
        <w:rPr>
          <w:rFonts w:ascii="宋体" w:hAnsi="宋体"/>
          <w:sz w:val="24"/>
        </w:rPr>
        <w:t>m</w:t>
      </w:r>
      <w:r>
        <w:rPr>
          <w:rFonts w:ascii="宋体" w:hAnsi="宋体"/>
          <w:sz w:val="24"/>
          <w:vertAlign w:val="superscript"/>
        </w:rPr>
        <w:t>3</w:t>
      </w:r>
      <w:r>
        <w:rPr>
          <w:rFonts w:ascii="宋体" w:hAnsi="宋体"/>
          <w:sz w:val="24"/>
        </w:rPr>
        <w:t>/t</w:t>
      </w:r>
      <w:r>
        <w:rPr>
          <w:rFonts w:hint="eastAsia" w:ascii="宋体" w:hAnsi="宋体"/>
          <w:sz w:val="24"/>
        </w:rPr>
        <w:t>，影响矿井整体瓦斯涌出量也是最大，因此，以下计算将以开采K10煤层时的瓦斯涌出作为设计依据。</w:t>
      </w:r>
    </w:p>
    <w:p w14:paraId="576802B8">
      <w:pPr>
        <w:spacing w:line="360" w:lineRule="auto"/>
        <w:ind w:firstLine="480" w:firstLineChars="200"/>
        <w:rPr>
          <w:rFonts w:ascii="宋体" w:hAnsi="宋体"/>
          <w:sz w:val="24"/>
        </w:rPr>
      </w:pPr>
      <w:r>
        <w:rPr>
          <w:rFonts w:hint="eastAsia" w:ascii="宋体" w:hAnsi="宋体"/>
          <w:sz w:val="24"/>
        </w:rPr>
        <w:t>因此，</w:t>
      </w:r>
      <w:r>
        <w:rPr>
          <w:rFonts w:ascii="宋体" w:hAnsi="宋体"/>
          <w:sz w:val="24"/>
        </w:rPr>
        <w:t>矿井采煤工作面生产能力按</w:t>
      </w:r>
      <w:r>
        <w:rPr>
          <w:rFonts w:hint="eastAsia" w:ascii="宋体" w:hAnsi="宋体"/>
          <w:sz w:val="24"/>
        </w:rPr>
        <w:t>30万吨/年</w:t>
      </w:r>
      <w:r>
        <w:rPr>
          <w:rFonts w:ascii="宋体" w:hAnsi="宋体"/>
          <w:sz w:val="24"/>
        </w:rPr>
        <w:t>计算，采煤工作面相对瓦斯涌出量为</w:t>
      </w:r>
      <w:r>
        <w:rPr>
          <w:rFonts w:hint="eastAsia" w:ascii="宋体" w:hAnsi="宋体"/>
          <w:sz w:val="24"/>
        </w:rPr>
        <w:t>29.28</w:t>
      </w:r>
      <w:r>
        <w:rPr>
          <w:rFonts w:ascii="宋体" w:hAnsi="宋体"/>
          <w:sz w:val="24"/>
        </w:rPr>
        <w:t>m</w:t>
      </w:r>
      <w:r>
        <w:rPr>
          <w:rFonts w:ascii="宋体" w:hAnsi="宋体"/>
          <w:sz w:val="24"/>
          <w:vertAlign w:val="superscript"/>
        </w:rPr>
        <w:t>3</w:t>
      </w:r>
      <w:r>
        <w:rPr>
          <w:rFonts w:ascii="宋体" w:hAnsi="宋体"/>
          <w:sz w:val="24"/>
        </w:rPr>
        <w:t>/t，绝对瓦斯涌出量为</w:t>
      </w:r>
      <w:r>
        <w:rPr>
          <w:rFonts w:hint="eastAsia" w:ascii="宋体" w:hAnsi="宋体"/>
          <w:sz w:val="24"/>
        </w:rPr>
        <w:t>18.48</w:t>
      </w:r>
      <w:r>
        <w:rPr>
          <w:rFonts w:ascii="宋体" w:hAnsi="宋体"/>
          <w:sz w:val="24"/>
        </w:rPr>
        <w:t>m</w:t>
      </w:r>
      <w:r>
        <w:rPr>
          <w:rFonts w:ascii="宋体" w:hAnsi="宋体"/>
          <w:sz w:val="24"/>
          <w:vertAlign w:val="superscript"/>
        </w:rPr>
        <w:t>3</w:t>
      </w:r>
      <w:r>
        <w:rPr>
          <w:rFonts w:ascii="宋体" w:hAnsi="宋体"/>
          <w:sz w:val="24"/>
        </w:rPr>
        <w:t>/mim。</w:t>
      </w:r>
    </w:p>
    <w:p w14:paraId="22BDB6AE">
      <w:pPr>
        <w:adjustRightInd w:val="0"/>
        <w:snapToGrid w:val="0"/>
        <w:spacing w:line="360" w:lineRule="auto"/>
        <w:ind w:firstLine="480" w:firstLineChars="200"/>
        <w:rPr>
          <w:rFonts w:hint="eastAsia" w:ascii="宋体" w:hAnsi="宋体"/>
          <w:sz w:val="24"/>
        </w:rPr>
      </w:pPr>
      <w:r>
        <w:rPr>
          <w:rFonts w:hint="eastAsia" w:ascii="宋体" w:hAnsi="宋体"/>
          <w:sz w:val="24"/>
        </w:rPr>
        <w:t>2）掘进工作面瓦斯涌出量预测</w:t>
      </w:r>
    </w:p>
    <w:p w14:paraId="26F24962">
      <w:pPr>
        <w:adjustRightInd w:val="0"/>
        <w:snapToGrid w:val="0"/>
        <w:spacing w:line="360" w:lineRule="auto"/>
        <w:ind w:firstLine="480" w:firstLineChars="200"/>
        <w:rPr>
          <w:rFonts w:hint="eastAsia" w:ascii="宋体" w:hAnsi="宋体"/>
          <w:sz w:val="24"/>
          <w:vertAlign w:val="subscript"/>
        </w:rPr>
      </w:pPr>
      <w:r>
        <w:rPr>
          <w:rFonts w:hint="eastAsia" w:ascii="宋体" w:hAnsi="宋体"/>
          <w:sz w:val="24"/>
        </w:rPr>
        <w:t>q</w:t>
      </w:r>
      <w:r>
        <w:rPr>
          <w:rFonts w:hint="eastAsia" w:ascii="宋体" w:hAnsi="宋体"/>
          <w:sz w:val="24"/>
          <w:vertAlign w:val="subscript"/>
        </w:rPr>
        <w:t>掘</w:t>
      </w:r>
      <w:r>
        <w:rPr>
          <w:rFonts w:hint="eastAsia" w:ascii="宋体" w:hAnsi="宋体"/>
          <w:sz w:val="24"/>
        </w:rPr>
        <w:t>＝q</w:t>
      </w:r>
      <w:r>
        <w:rPr>
          <w:rFonts w:hint="eastAsia" w:ascii="宋体" w:hAnsi="宋体"/>
          <w:sz w:val="24"/>
          <w:vertAlign w:val="subscript"/>
        </w:rPr>
        <w:t>3</w:t>
      </w:r>
      <w:r>
        <w:rPr>
          <w:rFonts w:hint="eastAsia" w:ascii="宋体" w:hAnsi="宋体"/>
          <w:sz w:val="24"/>
        </w:rPr>
        <w:t>＋q</w:t>
      </w:r>
      <w:r>
        <w:rPr>
          <w:rFonts w:hint="eastAsia" w:ascii="宋体" w:hAnsi="宋体"/>
          <w:sz w:val="24"/>
          <w:vertAlign w:val="subscript"/>
        </w:rPr>
        <w:t>4</w:t>
      </w:r>
    </w:p>
    <w:p w14:paraId="23B22693">
      <w:pPr>
        <w:adjustRightInd w:val="0"/>
        <w:snapToGrid w:val="0"/>
        <w:spacing w:line="360" w:lineRule="auto"/>
        <w:ind w:firstLine="480" w:firstLineChars="200"/>
        <w:rPr>
          <w:rFonts w:hint="eastAsia" w:ascii="宋体" w:hAnsi="宋体"/>
          <w:sz w:val="24"/>
        </w:rPr>
      </w:pPr>
      <w:r>
        <w:rPr>
          <w:rFonts w:ascii="宋体" w:hAnsi="宋体"/>
          <w:position w:val="-12"/>
          <w:sz w:val="24"/>
        </w:rPr>
        <w:object>
          <v:shape id="_x0000_i1089" o:spt="75" type="#_x0000_t75" style="height:20pt;width:117pt;" o:ole="t" filled="f" o:preferrelative="t" stroked="f" coordsize="21600,21600">
            <v:path/>
            <v:fill on="f" alignshape="1" focussize="0,0"/>
            <v:stroke on="f"/>
            <v:imagedata r:id="rId111" o:title=""/>
            <o:lock v:ext="edit" aspectratio="t"/>
            <w10:wrap type="none"/>
            <w10:anchorlock/>
          </v:shape>
          <o:OLEObject Type="Embed" ProgID="Equation.3" ShapeID="_x0000_i1089" DrawAspect="Content" ObjectID="_1468075778" r:id="rId110">
            <o:LockedField>false</o:LockedField>
          </o:OLEObject>
        </w:object>
      </w:r>
    </w:p>
    <w:p w14:paraId="41B148A0">
      <w:pPr>
        <w:adjustRightInd w:val="0"/>
        <w:snapToGrid w:val="0"/>
        <w:spacing w:line="360" w:lineRule="auto"/>
        <w:ind w:firstLine="480" w:firstLineChars="200"/>
        <w:rPr>
          <w:rFonts w:hint="eastAsia" w:ascii="宋体" w:hAnsi="宋体"/>
          <w:sz w:val="24"/>
        </w:rPr>
      </w:pPr>
      <w:r>
        <w:rPr>
          <w:rFonts w:ascii="宋体" w:hAnsi="宋体"/>
          <w:position w:val="-12"/>
          <w:sz w:val="24"/>
        </w:rPr>
        <w:object>
          <v:shape id="_x0000_i1090" o:spt="75" type="#_x0000_t75" style="height:18pt;width:117pt;" o:ole="t" filled="f" o:preferrelative="t" stroked="f" coordsize="21600,21600">
            <v:path/>
            <v:fill on="f" alignshape="1" focussize="0,0"/>
            <v:stroke on="f"/>
            <v:imagedata r:id="rId113" o:title=""/>
            <o:lock v:ext="edit" aspectratio="t"/>
            <w10:wrap type="none"/>
            <w10:anchorlock/>
          </v:shape>
          <o:OLEObject Type="Embed" ProgID="Equation.3" ShapeID="_x0000_i1090" DrawAspect="Content" ObjectID="_1468075779" r:id="rId112">
            <o:LockedField>false</o:LockedField>
          </o:OLEObject>
        </w:object>
      </w:r>
    </w:p>
    <w:p w14:paraId="6F03C4E1">
      <w:pPr>
        <w:spacing w:line="360" w:lineRule="auto"/>
        <w:ind w:firstLine="480" w:firstLineChars="200"/>
        <w:rPr>
          <w:rFonts w:hint="eastAsia" w:ascii="宋体" w:hAnsi="宋体"/>
          <w:sz w:val="24"/>
        </w:rPr>
      </w:pPr>
      <w:r>
        <w:rPr>
          <w:rFonts w:ascii="宋体" w:hAnsi="宋体"/>
          <w:sz w:val="24"/>
        </w:rPr>
        <w:t>掘进工作面瓦斯涌出量包括掘进巷道煤壁瓦斯涌出量和掘进巷道落煤的瓦斯涌出量，即公式：</w:t>
      </w:r>
    </w:p>
    <w:p w14:paraId="0A77C828">
      <w:pPr>
        <w:spacing w:line="360" w:lineRule="auto"/>
        <w:ind w:firstLine="480" w:firstLineChars="200"/>
        <w:rPr>
          <w:rFonts w:hint="eastAsia" w:ascii="宋体" w:hAnsi="宋体"/>
          <w:sz w:val="24"/>
        </w:rPr>
      </w:pPr>
      <w:r>
        <w:rPr>
          <w:rFonts w:ascii="宋体" w:hAnsi="宋体"/>
          <w:sz w:val="24"/>
        </w:rPr>
        <w:t>q</w:t>
      </w:r>
      <w:r>
        <w:rPr>
          <w:rFonts w:ascii="宋体" w:hAnsi="宋体"/>
          <w:sz w:val="24"/>
          <w:vertAlign w:val="subscript"/>
        </w:rPr>
        <w:t>3</w:t>
      </w:r>
      <w:r>
        <w:rPr>
          <w:rFonts w:ascii="宋体" w:hAnsi="宋体"/>
          <w:sz w:val="24"/>
        </w:rPr>
        <w:t>＝</w:t>
      </w:r>
      <w:r>
        <w:rPr>
          <w:rFonts w:hint="eastAsia" w:ascii="宋体" w:hAnsi="宋体"/>
          <w:sz w:val="24"/>
        </w:rPr>
        <w:t>D</w:t>
      </w:r>
      <w:r>
        <w:rPr>
          <w:rFonts w:ascii="宋体" w:hAnsi="宋体"/>
          <w:sz w:val="24"/>
        </w:rPr>
        <w:t>·V·q</w:t>
      </w:r>
      <w:r>
        <w:rPr>
          <w:rFonts w:hint="eastAsia" w:ascii="宋体" w:hAnsi="宋体"/>
          <w:sz w:val="24"/>
          <w:vertAlign w:val="subscript"/>
        </w:rPr>
        <w:t>0</w:t>
      </w:r>
      <w:r>
        <w:rPr>
          <w:rFonts w:ascii="宋体" w:hAnsi="宋体"/>
          <w:sz w:val="24"/>
        </w:rPr>
        <w:t>·(2</w:t>
      </w:r>
      <w:r>
        <w:rPr>
          <w:rFonts w:ascii="宋体" w:hAnsi="宋体"/>
          <w:position w:val="-8"/>
          <w:sz w:val="24"/>
        </w:rPr>
        <w:object>
          <v:shape id="_x0000_i1091" o:spt="75" type="#_x0000_t75" style="height:18pt;width:36pt;" o:ole="t" filled="f" o:preferrelative="t" stroked="f" coordsize="21600,21600">
            <v:path/>
            <v:fill on="f" focussize="0,0"/>
            <v:stroke on="f"/>
            <v:imagedata r:id="rId115" o:title=""/>
            <o:lock v:ext="edit" aspectratio="t"/>
            <w10:wrap type="none"/>
            <w10:anchorlock/>
          </v:shape>
          <o:OLEObject Type="Embed" ProgID="Equation.3" ShapeID="_x0000_i1091" DrawAspect="Content" ObjectID="_1468075780" r:id="rId114">
            <o:LockedField>false</o:LockedField>
          </o:OLEObject>
        </w:object>
      </w:r>
      <w:r>
        <w:rPr>
          <w:rFonts w:ascii="宋体" w:hAnsi="宋体"/>
          <w:sz w:val="24"/>
        </w:rPr>
        <w:t>-1)</w:t>
      </w:r>
    </w:p>
    <w:p w14:paraId="711CA947">
      <w:pPr>
        <w:spacing w:line="360" w:lineRule="auto"/>
        <w:ind w:firstLine="480" w:firstLineChars="200"/>
        <w:rPr>
          <w:rFonts w:hint="eastAsia" w:ascii="宋体" w:hAnsi="宋体"/>
          <w:sz w:val="24"/>
        </w:rPr>
      </w:pPr>
      <w:r>
        <w:rPr>
          <w:rFonts w:ascii="宋体" w:hAnsi="宋体"/>
          <w:sz w:val="24"/>
        </w:rPr>
        <w:t>q</w:t>
      </w:r>
      <w:r>
        <w:rPr>
          <w:rFonts w:ascii="宋体" w:hAnsi="宋体"/>
          <w:sz w:val="24"/>
          <w:vertAlign w:val="subscript"/>
        </w:rPr>
        <w:t>4</w:t>
      </w:r>
      <w:r>
        <w:rPr>
          <w:rFonts w:ascii="宋体" w:hAnsi="宋体"/>
          <w:sz w:val="24"/>
        </w:rPr>
        <w:t>＝s·V·γ·(W</w:t>
      </w:r>
      <w:r>
        <w:rPr>
          <w:rFonts w:ascii="宋体" w:hAnsi="宋体"/>
          <w:sz w:val="24"/>
          <w:vertAlign w:val="subscript"/>
        </w:rPr>
        <w:t>0</w:t>
      </w:r>
      <w:r>
        <w:rPr>
          <w:rFonts w:ascii="宋体" w:hAnsi="宋体"/>
          <w:sz w:val="24"/>
        </w:rPr>
        <w:t>-W</w:t>
      </w:r>
      <w:r>
        <w:rPr>
          <w:rFonts w:ascii="宋体" w:hAnsi="宋体"/>
          <w:sz w:val="24"/>
          <w:vertAlign w:val="subscript"/>
        </w:rPr>
        <w:t>C</w:t>
      </w:r>
      <w:r>
        <w:rPr>
          <w:rFonts w:ascii="宋体" w:hAnsi="宋体"/>
          <w:sz w:val="24"/>
        </w:rPr>
        <w:t>)；</w:t>
      </w:r>
    </w:p>
    <w:p w14:paraId="7889CE71">
      <w:pPr>
        <w:spacing w:line="360" w:lineRule="auto"/>
        <w:ind w:firstLine="480" w:firstLineChars="200"/>
        <w:rPr>
          <w:rFonts w:ascii="宋体" w:hAnsi="宋体"/>
          <w:sz w:val="24"/>
        </w:rPr>
      </w:pPr>
      <w:r>
        <w:rPr>
          <w:rFonts w:ascii="宋体" w:hAnsi="宋体"/>
          <w:sz w:val="24"/>
        </w:rPr>
        <w:t>掘进工作面瓦斯涌出量为：</w:t>
      </w:r>
    </w:p>
    <w:p w14:paraId="2A9F022A">
      <w:pPr>
        <w:spacing w:line="360" w:lineRule="auto"/>
        <w:ind w:firstLine="480" w:firstLineChars="200"/>
        <w:rPr>
          <w:rFonts w:ascii="宋体" w:hAnsi="宋体"/>
          <w:sz w:val="24"/>
        </w:rPr>
      </w:pPr>
      <w:r>
        <w:rPr>
          <w:rFonts w:ascii="宋体" w:hAnsi="宋体"/>
          <w:sz w:val="24"/>
        </w:rPr>
        <w:t>Q</w:t>
      </w:r>
      <w:r>
        <w:rPr>
          <w:rFonts w:ascii="宋体" w:hAnsi="宋体"/>
          <w:sz w:val="24"/>
          <w:vertAlign w:val="subscript"/>
        </w:rPr>
        <w:t>掘</w:t>
      </w:r>
      <w:r>
        <w:rPr>
          <w:rFonts w:ascii="宋体" w:hAnsi="宋体"/>
          <w:sz w:val="24"/>
        </w:rPr>
        <w:t>＝q</w:t>
      </w:r>
      <w:r>
        <w:rPr>
          <w:rFonts w:ascii="宋体" w:hAnsi="宋体"/>
          <w:sz w:val="24"/>
          <w:vertAlign w:val="subscript"/>
        </w:rPr>
        <w:t>3</w:t>
      </w:r>
      <w:r>
        <w:rPr>
          <w:rFonts w:ascii="宋体" w:hAnsi="宋体"/>
          <w:sz w:val="24"/>
        </w:rPr>
        <w:t>+ q</w:t>
      </w:r>
      <w:r>
        <w:rPr>
          <w:rFonts w:ascii="宋体" w:hAnsi="宋体"/>
          <w:sz w:val="24"/>
          <w:vertAlign w:val="subscript"/>
        </w:rPr>
        <w:t>4</w:t>
      </w:r>
      <w:r>
        <w:rPr>
          <w:rFonts w:ascii="宋体" w:hAnsi="宋体"/>
          <w:sz w:val="24"/>
        </w:rPr>
        <w:t>＝n·m·V·q</w:t>
      </w:r>
      <w:r>
        <w:rPr>
          <w:rFonts w:ascii="宋体" w:hAnsi="宋体"/>
          <w:sz w:val="24"/>
          <w:vertAlign w:val="subscript"/>
        </w:rPr>
        <w:t>v</w:t>
      </w:r>
      <w:r>
        <w:rPr>
          <w:rFonts w:ascii="宋体" w:hAnsi="宋体"/>
          <w:sz w:val="24"/>
        </w:rPr>
        <w:t>·(2</w:t>
      </w:r>
      <w:r>
        <w:rPr>
          <w:rFonts w:ascii="宋体" w:hAnsi="宋体"/>
          <w:position w:val="-8"/>
          <w:sz w:val="24"/>
        </w:rPr>
        <w:object>
          <v:shape id="_x0000_i1092" o:spt="75" type="#_x0000_t75" style="height:18pt;width:36pt;" o:ole="t" filled="f" o:preferrelative="t" stroked="f" coordsize="21600,21600">
            <v:path/>
            <v:fill on="f" focussize="0,0"/>
            <v:stroke on="f"/>
            <v:imagedata r:id="rId115" o:title=""/>
            <o:lock v:ext="edit" aspectratio="t"/>
            <w10:wrap type="none"/>
            <w10:anchorlock/>
          </v:shape>
          <o:OLEObject Type="Embed" ProgID="Equation.3" ShapeID="_x0000_i1092" DrawAspect="Content" ObjectID="_1468075781" r:id="rId116">
            <o:LockedField>false</o:LockedField>
          </o:OLEObject>
        </w:object>
      </w:r>
      <w:r>
        <w:rPr>
          <w:rFonts w:ascii="宋体" w:hAnsi="宋体"/>
          <w:sz w:val="24"/>
        </w:rPr>
        <w:t>-1)+s·V·γ·(W</w:t>
      </w:r>
      <w:r>
        <w:rPr>
          <w:rFonts w:ascii="宋体" w:hAnsi="宋体"/>
          <w:sz w:val="24"/>
          <w:vertAlign w:val="subscript"/>
        </w:rPr>
        <w:t>0</w:t>
      </w:r>
      <w:r>
        <w:rPr>
          <w:rFonts w:ascii="宋体" w:hAnsi="宋体"/>
          <w:sz w:val="24"/>
        </w:rPr>
        <w:t>-W</w:t>
      </w:r>
      <w:r>
        <w:rPr>
          <w:rFonts w:ascii="宋体" w:hAnsi="宋体"/>
          <w:sz w:val="24"/>
          <w:vertAlign w:val="subscript"/>
        </w:rPr>
        <w:t>C</w:t>
      </w:r>
      <w:r>
        <w:rPr>
          <w:rFonts w:ascii="宋体" w:hAnsi="宋体"/>
          <w:sz w:val="24"/>
        </w:rPr>
        <w:t>)</w:t>
      </w:r>
    </w:p>
    <w:p w14:paraId="3E93B952">
      <w:pPr>
        <w:spacing w:line="360" w:lineRule="auto"/>
        <w:ind w:firstLine="480" w:firstLineChars="200"/>
        <w:rPr>
          <w:rFonts w:hint="eastAsia" w:ascii="宋体" w:hAnsi="宋体"/>
          <w:sz w:val="24"/>
        </w:rPr>
      </w:pPr>
      <w:r>
        <w:rPr>
          <w:rFonts w:ascii="宋体" w:hAnsi="宋体"/>
          <w:sz w:val="24"/>
        </w:rPr>
        <w:t>式中：Q</w:t>
      </w:r>
      <w:r>
        <w:rPr>
          <w:rFonts w:ascii="宋体" w:hAnsi="宋体"/>
          <w:sz w:val="24"/>
          <w:vertAlign w:val="subscript"/>
        </w:rPr>
        <w:t>掘</w:t>
      </w:r>
      <w:r>
        <w:rPr>
          <w:rFonts w:hint="eastAsia" w:ascii="宋体" w:hAnsi="宋体"/>
          <w:sz w:val="24"/>
        </w:rPr>
        <w:t>—</w:t>
      </w:r>
      <w:r>
        <w:rPr>
          <w:rFonts w:ascii="宋体" w:hAnsi="宋体"/>
          <w:sz w:val="24"/>
        </w:rPr>
        <w:t>掘进工作面煤层瓦斯涌出量，m</w:t>
      </w:r>
      <w:r>
        <w:rPr>
          <w:rFonts w:ascii="宋体" w:hAnsi="宋体"/>
          <w:sz w:val="24"/>
          <w:vertAlign w:val="superscript"/>
        </w:rPr>
        <w:t>3</w:t>
      </w:r>
      <w:r>
        <w:rPr>
          <w:rFonts w:ascii="宋体" w:hAnsi="宋体"/>
          <w:sz w:val="24"/>
        </w:rPr>
        <w:t>/min；</w:t>
      </w:r>
    </w:p>
    <w:p w14:paraId="483BCB4A">
      <w:pPr>
        <w:spacing w:line="360" w:lineRule="auto"/>
        <w:ind w:firstLine="1200" w:firstLineChars="500"/>
        <w:rPr>
          <w:rFonts w:hint="eastAsia" w:ascii="宋体" w:hAnsi="宋体"/>
          <w:sz w:val="24"/>
        </w:rPr>
      </w:pPr>
      <w:r>
        <w:rPr>
          <w:rFonts w:ascii="宋体" w:hAnsi="宋体"/>
          <w:sz w:val="24"/>
        </w:rPr>
        <w:t>q</w:t>
      </w:r>
      <w:r>
        <w:rPr>
          <w:rFonts w:ascii="宋体" w:hAnsi="宋体"/>
          <w:sz w:val="24"/>
          <w:vertAlign w:val="subscript"/>
        </w:rPr>
        <w:t>3</w:t>
      </w:r>
      <w:r>
        <w:rPr>
          <w:rFonts w:hint="eastAsia" w:ascii="宋体" w:hAnsi="宋体"/>
          <w:sz w:val="24"/>
        </w:rPr>
        <w:t>—</w:t>
      </w:r>
      <w:r>
        <w:rPr>
          <w:rFonts w:ascii="宋体" w:hAnsi="宋体"/>
          <w:sz w:val="24"/>
        </w:rPr>
        <w:t>掘进巷道煤壁瓦斯涌出量，m</w:t>
      </w:r>
      <w:r>
        <w:rPr>
          <w:rFonts w:ascii="宋体" w:hAnsi="宋体"/>
          <w:sz w:val="24"/>
          <w:vertAlign w:val="superscript"/>
        </w:rPr>
        <w:t>3</w:t>
      </w:r>
      <w:r>
        <w:rPr>
          <w:rFonts w:ascii="宋体" w:hAnsi="宋体"/>
          <w:sz w:val="24"/>
        </w:rPr>
        <w:t>/min；</w:t>
      </w:r>
    </w:p>
    <w:p w14:paraId="478568D4">
      <w:pPr>
        <w:spacing w:line="360" w:lineRule="auto"/>
        <w:ind w:firstLine="1200" w:firstLineChars="500"/>
        <w:rPr>
          <w:rFonts w:hint="eastAsia" w:ascii="宋体" w:hAnsi="宋体"/>
          <w:sz w:val="24"/>
        </w:rPr>
      </w:pPr>
      <w:r>
        <w:rPr>
          <w:rFonts w:ascii="宋体" w:hAnsi="宋体"/>
          <w:sz w:val="24"/>
        </w:rPr>
        <w:t>q</w:t>
      </w:r>
      <w:r>
        <w:rPr>
          <w:rFonts w:ascii="宋体" w:hAnsi="宋体"/>
          <w:sz w:val="24"/>
          <w:vertAlign w:val="subscript"/>
        </w:rPr>
        <w:t>3</w:t>
      </w:r>
      <w:r>
        <w:rPr>
          <w:rFonts w:hint="eastAsia" w:ascii="宋体" w:hAnsi="宋体"/>
          <w:sz w:val="24"/>
        </w:rPr>
        <w:t>—</w:t>
      </w:r>
      <w:r>
        <w:rPr>
          <w:rFonts w:ascii="宋体" w:hAnsi="宋体"/>
          <w:sz w:val="24"/>
        </w:rPr>
        <w:t>掘进巷道落煤的瓦斯涌出量，m</w:t>
      </w:r>
      <w:r>
        <w:rPr>
          <w:rFonts w:ascii="宋体" w:hAnsi="宋体"/>
          <w:sz w:val="24"/>
          <w:vertAlign w:val="superscript"/>
        </w:rPr>
        <w:t>3</w:t>
      </w:r>
      <w:r>
        <w:rPr>
          <w:rFonts w:ascii="宋体" w:hAnsi="宋体"/>
          <w:sz w:val="24"/>
        </w:rPr>
        <w:t>/min；</w:t>
      </w:r>
    </w:p>
    <w:p w14:paraId="4AB33661">
      <w:pPr>
        <w:spacing w:line="360" w:lineRule="auto"/>
        <w:ind w:firstLine="1200" w:firstLineChars="500"/>
        <w:rPr>
          <w:rFonts w:hint="eastAsia" w:ascii="宋体" w:hAnsi="宋体"/>
          <w:sz w:val="24"/>
        </w:rPr>
      </w:pPr>
      <w:r>
        <w:rPr>
          <w:rFonts w:hint="eastAsia" w:ascii="宋体" w:hAnsi="宋体" w:cs="宋体"/>
          <w:kern w:val="0"/>
          <w:sz w:val="24"/>
        </w:rPr>
        <w:t>D—巷道断面内暴露煤壁面的周边长度，m；对于薄及中厚煤层，D＝2m，m为开采层厚度；</w:t>
      </w:r>
    </w:p>
    <w:p w14:paraId="43403CEB">
      <w:pPr>
        <w:spacing w:line="360" w:lineRule="auto"/>
        <w:ind w:firstLine="1200" w:firstLineChars="500"/>
        <w:rPr>
          <w:rFonts w:hint="eastAsia" w:ascii="宋体" w:hAnsi="宋体"/>
          <w:sz w:val="24"/>
        </w:rPr>
      </w:pPr>
      <w:r>
        <w:rPr>
          <w:rFonts w:ascii="宋体" w:hAnsi="宋体"/>
          <w:sz w:val="24"/>
        </w:rPr>
        <w:t>V</w:t>
      </w:r>
      <w:r>
        <w:rPr>
          <w:rFonts w:hint="eastAsia" w:ascii="宋体" w:hAnsi="宋体"/>
          <w:sz w:val="24"/>
        </w:rPr>
        <w:t>—</w:t>
      </w:r>
      <w:r>
        <w:rPr>
          <w:rFonts w:ascii="宋体" w:hAnsi="宋体"/>
          <w:sz w:val="24"/>
        </w:rPr>
        <w:t>平均掘进速度，m/min</w:t>
      </w:r>
      <w:r>
        <w:rPr>
          <w:rFonts w:hint="eastAsia" w:ascii="宋体" w:hAnsi="宋体"/>
          <w:sz w:val="24"/>
        </w:rPr>
        <w:t>，取</w:t>
      </w:r>
      <w:r>
        <w:rPr>
          <w:rFonts w:ascii="宋体" w:hAnsi="宋体"/>
          <w:position w:val="-6"/>
          <w:sz w:val="24"/>
        </w:rPr>
        <w:object>
          <v:shape id="_x0000_i1093" o:spt="75" type="#_x0000_t75" style="height:13.05pt;width:9.75pt;" o:ole="t" filled="f" stroked="f" coordsize="21600,21600">
            <v:path/>
            <v:fill on="f" focussize="0,0"/>
            <v:stroke on="f"/>
            <v:imagedata r:id="rId118" o:title=""/>
            <o:lock v:ext="edit" aspectratio="t"/>
            <w10:wrap type="none"/>
            <w10:anchorlock/>
          </v:shape>
          <o:OLEObject Type="Embed" ProgID="Equation.DSMT4" ShapeID="_x0000_i1093" DrawAspect="Content" ObjectID="_1468075782" r:id="rId117">
            <o:LockedField>false</o:LockedField>
          </o:OLEObject>
        </w:object>
      </w:r>
      <w:r>
        <w:rPr>
          <w:rFonts w:hint="eastAsia" w:ascii="宋体" w:hAnsi="宋体"/>
          <w:sz w:val="24"/>
        </w:rPr>
        <w:t>＝0.0033</w:t>
      </w:r>
      <w:r>
        <w:rPr>
          <w:rFonts w:ascii="宋体" w:hAnsi="宋体"/>
          <w:sz w:val="24"/>
        </w:rPr>
        <w:t>；</w:t>
      </w:r>
    </w:p>
    <w:p w14:paraId="34D99304">
      <w:pPr>
        <w:spacing w:line="360" w:lineRule="auto"/>
        <w:ind w:firstLine="1200" w:firstLineChars="500"/>
        <w:rPr>
          <w:rFonts w:hint="eastAsia" w:ascii="宋体" w:hAnsi="宋体"/>
          <w:sz w:val="24"/>
        </w:rPr>
      </w:pPr>
      <w:r>
        <w:rPr>
          <w:rFonts w:ascii="宋体" w:hAnsi="宋体"/>
          <w:sz w:val="24"/>
        </w:rPr>
        <w:t>q</w:t>
      </w:r>
      <w:r>
        <w:rPr>
          <w:rFonts w:hint="eastAsia" w:ascii="宋体" w:hAnsi="宋体"/>
          <w:sz w:val="24"/>
          <w:vertAlign w:val="subscript"/>
        </w:rPr>
        <w:t>0</w:t>
      </w:r>
      <w:r>
        <w:rPr>
          <w:rFonts w:hint="eastAsia" w:ascii="宋体" w:hAnsi="宋体"/>
          <w:sz w:val="24"/>
        </w:rPr>
        <w:t>—</w:t>
      </w:r>
      <w:r>
        <w:rPr>
          <w:rFonts w:hint="eastAsia" w:ascii="宋体" w:hAnsi="宋体" w:cs="宋体"/>
          <w:kern w:val="0"/>
          <w:sz w:val="24"/>
        </w:rPr>
        <w:t>煤壁瓦斯涌出强度</w:t>
      </w:r>
      <w:r>
        <w:rPr>
          <w:rFonts w:ascii="宋体" w:hAnsi="宋体"/>
          <w:sz w:val="24"/>
        </w:rPr>
        <w:t>，</w:t>
      </w:r>
      <w:r>
        <w:rPr>
          <w:rFonts w:hint="eastAsia" w:ascii="宋体" w:hAnsi="宋体" w:cs="宋体"/>
          <w:kern w:val="0"/>
          <w:sz w:val="24"/>
        </w:rPr>
        <w:t>m</w:t>
      </w:r>
      <w:r>
        <w:rPr>
          <w:rFonts w:hint="eastAsia" w:ascii="宋体" w:hAnsi="宋体" w:cs="宋体"/>
          <w:kern w:val="0"/>
          <w:sz w:val="24"/>
          <w:vertAlign w:val="superscript"/>
        </w:rPr>
        <w:t>3</w:t>
      </w:r>
      <w:r>
        <w:rPr>
          <w:rFonts w:hint="eastAsia" w:ascii="宋体" w:hAnsi="宋体" w:cs="宋体"/>
          <w:kern w:val="0"/>
          <w:sz w:val="24"/>
        </w:rPr>
        <w:t>／(m</w:t>
      </w:r>
      <w:r>
        <w:rPr>
          <w:rFonts w:hint="eastAsia" w:ascii="宋体" w:hAnsi="宋体" w:cs="宋体"/>
          <w:kern w:val="0"/>
          <w:sz w:val="24"/>
          <w:vertAlign w:val="superscript"/>
        </w:rPr>
        <w:t>2</w:t>
      </w:r>
      <w:r>
        <w:rPr>
          <w:rFonts w:hint="eastAsia" w:ascii="宋体" w:hAnsi="宋体" w:cs="宋体"/>
          <w:kern w:val="0"/>
          <w:sz w:val="24"/>
        </w:rPr>
        <w:t>•min)</w:t>
      </w:r>
      <w:r>
        <w:rPr>
          <w:rFonts w:ascii="宋体" w:hAnsi="宋体"/>
          <w:sz w:val="24"/>
        </w:rPr>
        <w:t>，q</w:t>
      </w:r>
      <w:r>
        <w:rPr>
          <w:rFonts w:hint="eastAsia" w:ascii="宋体" w:hAnsi="宋体"/>
          <w:sz w:val="24"/>
          <w:vertAlign w:val="subscript"/>
        </w:rPr>
        <w:t>0</w:t>
      </w:r>
      <w:r>
        <w:rPr>
          <w:rFonts w:ascii="宋体" w:hAnsi="宋体"/>
          <w:sz w:val="24"/>
        </w:rPr>
        <w:t>＝0.026［0.0004(V</w:t>
      </w:r>
      <w:r>
        <w:rPr>
          <w:rFonts w:ascii="宋体" w:hAnsi="宋体"/>
          <w:sz w:val="24"/>
          <w:vertAlign w:val="superscript"/>
        </w:rPr>
        <w:t>r</w:t>
      </w:r>
      <w:r>
        <w:rPr>
          <w:rFonts w:ascii="宋体" w:hAnsi="宋体"/>
          <w:sz w:val="24"/>
        </w:rPr>
        <w:t>)</w:t>
      </w:r>
      <w:r>
        <w:rPr>
          <w:rFonts w:ascii="宋体" w:hAnsi="宋体"/>
          <w:sz w:val="24"/>
          <w:vertAlign w:val="superscript"/>
        </w:rPr>
        <w:t>2</w:t>
      </w:r>
      <w:r>
        <w:rPr>
          <w:rFonts w:ascii="宋体" w:hAnsi="宋体"/>
          <w:sz w:val="24"/>
        </w:rPr>
        <w:t>+0.16］·W</w:t>
      </w:r>
      <w:r>
        <w:rPr>
          <w:rFonts w:ascii="宋体" w:hAnsi="宋体"/>
          <w:sz w:val="24"/>
          <w:vertAlign w:val="subscript"/>
        </w:rPr>
        <w:t>0</w:t>
      </w:r>
      <w:r>
        <w:rPr>
          <w:rFonts w:hint="eastAsia" w:ascii="宋体" w:hAnsi="宋体"/>
          <w:sz w:val="24"/>
        </w:rPr>
        <w:t>，计算得</w:t>
      </w:r>
      <w:r>
        <w:rPr>
          <w:rFonts w:ascii="宋体" w:hAnsi="宋体"/>
          <w:sz w:val="24"/>
        </w:rPr>
        <w:t>q</w:t>
      </w:r>
      <w:r>
        <w:rPr>
          <w:rFonts w:ascii="宋体" w:hAnsi="宋体"/>
          <w:sz w:val="24"/>
          <w:vertAlign w:val="subscript"/>
        </w:rPr>
        <w:t>v</w:t>
      </w:r>
      <w:r>
        <w:rPr>
          <w:rFonts w:hint="eastAsia" w:ascii="宋体" w:hAnsi="宋体"/>
          <w:sz w:val="24"/>
        </w:rPr>
        <w:t>＝0.0894</w:t>
      </w:r>
      <w:r>
        <w:rPr>
          <w:rFonts w:ascii="宋体" w:hAnsi="宋体"/>
          <w:sz w:val="24"/>
        </w:rPr>
        <w:t>；</w:t>
      </w:r>
    </w:p>
    <w:p w14:paraId="5D44BEB6">
      <w:pPr>
        <w:spacing w:line="360" w:lineRule="auto"/>
        <w:ind w:firstLine="1200" w:firstLineChars="500"/>
        <w:rPr>
          <w:rFonts w:hint="eastAsia" w:ascii="宋体" w:hAnsi="宋体"/>
          <w:sz w:val="24"/>
        </w:rPr>
      </w:pPr>
      <w:r>
        <w:rPr>
          <w:rFonts w:ascii="宋体" w:hAnsi="宋体"/>
          <w:sz w:val="24"/>
        </w:rPr>
        <w:t>V</w:t>
      </w:r>
      <w:r>
        <w:rPr>
          <w:rFonts w:ascii="宋体" w:hAnsi="宋体"/>
          <w:sz w:val="24"/>
          <w:vertAlign w:val="superscript"/>
        </w:rPr>
        <w:t>r</w:t>
      </w:r>
      <w:r>
        <w:rPr>
          <w:rFonts w:hint="eastAsia" w:ascii="宋体" w:hAnsi="宋体"/>
          <w:sz w:val="24"/>
        </w:rPr>
        <w:t>—</w:t>
      </w:r>
      <w:r>
        <w:rPr>
          <w:rFonts w:ascii="宋体" w:hAnsi="宋体"/>
          <w:sz w:val="24"/>
        </w:rPr>
        <w:t>煤的挥发分；</w:t>
      </w:r>
    </w:p>
    <w:p w14:paraId="75ECD3CD">
      <w:pPr>
        <w:spacing w:line="360" w:lineRule="auto"/>
        <w:ind w:firstLine="1200" w:firstLineChars="500"/>
        <w:rPr>
          <w:rFonts w:hint="eastAsia" w:ascii="宋体" w:hAnsi="宋体"/>
          <w:sz w:val="24"/>
        </w:rPr>
      </w:pPr>
      <w:r>
        <w:rPr>
          <w:rFonts w:ascii="宋体" w:hAnsi="宋体"/>
          <w:sz w:val="24"/>
        </w:rPr>
        <w:t>W</w:t>
      </w:r>
      <w:r>
        <w:rPr>
          <w:rFonts w:ascii="宋体" w:hAnsi="宋体"/>
          <w:sz w:val="24"/>
          <w:vertAlign w:val="subscript"/>
        </w:rPr>
        <w:t>0</w:t>
      </w:r>
      <w:r>
        <w:rPr>
          <w:rFonts w:hint="eastAsia" w:ascii="宋体" w:hAnsi="宋体"/>
          <w:sz w:val="24"/>
        </w:rPr>
        <w:t>—</w:t>
      </w:r>
      <w:r>
        <w:rPr>
          <w:rFonts w:hint="eastAsia" w:ascii="宋体" w:hAnsi="宋体" w:cs="宋体"/>
          <w:kern w:val="0"/>
          <w:sz w:val="24"/>
        </w:rPr>
        <w:t>煤层原始瓦斯含量</w:t>
      </w:r>
      <w:r>
        <w:rPr>
          <w:rFonts w:ascii="宋体" w:hAnsi="宋体"/>
          <w:sz w:val="24"/>
        </w:rPr>
        <w:t>，m</w:t>
      </w:r>
      <w:r>
        <w:rPr>
          <w:rFonts w:ascii="宋体" w:hAnsi="宋体"/>
          <w:sz w:val="24"/>
          <w:vertAlign w:val="superscript"/>
        </w:rPr>
        <w:t>3</w:t>
      </w:r>
      <w:r>
        <w:rPr>
          <w:rFonts w:ascii="宋体" w:hAnsi="宋体"/>
          <w:sz w:val="24"/>
        </w:rPr>
        <w:t>/t；</w:t>
      </w:r>
    </w:p>
    <w:p w14:paraId="620E628B">
      <w:pPr>
        <w:spacing w:line="360" w:lineRule="auto"/>
        <w:ind w:firstLine="1200" w:firstLineChars="500"/>
        <w:rPr>
          <w:rFonts w:hint="eastAsia" w:ascii="宋体" w:hAnsi="宋体"/>
          <w:sz w:val="24"/>
        </w:rPr>
      </w:pPr>
      <w:r>
        <w:rPr>
          <w:rFonts w:ascii="宋体" w:hAnsi="宋体"/>
          <w:sz w:val="24"/>
        </w:rPr>
        <w:t>S</w:t>
      </w:r>
      <w:r>
        <w:rPr>
          <w:rFonts w:hint="eastAsia" w:ascii="宋体" w:hAnsi="宋体"/>
          <w:sz w:val="24"/>
        </w:rPr>
        <w:t>—</w:t>
      </w:r>
      <w:r>
        <w:rPr>
          <w:rFonts w:hint="eastAsia" w:ascii="宋体" w:hAnsi="宋体" w:cs="宋体"/>
          <w:kern w:val="0"/>
          <w:sz w:val="24"/>
        </w:rPr>
        <w:t>掘进巷道断面积</w:t>
      </w:r>
      <w:r>
        <w:rPr>
          <w:rFonts w:ascii="宋体" w:hAnsi="宋体"/>
          <w:sz w:val="24"/>
        </w:rPr>
        <w:t>，m</w:t>
      </w:r>
      <w:r>
        <w:rPr>
          <w:rFonts w:hint="eastAsia" w:ascii="宋体" w:hAnsi="宋体"/>
          <w:sz w:val="24"/>
          <w:vertAlign w:val="superscript"/>
        </w:rPr>
        <w:t>2</w:t>
      </w:r>
      <w:r>
        <w:rPr>
          <w:rFonts w:ascii="宋体" w:hAnsi="宋体"/>
          <w:sz w:val="24"/>
        </w:rPr>
        <w:t>；</w:t>
      </w:r>
    </w:p>
    <w:p w14:paraId="4F4F6F85">
      <w:pPr>
        <w:spacing w:line="360" w:lineRule="auto"/>
        <w:ind w:firstLine="1200" w:firstLineChars="500"/>
        <w:rPr>
          <w:rFonts w:hint="eastAsia" w:ascii="宋体" w:hAnsi="宋体"/>
          <w:sz w:val="24"/>
        </w:rPr>
      </w:pPr>
      <w:r>
        <w:rPr>
          <w:rFonts w:ascii="宋体" w:hAnsi="宋体"/>
          <w:sz w:val="24"/>
        </w:rPr>
        <w:t>L</w:t>
      </w:r>
      <w:r>
        <w:rPr>
          <w:rFonts w:hint="eastAsia" w:ascii="宋体" w:hAnsi="宋体"/>
          <w:sz w:val="24"/>
        </w:rPr>
        <w:t>—掘进</w:t>
      </w:r>
      <w:r>
        <w:rPr>
          <w:rFonts w:ascii="宋体" w:hAnsi="宋体"/>
          <w:sz w:val="24"/>
        </w:rPr>
        <w:t>巷道</w:t>
      </w:r>
      <w:r>
        <w:rPr>
          <w:rFonts w:hint="eastAsia" w:ascii="宋体" w:hAnsi="宋体"/>
          <w:sz w:val="24"/>
        </w:rPr>
        <w:t>最大</w:t>
      </w:r>
      <w:r>
        <w:rPr>
          <w:rFonts w:ascii="宋体" w:hAnsi="宋体"/>
          <w:sz w:val="24"/>
        </w:rPr>
        <w:t>长度，m</w:t>
      </w:r>
      <w:r>
        <w:rPr>
          <w:rFonts w:ascii="宋体" w:hAnsi="宋体"/>
          <w:sz w:val="24"/>
          <w:vertAlign w:val="superscript"/>
        </w:rPr>
        <w:t>2</w:t>
      </w:r>
      <w:r>
        <w:rPr>
          <w:rFonts w:ascii="宋体" w:hAnsi="宋体"/>
          <w:sz w:val="24"/>
        </w:rPr>
        <w:t>；</w:t>
      </w:r>
    </w:p>
    <w:p w14:paraId="1E4E8B2D">
      <w:pPr>
        <w:spacing w:line="360" w:lineRule="auto"/>
        <w:ind w:firstLine="1200" w:firstLineChars="500"/>
        <w:rPr>
          <w:rFonts w:hint="eastAsia" w:ascii="宋体" w:hAnsi="宋体"/>
          <w:sz w:val="24"/>
        </w:rPr>
      </w:pPr>
      <w:r>
        <w:rPr>
          <w:rFonts w:ascii="宋体" w:hAnsi="宋体"/>
          <w:sz w:val="24"/>
        </w:rPr>
        <w:t>γ</w:t>
      </w:r>
      <w:r>
        <w:rPr>
          <w:rFonts w:hint="eastAsia" w:ascii="宋体" w:hAnsi="宋体"/>
          <w:sz w:val="24"/>
        </w:rPr>
        <w:t>—</w:t>
      </w:r>
      <w:r>
        <w:rPr>
          <w:rFonts w:ascii="宋体" w:hAnsi="宋体"/>
          <w:sz w:val="24"/>
        </w:rPr>
        <w:t>煤的容重，t/m</w:t>
      </w:r>
      <w:r>
        <w:rPr>
          <w:rFonts w:ascii="宋体" w:hAnsi="宋体"/>
          <w:sz w:val="24"/>
          <w:vertAlign w:val="superscript"/>
        </w:rPr>
        <w:t>3</w:t>
      </w:r>
      <w:r>
        <w:rPr>
          <w:rFonts w:ascii="宋体" w:hAnsi="宋体"/>
          <w:sz w:val="24"/>
        </w:rPr>
        <w:t>；</w:t>
      </w:r>
    </w:p>
    <w:p w14:paraId="1A9CEA68">
      <w:pPr>
        <w:spacing w:line="360" w:lineRule="auto"/>
        <w:ind w:firstLine="1200" w:firstLineChars="500"/>
        <w:rPr>
          <w:rFonts w:ascii="宋体" w:hAnsi="宋体"/>
          <w:sz w:val="24"/>
        </w:rPr>
      </w:pPr>
      <w:r>
        <w:rPr>
          <w:rFonts w:ascii="宋体" w:hAnsi="宋体"/>
          <w:sz w:val="24"/>
        </w:rPr>
        <w:t>Wc</w:t>
      </w:r>
      <w:r>
        <w:rPr>
          <w:rFonts w:hint="eastAsia" w:ascii="宋体" w:hAnsi="宋体"/>
          <w:sz w:val="24"/>
        </w:rPr>
        <w:t>—</w:t>
      </w:r>
      <w:r>
        <w:rPr>
          <w:rFonts w:hint="eastAsia" w:ascii="宋体" w:hAnsi="宋体" w:cs="宋体"/>
          <w:kern w:val="0"/>
          <w:sz w:val="24"/>
        </w:rPr>
        <w:t>运出矿井后煤的残存瓦斯含量</w:t>
      </w:r>
      <w:r>
        <w:rPr>
          <w:rFonts w:ascii="宋体" w:hAnsi="宋体"/>
          <w:sz w:val="24"/>
        </w:rPr>
        <w:t>，m</w:t>
      </w:r>
      <w:r>
        <w:rPr>
          <w:rFonts w:ascii="宋体" w:hAnsi="宋体"/>
          <w:sz w:val="24"/>
          <w:vertAlign w:val="superscript"/>
        </w:rPr>
        <w:t>3</w:t>
      </w:r>
      <w:r>
        <w:rPr>
          <w:rFonts w:ascii="宋体" w:hAnsi="宋体"/>
          <w:sz w:val="24"/>
        </w:rPr>
        <w:t>/t，根椐</w:t>
      </w:r>
      <w:r>
        <w:rPr>
          <w:rFonts w:hint="eastAsia" w:ascii="宋体" w:hAnsi="宋体"/>
          <w:sz w:val="24"/>
        </w:rPr>
        <w:t>（</w:t>
      </w:r>
      <w:r>
        <w:rPr>
          <w:rFonts w:ascii="宋体" w:hAnsi="宋体"/>
          <w:sz w:val="24"/>
        </w:rPr>
        <w:t>AQ1018-2006</w:t>
      </w:r>
      <w:r>
        <w:rPr>
          <w:rFonts w:hint="eastAsia" w:ascii="宋体" w:hAnsi="宋体"/>
          <w:sz w:val="24"/>
        </w:rPr>
        <w:t>）标准</w:t>
      </w:r>
      <w:r>
        <w:rPr>
          <w:rFonts w:hint="eastAsia" w:ascii="宋体" w:hAnsi="宋体" w:cs="宋体"/>
          <w:kern w:val="0"/>
          <w:sz w:val="24"/>
        </w:rPr>
        <w:t>附录C</w:t>
      </w:r>
      <w:r>
        <w:rPr>
          <w:rFonts w:ascii="宋体" w:hAnsi="宋体"/>
          <w:sz w:val="24"/>
        </w:rPr>
        <w:t>选取。</w:t>
      </w:r>
    </w:p>
    <w:p w14:paraId="26BA378A">
      <w:pPr>
        <w:pStyle w:val="49"/>
        <w:adjustRightInd w:val="0"/>
        <w:textAlignment w:val="baseline"/>
        <w:rPr>
          <w:rFonts w:ascii="宋体" w:hAnsi="宋体"/>
        </w:rPr>
      </w:pPr>
      <w:r>
        <w:rPr>
          <w:rFonts w:ascii="宋体" w:hAnsi="宋体"/>
        </w:rPr>
        <w:t>根椐以上公式，取煤层瓦斯</w:t>
      </w:r>
      <w:r>
        <w:rPr>
          <w:rFonts w:hint="eastAsia" w:ascii="宋体" w:hAnsi="宋体"/>
        </w:rPr>
        <w:t>涌出</w:t>
      </w:r>
      <w:r>
        <w:rPr>
          <w:rFonts w:ascii="宋体" w:hAnsi="宋体"/>
        </w:rPr>
        <w:t>最大</w:t>
      </w:r>
      <w:r>
        <w:rPr>
          <w:rFonts w:hint="eastAsia" w:ascii="宋体" w:hAnsi="宋体"/>
        </w:rPr>
        <w:t>的K10</w:t>
      </w:r>
      <w:r>
        <w:rPr>
          <w:rFonts w:ascii="宋体" w:hAnsi="宋体"/>
        </w:rPr>
        <w:t>煤层进行计算。</w:t>
      </w:r>
    </w:p>
    <w:p w14:paraId="46F0732B">
      <w:pPr>
        <w:spacing w:line="360" w:lineRule="auto"/>
        <w:ind w:firstLine="480" w:firstLineChars="200"/>
        <w:rPr>
          <w:rFonts w:hint="eastAsia" w:ascii="宋体" w:hAnsi="宋体"/>
          <w:sz w:val="24"/>
        </w:rPr>
      </w:pPr>
      <w:r>
        <w:rPr>
          <w:rFonts w:ascii="宋体" w:hAnsi="宋体"/>
          <w:sz w:val="24"/>
        </w:rPr>
        <w:t>Q</w:t>
      </w:r>
      <w:r>
        <w:rPr>
          <w:rFonts w:ascii="宋体" w:hAnsi="宋体"/>
          <w:sz w:val="24"/>
          <w:vertAlign w:val="subscript"/>
        </w:rPr>
        <w:t>掘</w:t>
      </w:r>
      <w:r>
        <w:rPr>
          <w:rFonts w:ascii="宋体" w:hAnsi="宋体"/>
          <w:sz w:val="24"/>
        </w:rPr>
        <w:t>＝q</w:t>
      </w:r>
      <w:r>
        <w:rPr>
          <w:rFonts w:ascii="宋体" w:hAnsi="宋体"/>
          <w:sz w:val="24"/>
          <w:vertAlign w:val="subscript"/>
        </w:rPr>
        <w:t>3</w:t>
      </w:r>
      <w:r>
        <w:rPr>
          <w:rFonts w:ascii="宋体" w:hAnsi="宋体"/>
          <w:sz w:val="24"/>
        </w:rPr>
        <w:t>+ q</w:t>
      </w:r>
      <w:r>
        <w:rPr>
          <w:rFonts w:ascii="宋体" w:hAnsi="宋体"/>
          <w:sz w:val="24"/>
          <w:vertAlign w:val="subscript"/>
        </w:rPr>
        <w:t>4</w:t>
      </w:r>
      <w:r>
        <w:rPr>
          <w:rFonts w:ascii="宋体" w:hAnsi="宋体"/>
          <w:sz w:val="24"/>
        </w:rPr>
        <w:t>＝</w:t>
      </w:r>
      <w:r>
        <w:rPr>
          <w:rFonts w:hint="eastAsia" w:ascii="宋体" w:hAnsi="宋体"/>
          <w:sz w:val="24"/>
        </w:rPr>
        <w:t>D</w:t>
      </w:r>
      <w:r>
        <w:rPr>
          <w:rFonts w:ascii="宋体" w:hAnsi="宋体"/>
          <w:sz w:val="24"/>
        </w:rPr>
        <w:t>·V·q</w:t>
      </w:r>
      <w:r>
        <w:rPr>
          <w:rFonts w:hint="eastAsia" w:ascii="宋体" w:hAnsi="宋体"/>
          <w:sz w:val="24"/>
          <w:vertAlign w:val="subscript"/>
        </w:rPr>
        <w:t>0</w:t>
      </w:r>
      <w:r>
        <w:rPr>
          <w:rFonts w:ascii="宋体" w:hAnsi="宋体"/>
          <w:sz w:val="24"/>
        </w:rPr>
        <w:t>·(2</w:t>
      </w:r>
      <w:r>
        <w:rPr>
          <w:rFonts w:ascii="宋体" w:hAnsi="宋体"/>
          <w:position w:val="-8"/>
          <w:sz w:val="24"/>
        </w:rPr>
        <w:object>
          <v:shape id="_x0000_i1094" o:spt="75" type="#_x0000_t75" style="height:18pt;width:36pt;" o:ole="t" filled="f" o:preferrelative="t" stroked="f" coordsize="21600,21600">
            <v:path/>
            <v:fill on="f" focussize="0,0"/>
            <v:stroke on="f"/>
            <v:imagedata r:id="rId115" o:title=""/>
            <o:lock v:ext="edit" aspectratio="t"/>
            <w10:wrap type="none"/>
            <w10:anchorlock/>
          </v:shape>
          <o:OLEObject Type="Embed" ProgID="Equation.3" ShapeID="_x0000_i1094" DrawAspect="Content" ObjectID="_1468075783" r:id="rId119">
            <o:LockedField>false</o:LockedField>
          </o:OLEObject>
        </w:object>
      </w:r>
      <w:r>
        <w:rPr>
          <w:rFonts w:ascii="宋体" w:hAnsi="宋体"/>
          <w:sz w:val="24"/>
        </w:rPr>
        <w:t>-1)+s·V·γ·(W</w:t>
      </w:r>
      <w:r>
        <w:rPr>
          <w:rFonts w:ascii="宋体" w:hAnsi="宋体"/>
          <w:sz w:val="24"/>
          <w:vertAlign w:val="subscript"/>
        </w:rPr>
        <w:t>0</w:t>
      </w:r>
      <w:r>
        <w:rPr>
          <w:rFonts w:ascii="宋体" w:hAnsi="宋体"/>
          <w:sz w:val="24"/>
        </w:rPr>
        <w:t>-W</w:t>
      </w:r>
      <w:r>
        <w:rPr>
          <w:rFonts w:ascii="宋体" w:hAnsi="宋体"/>
          <w:sz w:val="24"/>
          <w:vertAlign w:val="subscript"/>
        </w:rPr>
        <w:t>C</w:t>
      </w:r>
      <w:r>
        <w:rPr>
          <w:rFonts w:ascii="宋体" w:hAnsi="宋体"/>
          <w:sz w:val="24"/>
        </w:rPr>
        <w:t>)</w:t>
      </w:r>
      <w:r>
        <w:rPr>
          <w:rFonts w:hint="eastAsia" w:ascii="宋体" w:hAnsi="宋体"/>
          <w:sz w:val="24"/>
        </w:rPr>
        <w:t>＝1.005m</w:t>
      </w:r>
      <w:r>
        <w:rPr>
          <w:rFonts w:hint="eastAsia" w:ascii="宋体" w:hAnsi="宋体"/>
          <w:sz w:val="24"/>
          <w:vertAlign w:val="superscript"/>
        </w:rPr>
        <w:t>3</w:t>
      </w:r>
      <w:r>
        <w:rPr>
          <w:rFonts w:hint="eastAsia" w:ascii="宋体" w:hAnsi="宋体"/>
          <w:sz w:val="24"/>
        </w:rPr>
        <w:t>/min</w:t>
      </w:r>
    </w:p>
    <w:p w14:paraId="3136A0E2">
      <w:pPr>
        <w:tabs>
          <w:tab w:val="center" w:pos="4775"/>
        </w:tabs>
        <w:adjustRightInd w:val="0"/>
        <w:snapToGrid w:val="0"/>
        <w:spacing w:line="360" w:lineRule="auto"/>
        <w:ind w:firstLine="480" w:firstLineChars="200"/>
        <w:rPr>
          <w:rFonts w:hint="eastAsia" w:ascii="宋体" w:hAnsi="宋体"/>
          <w:sz w:val="24"/>
        </w:rPr>
      </w:pPr>
      <w:r>
        <w:rPr>
          <w:rFonts w:hint="eastAsia" w:ascii="宋体" w:hAnsi="宋体"/>
          <w:sz w:val="24"/>
          <w:szCs w:val="28"/>
        </w:rPr>
        <w:t>3）</w:t>
      </w:r>
      <w:r>
        <w:rPr>
          <w:rFonts w:hint="eastAsia" w:ascii="宋体" w:hAnsi="宋体"/>
          <w:sz w:val="24"/>
        </w:rPr>
        <w:t>采区相对瓦斯涌出量</w:t>
      </w:r>
    </w:p>
    <w:p w14:paraId="72193653">
      <w:pPr>
        <w:pStyle w:val="23"/>
      </w:pPr>
      <w:r>
        <w:t>根据矿井开拓部署，本矿为一个采区一个生产工作面组织生产。</w:t>
      </w:r>
    </w:p>
    <w:p w14:paraId="03118F51">
      <w:pPr>
        <w:adjustRightInd w:val="0"/>
        <w:snapToGrid w:val="0"/>
        <w:spacing w:line="360" w:lineRule="auto"/>
        <w:ind w:firstLine="960" w:firstLineChars="400"/>
        <w:rPr>
          <w:rFonts w:hint="eastAsia" w:ascii="宋体" w:hAnsi="宋体"/>
          <w:sz w:val="24"/>
        </w:rPr>
      </w:pPr>
      <w:r>
        <w:rPr>
          <w:rFonts w:ascii="宋体" w:hAnsi="宋体"/>
          <w:position w:val="-30"/>
          <w:sz w:val="24"/>
        </w:rPr>
        <w:object>
          <v:shape id="_x0000_i1095" o:spt="75" type="#_x0000_t75" style="height:51pt;width:162pt;" o:ole="t" filled="f" o:preferrelative="t" stroked="f" coordsize="21600,21600">
            <v:path/>
            <v:fill on="f" alignshape="1" focussize="0,0"/>
            <v:stroke on="f"/>
            <v:imagedata r:id="rId121" o:title=""/>
            <o:lock v:ext="edit" aspectratio="t"/>
            <w10:wrap type="none"/>
            <w10:anchorlock/>
          </v:shape>
          <o:OLEObject Type="Embed" ProgID="Equation.DSMT4" ShapeID="_x0000_i1095" DrawAspect="Content" ObjectID="_1468075784" r:id="rId120">
            <o:LockedField>false</o:LockedField>
          </o:OLEObject>
        </w:object>
      </w:r>
    </w:p>
    <w:p w14:paraId="0BE5CD6A">
      <w:pPr>
        <w:adjustRightInd w:val="0"/>
        <w:snapToGrid w:val="0"/>
        <w:spacing w:line="360" w:lineRule="auto"/>
        <w:ind w:firstLine="960" w:firstLineChars="400"/>
        <w:rPr>
          <w:rFonts w:hint="eastAsia" w:ascii="宋体" w:hAnsi="宋体"/>
          <w:sz w:val="24"/>
        </w:rPr>
      </w:pPr>
      <w:r>
        <w:rPr>
          <w:rFonts w:hint="eastAsia" w:ascii="宋体" w:hAnsi="宋体"/>
          <w:sz w:val="24"/>
        </w:rPr>
        <w:t>式中：</w:t>
      </w:r>
      <w:r>
        <w:rPr>
          <w:rFonts w:ascii="宋体" w:hAnsi="宋体"/>
          <w:position w:val="-12"/>
          <w:sz w:val="24"/>
        </w:rPr>
        <w:object>
          <v:shape id="_x0000_i1096" o:spt="75" type="#_x0000_t75" style="height:18pt;width:16pt;" o:ole="t" filled="f" stroked="f" coordsize="21600,21600">
            <v:path/>
            <v:fill on="f" focussize="0,0"/>
            <v:stroke on="f"/>
            <v:imagedata r:id="rId123" o:title=""/>
            <o:lock v:ext="edit" aspectratio="t"/>
            <w10:wrap type="none"/>
            <w10:anchorlock/>
          </v:shape>
          <o:OLEObject Type="Embed" ProgID="Equation.DSMT4" ShapeID="_x0000_i1096" DrawAspect="Content" ObjectID="_1468075785" r:id="rId122">
            <o:LockedField>false</o:LockedField>
          </o:OLEObject>
        </w:object>
      </w:r>
      <w:r>
        <w:rPr>
          <w:rFonts w:hint="eastAsia" w:ascii="宋体" w:hAnsi="宋体"/>
          <w:sz w:val="24"/>
        </w:rPr>
        <w:t>──生产采区相对瓦斯涌出量，m</w:t>
      </w:r>
      <w:r>
        <w:rPr>
          <w:rFonts w:hint="eastAsia" w:ascii="宋体" w:hAnsi="宋体"/>
          <w:sz w:val="24"/>
          <w:vertAlign w:val="superscript"/>
        </w:rPr>
        <w:t>3</w:t>
      </w:r>
      <w:r>
        <w:rPr>
          <w:rFonts w:hint="eastAsia" w:ascii="宋体" w:hAnsi="宋体"/>
          <w:sz w:val="24"/>
        </w:rPr>
        <w:t>/t；</w:t>
      </w:r>
    </w:p>
    <w:p w14:paraId="32A8004A">
      <w:pPr>
        <w:adjustRightInd w:val="0"/>
        <w:snapToGrid w:val="0"/>
        <w:spacing w:line="360" w:lineRule="auto"/>
        <w:ind w:firstLine="1680" w:firstLineChars="700"/>
        <w:rPr>
          <w:rFonts w:hint="eastAsia" w:ascii="宋体" w:hAnsi="宋体"/>
          <w:sz w:val="24"/>
        </w:rPr>
      </w:pPr>
      <w:r>
        <w:rPr>
          <w:rFonts w:ascii="宋体" w:hAnsi="宋体"/>
          <w:position w:val="-4"/>
          <w:sz w:val="24"/>
        </w:rPr>
        <w:object>
          <v:shape id="_x0000_i1097" o:spt="75" type="#_x0000_t75" style="height:13pt;width:16pt;" o:ole="t" filled="f" stroked="f" coordsize="21600,21600">
            <v:path/>
            <v:fill on="f" focussize="0,0"/>
            <v:stroke on="f"/>
            <v:imagedata r:id="rId125" o:title=""/>
            <o:lock v:ext="edit" aspectratio="t"/>
            <w10:wrap type="none"/>
            <w10:anchorlock/>
          </v:shape>
          <o:OLEObject Type="Embed" ProgID="Equation.DSMT4" ShapeID="_x0000_i1097" DrawAspect="Content" ObjectID="_1468075786" r:id="rId124">
            <o:LockedField>false</o:LockedField>
          </o:OLEObject>
        </w:object>
      </w:r>
      <w:r>
        <w:rPr>
          <w:rFonts w:hint="eastAsia" w:ascii="宋体" w:hAnsi="宋体"/>
          <w:sz w:val="24"/>
        </w:rPr>
        <w:t>──生产采区内采空区瓦斯涌出系数，取1.3</w:t>
      </w:r>
    </w:p>
    <w:p w14:paraId="6351B9CC">
      <w:pPr>
        <w:adjustRightInd w:val="0"/>
        <w:snapToGrid w:val="0"/>
        <w:spacing w:line="360" w:lineRule="auto"/>
        <w:ind w:firstLine="1680" w:firstLineChars="700"/>
        <w:rPr>
          <w:rFonts w:hint="eastAsia" w:ascii="宋体" w:hAnsi="宋体"/>
          <w:sz w:val="24"/>
        </w:rPr>
      </w:pPr>
      <w:r>
        <w:rPr>
          <w:rFonts w:ascii="宋体" w:hAnsi="宋体"/>
          <w:position w:val="-14"/>
          <w:sz w:val="24"/>
        </w:rPr>
        <w:object>
          <v:shape id="_x0000_i1098" o:spt="75" type="#_x0000_t75" style="height:19pt;width:19pt;" o:ole="t" filled="f" stroked="f" coordsize="21600,21600">
            <v:path/>
            <v:fill on="f" focussize="0,0"/>
            <v:stroke on="f"/>
            <v:imagedata r:id="rId127" o:title=""/>
            <o:lock v:ext="edit" aspectratio="t"/>
            <w10:wrap type="none"/>
            <w10:anchorlock/>
          </v:shape>
          <o:OLEObject Type="Embed" ProgID="Equation.DSMT4" ShapeID="_x0000_i1098" DrawAspect="Content" ObjectID="_1468075787" r:id="rId126">
            <o:LockedField>false</o:LockedField>
          </o:OLEObject>
        </w:object>
      </w:r>
      <w:r>
        <w:rPr>
          <w:rFonts w:hint="eastAsia" w:ascii="宋体" w:hAnsi="宋体"/>
          <w:sz w:val="24"/>
        </w:rPr>
        <w:t>──第i个回采工作面相对瓦斯涌出量，m</w:t>
      </w:r>
      <w:r>
        <w:rPr>
          <w:rFonts w:hint="eastAsia" w:ascii="宋体" w:hAnsi="宋体"/>
          <w:sz w:val="24"/>
          <w:vertAlign w:val="superscript"/>
        </w:rPr>
        <w:t>3</w:t>
      </w:r>
      <w:r>
        <w:rPr>
          <w:rFonts w:hint="eastAsia" w:ascii="宋体" w:hAnsi="宋体"/>
          <w:sz w:val="24"/>
        </w:rPr>
        <w:t>/t；</w:t>
      </w:r>
    </w:p>
    <w:p w14:paraId="01C19659">
      <w:pPr>
        <w:adjustRightInd w:val="0"/>
        <w:snapToGrid w:val="0"/>
        <w:spacing w:line="360" w:lineRule="auto"/>
        <w:ind w:firstLine="1680" w:firstLineChars="700"/>
        <w:rPr>
          <w:rFonts w:hint="eastAsia" w:ascii="宋体" w:hAnsi="宋体"/>
          <w:sz w:val="24"/>
        </w:rPr>
      </w:pPr>
      <w:r>
        <w:rPr>
          <w:rFonts w:ascii="宋体" w:hAnsi="宋体"/>
          <w:position w:val="-14"/>
          <w:sz w:val="24"/>
        </w:rPr>
        <w:object>
          <v:shape id="_x0000_i1099" o:spt="75" type="#_x0000_t75" style="height:19.2pt;width:21.7pt;" o:ole="t" filled="f" o:preferrelative="t" stroked="f" coordsize="21600,21600">
            <v:path/>
            <v:fill on="f" alignshape="1" focussize="0,0"/>
            <v:stroke on="f"/>
            <v:imagedata r:id="rId129" o:title=""/>
            <o:lock v:ext="edit" aspectratio="t"/>
            <w10:wrap type="none"/>
            <w10:anchorlock/>
          </v:shape>
          <o:OLEObject Type="Embed" ProgID="Equation.DSMT4" ShapeID="_x0000_i1099" DrawAspect="Content" ObjectID="_1468075788" r:id="rId128">
            <o:LockedField>false</o:LockedField>
          </o:OLEObject>
        </w:object>
      </w:r>
      <w:r>
        <w:rPr>
          <w:rFonts w:hint="eastAsia" w:ascii="宋体" w:hAnsi="宋体"/>
          <w:sz w:val="24"/>
        </w:rPr>
        <w:t>──第i个回采工作面日产煤量，t；取909t</w:t>
      </w:r>
    </w:p>
    <w:p w14:paraId="628D2E40">
      <w:pPr>
        <w:adjustRightInd w:val="0"/>
        <w:snapToGrid w:val="0"/>
        <w:spacing w:line="360" w:lineRule="auto"/>
        <w:ind w:firstLine="1680" w:firstLineChars="700"/>
        <w:rPr>
          <w:rFonts w:hint="eastAsia" w:ascii="宋体" w:hAnsi="宋体"/>
          <w:sz w:val="24"/>
        </w:rPr>
      </w:pPr>
      <w:r>
        <w:rPr>
          <w:rFonts w:ascii="宋体" w:hAnsi="宋体"/>
          <w:position w:val="-14"/>
          <w:sz w:val="24"/>
        </w:rPr>
        <w:object>
          <v:shape id="_x0000_i1100" o:spt="75" type="#_x0000_t75" style="height:15.6pt;width:18.75pt;" o:ole="t" filled="f" o:preferrelative="t" stroked="f" coordsize="21600,21600">
            <v:path/>
            <v:fill on="f" alignshape="1" focussize="0,0"/>
            <v:stroke on="f"/>
            <v:imagedata r:id="rId131" o:title=""/>
            <o:lock v:ext="edit" aspectratio="t"/>
            <w10:wrap type="none"/>
            <w10:anchorlock/>
          </v:shape>
          <o:OLEObject Type="Embed" ProgID="Equation.DSMT4" ShapeID="_x0000_i1100" DrawAspect="Content" ObjectID="_1468075789" r:id="rId130">
            <o:LockedField>false</o:LockedField>
          </o:OLEObject>
        </w:object>
      </w:r>
      <w:r>
        <w:rPr>
          <w:rFonts w:hint="eastAsia" w:ascii="宋体" w:hAnsi="宋体"/>
          <w:sz w:val="24"/>
        </w:rPr>
        <w:t>──第i个掘进工作面绝对瓦斯涌出量，m</w:t>
      </w:r>
      <w:r>
        <w:rPr>
          <w:rFonts w:hint="eastAsia" w:ascii="宋体" w:hAnsi="宋体"/>
          <w:sz w:val="24"/>
          <w:vertAlign w:val="superscript"/>
        </w:rPr>
        <w:t>3</w:t>
      </w:r>
      <w:r>
        <w:rPr>
          <w:rFonts w:hint="eastAsia" w:ascii="宋体" w:hAnsi="宋体"/>
          <w:sz w:val="24"/>
        </w:rPr>
        <w:t>/min；</w:t>
      </w:r>
    </w:p>
    <w:p w14:paraId="5A913020">
      <w:pPr>
        <w:adjustRightInd w:val="0"/>
        <w:snapToGrid w:val="0"/>
        <w:spacing w:line="360" w:lineRule="auto"/>
        <w:ind w:firstLine="1680" w:firstLineChars="700"/>
        <w:rPr>
          <w:rFonts w:hint="eastAsia" w:ascii="宋体" w:hAnsi="宋体"/>
          <w:sz w:val="24"/>
        </w:rPr>
      </w:pPr>
      <w:r>
        <w:rPr>
          <w:rFonts w:ascii="宋体" w:hAnsi="宋体"/>
          <w:position w:val="-12"/>
          <w:sz w:val="24"/>
        </w:rPr>
        <w:object>
          <v:shape id="_x0000_i1101" o:spt="75" type="#_x0000_t75" style="height:19.5pt;width:15.8pt;" o:ole="t" filled="f" o:preferrelative="t" stroked="f" coordsize="21600,21600">
            <v:path/>
            <v:fill on="f" alignshape="1" focussize="0,0"/>
            <v:stroke on="f"/>
            <v:imagedata r:id="rId133" o:title=""/>
            <o:lock v:ext="edit" aspectratio="t"/>
            <w10:wrap type="none"/>
            <w10:anchorlock/>
          </v:shape>
          <o:OLEObject Type="Embed" ProgID="Equation.DSMT4" ShapeID="_x0000_i1101" DrawAspect="Content" ObjectID="_1468075790" r:id="rId132">
            <o:LockedField>false</o:LockedField>
          </o:OLEObject>
        </w:object>
      </w:r>
      <w:r>
        <w:rPr>
          <w:rFonts w:hint="eastAsia" w:ascii="宋体" w:hAnsi="宋体"/>
          <w:sz w:val="24"/>
        </w:rPr>
        <w:t>──生产采区日产煤量，t；（回采工作面日产煤量加上掘进煤量，掘进煤量按回采工作面日产煤量的5%计算），取955t。</w:t>
      </w:r>
    </w:p>
    <w:p w14:paraId="4FD5ECA8">
      <w:pPr>
        <w:adjustRightInd w:val="0"/>
        <w:snapToGrid w:val="0"/>
        <w:spacing w:line="360" w:lineRule="auto"/>
        <w:ind w:firstLine="480" w:firstLineChars="200"/>
        <w:rPr>
          <w:rFonts w:hint="eastAsia" w:ascii="宋体" w:hAnsi="宋体"/>
          <w:sz w:val="24"/>
        </w:rPr>
      </w:pPr>
      <w:r>
        <w:rPr>
          <w:rFonts w:hint="eastAsia" w:ascii="宋体" w:hAnsi="宋体"/>
          <w:sz w:val="24"/>
        </w:rPr>
        <w:t>则：</w:t>
      </w:r>
      <w:r>
        <w:rPr>
          <w:rFonts w:ascii="宋体" w:hAnsi="宋体"/>
          <w:position w:val="-24"/>
          <w:sz w:val="24"/>
        </w:rPr>
        <w:object>
          <v:shape id="_x0000_i1102" o:spt="75" type="#_x0000_t75" style="height:31pt;width:274pt;" o:ole="t" filled="f" o:preferrelative="t" stroked="f" coordsize="21600,21600">
            <v:path/>
            <v:fill on="f" alignshape="1" focussize="0,0"/>
            <v:stroke on="f"/>
            <v:imagedata r:id="rId135" o:title=""/>
            <o:lock v:ext="edit" aspectratio="t"/>
            <w10:wrap type="none"/>
            <w10:anchorlock/>
          </v:shape>
          <o:OLEObject Type="Embed" ProgID="Equation.3" ShapeID="_x0000_i1102" DrawAspect="Content" ObjectID="_1468075791" r:id="rId134">
            <o:LockedField>false</o:LockedField>
          </o:OLEObject>
        </w:object>
      </w:r>
    </w:p>
    <w:p w14:paraId="0F855136">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4）矿井瓦斯涌出量</w:t>
      </w:r>
    </w:p>
    <w:p w14:paraId="7F8A17A3">
      <w:pPr>
        <w:widowControl/>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矿井瓦斯涌出量采用下式计算</w:t>
      </w:r>
    </w:p>
    <w:p w14:paraId="7CE81237">
      <w:pPr>
        <w:widowControl/>
        <w:snapToGrid w:val="0"/>
        <w:spacing w:line="360" w:lineRule="auto"/>
        <w:ind w:firstLine="480" w:firstLineChars="200"/>
        <w:rPr>
          <w:rFonts w:hint="eastAsia" w:ascii="宋体" w:hAnsi="宋体" w:cs="宋体"/>
          <w:color w:val="000000"/>
          <w:sz w:val="24"/>
        </w:rPr>
      </w:pPr>
      <w:r>
        <w:rPr>
          <w:rFonts w:ascii="宋体" w:hAnsi="宋体" w:cs="宋体"/>
          <w:color w:val="000000"/>
          <w:sz w:val="24"/>
        </w:rPr>
        <w:drawing>
          <wp:inline distT="0" distB="0" distL="114300" distR="114300">
            <wp:extent cx="1673225" cy="1050925"/>
            <wp:effectExtent l="0" t="0" r="3175" b="15875"/>
            <wp:docPr id="23" name="图片 31" descr="http://www.safety.com.cn/standard/tu/aq1018-2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http://www.safety.com.cn/standard/tu/aq1018-2006-5.gif"/>
                    <pic:cNvPicPr>
                      <a:picLocks noChangeAspect="1"/>
                    </pic:cNvPicPr>
                  </pic:nvPicPr>
                  <pic:blipFill>
                    <a:blip r:embed="rId136" r:link="rId137"/>
                    <a:srcRect r="39514"/>
                    <a:stretch>
                      <a:fillRect/>
                    </a:stretch>
                  </pic:blipFill>
                  <pic:spPr>
                    <a:xfrm>
                      <a:off x="0" y="0"/>
                      <a:ext cx="1673225" cy="1050925"/>
                    </a:xfrm>
                    <a:prstGeom prst="rect">
                      <a:avLst/>
                    </a:prstGeom>
                    <a:noFill/>
                    <a:ln>
                      <a:noFill/>
                    </a:ln>
                  </pic:spPr>
                </pic:pic>
              </a:graphicData>
            </a:graphic>
          </wp:inline>
        </w:drawing>
      </w:r>
    </w:p>
    <w:p w14:paraId="06D4BB34">
      <w:pPr>
        <w:widowControl/>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式中：q</w:t>
      </w:r>
      <w:r>
        <w:rPr>
          <w:rFonts w:hint="eastAsia" w:ascii="宋体" w:hAnsi="宋体" w:cs="宋体"/>
          <w:color w:val="000000"/>
          <w:sz w:val="24"/>
          <w:vertAlign w:val="subscript"/>
        </w:rPr>
        <w:t>井</w:t>
      </w:r>
      <w:r>
        <w:rPr>
          <w:rFonts w:hint="eastAsia" w:ascii="宋体" w:hAnsi="宋体"/>
          <w:sz w:val="24"/>
        </w:rPr>
        <w:t>──</w:t>
      </w:r>
      <w:r>
        <w:rPr>
          <w:rFonts w:hint="eastAsia" w:ascii="宋体" w:hAnsi="宋体" w:cs="宋体"/>
          <w:color w:val="000000"/>
          <w:sz w:val="24"/>
        </w:rPr>
        <w:t>矿井相对瓦斯涌出量，m</w:t>
      </w:r>
      <w:r>
        <w:rPr>
          <w:rFonts w:hint="eastAsia" w:ascii="宋体" w:hAnsi="宋体" w:cs="宋体"/>
          <w:color w:val="000000"/>
          <w:sz w:val="24"/>
          <w:vertAlign w:val="superscript"/>
        </w:rPr>
        <w:t>3</w:t>
      </w:r>
      <w:r>
        <w:rPr>
          <w:rFonts w:hint="eastAsia" w:ascii="宋体" w:hAnsi="宋体" w:cs="宋体"/>
          <w:color w:val="000000"/>
          <w:sz w:val="24"/>
        </w:rPr>
        <w:t>／t；</w:t>
      </w:r>
    </w:p>
    <w:p w14:paraId="032FE737">
      <w:pPr>
        <w:widowControl/>
        <w:snapToGrid w:val="0"/>
        <w:spacing w:line="360" w:lineRule="auto"/>
        <w:ind w:firstLine="1200" w:firstLineChars="500"/>
        <w:jc w:val="left"/>
        <w:rPr>
          <w:rFonts w:hint="eastAsia" w:ascii="宋体" w:hAnsi="宋体" w:cs="宋体"/>
          <w:color w:val="000000"/>
          <w:sz w:val="24"/>
        </w:rPr>
      </w:pPr>
      <w:r>
        <w:rPr>
          <w:rFonts w:hint="eastAsia" w:ascii="宋体" w:hAnsi="宋体" w:cs="宋体"/>
          <w:color w:val="000000"/>
          <w:sz w:val="24"/>
        </w:rPr>
        <w:t>q</w:t>
      </w:r>
      <w:r>
        <w:rPr>
          <w:rFonts w:hint="eastAsia" w:ascii="宋体" w:hAnsi="宋体" w:cs="宋体"/>
          <w:color w:val="000000"/>
          <w:sz w:val="24"/>
          <w:vertAlign w:val="subscript"/>
        </w:rPr>
        <w:t>区i</w:t>
      </w:r>
      <w:r>
        <w:rPr>
          <w:rFonts w:hint="eastAsia" w:ascii="宋体" w:hAnsi="宋体"/>
          <w:sz w:val="24"/>
        </w:rPr>
        <w:t>──</w:t>
      </w:r>
      <w:r>
        <w:rPr>
          <w:rFonts w:hint="eastAsia" w:ascii="宋体" w:hAnsi="宋体"/>
          <w:color w:val="000000"/>
          <w:sz w:val="24"/>
        </w:rPr>
        <w:t>第i个</w:t>
      </w:r>
      <w:r>
        <w:rPr>
          <w:rFonts w:hint="eastAsia" w:ascii="宋体" w:hAnsi="宋体" w:cs="宋体"/>
          <w:color w:val="000000"/>
          <w:sz w:val="24"/>
        </w:rPr>
        <w:t>生产采区相对瓦斯涌出量，m</w:t>
      </w:r>
      <w:r>
        <w:rPr>
          <w:rFonts w:hint="eastAsia" w:ascii="宋体" w:hAnsi="宋体" w:cs="宋体"/>
          <w:color w:val="000000"/>
          <w:sz w:val="24"/>
          <w:vertAlign w:val="superscript"/>
        </w:rPr>
        <w:t>3</w:t>
      </w:r>
      <w:r>
        <w:rPr>
          <w:rFonts w:hint="eastAsia" w:ascii="宋体" w:hAnsi="宋体" w:cs="宋体"/>
          <w:color w:val="000000"/>
          <w:sz w:val="24"/>
        </w:rPr>
        <w:t>／t；</w:t>
      </w:r>
    </w:p>
    <w:p w14:paraId="2C1C1CA3">
      <w:pPr>
        <w:widowControl/>
        <w:snapToGrid w:val="0"/>
        <w:spacing w:line="360" w:lineRule="auto"/>
        <w:ind w:firstLine="1200" w:firstLineChars="500"/>
        <w:jc w:val="left"/>
        <w:rPr>
          <w:rFonts w:hint="eastAsia" w:ascii="宋体" w:hAnsi="宋体" w:cs="宋体"/>
          <w:color w:val="000000"/>
          <w:sz w:val="24"/>
        </w:rPr>
      </w:pPr>
      <w:r>
        <w:rPr>
          <w:rFonts w:hint="eastAsia" w:ascii="宋体" w:hAnsi="宋体" w:cs="宋体"/>
          <w:color w:val="000000"/>
          <w:sz w:val="24"/>
        </w:rPr>
        <w:t>A</w:t>
      </w:r>
      <w:r>
        <w:rPr>
          <w:rFonts w:hint="eastAsia" w:ascii="宋体" w:hAnsi="宋体" w:cs="宋体"/>
          <w:color w:val="000000"/>
          <w:sz w:val="24"/>
          <w:vertAlign w:val="subscript"/>
        </w:rPr>
        <w:t>oi</w:t>
      </w:r>
      <w:r>
        <w:rPr>
          <w:rFonts w:hint="eastAsia" w:ascii="宋体" w:hAnsi="宋体"/>
          <w:sz w:val="24"/>
        </w:rPr>
        <w:t>──</w:t>
      </w:r>
      <w:r>
        <w:rPr>
          <w:rFonts w:hint="eastAsia" w:ascii="宋体" w:hAnsi="宋体"/>
          <w:color w:val="000000"/>
          <w:sz w:val="24"/>
        </w:rPr>
        <w:t>第i个</w:t>
      </w:r>
      <w:r>
        <w:rPr>
          <w:rFonts w:hint="eastAsia" w:ascii="宋体" w:hAnsi="宋体" w:cs="宋体"/>
          <w:color w:val="000000"/>
          <w:sz w:val="24"/>
        </w:rPr>
        <w:t>生产采区平均日产量，t；</w:t>
      </w:r>
    </w:p>
    <w:p w14:paraId="13CF1BC4">
      <w:pPr>
        <w:widowControl/>
        <w:snapToGrid w:val="0"/>
        <w:spacing w:line="360" w:lineRule="auto"/>
        <w:ind w:firstLine="1200" w:firstLineChars="500"/>
        <w:jc w:val="left"/>
        <w:rPr>
          <w:rFonts w:hint="eastAsia" w:ascii="宋体" w:hAnsi="宋体" w:cs="宋体"/>
          <w:color w:val="000000"/>
          <w:sz w:val="24"/>
        </w:rPr>
      </w:pPr>
      <w:r>
        <w:rPr>
          <w:rFonts w:hint="eastAsia" w:ascii="宋体" w:hAnsi="宋体" w:cs="宋体"/>
          <w:color w:val="000000"/>
          <w:sz w:val="24"/>
        </w:rPr>
        <w:t>K"</w:t>
      </w:r>
      <w:r>
        <w:rPr>
          <w:rFonts w:hint="eastAsia" w:ascii="宋体" w:hAnsi="宋体"/>
          <w:sz w:val="24"/>
        </w:rPr>
        <w:t>──</w:t>
      </w:r>
      <w:r>
        <w:rPr>
          <w:rFonts w:hint="eastAsia" w:ascii="宋体" w:hAnsi="宋体" w:cs="宋体"/>
          <w:color w:val="000000"/>
          <w:sz w:val="24"/>
        </w:rPr>
        <w:t>已采采空区瓦斯涌出系数，查表取1.3。</w:t>
      </w:r>
    </w:p>
    <w:p w14:paraId="6C24F641">
      <w:pPr>
        <w:adjustRightInd w:val="0"/>
        <w:snapToGrid w:val="0"/>
        <w:spacing w:line="360" w:lineRule="auto"/>
        <w:ind w:firstLine="480" w:firstLineChars="200"/>
        <w:rPr>
          <w:rFonts w:hint="eastAsia" w:ascii="宋体" w:hAnsi="宋体" w:cs="宋体"/>
          <w:color w:val="000000"/>
          <w:sz w:val="24"/>
        </w:rPr>
      </w:pPr>
      <w:r>
        <w:rPr>
          <w:rFonts w:ascii="宋体" w:hAnsi="宋体"/>
          <w:color w:val="000000"/>
          <w:position w:val="-24"/>
          <w:sz w:val="24"/>
        </w:rPr>
        <w:object>
          <v:shape id="_x0000_i1104" o:spt="75" type="#_x0000_t75" style="height:31pt;width:157pt;" o:ole="t" filled="f" o:preferrelative="t" stroked="f" coordsize="21600,21600">
            <v:path/>
            <v:fill on="f" alignshape="1" focussize="0,0"/>
            <v:stroke on="f"/>
            <v:imagedata r:id="rId139" o:title=""/>
            <o:lock v:ext="edit" aspectratio="t"/>
            <w10:wrap type="none"/>
            <w10:anchorlock/>
          </v:shape>
          <o:OLEObject Type="Embed" ProgID="Equation.3" ShapeID="_x0000_i1104" DrawAspect="Content" ObjectID="_1468075792" r:id="rId138">
            <o:LockedField>false</o:LockedField>
          </o:OLEObject>
        </w:object>
      </w:r>
      <w:r>
        <w:rPr>
          <w:rFonts w:hint="eastAsia" w:ascii="宋体" w:hAnsi="宋体" w:cs="宋体"/>
          <w:color w:val="000000"/>
          <w:sz w:val="24"/>
        </w:rPr>
        <w:t>m</w:t>
      </w:r>
      <w:r>
        <w:rPr>
          <w:rFonts w:hint="eastAsia" w:ascii="宋体" w:hAnsi="宋体" w:cs="宋体"/>
          <w:color w:val="000000"/>
          <w:sz w:val="24"/>
          <w:vertAlign w:val="superscript"/>
        </w:rPr>
        <w:t>3</w:t>
      </w:r>
      <w:r>
        <w:rPr>
          <w:rFonts w:hint="eastAsia" w:ascii="宋体" w:hAnsi="宋体" w:cs="宋体"/>
          <w:color w:val="000000"/>
          <w:sz w:val="24"/>
        </w:rPr>
        <w:t>／t</w:t>
      </w:r>
    </w:p>
    <w:p w14:paraId="3AD39808">
      <w:pPr>
        <w:adjustRightInd w:val="0"/>
        <w:snapToGrid w:val="0"/>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即矿井相对瓦斯涌出量为：52.22m</w:t>
      </w:r>
      <w:r>
        <w:rPr>
          <w:rFonts w:hint="eastAsia" w:ascii="宋体" w:hAnsi="宋体"/>
          <w:color w:val="000000"/>
          <w:sz w:val="24"/>
          <w:vertAlign w:val="superscript"/>
          <w:lang w:val="zh-CN"/>
        </w:rPr>
        <w:t>3</w:t>
      </w:r>
      <w:r>
        <w:rPr>
          <w:rFonts w:hint="eastAsia" w:ascii="宋体" w:hAnsi="宋体"/>
          <w:color w:val="000000"/>
          <w:sz w:val="24"/>
          <w:lang w:val="zh-CN"/>
        </w:rPr>
        <w:t>/t。</w:t>
      </w:r>
    </w:p>
    <w:p w14:paraId="19093306">
      <w:pPr>
        <w:adjustRightInd w:val="0"/>
        <w:snapToGrid w:val="0"/>
        <w:spacing w:line="360" w:lineRule="auto"/>
        <w:ind w:firstLine="480" w:firstLineChars="200"/>
        <w:rPr>
          <w:rFonts w:hint="eastAsia" w:ascii="宋体" w:hAnsi="宋体"/>
          <w:sz w:val="24"/>
          <w:lang w:val="zh-CN"/>
        </w:rPr>
      </w:pPr>
      <w:r>
        <w:rPr>
          <w:rFonts w:hint="eastAsia" w:ascii="宋体" w:hAnsi="宋体"/>
          <w:sz w:val="24"/>
          <w:szCs w:val="28"/>
        </w:rPr>
        <w:t>（5）</w:t>
      </w:r>
      <w:r>
        <w:rPr>
          <w:rFonts w:hint="eastAsia" w:ascii="宋体" w:hAnsi="宋体"/>
          <w:sz w:val="24"/>
          <w:lang w:val="zh-CN"/>
        </w:rPr>
        <w:t>矿井瓦斯等级</w:t>
      </w:r>
    </w:p>
    <w:p w14:paraId="4F715BC0">
      <w:pPr>
        <w:adjustRightInd w:val="0"/>
        <w:snapToGrid w:val="0"/>
        <w:spacing w:line="360" w:lineRule="auto"/>
        <w:ind w:firstLine="480" w:firstLineChars="200"/>
        <w:rPr>
          <w:rFonts w:hint="eastAsia" w:ascii="宋体" w:hAnsi="宋体"/>
          <w:sz w:val="24"/>
        </w:rPr>
      </w:pPr>
      <w:r>
        <w:rPr>
          <w:rFonts w:hint="eastAsia" w:ascii="宋体" w:hAnsi="宋体"/>
          <w:sz w:val="24"/>
          <w:lang w:val="zh-CN"/>
        </w:rPr>
        <w:t>设计根据《矿井瓦斯涌出量预测方法（AQ1018－2006）》标准，采用分</w:t>
      </w:r>
      <w:r>
        <w:rPr>
          <w:rFonts w:hint="eastAsia" w:ascii="宋体" w:hAnsi="宋体" w:cs="宋体"/>
          <w:sz w:val="24"/>
        </w:rPr>
        <w:t>源预测法进行预测计算，预测计算值比矿井瓦斯等级鉴定值大，因此，设计选取预测计算值作为本设计依据，</w:t>
      </w:r>
      <w:r>
        <w:rPr>
          <w:rFonts w:hint="eastAsia" w:ascii="宋体" w:hAnsi="宋体"/>
          <w:sz w:val="24"/>
          <w:lang w:val="zh-CN"/>
        </w:rPr>
        <w:t>矿井相对瓦斯涌出量为：52.22m</w:t>
      </w:r>
      <w:r>
        <w:rPr>
          <w:rFonts w:hint="eastAsia" w:ascii="宋体" w:hAnsi="宋体"/>
          <w:sz w:val="24"/>
          <w:vertAlign w:val="superscript"/>
          <w:lang w:val="zh-CN"/>
        </w:rPr>
        <w:t>3</w:t>
      </w:r>
      <w:r>
        <w:rPr>
          <w:rFonts w:hint="eastAsia" w:ascii="宋体" w:hAnsi="宋体"/>
          <w:sz w:val="24"/>
          <w:lang w:val="zh-CN"/>
        </w:rPr>
        <w:t>/t</w:t>
      </w:r>
      <w:r>
        <w:rPr>
          <w:rFonts w:hint="eastAsia" w:ascii="宋体" w:hAnsi="宋体"/>
          <w:sz w:val="24"/>
        </w:rPr>
        <w:t>。</w:t>
      </w:r>
      <w:r>
        <w:rPr>
          <w:rFonts w:hint="eastAsia"/>
          <w:sz w:val="24"/>
          <w:u w:val="single"/>
        </w:rPr>
        <w:t>建议矿井建设及生产中进一步测定瓦斯基础参数，核算矿井瓦斯涌出量。</w:t>
      </w:r>
    </w:p>
    <w:p w14:paraId="07D934A2">
      <w:pPr>
        <w:pStyle w:val="258"/>
        <w:spacing w:line="360" w:lineRule="auto"/>
        <w:ind w:firstLineChars="200"/>
        <w:rPr>
          <w:rFonts w:hint="eastAsia"/>
        </w:rPr>
      </w:pPr>
      <w:r>
        <w:rPr>
          <w:rFonts w:hint="eastAsia"/>
        </w:rPr>
        <w:t>经计算，预测矿井相对瓦斯涌出量为</w:t>
      </w:r>
      <w:r>
        <w:rPr>
          <w:rFonts w:hint="eastAsia"/>
          <w:lang w:val="zh-CN"/>
        </w:rPr>
        <w:t>52.22m</w:t>
      </w:r>
      <w:r>
        <w:rPr>
          <w:rFonts w:hint="eastAsia"/>
          <w:vertAlign w:val="superscript"/>
          <w:lang w:val="zh-CN"/>
        </w:rPr>
        <w:t>3</w:t>
      </w:r>
      <w:r>
        <w:rPr>
          <w:rFonts w:hint="eastAsia"/>
          <w:lang w:val="zh-CN"/>
        </w:rPr>
        <w:t>/t，</w:t>
      </w:r>
      <w:r>
        <w:rPr>
          <w:rFonts w:hint="eastAsia"/>
        </w:rPr>
        <w:t>绝对瓦斯涌出量为32.97m</w:t>
      </w:r>
      <w:r>
        <w:rPr>
          <w:rFonts w:hint="eastAsia"/>
          <w:vertAlign w:val="superscript"/>
        </w:rPr>
        <w:t>3</w:t>
      </w:r>
      <w:r>
        <w:rPr>
          <w:rFonts w:hint="eastAsia"/>
        </w:rPr>
        <w:t>/min，根据以上计算采煤工作面相对瓦斯涌出量为29.28m</w:t>
      </w:r>
      <w:r>
        <w:rPr>
          <w:vertAlign w:val="superscript"/>
        </w:rPr>
        <w:t>3</w:t>
      </w:r>
      <w:r>
        <w:t>/t</w:t>
      </w:r>
      <w:r>
        <w:rPr>
          <w:rFonts w:hint="eastAsia"/>
        </w:rPr>
        <w:t>、绝对瓦斯涌出量为18.48m</w:t>
      </w:r>
      <w:r>
        <w:rPr>
          <w:rFonts w:hint="eastAsia"/>
          <w:vertAlign w:val="superscript"/>
        </w:rPr>
        <w:t>3</w:t>
      </w:r>
      <w:r>
        <w:rPr>
          <w:rFonts w:hint="eastAsia"/>
        </w:rPr>
        <w:t>/min，掘进工作面绝对瓦斯涌出量为1.005m</w:t>
      </w:r>
      <w:r>
        <w:rPr>
          <w:vertAlign w:val="superscript"/>
        </w:rPr>
        <w:t>3</w:t>
      </w:r>
      <w:r>
        <w:t>/</w:t>
      </w:r>
      <w:r>
        <w:rPr>
          <w:rFonts w:hint="eastAsia"/>
        </w:rPr>
        <w:t>min；根据矿井瓦斯涌出量预测计算值，矿井瓦斯等级为高瓦斯矿井，矿井瓦斯涌出量大，除必须采取瓦斯抽采的同时，应加强矿井的通风，满足矿井排放瓦斯的要求。</w:t>
      </w:r>
    </w:p>
    <w:p w14:paraId="0F7CDA93">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二、爆尘爆炸性</w:t>
      </w:r>
    </w:p>
    <w:p w14:paraId="64941869">
      <w:pPr>
        <w:spacing w:line="360" w:lineRule="auto"/>
        <w:ind w:firstLine="480" w:firstLineChars="200"/>
        <w:rPr>
          <w:rFonts w:hint="eastAsia" w:ascii="宋体" w:hAnsi="宋体"/>
          <w:sz w:val="24"/>
          <w:lang w:val="zh-CN"/>
        </w:rPr>
      </w:pPr>
      <w:r>
        <w:rPr>
          <w:rFonts w:hint="eastAsia" w:ascii="宋体" w:hAnsi="宋体"/>
          <w:sz w:val="24"/>
          <w:lang w:val="zh-CN"/>
        </w:rPr>
        <w:t>根据贵州省六枝工矿（集团）恒达勘察设计有限公司实验室提交的《贵州省水城县玉舍大坪煤矿煤尘爆炸危险性鉴定报告》，本矿K35-b、K1-b、K9、K18煤层的煤尘爆炸危险性鉴定均为有煤尘爆炸危险性，其他煤层未取样进行鉴定，因此，本矿按煤层有煤尘爆炸危险性进行设计和管理。</w:t>
      </w:r>
    </w:p>
    <w:p w14:paraId="35A5F4D4">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三、煤的自燃性</w:t>
      </w:r>
    </w:p>
    <w:p w14:paraId="477EE2DB">
      <w:pPr>
        <w:spacing w:line="360" w:lineRule="auto"/>
        <w:ind w:firstLine="480" w:firstLineChars="200"/>
        <w:rPr>
          <w:rFonts w:hint="eastAsia" w:ascii="宋体" w:hAnsi="宋体"/>
          <w:sz w:val="24"/>
          <w:lang w:val="zh-CN"/>
        </w:rPr>
      </w:pPr>
      <w:r>
        <w:rPr>
          <w:rFonts w:hint="eastAsia" w:ascii="宋体" w:hAnsi="宋体"/>
          <w:sz w:val="24"/>
          <w:lang w:val="zh-CN"/>
        </w:rPr>
        <w:t>根据贵州省六枝工矿（集团）恒达勘察设计有限公司实验室提交的《贵州省水城县玉舍大坪煤矿煤炭自燃倾向性等级鉴定报告》，本矿K35-b、K1-b煤层的自燃倾向性等级鉴定均属Ⅱ类，即自燃煤层；K9、K18煤层的自燃倾向性等级鉴定均属Ⅲ类，即不易自燃煤层，其他煤层未取样进行鉴定，因此，本矿按Ⅰ类，即煤层容易自燃进行设计和管理。</w:t>
      </w:r>
    </w:p>
    <w:p w14:paraId="75FEF962">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w:t>
      </w:r>
      <w:r>
        <w:rPr>
          <w:b/>
          <w:color w:val="000000"/>
          <w:kern w:val="0"/>
          <w:szCs w:val="20"/>
        </w:rPr>
        <w:t>煤与瓦斯突出</w:t>
      </w:r>
    </w:p>
    <w:p w14:paraId="4655E10D">
      <w:pPr>
        <w:pStyle w:val="32"/>
        <w:ind w:firstLine="480" w:firstLineChars="200"/>
        <w:rPr>
          <w:rFonts w:hint="eastAsia" w:ascii="宋体" w:hAnsi="宋体"/>
        </w:rPr>
      </w:pPr>
      <w:r>
        <w:rPr>
          <w:rFonts w:ascii="宋体" w:hAnsi="宋体"/>
        </w:rPr>
        <w:t>本矿未作煤与瓦斯突出鉴定，</w:t>
      </w:r>
      <w:r>
        <w:rPr>
          <w:rFonts w:hint="eastAsia" w:ascii="宋体" w:hAnsi="宋体"/>
        </w:rPr>
        <w:t>业主应委托有资质的单位尽快对本矿煤与瓦斯突出危险性作出鉴定，以利于矿井安全生产</w:t>
      </w:r>
      <w:r>
        <w:rPr>
          <w:rFonts w:ascii="宋体" w:hAnsi="宋体"/>
        </w:rPr>
        <w:t>。</w:t>
      </w:r>
      <w:r>
        <w:rPr>
          <w:rFonts w:hint="eastAsia" w:ascii="宋体" w:hAnsi="宋体"/>
        </w:rPr>
        <w:t>根据贵州省安全生产监督管理局、贵州煤矿安全监察局、贵州省煤炭管理局文件(黔安监管办字【2007】345号“关于加强煤矿建设项目煤与瓦斯突出防治工作的意见”。水城县玉舍大坪煤矿在该文件划定的煤与瓦斯突出区内，因此，矿井按有煤与瓦斯突出矿井进行设计和管理，矿井建设期间，应及时请资质单位对煤与瓦斯突出危险性进行鉴定</w:t>
      </w:r>
      <w:r>
        <w:rPr>
          <w:rFonts w:hint="eastAsia"/>
        </w:rPr>
        <w:t>。</w:t>
      </w:r>
    </w:p>
    <w:p w14:paraId="6099F30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五</w:t>
      </w:r>
      <w:r>
        <w:rPr>
          <w:b/>
          <w:color w:val="000000"/>
          <w:kern w:val="0"/>
          <w:szCs w:val="20"/>
        </w:rPr>
        <w:t>、</w:t>
      </w:r>
      <w:r>
        <w:rPr>
          <w:rFonts w:hint="eastAsia"/>
          <w:b/>
          <w:color w:val="000000"/>
          <w:kern w:val="0"/>
          <w:szCs w:val="20"/>
        </w:rPr>
        <w:t>顶底板情况</w:t>
      </w:r>
    </w:p>
    <w:p w14:paraId="7013F2B0">
      <w:pPr>
        <w:pStyle w:val="277"/>
        <w:spacing w:line="360" w:lineRule="auto"/>
        <w:rPr>
          <w:rFonts w:hint="eastAsia" w:cs="宋体"/>
        </w:rPr>
      </w:pPr>
      <w:r>
        <w:rPr>
          <w:rFonts w:hint="eastAsia"/>
        </w:rPr>
        <w:t>根据贵州省地矿局一一三地质大队2008年6月编制的《贵州省水城县玉舍大坪煤矿资源/储量核实报告》，煤层</w:t>
      </w:r>
      <w:r>
        <w:t>顶板多为粉砂岩、粉砂质泥岩、细砂岩、泥质粉砂岩、泥岩、炭质泥岩，力学强度中等，</w:t>
      </w:r>
      <w:r>
        <w:rPr>
          <w:rFonts w:hint="eastAsia"/>
        </w:rPr>
        <w:t>稳定性一般，风化后易</w:t>
      </w:r>
      <w:r>
        <w:t>发生顶板跨</w:t>
      </w:r>
      <w:r>
        <w:rPr>
          <w:rFonts w:hint="eastAsia"/>
        </w:rPr>
        <w:t>落；</w:t>
      </w:r>
      <w:r>
        <w:t>底板多为泥岩、</w:t>
      </w:r>
      <w:r>
        <w:rPr>
          <w:snapToGrid w:val="0"/>
          <w:kern w:val="0"/>
        </w:rPr>
        <w:t>粘土岩</w:t>
      </w:r>
      <w:r>
        <w:rPr>
          <w:rFonts w:hint="eastAsia"/>
        </w:rPr>
        <w:t>，泥岩、</w:t>
      </w:r>
      <w:r>
        <w:rPr>
          <w:snapToGrid w:val="0"/>
          <w:kern w:val="0"/>
        </w:rPr>
        <w:t>粘土岩</w:t>
      </w:r>
      <w:r>
        <w:t>，力学强度低，</w:t>
      </w:r>
      <w:r>
        <w:rPr>
          <w:rFonts w:hint="eastAsia" w:cs="宋体"/>
        </w:rPr>
        <w:t>遇水后常易产生膨胀、底鼓现象</w:t>
      </w:r>
      <w:r>
        <w:t>，可能会发生支柱下陷</w:t>
      </w:r>
      <w:r>
        <w:rPr>
          <w:rFonts w:hint="eastAsia"/>
        </w:rPr>
        <w:t>，</w:t>
      </w:r>
      <w:r>
        <w:rPr>
          <w:rFonts w:hint="eastAsia" w:cs="宋体"/>
        </w:rPr>
        <w:t>限于条件未采样测试煤层顶、底板的物理、机械性质，仅根据观察坑道、小窑并访问当地老窑工知。</w:t>
      </w:r>
    </w:p>
    <w:p w14:paraId="68140A57">
      <w:pPr>
        <w:spacing w:line="360" w:lineRule="auto"/>
        <w:ind w:firstLine="480" w:firstLineChars="200"/>
        <w:rPr>
          <w:rFonts w:hint="eastAsia" w:ascii="宋体" w:hAnsi="宋体"/>
          <w:sz w:val="24"/>
        </w:rPr>
      </w:pPr>
      <w:r>
        <w:rPr>
          <w:rFonts w:hint="eastAsia" w:ascii="宋体" w:cs="宋体"/>
          <w:sz w:val="24"/>
        </w:rPr>
        <w:t>据此，采煤过程中，仍需对矿井加强顶、底板管理，适时支护，特别在遇见有小构造的地带，更应严防冒顶、片帮、底鼓等不良工程地质问题发生。</w:t>
      </w:r>
    </w:p>
    <w:p w14:paraId="638A39B9">
      <w:pPr>
        <w:pStyle w:val="4"/>
        <w:keepLines/>
        <w:adjustRightInd w:val="0"/>
        <w:snapToGrid w:val="0"/>
        <w:spacing w:before="240" w:after="240" w:line="360" w:lineRule="auto"/>
        <w:ind w:firstLine="562" w:firstLineChars="200"/>
        <w:jc w:val="both"/>
        <w:rPr>
          <w:rFonts w:hint="eastAsia"/>
          <w:b/>
          <w:color w:val="000000"/>
          <w:kern w:val="0"/>
          <w:szCs w:val="20"/>
        </w:rPr>
      </w:pPr>
      <w:bookmarkStart w:id="98" w:name="_Toc173869233"/>
      <w:bookmarkStart w:id="99" w:name="_Toc173918908"/>
      <w:bookmarkStart w:id="100" w:name="_Toc173893669"/>
      <w:r>
        <w:rPr>
          <w:rFonts w:hint="eastAsia"/>
          <w:b/>
          <w:color w:val="000000"/>
          <w:kern w:val="0"/>
          <w:szCs w:val="20"/>
        </w:rPr>
        <w:t>六</w:t>
      </w:r>
      <w:r>
        <w:rPr>
          <w:b/>
          <w:color w:val="000000"/>
          <w:kern w:val="0"/>
          <w:szCs w:val="20"/>
        </w:rPr>
        <w:t>、</w:t>
      </w:r>
      <w:r>
        <w:rPr>
          <w:rFonts w:hint="eastAsia"/>
          <w:b/>
          <w:color w:val="000000"/>
          <w:kern w:val="0"/>
          <w:szCs w:val="20"/>
        </w:rPr>
        <w:t>水文地质情况</w:t>
      </w:r>
      <w:bookmarkEnd w:id="98"/>
      <w:bookmarkEnd w:id="99"/>
      <w:bookmarkEnd w:id="100"/>
    </w:p>
    <w:p w14:paraId="26E79AB1">
      <w:pPr>
        <w:pStyle w:val="277"/>
        <w:spacing w:line="360" w:lineRule="auto"/>
        <w:rPr>
          <w:rFonts w:hint="eastAsia"/>
        </w:rPr>
      </w:pPr>
      <w:r>
        <w:rPr>
          <w:rFonts w:hint="eastAsia"/>
        </w:rPr>
        <w:t>矿区的水文地质条件属中等类型。矿井充水的主要来源为大气降雨。由于地含水性较弱，补给条件差，随着采空面积的增大，地表产生塌陷后，地表水与地下水之间可能发生联系，地表水直接溃入矿井，涌水量明显增大。同时，在掘进过程中，要注意发生突水现象，应引起高度重视，特别是在靠近采空区时，更应加强探测及防水工作，特别是矿区在今后的采矿生产过程中应加强水文地质勘查工作，做好防水和排水工作，确保安全生产。</w:t>
      </w:r>
    </w:p>
    <w:p w14:paraId="7E94C64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七、地温</w:t>
      </w:r>
    </w:p>
    <w:p w14:paraId="38D31A90">
      <w:pPr>
        <w:pStyle w:val="277"/>
        <w:spacing w:line="360" w:lineRule="auto"/>
        <w:rPr>
          <w:rFonts w:hint="eastAsia"/>
        </w:rPr>
      </w:pPr>
      <w:r>
        <w:rPr>
          <w:rFonts w:hint="eastAsia"/>
        </w:rPr>
        <w:t>根据贵州省地矿局一一三地质大队2008年6月编制的《贵州省水城县玉舍大坪煤矿资源/储量核实报告》，本矿井田内无地温异常现象，属地温正常矿井。</w:t>
      </w:r>
    </w:p>
    <w:p w14:paraId="7C52E05E">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八、</w:t>
      </w:r>
      <w:r>
        <w:rPr>
          <w:b/>
          <w:color w:val="000000"/>
          <w:kern w:val="0"/>
          <w:szCs w:val="20"/>
        </w:rPr>
        <w:t>冲击地压</w:t>
      </w:r>
    </w:p>
    <w:p w14:paraId="79461EA0">
      <w:pPr>
        <w:spacing w:line="360" w:lineRule="auto"/>
        <w:ind w:firstLine="480" w:firstLineChars="200"/>
        <w:rPr>
          <w:rFonts w:ascii="宋体" w:hAnsi="宋体"/>
          <w:color w:val="000000"/>
          <w:sz w:val="24"/>
        </w:rPr>
      </w:pPr>
      <w:r>
        <w:rPr>
          <w:rFonts w:hint="eastAsia" w:ascii="宋体" w:hAnsi="宋体"/>
          <w:color w:val="000000"/>
          <w:sz w:val="24"/>
        </w:rPr>
        <w:t>地质资料中</w:t>
      </w:r>
      <w:r>
        <w:rPr>
          <w:rFonts w:ascii="宋体" w:hAnsi="宋体"/>
          <w:color w:val="000000"/>
          <w:sz w:val="24"/>
        </w:rPr>
        <w:t>未提供冲击地压的相关资料，</w:t>
      </w:r>
      <w:r>
        <w:rPr>
          <w:rFonts w:hint="eastAsia" w:ascii="宋体" w:hAnsi="宋体"/>
          <w:color w:val="000000"/>
          <w:sz w:val="24"/>
        </w:rPr>
        <w:t>但在该</w:t>
      </w:r>
      <w:r>
        <w:rPr>
          <w:rFonts w:ascii="宋体" w:hAnsi="宋体"/>
          <w:color w:val="000000"/>
          <w:sz w:val="24"/>
        </w:rPr>
        <w:t>矿井</w:t>
      </w:r>
      <w:r>
        <w:rPr>
          <w:rFonts w:hint="eastAsia" w:ascii="宋体" w:hAnsi="宋体"/>
          <w:color w:val="000000"/>
          <w:sz w:val="24"/>
        </w:rPr>
        <w:t>及周围矿井</w:t>
      </w:r>
      <w:r>
        <w:rPr>
          <w:rFonts w:ascii="宋体" w:hAnsi="宋体"/>
          <w:color w:val="000000"/>
          <w:sz w:val="24"/>
        </w:rPr>
        <w:t>尚未有冲击地压情况的发生</w:t>
      </w:r>
      <w:r>
        <w:rPr>
          <w:rFonts w:hint="eastAsia" w:ascii="宋体" w:hAnsi="宋体"/>
          <w:color w:val="000000"/>
          <w:sz w:val="24"/>
        </w:rPr>
        <w:t>，水城县玉舍大坪煤矿按</w:t>
      </w:r>
      <w:r>
        <w:rPr>
          <w:rFonts w:ascii="宋体" w:hAnsi="宋体"/>
          <w:color w:val="000000"/>
          <w:sz w:val="24"/>
        </w:rPr>
        <w:t>没有冲击地压危险</w:t>
      </w:r>
      <w:r>
        <w:rPr>
          <w:rFonts w:hint="eastAsia" w:ascii="宋体" w:hAnsi="宋体"/>
          <w:color w:val="000000"/>
          <w:sz w:val="24"/>
        </w:rPr>
        <w:t>考虑</w:t>
      </w:r>
      <w:r>
        <w:rPr>
          <w:rFonts w:ascii="宋体" w:hAnsi="宋体"/>
          <w:color w:val="000000"/>
          <w:sz w:val="24"/>
        </w:rPr>
        <w:t>。</w:t>
      </w:r>
    </w:p>
    <w:p w14:paraId="5E905ACE">
      <w:pPr>
        <w:pStyle w:val="3"/>
        <w:keepLines/>
        <w:spacing w:before="240" w:after="240" w:line="360" w:lineRule="auto"/>
        <w:ind w:firstLine="0" w:firstLineChars="0"/>
        <w:jc w:val="center"/>
        <w:rPr>
          <w:rFonts w:hint="eastAsia"/>
          <w:b/>
          <w:color w:val="000000"/>
          <w:sz w:val="32"/>
          <w:szCs w:val="32"/>
        </w:rPr>
      </w:pPr>
      <w:bookmarkStart w:id="101" w:name="_Toc260915266"/>
      <w:r>
        <w:rPr>
          <w:rFonts w:hint="eastAsia"/>
          <w:b/>
          <w:color w:val="000000"/>
          <w:sz w:val="32"/>
          <w:szCs w:val="32"/>
        </w:rPr>
        <w:t>第二节　　矿井通风</w:t>
      </w:r>
      <w:bookmarkEnd w:id="101"/>
    </w:p>
    <w:p w14:paraId="11DCED1D">
      <w:pPr>
        <w:pStyle w:val="4"/>
        <w:keepLines/>
        <w:adjustRightInd w:val="0"/>
        <w:snapToGrid w:val="0"/>
        <w:spacing w:before="240" w:after="240" w:line="360" w:lineRule="auto"/>
        <w:ind w:firstLine="562" w:firstLineChars="200"/>
        <w:jc w:val="both"/>
        <w:rPr>
          <w:rFonts w:hint="eastAsia"/>
          <w:b/>
          <w:color w:val="000000"/>
          <w:kern w:val="0"/>
          <w:szCs w:val="20"/>
        </w:rPr>
      </w:pPr>
      <w:bookmarkStart w:id="102" w:name="_Toc152432648"/>
      <w:bookmarkStart w:id="103" w:name="_Toc173893672"/>
      <w:bookmarkStart w:id="104" w:name="_Toc173869236"/>
      <w:bookmarkStart w:id="105" w:name="_Toc173918911"/>
      <w:bookmarkStart w:id="106" w:name="_Toc152432649"/>
      <w:r>
        <w:rPr>
          <w:rFonts w:hint="eastAsia"/>
          <w:b/>
          <w:color w:val="000000"/>
          <w:kern w:val="0"/>
          <w:szCs w:val="20"/>
        </w:rPr>
        <w:t>一</w:t>
      </w:r>
      <w:r>
        <w:rPr>
          <w:b/>
          <w:color w:val="000000"/>
          <w:kern w:val="0"/>
          <w:szCs w:val="20"/>
        </w:rPr>
        <w:t>、通风方式</w:t>
      </w:r>
      <w:bookmarkEnd w:id="102"/>
      <w:r>
        <w:rPr>
          <w:rFonts w:hint="eastAsia"/>
          <w:b/>
          <w:color w:val="000000"/>
          <w:kern w:val="0"/>
          <w:szCs w:val="20"/>
        </w:rPr>
        <w:t>及通风系统</w:t>
      </w:r>
      <w:bookmarkEnd w:id="103"/>
      <w:bookmarkEnd w:id="104"/>
      <w:bookmarkEnd w:id="105"/>
    </w:p>
    <w:p w14:paraId="19B73DC1">
      <w:pPr>
        <w:adjustRightInd w:val="0"/>
        <w:snapToGrid w:val="0"/>
        <w:spacing w:after="50" w:line="360" w:lineRule="auto"/>
        <w:ind w:firstLine="480" w:firstLineChars="200"/>
        <w:rPr>
          <w:rFonts w:hint="eastAsia" w:ascii="宋体" w:hAnsi="宋体"/>
          <w:color w:val="000000"/>
          <w:sz w:val="24"/>
        </w:rPr>
      </w:pPr>
      <w:r>
        <w:rPr>
          <w:rFonts w:hint="eastAsia" w:ascii="宋体" w:hAnsi="宋体"/>
          <w:color w:val="000000"/>
          <w:sz w:val="24"/>
        </w:rPr>
        <w:t>1、矿井通风方式</w:t>
      </w:r>
    </w:p>
    <w:p w14:paraId="5973B857">
      <w:pPr>
        <w:adjustRightInd w:val="0"/>
        <w:snapToGrid w:val="0"/>
        <w:spacing w:line="360" w:lineRule="auto"/>
        <w:ind w:firstLine="480" w:firstLineChars="200"/>
        <w:rPr>
          <w:rFonts w:ascii="宋体" w:hAnsi="宋体"/>
          <w:color w:val="000000"/>
          <w:sz w:val="24"/>
        </w:rPr>
      </w:pPr>
      <w:r>
        <w:rPr>
          <w:rFonts w:ascii="宋体" w:hAnsi="宋体"/>
          <w:sz w:val="24"/>
        </w:rPr>
        <w:t>矿井</w:t>
      </w:r>
      <w:r>
        <w:rPr>
          <w:rFonts w:hint="eastAsia" w:ascii="宋体" w:hAnsi="宋体"/>
          <w:sz w:val="24"/>
        </w:rPr>
        <w:t>通风系统为中央并列抽出式通风，</w:t>
      </w:r>
      <w:r>
        <w:rPr>
          <w:rFonts w:ascii="宋体" w:hAnsi="宋体"/>
          <w:color w:val="000000"/>
          <w:sz w:val="24"/>
        </w:rPr>
        <w:t>新鲜风流由</w:t>
      </w:r>
      <w:r>
        <w:rPr>
          <w:rFonts w:hint="eastAsia" w:ascii="宋体" w:hAnsi="宋体"/>
          <w:color w:val="000000"/>
          <w:sz w:val="24"/>
        </w:rPr>
        <w:t>主斜井和副斜井</w:t>
      </w:r>
      <w:r>
        <w:rPr>
          <w:rFonts w:ascii="宋体" w:hAnsi="宋体"/>
          <w:color w:val="000000"/>
          <w:sz w:val="24"/>
        </w:rPr>
        <w:t>进入，乏风通过回风斜井排出。回采工作面和各掘进工作面均采用独立通风，掘进工作面为压入式。</w:t>
      </w:r>
    </w:p>
    <w:p w14:paraId="08D6F0C0">
      <w:pPr>
        <w:adjustRightInd w:val="0"/>
        <w:snapToGrid w:val="0"/>
        <w:spacing w:line="360" w:lineRule="auto"/>
        <w:ind w:firstLine="480" w:firstLineChars="200"/>
        <w:rPr>
          <w:rFonts w:ascii="宋体" w:hAnsi="宋体"/>
          <w:color w:val="000000"/>
          <w:sz w:val="24"/>
        </w:rPr>
      </w:pPr>
      <w:r>
        <w:rPr>
          <w:rFonts w:ascii="宋体" w:hAnsi="宋体"/>
          <w:color w:val="000000"/>
          <w:sz w:val="24"/>
        </w:rPr>
        <w:t>矿井通风线路为：</w:t>
      </w:r>
      <w:r>
        <w:rPr>
          <w:rFonts w:hint="eastAsia" w:ascii="宋体" w:hAnsi="宋体"/>
          <w:color w:val="000000"/>
          <w:sz w:val="24"/>
        </w:rPr>
        <w:t>副斜井（主斜井）→133轨道石门（131运输石门）→11015运输顺槽→11015工作面→11015回风顺槽→132回风石门→回风斜井→引风道→地面</w:t>
      </w:r>
      <w:r>
        <w:rPr>
          <w:rFonts w:ascii="宋体" w:hAnsi="宋体"/>
          <w:color w:val="000000"/>
          <w:sz w:val="24"/>
        </w:rPr>
        <w:t>。</w:t>
      </w:r>
    </w:p>
    <w:p w14:paraId="49C06DBC">
      <w:pPr>
        <w:pStyle w:val="29"/>
        <w:adjustRightInd w:val="0"/>
        <w:snapToGrid w:val="0"/>
        <w:spacing w:line="360" w:lineRule="auto"/>
        <w:ind w:firstLine="480" w:firstLineChars="200"/>
        <w:rPr>
          <w:rFonts w:hint="eastAsia" w:hAnsi="宋体"/>
          <w:color w:val="000000"/>
          <w:sz w:val="24"/>
        </w:rPr>
      </w:pPr>
      <w:r>
        <w:rPr>
          <w:rFonts w:hint="eastAsia" w:hAnsi="宋体"/>
          <w:color w:val="000000"/>
          <w:sz w:val="24"/>
        </w:rPr>
        <w:t>矿井投产时期通风系统图及困难时期通风系统图详见</w:t>
      </w:r>
      <w:r>
        <w:rPr>
          <w:rFonts w:hint="eastAsia" w:hAnsi="宋体"/>
          <w:b/>
          <w:color w:val="000000"/>
          <w:sz w:val="24"/>
        </w:rPr>
        <w:t>（附图）</w:t>
      </w:r>
      <w:r>
        <w:rPr>
          <w:rFonts w:hint="eastAsia" w:hAnsi="宋体"/>
          <w:color w:val="000000"/>
          <w:sz w:val="24"/>
        </w:rPr>
        <w:t>。</w:t>
      </w:r>
    </w:p>
    <w:p w14:paraId="5F11DCAB">
      <w:pPr>
        <w:adjustRightInd w:val="0"/>
        <w:snapToGrid w:val="0"/>
        <w:spacing w:line="360" w:lineRule="auto"/>
        <w:ind w:firstLine="480" w:firstLineChars="200"/>
        <w:rPr>
          <w:rFonts w:hint="eastAsia" w:ascii="宋体" w:hAnsi="宋体"/>
          <w:sz w:val="24"/>
        </w:rPr>
      </w:pPr>
      <w:r>
        <w:rPr>
          <w:rFonts w:hint="eastAsia" w:ascii="宋体" w:hAnsi="宋体"/>
          <w:sz w:val="24"/>
        </w:rPr>
        <w:t>2、井筒数目、位置</w:t>
      </w:r>
    </w:p>
    <w:p w14:paraId="087CCB45">
      <w:pPr>
        <w:spacing w:line="360" w:lineRule="auto"/>
        <w:ind w:firstLine="480" w:firstLineChars="200"/>
        <w:rPr>
          <w:rFonts w:hint="eastAsia" w:ascii="宋体" w:hAnsi="宋体"/>
          <w:sz w:val="24"/>
        </w:rPr>
      </w:pPr>
      <w:r>
        <w:rPr>
          <w:rFonts w:hint="eastAsia" w:ascii="宋体" w:hAnsi="宋体"/>
          <w:sz w:val="24"/>
        </w:rPr>
        <w:t>根据矿井整体开拓部署，投产时期，矿井生产能力为30万吨/年，布置一个普采工作面，矿井配风量为</w:t>
      </w:r>
      <w:r>
        <w:rPr>
          <w:rFonts w:hint="eastAsia" w:ascii="宋体" w:hAnsi="宋体"/>
          <w:color w:val="FF0000"/>
          <w:sz w:val="24"/>
        </w:rPr>
        <w:t>52m</w:t>
      </w:r>
      <w:r>
        <w:rPr>
          <w:rFonts w:hint="eastAsia" w:ascii="宋体" w:hAnsi="宋体"/>
          <w:color w:val="FF0000"/>
          <w:sz w:val="24"/>
          <w:vertAlign w:val="superscript"/>
        </w:rPr>
        <w:t>3</w:t>
      </w:r>
      <w:r>
        <w:rPr>
          <w:rFonts w:hint="eastAsia" w:ascii="宋体" w:hAnsi="宋体"/>
          <w:color w:val="FF0000"/>
          <w:sz w:val="24"/>
        </w:rPr>
        <w:t>/s</w:t>
      </w:r>
      <w:r>
        <w:rPr>
          <w:rFonts w:hint="eastAsia" w:ascii="宋体" w:hAnsi="宋体"/>
          <w:sz w:val="24"/>
        </w:rPr>
        <w:t>，布置有主斜井、副斜井和回风斜井三个井筒，主斜井、副斜井、回风斜井均位于井田南东面矿界附近地势较平缓的坡地上，主斜井井口标高+</w:t>
      </w:r>
      <w:r>
        <w:rPr>
          <w:rFonts w:ascii="宋体" w:hAnsi="宋体"/>
          <w:sz w:val="24"/>
        </w:rPr>
        <w:t>1979</w:t>
      </w:r>
      <w:r>
        <w:rPr>
          <w:rFonts w:hint="eastAsia" w:ascii="宋体" w:hAnsi="宋体"/>
          <w:sz w:val="24"/>
        </w:rPr>
        <w:t>m；副斜井井口标高+</w:t>
      </w:r>
      <w:r>
        <w:rPr>
          <w:rFonts w:ascii="宋体" w:hAnsi="宋体"/>
          <w:sz w:val="24"/>
        </w:rPr>
        <w:t>1988</w:t>
      </w:r>
      <w:r>
        <w:rPr>
          <w:rFonts w:hint="eastAsia" w:ascii="宋体" w:hAnsi="宋体"/>
          <w:sz w:val="24"/>
        </w:rPr>
        <w:t>m；回风斜井井口标高＋</w:t>
      </w:r>
      <w:r>
        <w:rPr>
          <w:rFonts w:ascii="宋体" w:hAnsi="宋体"/>
          <w:sz w:val="24"/>
        </w:rPr>
        <w:t>1998</w:t>
      </w:r>
      <w:r>
        <w:rPr>
          <w:rFonts w:hint="eastAsia" w:ascii="宋体" w:hAnsi="宋体"/>
          <w:sz w:val="24"/>
        </w:rPr>
        <w:t>m；主斜井在K35-b煤层底板开口，采用穿层布置，以222°的方位，19°的倾角穿层至+1818.0m标高落平；副斜井在K35-b煤层底板开口，沿K35-b煤层底板布置，以222°的方位，25°的倾角穿层至+1835.0m标高落平；回风斜井在K26煤层底板开口，采用穿层布置，以227°的方位，26°的倾角穿层至+1835.0m标高落平。主斜井、副斜井、回风斜井落平后通过联络斜巷、联络巷及石门连接，在+1835.0m标高运输石门与轨道石门之间布置水泵房、主副水仓，在133轨道石门与回风斜井之间布置变电所形成矿井一采区开拓系统，目前矿井一采区开拓系统已经形成。主斜井、副斜井为整个矿井服务，服务年限为矿井服务年限，回风斜井为矿井一采区、二采区、五采区服务，服务年限为一采区、二采区、五采区服务年限，矿井通风系统为中央并列抽出式通风。</w:t>
      </w:r>
    </w:p>
    <w:p w14:paraId="319D628D">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3、采掘工作面通风</w:t>
      </w:r>
    </w:p>
    <w:p w14:paraId="1AAF26A5">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井下各采煤工作面均利用矿井主要通风机全负压通风，各回采工作面均设有独立的进回风系统，无串联通风。</w:t>
      </w:r>
    </w:p>
    <w:p w14:paraId="30471F14">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井下各机电器设备硐室等，均处于新鲜风流中。</w:t>
      </w:r>
    </w:p>
    <w:p w14:paraId="491B08F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掘进工作面利用局部通风机压入式通风，使用长距离通风的抗静电、阻燃性能风筒、双风机双电源和“三专两闭锁”（专用变压器、专用开关、专用回路，风电闭锁、瓦斯电闭锁）。</w:t>
      </w:r>
    </w:p>
    <w:p w14:paraId="02001647">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设计扩散通风的开关硐室等均设在进风巷道，并且硐室深度不超过6m，硐口宽度不小于1.5m。</w:t>
      </w:r>
    </w:p>
    <w:p w14:paraId="48367559">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回采工作面均采用上行通风。</w:t>
      </w:r>
    </w:p>
    <w:p w14:paraId="0B128243">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4、井下通风设施及构筑物布置</w:t>
      </w:r>
    </w:p>
    <w:p w14:paraId="0195C917">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本矿井主要通风设施有风门、测风站、调节风门及密闭等。根据矿井开拓、开采系统和巷道布置以及《煤矿安全规程》（2010版）要求，设计在必要位置设置相应通风设施，用于井下风量调节。其主要设置原则为：</w:t>
      </w:r>
    </w:p>
    <w:p w14:paraId="51C2CE53">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（1）主要进风和主要回风道之间设置2道联锁的正向风门和2道反向风门。</w:t>
      </w:r>
    </w:p>
    <w:p w14:paraId="67DCF33D">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（2）不用的联络巷道设永久风墙。</w:t>
      </w:r>
    </w:p>
    <w:p w14:paraId="7C1104A8">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（3）其它地点设两道正向和一道反向风门或两道正向风门。根据矿井反风的要求，必要地点设置反向风门。</w:t>
      </w:r>
    </w:p>
    <w:bookmarkEnd w:id="106"/>
    <w:p w14:paraId="488B66C8">
      <w:pPr>
        <w:pStyle w:val="4"/>
        <w:keepLines/>
        <w:adjustRightInd w:val="0"/>
        <w:snapToGrid w:val="0"/>
        <w:spacing w:before="240" w:after="240" w:line="360" w:lineRule="auto"/>
        <w:ind w:firstLine="562" w:firstLineChars="200"/>
        <w:jc w:val="both"/>
        <w:rPr>
          <w:b/>
          <w:color w:val="000000"/>
          <w:kern w:val="0"/>
          <w:szCs w:val="20"/>
        </w:rPr>
      </w:pPr>
      <w:bookmarkStart w:id="107" w:name="_Toc173893673"/>
      <w:bookmarkStart w:id="108" w:name="_Toc152432652"/>
      <w:bookmarkStart w:id="109" w:name="_Toc173918912"/>
      <w:bookmarkStart w:id="110" w:name="_Toc173869237"/>
      <w:r>
        <w:rPr>
          <w:rFonts w:hint="eastAsia"/>
          <w:b/>
          <w:color w:val="000000"/>
          <w:kern w:val="0"/>
          <w:szCs w:val="20"/>
        </w:rPr>
        <w:t>二</w:t>
      </w:r>
      <w:r>
        <w:rPr>
          <w:b/>
          <w:color w:val="000000"/>
          <w:kern w:val="0"/>
          <w:szCs w:val="20"/>
        </w:rPr>
        <w:t>、矿井风量、风压及等积孔</w:t>
      </w:r>
      <w:bookmarkEnd w:id="107"/>
      <w:bookmarkEnd w:id="108"/>
      <w:bookmarkEnd w:id="109"/>
      <w:bookmarkEnd w:id="110"/>
    </w:p>
    <w:p w14:paraId="187DBEF2">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1、采区间开采顺序</w:t>
      </w:r>
    </w:p>
    <w:p w14:paraId="0FA40EF7">
      <w:pPr>
        <w:spacing w:after="50" w:line="360" w:lineRule="auto"/>
        <w:ind w:firstLine="480" w:firstLineChars="200"/>
        <w:rPr>
          <w:rFonts w:hint="eastAsia" w:ascii="宋体" w:hAnsi="宋体"/>
          <w:sz w:val="24"/>
        </w:rPr>
      </w:pPr>
      <w:r>
        <w:rPr>
          <w:rFonts w:hint="eastAsia" w:ascii="宋体" w:hAnsi="宋体"/>
          <w:sz w:val="24"/>
        </w:rPr>
        <w:t>采区间开采顺序为：一采区→二采区→三采区→四采区→五采区。</w:t>
      </w:r>
    </w:p>
    <w:p w14:paraId="45270672">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矿井风量</w:t>
      </w:r>
      <w:r>
        <w:rPr>
          <w:rFonts w:hint="eastAsia" w:ascii="宋体" w:hAnsi="宋体"/>
          <w:color w:val="000000"/>
          <w:sz w:val="24"/>
        </w:rPr>
        <w:t>计算及分配</w:t>
      </w:r>
    </w:p>
    <w:p w14:paraId="37FB194E">
      <w:pPr>
        <w:adjustRightInd w:val="0"/>
        <w:snapToGrid w:val="0"/>
        <w:spacing w:line="360" w:lineRule="auto"/>
        <w:ind w:firstLine="480" w:firstLineChars="200"/>
        <w:rPr>
          <w:rFonts w:ascii="宋体" w:hAnsi="宋体"/>
          <w:color w:val="000000"/>
          <w:sz w:val="24"/>
        </w:rPr>
      </w:pPr>
      <w:r>
        <w:rPr>
          <w:rFonts w:ascii="宋体" w:hAnsi="宋体"/>
          <w:color w:val="000000"/>
          <w:sz w:val="24"/>
        </w:rPr>
        <w:t>根据《煤矿安全规程》</w:t>
      </w:r>
      <w:r>
        <w:rPr>
          <w:rFonts w:hint="eastAsia" w:ascii="宋体" w:hAnsi="宋体"/>
          <w:color w:val="000000"/>
          <w:sz w:val="24"/>
        </w:rPr>
        <w:t>（2010版）</w:t>
      </w:r>
      <w:r>
        <w:rPr>
          <w:rFonts w:ascii="宋体" w:hAnsi="宋体"/>
          <w:color w:val="000000"/>
          <w:sz w:val="24"/>
        </w:rPr>
        <w:t>及有关规定，参考</w:t>
      </w:r>
      <w:r>
        <w:rPr>
          <w:rFonts w:hint="eastAsia" w:ascii="宋体" w:hAnsi="宋体"/>
          <w:color w:val="000000"/>
          <w:sz w:val="24"/>
        </w:rPr>
        <w:t>原大坪煤矿及</w:t>
      </w:r>
      <w:r>
        <w:rPr>
          <w:rFonts w:ascii="宋体" w:hAnsi="宋体"/>
          <w:color w:val="000000"/>
          <w:sz w:val="24"/>
        </w:rPr>
        <w:t>邻近生产矿井实际配风经验，满足井下人员需求、瓦斯稀释、风速等要求，且使总回风流中瓦斯浓度不超过0.7%，矿井总风量采用以下</w:t>
      </w:r>
      <w:r>
        <w:rPr>
          <w:rFonts w:hint="eastAsia" w:ascii="宋体" w:hAnsi="宋体"/>
          <w:color w:val="000000"/>
          <w:sz w:val="24"/>
        </w:rPr>
        <w:t>两</w:t>
      </w:r>
      <w:r>
        <w:rPr>
          <w:rFonts w:ascii="宋体" w:hAnsi="宋体"/>
          <w:color w:val="000000"/>
          <w:sz w:val="24"/>
        </w:rPr>
        <w:t>种方法计算，并选取其中的最大值。</w:t>
      </w:r>
    </w:p>
    <w:p w14:paraId="16D7C99E">
      <w:pPr>
        <w:adjustRightInd w:val="0"/>
        <w:snapToGrid w:val="0"/>
        <w:spacing w:line="360" w:lineRule="auto"/>
        <w:ind w:firstLine="480" w:firstLineChars="200"/>
        <w:rPr>
          <w:rFonts w:hint="eastAsia" w:ascii="宋体" w:hAnsi="宋体"/>
          <w:color w:val="000000"/>
          <w:sz w:val="24"/>
        </w:rPr>
      </w:pPr>
      <w:r>
        <w:rPr>
          <w:rFonts w:hint="eastAsia" w:ascii="宋体" w:hAnsi="宋体"/>
          <w:sz w:val="24"/>
        </w:rPr>
        <w:t>（1）投产时期</w:t>
      </w:r>
    </w:p>
    <w:p w14:paraId="4DA7F292">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按井下同时工作的最大班下井人数计算。</w:t>
      </w:r>
    </w:p>
    <w:p w14:paraId="54554FE2">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矿井</w:t>
      </w:r>
      <w:r>
        <w:rPr>
          <w:rFonts w:hint="eastAsia" w:ascii="宋体" w:hAnsi="宋体"/>
          <w:color w:val="000000"/>
          <w:sz w:val="24"/>
        </w:rPr>
        <w:t>＝</w:t>
      </w:r>
      <w:r>
        <w:rPr>
          <w:rFonts w:ascii="宋体" w:hAnsi="宋体"/>
          <w:color w:val="000000"/>
          <w:sz w:val="24"/>
        </w:rPr>
        <w:t>4×N·K</w:t>
      </w:r>
      <w:r>
        <w:rPr>
          <w:rFonts w:ascii="宋体" w:hAnsi="宋体"/>
          <w:color w:val="000000"/>
          <w:sz w:val="24"/>
          <w:vertAlign w:val="subscript"/>
        </w:rPr>
        <w:t>矿通</w:t>
      </w:r>
    </w:p>
    <w:p w14:paraId="7974773C">
      <w:pPr>
        <w:adjustRightInd w:val="0"/>
        <w:snapToGrid w:val="0"/>
        <w:spacing w:line="360" w:lineRule="auto"/>
        <w:ind w:firstLine="480" w:firstLineChars="200"/>
        <w:rPr>
          <w:rFonts w:ascii="宋体" w:hAnsi="宋体"/>
          <w:color w:val="000000"/>
          <w:sz w:val="24"/>
        </w:rPr>
      </w:pPr>
      <w:r>
        <w:rPr>
          <w:rFonts w:ascii="宋体" w:hAnsi="宋体"/>
          <w:color w:val="000000"/>
          <w:sz w:val="24"/>
        </w:rPr>
        <w:t>式中：Q</w:t>
      </w:r>
      <w:r>
        <w:rPr>
          <w:rFonts w:ascii="宋体" w:hAnsi="宋体"/>
          <w:color w:val="000000"/>
          <w:sz w:val="24"/>
          <w:vertAlign w:val="subscript"/>
        </w:rPr>
        <w:t>矿井</w:t>
      </w:r>
      <w:r>
        <w:rPr>
          <w:rFonts w:hint="eastAsia" w:ascii="宋体" w:hAnsi="宋体"/>
          <w:color w:val="000000"/>
          <w:sz w:val="24"/>
        </w:rPr>
        <w:t>——</w:t>
      </w:r>
      <w:r>
        <w:rPr>
          <w:rFonts w:ascii="宋体" w:hAnsi="宋体"/>
          <w:color w:val="000000"/>
          <w:sz w:val="24"/>
        </w:rPr>
        <w:t>矿井总供风量，m</w:t>
      </w:r>
      <w:r>
        <w:rPr>
          <w:rFonts w:ascii="宋体" w:hAnsi="宋体"/>
          <w:color w:val="000000"/>
          <w:sz w:val="24"/>
          <w:vertAlign w:val="superscript"/>
        </w:rPr>
        <w:t>3</w:t>
      </w:r>
      <w:r>
        <w:rPr>
          <w:rFonts w:ascii="宋体" w:hAnsi="宋体"/>
          <w:color w:val="000000"/>
          <w:sz w:val="24"/>
        </w:rPr>
        <w:t>/s；</w:t>
      </w:r>
    </w:p>
    <w:p w14:paraId="298FA574">
      <w:pPr>
        <w:adjustRightInd w:val="0"/>
        <w:snapToGrid w:val="0"/>
        <w:spacing w:line="360" w:lineRule="auto"/>
        <w:ind w:firstLine="480" w:firstLineChars="200"/>
        <w:rPr>
          <w:rFonts w:ascii="宋体" w:hAnsi="宋体"/>
          <w:color w:val="000000"/>
          <w:sz w:val="24"/>
        </w:rPr>
      </w:pPr>
      <w:r>
        <w:rPr>
          <w:rFonts w:ascii="宋体" w:hAnsi="宋体"/>
          <w:color w:val="000000"/>
          <w:sz w:val="24"/>
        </w:rPr>
        <w:t xml:space="preserve">      N</w:t>
      </w:r>
      <w:r>
        <w:rPr>
          <w:rFonts w:hint="eastAsia" w:ascii="宋体" w:hAnsi="宋体"/>
          <w:color w:val="000000"/>
          <w:sz w:val="24"/>
        </w:rPr>
        <w:t>——</w:t>
      </w:r>
      <w:r>
        <w:rPr>
          <w:rFonts w:ascii="宋体" w:hAnsi="宋体"/>
          <w:color w:val="000000"/>
          <w:sz w:val="24"/>
        </w:rPr>
        <w:t>井下同时工作的最多人数，</w:t>
      </w:r>
      <w:r>
        <w:rPr>
          <w:rFonts w:hint="eastAsia" w:ascii="宋体" w:hAnsi="宋体"/>
          <w:color w:val="000000"/>
          <w:sz w:val="24"/>
        </w:rPr>
        <w:t>按80</w:t>
      </w:r>
      <w:r>
        <w:rPr>
          <w:rFonts w:ascii="宋体" w:hAnsi="宋体"/>
          <w:color w:val="000000"/>
          <w:sz w:val="24"/>
        </w:rPr>
        <w:t>人</w:t>
      </w:r>
      <w:r>
        <w:rPr>
          <w:rFonts w:hint="eastAsia" w:ascii="宋体" w:hAnsi="宋体"/>
          <w:color w:val="000000"/>
          <w:sz w:val="24"/>
        </w:rPr>
        <w:t>计算</w:t>
      </w:r>
      <w:r>
        <w:rPr>
          <w:rFonts w:ascii="宋体" w:hAnsi="宋体"/>
          <w:color w:val="000000"/>
          <w:sz w:val="24"/>
        </w:rPr>
        <w:t>；</w:t>
      </w:r>
    </w:p>
    <w:p w14:paraId="7A0BEB5F">
      <w:pPr>
        <w:adjustRightInd w:val="0"/>
        <w:snapToGrid w:val="0"/>
        <w:spacing w:line="360" w:lineRule="auto"/>
        <w:ind w:firstLine="480" w:firstLineChars="200"/>
        <w:rPr>
          <w:rFonts w:ascii="宋体" w:hAnsi="宋体"/>
          <w:color w:val="000000"/>
          <w:sz w:val="24"/>
        </w:rPr>
      </w:pPr>
      <w:r>
        <w:rPr>
          <w:rFonts w:ascii="宋体" w:hAnsi="宋体"/>
          <w:color w:val="000000"/>
          <w:sz w:val="24"/>
        </w:rPr>
        <w:t xml:space="preserve">      K</w:t>
      </w:r>
      <w:r>
        <w:rPr>
          <w:rFonts w:ascii="宋体" w:hAnsi="宋体"/>
          <w:color w:val="000000"/>
          <w:sz w:val="24"/>
          <w:vertAlign w:val="subscript"/>
        </w:rPr>
        <w:t>矿通</w:t>
      </w:r>
      <w:r>
        <w:rPr>
          <w:rFonts w:hint="eastAsia" w:ascii="宋体" w:hAnsi="宋体"/>
          <w:color w:val="000000"/>
          <w:sz w:val="24"/>
        </w:rPr>
        <w:t>——</w:t>
      </w:r>
      <w:r>
        <w:rPr>
          <w:rFonts w:ascii="宋体" w:hAnsi="宋体"/>
          <w:color w:val="000000"/>
          <w:sz w:val="24"/>
        </w:rPr>
        <w:t>矿井通风系数，包括矿井内部漏风和配风不均匀等因素，取K</w:t>
      </w:r>
      <w:r>
        <w:rPr>
          <w:rFonts w:ascii="宋体" w:hAnsi="宋体"/>
          <w:color w:val="000000"/>
          <w:sz w:val="24"/>
          <w:vertAlign w:val="subscript"/>
        </w:rPr>
        <w:t>矿通</w:t>
      </w:r>
      <w:r>
        <w:rPr>
          <w:rFonts w:hint="eastAsia" w:ascii="宋体" w:hAnsi="宋体"/>
          <w:color w:val="000000"/>
          <w:sz w:val="24"/>
        </w:rPr>
        <w:t>＝</w:t>
      </w:r>
      <w:r>
        <w:rPr>
          <w:rFonts w:ascii="宋体" w:hAnsi="宋体"/>
          <w:color w:val="000000"/>
          <w:sz w:val="24"/>
        </w:rPr>
        <w:t>1.</w:t>
      </w:r>
      <w:r>
        <w:rPr>
          <w:rFonts w:hint="eastAsia" w:ascii="宋体" w:hAnsi="宋体"/>
          <w:color w:val="000000"/>
          <w:sz w:val="24"/>
        </w:rPr>
        <w:t>25</w:t>
      </w:r>
      <w:r>
        <w:rPr>
          <w:rFonts w:ascii="宋体" w:hAnsi="宋体"/>
          <w:color w:val="000000"/>
          <w:sz w:val="24"/>
        </w:rPr>
        <w:t>。</w:t>
      </w:r>
    </w:p>
    <w:p w14:paraId="4E27D22E">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Q</w:t>
      </w:r>
      <w:r>
        <w:rPr>
          <w:rFonts w:ascii="宋体" w:hAnsi="宋体"/>
          <w:color w:val="000000"/>
          <w:sz w:val="24"/>
          <w:vertAlign w:val="subscript"/>
        </w:rPr>
        <w:t>矿井</w:t>
      </w:r>
      <w:r>
        <w:rPr>
          <w:rFonts w:hint="eastAsia" w:ascii="宋体" w:hAnsi="宋体"/>
          <w:color w:val="000000"/>
          <w:sz w:val="24"/>
        </w:rPr>
        <w:t>＝</w:t>
      </w:r>
      <w:r>
        <w:rPr>
          <w:rFonts w:ascii="宋体" w:hAnsi="宋体"/>
          <w:color w:val="000000"/>
          <w:sz w:val="24"/>
        </w:rPr>
        <w:t>4×</w:t>
      </w:r>
      <w:r>
        <w:rPr>
          <w:rFonts w:hint="eastAsia" w:ascii="宋体" w:hAnsi="宋体"/>
          <w:color w:val="000000"/>
          <w:sz w:val="24"/>
        </w:rPr>
        <w:t>80</w:t>
      </w:r>
      <w:r>
        <w:rPr>
          <w:rFonts w:ascii="宋体" w:hAnsi="宋体"/>
          <w:color w:val="000000"/>
          <w:sz w:val="24"/>
        </w:rPr>
        <w:t>×1.</w:t>
      </w:r>
      <w:r>
        <w:rPr>
          <w:rFonts w:hint="eastAsia" w:ascii="宋体" w:hAnsi="宋体"/>
          <w:color w:val="000000"/>
          <w:sz w:val="24"/>
        </w:rPr>
        <w:t>25＝400</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/min</w:t>
      </w:r>
      <w:r>
        <w:rPr>
          <w:rFonts w:hint="eastAsia" w:ascii="宋体" w:hAnsi="宋体"/>
          <w:color w:val="000000"/>
          <w:sz w:val="24"/>
        </w:rPr>
        <w:t>＝6.7</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p>
    <w:p w14:paraId="3CA51AB0">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2）</w:t>
      </w:r>
      <w:r>
        <w:rPr>
          <w:rFonts w:ascii="宋体" w:hAnsi="宋体"/>
          <w:color w:val="000000"/>
          <w:sz w:val="24"/>
        </w:rPr>
        <w:t>按采煤、掘进、硐室及其它地点实际需要风量的总和计算。</w:t>
      </w:r>
    </w:p>
    <w:p w14:paraId="36024A27">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矿井</w:t>
      </w:r>
      <w:r>
        <w:rPr>
          <w:rFonts w:hint="eastAsia" w:ascii="宋体" w:hAnsi="宋体"/>
          <w:color w:val="000000"/>
          <w:sz w:val="24"/>
        </w:rPr>
        <w:t>＝</w:t>
      </w:r>
      <w:r>
        <w:rPr>
          <w:rFonts w:ascii="宋体" w:hAnsi="宋体"/>
          <w:color w:val="000000"/>
          <w:sz w:val="24"/>
        </w:rPr>
        <w:t>（ΣQ</w:t>
      </w:r>
      <w:r>
        <w:rPr>
          <w:rFonts w:ascii="宋体" w:hAnsi="宋体"/>
          <w:color w:val="000000"/>
          <w:sz w:val="24"/>
          <w:vertAlign w:val="subscript"/>
        </w:rPr>
        <w:t>采</w:t>
      </w:r>
      <w:r>
        <w:rPr>
          <w:rFonts w:ascii="宋体" w:hAnsi="宋体"/>
          <w:color w:val="000000"/>
          <w:sz w:val="24"/>
        </w:rPr>
        <w:t>＋ΣQ</w:t>
      </w:r>
      <w:r>
        <w:rPr>
          <w:rFonts w:ascii="宋体" w:hAnsi="宋体"/>
          <w:color w:val="000000"/>
          <w:sz w:val="24"/>
          <w:vertAlign w:val="subscript"/>
        </w:rPr>
        <w:t>掘</w:t>
      </w:r>
      <w:r>
        <w:rPr>
          <w:rFonts w:ascii="宋体" w:hAnsi="宋体"/>
          <w:color w:val="000000"/>
          <w:sz w:val="24"/>
        </w:rPr>
        <w:t>＋ΣQ</w:t>
      </w:r>
      <w:r>
        <w:rPr>
          <w:rFonts w:ascii="宋体" w:hAnsi="宋体"/>
          <w:color w:val="000000"/>
          <w:sz w:val="24"/>
          <w:vertAlign w:val="subscript"/>
        </w:rPr>
        <w:t>硐</w:t>
      </w:r>
      <w:r>
        <w:rPr>
          <w:rFonts w:ascii="宋体" w:hAnsi="宋体"/>
          <w:color w:val="000000"/>
          <w:sz w:val="24"/>
        </w:rPr>
        <w:t>+Q</w:t>
      </w:r>
      <w:r>
        <w:rPr>
          <w:rFonts w:ascii="宋体" w:hAnsi="宋体"/>
          <w:color w:val="000000"/>
          <w:sz w:val="24"/>
          <w:vertAlign w:val="subscript"/>
        </w:rPr>
        <w:t>其他</w:t>
      </w:r>
      <w:r>
        <w:rPr>
          <w:rFonts w:ascii="宋体" w:hAnsi="宋体"/>
          <w:color w:val="000000"/>
          <w:sz w:val="24"/>
        </w:rPr>
        <w:t>）·K</w:t>
      </w:r>
      <w:r>
        <w:rPr>
          <w:rFonts w:ascii="宋体" w:hAnsi="宋体"/>
          <w:color w:val="000000"/>
          <w:sz w:val="24"/>
          <w:vertAlign w:val="subscript"/>
        </w:rPr>
        <w:t>矿通</w:t>
      </w:r>
    </w:p>
    <w:p w14:paraId="2B09E31E">
      <w:pPr>
        <w:adjustRightInd w:val="0"/>
        <w:snapToGrid w:val="0"/>
        <w:spacing w:line="360" w:lineRule="auto"/>
        <w:ind w:firstLine="480" w:firstLineChars="200"/>
        <w:rPr>
          <w:rFonts w:ascii="宋体" w:hAnsi="宋体"/>
          <w:color w:val="000000"/>
          <w:sz w:val="24"/>
        </w:rPr>
      </w:pPr>
      <w:r>
        <w:rPr>
          <w:rFonts w:ascii="宋体" w:hAnsi="宋体"/>
          <w:color w:val="000000"/>
          <w:sz w:val="24"/>
        </w:rPr>
        <w:t>式中：ΣQ</w:t>
      </w:r>
      <w:r>
        <w:rPr>
          <w:rFonts w:ascii="宋体" w:hAnsi="宋体"/>
          <w:color w:val="000000"/>
          <w:sz w:val="24"/>
          <w:vertAlign w:val="subscript"/>
        </w:rPr>
        <w:t>采</w:t>
      </w:r>
      <w:r>
        <w:rPr>
          <w:rFonts w:hint="eastAsia" w:ascii="宋体" w:hAnsi="宋体"/>
          <w:color w:val="000000"/>
          <w:sz w:val="24"/>
        </w:rPr>
        <w:t>——</w:t>
      </w:r>
      <w:r>
        <w:rPr>
          <w:rFonts w:ascii="宋体" w:hAnsi="宋体"/>
          <w:color w:val="000000"/>
          <w:sz w:val="24"/>
        </w:rPr>
        <w:t>采煤实际需要风量的总和，m</w:t>
      </w:r>
      <w:r>
        <w:rPr>
          <w:rFonts w:ascii="宋体" w:hAnsi="宋体"/>
          <w:color w:val="000000"/>
          <w:sz w:val="24"/>
          <w:vertAlign w:val="superscript"/>
        </w:rPr>
        <w:t>3</w:t>
      </w:r>
      <w:r>
        <w:rPr>
          <w:rFonts w:ascii="宋体" w:hAnsi="宋体"/>
          <w:color w:val="000000"/>
          <w:sz w:val="24"/>
        </w:rPr>
        <w:t>/s；</w:t>
      </w:r>
    </w:p>
    <w:p w14:paraId="53C7E4F9">
      <w:pPr>
        <w:adjustRightInd w:val="0"/>
        <w:snapToGrid w:val="0"/>
        <w:spacing w:line="360" w:lineRule="auto"/>
        <w:ind w:firstLine="480" w:firstLineChars="200"/>
        <w:rPr>
          <w:rFonts w:ascii="宋体" w:hAnsi="宋体"/>
          <w:color w:val="000000"/>
          <w:sz w:val="24"/>
        </w:rPr>
      </w:pPr>
      <w:r>
        <w:rPr>
          <w:rFonts w:ascii="宋体" w:hAnsi="宋体"/>
          <w:color w:val="000000"/>
          <w:sz w:val="24"/>
        </w:rPr>
        <w:t xml:space="preserve">      ΣQ</w:t>
      </w:r>
      <w:r>
        <w:rPr>
          <w:rFonts w:ascii="宋体" w:hAnsi="宋体"/>
          <w:color w:val="000000"/>
          <w:sz w:val="24"/>
          <w:vertAlign w:val="subscript"/>
        </w:rPr>
        <w:t>掘</w:t>
      </w:r>
      <w:r>
        <w:rPr>
          <w:rFonts w:hint="eastAsia" w:ascii="宋体" w:hAnsi="宋体"/>
          <w:color w:val="000000"/>
          <w:sz w:val="24"/>
        </w:rPr>
        <w:t>——</w:t>
      </w:r>
      <w:r>
        <w:rPr>
          <w:rFonts w:ascii="宋体" w:hAnsi="宋体"/>
          <w:color w:val="000000"/>
          <w:sz w:val="24"/>
        </w:rPr>
        <w:t>掘进实际需要风量的总和，m</w:t>
      </w:r>
      <w:r>
        <w:rPr>
          <w:rFonts w:ascii="宋体" w:hAnsi="宋体"/>
          <w:color w:val="000000"/>
          <w:sz w:val="24"/>
          <w:vertAlign w:val="superscript"/>
        </w:rPr>
        <w:t>3</w:t>
      </w:r>
      <w:r>
        <w:rPr>
          <w:rFonts w:ascii="宋体" w:hAnsi="宋体"/>
          <w:color w:val="000000"/>
          <w:sz w:val="24"/>
        </w:rPr>
        <w:t>/s；</w:t>
      </w:r>
    </w:p>
    <w:p w14:paraId="0B8D0C5C">
      <w:pPr>
        <w:adjustRightInd w:val="0"/>
        <w:snapToGrid w:val="0"/>
        <w:spacing w:line="360" w:lineRule="auto"/>
        <w:ind w:firstLine="480" w:firstLineChars="200"/>
        <w:rPr>
          <w:rFonts w:ascii="宋体" w:hAnsi="宋体"/>
          <w:color w:val="000000"/>
          <w:sz w:val="24"/>
        </w:rPr>
      </w:pPr>
      <w:r>
        <w:rPr>
          <w:rFonts w:ascii="宋体" w:hAnsi="宋体"/>
          <w:color w:val="000000"/>
          <w:sz w:val="24"/>
        </w:rPr>
        <w:t xml:space="preserve">      ΣQ</w:t>
      </w:r>
      <w:r>
        <w:rPr>
          <w:rFonts w:ascii="宋体" w:hAnsi="宋体"/>
          <w:color w:val="000000"/>
          <w:sz w:val="24"/>
          <w:vertAlign w:val="subscript"/>
        </w:rPr>
        <w:t>硐</w:t>
      </w:r>
      <w:r>
        <w:rPr>
          <w:rFonts w:hint="eastAsia" w:ascii="宋体" w:hAnsi="宋体"/>
          <w:color w:val="000000"/>
          <w:sz w:val="24"/>
        </w:rPr>
        <w:t>——</w:t>
      </w:r>
      <w:r>
        <w:rPr>
          <w:rFonts w:ascii="宋体" w:hAnsi="宋体"/>
          <w:color w:val="000000"/>
          <w:sz w:val="24"/>
        </w:rPr>
        <w:t>独立回风的硐室实际需要风量的总和，m</w:t>
      </w:r>
      <w:r>
        <w:rPr>
          <w:rFonts w:ascii="宋体" w:hAnsi="宋体"/>
          <w:color w:val="000000"/>
          <w:sz w:val="24"/>
          <w:vertAlign w:val="superscript"/>
        </w:rPr>
        <w:t>3</w:t>
      </w:r>
      <w:r>
        <w:rPr>
          <w:rFonts w:ascii="宋体" w:hAnsi="宋体"/>
          <w:color w:val="000000"/>
          <w:sz w:val="24"/>
        </w:rPr>
        <w:t>/s；</w:t>
      </w:r>
    </w:p>
    <w:p w14:paraId="6BE289B9">
      <w:pPr>
        <w:pStyle w:val="29"/>
        <w:adjustRightInd w:val="0"/>
        <w:snapToGrid w:val="0"/>
        <w:spacing w:line="360" w:lineRule="auto"/>
        <w:ind w:firstLine="1200" w:firstLineChars="500"/>
        <w:rPr>
          <w:rFonts w:hint="eastAsia" w:hAnsi="宋体"/>
          <w:color w:val="000000"/>
          <w:sz w:val="24"/>
        </w:rPr>
      </w:pPr>
      <w:r>
        <w:rPr>
          <w:rFonts w:hAnsi="宋体"/>
          <w:color w:val="000000"/>
          <w:sz w:val="24"/>
        </w:rPr>
        <w:t>ΣQ</w:t>
      </w:r>
      <w:r>
        <w:rPr>
          <w:rFonts w:hAnsi="宋体"/>
          <w:color w:val="000000"/>
          <w:sz w:val="24"/>
          <w:vertAlign w:val="subscript"/>
        </w:rPr>
        <w:t>其它</w:t>
      </w:r>
      <w:r>
        <w:rPr>
          <w:rFonts w:hint="eastAsia" w:hAnsi="宋体"/>
          <w:color w:val="000000"/>
          <w:sz w:val="24"/>
        </w:rPr>
        <w:t>——</w:t>
      </w:r>
      <w:r>
        <w:rPr>
          <w:rFonts w:hAnsi="宋体"/>
          <w:color w:val="000000"/>
          <w:sz w:val="24"/>
        </w:rPr>
        <w:t>矿井除了采煤、掘进和硐室地点外的其它井巷需要进行通风的风量总和，m</w:t>
      </w:r>
      <w:r>
        <w:rPr>
          <w:rFonts w:hAnsi="宋体"/>
          <w:color w:val="000000"/>
          <w:sz w:val="24"/>
          <w:vertAlign w:val="superscript"/>
        </w:rPr>
        <w:t>3</w:t>
      </w:r>
      <w:r>
        <w:rPr>
          <w:rFonts w:hAnsi="宋体"/>
          <w:color w:val="000000"/>
          <w:sz w:val="24"/>
        </w:rPr>
        <w:t>/s。</w:t>
      </w:r>
    </w:p>
    <w:p w14:paraId="2B86C72D">
      <w:pPr>
        <w:pStyle w:val="29"/>
        <w:adjustRightInd w:val="0"/>
        <w:snapToGrid w:val="0"/>
        <w:spacing w:line="360" w:lineRule="auto"/>
        <w:ind w:firstLine="1200" w:firstLineChars="500"/>
        <w:rPr>
          <w:rFonts w:hint="eastAsia" w:hAnsi="宋体"/>
          <w:sz w:val="24"/>
          <w:szCs w:val="24"/>
        </w:rPr>
      </w:pPr>
      <w:r>
        <w:rPr>
          <w:rFonts w:hAnsi="宋体"/>
          <w:sz w:val="24"/>
          <w:szCs w:val="24"/>
        </w:rPr>
        <w:t>K</w:t>
      </w:r>
      <w:r>
        <w:rPr>
          <w:rFonts w:hAnsi="宋体"/>
          <w:sz w:val="24"/>
          <w:szCs w:val="24"/>
          <w:vertAlign w:val="subscript"/>
        </w:rPr>
        <w:t>矿</w:t>
      </w:r>
      <w:r>
        <w:rPr>
          <w:rFonts w:hint="eastAsia" w:hAnsi="宋体"/>
          <w:sz w:val="24"/>
          <w:szCs w:val="24"/>
          <w:vertAlign w:val="subscript"/>
        </w:rPr>
        <w:t>通</w:t>
      </w:r>
      <w:r>
        <w:rPr>
          <w:rFonts w:hint="eastAsia" w:hAnsi="宋体"/>
          <w:sz w:val="24"/>
          <w:szCs w:val="24"/>
        </w:rPr>
        <w:t>——矿井通风系数（本矿采区采用并列抽出式通风，</w:t>
      </w:r>
      <w:r>
        <w:rPr>
          <w:rFonts w:hAnsi="宋体"/>
          <w:sz w:val="24"/>
          <w:szCs w:val="24"/>
        </w:rPr>
        <w:t>K</w:t>
      </w:r>
      <w:r>
        <w:rPr>
          <w:rFonts w:hAnsi="宋体"/>
          <w:sz w:val="24"/>
          <w:szCs w:val="24"/>
          <w:vertAlign w:val="subscript"/>
        </w:rPr>
        <w:t>矿</w:t>
      </w:r>
      <w:r>
        <w:rPr>
          <w:rFonts w:hint="eastAsia" w:hAnsi="宋体"/>
          <w:sz w:val="24"/>
          <w:szCs w:val="24"/>
        </w:rPr>
        <w:t>＝1.20～1.25）</w:t>
      </w:r>
      <w:r>
        <w:rPr>
          <w:rFonts w:hAnsi="宋体"/>
          <w:sz w:val="24"/>
          <w:szCs w:val="24"/>
        </w:rPr>
        <w:t>；</w:t>
      </w:r>
    </w:p>
    <w:p w14:paraId="42FD3FD1">
      <w:pPr>
        <w:adjustRightInd w:val="0"/>
        <w:snapToGrid w:val="0"/>
        <w:spacing w:line="360" w:lineRule="auto"/>
        <w:ind w:firstLine="480" w:firstLineChars="200"/>
        <w:rPr>
          <w:rFonts w:ascii="宋体" w:hAnsi="宋体"/>
          <w:color w:val="000000"/>
          <w:sz w:val="24"/>
        </w:rPr>
      </w:pPr>
      <w:r>
        <w:rPr>
          <w:rFonts w:ascii="宋体" w:hAnsi="宋体"/>
          <w:color w:val="000000"/>
          <w:sz w:val="24"/>
        </w:rPr>
        <w:t>①</w:t>
      </w:r>
      <w:r>
        <w:rPr>
          <w:rFonts w:hint="eastAsia" w:ascii="宋体" w:hAnsi="宋体"/>
          <w:color w:val="000000"/>
          <w:sz w:val="24"/>
        </w:rPr>
        <w:t xml:space="preserve"> </w:t>
      </w:r>
      <w:r>
        <w:rPr>
          <w:rFonts w:ascii="宋体" w:hAnsi="宋体"/>
          <w:color w:val="000000"/>
          <w:sz w:val="24"/>
        </w:rPr>
        <w:t>采煤工作面的风量确定</w:t>
      </w:r>
    </w:p>
    <w:p w14:paraId="6E2F4D07">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普采</w:t>
      </w:r>
      <w:r>
        <w:rPr>
          <w:rFonts w:ascii="宋体" w:hAnsi="宋体"/>
          <w:color w:val="000000"/>
          <w:sz w:val="24"/>
        </w:rPr>
        <w:t>工作面的实际需要风量，应按稀释和冲淡工作面瓦斯涌出量要求，并考虑工作面气温、风速以及人数等因素分别进行计算后，采取其中最大值。经分析和计算认为，本矿井地温不高，</w:t>
      </w:r>
      <w:r>
        <w:rPr>
          <w:rFonts w:hint="eastAsia" w:ascii="宋体" w:hAnsi="宋体"/>
          <w:color w:val="000000"/>
          <w:sz w:val="24"/>
        </w:rPr>
        <w:t>普采</w:t>
      </w:r>
      <w:r>
        <w:rPr>
          <w:rFonts w:ascii="宋体" w:hAnsi="宋体"/>
          <w:color w:val="000000"/>
          <w:sz w:val="24"/>
        </w:rPr>
        <w:t>工作面人数一般不超过</w:t>
      </w:r>
      <w:r>
        <w:rPr>
          <w:rFonts w:hint="eastAsia" w:ascii="宋体" w:hAnsi="宋体"/>
          <w:color w:val="000000"/>
          <w:sz w:val="24"/>
        </w:rPr>
        <w:t>45</w:t>
      </w:r>
      <w:r>
        <w:rPr>
          <w:rFonts w:ascii="宋体" w:hAnsi="宋体"/>
          <w:color w:val="000000"/>
          <w:sz w:val="24"/>
        </w:rPr>
        <w:t>人，因此，影响工作面风量确定的主要因素是瓦斯涌出量和风速。</w:t>
      </w:r>
    </w:p>
    <w:p w14:paraId="403271B7">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按瓦斯涌出量：</w:t>
      </w:r>
    </w:p>
    <w:p w14:paraId="0F8AD0BB">
      <w:pPr>
        <w:adjustRightInd w:val="0"/>
        <w:snapToGrid w:val="0"/>
        <w:spacing w:line="360" w:lineRule="auto"/>
        <w:ind w:firstLine="480" w:firstLineChars="200"/>
        <w:rPr>
          <w:rFonts w:hint="eastAsia" w:ascii="宋体" w:hAnsi="宋体"/>
          <w:color w:val="000000"/>
          <w:sz w:val="24"/>
          <w:vertAlign w:val="subscript"/>
        </w:rPr>
      </w:pPr>
      <w:r>
        <w:rPr>
          <w:rFonts w:ascii="宋体" w:hAnsi="宋体"/>
          <w:color w:val="000000"/>
          <w:sz w:val="24"/>
        </w:rPr>
        <w:t>Q</w:t>
      </w:r>
      <w:r>
        <w:rPr>
          <w:rFonts w:ascii="宋体" w:hAnsi="宋体"/>
          <w:color w:val="000000"/>
          <w:sz w:val="24"/>
          <w:vertAlign w:val="subscript"/>
        </w:rPr>
        <w:t>采</w:t>
      </w:r>
      <w:r>
        <w:rPr>
          <w:rFonts w:hint="eastAsia" w:ascii="宋体" w:hAnsi="宋体"/>
          <w:color w:val="000000"/>
          <w:sz w:val="24"/>
        </w:rPr>
        <w:t>＝</w:t>
      </w:r>
      <w:r>
        <w:rPr>
          <w:rFonts w:ascii="宋体" w:hAnsi="宋体"/>
          <w:color w:val="000000"/>
          <w:sz w:val="24"/>
        </w:rPr>
        <w:t>100×q</w:t>
      </w:r>
      <w:r>
        <w:rPr>
          <w:rFonts w:ascii="宋体" w:hAnsi="宋体"/>
          <w:color w:val="000000"/>
          <w:sz w:val="24"/>
          <w:vertAlign w:val="subscript"/>
        </w:rPr>
        <w:t>瓦采</w:t>
      </w:r>
      <w:r>
        <w:rPr>
          <w:rFonts w:ascii="宋体" w:hAnsi="宋体"/>
          <w:color w:val="000000"/>
          <w:sz w:val="24"/>
        </w:rPr>
        <w:t>·K</w:t>
      </w:r>
      <w:r>
        <w:rPr>
          <w:rFonts w:ascii="宋体" w:hAnsi="宋体"/>
          <w:color w:val="000000"/>
          <w:sz w:val="24"/>
          <w:vertAlign w:val="subscript"/>
        </w:rPr>
        <w:t>采通</w:t>
      </w:r>
    </w:p>
    <w:p w14:paraId="55E2C6B5">
      <w:pPr>
        <w:adjustRightInd w:val="0"/>
        <w:snapToGrid w:val="0"/>
        <w:spacing w:line="360" w:lineRule="auto"/>
        <w:ind w:firstLine="480" w:firstLineChars="200"/>
        <w:rPr>
          <w:rFonts w:ascii="宋体" w:hAnsi="宋体"/>
          <w:color w:val="000000"/>
          <w:sz w:val="24"/>
        </w:rPr>
      </w:pPr>
      <w:r>
        <w:rPr>
          <w:rFonts w:ascii="宋体" w:hAnsi="宋体"/>
          <w:color w:val="000000"/>
          <w:sz w:val="24"/>
        </w:rPr>
        <w:t>式中：Q</w:t>
      </w:r>
      <w:r>
        <w:rPr>
          <w:rFonts w:ascii="宋体" w:hAnsi="宋体"/>
          <w:color w:val="000000"/>
          <w:sz w:val="24"/>
          <w:vertAlign w:val="subscript"/>
        </w:rPr>
        <w:t>采</w:t>
      </w:r>
      <w:r>
        <w:rPr>
          <w:rFonts w:hint="eastAsia" w:ascii="宋体" w:hAnsi="宋体"/>
          <w:color w:val="000000"/>
          <w:sz w:val="24"/>
        </w:rPr>
        <w:t>——</w:t>
      </w:r>
      <w:r>
        <w:rPr>
          <w:rFonts w:ascii="宋体" w:hAnsi="宋体"/>
          <w:color w:val="000000"/>
          <w:sz w:val="24"/>
        </w:rPr>
        <w:t>采煤工作面实际需要的风量，m</w:t>
      </w:r>
      <w:r>
        <w:rPr>
          <w:rFonts w:ascii="宋体" w:hAnsi="宋体"/>
          <w:color w:val="000000"/>
          <w:sz w:val="24"/>
          <w:vertAlign w:val="superscript"/>
        </w:rPr>
        <w:t>3</w:t>
      </w:r>
      <w:r>
        <w:rPr>
          <w:rFonts w:ascii="宋体" w:hAnsi="宋体"/>
          <w:color w:val="000000"/>
          <w:sz w:val="24"/>
        </w:rPr>
        <w:t>/s；</w:t>
      </w:r>
    </w:p>
    <w:p w14:paraId="10ECF24A">
      <w:pPr>
        <w:adjustRightInd w:val="0"/>
        <w:snapToGrid w:val="0"/>
        <w:spacing w:line="360" w:lineRule="auto"/>
        <w:ind w:firstLine="482" w:firstLineChars="200"/>
        <w:rPr>
          <w:rFonts w:hint="eastAsia" w:ascii="宋体" w:hAnsi="宋体"/>
          <w:color w:val="FF0000"/>
          <w:sz w:val="24"/>
        </w:rPr>
      </w:pPr>
      <w:r>
        <w:rPr>
          <w:rFonts w:ascii="宋体" w:hAnsi="宋体"/>
          <w:b/>
          <w:color w:val="FF0000"/>
          <w:sz w:val="24"/>
        </w:rPr>
        <w:t xml:space="preserve">      </w:t>
      </w:r>
      <w:r>
        <w:rPr>
          <w:rFonts w:ascii="宋体" w:hAnsi="宋体"/>
          <w:color w:val="FF0000"/>
          <w:sz w:val="24"/>
        </w:rPr>
        <w:t>q</w:t>
      </w:r>
      <w:r>
        <w:rPr>
          <w:rFonts w:ascii="宋体" w:hAnsi="宋体"/>
          <w:color w:val="FF0000"/>
          <w:sz w:val="24"/>
          <w:vertAlign w:val="subscript"/>
        </w:rPr>
        <w:t>瓦采</w:t>
      </w:r>
      <w:r>
        <w:rPr>
          <w:rFonts w:hint="eastAsia" w:ascii="宋体" w:hAnsi="宋体"/>
          <w:color w:val="FF0000"/>
          <w:sz w:val="24"/>
        </w:rPr>
        <w:t>——</w:t>
      </w:r>
      <w:r>
        <w:rPr>
          <w:rFonts w:ascii="宋体" w:hAnsi="宋体"/>
          <w:color w:val="FF0000"/>
          <w:sz w:val="24"/>
        </w:rPr>
        <w:t>采煤工作面</w:t>
      </w:r>
      <w:r>
        <w:rPr>
          <w:rFonts w:hint="eastAsia" w:ascii="宋体" w:hAnsi="宋体"/>
          <w:color w:val="FF0000"/>
          <w:sz w:val="24"/>
        </w:rPr>
        <w:t>绝对</w:t>
      </w:r>
      <w:r>
        <w:rPr>
          <w:rFonts w:ascii="宋体" w:hAnsi="宋体"/>
          <w:color w:val="FF0000"/>
          <w:sz w:val="24"/>
        </w:rPr>
        <w:t>瓦斯涌出量，</w:t>
      </w:r>
      <w:r>
        <w:rPr>
          <w:rFonts w:hint="eastAsia" w:ascii="宋体" w:hAnsi="宋体"/>
          <w:color w:val="FF0000"/>
          <w:sz w:val="24"/>
          <w:lang w:val="zh-CN"/>
        </w:rPr>
        <w:t>根据《矿井瓦斯涌出量预测方法（AQ1018－2006）》标准，采用分</w:t>
      </w:r>
      <w:r>
        <w:rPr>
          <w:rFonts w:hint="eastAsia" w:ascii="宋体" w:hAnsi="宋体" w:cs="宋体"/>
          <w:color w:val="FF0000"/>
          <w:sz w:val="24"/>
        </w:rPr>
        <w:t>源预测法进行预测</w:t>
      </w:r>
      <w:r>
        <w:rPr>
          <w:rFonts w:hint="eastAsia" w:ascii="宋体" w:hAnsi="宋体"/>
          <w:color w:val="FF0000"/>
          <w:sz w:val="24"/>
        </w:rPr>
        <w:t>计算得18.48m</w:t>
      </w:r>
      <w:r>
        <w:rPr>
          <w:rFonts w:ascii="宋体" w:hAnsi="宋体"/>
          <w:color w:val="FF0000"/>
          <w:sz w:val="24"/>
          <w:vertAlign w:val="superscript"/>
        </w:rPr>
        <w:t>3</w:t>
      </w:r>
      <w:r>
        <w:rPr>
          <w:rFonts w:ascii="宋体" w:hAnsi="宋体"/>
          <w:color w:val="FF0000"/>
          <w:sz w:val="24"/>
        </w:rPr>
        <w:t>/min</w:t>
      </w:r>
      <w:r>
        <w:rPr>
          <w:rFonts w:hint="eastAsia" w:ascii="宋体" w:hAnsi="宋体"/>
          <w:color w:val="FF0000"/>
          <w:sz w:val="24"/>
        </w:rPr>
        <w:t>，经抽放后（瓦斯抽放率取45%）为10.164</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/min；</w:t>
      </w:r>
    </w:p>
    <w:p w14:paraId="36E27038">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 xml:space="preserve">       K</w:t>
      </w:r>
      <w:r>
        <w:rPr>
          <w:rFonts w:ascii="宋体" w:hAnsi="宋体"/>
          <w:color w:val="000000"/>
          <w:sz w:val="24"/>
          <w:vertAlign w:val="subscript"/>
        </w:rPr>
        <w:t>采通</w:t>
      </w:r>
      <w:r>
        <w:rPr>
          <w:rFonts w:hint="eastAsia" w:ascii="宋体" w:hAnsi="宋体"/>
          <w:color w:val="000000"/>
          <w:sz w:val="24"/>
        </w:rPr>
        <w:t>——</w:t>
      </w:r>
      <w:r>
        <w:rPr>
          <w:rFonts w:ascii="宋体" w:hAnsi="宋体"/>
          <w:color w:val="000000"/>
          <w:sz w:val="24"/>
        </w:rPr>
        <w:t>采煤工作面瓦斯涌出不均衡的备用风量系数，该数值应经过观察实测后取得；通常</w:t>
      </w:r>
      <w:r>
        <w:rPr>
          <w:rFonts w:hint="eastAsia" w:ascii="宋体" w:hAnsi="宋体"/>
          <w:color w:val="000000"/>
          <w:sz w:val="24"/>
        </w:rPr>
        <w:t>普采</w:t>
      </w:r>
      <w:r>
        <w:rPr>
          <w:rFonts w:ascii="宋体" w:hAnsi="宋体"/>
          <w:color w:val="000000"/>
          <w:sz w:val="24"/>
        </w:rPr>
        <w:t>工作面取1.</w:t>
      </w:r>
      <w:r>
        <w:rPr>
          <w:rFonts w:hint="eastAsia" w:ascii="宋体" w:hAnsi="宋体"/>
          <w:color w:val="000000"/>
          <w:sz w:val="24"/>
        </w:rPr>
        <w:t>2～1.6，取1.2</w:t>
      </w:r>
      <w:r>
        <w:rPr>
          <w:rFonts w:ascii="宋体" w:hAnsi="宋体"/>
          <w:color w:val="000000"/>
          <w:sz w:val="24"/>
        </w:rPr>
        <w:t>；</w:t>
      </w:r>
    </w:p>
    <w:p w14:paraId="0B341F77">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Q</w:t>
      </w:r>
      <w:r>
        <w:rPr>
          <w:rFonts w:ascii="宋体" w:hAnsi="宋体"/>
          <w:color w:val="000000"/>
          <w:sz w:val="24"/>
          <w:vertAlign w:val="subscript"/>
        </w:rPr>
        <w:t>采</w:t>
      </w:r>
      <w:r>
        <w:rPr>
          <w:rFonts w:hint="eastAsia" w:ascii="宋体" w:hAnsi="宋体"/>
          <w:color w:val="000000"/>
          <w:sz w:val="24"/>
        </w:rPr>
        <w:t>＝</w:t>
      </w:r>
      <w:r>
        <w:rPr>
          <w:rFonts w:ascii="宋体" w:hAnsi="宋体"/>
          <w:color w:val="000000"/>
          <w:sz w:val="24"/>
        </w:rPr>
        <w:t>100×</w:t>
      </w:r>
      <w:r>
        <w:rPr>
          <w:rFonts w:hint="eastAsia" w:ascii="宋体" w:hAnsi="宋体"/>
          <w:color w:val="000000"/>
          <w:sz w:val="24"/>
        </w:rPr>
        <w:t>10.164</w:t>
      </w:r>
      <w:r>
        <w:rPr>
          <w:rFonts w:ascii="宋体" w:hAnsi="宋体"/>
          <w:color w:val="000000"/>
          <w:sz w:val="24"/>
        </w:rPr>
        <w:t>×</w:t>
      </w:r>
      <w:r>
        <w:rPr>
          <w:rFonts w:hint="eastAsia" w:ascii="宋体" w:hAnsi="宋体"/>
          <w:color w:val="000000"/>
          <w:sz w:val="24"/>
        </w:rPr>
        <w:t>1.2＝1219.68</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/min</w:t>
      </w:r>
      <w:r>
        <w:rPr>
          <w:rFonts w:hint="eastAsia" w:ascii="宋体" w:hAnsi="宋体"/>
          <w:color w:val="000000"/>
          <w:sz w:val="24"/>
        </w:rPr>
        <w:t>＝20.328</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p>
    <w:p w14:paraId="641B09D7">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w:t>
      </w:r>
      <w:r>
        <w:rPr>
          <w:rFonts w:ascii="宋体" w:hAnsi="宋体"/>
          <w:color w:val="000000"/>
          <w:sz w:val="24"/>
        </w:rPr>
        <w:t>按工作面风温计算</w:t>
      </w:r>
    </w:p>
    <w:p w14:paraId="4373D9F3">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采</w:t>
      </w:r>
      <w:r>
        <w:rPr>
          <w:rFonts w:hint="eastAsia" w:ascii="宋体" w:hAnsi="宋体"/>
          <w:color w:val="000000"/>
          <w:sz w:val="24"/>
        </w:rPr>
        <w:t>＝</w:t>
      </w:r>
      <w:r>
        <w:rPr>
          <w:rFonts w:ascii="宋体" w:hAnsi="宋体"/>
          <w:color w:val="000000"/>
          <w:sz w:val="24"/>
        </w:rPr>
        <w:t>V</w:t>
      </w:r>
      <w:r>
        <w:rPr>
          <w:rFonts w:ascii="宋体" w:hAnsi="宋体"/>
          <w:color w:val="000000"/>
          <w:sz w:val="24"/>
          <w:vertAlign w:val="subscript"/>
        </w:rPr>
        <w:t>C</w:t>
      </w:r>
      <w:r>
        <w:rPr>
          <w:rFonts w:ascii="宋体" w:hAnsi="宋体"/>
          <w:color w:val="000000"/>
          <w:sz w:val="24"/>
        </w:rPr>
        <w:t>·S</w:t>
      </w:r>
      <w:r>
        <w:rPr>
          <w:rFonts w:ascii="宋体" w:hAnsi="宋体"/>
          <w:color w:val="000000"/>
          <w:sz w:val="24"/>
          <w:vertAlign w:val="subscript"/>
        </w:rPr>
        <w:t>c</w:t>
      </w:r>
      <w:r>
        <w:rPr>
          <w:rFonts w:ascii="宋体" w:hAnsi="宋体"/>
          <w:color w:val="000000"/>
          <w:sz w:val="24"/>
        </w:rPr>
        <w:t>·K</w:t>
      </w:r>
      <w:r>
        <w:rPr>
          <w:rFonts w:ascii="宋体" w:hAnsi="宋体"/>
          <w:color w:val="000000"/>
          <w:sz w:val="24"/>
          <w:vertAlign w:val="subscript"/>
        </w:rPr>
        <w:t>i</w:t>
      </w:r>
    </w:p>
    <w:p w14:paraId="5AEE7A9B">
      <w:pPr>
        <w:adjustRightInd w:val="0"/>
        <w:snapToGrid w:val="0"/>
        <w:spacing w:line="360" w:lineRule="auto"/>
        <w:ind w:firstLine="480" w:firstLineChars="200"/>
        <w:rPr>
          <w:rFonts w:ascii="宋体" w:hAnsi="宋体"/>
          <w:color w:val="000000"/>
          <w:sz w:val="24"/>
        </w:rPr>
      </w:pPr>
      <w:r>
        <w:rPr>
          <w:rFonts w:ascii="宋体" w:hAnsi="宋体"/>
          <w:color w:val="000000"/>
          <w:sz w:val="24"/>
        </w:rPr>
        <w:t>式中：V</w:t>
      </w:r>
      <w:r>
        <w:rPr>
          <w:rFonts w:ascii="宋体" w:hAnsi="宋体"/>
          <w:color w:val="000000"/>
          <w:sz w:val="24"/>
          <w:vertAlign w:val="subscript"/>
        </w:rPr>
        <w:t>C</w:t>
      </w:r>
      <w:r>
        <w:rPr>
          <w:rFonts w:hint="eastAsia" w:ascii="宋体" w:hAnsi="宋体"/>
          <w:color w:val="000000"/>
          <w:sz w:val="24"/>
        </w:rPr>
        <w:t>——</w:t>
      </w:r>
      <w:r>
        <w:rPr>
          <w:rFonts w:ascii="宋体" w:hAnsi="宋体"/>
          <w:color w:val="000000"/>
          <w:sz w:val="24"/>
        </w:rPr>
        <w:t>采煤工作面适宜的风速，按2</w:t>
      </w:r>
      <w:r>
        <w:rPr>
          <w:rFonts w:hint="eastAsia" w:ascii="宋体" w:hAnsi="宋体"/>
          <w:color w:val="000000"/>
          <w:sz w:val="24"/>
        </w:rPr>
        <w:t>0</w:t>
      </w:r>
      <w:r>
        <w:rPr>
          <w:rFonts w:ascii="宋体" w:hAnsi="宋体"/>
          <w:color w:val="000000"/>
          <w:sz w:val="24"/>
        </w:rPr>
        <w:t>～2</w:t>
      </w:r>
      <w:r>
        <w:rPr>
          <w:rFonts w:hint="eastAsia" w:ascii="宋体" w:hAnsi="宋体"/>
          <w:color w:val="000000"/>
          <w:sz w:val="24"/>
        </w:rPr>
        <w:t>3</w:t>
      </w:r>
      <w:r>
        <w:rPr>
          <w:rFonts w:ascii="宋体" w:hAnsi="宋体"/>
          <w:color w:val="000000"/>
          <w:sz w:val="24"/>
        </w:rPr>
        <w:t>℃风</w:t>
      </w:r>
      <w:r>
        <w:rPr>
          <w:rFonts w:hint="eastAsia" w:ascii="宋体" w:hAnsi="宋体"/>
          <w:color w:val="000000"/>
          <w:sz w:val="24"/>
        </w:rPr>
        <w:t>速</w:t>
      </w:r>
      <w:r>
        <w:rPr>
          <w:rFonts w:ascii="宋体" w:hAnsi="宋体"/>
          <w:color w:val="000000"/>
          <w:sz w:val="24"/>
        </w:rPr>
        <w:t>选取为1.</w:t>
      </w:r>
      <w:r>
        <w:rPr>
          <w:rFonts w:hint="eastAsia" w:ascii="宋体" w:hAnsi="宋体"/>
          <w:color w:val="000000"/>
          <w:sz w:val="24"/>
        </w:rPr>
        <w:t>0</w:t>
      </w:r>
      <w:r>
        <w:rPr>
          <w:rFonts w:ascii="宋体" w:hAnsi="宋体"/>
          <w:color w:val="000000"/>
          <w:sz w:val="24"/>
        </w:rPr>
        <w:t>～1.</w:t>
      </w:r>
      <w:r>
        <w:rPr>
          <w:rFonts w:hint="eastAsia" w:ascii="宋体" w:hAnsi="宋体"/>
          <w:color w:val="000000"/>
          <w:sz w:val="24"/>
        </w:rPr>
        <w:t>5</w:t>
      </w:r>
      <w:r>
        <w:rPr>
          <w:rFonts w:ascii="宋体" w:hAnsi="宋体"/>
          <w:color w:val="000000"/>
          <w:sz w:val="24"/>
        </w:rPr>
        <w:t>m/s</w:t>
      </w:r>
      <w:r>
        <w:rPr>
          <w:rFonts w:hint="eastAsia" w:ascii="宋体" w:hAnsi="宋体"/>
          <w:color w:val="000000"/>
          <w:sz w:val="24"/>
        </w:rPr>
        <w:t>，本矿取1.5m/s</w:t>
      </w:r>
      <w:r>
        <w:rPr>
          <w:rFonts w:ascii="宋体" w:hAnsi="宋体"/>
          <w:color w:val="000000"/>
          <w:sz w:val="24"/>
        </w:rPr>
        <w:t>；</w:t>
      </w:r>
    </w:p>
    <w:p w14:paraId="251A27D3">
      <w:pPr>
        <w:adjustRightInd w:val="0"/>
        <w:snapToGrid w:val="0"/>
        <w:spacing w:line="360" w:lineRule="auto"/>
        <w:ind w:firstLine="1200" w:firstLineChars="500"/>
        <w:rPr>
          <w:rFonts w:hint="eastAsia" w:ascii="宋体" w:hAnsi="宋体"/>
          <w:color w:val="000000"/>
          <w:sz w:val="24"/>
        </w:rPr>
      </w:pPr>
      <w:r>
        <w:rPr>
          <w:rFonts w:ascii="宋体" w:hAnsi="宋体"/>
          <w:color w:val="000000"/>
          <w:sz w:val="24"/>
        </w:rPr>
        <w:t>S</w:t>
      </w:r>
      <w:r>
        <w:rPr>
          <w:rFonts w:ascii="宋体" w:hAnsi="宋体"/>
          <w:color w:val="000000"/>
          <w:sz w:val="24"/>
          <w:vertAlign w:val="subscript"/>
        </w:rPr>
        <w:t>C</w:t>
      </w:r>
      <w:r>
        <w:rPr>
          <w:rFonts w:hint="eastAsia" w:ascii="宋体" w:hAnsi="宋体"/>
          <w:color w:val="000000"/>
          <w:sz w:val="24"/>
        </w:rPr>
        <w:t>——</w:t>
      </w:r>
      <w:r>
        <w:rPr>
          <w:rFonts w:ascii="宋体" w:hAnsi="宋体"/>
          <w:color w:val="000000"/>
          <w:sz w:val="24"/>
        </w:rPr>
        <w:t>采煤工作面平均有效断面，</w:t>
      </w:r>
      <w:r>
        <w:rPr>
          <w:rFonts w:hint="eastAsia" w:ascii="宋体" w:hAnsi="宋体"/>
          <w:color w:val="000000"/>
          <w:sz w:val="24"/>
        </w:rPr>
        <w:t>取9.66m</w:t>
      </w:r>
      <w:r>
        <w:rPr>
          <w:rFonts w:hint="eastAsia" w:ascii="宋体" w:hAnsi="宋体"/>
          <w:color w:val="000000"/>
          <w:sz w:val="24"/>
          <w:vertAlign w:val="superscript"/>
        </w:rPr>
        <w:t>2</w:t>
      </w:r>
      <w:r>
        <w:rPr>
          <w:rFonts w:ascii="宋体" w:hAnsi="宋体"/>
          <w:color w:val="000000"/>
          <w:sz w:val="24"/>
        </w:rPr>
        <w:t>；</w:t>
      </w:r>
    </w:p>
    <w:p w14:paraId="09447F7E">
      <w:pPr>
        <w:adjustRightInd w:val="0"/>
        <w:snapToGrid w:val="0"/>
        <w:spacing w:line="360" w:lineRule="auto"/>
        <w:ind w:firstLine="1200" w:firstLineChars="500"/>
        <w:rPr>
          <w:rFonts w:ascii="宋体" w:hAnsi="宋体"/>
          <w:color w:val="000000"/>
          <w:sz w:val="24"/>
        </w:rPr>
      </w:pPr>
      <w:r>
        <w:rPr>
          <w:rFonts w:ascii="宋体" w:hAnsi="宋体"/>
          <w:color w:val="000000"/>
          <w:sz w:val="24"/>
        </w:rPr>
        <w:t>K</w:t>
      </w:r>
      <w:r>
        <w:rPr>
          <w:rFonts w:ascii="宋体" w:hAnsi="宋体"/>
          <w:color w:val="000000"/>
          <w:sz w:val="24"/>
          <w:vertAlign w:val="subscript"/>
        </w:rPr>
        <w:t>i</w:t>
      </w:r>
      <w:r>
        <w:rPr>
          <w:rFonts w:hint="eastAsia" w:ascii="宋体" w:hAnsi="宋体"/>
          <w:color w:val="000000"/>
          <w:sz w:val="24"/>
        </w:rPr>
        <w:t>——</w:t>
      </w:r>
      <w:r>
        <w:rPr>
          <w:rFonts w:ascii="宋体" w:hAnsi="宋体"/>
          <w:color w:val="000000"/>
          <w:sz w:val="24"/>
        </w:rPr>
        <w:t>采煤工作面长度系数，工作面长度</w:t>
      </w:r>
      <w:r>
        <w:rPr>
          <w:rFonts w:hint="eastAsia" w:ascii="宋体" w:hAnsi="宋体"/>
          <w:color w:val="000000"/>
          <w:sz w:val="24"/>
        </w:rPr>
        <w:t>120</w:t>
      </w:r>
      <w:r>
        <w:rPr>
          <w:rFonts w:ascii="宋体" w:hAnsi="宋体"/>
          <w:color w:val="000000"/>
          <w:sz w:val="24"/>
        </w:rPr>
        <w:t>m时，取</w:t>
      </w:r>
      <w:r>
        <w:rPr>
          <w:rFonts w:hint="eastAsia" w:ascii="宋体" w:hAnsi="宋体"/>
          <w:color w:val="000000"/>
          <w:sz w:val="24"/>
        </w:rPr>
        <w:t>1.0</w:t>
      </w:r>
      <w:r>
        <w:rPr>
          <w:rFonts w:ascii="宋体" w:hAnsi="宋体"/>
          <w:color w:val="000000"/>
          <w:sz w:val="24"/>
        </w:rPr>
        <w:t>；</w:t>
      </w:r>
    </w:p>
    <w:p w14:paraId="45B29CF1">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Q</w:t>
      </w:r>
      <w:r>
        <w:rPr>
          <w:rFonts w:ascii="宋体" w:hAnsi="宋体"/>
          <w:color w:val="000000"/>
          <w:sz w:val="24"/>
          <w:vertAlign w:val="subscript"/>
        </w:rPr>
        <w:t>采</w:t>
      </w:r>
      <w:r>
        <w:rPr>
          <w:rFonts w:hint="eastAsia" w:ascii="宋体" w:hAnsi="宋体"/>
          <w:color w:val="000000"/>
          <w:sz w:val="24"/>
        </w:rPr>
        <w:t>＝1.5</w:t>
      </w:r>
      <w:r>
        <w:rPr>
          <w:rFonts w:ascii="宋体" w:hAnsi="宋体"/>
          <w:color w:val="000000"/>
          <w:sz w:val="24"/>
        </w:rPr>
        <w:t>×</w:t>
      </w:r>
      <w:r>
        <w:rPr>
          <w:rFonts w:hint="eastAsia" w:ascii="宋体" w:hAnsi="宋体"/>
          <w:color w:val="000000"/>
          <w:sz w:val="24"/>
        </w:rPr>
        <w:t>9.66</w:t>
      </w:r>
      <w:r>
        <w:rPr>
          <w:rFonts w:ascii="宋体" w:hAnsi="宋体"/>
          <w:color w:val="000000"/>
          <w:sz w:val="24"/>
        </w:rPr>
        <w:t>×</w:t>
      </w:r>
      <w:r>
        <w:rPr>
          <w:rFonts w:hint="eastAsia" w:ascii="宋体" w:hAnsi="宋体"/>
          <w:color w:val="000000"/>
          <w:sz w:val="24"/>
        </w:rPr>
        <w:t>1.0＝14.49</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p>
    <w:p w14:paraId="4E6E19BD">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按工作面人员数量计算</w:t>
      </w:r>
    </w:p>
    <w:p w14:paraId="34217ACE">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采</w:t>
      </w:r>
      <w:r>
        <w:rPr>
          <w:rFonts w:hint="eastAsia" w:ascii="宋体" w:hAnsi="宋体"/>
          <w:color w:val="000000"/>
          <w:sz w:val="24"/>
        </w:rPr>
        <w:t>＝</w:t>
      </w:r>
      <w:r>
        <w:rPr>
          <w:rFonts w:ascii="宋体" w:hAnsi="宋体"/>
          <w:color w:val="000000"/>
          <w:sz w:val="24"/>
        </w:rPr>
        <w:t>4N</w:t>
      </w:r>
      <w:r>
        <w:rPr>
          <w:rFonts w:ascii="宋体" w:hAnsi="宋体"/>
          <w:color w:val="000000"/>
          <w:sz w:val="24"/>
          <w:vertAlign w:val="subscript"/>
        </w:rPr>
        <w:t>c</w:t>
      </w:r>
    </w:p>
    <w:p w14:paraId="2C22CEFF">
      <w:pPr>
        <w:adjustRightInd w:val="0"/>
        <w:snapToGrid w:val="0"/>
        <w:spacing w:line="360" w:lineRule="auto"/>
        <w:ind w:firstLine="480" w:firstLineChars="200"/>
        <w:rPr>
          <w:rFonts w:ascii="宋体" w:hAnsi="宋体"/>
          <w:color w:val="000000"/>
          <w:sz w:val="24"/>
        </w:rPr>
      </w:pPr>
      <w:r>
        <w:rPr>
          <w:rFonts w:ascii="宋体" w:hAnsi="宋体"/>
          <w:color w:val="000000"/>
          <w:sz w:val="24"/>
        </w:rPr>
        <w:t>式中：N</w:t>
      </w:r>
      <w:r>
        <w:rPr>
          <w:rFonts w:ascii="宋体" w:hAnsi="宋体"/>
          <w:color w:val="000000"/>
          <w:sz w:val="24"/>
          <w:vertAlign w:val="subscript"/>
        </w:rPr>
        <w:t>c</w:t>
      </w:r>
      <w:r>
        <w:rPr>
          <w:rFonts w:hint="eastAsia" w:ascii="宋体" w:hAnsi="宋体"/>
          <w:color w:val="000000"/>
          <w:sz w:val="24"/>
        </w:rPr>
        <w:t>——</w:t>
      </w:r>
      <w:r>
        <w:rPr>
          <w:rFonts w:ascii="宋体" w:hAnsi="宋体"/>
          <w:color w:val="000000"/>
          <w:sz w:val="24"/>
        </w:rPr>
        <w:t>采煤工作面同时工作的最多人数，</w:t>
      </w:r>
      <w:r>
        <w:rPr>
          <w:rFonts w:hint="eastAsia" w:ascii="宋体" w:hAnsi="宋体"/>
          <w:color w:val="000000"/>
          <w:sz w:val="24"/>
        </w:rPr>
        <w:t>45</w:t>
      </w:r>
      <w:r>
        <w:rPr>
          <w:rFonts w:ascii="宋体" w:hAnsi="宋体"/>
          <w:color w:val="000000"/>
          <w:sz w:val="24"/>
        </w:rPr>
        <w:t>人；</w:t>
      </w:r>
    </w:p>
    <w:p w14:paraId="1F1FA516">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采</w:t>
      </w:r>
      <w:r>
        <w:rPr>
          <w:rFonts w:hint="eastAsia" w:ascii="宋体" w:hAnsi="宋体"/>
          <w:color w:val="000000"/>
          <w:sz w:val="24"/>
        </w:rPr>
        <w:t>＝4</w:t>
      </w:r>
      <w:r>
        <w:rPr>
          <w:rFonts w:ascii="宋体" w:hAnsi="宋体"/>
          <w:color w:val="000000"/>
          <w:sz w:val="24"/>
        </w:rPr>
        <w:t>×</w:t>
      </w:r>
      <w:r>
        <w:rPr>
          <w:rFonts w:hint="eastAsia" w:ascii="宋体" w:hAnsi="宋体"/>
          <w:color w:val="000000"/>
          <w:sz w:val="24"/>
        </w:rPr>
        <w:t>45＝180</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/min</w:t>
      </w:r>
      <w:r>
        <w:rPr>
          <w:rFonts w:hint="eastAsia" w:ascii="宋体" w:hAnsi="宋体"/>
          <w:color w:val="000000"/>
          <w:sz w:val="24"/>
        </w:rPr>
        <w:t>＝3.0</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p>
    <w:p w14:paraId="0BEC44CF">
      <w:pPr>
        <w:pStyle w:val="89"/>
        <w:tabs>
          <w:tab w:val="left" w:pos="4500"/>
        </w:tabs>
        <w:adjustRightInd w:val="0"/>
        <w:snapToGrid w:val="0"/>
        <w:ind w:firstLine="480" w:firstLineChars="200"/>
        <w:rPr>
          <w:rFonts w:hint="eastAsia" w:hAnsi="宋体"/>
          <w:szCs w:val="24"/>
        </w:rPr>
      </w:pPr>
      <w:r>
        <w:rPr>
          <w:rFonts w:hint="eastAsia" w:hAnsi="宋体"/>
          <w:color w:val="000000"/>
          <w:szCs w:val="24"/>
        </w:rPr>
        <w:t>▲</w:t>
      </w:r>
      <w:r>
        <w:rPr>
          <w:rFonts w:hint="eastAsia" w:hAnsi="宋体"/>
          <w:szCs w:val="24"/>
        </w:rPr>
        <w:t>按风速验算</w:t>
      </w:r>
    </w:p>
    <w:p w14:paraId="03B07782">
      <w:pPr>
        <w:pStyle w:val="89"/>
        <w:tabs>
          <w:tab w:val="left" w:pos="4500"/>
        </w:tabs>
        <w:adjustRightInd w:val="0"/>
        <w:snapToGrid w:val="0"/>
        <w:ind w:firstLine="480" w:firstLineChars="200"/>
        <w:rPr>
          <w:rFonts w:hint="eastAsia" w:hAnsi="宋体"/>
          <w:szCs w:val="24"/>
        </w:rPr>
      </w:pPr>
      <w:r>
        <w:rPr>
          <w:rFonts w:hint="eastAsia" w:hAnsi="宋体"/>
          <w:szCs w:val="24"/>
        </w:rPr>
        <w:t>15×Ｓ</w:t>
      </w:r>
      <w:r>
        <w:rPr>
          <w:rFonts w:hint="eastAsia" w:hAnsi="宋体"/>
          <w:szCs w:val="24"/>
          <w:vertAlign w:val="subscript"/>
        </w:rPr>
        <w:t>ｃ</w:t>
      </w:r>
      <w:r>
        <w:rPr>
          <w:rFonts w:hint="eastAsia" w:hAnsi="宋体"/>
          <w:szCs w:val="24"/>
        </w:rPr>
        <w:t>≤Ｑ</w:t>
      </w:r>
      <w:r>
        <w:rPr>
          <w:rFonts w:hint="eastAsia" w:hAnsi="宋体"/>
          <w:szCs w:val="24"/>
          <w:vertAlign w:val="subscript"/>
        </w:rPr>
        <w:t>采</w:t>
      </w:r>
      <w:r>
        <w:rPr>
          <w:rFonts w:hint="eastAsia" w:hAnsi="宋体"/>
          <w:szCs w:val="24"/>
        </w:rPr>
        <w:t>≤240×Ｓ</w:t>
      </w:r>
      <w:r>
        <w:rPr>
          <w:rFonts w:hint="eastAsia" w:hAnsi="宋体"/>
          <w:szCs w:val="24"/>
          <w:vertAlign w:val="subscript"/>
        </w:rPr>
        <w:t>ｃ</w:t>
      </w:r>
    </w:p>
    <w:p w14:paraId="1F3D5410">
      <w:pPr>
        <w:pStyle w:val="89"/>
        <w:tabs>
          <w:tab w:val="left" w:pos="4500"/>
        </w:tabs>
        <w:adjustRightInd w:val="0"/>
        <w:snapToGrid w:val="0"/>
        <w:ind w:firstLine="480" w:firstLineChars="200"/>
        <w:rPr>
          <w:rFonts w:hint="eastAsia" w:hAnsi="宋体"/>
          <w:szCs w:val="24"/>
        </w:rPr>
      </w:pPr>
      <w:r>
        <w:rPr>
          <w:rFonts w:hint="eastAsia" w:hAnsi="宋体"/>
          <w:szCs w:val="24"/>
        </w:rPr>
        <w:t>15×Ｓ</w:t>
      </w:r>
      <w:r>
        <w:rPr>
          <w:rFonts w:hint="eastAsia" w:hAnsi="宋体"/>
          <w:szCs w:val="24"/>
          <w:vertAlign w:val="subscript"/>
        </w:rPr>
        <w:t>ｃ</w:t>
      </w:r>
      <w:r>
        <w:rPr>
          <w:rFonts w:hint="eastAsia" w:hAnsi="宋体"/>
          <w:szCs w:val="24"/>
        </w:rPr>
        <w:t>＝15×9.66＝144.9＜Ｑ</w:t>
      </w:r>
      <w:r>
        <w:rPr>
          <w:rFonts w:hint="eastAsia" w:hAnsi="宋体"/>
          <w:szCs w:val="24"/>
          <w:vertAlign w:val="subscript"/>
        </w:rPr>
        <w:t>采</w:t>
      </w:r>
    </w:p>
    <w:p w14:paraId="2AFA066C">
      <w:pPr>
        <w:pStyle w:val="89"/>
        <w:tabs>
          <w:tab w:val="left" w:pos="4500"/>
        </w:tabs>
        <w:adjustRightInd w:val="0"/>
        <w:snapToGrid w:val="0"/>
        <w:ind w:firstLine="480" w:firstLineChars="200"/>
        <w:rPr>
          <w:rFonts w:hint="eastAsia" w:hAnsi="宋体"/>
          <w:color w:val="000000"/>
        </w:rPr>
      </w:pPr>
      <w:r>
        <w:rPr>
          <w:rFonts w:hint="eastAsia" w:hAnsi="宋体"/>
        </w:rPr>
        <w:t>240×Ｓ</w:t>
      </w:r>
      <w:r>
        <w:rPr>
          <w:rFonts w:hint="eastAsia" w:hAnsi="宋体"/>
          <w:vertAlign w:val="subscript"/>
        </w:rPr>
        <w:t>ｃ</w:t>
      </w:r>
      <w:r>
        <w:rPr>
          <w:rFonts w:hint="eastAsia" w:hAnsi="宋体"/>
        </w:rPr>
        <w:t>＝240×9.66＝2318.4＞Ｑ</w:t>
      </w:r>
      <w:r>
        <w:rPr>
          <w:rFonts w:hint="eastAsia" w:hAnsi="宋体"/>
          <w:vertAlign w:val="subscript"/>
        </w:rPr>
        <w:t>采</w:t>
      </w:r>
    </w:p>
    <w:p w14:paraId="0BB86181">
      <w:pPr>
        <w:adjustRightInd w:val="0"/>
        <w:snapToGrid w:val="0"/>
        <w:spacing w:line="360" w:lineRule="auto"/>
        <w:ind w:firstLine="480" w:firstLineChars="200"/>
        <w:rPr>
          <w:rFonts w:ascii="宋体" w:hAnsi="宋体"/>
          <w:sz w:val="24"/>
        </w:rPr>
      </w:pPr>
      <w:r>
        <w:rPr>
          <w:rFonts w:ascii="宋体" w:hAnsi="宋体"/>
          <w:sz w:val="24"/>
        </w:rPr>
        <w:t>根据上述计算，Q</w:t>
      </w:r>
      <w:r>
        <w:rPr>
          <w:rFonts w:ascii="宋体" w:hAnsi="宋体"/>
          <w:sz w:val="24"/>
          <w:vertAlign w:val="subscript"/>
        </w:rPr>
        <w:t>采</w:t>
      </w:r>
      <w:r>
        <w:rPr>
          <w:rFonts w:hint="eastAsia" w:ascii="宋体" w:hAnsi="宋体"/>
          <w:sz w:val="24"/>
        </w:rPr>
        <w:t>＝</w:t>
      </w:r>
      <w:r>
        <w:rPr>
          <w:rFonts w:hint="eastAsia" w:ascii="宋体" w:hAnsi="宋体"/>
          <w:color w:val="000000"/>
          <w:sz w:val="24"/>
        </w:rPr>
        <w:t>3.0</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r>
        <w:rPr>
          <w:rFonts w:hint="eastAsia" w:ascii="宋体" w:hAnsi="宋体"/>
          <w:sz w:val="24"/>
        </w:rPr>
        <w:t>～</w:t>
      </w:r>
      <w:r>
        <w:rPr>
          <w:rFonts w:hint="eastAsia" w:ascii="宋体" w:hAnsi="宋体"/>
          <w:color w:val="000000"/>
          <w:sz w:val="24"/>
        </w:rPr>
        <w:t>20.328</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r>
        <w:rPr>
          <w:rFonts w:hint="eastAsia" w:ascii="宋体" w:hAnsi="宋体"/>
          <w:color w:val="000000"/>
          <w:sz w:val="24"/>
        </w:rPr>
        <w:t>，</w:t>
      </w:r>
      <w:r>
        <w:rPr>
          <w:rFonts w:ascii="宋体" w:hAnsi="宋体"/>
          <w:sz w:val="24"/>
        </w:rPr>
        <w:t>取其中的最大值</w:t>
      </w:r>
      <w:r>
        <w:rPr>
          <w:rFonts w:hint="eastAsia" w:ascii="宋体" w:hAnsi="宋体"/>
          <w:sz w:val="24"/>
        </w:rPr>
        <w:t>，按《煤矿安全规程》（2010版）规定，回采工作面最低风速＞0.25m/s，最高风速＜4m/s的要求，回采</w:t>
      </w:r>
      <w:r>
        <w:rPr>
          <w:rFonts w:ascii="宋体" w:hAnsi="宋体"/>
          <w:sz w:val="24"/>
        </w:rPr>
        <w:t>工作面Q</w:t>
      </w:r>
      <w:r>
        <w:rPr>
          <w:rFonts w:ascii="宋体" w:hAnsi="宋体"/>
          <w:sz w:val="24"/>
          <w:vertAlign w:val="subscript"/>
        </w:rPr>
        <w:t>采</w:t>
      </w:r>
      <w:r>
        <w:rPr>
          <w:rFonts w:hint="eastAsia" w:ascii="宋体" w:hAnsi="宋体"/>
          <w:sz w:val="24"/>
        </w:rPr>
        <w:t>＝20.328</w:t>
      </w:r>
      <w:r>
        <w:rPr>
          <w:rFonts w:ascii="宋体" w:hAnsi="宋体"/>
          <w:sz w:val="24"/>
        </w:rPr>
        <w:t>m</w:t>
      </w:r>
      <w:r>
        <w:rPr>
          <w:rFonts w:ascii="宋体" w:hAnsi="宋体"/>
          <w:sz w:val="24"/>
          <w:vertAlign w:val="superscript"/>
        </w:rPr>
        <w:t>3</w:t>
      </w:r>
      <w:r>
        <w:rPr>
          <w:rFonts w:ascii="宋体" w:hAnsi="宋体"/>
          <w:sz w:val="24"/>
        </w:rPr>
        <w:t>/s，风速为</w:t>
      </w:r>
      <w:r>
        <w:rPr>
          <w:rFonts w:hint="eastAsia" w:ascii="宋体" w:hAnsi="宋体"/>
          <w:sz w:val="24"/>
        </w:rPr>
        <w:t>2.11</w:t>
      </w:r>
      <w:r>
        <w:rPr>
          <w:rFonts w:ascii="宋体" w:hAnsi="宋体"/>
          <w:sz w:val="24"/>
        </w:rPr>
        <w:t>m/s</w:t>
      </w:r>
      <w:r>
        <w:rPr>
          <w:rFonts w:hint="eastAsia" w:ascii="宋体" w:hAnsi="宋体"/>
          <w:sz w:val="24"/>
        </w:rPr>
        <w:t>，满足要求。</w:t>
      </w:r>
    </w:p>
    <w:p w14:paraId="5321B376">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 xml:space="preserve">② </w:t>
      </w:r>
      <w:r>
        <w:rPr>
          <w:rFonts w:ascii="宋体" w:hAnsi="宋体"/>
          <w:color w:val="000000"/>
          <w:sz w:val="24"/>
        </w:rPr>
        <w:t>掘进工作面的风量确定</w:t>
      </w:r>
    </w:p>
    <w:p w14:paraId="0CB09B27">
      <w:pPr>
        <w:adjustRightInd w:val="0"/>
        <w:snapToGrid w:val="0"/>
        <w:spacing w:line="360" w:lineRule="auto"/>
        <w:ind w:firstLine="480" w:firstLineChars="200"/>
        <w:rPr>
          <w:rFonts w:ascii="宋体" w:hAnsi="宋体"/>
          <w:color w:val="000000"/>
          <w:sz w:val="24"/>
        </w:rPr>
      </w:pPr>
      <w:r>
        <w:rPr>
          <w:rFonts w:ascii="宋体" w:hAnsi="宋体"/>
          <w:color w:val="000000"/>
          <w:sz w:val="24"/>
        </w:rPr>
        <w:t>掘进工作面的实际需要风量，应按照冲淡掘进工作面瓦斯涌出，并考虑局部通风机实际吸风量、工作面温度、炸药用量、风速和人数等规定要求分别进行计算，并取其中最大值。经分析和计算认为，本矿井地温不高，掘进工作面人数≤</w:t>
      </w:r>
      <w:r>
        <w:rPr>
          <w:rFonts w:hint="eastAsia" w:ascii="宋体" w:hAnsi="宋体"/>
          <w:color w:val="000000"/>
          <w:sz w:val="24"/>
        </w:rPr>
        <w:t>15</w:t>
      </w:r>
      <w:r>
        <w:rPr>
          <w:rFonts w:ascii="宋体" w:hAnsi="宋体"/>
          <w:color w:val="000000"/>
          <w:sz w:val="24"/>
        </w:rPr>
        <w:t>人，</w:t>
      </w:r>
      <w:r>
        <w:rPr>
          <w:rFonts w:hint="eastAsia" w:ascii="宋体" w:hAnsi="宋体"/>
          <w:color w:val="000000"/>
          <w:sz w:val="24"/>
        </w:rPr>
        <w:t>掘进工作面</w:t>
      </w:r>
      <w:r>
        <w:rPr>
          <w:rFonts w:ascii="宋体" w:hAnsi="宋体"/>
          <w:color w:val="000000"/>
          <w:sz w:val="24"/>
        </w:rPr>
        <w:t>的炸药用量≤1</w:t>
      </w:r>
      <w:r>
        <w:rPr>
          <w:rFonts w:hint="eastAsia" w:ascii="宋体" w:hAnsi="宋体"/>
          <w:color w:val="000000"/>
          <w:sz w:val="24"/>
        </w:rPr>
        <w:t>3</w:t>
      </w:r>
      <w:r>
        <w:rPr>
          <w:rFonts w:ascii="宋体" w:hAnsi="宋体"/>
          <w:color w:val="000000"/>
          <w:sz w:val="24"/>
        </w:rPr>
        <w:t>kg，影响工作面风量确定的主要因素是瓦斯涌出量。</w:t>
      </w:r>
    </w:p>
    <w:p w14:paraId="53CA6176">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按瓦斯涌出量计算：</w:t>
      </w:r>
    </w:p>
    <w:p w14:paraId="21FAE84C">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掘</w:t>
      </w:r>
      <w:r>
        <w:rPr>
          <w:rFonts w:hint="eastAsia" w:ascii="宋体" w:hAnsi="宋体"/>
          <w:color w:val="000000"/>
          <w:sz w:val="24"/>
        </w:rPr>
        <w:t>＝</w:t>
      </w:r>
      <w:r>
        <w:rPr>
          <w:rFonts w:ascii="宋体" w:hAnsi="宋体"/>
          <w:color w:val="000000"/>
          <w:sz w:val="24"/>
        </w:rPr>
        <w:t>100×q</w:t>
      </w:r>
      <w:r>
        <w:rPr>
          <w:rFonts w:ascii="宋体" w:hAnsi="宋体"/>
          <w:color w:val="000000"/>
          <w:sz w:val="24"/>
          <w:vertAlign w:val="subscript"/>
        </w:rPr>
        <w:t>瓦掘</w:t>
      </w:r>
      <w:r>
        <w:rPr>
          <w:rFonts w:ascii="宋体" w:hAnsi="宋体"/>
          <w:color w:val="000000"/>
          <w:sz w:val="24"/>
        </w:rPr>
        <w:t>·K</w:t>
      </w:r>
      <w:r>
        <w:rPr>
          <w:rFonts w:ascii="宋体" w:hAnsi="宋体"/>
          <w:color w:val="000000"/>
          <w:sz w:val="24"/>
          <w:vertAlign w:val="subscript"/>
        </w:rPr>
        <w:t>掘通</w:t>
      </w:r>
    </w:p>
    <w:p w14:paraId="1933E834">
      <w:pPr>
        <w:adjustRightInd w:val="0"/>
        <w:snapToGrid w:val="0"/>
        <w:spacing w:line="360" w:lineRule="auto"/>
        <w:ind w:firstLine="480" w:firstLineChars="200"/>
        <w:rPr>
          <w:rFonts w:ascii="宋体" w:hAnsi="宋体"/>
          <w:color w:val="000000"/>
          <w:sz w:val="24"/>
        </w:rPr>
      </w:pPr>
      <w:r>
        <w:rPr>
          <w:rFonts w:ascii="宋体" w:hAnsi="宋体"/>
          <w:color w:val="000000"/>
          <w:sz w:val="24"/>
        </w:rPr>
        <w:t>式中： Q</w:t>
      </w:r>
      <w:r>
        <w:rPr>
          <w:rFonts w:ascii="宋体" w:hAnsi="宋体"/>
          <w:color w:val="000000"/>
          <w:sz w:val="24"/>
          <w:vertAlign w:val="subscript"/>
        </w:rPr>
        <w:t>掘</w:t>
      </w:r>
      <w:r>
        <w:rPr>
          <w:rFonts w:hint="eastAsia" w:ascii="宋体" w:hAnsi="宋体"/>
          <w:color w:val="000000"/>
          <w:sz w:val="24"/>
        </w:rPr>
        <w:t>——</w:t>
      </w:r>
      <w:r>
        <w:rPr>
          <w:rFonts w:ascii="宋体" w:hAnsi="宋体"/>
          <w:color w:val="000000"/>
          <w:sz w:val="24"/>
        </w:rPr>
        <w:t>掘进工作面实际需要的风量，m</w:t>
      </w:r>
      <w:r>
        <w:rPr>
          <w:rFonts w:ascii="宋体" w:hAnsi="宋体"/>
          <w:color w:val="000000"/>
          <w:sz w:val="24"/>
          <w:vertAlign w:val="superscript"/>
        </w:rPr>
        <w:t>3</w:t>
      </w:r>
      <w:r>
        <w:rPr>
          <w:rFonts w:ascii="宋体" w:hAnsi="宋体"/>
          <w:color w:val="000000"/>
          <w:sz w:val="24"/>
        </w:rPr>
        <w:t>/s；</w:t>
      </w:r>
    </w:p>
    <w:p w14:paraId="77B863D6">
      <w:pPr>
        <w:adjustRightInd w:val="0"/>
        <w:snapToGrid w:val="0"/>
        <w:spacing w:line="360" w:lineRule="auto"/>
        <w:ind w:firstLine="480" w:firstLineChars="200"/>
        <w:rPr>
          <w:rFonts w:ascii="宋体" w:hAnsi="宋体"/>
          <w:color w:val="FF0000"/>
          <w:sz w:val="24"/>
        </w:rPr>
      </w:pPr>
      <w:r>
        <w:rPr>
          <w:rFonts w:ascii="宋体" w:hAnsi="宋体"/>
          <w:color w:val="FF0000"/>
          <w:sz w:val="24"/>
        </w:rPr>
        <w:t xml:space="preserve">       q</w:t>
      </w:r>
      <w:r>
        <w:rPr>
          <w:rFonts w:ascii="宋体" w:hAnsi="宋体"/>
          <w:color w:val="FF0000"/>
          <w:sz w:val="24"/>
          <w:vertAlign w:val="subscript"/>
        </w:rPr>
        <w:t>瓦掘</w:t>
      </w:r>
      <w:r>
        <w:rPr>
          <w:rFonts w:hint="eastAsia" w:ascii="宋体" w:hAnsi="宋体"/>
          <w:color w:val="FF0000"/>
          <w:sz w:val="24"/>
        </w:rPr>
        <w:t>——</w:t>
      </w:r>
      <w:r>
        <w:rPr>
          <w:rFonts w:ascii="宋体" w:hAnsi="宋体"/>
          <w:color w:val="FF0000"/>
          <w:sz w:val="24"/>
        </w:rPr>
        <w:t>掘进工作面的瓦斯涌出量，</w:t>
      </w:r>
      <w:r>
        <w:rPr>
          <w:rFonts w:hint="eastAsia" w:ascii="宋体" w:hAnsi="宋体"/>
          <w:color w:val="FF0000"/>
          <w:sz w:val="24"/>
          <w:lang w:val="zh-CN"/>
        </w:rPr>
        <w:t>根据《矿井瓦斯涌出量预测方法（AQ1018－2006）》标准，采用分</w:t>
      </w:r>
      <w:r>
        <w:rPr>
          <w:rFonts w:hint="eastAsia" w:ascii="宋体" w:hAnsi="宋体" w:cs="宋体"/>
          <w:color w:val="FF0000"/>
          <w:sz w:val="24"/>
        </w:rPr>
        <w:t>源预测法进行预测计算得</w:t>
      </w:r>
      <w:r>
        <w:rPr>
          <w:rFonts w:hint="eastAsia" w:ascii="宋体" w:hAnsi="宋体"/>
          <w:color w:val="FF0000"/>
          <w:sz w:val="24"/>
        </w:rPr>
        <w:t>1.005m</w:t>
      </w:r>
      <w:r>
        <w:rPr>
          <w:rFonts w:ascii="宋体" w:hAnsi="宋体"/>
          <w:color w:val="FF0000"/>
          <w:sz w:val="24"/>
          <w:vertAlign w:val="superscript"/>
        </w:rPr>
        <w:t>3</w:t>
      </w:r>
      <w:r>
        <w:rPr>
          <w:rFonts w:ascii="宋体" w:hAnsi="宋体"/>
          <w:color w:val="FF0000"/>
          <w:sz w:val="24"/>
        </w:rPr>
        <w:t>/min</w:t>
      </w:r>
      <w:r>
        <w:rPr>
          <w:rFonts w:hint="eastAsia" w:ascii="宋体" w:hAnsi="宋体"/>
          <w:color w:val="FF0000"/>
          <w:sz w:val="24"/>
        </w:rPr>
        <w:t>，经抽放后（瓦斯抽放率取45%）为0.553</w:t>
      </w:r>
      <w:r>
        <w:rPr>
          <w:rFonts w:ascii="宋体" w:hAnsi="宋体"/>
          <w:color w:val="FF0000"/>
          <w:sz w:val="24"/>
        </w:rPr>
        <w:t>m</w:t>
      </w:r>
      <w:r>
        <w:rPr>
          <w:rFonts w:ascii="宋体" w:hAnsi="宋体"/>
          <w:color w:val="FF0000"/>
          <w:sz w:val="24"/>
          <w:vertAlign w:val="superscript"/>
        </w:rPr>
        <w:t>3</w:t>
      </w:r>
      <w:r>
        <w:rPr>
          <w:rFonts w:ascii="宋体" w:hAnsi="宋体"/>
          <w:color w:val="FF0000"/>
          <w:sz w:val="24"/>
        </w:rPr>
        <w:t>/min；</w:t>
      </w:r>
    </w:p>
    <w:p w14:paraId="688AD6B5">
      <w:pPr>
        <w:adjustRightInd w:val="0"/>
        <w:snapToGrid w:val="0"/>
        <w:spacing w:line="360" w:lineRule="auto"/>
        <w:ind w:firstLine="480" w:firstLineChars="200"/>
        <w:rPr>
          <w:rFonts w:ascii="宋体" w:hAnsi="宋体"/>
          <w:color w:val="000000"/>
          <w:sz w:val="24"/>
        </w:rPr>
      </w:pPr>
      <w:r>
        <w:rPr>
          <w:rFonts w:ascii="宋体" w:hAnsi="宋体"/>
          <w:color w:val="000000"/>
          <w:sz w:val="24"/>
        </w:rPr>
        <w:t xml:space="preserve">       K</w:t>
      </w:r>
      <w:r>
        <w:rPr>
          <w:rFonts w:ascii="宋体" w:hAnsi="宋体"/>
          <w:color w:val="000000"/>
          <w:sz w:val="24"/>
          <w:vertAlign w:val="subscript"/>
        </w:rPr>
        <w:t>掘通</w:t>
      </w:r>
      <w:r>
        <w:rPr>
          <w:rFonts w:hint="eastAsia" w:ascii="宋体" w:hAnsi="宋体"/>
          <w:color w:val="000000"/>
          <w:sz w:val="24"/>
        </w:rPr>
        <w:t>——</w:t>
      </w:r>
      <w:r>
        <w:rPr>
          <w:rFonts w:ascii="宋体" w:hAnsi="宋体"/>
          <w:color w:val="000000"/>
          <w:sz w:val="24"/>
        </w:rPr>
        <w:t>掘进工作面瓦斯涌出不均衡的备用风量系数，该数值应经过观察实测后取得；</w:t>
      </w:r>
      <w:r>
        <w:rPr>
          <w:rFonts w:hint="eastAsia" w:ascii="宋体" w:hAnsi="宋体"/>
          <w:color w:val="000000"/>
          <w:sz w:val="24"/>
        </w:rPr>
        <w:t>通常炮掘工作面</w:t>
      </w:r>
      <w:r>
        <w:rPr>
          <w:rFonts w:ascii="宋体" w:hAnsi="宋体"/>
          <w:color w:val="000000"/>
          <w:sz w:val="24"/>
        </w:rPr>
        <w:t>一般取1.</w:t>
      </w:r>
      <w:r>
        <w:rPr>
          <w:rFonts w:hint="eastAsia" w:ascii="宋体" w:hAnsi="宋体"/>
          <w:color w:val="000000"/>
          <w:sz w:val="24"/>
        </w:rPr>
        <w:t>8</w:t>
      </w:r>
      <w:r>
        <w:rPr>
          <w:rFonts w:ascii="宋体" w:hAnsi="宋体"/>
          <w:color w:val="000000"/>
          <w:sz w:val="24"/>
        </w:rPr>
        <w:t>～2.0</w:t>
      </w:r>
      <w:r>
        <w:rPr>
          <w:rFonts w:hint="eastAsia" w:ascii="宋体" w:hAnsi="宋体"/>
          <w:color w:val="000000"/>
          <w:sz w:val="24"/>
        </w:rPr>
        <w:t>，取1.9</w:t>
      </w:r>
      <w:r>
        <w:rPr>
          <w:rFonts w:ascii="宋体" w:hAnsi="宋体"/>
          <w:color w:val="000000"/>
          <w:sz w:val="24"/>
        </w:rPr>
        <w:t>；</w:t>
      </w:r>
    </w:p>
    <w:p w14:paraId="0F9F32A0">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Q</w:t>
      </w:r>
      <w:r>
        <w:rPr>
          <w:rFonts w:ascii="宋体" w:hAnsi="宋体"/>
          <w:color w:val="000000"/>
          <w:sz w:val="24"/>
          <w:vertAlign w:val="subscript"/>
        </w:rPr>
        <w:t>掘</w:t>
      </w:r>
      <w:r>
        <w:rPr>
          <w:rFonts w:hint="eastAsia" w:ascii="宋体" w:hAnsi="宋体"/>
          <w:color w:val="000000"/>
          <w:sz w:val="24"/>
        </w:rPr>
        <w:t>＝100</w:t>
      </w:r>
      <w:r>
        <w:rPr>
          <w:rFonts w:ascii="宋体" w:hAnsi="宋体"/>
          <w:color w:val="000000"/>
          <w:sz w:val="24"/>
        </w:rPr>
        <w:t>×</w:t>
      </w:r>
      <w:r>
        <w:rPr>
          <w:rFonts w:hint="eastAsia" w:ascii="宋体" w:hAnsi="宋体"/>
          <w:color w:val="000000"/>
          <w:sz w:val="24"/>
        </w:rPr>
        <w:t>0.553</w:t>
      </w:r>
      <w:r>
        <w:rPr>
          <w:rFonts w:ascii="宋体" w:hAnsi="宋体"/>
          <w:color w:val="000000"/>
          <w:sz w:val="24"/>
        </w:rPr>
        <w:t>×</w:t>
      </w:r>
      <w:r>
        <w:rPr>
          <w:rFonts w:hint="eastAsia" w:ascii="宋体" w:hAnsi="宋体"/>
          <w:color w:val="000000"/>
          <w:sz w:val="24"/>
        </w:rPr>
        <w:t>1.9＝105.07</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/min</w:t>
      </w:r>
      <w:r>
        <w:rPr>
          <w:rFonts w:hint="eastAsia" w:ascii="宋体" w:hAnsi="宋体"/>
          <w:color w:val="000000"/>
          <w:sz w:val="24"/>
        </w:rPr>
        <w:t>＝1.75</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r>
        <w:rPr>
          <w:rFonts w:hint="eastAsia" w:ascii="宋体" w:hAnsi="宋体"/>
          <w:color w:val="000000"/>
          <w:sz w:val="24"/>
        </w:rPr>
        <w:t>；</w:t>
      </w:r>
    </w:p>
    <w:p w14:paraId="2A42BB87">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按炸药使用量计算：</w:t>
      </w:r>
    </w:p>
    <w:p w14:paraId="30ADDD43">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掘</w:t>
      </w:r>
      <w:r>
        <w:rPr>
          <w:rFonts w:hint="eastAsia" w:ascii="宋体" w:hAnsi="宋体"/>
          <w:color w:val="000000"/>
          <w:sz w:val="24"/>
        </w:rPr>
        <w:t>＝</w:t>
      </w:r>
      <w:r>
        <w:rPr>
          <w:rFonts w:ascii="宋体" w:hAnsi="宋体"/>
          <w:color w:val="000000"/>
          <w:sz w:val="24"/>
        </w:rPr>
        <w:t>A</w:t>
      </w:r>
      <w:r>
        <w:rPr>
          <w:rFonts w:ascii="宋体" w:hAnsi="宋体"/>
          <w:color w:val="000000"/>
          <w:sz w:val="24"/>
          <w:vertAlign w:val="subscript"/>
        </w:rPr>
        <w:t>j</w:t>
      </w:r>
      <w:r>
        <w:rPr>
          <w:rFonts w:ascii="宋体" w:hAnsi="宋体"/>
          <w:color w:val="000000"/>
          <w:sz w:val="24"/>
        </w:rPr>
        <w:t>·b/t·c</w:t>
      </w:r>
    </w:p>
    <w:p w14:paraId="55153F44">
      <w:pPr>
        <w:adjustRightInd w:val="0"/>
        <w:snapToGrid w:val="0"/>
        <w:spacing w:line="360" w:lineRule="auto"/>
        <w:ind w:firstLine="480" w:firstLineChars="200"/>
        <w:rPr>
          <w:rFonts w:ascii="宋体" w:hAnsi="宋体"/>
          <w:color w:val="000000"/>
          <w:sz w:val="24"/>
        </w:rPr>
      </w:pPr>
      <w:r>
        <w:rPr>
          <w:rFonts w:ascii="宋体" w:hAnsi="宋体"/>
          <w:color w:val="000000"/>
          <w:sz w:val="24"/>
        </w:rPr>
        <w:t>式中： A</w:t>
      </w:r>
      <w:r>
        <w:rPr>
          <w:rFonts w:ascii="宋体" w:hAnsi="宋体"/>
          <w:color w:val="000000"/>
          <w:sz w:val="24"/>
          <w:vertAlign w:val="subscript"/>
        </w:rPr>
        <w:t>j</w:t>
      </w:r>
      <w:r>
        <w:rPr>
          <w:rFonts w:hint="eastAsia" w:ascii="宋体" w:hAnsi="宋体"/>
          <w:color w:val="000000"/>
          <w:sz w:val="24"/>
        </w:rPr>
        <w:t>——</w:t>
      </w:r>
      <w:r>
        <w:rPr>
          <w:rFonts w:ascii="宋体" w:hAnsi="宋体"/>
          <w:color w:val="000000"/>
          <w:sz w:val="24"/>
        </w:rPr>
        <w:t>掘进工作面一次爆破所用的最大炸药量，</w:t>
      </w:r>
      <w:r>
        <w:rPr>
          <w:rFonts w:hint="eastAsia" w:ascii="宋体" w:hAnsi="宋体"/>
          <w:color w:val="000000"/>
          <w:sz w:val="24"/>
        </w:rPr>
        <w:t>6</w:t>
      </w:r>
      <w:r>
        <w:rPr>
          <w:rFonts w:ascii="宋体" w:hAnsi="宋体"/>
          <w:color w:val="000000"/>
          <w:sz w:val="24"/>
        </w:rPr>
        <w:t>kg；</w:t>
      </w:r>
    </w:p>
    <w:p w14:paraId="4A0CB285">
      <w:pPr>
        <w:adjustRightInd w:val="0"/>
        <w:snapToGrid w:val="0"/>
        <w:spacing w:line="360" w:lineRule="auto"/>
        <w:ind w:firstLine="1320" w:firstLineChars="550"/>
        <w:rPr>
          <w:rFonts w:ascii="宋体" w:hAnsi="宋体"/>
          <w:color w:val="000000"/>
          <w:sz w:val="24"/>
        </w:rPr>
      </w:pPr>
      <w:r>
        <w:rPr>
          <w:rFonts w:ascii="宋体" w:hAnsi="宋体"/>
          <w:color w:val="000000"/>
          <w:sz w:val="24"/>
        </w:rPr>
        <w:t>b</w:t>
      </w:r>
      <w:r>
        <w:rPr>
          <w:rFonts w:hint="eastAsia" w:ascii="宋体" w:hAnsi="宋体"/>
          <w:color w:val="000000"/>
          <w:sz w:val="24"/>
        </w:rPr>
        <w:t>——</w:t>
      </w:r>
      <w:r>
        <w:rPr>
          <w:rFonts w:ascii="宋体" w:hAnsi="宋体"/>
          <w:color w:val="000000"/>
          <w:sz w:val="24"/>
        </w:rPr>
        <w:t>每公斤炸药爆破后生成的当量CO的量，根据炸药有毒气体国家标准，取b</w:t>
      </w:r>
      <w:r>
        <w:rPr>
          <w:rFonts w:hint="eastAsia" w:ascii="宋体" w:hAnsi="宋体"/>
          <w:color w:val="000000"/>
          <w:sz w:val="24"/>
        </w:rPr>
        <w:t>＝</w:t>
      </w:r>
      <w:r>
        <w:rPr>
          <w:rFonts w:ascii="宋体" w:hAnsi="宋体"/>
          <w:color w:val="000000"/>
          <w:sz w:val="24"/>
        </w:rPr>
        <w:t>0.1m</w:t>
      </w:r>
      <w:r>
        <w:rPr>
          <w:rFonts w:ascii="宋体" w:hAnsi="宋体"/>
          <w:color w:val="000000"/>
          <w:sz w:val="24"/>
          <w:vertAlign w:val="superscript"/>
        </w:rPr>
        <w:t>3</w:t>
      </w:r>
      <w:r>
        <w:rPr>
          <w:rFonts w:ascii="宋体" w:hAnsi="宋体"/>
          <w:color w:val="000000"/>
          <w:sz w:val="24"/>
        </w:rPr>
        <w:t>/kg；</w:t>
      </w:r>
    </w:p>
    <w:p w14:paraId="7DDC0C9A">
      <w:pPr>
        <w:adjustRightInd w:val="0"/>
        <w:snapToGrid w:val="0"/>
        <w:spacing w:line="360" w:lineRule="auto"/>
        <w:ind w:firstLine="1320" w:firstLineChars="550"/>
        <w:rPr>
          <w:rFonts w:ascii="宋体" w:hAnsi="宋体"/>
          <w:color w:val="000000"/>
          <w:sz w:val="24"/>
        </w:rPr>
      </w:pPr>
      <w:r>
        <w:rPr>
          <w:rFonts w:hint="eastAsia" w:ascii="宋体" w:hAnsi="宋体"/>
          <w:color w:val="000000"/>
          <w:sz w:val="24"/>
        </w:rPr>
        <w:t>t——</w:t>
      </w:r>
      <w:r>
        <w:rPr>
          <w:rFonts w:ascii="宋体" w:hAnsi="宋体"/>
          <w:color w:val="000000"/>
          <w:sz w:val="24"/>
        </w:rPr>
        <w:t>通风时间，一般不少于20min；</w:t>
      </w:r>
    </w:p>
    <w:p w14:paraId="32D67AD0">
      <w:pPr>
        <w:adjustRightInd w:val="0"/>
        <w:snapToGrid w:val="0"/>
        <w:spacing w:line="360" w:lineRule="auto"/>
        <w:ind w:firstLine="1320" w:firstLineChars="550"/>
        <w:rPr>
          <w:rFonts w:hint="eastAsia" w:ascii="宋体" w:hAnsi="宋体"/>
          <w:color w:val="000000"/>
          <w:sz w:val="24"/>
        </w:rPr>
      </w:pPr>
      <w:r>
        <w:rPr>
          <w:rFonts w:hint="eastAsia" w:ascii="宋体" w:hAnsi="宋体"/>
          <w:color w:val="000000"/>
          <w:sz w:val="24"/>
        </w:rPr>
        <w:t>c——</w:t>
      </w:r>
      <w:r>
        <w:rPr>
          <w:rFonts w:ascii="宋体" w:hAnsi="宋体"/>
          <w:color w:val="000000"/>
          <w:sz w:val="24"/>
        </w:rPr>
        <w:t>爆破经通风后，允许工人进入工作面工作的CO浓度，一般取c</w:t>
      </w:r>
      <w:r>
        <w:rPr>
          <w:rFonts w:hint="eastAsia" w:ascii="宋体" w:hAnsi="宋体"/>
          <w:color w:val="000000"/>
          <w:sz w:val="24"/>
        </w:rPr>
        <w:t>=</w:t>
      </w:r>
      <w:r>
        <w:rPr>
          <w:rFonts w:ascii="宋体" w:hAnsi="宋体"/>
          <w:color w:val="000000"/>
          <w:sz w:val="24"/>
        </w:rPr>
        <w:t>0.02</w:t>
      </w:r>
      <w:r>
        <w:rPr>
          <w:rFonts w:hint="eastAsia" w:ascii="宋体" w:hAnsi="宋体"/>
          <w:color w:val="000000"/>
          <w:sz w:val="24"/>
        </w:rPr>
        <w:t>4</w:t>
      </w:r>
      <w:r>
        <w:rPr>
          <w:rFonts w:ascii="宋体" w:hAnsi="宋体"/>
          <w:color w:val="000000"/>
          <w:sz w:val="24"/>
        </w:rPr>
        <w:t>%；</w:t>
      </w:r>
    </w:p>
    <w:p w14:paraId="57662047">
      <w:pPr>
        <w:adjustRightInd w:val="0"/>
        <w:snapToGrid w:val="0"/>
        <w:spacing w:line="360" w:lineRule="auto"/>
        <w:ind w:firstLine="1320" w:firstLineChars="550"/>
        <w:rPr>
          <w:rFonts w:hint="eastAsia" w:ascii="宋体" w:hAnsi="宋体"/>
          <w:color w:val="000000"/>
          <w:sz w:val="24"/>
        </w:rPr>
      </w:pPr>
      <w:r>
        <w:rPr>
          <w:rFonts w:ascii="宋体" w:hAnsi="宋体"/>
          <w:color w:val="000000"/>
          <w:sz w:val="24"/>
        </w:rPr>
        <w:t>Q</w:t>
      </w:r>
      <w:r>
        <w:rPr>
          <w:rFonts w:ascii="宋体" w:hAnsi="宋体"/>
          <w:color w:val="000000"/>
          <w:sz w:val="24"/>
          <w:vertAlign w:val="subscript"/>
        </w:rPr>
        <w:t>掘</w:t>
      </w:r>
      <w:r>
        <w:rPr>
          <w:rFonts w:hint="eastAsia" w:ascii="宋体" w:hAnsi="宋体"/>
          <w:color w:val="000000"/>
          <w:sz w:val="24"/>
        </w:rPr>
        <w:t>＝6</w:t>
      </w:r>
      <w:r>
        <w:rPr>
          <w:rFonts w:ascii="宋体" w:hAnsi="宋体"/>
          <w:color w:val="000000"/>
          <w:sz w:val="24"/>
        </w:rPr>
        <w:t>×</w:t>
      </w:r>
      <w:r>
        <w:rPr>
          <w:rFonts w:hint="eastAsia" w:ascii="宋体" w:hAnsi="宋体"/>
          <w:color w:val="000000"/>
          <w:sz w:val="24"/>
        </w:rPr>
        <w:t>0.1</w:t>
      </w:r>
      <w:r>
        <w:rPr>
          <w:rFonts w:ascii="宋体" w:hAnsi="宋体"/>
          <w:color w:val="000000"/>
          <w:sz w:val="24"/>
        </w:rPr>
        <w:t>/</w:t>
      </w:r>
      <w:r>
        <w:rPr>
          <w:rFonts w:hint="eastAsia" w:ascii="宋体" w:hAnsi="宋体"/>
          <w:color w:val="000000"/>
          <w:sz w:val="24"/>
        </w:rPr>
        <w:t>1200</w:t>
      </w:r>
      <w:r>
        <w:rPr>
          <w:rFonts w:ascii="宋体" w:hAnsi="宋体"/>
          <w:color w:val="000000"/>
          <w:sz w:val="24"/>
        </w:rPr>
        <w:t>×</w:t>
      </w:r>
      <w:r>
        <w:rPr>
          <w:rFonts w:hint="eastAsia" w:ascii="宋体" w:hAnsi="宋体"/>
          <w:color w:val="000000"/>
          <w:sz w:val="24"/>
        </w:rPr>
        <w:t>0.00024＝2.08</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r>
        <w:rPr>
          <w:rFonts w:hint="eastAsia" w:ascii="宋体" w:hAnsi="宋体"/>
          <w:color w:val="000000"/>
          <w:sz w:val="24"/>
        </w:rPr>
        <w:t>；</w:t>
      </w:r>
    </w:p>
    <w:p w14:paraId="4DAC5F21">
      <w:pPr>
        <w:pStyle w:val="29"/>
        <w:tabs>
          <w:tab w:val="left" w:pos="4500"/>
        </w:tabs>
        <w:adjustRightInd w:val="0"/>
        <w:snapToGrid w:val="0"/>
        <w:spacing w:line="360" w:lineRule="auto"/>
        <w:ind w:firstLine="480" w:firstLineChars="200"/>
        <w:rPr>
          <w:rFonts w:hint="eastAsia" w:hAnsi="宋体"/>
          <w:sz w:val="24"/>
          <w:lang w:val="en-GB"/>
        </w:rPr>
      </w:pPr>
      <w:r>
        <w:rPr>
          <w:rFonts w:hint="eastAsia" w:hAnsi="宋体"/>
          <w:sz w:val="24"/>
        </w:rPr>
        <w:t>▲</w:t>
      </w:r>
      <w:r>
        <w:rPr>
          <w:rFonts w:hint="eastAsia" w:hAnsi="宋体"/>
          <w:sz w:val="24"/>
          <w:lang w:val="en-GB"/>
        </w:rPr>
        <w:t>按局部通风机吸风量计算</w:t>
      </w:r>
    </w:p>
    <w:p w14:paraId="6EF0103C">
      <w:pPr>
        <w:autoSpaceDE w:val="0"/>
        <w:autoSpaceDN w:val="0"/>
        <w:adjustRightInd w:val="0"/>
        <w:spacing w:line="360" w:lineRule="auto"/>
        <w:ind w:firstLine="480" w:firstLineChars="200"/>
        <w:jc w:val="left"/>
        <w:rPr>
          <w:rFonts w:hint="eastAsia" w:ascii="宋体" w:hAnsi="宋体"/>
          <w:color w:val="000000"/>
          <w:sz w:val="24"/>
        </w:rPr>
      </w:pPr>
      <w:r>
        <w:rPr>
          <w:rFonts w:ascii="宋体" w:hAnsi="宋体"/>
          <w:color w:val="000000"/>
          <w:sz w:val="24"/>
        </w:rPr>
        <w:t>A</w:t>
      </w:r>
      <w:r>
        <w:rPr>
          <w:rFonts w:hint="eastAsia" w:ascii="宋体" w:hAnsi="宋体"/>
          <w:color w:val="000000"/>
          <w:sz w:val="24"/>
        </w:rPr>
        <w:t>、掘进工作面采用</w:t>
      </w:r>
      <w:r>
        <w:rPr>
          <w:rFonts w:ascii="宋体" w:hAnsi="宋体"/>
          <w:color w:val="000000"/>
          <w:sz w:val="24"/>
        </w:rPr>
        <w:t>FBD</w:t>
      </w:r>
      <w:r>
        <w:rPr>
          <w:rFonts w:hint="eastAsia" w:ascii="宋体" w:hAnsi="宋体"/>
          <w:color w:val="000000"/>
          <w:sz w:val="24"/>
        </w:rPr>
        <w:t>№</w:t>
      </w:r>
      <w:r>
        <w:rPr>
          <w:rFonts w:ascii="宋体" w:hAnsi="宋体"/>
          <w:color w:val="000000"/>
          <w:sz w:val="24"/>
        </w:rPr>
        <w:t>-5.6/2</w:t>
      </w:r>
      <w:r>
        <w:rPr>
          <w:rFonts w:hint="eastAsia" w:ascii="宋体" w:hAnsi="宋体"/>
          <w:color w:val="000000"/>
          <w:sz w:val="24"/>
        </w:rPr>
        <w:t>×15型局部通风机压入式供风，其风量为260～365m</w:t>
      </w:r>
      <w:r>
        <w:rPr>
          <w:rFonts w:ascii="宋体" w:hAnsi="宋体"/>
          <w:color w:val="000000"/>
          <w:sz w:val="24"/>
          <w:vertAlign w:val="superscript"/>
        </w:rPr>
        <w:t>3</w:t>
      </w:r>
      <w:r>
        <w:rPr>
          <w:rFonts w:ascii="宋体" w:hAnsi="宋体"/>
          <w:color w:val="000000"/>
          <w:sz w:val="24"/>
        </w:rPr>
        <w:t>/</w:t>
      </w:r>
      <w:r>
        <w:rPr>
          <w:rFonts w:hint="eastAsia" w:ascii="宋体" w:hAnsi="宋体"/>
          <w:color w:val="000000"/>
          <w:sz w:val="24"/>
        </w:rPr>
        <w:t>min，风压900～4700Pa。</w:t>
      </w:r>
    </w:p>
    <w:p w14:paraId="109AC73C">
      <w:pPr>
        <w:pStyle w:val="29"/>
        <w:tabs>
          <w:tab w:val="left" w:pos="4500"/>
        </w:tabs>
        <w:adjustRightInd w:val="0"/>
        <w:snapToGrid w:val="0"/>
        <w:spacing w:line="360" w:lineRule="auto"/>
        <w:ind w:firstLine="480" w:firstLineChars="200"/>
        <w:rPr>
          <w:rFonts w:hint="eastAsia" w:hAnsi="宋体"/>
          <w:sz w:val="24"/>
          <w:szCs w:val="24"/>
        </w:rPr>
      </w:pPr>
      <w:r>
        <w:rPr>
          <w:rFonts w:hint="eastAsia" w:hAnsi="宋体"/>
          <w:sz w:val="24"/>
          <w:szCs w:val="24"/>
        </w:rPr>
        <w:t>B、根据《煤矿安全规程》（2010版）第一百零一条的规定，采煤工作面、掘进中的煤巷和半煤巷岩巷中的最低风速为0.25m/s，为满足局部通风机安设位置至回风口间巷道最低风速的要求，则配风量为：</w:t>
      </w:r>
    </w:p>
    <w:p w14:paraId="7B88C5F2">
      <w:pPr>
        <w:pStyle w:val="29"/>
        <w:tabs>
          <w:tab w:val="left" w:pos="4500"/>
        </w:tabs>
        <w:adjustRightInd w:val="0"/>
        <w:snapToGrid w:val="0"/>
        <w:spacing w:line="360" w:lineRule="auto"/>
        <w:ind w:firstLine="480" w:firstLineChars="200"/>
        <w:rPr>
          <w:rFonts w:hint="eastAsia" w:hAnsi="宋体"/>
          <w:sz w:val="24"/>
          <w:szCs w:val="24"/>
          <w:lang w:val="en-GB"/>
        </w:rPr>
      </w:pPr>
      <w:r>
        <w:rPr>
          <w:rFonts w:hint="eastAsia" w:hAnsi="宋体"/>
          <w:sz w:val="24"/>
          <w:szCs w:val="24"/>
          <w:lang w:val="en-GB"/>
        </w:rPr>
        <w:t>断面为7.2</w:t>
      </w:r>
      <w:r>
        <w:rPr>
          <w:rFonts w:hAnsi="宋体"/>
          <w:sz w:val="24"/>
          <w:szCs w:val="24"/>
        </w:rPr>
        <w:t>m</w:t>
      </w:r>
      <w:r>
        <w:rPr>
          <w:rFonts w:hint="eastAsia" w:hAnsi="宋体"/>
          <w:sz w:val="24"/>
          <w:szCs w:val="24"/>
          <w:vertAlign w:val="superscript"/>
        </w:rPr>
        <w:t>2</w:t>
      </w:r>
      <w:r>
        <w:rPr>
          <w:rFonts w:hint="eastAsia" w:hAnsi="宋体"/>
          <w:sz w:val="24"/>
          <w:szCs w:val="24"/>
        </w:rPr>
        <w:t>时为：0.25</w:t>
      </w:r>
      <w:r>
        <w:rPr>
          <w:rFonts w:hint="eastAsia" w:hAnsi="宋体"/>
          <w:sz w:val="24"/>
          <w:szCs w:val="24"/>
          <w:lang w:val="en-GB"/>
        </w:rPr>
        <w:t>×7.2＝1.8m</w:t>
      </w:r>
      <w:r>
        <w:rPr>
          <w:rFonts w:hint="eastAsia" w:hAnsi="宋体"/>
          <w:sz w:val="24"/>
          <w:szCs w:val="24"/>
          <w:vertAlign w:val="superscript"/>
          <w:lang w:val="en-GB"/>
        </w:rPr>
        <w:t>3</w:t>
      </w:r>
      <w:r>
        <w:rPr>
          <w:rFonts w:hint="eastAsia" w:hAnsi="宋体"/>
          <w:sz w:val="24"/>
          <w:szCs w:val="24"/>
          <w:lang w:val="en-GB"/>
        </w:rPr>
        <w:t>/s</w:t>
      </w:r>
    </w:p>
    <w:p w14:paraId="75F516CA">
      <w:pPr>
        <w:pStyle w:val="29"/>
        <w:tabs>
          <w:tab w:val="left" w:pos="4500"/>
        </w:tabs>
        <w:adjustRightInd w:val="0"/>
        <w:snapToGrid w:val="0"/>
        <w:spacing w:line="360" w:lineRule="auto"/>
        <w:ind w:firstLine="480" w:firstLineChars="200"/>
        <w:rPr>
          <w:rFonts w:hint="eastAsia" w:hAnsi="宋体"/>
          <w:sz w:val="24"/>
          <w:szCs w:val="24"/>
          <w:lang w:val="en-GB"/>
        </w:rPr>
      </w:pPr>
      <w:r>
        <w:rPr>
          <w:rFonts w:hint="eastAsia" w:hAnsi="宋体"/>
          <w:sz w:val="24"/>
          <w:szCs w:val="24"/>
          <w:lang w:val="en-GB"/>
        </w:rPr>
        <w:t>断面为6.6</w:t>
      </w:r>
      <w:r>
        <w:rPr>
          <w:rFonts w:hAnsi="宋体"/>
          <w:sz w:val="24"/>
          <w:szCs w:val="24"/>
        </w:rPr>
        <w:t>m</w:t>
      </w:r>
      <w:r>
        <w:rPr>
          <w:rFonts w:hint="eastAsia" w:hAnsi="宋体"/>
          <w:sz w:val="24"/>
          <w:szCs w:val="24"/>
          <w:vertAlign w:val="superscript"/>
        </w:rPr>
        <w:t>2</w:t>
      </w:r>
      <w:r>
        <w:rPr>
          <w:rFonts w:hint="eastAsia" w:hAnsi="宋体"/>
          <w:sz w:val="24"/>
          <w:szCs w:val="24"/>
        </w:rPr>
        <w:t>时为：0.25</w:t>
      </w:r>
      <w:r>
        <w:rPr>
          <w:rFonts w:hint="eastAsia" w:hAnsi="宋体"/>
          <w:sz w:val="24"/>
          <w:szCs w:val="24"/>
          <w:lang w:val="en-GB"/>
        </w:rPr>
        <w:t>×6.6＝1.65m</w:t>
      </w:r>
      <w:r>
        <w:rPr>
          <w:rFonts w:hint="eastAsia" w:hAnsi="宋体"/>
          <w:sz w:val="24"/>
          <w:szCs w:val="24"/>
          <w:vertAlign w:val="superscript"/>
          <w:lang w:val="en-GB"/>
        </w:rPr>
        <w:t>3</w:t>
      </w:r>
      <w:r>
        <w:rPr>
          <w:rFonts w:hint="eastAsia" w:hAnsi="宋体"/>
          <w:sz w:val="24"/>
          <w:szCs w:val="24"/>
          <w:lang w:val="en-GB"/>
        </w:rPr>
        <w:t>/s</w:t>
      </w:r>
    </w:p>
    <w:p w14:paraId="6972B2C6">
      <w:pPr>
        <w:pStyle w:val="29"/>
        <w:tabs>
          <w:tab w:val="left" w:pos="4500"/>
        </w:tabs>
        <w:adjustRightInd w:val="0"/>
        <w:snapToGrid w:val="0"/>
        <w:spacing w:line="360" w:lineRule="auto"/>
        <w:ind w:firstLine="480" w:firstLineChars="200"/>
        <w:rPr>
          <w:rFonts w:hint="eastAsia" w:hAnsi="宋体"/>
          <w:sz w:val="24"/>
          <w:szCs w:val="24"/>
          <w:lang w:val="en-GB"/>
        </w:rPr>
      </w:pPr>
      <w:r>
        <w:rPr>
          <w:rFonts w:hint="eastAsia" w:hAnsi="宋体"/>
          <w:sz w:val="24"/>
          <w:szCs w:val="24"/>
          <w:lang w:val="en-GB"/>
        </w:rPr>
        <w:t>则掘进巷中配风量为：</w:t>
      </w:r>
      <w:r>
        <w:rPr>
          <w:rFonts w:hint="eastAsia" w:hAnsi="宋体"/>
          <w:sz w:val="24"/>
          <w:szCs w:val="24"/>
        </w:rPr>
        <w:t>Q</w:t>
      </w:r>
      <w:r>
        <w:rPr>
          <w:rFonts w:hint="eastAsia" w:hAnsi="宋体"/>
          <w:sz w:val="24"/>
          <w:szCs w:val="24"/>
          <w:vertAlign w:val="subscript"/>
        </w:rPr>
        <w:t>掘</w:t>
      </w:r>
      <w:r>
        <w:rPr>
          <w:rFonts w:hint="eastAsia" w:hAnsi="宋体"/>
          <w:sz w:val="24"/>
          <w:szCs w:val="24"/>
          <w:lang w:val="en-GB"/>
        </w:rPr>
        <w:t>＝</w:t>
      </w:r>
      <w:r>
        <w:rPr>
          <w:rFonts w:hint="eastAsia" w:hAnsi="宋体"/>
          <w:sz w:val="24"/>
          <w:szCs w:val="24"/>
        </w:rPr>
        <w:t>6.1</w:t>
      </w:r>
      <w:r>
        <w:rPr>
          <w:rFonts w:hint="eastAsia" w:hAnsi="宋体"/>
          <w:sz w:val="24"/>
          <w:szCs w:val="24"/>
          <w:lang w:val="en-GB"/>
        </w:rPr>
        <w:t>＋</w:t>
      </w:r>
      <w:r>
        <w:rPr>
          <w:rFonts w:hint="eastAsia" w:hAnsi="宋体"/>
          <w:sz w:val="24"/>
          <w:szCs w:val="24"/>
        </w:rPr>
        <w:t>1.8</w:t>
      </w:r>
      <w:r>
        <w:rPr>
          <w:rFonts w:hint="eastAsia" w:hAnsi="宋体"/>
          <w:sz w:val="24"/>
          <w:szCs w:val="24"/>
          <w:lang w:val="en-GB"/>
        </w:rPr>
        <w:t>＝7.9m</w:t>
      </w:r>
      <w:r>
        <w:rPr>
          <w:rFonts w:hint="eastAsia" w:hAnsi="宋体"/>
          <w:sz w:val="24"/>
          <w:szCs w:val="24"/>
          <w:vertAlign w:val="superscript"/>
          <w:lang w:val="en-GB"/>
        </w:rPr>
        <w:t>3</w:t>
      </w:r>
      <w:r>
        <w:rPr>
          <w:rFonts w:hint="eastAsia" w:hAnsi="宋体"/>
          <w:sz w:val="24"/>
          <w:szCs w:val="24"/>
          <w:lang w:val="en-GB"/>
        </w:rPr>
        <w:t>/s</w:t>
      </w:r>
    </w:p>
    <w:p w14:paraId="77F4B39E">
      <w:pPr>
        <w:pStyle w:val="29"/>
        <w:tabs>
          <w:tab w:val="left" w:pos="4500"/>
        </w:tabs>
        <w:adjustRightInd w:val="0"/>
        <w:snapToGrid w:val="0"/>
        <w:spacing w:line="360" w:lineRule="auto"/>
        <w:ind w:firstLine="480" w:firstLineChars="200"/>
        <w:rPr>
          <w:rFonts w:hint="eastAsia" w:hAnsi="宋体"/>
          <w:sz w:val="24"/>
        </w:rPr>
      </w:pPr>
      <w:r>
        <w:rPr>
          <w:rFonts w:hint="eastAsia" w:hAnsi="宋体"/>
          <w:sz w:val="24"/>
          <w:szCs w:val="24"/>
          <w:lang w:val="en-GB"/>
        </w:rPr>
        <w:t>C、</w:t>
      </w:r>
      <w:r>
        <w:rPr>
          <w:rFonts w:hint="eastAsia" w:hAnsi="宋体"/>
          <w:sz w:val="24"/>
        </w:rPr>
        <w:t>Q</w:t>
      </w:r>
      <w:r>
        <w:rPr>
          <w:rFonts w:hint="eastAsia" w:hAnsi="宋体"/>
          <w:sz w:val="24"/>
          <w:vertAlign w:val="subscript"/>
        </w:rPr>
        <w:t>掘</w:t>
      </w:r>
      <w:r>
        <w:rPr>
          <w:rFonts w:hint="eastAsia" w:hAnsi="宋体"/>
          <w:sz w:val="24"/>
          <w:lang w:val="en-GB"/>
        </w:rPr>
        <w:t>＝</w:t>
      </w:r>
      <w:r>
        <w:rPr>
          <w:rFonts w:hint="eastAsia" w:hAnsi="宋体"/>
          <w:sz w:val="24"/>
        </w:rPr>
        <w:t>Q</w:t>
      </w:r>
      <w:r>
        <w:rPr>
          <w:rFonts w:hint="eastAsia" w:hAnsi="宋体"/>
          <w:sz w:val="24"/>
          <w:vertAlign w:val="subscript"/>
        </w:rPr>
        <w:t>f</w:t>
      </w:r>
      <w:r>
        <w:rPr>
          <w:rFonts w:hint="eastAsia" w:hAnsi="宋体"/>
          <w:sz w:val="24"/>
          <w:lang w:val="en-GB"/>
        </w:rPr>
        <w:t>×</w:t>
      </w:r>
      <w:r>
        <w:rPr>
          <w:rFonts w:hint="eastAsia" w:hAnsi="宋体"/>
          <w:sz w:val="24"/>
        </w:rPr>
        <w:t>I</w:t>
      </w:r>
      <w:r>
        <w:rPr>
          <w:rFonts w:hint="eastAsia" w:hAnsi="宋体"/>
          <w:sz w:val="24"/>
          <w:lang w:val="en-GB"/>
        </w:rPr>
        <w:t>×</w:t>
      </w:r>
      <w:r>
        <w:rPr>
          <w:rFonts w:hint="eastAsia" w:hAnsi="宋体"/>
          <w:sz w:val="24"/>
        </w:rPr>
        <w:t>k</w:t>
      </w:r>
      <w:r>
        <w:rPr>
          <w:rFonts w:hint="eastAsia" w:hAnsi="宋体"/>
          <w:sz w:val="24"/>
          <w:vertAlign w:val="subscript"/>
        </w:rPr>
        <w:t>f</w:t>
      </w:r>
    </w:p>
    <w:p w14:paraId="7387FB8A">
      <w:pPr>
        <w:pStyle w:val="29"/>
        <w:tabs>
          <w:tab w:val="left" w:pos="4500"/>
          <w:tab w:val="left" w:pos="7503"/>
        </w:tabs>
        <w:adjustRightInd w:val="0"/>
        <w:snapToGrid w:val="0"/>
        <w:spacing w:line="360" w:lineRule="auto"/>
        <w:ind w:firstLine="480" w:firstLineChars="200"/>
        <w:rPr>
          <w:rFonts w:hint="eastAsia" w:hAnsi="宋体"/>
          <w:sz w:val="24"/>
        </w:rPr>
      </w:pPr>
      <w:r>
        <w:rPr>
          <w:rFonts w:hint="eastAsia" w:hAnsi="宋体"/>
          <w:sz w:val="24"/>
        </w:rPr>
        <w:t>式中：Q</w:t>
      </w:r>
      <w:r>
        <w:rPr>
          <w:rFonts w:hint="eastAsia" w:hAnsi="宋体"/>
          <w:sz w:val="24"/>
          <w:vertAlign w:val="subscript"/>
        </w:rPr>
        <w:t>f</w:t>
      </w:r>
      <w:r>
        <w:rPr>
          <w:rFonts w:hint="eastAsia" w:hAnsi="宋体"/>
          <w:szCs w:val="23"/>
        </w:rPr>
        <w:t>——</w:t>
      </w:r>
      <w:r>
        <w:rPr>
          <w:rFonts w:hint="eastAsia" w:hAnsi="宋体"/>
          <w:sz w:val="24"/>
        </w:rPr>
        <w:t>掘进工作面局部通风机额定风量，</w:t>
      </w:r>
      <w:r>
        <w:rPr>
          <w:rFonts w:hint="eastAsia" w:hAnsi="宋体"/>
          <w:sz w:val="24"/>
          <w:lang w:val="en-GB"/>
        </w:rPr>
        <w:t>取Q</w:t>
      </w:r>
      <w:r>
        <w:rPr>
          <w:rFonts w:hint="eastAsia" w:hAnsi="宋体"/>
          <w:sz w:val="24"/>
          <w:vertAlign w:val="subscript"/>
          <w:lang w:val="en-GB"/>
        </w:rPr>
        <w:t>f</w:t>
      </w:r>
      <w:r>
        <w:rPr>
          <w:rFonts w:hint="eastAsia" w:hAnsi="宋体"/>
          <w:sz w:val="24"/>
          <w:lang w:val="en-GB"/>
        </w:rPr>
        <w:t>＝6.1m</w:t>
      </w:r>
      <w:r>
        <w:rPr>
          <w:rFonts w:hint="eastAsia" w:hAnsi="宋体"/>
          <w:sz w:val="24"/>
          <w:vertAlign w:val="superscript"/>
          <w:lang w:val="en-GB"/>
        </w:rPr>
        <w:t>3</w:t>
      </w:r>
      <w:r>
        <w:rPr>
          <w:rFonts w:hint="eastAsia" w:hAnsi="宋体"/>
          <w:sz w:val="24"/>
          <w:lang w:val="en-GB"/>
        </w:rPr>
        <w:t>/s</w:t>
      </w:r>
      <w:r>
        <w:rPr>
          <w:rFonts w:hint="eastAsia" w:hAnsi="宋体"/>
          <w:sz w:val="24"/>
        </w:rPr>
        <w:t>；</w:t>
      </w:r>
    </w:p>
    <w:p w14:paraId="7B845807">
      <w:pPr>
        <w:pStyle w:val="29"/>
        <w:tabs>
          <w:tab w:val="left" w:pos="4500"/>
          <w:tab w:val="left" w:pos="7503"/>
        </w:tabs>
        <w:adjustRightInd w:val="0"/>
        <w:snapToGrid w:val="0"/>
        <w:spacing w:line="360" w:lineRule="auto"/>
        <w:ind w:firstLine="1200" w:firstLineChars="500"/>
        <w:rPr>
          <w:rFonts w:hint="eastAsia" w:hAnsi="宋体"/>
          <w:sz w:val="24"/>
        </w:rPr>
      </w:pPr>
      <w:r>
        <w:rPr>
          <w:rFonts w:hint="eastAsia" w:hAnsi="宋体"/>
          <w:sz w:val="24"/>
        </w:rPr>
        <w:t>I</w:t>
      </w:r>
      <w:r>
        <w:rPr>
          <w:rFonts w:hint="eastAsia" w:hAnsi="宋体"/>
          <w:szCs w:val="23"/>
        </w:rPr>
        <w:t>——</w:t>
      </w:r>
      <w:r>
        <w:rPr>
          <w:rFonts w:hint="eastAsia" w:hAnsi="宋体"/>
          <w:sz w:val="24"/>
        </w:rPr>
        <w:t>掘进工作面同时运转的局部通风机台数，取1台；</w:t>
      </w:r>
    </w:p>
    <w:p w14:paraId="425C904A">
      <w:pPr>
        <w:pStyle w:val="29"/>
        <w:tabs>
          <w:tab w:val="left" w:pos="4500"/>
          <w:tab w:val="left" w:pos="7503"/>
        </w:tabs>
        <w:adjustRightInd w:val="0"/>
        <w:snapToGrid w:val="0"/>
        <w:spacing w:line="360" w:lineRule="auto"/>
        <w:ind w:firstLine="1200" w:firstLineChars="500"/>
        <w:rPr>
          <w:rFonts w:hint="eastAsia" w:hAnsi="宋体"/>
          <w:sz w:val="24"/>
        </w:rPr>
      </w:pPr>
      <w:r>
        <w:rPr>
          <w:rFonts w:hint="eastAsia" w:hAnsi="宋体"/>
          <w:sz w:val="24"/>
        </w:rPr>
        <w:t>k</w:t>
      </w:r>
      <w:r>
        <w:rPr>
          <w:rFonts w:hint="eastAsia" w:hAnsi="宋体"/>
          <w:sz w:val="24"/>
          <w:vertAlign w:val="subscript"/>
        </w:rPr>
        <w:t>f</w:t>
      </w:r>
      <w:r>
        <w:rPr>
          <w:rFonts w:hint="eastAsia" w:hAnsi="宋体"/>
          <w:szCs w:val="23"/>
        </w:rPr>
        <w:t>——</w:t>
      </w:r>
      <w:r>
        <w:rPr>
          <w:rFonts w:hint="eastAsia" w:hAnsi="宋体"/>
          <w:sz w:val="24"/>
        </w:rPr>
        <w:t>为防止局扇吸循环风的风量备用系数，取1.34。</w:t>
      </w:r>
    </w:p>
    <w:p w14:paraId="4EE7FE34">
      <w:pPr>
        <w:pStyle w:val="29"/>
        <w:tabs>
          <w:tab w:val="left" w:pos="4500"/>
          <w:tab w:val="left" w:pos="7503"/>
        </w:tabs>
        <w:adjustRightInd w:val="0"/>
        <w:snapToGrid w:val="0"/>
        <w:spacing w:line="360" w:lineRule="auto"/>
        <w:ind w:firstLine="480" w:firstLineChars="200"/>
        <w:rPr>
          <w:rFonts w:hint="eastAsia" w:hAnsi="宋体"/>
          <w:sz w:val="24"/>
          <w:szCs w:val="24"/>
          <w:lang w:val="en-GB"/>
        </w:rPr>
      </w:pPr>
      <w:r>
        <w:rPr>
          <w:rFonts w:hint="eastAsia" w:hAnsi="宋体"/>
          <w:sz w:val="24"/>
          <w:szCs w:val="24"/>
        </w:rPr>
        <w:t>Q</w:t>
      </w:r>
      <w:r>
        <w:rPr>
          <w:rFonts w:hint="eastAsia" w:hAnsi="宋体"/>
          <w:sz w:val="24"/>
          <w:szCs w:val="24"/>
          <w:vertAlign w:val="subscript"/>
        </w:rPr>
        <w:t>掘</w:t>
      </w:r>
      <w:r>
        <w:rPr>
          <w:rFonts w:hint="eastAsia" w:hAnsi="宋体"/>
          <w:sz w:val="24"/>
          <w:szCs w:val="24"/>
          <w:lang w:val="en-GB"/>
        </w:rPr>
        <w:t>＝</w:t>
      </w:r>
      <w:r>
        <w:rPr>
          <w:rFonts w:hint="eastAsia" w:hAnsi="宋体"/>
          <w:sz w:val="24"/>
          <w:szCs w:val="24"/>
        </w:rPr>
        <w:t>6.1</w:t>
      </w:r>
      <w:r>
        <w:rPr>
          <w:rFonts w:hint="eastAsia" w:hAnsi="宋体"/>
          <w:sz w:val="24"/>
          <w:szCs w:val="24"/>
          <w:lang w:val="en-GB"/>
        </w:rPr>
        <w:t>×</w:t>
      </w:r>
      <w:r>
        <w:rPr>
          <w:rFonts w:hint="eastAsia" w:hAnsi="宋体"/>
          <w:sz w:val="24"/>
          <w:szCs w:val="24"/>
        </w:rPr>
        <w:t>1</w:t>
      </w:r>
      <w:r>
        <w:rPr>
          <w:rFonts w:hint="eastAsia" w:hAnsi="宋体"/>
          <w:sz w:val="24"/>
          <w:szCs w:val="24"/>
          <w:lang w:val="en-GB"/>
        </w:rPr>
        <w:t>×</w:t>
      </w:r>
      <w:r>
        <w:rPr>
          <w:rFonts w:hint="eastAsia" w:hAnsi="宋体"/>
          <w:sz w:val="24"/>
          <w:szCs w:val="24"/>
        </w:rPr>
        <w:t>1.34</w:t>
      </w:r>
      <w:r>
        <w:rPr>
          <w:rFonts w:hint="eastAsia" w:hAnsi="宋体"/>
          <w:sz w:val="24"/>
          <w:szCs w:val="24"/>
          <w:lang w:val="en-GB"/>
        </w:rPr>
        <w:t>＝8.17m</w:t>
      </w:r>
      <w:r>
        <w:rPr>
          <w:rFonts w:hint="eastAsia" w:hAnsi="宋体"/>
          <w:sz w:val="24"/>
          <w:szCs w:val="24"/>
          <w:vertAlign w:val="superscript"/>
          <w:lang w:val="en-GB"/>
        </w:rPr>
        <w:t>3</w:t>
      </w:r>
      <w:r>
        <w:rPr>
          <w:rFonts w:hint="eastAsia" w:hAnsi="宋体"/>
          <w:sz w:val="24"/>
          <w:szCs w:val="24"/>
          <w:lang w:val="en-GB"/>
        </w:rPr>
        <w:t>/s</w:t>
      </w:r>
    </w:p>
    <w:p w14:paraId="39B46C52">
      <w:pPr>
        <w:pStyle w:val="29"/>
        <w:tabs>
          <w:tab w:val="left" w:pos="4500"/>
          <w:tab w:val="left" w:pos="7503"/>
        </w:tabs>
        <w:adjustRightInd w:val="0"/>
        <w:snapToGrid w:val="0"/>
        <w:spacing w:line="360" w:lineRule="auto"/>
        <w:ind w:firstLine="480" w:firstLineChars="200"/>
        <w:rPr>
          <w:rFonts w:hint="eastAsia" w:hAnsi="宋体"/>
          <w:sz w:val="24"/>
          <w:szCs w:val="24"/>
        </w:rPr>
      </w:pPr>
      <w:r>
        <w:rPr>
          <w:rFonts w:hint="eastAsia" w:hAnsi="宋体"/>
          <w:sz w:val="24"/>
          <w:szCs w:val="24"/>
          <w:lang w:val="en-GB"/>
        </w:rPr>
        <w:t>根据计算取大值,则掘进巷中配风量为Q</w:t>
      </w:r>
      <w:r>
        <w:rPr>
          <w:rFonts w:hint="eastAsia" w:hAnsi="宋体"/>
          <w:sz w:val="24"/>
          <w:szCs w:val="24"/>
          <w:vertAlign w:val="subscript"/>
        </w:rPr>
        <w:t>掘</w:t>
      </w:r>
      <w:r>
        <w:rPr>
          <w:rFonts w:hint="eastAsia" w:hAnsi="宋体"/>
          <w:sz w:val="24"/>
          <w:szCs w:val="24"/>
          <w:lang w:val="en-GB"/>
        </w:rPr>
        <w:t>＝8.17m</w:t>
      </w:r>
      <w:r>
        <w:rPr>
          <w:rFonts w:hint="eastAsia" w:hAnsi="宋体"/>
          <w:sz w:val="24"/>
          <w:szCs w:val="24"/>
          <w:vertAlign w:val="superscript"/>
          <w:lang w:val="en-GB"/>
        </w:rPr>
        <w:t>3</w:t>
      </w:r>
      <w:r>
        <w:rPr>
          <w:rFonts w:hint="eastAsia" w:hAnsi="宋体"/>
          <w:sz w:val="24"/>
          <w:szCs w:val="24"/>
          <w:lang w:val="en-GB"/>
        </w:rPr>
        <w:t>/s</w:t>
      </w:r>
    </w:p>
    <w:p w14:paraId="1EFE764E">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按工作面人员数量计算：</w:t>
      </w:r>
    </w:p>
    <w:p w14:paraId="1FA3D8F5">
      <w:pPr>
        <w:adjustRightInd w:val="0"/>
        <w:snapToGrid w:val="0"/>
        <w:spacing w:line="360" w:lineRule="auto"/>
        <w:ind w:firstLine="480" w:firstLineChars="200"/>
        <w:rPr>
          <w:rFonts w:ascii="宋体" w:hAnsi="宋体"/>
          <w:color w:val="000000"/>
          <w:sz w:val="24"/>
        </w:rPr>
      </w:pPr>
      <w:r>
        <w:rPr>
          <w:rFonts w:ascii="宋体" w:hAnsi="宋体"/>
          <w:color w:val="000000"/>
          <w:sz w:val="24"/>
        </w:rPr>
        <w:t>Q</w:t>
      </w:r>
      <w:r>
        <w:rPr>
          <w:rFonts w:ascii="宋体" w:hAnsi="宋体"/>
          <w:color w:val="000000"/>
          <w:sz w:val="24"/>
          <w:vertAlign w:val="subscript"/>
        </w:rPr>
        <w:t>掘</w:t>
      </w:r>
      <w:r>
        <w:rPr>
          <w:rFonts w:hint="eastAsia" w:ascii="宋体" w:hAnsi="宋体"/>
          <w:color w:val="000000"/>
          <w:sz w:val="24"/>
        </w:rPr>
        <w:t>＝</w:t>
      </w:r>
      <w:r>
        <w:rPr>
          <w:rFonts w:ascii="宋体" w:hAnsi="宋体"/>
          <w:color w:val="000000"/>
          <w:sz w:val="24"/>
        </w:rPr>
        <w:t>4·N</w:t>
      </w:r>
      <w:r>
        <w:rPr>
          <w:rFonts w:ascii="宋体" w:hAnsi="宋体"/>
          <w:color w:val="000000"/>
          <w:sz w:val="24"/>
          <w:vertAlign w:val="subscript"/>
        </w:rPr>
        <w:t>c</w:t>
      </w:r>
    </w:p>
    <w:p w14:paraId="4DA6FB7C">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式中： N</w:t>
      </w:r>
      <w:r>
        <w:rPr>
          <w:rFonts w:ascii="宋体" w:hAnsi="宋体"/>
          <w:color w:val="000000"/>
          <w:sz w:val="24"/>
          <w:vertAlign w:val="subscript"/>
        </w:rPr>
        <w:t>c</w:t>
      </w:r>
      <w:r>
        <w:rPr>
          <w:rFonts w:hint="eastAsia" w:ascii="宋体" w:hAnsi="宋体"/>
          <w:color w:val="000000"/>
          <w:sz w:val="24"/>
        </w:rPr>
        <w:t>——</w:t>
      </w:r>
      <w:r>
        <w:rPr>
          <w:rFonts w:ascii="宋体" w:hAnsi="宋体"/>
          <w:color w:val="000000"/>
          <w:sz w:val="24"/>
        </w:rPr>
        <w:t>掘进工作面同时工作的最多人数，</w:t>
      </w:r>
      <w:r>
        <w:rPr>
          <w:rFonts w:hint="eastAsia" w:ascii="宋体" w:hAnsi="宋体"/>
          <w:color w:val="000000"/>
          <w:sz w:val="24"/>
        </w:rPr>
        <w:t>15</w:t>
      </w:r>
      <w:r>
        <w:rPr>
          <w:rFonts w:ascii="宋体" w:hAnsi="宋体"/>
          <w:color w:val="000000"/>
          <w:sz w:val="24"/>
        </w:rPr>
        <w:t>人；</w:t>
      </w:r>
    </w:p>
    <w:p w14:paraId="4B201331">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Q</w:t>
      </w:r>
      <w:r>
        <w:rPr>
          <w:rFonts w:ascii="宋体" w:hAnsi="宋体"/>
          <w:color w:val="000000"/>
          <w:sz w:val="24"/>
          <w:vertAlign w:val="subscript"/>
        </w:rPr>
        <w:t>掘</w:t>
      </w:r>
      <w:r>
        <w:rPr>
          <w:rFonts w:hint="eastAsia" w:ascii="宋体" w:hAnsi="宋体"/>
          <w:color w:val="000000"/>
          <w:sz w:val="24"/>
        </w:rPr>
        <w:t>＝4</w:t>
      </w:r>
      <w:r>
        <w:rPr>
          <w:rFonts w:ascii="宋体" w:hAnsi="宋体"/>
          <w:color w:val="000000"/>
          <w:sz w:val="24"/>
        </w:rPr>
        <w:t>×</w:t>
      </w:r>
      <w:r>
        <w:rPr>
          <w:rFonts w:hint="eastAsia" w:ascii="宋体" w:hAnsi="宋体"/>
          <w:color w:val="000000"/>
          <w:sz w:val="24"/>
        </w:rPr>
        <w:t>15＝60</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/min</w:t>
      </w:r>
      <w:r>
        <w:rPr>
          <w:rFonts w:hint="eastAsia" w:ascii="宋体" w:hAnsi="宋体"/>
          <w:color w:val="000000"/>
          <w:sz w:val="24"/>
        </w:rPr>
        <w:t>＝1.0</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/s</w:t>
      </w:r>
      <w:r>
        <w:rPr>
          <w:rFonts w:hint="eastAsia" w:ascii="宋体" w:hAnsi="宋体"/>
          <w:color w:val="000000"/>
          <w:sz w:val="24"/>
        </w:rPr>
        <w:t>；</w:t>
      </w:r>
    </w:p>
    <w:p w14:paraId="57B32AD1">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按风速验算：</w:t>
      </w:r>
    </w:p>
    <w:p w14:paraId="74F48B9B">
      <w:pPr>
        <w:adjustRightInd w:val="0"/>
        <w:snapToGrid w:val="0"/>
        <w:spacing w:line="360" w:lineRule="auto"/>
        <w:ind w:firstLine="480" w:firstLineChars="200"/>
        <w:rPr>
          <w:rFonts w:ascii="宋体" w:hAnsi="宋体"/>
          <w:color w:val="000000"/>
          <w:sz w:val="24"/>
        </w:rPr>
      </w:pPr>
      <w:r>
        <w:rPr>
          <w:rFonts w:ascii="宋体" w:hAnsi="宋体"/>
          <w:color w:val="000000"/>
          <w:sz w:val="24"/>
        </w:rPr>
        <w:t>根据《煤矿安全规程》</w:t>
      </w:r>
      <w:r>
        <w:rPr>
          <w:rFonts w:hint="eastAsia" w:ascii="宋体" w:hAnsi="宋体"/>
          <w:color w:val="000000"/>
          <w:sz w:val="24"/>
        </w:rPr>
        <w:t>（2010版）</w:t>
      </w:r>
      <w:r>
        <w:rPr>
          <w:rFonts w:ascii="宋体" w:hAnsi="宋体"/>
          <w:color w:val="000000"/>
          <w:sz w:val="24"/>
        </w:rPr>
        <w:t>规定岩巷掘进工作面的风量应满足：</w:t>
      </w:r>
    </w:p>
    <w:p w14:paraId="40C21514">
      <w:pPr>
        <w:adjustRightInd w:val="0"/>
        <w:snapToGrid w:val="0"/>
        <w:spacing w:line="360" w:lineRule="auto"/>
        <w:ind w:firstLine="2280" w:firstLineChars="950"/>
        <w:rPr>
          <w:rFonts w:hint="eastAsia" w:ascii="宋体" w:hAnsi="宋体"/>
          <w:color w:val="000000"/>
          <w:sz w:val="24"/>
          <w:vertAlign w:val="subscript"/>
        </w:rPr>
      </w:pPr>
      <w:r>
        <w:rPr>
          <w:rFonts w:ascii="宋体" w:hAnsi="宋体"/>
          <w:color w:val="000000"/>
          <w:sz w:val="24"/>
        </w:rPr>
        <w:t>9×S</w:t>
      </w:r>
      <w:r>
        <w:rPr>
          <w:rFonts w:ascii="宋体" w:hAnsi="宋体"/>
          <w:color w:val="000000"/>
          <w:sz w:val="24"/>
          <w:vertAlign w:val="subscript"/>
        </w:rPr>
        <w:t>j</w:t>
      </w:r>
      <w:r>
        <w:rPr>
          <w:rFonts w:ascii="宋体" w:hAnsi="宋体"/>
          <w:color w:val="000000"/>
          <w:sz w:val="24"/>
        </w:rPr>
        <w:t>≤Q</w:t>
      </w:r>
      <w:r>
        <w:rPr>
          <w:rFonts w:ascii="宋体" w:hAnsi="宋体"/>
          <w:color w:val="000000"/>
          <w:sz w:val="24"/>
          <w:vertAlign w:val="subscript"/>
        </w:rPr>
        <w:t>掘</w:t>
      </w:r>
      <w:r>
        <w:rPr>
          <w:rFonts w:ascii="宋体" w:hAnsi="宋体"/>
          <w:color w:val="000000"/>
          <w:sz w:val="24"/>
        </w:rPr>
        <w:t>≤240×S</w:t>
      </w:r>
      <w:r>
        <w:rPr>
          <w:rFonts w:ascii="宋体" w:hAnsi="宋体"/>
          <w:color w:val="000000"/>
          <w:sz w:val="24"/>
          <w:vertAlign w:val="subscript"/>
        </w:rPr>
        <w:t>j</w:t>
      </w:r>
    </w:p>
    <w:p w14:paraId="651DC67D">
      <w:pPr>
        <w:adjustRightInd w:val="0"/>
        <w:snapToGrid w:val="0"/>
        <w:spacing w:line="360" w:lineRule="auto"/>
        <w:ind w:firstLine="2280" w:firstLineChars="950"/>
        <w:rPr>
          <w:rFonts w:hint="eastAsia" w:ascii="宋体" w:hAnsi="宋体"/>
          <w:color w:val="000000"/>
          <w:sz w:val="24"/>
        </w:rPr>
      </w:pPr>
      <w:r>
        <w:rPr>
          <w:rFonts w:hint="eastAsia" w:ascii="宋体" w:hAnsi="宋体"/>
          <w:color w:val="000000"/>
          <w:sz w:val="24"/>
        </w:rPr>
        <w:t>9×Ｓ</w:t>
      </w:r>
      <w:r>
        <w:rPr>
          <w:rFonts w:hint="eastAsia" w:ascii="宋体" w:hAnsi="宋体"/>
          <w:color w:val="000000"/>
          <w:sz w:val="24"/>
          <w:vertAlign w:val="subscript"/>
        </w:rPr>
        <w:t>j</w:t>
      </w:r>
      <w:r>
        <w:rPr>
          <w:rFonts w:hint="eastAsia" w:ascii="宋体" w:hAnsi="宋体"/>
          <w:color w:val="000000"/>
          <w:sz w:val="24"/>
        </w:rPr>
        <w:t>＝9×7.2＝64.8＜Ｑ</w:t>
      </w:r>
      <w:r>
        <w:rPr>
          <w:rFonts w:hint="eastAsia" w:ascii="宋体" w:hAnsi="宋体"/>
          <w:color w:val="000000"/>
          <w:sz w:val="24"/>
          <w:vertAlign w:val="subscript"/>
        </w:rPr>
        <w:t>掘</w:t>
      </w:r>
    </w:p>
    <w:p w14:paraId="0E2946EC">
      <w:pPr>
        <w:adjustRightInd w:val="0"/>
        <w:snapToGrid w:val="0"/>
        <w:spacing w:line="360" w:lineRule="auto"/>
        <w:ind w:firstLine="2280" w:firstLineChars="950"/>
        <w:rPr>
          <w:rFonts w:hint="eastAsia" w:ascii="宋体" w:hAnsi="宋体"/>
          <w:color w:val="000000"/>
          <w:sz w:val="24"/>
        </w:rPr>
      </w:pPr>
      <w:r>
        <w:rPr>
          <w:rFonts w:hint="eastAsia" w:ascii="宋体" w:hAnsi="宋体"/>
          <w:color w:val="000000"/>
          <w:sz w:val="24"/>
        </w:rPr>
        <w:t>240×Ｓ</w:t>
      </w:r>
      <w:r>
        <w:rPr>
          <w:rFonts w:hint="eastAsia" w:ascii="宋体" w:hAnsi="宋体"/>
          <w:color w:val="000000"/>
          <w:sz w:val="24"/>
          <w:vertAlign w:val="subscript"/>
        </w:rPr>
        <w:t>j</w:t>
      </w:r>
      <w:r>
        <w:rPr>
          <w:rFonts w:hint="eastAsia" w:ascii="宋体" w:hAnsi="宋体"/>
          <w:color w:val="000000"/>
          <w:sz w:val="24"/>
        </w:rPr>
        <w:t>＝240×7.2＝1728＞Ｑ</w:t>
      </w:r>
      <w:r>
        <w:rPr>
          <w:rFonts w:hint="eastAsia" w:ascii="宋体" w:hAnsi="宋体"/>
          <w:color w:val="000000"/>
          <w:sz w:val="24"/>
          <w:vertAlign w:val="subscript"/>
        </w:rPr>
        <w:t>掘</w:t>
      </w:r>
    </w:p>
    <w:p w14:paraId="40A5CC0F">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煤巷、半煤岩巷掘进工作面的风量应满足：</w:t>
      </w:r>
    </w:p>
    <w:p w14:paraId="55CAA841">
      <w:pPr>
        <w:adjustRightInd w:val="0"/>
        <w:snapToGrid w:val="0"/>
        <w:spacing w:line="360" w:lineRule="auto"/>
        <w:ind w:firstLine="2280" w:firstLineChars="950"/>
        <w:rPr>
          <w:rFonts w:ascii="宋体" w:hAnsi="宋体"/>
          <w:color w:val="000000"/>
          <w:sz w:val="24"/>
        </w:rPr>
      </w:pPr>
      <w:r>
        <w:rPr>
          <w:rFonts w:ascii="宋体" w:hAnsi="宋体"/>
          <w:color w:val="000000"/>
          <w:sz w:val="24"/>
        </w:rPr>
        <w:t>15×S</w:t>
      </w:r>
      <w:r>
        <w:rPr>
          <w:rFonts w:ascii="宋体" w:hAnsi="宋体"/>
          <w:color w:val="000000"/>
          <w:sz w:val="24"/>
          <w:vertAlign w:val="subscript"/>
        </w:rPr>
        <w:t>j</w:t>
      </w:r>
      <w:r>
        <w:rPr>
          <w:rFonts w:ascii="宋体" w:hAnsi="宋体"/>
          <w:color w:val="000000"/>
          <w:sz w:val="24"/>
        </w:rPr>
        <w:t>≤Q</w:t>
      </w:r>
      <w:r>
        <w:rPr>
          <w:rFonts w:ascii="宋体" w:hAnsi="宋体"/>
          <w:color w:val="000000"/>
          <w:sz w:val="24"/>
          <w:vertAlign w:val="subscript"/>
        </w:rPr>
        <w:t>掘</w:t>
      </w:r>
      <w:r>
        <w:rPr>
          <w:rFonts w:ascii="宋体" w:hAnsi="宋体"/>
          <w:color w:val="000000"/>
          <w:sz w:val="24"/>
        </w:rPr>
        <w:t>≤240×S</w:t>
      </w:r>
      <w:r>
        <w:rPr>
          <w:rFonts w:ascii="宋体" w:hAnsi="宋体"/>
          <w:color w:val="000000"/>
          <w:sz w:val="24"/>
          <w:vertAlign w:val="subscript"/>
        </w:rPr>
        <w:t>j</w:t>
      </w:r>
    </w:p>
    <w:p w14:paraId="49B738BA">
      <w:pPr>
        <w:adjustRightInd w:val="0"/>
        <w:snapToGrid w:val="0"/>
        <w:spacing w:line="360" w:lineRule="auto"/>
        <w:ind w:firstLine="2280" w:firstLineChars="950"/>
        <w:rPr>
          <w:rFonts w:hint="eastAsia" w:ascii="宋体" w:hAnsi="宋体"/>
          <w:color w:val="000000"/>
          <w:sz w:val="24"/>
        </w:rPr>
      </w:pPr>
      <w:r>
        <w:rPr>
          <w:rFonts w:hint="eastAsia" w:ascii="宋体" w:hAnsi="宋体"/>
          <w:color w:val="000000"/>
          <w:sz w:val="24"/>
        </w:rPr>
        <w:t>9×Ｓ</w:t>
      </w:r>
      <w:r>
        <w:rPr>
          <w:rFonts w:hint="eastAsia" w:ascii="宋体" w:hAnsi="宋体"/>
          <w:color w:val="000000"/>
          <w:sz w:val="24"/>
          <w:vertAlign w:val="subscript"/>
        </w:rPr>
        <w:t>j</w:t>
      </w:r>
      <w:r>
        <w:rPr>
          <w:rFonts w:hint="eastAsia" w:ascii="宋体" w:hAnsi="宋体"/>
          <w:color w:val="000000"/>
          <w:sz w:val="24"/>
        </w:rPr>
        <w:t>＝9×6.6＝59.4＜Ｑ</w:t>
      </w:r>
      <w:r>
        <w:rPr>
          <w:rFonts w:hint="eastAsia" w:ascii="宋体" w:hAnsi="宋体"/>
          <w:color w:val="000000"/>
          <w:sz w:val="24"/>
          <w:vertAlign w:val="subscript"/>
        </w:rPr>
        <w:t>掘</w:t>
      </w:r>
    </w:p>
    <w:p w14:paraId="3722AD97">
      <w:pPr>
        <w:adjustRightInd w:val="0"/>
        <w:snapToGrid w:val="0"/>
        <w:spacing w:line="360" w:lineRule="auto"/>
        <w:ind w:firstLine="2280" w:firstLineChars="950"/>
        <w:rPr>
          <w:rFonts w:hint="eastAsia" w:ascii="宋体" w:hAnsi="宋体"/>
          <w:color w:val="000000"/>
          <w:sz w:val="24"/>
        </w:rPr>
      </w:pPr>
      <w:r>
        <w:rPr>
          <w:rFonts w:hint="eastAsia" w:ascii="宋体" w:hAnsi="宋体"/>
          <w:color w:val="000000"/>
          <w:sz w:val="24"/>
        </w:rPr>
        <w:t>240×Ｓ</w:t>
      </w:r>
      <w:r>
        <w:rPr>
          <w:rFonts w:hint="eastAsia" w:ascii="宋体" w:hAnsi="宋体"/>
          <w:color w:val="000000"/>
          <w:sz w:val="24"/>
          <w:vertAlign w:val="subscript"/>
        </w:rPr>
        <w:t>j</w:t>
      </w:r>
      <w:r>
        <w:rPr>
          <w:rFonts w:hint="eastAsia" w:ascii="宋体" w:hAnsi="宋体"/>
          <w:color w:val="000000"/>
          <w:sz w:val="24"/>
        </w:rPr>
        <w:t>＝240×6.6＝1584＞Ｑ</w:t>
      </w:r>
      <w:r>
        <w:rPr>
          <w:rFonts w:hint="eastAsia" w:ascii="宋体" w:hAnsi="宋体"/>
          <w:color w:val="000000"/>
          <w:sz w:val="24"/>
          <w:vertAlign w:val="subscript"/>
        </w:rPr>
        <w:t>掘</w:t>
      </w:r>
    </w:p>
    <w:p w14:paraId="4198A043">
      <w:pPr>
        <w:adjustRightInd w:val="0"/>
        <w:snapToGrid w:val="0"/>
        <w:spacing w:line="360" w:lineRule="auto"/>
        <w:ind w:firstLine="480" w:firstLineChars="200"/>
        <w:rPr>
          <w:rFonts w:ascii="宋体" w:hAnsi="宋体"/>
          <w:color w:val="000000"/>
          <w:sz w:val="24"/>
        </w:rPr>
      </w:pPr>
      <w:r>
        <w:rPr>
          <w:rFonts w:ascii="宋体" w:hAnsi="宋体"/>
          <w:color w:val="000000"/>
          <w:sz w:val="24"/>
        </w:rPr>
        <w:t>式中：S</w:t>
      </w:r>
      <w:r>
        <w:rPr>
          <w:rFonts w:ascii="宋体" w:hAnsi="宋体"/>
          <w:color w:val="000000"/>
          <w:sz w:val="24"/>
          <w:vertAlign w:val="subscript"/>
        </w:rPr>
        <w:t>j</w:t>
      </w:r>
      <w:r>
        <w:rPr>
          <w:rFonts w:hint="eastAsia" w:ascii="宋体" w:hAnsi="宋体"/>
          <w:color w:val="000000"/>
          <w:sz w:val="24"/>
        </w:rPr>
        <w:t>——</w:t>
      </w:r>
      <w:r>
        <w:rPr>
          <w:rFonts w:ascii="宋体" w:hAnsi="宋体"/>
          <w:color w:val="000000"/>
          <w:sz w:val="24"/>
        </w:rPr>
        <w:t>掘进工作面巷道过风断面，</w:t>
      </w:r>
      <w:r>
        <w:rPr>
          <w:rFonts w:hint="eastAsia" w:ascii="宋体" w:hAnsi="宋体"/>
          <w:color w:val="000000"/>
          <w:sz w:val="24"/>
        </w:rPr>
        <w:t>6.6</w:t>
      </w:r>
      <w:r>
        <w:rPr>
          <w:rFonts w:ascii="宋体" w:hAnsi="宋体"/>
          <w:color w:val="000000"/>
          <w:sz w:val="24"/>
        </w:rPr>
        <w:t>～</w:t>
      </w:r>
      <w:r>
        <w:rPr>
          <w:rFonts w:hint="eastAsia" w:ascii="宋体" w:hAnsi="宋体"/>
          <w:color w:val="000000"/>
          <w:sz w:val="24"/>
        </w:rPr>
        <w:t>7.2m</w:t>
      </w:r>
      <w:r>
        <w:rPr>
          <w:rFonts w:hint="eastAsia" w:ascii="宋体" w:hAnsi="宋体"/>
          <w:color w:val="000000"/>
          <w:sz w:val="24"/>
          <w:vertAlign w:val="superscript"/>
        </w:rPr>
        <w:t>2</w:t>
      </w:r>
      <w:r>
        <w:rPr>
          <w:rFonts w:ascii="宋体" w:hAnsi="宋体"/>
          <w:color w:val="000000"/>
          <w:sz w:val="24"/>
        </w:rPr>
        <w:t>；</w:t>
      </w:r>
    </w:p>
    <w:p w14:paraId="575C3931">
      <w:pPr>
        <w:pStyle w:val="89"/>
        <w:tabs>
          <w:tab w:val="left" w:pos="4500"/>
        </w:tabs>
        <w:adjustRightInd w:val="0"/>
        <w:snapToGrid w:val="0"/>
        <w:ind w:firstLine="480" w:firstLineChars="200"/>
        <w:rPr>
          <w:rFonts w:hAnsi="宋体"/>
        </w:rPr>
      </w:pPr>
      <w:r>
        <w:rPr>
          <w:rFonts w:hAnsi="宋体"/>
        </w:rPr>
        <w:t>根据上述计算得Q</w:t>
      </w:r>
      <w:r>
        <w:rPr>
          <w:rFonts w:hAnsi="宋体"/>
          <w:vertAlign w:val="subscript"/>
        </w:rPr>
        <w:t>掘</w:t>
      </w:r>
      <w:r>
        <w:rPr>
          <w:rFonts w:hint="eastAsia" w:hAnsi="宋体"/>
        </w:rPr>
        <w:t>＝1.0</w:t>
      </w:r>
      <w:r>
        <w:rPr>
          <w:rFonts w:hint="eastAsia" w:hAnsi="宋体"/>
          <w:szCs w:val="24"/>
          <w:lang w:val="en-GB"/>
        </w:rPr>
        <w:t>m</w:t>
      </w:r>
      <w:r>
        <w:rPr>
          <w:rFonts w:hint="eastAsia" w:hAnsi="宋体"/>
          <w:szCs w:val="24"/>
          <w:vertAlign w:val="superscript"/>
          <w:lang w:val="en-GB"/>
        </w:rPr>
        <w:t>3</w:t>
      </w:r>
      <w:r>
        <w:rPr>
          <w:rFonts w:hint="eastAsia" w:hAnsi="宋体"/>
          <w:szCs w:val="24"/>
          <w:lang w:val="en-GB"/>
        </w:rPr>
        <w:t>/s</w:t>
      </w:r>
      <w:r>
        <w:rPr>
          <w:rFonts w:hAnsi="宋体"/>
        </w:rPr>
        <w:t>～</w:t>
      </w:r>
      <w:r>
        <w:rPr>
          <w:rFonts w:hint="eastAsia" w:hAnsi="宋体"/>
          <w:szCs w:val="24"/>
          <w:lang w:val="en-GB"/>
        </w:rPr>
        <w:t>8.17m</w:t>
      </w:r>
      <w:r>
        <w:rPr>
          <w:rFonts w:hint="eastAsia" w:hAnsi="宋体"/>
          <w:szCs w:val="24"/>
          <w:vertAlign w:val="superscript"/>
          <w:lang w:val="en-GB"/>
        </w:rPr>
        <w:t>3</w:t>
      </w:r>
      <w:r>
        <w:rPr>
          <w:rFonts w:hint="eastAsia" w:hAnsi="宋体"/>
          <w:szCs w:val="24"/>
          <w:lang w:val="en-GB"/>
        </w:rPr>
        <w:t>/s</w:t>
      </w:r>
      <w:r>
        <w:rPr>
          <w:rFonts w:hAnsi="宋体"/>
        </w:rPr>
        <w:t>，取其中的最大值</w:t>
      </w:r>
      <w:r>
        <w:rPr>
          <w:rFonts w:hint="eastAsia" w:hAnsi="宋体"/>
        </w:rPr>
        <w:t>，则</w:t>
      </w:r>
      <w:r>
        <w:rPr>
          <w:rFonts w:hAnsi="宋体"/>
        </w:rPr>
        <w:t>掘进</w:t>
      </w:r>
      <w:r>
        <w:rPr>
          <w:rFonts w:hint="eastAsia" w:hAnsi="宋体"/>
        </w:rPr>
        <w:t>工作</w:t>
      </w:r>
      <w:r>
        <w:rPr>
          <w:rFonts w:hAnsi="宋体"/>
        </w:rPr>
        <w:t>Q</w:t>
      </w:r>
      <w:r>
        <w:rPr>
          <w:rFonts w:hAnsi="宋体"/>
          <w:vertAlign w:val="subscript"/>
        </w:rPr>
        <w:t>掘</w:t>
      </w:r>
      <w:r>
        <w:rPr>
          <w:rFonts w:hint="eastAsia" w:hAnsi="宋体"/>
        </w:rPr>
        <w:t>＝8.17</w:t>
      </w:r>
      <w:r>
        <w:rPr>
          <w:rFonts w:hAnsi="宋体"/>
        </w:rPr>
        <w:t>m</w:t>
      </w:r>
      <w:r>
        <w:rPr>
          <w:rFonts w:hAnsi="宋体"/>
          <w:vertAlign w:val="superscript"/>
        </w:rPr>
        <w:t>3</w:t>
      </w:r>
      <w:r>
        <w:rPr>
          <w:rFonts w:hAnsi="宋体"/>
        </w:rPr>
        <w:t>/s，按风速验算均满足要求。</w:t>
      </w:r>
    </w:p>
    <w:p w14:paraId="298D5E26">
      <w:pPr>
        <w:adjustRightInd w:val="0"/>
        <w:snapToGrid w:val="0"/>
        <w:spacing w:line="360" w:lineRule="auto"/>
        <w:ind w:firstLine="480" w:firstLineChars="200"/>
        <w:rPr>
          <w:rFonts w:ascii="宋体" w:hAnsi="宋体"/>
          <w:color w:val="000000"/>
          <w:sz w:val="24"/>
        </w:rPr>
      </w:pPr>
      <w:r>
        <w:rPr>
          <w:rFonts w:ascii="宋体" w:hAnsi="宋体"/>
          <w:color w:val="000000"/>
          <w:sz w:val="24"/>
        </w:rPr>
        <w:t>③</w:t>
      </w:r>
      <w:r>
        <w:rPr>
          <w:rFonts w:hint="eastAsia" w:ascii="宋体" w:hAnsi="宋体"/>
          <w:color w:val="000000"/>
          <w:sz w:val="24"/>
        </w:rPr>
        <w:t xml:space="preserve"> </w:t>
      </w:r>
      <w:r>
        <w:rPr>
          <w:rFonts w:ascii="宋体" w:hAnsi="宋体"/>
          <w:color w:val="000000"/>
          <w:sz w:val="24"/>
        </w:rPr>
        <w:t>硐室风量</w:t>
      </w:r>
    </w:p>
    <w:p w14:paraId="1FEADF5B">
      <w:pPr>
        <w:pStyle w:val="89"/>
        <w:tabs>
          <w:tab w:val="left" w:pos="4500"/>
        </w:tabs>
        <w:adjustRightInd w:val="0"/>
        <w:snapToGrid w:val="0"/>
        <w:ind w:firstLine="480" w:firstLineChars="200"/>
        <w:rPr>
          <w:rFonts w:hint="eastAsia" w:hAnsi="宋体"/>
        </w:rPr>
      </w:pPr>
      <w:r>
        <w:rPr>
          <w:rFonts w:hint="eastAsia" w:hAnsi="宋体"/>
        </w:rPr>
        <w:t>根据该矿井开拓及采区布置，矿井投产初期在＋1835.0m标高布置水泵房</w:t>
      </w:r>
      <w:r>
        <w:rPr>
          <w:rFonts w:hint="eastAsia" w:hAnsi="宋体"/>
          <w:color w:val="000000"/>
          <w:szCs w:val="24"/>
        </w:rPr>
        <w:t>、主副水仓，在133轨道石门中布置消防材料硐室，在</w:t>
      </w:r>
      <w:r>
        <w:rPr>
          <w:rFonts w:hint="eastAsia" w:hAnsi="宋体"/>
        </w:rPr>
        <w:t>＋1835.0m标高的133轨道石门与回风斜井之间布置变电所，</w:t>
      </w:r>
      <w:r>
        <w:rPr>
          <w:rFonts w:hint="eastAsia" w:hAnsi="宋体"/>
          <w:color w:val="000000"/>
          <w:szCs w:val="24"/>
        </w:rPr>
        <w:t>井下不设爆炸材料发放硐室，</w:t>
      </w:r>
      <w:r>
        <w:rPr>
          <w:rFonts w:hint="eastAsia" w:hAnsi="宋体"/>
          <w:szCs w:val="24"/>
        </w:rPr>
        <w:t>因此，矿井投产初期需独立通风硐室为变电所和水泵房，则</w:t>
      </w:r>
      <w:r>
        <w:rPr>
          <w:rFonts w:hAnsi="宋体"/>
          <w:szCs w:val="24"/>
        </w:rPr>
        <w:t>Q</w:t>
      </w:r>
      <w:r>
        <w:rPr>
          <w:rFonts w:hAnsi="宋体"/>
          <w:szCs w:val="24"/>
          <w:vertAlign w:val="subscript"/>
        </w:rPr>
        <w:t>硐</w:t>
      </w:r>
      <w:r>
        <w:rPr>
          <w:rFonts w:hAnsi="宋体"/>
          <w:szCs w:val="24"/>
        </w:rPr>
        <w:t>=</w:t>
      </w:r>
      <w:r>
        <w:rPr>
          <w:rFonts w:hint="eastAsia" w:hAnsi="宋体"/>
          <w:szCs w:val="24"/>
        </w:rPr>
        <w:t>180</w:t>
      </w:r>
      <w:r>
        <w:rPr>
          <w:rFonts w:hAnsi="宋体"/>
          <w:szCs w:val="24"/>
        </w:rPr>
        <w:t>m</w:t>
      </w:r>
      <w:r>
        <w:rPr>
          <w:rFonts w:hAnsi="宋体"/>
          <w:szCs w:val="24"/>
          <w:vertAlign w:val="superscript"/>
        </w:rPr>
        <w:t>3</w:t>
      </w:r>
      <w:r>
        <w:rPr>
          <w:rFonts w:hAnsi="宋体"/>
          <w:szCs w:val="24"/>
        </w:rPr>
        <w:t>/min=</w:t>
      </w:r>
      <w:r>
        <w:rPr>
          <w:rFonts w:hint="eastAsia" w:hAnsi="宋体"/>
          <w:szCs w:val="24"/>
        </w:rPr>
        <w:t>3.0</w:t>
      </w:r>
      <w:r>
        <w:rPr>
          <w:rFonts w:hAnsi="宋体"/>
          <w:szCs w:val="24"/>
        </w:rPr>
        <w:t>m</w:t>
      </w:r>
      <w:r>
        <w:rPr>
          <w:rFonts w:hAnsi="宋体"/>
          <w:szCs w:val="24"/>
          <w:vertAlign w:val="superscript"/>
        </w:rPr>
        <w:t>3</w:t>
      </w:r>
      <w:r>
        <w:rPr>
          <w:rFonts w:hAnsi="宋体"/>
          <w:szCs w:val="24"/>
        </w:rPr>
        <w:t>/s</w:t>
      </w:r>
      <w:r>
        <w:rPr>
          <w:rFonts w:hint="eastAsia" w:hAnsi="宋体"/>
          <w:szCs w:val="24"/>
        </w:rPr>
        <w:t>；</w:t>
      </w:r>
    </w:p>
    <w:p w14:paraId="7CE27EA2">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④</w:t>
      </w:r>
      <w:r>
        <w:rPr>
          <w:rFonts w:hint="eastAsia" w:ascii="宋体" w:hAnsi="宋体"/>
          <w:color w:val="000000"/>
          <w:sz w:val="24"/>
        </w:rPr>
        <w:t xml:space="preserve"> </w:t>
      </w:r>
      <w:r>
        <w:rPr>
          <w:rFonts w:ascii="宋体" w:hAnsi="宋体"/>
          <w:color w:val="000000"/>
          <w:sz w:val="24"/>
        </w:rPr>
        <w:t>其它风量：结合本矿井的实际情况</w:t>
      </w:r>
    </w:p>
    <w:p w14:paraId="532FB5EF">
      <w:pPr>
        <w:adjustRightInd w:val="0"/>
        <w:snapToGrid w:val="0"/>
        <w:spacing w:line="360" w:lineRule="auto"/>
        <w:ind w:firstLine="480" w:firstLineChars="200"/>
        <w:rPr>
          <w:rFonts w:hint="eastAsia" w:ascii="宋体" w:hAnsi="宋体"/>
          <w:sz w:val="24"/>
        </w:rPr>
      </w:pPr>
      <w:r>
        <w:rPr>
          <w:rFonts w:hint="eastAsia" w:ascii="宋体" w:hAnsi="宋体"/>
          <w:sz w:val="24"/>
        </w:rPr>
        <w:t>Q</w:t>
      </w:r>
      <w:r>
        <w:rPr>
          <w:rFonts w:hint="eastAsia" w:ascii="宋体" w:hAnsi="宋体"/>
          <w:sz w:val="24"/>
          <w:vertAlign w:val="subscript"/>
        </w:rPr>
        <w:t>其它</w:t>
      </w:r>
      <w:r>
        <w:rPr>
          <w:rFonts w:hint="eastAsia" w:ascii="宋体" w:hAnsi="宋体"/>
          <w:sz w:val="24"/>
        </w:rPr>
        <w:t>＝</w:t>
      </w:r>
      <w:r>
        <w:rPr>
          <w:rFonts w:ascii="宋体" w:hAnsi="宋体"/>
          <w:sz w:val="24"/>
        </w:rPr>
        <w:t>（ΣQ</w:t>
      </w:r>
      <w:r>
        <w:rPr>
          <w:rFonts w:ascii="宋体" w:hAnsi="宋体"/>
          <w:sz w:val="24"/>
          <w:vertAlign w:val="subscript"/>
        </w:rPr>
        <w:t>采</w:t>
      </w:r>
      <w:r>
        <w:rPr>
          <w:rFonts w:ascii="宋体" w:hAnsi="宋体"/>
          <w:sz w:val="24"/>
        </w:rPr>
        <w:t>＋ΣQ</w:t>
      </w:r>
      <w:r>
        <w:rPr>
          <w:rFonts w:ascii="宋体" w:hAnsi="宋体"/>
          <w:sz w:val="24"/>
          <w:vertAlign w:val="subscript"/>
        </w:rPr>
        <w:t>掘</w:t>
      </w:r>
      <w:r>
        <w:rPr>
          <w:rFonts w:ascii="宋体" w:hAnsi="宋体"/>
          <w:sz w:val="24"/>
        </w:rPr>
        <w:t>＋ΣQ</w:t>
      </w:r>
      <w:r>
        <w:rPr>
          <w:rFonts w:ascii="宋体" w:hAnsi="宋体"/>
          <w:sz w:val="24"/>
          <w:vertAlign w:val="subscript"/>
        </w:rPr>
        <w:t>硐</w:t>
      </w:r>
      <w:r>
        <w:rPr>
          <w:rFonts w:ascii="宋体" w:hAnsi="宋体"/>
          <w:sz w:val="24"/>
        </w:rPr>
        <w:t>）×</w:t>
      </w:r>
      <w:r>
        <w:rPr>
          <w:rFonts w:hint="eastAsia" w:ascii="宋体" w:hAnsi="宋体"/>
          <w:sz w:val="24"/>
        </w:rPr>
        <w:t>5</w:t>
      </w:r>
      <w:r>
        <w:rPr>
          <w:rFonts w:ascii="宋体" w:hAnsi="宋体"/>
          <w:sz w:val="24"/>
        </w:rPr>
        <w:t>%</w:t>
      </w:r>
      <w:r>
        <w:rPr>
          <w:rFonts w:hint="eastAsia" w:ascii="宋体" w:hAnsi="宋体"/>
          <w:sz w:val="24"/>
        </w:rPr>
        <w:t>＝（20.328＋8.17</w:t>
      </w:r>
      <w:r>
        <w:rPr>
          <w:rFonts w:ascii="宋体" w:hAnsi="宋体"/>
          <w:sz w:val="24"/>
        </w:rPr>
        <w:t>×</w:t>
      </w:r>
      <w:r>
        <w:rPr>
          <w:rFonts w:hint="eastAsia" w:ascii="宋体" w:hAnsi="宋体"/>
          <w:sz w:val="24"/>
        </w:rPr>
        <w:t>2+3.0）</w:t>
      </w:r>
      <w:r>
        <w:rPr>
          <w:rFonts w:ascii="宋体" w:hAnsi="宋体"/>
          <w:sz w:val="24"/>
        </w:rPr>
        <w:t>×</w:t>
      </w:r>
      <w:r>
        <w:rPr>
          <w:rFonts w:hint="eastAsia" w:ascii="宋体" w:hAnsi="宋体"/>
          <w:sz w:val="24"/>
        </w:rPr>
        <w:t>5</w:t>
      </w:r>
      <w:r>
        <w:rPr>
          <w:rFonts w:ascii="宋体" w:hAnsi="宋体"/>
          <w:sz w:val="24"/>
        </w:rPr>
        <w:t>%</w:t>
      </w:r>
      <w:r>
        <w:rPr>
          <w:rFonts w:hint="eastAsia" w:ascii="宋体" w:hAnsi="宋体"/>
          <w:sz w:val="24"/>
        </w:rPr>
        <w:t>＝1.98</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w:t>
      </w:r>
    </w:p>
    <w:p w14:paraId="459695F5">
      <w:pPr>
        <w:adjustRightInd w:val="0"/>
        <w:snapToGrid w:val="0"/>
        <w:spacing w:line="360" w:lineRule="auto"/>
        <w:ind w:firstLine="480" w:firstLineChars="200"/>
        <w:rPr>
          <w:rFonts w:ascii="宋体" w:hAnsi="宋体"/>
          <w:color w:val="000000"/>
          <w:sz w:val="24"/>
        </w:rPr>
      </w:pPr>
      <w:r>
        <w:rPr>
          <w:rFonts w:ascii="宋体" w:hAnsi="宋体"/>
          <w:color w:val="000000"/>
          <w:sz w:val="24"/>
        </w:rPr>
        <w:t>⑤</w:t>
      </w:r>
      <w:r>
        <w:rPr>
          <w:rFonts w:hint="eastAsia" w:ascii="宋体" w:hAnsi="宋体"/>
          <w:color w:val="000000"/>
          <w:sz w:val="24"/>
        </w:rPr>
        <w:t xml:space="preserve"> </w:t>
      </w:r>
      <w:r>
        <w:rPr>
          <w:rFonts w:ascii="宋体" w:hAnsi="宋体"/>
          <w:color w:val="000000"/>
          <w:sz w:val="24"/>
        </w:rPr>
        <w:t>矿井总风量确定</w:t>
      </w:r>
    </w:p>
    <w:p w14:paraId="049A4206">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矿井</w:t>
      </w:r>
      <w:r>
        <w:rPr>
          <w:rFonts w:hint="eastAsia" w:ascii="宋体" w:hAnsi="宋体"/>
          <w:color w:val="000000"/>
          <w:sz w:val="24"/>
        </w:rPr>
        <w:t>需</w:t>
      </w:r>
      <w:r>
        <w:rPr>
          <w:rFonts w:ascii="宋体" w:hAnsi="宋体"/>
          <w:color w:val="000000"/>
          <w:sz w:val="24"/>
        </w:rPr>
        <w:t>风量Q</w:t>
      </w:r>
      <w:r>
        <w:rPr>
          <w:rFonts w:hint="eastAsia" w:ascii="宋体" w:hAnsi="宋体"/>
          <w:color w:val="000000"/>
          <w:sz w:val="24"/>
          <w:vertAlign w:val="subscript"/>
        </w:rPr>
        <w:t>矿井</w:t>
      </w:r>
      <w:r>
        <w:rPr>
          <w:rFonts w:hint="eastAsia" w:ascii="宋体" w:hAnsi="宋体"/>
          <w:color w:val="000000"/>
          <w:sz w:val="24"/>
        </w:rPr>
        <w:t>＝</w:t>
      </w:r>
      <w:r>
        <w:rPr>
          <w:rFonts w:ascii="宋体" w:hAnsi="宋体"/>
          <w:color w:val="000000"/>
          <w:sz w:val="24"/>
        </w:rPr>
        <w:t>(∑Q</w:t>
      </w:r>
      <w:r>
        <w:rPr>
          <w:rFonts w:ascii="宋体" w:hAnsi="宋体"/>
          <w:color w:val="000000"/>
          <w:sz w:val="24"/>
          <w:vertAlign w:val="subscript"/>
        </w:rPr>
        <w:t>采</w:t>
      </w:r>
      <w:r>
        <w:rPr>
          <w:rFonts w:ascii="宋体" w:hAnsi="宋体"/>
          <w:color w:val="000000"/>
          <w:sz w:val="24"/>
        </w:rPr>
        <w:t>+∑Q</w:t>
      </w:r>
      <w:r>
        <w:rPr>
          <w:rFonts w:ascii="宋体" w:hAnsi="宋体"/>
          <w:color w:val="000000"/>
          <w:sz w:val="24"/>
          <w:vertAlign w:val="subscript"/>
        </w:rPr>
        <w:t>掘</w:t>
      </w:r>
      <w:r>
        <w:rPr>
          <w:rFonts w:ascii="宋体" w:hAnsi="宋体"/>
          <w:color w:val="000000"/>
          <w:sz w:val="24"/>
        </w:rPr>
        <w:t>+∑Q</w:t>
      </w:r>
      <w:r>
        <w:rPr>
          <w:rFonts w:ascii="宋体" w:hAnsi="宋体"/>
          <w:color w:val="000000"/>
          <w:sz w:val="24"/>
          <w:vertAlign w:val="subscript"/>
        </w:rPr>
        <w:t>硐</w:t>
      </w:r>
      <w:r>
        <w:rPr>
          <w:rFonts w:ascii="宋体" w:hAnsi="宋体"/>
          <w:color w:val="000000"/>
          <w:sz w:val="24"/>
        </w:rPr>
        <w:t>+∑Q</w:t>
      </w:r>
      <w:r>
        <w:rPr>
          <w:rFonts w:ascii="宋体" w:hAnsi="宋体"/>
          <w:color w:val="000000"/>
          <w:sz w:val="24"/>
          <w:vertAlign w:val="subscript"/>
        </w:rPr>
        <w:t>其它</w:t>
      </w:r>
      <w:r>
        <w:rPr>
          <w:rFonts w:ascii="宋体" w:hAnsi="宋体"/>
          <w:color w:val="000000"/>
          <w:sz w:val="24"/>
        </w:rPr>
        <w:t>)×K</w:t>
      </w:r>
      <w:r>
        <w:rPr>
          <w:rFonts w:ascii="宋体" w:hAnsi="宋体"/>
          <w:color w:val="000000"/>
          <w:sz w:val="24"/>
          <w:vertAlign w:val="subscript"/>
        </w:rPr>
        <w:t>矿</w:t>
      </w:r>
    </w:p>
    <w:p w14:paraId="351F4C93">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式中</w:t>
      </w:r>
      <w:r>
        <w:rPr>
          <w:rFonts w:hint="eastAsia" w:ascii="宋体" w:hAnsi="宋体"/>
          <w:color w:val="000000"/>
          <w:sz w:val="24"/>
        </w:rPr>
        <w:t>：</w:t>
      </w:r>
      <w:r>
        <w:rPr>
          <w:rFonts w:ascii="宋体" w:hAnsi="宋体"/>
          <w:color w:val="000000"/>
          <w:sz w:val="24"/>
        </w:rPr>
        <w:t>K</w:t>
      </w:r>
      <w:r>
        <w:rPr>
          <w:rFonts w:ascii="宋体" w:hAnsi="宋体"/>
          <w:color w:val="000000"/>
          <w:sz w:val="24"/>
          <w:vertAlign w:val="subscript"/>
        </w:rPr>
        <w:t>矿</w:t>
      </w:r>
      <w:r>
        <w:rPr>
          <w:rFonts w:hint="eastAsia" w:ascii="宋体" w:hAnsi="宋体"/>
          <w:color w:val="000000"/>
          <w:sz w:val="24"/>
        </w:rPr>
        <w:t>——矿井通风系数（本矿采用中央并列抽出式通风，</w:t>
      </w:r>
      <w:r>
        <w:rPr>
          <w:rFonts w:ascii="宋体" w:hAnsi="宋体"/>
          <w:color w:val="000000"/>
          <w:sz w:val="24"/>
        </w:rPr>
        <w:t>K</w:t>
      </w:r>
      <w:r>
        <w:rPr>
          <w:rFonts w:ascii="宋体" w:hAnsi="宋体"/>
          <w:color w:val="000000"/>
          <w:sz w:val="24"/>
          <w:vertAlign w:val="subscript"/>
        </w:rPr>
        <w:t>矿</w:t>
      </w:r>
      <w:r>
        <w:rPr>
          <w:rFonts w:hint="eastAsia" w:ascii="宋体" w:hAnsi="宋体"/>
          <w:color w:val="000000"/>
          <w:sz w:val="24"/>
        </w:rPr>
        <w:t>＝1.20～1.25）</w:t>
      </w:r>
      <w:r>
        <w:rPr>
          <w:rFonts w:ascii="宋体" w:hAnsi="宋体"/>
          <w:color w:val="000000"/>
          <w:sz w:val="24"/>
        </w:rPr>
        <w:t>，</w:t>
      </w:r>
      <w:r>
        <w:rPr>
          <w:rFonts w:hint="eastAsia" w:ascii="宋体" w:hAnsi="宋体"/>
          <w:color w:val="000000"/>
          <w:sz w:val="24"/>
        </w:rPr>
        <w:t>取1.25</w:t>
      </w:r>
      <w:r>
        <w:rPr>
          <w:rFonts w:ascii="宋体" w:hAnsi="宋体"/>
          <w:color w:val="000000"/>
          <w:sz w:val="24"/>
        </w:rPr>
        <w:t>；</w:t>
      </w:r>
    </w:p>
    <w:p w14:paraId="77589D9F">
      <w:pPr>
        <w:adjustRightInd w:val="0"/>
        <w:snapToGrid w:val="0"/>
        <w:spacing w:line="360" w:lineRule="auto"/>
        <w:ind w:firstLine="2440" w:firstLineChars="1017"/>
        <w:rPr>
          <w:rFonts w:hint="eastAsia" w:ascii="宋体" w:hAnsi="宋体"/>
          <w:color w:val="000000"/>
          <w:sz w:val="24"/>
        </w:rPr>
      </w:pPr>
      <w:r>
        <w:rPr>
          <w:rFonts w:hint="eastAsia" w:ascii="宋体" w:hAnsi="宋体"/>
          <w:color w:val="000000"/>
          <w:sz w:val="24"/>
        </w:rPr>
        <w:t>＝（20.328＋8.17</w:t>
      </w:r>
      <w:r>
        <w:rPr>
          <w:rFonts w:ascii="宋体" w:hAnsi="宋体"/>
          <w:color w:val="000000"/>
          <w:sz w:val="24"/>
        </w:rPr>
        <w:t>×</w:t>
      </w:r>
      <w:r>
        <w:rPr>
          <w:rFonts w:hint="eastAsia" w:ascii="宋体" w:hAnsi="宋体"/>
          <w:color w:val="000000"/>
          <w:sz w:val="24"/>
        </w:rPr>
        <w:t>2＋3.0+1.98）</w:t>
      </w:r>
      <w:r>
        <w:rPr>
          <w:rFonts w:ascii="宋体" w:hAnsi="宋体"/>
          <w:color w:val="000000"/>
          <w:sz w:val="24"/>
        </w:rPr>
        <w:t>×</w:t>
      </w:r>
      <w:r>
        <w:rPr>
          <w:rFonts w:hint="eastAsia" w:ascii="宋体" w:hAnsi="宋体"/>
          <w:color w:val="000000"/>
          <w:sz w:val="24"/>
        </w:rPr>
        <w:t>1.25</w:t>
      </w:r>
    </w:p>
    <w:p w14:paraId="39FF2C51">
      <w:pPr>
        <w:adjustRightInd w:val="0"/>
        <w:snapToGrid w:val="0"/>
        <w:spacing w:line="360" w:lineRule="auto"/>
        <w:ind w:firstLine="2440" w:firstLineChars="1017"/>
        <w:rPr>
          <w:rFonts w:hint="eastAsia" w:ascii="宋体" w:hAnsi="宋体"/>
          <w:sz w:val="24"/>
        </w:rPr>
      </w:pPr>
      <w:r>
        <w:rPr>
          <w:rFonts w:hint="eastAsia" w:ascii="宋体" w:hAnsi="宋体"/>
          <w:color w:val="000000"/>
          <w:sz w:val="24"/>
        </w:rPr>
        <w:t>＝52.0</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w:t>
      </w:r>
    </w:p>
    <w:p w14:paraId="7BC37B70">
      <w:pPr>
        <w:adjustRightInd w:val="0"/>
        <w:snapToGrid w:val="0"/>
        <w:spacing w:line="360" w:lineRule="auto"/>
        <w:ind w:firstLine="480" w:firstLineChars="200"/>
        <w:rPr>
          <w:rFonts w:hint="eastAsia" w:ascii="宋体" w:hAnsi="宋体"/>
          <w:color w:val="000000"/>
          <w:sz w:val="24"/>
        </w:rPr>
      </w:pPr>
      <w:r>
        <w:rPr>
          <w:rFonts w:hint="eastAsia" w:ascii="宋体" w:hAnsi="宋体"/>
          <w:sz w:val="24"/>
        </w:rPr>
        <w:t>经计算后，</w:t>
      </w:r>
      <w:r>
        <w:rPr>
          <w:rFonts w:hint="eastAsia" w:ascii="宋体" w:hAnsi="宋体"/>
          <w:color w:val="000000"/>
          <w:sz w:val="24"/>
        </w:rPr>
        <w:t>矿井总风量确定为：</w:t>
      </w:r>
      <w:r>
        <w:rPr>
          <w:rFonts w:hint="eastAsia" w:ascii="宋体" w:hAnsi="宋体"/>
          <w:sz w:val="24"/>
        </w:rPr>
        <w:t>Q</w:t>
      </w:r>
      <w:r>
        <w:rPr>
          <w:rFonts w:hint="eastAsia" w:ascii="宋体" w:hAnsi="宋体"/>
          <w:color w:val="000000"/>
          <w:sz w:val="24"/>
          <w:vertAlign w:val="subscript"/>
        </w:rPr>
        <w:t>矿井</w:t>
      </w:r>
      <w:r>
        <w:rPr>
          <w:rFonts w:hint="eastAsia" w:ascii="宋体" w:hAnsi="宋体"/>
          <w:sz w:val="24"/>
        </w:rPr>
        <w:t>＝52.0m</w:t>
      </w:r>
      <w:r>
        <w:rPr>
          <w:rFonts w:hint="eastAsia" w:ascii="宋体" w:hAnsi="宋体"/>
          <w:sz w:val="24"/>
          <w:vertAlign w:val="superscript"/>
        </w:rPr>
        <w:t>3</w:t>
      </w:r>
      <w:r>
        <w:rPr>
          <w:rFonts w:hint="eastAsia" w:ascii="宋体" w:hAnsi="宋体"/>
          <w:sz w:val="24"/>
        </w:rPr>
        <w:t>/s</w:t>
      </w:r>
    </w:p>
    <w:p w14:paraId="1BBEF412">
      <w:pPr>
        <w:pStyle w:val="89"/>
        <w:tabs>
          <w:tab w:val="left" w:pos="4500"/>
        </w:tabs>
        <w:adjustRightInd w:val="0"/>
        <w:snapToGrid w:val="0"/>
        <w:ind w:firstLine="480" w:firstLineChars="200"/>
        <w:rPr>
          <w:rFonts w:hint="eastAsia" w:hAnsi="宋体"/>
        </w:rPr>
      </w:pPr>
      <w:r>
        <w:rPr>
          <w:rFonts w:hint="eastAsia" w:hAnsi="宋体"/>
        </w:rPr>
        <w:t>⑥ 矿井风量重新分配</w:t>
      </w:r>
    </w:p>
    <w:p w14:paraId="1673F191">
      <w:pPr>
        <w:pStyle w:val="89"/>
        <w:tabs>
          <w:tab w:val="left" w:pos="4500"/>
        </w:tabs>
        <w:adjustRightInd w:val="0"/>
        <w:snapToGrid w:val="0"/>
        <w:ind w:firstLine="480" w:firstLineChars="200"/>
        <w:rPr>
          <w:rFonts w:hint="eastAsia" w:hAnsi="宋体"/>
        </w:rPr>
      </w:pPr>
      <w:r>
        <w:rPr>
          <w:rFonts w:hint="eastAsia" w:hAnsi="宋体"/>
        </w:rPr>
        <w:t>Q采＝22m</w:t>
      </w:r>
      <w:r>
        <w:rPr>
          <w:rFonts w:hint="eastAsia" w:hAnsi="宋体"/>
          <w:szCs w:val="24"/>
          <w:vertAlign w:val="superscript"/>
        </w:rPr>
        <w:t>3</w:t>
      </w:r>
      <w:r>
        <w:rPr>
          <w:rFonts w:hint="eastAsia" w:hAnsi="宋体"/>
        </w:rPr>
        <w:t>/s，Q掘＝10.0×2＝20m</w:t>
      </w:r>
      <w:r>
        <w:rPr>
          <w:rFonts w:hint="eastAsia" w:hAnsi="宋体"/>
          <w:szCs w:val="24"/>
          <w:vertAlign w:val="superscript"/>
        </w:rPr>
        <w:t>3</w:t>
      </w:r>
      <w:r>
        <w:rPr>
          <w:rFonts w:hint="eastAsia" w:hAnsi="宋体"/>
        </w:rPr>
        <w:t>/s，Q硐＝4m</w:t>
      </w:r>
      <w:r>
        <w:rPr>
          <w:rFonts w:hint="eastAsia" w:hAnsi="宋体"/>
          <w:szCs w:val="24"/>
          <w:vertAlign w:val="superscript"/>
        </w:rPr>
        <w:t>3</w:t>
      </w:r>
      <w:r>
        <w:rPr>
          <w:rFonts w:hint="eastAsia" w:hAnsi="宋体"/>
        </w:rPr>
        <w:t>/s,Q其它＝6m</w:t>
      </w:r>
      <w:r>
        <w:rPr>
          <w:rFonts w:hint="eastAsia" w:hAnsi="宋体"/>
          <w:szCs w:val="24"/>
          <w:vertAlign w:val="superscript"/>
        </w:rPr>
        <w:t>3</w:t>
      </w:r>
      <w:r>
        <w:rPr>
          <w:rFonts w:hint="eastAsia" w:hAnsi="宋体"/>
        </w:rPr>
        <w:t>/s</w:t>
      </w:r>
    </w:p>
    <w:p w14:paraId="5671AB50">
      <w:pPr>
        <w:adjustRightInd w:val="0"/>
        <w:snapToGrid w:val="0"/>
        <w:spacing w:line="360" w:lineRule="auto"/>
        <w:ind w:firstLine="480" w:firstLineChars="200"/>
        <w:rPr>
          <w:rFonts w:hint="eastAsia" w:ascii="宋体" w:hAnsi="宋体"/>
          <w:sz w:val="24"/>
        </w:rPr>
      </w:pPr>
      <w:r>
        <w:rPr>
          <w:rFonts w:hint="eastAsia" w:ascii="宋体" w:hAnsi="宋体"/>
          <w:sz w:val="24"/>
        </w:rPr>
        <w:t>（2）困难时期</w:t>
      </w:r>
    </w:p>
    <w:p w14:paraId="475B5B00">
      <w:pPr>
        <w:pStyle w:val="89"/>
        <w:tabs>
          <w:tab w:val="left" w:pos="4500"/>
        </w:tabs>
        <w:adjustRightInd w:val="0"/>
        <w:snapToGrid w:val="0"/>
        <w:ind w:firstLine="480" w:firstLineChars="200"/>
        <w:rPr>
          <w:rFonts w:hint="eastAsia" w:hAnsi="宋体"/>
          <w:szCs w:val="24"/>
        </w:rPr>
      </w:pPr>
      <w:r>
        <w:rPr>
          <w:rFonts w:hint="eastAsia" w:hAnsi="宋体"/>
        </w:rPr>
        <w:t>根据该矿井开拓及采区布置，矿井三采区、四采区距离一采区较远，并具有独立的通风系统；五采区由于上下组煤层间距较大（245m），距离一采区也较远，因此，矿井通风困难时期设计到开采</w:t>
      </w:r>
      <w:r>
        <w:rPr>
          <w:rFonts w:hint="eastAsia" w:hAnsi="宋体"/>
          <w:szCs w:val="24"/>
        </w:rPr>
        <w:t>二采区通风线路最长的一个工作面，这样矿井开采一、二采区时可使用同一套通风设施，后期开采时，矿井需重新请有资质的单位对矿井通风系统进行设计及主要通风机选型。</w:t>
      </w:r>
    </w:p>
    <w:p w14:paraId="7DCE54A4">
      <w:pPr>
        <w:pStyle w:val="89"/>
        <w:tabs>
          <w:tab w:val="left" w:pos="4500"/>
        </w:tabs>
        <w:adjustRightInd w:val="0"/>
        <w:snapToGrid w:val="0"/>
        <w:ind w:firstLine="480" w:firstLineChars="200"/>
        <w:rPr>
          <w:rFonts w:hint="eastAsia" w:hAnsi="宋体"/>
        </w:rPr>
      </w:pPr>
      <w:r>
        <w:rPr>
          <w:rFonts w:hint="eastAsia" w:hAnsi="宋体"/>
          <w:szCs w:val="24"/>
        </w:rPr>
        <w:t>矿井通风困难时期为开采二采区通风线路最长的一个工作面，矿井通风困难时期在</w:t>
      </w:r>
      <w:r>
        <w:rPr>
          <w:rFonts w:hint="eastAsia" w:hAnsi="宋体"/>
        </w:rPr>
        <w:t>轨道下山上部+1824.0m</w:t>
      </w:r>
      <w:r>
        <w:rPr>
          <w:rFonts w:hint="eastAsia" w:hAnsi="宋体" w:cs="宋体"/>
        </w:rPr>
        <w:t>标高</w:t>
      </w:r>
      <w:r>
        <w:rPr>
          <w:rFonts w:hint="eastAsia" w:hAnsi="宋体"/>
          <w:color w:val="000000"/>
          <w:szCs w:val="24"/>
        </w:rPr>
        <w:t>增加了</w:t>
      </w:r>
      <w:r>
        <w:rPr>
          <w:rFonts w:hint="eastAsia" w:hAnsi="宋体"/>
        </w:rPr>
        <w:t>一个绞车硐室、</w:t>
      </w:r>
      <w:r>
        <w:rPr>
          <w:rFonts w:hint="eastAsia" w:hAnsi="宋体"/>
          <w:color w:val="000000"/>
          <w:szCs w:val="24"/>
        </w:rPr>
        <w:t>在轨道下山底部＋1658.0m标高增加了一个水泵房，以上两个硐室需采取独立通风，井下不设爆炸材料发放硐室，其他硐室均处于进风流中，不需要独立通风，</w:t>
      </w:r>
      <w:r>
        <w:rPr>
          <w:rFonts w:hint="eastAsia" w:hAnsi="宋体"/>
          <w:szCs w:val="24"/>
        </w:rPr>
        <w:t>故矿井通风困难时期考虑通风硐室风量增加</w:t>
      </w:r>
      <w:r>
        <w:rPr>
          <w:rFonts w:hAnsi="宋体"/>
          <w:szCs w:val="24"/>
        </w:rPr>
        <w:t>Q</w:t>
      </w:r>
      <w:r>
        <w:rPr>
          <w:rFonts w:hAnsi="宋体"/>
          <w:szCs w:val="24"/>
          <w:vertAlign w:val="subscript"/>
        </w:rPr>
        <w:t>硐</w:t>
      </w:r>
      <w:r>
        <w:rPr>
          <w:rFonts w:hAnsi="宋体"/>
          <w:szCs w:val="24"/>
        </w:rPr>
        <w:t>=</w:t>
      </w:r>
      <w:r>
        <w:rPr>
          <w:rFonts w:hint="eastAsia" w:hAnsi="宋体"/>
          <w:szCs w:val="24"/>
        </w:rPr>
        <w:t>180</w:t>
      </w:r>
      <w:r>
        <w:rPr>
          <w:rFonts w:hAnsi="宋体"/>
          <w:szCs w:val="24"/>
        </w:rPr>
        <w:t>m</w:t>
      </w:r>
      <w:r>
        <w:rPr>
          <w:rFonts w:hAnsi="宋体"/>
          <w:szCs w:val="24"/>
          <w:vertAlign w:val="superscript"/>
        </w:rPr>
        <w:t>3</w:t>
      </w:r>
      <w:r>
        <w:rPr>
          <w:rFonts w:hAnsi="宋体"/>
          <w:szCs w:val="24"/>
        </w:rPr>
        <w:t>/min=</w:t>
      </w:r>
      <w:r>
        <w:rPr>
          <w:rFonts w:hint="eastAsia" w:hAnsi="宋体"/>
          <w:szCs w:val="24"/>
        </w:rPr>
        <w:t>3.0</w:t>
      </w:r>
      <w:r>
        <w:rPr>
          <w:rFonts w:hAnsi="宋体"/>
          <w:szCs w:val="24"/>
        </w:rPr>
        <w:t>m</w:t>
      </w:r>
      <w:r>
        <w:rPr>
          <w:rFonts w:hAnsi="宋体"/>
          <w:szCs w:val="24"/>
          <w:vertAlign w:val="superscript"/>
        </w:rPr>
        <w:t>3</w:t>
      </w:r>
      <w:r>
        <w:rPr>
          <w:rFonts w:hAnsi="宋体"/>
          <w:szCs w:val="24"/>
        </w:rPr>
        <w:t>/s</w:t>
      </w:r>
      <w:r>
        <w:rPr>
          <w:rFonts w:hint="eastAsia" w:hAnsi="宋体"/>
          <w:szCs w:val="24"/>
        </w:rPr>
        <w:t>，矿井一采区需独立通风硐室两个，因此，矿井通风困难时期</w:t>
      </w:r>
      <w:r>
        <w:rPr>
          <w:rFonts w:hAnsi="宋体"/>
          <w:szCs w:val="24"/>
        </w:rPr>
        <w:t>Q</w:t>
      </w:r>
      <w:r>
        <w:rPr>
          <w:rFonts w:hAnsi="宋体"/>
          <w:szCs w:val="24"/>
          <w:vertAlign w:val="subscript"/>
        </w:rPr>
        <w:t>硐</w:t>
      </w:r>
      <w:r>
        <w:rPr>
          <w:rFonts w:hAnsi="宋体"/>
          <w:szCs w:val="24"/>
        </w:rPr>
        <w:t>=</w:t>
      </w:r>
      <w:r>
        <w:rPr>
          <w:rFonts w:hint="eastAsia" w:hAnsi="宋体"/>
          <w:szCs w:val="24"/>
        </w:rPr>
        <w:t>360</w:t>
      </w:r>
      <w:r>
        <w:rPr>
          <w:rFonts w:hAnsi="宋体"/>
          <w:szCs w:val="24"/>
        </w:rPr>
        <w:t>m</w:t>
      </w:r>
      <w:r>
        <w:rPr>
          <w:rFonts w:hAnsi="宋体"/>
          <w:szCs w:val="24"/>
          <w:vertAlign w:val="superscript"/>
        </w:rPr>
        <w:t>3</w:t>
      </w:r>
      <w:r>
        <w:rPr>
          <w:rFonts w:hAnsi="宋体"/>
          <w:szCs w:val="24"/>
        </w:rPr>
        <w:t>/min=</w:t>
      </w:r>
      <w:r>
        <w:rPr>
          <w:rFonts w:hint="eastAsia" w:hAnsi="宋体"/>
          <w:szCs w:val="24"/>
        </w:rPr>
        <w:t>6.0</w:t>
      </w:r>
      <w:r>
        <w:rPr>
          <w:rFonts w:hAnsi="宋体"/>
          <w:szCs w:val="24"/>
        </w:rPr>
        <w:t>m</w:t>
      </w:r>
      <w:r>
        <w:rPr>
          <w:rFonts w:hAnsi="宋体"/>
          <w:szCs w:val="24"/>
          <w:vertAlign w:val="superscript"/>
        </w:rPr>
        <w:t>3</w:t>
      </w:r>
      <w:r>
        <w:rPr>
          <w:rFonts w:hAnsi="宋体"/>
          <w:szCs w:val="24"/>
        </w:rPr>
        <w:t>/s</w:t>
      </w:r>
      <w:r>
        <w:rPr>
          <w:rFonts w:hint="eastAsia" w:hAnsi="宋体"/>
          <w:szCs w:val="24"/>
        </w:rPr>
        <w:t>计算，硐室配风后，多余的风配到联络巷中。</w:t>
      </w:r>
    </w:p>
    <w:p w14:paraId="3B12989D">
      <w:pPr>
        <w:pStyle w:val="89"/>
        <w:tabs>
          <w:tab w:val="left" w:pos="4500"/>
        </w:tabs>
        <w:adjustRightInd w:val="0"/>
        <w:snapToGrid w:val="0"/>
        <w:ind w:firstLine="480" w:firstLineChars="200"/>
        <w:rPr>
          <w:rFonts w:hint="eastAsia" w:hAnsi="宋体"/>
          <w:color w:val="000000"/>
        </w:rPr>
      </w:pPr>
      <w:r>
        <w:rPr>
          <w:rFonts w:hint="eastAsia" w:hAnsi="宋体"/>
          <w:szCs w:val="24"/>
        </w:rPr>
        <w:t>1）</w:t>
      </w:r>
      <w:r>
        <w:rPr>
          <w:rFonts w:hAnsi="宋体"/>
          <w:color w:val="000000"/>
        </w:rPr>
        <w:t>其它风量：</w:t>
      </w:r>
    </w:p>
    <w:p w14:paraId="2EB22129">
      <w:pPr>
        <w:adjustRightInd w:val="0"/>
        <w:snapToGrid w:val="0"/>
        <w:spacing w:line="360" w:lineRule="auto"/>
        <w:ind w:firstLine="480" w:firstLineChars="200"/>
        <w:rPr>
          <w:rFonts w:hint="eastAsia" w:ascii="宋体" w:hAnsi="宋体"/>
          <w:sz w:val="24"/>
        </w:rPr>
      </w:pPr>
      <w:r>
        <w:rPr>
          <w:rFonts w:hint="eastAsia" w:ascii="宋体" w:hAnsi="宋体"/>
          <w:sz w:val="24"/>
        </w:rPr>
        <w:t>Q</w:t>
      </w:r>
      <w:r>
        <w:rPr>
          <w:rFonts w:hint="eastAsia" w:ascii="宋体" w:hAnsi="宋体"/>
          <w:sz w:val="24"/>
          <w:vertAlign w:val="subscript"/>
        </w:rPr>
        <w:t>其它</w:t>
      </w:r>
      <w:r>
        <w:rPr>
          <w:rFonts w:hint="eastAsia" w:ascii="宋体" w:hAnsi="宋体"/>
          <w:sz w:val="24"/>
        </w:rPr>
        <w:t>＝</w:t>
      </w:r>
      <w:r>
        <w:rPr>
          <w:rFonts w:ascii="宋体" w:hAnsi="宋体"/>
          <w:sz w:val="24"/>
        </w:rPr>
        <w:t>（ΣQ</w:t>
      </w:r>
      <w:r>
        <w:rPr>
          <w:rFonts w:ascii="宋体" w:hAnsi="宋体"/>
          <w:sz w:val="24"/>
          <w:vertAlign w:val="subscript"/>
        </w:rPr>
        <w:t>采</w:t>
      </w:r>
      <w:r>
        <w:rPr>
          <w:rFonts w:ascii="宋体" w:hAnsi="宋体"/>
          <w:sz w:val="24"/>
        </w:rPr>
        <w:t>＋ΣQ</w:t>
      </w:r>
      <w:r>
        <w:rPr>
          <w:rFonts w:ascii="宋体" w:hAnsi="宋体"/>
          <w:sz w:val="24"/>
          <w:vertAlign w:val="subscript"/>
        </w:rPr>
        <w:t>掘</w:t>
      </w:r>
      <w:r>
        <w:rPr>
          <w:rFonts w:ascii="宋体" w:hAnsi="宋体"/>
          <w:sz w:val="24"/>
        </w:rPr>
        <w:t>＋ΣQ</w:t>
      </w:r>
      <w:r>
        <w:rPr>
          <w:rFonts w:ascii="宋体" w:hAnsi="宋体"/>
          <w:sz w:val="24"/>
          <w:vertAlign w:val="subscript"/>
        </w:rPr>
        <w:t>硐</w:t>
      </w:r>
      <w:r>
        <w:rPr>
          <w:rFonts w:ascii="宋体" w:hAnsi="宋体"/>
          <w:sz w:val="24"/>
        </w:rPr>
        <w:t>）×</w:t>
      </w:r>
      <w:r>
        <w:rPr>
          <w:rFonts w:hint="eastAsia" w:ascii="宋体" w:hAnsi="宋体"/>
          <w:sz w:val="24"/>
        </w:rPr>
        <w:t>5</w:t>
      </w:r>
      <w:r>
        <w:rPr>
          <w:rFonts w:ascii="宋体" w:hAnsi="宋体"/>
          <w:sz w:val="24"/>
        </w:rPr>
        <w:t>%</w:t>
      </w:r>
      <w:r>
        <w:rPr>
          <w:rFonts w:hint="eastAsia" w:ascii="宋体" w:hAnsi="宋体"/>
          <w:sz w:val="24"/>
        </w:rPr>
        <w:t>＝（20.328＋8.17</w:t>
      </w:r>
      <w:r>
        <w:rPr>
          <w:rFonts w:ascii="宋体" w:hAnsi="宋体"/>
          <w:sz w:val="24"/>
        </w:rPr>
        <w:t>×</w:t>
      </w:r>
      <w:r>
        <w:rPr>
          <w:rFonts w:hint="eastAsia" w:ascii="宋体" w:hAnsi="宋体"/>
          <w:sz w:val="24"/>
        </w:rPr>
        <w:t>2＋6.0）</w:t>
      </w:r>
      <w:r>
        <w:rPr>
          <w:rFonts w:ascii="宋体" w:hAnsi="宋体"/>
          <w:sz w:val="24"/>
        </w:rPr>
        <w:t>×</w:t>
      </w:r>
      <w:r>
        <w:rPr>
          <w:rFonts w:hint="eastAsia" w:ascii="宋体" w:hAnsi="宋体"/>
          <w:sz w:val="24"/>
        </w:rPr>
        <w:t>5</w:t>
      </w:r>
      <w:r>
        <w:rPr>
          <w:rFonts w:ascii="宋体" w:hAnsi="宋体"/>
          <w:sz w:val="24"/>
        </w:rPr>
        <w:t>%</w:t>
      </w:r>
      <w:r>
        <w:rPr>
          <w:rFonts w:hint="eastAsia" w:ascii="宋体" w:hAnsi="宋体"/>
          <w:sz w:val="24"/>
        </w:rPr>
        <w:t>＝2.1334</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w:t>
      </w:r>
    </w:p>
    <w:p w14:paraId="284D43F3">
      <w:pPr>
        <w:pStyle w:val="89"/>
        <w:tabs>
          <w:tab w:val="left" w:pos="4500"/>
        </w:tabs>
        <w:adjustRightInd w:val="0"/>
        <w:snapToGrid w:val="0"/>
        <w:ind w:firstLine="480" w:firstLineChars="200"/>
        <w:rPr>
          <w:rFonts w:hAnsi="宋体"/>
          <w:szCs w:val="24"/>
        </w:rPr>
      </w:pPr>
      <w:r>
        <w:rPr>
          <w:rFonts w:hint="eastAsia" w:hAnsi="宋体"/>
          <w:szCs w:val="24"/>
        </w:rPr>
        <w:t>2）</w:t>
      </w:r>
      <w:r>
        <w:rPr>
          <w:rFonts w:hAnsi="宋体"/>
          <w:szCs w:val="24"/>
        </w:rPr>
        <w:t>矿井总风量确定</w:t>
      </w:r>
    </w:p>
    <w:p w14:paraId="469E4495">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矿井</w:t>
      </w:r>
      <w:r>
        <w:rPr>
          <w:rFonts w:hint="eastAsia" w:ascii="宋体" w:hAnsi="宋体"/>
          <w:color w:val="000000"/>
          <w:sz w:val="24"/>
        </w:rPr>
        <w:t>需</w:t>
      </w:r>
      <w:r>
        <w:rPr>
          <w:rFonts w:ascii="宋体" w:hAnsi="宋体"/>
          <w:color w:val="000000"/>
          <w:sz w:val="24"/>
        </w:rPr>
        <w:t>风量Q</w:t>
      </w:r>
      <w:r>
        <w:rPr>
          <w:rFonts w:hint="eastAsia" w:ascii="宋体" w:hAnsi="宋体"/>
          <w:color w:val="000000"/>
          <w:sz w:val="24"/>
          <w:vertAlign w:val="subscript"/>
        </w:rPr>
        <w:t>矿井</w:t>
      </w:r>
      <w:r>
        <w:rPr>
          <w:rFonts w:hint="eastAsia" w:ascii="宋体" w:hAnsi="宋体"/>
          <w:color w:val="000000"/>
          <w:sz w:val="24"/>
        </w:rPr>
        <w:t>＝</w:t>
      </w:r>
      <w:r>
        <w:rPr>
          <w:rFonts w:ascii="宋体" w:hAnsi="宋体"/>
          <w:color w:val="000000"/>
          <w:sz w:val="24"/>
        </w:rPr>
        <w:t>(∑Q</w:t>
      </w:r>
      <w:r>
        <w:rPr>
          <w:rFonts w:ascii="宋体" w:hAnsi="宋体"/>
          <w:color w:val="000000"/>
          <w:sz w:val="24"/>
          <w:vertAlign w:val="subscript"/>
        </w:rPr>
        <w:t>采</w:t>
      </w:r>
      <w:r>
        <w:rPr>
          <w:rFonts w:ascii="宋体" w:hAnsi="宋体"/>
          <w:color w:val="000000"/>
          <w:sz w:val="24"/>
        </w:rPr>
        <w:t>+∑Q</w:t>
      </w:r>
      <w:r>
        <w:rPr>
          <w:rFonts w:ascii="宋体" w:hAnsi="宋体"/>
          <w:color w:val="000000"/>
          <w:sz w:val="24"/>
          <w:vertAlign w:val="subscript"/>
        </w:rPr>
        <w:t>掘</w:t>
      </w:r>
      <w:r>
        <w:rPr>
          <w:rFonts w:ascii="宋体" w:hAnsi="宋体"/>
          <w:color w:val="000000"/>
          <w:sz w:val="24"/>
        </w:rPr>
        <w:t>+∑Q</w:t>
      </w:r>
      <w:r>
        <w:rPr>
          <w:rFonts w:ascii="宋体" w:hAnsi="宋体"/>
          <w:color w:val="000000"/>
          <w:sz w:val="24"/>
          <w:vertAlign w:val="subscript"/>
        </w:rPr>
        <w:t>硐</w:t>
      </w:r>
      <w:r>
        <w:rPr>
          <w:rFonts w:ascii="宋体" w:hAnsi="宋体"/>
          <w:color w:val="000000"/>
          <w:sz w:val="24"/>
        </w:rPr>
        <w:t>+∑Q</w:t>
      </w:r>
      <w:r>
        <w:rPr>
          <w:rFonts w:ascii="宋体" w:hAnsi="宋体"/>
          <w:color w:val="000000"/>
          <w:sz w:val="24"/>
          <w:vertAlign w:val="subscript"/>
        </w:rPr>
        <w:t>其它</w:t>
      </w:r>
      <w:r>
        <w:rPr>
          <w:rFonts w:ascii="宋体" w:hAnsi="宋体"/>
          <w:color w:val="000000"/>
          <w:sz w:val="24"/>
        </w:rPr>
        <w:t>)×K</w:t>
      </w:r>
      <w:r>
        <w:rPr>
          <w:rFonts w:ascii="宋体" w:hAnsi="宋体"/>
          <w:color w:val="000000"/>
          <w:sz w:val="24"/>
          <w:vertAlign w:val="subscript"/>
        </w:rPr>
        <w:t>矿</w:t>
      </w:r>
    </w:p>
    <w:p w14:paraId="6746ECA8">
      <w:pPr>
        <w:adjustRightInd w:val="0"/>
        <w:snapToGrid w:val="0"/>
        <w:spacing w:line="360" w:lineRule="auto"/>
        <w:ind w:firstLine="480" w:firstLineChars="200"/>
        <w:rPr>
          <w:rFonts w:hint="eastAsia" w:ascii="宋体" w:hAnsi="宋体"/>
          <w:color w:val="000000"/>
          <w:sz w:val="24"/>
        </w:rPr>
      </w:pPr>
      <w:r>
        <w:rPr>
          <w:rFonts w:ascii="宋体" w:hAnsi="宋体"/>
          <w:color w:val="000000"/>
          <w:sz w:val="24"/>
        </w:rPr>
        <w:t>式中</w:t>
      </w:r>
      <w:r>
        <w:rPr>
          <w:rFonts w:hint="eastAsia" w:ascii="宋体" w:hAnsi="宋体"/>
          <w:color w:val="000000"/>
          <w:sz w:val="24"/>
        </w:rPr>
        <w:t>：</w:t>
      </w:r>
      <w:r>
        <w:rPr>
          <w:rFonts w:ascii="宋体" w:hAnsi="宋体"/>
          <w:color w:val="000000"/>
          <w:sz w:val="24"/>
        </w:rPr>
        <w:t>K</w:t>
      </w:r>
      <w:r>
        <w:rPr>
          <w:rFonts w:ascii="宋体" w:hAnsi="宋体"/>
          <w:color w:val="000000"/>
          <w:sz w:val="24"/>
          <w:vertAlign w:val="subscript"/>
        </w:rPr>
        <w:t>矿</w:t>
      </w:r>
      <w:r>
        <w:rPr>
          <w:rFonts w:hint="eastAsia" w:ascii="宋体" w:hAnsi="宋体"/>
          <w:color w:val="000000"/>
          <w:sz w:val="24"/>
        </w:rPr>
        <w:t>——矿井通风系数（本矿采用中央并列抽出式通风，</w:t>
      </w:r>
      <w:r>
        <w:rPr>
          <w:rFonts w:ascii="宋体" w:hAnsi="宋体"/>
          <w:color w:val="000000"/>
          <w:sz w:val="24"/>
        </w:rPr>
        <w:t>K</w:t>
      </w:r>
      <w:r>
        <w:rPr>
          <w:rFonts w:ascii="宋体" w:hAnsi="宋体"/>
          <w:color w:val="000000"/>
          <w:sz w:val="24"/>
          <w:vertAlign w:val="subscript"/>
        </w:rPr>
        <w:t>矿</w:t>
      </w:r>
      <w:r>
        <w:rPr>
          <w:rFonts w:hint="eastAsia" w:ascii="宋体" w:hAnsi="宋体"/>
          <w:color w:val="000000"/>
          <w:sz w:val="24"/>
        </w:rPr>
        <w:t>＝1.20～1.25）</w:t>
      </w:r>
      <w:r>
        <w:rPr>
          <w:rFonts w:ascii="宋体" w:hAnsi="宋体"/>
          <w:color w:val="000000"/>
          <w:sz w:val="24"/>
        </w:rPr>
        <w:t>，</w:t>
      </w:r>
      <w:r>
        <w:rPr>
          <w:rFonts w:hint="eastAsia" w:ascii="宋体" w:hAnsi="宋体"/>
          <w:color w:val="000000"/>
          <w:sz w:val="24"/>
        </w:rPr>
        <w:t>取1.25</w:t>
      </w:r>
      <w:r>
        <w:rPr>
          <w:rFonts w:ascii="宋体" w:hAnsi="宋体"/>
          <w:color w:val="000000"/>
          <w:sz w:val="24"/>
        </w:rPr>
        <w:t>；</w:t>
      </w:r>
    </w:p>
    <w:p w14:paraId="432CFC2B">
      <w:pPr>
        <w:adjustRightInd w:val="0"/>
        <w:snapToGrid w:val="0"/>
        <w:spacing w:line="360" w:lineRule="auto"/>
        <w:ind w:firstLine="2440" w:firstLineChars="1017"/>
        <w:rPr>
          <w:rFonts w:hint="eastAsia" w:ascii="宋体" w:hAnsi="宋体"/>
          <w:color w:val="000000"/>
          <w:sz w:val="24"/>
        </w:rPr>
      </w:pPr>
      <w:r>
        <w:rPr>
          <w:rFonts w:hint="eastAsia" w:ascii="宋体" w:hAnsi="宋体"/>
          <w:color w:val="000000"/>
          <w:sz w:val="24"/>
        </w:rPr>
        <w:t>＝（20.328＋8.17</w:t>
      </w:r>
      <w:r>
        <w:rPr>
          <w:rFonts w:ascii="宋体" w:hAnsi="宋体"/>
          <w:color w:val="000000"/>
          <w:sz w:val="24"/>
        </w:rPr>
        <w:t>×</w:t>
      </w:r>
      <w:r>
        <w:rPr>
          <w:rFonts w:hint="eastAsia" w:ascii="宋体" w:hAnsi="宋体"/>
          <w:color w:val="000000"/>
          <w:sz w:val="24"/>
        </w:rPr>
        <w:t>2＋6.0＋2.1334）</w:t>
      </w:r>
      <w:r>
        <w:rPr>
          <w:rFonts w:ascii="宋体" w:hAnsi="宋体"/>
          <w:color w:val="000000"/>
          <w:sz w:val="24"/>
        </w:rPr>
        <w:t>×</w:t>
      </w:r>
      <w:r>
        <w:rPr>
          <w:rFonts w:hint="eastAsia" w:ascii="宋体" w:hAnsi="宋体"/>
          <w:color w:val="000000"/>
          <w:sz w:val="24"/>
        </w:rPr>
        <w:t>1.25</w:t>
      </w:r>
    </w:p>
    <w:p w14:paraId="5DDBE11F">
      <w:pPr>
        <w:adjustRightInd w:val="0"/>
        <w:snapToGrid w:val="0"/>
        <w:spacing w:line="360" w:lineRule="auto"/>
        <w:ind w:firstLine="2440" w:firstLineChars="1017"/>
        <w:rPr>
          <w:rFonts w:hint="eastAsia" w:ascii="宋体" w:hAnsi="宋体"/>
          <w:sz w:val="24"/>
        </w:rPr>
      </w:pPr>
      <w:r>
        <w:rPr>
          <w:rFonts w:hint="eastAsia" w:ascii="宋体" w:hAnsi="宋体"/>
          <w:color w:val="000000"/>
          <w:sz w:val="24"/>
        </w:rPr>
        <w:t>＝56.1</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w:t>
      </w:r>
    </w:p>
    <w:p w14:paraId="04D0ED04">
      <w:pPr>
        <w:adjustRightInd w:val="0"/>
        <w:snapToGrid w:val="0"/>
        <w:spacing w:line="360" w:lineRule="auto"/>
        <w:ind w:firstLine="480" w:firstLineChars="200"/>
        <w:rPr>
          <w:rFonts w:hint="eastAsia" w:ascii="宋体" w:hAnsi="宋体"/>
          <w:color w:val="000000"/>
          <w:sz w:val="24"/>
        </w:rPr>
      </w:pPr>
      <w:r>
        <w:rPr>
          <w:rFonts w:hint="eastAsia" w:ascii="宋体" w:hAnsi="宋体"/>
          <w:sz w:val="24"/>
        </w:rPr>
        <w:t>经计算后，</w:t>
      </w:r>
      <w:r>
        <w:rPr>
          <w:rFonts w:hint="eastAsia" w:ascii="宋体" w:hAnsi="宋体"/>
          <w:color w:val="000000"/>
          <w:sz w:val="24"/>
        </w:rPr>
        <w:t>矿井总风量确定为：</w:t>
      </w:r>
      <w:r>
        <w:rPr>
          <w:rFonts w:hint="eastAsia" w:ascii="宋体" w:hAnsi="宋体"/>
          <w:sz w:val="24"/>
        </w:rPr>
        <w:t>Q</w:t>
      </w:r>
      <w:r>
        <w:rPr>
          <w:rFonts w:hint="eastAsia" w:ascii="宋体" w:hAnsi="宋体"/>
          <w:color w:val="000000"/>
          <w:sz w:val="24"/>
          <w:vertAlign w:val="subscript"/>
        </w:rPr>
        <w:t>矿井</w:t>
      </w:r>
      <w:r>
        <w:rPr>
          <w:rFonts w:hint="eastAsia" w:ascii="宋体" w:hAnsi="宋体"/>
          <w:sz w:val="24"/>
        </w:rPr>
        <w:t>＝57.0m</w:t>
      </w:r>
      <w:r>
        <w:rPr>
          <w:rFonts w:hint="eastAsia" w:ascii="宋体" w:hAnsi="宋体"/>
          <w:sz w:val="24"/>
          <w:vertAlign w:val="superscript"/>
        </w:rPr>
        <w:t>3</w:t>
      </w:r>
      <w:r>
        <w:rPr>
          <w:rFonts w:hint="eastAsia" w:ascii="宋体" w:hAnsi="宋体"/>
          <w:sz w:val="24"/>
        </w:rPr>
        <w:t>/s</w:t>
      </w:r>
    </w:p>
    <w:p w14:paraId="7509EF17">
      <w:pPr>
        <w:pStyle w:val="89"/>
        <w:tabs>
          <w:tab w:val="left" w:pos="4500"/>
        </w:tabs>
        <w:adjustRightInd w:val="0"/>
        <w:snapToGrid w:val="0"/>
        <w:ind w:firstLine="480" w:firstLineChars="200"/>
        <w:rPr>
          <w:rFonts w:hint="eastAsia" w:hAnsi="宋体"/>
        </w:rPr>
      </w:pPr>
      <w:r>
        <w:rPr>
          <w:rFonts w:hint="eastAsia" w:hAnsi="宋体"/>
          <w:szCs w:val="24"/>
        </w:rPr>
        <w:t>3）</w:t>
      </w:r>
      <w:r>
        <w:rPr>
          <w:rFonts w:hint="eastAsia" w:hAnsi="宋体"/>
        </w:rPr>
        <w:t>矿井风量重新分配</w:t>
      </w:r>
    </w:p>
    <w:p w14:paraId="7B46F0BD">
      <w:pPr>
        <w:pStyle w:val="89"/>
        <w:tabs>
          <w:tab w:val="left" w:pos="4500"/>
        </w:tabs>
        <w:adjustRightInd w:val="0"/>
        <w:snapToGrid w:val="0"/>
        <w:ind w:firstLine="480" w:firstLineChars="200"/>
        <w:rPr>
          <w:rFonts w:hint="eastAsia" w:hAnsi="宋体"/>
        </w:rPr>
      </w:pPr>
      <w:r>
        <w:rPr>
          <w:rFonts w:hint="eastAsia" w:hAnsi="宋体"/>
        </w:rPr>
        <w:t>Q采＝22m</w:t>
      </w:r>
      <w:r>
        <w:rPr>
          <w:rFonts w:hint="eastAsia" w:hAnsi="宋体"/>
          <w:szCs w:val="24"/>
          <w:vertAlign w:val="superscript"/>
        </w:rPr>
        <w:t>3</w:t>
      </w:r>
      <w:r>
        <w:rPr>
          <w:rFonts w:hint="eastAsia" w:hAnsi="宋体"/>
        </w:rPr>
        <w:t>/s，Q掘＝10.0×2＝20m</w:t>
      </w:r>
      <w:r>
        <w:rPr>
          <w:rFonts w:hint="eastAsia" w:hAnsi="宋体"/>
          <w:szCs w:val="24"/>
          <w:vertAlign w:val="superscript"/>
        </w:rPr>
        <w:t>3</w:t>
      </w:r>
      <w:r>
        <w:rPr>
          <w:rFonts w:hint="eastAsia" w:hAnsi="宋体"/>
        </w:rPr>
        <w:t>/s，Q硐＝8m</w:t>
      </w:r>
      <w:r>
        <w:rPr>
          <w:rFonts w:hint="eastAsia" w:hAnsi="宋体"/>
          <w:szCs w:val="24"/>
          <w:vertAlign w:val="superscript"/>
        </w:rPr>
        <w:t>3</w:t>
      </w:r>
      <w:r>
        <w:rPr>
          <w:rFonts w:hint="eastAsia" w:hAnsi="宋体"/>
        </w:rPr>
        <w:t>/s,Q其它＝7m</w:t>
      </w:r>
      <w:r>
        <w:rPr>
          <w:rFonts w:hint="eastAsia" w:hAnsi="宋体"/>
          <w:szCs w:val="24"/>
          <w:vertAlign w:val="superscript"/>
        </w:rPr>
        <w:t>3</w:t>
      </w:r>
      <w:r>
        <w:rPr>
          <w:rFonts w:hint="eastAsia" w:hAnsi="宋体"/>
        </w:rPr>
        <w:t>/s。</w:t>
      </w:r>
    </w:p>
    <w:p w14:paraId="4DEDB246">
      <w:pPr>
        <w:adjustRightInd w:val="0"/>
        <w:snapToGrid w:val="0"/>
        <w:spacing w:line="360" w:lineRule="auto"/>
        <w:ind w:firstLine="480" w:firstLineChars="200"/>
        <w:rPr>
          <w:rFonts w:hint="eastAsia" w:ascii="宋体" w:hAnsi="宋体"/>
          <w:sz w:val="24"/>
        </w:rPr>
      </w:pPr>
      <w:r>
        <w:rPr>
          <w:rFonts w:hint="eastAsia" w:ascii="宋体" w:hAnsi="宋体"/>
          <w:sz w:val="24"/>
        </w:rPr>
        <w:t>3、</w:t>
      </w:r>
      <w:r>
        <w:rPr>
          <w:rFonts w:ascii="宋体" w:hAnsi="宋体"/>
          <w:sz w:val="24"/>
        </w:rPr>
        <w:t>通风负压</w:t>
      </w:r>
      <w:r>
        <w:rPr>
          <w:rFonts w:hint="eastAsia" w:ascii="宋体" w:hAnsi="宋体"/>
          <w:sz w:val="24"/>
        </w:rPr>
        <w:t>计算</w:t>
      </w:r>
    </w:p>
    <w:p w14:paraId="0DAC1A9B">
      <w:pPr>
        <w:adjustRightInd w:val="0"/>
        <w:snapToGrid w:val="0"/>
        <w:spacing w:line="360" w:lineRule="auto"/>
        <w:ind w:firstLine="480" w:firstLineChars="200"/>
        <w:rPr>
          <w:rFonts w:ascii="宋体" w:hAnsi="宋体"/>
          <w:sz w:val="24"/>
        </w:rPr>
      </w:pPr>
      <w:r>
        <w:rPr>
          <w:rFonts w:ascii="宋体" w:hAnsi="宋体"/>
          <w:sz w:val="24"/>
        </w:rPr>
        <w:t>矿井通风负压采用下式计算：</w:t>
      </w:r>
    </w:p>
    <w:p w14:paraId="0704C41C">
      <w:pPr>
        <w:adjustRightInd w:val="0"/>
        <w:snapToGrid w:val="0"/>
        <w:spacing w:line="360" w:lineRule="auto"/>
        <w:ind w:firstLine="480" w:firstLineChars="200"/>
        <w:rPr>
          <w:rFonts w:ascii="宋体" w:hAnsi="宋体"/>
          <w:sz w:val="24"/>
        </w:rPr>
      </w:pPr>
      <w:r>
        <w:rPr>
          <w:rFonts w:ascii="宋体" w:hAnsi="宋体"/>
          <w:sz w:val="24"/>
        </w:rPr>
        <w:object>
          <v:shape id="_x0000_i1105" o:spt="75" type="#_x0000_t75" style="height:33pt;width:101pt;" o:ole="t" fillcolor="#6D6D6D" filled="f" o:preferrelative="t" stroked="f" coordsize="21600,21600">
            <v:path/>
            <v:fill on="f" focussize="0,0"/>
            <v:stroke on="f"/>
            <v:imagedata r:id="rId141" o:title=""/>
            <o:lock v:ext="edit" rotation="f" text="f" aspectratio="t"/>
            <w10:wrap type="none"/>
            <w10:anchorlock/>
          </v:shape>
          <o:OLEObject Type="Embed" ProgID="Equation.3" ShapeID="_x0000_i1105" DrawAspect="Content" ObjectID="_1468075793" r:id="rId140">
            <o:LockedField>false</o:LockedField>
          </o:OLEObject>
        </w:object>
      </w:r>
      <w:r>
        <w:rPr>
          <w:rFonts w:ascii="宋体" w:hAnsi="宋体"/>
          <w:sz w:val="24"/>
        </w:rPr>
        <w:t xml:space="preserve">   （Pa）</w:t>
      </w:r>
    </w:p>
    <w:p w14:paraId="5298BFD6">
      <w:pPr>
        <w:adjustRightInd w:val="0"/>
        <w:snapToGrid w:val="0"/>
        <w:spacing w:line="360" w:lineRule="auto"/>
        <w:ind w:firstLine="480" w:firstLineChars="200"/>
        <w:rPr>
          <w:rFonts w:hint="eastAsia" w:ascii="宋体" w:hAnsi="宋体"/>
          <w:sz w:val="24"/>
        </w:rPr>
      </w:pPr>
      <w:r>
        <w:rPr>
          <w:rFonts w:ascii="宋体" w:hAnsi="宋体"/>
          <w:sz w:val="24"/>
        </w:rPr>
        <w:t>式中：α</w:t>
      </w:r>
      <w:r>
        <w:rPr>
          <w:rFonts w:hint="eastAsia" w:ascii="宋体" w:hAnsi="宋体"/>
          <w:sz w:val="24"/>
        </w:rPr>
        <w:t>——</w:t>
      </w:r>
      <w:r>
        <w:rPr>
          <w:rFonts w:ascii="宋体" w:hAnsi="宋体"/>
          <w:sz w:val="24"/>
        </w:rPr>
        <w:t>通风阻力系数，（kg.s</w:t>
      </w:r>
      <w:r>
        <w:rPr>
          <w:rFonts w:ascii="宋体" w:hAnsi="宋体"/>
          <w:sz w:val="24"/>
          <w:vertAlign w:val="superscript"/>
        </w:rPr>
        <w:t>2</w:t>
      </w:r>
      <w:r>
        <w:rPr>
          <w:rFonts w:ascii="宋体" w:hAnsi="宋体"/>
          <w:sz w:val="24"/>
        </w:rPr>
        <w:t>/m</w:t>
      </w:r>
      <w:r>
        <w:rPr>
          <w:rFonts w:ascii="宋体" w:hAnsi="宋体"/>
          <w:sz w:val="24"/>
          <w:vertAlign w:val="superscript"/>
        </w:rPr>
        <w:t>3</w:t>
      </w:r>
      <w:r>
        <w:rPr>
          <w:rFonts w:ascii="宋体" w:hAnsi="宋体"/>
          <w:sz w:val="24"/>
        </w:rPr>
        <w:t>）；</w:t>
      </w:r>
    </w:p>
    <w:p w14:paraId="3A84449B">
      <w:pPr>
        <w:adjustRightInd w:val="0"/>
        <w:snapToGrid w:val="0"/>
        <w:spacing w:line="360" w:lineRule="auto"/>
        <w:ind w:firstLine="1264" w:firstLineChars="527"/>
        <w:rPr>
          <w:rFonts w:ascii="宋体" w:hAnsi="宋体"/>
          <w:sz w:val="24"/>
        </w:rPr>
      </w:pPr>
      <w:r>
        <w:rPr>
          <w:rFonts w:ascii="宋体" w:hAnsi="宋体"/>
          <w:sz w:val="24"/>
        </w:rPr>
        <w:t>L</w:t>
      </w:r>
      <w:r>
        <w:rPr>
          <w:rFonts w:hint="eastAsia" w:ascii="宋体" w:hAnsi="宋体"/>
          <w:sz w:val="24"/>
        </w:rPr>
        <w:t>——</w:t>
      </w:r>
      <w:r>
        <w:rPr>
          <w:rFonts w:ascii="宋体" w:hAnsi="宋体"/>
          <w:sz w:val="24"/>
        </w:rPr>
        <w:t>巷道长度，（m）；</w:t>
      </w:r>
    </w:p>
    <w:p w14:paraId="1667734A">
      <w:pPr>
        <w:adjustRightInd w:val="0"/>
        <w:snapToGrid w:val="0"/>
        <w:spacing w:line="360" w:lineRule="auto"/>
        <w:ind w:firstLine="1264" w:firstLineChars="527"/>
        <w:rPr>
          <w:rFonts w:ascii="宋体" w:hAnsi="宋体"/>
          <w:sz w:val="24"/>
        </w:rPr>
      </w:pPr>
      <w:r>
        <w:rPr>
          <w:rFonts w:ascii="宋体" w:hAnsi="宋体"/>
          <w:sz w:val="24"/>
        </w:rPr>
        <w:t>Q</w:t>
      </w:r>
      <w:r>
        <w:rPr>
          <w:rFonts w:hint="eastAsia" w:ascii="宋体" w:hAnsi="宋体"/>
          <w:sz w:val="24"/>
        </w:rPr>
        <w:t>——</w:t>
      </w:r>
      <w:r>
        <w:rPr>
          <w:rFonts w:ascii="宋体" w:hAnsi="宋体"/>
          <w:sz w:val="24"/>
        </w:rPr>
        <w:t>通过巷道的风量，（m</w:t>
      </w:r>
      <w:r>
        <w:rPr>
          <w:rFonts w:ascii="宋体" w:hAnsi="宋体"/>
          <w:sz w:val="24"/>
          <w:vertAlign w:val="superscript"/>
        </w:rPr>
        <w:t>3</w:t>
      </w:r>
      <w:r>
        <w:rPr>
          <w:rFonts w:ascii="宋体" w:hAnsi="宋体"/>
          <w:sz w:val="24"/>
        </w:rPr>
        <w:t>/s）；</w:t>
      </w:r>
    </w:p>
    <w:p w14:paraId="580EE928">
      <w:pPr>
        <w:adjustRightInd w:val="0"/>
        <w:snapToGrid w:val="0"/>
        <w:spacing w:line="360" w:lineRule="auto"/>
        <w:ind w:firstLine="1264" w:firstLineChars="527"/>
        <w:rPr>
          <w:rFonts w:ascii="宋体" w:hAnsi="宋体"/>
          <w:sz w:val="24"/>
        </w:rPr>
      </w:pPr>
      <w:r>
        <w:rPr>
          <w:rFonts w:ascii="宋体" w:hAnsi="宋体"/>
          <w:sz w:val="24"/>
        </w:rPr>
        <w:t>S</w:t>
      </w:r>
      <w:r>
        <w:rPr>
          <w:rFonts w:hint="eastAsia" w:ascii="宋体" w:hAnsi="宋体"/>
          <w:sz w:val="24"/>
        </w:rPr>
        <w:t>——</w:t>
      </w:r>
      <w:r>
        <w:rPr>
          <w:rFonts w:ascii="宋体" w:hAnsi="宋体"/>
          <w:sz w:val="24"/>
        </w:rPr>
        <w:t>巷道净断面，（</w:t>
      </w:r>
      <w:r>
        <w:rPr>
          <w:rFonts w:hint="eastAsia" w:ascii="宋体" w:hAnsi="宋体"/>
          <w:sz w:val="24"/>
        </w:rPr>
        <w:t>m</w:t>
      </w:r>
      <w:r>
        <w:rPr>
          <w:rFonts w:hint="eastAsia" w:ascii="宋体" w:hAnsi="宋体"/>
          <w:sz w:val="24"/>
          <w:vertAlign w:val="superscript"/>
        </w:rPr>
        <w:t>2</w:t>
      </w:r>
      <w:r>
        <w:rPr>
          <w:rFonts w:ascii="宋体" w:hAnsi="宋体"/>
          <w:sz w:val="24"/>
        </w:rPr>
        <w:t>）；</w:t>
      </w:r>
    </w:p>
    <w:p w14:paraId="2FFFDB3C">
      <w:pPr>
        <w:adjustRightInd w:val="0"/>
        <w:snapToGrid w:val="0"/>
        <w:spacing w:line="360" w:lineRule="auto"/>
        <w:ind w:firstLine="1264" w:firstLineChars="527"/>
        <w:rPr>
          <w:rFonts w:ascii="宋体" w:hAnsi="宋体"/>
          <w:sz w:val="24"/>
        </w:rPr>
      </w:pPr>
      <w:r>
        <w:rPr>
          <w:rFonts w:ascii="宋体" w:hAnsi="宋体"/>
          <w:sz w:val="24"/>
        </w:rPr>
        <w:t>P</w:t>
      </w:r>
      <w:r>
        <w:rPr>
          <w:rFonts w:hint="eastAsia" w:ascii="宋体" w:hAnsi="宋体"/>
          <w:sz w:val="24"/>
        </w:rPr>
        <w:t>——</w:t>
      </w:r>
      <w:r>
        <w:rPr>
          <w:rFonts w:ascii="宋体" w:hAnsi="宋体"/>
          <w:sz w:val="24"/>
        </w:rPr>
        <w:t>巷道净周长，（m）；</w:t>
      </w:r>
    </w:p>
    <w:p w14:paraId="2F7BA44E">
      <w:pPr>
        <w:spacing w:line="360" w:lineRule="auto"/>
        <w:ind w:firstLine="480" w:firstLineChars="200"/>
        <w:rPr>
          <w:rFonts w:hint="eastAsia" w:ascii="宋体" w:hAnsi="宋体"/>
          <w:sz w:val="24"/>
        </w:rPr>
      </w:pPr>
      <w:r>
        <w:rPr>
          <w:rFonts w:hint="eastAsia" w:ascii="宋体" w:hAnsi="宋体"/>
          <w:sz w:val="24"/>
        </w:rPr>
        <w:t>根据各用风点风量分配及服务范围，矿井投产时期总风量按52m</w:t>
      </w:r>
      <w:r>
        <w:rPr>
          <w:rFonts w:hint="eastAsia" w:ascii="宋体" w:hAnsi="宋体"/>
          <w:sz w:val="24"/>
          <w:vertAlign w:val="superscript"/>
        </w:rPr>
        <w:t>3</w:t>
      </w:r>
      <w:r>
        <w:rPr>
          <w:rFonts w:hint="eastAsia" w:ascii="宋体" w:hAnsi="宋体"/>
          <w:sz w:val="24"/>
        </w:rPr>
        <w:t>/s考虑，困难时期的总风量按57m</w:t>
      </w:r>
      <w:r>
        <w:rPr>
          <w:rFonts w:hint="eastAsia" w:ascii="宋体" w:hAnsi="宋体"/>
          <w:sz w:val="24"/>
          <w:vertAlign w:val="superscript"/>
        </w:rPr>
        <w:t>3</w:t>
      </w:r>
      <w:r>
        <w:rPr>
          <w:rFonts w:hint="eastAsia" w:ascii="宋体" w:hAnsi="宋体"/>
          <w:sz w:val="24"/>
        </w:rPr>
        <w:t>/s考虑，</w:t>
      </w:r>
      <w:r>
        <w:rPr>
          <w:rFonts w:ascii="宋体" w:hAnsi="宋体"/>
          <w:sz w:val="24"/>
        </w:rPr>
        <w:t>经过计算，</w:t>
      </w:r>
      <w:r>
        <w:rPr>
          <w:rFonts w:hint="eastAsia" w:ascii="宋体" w:hAnsi="宋体"/>
          <w:sz w:val="24"/>
        </w:rPr>
        <w:t>矿井投产时期时期的负压1006.6Pa，困难时期的负压1588.5Pa。矿井投产时期及困难时期通风系统及网络图详见</w:t>
      </w:r>
      <w:r>
        <w:rPr>
          <w:rFonts w:hint="eastAsia" w:ascii="宋体" w:hAnsi="宋体"/>
          <w:b/>
          <w:sz w:val="24"/>
        </w:rPr>
        <w:t>图4-2-1</w:t>
      </w:r>
      <w:r>
        <w:rPr>
          <w:rFonts w:hint="eastAsia" w:ascii="宋体" w:hAnsi="宋体"/>
          <w:sz w:val="24"/>
        </w:rPr>
        <w:t>及</w:t>
      </w:r>
      <w:r>
        <w:rPr>
          <w:rFonts w:hint="eastAsia" w:ascii="宋体" w:hAnsi="宋体"/>
          <w:b/>
          <w:sz w:val="24"/>
        </w:rPr>
        <w:t>图4-2-2</w:t>
      </w:r>
      <w:r>
        <w:rPr>
          <w:rFonts w:hint="eastAsia" w:ascii="宋体" w:hAnsi="宋体"/>
          <w:sz w:val="24"/>
        </w:rPr>
        <w:t>。</w:t>
      </w:r>
    </w:p>
    <w:p w14:paraId="1C4D5CDF">
      <w:pPr>
        <w:adjustRightInd w:val="0"/>
        <w:snapToGrid w:val="0"/>
        <w:spacing w:line="360" w:lineRule="auto"/>
        <w:ind w:firstLine="480" w:firstLineChars="200"/>
        <w:rPr>
          <w:rFonts w:hint="eastAsia" w:ascii="宋体" w:hAnsi="宋体"/>
          <w:sz w:val="24"/>
        </w:rPr>
      </w:pPr>
      <w:r>
        <w:rPr>
          <w:rFonts w:hint="eastAsia" w:ascii="宋体" w:hAnsi="宋体"/>
          <w:sz w:val="24"/>
        </w:rPr>
        <w:t>矿井投产时期及困难时期</w:t>
      </w:r>
      <w:r>
        <w:rPr>
          <w:rFonts w:ascii="宋体" w:hAnsi="宋体"/>
          <w:sz w:val="24"/>
        </w:rPr>
        <w:t>通风负压计算详见</w:t>
      </w:r>
      <w:r>
        <w:rPr>
          <w:rFonts w:ascii="宋体" w:hAnsi="宋体"/>
          <w:b/>
          <w:sz w:val="24"/>
        </w:rPr>
        <w:t>表</w:t>
      </w:r>
      <w:r>
        <w:rPr>
          <w:rFonts w:hint="eastAsia" w:ascii="宋体" w:hAnsi="宋体"/>
          <w:b/>
          <w:sz w:val="24"/>
        </w:rPr>
        <w:t>4－2－1</w:t>
      </w:r>
      <w:r>
        <w:rPr>
          <w:rFonts w:hint="eastAsia" w:ascii="宋体" w:hAnsi="宋体"/>
          <w:sz w:val="24"/>
        </w:rPr>
        <w:t>及</w:t>
      </w:r>
      <w:r>
        <w:rPr>
          <w:rFonts w:hint="eastAsia" w:ascii="宋体" w:hAnsi="宋体"/>
          <w:b/>
          <w:sz w:val="24"/>
        </w:rPr>
        <w:t>表4－2－2</w:t>
      </w:r>
      <w:r>
        <w:rPr>
          <w:rFonts w:hint="eastAsia" w:ascii="宋体" w:hAnsi="宋体"/>
          <w:sz w:val="24"/>
        </w:rPr>
        <w:t>。</w:t>
      </w:r>
    </w:p>
    <w:p w14:paraId="232A0299">
      <w:pPr>
        <w:adjustRightInd w:val="0"/>
        <w:snapToGrid w:val="0"/>
        <w:spacing w:line="360" w:lineRule="auto"/>
        <w:ind w:firstLine="480" w:firstLineChars="200"/>
        <w:rPr>
          <w:rFonts w:hint="eastAsia" w:ascii="宋体" w:hAnsi="宋体"/>
          <w:sz w:val="24"/>
        </w:rPr>
      </w:pPr>
      <w:r>
        <w:rPr>
          <w:rFonts w:hint="eastAsia" w:ascii="宋体" w:hAnsi="宋体"/>
          <w:sz w:val="24"/>
        </w:rPr>
        <w:t>4、</w:t>
      </w:r>
      <w:r>
        <w:rPr>
          <w:rFonts w:ascii="宋体" w:hAnsi="宋体"/>
          <w:sz w:val="24"/>
        </w:rPr>
        <w:t>矿井通风等积孔</w:t>
      </w:r>
      <w:r>
        <w:rPr>
          <w:rFonts w:hint="eastAsia" w:ascii="宋体" w:hAnsi="宋体"/>
          <w:sz w:val="24"/>
        </w:rPr>
        <w:t>计算</w:t>
      </w:r>
    </w:p>
    <w:p w14:paraId="2B2868E0">
      <w:pPr>
        <w:adjustRightInd w:val="0"/>
        <w:snapToGrid w:val="0"/>
        <w:spacing w:line="360" w:lineRule="auto"/>
        <w:ind w:firstLine="480" w:firstLineChars="200"/>
        <w:rPr>
          <w:rFonts w:hint="eastAsia" w:ascii="宋体" w:hAnsi="宋体"/>
          <w:sz w:val="24"/>
        </w:rPr>
      </w:pPr>
      <w:r>
        <w:rPr>
          <w:rFonts w:hint="eastAsia" w:ascii="宋体" w:hAnsi="宋体"/>
          <w:sz w:val="24"/>
        </w:rPr>
        <w:t>矿井投产时期</w:t>
      </w:r>
      <w:r>
        <w:rPr>
          <w:rFonts w:ascii="宋体" w:hAnsi="宋体"/>
          <w:sz w:val="24"/>
        </w:rPr>
        <w:t>通风等积孔</w:t>
      </w:r>
      <w:r>
        <w:rPr>
          <w:rFonts w:hint="eastAsia" w:ascii="宋体" w:hAnsi="宋体"/>
          <w:sz w:val="24"/>
        </w:rPr>
        <w:t>计算：</w:t>
      </w:r>
    </w:p>
    <w:p w14:paraId="732C8401">
      <w:pPr>
        <w:adjustRightInd w:val="0"/>
        <w:snapToGrid w:val="0"/>
        <w:spacing w:line="360" w:lineRule="auto"/>
        <w:ind w:firstLine="480" w:firstLineChars="200"/>
        <w:rPr>
          <w:rFonts w:hint="eastAsia" w:ascii="宋体" w:hAnsi="宋体"/>
          <w:sz w:val="24"/>
        </w:rPr>
      </w:pPr>
      <w:r>
        <w:rPr>
          <w:rFonts w:hint="eastAsia" w:ascii="宋体" w:hAnsi="宋体"/>
          <w:sz w:val="24"/>
        </w:rPr>
        <w:t>A=1.19Q/</w:t>
      </w:r>
      <w:r>
        <w:rPr>
          <w:rFonts w:ascii="宋体" w:hAnsi="宋体"/>
          <w:sz w:val="24"/>
        </w:rPr>
        <w:object>
          <v:shape id="_x0000_i1106" o:spt="75" type="#_x0000_t75" style="height:18pt;width:19pt;" o:ole="t" filled="f" stroked="f" coordsize="21600,21600">
            <v:path/>
            <v:fill on="f" alignshape="1" focussize="0,0"/>
            <v:stroke on="f"/>
            <v:imagedata r:id="rId143" o:title=""/>
            <o:lock v:ext="edit" aspectratio="t"/>
            <w10:wrap type="none"/>
            <w10:anchorlock/>
          </v:shape>
          <o:OLEObject Type="Embed" ProgID="Equation.3" ShapeID="_x0000_i1106" DrawAspect="Content" ObjectID="_1468075794" r:id="rId142">
            <o:LockedField>false</o:LockedField>
          </o:OLEObject>
        </w:object>
      </w:r>
      <w:r>
        <w:rPr>
          <w:rFonts w:hint="eastAsia" w:ascii="宋体" w:hAnsi="宋体"/>
          <w:sz w:val="24"/>
        </w:rPr>
        <w:t>=1.19×52÷</w:t>
      </w:r>
      <w:r>
        <w:rPr>
          <w:rFonts w:ascii="宋体" w:hAnsi="宋体"/>
          <w:position w:val="-8"/>
          <w:sz w:val="24"/>
        </w:rPr>
        <w:object>
          <v:shape id="_x0000_i1107" o:spt="75" type="#_x0000_t75" style="height:18pt;width:45pt;" o:ole="t" filled="f" o:preferrelative="t" stroked="f" coordsize="21600,21600">
            <v:path/>
            <v:fill on="f" alignshape="1" focussize="0,0"/>
            <v:stroke on="f"/>
            <v:imagedata r:id="rId145" o:title=""/>
            <o:lock v:ext="edit" aspectratio="t"/>
            <w10:wrap type="none"/>
            <w10:anchorlock/>
          </v:shape>
          <o:OLEObject Type="Embed" ProgID="Equation.3" ShapeID="_x0000_i1107" DrawAspect="Content" ObjectID="_1468075795" r:id="rId144">
            <o:LockedField>false</o:LockedField>
          </o:OLEObject>
        </w:object>
      </w:r>
      <w:r>
        <w:rPr>
          <w:rFonts w:hint="eastAsia" w:ascii="宋体" w:hAnsi="宋体"/>
          <w:sz w:val="24"/>
        </w:rPr>
        <w:t>=2.0(m</w:t>
      </w:r>
      <w:r>
        <w:rPr>
          <w:rFonts w:hint="eastAsia" w:ascii="宋体" w:hAnsi="宋体"/>
          <w:sz w:val="24"/>
          <w:vertAlign w:val="superscript"/>
        </w:rPr>
        <w:t>2</w:t>
      </w:r>
      <w:r>
        <w:rPr>
          <w:rFonts w:hint="eastAsia" w:ascii="宋体" w:hAnsi="宋体"/>
          <w:sz w:val="24"/>
        </w:rPr>
        <w:t xml:space="preserve">) </w:t>
      </w:r>
    </w:p>
    <w:p w14:paraId="0D42F138">
      <w:pPr>
        <w:adjustRightInd w:val="0"/>
        <w:snapToGrid w:val="0"/>
        <w:spacing w:line="360" w:lineRule="auto"/>
        <w:ind w:firstLine="480" w:firstLineChars="200"/>
        <w:rPr>
          <w:rFonts w:hint="eastAsia" w:ascii="宋体" w:hAnsi="宋体"/>
          <w:sz w:val="24"/>
        </w:rPr>
      </w:pPr>
      <w:r>
        <w:rPr>
          <w:rFonts w:hint="eastAsia" w:ascii="宋体" w:hAnsi="宋体"/>
          <w:sz w:val="24"/>
        </w:rPr>
        <w:t>式中:A——矿井等积孔，（m</w:t>
      </w:r>
      <w:r>
        <w:rPr>
          <w:rFonts w:hint="eastAsia" w:ascii="宋体" w:hAnsi="宋体"/>
          <w:sz w:val="24"/>
          <w:vertAlign w:val="superscript"/>
        </w:rPr>
        <w:t>2</w:t>
      </w:r>
      <w:r>
        <w:rPr>
          <w:rFonts w:hint="eastAsia" w:ascii="宋体" w:hAnsi="宋体"/>
          <w:sz w:val="24"/>
        </w:rPr>
        <w:t>）；</w:t>
      </w:r>
    </w:p>
    <w:p w14:paraId="51A17D13">
      <w:pPr>
        <w:adjustRightInd w:val="0"/>
        <w:snapToGrid w:val="0"/>
        <w:spacing w:line="360" w:lineRule="auto"/>
        <w:ind w:firstLine="1080" w:firstLineChars="450"/>
        <w:rPr>
          <w:rFonts w:hint="eastAsia" w:ascii="宋体" w:hAnsi="宋体"/>
          <w:sz w:val="24"/>
        </w:rPr>
      </w:pPr>
      <w:r>
        <w:rPr>
          <w:rFonts w:hint="eastAsia" w:ascii="宋体" w:hAnsi="宋体"/>
          <w:sz w:val="24"/>
        </w:rPr>
        <w:t>Q——矿井总风量，（m</w:t>
      </w:r>
      <w:r>
        <w:rPr>
          <w:rFonts w:hint="eastAsia" w:ascii="宋体" w:hAnsi="宋体"/>
          <w:sz w:val="24"/>
          <w:vertAlign w:val="superscript"/>
        </w:rPr>
        <w:t>3</w:t>
      </w:r>
      <w:r>
        <w:rPr>
          <w:rFonts w:hint="eastAsia" w:ascii="宋体" w:hAnsi="宋体"/>
          <w:sz w:val="24"/>
        </w:rPr>
        <w:t>/h）；</w:t>
      </w:r>
    </w:p>
    <w:p w14:paraId="37A93473">
      <w:pPr>
        <w:adjustRightInd w:val="0"/>
        <w:snapToGrid w:val="0"/>
        <w:spacing w:line="360" w:lineRule="auto"/>
        <w:ind w:firstLine="1080" w:firstLineChars="450"/>
        <w:rPr>
          <w:rFonts w:hint="eastAsia" w:ascii="宋体" w:hAnsi="宋体"/>
          <w:sz w:val="24"/>
        </w:rPr>
      </w:pPr>
      <w:r>
        <w:rPr>
          <w:rFonts w:hint="eastAsia" w:ascii="宋体" w:hAnsi="宋体"/>
          <w:sz w:val="24"/>
        </w:rPr>
        <w:t>h——</w:t>
      </w:r>
      <w:r>
        <w:rPr>
          <w:rFonts w:ascii="宋体" w:hAnsi="宋体"/>
          <w:sz w:val="24"/>
        </w:rPr>
        <w:t>矿井通风负压</w:t>
      </w:r>
      <w:r>
        <w:rPr>
          <w:rFonts w:hint="eastAsia" w:ascii="宋体" w:hAnsi="宋体"/>
          <w:sz w:val="24"/>
        </w:rPr>
        <w:t>，（Pa）。</w:t>
      </w:r>
    </w:p>
    <w:p w14:paraId="4B826B0E">
      <w:pPr>
        <w:adjustRightInd w:val="0"/>
        <w:snapToGrid w:val="0"/>
        <w:spacing w:line="360" w:lineRule="auto"/>
        <w:ind w:firstLine="480" w:firstLineChars="200"/>
        <w:rPr>
          <w:rFonts w:hint="eastAsia" w:ascii="宋体" w:hAnsi="宋体"/>
          <w:sz w:val="24"/>
        </w:rPr>
      </w:pPr>
      <w:r>
        <w:rPr>
          <w:rFonts w:hint="eastAsia" w:ascii="宋体" w:hAnsi="宋体"/>
          <w:sz w:val="24"/>
        </w:rPr>
        <w:t>矿井困难时期</w:t>
      </w:r>
      <w:r>
        <w:rPr>
          <w:rFonts w:ascii="宋体" w:hAnsi="宋体"/>
          <w:sz w:val="24"/>
        </w:rPr>
        <w:t>通风等积孔</w:t>
      </w:r>
      <w:r>
        <w:rPr>
          <w:rFonts w:hint="eastAsia" w:ascii="宋体" w:hAnsi="宋体"/>
          <w:sz w:val="24"/>
        </w:rPr>
        <w:t>计算：</w:t>
      </w:r>
    </w:p>
    <w:p w14:paraId="12DAA6A6">
      <w:pPr>
        <w:adjustRightInd w:val="0"/>
        <w:snapToGrid w:val="0"/>
        <w:spacing w:line="360" w:lineRule="auto"/>
        <w:ind w:firstLine="480" w:firstLineChars="200"/>
        <w:rPr>
          <w:rFonts w:hint="eastAsia" w:ascii="宋体" w:hAnsi="宋体"/>
          <w:sz w:val="24"/>
        </w:rPr>
      </w:pPr>
      <w:r>
        <w:rPr>
          <w:rFonts w:hint="eastAsia" w:ascii="宋体" w:hAnsi="宋体"/>
          <w:sz w:val="24"/>
        </w:rPr>
        <w:t>A=1.19Q/</w:t>
      </w:r>
      <w:r>
        <w:rPr>
          <w:rFonts w:ascii="宋体" w:hAnsi="宋体"/>
          <w:sz w:val="24"/>
        </w:rPr>
        <w:object>
          <v:shape id="_x0000_i1108" o:spt="75" type="#_x0000_t75" style="height:18pt;width:19pt;" o:ole="t" filled="f" stroked="f" coordsize="21600,21600">
            <v:path/>
            <v:fill on="f" alignshape="1" focussize="0,0"/>
            <v:stroke on="f"/>
            <v:imagedata r:id="rId143" o:title=""/>
            <o:lock v:ext="edit" aspectratio="t"/>
            <w10:wrap type="none"/>
            <w10:anchorlock/>
          </v:shape>
          <o:OLEObject Type="Embed" ProgID="Equation.3" ShapeID="_x0000_i1108" DrawAspect="Content" ObjectID="_1468075796" r:id="rId146">
            <o:LockedField>false</o:LockedField>
          </o:OLEObject>
        </w:object>
      </w:r>
      <w:r>
        <w:rPr>
          <w:rFonts w:hint="eastAsia" w:ascii="宋体" w:hAnsi="宋体"/>
          <w:sz w:val="24"/>
        </w:rPr>
        <w:t>=1.19×57÷</w:t>
      </w:r>
      <w:r>
        <w:rPr>
          <w:rFonts w:ascii="宋体" w:hAnsi="宋体"/>
          <w:position w:val="-8"/>
          <w:sz w:val="24"/>
        </w:rPr>
        <w:object>
          <v:shape id="_x0000_i1109" o:spt="75" type="#_x0000_t75" style="height:18pt;width:44pt;" o:ole="t" filled="f" o:preferrelative="t" stroked="f" coordsize="21600,21600">
            <v:path/>
            <v:fill on="f" alignshape="1" focussize="0,0"/>
            <v:stroke on="f"/>
            <v:imagedata r:id="rId148" o:title=""/>
            <o:lock v:ext="edit" aspectratio="t"/>
            <w10:wrap type="none"/>
            <w10:anchorlock/>
          </v:shape>
          <o:OLEObject Type="Embed" ProgID="Equation.3" ShapeID="_x0000_i1109" DrawAspect="Content" ObjectID="_1468075797" r:id="rId147">
            <o:LockedField>false</o:LockedField>
          </o:OLEObject>
        </w:object>
      </w:r>
      <w:r>
        <w:rPr>
          <w:rFonts w:hint="eastAsia" w:ascii="宋体" w:hAnsi="宋体"/>
          <w:sz w:val="24"/>
        </w:rPr>
        <w:t>=1.7(m</w:t>
      </w:r>
      <w:r>
        <w:rPr>
          <w:rFonts w:hint="eastAsia" w:ascii="宋体" w:hAnsi="宋体"/>
          <w:sz w:val="24"/>
          <w:vertAlign w:val="superscript"/>
        </w:rPr>
        <w:t>2</w:t>
      </w:r>
      <w:r>
        <w:rPr>
          <w:rFonts w:hint="eastAsia" w:ascii="宋体" w:hAnsi="宋体"/>
          <w:sz w:val="24"/>
        </w:rPr>
        <w:t>)</w:t>
      </w:r>
    </w:p>
    <w:p w14:paraId="750D6424">
      <w:pPr>
        <w:adjustRightInd w:val="0"/>
        <w:snapToGrid w:val="0"/>
        <w:spacing w:line="360" w:lineRule="auto"/>
        <w:ind w:firstLine="480" w:firstLineChars="200"/>
        <w:rPr>
          <w:rFonts w:hint="eastAsia" w:ascii="宋体" w:hAnsi="宋体"/>
          <w:sz w:val="24"/>
        </w:rPr>
      </w:pPr>
      <w:r>
        <w:rPr>
          <w:rFonts w:hint="eastAsia" w:ascii="宋体" w:hAnsi="宋体"/>
          <w:sz w:val="24"/>
        </w:rPr>
        <w:t>式中:A——矿井等积孔，（m</w:t>
      </w:r>
      <w:r>
        <w:rPr>
          <w:rFonts w:hint="eastAsia" w:ascii="宋体" w:hAnsi="宋体"/>
          <w:sz w:val="24"/>
          <w:vertAlign w:val="superscript"/>
        </w:rPr>
        <w:t>2</w:t>
      </w:r>
      <w:r>
        <w:rPr>
          <w:rFonts w:hint="eastAsia" w:ascii="宋体" w:hAnsi="宋体"/>
          <w:sz w:val="24"/>
        </w:rPr>
        <w:t>）；</w:t>
      </w:r>
    </w:p>
    <w:p w14:paraId="729984D3">
      <w:pPr>
        <w:adjustRightInd w:val="0"/>
        <w:snapToGrid w:val="0"/>
        <w:spacing w:line="360" w:lineRule="auto"/>
        <w:ind w:firstLine="1080" w:firstLineChars="450"/>
        <w:rPr>
          <w:rFonts w:hint="eastAsia" w:ascii="宋体" w:hAnsi="宋体"/>
          <w:sz w:val="24"/>
        </w:rPr>
      </w:pPr>
      <w:r>
        <w:rPr>
          <w:rFonts w:hint="eastAsia" w:ascii="宋体" w:hAnsi="宋体"/>
          <w:sz w:val="24"/>
        </w:rPr>
        <w:t>Q——矿井总风量，（m</w:t>
      </w:r>
      <w:r>
        <w:rPr>
          <w:rFonts w:hint="eastAsia" w:ascii="宋体" w:hAnsi="宋体"/>
          <w:sz w:val="24"/>
          <w:vertAlign w:val="superscript"/>
        </w:rPr>
        <w:t>3</w:t>
      </w:r>
      <w:r>
        <w:rPr>
          <w:rFonts w:hint="eastAsia" w:ascii="宋体" w:hAnsi="宋体"/>
          <w:sz w:val="24"/>
        </w:rPr>
        <w:t>/h）；</w:t>
      </w:r>
    </w:p>
    <w:p w14:paraId="37F6A11E">
      <w:pPr>
        <w:adjustRightInd w:val="0"/>
        <w:snapToGrid w:val="0"/>
        <w:spacing w:line="360" w:lineRule="auto"/>
        <w:ind w:firstLine="1080" w:firstLineChars="450"/>
        <w:rPr>
          <w:rFonts w:hint="eastAsia" w:ascii="宋体" w:hAnsi="宋体"/>
          <w:sz w:val="24"/>
        </w:rPr>
      </w:pPr>
      <w:r>
        <w:rPr>
          <w:rFonts w:hint="eastAsia" w:ascii="宋体" w:hAnsi="宋体"/>
          <w:sz w:val="24"/>
        </w:rPr>
        <w:t>h——</w:t>
      </w:r>
      <w:r>
        <w:rPr>
          <w:rFonts w:ascii="宋体" w:hAnsi="宋体"/>
          <w:sz w:val="24"/>
        </w:rPr>
        <w:t>矿井通风负压</w:t>
      </w:r>
      <w:r>
        <w:rPr>
          <w:rFonts w:hint="eastAsia" w:ascii="宋体" w:hAnsi="宋体"/>
          <w:sz w:val="24"/>
        </w:rPr>
        <w:t>，（Pa）。</w:t>
      </w:r>
    </w:p>
    <w:p w14:paraId="490A7901">
      <w:pPr>
        <w:adjustRightInd w:val="0"/>
        <w:snapToGrid w:val="0"/>
        <w:spacing w:line="360" w:lineRule="auto"/>
        <w:ind w:firstLine="480" w:firstLineChars="200"/>
        <w:rPr>
          <w:rFonts w:hint="eastAsia"/>
        </w:rPr>
      </w:pPr>
      <w:r>
        <w:rPr>
          <w:rFonts w:ascii="宋体" w:hAnsi="宋体"/>
          <w:sz w:val="24"/>
        </w:rPr>
        <w:t>经计算，</w:t>
      </w:r>
      <w:r>
        <w:rPr>
          <w:rFonts w:hint="eastAsia" w:ascii="宋体" w:hAnsi="宋体"/>
          <w:sz w:val="24"/>
        </w:rPr>
        <w:t>矿井等积孔为1.7～2.0m</w:t>
      </w:r>
      <w:r>
        <w:rPr>
          <w:rFonts w:hint="eastAsia" w:ascii="宋体" w:hAnsi="宋体"/>
          <w:sz w:val="24"/>
          <w:vertAlign w:val="superscript"/>
        </w:rPr>
        <w:t>2</w:t>
      </w:r>
      <w:r>
        <w:rPr>
          <w:rFonts w:hint="eastAsia" w:ascii="宋体" w:hAnsi="宋体"/>
          <w:sz w:val="24"/>
        </w:rPr>
        <w:t>，</w:t>
      </w:r>
      <w:r>
        <w:rPr>
          <w:rFonts w:ascii="宋体" w:hAnsi="宋体"/>
          <w:sz w:val="24"/>
        </w:rPr>
        <w:t>因此，</w:t>
      </w:r>
      <w:r>
        <w:rPr>
          <w:rFonts w:hint="eastAsia" w:ascii="宋体" w:hAnsi="宋体"/>
          <w:sz w:val="24"/>
        </w:rPr>
        <w:t>该</w:t>
      </w:r>
      <w:r>
        <w:rPr>
          <w:rFonts w:ascii="宋体" w:hAnsi="宋体"/>
          <w:sz w:val="24"/>
        </w:rPr>
        <w:t>矿</w:t>
      </w:r>
      <w:r>
        <w:rPr>
          <w:rFonts w:hint="eastAsia" w:ascii="宋体" w:hAnsi="宋体"/>
          <w:sz w:val="24"/>
        </w:rPr>
        <w:t>投产时期</w:t>
      </w:r>
      <w:r>
        <w:rPr>
          <w:rFonts w:ascii="宋体" w:hAnsi="宋体"/>
          <w:sz w:val="24"/>
        </w:rPr>
        <w:t>属于</w:t>
      </w:r>
      <w:r>
        <w:rPr>
          <w:rFonts w:hint="eastAsia" w:ascii="宋体" w:hAnsi="宋体"/>
          <w:sz w:val="24"/>
        </w:rPr>
        <w:t>通风容易矿井，困难时期</w:t>
      </w:r>
      <w:r>
        <w:rPr>
          <w:rFonts w:ascii="宋体" w:hAnsi="宋体"/>
          <w:sz w:val="24"/>
        </w:rPr>
        <w:t>属于</w:t>
      </w:r>
      <w:r>
        <w:rPr>
          <w:rFonts w:hint="eastAsia" w:ascii="宋体" w:hAnsi="宋体"/>
          <w:sz w:val="24"/>
        </w:rPr>
        <w:t>通风中等矿井。</w:t>
      </w:r>
    </w:p>
    <w:p w14:paraId="751919A4">
      <w:pPr>
        <w:sectPr>
          <w:pgSz w:w="11906" w:h="16838"/>
          <w:pgMar w:top="1304" w:right="1418" w:bottom="1304" w:left="1418" w:header="1134" w:footer="992" w:gutter="0"/>
          <w:cols w:space="720" w:num="1"/>
          <w:docGrid w:linePitch="312" w:charSpace="0"/>
        </w:sectPr>
      </w:pPr>
    </w:p>
    <w:p w14:paraId="4B57E4A5">
      <w:pPr>
        <w:adjustRightInd w:val="0"/>
        <w:snapToGrid w:val="0"/>
        <w:jc w:val="center"/>
        <w:rPr>
          <w:rFonts w:hint="eastAsia" w:ascii="宋体" w:hAnsi="宋体"/>
          <w:b/>
          <w:color w:val="000000"/>
          <w:sz w:val="24"/>
        </w:rPr>
      </w:pPr>
      <w:r>
        <w:rPr>
          <w:rFonts w:hint="eastAsia" w:ascii="宋体" w:hAnsi="宋体"/>
          <w:b/>
          <w:color w:val="000000"/>
          <w:sz w:val="24"/>
        </w:rPr>
        <w:t>图4－2－1　　　矿井投产时期通风系统及通风网络图</w:t>
      </w:r>
    </w:p>
    <w:p w14:paraId="744E7E4C">
      <w:pPr>
        <w:adjustRightInd w:val="0"/>
        <w:snapToGrid w:val="0"/>
        <w:spacing w:line="360" w:lineRule="auto"/>
        <w:jc w:val="center"/>
        <w:rPr>
          <w:rFonts w:hint="eastAsia"/>
        </w:rPr>
      </w:pPr>
      <w:r>
        <w:drawing>
          <wp:inline distT="0" distB="0" distL="114300" distR="114300">
            <wp:extent cx="8126730" cy="5581650"/>
            <wp:effectExtent l="0" t="0" r="0" b="0"/>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pic:cNvPicPr>
                      <a:picLocks noChangeAspect="1"/>
                    </pic:cNvPicPr>
                  </pic:nvPicPr>
                  <pic:blipFill>
                    <a:blip r:embed="rId149"/>
                    <a:srcRect l="35905" t="31026" r="37506" b="31204"/>
                    <a:stretch>
                      <a:fillRect/>
                    </a:stretch>
                  </pic:blipFill>
                  <pic:spPr>
                    <a:xfrm>
                      <a:off x="0" y="0"/>
                      <a:ext cx="8126730" cy="5581650"/>
                    </a:xfrm>
                    <a:prstGeom prst="rect">
                      <a:avLst/>
                    </a:prstGeom>
                    <a:noFill/>
                    <a:ln>
                      <a:noFill/>
                    </a:ln>
                  </pic:spPr>
                </pic:pic>
              </a:graphicData>
            </a:graphic>
          </wp:inline>
        </w:drawing>
      </w:r>
    </w:p>
    <w:p w14:paraId="3947855E">
      <w:pPr>
        <w:adjustRightInd w:val="0"/>
        <w:snapToGrid w:val="0"/>
        <w:spacing w:line="360" w:lineRule="auto"/>
        <w:ind w:leftChars="-200" w:hanging="420" w:hangingChars="200"/>
        <w:jc w:val="center"/>
        <w:sectPr>
          <w:pgSz w:w="16840" w:h="11907" w:orient="landscape"/>
          <w:pgMar w:top="1304" w:right="1418" w:bottom="1304" w:left="1418" w:header="851" w:footer="851" w:gutter="0"/>
          <w:cols w:space="720" w:num="1"/>
          <w:docGrid w:linePitch="312" w:charSpace="0"/>
        </w:sectPr>
      </w:pPr>
    </w:p>
    <w:p w14:paraId="04DBF2F4">
      <w:pPr>
        <w:adjustRightInd w:val="0"/>
        <w:snapToGrid w:val="0"/>
        <w:jc w:val="center"/>
        <w:rPr>
          <w:rFonts w:hint="eastAsia" w:ascii="宋体" w:hAnsi="宋体"/>
          <w:b/>
          <w:color w:val="000000"/>
          <w:sz w:val="24"/>
        </w:rPr>
      </w:pPr>
      <w:r>
        <w:rPr>
          <w:rFonts w:hint="eastAsia" w:ascii="宋体" w:hAnsi="宋体"/>
          <w:b/>
          <w:color w:val="000000"/>
          <w:sz w:val="24"/>
        </w:rPr>
        <w:t>图4－2－2　　　矿井困难时期通风系统及通风网络图</w:t>
      </w:r>
    </w:p>
    <w:p w14:paraId="0219F39B">
      <w:pPr>
        <w:adjustRightInd w:val="0"/>
        <w:snapToGrid w:val="0"/>
        <w:jc w:val="center"/>
        <w:rPr>
          <w:rFonts w:hint="eastAsia"/>
        </w:rPr>
      </w:pPr>
      <w:r>
        <w:drawing>
          <wp:inline distT="0" distB="0" distL="114300" distR="114300">
            <wp:extent cx="8606790" cy="5599430"/>
            <wp:effectExtent l="0" t="0" r="0" b="1270"/>
            <wp:docPr id="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3"/>
                    <pic:cNvPicPr>
                      <a:picLocks noChangeAspect="1"/>
                    </pic:cNvPicPr>
                  </pic:nvPicPr>
                  <pic:blipFill>
                    <a:blip r:embed="rId150"/>
                    <a:srcRect l="57021" t="28600" r="25050" b="47147"/>
                    <a:stretch>
                      <a:fillRect/>
                    </a:stretch>
                  </pic:blipFill>
                  <pic:spPr>
                    <a:xfrm>
                      <a:off x="0" y="0"/>
                      <a:ext cx="8606790" cy="5599430"/>
                    </a:xfrm>
                    <a:prstGeom prst="rect">
                      <a:avLst/>
                    </a:prstGeom>
                    <a:noFill/>
                    <a:ln>
                      <a:noFill/>
                    </a:ln>
                  </pic:spPr>
                </pic:pic>
              </a:graphicData>
            </a:graphic>
          </wp:inline>
        </w:drawing>
      </w:r>
    </w:p>
    <w:p w14:paraId="75422148">
      <w:pPr>
        <w:ind w:firstLine="480" w:firstLineChars="200"/>
        <w:rPr>
          <w:rFonts w:ascii="宋体" w:hAnsi="宋体"/>
          <w:sz w:val="24"/>
        </w:rPr>
        <w:sectPr>
          <w:pgSz w:w="16838" w:h="11906" w:orient="landscape"/>
          <w:pgMar w:top="1304" w:right="1418" w:bottom="1304" w:left="1418" w:header="1134" w:footer="992" w:gutter="0"/>
          <w:cols w:space="720" w:num="1"/>
          <w:docGrid w:linePitch="312" w:charSpace="0"/>
        </w:sectPr>
      </w:pPr>
    </w:p>
    <w:p w14:paraId="36736E5D">
      <w:pPr>
        <w:adjustRightInd w:val="0"/>
        <w:snapToGrid w:val="0"/>
        <w:spacing w:line="360" w:lineRule="auto"/>
        <w:ind w:left="-210" w:leftChars="-100"/>
        <w:jc w:val="center"/>
        <w:rPr>
          <w:rFonts w:hint="eastAsia" w:ascii="宋体" w:hAnsi="宋体"/>
          <w:b/>
          <w:color w:val="000000"/>
          <w:sz w:val="24"/>
        </w:rPr>
      </w:pPr>
      <w:r>
        <w:rPr>
          <w:rFonts w:hint="eastAsia" w:ascii="宋体" w:hAnsi="宋体"/>
          <w:b/>
          <w:color w:val="000000"/>
          <w:sz w:val="24"/>
        </w:rPr>
        <w:t>表4－2－1　　　矿井通风投产时期阻力计算表</w:t>
      </w:r>
    </w:p>
    <w:p w14:paraId="72C1F5C1">
      <w:pPr>
        <w:adjustRightInd w:val="0"/>
        <w:snapToGrid w:val="0"/>
        <w:spacing w:line="360" w:lineRule="auto"/>
        <w:jc w:val="center"/>
        <w:rPr>
          <w:rFonts w:hint="eastAsia" w:ascii="宋体" w:hAnsi="宋体"/>
          <w:b/>
          <w:color w:val="000000"/>
          <w:sz w:val="24"/>
        </w:rPr>
      </w:pPr>
      <w:bookmarkStart w:id="111" w:name="_1251101324"/>
      <w:bookmarkEnd w:id="111"/>
      <w:bookmarkStart w:id="112" w:name="_1251099776"/>
      <w:bookmarkEnd w:id="112"/>
      <w:bookmarkStart w:id="113" w:name="_1251099788"/>
      <w:bookmarkEnd w:id="113"/>
      <w:bookmarkStart w:id="114" w:name="_1251100168"/>
      <w:bookmarkEnd w:id="114"/>
      <w:bookmarkStart w:id="115" w:name="_1251100277"/>
      <w:bookmarkEnd w:id="115"/>
      <w:bookmarkStart w:id="116" w:name="_1250200837"/>
      <w:bookmarkEnd w:id="116"/>
      <w:bookmarkStart w:id="117" w:name="_1154300028"/>
      <w:bookmarkEnd w:id="117"/>
      <w:bookmarkStart w:id="118" w:name="_1250201501"/>
      <w:bookmarkEnd w:id="118"/>
      <w:bookmarkStart w:id="119" w:name="_1154299704"/>
      <w:bookmarkEnd w:id="119"/>
      <w:bookmarkStart w:id="120" w:name="_1250201578"/>
      <w:bookmarkEnd w:id="120"/>
      <w:bookmarkStart w:id="121" w:name="_1250201527"/>
      <w:bookmarkEnd w:id="121"/>
      <w:bookmarkStart w:id="122" w:name="_1153770741"/>
      <w:bookmarkEnd w:id="122"/>
      <w:bookmarkStart w:id="123" w:name="_1250201867"/>
      <w:bookmarkEnd w:id="123"/>
      <w:bookmarkStart w:id="124" w:name="_1250201456"/>
      <w:bookmarkEnd w:id="124"/>
      <w:bookmarkStart w:id="125" w:name="_1250201299"/>
      <w:bookmarkEnd w:id="125"/>
      <w:bookmarkStart w:id="126" w:name="_1250200720"/>
      <w:bookmarkEnd w:id="126"/>
      <w:bookmarkStart w:id="127" w:name="_1250201513"/>
      <w:bookmarkEnd w:id="127"/>
      <w:bookmarkStart w:id="128" w:name="_1154298490"/>
      <w:bookmarkEnd w:id="128"/>
      <w:bookmarkStart w:id="129" w:name="_1251098708"/>
      <w:bookmarkEnd w:id="129"/>
      <w:bookmarkStart w:id="130" w:name="_1250947899"/>
      <w:bookmarkEnd w:id="130"/>
      <w:bookmarkStart w:id="131" w:name="_1250202826"/>
      <w:bookmarkEnd w:id="131"/>
      <w:bookmarkStart w:id="132" w:name="_1250947849"/>
      <w:bookmarkEnd w:id="132"/>
      <w:bookmarkStart w:id="133" w:name="_1251099437"/>
      <w:bookmarkEnd w:id="133"/>
      <w:bookmarkStart w:id="134" w:name="_1251099454"/>
      <w:bookmarkEnd w:id="134"/>
      <w:bookmarkStart w:id="135" w:name="_1251099463"/>
      <w:bookmarkEnd w:id="135"/>
      <w:bookmarkStart w:id="136" w:name="_1251099478"/>
      <w:bookmarkEnd w:id="136"/>
      <w:bookmarkStart w:id="137" w:name="_1251099696"/>
      <w:bookmarkEnd w:id="137"/>
      <w:bookmarkStart w:id="138" w:name="_1251099759"/>
      <w:bookmarkEnd w:id="138"/>
      <w:bookmarkStart w:id="139" w:name="_1153770455"/>
      <w:bookmarkEnd w:id="139"/>
      <w:bookmarkStart w:id="140" w:name="_1251108368"/>
      <w:bookmarkEnd w:id="140"/>
      <w:bookmarkStart w:id="141" w:name="_1251108394"/>
      <w:bookmarkEnd w:id="141"/>
      <w:bookmarkStart w:id="142" w:name="_1251108384"/>
      <w:bookmarkEnd w:id="142"/>
      <w:bookmarkStart w:id="143" w:name="_1251101767"/>
      <w:bookmarkEnd w:id="143"/>
      <w:bookmarkStart w:id="144" w:name="_1251103531"/>
      <w:bookmarkEnd w:id="144"/>
      <w:bookmarkStart w:id="145" w:name="_1251103269"/>
      <w:bookmarkEnd w:id="145"/>
      <w:bookmarkStart w:id="146" w:name="_1251107981"/>
      <w:bookmarkEnd w:id="146"/>
      <w:bookmarkStart w:id="147" w:name="_1251108409"/>
      <w:bookmarkEnd w:id="147"/>
      <w:bookmarkStart w:id="148" w:name="_1251101793"/>
      <w:bookmarkEnd w:id="148"/>
      <w:bookmarkStart w:id="149" w:name="_1251101744"/>
      <w:bookmarkEnd w:id="149"/>
      <w:bookmarkStart w:id="150" w:name="_1251107987"/>
      <w:bookmarkEnd w:id="150"/>
      <w:bookmarkStart w:id="151" w:name="_1251101723"/>
      <w:bookmarkEnd w:id="151"/>
      <w:bookmarkStart w:id="152" w:name="_1251108358"/>
      <w:bookmarkEnd w:id="152"/>
      <w:bookmarkStart w:id="153" w:name="_1251108133"/>
      <w:bookmarkEnd w:id="153"/>
      <w:bookmarkStart w:id="154" w:name="_1251101819"/>
      <w:bookmarkEnd w:id="154"/>
      <w:bookmarkStart w:id="155" w:name="_1251101540"/>
      <w:bookmarkEnd w:id="155"/>
      <w:bookmarkStart w:id="156" w:name="_1251112871"/>
      <w:bookmarkEnd w:id="156"/>
      <w:bookmarkStart w:id="157" w:name="_1251112976"/>
      <w:bookmarkEnd w:id="157"/>
      <w:bookmarkStart w:id="158" w:name="_1251507537"/>
      <w:bookmarkEnd w:id="158"/>
      <w:bookmarkStart w:id="159" w:name="_1251507721"/>
      <w:bookmarkEnd w:id="159"/>
      <w:bookmarkStart w:id="160" w:name="_1251112938"/>
      <w:bookmarkEnd w:id="160"/>
      <w:bookmarkStart w:id="161" w:name="_1251109877"/>
      <w:bookmarkEnd w:id="161"/>
      <w:bookmarkStart w:id="162" w:name="_1251112836"/>
      <w:bookmarkEnd w:id="162"/>
      <w:bookmarkStart w:id="163" w:name="_1251505521"/>
      <w:bookmarkEnd w:id="163"/>
      <w:bookmarkStart w:id="164" w:name="_1251507741"/>
      <w:bookmarkEnd w:id="164"/>
      <w:bookmarkStart w:id="165" w:name="_1251108446"/>
      <w:bookmarkEnd w:id="165"/>
      <w:bookmarkStart w:id="166" w:name="_1251110982"/>
      <w:bookmarkEnd w:id="166"/>
      <w:bookmarkStart w:id="167" w:name="_1251112332"/>
      <w:bookmarkEnd w:id="167"/>
      <w:bookmarkStart w:id="168" w:name="_1251108425"/>
      <w:bookmarkEnd w:id="168"/>
      <w:bookmarkStart w:id="169" w:name="_1251110921"/>
      <w:bookmarkEnd w:id="169"/>
      <w:bookmarkStart w:id="170" w:name="_1251108433"/>
      <w:bookmarkEnd w:id="170"/>
      <w:bookmarkStart w:id="171" w:name="_1251112596"/>
      <w:bookmarkEnd w:id="171"/>
      <w:bookmarkStart w:id="172" w:name="_1257947564"/>
      <w:bookmarkEnd w:id="172"/>
      <w:bookmarkStart w:id="173" w:name="_1253055945"/>
      <w:bookmarkEnd w:id="173"/>
      <w:bookmarkStart w:id="174" w:name="_1257210492"/>
      <w:bookmarkEnd w:id="174"/>
      <w:bookmarkStart w:id="175" w:name="_1251510559"/>
      <w:bookmarkEnd w:id="175"/>
      <w:bookmarkStart w:id="176" w:name="_1257211298"/>
      <w:bookmarkEnd w:id="176"/>
      <w:bookmarkStart w:id="177" w:name="_1257946030"/>
      <w:bookmarkEnd w:id="177"/>
      <w:bookmarkStart w:id="178" w:name="_1251507757"/>
      <w:bookmarkEnd w:id="178"/>
      <w:bookmarkStart w:id="179" w:name="_1253059525"/>
      <w:bookmarkEnd w:id="179"/>
      <w:bookmarkStart w:id="180" w:name="_1251507772"/>
      <w:bookmarkEnd w:id="180"/>
      <w:bookmarkStart w:id="181" w:name="_1251526901"/>
      <w:bookmarkEnd w:id="181"/>
      <w:bookmarkStart w:id="182" w:name="_1257213443"/>
      <w:bookmarkEnd w:id="182"/>
      <w:bookmarkStart w:id="183" w:name="_1253132503"/>
      <w:bookmarkEnd w:id="183"/>
      <w:bookmarkStart w:id="184" w:name="_1257947409"/>
      <w:bookmarkEnd w:id="184"/>
      <w:bookmarkStart w:id="185" w:name="_1257946552"/>
      <w:bookmarkEnd w:id="185"/>
      <w:bookmarkStart w:id="186" w:name="_1257211483"/>
      <w:bookmarkEnd w:id="186"/>
      <w:bookmarkStart w:id="187" w:name="_1257947511"/>
      <w:bookmarkEnd w:id="187"/>
      <w:bookmarkStart w:id="188" w:name="_1258620227"/>
      <w:bookmarkEnd w:id="188"/>
      <w:bookmarkStart w:id="189" w:name="_1258617778"/>
      <w:bookmarkEnd w:id="189"/>
      <w:bookmarkStart w:id="190" w:name="_1258630463"/>
      <w:bookmarkEnd w:id="190"/>
      <w:bookmarkStart w:id="191" w:name="_1258546831"/>
      <w:bookmarkEnd w:id="191"/>
      <w:bookmarkStart w:id="192" w:name="_1258619341"/>
      <w:bookmarkEnd w:id="192"/>
      <w:bookmarkStart w:id="193" w:name="_1258617745"/>
      <w:bookmarkEnd w:id="193"/>
      <w:bookmarkStart w:id="194" w:name="_1258617832"/>
      <w:bookmarkEnd w:id="194"/>
      <w:bookmarkStart w:id="195" w:name="_1258617873"/>
      <w:bookmarkEnd w:id="195"/>
      <w:bookmarkStart w:id="196" w:name="_1258618510"/>
      <w:bookmarkEnd w:id="196"/>
      <w:bookmarkStart w:id="197" w:name="_1258617792"/>
      <w:bookmarkEnd w:id="197"/>
      <w:bookmarkStart w:id="198" w:name="_1258488755"/>
      <w:bookmarkEnd w:id="198"/>
      <w:bookmarkStart w:id="199" w:name="_1258617761"/>
      <w:bookmarkEnd w:id="199"/>
      <w:bookmarkStart w:id="200" w:name="_1258618504"/>
      <w:bookmarkEnd w:id="200"/>
      <w:bookmarkStart w:id="201" w:name="_1258620148"/>
      <w:bookmarkEnd w:id="201"/>
      <w:bookmarkStart w:id="202" w:name="_1258618876"/>
      <w:bookmarkEnd w:id="202"/>
      <w:bookmarkStart w:id="203" w:name="_1258619288"/>
      <w:bookmarkEnd w:id="203"/>
      <w:bookmarkStart w:id="204" w:name="_1285626529"/>
      <w:bookmarkEnd w:id="204"/>
      <w:bookmarkStart w:id="205" w:name="_1285627644"/>
      <w:bookmarkEnd w:id="205"/>
      <w:bookmarkStart w:id="206" w:name="_1261101557"/>
      <w:bookmarkEnd w:id="206"/>
      <w:bookmarkStart w:id="207" w:name="_1261102897"/>
      <w:bookmarkEnd w:id="207"/>
      <w:bookmarkStart w:id="208" w:name="_1285625775"/>
      <w:bookmarkEnd w:id="208"/>
      <w:bookmarkStart w:id="209" w:name="_1289843015"/>
      <w:bookmarkEnd w:id="209"/>
      <w:bookmarkStart w:id="210" w:name="_1261101211"/>
      <w:bookmarkEnd w:id="210"/>
      <w:bookmarkStart w:id="211" w:name="_1261100668"/>
      <w:bookmarkEnd w:id="211"/>
      <w:bookmarkStart w:id="212" w:name="_1261101411"/>
      <w:bookmarkEnd w:id="212"/>
      <w:bookmarkStart w:id="213" w:name="_1261101221"/>
      <w:bookmarkEnd w:id="213"/>
      <w:bookmarkStart w:id="214" w:name="_1261246469"/>
      <w:bookmarkEnd w:id="214"/>
      <w:bookmarkStart w:id="215" w:name="_1261246632"/>
      <w:bookmarkEnd w:id="215"/>
      <w:bookmarkStart w:id="216" w:name="_1258635733"/>
      <w:bookmarkEnd w:id="216"/>
      <w:bookmarkStart w:id="217" w:name="_1285603931"/>
      <w:bookmarkEnd w:id="217"/>
      <w:bookmarkStart w:id="218" w:name="_1285626684"/>
      <w:bookmarkEnd w:id="218"/>
      <w:bookmarkStart w:id="219" w:name="_1285627598"/>
      <w:bookmarkEnd w:id="219"/>
      <w:bookmarkStart w:id="220" w:name="_1303779380"/>
      <w:bookmarkEnd w:id="220"/>
      <w:bookmarkStart w:id="221" w:name="_1289843923"/>
      <w:bookmarkEnd w:id="221"/>
      <w:bookmarkStart w:id="222" w:name="_1289843850"/>
      <w:bookmarkEnd w:id="222"/>
      <w:bookmarkStart w:id="223" w:name="_1303781001"/>
      <w:bookmarkEnd w:id="223"/>
      <w:bookmarkStart w:id="224" w:name="_1289844053"/>
      <w:bookmarkEnd w:id="224"/>
      <w:bookmarkStart w:id="225" w:name="_1303780367"/>
      <w:bookmarkEnd w:id="225"/>
      <w:bookmarkStart w:id="226" w:name="_1303781012"/>
      <w:bookmarkEnd w:id="226"/>
      <w:bookmarkStart w:id="227" w:name="_1303825428"/>
      <w:bookmarkEnd w:id="227"/>
      <w:bookmarkStart w:id="228" w:name="_1289844514"/>
      <w:bookmarkEnd w:id="228"/>
      <w:bookmarkStart w:id="229" w:name="_1303780550"/>
      <w:bookmarkEnd w:id="229"/>
      <w:bookmarkStart w:id="230" w:name="_1306095061"/>
      <w:bookmarkEnd w:id="230"/>
      <w:bookmarkStart w:id="231" w:name="_1306094868"/>
      <w:bookmarkEnd w:id="231"/>
      <w:bookmarkStart w:id="232" w:name="_1308179635"/>
      <w:bookmarkEnd w:id="232"/>
      <w:bookmarkStart w:id="233" w:name="_1289843504"/>
      <w:bookmarkEnd w:id="233"/>
      <w:bookmarkStart w:id="234" w:name="_1303781048"/>
      <w:bookmarkEnd w:id="234"/>
      <w:bookmarkStart w:id="235" w:name="_1308180596"/>
      <w:bookmarkEnd w:id="235"/>
      <w:bookmarkStart w:id="236" w:name="_1323327100"/>
      <w:bookmarkEnd w:id="236"/>
      <w:bookmarkStart w:id="237" w:name="_1332193133"/>
      <w:bookmarkEnd w:id="237"/>
      <w:bookmarkStart w:id="238" w:name="_1319758568"/>
      <w:bookmarkEnd w:id="238"/>
      <w:bookmarkStart w:id="239" w:name="_1323325162"/>
      <w:bookmarkEnd w:id="239"/>
      <w:bookmarkStart w:id="240" w:name="_1319757604"/>
      <w:bookmarkEnd w:id="240"/>
      <w:bookmarkStart w:id="241" w:name="_1323327092"/>
      <w:bookmarkEnd w:id="241"/>
      <w:bookmarkStart w:id="242" w:name="_1319756985"/>
      <w:bookmarkEnd w:id="242"/>
      <w:bookmarkStart w:id="243" w:name="_1319758549"/>
      <w:bookmarkEnd w:id="243"/>
      <w:bookmarkStart w:id="244" w:name="_1332194423"/>
      <w:bookmarkEnd w:id="244"/>
      <w:bookmarkStart w:id="245" w:name="_1319757774"/>
      <w:bookmarkEnd w:id="245"/>
      <w:bookmarkStart w:id="246" w:name="_1319758528"/>
      <w:bookmarkEnd w:id="246"/>
      <w:bookmarkStart w:id="247" w:name="_1319757870"/>
      <w:bookmarkEnd w:id="247"/>
      <w:bookmarkStart w:id="248" w:name="_1321212373"/>
      <w:bookmarkEnd w:id="248"/>
      <w:bookmarkStart w:id="249" w:name="_1323326011"/>
      <w:bookmarkEnd w:id="249"/>
      <w:bookmarkStart w:id="250" w:name="_1323327086"/>
      <w:bookmarkEnd w:id="250"/>
      <w:bookmarkStart w:id="251" w:name="_1323326646"/>
      <w:bookmarkEnd w:id="251"/>
      <w:bookmarkStart w:id="252" w:name="_1334573738"/>
      <w:bookmarkEnd w:id="252"/>
      <w:bookmarkStart w:id="253" w:name="_1332194955"/>
      <w:bookmarkEnd w:id="253"/>
      <w:bookmarkStart w:id="254" w:name="_1334563401"/>
      <w:bookmarkEnd w:id="254"/>
      <w:bookmarkStart w:id="255" w:name="_1334575073"/>
      <w:bookmarkEnd w:id="255"/>
      <w:bookmarkStart w:id="256" w:name="_1332892989"/>
      <w:bookmarkEnd w:id="256"/>
      <w:bookmarkStart w:id="257" w:name="_1334574330"/>
      <w:bookmarkEnd w:id="257"/>
      <w:bookmarkStart w:id="258" w:name="_1333156369"/>
      <w:bookmarkEnd w:id="258"/>
      <w:bookmarkStart w:id="259" w:name="_1334574324"/>
      <w:bookmarkEnd w:id="259"/>
      <w:bookmarkStart w:id="260" w:name="_1334539956"/>
      <w:bookmarkEnd w:id="260"/>
      <w:bookmarkStart w:id="261" w:name="_1334575027"/>
      <w:bookmarkEnd w:id="261"/>
      <w:bookmarkStart w:id="262" w:name="_1334575093"/>
      <w:bookmarkEnd w:id="262"/>
      <w:bookmarkStart w:id="263" w:name="_1333157477"/>
      <w:bookmarkEnd w:id="263"/>
      <w:r>
        <w:rPr>
          <w:rFonts w:ascii="宋体" w:hAnsi="宋体"/>
          <w:sz w:val="28"/>
        </w:rPr>
        <w:object>
          <v:shape id="_x0000_i1112" o:spt="75" type="#_x0000_t75" style="height:311.85pt;width:449.45pt;" o:ole="t" filled="f" o:preferrelative="t" stroked="f" coordsize="21600,21600">
            <v:path/>
            <v:fill on="f" alignshape="1" focussize="0,0"/>
            <v:stroke on="f"/>
            <v:imagedata r:id="rId152" croptop="-165f" cropbottom="-143f" o:title=""/>
            <o:lock v:ext="edit" aspectratio="t"/>
            <w10:wrap type="none"/>
            <w10:anchorlock/>
          </v:shape>
          <o:OLEObject Type="Embed" ProgID="Excel.Sheet.8" ShapeID="_x0000_i1112" DrawAspect="Content" ObjectID="_1468075798" r:id="rId151">
            <o:LockedField>false</o:LockedField>
          </o:OLEObject>
        </w:object>
      </w:r>
      <w:r>
        <w:rPr>
          <w:rFonts w:hint="eastAsia" w:ascii="宋体" w:hAnsi="宋体"/>
          <w:b/>
          <w:color w:val="000000"/>
          <w:sz w:val="24"/>
        </w:rPr>
        <w:t>表4－2－2　　　矿井通风困难时期阻力计算表</w:t>
      </w:r>
    </w:p>
    <w:p w14:paraId="184C6273">
      <w:pPr>
        <w:spacing w:line="360" w:lineRule="auto"/>
        <w:rPr>
          <w:rFonts w:hint="eastAsia"/>
        </w:rPr>
      </w:pPr>
      <w:bookmarkStart w:id="264" w:name="_1251111318"/>
      <w:bookmarkEnd w:id="264"/>
      <w:bookmarkStart w:id="265" w:name="_1250948757"/>
      <w:bookmarkEnd w:id="265"/>
      <w:bookmarkStart w:id="266" w:name="_1250201705"/>
      <w:bookmarkEnd w:id="266"/>
      <w:bookmarkStart w:id="267" w:name="_1251100611"/>
      <w:bookmarkEnd w:id="267"/>
      <w:bookmarkStart w:id="268" w:name="_1251101039"/>
      <w:bookmarkEnd w:id="268"/>
      <w:bookmarkStart w:id="269" w:name="_1250202411"/>
      <w:bookmarkEnd w:id="269"/>
      <w:bookmarkStart w:id="270" w:name="_1154299549"/>
      <w:bookmarkEnd w:id="270"/>
      <w:bookmarkStart w:id="271" w:name="_1250201889"/>
      <w:bookmarkEnd w:id="271"/>
      <w:bookmarkStart w:id="272" w:name="_1250202383"/>
      <w:bookmarkEnd w:id="272"/>
      <w:bookmarkStart w:id="273" w:name="_1250202790"/>
      <w:bookmarkEnd w:id="273"/>
      <w:bookmarkStart w:id="274" w:name="_1250948051"/>
      <w:bookmarkEnd w:id="274"/>
      <w:bookmarkStart w:id="275" w:name="_1154300013"/>
      <w:bookmarkEnd w:id="275"/>
      <w:bookmarkStart w:id="276" w:name="_1154299832"/>
      <w:bookmarkEnd w:id="276"/>
      <w:bookmarkStart w:id="277" w:name="_1153770815"/>
      <w:bookmarkEnd w:id="277"/>
      <w:bookmarkStart w:id="278" w:name="_1154299276"/>
      <w:bookmarkEnd w:id="278"/>
      <w:bookmarkStart w:id="279" w:name="_1153771161"/>
      <w:bookmarkEnd w:id="279"/>
      <w:bookmarkStart w:id="280" w:name="_1251110171"/>
      <w:bookmarkEnd w:id="280"/>
      <w:bookmarkStart w:id="281" w:name="_1251110180"/>
      <w:bookmarkEnd w:id="281"/>
      <w:bookmarkStart w:id="282" w:name="_1251101555"/>
      <w:bookmarkEnd w:id="282"/>
      <w:bookmarkStart w:id="283" w:name="_1251110191"/>
      <w:bookmarkEnd w:id="283"/>
      <w:bookmarkStart w:id="284" w:name="_1251101854"/>
      <w:bookmarkEnd w:id="284"/>
      <w:bookmarkStart w:id="285" w:name="_1251111015"/>
      <w:bookmarkEnd w:id="285"/>
      <w:bookmarkStart w:id="286" w:name="_1251107933"/>
      <w:bookmarkEnd w:id="286"/>
      <w:bookmarkStart w:id="287" w:name="_1251101333"/>
      <w:bookmarkEnd w:id="287"/>
      <w:bookmarkStart w:id="288" w:name="_1251101624"/>
      <w:bookmarkEnd w:id="288"/>
      <w:bookmarkStart w:id="289" w:name="_1251101884"/>
      <w:bookmarkEnd w:id="289"/>
      <w:bookmarkStart w:id="290" w:name="_1251101685"/>
      <w:bookmarkEnd w:id="290"/>
      <w:bookmarkStart w:id="291" w:name="_1251101310"/>
      <w:bookmarkEnd w:id="291"/>
      <w:bookmarkStart w:id="292" w:name="_1251107836"/>
      <w:bookmarkEnd w:id="292"/>
      <w:bookmarkStart w:id="293" w:name="_1251108225"/>
      <w:bookmarkEnd w:id="293"/>
      <w:bookmarkStart w:id="294" w:name="_1251101923"/>
      <w:bookmarkEnd w:id="294"/>
      <w:bookmarkStart w:id="295" w:name="_1251101910"/>
      <w:bookmarkEnd w:id="295"/>
      <w:bookmarkStart w:id="296" w:name="_1152220153"/>
      <w:bookmarkEnd w:id="296"/>
      <w:bookmarkStart w:id="297" w:name="_1152221215"/>
      <w:bookmarkEnd w:id="297"/>
      <w:bookmarkStart w:id="298" w:name="_1153770766"/>
      <w:bookmarkEnd w:id="298"/>
      <w:bookmarkStart w:id="299" w:name="_1152221262"/>
      <w:bookmarkEnd w:id="299"/>
      <w:bookmarkStart w:id="300" w:name="_1152278287"/>
      <w:bookmarkEnd w:id="300"/>
      <w:bookmarkStart w:id="301" w:name="_1152220736"/>
      <w:bookmarkEnd w:id="301"/>
      <w:bookmarkStart w:id="302" w:name="_1152221198"/>
      <w:bookmarkEnd w:id="302"/>
      <w:bookmarkStart w:id="303" w:name="_1251526673"/>
      <w:bookmarkEnd w:id="303"/>
      <w:bookmarkStart w:id="304" w:name="_1251526729"/>
      <w:bookmarkEnd w:id="304"/>
      <w:bookmarkStart w:id="305" w:name="_1251508909"/>
      <w:bookmarkEnd w:id="305"/>
      <w:bookmarkStart w:id="306" w:name="_1251507916"/>
      <w:bookmarkEnd w:id="306"/>
      <w:bookmarkStart w:id="307" w:name="_1251112433"/>
      <w:bookmarkEnd w:id="307"/>
      <w:bookmarkStart w:id="308" w:name="_1251526831"/>
      <w:bookmarkEnd w:id="308"/>
      <w:bookmarkStart w:id="309" w:name="_1251510718"/>
      <w:bookmarkEnd w:id="309"/>
      <w:bookmarkStart w:id="310" w:name="_1253057715"/>
      <w:bookmarkEnd w:id="310"/>
      <w:bookmarkStart w:id="311" w:name="_1251112637"/>
      <w:bookmarkEnd w:id="311"/>
      <w:bookmarkStart w:id="312" w:name="_1251112914"/>
      <w:bookmarkEnd w:id="312"/>
      <w:bookmarkStart w:id="313" w:name="_1251509214"/>
      <w:bookmarkEnd w:id="313"/>
      <w:bookmarkStart w:id="314" w:name="_1251510751"/>
      <w:bookmarkEnd w:id="314"/>
      <w:bookmarkStart w:id="315" w:name="_1251509251"/>
      <w:bookmarkEnd w:id="315"/>
      <w:bookmarkStart w:id="316" w:name="_1251507792"/>
      <w:bookmarkEnd w:id="316"/>
      <w:bookmarkStart w:id="317" w:name="_1251509261"/>
      <w:bookmarkEnd w:id="317"/>
      <w:bookmarkStart w:id="318" w:name="_1251509279"/>
      <w:bookmarkEnd w:id="318"/>
      <w:bookmarkStart w:id="319" w:name="_1253059742"/>
      <w:bookmarkEnd w:id="319"/>
      <w:bookmarkStart w:id="320" w:name="_1253060096"/>
      <w:bookmarkEnd w:id="320"/>
      <w:bookmarkStart w:id="321" w:name="_1253059555"/>
      <w:bookmarkEnd w:id="321"/>
      <w:bookmarkStart w:id="322" w:name="_1253060628"/>
      <w:bookmarkEnd w:id="322"/>
      <w:bookmarkStart w:id="323" w:name="_1253057754"/>
      <w:bookmarkEnd w:id="323"/>
      <w:bookmarkStart w:id="324" w:name="_1253060070"/>
      <w:bookmarkEnd w:id="324"/>
      <w:bookmarkStart w:id="325" w:name="_1253060650"/>
      <w:bookmarkEnd w:id="325"/>
      <w:bookmarkStart w:id="326" w:name="_1253057996"/>
      <w:bookmarkEnd w:id="326"/>
      <w:bookmarkStart w:id="327" w:name="_1253059548"/>
      <w:bookmarkEnd w:id="327"/>
      <w:bookmarkStart w:id="328" w:name="_1253059219"/>
      <w:bookmarkEnd w:id="328"/>
      <w:bookmarkStart w:id="329" w:name="_1253059574"/>
      <w:bookmarkEnd w:id="329"/>
      <w:bookmarkStart w:id="330" w:name="_1253060033"/>
      <w:bookmarkEnd w:id="330"/>
      <w:bookmarkStart w:id="331" w:name="_1253059459"/>
      <w:bookmarkEnd w:id="331"/>
      <w:bookmarkStart w:id="332" w:name="_1253059427"/>
      <w:bookmarkEnd w:id="332"/>
      <w:bookmarkStart w:id="333" w:name="_1253060045"/>
      <w:bookmarkEnd w:id="333"/>
      <w:bookmarkStart w:id="334" w:name="_1253060053"/>
      <w:bookmarkEnd w:id="334"/>
      <w:bookmarkStart w:id="335" w:name="_1258630489"/>
      <w:bookmarkEnd w:id="335"/>
      <w:bookmarkStart w:id="336" w:name="_1253132696"/>
      <w:bookmarkEnd w:id="336"/>
      <w:bookmarkStart w:id="337" w:name="_1258630383"/>
      <w:bookmarkEnd w:id="337"/>
      <w:bookmarkStart w:id="338" w:name="_1257213071"/>
      <w:bookmarkEnd w:id="338"/>
      <w:bookmarkStart w:id="339" w:name="_1253126532"/>
      <w:bookmarkEnd w:id="339"/>
      <w:bookmarkStart w:id="340" w:name="_1257212327"/>
      <w:bookmarkEnd w:id="340"/>
      <w:bookmarkStart w:id="341" w:name="_1253060803"/>
      <w:bookmarkEnd w:id="341"/>
      <w:bookmarkStart w:id="342" w:name="_1258630623"/>
      <w:bookmarkEnd w:id="342"/>
      <w:bookmarkStart w:id="343" w:name="_1257212622"/>
      <w:bookmarkEnd w:id="343"/>
      <w:bookmarkStart w:id="344" w:name="_1253126363"/>
      <w:bookmarkEnd w:id="344"/>
      <w:bookmarkStart w:id="345" w:name="_1257212406"/>
      <w:bookmarkEnd w:id="345"/>
      <w:bookmarkStart w:id="346" w:name="_1257212415"/>
      <w:bookmarkEnd w:id="346"/>
      <w:bookmarkStart w:id="347" w:name="_1257212364"/>
      <w:bookmarkEnd w:id="347"/>
      <w:bookmarkStart w:id="348" w:name="_1257212756"/>
      <w:bookmarkEnd w:id="348"/>
      <w:bookmarkStart w:id="349" w:name="_1253060658"/>
      <w:bookmarkEnd w:id="349"/>
      <w:bookmarkStart w:id="350" w:name="_1257213637"/>
      <w:bookmarkEnd w:id="350"/>
      <w:bookmarkStart w:id="351" w:name="_1258635752"/>
      <w:bookmarkEnd w:id="351"/>
      <w:bookmarkStart w:id="352" w:name="_1258634055"/>
      <w:bookmarkEnd w:id="352"/>
      <w:bookmarkStart w:id="353" w:name="_1258636200"/>
      <w:bookmarkEnd w:id="353"/>
      <w:bookmarkStart w:id="354" w:name="_1258635819"/>
      <w:bookmarkEnd w:id="354"/>
      <w:bookmarkStart w:id="355" w:name="_1261102283"/>
      <w:bookmarkEnd w:id="355"/>
      <w:bookmarkStart w:id="356" w:name="_1258636174"/>
      <w:bookmarkEnd w:id="356"/>
      <w:bookmarkStart w:id="357" w:name="_1258636351"/>
      <w:bookmarkEnd w:id="357"/>
      <w:bookmarkStart w:id="358" w:name="_1261101322"/>
      <w:bookmarkEnd w:id="358"/>
      <w:bookmarkStart w:id="359" w:name="_1261102020"/>
      <w:bookmarkEnd w:id="359"/>
      <w:bookmarkStart w:id="360" w:name="_1258636220"/>
      <w:bookmarkEnd w:id="360"/>
      <w:bookmarkStart w:id="361" w:name="_1258636194"/>
      <w:bookmarkEnd w:id="361"/>
      <w:bookmarkStart w:id="362" w:name="_1258635779"/>
      <w:bookmarkEnd w:id="362"/>
      <w:bookmarkStart w:id="363" w:name="_1261101588"/>
      <w:bookmarkEnd w:id="363"/>
      <w:bookmarkStart w:id="364" w:name="_1261102306"/>
      <w:bookmarkEnd w:id="364"/>
      <w:bookmarkStart w:id="365" w:name="_1261102271"/>
      <w:bookmarkEnd w:id="365"/>
      <w:bookmarkStart w:id="366" w:name="_1261102275"/>
      <w:bookmarkEnd w:id="366"/>
      <w:bookmarkStart w:id="367" w:name="_1303825431"/>
      <w:bookmarkEnd w:id="367"/>
      <w:bookmarkStart w:id="368" w:name="_1289846340"/>
      <w:bookmarkEnd w:id="368"/>
      <w:bookmarkStart w:id="369" w:name="_1289846721"/>
      <w:bookmarkEnd w:id="369"/>
      <w:bookmarkStart w:id="370" w:name="_1285627578"/>
      <w:bookmarkEnd w:id="370"/>
      <w:bookmarkStart w:id="371" w:name="_1285627675"/>
      <w:bookmarkEnd w:id="371"/>
      <w:bookmarkStart w:id="372" w:name="_1261102675"/>
      <w:bookmarkEnd w:id="372"/>
      <w:bookmarkStart w:id="373" w:name="_1285627118"/>
      <w:bookmarkEnd w:id="373"/>
      <w:bookmarkStart w:id="374" w:name="_1285627104"/>
      <w:bookmarkEnd w:id="374"/>
      <w:bookmarkStart w:id="375" w:name="_1285627210"/>
      <w:bookmarkEnd w:id="375"/>
      <w:bookmarkStart w:id="376" w:name="_1285627163"/>
      <w:bookmarkEnd w:id="376"/>
      <w:bookmarkStart w:id="377" w:name="_1289844632"/>
      <w:bookmarkEnd w:id="377"/>
      <w:bookmarkStart w:id="378" w:name="_1285627041"/>
      <w:bookmarkEnd w:id="378"/>
      <w:bookmarkStart w:id="379" w:name="_1289846354"/>
      <w:bookmarkEnd w:id="379"/>
      <w:bookmarkStart w:id="380" w:name="_1289846374"/>
      <w:bookmarkEnd w:id="380"/>
      <w:bookmarkStart w:id="381" w:name="_1261102780"/>
      <w:bookmarkEnd w:id="381"/>
      <w:bookmarkStart w:id="382" w:name="_1289846430"/>
      <w:bookmarkEnd w:id="382"/>
      <w:bookmarkStart w:id="383" w:name="_1303827638"/>
      <w:bookmarkEnd w:id="383"/>
      <w:bookmarkStart w:id="384" w:name="_1319758718"/>
      <w:bookmarkEnd w:id="384"/>
      <w:bookmarkStart w:id="385" w:name="_1303827627"/>
      <w:bookmarkEnd w:id="385"/>
      <w:bookmarkStart w:id="386" w:name="_1303827590"/>
      <w:bookmarkEnd w:id="386"/>
      <w:bookmarkStart w:id="387" w:name="_1319759169"/>
      <w:bookmarkEnd w:id="387"/>
      <w:bookmarkStart w:id="388" w:name="_1303827616"/>
      <w:bookmarkEnd w:id="388"/>
      <w:bookmarkStart w:id="389" w:name="_1319760562"/>
      <w:bookmarkEnd w:id="389"/>
      <w:bookmarkStart w:id="390" w:name="_1319760572"/>
      <w:bookmarkEnd w:id="390"/>
      <w:bookmarkStart w:id="391" w:name="_1319758616"/>
      <w:bookmarkEnd w:id="391"/>
      <w:bookmarkStart w:id="392" w:name="_1306095397"/>
      <w:bookmarkEnd w:id="392"/>
      <w:bookmarkStart w:id="393" w:name="_1319760635"/>
      <w:bookmarkEnd w:id="393"/>
      <w:bookmarkStart w:id="394" w:name="_1321212317"/>
      <w:bookmarkEnd w:id="394"/>
      <w:bookmarkStart w:id="395" w:name="_1303827599"/>
      <w:bookmarkEnd w:id="395"/>
      <w:bookmarkStart w:id="396" w:name="_1319760555"/>
      <w:bookmarkEnd w:id="396"/>
      <w:bookmarkStart w:id="397" w:name="_1303827531"/>
      <w:bookmarkEnd w:id="397"/>
      <w:bookmarkStart w:id="398" w:name="_1303827549"/>
      <w:bookmarkEnd w:id="398"/>
      <w:bookmarkStart w:id="399" w:name="_1332195063"/>
      <w:bookmarkEnd w:id="399"/>
      <w:bookmarkStart w:id="400" w:name="_1332195888"/>
      <w:bookmarkEnd w:id="400"/>
      <w:bookmarkStart w:id="401" w:name="_1332196004"/>
      <w:bookmarkEnd w:id="401"/>
      <w:bookmarkStart w:id="402" w:name="_1332196673"/>
      <w:bookmarkEnd w:id="402"/>
      <w:bookmarkStart w:id="403" w:name="_1332196663"/>
      <w:bookmarkEnd w:id="403"/>
      <w:bookmarkStart w:id="404" w:name="_1323330554"/>
      <w:bookmarkEnd w:id="404"/>
      <w:bookmarkStart w:id="405" w:name="_1332196689"/>
      <w:bookmarkEnd w:id="405"/>
      <w:bookmarkStart w:id="406" w:name="_1332196135"/>
      <w:bookmarkEnd w:id="406"/>
      <w:bookmarkStart w:id="407" w:name="_1323326000"/>
      <w:bookmarkEnd w:id="407"/>
      <w:bookmarkStart w:id="408" w:name="_1323330570"/>
      <w:bookmarkEnd w:id="408"/>
      <w:bookmarkStart w:id="409" w:name="_1323330548"/>
      <w:bookmarkEnd w:id="409"/>
      <w:bookmarkStart w:id="410" w:name="_1323330598"/>
      <w:bookmarkEnd w:id="410"/>
      <w:bookmarkStart w:id="411" w:name="_1323330661"/>
      <w:bookmarkEnd w:id="411"/>
      <w:bookmarkStart w:id="412" w:name="_1332195028"/>
      <w:bookmarkEnd w:id="412"/>
      <w:bookmarkStart w:id="413" w:name="_1323328243"/>
      <w:bookmarkEnd w:id="413"/>
      <w:bookmarkStart w:id="414" w:name="_1323327248"/>
      <w:bookmarkEnd w:id="414"/>
      <w:bookmarkStart w:id="415" w:name="_1332893007"/>
      <w:bookmarkEnd w:id="415"/>
      <w:bookmarkStart w:id="416" w:name="_1333159443"/>
      <w:bookmarkEnd w:id="416"/>
      <w:bookmarkStart w:id="417" w:name="_1333159697"/>
      <w:bookmarkEnd w:id="417"/>
      <w:bookmarkStart w:id="418" w:name="_1333159580"/>
      <w:bookmarkEnd w:id="418"/>
      <w:bookmarkStart w:id="419" w:name="_1333158805"/>
      <w:bookmarkEnd w:id="419"/>
      <w:bookmarkStart w:id="420" w:name="_1333159474"/>
      <w:bookmarkEnd w:id="420"/>
      <w:bookmarkStart w:id="421" w:name="_1333159487"/>
      <w:bookmarkEnd w:id="421"/>
      <w:bookmarkStart w:id="422" w:name="_1333159612"/>
      <w:bookmarkEnd w:id="422"/>
      <w:bookmarkStart w:id="423" w:name="_1333159625"/>
      <w:bookmarkEnd w:id="423"/>
      <w:bookmarkStart w:id="424" w:name="_1333159417"/>
      <w:bookmarkEnd w:id="424"/>
      <w:bookmarkStart w:id="425" w:name="_1333158812"/>
      <w:bookmarkEnd w:id="425"/>
      <w:bookmarkStart w:id="426" w:name="_1332893038"/>
      <w:bookmarkEnd w:id="426"/>
      <w:bookmarkStart w:id="427" w:name="_1333157591"/>
      <w:bookmarkEnd w:id="427"/>
      <w:bookmarkStart w:id="428" w:name="_1333158402"/>
      <w:bookmarkEnd w:id="428"/>
      <w:bookmarkStart w:id="429" w:name="_1333158418"/>
      <w:bookmarkEnd w:id="429"/>
      <w:bookmarkStart w:id="430" w:name="_1332196751"/>
      <w:bookmarkEnd w:id="430"/>
      <w:bookmarkStart w:id="431" w:name="_1334574991"/>
      <w:bookmarkEnd w:id="431"/>
      <w:bookmarkStart w:id="432" w:name="_1334574371"/>
      <w:bookmarkEnd w:id="432"/>
      <w:bookmarkStart w:id="433" w:name="_1333159715"/>
      <w:bookmarkEnd w:id="433"/>
      <w:bookmarkStart w:id="434" w:name="_1333159726"/>
      <w:bookmarkEnd w:id="434"/>
      <w:bookmarkStart w:id="435" w:name="_1334575005"/>
      <w:bookmarkEnd w:id="435"/>
      <w:bookmarkStart w:id="436" w:name="_1334575119"/>
      <w:bookmarkEnd w:id="436"/>
      <w:bookmarkStart w:id="437" w:name="_1333159738"/>
      <w:bookmarkEnd w:id="437"/>
      <w:bookmarkStart w:id="438" w:name="_1334575133"/>
      <w:bookmarkEnd w:id="438"/>
      <w:r>
        <w:object>
          <v:shape id="_x0000_i1113" o:spt="75" type="#_x0000_t75" style="height:339.15pt;width:449.1pt;" o:ole="t" filled="f" o:preferrelative="t" stroked="f" coordsize="21600,21600">
            <v:path/>
            <v:fill on="f" alignshape="1" focussize="0,0"/>
            <v:stroke on="f"/>
            <v:imagedata r:id="rId154" croptop="-105f" cropbottom="7733f" o:title=""/>
            <o:lock v:ext="edit" aspectratio="t"/>
            <w10:wrap type="none"/>
            <w10:anchorlock/>
          </v:shape>
          <o:OLEObject Type="Embed" ProgID="Excel.Sheet.8" ShapeID="_x0000_i1113" DrawAspect="Content" ObjectID="_1468075799" r:id="rId153">
            <o:LockedField>false</o:LockedField>
          </o:OLEObject>
        </w:object>
      </w:r>
    </w:p>
    <w:p w14:paraId="3CC8CDE2">
      <w:pPr>
        <w:spacing w:line="360" w:lineRule="auto"/>
        <w:ind w:firstLine="480" w:firstLineChars="200"/>
        <w:rPr>
          <w:rFonts w:hint="eastAsia" w:ascii="宋体" w:hAnsi="宋体"/>
          <w:bCs/>
          <w:sz w:val="24"/>
          <w:u w:val="single"/>
        </w:rPr>
      </w:pPr>
      <w:r>
        <w:rPr>
          <w:rFonts w:hint="eastAsia" w:ascii="宋体" w:hAnsi="宋体"/>
          <w:bCs/>
          <w:sz w:val="24"/>
          <w:u w:val="single"/>
        </w:rPr>
        <w:t>经估算，矿井开采三、四采区时，投产时期</w:t>
      </w:r>
      <w:r>
        <w:rPr>
          <w:rFonts w:hint="eastAsia" w:ascii="宋体" w:hAnsi="宋体"/>
          <w:sz w:val="24"/>
          <w:u w:val="single"/>
        </w:rPr>
        <w:t>总风量按52m</w:t>
      </w:r>
      <w:r>
        <w:rPr>
          <w:rFonts w:hint="eastAsia" w:ascii="宋体" w:hAnsi="宋体"/>
          <w:sz w:val="24"/>
          <w:u w:val="single"/>
          <w:vertAlign w:val="superscript"/>
        </w:rPr>
        <w:t>3</w:t>
      </w:r>
      <w:r>
        <w:rPr>
          <w:rFonts w:hint="eastAsia" w:ascii="宋体" w:hAnsi="宋体"/>
          <w:sz w:val="24"/>
          <w:u w:val="single"/>
        </w:rPr>
        <w:t>/s考虑，困难时期的总风量按57m</w:t>
      </w:r>
      <w:r>
        <w:rPr>
          <w:rFonts w:hint="eastAsia" w:ascii="宋体" w:hAnsi="宋体"/>
          <w:sz w:val="24"/>
          <w:u w:val="single"/>
          <w:vertAlign w:val="superscript"/>
        </w:rPr>
        <w:t>3</w:t>
      </w:r>
      <w:r>
        <w:rPr>
          <w:rFonts w:hint="eastAsia" w:ascii="宋体" w:hAnsi="宋体"/>
          <w:sz w:val="24"/>
          <w:u w:val="single"/>
        </w:rPr>
        <w:t>/s考虑，则投产时期时期的负压为704.6Pa，困难时期的负压为1429.6Pa；矿井开采五采区时，困难时期的总风量按62m</w:t>
      </w:r>
      <w:r>
        <w:rPr>
          <w:rFonts w:hint="eastAsia" w:ascii="宋体" w:hAnsi="宋体"/>
          <w:sz w:val="24"/>
          <w:u w:val="single"/>
          <w:vertAlign w:val="superscript"/>
        </w:rPr>
        <w:t>3</w:t>
      </w:r>
      <w:r>
        <w:rPr>
          <w:rFonts w:hint="eastAsia" w:ascii="宋体" w:hAnsi="宋体"/>
          <w:sz w:val="24"/>
          <w:u w:val="single"/>
        </w:rPr>
        <w:t>/s考虑，困难时期的负压为2541.6Pa，根据FBCDZ-8-N020B型防爆轴流式风机风机性能曲线图，矿井开采一、二、三、四采区时，可使用同一套通风机；</w:t>
      </w:r>
      <w:r>
        <w:rPr>
          <w:rFonts w:hint="eastAsia" w:ascii="宋体" w:hAnsi="宋体"/>
          <w:bCs/>
          <w:sz w:val="24"/>
          <w:u w:val="single"/>
        </w:rPr>
        <w:t>矿井开采五采区时，需更换主要通风机。以上为估算结果，矿井后期开时，需请有资质的单位进行采区设计，重新核算和风机选型。</w:t>
      </w:r>
    </w:p>
    <w:p w14:paraId="0DD9F37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三.反风方式、反风系统</w:t>
      </w:r>
    </w:p>
    <w:p w14:paraId="58B643FB">
      <w:pPr>
        <w:spacing w:line="360" w:lineRule="auto"/>
        <w:ind w:firstLine="480" w:firstLineChars="200"/>
        <w:rPr>
          <w:rFonts w:hint="eastAsia" w:ascii="宋体" w:hAnsi="宋体"/>
          <w:bCs/>
          <w:sz w:val="24"/>
        </w:rPr>
      </w:pPr>
      <w:r>
        <w:rPr>
          <w:rFonts w:hint="eastAsia" w:ascii="宋体" w:hAnsi="宋体"/>
          <w:bCs/>
          <w:sz w:val="24"/>
        </w:rPr>
        <w:t>1、反风方式</w:t>
      </w:r>
    </w:p>
    <w:p w14:paraId="65C9DCE9">
      <w:pPr>
        <w:spacing w:line="360" w:lineRule="auto"/>
        <w:ind w:firstLine="480" w:firstLineChars="200"/>
        <w:rPr>
          <w:rFonts w:hint="eastAsia" w:ascii="宋体" w:hAnsi="宋体"/>
          <w:sz w:val="24"/>
        </w:rPr>
      </w:pPr>
      <w:r>
        <w:rPr>
          <w:rFonts w:hint="eastAsia" w:ascii="宋体" w:hAnsi="宋体"/>
          <w:sz w:val="24"/>
        </w:rPr>
        <w:t>矿井利用轴流式通风机反转的方法反风。</w:t>
      </w:r>
    </w:p>
    <w:p w14:paraId="3BD38EB4">
      <w:pPr>
        <w:spacing w:line="360" w:lineRule="auto"/>
        <w:ind w:firstLine="480" w:firstLineChars="200"/>
        <w:rPr>
          <w:rFonts w:hint="eastAsia" w:ascii="宋体" w:hAnsi="宋体"/>
          <w:sz w:val="24"/>
        </w:rPr>
      </w:pPr>
      <w:r>
        <w:rPr>
          <w:rFonts w:hint="eastAsia" w:ascii="宋体" w:hAnsi="宋体"/>
          <w:sz w:val="24"/>
        </w:rPr>
        <w:t>在反风时，调换电动机电源的两相，可以改变通风机动轮的旋转方向，使井下风流反向。这种反风方法不需设置反风道，比较经济。反风必须在10min内改变巷道中的风流方向。当风流方向改变后，主要通风机供风量不应小于正常风量的40%。反风设施每季度检查一次，每年进行一次反风演习。矿井通风系统有较大变化时，也要进行一次反风演习。主要通风机在停风期间，必须打开防爆门和有关风门，以便充分利用自然通风。</w:t>
      </w:r>
    </w:p>
    <w:p w14:paraId="799914FC">
      <w:pPr>
        <w:spacing w:line="360" w:lineRule="auto"/>
        <w:ind w:firstLine="480" w:firstLineChars="200"/>
        <w:rPr>
          <w:rFonts w:hint="eastAsia" w:ascii="宋体" w:hAnsi="宋体"/>
          <w:sz w:val="24"/>
        </w:rPr>
      </w:pPr>
      <w:r>
        <w:rPr>
          <w:rFonts w:hint="eastAsia" w:ascii="宋体" w:hAnsi="宋体"/>
          <w:sz w:val="24"/>
        </w:rPr>
        <w:t>2、反风系统及设施</w:t>
      </w:r>
    </w:p>
    <w:p w14:paraId="1AB77E5A">
      <w:pPr>
        <w:spacing w:line="360" w:lineRule="auto"/>
        <w:ind w:firstLine="480" w:firstLineChars="200"/>
        <w:rPr>
          <w:rFonts w:hint="eastAsia" w:ascii="宋体" w:hAnsi="宋体"/>
          <w:sz w:val="24"/>
        </w:rPr>
      </w:pPr>
      <w:r>
        <w:rPr>
          <w:rFonts w:hint="eastAsia" w:ascii="宋体" w:hAnsi="宋体"/>
          <w:sz w:val="24"/>
        </w:rPr>
        <w:t>在通风系统中各种通风设施的配置已考虑，保证反风系统的形成，在主斜井、副斜井及进风巷道中发生火灾时的反风路线为：新鲜风流→通风机→引风道→回风斜井→回风石门→采面回风顺槽→采面→采面运输顺槽</w:t>
      </w:r>
      <w:r>
        <w:rPr>
          <w:rFonts w:ascii="宋体" w:hAnsi="宋体"/>
          <w:sz w:val="24"/>
        </w:rPr>
        <w:t>→</w:t>
      </w:r>
      <w:r>
        <w:rPr>
          <w:rFonts w:hint="eastAsia" w:ascii="宋体" w:hAnsi="宋体"/>
          <w:sz w:val="24"/>
        </w:rPr>
        <w:t>运输石门（轨道石门）</w:t>
      </w:r>
      <w:r>
        <w:rPr>
          <w:rFonts w:ascii="宋体" w:hAnsi="宋体"/>
          <w:sz w:val="24"/>
        </w:rPr>
        <w:t>→</w:t>
      </w:r>
      <w:r>
        <w:rPr>
          <w:rFonts w:hint="eastAsia" w:ascii="宋体" w:hAnsi="宋体"/>
          <w:sz w:val="24"/>
        </w:rPr>
        <w:t>主斜井（副斜井）→地面。</w:t>
      </w:r>
    </w:p>
    <w:p w14:paraId="52020AEB">
      <w:pPr>
        <w:pStyle w:val="3"/>
        <w:keepLines/>
        <w:spacing w:before="240" w:after="240" w:line="360" w:lineRule="auto"/>
        <w:ind w:firstLine="0" w:firstLineChars="0"/>
        <w:jc w:val="center"/>
        <w:rPr>
          <w:rFonts w:hint="eastAsia"/>
          <w:b/>
          <w:color w:val="000000"/>
          <w:sz w:val="32"/>
          <w:szCs w:val="32"/>
        </w:rPr>
      </w:pPr>
      <w:bookmarkStart w:id="439" w:name="_Toc260915267"/>
      <w:r>
        <w:rPr>
          <w:rFonts w:hint="eastAsia"/>
          <w:b/>
          <w:color w:val="000000"/>
          <w:sz w:val="32"/>
          <w:szCs w:val="32"/>
        </w:rPr>
        <w:t>第三节　　灾害预防及安全装备</w:t>
      </w:r>
      <w:bookmarkEnd w:id="439"/>
    </w:p>
    <w:p w14:paraId="6D254066">
      <w:pPr>
        <w:adjustRightInd w:val="0"/>
        <w:snapToGrid w:val="0"/>
        <w:spacing w:line="360" w:lineRule="auto"/>
        <w:ind w:firstLine="480" w:firstLineChars="200"/>
        <w:rPr>
          <w:rFonts w:hint="eastAsia" w:ascii="宋体" w:hAnsi="宋体"/>
          <w:sz w:val="24"/>
        </w:rPr>
      </w:pPr>
      <w:r>
        <w:rPr>
          <w:rFonts w:ascii="宋体" w:hAnsi="宋体"/>
          <w:sz w:val="24"/>
        </w:rPr>
        <w:t>必须坚持</w:t>
      </w:r>
      <w:r>
        <w:rPr>
          <w:rFonts w:hint="eastAsia" w:ascii="宋体" w:hAnsi="宋体"/>
          <w:sz w:val="24"/>
        </w:rPr>
        <w:t>“</w:t>
      </w:r>
      <w:r>
        <w:rPr>
          <w:rFonts w:ascii="宋体" w:hAnsi="宋体"/>
          <w:sz w:val="24"/>
        </w:rPr>
        <w:t>安全第一</w:t>
      </w:r>
      <w:r>
        <w:rPr>
          <w:rFonts w:hint="eastAsia" w:ascii="宋体" w:hAnsi="宋体"/>
          <w:sz w:val="24"/>
        </w:rPr>
        <w:t>”</w:t>
      </w:r>
      <w:r>
        <w:rPr>
          <w:rFonts w:ascii="宋体" w:hAnsi="宋体"/>
          <w:sz w:val="24"/>
        </w:rPr>
        <w:t>的方针，遵循“预防为主、综合治理”的原则，做好</w:t>
      </w:r>
      <w:r>
        <w:rPr>
          <w:rFonts w:hint="eastAsia" w:ascii="宋体" w:hAnsi="宋体"/>
          <w:sz w:val="24"/>
        </w:rPr>
        <w:t>“一通三防”</w:t>
      </w:r>
      <w:r>
        <w:rPr>
          <w:rFonts w:ascii="宋体" w:hAnsi="宋体"/>
          <w:sz w:val="24"/>
        </w:rPr>
        <w:t>工作。设计中采取了有针对性的防治措施。并要求矿井基建、生产过程中严格执行《煤矿安全规程》</w:t>
      </w:r>
      <w:r>
        <w:rPr>
          <w:rFonts w:hint="eastAsia" w:ascii="宋体" w:hAnsi="宋体"/>
          <w:sz w:val="24"/>
        </w:rPr>
        <w:t>（2010版）</w:t>
      </w:r>
      <w:r>
        <w:rPr>
          <w:rFonts w:ascii="宋体" w:hAnsi="宋体"/>
          <w:sz w:val="24"/>
        </w:rPr>
        <w:t>及其它有关法律、法规、规程、规范中关于防治瓦斯的有关规定</w:t>
      </w:r>
      <w:r>
        <w:rPr>
          <w:rFonts w:hint="eastAsia" w:ascii="宋体" w:hAnsi="宋体"/>
          <w:sz w:val="24"/>
        </w:rPr>
        <w:t>，制订完善的灾害预防措施，做到防患于未然。</w:t>
      </w:r>
    </w:p>
    <w:p w14:paraId="7C50E586">
      <w:pPr>
        <w:adjustRightInd w:val="0"/>
        <w:snapToGrid w:val="0"/>
        <w:spacing w:line="360" w:lineRule="auto"/>
        <w:ind w:firstLine="480" w:firstLineChars="200"/>
        <w:rPr>
          <w:rFonts w:hint="eastAsia" w:ascii="宋体" w:hAnsi="宋体"/>
          <w:sz w:val="24"/>
        </w:rPr>
      </w:pPr>
      <w:r>
        <w:rPr>
          <w:rFonts w:hint="eastAsia" w:ascii="宋体" w:hAnsi="宋体"/>
          <w:sz w:val="24"/>
        </w:rPr>
        <w:t>业主应委托有资质的地质单位针对矿区内存在的地质灾害进行评估，并提交地质灾害评估报告报相关部门审批后，作为开采方案设计依据。</w:t>
      </w:r>
    </w:p>
    <w:p w14:paraId="13C1FDBE">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一、瓦斯灾害防治</w:t>
      </w:r>
    </w:p>
    <w:p w14:paraId="5E4D01E5">
      <w:pPr>
        <w:pStyle w:val="29"/>
        <w:spacing w:line="360" w:lineRule="auto"/>
        <w:ind w:firstLine="480" w:firstLineChars="200"/>
        <w:rPr>
          <w:rFonts w:hint="eastAsia" w:hAnsi="宋体"/>
          <w:sz w:val="24"/>
          <w:szCs w:val="24"/>
        </w:rPr>
      </w:pPr>
      <w:r>
        <w:rPr>
          <w:rFonts w:hint="eastAsia" w:hAnsi="宋体"/>
          <w:sz w:val="24"/>
          <w:szCs w:val="24"/>
        </w:rPr>
        <w:t>由于本井田煤层瓦斯含量高，瓦斯涌出量大，瓦斯是制约工作面生产能力的主要因素之一，因此，必须贯彻“先抽后采、以风定产、监测监控”的瓦斯治理工作方针，实施“可保尽保、应抽尽抽”的瓦斯综合治理战略，以完善通风系统为前提，以瓦斯抽采和防突为重点，以监测监控为保障，区域治理与局部治理并重，以抽定产，以风定产，地质保障，掘进先行，技术突破，管理创新，落实责任，实现煤与瓦斯共采，建设安全、高效、环保矿井。</w:t>
      </w:r>
    </w:p>
    <w:p w14:paraId="25D556E4">
      <w:pPr>
        <w:pStyle w:val="32"/>
        <w:ind w:firstLine="480" w:firstLineChars="200"/>
        <w:rPr>
          <w:rFonts w:hint="eastAsia" w:ascii="宋体" w:hAnsi="宋体"/>
        </w:rPr>
      </w:pPr>
      <w:r>
        <w:rPr>
          <w:rFonts w:hint="eastAsia" w:ascii="宋体" w:hAnsi="宋体" w:cs="仿宋_GB2312"/>
          <w:kern w:val="0"/>
        </w:rPr>
        <w:t>矿井瓦斯涌出量较大，在生产过程中必须加强通风管理，</w:t>
      </w:r>
      <w:r>
        <w:rPr>
          <w:rFonts w:hint="eastAsia" w:ascii="宋体" w:hAnsi="宋体"/>
        </w:rPr>
        <w:t>加强瓦斯检测记录，采取有效的预防措施，防止矿井瓦斯聚集，严格执行《煤矿安全规程》的有关规定，</w:t>
      </w:r>
      <w:r>
        <w:rPr>
          <w:rFonts w:hint="eastAsia" w:ascii="宋体" w:hAnsi="宋体" w:cs="仿宋_GB2312"/>
          <w:kern w:val="0"/>
        </w:rPr>
        <w:t>防止采掘工作面瓦斯超限，杜绝火源，防止瓦斯事故，</w:t>
      </w:r>
      <w:r>
        <w:rPr>
          <w:rFonts w:hint="eastAsia" w:ascii="宋体" w:hAnsi="宋体"/>
        </w:rPr>
        <w:t>保证矿井安全生产。</w:t>
      </w:r>
    </w:p>
    <w:p w14:paraId="0C53CDEE">
      <w:pPr>
        <w:pStyle w:val="32"/>
        <w:ind w:firstLine="480" w:firstLineChars="200"/>
        <w:rPr>
          <w:rFonts w:hint="eastAsia" w:ascii="宋体" w:hAnsi="宋体"/>
          <w:color w:val="FF0000"/>
          <w:kern w:val="0"/>
        </w:rPr>
      </w:pPr>
      <w:r>
        <w:rPr>
          <w:rFonts w:hint="eastAsia" w:ascii="宋体" w:hAnsi="宋体"/>
          <w:kern w:val="0"/>
          <w:lang w:val="en-GB"/>
        </w:rPr>
        <w:t>由于本矿井地质勘探程度低，</w:t>
      </w:r>
      <w:r>
        <w:rPr>
          <w:rFonts w:ascii="宋体" w:hAnsi="宋体"/>
        </w:rPr>
        <w:t>地质报告中没有提供瓦斯赋存、瓦斯涌出量、瓦斯梯度等相关资料</w:t>
      </w:r>
      <w:r>
        <w:rPr>
          <w:rFonts w:hint="eastAsia" w:ascii="宋体" w:hAnsi="宋体"/>
        </w:rPr>
        <w:t>，在今后随煤矿向深部进行开采活动时，煤层瓦斯含量会增加，矿井瓦斯涌出量也相应会增加。矿井在开采过程中应加强通风及瓦斯检测记录，防止局部瓦斯积聚，必须关注瓦斯涌情况，根据情况采取措施。矿井在建设及生产期间必须进行瓦斯含量、瓦斯涌出量的测定，并按要求定期进行瓦斯等级鉴定。</w:t>
      </w:r>
    </w:p>
    <w:p w14:paraId="0535D0C5">
      <w:pPr>
        <w:spacing w:line="360" w:lineRule="auto"/>
        <w:ind w:firstLine="480" w:firstLineChars="200"/>
        <w:rPr>
          <w:rFonts w:hint="eastAsia" w:ascii="宋体" w:hAnsi="宋体"/>
          <w:sz w:val="24"/>
          <w:szCs w:val="20"/>
        </w:rPr>
      </w:pPr>
      <w:r>
        <w:rPr>
          <w:rFonts w:hint="eastAsia" w:ascii="宋体" w:hAnsi="宋体"/>
          <w:sz w:val="24"/>
          <w:szCs w:val="20"/>
        </w:rPr>
        <w:t>瓦斯爆炸必须同时具体三个条件：</w:t>
      </w:r>
    </w:p>
    <w:p w14:paraId="4E1AD917">
      <w:pPr>
        <w:spacing w:line="360" w:lineRule="auto"/>
        <w:ind w:firstLine="480" w:firstLineChars="200"/>
        <w:rPr>
          <w:rFonts w:hint="eastAsia" w:ascii="宋体" w:hAnsi="宋体"/>
          <w:sz w:val="24"/>
          <w:szCs w:val="20"/>
        </w:rPr>
      </w:pPr>
      <w:r>
        <w:rPr>
          <w:rFonts w:hint="eastAsia" w:ascii="宋体" w:hAnsi="宋体"/>
          <w:sz w:val="24"/>
          <w:szCs w:val="20"/>
        </w:rPr>
        <w:t>A、瓦斯浓度在爆炸范围内；</w:t>
      </w:r>
    </w:p>
    <w:p w14:paraId="55CECABB">
      <w:pPr>
        <w:spacing w:line="360" w:lineRule="auto"/>
        <w:ind w:firstLine="480" w:firstLineChars="200"/>
        <w:rPr>
          <w:rFonts w:hint="eastAsia" w:ascii="宋体" w:hAnsi="宋体"/>
          <w:sz w:val="24"/>
          <w:szCs w:val="20"/>
        </w:rPr>
      </w:pPr>
      <w:r>
        <w:rPr>
          <w:rFonts w:hint="eastAsia" w:ascii="宋体" w:hAnsi="宋体"/>
          <w:sz w:val="24"/>
          <w:szCs w:val="20"/>
        </w:rPr>
        <w:t>B、高温热源存在时间大于瓦斯的引火感应期；</w:t>
      </w:r>
    </w:p>
    <w:p w14:paraId="38F84995">
      <w:pPr>
        <w:spacing w:line="360" w:lineRule="auto"/>
        <w:ind w:firstLine="480" w:firstLineChars="200"/>
        <w:rPr>
          <w:rFonts w:hint="eastAsia" w:ascii="宋体" w:hAnsi="宋体"/>
          <w:sz w:val="24"/>
          <w:szCs w:val="20"/>
        </w:rPr>
      </w:pPr>
      <w:r>
        <w:rPr>
          <w:rFonts w:hint="eastAsia" w:ascii="宋体" w:hAnsi="宋体"/>
          <w:sz w:val="24"/>
          <w:szCs w:val="20"/>
        </w:rPr>
        <w:t>C、瓦斯—空气混合气体中的氧浓度大于12%</w:t>
      </w:r>
      <w:r>
        <w:rPr>
          <w:rFonts w:ascii="宋体" w:hAnsi="宋体"/>
          <w:sz w:val="24"/>
        </w:rPr>
        <w:t>(</w:t>
      </w:r>
      <w:r>
        <w:rPr>
          <w:rFonts w:hint="eastAsia" w:ascii="宋体" w:hAnsi="宋体"/>
          <w:sz w:val="24"/>
        </w:rPr>
        <w:t>在矿井中是始终具备的</w:t>
      </w:r>
      <w:r>
        <w:rPr>
          <w:rFonts w:ascii="宋体" w:hAnsi="宋体"/>
          <w:sz w:val="24"/>
        </w:rPr>
        <w:t>)</w:t>
      </w:r>
      <w:r>
        <w:rPr>
          <w:rFonts w:hint="eastAsia" w:ascii="宋体" w:hAnsi="宋体"/>
          <w:sz w:val="24"/>
          <w:szCs w:val="20"/>
        </w:rPr>
        <w:t>。</w:t>
      </w:r>
    </w:p>
    <w:p w14:paraId="208E1856">
      <w:pPr>
        <w:spacing w:line="360" w:lineRule="auto"/>
        <w:ind w:firstLine="480" w:firstLineChars="200"/>
        <w:rPr>
          <w:rFonts w:hint="eastAsia" w:ascii="宋体" w:hAnsi="宋体"/>
          <w:sz w:val="24"/>
          <w:szCs w:val="20"/>
        </w:rPr>
      </w:pPr>
      <w:r>
        <w:rPr>
          <w:rFonts w:hint="eastAsia" w:ascii="宋体" w:hAnsi="宋体"/>
          <w:sz w:val="24"/>
          <w:szCs w:val="20"/>
        </w:rPr>
        <w:t>在生产中预防瓦斯爆炸的措施为：</w:t>
      </w:r>
    </w:p>
    <w:p w14:paraId="15382F8C">
      <w:pPr>
        <w:spacing w:line="360" w:lineRule="auto"/>
        <w:ind w:firstLine="480" w:firstLineChars="200"/>
        <w:rPr>
          <w:rFonts w:hint="eastAsia" w:ascii="宋体" w:hAnsi="宋体"/>
          <w:sz w:val="24"/>
          <w:szCs w:val="20"/>
        </w:rPr>
      </w:pPr>
      <w:r>
        <w:rPr>
          <w:rFonts w:hint="eastAsia" w:ascii="宋体" w:hAnsi="宋体"/>
          <w:sz w:val="24"/>
          <w:szCs w:val="20"/>
        </w:rPr>
        <w:t>A、防止瓦斯聚集和超限；B、</w:t>
      </w:r>
      <w:r>
        <w:rPr>
          <w:rFonts w:hAnsi="宋体"/>
          <w:sz w:val="24"/>
        </w:rPr>
        <w:t>防止瓦斯引燃</w:t>
      </w:r>
      <w:r>
        <w:rPr>
          <w:rFonts w:hint="eastAsia" w:ascii="宋体" w:hAnsi="宋体"/>
          <w:sz w:val="24"/>
          <w:szCs w:val="20"/>
        </w:rPr>
        <w:t>；C、</w:t>
      </w:r>
      <w:r>
        <w:rPr>
          <w:rFonts w:hAnsi="宋体"/>
          <w:sz w:val="24"/>
        </w:rPr>
        <w:t>加强瓦斯监测</w:t>
      </w:r>
      <w:r>
        <w:rPr>
          <w:rFonts w:hint="eastAsia" w:hAnsi="宋体"/>
          <w:sz w:val="24"/>
        </w:rPr>
        <w:t>；D、</w:t>
      </w:r>
      <w:r>
        <w:rPr>
          <w:rFonts w:hAnsi="宋体"/>
          <w:sz w:val="24"/>
        </w:rPr>
        <w:t>防止灾害扩大</w:t>
      </w:r>
      <w:r>
        <w:rPr>
          <w:rFonts w:hint="eastAsia" w:ascii="宋体" w:hAnsi="宋体"/>
          <w:sz w:val="24"/>
          <w:szCs w:val="20"/>
        </w:rPr>
        <w:t>。</w:t>
      </w:r>
    </w:p>
    <w:p w14:paraId="3059D5E1">
      <w:pPr>
        <w:pStyle w:val="29"/>
        <w:spacing w:before="120" w:beforeLines="50" w:after="120" w:afterLines="50" w:line="360" w:lineRule="auto"/>
        <w:ind w:firstLine="482" w:firstLineChars="200"/>
        <w:rPr>
          <w:rFonts w:hAnsi="宋体"/>
          <w:b/>
          <w:sz w:val="24"/>
          <w:szCs w:val="24"/>
        </w:rPr>
      </w:pPr>
      <w:r>
        <w:rPr>
          <w:rFonts w:hint="eastAsia" w:hAnsi="宋体"/>
          <w:b/>
          <w:sz w:val="24"/>
          <w:szCs w:val="24"/>
        </w:rPr>
        <w:t>1、</w:t>
      </w:r>
      <w:r>
        <w:rPr>
          <w:rFonts w:hAnsi="宋体"/>
          <w:b/>
          <w:sz w:val="24"/>
          <w:szCs w:val="24"/>
        </w:rPr>
        <w:t>防止瓦斯积聚</w:t>
      </w:r>
      <w:r>
        <w:rPr>
          <w:rFonts w:hint="eastAsia" w:hAnsi="宋体"/>
          <w:b/>
          <w:sz w:val="24"/>
          <w:szCs w:val="20"/>
        </w:rPr>
        <w:t>和超限</w:t>
      </w:r>
    </w:p>
    <w:p w14:paraId="30D21084">
      <w:pPr>
        <w:spacing w:line="360" w:lineRule="auto"/>
        <w:ind w:firstLine="480" w:firstLineChars="200"/>
        <w:rPr>
          <w:rFonts w:hint="eastAsia" w:ascii="宋体" w:hAnsi="宋体"/>
          <w:sz w:val="24"/>
        </w:rPr>
      </w:pPr>
      <w:r>
        <w:rPr>
          <w:rFonts w:hint="eastAsia" w:ascii="宋体" w:hAnsi="宋体"/>
          <w:sz w:val="24"/>
        </w:rPr>
        <w:t>所谓瓦斯积聚是指局部瓦斯浓度超过2%，其体积超过0.5m</w:t>
      </w:r>
      <w:r>
        <w:rPr>
          <w:rFonts w:hint="eastAsia" w:ascii="宋体" w:hAnsi="宋体"/>
          <w:sz w:val="24"/>
          <w:vertAlign w:val="superscript"/>
        </w:rPr>
        <w:t>3</w:t>
      </w:r>
      <w:r>
        <w:rPr>
          <w:rFonts w:hint="eastAsia" w:ascii="宋体" w:hAnsi="宋体"/>
          <w:sz w:val="24"/>
        </w:rPr>
        <w:t>的现象。</w:t>
      </w:r>
    </w:p>
    <w:p w14:paraId="5D43E32E">
      <w:pPr>
        <w:spacing w:line="360" w:lineRule="auto"/>
        <w:ind w:firstLine="480" w:firstLineChars="200"/>
        <w:rPr>
          <w:rFonts w:hint="eastAsia" w:ascii="宋体" w:hAnsi="宋体"/>
          <w:sz w:val="24"/>
        </w:rPr>
      </w:pPr>
      <w:r>
        <w:rPr>
          <w:rFonts w:hint="eastAsia" w:ascii="宋体" w:hAnsi="宋体"/>
          <w:sz w:val="24"/>
        </w:rPr>
        <w:t>矿井必须从采掘工作、生产管理上采取措施，防止瓦斯积聚。瓦斯积聚时必须及时处理。通风异常与瓦斯涌出异常是造成瓦斯积聚的根本原因。因此防止瓦斯积聚的根本措施是避免这些异常的发生，或者一旦出现异常，必须及时采取措施，在造成事故或灾害之前，使其恢复正常；如果经处理仍不能恢复正常，应将其控制在局部地点，使异常局部化，并在异常区采取措施杜绝一切可能产生的火源，或撤人，以策安全。</w:t>
      </w:r>
    </w:p>
    <w:p w14:paraId="38BDB74F">
      <w:pPr>
        <w:spacing w:line="360" w:lineRule="auto"/>
        <w:ind w:firstLine="480" w:firstLineChars="200"/>
        <w:rPr>
          <w:rFonts w:hint="eastAsia" w:ascii="宋体" w:hAnsi="宋体"/>
          <w:sz w:val="24"/>
        </w:rPr>
      </w:pPr>
      <w:r>
        <w:rPr>
          <w:rFonts w:hint="eastAsia" w:ascii="宋体" w:hAnsi="宋体"/>
          <w:sz w:val="24"/>
        </w:rPr>
        <w:t>（1）通风是防止瓦斯积聚最基本、最有效的措施</w:t>
      </w:r>
    </w:p>
    <w:p w14:paraId="202036E4">
      <w:pPr>
        <w:spacing w:line="360" w:lineRule="auto"/>
        <w:ind w:firstLine="480" w:firstLineChars="200"/>
        <w:rPr>
          <w:rFonts w:hint="eastAsia" w:ascii="宋体" w:hAnsi="宋体"/>
          <w:sz w:val="24"/>
        </w:rPr>
      </w:pPr>
      <w:r>
        <w:rPr>
          <w:rFonts w:hint="eastAsia" w:ascii="宋体" w:hAnsi="宋体"/>
          <w:sz w:val="24"/>
        </w:rPr>
        <w:t>通风异常的原因主要是停电、通风系统或设施的破坏或异常、反风等。本矿井建立一个安全可靠、完整的、独立的通风系统，主要通风机工作方法为抽出式。矿井主要通风机是矿井的“肺脏”除了选型合理外，一定要安装好，维护好。</w:t>
      </w:r>
    </w:p>
    <w:p w14:paraId="73064BAC">
      <w:pPr>
        <w:spacing w:line="360" w:lineRule="auto"/>
        <w:ind w:firstLine="480" w:firstLineChars="200"/>
        <w:rPr>
          <w:rFonts w:hint="eastAsia" w:ascii="宋体" w:hAnsi="宋体"/>
          <w:sz w:val="24"/>
        </w:rPr>
      </w:pPr>
      <w:r>
        <w:rPr>
          <w:rFonts w:hint="eastAsia" w:ascii="宋体" w:hAnsi="宋体"/>
          <w:sz w:val="24"/>
        </w:rPr>
        <w:t>1）矿井主要通风机采用双回路供电，一回电源停止供电后，另一回路必须马上投入运行。矿井有因停电和检修主要通风机停止运转或通风系统遭到破坏以后恢复通风、排除瓦斯和送电安全的措施，恢复正常通风后，所有受到停风影响的地点，都必须经过通风、瓦斯检查人员检查，证实无危险后，方可恢复工作。所有安装电动机及其开关的地点附近20m的巷道内，都必须检查瓦斯，只有瓦斯浓度不超过0.5%时，方可开启。</w:t>
      </w:r>
    </w:p>
    <w:p w14:paraId="70E28AF2">
      <w:pPr>
        <w:spacing w:line="360" w:lineRule="auto"/>
        <w:ind w:firstLine="480" w:firstLineChars="200"/>
        <w:rPr>
          <w:rFonts w:hint="eastAsia" w:ascii="宋体" w:hAnsi="宋体"/>
          <w:sz w:val="24"/>
        </w:rPr>
      </w:pPr>
      <w:r>
        <w:rPr>
          <w:rFonts w:hint="eastAsia" w:ascii="宋体" w:hAnsi="宋体"/>
          <w:sz w:val="24"/>
        </w:rPr>
        <w:t>2）掘进工作面局部通风机通风必须保证通风机设置在进风口侧10m外的新鲜风流处，防止产生循环风。风筒出风口应随工作面掘进及时移动，确保掘 进工作面有足够风量。</w:t>
      </w:r>
    </w:p>
    <w:p w14:paraId="1D027A70">
      <w:pPr>
        <w:pStyle w:val="15"/>
        <w:spacing w:line="360" w:lineRule="auto"/>
        <w:ind w:firstLine="480"/>
        <w:rPr>
          <w:rFonts w:hint="eastAsia" w:ascii="宋体" w:hAnsi="宋体"/>
          <w:sz w:val="24"/>
          <w:szCs w:val="24"/>
        </w:rPr>
      </w:pPr>
      <w:r>
        <w:rPr>
          <w:rFonts w:hint="eastAsia" w:ascii="宋体" w:hAnsi="宋体"/>
          <w:sz w:val="24"/>
          <w:szCs w:val="24"/>
        </w:rPr>
        <w:t>3）局部通风机管理</w:t>
      </w:r>
    </w:p>
    <w:p w14:paraId="2223D80E">
      <w:pPr>
        <w:pStyle w:val="15"/>
        <w:spacing w:line="360" w:lineRule="auto"/>
        <w:ind w:firstLine="480"/>
        <w:rPr>
          <w:rFonts w:hint="eastAsia" w:ascii="宋体" w:hAnsi="宋体"/>
          <w:sz w:val="24"/>
          <w:szCs w:val="24"/>
        </w:rPr>
      </w:pPr>
      <w:r>
        <w:rPr>
          <w:rFonts w:hint="eastAsia" w:ascii="宋体" w:hAnsi="宋体"/>
          <w:sz w:val="24"/>
          <w:szCs w:val="24"/>
        </w:rPr>
        <w:t>⑴ 局部通风机必须设指定人员负责管理，保证正常运转。</w:t>
      </w:r>
    </w:p>
    <w:p w14:paraId="5AEF14F7">
      <w:pPr>
        <w:pStyle w:val="15"/>
        <w:spacing w:line="360" w:lineRule="auto"/>
        <w:ind w:firstLine="480"/>
        <w:rPr>
          <w:rFonts w:hint="eastAsia" w:ascii="宋体" w:hAnsi="宋体"/>
          <w:sz w:val="24"/>
          <w:szCs w:val="24"/>
        </w:rPr>
      </w:pPr>
      <w:r>
        <w:rPr>
          <w:rFonts w:hint="eastAsia" w:ascii="宋体" w:hAnsi="宋体"/>
          <w:sz w:val="24"/>
          <w:szCs w:val="24"/>
        </w:rPr>
        <w:t>⑵ 压入式局部通风机和启动装置，必须安装在进风巷道中，距掘进巷道回风口不得小于10m。全负压供给该处的风量必须大于局部通风机的吸风量。局部通风机安装地点到回风口间的巷道中的最低风速必须符合</w:t>
      </w:r>
      <w:r>
        <w:rPr>
          <w:rFonts w:ascii="宋体" w:hAnsi="宋体"/>
          <w:sz w:val="24"/>
          <w:szCs w:val="24"/>
        </w:rPr>
        <w:t>《煤矿安全规程》（2010版）之第一百零一条的有关规定。</w:t>
      </w:r>
      <w:r>
        <w:rPr>
          <w:rFonts w:hint="eastAsia" w:ascii="宋体" w:hAnsi="宋体"/>
          <w:sz w:val="24"/>
          <w:szCs w:val="24"/>
        </w:rPr>
        <w:t>即</w:t>
      </w:r>
      <w:r>
        <w:rPr>
          <w:rFonts w:hint="eastAsia" w:ascii="宋体" w:hAnsi="宋体"/>
          <w:kern w:val="10"/>
          <w:sz w:val="24"/>
          <w:szCs w:val="24"/>
        </w:rPr>
        <w:t>掘进岩巷时，局部通风机安装地点到回风口间的巷道中的最低风速大于0.15m/s；掘进煤巷时，局部通风机安装地点到回风口间的巷道中的最低风速大于0.25m/s。</w:t>
      </w:r>
    </w:p>
    <w:p w14:paraId="43812DD9">
      <w:pPr>
        <w:pStyle w:val="15"/>
        <w:spacing w:line="360" w:lineRule="auto"/>
        <w:ind w:firstLine="480"/>
        <w:rPr>
          <w:rFonts w:hint="eastAsia" w:ascii="宋体" w:hAnsi="宋体"/>
          <w:sz w:val="24"/>
          <w:szCs w:val="24"/>
        </w:rPr>
      </w:pPr>
      <w:r>
        <w:rPr>
          <w:rFonts w:hint="eastAsia" w:ascii="宋体" w:hAnsi="宋体"/>
          <w:sz w:val="24"/>
          <w:szCs w:val="24"/>
        </w:rPr>
        <w:t>⑶ 掘进工作面正常工作的局部通风机必须配备安装同等能力的备用局部通风机，并能自动切换。正常工作的局部通风机必须采用三专（专用开关、专用电缆、专用变压器）供电，专用变压器最多可向4套不同的掘进工作面得局部通风机供电；备用局部通风机电源必须取自同时带电的另一电源，当正常工作的局部通风机故障时，备用局部通风机能自动启动，保持掘进工作面正常通风。</w:t>
      </w:r>
    </w:p>
    <w:p w14:paraId="2CA085CD">
      <w:pPr>
        <w:pStyle w:val="15"/>
        <w:spacing w:line="360" w:lineRule="auto"/>
        <w:ind w:firstLine="480"/>
        <w:rPr>
          <w:rFonts w:hint="eastAsia" w:ascii="宋体" w:hAnsi="宋体"/>
          <w:sz w:val="24"/>
          <w:szCs w:val="24"/>
        </w:rPr>
      </w:pPr>
      <w:r>
        <w:rPr>
          <w:rFonts w:hint="eastAsia" w:ascii="宋体" w:hAnsi="宋体"/>
          <w:sz w:val="24"/>
          <w:szCs w:val="24"/>
        </w:rPr>
        <w:t>⑷ 必须采用抗静电、阻燃风筒。风筒口到掘进工作面的距离、正常工作的局部通风机和备用局部通风机自动切换装置的交叉风筒接头的规格和安设标准，应在作业规程中明确。</w:t>
      </w:r>
    </w:p>
    <w:p w14:paraId="12FEC291">
      <w:pPr>
        <w:pStyle w:val="15"/>
        <w:spacing w:line="360" w:lineRule="auto"/>
        <w:ind w:firstLine="480"/>
        <w:rPr>
          <w:rFonts w:hint="eastAsia" w:ascii="宋体" w:hAnsi="宋体"/>
          <w:sz w:val="24"/>
          <w:szCs w:val="24"/>
        </w:rPr>
      </w:pPr>
      <w:r>
        <w:rPr>
          <w:rFonts w:hint="eastAsia" w:ascii="宋体" w:hAnsi="宋体"/>
          <w:sz w:val="24"/>
          <w:szCs w:val="24"/>
        </w:rPr>
        <w:t>⑸ 正常工作和备用局部通风机均失电停止运转后，当电源恢复时，正常工作的局部通风机和备用局部通风机均不得自行启动，必须人工开启局部通风机。</w:t>
      </w:r>
    </w:p>
    <w:p w14:paraId="24E3A9DA">
      <w:pPr>
        <w:pStyle w:val="15"/>
        <w:spacing w:line="360" w:lineRule="auto"/>
        <w:ind w:firstLine="480"/>
        <w:rPr>
          <w:rFonts w:hint="eastAsia" w:ascii="宋体" w:hAnsi="宋体"/>
          <w:sz w:val="24"/>
          <w:szCs w:val="24"/>
        </w:rPr>
      </w:pPr>
      <w:r>
        <w:rPr>
          <w:rFonts w:hint="eastAsia" w:ascii="宋体" w:hAnsi="宋体"/>
          <w:sz w:val="24"/>
          <w:szCs w:val="24"/>
        </w:rPr>
        <w:t>⑹ 使用局部通风机地点必须实现风电闭锁，保证当正常的局部通风机停止运转或停风后能自动切断停风区内全部非本质安全型电气设备的电源。正常工作的局部通风机故障，切换到备用局部通风机工作时，该局部通风机通风范围内应停止工作，排除故障；待故障排除，恢复到正常工作的局部通风后方可恢复工作。</w:t>
      </w:r>
    </w:p>
    <w:p w14:paraId="01C9A9CE">
      <w:pPr>
        <w:pStyle w:val="15"/>
        <w:spacing w:line="360" w:lineRule="auto"/>
        <w:ind w:firstLine="480"/>
        <w:rPr>
          <w:rFonts w:hint="eastAsia" w:ascii="宋体" w:hAnsi="宋体"/>
          <w:sz w:val="24"/>
          <w:szCs w:val="24"/>
        </w:rPr>
      </w:pPr>
      <w:r>
        <w:rPr>
          <w:rFonts w:hint="eastAsia" w:ascii="宋体" w:hAnsi="宋体"/>
          <w:sz w:val="24"/>
          <w:szCs w:val="24"/>
        </w:rPr>
        <w:t>⑺ 每10天至少进行一次甲烷风电闭锁试验，每天应进行一次正常的局部通风机与备用局部通风机自动切换试验，试验期间不得影响局部通风，试验记录必须存档备查。</w:t>
      </w:r>
    </w:p>
    <w:p w14:paraId="658A265F">
      <w:pPr>
        <w:pStyle w:val="15"/>
        <w:spacing w:line="360" w:lineRule="auto"/>
        <w:ind w:firstLine="480"/>
        <w:rPr>
          <w:rFonts w:hint="eastAsia" w:ascii="宋体" w:hAnsi="宋体"/>
          <w:sz w:val="24"/>
          <w:szCs w:val="24"/>
        </w:rPr>
      </w:pPr>
      <w:r>
        <w:rPr>
          <w:rFonts w:hint="eastAsia" w:ascii="宋体" w:hAnsi="宋体"/>
          <w:sz w:val="24"/>
          <w:szCs w:val="24"/>
        </w:rPr>
        <w:t>⑻ 严禁3台以上(含3台)的局部通风机同时向1个掘进工作面供风。不得使用1台局部通风机同时向2个作业的掘进工作面供风。</w:t>
      </w:r>
    </w:p>
    <w:p w14:paraId="624AA340">
      <w:pPr>
        <w:pStyle w:val="15"/>
        <w:spacing w:line="360" w:lineRule="auto"/>
        <w:ind w:firstLine="480"/>
        <w:rPr>
          <w:rFonts w:hint="eastAsia" w:ascii="宋体" w:hAnsi="宋体"/>
          <w:sz w:val="24"/>
          <w:szCs w:val="24"/>
        </w:rPr>
      </w:pPr>
      <w:r>
        <w:rPr>
          <w:rFonts w:hint="eastAsia" w:ascii="宋体" w:hAnsi="宋体"/>
          <w:sz w:val="24"/>
          <w:szCs w:val="24"/>
        </w:rPr>
        <w:t>⑼ 使用局部通风机通风的掘进工作面，不得停风；因检修、停电、故障等原因停风时，必须将人员撤至全风压进风流处，切断电源。恢复通风前，必须由专职瓦斯检查员检查瓦斯，只有在局部通风机及其开关附近10</w:t>
      </w:r>
      <w:r>
        <w:rPr>
          <w:rFonts w:ascii="宋体" w:hAnsi="宋体"/>
          <w:sz w:val="24"/>
          <w:szCs w:val="24"/>
        </w:rPr>
        <w:t>m</w:t>
      </w:r>
      <w:r>
        <w:rPr>
          <w:rFonts w:hint="eastAsia" w:ascii="宋体" w:hAnsi="宋体"/>
          <w:sz w:val="24"/>
          <w:szCs w:val="24"/>
        </w:rPr>
        <w:t>以内风流中的瓦斯浓度都不超过</w:t>
      </w:r>
      <w:r>
        <w:rPr>
          <w:rFonts w:ascii="宋体" w:hAnsi="宋体"/>
          <w:sz w:val="24"/>
          <w:szCs w:val="24"/>
        </w:rPr>
        <w:t>0.5%</w:t>
      </w:r>
      <w:r>
        <w:rPr>
          <w:rFonts w:hint="eastAsia" w:ascii="宋体" w:hAnsi="宋体"/>
          <w:sz w:val="24"/>
          <w:szCs w:val="24"/>
        </w:rPr>
        <w:t>时，方可由指定人员开启局部通风机。</w:t>
      </w:r>
    </w:p>
    <w:p w14:paraId="65E0AD41">
      <w:pPr>
        <w:spacing w:line="360" w:lineRule="auto"/>
        <w:ind w:firstLine="480" w:firstLineChars="200"/>
        <w:rPr>
          <w:rFonts w:hint="eastAsia" w:ascii="宋体" w:hAnsi="宋体"/>
          <w:sz w:val="24"/>
        </w:rPr>
      </w:pPr>
      <w:r>
        <w:rPr>
          <w:rFonts w:hint="eastAsia" w:ascii="宋体" w:hAnsi="宋体"/>
          <w:sz w:val="24"/>
        </w:rPr>
        <w:t>4）临时停工地点，不得停风；否则必须切断电源，设置栅栏，揭示警标，禁止人员进入，并向调度室报告。停工区内瓦斯或二氧化碳浓度达到3.0%不能立即处理时，必须在24h内封闭完毕。</w:t>
      </w:r>
    </w:p>
    <w:p w14:paraId="64444C04">
      <w:pPr>
        <w:spacing w:line="360" w:lineRule="auto"/>
        <w:ind w:firstLine="480" w:firstLineChars="200"/>
        <w:rPr>
          <w:rFonts w:hint="eastAsia" w:ascii="宋体" w:hAnsi="宋体"/>
          <w:sz w:val="24"/>
        </w:rPr>
      </w:pPr>
      <w:r>
        <w:rPr>
          <w:rFonts w:hint="eastAsia" w:ascii="宋体" w:hAnsi="宋体"/>
          <w:sz w:val="24"/>
        </w:rPr>
        <w:t>5）通风系统或通风设施的破坏或异常（如风门该关的未关，风道堵塞、临时改变通风系统、掘进通风风筒脱节或破坏等），都会造成局部或区域风量不足甚至无风，产生瓦斯积聚。出现这些异常，必须及时修复，采取措施恢复正常通风。</w:t>
      </w:r>
    </w:p>
    <w:p w14:paraId="5C4FDDE7">
      <w:pPr>
        <w:spacing w:line="360" w:lineRule="auto"/>
        <w:ind w:firstLine="480" w:firstLineChars="200"/>
        <w:rPr>
          <w:rFonts w:hint="eastAsia" w:ascii="宋体" w:hAnsi="宋体"/>
          <w:sz w:val="24"/>
        </w:rPr>
      </w:pPr>
      <w:r>
        <w:rPr>
          <w:rFonts w:hint="eastAsia" w:ascii="宋体" w:hAnsi="宋体"/>
          <w:sz w:val="24"/>
        </w:rPr>
        <w:t>6）采煤工作面和掘进工作面均为独立的通风系统，回采工作面采用U型通风方式，掘进工作面采用压入式。矿井各用风地点必须供给质洁量足的空气，以保证矿井正常生产及人身安全。</w:t>
      </w:r>
    </w:p>
    <w:p w14:paraId="642AE13A">
      <w:pPr>
        <w:spacing w:line="360" w:lineRule="auto"/>
        <w:ind w:firstLine="480" w:firstLineChars="200"/>
        <w:rPr>
          <w:rFonts w:hint="eastAsia" w:ascii="宋体" w:hAnsi="宋体"/>
          <w:sz w:val="24"/>
        </w:rPr>
      </w:pPr>
      <w:r>
        <w:rPr>
          <w:rFonts w:hint="eastAsia" w:ascii="宋体" w:hAnsi="宋体"/>
          <w:sz w:val="24"/>
        </w:rPr>
        <w:t>7）建立测风制度，每10天进行一次全面测风。对采掘工作面和其它用风地点，根据实际需要随时测风，将每次测风结果记录并写在测风地点的记录牌上，并根据测风结果调节风量。</w:t>
      </w:r>
    </w:p>
    <w:p w14:paraId="739BD584">
      <w:pPr>
        <w:spacing w:line="360" w:lineRule="auto"/>
        <w:ind w:firstLine="480" w:firstLineChars="200"/>
        <w:rPr>
          <w:rFonts w:hint="eastAsia" w:ascii="宋体" w:hAnsi="宋体"/>
          <w:sz w:val="24"/>
        </w:rPr>
      </w:pPr>
      <w:r>
        <w:rPr>
          <w:rFonts w:hint="eastAsia" w:ascii="宋体" w:hAnsi="宋体"/>
          <w:sz w:val="24"/>
        </w:rPr>
        <w:t>（2）及时安全地处理积存瓦斯</w:t>
      </w:r>
    </w:p>
    <w:p w14:paraId="6BACDB65">
      <w:pPr>
        <w:spacing w:line="360" w:lineRule="auto"/>
        <w:ind w:firstLine="480" w:firstLineChars="200"/>
        <w:rPr>
          <w:rFonts w:hint="eastAsia" w:ascii="宋体" w:hAnsi="宋体"/>
          <w:sz w:val="24"/>
        </w:rPr>
      </w:pPr>
      <w:r>
        <w:rPr>
          <w:rFonts w:hint="eastAsia" w:ascii="宋体" w:hAnsi="宋体"/>
          <w:sz w:val="24"/>
        </w:rPr>
        <w:t>矿井必须从采掘生产上采取措施，防止瓦斯积聚；当发生瓦斯积聚时，必须及时处理。处理积存的瓦斯采取的措施有：</w:t>
      </w:r>
    </w:p>
    <w:p w14:paraId="4B0D4798">
      <w:pPr>
        <w:spacing w:line="360" w:lineRule="auto"/>
        <w:ind w:firstLine="480" w:firstLineChars="200"/>
        <w:rPr>
          <w:rFonts w:hint="eastAsia" w:ascii="宋体" w:hAnsi="宋体"/>
          <w:sz w:val="24"/>
        </w:rPr>
      </w:pPr>
      <w:r>
        <w:rPr>
          <w:rFonts w:hint="eastAsia" w:ascii="宋体" w:hAnsi="宋体"/>
          <w:sz w:val="24"/>
        </w:rPr>
        <w:t>1）矿井必须有因停电和检修主要通风机停止运转或通风系统遭到破坏以后恢复通风、排除瓦斯和送电安全措施。恢复正常通风后，所有受到停风影响的地点，都必须经过通风、瓦斯检查人员检查，证实无危险后，方可恢复工作。所有安装电动机及其开关的地点附近20</w:t>
      </w:r>
      <w:r>
        <w:rPr>
          <w:rFonts w:ascii="宋体" w:hAnsi="宋体"/>
          <w:sz w:val="24"/>
        </w:rPr>
        <w:t>m</w:t>
      </w:r>
      <w:r>
        <w:rPr>
          <w:rFonts w:hint="eastAsia" w:ascii="宋体" w:hAnsi="宋体"/>
          <w:sz w:val="24"/>
        </w:rPr>
        <w:t>的巷道内，都必须检查瓦斯，只有瓦斯浓度符合《煤矿安全规程》（2010版）规定时，方可开启。</w:t>
      </w:r>
    </w:p>
    <w:p w14:paraId="12CFA4B4">
      <w:pPr>
        <w:spacing w:line="360" w:lineRule="auto"/>
        <w:ind w:firstLine="480" w:firstLineChars="200"/>
        <w:rPr>
          <w:rFonts w:hint="eastAsia" w:ascii="宋体" w:hAnsi="宋体"/>
          <w:sz w:val="24"/>
        </w:rPr>
      </w:pPr>
      <w:r>
        <w:rPr>
          <w:rFonts w:hint="eastAsia" w:ascii="宋体" w:hAnsi="宋体"/>
          <w:sz w:val="24"/>
        </w:rPr>
        <w:t>2）临时停工地点，不得停风；否则必须切断电源，设置栅栏，揭示警标，禁止人员进入，并向调度室报告。停工区内瓦斯或二氧化碳浓度达到3</w:t>
      </w:r>
      <w:r>
        <w:rPr>
          <w:rFonts w:ascii="宋体" w:hAnsi="宋体"/>
          <w:sz w:val="24"/>
        </w:rPr>
        <w:t>.0</w:t>
      </w:r>
      <w:r>
        <w:rPr>
          <w:rFonts w:hint="eastAsia" w:ascii="宋体" w:hAnsi="宋体"/>
          <w:sz w:val="24"/>
        </w:rPr>
        <w:t>%或其它气体浓度超过《煤矿安全规程》（2010版）规定不能立即处理时，必须在24</w:t>
      </w:r>
      <w:r>
        <w:rPr>
          <w:rFonts w:ascii="宋体" w:hAnsi="宋体"/>
          <w:sz w:val="24"/>
        </w:rPr>
        <w:t>h</w:t>
      </w:r>
      <w:r>
        <w:rPr>
          <w:rFonts w:hint="eastAsia" w:ascii="宋体" w:hAnsi="宋体"/>
          <w:sz w:val="24"/>
        </w:rPr>
        <w:t>内封闭完毕。</w:t>
      </w:r>
    </w:p>
    <w:p w14:paraId="16C4F1EA">
      <w:pPr>
        <w:spacing w:line="360" w:lineRule="auto"/>
        <w:ind w:firstLine="480" w:firstLineChars="200"/>
        <w:rPr>
          <w:rFonts w:hint="eastAsia" w:ascii="宋体" w:hAnsi="宋体"/>
          <w:sz w:val="24"/>
        </w:rPr>
      </w:pPr>
      <w:r>
        <w:rPr>
          <w:rFonts w:hint="eastAsia" w:ascii="宋体" w:hAnsi="宋体"/>
          <w:sz w:val="24"/>
        </w:rPr>
        <w:t>3）恢复已封闭的停工区或采掘工作接近这些地点时，必须事先排除其中积聚的瓦斯，排除瓦斯工作必须制定安全技术措施。</w:t>
      </w:r>
    </w:p>
    <w:p w14:paraId="079D726B">
      <w:pPr>
        <w:spacing w:line="360" w:lineRule="auto"/>
        <w:ind w:firstLine="480" w:firstLineChars="200"/>
        <w:rPr>
          <w:rFonts w:hint="eastAsia" w:ascii="宋体" w:hAnsi="宋体"/>
          <w:sz w:val="24"/>
        </w:rPr>
      </w:pPr>
      <w:r>
        <w:rPr>
          <w:rFonts w:hint="eastAsia" w:ascii="宋体" w:hAnsi="宋体"/>
          <w:sz w:val="24"/>
        </w:rPr>
        <w:t>严禁在停风或瓦斯超限区域内作业。</w:t>
      </w:r>
    </w:p>
    <w:p w14:paraId="0BF316BB">
      <w:pPr>
        <w:spacing w:line="360" w:lineRule="auto"/>
        <w:ind w:firstLine="480" w:firstLineChars="200"/>
        <w:rPr>
          <w:rFonts w:hint="eastAsia" w:ascii="宋体" w:hAnsi="宋体"/>
          <w:sz w:val="24"/>
        </w:rPr>
      </w:pPr>
      <w:r>
        <w:rPr>
          <w:rFonts w:hint="eastAsia" w:ascii="宋体" w:hAnsi="宋体"/>
          <w:sz w:val="24"/>
        </w:rPr>
        <w:t>局部通风机因故停止运转，在恢复通风前，必须首先检查瓦斯，只有在停风区中最高瓦斯浓度不超过</w:t>
      </w:r>
      <w:r>
        <w:rPr>
          <w:rFonts w:ascii="宋体" w:hAnsi="宋体"/>
          <w:sz w:val="24"/>
        </w:rPr>
        <w:t>1.0</w:t>
      </w:r>
      <w:r>
        <w:rPr>
          <w:rFonts w:hint="eastAsia" w:ascii="宋体" w:hAnsi="宋体"/>
          <w:sz w:val="24"/>
        </w:rPr>
        <w:t>%和最高二氧化碳不超过</w:t>
      </w:r>
      <w:r>
        <w:rPr>
          <w:rFonts w:ascii="宋体" w:hAnsi="宋体"/>
          <w:sz w:val="24"/>
        </w:rPr>
        <w:t>1.5%</w:t>
      </w:r>
      <w:r>
        <w:rPr>
          <w:rFonts w:hint="eastAsia" w:ascii="宋体" w:hAnsi="宋体"/>
          <w:sz w:val="24"/>
        </w:rPr>
        <w:t>且只有在局部通风机开启条件满足时，方可人工开启局部通风机，恢复正常通风。</w:t>
      </w:r>
    </w:p>
    <w:p w14:paraId="6E836A80">
      <w:pPr>
        <w:spacing w:line="360" w:lineRule="auto"/>
        <w:ind w:firstLine="480" w:firstLineChars="200"/>
        <w:rPr>
          <w:rFonts w:hint="eastAsia" w:ascii="宋体" w:hAnsi="宋体"/>
          <w:sz w:val="24"/>
        </w:rPr>
      </w:pPr>
      <w:r>
        <w:rPr>
          <w:rFonts w:hint="eastAsia" w:ascii="宋体" w:hAnsi="宋体"/>
          <w:sz w:val="24"/>
        </w:rPr>
        <w:t>4）独头巷道长或封闭的独头巷道启封后排放瓦斯采取逐段通风排放法：排放由外向内逐段分段进行，先准备一节5m长的短风筒，接在密闭外的风筒上，用于冲淡启封密闭墙的开口孔洞瓦斯，控制风筒的排风量，使冲淡后的瓦斯浓度低于2%，正常后再分段接长风筒逐段排放巷道积存瓦斯，直到全独头积存瓦斯排放完转入正常通风时止。</w:t>
      </w:r>
    </w:p>
    <w:p w14:paraId="748B46E0">
      <w:pPr>
        <w:spacing w:line="360" w:lineRule="auto"/>
        <w:ind w:firstLine="480" w:firstLineChars="200"/>
        <w:rPr>
          <w:rFonts w:hint="eastAsia" w:ascii="宋体" w:hAnsi="宋体"/>
          <w:sz w:val="24"/>
        </w:rPr>
      </w:pPr>
      <w:r>
        <w:rPr>
          <w:rFonts w:hint="eastAsia" w:ascii="宋体" w:hAnsi="宋体"/>
          <w:sz w:val="24"/>
        </w:rPr>
        <w:t>5）矿井总回风顺槽中瓦斯或二氧化碳浓度超过0.70%时，必须立即查明原因，进行处理。采掘工作面回风顺槽风流中瓦斯浓度超过0.8%时或二氧化碳浓度超过1.5%时，必须停止工作，撤出人员、采取措施，进行处理。</w:t>
      </w:r>
    </w:p>
    <w:p w14:paraId="211CFD68">
      <w:pPr>
        <w:spacing w:line="360" w:lineRule="auto"/>
        <w:ind w:firstLine="480" w:firstLineChars="200"/>
        <w:rPr>
          <w:rFonts w:hint="eastAsia" w:ascii="宋体" w:hAnsi="宋体"/>
          <w:sz w:val="24"/>
        </w:rPr>
      </w:pPr>
      <w:r>
        <w:rPr>
          <w:rFonts w:hint="eastAsia" w:ascii="宋体" w:hAnsi="宋体"/>
          <w:sz w:val="24"/>
        </w:rPr>
        <w:t>6）切实加强瓦斯排放、巷道贯通和盲巷管理工作。排放瓦斯和巷道贯通要认真编制措施并执行有并规定。井下盲巷和临时停风地点必须设置密闭和栅栏，定期检测瓦斯和氧气浓度，并严禁任何人违章进入。</w:t>
      </w:r>
    </w:p>
    <w:p w14:paraId="1A4251EF">
      <w:pPr>
        <w:spacing w:line="360" w:lineRule="auto"/>
        <w:ind w:firstLine="480" w:firstLineChars="200"/>
        <w:rPr>
          <w:rFonts w:hint="eastAsia" w:ascii="宋体" w:hAnsi="宋体"/>
          <w:sz w:val="24"/>
        </w:rPr>
      </w:pPr>
      <w:r>
        <w:rPr>
          <w:rFonts w:hint="eastAsia" w:ascii="宋体" w:hAnsi="宋体"/>
          <w:sz w:val="24"/>
        </w:rPr>
        <w:t>7）在生产过程中，要组织专职人员及时封闭废弃的盲巷及采空区，对暂不利用巷道应封闭或挂危险牌，加强这些地方的瓦斯监测，防止瓦斯聚集。对回风顺槽中聚集的煤尘应组织专人按期清扫，消除瓦斯煤尘爆炸隐患。</w:t>
      </w:r>
    </w:p>
    <w:p w14:paraId="5F7F67B1">
      <w:pPr>
        <w:spacing w:line="360" w:lineRule="auto"/>
        <w:ind w:firstLine="480" w:firstLineChars="200"/>
        <w:rPr>
          <w:rFonts w:hint="eastAsia" w:ascii="宋体" w:hAnsi="宋体"/>
          <w:sz w:val="24"/>
        </w:rPr>
      </w:pPr>
      <w:r>
        <w:rPr>
          <w:rFonts w:hint="eastAsia" w:ascii="宋体" w:hAnsi="宋体"/>
          <w:sz w:val="24"/>
        </w:rPr>
        <w:t>8）井筒和石门揭煤时必须制定专门的揭煤措施。</w:t>
      </w:r>
    </w:p>
    <w:p w14:paraId="153A0EAE">
      <w:pPr>
        <w:spacing w:line="360" w:lineRule="auto"/>
        <w:ind w:firstLine="480" w:firstLineChars="200"/>
        <w:rPr>
          <w:rFonts w:hint="eastAsia" w:ascii="宋体" w:hAnsi="宋体"/>
          <w:sz w:val="24"/>
        </w:rPr>
      </w:pPr>
      <w:r>
        <w:rPr>
          <w:rFonts w:hint="eastAsia" w:ascii="宋体" w:hAnsi="宋体"/>
          <w:sz w:val="24"/>
        </w:rPr>
        <w:t>9）当瓦斯浓度小于3.0%时由矿的总工程师负责组织编制排放措施并组织矿安监部门人员和矿辅助救护小队对瓦斯进行排放；当瓦斯浓度大于3.0%时必须请专业的救护队编制排放措施并对瓦斯进行排放。独头巷道长或封闭的独头巷道启封后排放瓦斯采取逐段通风排放法：排放由外向内逐段分段进行，先准备一节5m长的短风筒，接在密闭外的风筒上，用于冲淡启封密闭墙的开口孔洞瓦斯，控制风筒的排风量，使冲淡后的瓦斯浓度低于2%，正常后再分段接长风筒逐段排放巷道积存瓦斯，直到全独头积存瓦斯排放完转入正常通风时止。</w:t>
      </w:r>
    </w:p>
    <w:p w14:paraId="5249F8C7">
      <w:pPr>
        <w:spacing w:line="360" w:lineRule="auto"/>
        <w:ind w:firstLine="480" w:firstLineChars="200"/>
        <w:rPr>
          <w:rFonts w:hint="eastAsia" w:ascii="宋体" w:hAnsi="宋体"/>
          <w:sz w:val="24"/>
        </w:rPr>
      </w:pPr>
      <w:r>
        <w:rPr>
          <w:rFonts w:hint="eastAsia" w:ascii="宋体" w:hAnsi="宋体"/>
          <w:sz w:val="24"/>
        </w:rPr>
        <w:t>（3）严格瓦斯检查制度</w:t>
      </w:r>
    </w:p>
    <w:p w14:paraId="1D74F35D">
      <w:pPr>
        <w:spacing w:line="360" w:lineRule="auto"/>
        <w:ind w:firstLine="480" w:firstLineChars="200"/>
        <w:rPr>
          <w:rFonts w:hint="eastAsia" w:ascii="宋体" w:hAnsi="宋体"/>
          <w:sz w:val="24"/>
        </w:rPr>
      </w:pPr>
      <w:r>
        <w:rPr>
          <w:rFonts w:hint="eastAsia" w:ascii="宋体" w:hAnsi="宋体"/>
          <w:sz w:val="24"/>
        </w:rPr>
        <w:t>1）矿井必须建立严格的瓦斯及其它有害气体的检查制度。瓦检员必须经过省批准由地级以上煤炭管理部门进行培训，合格后持证上岗。</w:t>
      </w:r>
    </w:p>
    <w:p w14:paraId="721627E7">
      <w:pPr>
        <w:spacing w:line="360" w:lineRule="auto"/>
        <w:ind w:firstLine="480" w:firstLineChars="200"/>
        <w:rPr>
          <w:rFonts w:hint="eastAsia" w:ascii="宋体" w:hAnsi="宋体"/>
          <w:sz w:val="24"/>
        </w:rPr>
      </w:pPr>
      <w:r>
        <w:rPr>
          <w:rFonts w:hint="eastAsia" w:ascii="宋体" w:hAnsi="宋体"/>
          <w:sz w:val="24"/>
        </w:rPr>
        <w:t>2）矿井必须建立安全仪表计量检查制度，建立建全矿井安全监测监控系统。</w:t>
      </w:r>
    </w:p>
    <w:p w14:paraId="178DE055">
      <w:pPr>
        <w:spacing w:line="360" w:lineRule="auto"/>
        <w:ind w:firstLine="480" w:firstLineChars="200"/>
        <w:rPr>
          <w:rFonts w:hint="eastAsia" w:ascii="宋体" w:hAnsi="宋体"/>
          <w:sz w:val="24"/>
        </w:rPr>
      </w:pPr>
      <w:r>
        <w:rPr>
          <w:rFonts w:hint="eastAsia" w:ascii="宋体" w:hAnsi="宋体"/>
          <w:sz w:val="24"/>
        </w:rPr>
        <w:t>3）建立完备的瓦斯和其它气体检查制度。矿长、矿技术负责人、爆破工、采掘队长、通风队长、工程技术人员、班长、流动电钳工下井时，必须携带便携式甲烷检测仪。瓦斯检查工必须携带便携式光学甲烷检测仪，安全监测工必须携带便携式甲烷检测仪或便携式光学甲烷检测仪。</w:t>
      </w:r>
    </w:p>
    <w:p w14:paraId="37759A73">
      <w:pPr>
        <w:spacing w:line="360" w:lineRule="auto"/>
        <w:ind w:firstLine="480" w:firstLineChars="200"/>
        <w:rPr>
          <w:rFonts w:hint="eastAsia" w:ascii="宋体" w:hAnsi="宋体"/>
          <w:sz w:val="24"/>
        </w:rPr>
      </w:pPr>
      <w:r>
        <w:rPr>
          <w:rFonts w:hint="eastAsia" w:ascii="宋体" w:hAnsi="宋体"/>
          <w:sz w:val="24"/>
        </w:rPr>
        <w:t>4）建立完备的通风设施和通风系统的检查制度。配备足够数量的通风安全检测仪表，仪表必须由国家授权的安全仪表计量检验单位进行检验。</w:t>
      </w:r>
    </w:p>
    <w:p w14:paraId="24F8E546">
      <w:pPr>
        <w:spacing w:line="360" w:lineRule="auto"/>
        <w:ind w:firstLine="480" w:firstLineChars="200"/>
        <w:rPr>
          <w:rFonts w:hint="eastAsia" w:ascii="宋体" w:hAnsi="宋体"/>
          <w:sz w:val="24"/>
        </w:rPr>
      </w:pPr>
      <w:r>
        <w:rPr>
          <w:rFonts w:hint="eastAsia" w:ascii="宋体" w:hAnsi="宋体"/>
          <w:sz w:val="24"/>
        </w:rPr>
        <w:t>5）所有采掘工作面、硐室、使用中的机电设备的设置地点、有人员作业的地点都应纳入检查范围。采掘工作面的瓦斯浓度检查次数每班至少3次；有煤（岩）与瓦斯突出危险的采掘工作面，有瓦斯喷出危险的采掘工作面和瓦斯涌出量较大、变化异常的采掘工作面，设专人经常检查，并安设甲烷断电仪。井下停风地点栅栏外风流中的瓦斯浓度每天至少检查1次，挡风墙外的瓦斯浓度每周至少检查1次。</w:t>
      </w:r>
    </w:p>
    <w:p w14:paraId="4EC7F2CD">
      <w:pPr>
        <w:spacing w:line="360" w:lineRule="auto"/>
        <w:ind w:firstLine="480" w:firstLineChars="200"/>
        <w:rPr>
          <w:rFonts w:hint="eastAsia" w:ascii="宋体" w:hAnsi="宋体"/>
          <w:sz w:val="24"/>
        </w:rPr>
      </w:pPr>
      <w:r>
        <w:rPr>
          <w:rFonts w:hint="eastAsia" w:ascii="宋体" w:hAnsi="宋体"/>
          <w:sz w:val="24"/>
        </w:rPr>
        <w:t>6）瓦斯检查人员执行瓦斯巡回检查制度，并认真填写瓦斯检查班报。每次检查结果必须记入瓦斯检查班报手册和检查地点的记录牌上，并通知现场工作人员。瓦斯浓度超过《煤矿安全规程》（2010版）有关条文规定时，瓦斯检查工有权责令现场人员停止工作，并撤到安全地点。通风值班人员必须审阅瓦斯班报，掌握瓦斯变化情况，发现问题及时处理，并向矿调度室汇报。通风瓦斯日报必须送矿长、矿技术负责人审查并签字。</w:t>
      </w:r>
    </w:p>
    <w:p w14:paraId="0626BF5F">
      <w:pPr>
        <w:spacing w:line="360" w:lineRule="auto"/>
        <w:ind w:firstLine="480" w:firstLineChars="200"/>
        <w:rPr>
          <w:rFonts w:hint="eastAsia" w:ascii="宋体" w:hAnsi="宋体"/>
          <w:sz w:val="24"/>
        </w:rPr>
      </w:pPr>
      <w:r>
        <w:rPr>
          <w:rFonts w:hint="eastAsia" w:ascii="宋体" w:hAnsi="宋体"/>
          <w:sz w:val="24"/>
        </w:rPr>
        <w:t>7）采、掘工作面当班班长必须携带便携式甲烷检测仪，将其悬挂在采煤工作面回风上隅角或掘进迎头不大于5m处，一旦出现瓦斯涌出异常现象，立即停止作业、撤出人员、切断电源，向矿领导汇报，制定专门措施处理。</w:t>
      </w:r>
    </w:p>
    <w:p w14:paraId="0A167FA5">
      <w:pPr>
        <w:spacing w:line="360" w:lineRule="auto"/>
        <w:ind w:firstLine="480" w:firstLineChars="200"/>
        <w:rPr>
          <w:rFonts w:hint="eastAsia" w:ascii="宋体" w:hAnsi="宋体"/>
          <w:sz w:val="24"/>
        </w:rPr>
      </w:pPr>
      <w:r>
        <w:rPr>
          <w:rFonts w:hint="eastAsia" w:ascii="宋体" w:hAnsi="宋体"/>
          <w:sz w:val="24"/>
        </w:rPr>
        <w:t>8）采、掘工作面的瓦斯浓度检查次数每班至少3次。并定期检查一氧化碳浓度、气体温度的变化。</w:t>
      </w:r>
    </w:p>
    <w:p w14:paraId="02FE1E4D">
      <w:pPr>
        <w:spacing w:line="360" w:lineRule="auto"/>
        <w:ind w:firstLine="480" w:firstLineChars="200"/>
        <w:rPr>
          <w:rFonts w:hint="eastAsia" w:ascii="宋体" w:hAnsi="宋体"/>
          <w:sz w:val="24"/>
        </w:rPr>
      </w:pPr>
      <w:r>
        <w:rPr>
          <w:rFonts w:hint="eastAsia" w:ascii="宋体" w:hAnsi="宋体"/>
          <w:sz w:val="24"/>
        </w:rPr>
        <w:t>（4）分源治理瓦斯</w:t>
      </w:r>
    </w:p>
    <w:p w14:paraId="1F75B71E">
      <w:pPr>
        <w:spacing w:line="360" w:lineRule="auto"/>
        <w:ind w:firstLine="480" w:firstLineChars="200"/>
        <w:rPr>
          <w:rFonts w:hint="eastAsia" w:ascii="宋体" w:hAnsi="宋体"/>
          <w:sz w:val="24"/>
        </w:rPr>
      </w:pPr>
      <w:r>
        <w:rPr>
          <w:rFonts w:hint="eastAsia" w:ascii="宋体" w:hAnsi="宋体"/>
          <w:sz w:val="24"/>
        </w:rPr>
        <w:t>分源治理瓦斯是针对瓦斯来源的涌出量与涌出规律的特征采取相应的措施。</w:t>
      </w:r>
    </w:p>
    <w:p w14:paraId="05175EB4">
      <w:pPr>
        <w:spacing w:line="360" w:lineRule="auto"/>
        <w:ind w:firstLine="480" w:firstLineChars="200"/>
        <w:rPr>
          <w:rFonts w:hint="eastAsia" w:ascii="宋体" w:hAnsi="宋体"/>
          <w:sz w:val="24"/>
        </w:rPr>
      </w:pPr>
      <w:r>
        <w:rPr>
          <w:rFonts w:hint="eastAsia" w:ascii="宋体" w:hAnsi="宋体"/>
          <w:sz w:val="24"/>
        </w:rPr>
        <w:t>矿井瓦斯涌出的区域可分为回采区、掘进区和已采区。瓦斯来源是分源治理的基本依据。要同时测定矿井各回采区、各掘进区回风流中的瓦斯量，得到矿井瓦斯涌出量平衡表及周期性动态。</w:t>
      </w:r>
    </w:p>
    <w:p w14:paraId="2CAEED18">
      <w:pPr>
        <w:spacing w:line="360" w:lineRule="auto"/>
        <w:ind w:firstLine="480" w:firstLineChars="200"/>
        <w:rPr>
          <w:rFonts w:hint="eastAsia" w:ascii="宋体" w:hAnsi="宋体"/>
          <w:sz w:val="24"/>
        </w:rPr>
      </w:pPr>
      <w:r>
        <w:rPr>
          <w:rFonts w:hint="eastAsia" w:ascii="宋体" w:hAnsi="宋体"/>
          <w:sz w:val="24"/>
        </w:rPr>
        <w:t>1）已采区：必须及时封闭，并保证密闭质量，以控制其瓦斯涌出。</w:t>
      </w:r>
    </w:p>
    <w:p w14:paraId="02D4A9B5">
      <w:pPr>
        <w:spacing w:line="360" w:lineRule="auto"/>
        <w:ind w:firstLine="480" w:firstLineChars="200"/>
        <w:rPr>
          <w:rFonts w:hint="eastAsia" w:ascii="宋体" w:hAnsi="宋体"/>
          <w:sz w:val="24"/>
        </w:rPr>
      </w:pPr>
      <w:r>
        <w:rPr>
          <w:rFonts w:hint="eastAsia" w:ascii="宋体" w:hAnsi="宋体"/>
          <w:sz w:val="24"/>
        </w:rPr>
        <w:t>已采区瓦斯涌出特点是：随着采止时间的增长，涌出量渐减；地面大气压力变化必然引起矿井井下大气压力的变化，对瓦斯涌出有着密切的关系，其涌出量会随之波动，气压降低时涌出量增大。因此大气压力变动季节，应加强对采空区瓦斯的观测与管理。当老空区涌出量较大时，应进行抽放瓦斯，抽放这种瓦斯方法简易，工程量小，容易奏效。</w:t>
      </w:r>
    </w:p>
    <w:p w14:paraId="6C518F89">
      <w:pPr>
        <w:spacing w:line="360" w:lineRule="auto"/>
        <w:ind w:firstLine="480" w:firstLineChars="200"/>
        <w:rPr>
          <w:rFonts w:hint="eastAsia" w:ascii="宋体" w:hAnsi="宋体"/>
          <w:sz w:val="24"/>
        </w:rPr>
      </w:pPr>
      <w:r>
        <w:rPr>
          <w:rFonts w:hint="eastAsia" w:ascii="宋体" w:hAnsi="宋体"/>
          <w:sz w:val="24"/>
        </w:rPr>
        <w:t>2）掘进区：涌出的瓦斯主要是煤巷所在煤层本身的瓦斯。</w:t>
      </w:r>
    </w:p>
    <w:p w14:paraId="3BC40BC2">
      <w:pPr>
        <w:spacing w:line="360" w:lineRule="auto"/>
        <w:ind w:firstLine="480" w:firstLineChars="200"/>
        <w:rPr>
          <w:rFonts w:hint="eastAsia" w:ascii="宋体" w:hAnsi="宋体"/>
          <w:sz w:val="24"/>
        </w:rPr>
      </w:pPr>
      <w:r>
        <w:rPr>
          <w:rFonts w:hint="eastAsia" w:ascii="宋体" w:hAnsi="宋体"/>
          <w:sz w:val="24"/>
        </w:rPr>
        <w:t>掘进区局部冒顶积存的瓦斯：可在支架顶梁处安设导风板冲淡瓦斯或用充填黄土的方法处理。</w:t>
      </w:r>
    </w:p>
    <w:p w14:paraId="45A67E07">
      <w:pPr>
        <w:spacing w:line="360" w:lineRule="auto"/>
        <w:ind w:firstLine="480" w:firstLineChars="200"/>
        <w:rPr>
          <w:rFonts w:hint="eastAsia" w:ascii="宋体" w:hAnsi="宋体"/>
          <w:sz w:val="24"/>
        </w:rPr>
      </w:pPr>
      <w:r>
        <w:rPr>
          <w:rFonts w:hint="eastAsia" w:ascii="宋体" w:hAnsi="宋体"/>
          <w:sz w:val="24"/>
        </w:rPr>
        <w:t>掘进瓦斯的涌出治理：可采用湿润煤体与洒水；减少一次爆破量与爆破深度；间歇掘进但不停风；双巷掘进；缩短独头掘进巷道的长度；加强通风，严格通风管理；限制掘进速度等措施。</w:t>
      </w:r>
    </w:p>
    <w:p w14:paraId="51DF17BF">
      <w:pPr>
        <w:spacing w:line="360" w:lineRule="auto"/>
        <w:ind w:firstLine="480" w:firstLineChars="200"/>
        <w:rPr>
          <w:rFonts w:hint="eastAsia" w:ascii="宋体" w:hAnsi="宋体"/>
          <w:sz w:val="24"/>
        </w:rPr>
      </w:pPr>
      <w:r>
        <w:rPr>
          <w:rFonts w:hint="eastAsia" w:ascii="宋体" w:hAnsi="宋体"/>
          <w:sz w:val="24"/>
        </w:rPr>
        <w:t>3）回采区：回采工作面的瓦斯涌出特征与涌出量是回采区治理瓦斯的基础。</w:t>
      </w:r>
    </w:p>
    <w:p w14:paraId="23C41748">
      <w:pPr>
        <w:adjustRightInd w:val="0"/>
        <w:snapToGrid w:val="0"/>
        <w:spacing w:line="360" w:lineRule="auto"/>
        <w:ind w:left="-9" w:firstLine="480" w:firstLineChars="200"/>
        <w:rPr>
          <w:rFonts w:hint="eastAsia" w:ascii="宋体" w:hAnsi="宋体"/>
          <w:sz w:val="24"/>
        </w:rPr>
      </w:pPr>
      <w:r>
        <w:rPr>
          <w:rFonts w:hint="eastAsia" w:ascii="宋体" w:hAnsi="宋体"/>
          <w:sz w:val="24"/>
        </w:rPr>
        <w:t>回采工作面的瓦斯涌出特性与涌出量是回采工作面治理瓦斯的基础。本矿井回采工作面采用爆破落煤，煤层暴露面最大，放炮时出现瓦斯涌出高峰，峰值可分为两部分：Q</w:t>
      </w:r>
      <w:r>
        <w:rPr>
          <w:rFonts w:hint="eastAsia" w:ascii="宋体" w:hAnsi="宋体"/>
          <w:sz w:val="24"/>
          <w:vertAlign w:val="subscript"/>
        </w:rPr>
        <w:t>1</w:t>
      </w:r>
      <w:r>
        <w:rPr>
          <w:rFonts w:hint="eastAsia" w:ascii="宋体" w:hAnsi="宋体"/>
          <w:sz w:val="24"/>
        </w:rPr>
        <w:t>和Q</w:t>
      </w:r>
      <w:r>
        <w:rPr>
          <w:rFonts w:hint="eastAsia" w:ascii="宋体" w:hAnsi="宋体"/>
          <w:sz w:val="24"/>
          <w:vertAlign w:val="subscript"/>
        </w:rPr>
        <w:t>2</w:t>
      </w:r>
      <w:r>
        <w:rPr>
          <w:rFonts w:hint="eastAsia" w:ascii="宋体" w:hAnsi="宋体"/>
          <w:sz w:val="24"/>
        </w:rPr>
        <w:t>。</w:t>
      </w:r>
    </w:p>
    <w:p w14:paraId="6A461DD3">
      <w:pPr>
        <w:spacing w:line="360" w:lineRule="auto"/>
        <w:ind w:firstLine="480" w:firstLineChars="200"/>
        <w:rPr>
          <w:rFonts w:hint="eastAsia" w:ascii="宋体" w:hAnsi="宋体"/>
          <w:sz w:val="24"/>
        </w:rPr>
      </w:pPr>
      <w:r>
        <w:rPr>
          <w:rFonts w:hint="eastAsia" w:ascii="宋体" w:hAnsi="宋体"/>
          <w:sz w:val="24"/>
        </w:rPr>
        <w:t>Q</w:t>
      </w:r>
      <w:r>
        <w:rPr>
          <w:rFonts w:hint="eastAsia" w:ascii="宋体" w:hAnsi="宋体"/>
          <w:sz w:val="24"/>
          <w:vertAlign w:val="subscript"/>
        </w:rPr>
        <w:t>1</w:t>
      </w:r>
      <w:r>
        <w:rPr>
          <w:rFonts w:hint="eastAsia" w:ascii="宋体" w:hAnsi="宋体"/>
          <w:sz w:val="24"/>
        </w:rPr>
        <w:t>：包括入风携带的瓦斯，煤壁涌出的瓦斯和采空区涌入回采工作面的瓦斯等，这些是与采煤产量无直接关系的涌出。</w:t>
      </w:r>
    </w:p>
    <w:p w14:paraId="799BFF1F">
      <w:pPr>
        <w:spacing w:line="360" w:lineRule="auto"/>
        <w:ind w:firstLine="480" w:firstLineChars="200"/>
        <w:rPr>
          <w:rFonts w:hint="eastAsia" w:ascii="宋体" w:hAnsi="宋体"/>
          <w:sz w:val="24"/>
        </w:rPr>
      </w:pPr>
      <w:r>
        <w:rPr>
          <w:rFonts w:hint="eastAsia" w:ascii="宋体" w:hAnsi="宋体"/>
          <w:sz w:val="24"/>
        </w:rPr>
        <w:t>Q</w:t>
      </w:r>
      <w:r>
        <w:rPr>
          <w:rFonts w:hint="eastAsia" w:ascii="宋体" w:hAnsi="宋体"/>
          <w:sz w:val="24"/>
          <w:vertAlign w:val="subscript"/>
        </w:rPr>
        <w:t>2</w:t>
      </w:r>
      <w:r>
        <w:rPr>
          <w:rFonts w:hint="eastAsia" w:ascii="宋体" w:hAnsi="宋体"/>
          <w:sz w:val="24"/>
        </w:rPr>
        <w:t>：与每次放炮的孔深、孔数，爆破区长度，煤的破碎程度及本煤层瓦斯含量有关。这些参数越高，瓦斯涌出量峰值就越大，Q</w:t>
      </w:r>
      <w:r>
        <w:rPr>
          <w:rFonts w:hint="eastAsia" w:ascii="宋体" w:hAnsi="宋体"/>
          <w:sz w:val="24"/>
          <w:vertAlign w:val="subscript"/>
        </w:rPr>
        <w:t>2</w:t>
      </w:r>
      <w:r>
        <w:rPr>
          <w:rFonts w:hint="eastAsia" w:ascii="宋体" w:hAnsi="宋体"/>
          <w:sz w:val="24"/>
        </w:rPr>
        <w:t>是与煤产量直接有关的瓦斯涌出。</w:t>
      </w:r>
    </w:p>
    <w:p w14:paraId="5B9FDAB2">
      <w:pPr>
        <w:spacing w:line="360" w:lineRule="auto"/>
        <w:ind w:firstLine="480" w:firstLineChars="200"/>
        <w:rPr>
          <w:rFonts w:hint="eastAsia" w:ascii="宋体" w:hAnsi="宋体"/>
          <w:sz w:val="24"/>
        </w:rPr>
      </w:pPr>
      <w:r>
        <w:rPr>
          <w:rFonts w:hint="eastAsia" w:ascii="宋体" w:hAnsi="宋体"/>
          <w:sz w:val="24"/>
        </w:rPr>
        <w:t>回采工作面采用U形通风系统，这种系统具有漏风小的优点，但在上隅角附近由于采空区涌出的瓦斯大部分在这里集中，同时在此处风速低，风量不足，容易积存瓦斯而超限。处理措施：在工作面上隅角附近设置木板隔墙或帆布风障，迫使一部分风流流经上隅角，将积存瓦斯冲淡、排出；或将回凤巷道后的联络眼密闭打开，并在回风顺槽设置调节风室或挂风帘，迫使一部分风流流经上隅角冲淡瓦斯后由采空区经联络眼排出。</w:t>
      </w:r>
    </w:p>
    <w:p w14:paraId="4F0ECC8E">
      <w:pPr>
        <w:spacing w:line="360" w:lineRule="auto"/>
        <w:ind w:firstLine="480" w:firstLineChars="200"/>
        <w:rPr>
          <w:rFonts w:hint="eastAsia" w:ascii="宋体" w:hAnsi="宋体"/>
          <w:sz w:val="24"/>
        </w:rPr>
      </w:pPr>
      <w:r>
        <w:rPr>
          <w:rFonts w:hint="eastAsia" w:ascii="宋体" w:hAnsi="宋体"/>
          <w:sz w:val="24"/>
        </w:rPr>
        <w:t>顶板附近瓦斯层状集聚处理：若回采工作面风速未能保证设计风速而小于1m/s，则容易使瓦斯浮于巷道顶板附近，形成一个比较稳定的带状瓦斯层，这即是瓦斯的层状集聚。处理办法是保证回采工作面的设计风速，使瓦斯与风流能充分地紊流混合，冲淡及排出。</w:t>
      </w:r>
    </w:p>
    <w:p w14:paraId="3A045C5B">
      <w:pPr>
        <w:pStyle w:val="29"/>
        <w:spacing w:before="120" w:beforeLines="50" w:after="120" w:afterLines="50" w:line="360" w:lineRule="auto"/>
        <w:ind w:firstLine="482" w:firstLineChars="200"/>
        <w:rPr>
          <w:rFonts w:hAnsi="宋体"/>
          <w:b/>
          <w:sz w:val="24"/>
          <w:szCs w:val="24"/>
        </w:rPr>
      </w:pPr>
      <w:r>
        <w:rPr>
          <w:rFonts w:hint="eastAsia" w:hAnsi="宋体"/>
          <w:b/>
          <w:sz w:val="24"/>
          <w:szCs w:val="24"/>
        </w:rPr>
        <w:t>2、</w:t>
      </w:r>
      <w:r>
        <w:rPr>
          <w:rFonts w:hAnsi="宋体"/>
          <w:b/>
          <w:sz w:val="24"/>
          <w:szCs w:val="24"/>
        </w:rPr>
        <w:t>防止瓦斯引燃</w:t>
      </w:r>
    </w:p>
    <w:p w14:paraId="30A0AF85">
      <w:pPr>
        <w:spacing w:line="360" w:lineRule="auto"/>
        <w:ind w:firstLine="480" w:firstLineChars="200"/>
        <w:rPr>
          <w:rFonts w:hint="eastAsia" w:ascii="宋体" w:hAnsi="宋体"/>
          <w:sz w:val="24"/>
        </w:rPr>
      </w:pPr>
      <w:r>
        <w:rPr>
          <w:rFonts w:hint="eastAsia" w:ascii="宋体" w:hAnsi="宋体"/>
          <w:sz w:val="24"/>
        </w:rPr>
        <w:t>防止瓦斯引燃的原则，是对一切非生产必须的热源，要坚决禁绝。生产中可能产生的热源，必须严格管理和控制，防止它的发生或限制其引燃瓦斯的能力，为此，矿井采取以下措施：</w:t>
      </w:r>
    </w:p>
    <w:p w14:paraId="4958DAED">
      <w:pPr>
        <w:spacing w:line="360" w:lineRule="auto"/>
        <w:ind w:firstLine="480" w:firstLineChars="200"/>
        <w:rPr>
          <w:rFonts w:hint="eastAsia" w:ascii="宋体" w:hAnsi="宋体"/>
          <w:sz w:val="24"/>
        </w:rPr>
      </w:pPr>
      <w:r>
        <w:rPr>
          <w:rFonts w:hint="eastAsia" w:ascii="宋体" w:hAnsi="宋体"/>
          <w:sz w:val="24"/>
        </w:rPr>
        <w:t>（1）严格执行入井人员检身制度；</w:t>
      </w:r>
    </w:p>
    <w:p w14:paraId="50B4FFE4">
      <w:pPr>
        <w:spacing w:line="360" w:lineRule="auto"/>
        <w:ind w:firstLine="480" w:firstLineChars="200"/>
        <w:rPr>
          <w:rFonts w:hint="eastAsia" w:ascii="宋体" w:hAnsi="宋体"/>
          <w:sz w:val="24"/>
        </w:rPr>
      </w:pPr>
      <w:r>
        <w:rPr>
          <w:rFonts w:hint="eastAsia" w:ascii="宋体" w:hAnsi="宋体"/>
          <w:sz w:val="24"/>
        </w:rPr>
        <w:t>（2）严禁携带烟草和点火物品下井；严禁穿着化纤衣服；井下需要进行电焊、气焊和喷灯焊接时，应严格遵守有关规定。</w:t>
      </w:r>
    </w:p>
    <w:p w14:paraId="00C96CA0">
      <w:pPr>
        <w:spacing w:line="360" w:lineRule="auto"/>
        <w:ind w:firstLine="480" w:firstLineChars="200"/>
        <w:rPr>
          <w:rFonts w:hint="eastAsia" w:ascii="宋体" w:hAnsi="宋体"/>
          <w:sz w:val="24"/>
        </w:rPr>
      </w:pPr>
      <w:r>
        <w:rPr>
          <w:rFonts w:hint="eastAsia" w:ascii="宋体" w:hAnsi="宋体"/>
          <w:sz w:val="24"/>
        </w:rPr>
        <w:t>（3）井口房及通风机房周围20m内禁止使用明火。井下严格禁止使用灯泡取暖和使用电炉。矿灯应完好，如有电池漏液、亮度不够、电线破损、灯锁不良、灯头密封不严、灯头松动、玻璃破裂等情况，不得发出矿灯。应爱护矿灯，严禁拆开、敲打、撞击矿灯。</w:t>
      </w:r>
    </w:p>
    <w:p w14:paraId="1791B63C">
      <w:pPr>
        <w:spacing w:line="360" w:lineRule="auto"/>
        <w:ind w:firstLine="480" w:firstLineChars="200"/>
        <w:rPr>
          <w:rFonts w:hint="eastAsia" w:ascii="宋体" w:hAnsi="宋体"/>
          <w:sz w:val="24"/>
        </w:rPr>
      </w:pPr>
      <w:r>
        <w:rPr>
          <w:rFonts w:hint="eastAsia" w:ascii="宋体" w:hAnsi="宋体"/>
          <w:sz w:val="24"/>
        </w:rPr>
        <w:t>（4）井下所有电气设备必须符合《煤矿安全规程》规定要求。井下不得带电检修、搬迁电气设备（包括电线、电缆）；井下供电做到：无鸡爪子、无羊尾巴，无明接头；有过电流和漏电保护，有接地装置，有密封圈和挡板，有弹簧垫圈和螺丝；电缆悬挂整齐，设备硐室清洁整齐。井下电话选用本质安全型电话，并使用矿用电话电缆。</w:t>
      </w:r>
    </w:p>
    <w:p w14:paraId="7152B108">
      <w:pPr>
        <w:spacing w:line="360" w:lineRule="auto"/>
        <w:ind w:firstLine="480" w:firstLineChars="200"/>
        <w:rPr>
          <w:rFonts w:hint="eastAsia" w:ascii="宋体" w:hAnsi="宋体"/>
          <w:sz w:val="24"/>
        </w:rPr>
      </w:pPr>
      <w:r>
        <w:rPr>
          <w:rFonts w:hint="eastAsia" w:ascii="宋体" w:hAnsi="宋体"/>
          <w:sz w:val="24"/>
        </w:rPr>
        <w:t>（5）井下使用防爆机电设备，加强机电设备的检修和维修，严防电器失爆。所有安装电机及开关地点附近20m巷道内，必须经过瓦斯检查确认无危险后，才允许启动设备。</w:t>
      </w:r>
    </w:p>
    <w:p w14:paraId="0E573D2D">
      <w:pPr>
        <w:spacing w:line="360" w:lineRule="auto"/>
        <w:ind w:firstLine="480" w:firstLineChars="200"/>
        <w:rPr>
          <w:rFonts w:hint="eastAsia" w:ascii="宋体" w:hAnsi="宋体"/>
          <w:sz w:val="24"/>
        </w:rPr>
      </w:pPr>
      <w:r>
        <w:rPr>
          <w:rFonts w:hint="eastAsia" w:ascii="宋体" w:hAnsi="宋体"/>
          <w:sz w:val="24"/>
        </w:rPr>
        <w:t>（6）局部通风机由专人负责管理，保证正常运转；局部通风机和启动装置安装在进风巷道中，并距掘进巷道回风口不得小于10m；掘进工作面应实行“三专”（专用变压器、专用电缆、专用开关）“两闭锁”（风电、瓦斯闭锁）和完善系列化设备。风筒采用抗静电、阻燃风筒；严禁使用一台局部通风机同时向2个以上（含2个）作业的掘进工作面供风；局部通风机不得随意停风，因检修、停电等原因停风时，要撤出人员和切断电源。</w:t>
      </w:r>
    </w:p>
    <w:p w14:paraId="2291105F">
      <w:pPr>
        <w:spacing w:line="360" w:lineRule="auto"/>
        <w:ind w:firstLine="480" w:firstLineChars="200"/>
        <w:rPr>
          <w:rFonts w:hint="eastAsia" w:ascii="宋体" w:hAnsi="宋体"/>
          <w:sz w:val="24"/>
        </w:rPr>
      </w:pPr>
      <w:r>
        <w:rPr>
          <w:rFonts w:hint="eastAsia" w:ascii="宋体" w:hAnsi="宋体"/>
          <w:sz w:val="24"/>
        </w:rPr>
        <w:t>（7）普通型携带式电气测量仪表，只准在瓦斯浓度小于1.0%以下的地点使用，并实时监测使用环境的瓦斯浓度。</w:t>
      </w:r>
    </w:p>
    <w:p w14:paraId="48F8C175">
      <w:pPr>
        <w:spacing w:line="360" w:lineRule="auto"/>
        <w:ind w:firstLine="480" w:firstLineChars="200"/>
        <w:rPr>
          <w:rFonts w:hint="eastAsia" w:ascii="宋体" w:hAnsi="宋体"/>
          <w:sz w:val="24"/>
        </w:rPr>
      </w:pPr>
      <w:r>
        <w:rPr>
          <w:rFonts w:hint="eastAsia" w:ascii="宋体" w:hAnsi="宋体"/>
          <w:sz w:val="24"/>
        </w:rPr>
        <w:t>（8）防止机械摩擦火花和冲击火花的产生，采取安设过热保护装置，使用难引火性合金工具（如使用铵铜合金工具等）等措施。</w:t>
      </w:r>
    </w:p>
    <w:p w14:paraId="3FEE4F5A">
      <w:pPr>
        <w:spacing w:line="360" w:lineRule="auto"/>
        <w:ind w:firstLine="480" w:firstLineChars="200"/>
        <w:rPr>
          <w:rFonts w:hint="eastAsia" w:ascii="宋体" w:hAnsi="宋体"/>
          <w:sz w:val="24"/>
        </w:rPr>
      </w:pPr>
      <w:r>
        <w:rPr>
          <w:rFonts w:hint="eastAsia" w:ascii="宋体" w:hAnsi="宋体"/>
          <w:sz w:val="24"/>
        </w:rPr>
        <w:t>（9）高分子聚合材料制品，如风筒、运输胶带等，容易因摩擦而积聚静电，当其静电放电时，可能引燃瓦斯、煤尘或发生火灾。因此井下应采用无静电、难燃的聚合材料制品，其内、外两层表面电阻都必须不大于3×</w:t>
      </w:r>
      <w:r>
        <w:rPr>
          <w:rFonts w:ascii="宋体" w:hAnsi="宋体"/>
          <w:sz w:val="24"/>
        </w:rPr>
        <w:t>10</w:t>
      </w:r>
      <w:r>
        <w:rPr>
          <w:rFonts w:ascii="宋体" w:hAnsi="宋体"/>
          <w:sz w:val="24"/>
          <w:vertAlign w:val="superscript"/>
        </w:rPr>
        <w:t>8</w:t>
      </w:r>
      <w:r>
        <w:rPr>
          <w:rFonts w:hint="eastAsia" w:ascii="宋体" w:hAnsi="宋体"/>
          <w:sz w:val="24"/>
        </w:rPr>
        <w:t>Ω，并应在使用过程中保持此值。</w:t>
      </w:r>
    </w:p>
    <w:p w14:paraId="2154062C">
      <w:pPr>
        <w:spacing w:line="360" w:lineRule="auto"/>
        <w:ind w:firstLine="480" w:firstLineChars="200"/>
        <w:rPr>
          <w:rFonts w:hint="eastAsia" w:ascii="宋体" w:hAnsi="宋体"/>
          <w:sz w:val="24"/>
        </w:rPr>
      </w:pPr>
      <w:r>
        <w:rPr>
          <w:rFonts w:hint="eastAsia" w:ascii="宋体" w:hAnsi="宋体"/>
          <w:sz w:val="24"/>
        </w:rPr>
        <w:t>（10）采掘工作面或其它作业地点风流中瓦斯浓度达到0.8%时，必须停止用电钻打眼；爆破地点附近20m以内的风流瓦斯浓度达到0.8%时，严禁爆破。</w:t>
      </w:r>
    </w:p>
    <w:p w14:paraId="539C1A17">
      <w:pPr>
        <w:spacing w:line="360" w:lineRule="auto"/>
        <w:ind w:firstLine="480" w:firstLineChars="200"/>
        <w:rPr>
          <w:rFonts w:hint="eastAsia" w:ascii="宋体" w:hAnsi="宋体"/>
          <w:sz w:val="24"/>
        </w:rPr>
      </w:pPr>
      <w:r>
        <w:rPr>
          <w:rFonts w:hint="eastAsia" w:ascii="宋体" w:hAnsi="宋体"/>
          <w:sz w:val="24"/>
        </w:rPr>
        <w:t>（11）采掘工作面或其它作业地点风流中，电动机或其它开关安设地点附近20m以内风流中瓦斯浓度达到1.50%时，必须停止工作、切断电源，撤出人员，进行处理。</w:t>
      </w:r>
    </w:p>
    <w:p w14:paraId="65C91423">
      <w:pPr>
        <w:spacing w:line="360" w:lineRule="auto"/>
        <w:ind w:firstLine="480" w:firstLineChars="200"/>
        <w:rPr>
          <w:rFonts w:hint="eastAsia" w:ascii="宋体" w:hAnsi="宋体"/>
          <w:sz w:val="24"/>
        </w:rPr>
      </w:pPr>
      <w:r>
        <w:rPr>
          <w:rFonts w:hint="eastAsia" w:ascii="宋体" w:hAnsi="宋体"/>
          <w:sz w:val="24"/>
        </w:rPr>
        <w:t>（12）放炮：放炮必须遵守井下爆破的有关内容的规定。</w:t>
      </w:r>
    </w:p>
    <w:p w14:paraId="45B3E782">
      <w:pPr>
        <w:spacing w:line="360" w:lineRule="auto"/>
        <w:ind w:firstLine="480" w:firstLineChars="200"/>
        <w:rPr>
          <w:rFonts w:hint="eastAsia" w:ascii="宋体" w:hAnsi="宋体"/>
          <w:sz w:val="24"/>
        </w:rPr>
      </w:pPr>
      <w:r>
        <w:rPr>
          <w:rFonts w:hint="eastAsia" w:ascii="宋体" w:hAnsi="宋体"/>
          <w:sz w:val="24"/>
        </w:rPr>
        <w:t>1）采、掘工作面都必须使用取得产品许可证的煤矿许用炸药和煤矿许用雷管。使用煤矿许用毫秒电雷管时，最后一段的延期时间不得超过130毫秒。</w:t>
      </w:r>
    </w:p>
    <w:p w14:paraId="397200CC">
      <w:pPr>
        <w:spacing w:line="360" w:lineRule="auto"/>
        <w:ind w:firstLine="480" w:firstLineChars="200"/>
        <w:rPr>
          <w:rFonts w:hint="eastAsia" w:ascii="宋体" w:hAnsi="宋体"/>
          <w:sz w:val="24"/>
        </w:rPr>
      </w:pPr>
      <w:r>
        <w:rPr>
          <w:rFonts w:hint="eastAsia" w:ascii="宋体" w:hAnsi="宋体"/>
          <w:sz w:val="24"/>
        </w:rPr>
        <w:t>2）采、掘工作面应采用毫秒爆破。在掘进工作面必须全断面起爆，在采煤工作面，严禁使用两台放炮器同时进行放炮。</w:t>
      </w:r>
    </w:p>
    <w:p w14:paraId="084AA3C0">
      <w:pPr>
        <w:spacing w:line="360" w:lineRule="auto"/>
        <w:ind w:firstLine="480" w:firstLineChars="200"/>
        <w:rPr>
          <w:rFonts w:hint="eastAsia" w:ascii="宋体" w:hAnsi="宋体"/>
          <w:sz w:val="24"/>
        </w:rPr>
      </w:pPr>
      <w:r>
        <w:rPr>
          <w:rFonts w:hint="eastAsia" w:ascii="宋体" w:hAnsi="宋体"/>
          <w:sz w:val="24"/>
        </w:rPr>
        <w:t>3）炮眼封泥应用水炮泥，水炮泥外剩余的炮眼部分，应用粘土炮泥封实。</w:t>
      </w:r>
    </w:p>
    <w:p w14:paraId="4A71B11B">
      <w:pPr>
        <w:spacing w:line="360" w:lineRule="auto"/>
        <w:ind w:firstLine="480" w:firstLineChars="200"/>
        <w:rPr>
          <w:rFonts w:hint="eastAsia" w:ascii="宋体" w:hAnsi="宋体"/>
          <w:sz w:val="24"/>
        </w:rPr>
      </w:pPr>
      <w:r>
        <w:rPr>
          <w:rFonts w:hint="eastAsia" w:ascii="宋体" w:hAnsi="宋体"/>
          <w:sz w:val="24"/>
        </w:rPr>
        <w:t>4）炮眼封泥严禁用煤粉，块状材料或其它可燃性材料，无炮泥或不实的炮眼，严禁放炮。封泥长度必须符合《煤矿安全规程》第329条的规定。</w:t>
      </w:r>
    </w:p>
    <w:p w14:paraId="09865094">
      <w:pPr>
        <w:spacing w:line="360" w:lineRule="auto"/>
        <w:ind w:firstLine="480" w:firstLineChars="200"/>
        <w:rPr>
          <w:rFonts w:hint="eastAsia" w:ascii="宋体" w:hAnsi="宋体"/>
          <w:sz w:val="24"/>
        </w:rPr>
      </w:pPr>
      <w:r>
        <w:rPr>
          <w:rFonts w:hint="eastAsia" w:ascii="宋体" w:hAnsi="宋体"/>
          <w:sz w:val="24"/>
        </w:rPr>
        <w:t>5）炮眼内发现异状、温度骤高骤低、有显著瓦斯涌出、煤岩松散、透老空等情况时，不准装药放炮。</w:t>
      </w:r>
    </w:p>
    <w:p w14:paraId="74ABE0B9">
      <w:pPr>
        <w:spacing w:line="360" w:lineRule="auto"/>
        <w:ind w:firstLine="480" w:firstLineChars="200"/>
        <w:rPr>
          <w:rFonts w:hint="eastAsia" w:ascii="宋体" w:hAnsi="宋体"/>
          <w:sz w:val="24"/>
        </w:rPr>
      </w:pPr>
      <w:r>
        <w:rPr>
          <w:rFonts w:hint="eastAsia" w:ascii="宋体" w:hAnsi="宋体"/>
          <w:sz w:val="24"/>
        </w:rPr>
        <w:t>6）放炮母线、连接线和电雷管脚线必须相互扭紧并悬挂，不得同轨道、金属管、钢丝绳、刮板转载机等导电体相接触。严禁使用固定放炮母线。</w:t>
      </w:r>
    </w:p>
    <w:p w14:paraId="3714991A">
      <w:pPr>
        <w:spacing w:line="360" w:lineRule="auto"/>
        <w:ind w:firstLine="480" w:firstLineChars="200"/>
        <w:rPr>
          <w:rFonts w:hint="eastAsia" w:ascii="宋体" w:hAnsi="宋体"/>
          <w:sz w:val="24"/>
        </w:rPr>
      </w:pPr>
      <w:r>
        <w:rPr>
          <w:rFonts w:hint="eastAsia" w:ascii="宋体" w:hAnsi="宋体"/>
          <w:sz w:val="24"/>
        </w:rPr>
        <w:t>7）在放炮地点20</w:t>
      </w:r>
      <w:r>
        <w:rPr>
          <w:rFonts w:ascii="宋体" w:hAnsi="宋体"/>
          <w:sz w:val="24"/>
        </w:rPr>
        <w:t>m</w:t>
      </w:r>
      <w:r>
        <w:rPr>
          <w:rFonts w:hint="eastAsia" w:ascii="宋体" w:hAnsi="宋体"/>
          <w:sz w:val="24"/>
        </w:rPr>
        <w:t>内，有矿车、未清除的煤、矸或其它物体堵塞巷道1/3以上时，不准装药放炮。</w:t>
      </w:r>
    </w:p>
    <w:p w14:paraId="01C345C8">
      <w:pPr>
        <w:spacing w:line="360" w:lineRule="auto"/>
        <w:ind w:firstLine="480" w:firstLineChars="200"/>
        <w:rPr>
          <w:rFonts w:hint="eastAsia" w:ascii="宋体" w:hAnsi="宋体"/>
          <w:sz w:val="24"/>
        </w:rPr>
      </w:pPr>
      <w:r>
        <w:rPr>
          <w:rFonts w:hint="eastAsia" w:ascii="宋体" w:hAnsi="宋体"/>
          <w:sz w:val="24"/>
        </w:rPr>
        <w:t>8）处理瞎炮（包括残炮）必须在班组长直接指导下进行，并应在当班处理完毕。如果当班未能处理完毕，放炮员必须同下一班放炮员在现场交接清楚。</w:t>
      </w:r>
    </w:p>
    <w:p w14:paraId="357B2305">
      <w:pPr>
        <w:spacing w:line="360" w:lineRule="auto"/>
        <w:ind w:firstLine="480" w:firstLineChars="200"/>
        <w:rPr>
          <w:rFonts w:hint="eastAsia" w:ascii="宋体" w:hAnsi="宋体"/>
          <w:sz w:val="24"/>
        </w:rPr>
      </w:pPr>
      <w:r>
        <w:rPr>
          <w:rFonts w:hint="eastAsia" w:ascii="宋体" w:hAnsi="宋体"/>
          <w:sz w:val="24"/>
        </w:rPr>
        <w:t>9）放炮时，应采用正向起爆。</w:t>
      </w:r>
    </w:p>
    <w:p w14:paraId="4FA20CB0">
      <w:pPr>
        <w:spacing w:line="360" w:lineRule="auto"/>
        <w:ind w:firstLine="480" w:firstLineChars="200"/>
        <w:rPr>
          <w:rFonts w:hint="eastAsia" w:ascii="宋体" w:hAnsi="宋体"/>
          <w:sz w:val="24"/>
        </w:rPr>
      </w:pPr>
      <w:r>
        <w:rPr>
          <w:rFonts w:hint="eastAsia" w:ascii="宋体" w:hAnsi="宋体"/>
          <w:sz w:val="24"/>
        </w:rPr>
        <w:t>10）放炮必须严格执行“一炮三检查” （装药前、放炮前、放炮后）和“三人连锁”（放炮员、班组长、瓦检员）制度，严禁采用糊炮、明火放炮和一次装药多次放炮。</w:t>
      </w:r>
    </w:p>
    <w:p w14:paraId="3E37D0C7">
      <w:pPr>
        <w:spacing w:line="360" w:lineRule="auto"/>
        <w:ind w:firstLine="480" w:firstLineChars="200"/>
        <w:rPr>
          <w:rFonts w:hint="eastAsia" w:ascii="宋体" w:hAnsi="宋体"/>
          <w:sz w:val="24"/>
        </w:rPr>
      </w:pPr>
      <w:r>
        <w:rPr>
          <w:rFonts w:hint="eastAsia" w:ascii="宋体" w:hAnsi="宋体"/>
          <w:sz w:val="24"/>
        </w:rPr>
        <w:t>11）严格执行《煤矿安全规程》中关于爆破材料和井下放炮的各条规定，且按高瓦斯矿井等级选用煤矿许用的炸药和雷管。</w:t>
      </w:r>
    </w:p>
    <w:p w14:paraId="7105EA32">
      <w:pPr>
        <w:spacing w:line="360" w:lineRule="auto"/>
        <w:ind w:firstLine="480" w:firstLineChars="200"/>
        <w:rPr>
          <w:rFonts w:hint="eastAsia" w:ascii="宋体" w:hAnsi="宋体"/>
          <w:sz w:val="24"/>
        </w:rPr>
      </w:pPr>
      <w:r>
        <w:rPr>
          <w:rFonts w:hint="eastAsia" w:ascii="宋体" w:hAnsi="宋体"/>
          <w:sz w:val="24"/>
        </w:rPr>
        <w:t>（13）防止雷电入井的措施如下：</w:t>
      </w:r>
    </w:p>
    <w:p w14:paraId="19B9B319">
      <w:pPr>
        <w:spacing w:line="360" w:lineRule="auto"/>
        <w:ind w:firstLine="480" w:firstLineChars="200"/>
        <w:rPr>
          <w:rFonts w:hint="eastAsia" w:ascii="宋体" w:hAnsi="宋体"/>
          <w:sz w:val="24"/>
        </w:rPr>
      </w:pPr>
      <w:r>
        <w:rPr>
          <w:rFonts w:hint="eastAsia" w:ascii="宋体" w:hAnsi="宋体"/>
          <w:sz w:val="24"/>
        </w:rPr>
        <w:t>1）井口安设AZ-1A型导体消雷器，消雷器的接地体距井口管、轨、线接地网相互间距在20m以上。</w:t>
      </w:r>
    </w:p>
    <w:p w14:paraId="6AFB4EC9">
      <w:pPr>
        <w:spacing w:line="360" w:lineRule="auto"/>
        <w:ind w:firstLine="480" w:firstLineChars="200"/>
        <w:rPr>
          <w:rFonts w:hint="eastAsia" w:ascii="宋体" w:hAnsi="宋体"/>
          <w:sz w:val="24"/>
        </w:rPr>
      </w:pPr>
      <w:r>
        <w:rPr>
          <w:rFonts w:hint="eastAsia" w:ascii="宋体" w:hAnsi="宋体"/>
          <w:sz w:val="24"/>
        </w:rPr>
        <w:t>2）所有入井口的钢管及轨道均采用两处绝缘隔离。</w:t>
      </w:r>
    </w:p>
    <w:p w14:paraId="214F9A21">
      <w:pPr>
        <w:spacing w:line="360" w:lineRule="auto"/>
        <w:ind w:firstLine="480" w:firstLineChars="200"/>
        <w:rPr>
          <w:rFonts w:hint="eastAsia" w:ascii="宋体" w:hAnsi="宋体"/>
          <w:sz w:val="24"/>
        </w:rPr>
      </w:pPr>
      <w:r>
        <w:rPr>
          <w:rFonts w:hint="eastAsia" w:ascii="宋体" w:hAnsi="宋体"/>
          <w:sz w:val="24"/>
        </w:rPr>
        <w:t>3）所有入井的钢管、轨道和电缆的铠装铅皮在入井处均接地，接地引入线均采用截面积为50mm</w:t>
      </w:r>
      <w:r>
        <w:rPr>
          <w:rFonts w:hint="eastAsia" w:ascii="宋体" w:hAnsi="宋体"/>
          <w:sz w:val="24"/>
          <w:vertAlign w:val="superscript"/>
        </w:rPr>
        <w:t>2</w:t>
      </w:r>
      <w:r>
        <w:rPr>
          <w:rFonts w:hint="eastAsia" w:ascii="宋体" w:hAnsi="宋体"/>
          <w:sz w:val="24"/>
        </w:rPr>
        <w:t>的橡套电缆，接地电阻不得大于2Ω。</w:t>
      </w:r>
    </w:p>
    <w:p w14:paraId="747D40B8">
      <w:pPr>
        <w:spacing w:line="360" w:lineRule="auto"/>
        <w:ind w:firstLine="480" w:firstLineChars="200"/>
        <w:rPr>
          <w:rFonts w:hint="eastAsia" w:ascii="宋体" w:hAnsi="宋体"/>
          <w:sz w:val="24"/>
        </w:rPr>
      </w:pPr>
      <w:r>
        <w:rPr>
          <w:rFonts w:hint="eastAsia" w:ascii="宋体" w:hAnsi="宋体"/>
          <w:sz w:val="24"/>
        </w:rPr>
        <w:t>4）通信线路必须在入井处装置熔断器和防雷装置。</w:t>
      </w:r>
    </w:p>
    <w:p w14:paraId="1E5423A4">
      <w:pPr>
        <w:spacing w:line="360" w:lineRule="auto"/>
        <w:ind w:firstLine="480" w:firstLineChars="200"/>
        <w:rPr>
          <w:rFonts w:hint="eastAsia" w:ascii="宋体" w:hAnsi="宋体"/>
          <w:sz w:val="24"/>
        </w:rPr>
      </w:pPr>
      <w:r>
        <w:rPr>
          <w:rFonts w:hint="eastAsia" w:ascii="宋体" w:hAnsi="宋体"/>
          <w:sz w:val="24"/>
        </w:rPr>
        <w:t>（14）矿灯的管理和使用要遵守下列规定：</w:t>
      </w:r>
    </w:p>
    <w:p w14:paraId="13C691AC">
      <w:pPr>
        <w:spacing w:line="360" w:lineRule="auto"/>
        <w:ind w:firstLine="480" w:firstLineChars="200"/>
        <w:rPr>
          <w:rFonts w:hint="eastAsia" w:ascii="宋体" w:hAnsi="宋体"/>
          <w:sz w:val="24"/>
        </w:rPr>
      </w:pPr>
      <w:r>
        <w:rPr>
          <w:rFonts w:hint="eastAsia" w:ascii="宋体" w:hAnsi="宋体"/>
          <w:sz w:val="24"/>
        </w:rPr>
        <w:t>1）矿井完好的矿灯总数，至少应比经常用灯的总人数多10%。</w:t>
      </w:r>
    </w:p>
    <w:p w14:paraId="4204E1DE">
      <w:pPr>
        <w:spacing w:line="360" w:lineRule="auto"/>
        <w:ind w:firstLine="480" w:firstLineChars="200"/>
        <w:rPr>
          <w:rFonts w:hint="eastAsia" w:ascii="宋体" w:hAnsi="宋体"/>
          <w:sz w:val="24"/>
        </w:rPr>
      </w:pPr>
      <w:r>
        <w:rPr>
          <w:rFonts w:hint="eastAsia" w:ascii="宋体" w:hAnsi="宋体"/>
          <w:sz w:val="24"/>
        </w:rPr>
        <w:t>2）矿灯集中统一管理。每盏矿灯必须编号，经常使用矿灯的人员必须专人专灯。</w:t>
      </w:r>
    </w:p>
    <w:p w14:paraId="1AE09FD8">
      <w:pPr>
        <w:spacing w:line="360" w:lineRule="auto"/>
        <w:ind w:firstLine="480" w:firstLineChars="200"/>
        <w:rPr>
          <w:rFonts w:hint="eastAsia" w:ascii="宋体" w:hAnsi="宋体"/>
          <w:sz w:val="24"/>
        </w:rPr>
      </w:pPr>
      <w:r>
        <w:rPr>
          <w:rFonts w:hint="eastAsia" w:ascii="宋体" w:hAnsi="宋体"/>
          <w:sz w:val="24"/>
        </w:rPr>
        <w:t>3）矿灯应保持完好。如有电池漏液、亮度不够、电线破损、灯锁不良、灯头密封不严、灯头松动、玻璃破裂等情况时，严禁发放。发出的矿灯，最低应能连续正常使用11h。严禁使用假冒伪劣矿灯。</w:t>
      </w:r>
    </w:p>
    <w:p w14:paraId="4DB7261E">
      <w:pPr>
        <w:spacing w:line="360" w:lineRule="auto"/>
        <w:ind w:firstLine="480" w:firstLineChars="200"/>
        <w:rPr>
          <w:rFonts w:hint="eastAsia" w:ascii="宋体" w:hAnsi="宋体"/>
          <w:sz w:val="24"/>
        </w:rPr>
      </w:pPr>
      <w:r>
        <w:rPr>
          <w:rFonts w:hint="eastAsia" w:ascii="宋体" w:hAnsi="宋体"/>
          <w:sz w:val="24"/>
        </w:rPr>
        <w:t>4）严禁使用矿灯人员拆开、敲打、撞击矿灯。人员出井后，必须立即将矿灯交还矿灯房。</w:t>
      </w:r>
    </w:p>
    <w:p w14:paraId="23364950">
      <w:pPr>
        <w:spacing w:line="360" w:lineRule="auto"/>
        <w:ind w:firstLine="480" w:firstLineChars="200"/>
        <w:rPr>
          <w:rFonts w:hint="eastAsia" w:ascii="宋体" w:hAnsi="宋体"/>
          <w:sz w:val="24"/>
        </w:rPr>
      </w:pPr>
      <w:r>
        <w:rPr>
          <w:rFonts w:hint="eastAsia" w:ascii="宋体" w:hAnsi="宋体"/>
          <w:sz w:val="24"/>
        </w:rPr>
        <w:t>5）在每次换班2h内，灯房人员必须把没有还矿灯人员的名单报矿调度室。</w:t>
      </w:r>
    </w:p>
    <w:p w14:paraId="7D1CBD9A">
      <w:pPr>
        <w:spacing w:line="360" w:lineRule="auto"/>
        <w:ind w:firstLine="480" w:firstLineChars="200"/>
        <w:rPr>
          <w:rFonts w:hint="eastAsia" w:ascii="宋体" w:hAnsi="宋体"/>
          <w:sz w:val="24"/>
        </w:rPr>
      </w:pPr>
      <w:r>
        <w:rPr>
          <w:rFonts w:hint="eastAsia" w:ascii="宋体" w:hAnsi="宋体"/>
          <w:sz w:val="24"/>
        </w:rPr>
        <w:t>6）矿灯必须装有可靠的短路保护装置，并装有短路保护器。</w:t>
      </w:r>
    </w:p>
    <w:p w14:paraId="572CABC2">
      <w:pPr>
        <w:spacing w:line="360" w:lineRule="auto"/>
        <w:ind w:firstLine="480" w:firstLineChars="200"/>
        <w:rPr>
          <w:rFonts w:ascii="宋体" w:hAnsi="宋体"/>
          <w:sz w:val="24"/>
        </w:rPr>
      </w:pPr>
      <w:r>
        <w:rPr>
          <w:rFonts w:hint="eastAsia" w:ascii="宋体" w:hAnsi="宋体"/>
          <w:sz w:val="24"/>
        </w:rPr>
        <w:t>（15）</w:t>
      </w:r>
      <w:r>
        <w:rPr>
          <w:rFonts w:ascii="宋体" w:hAnsi="宋体"/>
          <w:sz w:val="24"/>
        </w:rPr>
        <w:t>井下全部选用矿用防爆型和本安型电气设备。</w:t>
      </w:r>
    </w:p>
    <w:p w14:paraId="4E68D72A">
      <w:pPr>
        <w:spacing w:line="360" w:lineRule="auto"/>
        <w:ind w:firstLine="480" w:firstLineChars="200"/>
        <w:rPr>
          <w:rFonts w:ascii="宋体" w:hAnsi="宋体"/>
          <w:sz w:val="24"/>
        </w:rPr>
      </w:pPr>
      <w:r>
        <w:rPr>
          <w:rFonts w:hint="eastAsia" w:ascii="宋体" w:hAnsi="宋体"/>
          <w:sz w:val="24"/>
        </w:rPr>
        <w:t>（16）</w:t>
      </w:r>
      <w:r>
        <w:rPr>
          <w:rFonts w:ascii="宋体" w:hAnsi="宋体"/>
          <w:sz w:val="24"/>
        </w:rPr>
        <w:t>为确保安全、防止瓦斯煤尘爆炸、井下各供电系统为中性点不接地系统，在采区变电所、配电点及机电硐室等处均设置局部接地极，通过接地线、电缆铠装外皮及接地芯线将上述接地极连接成一完整接地网，该网的任一处接地电阻均不得大于2Ω。</w:t>
      </w:r>
    </w:p>
    <w:p w14:paraId="6A628E2D">
      <w:pPr>
        <w:spacing w:line="360" w:lineRule="auto"/>
        <w:ind w:firstLine="480" w:firstLineChars="200"/>
        <w:rPr>
          <w:rFonts w:ascii="宋体" w:hAnsi="宋体"/>
          <w:sz w:val="24"/>
        </w:rPr>
      </w:pPr>
      <w:r>
        <w:rPr>
          <w:rFonts w:ascii="宋体" w:hAnsi="宋体"/>
          <w:sz w:val="24"/>
        </w:rPr>
        <w:t>井下高、低压配电设备均设有选择性漏电保护装置。</w:t>
      </w:r>
    </w:p>
    <w:p w14:paraId="3A86B9FD">
      <w:pPr>
        <w:spacing w:line="360" w:lineRule="auto"/>
        <w:ind w:firstLine="480" w:firstLineChars="200"/>
        <w:rPr>
          <w:rFonts w:ascii="宋体" w:hAnsi="宋体"/>
          <w:sz w:val="24"/>
        </w:rPr>
      </w:pPr>
      <w:r>
        <w:rPr>
          <w:rFonts w:hint="eastAsia" w:ascii="宋体" w:hAnsi="宋体"/>
          <w:sz w:val="24"/>
        </w:rPr>
        <w:t>（17）</w:t>
      </w:r>
      <w:r>
        <w:rPr>
          <w:rFonts w:ascii="宋体" w:hAnsi="宋体"/>
          <w:sz w:val="24"/>
        </w:rPr>
        <w:t>各种电气设备及测量仪器仪表的进货，安装使用，检修、搬迁的防爆措施</w:t>
      </w:r>
    </w:p>
    <w:p w14:paraId="423DAEAC">
      <w:pPr>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各种电气设备及仪器仪表的进货、安装使用</w:t>
      </w:r>
    </w:p>
    <w:p w14:paraId="5AE1F0D5">
      <w:pPr>
        <w:spacing w:line="360" w:lineRule="auto"/>
        <w:ind w:firstLine="480" w:firstLineChars="200"/>
        <w:rPr>
          <w:rFonts w:ascii="宋体" w:hAnsi="宋体"/>
          <w:sz w:val="24"/>
        </w:rPr>
      </w:pPr>
      <w:r>
        <w:rPr>
          <w:rFonts w:ascii="宋体" w:hAnsi="宋体"/>
          <w:sz w:val="24"/>
        </w:rPr>
        <w:t>井下电气设备、测量仪器、仪表在进货时，应根据本采区有关设计的参数，结合本矿的实际情况，在满足安全生产需要的前提下，对各厂家的设备进行优选，选择性能优，且已取得“煤矿矿用产品安全标志”的电气设备。</w:t>
      </w:r>
    </w:p>
    <w:p w14:paraId="2E17438E">
      <w:pPr>
        <w:spacing w:line="360" w:lineRule="auto"/>
        <w:ind w:firstLine="480" w:firstLineChars="200"/>
        <w:rPr>
          <w:rFonts w:ascii="宋体" w:hAnsi="宋体"/>
          <w:sz w:val="24"/>
        </w:rPr>
      </w:pPr>
      <w:r>
        <w:rPr>
          <w:rFonts w:ascii="宋体" w:hAnsi="宋体"/>
          <w:sz w:val="24"/>
        </w:rPr>
        <w:t>井下电气设备、测量仪器、仪表在入井安装使用前，必须检查其“产品合格证”、“防爆合格证”、“煤矿矿用产品安全标志”，必须检查其安全性能；检查合格并签发合格证后，方准入井。井下电气设备在安装过程中，电气设备的外壳都必须安装接地保护。</w:t>
      </w:r>
    </w:p>
    <w:p w14:paraId="377C55CD">
      <w:pPr>
        <w:spacing w:line="360" w:lineRule="auto"/>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各种电气设备及测量仪器仪表的检修、搬迁</w:t>
      </w:r>
    </w:p>
    <w:p w14:paraId="644188CC">
      <w:pPr>
        <w:spacing w:line="360" w:lineRule="auto"/>
        <w:ind w:firstLine="480" w:firstLineChars="200"/>
        <w:rPr>
          <w:rFonts w:ascii="宋体" w:hAnsi="宋体"/>
          <w:sz w:val="24"/>
        </w:rPr>
      </w:pPr>
      <w:r>
        <w:rPr>
          <w:rFonts w:hint="eastAsia" w:ascii="宋体" w:hAnsi="宋体" w:cs="宋体"/>
          <w:sz w:val="24"/>
        </w:rPr>
        <w:t xml:space="preserve">⑴ </w:t>
      </w:r>
      <w:r>
        <w:rPr>
          <w:rFonts w:ascii="宋体" w:hAnsi="宋体"/>
          <w:sz w:val="24"/>
        </w:rPr>
        <w:t>电气设备的检查、维护和调整，必须由电气维修工进行。</w:t>
      </w:r>
    </w:p>
    <w:p w14:paraId="468FFF7A">
      <w:pPr>
        <w:spacing w:line="360" w:lineRule="auto"/>
        <w:ind w:firstLine="480" w:firstLineChars="200"/>
        <w:rPr>
          <w:rFonts w:ascii="宋体" w:hAnsi="宋体"/>
          <w:sz w:val="24"/>
        </w:rPr>
      </w:pPr>
      <w:r>
        <w:rPr>
          <w:rFonts w:hint="eastAsia" w:ascii="宋体" w:hAnsi="宋体" w:cs="宋体"/>
          <w:sz w:val="24"/>
        </w:rPr>
        <w:t xml:space="preserve">⑵ </w:t>
      </w:r>
      <w:r>
        <w:rPr>
          <w:rFonts w:ascii="宋体" w:hAnsi="宋体"/>
          <w:sz w:val="24"/>
        </w:rPr>
        <w:t>井下防爆电气设备的运行、维护和修理，必须符合防爆性能的各项技术要求。防爆性能受破坏的电气设备，必须立即处理或更换，严禁继续使用。</w:t>
      </w:r>
    </w:p>
    <w:p w14:paraId="6008D8A7">
      <w:pPr>
        <w:spacing w:line="360" w:lineRule="auto"/>
        <w:ind w:firstLine="480" w:firstLineChars="200"/>
        <w:rPr>
          <w:rFonts w:ascii="宋体" w:hAnsi="宋体"/>
          <w:sz w:val="24"/>
        </w:rPr>
      </w:pPr>
      <w:r>
        <w:rPr>
          <w:rFonts w:hint="eastAsia" w:ascii="宋体" w:hAnsi="宋体" w:cs="宋体"/>
          <w:sz w:val="24"/>
        </w:rPr>
        <w:t xml:space="preserve">⑶ </w:t>
      </w:r>
      <w:r>
        <w:rPr>
          <w:rFonts w:ascii="宋体" w:hAnsi="宋体"/>
          <w:sz w:val="24"/>
        </w:rPr>
        <w:t>对电气设备和电缆检查、调整：</w:t>
      </w:r>
    </w:p>
    <w:p w14:paraId="105B1FAA">
      <w:pPr>
        <w:spacing w:line="360" w:lineRule="auto"/>
        <w:ind w:firstLine="480" w:firstLineChars="200"/>
        <w:rPr>
          <w:rFonts w:ascii="宋体" w:hAnsi="宋体"/>
          <w:sz w:val="24"/>
        </w:rPr>
      </w:pPr>
      <w:r>
        <w:rPr>
          <w:rFonts w:hint="eastAsia" w:ascii="宋体" w:hAnsi="宋体"/>
          <w:sz w:val="24"/>
        </w:rPr>
        <w:t xml:space="preserve">① </w:t>
      </w:r>
      <w:r>
        <w:rPr>
          <w:rFonts w:ascii="宋体" w:hAnsi="宋体"/>
          <w:sz w:val="24"/>
        </w:rPr>
        <w:t>每月检查1次使用中的电气设备的防爆性能；</w:t>
      </w:r>
    </w:p>
    <w:p w14:paraId="124CFE44">
      <w:pPr>
        <w:spacing w:line="360" w:lineRule="auto"/>
        <w:ind w:firstLine="480" w:firstLineChars="200"/>
        <w:rPr>
          <w:rFonts w:ascii="宋体" w:hAnsi="宋体"/>
          <w:sz w:val="24"/>
        </w:rPr>
      </w:pPr>
      <w:r>
        <w:rPr>
          <w:rFonts w:hint="eastAsia" w:ascii="宋体" w:hAnsi="宋体"/>
          <w:sz w:val="24"/>
        </w:rPr>
        <w:t xml:space="preserve">② </w:t>
      </w:r>
      <w:r>
        <w:rPr>
          <w:rFonts w:ascii="宋体" w:hAnsi="宋体"/>
          <w:sz w:val="24"/>
        </w:rPr>
        <w:t>每6个月检查、整定1次配电系统继电保护装置；</w:t>
      </w:r>
    </w:p>
    <w:p w14:paraId="03AF0EEA">
      <w:pPr>
        <w:spacing w:line="360" w:lineRule="auto"/>
        <w:ind w:firstLine="480" w:firstLineChars="200"/>
        <w:rPr>
          <w:rFonts w:ascii="宋体" w:hAnsi="宋体"/>
          <w:sz w:val="24"/>
        </w:rPr>
      </w:pPr>
      <w:r>
        <w:rPr>
          <w:rFonts w:hint="eastAsia" w:ascii="宋体" w:hAnsi="宋体"/>
          <w:sz w:val="24"/>
        </w:rPr>
        <w:t xml:space="preserve">③ </w:t>
      </w:r>
      <w:r>
        <w:rPr>
          <w:rFonts w:ascii="宋体" w:hAnsi="宋体"/>
          <w:sz w:val="24"/>
        </w:rPr>
        <w:t>每年进行一次高压电缆的泄漏和耐压试验；</w:t>
      </w:r>
    </w:p>
    <w:p w14:paraId="28E9730E">
      <w:pPr>
        <w:spacing w:line="360" w:lineRule="auto"/>
        <w:ind w:firstLine="480" w:firstLineChars="200"/>
        <w:rPr>
          <w:rFonts w:ascii="宋体" w:hAnsi="宋体"/>
          <w:sz w:val="24"/>
        </w:rPr>
      </w:pPr>
      <w:r>
        <w:rPr>
          <w:rFonts w:hint="eastAsia" w:ascii="宋体" w:hAnsi="宋体"/>
          <w:sz w:val="24"/>
        </w:rPr>
        <w:t xml:space="preserve">④ </w:t>
      </w:r>
      <w:r>
        <w:rPr>
          <w:rFonts w:ascii="宋体" w:hAnsi="宋体"/>
          <w:sz w:val="24"/>
        </w:rPr>
        <w:t>每6个月最少检查1次主要电气设备绝缘电阻；</w:t>
      </w:r>
    </w:p>
    <w:p w14:paraId="0C45F3B7">
      <w:pPr>
        <w:spacing w:line="360" w:lineRule="auto"/>
        <w:ind w:firstLine="480" w:firstLineChars="200"/>
        <w:rPr>
          <w:rFonts w:ascii="宋体" w:hAnsi="宋体"/>
          <w:sz w:val="24"/>
        </w:rPr>
      </w:pPr>
      <w:r>
        <w:rPr>
          <w:rFonts w:hint="eastAsia" w:ascii="宋体" w:hAnsi="宋体"/>
          <w:sz w:val="24"/>
        </w:rPr>
        <w:t xml:space="preserve">⑤ </w:t>
      </w:r>
      <w:r>
        <w:rPr>
          <w:rFonts w:ascii="宋体" w:hAnsi="宋体"/>
          <w:sz w:val="24"/>
        </w:rPr>
        <w:t>每3个月最少检查1次固定敷设电缆的绝缘和外部破损；</w:t>
      </w:r>
    </w:p>
    <w:p w14:paraId="2C62480A">
      <w:pPr>
        <w:spacing w:line="360" w:lineRule="auto"/>
        <w:ind w:firstLine="480" w:firstLineChars="200"/>
        <w:rPr>
          <w:rFonts w:ascii="宋体" w:hAnsi="宋体"/>
          <w:sz w:val="24"/>
        </w:rPr>
      </w:pPr>
      <w:r>
        <w:rPr>
          <w:rFonts w:hint="eastAsia" w:ascii="宋体" w:hAnsi="宋体"/>
          <w:sz w:val="24"/>
        </w:rPr>
        <w:t xml:space="preserve">⑥ </w:t>
      </w:r>
      <w:r>
        <w:rPr>
          <w:rFonts w:ascii="宋体" w:hAnsi="宋体"/>
          <w:sz w:val="24"/>
        </w:rPr>
        <w:t>每月检查1次移动式电气设备的橡套电缆的绝缘；</w:t>
      </w:r>
    </w:p>
    <w:p w14:paraId="75D6C3A8">
      <w:pPr>
        <w:spacing w:line="360" w:lineRule="auto"/>
        <w:ind w:firstLine="480" w:firstLineChars="200"/>
        <w:rPr>
          <w:rFonts w:ascii="宋体" w:hAnsi="宋体"/>
          <w:sz w:val="24"/>
        </w:rPr>
      </w:pPr>
      <w:r>
        <w:rPr>
          <w:rFonts w:hint="eastAsia" w:ascii="宋体" w:hAnsi="宋体"/>
          <w:sz w:val="24"/>
        </w:rPr>
        <w:t xml:space="preserve">⑦ </w:t>
      </w:r>
      <w:r>
        <w:rPr>
          <w:rFonts w:ascii="宋体" w:hAnsi="宋体"/>
          <w:sz w:val="24"/>
        </w:rPr>
        <w:t>每3个月测定1次接地电网的接地电阻；</w:t>
      </w:r>
    </w:p>
    <w:p w14:paraId="1757F313">
      <w:pPr>
        <w:spacing w:line="360" w:lineRule="auto"/>
        <w:ind w:firstLine="480" w:firstLineChars="200"/>
        <w:rPr>
          <w:rFonts w:ascii="宋体" w:hAnsi="宋体"/>
          <w:sz w:val="24"/>
        </w:rPr>
      </w:pPr>
      <w:r>
        <w:rPr>
          <w:rFonts w:hint="eastAsia" w:ascii="宋体" w:hAnsi="宋体"/>
          <w:sz w:val="24"/>
        </w:rPr>
        <w:t xml:space="preserve">⑧ </w:t>
      </w:r>
      <w:r>
        <w:rPr>
          <w:rFonts w:ascii="宋体" w:hAnsi="宋体"/>
          <w:sz w:val="24"/>
        </w:rPr>
        <w:t>检查和调整结果应记入专用的记录簿，发现的问题，应指派专人限期处理；</w:t>
      </w:r>
    </w:p>
    <w:p w14:paraId="35FA222E">
      <w:pPr>
        <w:spacing w:line="360" w:lineRule="auto"/>
        <w:ind w:firstLine="480" w:firstLineChars="200"/>
        <w:rPr>
          <w:rFonts w:ascii="宋体" w:hAnsi="宋体"/>
          <w:sz w:val="24"/>
        </w:rPr>
      </w:pPr>
      <w:r>
        <w:rPr>
          <w:rFonts w:hint="eastAsia" w:ascii="宋体" w:hAnsi="宋体" w:cs="宋体"/>
          <w:sz w:val="24"/>
        </w:rPr>
        <w:t xml:space="preserve">⑷ </w:t>
      </w:r>
      <w:r>
        <w:rPr>
          <w:rFonts w:ascii="宋体" w:hAnsi="宋体"/>
          <w:sz w:val="24"/>
        </w:rPr>
        <w:t>井下不得带电检修、搬迁电气设备、电缆和电线，检修或搬迁前，必须切断电源，检查瓦斯，在其巷道风流中瓦斯浓度低于1.0%时，再用与电源电压相适应的验电笔检验；检验无电后，方可进行导体对地放电。</w:t>
      </w:r>
    </w:p>
    <w:p w14:paraId="42CABDA7">
      <w:pPr>
        <w:spacing w:line="360" w:lineRule="auto"/>
        <w:ind w:firstLine="480" w:firstLineChars="200"/>
        <w:rPr>
          <w:rFonts w:hint="eastAsia" w:ascii="宋体" w:hAnsi="宋体"/>
          <w:sz w:val="24"/>
        </w:rPr>
      </w:pPr>
      <w:r>
        <w:rPr>
          <w:rFonts w:hint="eastAsia" w:ascii="宋体" w:hAnsi="宋体"/>
          <w:sz w:val="24"/>
        </w:rPr>
        <w:t>矿用隔爆型高压真空配电装置具有过载保护、短路保护、失压脱扣保护、断相保护和漏电保护等功能；低压磁力起动器具有过载保护、短路保护、低电压保护和失压保护等功能；矿用隔爆型移动变电站具有漏电保护、漏电闭锁、过载保护、短路保护和欠电压保护等功能；矿用隔爆型煤电钻综合控制装置具有短路保护、过载保护、漏电保护、远距离停送电等功能；矿用隔爆型照明综合控制装置具有短路保护、漏电动作及电缆绝缘危险指示功能。根据配电网络的最大三相短路电流校验开关设备的分断能力和动、热稳定性以及电缆的热稳定性；用最小两相短路电流校验保护装置的可靠动作系数。另外，井下设有完整的接地系统，电气设备的金属外壳和构架必须进行保护接地，接地网任一保护接地点测得的接地电阻值不超过2欧姆，每一移动式和手持式电气设备至局部接地极之间的接地线的电阻值，不得超过1欧姆。局部接地极、辅助接地极及其连接母线，均按规程规范要求和设计文件要求安装敷设和运行管理。以上保护措施能满足井下供电安全要求。</w:t>
      </w:r>
    </w:p>
    <w:p w14:paraId="05A67399">
      <w:pPr>
        <w:spacing w:line="360" w:lineRule="auto"/>
        <w:ind w:firstLine="480" w:firstLineChars="200"/>
        <w:rPr>
          <w:rFonts w:hint="eastAsia" w:ascii="宋体" w:hAnsi="宋体"/>
          <w:sz w:val="24"/>
        </w:rPr>
      </w:pPr>
      <w:r>
        <w:rPr>
          <w:rFonts w:hint="eastAsia" w:ascii="宋体" w:hAnsi="宋体"/>
          <w:sz w:val="24"/>
        </w:rPr>
        <w:t>各种电气设备及测量仪器仪表的进货，安装使用，检修、搬迁均应严格按《煤矿安全规程》有关行业标准及有关工种的有关规定执行。</w:t>
      </w:r>
    </w:p>
    <w:p w14:paraId="020424E7">
      <w:pPr>
        <w:pStyle w:val="29"/>
        <w:spacing w:before="120" w:beforeLines="50" w:after="120" w:afterLines="50" w:line="360" w:lineRule="auto"/>
        <w:ind w:firstLine="482" w:firstLineChars="200"/>
        <w:rPr>
          <w:rFonts w:hAnsi="宋体"/>
          <w:b/>
          <w:sz w:val="24"/>
          <w:szCs w:val="24"/>
        </w:rPr>
      </w:pPr>
      <w:r>
        <w:rPr>
          <w:rFonts w:hint="eastAsia" w:hAnsi="宋体"/>
          <w:b/>
          <w:sz w:val="24"/>
          <w:szCs w:val="24"/>
        </w:rPr>
        <w:t>3、</w:t>
      </w:r>
      <w:r>
        <w:rPr>
          <w:rFonts w:hAnsi="宋体"/>
          <w:b/>
          <w:sz w:val="24"/>
          <w:szCs w:val="24"/>
        </w:rPr>
        <w:t>加强瓦斯监测</w:t>
      </w:r>
    </w:p>
    <w:p w14:paraId="728E59B4">
      <w:pPr>
        <w:pStyle w:val="29"/>
        <w:spacing w:line="360" w:lineRule="auto"/>
        <w:ind w:firstLine="480" w:firstLineChars="200"/>
        <w:rPr>
          <w:rFonts w:hint="eastAsia" w:hAnsi="宋体"/>
          <w:sz w:val="24"/>
          <w:szCs w:val="24"/>
        </w:rPr>
      </w:pPr>
      <w:r>
        <w:rPr>
          <w:rFonts w:hint="eastAsia" w:hAnsi="宋体"/>
          <w:sz w:val="24"/>
          <w:szCs w:val="24"/>
        </w:rPr>
        <w:t>（1）设计在井下各采煤工作面、煤巷掘进头、胶带输送机运输巷、溜煤眼上下口等瓦斯可能聚集地点，设置瓦斯指示报警装置，从矿井地面监控室内可连续监测全矿井瓦斯变化情况。</w:t>
      </w:r>
    </w:p>
    <w:p w14:paraId="76291992">
      <w:pPr>
        <w:pStyle w:val="29"/>
        <w:spacing w:line="360" w:lineRule="auto"/>
        <w:ind w:firstLine="480" w:firstLineChars="200"/>
        <w:rPr>
          <w:rFonts w:hint="eastAsia" w:hAnsi="宋体"/>
          <w:sz w:val="24"/>
          <w:szCs w:val="24"/>
        </w:rPr>
      </w:pPr>
      <w:r>
        <w:rPr>
          <w:rFonts w:hint="eastAsia" w:hAnsi="宋体"/>
          <w:sz w:val="24"/>
          <w:szCs w:val="24"/>
        </w:rPr>
        <w:t>（2）在生产中，要组织专职人员及时封闭废弃的盲巷及采空区，对暂不利用巷道应封闭或挂危险牌，加强对这些地方的瓦斯监测，防止瓦斯聚集。对回风巷道中聚集的煤尘应组织专人按期清扫，消除瓦斯煤尘爆炸隐患。</w:t>
      </w:r>
    </w:p>
    <w:p w14:paraId="259998C8">
      <w:pPr>
        <w:pStyle w:val="29"/>
        <w:spacing w:line="360" w:lineRule="auto"/>
        <w:ind w:firstLine="480" w:firstLineChars="200"/>
        <w:rPr>
          <w:rFonts w:hint="eastAsia" w:hAnsi="宋体"/>
          <w:sz w:val="24"/>
          <w:szCs w:val="24"/>
        </w:rPr>
      </w:pPr>
      <w:r>
        <w:rPr>
          <w:rFonts w:hint="eastAsia" w:hAnsi="宋体"/>
          <w:sz w:val="24"/>
          <w:szCs w:val="24"/>
        </w:rPr>
        <w:t>（3）坚持瓦斯浓度按0.8%断电管理制度。矿井配备足够的瓦斯检测仪器，加强临时监测。</w:t>
      </w:r>
    </w:p>
    <w:p w14:paraId="7EDCE012">
      <w:pPr>
        <w:pStyle w:val="29"/>
        <w:spacing w:line="360" w:lineRule="auto"/>
        <w:ind w:firstLine="480" w:firstLineChars="200"/>
        <w:rPr>
          <w:rFonts w:hint="eastAsia" w:hAnsi="宋体"/>
          <w:sz w:val="24"/>
          <w:szCs w:val="24"/>
        </w:rPr>
      </w:pPr>
      <w:r>
        <w:rPr>
          <w:rFonts w:hint="eastAsia" w:hAnsi="宋体"/>
          <w:sz w:val="24"/>
          <w:szCs w:val="24"/>
        </w:rPr>
        <w:t>（4）采、掘工作面当班班队长必须携带便携式瓦斯监测报警仪，将其悬挂在采煤工作面回风隅角或掘进迎头不大于5m处，一旦出现瓦斯超限现象，立即停止作业、撤出人员、切断电源，汇报矿领导，制定专门措施处理。</w:t>
      </w:r>
    </w:p>
    <w:p w14:paraId="5B852139">
      <w:pPr>
        <w:pStyle w:val="29"/>
        <w:spacing w:before="120" w:beforeLines="50" w:after="120" w:afterLines="50" w:line="360" w:lineRule="auto"/>
        <w:ind w:firstLine="482" w:firstLineChars="200"/>
        <w:rPr>
          <w:rFonts w:hAnsi="宋体"/>
          <w:b/>
          <w:sz w:val="24"/>
          <w:szCs w:val="24"/>
        </w:rPr>
      </w:pPr>
      <w:r>
        <w:rPr>
          <w:rFonts w:hint="eastAsia" w:hAnsi="宋体"/>
          <w:b/>
          <w:sz w:val="24"/>
          <w:szCs w:val="24"/>
        </w:rPr>
        <w:t>4、</w:t>
      </w:r>
      <w:r>
        <w:rPr>
          <w:rFonts w:hAnsi="宋体"/>
          <w:b/>
          <w:sz w:val="24"/>
          <w:szCs w:val="24"/>
        </w:rPr>
        <w:t>防止灾害扩大</w:t>
      </w:r>
    </w:p>
    <w:p w14:paraId="3F0D74BB">
      <w:pPr>
        <w:pStyle w:val="29"/>
        <w:spacing w:line="360" w:lineRule="auto"/>
        <w:ind w:firstLine="480" w:firstLineChars="200"/>
        <w:rPr>
          <w:rFonts w:hint="eastAsia" w:hAnsi="宋体"/>
          <w:sz w:val="24"/>
          <w:szCs w:val="24"/>
        </w:rPr>
      </w:pPr>
      <w:r>
        <w:rPr>
          <w:rFonts w:hint="eastAsia" w:hAnsi="宋体"/>
          <w:sz w:val="24"/>
          <w:szCs w:val="24"/>
        </w:rPr>
        <w:t>（1）矿井主要通风机安设反风装置，井下各通风构筑物均按反风要求设置，满足井下灾害发生时全矿井及局部反风需要，减少灾害损失。</w:t>
      </w:r>
    </w:p>
    <w:p w14:paraId="611911C7">
      <w:pPr>
        <w:pStyle w:val="29"/>
        <w:spacing w:line="360" w:lineRule="auto"/>
        <w:ind w:firstLine="480" w:firstLineChars="200"/>
        <w:rPr>
          <w:rFonts w:hint="eastAsia" w:hAnsi="宋体"/>
          <w:sz w:val="24"/>
          <w:szCs w:val="24"/>
        </w:rPr>
      </w:pPr>
      <w:r>
        <w:rPr>
          <w:rFonts w:hint="eastAsia" w:hAnsi="宋体"/>
          <w:sz w:val="24"/>
          <w:szCs w:val="24"/>
        </w:rPr>
        <w:t>（2）主要通风机出风井口安装防爆门，防止爆炸事故发生后主要通风机损坏，影响全矿井通风。</w:t>
      </w:r>
    </w:p>
    <w:p w14:paraId="15DF12A6">
      <w:pPr>
        <w:pStyle w:val="29"/>
        <w:spacing w:line="360" w:lineRule="auto"/>
        <w:ind w:firstLine="480" w:firstLineChars="200"/>
        <w:rPr>
          <w:rFonts w:hint="eastAsia" w:hAnsi="宋体"/>
          <w:sz w:val="24"/>
          <w:szCs w:val="24"/>
        </w:rPr>
      </w:pPr>
      <w:r>
        <w:rPr>
          <w:rFonts w:hint="eastAsia" w:hAnsi="宋体"/>
          <w:sz w:val="24"/>
          <w:szCs w:val="24"/>
        </w:rPr>
        <w:t>（3）</w:t>
      </w:r>
      <w:r>
        <w:rPr>
          <w:rFonts w:hAnsi="宋体"/>
          <w:sz w:val="24"/>
          <w:szCs w:val="24"/>
        </w:rPr>
        <w:t>本矿井设计采用水袋棚、自动抑爆装置作为隔爆设施，以防止</w:t>
      </w:r>
      <w:r>
        <w:rPr>
          <w:rFonts w:hint="eastAsia" w:hAnsi="宋体"/>
          <w:sz w:val="24"/>
          <w:szCs w:val="24"/>
        </w:rPr>
        <w:t>瓦斯</w:t>
      </w:r>
      <w:r>
        <w:rPr>
          <w:rFonts w:hAnsi="宋体"/>
          <w:sz w:val="24"/>
          <w:szCs w:val="24"/>
        </w:rPr>
        <w:t>爆炸由局部扩大为全矿性的灾难。</w:t>
      </w:r>
      <w:r>
        <w:rPr>
          <w:rFonts w:hint="eastAsia" w:hAnsi="宋体"/>
          <w:sz w:val="24"/>
          <w:szCs w:val="24"/>
        </w:rPr>
        <w:t>主要在井底车场、大巷、工作面顺槽、煤层掘进巷道设置隔爆水棚。生产期间必须加强管理，经常检查和更换破损水棚袋、补给水量，保证其有效性。</w:t>
      </w:r>
    </w:p>
    <w:p w14:paraId="64F281DD">
      <w:pPr>
        <w:spacing w:line="360" w:lineRule="auto"/>
        <w:ind w:firstLine="480" w:firstLineChars="200"/>
        <w:rPr>
          <w:rFonts w:hint="eastAsia" w:ascii="宋体" w:hAnsi="宋体"/>
          <w:sz w:val="24"/>
        </w:rPr>
      </w:pPr>
      <w:r>
        <w:rPr>
          <w:rFonts w:hint="eastAsia" w:ascii="宋体" w:hAnsi="宋体"/>
          <w:sz w:val="24"/>
        </w:rPr>
        <w:t>（4）加强职工安全教育，下井人员必须配备隔离式自救器，熟悉避灾路线。</w:t>
      </w:r>
    </w:p>
    <w:p w14:paraId="245C8CD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二、煤与瓦斯突出防治措施</w:t>
      </w:r>
    </w:p>
    <w:p w14:paraId="7484D197">
      <w:pPr>
        <w:pStyle w:val="29"/>
        <w:spacing w:line="360" w:lineRule="auto"/>
        <w:ind w:firstLine="480" w:firstLineChars="200"/>
        <w:rPr>
          <w:rFonts w:hint="eastAsia" w:hAnsi="宋体"/>
          <w:sz w:val="24"/>
          <w:szCs w:val="24"/>
        </w:rPr>
      </w:pPr>
      <w:r>
        <w:rPr>
          <w:rFonts w:hint="eastAsia" w:hAnsi="宋体"/>
          <w:sz w:val="24"/>
          <w:szCs w:val="24"/>
        </w:rPr>
        <w:t>（一）煤与瓦斯突出可能性分析</w:t>
      </w:r>
    </w:p>
    <w:p w14:paraId="7E8106BF">
      <w:pPr>
        <w:pStyle w:val="32"/>
        <w:ind w:firstLine="480" w:firstLineChars="200"/>
        <w:rPr>
          <w:rFonts w:hint="eastAsia" w:ascii="宋体" w:hAnsi="宋体"/>
        </w:rPr>
      </w:pPr>
      <w:r>
        <w:rPr>
          <w:rFonts w:hint="eastAsia" w:ascii="宋体" w:hAnsi="宋体"/>
          <w:lang w:val="zh-CN"/>
        </w:rPr>
        <w:t>根据</w:t>
      </w:r>
      <w:r>
        <w:rPr>
          <w:rFonts w:hint="eastAsia" w:ascii="宋体" w:hAnsi="宋体"/>
        </w:rPr>
        <w:t>贵州省煤炭管理局黔煤行管字[2007]67号《对六盘水市煤矿2006年度瓦斯等级鉴定报告的批复》</w:t>
      </w:r>
      <w:r>
        <w:rPr>
          <w:rFonts w:hint="eastAsia"/>
          <w:kern w:val="10"/>
        </w:rPr>
        <w:t>；原</w:t>
      </w:r>
      <w:r>
        <w:rPr>
          <w:rFonts w:hint="eastAsia" w:ascii="宋体" w:hAnsi="宋体"/>
          <w:lang w:val="zh-CN"/>
        </w:rPr>
        <w:t>大坪煤矿</w:t>
      </w:r>
      <w:r>
        <w:rPr>
          <w:rFonts w:hint="eastAsia" w:ascii="宋体" w:hAnsi="宋体"/>
        </w:rPr>
        <w:t>2006年度瓦斯等级鉴定结果：矿井</w:t>
      </w:r>
      <w:r>
        <w:rPr>
          <w:rFonts w:hint="eastAsia" w:ascii="宋体" w:hAnsi="宋体"/>
          <w:lang w:val="zh-CN"/>
        </w:rPr>
        <w:t>绝对瓦斯涌出量为4.71m</w:t>
      </w:r>
      <w:r>
        <w:rPr>
          <w:rFonts w:hint="eastAsia" w:ascii="宋体" w:hAnsi="宋体"/>
          <w:vertAlign w:val="superscript"/>
          <w:lang w:val="zh-CN"/>
        </w:rPr>
        <w:t>3</w:t>
      </w:r>
      <w:r>
        <w:rPr>
          <w:rFonts w:hint="eastAsia" w:ascii="宋体" w:hAnsi="宋体"/>
          <w:lang w:val="zh-CN"/>
        </w:rPr>
        <w:t>/min，相对瓦斯涌出量为41.10m</w:t>
      </w:r>
      <w:r>
        <w:rPr>
          <w:rFonts w:hint="eastAsia" w:ascii="宋体" w:hAnsi="宋体"/>
          <w:vertAlign w:val="superscript"/>
          <w:lang w:val="zh-CN"/>
        </w:rPr>
        <w:t>3</w:t>
      </w:r>
      <w:r>
        <w:rPr>
          <w:rFonts w:hint="eastAsia" w:ascii="宋体" w:hAnsi="宋体"/>
          <w:lang w:val="zh-CN"/>
        </w:rPr>
        <w:t>/t，</w:t>
      </w:r>
      <w:r>
        <w:rPr>
          <w:rFonts w:hint="eastAsia" w:ascii="宋体" w:hAnsi="宋体"/>
        </w:rPr>
        <w:t>测定数据及矿井瓦斯等级鉴定结果，</w:t>
      </w:r>
      <w:r>
        <w:rPr>
          <w:rFonts w:hint="eastAsia" w:ascii="宋体" w:hAnsi="宋体"/>
          <w:lang w:val="zh-CN"/>
        </w:rPr>
        <w:t>矿井为高瓦斯矿井</w:t>
      </w:r>
      <w:r>
        <w:rPr>
          <w:rFonts w:hint="eastAsia" w:ascii="宋体" w:hAnsi="宋体"/>
        </w:rPr>
        <w:t>。</w:t>
      </w:r>
    </w:p>
    <w:p w14:paraId="59AE0038">
      <w:pPr>
        <w:pStyle w:val="32"/>
        <w:ind w:firstLine="480" w:firstLineChars="200"/>
        <w:rPr>
          <w:rFonts w:hint="eastAsia"/>
          <w:color w:val="FF0000"/>
          <w:kern w:val="0"/>
        </w:rPr>
      </w:pPr>
      <w:r>
        <w:rPr>
          <w:rFonts w:ascii="宋体" w:hAnsi="宋体"/>
        </w:rPr>
        <w:t>本矿未作煤与瓦斯突出鉴定，</w:t>
      </w:r>
      <w:r>
        <w:rPr>
          <w:rFonts w:hint="eastAsia" w:ascii="宋体" w:hAnsi="宋体"/>
        </w:rPr>
        <w:t>业主应委托有资质的单位尽快对本矿煤与瓦斯突出危险性作出鉴定，以利于矿井安全生产</w:t>
      </w:r>
      <w:r>
        <w:rPr>
          <w:rFonts w:ascii="宋体" w:hAnsi="宋体"/>
        </w:rPr>
        <w:t>。</w:t>
      </w:r>
      <w:r>
        <w:rPr>
          <w:rFonts w:hint="eastAsia" w:ascii="宋体" w:hAnsi="宋体"/>
        </w:rPr>
        <w:t>根据贵州省安全生产监督管理局、贵州煤矿安全监察局、贵州省煤炭管理局文件(黔安监管办字【2007】345号“关于加强煤矿建设项目煤与瓦斯突出防治工作的意见”。水城县玉舍大坪煤矿在该文件划定的煤与瓦斯突出区内，因此，矿井按有煤与瓦斯突出矿井进行设计和管理，矿井建设期间，应及时请资质单位对煤与瓦斯突出危险性进行鉴定</w:t>
      </w:r>
      <w:r>
        <w:rPr>
          <w:rFonts w:hint="eastAsia"/>
        </w:rPr>
        <w:t>，确定煤层煤与瓦斯突出危险性，以采取针对性的防突措施，控制可能出现的煤与瓦斯突出。</w:t>
      </w:r>
    </w:p>
    <w:p w14:paraId="055B44F7">
      <w:pPr>
        <w:pStyle w:val="29"/>
        <w:spacing w:line="360" w:lineRule="auto"/>
        <w:ind w:firstLine="480" w:firstLineChars="200"/>
        <w:rPr>
          <w:rFonts w:hint="eastAsia" w:hAnsi="宋体"/>
          <w:sz w:val="24"/>
          <w:szCs w:val="24"/>
        </w:rPr>
      </w:pPr>
      <w:r>
        <w:rPr>
          <w:rFonts w:hint="eastAsia" w:hAnsi="宋体"/>
          <w:sz w:val="24"/>
          <w:szCs w:val="24"/>
        </w:rPr>
        <w:t>1、设计中的防突措施</w:t>
      </w:r>
    </w:p>
    <w:p w14:paraId="2DE925C3">
      <w:pPr>
        <w:pStyle w:val="29"/>
        <w:spacing w:line="360" w:lineRule="auto"/>
        <w:ind w:firstLine="480" w:firstLineChars="200"/>
        <w:rPr>
          <w:rFonts w:hint="eastAsia" w:hAnsi="宋体"/>
          <w:sz w:val="24"/>
          <w:szCs w:val="24"/>
        </w:rPr>
      </w:pPr>
      <w:r>
        <w:rPr>
          <w:rFonts w:hint="eastAsia" w:hAnsi="宋体"/>
          <w:sz w:val="24"/>
          <w:szCs w:val="24"/>
        </w:rPr>
        <w:t>（1）煤层开采顺序</w:t>
      </w:r>
    </w:p>
    <w:p w14:paraId="4B1736EE">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kern w:val="0"/>
          <w:sz w:val="24"/>
        </w:rPr>
        <w:t>本矿井的可采煤层有</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b、K110-a共11层煤</w:t>
      </w:r>
      <w:r>
        <w:rPr>
          <w:rFonts w:hint="eastAsia" w:ascii="宋体" w:hAnsi="宋体"/>
          <w:color w:val="000000"/>
          <w:kern w:val="0"/>
          <w:sz w:val="24"/>
        </w:rPr>
        <w:t>，为薄及中厚煤层，煤层间平均间距分别为10m、28m、10m、10m、30m、28m、20m、245m、25m、13m，</w:t>
      </w:r>
      <w:r>
        <w:rPr>
          <w:rFonts w:hint="eastAsia" w:ascii="宋体" w:hAnsi="宋体"/>
          <w:color w:val="000000"/>
          <w:sz w:val="24"/>
        </w:rPr>
        <w:t>矿井可采煤层采用由上到下的开采顺序，区段内采用下行式开采。</w:t>
      </w:r>
    </w:p>
    <w:p w14:paraId="22175062">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（2）矿井开拓方式和主要巷道层位</w:t>
      </w:r>
    </w:p>
    <w:p w14:paraId="26E9FE13">
      <w:pPr>
        <w:spacing w:line="360" w:lineRule="auto"/>
        <w:ind w:firstLine="480" w:firstLineChars="200"/>
        <w:rPr>
          <w:rFonts w:hint="eastAsia" w:ascii="宋体" w:hAnsi="宋体"/>
          <w:sz w:val="24"/>
        </w:rPr>
      </w:pPr>
      <w:r>
        <w:rPr>
          <w:rFonts w:hint="eastAsia" w:ascii="宋体" w:hAnsi="宋体"/>
          <w:sz w:val="24"/>
        </w:rPr>
        <w:t>矿井采用斜井开拓方式，布置三个井筒，即主斜井、副斜井及回风斜井，主斜井为辅助进风，副斜井为主要进风，回风斜井为专用回风井，矿井开拓系统已形成。主斜井在K35-b煤层底板开口，采用穿层布置，以222°的方位，19°的倾角穿层至+1818.0m标高落平；副斜井在K35-b煤层底板开口，沿K35-b煤层底板布置，以222°的方位，25°的倾角穿层至+1835.0m标高落平；回风斜井在K26煤层底板开口，采用穿层布置，以227°的方位，26°的倾角穿层至+1835.0m标高落平。主斜井、副斜井、回风斜井落平后通过联络斜巷、联络巷及石门连接，在+1835.0m标高运输石门与轨道石门之间布置水泵房、主副水仓，在133轨道石门与回风斜井之间布置变电所形成矿井一采区开拓系统。</w:t>
      </w:r>
    </w:p>
    <w:p w14:paraId="67F92924">
      <w:pPr>
        <w:spacing w:line="360" w:lineRule="auto"/>
        <w:ind w:firstLine="480" w:firstLineChars="200"/>
        <w:rPr>
          <w:rFonts w:hint="eastAsia"/>
          <w:sz w:val="24"/>
        </w:rPr>
      </w:pPr>
      <w:r>
        <w:rPr>
          <w:rFonts w:hint="eastAsia" w:ascii="宋体" w:hAnsi="宋体"/>
          <w:sz w:val="24"/>
        </w:rPr>
        <w:t>主斜井、副斜井、回风斜井通过石门连接各煤层，再沿煤层走向布置回采工作面运输顺槽、回风顺槽，通过切眼勾通上、下顺槽，构成回采工作面进、回风系统，形成矿井一采区生产系统</w:t>
      </w:r>
      <w:r>
        <w:rPr>
          <w:rFonts w:hint="eastAsia"/>
          <w:sz w:val="24"/>
        </w:rPr>
        <w:t>。</w:t>
      </w:r>
    </w:p>
    <w:p w14:paraId="075E2306">
      <w:pPr>
        <w:pStyle w:val="29"/>
        <w:spacing w:line="360" w:lineRule="auto"/>
        <w:ind w:firstLine="480" w:firstLineChars="200"/>
        <w:rPr>
          <w:rFonts w:hAnsi="宋体"/>
          <w:sz w:val="24"/>
          <w:szCs w:val="24"/>
        </w:rPr>
      </w:pPr>
      <w:r>
        <w:rPr>
          <w:rFonts w:hint="eastAsia" w:hAnsi="宋体"/>
          <w:sz w:val="24"/>
          <w:szCs w:val="24"/>
        </w:rPr>
        <w:t>（3）</w:t>
      </w:r>
      <w:r>
        <w:rPr>
          <w:rFonts w:hAnsi="宋体"/>
          <w:sz w:val="24"/>
          <w:szCs w:val="24"/>
        </w:rPr>
        <w:t>设计采用</w:t>
      </w:r>
      <w:r>
        <w:rPr>
          <w:rFonts w:hint="eastAsia" w:hAnsi="宋体"/>
          <w:sz w:val="24"/>
          <w:szCs w:val="24"/>
        </w:rPr>
        <w:t>中央并列抽出式通风</w:t>
      </w:r>
      <w:r>
        <w:rPr>
          <w:rFonts w:hAnsi="宋体"/>
          <w:sz w:val="24"/>
          <w:szCs w:val="24"/>
        </w:rPr>
        <w:t>系统</w:t>
      </w:r>
      <w:r>
        <w:rPr>
          <w:rFonts w:hint="eastAsia" w:hAnsi="宋体"/>
          <w:sz w:val="24"/>
          <w:szCs w:val="24"/>
        </w:rPr>
        <w:t>，风井为专用回风井。</w:t>
      </w:r>
      <w:r>
        <w:rPr>
          <w:rFonts w:hAnsi="宋体"/>
          <w:sz w:val="24"/>
          <w:szCs w:val="24"/>
        </w:rPr>
        <w:t>各用风地点均配设足够的风量，均利用全负压通风，煤巷、半煤岩巷及有瓦斯涌出岩巷的掘进通风方式都采用</w:t>
      </w:r>
      <w:r>
        <w:rPr>
          <w:rFonts w:hint="eastAsia" w:hAnsi="宋体"/>
          <w:sz w:val="24"/>
          <w:szCs w:val="24"/>
        </w:rPr>
        <w:t>局扇</w:t>
      </w:r>
      <w:r>
        <w:rPr>
          <w:rFonts w:hAnsi="宋体"/>
          <w:sz w:val="24"/>
          <w:szCs w:val="24"/>
        </w:rPr>
        <w:t>压人式；采掘工作面之间无串联通风；采煤工作面均采用上行通风。</w:t>
      </w:r>
    </w:p>
    <w:p w14:paraId="2A0E5696">
      <w:pPr>
        <w:pStyle w:val="29"/>
        <w:spacing w:line="360" w:lineRule="auto"/>
        <w:ind w:firstLine="480" w:firstLineChars="200"/>
        <w:rPr>
          <w:rFonts w:hAnsi="宋体"/>
          <w:sz w:val="24"/>
          <w:szCs w:val="24"/>
        </w:rPr>
      </w:pPr>
      <w:r>
        <w:rPr>
          <w:rFonts w:hint="eastAsia" w:hAnsi="宋体"/>
          <w:sz w:val="24"/>
          <w:szCs w:val="24"/>
        </w:rPr>
        <w:t>（4）</w:t>
      </w:r>
      <w:r>
        <w:rPr>
          <w:rFonts w:hAnsi="宋体"/>
          <w:sz w:val="24"/>
          <w:szCs w:val="24"/>
        </w:rPr>
        <w:t>设计设置高、低压瓦斯抽放系统，</w:t>
      </w:r>
      <w:r>
        <w:rPr>
          <w:rFonts w:hint="eastAsia" w:hAnsi="宋体"/>
          <w:sz w:val="24"/>
          <w:szCs w:val="24"/>
        </w:rPr>
        <w:t>并采用顺层钻孔和穿层钻孔</w:t>
      </w:r>
      <w:r>
        <w:rPr>
          <w:rFonts w:hAnsi="宋体"/>
          <w:sz w:val="24"/>
          <w:szCs w:val="24"/>
        </w:rPr>
        <w:t>强化瓦斯预抽放，有利于降低煤体瓦斯压力</w:t>
      </w:r>
      <w:r>
        <w:rPr>
          <w:rFonts w:hint="eastAsia" w:hAnsi="宋体"/>
          <w:sz w:val="24"/>
          <w:szCs w:val="24"/>
        </w:rPr>
        <w:t>、瓦斯含量，达到防治煤与瓦斯突出的目的</w:t>
      </w:r>
      <w:r>
        <w:rPr>
          <w:rFonts w:hAnsi="宋体"/>
          <w:sz w:val="24"/>
          <w:szCs w:val="24"/>
        </w:rPr>
        <w:t>。</w:t>
      </w:r>
    </w:p>
    <w:p w14:paraId="7D29E197">
      <w:pPr>
        <w:pStyle w:val="29"/>
        <w:spacing w:line="360" w:lineRule="auto"/>
        <w:ind w:firstLine="480" w:firstLineChars="200"/>
        <w:rPr>
          <w:rFonts w:hint="eastAsia" w:hAnsi="宋体"/>
          <w:sz w:val="24"/>
          <w:szCs w:val="24"/>
        </w:rPr>
      </w:pPr>
      <w:r>
        <w:rPr>
          <w:rFonts w:hint="eastAsia" w:hAnsi="宋体" w:cs="宋体"/>
          <w:sz w:val="24"/>
          <w:szCs w:val="24"/>
        </w:rPr>
        <w:t>（5）</w:t>
      </w:r>
      <w:r>
        <w:rPr>
          <w:rFonts w:hAnsi="宋体"/>
          <w:sz w:val="24"/>
          <w:szCs w:val="24"/>
        </w:rPr>
        <w:t>设计选用所有机电设备均为矿井防爆型。</w:t>
      </w:r>
    </w:p>
    <w:p w14:paraId="78AF52F5">
      <w:pPr>
        <w:pStyle w:val="29"/>
        <w:spacing w:line="360" w:lineRule="auto"/>
        <w:ind w:firstLine="480" w:firstLineChars="200"/>
        <w:rPr>
          <w:rFonts w:hint="eastAsia" w:hAnsi="宋体"/>
          <w:sz w:val="24"/>
          <w:szCs w:val="24"/>
        </w:rPr>
      </w:pPr>
      <w:r>
        <w:rPr>
          <w:rFonts w:hint="eastAsia" w:hAnsi="宋体"/>
          <w:sz w:val="24"/>
          <w:szCs w:val="24"/>
        </w:rPr>
        <w:t>（6）设计中</w:t>
      </w:r>
      <w:r>
        <w:rPr>
          <w:rFonts w:hAnsi="宋体"/>
          <w:sz w:val="24"/>
          <w:szCs w:val="24"/>
        </w:rPr>
        <w:t>在具有瓦斯突出危险煤层采掘工作面附近、爆破时撤离人员集中地点设有直通矿调度室的电话，并设置有供给压缩空气设施的避难硐室或压风自救系统。工作面回风系统中有人作业的地点，也设置</w:t>
      </w:r>
      <w:r>
        <w:rPr>
          <w:rFonts w:hint="eastAsia" w:hAnsi="宋体"/>
          <w:sz w:val="24"/>
          <w:szCs w:val="24"/>
        </w:rPr>
        <w:t>了</w:t>
      </w:r>
      <w:r>
        <w:rPr>
          <w:rFonts w:hAnsi="宋体"/>
          <w:sz w:val="24"/>
          <w:szCs w:val="24"/>
        </w:rPr>
        <w:t>压风自救系统</w:t>
      </w:r>
      <w:r>
        <w:rPr>
          <w:rFonts w:hint="eastAsia" w:hAnsi="宋体"/>
          <w:sz w:val="24"/>
          <w:szCs w:val="24"/>
        </w:rPr>
        <w:t>。</w:t>
      </w:r>
    </w:p>
    <w:p w14:paraId="1B4F5577">
      <w:pPr>
        <w:spacing w:line="360" w:lineRule="auto"/>
        <w:ind w:firstLine="480" w:firstLineChars="200"/>
        <w:rPr>
          <w:rFonts w:hint="eastAsia" w:ascii="宋体" w:hAnsi="宋体"/>
          <w:sz w:val="24"/>
          <w:u w:val="single"/>
        </w:rPr>
      </w:pPr>
      <w:r>
        <w:rPr>
          <w:rFonts w:hint="eastAsia" w:ascii="宋体" w:hAnsi="宋体"/>
          <w:sz w:val="24"/>
          <w:u w:val="single"/>
        </w:rPr>
        <w:t>目前矿井一采区开拓系统已经形成，虽然主斜井、回风斜井施工过程中穿过煤层，但未发生动力现象或突出，但矿井在进行深部煤层开采时，在未对煤层作出煤与瓦斯突出鉴定前，严禁将开拓主要巷道布置在煤层中或穿过煤层，并与煤层间保持20—30m的岩柱，需揭穿煤层时，必须对需揭穿的煤层采取防治煤与瓦斯突的措施，严格按《防治煤与瓦斯突出规定》执行，保证无突出危险后方可揭穿煤层。</w:t>
      </w:r>
    </w:p>
    <w:p w14:paraId="3500EF71">
      <w:pPr>
        <w:pStyle w:val="29"/>
        <w:spacing w:line="360" w:lineRule="auto"/>
        <w:ind w:firstLine="480" w:firstLineChars="200"/>
        <w:rPr>
          <w:rFonts w:hint="eastAsia" w:hAnsi="宋体"/>
          <w:sz w:val="24"/>
          <w:szCs w:val="24"/>
        </w:rPr>
      </w:pPr>
      <w:r>
        <w:rPr>
          <w:rFonts w:hint="eastAsia" w:hAnsi="宋体"/>
          <w:sz w:val="24"/>
          <w:szCs w:val="24"/>
        </w:rPr>
        <w:t>综上所述，矿井开拓方式、煤层开采顺序、主要巷道层位、矿井通风系统等方面设计均充分考虑了防突的要求。</w:t>
      </w:r>
    </w:p>
    <w:p w14:paraId="1AEA2667">
      <w:pPr>
        <w:spacing w:line="360" w:lineRule="auto"/>
        <w:ind w:firstLine="480" w:firstLineChars="200"/>
        <w:rPr>
          <w:rFonts w:hint="eastAsia" w:ascii="宋体" w:hAnsi="宋体"/>
          <w:color w:val="000000"/>
          <w:sz w:val="24"/>
        </w:rPr>
      </w:pPr>
      <w:r>
        <w:rPr>
          <w:rFonts w:hint="eastAsia" w:ascii="宋体" w:hAnsi="宋体"/>
          <w:color w:val="000000"/>
          <w:sz w:val="24"/>
        </w:rPr>
        <w:t>（7）矿井通风方式和通风方法</w:t>
      </w:r>
    </w:p>
    <w:p w14:paraId="6F154035">
      <w:pPr>
        <w:spacing w:line="360" w:lineRule="auto"/>
        <w:ind w:firstLine="480" w:firstLineChars="200"/>
        <w:rPr>
          <w:rFonts w:hint="eastAsia" w:ascii="宋体" w:hAnsi="宋体"/>
          <w:color w:val="000000"/>
          <w:sz w:val="24"/>
        </w:rPr>
      </w:pPr>
      <w:r>
        <w:rPr>
          <w:rFonts w:hint="eastAsia" w:ascii="宋体" w:hAnsi="宋体"/>
          <w:color w:val="000000"/>
          <w:sz w:val="24"/>
        </w:rPr>
        <w:t>矿井采用中央并列抽出式通风，主井、副井进风，风井回风。矿井</w:t>
      </w:r>
      <w:r>
        <w:rPr>
          <w:rFonts w:ascii="宋体" w:hAnsi="宋体"/>
          <w:color w:val="000000"/>
          <w:sz w:val="24"/>
        </w:rPr>
        <w:t>地面通风机房配</w:t>
      </w:r>
      <w:r>
        <w:rPr>
          <w:rFonts w:hint="eastAsia" w:ascii="宋体" w:hAnsi="宋体"/>
          <w:color w:val="000000"/>
          <w:sz w:val="24"/>
        </w:rPr>
        <w:t>有高效节能</w:t>
      </w:r>
      <w:r>
        <w:rPr>
          <w:rFonts w:ascii="宋体" w:hAnsi="宋体"/>
          <w:color w:val="000000"/>
          <w:sz w:val="24"/>
        </w:rPr>
        <w:t>轴流式通风机2台（1台工作，1台备用）。</w:t>
      </w:r>
    </w:p>
    <w:p w14:paraId="5410F4C2">
      <w:pPr>
        <w:spacing w:line="360" w:lineRule="auto"/>
        <w:ind w:firstLine="480" w:firstLineChars="200"/>
        <w:rPr>
          <w:rFonts w:hint="eastAsia"/>
          <w:color w:val="000000"/>
          <w:sz w:val="24"/>
        </w:rPr>
      </w:pPr>
      <w:r>
        <w:rPr>
          <w:rFonts w:hint="eastAsia"/>
          <w:color w:val="000000"/>
          <w:sz w:val="24"/>
        </w:rPr>
        <w:t>回采工作面和掘进工作面均为相对的独立通风系统。采区巷道布置保证了采煤工作面或掘进工作面都有独立的进风和回风顺槽道，不存在串联通风。</w:t>
      </w:r>
    </w:p>
    <w:p w14:paraId="77DD0FBA">
      <w:pPr>
        <w:spacing w:line="360" w:lineRule="auto"/>
        <w:ind w:firstLine="480" w:firstLineChars="200"/>
        <w:rPr>
          <w:rFonts w:hint="eastAsia"/>
          <w:color w:val="000000"/>
          <w:sz w:val="24"/>
        </w:rPr>
      </w:pPr>
      <w:r>
        <w:rPr>
          <w:rFonts w:hint="eastAsia"/>
          <w:color w:val="000000"/>
          <w:sz w:val="24"/>
        </w:rPr>
        <w:t xml:space="preserve">采煤工作面采用“U”型通风，新鲜风流由工作面运输顺槽进入，新鲜风流冲洗工作面，乏风经回风顺槽进入风井，由风井排出地面。该通风方式结构简单，巷道维修量小，工作面漏风量小，风流稳定，但上隅角瓦斯容易积聚。 </w:t>
      </w:r>
    </w:p>
    <w:p w14:paraId="35F984A8">
      <w:pPr>
        <w:spacing w:line="360" w:lineRule="auto"/>
        <w:ind w:firstLine="480" w:firstLineChars="200"/>
        <w:rPr>
          <w:rFonts w:hint="eastAsia"/>
          <w:color w:val="000000"/>
          <w:sz w:val="24"/>
        </w:rPr>
      </w:pPr>
      <w:r>
        <w:rPr>
          <w:rFonts w:hint="eastAsia"/>
          <w:color w:val="000000"/>
          <w:sz w:val="24"/>
        </w:rPr>
        <w:t>掘进工作面采用局部通风机压入式通风，通风系统可靠，风流稳定，只要采取有效的预抽措施后，瓦斯不易积聚。</w:t>
      </w:r>
    </w:p>
    <w:p w14:paraId="52F4D5B0">
      <w:pPr>
        <w:spacing w:line="360" w:lineRule="auto"/>
        <w:ind w:firstLine="480" w:firstLineChars="200"/>
        <w:rPr>
          <w:rFonts w:hint="eastAsia"/>
          <w:color w:val="000000"/>
          <w:sz w:val="24"/>
        </w:rPr>
      </w:pPr>
      <w:r>
        <w:rPr>
          <w:rFonts w:hint="eastAsia"/>
          <w:sz w:val="24"/>
        </w:rPr>
        <w:t>综上所述，矿井矿井</w:t>
      </w:r>
      <w:r>
        <w:rPr>
          <w:rFonts w:hint="eastAsia"/>
          <w:color w:val="000000"/>
          <w:sz w:val="24"/>
        </w:rPr>
        <w:t>通风方式和通风方法符合防突规定要求。</w:t>
      </w:r>
    </w:p>
    <w:p w14:paraId="4F2A02B6">
      <w:pPr>
        <w:pStyle w:val="15"/>
        <w:spacing w:line="360" w:lineRule="auto"/>
        <w:ind w:firstLine="480"/>
        <w:rPr>
          <w:rFonts w:hint="eastAsia" w:ascii="宋体" w:hAnsi="宋体"/>
          <w:kern w:val="0"/>
          <w:sz w:val="24"/>
          <w:szCs w:val="24"/>
        </w:rPr>
      </w:pPr>
      <w:r>
        <w:rPr>
          <w:rFonts w:hint="eastAsia" w:ascii="宋体" w:hAnsi="宋体"/>
          <w:kern w:val="0"/>
          <w:sz w:val="24"/>
          <w:szCs w:val="24"/>
        </w:rPr>
        <w:t>按有煤与瓦斯突出矿井进行设计和管理，要求在矿井建设中，揭煤及时对各煤层进行突出危险性鉴定，并根据揭穿各煤层的实际情况重新验证各煤层的突出危险性。在未做出鉴定之前，按各煤层均有突出危险性进行设计和管理，严格执行《防治煤与瓦斯突出规定》要求的区域综合防突措施和局部综合防突措施，防止瓦斯突出事故。</w:t>
      </w:r>
    </w:p>
    <w:p w14:paraId="0A6E3BD7">
      <w:pPr>
        <w:spacing w:before="120" w:beforeLines="50" w:after="120" w:afterLines="50" w:line="360" w:lineRule="auto"/>
        <w:ind w:firstLine="480" w:firstLineChars="200"/>
        <w:rPr>
          <w:rFonts w:hint="eastAsia" w:ascii="宋体" w:hAnsi="宋体"/>
          <w:kern w:val="0"/>
          <w:sz w:val="24"/>
        </w:rPr>
      </w:pPr>
      <w:r>
        <w:rPr>
          <w:rFonts w:hint="eastAsia" w:ascii="宋体" w:hAnsi="宋体"/>
          <w:kern w:val="0"/>
          <w:sz w:val="24"/>
        </w:rPr>
        <w:t>（二）防突机构</w:t>
      </w:r>
    </w:p>
    <w:p w14:paraId="6C50630C">
      <w:pPr>
        <w:spacing w:line="360" w:lineRule="auto"/>
        <w:ind w:firstLine="480" w:firstLineChars="200"/>
        <w:rPr>
          <w:rFonts w:hint="eastAsia" w:ascii="宋体" w:hAnsi="宋体"/>
          <w:color w:val="000000"/>
          <w:sz w:val="24"/>
        </w:rPr>
      </w:pPr>
      <w:r>
        <w:rPr>
          <w:rFonts w:hint="eastAsia" w:ascii="宋体" w:hAnsi="宋体"/>
          <w:color w:val="000000"/>
          <w:sz w:val="24"/>
        </w:rPr>
        <w:t>1、成立防突工作领导小组</w:t>
      </w:r>
    </w:p>
    <w:p w14:paraId="721DBF88">
      <w:pPr>
        <w:spacing w:line="360" w:lineRule="auto"/>
        <w:ind w:firstLine="480" w:firstLineChars="200"/>
        <w:rPr>
          <w:rFonts w:hint="eastAsia" w:ascii="宋体" w:hAnsi="宋体"/>
          <w:color w:val="000000"/>
          <w:sz w:val="24"/>
        </w:rPr>
      </w:pPr>
      <w:r>
        <w:rPr>
          <w:rFonts w:hint="eastAsia" w:ascii="宋体" w:hAnsi="宋体"/>
          <w:color w:val="000000"/>
          <w:sz w:val="24"/>
        </w:rPr>
        <w:t>（1）防突工作领导小组</w:t>
      </w:r>
    </w:p>
    <w:p w14:paraId="0FEF7EDD">
      <w:pPr>
        <w:spacing w:line="360" w:lineRule="auto"/>
        <w:ind w:firstLine="480" w:firstLineChars="200"/>
        <w:rPr>
          <w:rFonts w:hint="eastAsia" w:ascii="宋体" w:hAnsi="宋体"/>
          <w:color w:val="000000"/>
          <w:sz w:val="24"/>
        </w:rPr>
      </w:pPr>
      <w:r>
        <w:rPr>
          <w:rFonts w:hint="eastAsia" w:ascii="宋体" w:hAnsi="宋体"/>
          <w:color w:val="000000"/>
          <w:sz w:val="24"/>
        </w:rPr>
        <w:t>组　长：矿长；</w:t>
      </w:r>
    </w:p>
    <w:p w14:paraId="682A8D60">
      <w:pPr>
        <w:spacing w:line="360" w:lineRule="auto"/>
        <w:ind w:firstLine="480" w:firstLineChars="200"/>
        <w:rPr>
          <w:rFonts w:hint="eastAsia" w:ascii="宋体" w:hAnsi="宋体"/>
          <w:color w:val="000000"/>
          <w:sz w:val="24"/>
        </w:rPr>
      </w:pPr>
      <w:r>
        <w:rPr>
          <w:rFonts w:hint="eastAsia" w:ascii="宋体" w:hAnsi="宋体"/>
          <w:color w:val="000000"/>
          <w:sz w:val="24"/>
        </w:rPr>
        <w:t>副组长：总工程师、生产矿长、安全矿长、机电矿长等副矿级领导；</w:t>
      </w:r>
    </w:p>
    <w:p w14:paraId="4CB3051C">
      <w:pPr>
        <w:pStyle w:val="15"/>
        <w:spacing w:line="360" w:lineRule="auto"/>
        <w:ind w:firstLine="480"/>
        <w:rPr>
          <w:rFonts w:hint="eastAsia" w:ascii="宋体" w:hAnsi="宋体"/>
          <w:kern w:val="0"/>
          <w:sz w:val="24"/>
          <w:szCs w:val="24"/>
        </w:rPr>
      </w:pPr>
      <w:r>
        <w:rPr>
          <w:rFonts w:hint="eastAsia" w:ascii="宋体" w:hAnsi="宋体"/>
          <w:kern w:val="0"/>
          <w:sz w:val="24"/>
          <w:szCs w:val="24"/>
        </w:rPr>
        <w:t>成　员：由矿上经培训有防突技能的管理人员和反防突检验工等组成，成员不得少于10人；</w:t>
      </w:r>
    </w:p>
    <w:p w14:paraId="4CB9AE93">
      <w:pPr>
        <w:pStyle w:val="15"/>
        <w:spacing w:line="360" w:lineRule="auto"/>
        <w:ind w:firstLine="480"/>
        <w:rPr>
          <w:rFonts w:hint="eastAsia" w:ascii="宋体" w:hAnsi="宋体"/>
          <w:kern w:val="0"/>
          <w:sz w:val="24"/>
          <w:szCs w:val="24"/>
        </w:rPr>
      </w:pPr>
      <w:r>
        <w:rPr>
          <w:rFonts w:hint="eastAsia" w:ascii="宋体" w:hAnsi="宋体"/>
          <w:kern w:val="0"/>
          <w:sz w:val="24"/>
          <w:szCs w:val="24"/>
        </w:rPr>
        <w:t>（2）防突工作领导小组工作职责</w:t>
      </w:r>
    </w:p>
    <w:p w14:paraId="5997F0D2">
      <w:pPr>
        <w:spacing w:line="360" w:lineRule="auto"/>
        <w:ind w:firstLine="480" w:firstLineChars="200"/>
        <w:rPr>
          <w:rFonts w:hint="eastAsia" w:ascii="宋体" w:hAnsi="宋体"/>
          <w:color w:val="000000"/>
          <w:sz w:val="24"/>
        </w:rPr>
      </w:pPr>
      <w:r>
        <w:rPr>
          <w:rFonts w:hint="eastAsia" w:ascii="宋体" w:hAnsi="宋体"/>
          <w:color w:val="000000"/>
          <w:sz w:val="24"/>
        </w:rPr>
        <w:t>1）负责全矿井与防突工作有关的安全隐患检查，组织采取防突措施。</w:t>
      </w:r>
    </w:p>
    <w:p w14:paraId="713974C1">
      <w:pPr>
        <w:spacing w:line="360" w:lineRule="auto"/>
        <w:ind w:firstLine="480" w:firstLineChars="200"/>
        <w:rPr>
          <w:rFonts w:hint="eastAsia" w:ascii="宋体" w:hAnsi="宋体"/>
          <w:color w:val="000000"/>
          <w:sz w:val="24"/>
        </w:rPr>
      </w:pPr>
      <w:r>
        <w:rPr>
          <w:rFonts w:hint="eastAsia" w:ascii="宋体" w:hAnsi="宋体"/>
          <w:color w:val="000000"/>
          <w:sz w:val="24"/>
        </w:rPr>
        <w:t>2）工作组成员负责参与监督落实本单位辖区内防突措施。</w:t>
      </w:r>
    </w:p>
    <w:p w14:paraId="5202EE60">
      <w:pPr>
        <w:spacing w:line="360" w:lineRule="auto"/>
        <w:ind w:firstLine="480" w:firstLineChars="200"/>
        <w:rPr>
          <w:rFonts w:hint="eastAsia" w:ascii="宋体" w:hAnsi="宋体"/>
          <w:color w:val="000000"/>
          <w:sz w:val="24"/>
        </w:rPr>
      </w:pPr>
      <w:r>
        <w:rPr>
          <w:rFonts w:hint="eastAsia" w:ascii="宋体" w:hAnsi="宋体"/>
          <w:color w:val="000000"/>
          <w:sz w:val="24"/>
        </w:rPr>
        <w:t>3）组长、副组长负责对防突措施进行指挥、协调、组织处理。</w:t>
      </w:r>
    </w:p>
    <w:p w14:paraId="38FE95B7">
      <w:pPr>
        <w:spacing w:line="360" w:lineRule="auto"/>
        <w:ind w:firstLine="480" w:firstLineChars="200"/>
        <w:rPr>
          <w:rFonts w:hint="eastAsia" w:ascii="宋体" w:hAnsi="宋体"/>
          <w:color w:val="000000"/>
          <w:sz w:val="24"/>
        </w:rPr>
      </w:pPr>
      <w:r>
        <w:rPr>
          <w:rFonts w:hint="eastAsia" w:ascii="宋体" w:hAnsi="宋体"/>
          <w:color w:val="000000"/>
          <w:sz w:val="24"/>
        </w:rPr>
        <w:t>（3）防突工作领导小组工作制度</w:t>
      </w:r>
    </w:p>
    <w:p w14:paraId="4FE1D91D">
      <w:pPr>
        <w:spacing w:line="360" w:lineRule="auto"/>
        <w:ind w:firstLine="480" w:firstLineChars="200"/>
        <w:rPr>
          <w:rFonts w:hint="eastAsia" w:ascii="宋体" w:hAnsi="宋体"/>
          <w:color w:val="000000"/>
          <w:sz w:val="24"/>
        </w:rPr>
      </w:pPr>
      <w:r>
        <w:rPr>
          <w:rFonts w:hint="eastAsia" w:ascii="宋体" w:hAnsi="宋体"/>
          <w:color w:val="000000"/>
          <w:sz w:val="24"/>
        </w:rPr>
        <w:t>1）工作组成员必须每天深入井下、深入现场检查落实防突措施的实施情况。</w:t>
      </w:r>
    </w:p>
    <w:p w14:paraId="75F9DA1B">
      <w:pPr>
        <w:spacing w:line="360" w:lineRule="auto"/>
        <w:ind w:firstLine="480" w:firstLineChars="200"/>
        <w:rPr>
          <w:rFonts w:hint="eastAsia" w:ascii="宋体" w:hAnsi="宋体"/>
          <w:color w:val="000000"/>
          <w:sz w:val="24"/>
        </w:rPr>
      </w:pPr>
      <w:r>
        <w:rPr>
          <w:rFonts w:hint="eastAsia" w:ascii="宋体" w:hAnsi="宋体"/>
          <w:color w:val="000000"/>
          <w:sz w:val="24"/>
        </w:rPr>
        <w:t>2）每采取一次防突措施后，必须向组长汇报情况。</w:t>
      </w:r>
    </w:p>
    <w:p w14:paraId="2F3CC25D">
      <w:pPr>
        <w:spacing w:line="360" w:lineRule="auto"/>
        <w:ind w:firstLine="480" w:firstLineChars="200"/>
        <w:rPr>
          <w:rFonts w:hint="eastAsia" w:ascii="宋体" w:hAnsi="宋体"/>
          <w:color w:val="000000"/>
          <w:sz w:val="24"/>
        </w:rPr>
      </w:pPr>
      <w:r>
        <w:rPr>
          <w:rFonts w:hint="eastAsia" w:ascii="宋体" w:hAnsi="宋体"/>
          <w:color w:val="000000"/>
          <w:sz w:val="24"/>
        </w:rPr>
        <w:t>3）临时存在急需处理的防突隐患由组长或副组长召集相关成员讨论方案经组长同意后立即组织实施。</w:t>
      </w:r>
    </w:p>
    <w:p w14:paraId="37C80D4A">
      <w:pPr>
        <w:spacing w:line="360" w:lineRule="auto"/>
        <w:ind w:firstLine="480" w:firstLineChars="200"/>
        <w:rPr>
          <w:rFonts w:hint="eastAsia" w:ascii="宋体" w:hAnsi="宋体"/>
          <w:color w:val="000000"/>
          <w:sz w:val="24"/>
        </w:rPr>
      </w:pPr>
      <w:r>
        <w:rPr>
          <w:rFonts w:hint="eastAsia" w:ascii="宋体" w:hAnsi="宋体"/>
          <w:color w:val="000000"/>
          <w:sz w:val="24"/>
        </w:rPr>
        <w:t>4）根据采掘工作面的防突情况，由组长或副组长定期召集工作组成员分析总结防突措施存在的问题，并分析制定下一步采取的防突措施。</w:t>
      </w:r>
    </w:p>
    <w:p w14:paraId="13FD852A">
      <w:pPr>
        <w:spacing w:line="360" w:lineRule="auto"/>
        <w:ind w:firstLine="480" w:firstLineChars="200"/>
        <w:rPr>
          <w:rFonts w:hint="eastAsia" w:ascii="宋体" w:hAnsi="宋体"/>
          <w:color w:val="000000"/>
          <w:sz w:val="24"/>
        </w:rPr>
      </w:pPr>
      <w:r>
        <w:rPr>
          <w:rFonts w:hint="eastAsia" w:ascii="宋体" w:hAnsi="宋体"/>
          <w:color w:val="000000"/>
          <w:sz w:val="24"/>
        </w:rPr>
        <w:t>（4）防突工作领导小组工作组织</w:t>
      </w:r>
    </w:p>
    <w:p w14:paraId="21A103B3">
      <w:pPr>
        <w:spacing w:line="360" w:lineRule="auto"/>
        <w:ind w:firstLine="480" w:firstLineChars="200"/>
        <w:rPr>
          <w:rFonts w:hint="eastAsia" w:ascii="宋体" w:hAnsi="宋体"/>
          <w:color w:val="000000"/>
          <w:sz w:val="24"/>
        </w:rPr>
      </w:pPr>
      <w:r>
        <w:rPr>
          <w:rFonts w:hint="eastAsia" w:ascii="宋体" w:hAnsi="宋体"/>
          <w:color w:val="000000"/>
          <w:sz w:val="24"/>
        </w:rPr>
        <w:t>1）防突管理汇报程序：</w:t>
      </w:r>
    </w:p>
    <w:p w14:paraId="760604DE">
      <w:pPr>
        <w:spacing w:line="360" w:lineRule="auto"/>
        <w:ind w:firstLine="480" w:firstLineChars="200"/>
        <w:rPr>
          <w:rFonts w:hint="eastAsia" w:ascii="宋体" w:hAnsi="宋体"/>
          <w:color w:val="000000"/>
          <w:sz w:val="24"/>
        </w:rPr>
      </w:pPr>
      <w:r>
        <w:rPr>
          <w:rFonts w:hint="eastAsia" w:ascii="宋体" w:hAnsi="宋体"/>
          <w:color w:val="000000"/>
          <w:sz w:val="24"/>
        </w:rPr>
        <w:t>⑴ 防突管理工作组人员发现有突出隐患，要立即向矿调度汇报；</w:t>
      </w:r>
    </w:p>
    <w:p w14:paraId="667520B7">
      <w:pPr>
        <w:spacing w:line="360" w:lineRule="auto"/>
        <w:ind w:firstLine="480" w:firstLineChars="200"/>
        <w:rPr>
          <w:rFonts w:hint="eastAsia" w:ascii="宋体" w:hAnsi="宋体"/>
          <w:color w:val="000000"/>
          <w:sz w:val="24"/>
        </w:rPr>
      </w:pPr>
      <w:r>
        <w:rPr>
          <w:rFonts w:hint="eastAsia" w:ascii="宋体" w:hAnsi="宋体"/>
          <w:color w:val="000000"/>
          <w:sz w:val="24"/>
        </w:rPr>
        <w:t>⑵ 防突工作人员每次采取防突措施后必须执行现场标定、防突排版、预测预报表相符，并报总工程师签字；</w:t>
      </w:r>
    </w:p>
    <w:p w14:paraId="57FBFA69">
      <w:pPr>
        <w:spacing w:line="360" w:lineRule="auto"/>
        <w:ind w:firstLine="480" w:firstLineChars="200"/>
        <w:rPr>
          <w:rFonts w:hint="eastAsia" w:ascii="宋体" w:hAnsi="宋体"/>
          <w:color w:val="000000"/>
          <w:sz w:val="24"/>
        </w:rPr>
      </w:pPr>
      <w:r>
        <w:rPr>
          <w:rFonts w:hint="eastAsia" w:ascii="宋体" w:hAnsi="宋体"/>
          <w:color w:val="000000"/>
          <w:sz w:val="24"/>
        </w:rPr>
        <w:t>⑶ 通风调度每次采取防突措施后必须汇报矿调度；</w:t>
      </w:r>
    </w:p>
    <w:p w14:paraId="4F4322F1">
      <w:pPr>
        <w:spacing w:line="360" w:lineRule="auto"/>
        <w:ind w:firstLine="480" w:firstLineChars="200"/>
        <w:rPr>
          <w:rFonts w:hint="eastAsia" w:ascii="宋体" w:hAnsi="宋体"/>
          <w:color w:val="000000"/>
          <w:sz w:val="24"/>
        </w:rPr>
      </w:pPr>
      <w:r>
        <w:rPr>
          <w:rFonts w:hint="eastAsia" w:ascii="宋体" w:hAnsi="宋体"/>
          <w:color w:val="000000"/>
          <w:sz w:val="24"/>
        </w:rPr>
        <w:t>⑷ 瓦检员及安检人员必须现场严格监督落实防突措施，发现有突出预兆或突出危险必须立即停止作业，立即将工作面及其回风系统停电、撤人、设置栅栏、设示警标等，并立即汇报矿调度，矿调度立即汇报防突工作组组长。</w:t>
      </w:r>
    </w:p>
    <w:p w14:paraId="42DC82A1">
      <w:pPr>
        <w:spacing w:line="360" w:lineRule="auto"/>
        <w:ind w:firstLine="480" w:firstLineChars="200"/>
        <w:rPr>
          <w:rFonts w:hint="eastAsia" w:ascii="宋体" w:hAnsi="宋体"/>
          <w:color w:val="000000"/>
          <w:sz w:val="24"/>
        </w:rPr>
      </w:pPr>
      <w:r>
        <w:rPr>
          <w:rFonts w:hint="eastAsia" w:ascii="宋体" w:hAnsi="宋体"/>
          <w:color w:val="000000"/>
          <w:sz w:val="24"/>
        </w:rPr>
        <w:t>2）处理防突隐患：</w:t>
      </w:r>
    </w:p>
    <w:p w14:paraId="07ECFB2B">
      <w:pPr>
        <w:spacing w:line="360" w:lineRule="auto"/>
        <w:ind w:firstLine="480" w:firstLineChars="200"/>
        <w:rPr>
          <w:rFonts w:hint="eastAsia" w:ascii="宋体" w:hAnsi="宋体"/>
          <w:color w:val="000000"/>
          <w:sz w:val="24"/>
        </w:rPr>
      </w:pPr>
      <w:r>
        <w:rPr>
          <w:rFonts w:hint="eastAsia" w:ascii="宋体" w:hAnsi="宋体"/>
          <w:color w:val="000000"/>
          <w:sz w:val="24"/>
        </w:rPr>
        <w:t>⑴ 在处理防突隐患前，必须由矿总工程师负责组织制定针对性的措施，作业人员严格按措施执行，处理防突隐患时，时间、人员、物资足够，现场负责人必须落实到位；</w:t>
      </w:r>
    </w:p>
    <w:p w14:paraId="56880E11">
      <w:pPr>
        <w:spacing w:line="360" w:lineRule="auto"/>
        <w:ind w:firstLine="480" w:firstLineChars="200"/>
        <w:rPr>
          <w:rFonts w:hint="eastAsia" w:ascii="宋体" w:hAnsi="宋体"/>
          <w:color w:val="000000"/>
          <w:sz w:val="24"/>
        </w:rPr>
      </w:pPr>
      <w:r>
        <w:rPr>
          <w:rFonts w:hint="eastAsia" w:ascii="宋体" w:hAnsi="宋体"/>
          <w:color w:val="000000"/>
          <w:sz w:val="24"/>
        </w:rPr>
        <w:t>⑵ 防突管理工作组人员必须进行跟踪处理，相关单位指派副区长等领导在现场进行协助，对重大防突隐患，由瓦斯管理工作组组长或指派相关人员亲临现场组织处理，直至隐患排除为止；</w:t>
      </w:r>
    </w:p>
    <w:p w14:paraId="3369360B">
      <w:pPr>
        <w:spacing w:line="360" w:lineRule="auto"/>
        <w:ind w:firstLine="480" w:firstLineChars="200"/>
        <w:rPr>
          <w:rFonts w:hint="eastAsia" w:ascii="宋体" w:hAnsi="宋体"/>
          <w:color w:val="000000"/>
          <w:sz w:val="24"/>
        </w:rPr>
      </w:pPr>
      <w:r>
        <w:rPr>
          <w:rFonts w:hint="eastAsia" w:ascii="宋体" w:hAnsi="宋体"/>
          <w:color w:val="000000"/>
          <w:sz w:val="24"/>
        </w:rPr>
        <w:t>⑶ 安检人员对防突隐患采取的措施必须实行24小时跟踪和检查，直至隐患消除，并将处理情况及时汇报矿调度及防突管理工作组组长；</w:t>
      </w:r>
    </w:p>
    <w:p w14:paraId="0115CC19">
      <w:pPr>
        <w:spacing w:line="360" w:lineRule="auto"/>
        <w:ind w:firstLine="480" w:firstLineChars="200"/>
        <w:rPr>
          <w:rFonts w:hint="eastAsia" w:ascii="宋体" w:hAnsi="宋体"/>
          <w:color w:val="000000"/>
          <w:sz w:val="24"/>
        </w:rPr>
      </w:pPr>
      <w:r>
        <w:rPr>
          <w:rFonts w:hint="eastAsia" w:ascii="宋体" w:hAnsi="宋体"/>
          <w:color w:val="000000"/>
          <w:sz w:val="24"/>
        </w:rPr>
        <w:t>⑷ 通风、矿调度对防突隐患必须认真详细记录，随时掌握现场情况，并即时汇报相关相关领导。</w:t>
      </w:r>
    </w:p>
    <w:p w14:paraId="39A740C5">
      <w:pPr>
        <w:spacing w:line="360" w:lineRule="auto"/>
        <w:ind w:firstLine="480" w:firstLineChars="200"/>
        <w:rPr>
          <w:rFonts w:hint="eastAsia" w:ascii="宋体" w:hAnsi="宋体"/>
          <w:color w:val="000000"/>
          <w:sz w:val="24"/>
        </w:rPr>
      </w:pPr>
      <w:r>
        <w:rPr>
          <w:rFonts w:hint="eastAsia" w:ascii="宋体" w:hAnsi="宋体"/>
          <w:color w:val="000000"/>
          <w:sz w:val="24"/>
        </w:rPr>
        <w:t>2、成立防突预测检验小组3—5人，直属总工程师领导，开展日常防突预测检验工作。</w:t>
      </w:r>
    </w:p>
    <w:p w14:paraId="2054261C">
      <w:pPr>
        <w:spacing w:line="360" w:lineRule="auto"/>
        <w:ind w:firstLine="480" w:firstLineChars="200"/>
        <w:rPr>
          <w:rFonts w:hint="eastAsia" w:ascii="宋体" w:hAnsi="宋体"/>
          <w:color w:val="000000"/>
          <w:sz w:val="24"/>
        </w:rPr>
      </w:pPr>
      <w:r>
        <w:rPr>
          <w:rFonts w:hint="eastAsia" w:ascii="宋体" w:hAnsi="宋体"/>
          <w:color w:val="000000"/>
          <w:sz w:val="24"/>
        </w:rPr>
        <w:t>3、成立打钻队</w:t>
      </w:r>
    </w:p>
    <w:p w14:paraId="1BA3584F">
      <w:pPr>
        <w:spacing w:line="360" w:lineRule="auto"/>
        <w:ind w:firstLine="480" w:firstLineChars="200"/>
        <w:rPr>
          <w:rFonts w:hint="eastAsia" w:ascii="宋体" w:hAnsi="宋体"/>
          <w:color w:val="000000"/>
          <w:sz w:val="24"/>
        </w:rPr>
      </w:pPr>
      <w:r>
        <w:rPr>
          <w:rFonts w:hint="eastAsia" w:ascii="宋体" w:hAnsi="宋体"/>
          <w:color w:val="000000"/>
          <w:sz w:val="24"/>
        </w:rPr>
        <w:t xml:space="preserve">（1）打钻队可根据该矿实际情况配备相应数量的防突钻机（每班每台钻机打钻人员不得少于3人），并能保证矿井正常生产时，瓦斯抽放钻孔的施工，钻孔预期的要求。煤与瓦斯突出预测仪器详见 </w:t>
      </w:r>
      <w:r>
        <w:rPr>
          <w:rFonts w:hint="eastAsia" w:ascii="宋体" w:hAnsi="宋体"/>
          <w:b/>
          <w:color w:val="000000"/>
          <w:sz w:val="24"/>
        </w:rPr>
        <w:t>表4－3－1。</w:t>
      </w:r>
    </w:p>
    <w:p w14:paraId="44C86AA1">
      <w:pPr>
        <w:spacing w:line="360" w:lineRule="auto"/>
        <w:ind w:firstLine="480" w:firstLineChars="200"/>
        <w:rPr>
          <w:rFonts w:ascii="宋体" w:hAnsi="宋体"/>
          <w:color w:val="000000"/>
          <w:sz w:val="24"/>
        </w:rPr>
      </w:pPr>
      <w:r>
        <w:rPr>
          <w:rFonts w:hint="eastAsia" w:ascii="宋体" w:hAnsi="宋体"/>
          <w:color w:val="000000"/>
          <w:sz w:val="24"/>
        </w:rPr>
        <w:t>（2）打钻</w:t>
      </w:r>
      <w:r>
        <w:rPr>
          <w:rFonts w:ascii="宋体" w:hAnsi="宋体"/>
          <w:color w:val="000000"/>
          <w:sz w:val="24"/>
        </w:rPr>
        <w:t>设备选型</w:t>
      </w:r>
    </w:p>
    <w:p w14:paraId="011CA5D1">
      <w:pPr>
        <w:spacing w:line="360" w:lineRule="auto"/>
        <w:ind w:firstLine="480" w:firstLineChars="200"/>
        <w:rPr>
          <w:rFonts w:hint="eastAsia" w:ascii="宋体" w:hAnsi="宋体"/>
          <w:b/>
          <w:bCs/>
          <w:color w:val="000000"/>
          <w:sz w:val="24"/>
        </w:rPr>
      </w:pPr>
      <w:r>
        <w:rPr>
          <w:rFonts w:hint="eastAsia" w:ascii="宋体" w:hAnsi="宋体"/>
          <w:color w:val="000000"/>
          <w:sz w:val="24"/>
        </w:rPr>
        <w:t>选用国产ZY-150防爆型钻机，其钻进深度可达150m，开孔直径87mm，终孔直径65mm，给进方式为油压自动。主要检测仪表有流量、压力、浓度测量计。</w:t>
      </w:r>
    </w:p>
    <w:p w14:paraId="6A9BE075">
      <w:pPr>
        <w:spacing w:line="360" w:lineRule="auto"/>
        <w:ind w:firstLine="480" w:firstLineChars="200"/>
        <w:rPr>
          <w:rFonts w:hint="eastAsia" w:ascii="宋体" w:hAnsi="宋体"/>
          <w:color w:val="000000"/>
          <w:sz w:val="24"/>
        </w:rPr>
      </w:pPr>
      <w:r>
        <w:rPr>
          <w:rFonts w:hint="eastAsia" w:ascii="宋体" w:hAnsi="宋体"/>
          <w:color w:val="000000"/>
          <w:sz w:val="24"/>
        </w:rPr>
        <w:t>4、建立防突人员培训计划</w:t>
      </w:r>
    </w:p>
    <w:p w14:paraId="6BB925DA">
      <w:pPr>
        <w:spacing w:line="360" w:lineRule="auto"/>
        <w:ind w:firstLine="480" w:firstLineChars="200"/>
        <w:rPr>
          <w:rFonts w:hint="eastAsia" w:ascii="宋体" w:hAnsi="宋体"/>
          <w:color w:val="000000"/>
          <w:sz w:val="24"/>
        </w:rPr>
      </w:pPr>
      <w:r>
        <w:rPr>
          <w:rFonts w:hint="eastAsia" w:ascii="宋体" w:hAnsi="宋体"/>
          <w:color w:val="000000"/>
          <w:sz w:val="24"/>
        </w:rPr>
        <w:t>（1）矿井应设置专门的培训场所，配备相应的设备设施及定制相关书籍。</w:t>
      </w:r>
    </w:p>
    <w:p w14:paraId="5FD29316">
      <w:pPr>
        <w:spacing w:line="360" w:lineRule="auto"/>
        <w:ind w:firstLine="480" w:firstLineChars="200"/>
        <w:rPr>
          <w:rFonts w:hint="eastAsia" w:ascii="宋体" w:hAnsi="宋体"/>
          <w:color w:val="000000"/>
          <w:sz w:val="24"/>
        </w:rPr>
      </w:pPr>
      <w:r>
        <w:rPr>
          <w:rFonts w:hint="eastAsia" w:ascii="宋体" w:hAnsi="宋体"/>
          <w:color w:val="000000"/>
          <w:sz w:val="24"/>
        </w:rPr>
        <w:t>（2）应对防突人员制定培训计划，定期对防突人员进行培训。</w:t>
      </w:r>
    </w:p>
    <w:p w14:paraId="578839FB">
      <w:pPr>
        <w:spacing w:line="360" w:lineRule="auto"/>
        <w:ind w:firstLine="480" w:firstLineChars="200"/>
        <w:rPr>
          <w:rFonts w:hint="eastAsia" w:ascii="宋体" w:hAnsi="宋体"/>
          <w:color w:val="000000"/>
          <w:sz w:val="24"/>
        </w:rPr>
      </w:pPr>
      <w:r>
        <w:rPr>
          <w:rFonts w:hint="eastAsia" w:ascii="宋体" w:hAnsi="宋体"/>
          <w:color w:val="000000"/>
          <w:sz w:val="24"/>
        </w:rPr>
        <w:t>（3）应定期指派专人到相关部门组织的培训机构进行培训学习，提高防突意识。</w:t>
      </w:r>
    </w:p>
    <w:p w14:paraId="6CB7EC7F">
      <w:pPr>
        <w:spacing w:line="360" w:lineRule="auto"/>
        <w:ind w:firstLine="482" w:firstLineChars="200"/>
        <w:jc w:val="center"/>
        <w:rPr>
          <w:rFonts w:hint="eastAsia" w:ascii="宋体" w:hAnsi="宋体"/>
          <w:b/>
          <w:sz w:val="24"/>
        </w:rPr>
      </w:pPr>
      <w:r>
        <w:rPr>
          <w:rFonts w:hint="eastAsia" w:ascii="宋体" w:hAnsi="宋体"/>
          <w:b/>
          <w:color w:val="000000"/>
          <w:sz w:val="24"/>
        </w:rPr>
        <w:t xml:space="preserve">表4－3－1      </w:t>
      </w:r>
      <w:r>
        <w:rPr>
          <w:rFonts w:hint="eastAsia" w:ascii="宋体" w:hAnsi="宋体"/>
          <w:b/>
          <w:sz w:val="24"/>
        </w:rPr>
        <w:t>煤与瓦斯突出预测仪器</w:t>
      </w:r>
      <w:r>
        <w:rPr>
          <w:rFonts w:ascii="宋体" w:hAnsi="宋体"/>
          <w:b/>
          <w:sz w:val="24"/>
        </w:rPr>
        <w:t>仪表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2"/>
        <w:gridCol w:w="3994"/>
        <w:gridCol w:w="1826"/>
        <w:gridCol w:w="823"/>
        <w:gridCol w:w="749"/>
        <w:gridCol w:w="870"/>
      </w:tblGrid>
      <w:tr w14:paraId="36161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483EC7E5">
            <w:pPr>
              <w:jc w:val="center"/>
              <w:rPr>
                <w:rFonts w:hint="eastAsia" w:ascii="宋体" w:hAnsi="宋体"/>
                <w:sz w:val="24"/>
              </w:rPr>
            </w:pPr>
            <w:r>
              <w:rPr>
                <w:rFonts w:ascii="宋体" w:hAnsi="宋体"/>
                <w:sz w:val="24"/>
              </w:rPr>
              <w:t>序</w:t>
            </w:r>
            <w:r>
              <w:rPr>
                <w:rFonts w:hint="eastAsia" w:ascii="宋体" w:hAnsi="宋体"/>
                <w:sz w:val="24"/>
              </w:rPr>
              <w:t>号</w:t>
            </w:r>
          </w:p>
        </w:tc>
        <w:tc>
          <w:tcPr>
            <w:tcW w:w="3994" w:type="dxa"/>
            <w:noWrap w:val="0"/>
            <w:vAlign w:val="center"/>
          </w:tcPr>
          <w:p w14:paraId="25174A62">
            <w:pPr>
              <w:jc w:val="center"/>
              <w:rPr>
                <w:rFonts w:ascii="宋体" w:hAnsi="宋体"/>
                <w:sz w:val="24"/>
              </w:rPr>
            </w:pPr>
            <w:r>
              <w:rPr>
                <w:rFonts w:ascii="宋体" w:hAnsi="宋体"/>
                <w:sz w:val="24"/>
              </w:rPr>
              <w:t>设备及材料名称</w:t>
            </w:r>
          </w:p>
        </w:tc>
        <w:tc>
          <w:tcPr>
            <w:tcW w:w="1826" w:type="dxa"/>
            <w:noWrap w:val="0"/>
            <w:vAlign w:val="center"/>
          </w:tcPr>
          <w:p w14:paraId="5B179559">
            <w:pPr>
              <w:jc w:val="center"/>
              <w:rPr>
                <w:rFonts w:ascii="宋体" w:hAnsi="宋体"/>
                <w:sz w:val="24"/>
              </w:rPr>
            </w:pPr>
            <w:r>
              <w:rPr>
                <w:rFonts w:ascii="宋体" w:hAnsi="宋体"/>
                <w:sz w:val="24"/>
              </w:rPr>
              <w:t>型号及规格</w:t>
            </w:r>
          </w:p>
        </w:tc>
        <w:tc>
          <w:tcPr>
            <w:tcW w:w="823" w:type="dxa"/>
            <w:noWrap w:val="0"/>
            <w:vAlign w:val="center"/>
          </w:tcPr>
          <w:p w14:paraId="6CD58625">
            <w:pPr>
              <w:jc w:val="center"/>
              <w:rPr>
                <w:rFonts w:ascii="宋体" w:hAnsi="宋体"/>
                <w:sz w:val="24"/>
              </w:rPr>
            </w:pPr>
            <w:r>
              <w:rPr>
                <w:rFonts w:ascii="宋体" w:hAnsi="宋体"/>
                <w:sz w:val="24"/>
              </w:rPr>
              <w:t>单位</w:t>
            </w:r>
          </w:p>
        </w:tc>
        <w:tc>
          <w:tcPr>
            <w:tcW w:w="749" w:type="dxa"/>
            <w:noWrap w:val="0"/>
            <w:vAlign w:val="center"/>
          </w:tcPr>
          <w:p w14:paraId="0C058CF3">
            <w:pPr>
              <w:jc w:val="center"/>
              <w:rPr>
                <w:rFonts w:ascii="宋体" w:hAnsi="宋体"/>
                <w:sz w:val="24"/>
              </w:rPr>
            </w:pPr>
            <w:r>
              <w:rPr>
                <w:rFonts w:ascii="宋体" w:hAnsi="宋体"/>
                <w:sz w:val="24"/>
              </w:rPr>
              <w:t>数量</w:t>
            </w:r>
          </w:p>
        </w:tc>
        <w:tc>
          <w:tcPr>
            <w:tcW w:w="870" w:type="dxa"/>
            <w:noWrap w:val="0"/>
            <w:vAlign w:val="center"/>
          </w:tcPr>
          <w:p w14:paraId="4D9DB490">
            <w:pPr>
              <w:jc w:val="center"/>
              <w:rPr>
                <w:rFonts w:ascii="宋体" w:hAnsi="宋体"/>
                <w:sz w:val="24"/>
              </w:rPr>
            </w:pPr>
            <w:r>
              <w:rPr>
                <w:rFonts w:ascii="宋体" w:hAnsi="宋体"/>
                <w:sz w:val="24"/>
              </w:rPr>
              <w:t>备注</w:t>
            </w:r>
          </w:p>
        </w:tc>
      </w:tr>
      <w:tr w14:paraId="27C700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5F573B0E">
            <w:pPr>
              <w:jc w:val="center"/>
              <w:rPr>
                <w:rFonts w:ascii="宋体" w:hAnsi="宋体"/>
                <w:sz w:val="24"/>
              </w:rPr>
            </w:pPr>
            <w:r>
              <w:rPr>
                <w:rFonts w:ascii="宋体" w:hAnsi="宋体"/>
                <w:sz w:val="24"/>
              </w:rPr>
              <w:t>1</w:t>
            </w:r>
          </w:p>
        </w:tc>
        <w:tc>
          <w:tcPr>
            <w:tcW w:w="3994" w:type="dxa"/>
            <w:noWrap w:val="0"/>
            <w:vAlign w:val="center"/>
          </w:tcPr>
          <w:p w14:paraId="324A5100">
            <w:pPr>
              <w:rPr>
                <w:rFonts w:ascii="宋体" w:hAnsi="宋体"/>
                <w:sz w:val="24"/>
              </w:rPr>
            </w:pPr>
            <w:r>
              <w:rPr>
                <w:rFonts w:ascii="宋体" w:hAnsi="宋体"/>
                <w:sz w:val="24"/>
              </w:rPr>
              <w:t>瓦斯压力测定仪</w:t>
            </w:r>
          </w:p>
        </w:tc>
        <w:tc>
          <w:tcPr>
            <w:tcW w:w="1826" w:type="dxa"/>
            <w:noWrap w:val="0"/>
            <w:vAlign w:val="center"/>
          </w:tcPr>
          <w:p w14:paraId="599586F4">
            <w:pPr>
              <w:rPr>
                <w:rFonts w:ascii="宋体" w:hAnsi="宋体"/>
                <w:sz w:val="24"/>
              </w:rPr>
            </w:pPr>
            <w:r>
              <w:rPr>
                <w:rFonts w:ascii="宋体" w:hAnsi="宋体"/>
                <w:sz w:val="24"/>
              </w:rPr>
              <w:t>ACW-1</w:t>
            </w:r>
          </w:p>
        </w:tc>
        <w:tc>
          <w:tcPr>
            <w:tcW w:w="823" w:type="dxa"/>
            <w:noWrap w:val="0"/>
            <w:vAlign w:val="center"/>
          </w:tcPr>
          <w:p w14:paraId="01A219B7">
            <w:pPr>
              <w:jc w:val="center"/>
              <w:rPr>
                <w:rFonts w:ascii="宋体" w:hAnsi="宋体"/>
                <w:sz w:val="24"/>
              </w:rPr>
            </w:pPr>
            <w:r>
              <w:rPr>
                <w:rFonts w:ascii="宋体" w:hAnsi="宋体"/>
                <w:sz w:val="24"/>
              </w:rPr>
              <w:t>台</w:t>
            </w:r>
          </w:p>
        </w:tc>
        <w:tc>
          <w:tcPr>
            <w:tcW w:w="749" w:type="dxa"/>
            <w:noWrap w:val="0"/>
            <w:vAlign w:val="center"/>
          </w:tcPr>
          <w:p w14:paraId="022BAE5C">
            <w:pPr>
              <w:jc w:val="center"/>
              <w:rPr>
                <w:rFonts w:hint="eastAsia" w:ascii="宋体" w:hAnsi="宋体"/>
                <w:sz w:val="24"/>
              </w:rPr>
            </w:pPr>
            <w:r>
              <w:rPr>
                <w:rFonts w:hint="eastAsia" w:ascii="宋体" w:hAnsi="宋体"/>
                <w:sz w:val="24"/>
              </w:rPr>
              <w:t>1</w:t>
            </w:r>
          </w:p>
        </w:tc>
        <w:tc>
          <w:tcPr>
            <w:tcW w:w="870" w:type="dxa"/>
            <w:noWrap w:val="0"/>
            <w:vAlign w:val="center"/>
          </w:tcPr>
          <w:p w14:paraId="69B72CAA">
            <w:pPr>
              <w:jc w:val="center"/>
              <w:rPr>
                <w:rFonts w:ascii="宋体" w:hAnsi="宋体"/>
                <w:sz w:val="24"/>
              </w:rPr>
            </w:pPr>
          </w:p>
        </w:tc>
      </w:tr>
      <w:tr w14:paraId="4A37B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74928915">
            <w:pPr>
              <w:jc w:val="center"/>
              <w:rPr>
                <w:rFonts w:ascii="宋体" w:hAnsi="宋体"/>
                <w:sz w:val="24"/>
              </w:rPr>
            </w:pPr>
            <w:r>
              <w:rPr>
                <w:rFonts w:ascii="宋体" w:hAnsi="宋体"/>
                <w:sz w:val="24"/>
              </w:rPr>
              <w:t>2</w:t>
            </w:r>
          </w:p>
        </w:tc>
        <w:tc>
          <w:tcPr>
            <w:tcW w:w="3994" w:type="dxa"/>
            <w:noWrap w:val="0"/>
            <w:vAlign w:val="center"/>
          </w:tcPr>
          <w:p w14:paraId="7A124A20">
            <w:pPr>
              <w:rPr>
                <w:rFonts w:ascii="宋体" w:hAnsi="宋体"/>
                <w:sz w:val="24"/>
              </w:rPr>
            </w:pPr>
            <w:r>
              <w:rPr>
                <w:rFonts w:ascii="宋体" w:hAnsi="宋体"/>
                <w:sz w:val="24"/>
              </w:rPr>
              <w:t>瓦斯解吸仪及取样装备</w:t>
            </w:r>
          </w:p>
        </w:tc>
        <w:tc>
          <w:tcPr>
            <w:tcW w:w="1826" w:type="dxa"/>
            <w:noWrap w:val="0"/>
            <w:vAlign w:val="center"/>
          </w:tcPr>
          <w:p w14:paraId="40BF009A">
            <w:pPr>
              <w:rPr>
                <w:rFonts w:ascii="宋体" w:hAnsi="宋体"/>
                <w:sz w:val="24"/>
              </w:rPr>
            </w:pPr>
            <w:r>
              <w:rPr>
                <w:rFonts w:ascii="宋体" w:hAnsi="宋体"/>
                <w:sz w:val="24"/>
              </w:rPr>
              <w:t>GWRVK-2</w:t>
            </w:r>
          </w:p>
        </w:tc>
        <w:tc>
          <w:tcPr>
            <w:tcW w:w="823" w:type="dxa"/>
            <w:noWrap w:val="0"/>
            <w:vAlign w:val="center"/>
          </w:tcPr>
          <w:p w14:paraId="346B6A3D">
            <w:pPr>
              <w:jc w:val="center"/>
              <w:rPr>
                <w:rFonts w:ascii="宋体" w:hAnsi="宋体"/>
                <w:sz w:val="24"/>
              </w:rPr>
            </w:pPr>
            <w:r>
              <w:rPr>
                <w:rFonts w:ascii="宋体" w:hAnsi="宋体"/>
                <w:sz w:val="24"/>
              </w:rPr>
              <w:t>套</w:t>
            </w:r>
          </w:p>
        </w:tc>
        <w:tc>
          <w:tcPr>
            <w:tcW w:w="749" w:type="dxa"/>
            <w:noWrap w:val="0"/>
            <w:vAlign w:val="center"/>
          </w:tcPr>
          <w:p w14:paraId="1D7F76D0">
            <w:pPr>
              <w:jc w:val="center"/>
              <w:rPr>
                <w:rFonts w:hint="eastAsia" w:ascii="宋体" w:hAnsi="宋体"/>
                <w:sz w:val="24"/>
              </w:rPr>
            </w:pPr>
            <w:r>
              <w:rPr>
                <w:rFonts w:hint="eastAsia" w:ascii="宋体" w:hAnsi="宋体"/>
                <w:sz w:val="24"/>
              </w:rPr>
              <w:t>1</w:t>
            </w:r>
          </w:p>
        </w:tc>
        <w:tc>
          <w:tcPr>
            <w:tcW w:w="870" w:type="dxa"/>
            <w:noWrap w:val="0"/>
            <w:vAlign w:val="center"/>
          </w:tcPr>
          <w:p w14:paraId="0200BCCB">
            <w:pPr>
              <w:jc w:val="center"/>
              <w:rPr>
                <w:rFonts w:ascii="宋体" w:hAnsi="宋体"/>
                <w:sz w:val="24"/>
              </w:rPr>
            </w:pPr>
          </w:p>
        </w:tc>
      </w:tr>
      <w:tr w14:paraId="4B1EF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2729AB24">
            <w:pPr>
              <w:jc w:val="center"/>
              <w:rPr>
                <w:rFonts w:ascii="宋体" w:hAnsi="宋体"/>
                <w:sz w:val="24"/>
              </w:rPr>
            </w:pPr>
            <w:r>
              <w:rPr>
                <w:rFonts w:ascii="宋体" w:hAnsi="宋体"/>
                <w:sz w:val="24"/>
              </w:rPr>
              <w:t>3</w:t>
            </w:r>
          </w:p>
        </w:tc>
        <w:tc>
          <w:tcPr>
            <w:tcW w:w="3994" w:type="dxa"/>
            <w:noWrap w:val="0"/>
            <w:vAlign w:val="center"/>
          </w:tcPr>
          <w:p w14:paraId="4FAF8E2A">
            <w:pPr>
              <w:rPr>
                <w:rFonts w:ascii="宋体" w:hAnsi="宋体"/>
                <w:sz w:val="24"/>
              </w:rPr>
            </w:pPr>
            <w:r>
              <w:rPr>
                <w:rFonts w:ascii="宋体" w:hAnsi="宋体"/>
                <w:sz w:val="24"/>
              </w:rPr>
              <w:t>瓦斯放散初速度测定仪</w:t>
            </w:r>
          </w:p>
        </w:tc>
        <w:tc>
          <w:tcPr>
            <w:tcW w:w="1826" w:type="dxa"/>
            <w:noWrap w:val="0"/>
            <w:vAlign w:val="center"/>
          </w:tcPr>
          <w:p w14:paraId="47442814">
            <w:pPr>
              <w:rPr>
                <w:rFonts w:ascii="宋体" w:hAnsi="宋体"/>
                <w:sz w:val="24"/>
              </w:rPr>
            </w:pPr>
            <w:r>
              <w:rPr>
                <w:rFonts w:ascii="宋体" w:hAnsi="宋体"/>
                <w:sz w:val="24"/>
              </w:rPr>
              <w:t>WFC-2</w:t>
            </w:r>
          </w:p>
        </w:tc>
        <w:tc>
          <w:tcPr>
            <w:tcW w:w="823" w:type="dxa"/>
            <w:noWrap w:val="0"/>
            <w:vAlign w:val="center"/>
          </w:tcPr>
          <w:p w14:paraId="4DF06F21">
            <w:pPr>
              <w:jc w:val="center"/>
              <w:rPr>
                <w:rFonts w:ascii="宋体" w:hAnsi="宋体"/>
                <w:sz w:val="24"/>
              </w:rPr>
            </w:pPr>
            <w:r>
              <w:rPr>
                <w:rFonts w:ascii="宋体" w:hAnsi="宋体"/>
                <w:sz w:val="24"/>
              </w:rPr>
              <w:t>套</w:t>
            </w:r>
          </w:p>
        </w:tc>
        <w:tc>
          <w:tcPr>
            <w:tcW w:w="749" w:type="dxa"/>
            <w:noWrap w:val="0"/>
            <w:vAlign w:val="center"/>
          </w:tcPr>
          <w:p w14:paraId="6370E667">
            <w:pPr>
              <w:jc w:val="center"/>
              <w:rPr>
                <w:rFonts w:hint="eastAsia" w:ascii="宋体" w:hAnsi="宋体"/>
                <w:sz w:val="24"/>
              </w:rPr>
            </w:pPr>
            <w:r>
              <w:rPr>
                <w:rFonts w:hint="eastAsia" w:ascii="宋体" w:hAnsi="宋体"/>
                <w:sz w:val="24"/>
              </w:rPr>
              <w:t>1</w:t>
            </w:r>
          </w:p>
        </w:tc>
        <w:tc>
          <w:tcPr>
            <w:tcW w:w="870" w:type="dxa"/>
            <w:noWrap w:val="0"/>
            <w:vAlign w:val="center"/>
          </w:tcPr>
          <w:p w14:paraId="770584D8">
            <w:pPr>
              <w:jc w:val="center"/>
              <w:rPr>
                <w:rFonts w:ascii="宋体" w:hAnsi="宋体"/>
                <w:sz w:val="24"/>
              </w:rPr>
            </w:pPr>
          </w:p>
        </w:tc>
      </w:tr>
      <w:tr w14:paraId="4CB1E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24BC9F26">
            <w:pPr>
              <w:jc w:val="center"/>
              <w:rPr>
                <w:rFonts w:ascii="宋体" w:hAnsi="宋体"/>
                <w:sz w:val="24"/>
              </w:rPr>
            </w:pPr>
            <w:r>
              <w:rPr>
                <w:rFonts w:ascii="宋体" w:hAnsi="宋体"/>
                <w:sz w:val="24"/>
              </w:rPr>
              <w:t>4</w:t>
            </w:r>
          </w:p>
        </w:tc>
        <w:tc>
          <w:tcPr>
            <w:tcW w:w="3994" w:type="dxa"/>
            <w:noWrap w:val="0"/>
            <w:vAlign w:val="center"/>
          </w:tcPr>
          <w:p w14:paraId="4FF5FFD7">
            <w:pPr>
              <w:rPr>
                <w:rFonts w:ascii="宋体" w:hAnsi="宋体"/>
                <w:sz w:val="24"/>
              </w:rPr>
            </w:pPr>
            <w:r>
              <w:rPr>
                <w:rFonts w:ascii="宋体" w:hAnsi="宋体"/>
                <w:sz w:val="24"/>
              </w:rPr>
              <w:t>瓦斯突出参数仪</w:t>
            </w:r>
          </w:p>
        </w:tc>
        <w:tc>
          <w:tcPr>
            <w:tcW w:w="1826" w:type="dxa"/>
            <w:noWrap w:val="0"/>
            <w:vAlign w:val="center"/>
          </w:tcPr>
          <w:p w14:paraId="38D8F4C9">
            <w:pPr>
              <w:rPr>
                <w:rFonts w:ascii="宋体" w:hAnsi="宋体"/>
                <w:sz w:val="24"/>
              </w:rPr>
            </w:pPr>
            <w:r>
              <w:rPr>
                <w:rFonts w:ascii="宋体" w:hAnsi="宋体"/>
                <w:sz w:val="24"/>
              </w:rPr>
              <w:t>WTC</w:t>
            </w:r>
          </w:p>
        </w:tc>
        <w:tc>
          <w:tcPr>
            <w:tcW w:w="823" w:type="dxa"/>
            <w:noWrap w:val="0"/>
            <w:vAlign w:val="center"/>
          </w:tcPr>
          <w:p w14:paraId="08D88D13">
            <w:pPr>
              <w:jc w:val="center"/>
              <w:rPr>
                <w:rFonts w:ascii="宋体" w:hAnsi="宋体"/>
                <w:sz w:val="24"/>
              </w:rPr>
            </w:pPr>
            <w:r>
              <w:rPr>
                <w:rFonts w:ascii="宋体" w:hAnsi="宋体"/>
                <w:sz w:val="24"/>
              </w:rPr>
              <w:t>套</w:t>
            </w:r>
          </w:p>
        </w:tc>
        <w:tc>
          <w:tcPr>
            <w:tcW w:w="749" w:type="dxa"/>
            <w:noWrap w:val="0"/>
            <w:vAlign w:val="center"/>
          </w:tcPr>
          <w:p w14:paraId="7096C9B0">
            <w:pPr>
              <w:jc w:val="center"/>
              <w:rPr>
                <w:rFonts w:hint="eastAsia" w:ascii="宋体" w:hAnsi="宋体"/>
                <w:sz w:val="24"/>
              </w:rPr>
            </w:pPr>
            <w:r>
              <w:rPr>
                <w:rFonts w:hint="eastAsia" w:ascii="宋体" w:hAnsi="宋体"/>
                <w:sz w:val="24"/>
              </w:rPr>
              <w:t>2</w:t>
            </w:r>
          </w:p>
        </w:tc>
        <w:tc>
          <w:tcPr>
            <w:tcW w:w="870" w:type="dxa"/>
            <w:noWrap w:val="0"/>
            <w:vAlign w:val="center"/>
          </w:tcPr>
          <w:p w14:paraId="4CE27435">
            <w:pPr>
              <w:jc w:val="center"/>
              <w:rPr>
                <w:rFonts w:ascii="宋体" w:hAnsi="宋体"/>
                <w:sz w:val="24"/>
              </w:rPr>
            </w:pPr>
          </w:p>
        </w:tc>
      </w:tr>
      <w:tr w14:paraId="1A2A1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3D2474DB">
            <w:pPr>
              <w:jc w:val="center"/>
              <w:rPr>
                <w:rFonts w:ascii="宋体" w:hAnsi="宋体"/>
                <w:sz w:val="24"/>
              </w:rPr>
            </w:pPr>
            <w:r>
              <w:rPr>
                <w:rFonts w:ascii="宋体" w:hAnsi="宋体"/>
                <w:sz w:val="24"/>
              </w:rPr>
              <w:t>5</w:t>
            </w:r>
          </w:p>
        </w:tc>
        <w:tc>
          <w:tcPr>
            <w:tcW w:w="3994" w:type="dxa"/>
            <w:noWrap w:val="0"/>
            <w:vAlign w:val="center"/>
          </w:tcPr>
          <w:p w14:paraId="1E2FFFF6">
            <w:pPr>
              <w:rPr>
                <w:rFonts w:ascii="宋体" w:hAnsi="宋体"/>
                <w:sz w:val="24"/>
              </w:rPr>
            </w:pPr>
            <w:r>
              <w:rPr>
                <w:rFonts w:ascii="宋体" w:hAnsi="宋体"/>
                <w:sz w:val="24"/>
              </w:rPr>
              <w:t>风动钻机</w:t>
            </w:r>
          </w:p>
        </w:tc>
        <w:tc>
          <w:tcPr>
            <w:tcW w:w="1826" w:type="dxa"/>
            <w:noWrap w:val="0"/>
            <w:vAlign w:val="center"/>
          </w:tcPr>
          <w:p w14:paraId="5317304D">
            <w:pPr>
              <w:rPr>
                <w:rFonts w:ascii="宋体" w:hAnsi="宋体"/>
                <w:sz w:val="24"/>
              </w:rPr>
            </w:pPr>
            <w:r>
              <w:rPr>
                <w:rFonts w:ascii="宋体" w:hAnsi="宋体"/>
                <w:sz w:val="24"/>
              </w:rPr>
              <w:t>QHFZ-25</w:t>
            </w:r>
          </w:p>
        </w:tc>
        <w:tc>
          <w:tcPr>
            <w:tcW w:w="823" w:type="dxa"/>
            <w:noWrap w:val="0"/>
            <w:vAlign w:val="center"/>
          </w:tcPr>
          <w:p w14:paraId="788FB441">
            <w:pPr>
              <w:jc w:val="center"/>
              <w:rPr>
                <w:rFonts w:ascii="宋体" w:hAnsi="宋体"/>
                <w:sz w:val="24"/>
              </w:rPr>
            </w:pPr>
            <w:r>
              <w:rPr>
                <w:rFonts w:ascii="宋体" w:hAnsi="宋体"/>
                <w:sz w:val="24"/>
              </w:rPr>
              <w:t>台</w:t>
            </w:r>
          </w:p>
        </w:tc>
        <w:tc>
          <w:tcPr>
            <w:tcW w:w="749" w:type="dxa"/>
            <w:noWrap w:val="0"/>
            <w:vAlign w:val="center"/>
          </w:tcPr>
          <w:p w14:paraId="69B4B56F">
            <w:pPr>
              <w:jc w:val="center"/>
              <w:rPr>
                <w:rFonts w:hint="eastAsia" w:ascii="宋体" w:hAnsi="宋体"/>
                <w:sz w:val="24"/>
              </w:rPr>
            </w:pPr>
            <w:r>
              <w:rPr>
                <w:rFonts w:hint="eastAsia" w:ascii="宋体" w:hAnsi="宋体"/>
                <w:sz w:val="24"/>
              </w:rPr>
              <w:t>3</w:t>
            </w:r>
          </w:p>
        </w:tc>
        <w:tc>
          <w:tcPr>
            <w:tcW w:w="870" w:type="dxa"/>
            <w:noWrap w:val="0"/>
            <w:vAlign w:val="center"/>
          </w:tcPr>
          <w:p w14:paraId="59F04D53">
            <w:pPr>
              <w:jc w:val="center"/>
              <w:rPr>
                <w:rFonts w:ascii="宋体" w:hAnsi="宋体"/>
                <w:sz w:val="24"/>
              </w:rPr>
            </w:pPr>
          </w:p>
        </w:tc>
      </w:tr>
      <w:tr w14:paraId="2B2DEC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24BCFF79">
            <w:pPr>
              <w:jc w:val="center"/>
              <w:rPr>
                <w:rFonts w:ascii="宋体" w:hAnsi="宋体"/>
                <w:sz w:val="24"/>
              </w:rPr>
            </w:pPr>
            <w:r>
              <w:rPr>
                <w:rFonts w:ascii="宋体" w:hAnsi="宋体"/>
                <w:sz w:val="24"/>
              </w:rPr>
              <w:t>6</w:t>
            </w:r>
          </w:p>
        </w:tc>
        <w:tc>
          <w:tcPr>
            <w:tcW w:w="3994" w:type="dxa"/>
            <w:noWrap w:val="0"/>
            <w:vAlign w:val="center"/>
          </w:tcPr>
          <w:p w14:paraId="0E9AE2F2">
            <w:pPr>
              <w:rPr>
                <w:rFonts w:ascii="宋体" w:hAnsi="宋体"/>
                <w:sz w:val="24"/>
              </w:rPr>
            </w:pPr>
            <w:r>
              <w:rPr>
                <w:rFonts w:ascii="宋体" w:hAnsi="宋体"/>
                <w:sz w:val="24"/>
              </w:rPr>
              <w:t>轻便型防突钻机</w:t>
            </w:r>
          </w:p>
        </w:tc>
        <w:tc>
          <w:tcPr>
            <w:tcW w:w="1826" w:type="dxa"/>
            <w:noWrap w:val="0"/>
            <w:vAlign w:val="center"/>
          </w:tcPr>
          <w:p w14:paraId="584AA02E">
            <w:pPr>
              <w:rPr>
                <w:rFonts w:ascii="宋体" w:hAnsi="宋体"/>
                <w:sz w:val="24"/>
              </w:rPr>
            </w:pPr>
            <w:r>
              <w:rPr>
                <w:rFonts w:ascii="宋体" w:hAnsi="宋体"/>
                <w:sz w:val="24"/>
              </w:rPr>
              <w:t>QFZ-22</w:t>
            </w:r>
          </w:p>
        </w:tc>
        <w:tc>
          <w:tcPr>
            <w:tcW w:w="823" w:type="dxa"/>
            <w:noWrap w:val="0"/>
            <w:vAlign w:val="center"/>
          </w:tcPr>
          <w:p w14:paraId="0623F056">
            <w:pPr>
              <w:jc w:val="center"/>
              <w:rPr>
                <w:rFonts w:ascii="宋体" w:hAnsi="宋体"/>
                <w:sz w:val="24"/>
              </w:rPr>
            </w:pPr>
            <w:r>
              <w:rPr>
                <w:rFonts w:ascii="宋体" w:hAnsi="宋体"/>
                <w:sz w:val="24"/>
              </w:rPr>
              <w:t>台</w:t>
            </w:r>
          </w:p>
        </w:tc>
        <w:tc>
          <w:tcPr>
            <w:tcW w:w="749" w:type="dxa"/>
            <w:noWrap w:val="0"/>
            <w:vAlign w:val="center"/>
          </w:tcPr>
          <w:p w14:paraId="7044E2A0">
            <w:pPr>
              <w:jc w:val="center"/>
              <w:rPr>
                <w:rFonts w:hint="eastAsia" w:ascii="宋体" w:hAnsi="宋体"/>
                <w:sz w:val="24"/>
              </w:rPr>
            </w:pPr>
            <w:r>
              <w:rPr>
                <w:rFonts w:hint="eastAsia" w:ascii="宋体" w:hAnsi="宋体"/>
                <w:sz w:val="24"/>
              </w:rPr>
              <w:t>3</w:t>
            </w:r>
          </w:p>
        </w:tc>
        <w:tc>
          <w:tcPr>
            <w:tcW w:w="870" w:type="dxa"/>
            <w:noWrap w:val="0"/>
            <w:vAlign w:val="center"/>
          </w:tcPr>
          <w:p w14:paraId="718F73E6">
            <w:pPr>
              <w:jc w:val="center"/>
              <w:rPr>
                <w:rFonts w:ascii="宋体" w:hAnsi="宋体"/>
                <w:sz w:val="24"/>
              </w:rPr>
            </w:pPr>
          </w:p>
        </w:tc>
      </w:tr>
      <w:tr w14:paraId="1D674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6AFC58DF">
            <w:pPr>
              <w:jc w:val="center"/>
              <w:rPr>
                <w:rFonts w:ascii="宋体" w:hAnsi="宋体"/>
                <w:sz w:val="24"/>
              </w:rPr>
            </w:pPr>
            <w:r>
              <w:rPr>
                <w:rFonts w:ascii="宋体" w:hAnsi="宋体"/>
                <w:sz w:val="24"/>
              </w:rPr>
              <w:t>7</w:t>
            </w:r>
          </w:p>
        </w:tc>
        <w:tc>
          <w:tcPr>
            <w:tcW w:w="3994" w:type="dxa"/>
            <w:noWrap w:val="0"/>
            <w:vAlign w:val="center"/>
          </w:tcPr>
          <w:p w14:paraId="5E674B21">
            <w:pPr>
              <w:rPr>
                <w:rFonts w:ascii="宋体" w:hAnsi="宋体"/>
                <w:sz w:val="24"/>
              </w:rPr>
            </w:pPr>
            <w:r>
              <w:rPr>
                <w:rFonts w:ascii="宋体" w:hAnsi="宋体"/>
                <w:sz w:val="24"/>
              </w:rPr>
              <w:t>压风自救系统</w:t>
            </w:r>
          </w:p>
        </w:tc>
        <w:tc>
          <w:tcPr>
            <w:tcW w:w="1826" w:type="dxa"/>
            <w:noWrap w:val="0"/>
            <w:vAlign w:val="center"/>
          </w:tcPr>
          <w:p w14:paraId="3D30DF60">
            <w:pPr>
              <w:rPr>
                <w:rFonts w:ascii="宋体" w:hAnsi="宋体"/>
                <w:sz w:val="24"/>
              </w:rPr>
            </w:pPr>
            <w:r>
              <w:rPr>
                <w:rFonts w:ascii="宋体" w:hAnsi="宋体"/>
                <w:sz w:val="24"/>
              </w:rPr>
              <w:t>ZY-J</w:t>
            </w:r>
          </w:p>
        </w:tc>
        <w:tc>
          <w:tcPr>
            <w:tcW w:w="823" w:type="dxa"/>
            <w:noWrap w:val="0"/>
            <w:vAlign w:val="center"/>
          </w:tcPr>
          <w:p w14:paraId="3A196BFF">
            <w:pPr>
              <w:jc w:val="center"/>
              <w:rPr>
                <w:rFonts w:ascii="宋体" w:hAnsi="宋体"/>
                <w:sz w:val="24"/>
              </w:rPr>
            </w:pPr>
            <w:r>
              <w:rPr>
                <w:rFonts w:ascii="宋体" w:hAnsi="宋体"/>
                <w:sz w:val="24"/>
              </w:rPr>
              <w:t>套</w:t>
            </w:r>
          </w:p>
        </w:tc>
        <w:tc>
          <w:tcPr>
            <w:tcW w:w="749" w:type="dxa"/>
            <w:noWrap w:val="0"/>
            <w:vAlign w:val="center"/>
          </w:tcPr>
          <w:p w14:paraId="3922688C">
            <w:pPr>
              <w:jc w:val="center"/>
              <w:rPr>
                <w:rFonts w:hint="eastAsia" w:ascii="宋体" w:hAnsi="宋体"/>
                <w:sz w:val="24"/>
              </w:rPr>
            </w:pPr>
            <w:r>
              <w:rPr>
                <w:rFonts w:hint="eastAsia" w:ascii="宋体" w:hAnsi="宋体"/>
                <w:sz w:val="24"/>
              </w:rPr>
              <w:t>1</w:t>
            </w:r>
          </w:p>
        </w:tc>
        <w:tc>
          <w:tcPr>
            <w:tcW w:w="870" w:type="dxa"/>
            <w:noWrap w:val="0"/>
            <w:vAlign w:val="center"/>
          </w:tcPr>
          <w:p w14:paraId="59C1E21E">
            <w:pPr>
              <w:jc w:val="center"/>
              <w:rPr>
                <w:rFonts w:ascii="宋体" w:hAnsi="宋体"/>
                <w:sz w:val="24"/>
              </w:rPr>
            </w:pPr>
          </w:p>
        </w:tc>
      </w:tr>
      <w:tr w14:paraId="38835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18967962">
            <w:pPr>
              <w:jc w:val="center"/>
              <w:rPr>
                <w:rFonts w:ascii="宋体" w:hAnsi="宋体"/>
                <w:sz w:val="24"/>
              </w:rPr>
            </w:pPr>
            <w:r>
              <w:rPr>
                <w:rFonts w:ascii="宋体" w:hAnsi="宋体"/>
                <w:sz w:val="24"/>
              </w:rPr>
              <w:t>8</w:t>
            </w:r>
          </w:p>
        </w:tc>
        <w:tc>
          <w:tcPr>
            <w:tcW w:w="3994" w:type="dxa"/>
            <w:noWrap w:val="0"/>
            <w:vAlign w:val="center"/>
          </w:tcPr>
          <w:p w14:paraId="14A5B897">
            <w:pPr>
              <w:rPr>
                <w:rFonts w:ascii="宋体" w:hAnsi="宋体"/>
                <w:sz w:val="24"/>
              </w:rPr>
            </w:pPr>
            <w:r>
              <w:rPr>
                <w:rFonts w:ascii="宋体" w:hAnsi="宋体"/>
                <w:sz w:val="24"/>
              </w:rPr>
              <w:t>矿用塑料气动局部通风机</w:t>
            </w:r>
          </w:p>
        </w:tc>
        <w:tc>
          <w:tcPr>
            <w:tcW w:w="1826" w:type="dxa"/>
            <w:noWrap w:val="0"/>
            <w:vAlign w:val="center"/>
          </w:tcPr>
          <w:p w14:paraId="64178F0B">
            <w:pPr>
              <w:rPr>
                <w:rFonts w:ascii="宋体" w:hAnsi="宋体"/>
                <w:sz w:val="24"/>
              </w:rPr>
            </w:pPr>
            <w:r>
              <w:rPr>
                <w:rFonts w:ascii="宋体" w:hAnsi="宋体"/>
                <w:sz w:val="24"/>
              </w:rPr>
              <w:t>SQF-5</w:t>
            </w:r>
          </w:p>
        </w:tc>
        <w:tc>
          <w:tcPr>
            <w:tcW w:w="823" w:type="dxa"/>
            <w:noWrap w:val="0"/>
            <w:vAlign w:val="center"/>
          </w:tcPr>
          <w:p w14:paraId="270666BA">
            <w:pPr>
              <w:jc w:val="center"/>
              <w:rPr>
                <w:rFonts w:ascii="宋体" w:hAnsi="宋体"/>
                <w:sz w:val="24"/>
              </w:rPr>
            </w:pPr>
            <w:r>
              <w:rPr>
                <w:rFonts w:ascii="宋体" w:hAnsi="宋体"/>
                <w:sz w:val="24"/>
              </w:rPr>
              <w:t>台</w:t>
            </w:r>
          </w:p>
        </w:tc>
        <w:tc>
          <w:tcPr>
            <w:tcW w:w="749" w:type="dxa"/>
            <w:noWrap w:val="0"/>
            <w:vAlign w:val="center"/>
          </w:tcPr>
          <w:p w14:paraId="063070AB">
            <w:pPr>
              <w:jc w:val="center"/>
              <w:rPr>
                <w:rFonts w:hint="eastAsia" w:ascii="宋体" w:hAnsi="宋体"/>
                <w:sz w:val="24"/>
              </w:rPr>
            </w:pPr>
            <w:r>
              <w:rPr>
                <w:rFonts w:hint="eastAsia" w:ascii="宋体" w:hAnsi="宋体"/>
                <w:sz w:val="24"/>
              </w:rPr>
              <w:t>3</w:t>
            </w:r>
          </w:p>
        </w:tc>
        <w:tc>
          <w:tcPr>
            <w:tcW w:w="870" w:type="dxa"/>
            <w:noWrap w:val="0"/>
            <w:vAlign w:val="center"/>
          </w:tcPr>
          <w:p w14:paraId="78B463F3">
            <w:pPr>
              <w:jc w:val="center"/>
              <w:rPr>
                <w:rFonts w:ascii="宋体" w:hAnsi="宋体"/>
                <w:sz w:val="24"/>
              </w:rPr>
            </w:pPr>
          </w:p>
        </w:tc>
      </w:tr>
      <w:tr w14:paraId="0FFCE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jc w:val="center"/>
        </w:trPr>
        <w:tc>
          <w:tcPr>
            <w:tcW w:w="762" w:type="dxa"/>
            <w:noWrap w:val="0"/>
            <w:vAlign w:val="center"/>
          </w:tcPr>
          <w:p w14:paraId="14AEE703">
            <w:pPr>
              <w:jc w:val="center"/>
              <w:rPr>
                <w:rFonts w:hint="eastAsia" w:ascii="宋体" w:hAnsi="宋体"/>
                <w:sz w:val="24"/>
              </w:rPr>
            </w:pPr>
            <w:r>
              <w:rPr>
                <w:rFonts w:hint="eastAsia" w:ascii="宋体" w:hAnsi="宋体"/>
                <w:sz w:val="24"/>
              </w:rPr>
              <w:t>9</w:t>
            </w:r>
          </w:p>
        </w:tc>
        <w:tc>
          <w:tcPr>
            <w:tcW w:w="3994" w:type="dxa"/>
            <w:noWrap w:val="0"/>
            <w:vAlign w:val="center"/>
          </w:tcPr>
          <w:p w14:paraId="1594051D">
            <w:pPr>
              <w:rPr>
                <w:rFonts w:ascii="宋体" w:hAnsi="宋体"/>
                <w:sz w:val="24"/>
              </w:rPr>
            </w:pPr>
            <w:r>
              <w:rPr>
                <w:rFonts w:ascii="宋体" w:hAnsi="宋体"/>
                <w:sz w:val="24"/>
              </w:rPr>
              <w:t>地勘用煤层瓦斯含量和成分测定仪</w:t>
            </w:r>
          </w:p>
        </w:tc>
        <w:tc>
          <w:tcPr>
            <w:tcW w:w="1826" w:type="dxa"/>
            <w:noWrap w:val="0"/>
            <w:vAlign w:val="center"/>
          </w:tcPr>
          <w:p w14:paraId="3240B277">
            <w:pPr>
              <w:rPr>
                <w:rFonts w:ascii="宋体" w:hAnsi="宋体"/>
                <w:sz w:val="24"/>
              </w:rPr>
            </w:pPr>
            <w:r>
              <w:rPr>
                <w:rFonts w:ascii="宋体" w:hAnsi="宋体"/>
                <w:sz w:val="24"/>
              </w:rPr>
              <w:t>AMG</w:t>
            </w:r>
          </w:p>
        </w:tc>
        <w:tc>
          <w:tcPr>
            <w:tcW w:w="823" w:type="dxa"/>
            <w:noWrap w:val="0"/>
            <w:vAlign w:val="center"/>
          </w:tcPr>
          <w:p w14:paraId="41FCC60F">
            <w:pPr>
              <w:jc w:val="center"/>
              <w:rPr>
                <w:rFonts w:ascii="宋体" w:hAnsi="宋体"/>
                <w:sz w:val="24"/>
              </w:rPr>
            </w:pPr>
            <w:r>
              <w:rPr>
                <w:rFonts w:ascii="宋体" w:hAnsi="宋体"/>
                <w:sz w:val="24"/>
              </w:rPr>
              <w:t>套</w:t>
            </w:r>
          </w:p>
        </w:tc>
        <w:tc>
          <w:tcPr>
            <w:tcW w:w="749" w:type="dxa"/>
            <w:noWrap w:val="0"/>
            <w:vAlign w:val="center"/>
          </w:tcPr>
          <w:p w14:paraId="2D69E565">
            <w:pPr>
              <w:jc w:val="center"/>
              <w:rPr>
                <w:rFonts w:hint="eastAsia" w:ascii="宋体" w:hAnsi="宋体"/>
                <w:sz w:val="24"/>
              </w:rPr>
            </w:pPr>
            <w:r>
              <w:rPr>
                <w:rFonts w:hint="eastAsia" w:ascii="宋体" w:hAnsi="宋体"/>
                <w:sz w:val="24"/>
              </w:rPr>
              <w:t>1</w:t>
            </w:r>
          </w:p>
        </w:tc>
        <w:tc>
          <w:tcPr>
            <w:tcW w:w="870" w:type="dxa"/>
            <w:noWrap w:val="0"/>
            <w:vAlign w:val="center"/>
          </w:tcPr>
          <w:p w14:paraId="2B0BD216">
            <w:pPr>
              <w:jc w:val="center"/>
              <w:rPr>
                <w:rFonts w:ascii="宋体" w:hAnsi="宋体"/>
                <w:sz w:val="24"/>
              </w:rPr>
            </w:pPr>
          </w:p>
        </w:tc>
      </w:tr>
    </w:tbl>
    <w:p w14:paraId="5839508C">
      <w:pPr>
        <w:spacing w:before="120" w:beforeLines="50" w:after="120" w:afterLines="50" w:line="360" w:lineRule="auto"/>
        <w:ind w:firstLine="480" w:firstLineChars="200"/>
        <w:rPr>
          <w:rFonts w:hint="eastAsia" w:ascii="宋体" w:hAnsi="宋体"/>
          <w:kern w:val="0"/>
          <w:sz w:val="24"/>
        </w:rPr>
      </w:pPr>
      <w:r>
        <w:rPr>
          <w:rFonts w:hint="eastAsia" w:ascii="宋体" w:hAnsi="宋体"/>
          <w:kern w:val="0"/>
          <w:sz w:val="24"/>
        </w:rPr>
        <w:t>（三）综合防突措施</w:t>
      </w:r>
    </w:p>
    <w:p w14:paraId="29EE7D30">
      <w:pPr>
        <w:spacing w:line="360" w:lineRule="auto"/>
        <w:ind w:firstLine="482" w:firstLineChars="200"/>
        <w:rPr>
          <w:rFonts w:hint="eastAsia" w:ascii="宋体" w:hAnsi="宋体"/>
          <w:b/>
          <w:color w:val="000000"/>
          <w:sz w:val="24"/>
        </w:rPr>
      </w:pPr>
      <w:r>
        <w:rPr>
          <w:rFonts w:hint="eastAsia" w:ascii="宋体" w:hAnsi="宋体"/>
          <w:b/>
          <w:color w:val="000000"/>
          <w:sz w:val="24"/>
        </w:rPr>
        <w:t>1、区域性综合防突措施</w:t>
      </w:r>
    </w:p>
    <w:p w14:paraId="7B6AE3C3">
      <w:pPr>
        <w:spacing w:line="360" w:lineRule="auto"/>
        <w:ind w:firstLine="480" w:firstLineChars="200"/>
        <w:rPr>
          <w:rFonts w:hint="eastAsia" w:ascii="宋体" w:hAnsi="宋体"/>
          <w:color w:val="000000"/>
          <w:sz w:val="24"/>
        </w:rPr>
      </w:pPr>
      <w:r>
        <w:rPr>
          <w:rFonts w:hint="eastAsia" w:ascii="宋体" w:hAnsi="宋体"/>
          <w:color w:val="000000"/>
          <w:sz w:val="24"/>
        </w:rPr>
        <w:t>（1）区域综合防突措施基本程序和要求</w:t>
      </w:r>
    </w:p>
    <w:p w14:paraId="03E53EEE">
      <w:pPr>
        <w:spacing w:line="360" w:lineRule="auto"/>
        <w:ind w:firstLine="480" w:firstLineChars="200"/>
        <w:rPr>
          <w:rFonts w:ascii="宋体" w:hAnsi="宋体"/>
          <w:color w:val="000000"/>
          <w:sz w:val="24"/>
        </w:rPr>
      </w:pPr>
      <w:r>
        <w:rPr>
          <w:rFonts w:hint="eastAsia" w:ascii="宋体" w:hAnsi="宋体" w:cs="宋体"/>
          <w:color w:val="000000"/>
          <w:sz w:val="24"/>
        </w:rPr>
        <w:t>1）</w:t>
      </w:r>
      <w:r>
        <w:rPr>
          <w:rFonts w:ascii="宋体" w:hAnsi="宋体"/>
          <w:color w:val="000000"/>
          <w:sz w:val="24"/>
        </w:rPr>
        <w:t>突出矿井应当对突出煤层进行区域突出危险性预测（以下简称区域预测）。经区域预测后，突出煤层划分为突出危险区和无突出危险区。</w:t>
      </w:r>
    </w:p>
    <w:p w14:paraId="1459E523">
      <w:pPr>
        <w:spacing w:line="360" w:lineRule="auto"/>
        <w:ind w:firstLine="480" w:firstLineChars="200"/>
        <w:rPr>
          <w:rFonts w:ascii="宋体" w:hAnsi="宋体"/>
          <w:color w:val="000000"/>
          <w:sz w:val="24"/>
        </w:rPr>
      </w:pPr>
      <w:r>
        <w:rPr>
          <w:rFonts w:ascii="宋体" w:hAnsi="宋体"/>
          <w:color w:val="000000"/>
          <w:sz w:val="24"/>
        </w:rPr>
        <w:t>未进行区域预测的区域视为突出危险区。</w:t>
      </w:r>
    </w:p>
    <w:p w14:paraId="2065E666">
      <w:pPr>
        <w:spacing w:line="360" w:lineRule="auto"/>
        <w:ind w:firstLine="480" w:firstLineChars="200"/>
        <w:rPr>
          <w:rFonts w:ascii="宋体" w:hAnsi="宋体"/>
          <w:color w:val="000000"/>
          <w:sz w:val="24"/>
        </w:rPr>
      </w:pPr>
      <w:r>
        <w:rPr>
          <w:rFonts w:ascii="宋体" w:hAnsi="宋体"/>
          <w:color w:val="000000"/>
          <w:sz w:val="24"/>
        </w:rPr>
        <w:t>区域预测分为新水平、新采区开拓前的区域预测（以下简称开拓前区域预测）和新采区开拓完成后的区域预测（以下简称开拓后区域预测）。</w:t>
      </w:r>
    </w:p>
    <w:p w14:paraId="4A00BC4A">
      <w:pPr>
        <w:spacing w:line="360" w:lineRule="auto"/>
        <w:ind w:firstLine="480" w:firstLineChars="200"/>
        <w:rPr>
          <w:rFonts w:ascii="宋体" w:hAnsi="宋体"/>
          <w:color w:val="000000"/>
          <w:sz w:val="24"/>
        </w:rPr>
      </w:pPr>
      <w:r>
        <w:rPr>
          <w:rFonts w:hint="eastAsia" w:ascii="宋体" w:hAnsi="宋体" w:cs="宋体"/>
          <w:color w:val="000000"/>
          <w:sz w:val="24"/>
        </w:rPr>
        <w:t>2）</w:t>
      </w:r>
      <w:r>
        <w:rPr>
          <w:rFonts w:ascii="宋体" w:hAnsi="宋体"/>
          <w:color w:val="000000"/>
          <w:sz w:val="24"/>
        </w:rPr>
        <w:t>突出煤层区域预测的范围由煤矿企业根据突出矿井的开拓方式、巷道布置等情况划定。</w:t>
      </w:r>
    </w:p>
    <w:p w14:paraId="26F99F5E">
      <w:pPr>
        <w:spacing w:line="360" w:lineRule="auto"/>
        <w:ind w:firstLine="480" w:firstLineChars="200"/>
        <w:rPr>
          <w:rFonts w:ascii="宋体" w:hAnsi="宋体"/>
          <w:color w:val="000000"/>
          <w:sz w:val="24"/>
        </w:rPr>
      </w:pPr>
      <w:r>
        <w:rPr>
          <w:rFonts w:hint="eastAsia" w:ascii="宋体" w:hAnsi="宋体" w:cs="宋体"/>
          <w:color w:val="000000"/>
          <w:sz w:val="24"/>
        </w:rPr>
        <w:t>3）</w:t>
      </w:r>
      <w:r>
        <w:rPr>
          <w:rFonts w:ascii="宋体" w:hAnsi="宋体"/>
          <w:color w:val="000000"/>
          <w:sz w:val="24"/>
        </w:rPr>
        <w:t>新水平、新采区开拓前，当预测区域的煤层缺少或者没有井下实测瓦斯参数时，可以主要依据地质勘探资料、上水平及邻近区域的实测和生产资料等进行开拓前区域预测。</w:t>
      </w:r>
    </w:p>
    <w:p w14:paraId="0531B51C">
      <w:pPr>
        <w:spacing w:line="360" w:lineRule="auto"/>
        <w:ind w:firstLine="480" w:firstLineChars="200"/>
        <w:rPr>
          <w:rFonts w:ascii="宋体" w:hAnsi="宋体"/>
          <w:color w:val="000000"/>
          <w:sz w:val="24"/>
        </w:rPr>
      </w:pPr>
      <w:r>
        <w:rPr>
          <w:rFonts w:ascii="宋体" w:hAnsi="宋体"/>
          <w:color w:val="000000"/>
          <w:sz w:val="24"/>
        </w:rPr>
        <w:t>开拓前区域预测结果仅用于指导新水平、新采区的设计和新水平、新采区开拓工程的揭煤作业。</w:t>
      </w:r>
    </w:p>
    <w:p w14:paraId="63BDA2BC">
      <w:pPr>
        <w:spacing w:line="360" w:lineRule="auto"/>
        <w:ind w:firstLine="480" w:firstLineChars="200"/>
        <w:rPr>
          <w:rFonts w:ascii="宋体" w:hAnsi="宋体"/>
          <w:color w:val="000000"/>
          <w:sz w:val="24"/>
        </w:rPr>
      </w:pPr>
      <w:r>
        <w:rPr>
          <w:rFonts w:hint="eastAsia" w:ascii="宋体" w:hAnsi="宋体" w:cs="宋体"/>
          <w:color w:val="000000"/>
          <w:sz w:val="24"/>
        </w:rPr>
        <w:t>4）</w:t>
      </w:r>
      <w:r>
        <w:rPr>
          <w:rFonts w:ascii="宋体" w:hAnsi="宋体"/>
          <w:color w:val="000000"/>
          <w:sz w:val="24"/>
        </w:rPr>
        <w:t>开拓后区域预测应当主要依据预测区域煤层瓦斯的井下实测资料，并结合地质勘探资料、上水平及邻近区域的实测和生产资料等进行。</w:t>
      </w:r>
    </w:p>
    <w:p w14:paraId="23889355">
      <w:pPr>
        <w:spacing w:line="360" w:lineRule="auto"/>
        <w:ind w:firstLine="480" w:firstLineChars="200"/>
        <w:rPr>
          <w:rFonts w:ascii="宋体" w:hAnsi="宋体"/>
          <w:color w:val="000000"/>
          <w:sz w:val="24"/>
        </w:rPr>
      </w:pPr>
      <w:r>
        <w:rPr>
          <w:rFonts w:ascii="宋体" w:hAnsi="宋体"/>
          <w:color w:val="000000"/>
          <w:sz w:val="24"/>
        </w:rPr>
        <w:t>开拓后区域预测结果用于指导工作面的设计和采掘生产作业。</w:t>
      </w:r>
    </w:p>
    <w:p w14:paraId="6E0FC09F">
      <w:pPr>
        <w:spacing w:line="360" w:lineRule="auto"/>
        <w:ind w:firstLine="480" w:firstLineChars="200"/>
        <w:rPr>
          <w:rFonts w:ascii="宋体" w:hAnsi="宋体"/>
          <w:color w:val="000000"/>
          <w:sz w:val="24"/>
        </w:rPr>
      </w:pPr>
      <w:r>
        <w:rPr>
          <w:rFonts w:hint="eastAsia" w:ascii="宋体" w:hAnsi="宋体" w:cs="宋体"/>
          <w:color w:val="000000"/>
          <w:sz w:val="24"/>
        </w:rPr>
        <w:t>5）</w:t>
      </w:r>
      <w:r>
        <w:rPr>
          <w:rFonts w:ascii="宋体" w:hAnsi="宋体"/>
          <w:color w:val="000000"/>
          <w:sz w:val="24"/>
        </w:rPr>
        <w:t>对已确切掌握煤层突出危险区域的分布规律，并有可靠的预测资料的，区域预测工作可由矿技术负责人组织实施；否则，应当委托有煤与瓦斯突出危险性鉴定资质的单位进行区域预测。</w:t>
      </w:r>
    </w:p>
    <w:p w14:paraId="4B214E52">
      <w:pPr>
        <w:spacing w:line="360" w:lineRule="auto"/>
        <w:ind w:firstLine="480" w:firstLineChars="200"/>
        <w:rPr>
          <w:color w:val="000000"/>
          <w:sz w:val="24"/>
        </w:rPr>
      </w:pPr>
      <w:r>
        <w:rPr>
          <w:color w:val="000000"/>
          <w:sz w:val="24"/>
        </w:rPr>
        <w:t>区域预测结果应当由煤矿企业技术负责人批准确认。</w:t>
      </w:r>
    </w:p>
    <w:p w14:paraId="4C74032B">
      <w:pPr>
        <w:spacing w:line="360" w:lineRule="auto"/>
        <w:ind w:firstLine="480" w:firstLineChars="200"/>
        <w:rPr>
          <w:color w:val="000000"/>
          <w:sz w:val="24"/>
        </w:rPr>
      </w:pPr>
      <w:r>
        <w:rPr>
          <w:rFonts w:hint="eastAsia" w:ascii="宋体" w:hAnsi="宋体" w:cs="宋体"/>
          <w:color w:val="000000"/>
          <w:sz w:val="24"/>
        </w:rPr>
        <w:t>6）</w:t>
      </w:r>
      <w:r>
        <w:rPr>
          <w:color w:val="000000"/>
          <w:sz w:val="24"/>
        </w:rPr>
        <w:t>经评估为有突出危险煤层的技改矿井建井期间，以及突出煤层经开拓前区域预测为突出危险区的新水平、新采区开拓过程中的所有揭煤作业，必须采取区域综合防突措施并达到要求指标。</w:t>
      </w:r>
    </w:p>
    <w:p w14:paraId="59BE9EE8">
      <w:pPr>
        <w:pStyle w:val="56"/>
        <w:spacing w:before="0" w:beforeAutospacing="0" w:after="0" w:afterAutospacing="0" w:line="360" w:lineRule="auto"/>
        <w:ind w:firstLine="480" w:firstLineChars="200"/>
        <w:jc w:val="both"/>
        <w:rPr>
          <w:color w:val="000000"/>
          <w:kern w:val="2"/>
        </w:rPr>
      </w:pPr>
      <w:r>
        <w:rPr>
          <w:color w:val="000000"/>
          <w:kern w:val="2"/>
        </w:rPr>
        <w:t>经开拓前区域预测为无突出危险区的煤层进行新水平、新采区开拓、准备过程中的所有揭煤作业应当采取局部综合防突措施。</w:t>
      </w:r>
    </w:p>
    <w:p w14:paraId="1216CE18">
      <w:pPr>
        <w:pStyle w:val="56"/>
        <w:spacing w:before="0" w:beforeAutospacing="0" w:after="0" w:afterAutospacing="0" w:line="360" w:lineRule="auto"/>
        <w:ind w:firstLine="480" w:firstLineChars="200"/>
        <w:jc w:val="both"/>
        <w:rPr>
          <w:color w:val="000000"/>
          <w:kern w:val="2"/>
        </w:rPr>
      </w:pPr>
      <w:r>
        <w:rPr>
          <w:rFonts w:hint="eastAsia"/>
          <w:color w:val="000000"/>
          <w:kern w:val="2"/>
        </w:rPr>
        <w:t>7）</w:t>
      </w:r>
      <w:r>
        <w:rPr>
          <w:color w:val="000000"/>
          <w:kern w:val="2"/>
        </w:rPr>
        <w:t>经开拓后区域预测为突出危险区的煤层，必须采取区域防突措施并进行区域措施效果检验。经效果检验仍为突出危险区的，必须继续进行或者补充实施区域防突措施。</w:t>
      </w:r>
    </w:p>
    <w:p w14:paraId="5694AFDE">
      <w:pPr>
        <w:pStyle w:val="56"/>
        <w:spacing w:before="0" w:beforeAutospacing="0" w:after="0" w:afterAutospacing="0" w:line="360" w:lineRule="auto"/>
        <w:ind w:firstLine="480" w:firstLineChars="200"/>
        <w:jc w:val="both"/>
        <w:rPr>
          <w:color w:val="000000"/>
          <w:kern w:val="2"/>
        </w:rPr>
      </w:pPr>
      <w:r>
        <w:rPr>
          <w:color w:val="000000"/>
          <w:kern w:val="2"/>
        </w:rPr>
        <w:t>经开拓后区域预测或者经区域措施效果检验后为无突出危险区的煤层进行揭煤和采掘作业时，必须采用工作面预测方法进行区域验证。</w:t>
      </w:r>
    </w:p>
    <w:p w14:paraId="349A2951">
      <w:pPr>
        <w:pStyle w:val="56"/>
        <w:spacing w:before="0" w:beforeAutospacing="0" w:after="0" w:afterAutospacing="0" w:line="360" w:lineRule="auto"/>
        <w:ind w:firstLine="480" w:firstLineChars="200"/>
        <w:jc w:val="both"/>
        <w:rPr>
          <w:color w:val="000000"/>
          <w:kern w:val="2"/>
        </w:rPr>
      </w:pPr>
      <w:r>
        <w:rPr>
          <w:color w:val="000000"/>
          <w:kern w:val="2"/>
        </w:rPr>
        <w:t>所有区域防突措施均由煤矿企业技术负责人批准。</w:t>
      </w:r>
    </w:p>
    <w:p w14:paraId="1C84F254">
      <w:pPr>
        <w:pStyle w:val="56"/>
        <w:spacing w:before="0" w:beforeAutospacing="0" w:after="0" w:afterAutospacing="0" w:line="360" w:lineRule="auto"/>
        <w:ind w:firstLine="480" w:firstLineChars="200"/>
        <w:jc w:val="both"/>
        <w:rPr>
          <w:color w:val="000000"/>
          <w:kern w:val="2"/>
        </w:rPr>
      </w:pPr>
      <w:r>
        <w:rPr>
          <w:rFonts w:hint="eastAsia"/>
          <w:color w:val="000000"/>
          <w:kern w:val="2"/>
        </w:rPr>
        <w:t>8）</w:t>
      </w:r>
      <w:r>
        <w:rPr>
          <w:color w:val="000000"/>
          <w:kern w:val="2"/>
        </w:rPr>
        <w:t>区域防突措施应当优先采用开采保护层。</w:t>
      </w:r>
    </w:p>
    <w:p w14:paraId="3B935FB2">
      <w:pPr>
        <w:pStyle w:val="56"/>
        <w:spacing w:before="0" w:beforeAutospacing="0" w:after="0" w:afterAutospacing="0" w:line="360" w:lineRule="auto"/>
        <w:ind w:firstLine="480" w:firstLineChars="200"/>
        <w:jc w:val="both"/>
        <w:rPr>
          <w:color w:val="000000"/>
          <w:kern w:val="2"/>
        </w:rPr>
      </w:pPr>
      <w:r>
        <w:rPr>
          <w:color w:val="000000"/>
          <w:kern w:val="2"/>
        </w:rPr>
        <w:t>突出矿井首次开采某个保护层时，应当对被保护层进行区域措施效果检验及保护范围的实际考察。如果被保护层的最大膨胀变形量大于3‰，则检验和考察结果可适用于其他区域的同一保护层和被保护层；否则，应当对每个预计的被保护区域进行区域措施效果检验。此外，若保护层与被保护层的层间距离、岩性及保护层开采厚度等发生了较大变化时，应当再次进行效果检验和保护范围考察。</w:t>
      </w:r>
    </w:p>
    <w:p w14:paraId="679B57EB">
      <w:pPr>
        <w:pStyle w:val="56"/>
        <w:spacing w:before="0" w:beforeAutospacing="0" w:after="0" w:afterAutospacing="0" w:line="360" w:lineRule="auto"/>
        <w:ind w:firstLine="480" w:firstLineChars="200"/>
        <w:jc w:val="both"/>
        <w:rPr>
          <w:color w:val="000000"/>
          <w:kern w:val="2"/>
        </w:rPr>
      </w:pPr>
      <w:r>
        <w:rPr>
          <w:color w:val="000000"/>
          <w:kern w:val="2"/>
        </w:rPr>
        <w:t>保护效果检验、保护范围考察结果报煤矿企业技术负责人批准。</w:t>
      </w:r>
    </w:p>
    <w:p w14:paraId="2925B964">
      <w:pPr>
        <w:pStyle w:val="56"/>
        <w:spacing w:before="0" w:beforeAutospacing="0" w:after="0" w:afterAutospacing="0" w:line="360" w:lineRule="auto"/>
        <w:ind w:firstLine="480" w:firstLineChars="200"/>
        <w:jc w:val="both"/>
        <w:rPr>
          <w:color w:val="000000"/>
          <w:kern w:val="2"/>
        </w:rPr>
      </w:pPr>
      <w:r>
        <w:rPr>
          <w:rFonts w:hint="eastAsia"/>
          <w:color w:val="000000"/>
          <w:kern w:val="2"/>
        </w:rPr>
        <w:t>9）</w:t>
      </w:r>
      <w:r>
        <w:rPr>
          <w:color w:val="000000"/>
          <w:kern w:val="2"/>
        </w:rPr>
        <w:t>突出危险区的煤层不具备开采保护层条件的，必须采用预抽煤层瓦斯区域防突措施并进行区域措施效果检验。</w:t>
      </w:r>
    </w:p>
    <w:p w14:paraId="3CB2B22E">
      <w:pPr>
        <w:pStyle w:val="23"/>
        <w:adjustRightInd w:val="0"/>
      </w:pPr>
      <w:r>
        <w:t>预抽煤层瓦斯区域措施效果检验结果应当经矿技术负责人批准。</w:t>
      </w:r>
    </w:p>
    <w:p w14:paraId="72C0D144">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（2）区域突出危险性预测</w:t>
      </w:r>
    </w:p>
    <w:p w14:paraId="0C764B0E">
      <w:pPr>
        <w:spacing w:line="360" w:lineRule="auto"/>
        <w:ind w:firstLine="480" w:firstLineChars="200"/>
        <w:rPr>
          <w:rFonts w:ascii="宋体" w:hAnsi="宋体" w:cs="宋体"/>
          <w:color w:val="000000"/>
          <w:sz w:val="24"/>
        </w:rPr>
      </w:pPr>
      <w:r>
        <w:rPr>
          <w:rFonts w:hint="eastAsia" w:ascii="宋体" w:hAnsi="宋体" w:cs="宋体"/>
          <w:color w:val="000000"/>
          <w:sz w:val="24"/>
        </w:rPr>
        <w:t>1）</w:t>
      </w:r>
      <w:r>
        <w:rPr>
          <w:rFonts w:ascii="宋体" w:hAnsi="宋体" w:cs="宋体"/>
          <w:color w:val="000000"/>
          <w:sz w:val="24"/>
        </w:rPr>
        <w:t>区域预测一般根据煤层瓦斯参数结合瓦斯地质分析的方法进行，也可以采用其他经试验证实有效的方法。</w:t>
      </w:r>
    </w:p>
    <w:p w14:paraId="2135A343">
      <w:pPr>
        <w:adjustRightInd w:val="0"/>
        <w:snapToGrid w:val="0"/>
        <w:spacing w:line="360" w:lineRule="auto"/>
        <w:ind w:firstLine="480" w:firstLineChars="200"/>
        <w:rPr>
          <w:rFonts w:ascii="宋体" w:hAnsi="宋体"/>
          <w:sz w:val="24"/>
        </w:rPr>
      </w:pPr>
      <w:r>
        <w:rPr>
          <w:rFonts w:ascii="宋体" w:hAnsi="宋体"/>
          <w:sz w:val="24"/>
        </w:rPr>
        <w:t>根据煤层瓦斯压力或者瓦斯含量进行区域预测的临界值应当由具有突出危险性鉴定资质的单位进行试验考察。在试验前和应用前应当由煤矿企业技术负责人批准。</w:t>
      </w:r>
    </w:p>
    <w:p w14:paraId="4804BF30">
      <w:pPr>
        <w:adjustRightInd w:val="0"/>
        <w:snapToGrid w:val="0"/>
        <w:spacing w:line="360" w:lineRule="auto"/>
        <w:ind w:firstLine="480" w:firstLineChars="200"/>
        <w:rPr>
          <w:rFonts w:ascii="宋体" w:hAnsi="宋体"/>
          <w:sz w:val="24"/>
        </w:rPr>
      </w:pPr>
      <w:r>
        <w:rPr>
          <w:rFonts w:ascii="宋体" w:hAnsi="宋体"/>
          <w:sz w:val="24"/>
        </w:rPr>
        <w:t>区域预测新方法的研究试验应当由具有突出危险性鉴定资质的单位进行，并在试验前由煤矿企业技术负责人批准。</w:t>
      </w:r>
    </w:p>
    <w:p w14:paraId="455F8C7A">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根据煤层瓦斯参数结合瓦斯地质分析的区域预测方法应当按照下列要求进行：</w:t>
      </w:r>
    </w:p>
    <w:p w14:paraId="06E7B148">
      <w:pPr>
        <w:adjustRightInd w:val="0"/>
        <w:snapToGrid w:val="0"/>
        <w:spacing w:line="360" w:lineRule="auto"/>
        <w:ind w:firstLine="480" w:firstLineChars="200"/>
        <w:rPr>
          <w:rFonts w:ascii="宋体" w:hAnsi="宋体"/>
          <w:sz w:val="24"/>
        </w:rPr>
      </w:pPr>
      <w:r>
        <w:rPr>
          <w:rFonts w:ascii="宋体" w:hAnsi="宋体"/>
          <w:sz w:val="24"/>
        </w:rPr>
        <w:t>① 煤层瓦斯风化带为无突出危险区域；</w:t>
      </w:r>
    </w:p>
    <w:p w14:paraId="5B90FF1A">
      <w:pPr>
        <w:spacing w:line="360" w:lineRule="auto"/>
        <w:ind w:firstLine="480" w:firstLineChars="200"/>
        <w:rPr>
          <w:rFonts w:hint="eastAsia" w:ascii="宋体" w:hAnsi="宋体"/>
          <w:sz w:val="24"/>
        </w:rPr>
      </w:pPr>
      <w:r>
        <w:rPr>
          <w:rFonts w:ascii="宋体" w:hAnsi="宋体"/>
          <w:color w:val="000000"/>
          <w:sz w:val="24"/>
        </w:rPr>
        <w:t>② 根据已开采区域确切掌握的煤层赋存特征、地质构造条件、突出分布的规律和对预测区域煤层地质构造的探测、预测结果，采用瓦斯地质分析的方法划分出突出危险区域。</w:t>
      </w:r>
      <w:r>
        <w:rPr>
          <w:rFonts w:hint="eastAsia" w:ascii="宋体" w:hAnsi="宋体"/>
          <w:sz w:val="24"/>
        </w:rPr>
        <w:t>该方法可参照《防治煤与瓦斯突出规定》第43条确定构造线两侧的突出危险区。</w:t>
      </w:r>
    </w:p>
    <w:p w14:paraId="5801A2C2">
      <w:pPr>
        <w:pStyle w:val="23"/>
        <w:adjustRightInd w:val="0"/>
      </w:pPr>
      <w:r>
        <w:rPr>
          <w:rFonts w:hint="eastAsia" w:cs="宋体"/>
        </w:rPr>
        <w:t xml:space="preserve">③ </w:t>
      </w:r>
      <w:r>
        <w:t>在上述第</w:t>
      </w:r>
      <w:r>
        <w:rPr>
          <w:rFonts w:hint="eastAsia" w:cs="宋体"/>
        </w:rPr>
        <w:t>①</w:t>
      </w:r>
      <w:r>
        <w:t>、</w:t>
      </w:r>
      <w:r>
        <w:rPr>
          <w:rFonts w:hint="eastAsia" w:cs="宋体"/>
        </w:rPr>
        <w:t>②</w:t>
      </w:r>
      <w:r>
        <w:t>项划分出的无突出危险区和突出危险区以外的区域，应当根据煤层瓦斯压力P进行预测。如果没有或者缺少煤层瓦斯压力资料，也可根据煤层瓦斯含量W进行预测。预测所依据的临界值应根据试验考察确定，在确定前可暂按下表预测。</w:t>
      </w:r>
    </w:p>
    <w:p w14:paraId="0EF35F61">
      <w:pPr>
        <w:pStyle w:val="23"/>
        <w:adjustRightInd w:val="0"/>
        <w:jc w:val="center"/>
      </w:pPr>
      <w:r>
        <w:t>根据煤层瓦斯压力或瓦斯含量进行区域预测的临界值表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3020"/>
        <w:gridCol w:w="3020"/>
      </w:tblGrid>
      <w:tr w14:paraId="37AB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2808" w:type="dxa"/>
            <w:noWrap w:val="0"/>
            <w:vAlign w:val="center"/>
          </w:tcPr>
          <w:p w14:paraId="6DFEE387">
            <w:pPr>
              <w:pStyle w:val="56"/>
              <w:spacing w:before="0" w:beforeAutospacing="0" w:after="0" w:afterAutospacing="0"/>
              <w:jc w:val="center"/>
              <w:rPr>
                <w:color w:val="000000"/>
              </w:rPr>
            </w:pPr>
            <w:r>
              <w:rPr>
                <w:color w:val="000000"/>
              </w:rPr>
              <w:t>瓦斯压力（P/MPa）</w:t>
            </w:r>
          </w:p>
        </w:tc>
        <w:tc>
          <w:tcPr>
            <w:tcW w:w="3020" w:type="dxa"/>
            <w:noWrap w:val="0"/>
            <w:vAlign w:val="center"/>
          </w:tcPr>
          <w:p w14:paraId="114AD08B">
            <w:pPr>
              <w:pStyle w:val="56"/>
              <w:spacing w:before="0" w:beforeAutospacing="0" w:after="0" w:afterAutospacing="0"/>
              <w:jc w:val="center"/>
              <w:rPr>
                <w:color w:val="000000"/>
              </w:rPr>
            </w:pPr>
            <w:r>
              <w:rPr>
                <w:color w:val="000000"/>
              </w:rPr>
              <w:t>瓦斯含量W/（m</w:t>
            </w:r>
            <w:r>
              <w:rPr>
                <w:color w:val="000000"/>
                <w:vertAlign w:val="superscript"/>
              </w:rPr>
              <w:t>3</w:t>
            </w:r>
            <w:r>
              <w:rPr>
                <w:color w:val="000000"/>
              </w:rPr>
              <w:t>·t</w:t>
            </w:r>
            <w:r>
              <w:rPr>
                <w:color w:val="000000"/>
                <w:vertAlign w:val="superscript"/>
              </w:rPr>
              <w:t>-1</w:t>
            </w:r>
            <w:r>
              <w:rPr>
                <w:color w:val="000000"/>
              </w:rPr>
              <w:t>）</w:t>
            </w:r>
          </w:p>
        </w:tc>
        <w:tc>
          <w:tcPr>
            <w:tcW w:w="3020" w:type="dxa"/>
            <w:noWrap w:val="0"/>
            <w:vAlign w:val="center"/>
          </w:tcPr>
          <w:p w14:paraId="2788F0BB">
            <w:pPr>
              <w:pStyle w:val="56"/>
              <w:spacing w:before="0" w:beforeAutospacing="0" w:after="0" w:afterAutospacing="0"/>
              <w:jc w:val="center"/>
              <w:rPr>
                <w:color w:val="000000"/>
              </w:rPr>
            </w:pPr>
            <w:r>
              <w:rPr>
                <w:color w:val="000000"/>
              </w:rPr>
              <w:t>区域类别</w:t>
            </w:r>
          </w:p>
        </w:tc>
      </w:tr>
      <w:tr w14:paraId="5903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2808" w:type="dxa"/>
            <w:noWrap w:val="0"/>
            <w:vAlign w:val="center"/>
          </w:tcPr>
          <w:p w14:paraId="07BD032F">
            <w:pPr>
              <w:pStyle w:val="56"/>
              <w:spacing w:before="0" w:beforeAutospacing="0" w:after="0" w:afterAutospacing="0"/>
              <w:jc w:val="center"/>
              <w:rPr>
                <w:color w:val="000000"/>
              </w:rPr>
            </w:pPr>
            <w:r>
              <w:rPr>
                <w:color w:val="000000"/>
              </w:rPr>
              <w:t>P﹤0.74W</w:t>
            </w:r>
          </w:p>
        </w:tc>
        <w:tc>
          <w:tcPr>
            <w:tcW w:w="3020" w:type="dxa"/>
            <w:noWrap w:val="0"/>
            <w:vAlign w:val="center"/>
          </w:tcPr>
          <w:p w14:paraId="6310544A">
            <w:pPr>
              <w:pStyle w:val="56"/>
              <w:spacing w:before="0" w:beforeAutospacing="0" w:after="0" w:afterAutospacing="0"/>
              <w:jc w:val="center"/>
              <w:rPr>
                <w:color w:val="000000"/>
              </w:rPr>
            </w:pPr>
            <w:r>
              <w:rPr>
                <w:color w:val="000000"/>
              </w:rPr>
              <w:t>﹤8</w:t>
            </w:r>
          </w:p>
        </w:tc>
        <w:tc>
          <w:tcPr>
            <w:tcW w:w="3020" w:type="dxa"/>
            <w:noWrap w:val="0"/>
            <w:vAlign w:val="center"/>
          </w:tcPr>
          <w:p w14:paraId="3FD5978B">
            <w:pPr>
              <w:pStyle w:val="56"/>
              <w:spacing w:before="0" w:beforeAutospacing="0" w:after="0" w:afterAutospacing="0"/>
              <w:jc w:val="center"/>
              <w:rPr>
                <w:color w:val="000000"/>
              </w:rPr>
            </w:pPr>
            <w:r>
              <w:rPr>
                <w:color w:val="000000"/>
              </w:rPr>
              <w:t>无突出危险区</w:t>
            </w:r>
          </w:p>
        </w:tc>
      </w:tr>
      <w:tr w14:paraId="6DC1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5828" w:type="dxa"/>
            <w:gridSpan w:val="2"/>
            <w:noWrap w:val="0"/>
            <w:vAlign w:val="center"/>
          </w:tcPr>
          <w:p w14:paraId="0DE2BD41">
            <w:pPr>
              <w:pStyle w:val="56"/>
              <w:spacing w:before="0" w:beforeAutospacing="0" w:after="0" w:afterAutospacing="0"/>
              <w:jc w:val="center"/>
              <w:rPr>
                <w:color w:val="000000"/>
              </w:rPr>
            </w:pPr>
            <w:r>
              <w:rPr>
                <w:color w:val="000000"/>
              </w:rPr>
              <w:t>除上述情况以外的其他情况</w:t>
            </w:r>
          </w:p>
        </w:tc>
        <w:tc>
          <w:tcPr>
            <w:tcW w:w="3020" w:type="dxa"/>
            <w:noWrap w:val="0"/>
            <w:vAlign w:val="center"/>
          </w:tcPr>
          <w:p w14:paraId="55AA7169">
            <w:pPr>
              <w:pStyle w:val="56"/>
              <w:spacing w:before="0" w:beforeAutospacing="0" w:after="0" w:afterAutospacing="0"/>
              <w:jc w:val="center"/>
              <w:rPr>
                <w:color w:val="000000"/>
              </w:rPr>
            </w:pPr>
            <w:r>
              <w:rPr>
                <w:color w:val="000000"/>
              </w:rPr>
              <w:t>突出危险区</w:t>
            </w:r>
          </w:p>
        </w:tc>
      </w:tr>
    </w:tbl>
    <w:p w14:paraId="02780452">
      <w:pPr>
        <w:spacing w:line="360" w:lineRule="auto"/>
        <w:ind w:firstLine="480" w:firstLineChars="200"/>
        <w:rPr>
          <w:rFonts w:hint="eastAsia" w:ascii="宋体" w:hAnsi="宋体"/>
          <w:color w:val="000000"/>
          <w:sz w:val="24"/>
        </w:rPr>
      </w:pPr>
      <w:r>
        <w:rPr>
          <w:rFonts w:hint="eastAsia" w:ascii="宋体" w:hAnsi="宋体" w:cs="宋体"/>
          <w:color w:val="000000"/>
          <w:sz w:val="24"/>
        </w:rPr>
        <w:t>④</w:t>
      </w:r>
      <w:r>
        <w:rPr>
          <w:rFonts w:ascii="宋体" w:hAnsi="宋体"/>
          <w:color w:val="000000"/>
          <w:sz w:val="24"/>
        </w:rPr>
        <w:t xml:space="preserve"> </w:t>
      </w:r>
      <w:r>
        <w:rPr>
          <w:rFonts w:hint="eastAsia" w:ascii="宋体" w:hAnsi="宋体"/>
          <w:color w:val="000000"/>
          <w:sz w:val="24"/>
        </w:rPr>
        <w:t>采用</w:t>
      </w:r>
      <w:r>
        <w:rPr>
          <w:rFonts w:ascii="宋体" w:hAnsi="宋体"/>
          <w:color w:val="000000"/>
          <w:sz w:val="24"/>
        </w:rPr>
        <w:t>上述第</w:t>
      </w:r>
      <w:r>
        <w:rPr>
          <w:rFonts w:hint="eastAsia" w:ascii="宋体" w:hAnsi="宋体" w:cs="宋体"/>
          <w:color w:val="000000"/>
          <w:sz w:val="24"/>
        </w:rPr>
        <w:t>③</w:t>
      </w:r>
      <w:r>
        <w:rPr>
          <w:rFonts w:ascii="宋体" w:hAnsi="宋体"/>
          <w:color w:val="000000"/>
          <w:sz w:val="24"/>
        </w:rPr>
        <w:t>项</w:t>
      </w:r>
      <w:r>
        <w:rPr>
          <w:rFonts w:hint="eastAsia" w:ascii="宋体" w:hAnsi="宋体"/>
          <w:color w:val="000000"/>
          <w:sz w:val="24"/>
        </w:rPr>
        <w:t>进行开拓后区域预测时，还应当符合下列要求：</w:t>
      </w:r>
    </w:p>
    <w:p w14:paraId="0527C3B6">
      <w:pPr>
        <w:spacing w:line="360" w:lineRule="auto"/>
        <w:ind w:firstLine="480" w:firstLineChars="200"/>
        <w:rPr>
          <w:rFonts w:hint="eastAsia" w:ascii="宋体" w:hAnsi="宋体"/>
          <w:color w:val="000000"/>
          <w:sz w:val="24"/>
        </w:rPr>
      </w:pPr>
      <w:r>
        <w:rPr>
          <w:rFonts w:ascii="宋体" w:hAnsi="宋体"/>
          <w:color w:val="000000"/>
          <w:sz w:val="24"/>
        </w:rPr>
        <w:t>A、</w:t>
      </w:r>
      <w:r>
        <w:rPr>
          <w:rFonts w:hint="eastAsia" w:ascii="宋体" w:hAnsi="宋体"/>
          <w:color w:val="000000"/>
          <w:sz w:val="24"/>
        </w:rPr>
        <w:t>预测所主要依据的煤层瓦斯压力、瓦斯含量等参数应为井下实测数据；</w:t>
      </w:r>
    </w:p>
    <w:p w14:paraId="0770506A">
      <w:pPr>
        <w:spacing w:line="360" w:lineRule="auto"/>
        <w:ind w:firstLine="480" w:firstLineChars="200"/>
        <w:rPr>
          <w:rFonts w:ascii="宋体" w:hAnsi="宋体"/>
          <w:color w:val="000000"/>
          <w:sz w:val="24"/>
        </w:rPr>
      </w:pPr>
      <w:r>
        <w:rPr>
          <w:rFonts w:hint="eastAsia" w:ascii="宋体" w:hAnsi="宋体"/>
          <w:color w:val="000000"/>
          <w:sz w:val="24"/>
        </w:rPr>
        <w:t>B</w:t>
      </w:r>
      <w:r>
        <w:rPr>
          <w:rFonts w:ascii="宋体" w:hAnsi="宋体"/>
          <w:color w:val="000000"/>
          <w:sz w:val="24"/>
        </w:rPr>
        <w:t>、</w:t>
      </w:r>
      <w:r>
        <w:rPr>
          <w:rFonts w:hint="eastAsia" w:ascii="宋体" w:hAnsi="宋体"/>
          <w:color w:val="000000"/>
          <w:sz w:val="24"/>
        </w:rPr>
        <w:t>测定煤层瓦斯压力、瓦斯含量等参数的测试点在不同地质单元内根据其范围、地质复杂程度等实际情况和条件分别布置；同一地质单元内沿煤层走向布置测试点不少于2个，沿倾向不少于3个，并有测试点位于埋深最大的开拓工程部位。</w:t>
      </w:r>
    </w:p>
    <w:p w14:paraId="65ACB487">
      <w:pPr>
        <w:spacing w:line="360" w:lineRule="auto"/>
        <w:ind w:firstLine="480" w:firstLineChars="200"/>
        <w:rPr>
          <w:rFonts w:hint="eastAsia" w:ascii="宋体" w:hAnsi="宋体"/>
          <w:color w:val="000000"/>
          <w:sz w:val="24"/>
        </w:rPr>
      </w:pPr>
      <w:r>
        <w:rPr>
          <w:rFonts w:hint="eastAsia" w:ascii="宋体" w:hAnsi="宋体"/>
          <w:color w:val="000000"/>
          <w:sz w:val="24"/>
        </w:rPr>
        <w:t>（3）区域防突措施</w:t>
      </w:r>
    </w:p>
    <w:p w14:paraId="42B144A4">
      <w:pPr>
        <w:spacing w:line="360" w:lineRule="auto"/>
        <w:ind w:firstLine="480" w:firstLineChars="200"/>
        <w:rPr>
          <w:rFonts w:hint="eastAsia" w:ascii="宋体" w:hAnsi="宋体"/>
          <w:color w:val="000000"/>
          <w:sz w:val="24"/>
        </w:rPr>
      </w:pPr>
      <w:r>
        <w:rPr>
          <w:rFonts w:hint="eastAsia" w:ascii="宋体" w:hAnsi="宋体"/>
          <w:color w:val="000000"/>
          <w:sz w:val="24"/>
        </w:rPr>
        <w:t>区域防突措施是指在突出煤层进行采掘前，对突出煤层较大范围采取的防突措施。区域防突措施包括开采保护层和预抽煤层瓦斯两类。</w:t>
      </w:r>
    </w:p>
    <w:p w14:paraId="547F024D">
      <w:pPr>
        <w:spacing w:line="360" w:lineRule="auto"/>
        <w:ind w:firstLine="480" w:firstLineChars="200"/>
        <w:rPr>
          <w:rFonts w:hint="eastAsia" w:ascii="宋体" w:hAnsi="宋体"/>
          <w:color w:val="000000"/>
          <w:sz w:val="24"/>
        </w:rPr>
      </w:pPr>
      <w:r>
        <w:rPr>
          <w:rFonts w:hint="eastAsia" w:ascii="宋体" w:hAnsi="宋体" w:cs="宋体"/>
          <w:color w:val="000000"/>
          <w:sz w:val="24"/>
        </w:rPr>
        <w:t>1）</w:t>
      </w:r>
      <w:r>
        <w:rPr>
          <w:rFonts w:hint="eastAsia" w:ascii="宋体" w:hAnsi="宋体"/>
          <w:color w:val="000000"/>
          <w:sz w:val="24"/>
        </w:rPr>
        <w:t>开采保护层</w:t>
      </w:r>
    </w:p>
    <w:p w14:paraId="457F1879">
      <w:pPr>
        <w:spacing w:line="360" w:lineRule="auto"/>
        <w:ind w:firstLine="480" w:firstLineChars="200"/>
        <w:rPr>
          <w:rFonts w:hint="eastAsia" w:ascii="宋体" w:hAnsi="宋体"/>
          <w:color w:val="000000"/>
          <w:sz w:val="24"/>
        </w:rPr>
      </w:pPr>
      <w:r>
        <w:rPr>
          <w:rFonts w:hint="eastAsia" w:ascii="宋体" w:hAnsi="宋体"/>
          <w:color w:val="000000"/>
          <w:sz w:val="24"/>
        </w:rPr>
        <w:t>开采保护层分为上保护层和下保护层两种方式。</w:t>
      </w:r>
    </w:p>
    <w:p w14:paraId="026D04F6">
      <w:pPr>
        <w:spacing w:line="360" w:lineRule="auto"/>
        <w:ind w:firstLine="480" w:firstLineChars="200"/>
        <w:rPr>
          <w:rFonts w:hint="eastAsia" w:ascii="宋体" w:hAnsi="宋体"/>
          <w:color w:val="000000"/>
          <w:sz w:val="24"/>
        </w:rPr>
      </w:pPr>
      <w:r>
        <w:rPr>
          <w:rFonts w:hint="eastAsia" w:ascii="宋体" w:hAnsi="宋体"/>
          <w:color w:val="000000"/>
          <w:sz w:val="24"/>
        </w:rPr>
        <w:t>⑴ 选择保护层必须遵守下列规定：</w:t>
      </w:r>
    </w:p>
    <w:p w14:paraId="13B0FC75">
      <w:pPr>
        <w:pStyle w:val="56"/>
        <w:spacing w:before="0" w:beforeAutospacing="0" w:after="0" w:afterAutospacing="0" w:line="360" w:lineRule="auto"/>
        <w:ind w:firstLine="480" w:firstLineChars="200"/>
        <w:jc w:val="both"/>
        <w:rPr>
          <w:color w:val="000000"/>
        </w:rPr>
      </w:pPr>
      <w:r>
        <w:rPr>
          <w:color w:val="000000"/>
        </w:rPr>
        <w:t>a、在突出矿井开采煤层群时，如在有效保护垂距内存在厚度0.5m及以上的无突出危险煤层，除因突出煤层距离太近而威胁保护层工作面安全或可能破坏突出煤层开采条件的情况外，首先开采保护层。有条件的矿井，也可以将软岩层作为保护层开采；</w:t>
      </w:r>
    </w:p>
    <w:p w14:paraId="32A5A38C">
      <w:pPr>
        <w:pStyle w:val="56"/>
        <w:spacing w:before="0" w:beforeAutospacing="0" w:after="0" w:afterAutospacing="0" w:line="360" w:lineRule="auto"/>
        <w:ind w:firstLine="480" w:firstLineChars="200"/>
        <w:jc w:val="both"/>
        <w:rPr>
          <w:color w:val="000000"/>
        </w:rPr>
      </w:pPr>
      <w:r>
        <w:rPr>
          <w:color w:val="000000"/>
        </w:rPr>
        <w:t>b、当煤层群中有几个煤层都可作为保护层时，综合比较分析，择优开采保护效果最好的煤层；</w:t>
      </w:r>
    </w:p>
    <w:p w14:paraId="34D449F4">
      <w:pPr>
        <w:pStyle w:val="56"/>
        <w:spacing w:before="0" w:beforeAutospacing="0" w:after="0" w:afterAutospacing="0" w:line="360" w:lineRule="auto"/>
        <w:ind w:firstLine="480" w:firstLineChars="200"/>
        <w:jc w:val="both"/>
        <w:rPr>
          <w:color w:val="000000"/>
        </w:rPr>
      </w:pPr>
      <w:r>
        <w:rPr>
          <w:color w:val="000000"/>
        </w:rPr>
        <w:t>c、当矿井中所有煤层都有突出危险时，选择突出危险程度较小的煤层作保护层先行开采，但采掘前必须按本规定的要求采取预抽煤层瓦斯区域防突措施并进行效果检验；</w:t>
      </w:r>
    </w:p>
    <w:p w14:paraId="71787BB1">
      <w:pPr>
        <w:spacing w:line="360" w:lineRule="auto"/>
        <w:ind w:firstLine="480" w:firstLineChars="200"/>
        <w:rPr>
          <w:rFonts w:hint="eastAsia" w:ascii="宋体" w:hAnsi="宋体"/>
          <w:color w:val="000000"/>
          <w:sz w:val="24"/>
        </w:rPr>
      </w:pPr>
      <w:r>
        <w:rPr>
          <w:rFonts w:hint="eastAsia" w:ascii="宋体" w:hAnsi="宋体"/>
          <w:color w:val="000000"/>
          <w:sz w:val="24"/>
        </w:rPr>
        <w:t>d、优先选择上保护层。在选择开采下保护层时，不得破坏被保护层的开采条件。</w:t>
      </w:r>
    </w:p>
    <w:p w14:paraId="7B333234">
      <w:pPr>
        <w:spacing w:line="360" w:lineRule="auto"/>
        <w:ind w:firstLine="480" w:firstLineChars="200"/>
        <w:rPr>
          <w:rFonts w:hint="eastAsia" w:ascii="宋体" w:hAnsi="宋体"/>
          <w:color w:val="000000"/>
          <w:sz w:val="24"/>
        </w:rPr>
      </w:pPr>
      <w:r>
        <w:rPr>
          <w:rFonts w:hint="eastAsia" w:ascii="宋体" w:hAnsi="宋体"/>
          <w:color w:val="000000"/>
          <w:sz w:val="24"/>
        </w:rPr>
        <w:t>⑵ 开采保护层区域防突措施应当符合下列要求：</w:t>
      </w:r>
    </w:p>
    <w:p w14:paraId="087FDA40">
      <w:pPr>
        <w:spacing w:line="360" w:lineRule="auto"/>
        <w:ind w:firstLine="480" w:firstLineChars="200"/>
        <w:rPr>
          <w:rFonts w:hint="eastAsia" w:ascii="宋体" w:hAnsi="宋体"/>
          <w:color w:val="000000"/>
          <w:sz w:val="24"/>
        </w:rPr>
      </w:pPr>
      <w:r>
        <w:rPr>
          <w:rFonts w:hint="eastAsia" w:ascii="宋体" w:hAnsi="宋体"/>
          <w:color w:val="000000"/>
          <w:sz w:val="24"/>
        </w:rPr>
        <w:t>a、开采保护层时，同时抽采被保护层的瓦斯；</w:t>
      </w:r>
    </w:p>
    <w:p w14:paraId="17BEF1D6">
      <w:pPr>
        <w:spacing w:line="360" w:lineRule="auto"/>
        <w:ind w:firstLine="480" w:firstLineChars="200"/>
        <w:rPr>
          <w:rFonts w:hint="eastAsia" w:ascii="宋体" w:hAnsi="宋体"/>
          <w:color w:val="000000"/>
          <w:sz w:val="24"/>
        </w:rPr>
      </w:pPr>
      <w:r>
        <w:rPr>
          <w:rFonts w:hint="eastAsia" w:ascii="宋体" w:hAnsi="宋体"/>
          <w:color w:val="000000"/>
          <w:sz w:val="24"/>
        </w:rPr>
        <w:t>b、开采近距离保护层时，采取措施防止被保护层初期卸压瓦斯突然涌入保护层采掘工作面或误穿突出煤层；</w:t>
      </w:r>
    </w:p>
    <w:p w14:paraId="2EF68327">
      <w:pPr>
        <w:spacing w:line="360" w:lineRule="auto"/>
        <w:ind w:firstLine="480" w:firstLineChars="200"/>
        <w:rPr>
          <w:rFonts w:hint="eastAsia" w:ascii="宋体" w:hAnsi="宋体"/>
          <w:color w:val="000000"/>
          <w:sz w:val="24"/>
        </w:rPr>
      </w:pPr>
      <w:r>
        <w:rPr>
          <w:rFonts w:hint="eastAsia" w:ascii="宋体" w:hAnsi="宋体"/>
          <w:color w:val="000000"/>
          <w:sz w:val="24"/>
        </w:rPr>
        <w:t>c、正在开采的保护层工作面超前于被保护层的掘进工作面，其超前距离不得小于保护层与被保护层层间垂距的3倍，并不得小于100m；</w:t>
      </w:r>
    </w:p>
    <w:p w14:paraId="36554029">
      <w:pPr>
        <w:spacing w:line="360" w:lineRule="auto"/>
        <w:ind w:firstLine="480" w:firstLineChars="200"/>
        <w:rPr>
          <w:rFonts w:hint="eastAsia" w:ascii="宋体" w:hAnsi="宋体"/>
          <w:color w:val="000000"/>
          <w:sz w:val="24"/>
        </w:rPr>
      </w:pPr>
      <w:r>
        <w:rPr>
          <w:rFonts w:hint="eastAsia" w:ascii="宋体" w:hAnsi="宋体"/>
          <w:color w:val="000000"/>
          <w:sz w:val="24"/>
        </w:rPr>
        <w:t>d、开采保护层时，采空区内不得留有煤(岩)柱。特殊情况需留煤(岩)柱时，经煤矿企业技术负责人批准，并作好记录，将煤(岩)柱的位置和尺寸准确地标在采掘工程平面图上。每个被保护层的瓦斯地质图应当标出煤(岩)柱的影响范围，在这个范围内进行采掘工作前，首先采取预抽煤层瓦斯区域防突措施。</w:t>
      </w:r>
    </w:p>
    <w:p w14:paraId="0CC7AF80">
      <w:pPr>
        <w:spacing w:line="360" w:lineRule="auto"/>
        <w:ind w:firstLine="480" w:firstLineChars="200"/>
        <w:rPr>
          <w:rFonts w:hint="eastAsia" w:ascii="宋体" w:hAnsi="宋体"/>
          <w:color w:val="000000"/>
          <w:sz w:val="24"/>
        </w:rPr>
      </w:pPr>
      <w:r>
        <w:rPr>
          <w:rFonts w:hint="eastAsia" w:ascii="宋体" w:hAnsi="宋体"/>
          <w:color w:val="000000"/>
          <w:sz w:val="24"/>
        </w:rPr>
        <w:t>当保护层留有不规则煤柱时，按照其最外缘的轮廊划出平直轮廓线，并根据保护层与被保护层之间的层间距变化，确定煤柱影响范围。在被保护层进行采掘工作时，还应当根据采掘瓦斯动态及时修改。</w:t>
      </w:r>
    </w:p>
    <w:p w14:paraId="6F983BAC">
      <w:pPr>
        <w:spacing w:line="360" w:lineRule="auto"/>
        <w:ind w:firstLine="480" w:firstLineChars="200"/>
        <w:rPr>
          <w:rFonts w:hint="eastAsia" w:ascii="宋体" w:hAnsi="宋体"/>
          <w:color w:val="000000"/>
          <w:sz w:val="24"/>
        </w:rPr>
      </w:pPr>
      <w:r>
        <w:rPr>
          <w:rFonts w:hint="eastAsia" w:ascii="宋体" w:hAnsi="宋体"/>
          <w:color w:val="000000"/>
          <w:sz w:val="24"/>
        </w:rPr>
        <w:t>⑶ 保护层和被保护层开采设计依据的保护层有效保护范围等有关参数应当根据试验考察确定，并报煤矿企业技术负责人批准后执行。</w:t>
      </w:r>
    </w:p>
    <w:p w14:paraId="1BBB6C1A">
      <w:pPr>
        <w:spacing w:line="360" w:lineRule="auto"/>
        <w:ind w:firstLine="480" w:firstLineChars="200"/>
        <w:rPr>
          <w:rFonts w:hint="eastAsia" w:ascii="宋体" w:hAnsi="宋体"/>
          <w:sz w:val="24"/>
        </w:rPr>
      </w:pPr>
      <w:r>
        <w:rPr>
          <w:rFonts w:hint="eastAsia" w:ascii="宋体" w:hAnsi="宋体"/>
          <w:sz w:val="24"/>
        </w:rPr>
        <w:t>⑷ 该矿开采保护层设计分析</w:t>
      </w:r>
    </w:p>
    <w:p w14:paraId="47B1EF7C">
      <w:pPr>
        <w:spacing w:line="360" w:lineRule="auto"/>
        <w:ind w:firstLine="480" w:firstLineChars="200"/>
        <w:rPr>
          <w:rFonts w:hint="eastAsia" w:ascii="宋体" w:hAnsi="宋体"/>
          <w:sz w:val="24"/>
        </w:rPr>
      </w:pPr>
      <w:r>
        <w:rPr>
          <w:rFonts w:hint="eastAsia" w:ascii="宋体" w:hAnsi="宋体"/>
          <w:sz w:val="24"/>
        </w:rPr>
        <w:t>a、保护层的确定</w:t>
      </w:r>
    </w:p>
    <w:p w14:paraId="5E9B5656">
      <w:pPr>
        <w:spacing w:line="360" w:lineRule="auto"/>
        <w:ind w:firstLine="480" w:firstLineChars="200"/>
        <w:rPr>
          <w:rFonts w:hint="eastAsia" w:ascii="宋体" w:hAnsi="宋体"/>
          <w:sz w:val="24"/>
        </w:rPr>
      </w:pPr>
      <w:r>
        <w:rPr>
          <w:rFonts w:hint="eastAsia" w:ascii="宋体" w:hAnsi="宋体"/>
          <w:sz w:val="24"/>
        </w:rPr>
        <w:t>该矿未进行煤与瓦斯突出鉴定，根据贵州省安全生产监督管理局、贵州煤矿安全监察局、贵州省煤炭管理局文件(黔安监管办字【2007】345号“关于加强煤矿建设项目煤与瓦斯突出防治工作的意见”。水城县玉舍大坪煤矿在该文件划定的煤与瓦斯突出区域内，因此，矿井按有煤与瓦斯突出矿井进行设计和管理。</w:t>
      </w:r>
    </w:p>
    <w:p w14:paraId="7BC3A2BF">
      <w:pPr>
        <w:spacing w:line="360" w:lineRule="auto"/>
        <w:ind w:firstLine="480" w:firstLineChars="200"/>
        <w:rPr>
          <w:rFonts w:hint="eastAsia" w:ascii="宋体" w:hAnsi="宋体"/>
          <w:snapToGrid w:val="0"/>
          <w:sz w:val="24"/>
        </w:rPr>
      </w:pPr>
      <w:r>
        <w:rPr>
          <w:rFonts w:hint="eastAsia" w:ascii="宋体" w:hAnsi="宋体"/>
          <w:snapToGrid w:val="0"/>
          <w:sz w:val="24"/>
        </w:rPr>
        <w:t>矿区内可采煤层11层，即</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w:t>
      </w:r>
      <w:r>
        <w:rPr>
          <w:rFonts w:ascii="宋体" w:hAnsi="宋体"/>
          <w:sz w:val="24"/>
        </w:rPr>
        <w:t>-</w:t>
      </w:r>
      <w:r>
        <w:rPr>
          <w:rFonts w:hint="eastAsia" w:ascii="宋体" w:hAnsi="宋体"/>
          <w:sz w:val="24"/>
        </w:rPr>
        <w:t>a</w:t>
      </w:r>
      <w:r>
        <w:rPr>
          <w:rFonts w:hint="eastAsia" w:ascii="宋体" w:hAnsi="宋体"/>
          <w:snapToGrid w:val="0"/>
          <w:sz w:val="24"/>
        </w:rPr>
        <w:t>煤层，为薄及中厚煤层，煤层平均间距分别为</w:t>
      </w:r>
      <w:r>
        <w:rPr>
          <w:rFonts w:hint="eastAsia" w:ascii="宋体" w:hAnsi="宋体"/>
          <w:color w:val="000000"/>
          <w:kern w:val="0"/>
          <w:sz w:val="24"/>
        </w:rPr>
        <w:t>10m、28m、10m、10m、30m、28m、20m、245m、25m、13m</w:t>
      </w:r>
      <w:r>
        <w:rPr>
          <w:rFonts w:hint="eastAsia" w:ascii="宋体" w:hAnsi="宋体"/>
          <w:snapToGrid w:val="0"/>
          <w:sz w:val="24"/>
        </w:rPr>
        <w:t>，煤层平均倾角30°，属倾斜煤层。由于矿区内11层可采煤层均为作煤与瓦斯突出鉴定，根据煤层开采顺序由上至下、由简单至复杂的原则，由于上下组煤之间的</w:t>
      </w:r>
      <w:r>
        <w:rPr>
          <w:rFonts w:hint="eastAsia" w:ascii="宋体" w:hAnsi="宋体"/>
          <w:sz w:val="24"/>
        </w:rPr>
        <w:t>K35</w:t>
      </w:r>
      <w:r>
        <w:rPr>
          <w:rFonts w:ascii="宋体" w:hAnsi="宋体"/>
          <w:sz w:val="24"/>
        </w:rPr>
        <w:t>-b</w:t>
      </w:r>
      <w:r>
        <w:rPr>
          <w:rFonts w:hint="eastAsia" w:ascii="宋体" w:hAnsi="宋体"/>
          <w:sz w:val="24"/>
        </w:rPr>
        <w:t>与K106</w:t>
      </w:r>
      <w:r>
        <w:rPr>
          <w:rFonts w:ascii="宋体" w:hAnsi="宋体"/>
          <w:sz w:val="24"/>
        </w:rPr>
        <w:t>-</w:t>
      </w:r>
      <w:r>
        <w:rPr>
          <w:rFonts w:hint="eastAsia" w:ascii="宋体" w:hAnsi="宋体"/>
          <w:sz w:val="24"/>
        </w:rPr>
        <w:t>b</w:t>
      </w:r>
      <w:r>
        <w:rPr>
          <w:rFonts w:hint="eastAsia" w:ascii="宋体" w:hAnsi="宋体"/>
          <w:snapToGrid w:val="0"/>
          <w:sz w:val="24"/>
        </w:rPr>
        <w:t>层间距较大（</w:t>
      </w:r>
      <w:r>
        <w:rPr>
          <w:rFonts w:hint="eastAsia" w:ascii="宋体" w:hAnsi="宋体"/>
          <w:color w:val="000000"/>
          <w:kern w:val="0"/>
          <w:sz w:val="24"/>
        </w:rPr>
        <w:t>245m）</w:t>
      </w:r>
      <w:r>
        <w:rPr>
          <w:rFonts w:hint="eastAsia" w:ascii="宋体" w:hAnsi="宋体"/>
          <w:snapToGrid w:val="0"/>
          <w:sz w:val="24"/>
        </w:rPr>
        <w:t>，保护范围有限，</w:t>
      </w:r>
      <w:r>
        <w:rPr>
          <w:rFonts w:hint="eastAsia" w:ascii="宋体" w:hAnsi="宋体"/>
          <w:sz w:val="24"/>
        </w:rPr>
        <w:t>K35</w:t>
      </w:r>
      <w:r>
        <w:rPr>
          <w:rFonts w:ascii="宋体" w:hAnsi="宋体"/>
          <w:sz w:val="24"/>
        </w:rPr>
        <w:t>-b</w:t>
      </w:r>
      <w:r>
        <w:rPr>
          <w:rFonts w:hint="eastAsia" w:ascii="宋体" w:hAnsi="宋体"/>
          <w:sz w:val="24"/>
        </w:rPr>
        <w:t>煤层的开采对K106</w:t>
      </w:r>
      <w:r>
        <w:rPr>
          <w:rFonts w:ascii="宋体" w:hAnsi="宋体"/>
          <w:sz w:val="24"/>
        </w:rPr>
        <w:t>-</w:t>
      </w:r>
      <w:r>
        <w:rPr>
          <w:rFonts w:hint="eastAsia" w:ascii="宋体" w:hAnsi="宋体"/>
          <w:sz w:val="24"/>
        </w:rPr>
        <w:t>b煤层无保护效果，</w:t>
      </w:r>
      <w:r>
        <w:rPr>
          <w:rFonts w:hint="eastAsia" w:ascii="宋体" w:hAnsi="宋体"/>
          <w:snapToGrid w:val="0"/>
          <w:sz w:val="24"/>
        </w:rPr>
        <w:t>但其他煤层之间的层间距较小，上一煤层的开采对下一层煤具有较好的保护效果，因此，</w:t>
      </w:r>
      <w:r>
        <w:rPr>
          <w:rFonts w:ascii="宋体" w:hAnsi="宋体"/>
          <w:sz w:val="24"/>
        </w:rPr>
        <w:t>K1-b</w:t>
      </w:r>
      <w:r>
        <w:rPr>
          <w:rFonts w:hint="eastAsia" w:ascii="宋体" w:hAnsi="宋体"/>
          <w:snapToGrid w:val="0"/>
          <w:sz w:val="24"/>
        </w:rPr>
        <w:t>煤层可作为K3煤层的保护层，但要现场实际考查其保护效果的可靠性，因按一般规定，已超过上保护层的保护有效垂距50m，后期矿井可根据煤与瓦斯突出鉴定，选无煤与瓦斯突出煤层或突出危险较小的煤层作为保护层首先开采，但保护层的开采必须保证不破坏其他煤层的开采条件。</w:t>
      </w:r>
    </w:p>
    <w:p w14:paraId="2B977B67">
      <w:pPr>
        <w:spacing w:line="360" w:lineRule="auto"/>
        <w:ind w:firstLine="480" w:firstLineChars="200"/>
        <w:rPr>
          <w:rFonts w:hint="eastAsia" w:ascii="宋体" w:hAnsi="宋体"/>
          <w:snapToGrid w:val="0"/>
          <w:sz w:val="24"/>
          <w:u w:val="single"/>
        </w:rPr>
      </w:pPr>
      <w:r>
        <w:rPr>
          <w:rFonts w:hint="eastAsia" w:ascii="宋体" w:hAnsi="宋体"/>
          <w:snapToGrid w:val="0"/>
          <w:sz w:val="24"/>
          <w:u w:val="single"/>
        </w:rPr>
        <w:t>一采区区域防突措施：矿井</w:t>
      </w:r>
      <w:r>
        <w:rPr>
          <w:rFonts w:ascii="宋体" w:hAnsi="宋体"/>
          <w:snapToGrid w:val="0"/>
          <w:sz w:val="24"/>
          <w:u w:val="single"/>
        </w:rPr>
        <w:t>K1-b</w:t>
      </w:r>
      <w:r>
        <w:rPr>
          <w:rFonts w:hint="eastAsia" w:ascii="宋体" w:hAnsi="宋体"/>
          <w:snapToGrid w:val="0"/>
          <w:sz w:val="24"/>
          <w:u w:val="single"/>
        </w:rPr>
        <w:t>、K13、K18、K26、K35</w:t>
      </w:r>
      <w:r>
        <w:rPr>
          <w:rFonts w:ascii="宋体" w:hAnsi="宋体"/>
          <w:snapToGrid w:val="0"/>
          <w:sz w:val="24"/>
          <w:u w:val="single"/>
        </w:rPr>
        <w:t>-b</w:t>
      </w:r>
      <w:r>
        <w:rPr>
          <w:rFonts w:hint="eastAsia" w:ascii="宋体" w:hAnsi="宋体"/>
          <w:snapToGrid w:val="0"/>
          <w:sz w:val="24"/>
          <w:u w:val="single"/>
        </w:rPr>
        <w:t>煤层+1904m标高以上已全部采空，对下部1904m标高到+1835m标高之间的煤层中的瓦斯有一定的释放作用，同时铜厂沟煤矿的最深开采标高已经到达+1884m标高，未出现突出动力现象，且矿井瓦斯等级鉴定结果，矿井为高瓦斯矿井，瓦斯涌出量不大。目前矿井一采区开拓系统已经形成，主斜进及部分联络巷已经施工至+1818m标高，未出现突出动力现象，且一采区131运输石门已经揭穿所有煤层，未出现突出动力现象，因此，根据矿井实际情况，初期开采一采区煤层时暂不考虑布置底板瓦斯抽放巷预抽消突，设计煤巷掘进过程中采用先抽后掘，并随掘进后方布置顺层钻孔预抽消突，后期深部开采时，矿井应根据突出鉴定及瓦斯涌出情况，请有资质的单位作瓦斯抽放专项设计，更好、更有效的进行防突、消突。</w:t>
      </w:r>
    </w:p>
    <w:p w14:paraId="62450452">
      <w:pPr>
        <w:spacing w:line="360" w:lineRule="auto"/>
        <w:ind w:firstLine="480" w:firstLineChars="200"/>
        <w:rPr>
          <w:rFonts w:hint="eastAsia" w:ascii="宋体" w:hAnsi="宋体"/>
          <w:sz w:val="24"/>
        </w:rPr>
      </w:pPr>
      <w:r>
        <w:rPr>
          <w:rFonts w:hint="eastAsia" w:ascii="宋体" w:hAnsi="宋体"/>
          <w:sz w:val="24"/>
        </w:rPr>
        <w:t>b、保护层作用有效范围的圈定</w:t>
      </w:r>
    </w:p>
    <w:p w14:paraId="08A7CEE1">
      <w:pPr>
        <w:spacing w:line="360" w:lineRule="auto"/>
        <w:ind w:firstLine="480" w:firstLineChars="200"/>
        <w:rPr>
          <w:rFonts w:hint="eastAsia" w:ascii="宋体" w:hAnsi="宋体"/>
          <w:sz w:val="24"/>
        </w:rPr>
      </w:pPr>
      <w:r>
        <w:rPr>
          <w:rFonts w:hint="eastAsia" w:ascii="宋体" w:hAnsi="宋体"/>
          <w:sz w:val="24"/>
        </w:rPr>
        <w:t>·保护层与被保护层的最大有效垂距：对于倾斜煤层：上保护层＜50m；下保护层＜100m。</w:t>
      </w:r>
    </w:p>
    <w:p w14:paraId="669C4B4D">
      <w:pPr>
        <w:spacing w:line="360" w:lineRule="auto"/>
        <w:ind w:firstLine="480" w:firstLineChars="200"/>
        <w:rPr>
          <w:rFonts w:hint="eastAsia" w:ascii="宋体" w:hAnsi="宋体"/>
          <w:sz w:val="24"/>
        </w:rPr>
      </w:pPr>
      <w:r>
        <w:rPr>
          <w:rFonts w:hint="eastAsia" w:ascii="宋体" w:hAnsi="宋体"/>
          <w:sz w:val="24"/>
        </w:rPr>
        <w:t>·矿井各煤层的开采</w:t>
      </w:r>
      <w:r>
        <w:rPr>
          <w:rFonts w:ascii="宋体" w:hAnsi="宋体"/>
          <w:sz w:val="24"/>
        </w:rPr>
        <w:t>顺序</w:t>
      </w:r>
      <w:r>
        <w:rPr>
          <w:rFonts w:hint="eastAsia" w:ascii="宋体" w:hAnsi="宋体"/>
          <w:sz w:val="24"/>
        </w:rPr>
        <w:t>为：</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w:t>
      </w:r>
      <w:r>
        <w:rPr>
          <w:rFonts w:ascii="宋体" w:hAnsi="宋体"/>
          <w:sz w:val="24"/>
        </w:rPr>
        <w:t>-</w:t>
      </w:r>
      <w:r>
        <w:rPr>
          <w:rFonts w:hint="eastAsia" w:ascii="宋体" w:hAnsi="宋体"/>
          <w:sz w:val="24"/>
        </w:rPr>
        <w:t>a煤层。开采的保护层回采工作面，必须超前于被保护层的掘进工作面，其超前距离不得小于保护层与被保护层之间法线距离的2倍，并不得小于30m。</w:t>
      </w:r>
    </w:p>
    <w:p w14:paraId="3DD14B99">
      <w:pPr>
        <w:spacing w:line="360" w:lineRule="auto"/>
        <w:ind w:firstLine="480" w:firstLineChars="200"/>
        <w:rPr>
          <w:rFonts w:hint="eastAsia" w:ascii="宋体" w:hAnsi="宋体"/>
          <w:sz w:val="24"/>
        </w:rPr>
      </w:pPr>
      <w:r>
        <w:rPr>
          <w:rFonts w:hint="eastAsia" w:ascii="宋体" w:hAnsi="宋体"/>
          <w:sz w:val="24"/>
        </w:rPr>
        <w:t xml:space="preserve">·对停采的保护层采煤工作面，停采时间超过3个月、且卸压比较充分，该采煤工作面的始采线、采止线及所留煤柱对被保护层沿走向的保护范围参照 </w:t>
      </w:r>
      <w:r>
        <w:rPr>
          <w:rFonts w:hint="eastAsia" w:ascii="宋体" w:hAnsi="宋体"/>
          <w:b/>
          <w:sz w:val="24"/>
        </w:rPr>
        <w:t>图4-3-1</w:t>
      </w:r>
      <w:r>
        <w:rPr>
          <w:rFonts w:hint="eastAsia" w:ascii="宋体" w:hAnsi="宋体"/>
          <w:sz w:val="24"/>
        </w:rPr>
        <w:t>执行。</w:t>
      </w:r>
    </w:p>
    <w:p w14:paraId="72D5BA66">
      <w:pPr>
        <w:spacing w:line="360" w:lineRule="auto"/>
        <w:ind w:firstLine="480" w:firstLineChars="200"/>
        <w:rPr>
          <w:rFonts w:hint="eastAsia" w:ascii="宋体" w:hAnsi="宋体"/>
          <w:sz w:val="24"/>
        </w:rPr>
      </w:pPr>
      <w:r>
        <w:rPr>
          <w:rFonts w:hint="eastAsia" w:ascii="宋体" w:hAnsi="宋体"/>
          <w:sz w:val="24"/>
        </w:rPr>
        <w:t xml:space="preserve">·保护层沿倾斜的保护范围，如 </w:t>
      </w:r>
      <w:r>
        <w:rPr>
          <w:rFonts w:hint="eastAsia" w:ascii="宋体" w:hAnsi="宋体"/>
          <w:b/>
          <w:sz w:val="24"/>
        </w:rPr>
        <w:t>图4-3-2</w:t>
      </w:r>
      <w:r>
        <w:rPr>
          <w:rFonts w:hint="eastAsia" w:ascii="宋体" w:hAnsi="宋体"/>
          <w:sz w:val="24"/>
        </w:rPr>
        <w:t>所示。</w:t>
      </w:r>
    </w:p>
    <w:p w14:paraId="4DDA83A1">
      <w:pPr>
        <w:spacing w:line="360" w:lineRule="auto"/>
        <w:ind w:firstLine="480" w:firstLineChars="200"/>
        <w:rPr>
          <w:rFonts w:hint="eastAsia" w:ascii="宋体" w:hAnsi="宋体"/>
          <w:sz w:val="24"/>
        </w:rPr>
      </w:pPr>
      <w:r>
        <w:rPr>
          <w:rFonts w:hint="eastAsia" w:ascii="宋体" w:hAnsi="宋体"/>
          <w:sz w:val="24"/>
        </w:rPr>
        <w:t>·矿井首次开采保护层时，必须对保护层的保护效果及范围进行实际考察，并不断积累经验、不断改进，以便准确确定该矿保护层开采的有效作用范围。</w:t>
      </w:r>
    </w:p>
    <w:p w14:paraId="3E641CCE">
      <w:pPr>
        <w:spacing w:line="360" w:lineRule="auto"/>
        <w:ind w:firstLine="480" w:firstLineChars="200"/>
        <w:rPr>
          <w:rFonts w:hint="eastAsia" w:ascii="宋体" w:hAnsi="宋体"/>
          <w:sz w:val="24"/>
        </w:rPr>
      </w:pPr>
      <w:r>
        <w:rPr>
          <w:rFonts w:hint="eastAsia" w:ascii="宋体" w:hAnsi="宋体"/>
          <w:sz w:val="24"/>
        </w:rPr>
        <w:t>·开采保护层时，采空区内不得留有煤(岩)柱。特殊情况需留煤(岩)柱时，经煤矿企业技术负责人批准，并将煤(岩)柱的位置和尺寸准确地标在采掘工程平面图上。每个被保护层的瓦斯地质图应当标出煤(岩)柱的影响范围，在这个范围内进行采掘工作前，首先采取预抽煤层瓦斯区域防突措施。并必须按下表填写好煤柱记录表。</w:t>
      </w:r>
    </w:p>
    <w:p w14:paraId="36EB011E">
      <w:pPr>
        <w:spacing w:line="360" w:lineRule="auto"/>
        <w:jc w:val="center"/>
        <w:rPr>
          <w:rFonts w:hint="eastAsia" w:ascii="宋体" w:hAnsi="宋体"/>
          <w:b/>
          <w:sz w:val="24"/>
        </w:rPr>
      </w:pPr>
      <w:r>
        <w:rPr>
          <w:rFonts w:hint="eastAsia" w:ascii="宋体" w:hAnsi="宋体"/>
          <w:b/>
          <w:sz w:val="24"/>
        </w:rPr>
        <w:t>图4—3—1  保护层工作面始采线、采止线及所留煤柱对被保护层沿走向的保护范围</w:t>
      </w:r>
    </w:p>
    <w:p w14:paraId="28BF9ADB">
      <w:pPr>
        <w:spacing w:line="360" w:lineRule="auto"/>
        <w:jc w:val="center"/>
        <w:rPr>
          <w:rFonts w:hint="eastAsia"/>
        </w:rPr>
      </w:pPr>
      <w:r>
        <w:drawing>
          <wp:inline distT="0" distB="0" distL="114300" distR="114300">
            <wp:extent cx="5414010" cy="1937385"/>
            <wp:effectExtent l="0" t="0" r="0" b="0"/>
            <wp:docPr id="2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0"/>
                    <pic:cNvPicPr>
                      <a:picLocks noChangeAspect="1"/>
                    </pic:cNvPicPr>
                  </pic:nvPicPr>
                  <pic:blipFill>
                    <a:blip r:embed="rId155"/>
                    <a:srcRect l="23071" t="9564" r="11810" b="42000"/>
                    <a:stretch>
                      <a:fillRect/>
                    </a:stretch>
                  </pic:blipFill>
                  <pic:spPr>
                    <a:xfrm>
                      <a:off x="0" y="0"/>
                      <a:ext cx="5414010" cy="1937385"/>
                    </a:xfrm>
                    <a:prstGeom prst="rect">
                      <a:avLst/>
                    </a:prstGeom>
                    <a:noFill/>
                    <a:ln>
                      <a:noFill/>
                    </a:ln>
                  </pic:spPr>
                </pic:pic>
              </a:graphicData>
            </a:graphic>
          </wp:inline>
        </w:drawing>
      </w:r>
    </w:p>
    <w:p w14:paraId="7C5B0C91">
      <w:pPr>
        <w:spacing w:line="360" w:lineRule="auto"/>
        <w:jc w:val="center"/>
        <w:rPr>
          <w:rFonts w:hint="eastAsia" w:ascii="宋体" w:hAnsi="宋体"/>
          <w:b/>
          <w:color w:val="000000"/>
          <w:sz w:val="24"/>
        </w:rPr>
      </w:pPr>
      <w:r>
        <w:rPr>
          <w:rFonts w:hint="eastAsia" w:ascii="宋体" w:hAnsi="宋体"/>
          <w:b/>
          <w:color w:val="000000"/>
          <w:sz w:val="24"/>
        </w:rPr>
        <w:t>图4—3—2  保护层开采后、沿倾向的保护范围</w:t>
      </w:r>
    </w:p>
    <w:p w14:paraId="6D1E41EA">
      <w:pPr>
        <w:spacing w:line="360" w:lineRule="auto"/>
        <w:ind w:left="-4" w:leftChars="-2"/>
        <w:jc w:val="center"/>
        <w:rPr>
          <w:rFonts w:hint="eastAsia" w:ascii="宋体" w:hAnsi="宋体"/>
          <w:sz w:val="24"/>
        </w:rPr>
      </w:pPr>
      <w:r>
        <w:drawing>
          <wp:inline distT="0" distB="0" distL="114300" distR="114300">
            <wp:extent cx="5403215" cy="3535680"/>
            <wp:effectExtent l="0" t="0" r="0" b="7620"/>
            <wp:docPr id="2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1"/>
                    <pic:cNvPicPr>
                      <a:picLocks noChangeAspect="1"/>
                    </pic:cNvPicPr>
                  </pic:nvPicPr>
                  <pic:blipFill>
                    <a:blip r:embed="rId156"/>
                    <a:srcRect l="17966" t="11124" r="37721" b="29131"/>
                    <a:stretch>
                      <a:fillRect/>
                    </a:stretch>
                  </pic:blipFill>
                  <pic:spPr>
                    <a:xfrm>
                      <a:off x="0" y="0"/>
                      <a:ext cx="5403215" cy="3535680"/>
                    </a:xfrm>
                    <a:prstGeom prst="rect">
                      <a:avLst/>
                    </a:prstGeom>
                    <a:noFill/>
                    <a:ln>
                      <a:noFill/>
                    </a:ln>
                  </pic:spPr>
                </pic:pic>
              </a:graphicData>
            </a:graphic>
          </wp:inline>
        </w:drawing>
      </w:r>
    </w:p>
    <w:p w14:paraId="53FBEF36">
      <w:pPr>
        <w:spacing w:line="360" w:lineRule="auto"/>
        <w:jc w:val="center"/>
        <w:rPr>
          <w:rFonts w:hint="eastAsia"/>
          <w:color w:val="000000"/>
          <w:sz w:val="24"/>
        </w:rPr>
      </w:pPr>
      <w:r>
        <w:rPr>
          <w:rFonts w:hint="eastAsia"/>
          <w:color w:val="000000"/>
          <w:sz w:val="24"/>
        </w:rPr>
        <w:t>保护层采空区中遗留煤柱记录表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95"/>
        <w:gridCol w:w="1157"/>
        <w:gridCol w:w="1157"/>
        <w:gridCol w:w="1035"/>
        <w:gridCol w:w="1280"/>
        <w:gridCol w:w="1157"/>
        <w:gridCol w:w="1153"/>
      </w:tblGrid>
      <w:tr w14:paraId="3A7D8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1033" w:type="dxa"/>
            <w:vMerge w:val="restart"/>
            <w:noWrap w:val="0"/>
            <w:vAlign w:val="center"/>
          </w:tcPr>
          <w:p w14:paraId="168DDB22">
            <w:pPr>
              <w:ind w:firstLine="480" w:firstLineChars="200"/>
              <w:jc w:val="center"/>
              <w:rPr>
                <w:rFonts w:hint="eastAsia"/>
                <w:color w:val="000000"/>
                <w:sz w:val="24"/>
              </w:rPr>
            </w:pPr>
            <w:r>
              <w:rPr>
                <w:rFonts w:hint="eastAsia"/>
                <w:color w:val="000000"/>
                <w:sz w:val="24"/>
              </w:rPr>
              <w:t>采区及工作面名  称</w:t>
            </w:r>
          </w:p>
        </w:tc>
        <w:tc>
          <w:tcPr>
            <w:tcW w:w="1095" w:type="dxa"/>
            <w:vMerge w:val="restart"/>
            <w:noWrap w:val="0"/>
            <w:vAlign w:val="center"/>
          </w:tcPr>
          <w:p w14:paraId="424ED575">
            <w:pPr>
              <w:ind w:firstLine="480" w:firstLineChars="200"/>
              <w:jc w:val="center"/>
              <w:rPr>
                <w:rFonts w:hint="eastAsia"/>
                <w:color w:val="000000"/>
                <w:sz w:val="24"/>
              </w:rPr>
            </w:pPr>
            <w:r>
              <w:rPr>
                <w:rFonts w:hint="eastAsia"/>
                <w:color w:val="000000"/>
                <w:sz w:val="24"/>
              </w:rPr>
              <w:t>保护层名  称</w:t>
            </w:r>
          </w:p>
        </w:tc>
        <w:tc>
          <w:tcPr>
            <w:tcW w:w="3349" w:type="dxa"/>
            <w:gridSpan w:val="3"/>
            <w:noWrap w:val="0"/>
            <w:vAlign w:val="center"/>
          </w:tcPr>
          <w:p w14:paraId="53401594">
            <w:pPr>
              <w:ind w:firstLine="480" w:firstLineChars="200"/>
              <w:jc w:val="center"/>
              <w:rPr>
                <w:rFonts w:hint="eastAsia"/>
                <w:color w:val="000000"/>
                <w:sz w:val="24"/>
              </w:rPr>
            </w:pPr>
            <w:r>
              <w:rPr>
                <w:rFonts w:hint="eastAsia"/>
                <w:color w:val="000000"/>
                <w:sz w:val="24"/>
              </w:rPr>
              <w:t>保护层遗留煤柱</w:t>
            </w:r>
          </w:p>
        </w:tc>
        <w:tc>
          <w:tcPr>
            <w:tcW w:w="1280" w:type="dxa"/>
            <w:vMerge w:val="restart"/>
            <w:noWrap w:val="0"/>
            <w:vAlign w:val="center"/>
          </w:tcPr>
          <w:p w14:paraId="397294BC">
            <w:pPr>
              <w:ind w:firstLine="480" w:firstLineChars="200"/>
              <w:jc w:val="center"/>
              <w:rPr>
                <w:rFonts w:hint="eastAsia"/>
                <w:color w:val="000000"/>
                <w:sz w:val="24"/>
              </w:rPr>
            </w:pPr>
            <w:r>
              <w:rPr>
                <w:rFonts w:hint="eastAsia"/>
                <w:color w:val="000000"/>
                <w:sz w:val="24"/>
              </w:rPr>
              <w:t>煤柱影响突出煤层煤    量</w:t>
            </w:r>
          </w:p>
        </w:tc>
        <w:tc>
          <w:tcPr>
            <w:tcW w:w="1157" w:type="dxa"/>
            <w:vMerge w:val="restart"/>
            <w:noWrap w:val="0"/>
            <w:vAlign w:val="center"/>
          </w:tcPr>
          <w:p w14:paraId="27D5C1D4">
            <w:pPr>
              <w:ind w:firstLine="480" w:firstLineChars="200"/>
              <w:jc w:val="center"/>
              <w:rPr>
                <w:rFonts w:hint="eastAsia"/>
                <w:color w:val="000000"/>
                <w:sz w:val="24"/>
              </w:rPr>
            </w:pPr>
            <w:r>
              <w:rPr>
                <w:rFonts w:hint="eastAsia"/>
                <w:color w:val="000000"/>
                <w:sz w:val="24"/>
              </w:rPr>
              <w:t>煤柱测绘  人</w:t>
            </w:r>
          </w:p>
        </w:tc>
        <w:tc>
          <w:tcPr>
            <w:tcW w:w="1153" w:type="dxa"/>
            <w:vMerge w:val="restart"/>
            <w:noWrap w:val="0"/>
            <w:vAlign w:val="center"/>
          </w:tcPr>
          <w:p w14:paraId="5D6BD21C">
            <w:pPr>
              <w:ind w:firstLine="480" w:firstLineChars="200"/>
              <w:jc w:val="center"/>
              <w:rPr>
                <w:rFonts w:hint="eastAsia"/>
                <w:color w:val="000000"/>
                <w:sz w:val="24"/>
              </w:rPr>
            </w:pPr>
            <w:r>
              <w:rPr>
                <w:rFonts w:hint="eastAsia"/>
                <w:color w:val="000000"/>
                <w:sz w:val="24"/>
              </w:rPr>
              <w:t>矿总工程  师</w:t>
            </w:r>
          </w:p>
        </w:tc>
      </w:tr>
      <w:tr w14:paraId="4D7E8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1033" w:type="dxa"/>
            <w:vMerge w:val="continue"/>
            <w:noWrap w:val="0"/>
            <w:vAlign w:val="center"/>
          </w:tcPr>
          <w:p w14:paraId="437A9B04">
            <w:pPr>
              <w:ind w:firstLine="480" w:firstLineChars="200"/>
              <w:jc w:val="center"/>
              <w:rPr>
                <w:rFonts w:hint="eastAsia"/>
                <w:color w:val="000000"/>
                <w:sz w:val="24"/>
              </w:rPr>
            </w:pPr>
          </w:p>
        </w:tc>
        <w:tc>
          <w:tcPr>
            <w:tcW w:w="1095" w:type="dxa"/>
            <w:vMerge w:val="continue"/>
            <w:noWrap w:val="0"/>
            <w:vAlign w:val="center"/>
          </w:tcPr>
          <w:p w14:paraId="2F1E64BB">
            <w:pPr>
              <w:ind w:firstLine="480" w:firstLineChars="200"/>
              <w:jc w:val="center"/>
              <w:rPr>
                <w:rFonts w:hint="eastAsia"/>
                <w:color w:val="000000"/>
                <w:sz w:val="24"/>
              </w:rPr>
            </w:pPr>
          </w:p>
        </w:tc>
        <w:tc>
          <w:tcPr>
            <w:tcW w:w="1157" w:type="dxa"/>
            <w:vMerge w:val="restart"/>
            <w:noWrap w:val="0"/>
            <w:vAlign w:val="center"/>
          </w:tcPr>
          <w:p w14:paraId="6719519F">
            <w:pPr>
              <w:ind w:firstLine="480" w:firstLineChars="200"/>
              <w:jc w:val="center"/>
              <w:rPr>
                <w:rFonts w:hint="eastAsia"/>
                <w:color w:val="000000"/>
                <w:sz w:val="24"/>
              </w:rPr>
            </w:pPr>
            <w:r>
              <w:rPr>
                <w:rFonts w:hint="eastAsia"/>
                <w:color w:val="000000"/>
                <w:sz w:val="24"/>
              </w:rPr>
              <w:t>遗留</w:t>
            </w:r>
          </w:p>
          <w:p w14:paraId="4EFBDE54">
            <w:pPr>
              <w:ind w:firstLine="480" w:firstLineChars="200"/>
              <w:jc w:val="center"/>
              <w:rPr>
                <w:rFonts w:hint="eastAsia"/>
                <w:color w:val="000000"/>
                <w:sz w:val="24"/>
              </w:rPr>
            </w:pPr>
            <w:r>
              <w:rPr>
                <w:rFonts w:hint="eastAsia"/>
                <w:color w:val="000000"/>
                <w:sz w:val="24"/>
              </w:rPr>
              <w:t>日期</w:t>
            </w:r>
          </w:p>
        </w:tc>
        <w:tc>
          <w:tcPr>
            <w:tcW w:w="2192" w:type="dxa"/>
            <w:gridSpan w:val="2"/>
            <w:noWrap w:val="0"/>
            <w:vAlign w:val="center"/>
          </w:tcPr>
          <w:p w14:paraId="097567AB">
            <w:pPr>
              <w:ind w:firstLine="480" w:firstLineChars="200"/>
              <w:jc w:val="center"/>
              <w:rPr>
                <w:rFonts w:hint="eastAsia"/>
                <w:color w:val="000000"/>
                <w:sz w:val="24"/>
              </w:rPr>
            </w:pPr>
            <w:r>
              <w:rPr>
                <w:rFonts w:hint="eastAsia"/>
                <w:color w:val="000000"/>
                <w:sz w:val="24"/>
              </w:rPr>
              <w:t>尺寸（m）</w:t>
            </w:r>
          </w:p>
        </w:tc>
        <w:tc>
          <w:tcPr>
            <w:tcW w:w="1280" w:type="dxa"/>
            <w:vMerge w:val="continue"/>
            <w:noWrap w:val="0"/>
            <w:vAlign w:val="center"/>
          </w:tcPr>
          <w:p w14:paraId="73EC9415">
            <w:pPr>
              <w:ind w:firstLine="480" w:firstLineChars="200"/>
              <w:jc w:val="center"/>
              <w:rPr>
                <w:rFonts w:hint="eastAsia"/>
                <w:color w:val="000000"/>
                <w:sz w:val="24"/>
              </w:rPr>
            </w:pPr>
          </w:p>
        </w:tc>
        <w:tc>
          <w:tcPr>
            <w:tcW w:w="1157" w:type="dxa"/>
            <w:vMerge w:val="continue"/>
            <w:noWrap w:val="0"/>
            <w:vAlign w:val="center"/>
          </w:tcPr>
          <w:p w14:paraId="5C6177EB">
            <w:pPr>
              <w:ind w:firstLine="480" w:firstLineChars="200"/>
              <w:jc w:val="center"/>
              <w:rPr>
                <w:rFonts w:hint="eastAsia"/>
                <w:color w:val="000000"/>
                <w:sz w:val="24"/>
              </w:rPr>
            </w:pPr>
          </w:p>
        </w:tc>
        <w:tc>
          <w:tcPr>
            <w:tcW w:w="1153" w:type="dxa"/>
            <w:vMerge w:val="continue"/>
            <w:noWrap w:val="0"/>
            <w:vAlign w:val="center"/>
          </w:tcPr>
          <w:p w14:paraId="626339C0">
            <w:pPr>
              <w:ind w:firstLine="480" w:firstLineChars="200"/>
              <w:jc w:val="center"/>
              <w:rPr>
                <w:rFonts w:hint="eastAsia"/>
                <w:color w:val="000000"/>
                <w:sz w:val="24"/>
              </w:rPr>
            </w:pPr>
          </w:p>
        </w:tc>
      </w:tr>
      <w:tr w14:paraId="3AE30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1033" w:type="dxa"/>
            <w:vMerge w:val="continue"/>
            <w:noWrap w:val="0"/>
            <w:vAlign w:val="center"/>
          </w:tcPr>
          <w:p w14:paraId="2CA46C81">
            <w:pPr>
              <w:ind w:firstLine="480" w:firstLineChars="200"/>
              <w:jc w:val="center"/>
              <w:rPr>
                <w:rFonts w:hint="eastAsia"/>
                <w:color w:val="000000"/>
                <w:sz w:val="24"/>
              </w:rPr>
            </w:pPr>
          </w:p>
        </w:tc>
        <w:tc>
          <w:tcPr>
            <w:tcW w:w="1095" w:type="dxa"/>
            <w:vMerge w:val="continue"/>
            <w:noWrap w:val="0"/>
            <w:vAlign w:val="center"/>
          </w:tcPr>
          <w:p w14:paraId="458252B2">
            <w:pPr>
              <w:ind w:firstLine="480" w:firstLineChars="200"/>
              <w:jc w:val="center"/>
              <w:rPr>
                <w:rFonts w:hint="eastAsia"/>
                <w:color w:val="000000"/>
                <w:sz w:val="24"/>
              </w:rPr>
            </w:pPr>
          </w:p>
        </w:tc>
        <w:tc>
          <w:tcPr>
            <w:tcW w:w="1157" w:type="dxa"/>
            <w:vMerge w:val="continue"/>
            <w:noWrap w:val="0"/>
            <w:vAlign w:val="center"/>
          </w:tcPr>
          <w:p w14:paraId="21930672">
            <w:pPr>
              <w:ind w:firstLine="480" w:firstLineChars="200"/>
              <w:jc w:val="center"/>
              <w:rPr>
                <w:rFonts w:hint="eastAsia"/>
                <w:color w:val="000000"/>
                <w:sz w:val="24"/>
              </w:rPr>
            </w:pPr>
          </w:p>
        </w:tc>
        <w:tc>
          <w:tcPr>
            <w:tcW w:w="1157" w:type="dxa"/>
            <w:noWrap w:val="0"/>
            <w:vAlign w:val="center"/>
          </w:tcPr>
          <w:p w14:paraId="383B22E8">
            <w:pPr>
              <w:ind w:firstLine="480" w:firstLineChars="200"/>
              <w:jc w:val="center"/>
              <w:rPr>
                <w:rFonts w:hint="eastAsia"/>
                <w:color w:val="000000"/>
                <w:sz w:val="24"/>
              </w:rPr>
            </w:pPr>
            <w:r>
              <w:rPr>
                <w:rFonts w:hint="eastAsia"/>
                <w:color w:val="000000"/>
                <w:sz w:val="24"/>
              </w:rPr>
              <w:t>沿走向</w:t>
            </w:r>
          </w:p>
        </w:tc>
        <w:tc>
          <w:tcPr>
            <w:tcW w:w="1035" w:type="dxa"/>
            <w:noWrap w:val="0"/>
            <w:vAlign w:val="center"/>
          </w:tcPr>
          <w:p w14:paraId="658C7E2A">
            <w:pPr>
              <w:ind w:firstLine="480" w:firstLineChars="200"/>
              <w:jc w:val="center"/>
              <w:rPr>
                <w:rFonts w:hint="eastAsia"/>
                <w:color w:val="000000"/>
                <w:sz w:val="24"/>
              </w:rPr>
            </w:pPr>
            <w:r>
              <w:rPr>
                <w:rFonts w:hint="eastAsia"/>
                <w:color w:val="000000"/>
                <w:sz w:val="24"/>
              </w:rPr>
              <w:t>沿倾向</w:t>
            </w:r>
          </w:p>
        </w:tc>
        <w:tc>
          <w:tcPr>
            <w:tcW w:w="1280" w:type="dxa"/>
            <w:vMerge w:val="continue"/>
            <w:noWrap w:val="0"/>
            <w:vAlign w:val="center"/>
          </w:tcPr>
          <w:p w14:paraId="02184DFD">
            <w:pPr>
              <w:ind w:firstLine="480" w:firstLineChars="200"/>
              <w:jc w:val="center"/>
              <w:rPr>
                <w:rFonts w:hint="eastAsia"/>
                <w:color w:val="000000"/>
                <w:sz w:val="24"/>
              </w:rPr>
            </w:pPr>
          </w:p>
        </w:tc>
        <w:tc>
          <w:tcPr>
            <w:tcW w:w="1157" w:type="dxa"/>
            <w:vMerge w:val="continue"/>
            <w:noWrap w:val="0"/>
            <w:vAlign w:val="center"/>
          </w:tcPr>
          <w:p w14:paraId="17C5F3D1">
            <w:pPr>
              <w:ind w:firstLine="480" w:firstLineChars="200"/>
              <w:jc w:val="center"/>
              <w:rPr>
                <w:rFonts w:hint="eastAsia"/>
                <w:color w:val="000000"/>
                <w:sz w:val="24"/>
              </w:rPr>
            </w:pPr>
          </w:p>
        </w:tc>
        <w:tc>
          <w:tcPr>
            <w:tcW w:w="1153" w:type="dxa"/>
            <w:vMerge w:val="continue"/>
            <w:noWrap w:val="0"/>
            <w:vAlign w:val="center"/>
          </w:tcPr>
          <w:p w14:paraId="385A57F6">
            <w:pPr>
              <w:ind w:firstLine="480" w:firstLineChars="200"/>
              <w:jc w:val="center"/>
              <w:rPr>
                <w:rFonts w:hint="eastAsia"/>
                <w:color w:val="000000"/>
                <w:sz w:val="24"/>
              </w:rPr>
            </w:pPr>
          </w:p>
        </w:tc>
      </w:tr>
      <w:tr w14:paraId="72478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trHeight w:val="425" w:hRule="atLeast"/>
          <w:jc w:val="center"/>
        </w:trPr>
        <w:tc>
          <w:tcPr>
            <w:tcW w:w="1033" w:type="dxa"/>
            <w:noWrap w:val="0"/>
            <w:vAlign w:val="center"/>
          </w:tcPr>
          <w:p w14:paraId="57E73367">
            <w:pPr>
              <w:ind w:firstLine="480" w:firstLineChars="200"/>
              <w:jc w:val="center"/>
              <w:rPr>
                <w:rFonts w:hint="eastAsia"/>
                <w:color w:val="000000"/>
                <w:sz w:val="24"/>
              </w:rPr>
            </w:pPr>
          </w:p>
        </w:tc>
        <w:tc>
          <w:tcPr>
            <w:tcW w:w="1095" w:type="dxa"/>
            <w:noWrap w:val="0"/>
            <w:vAlign w:val="center"/>
          </w:tcPr>
          <w:p w14:paraId="3C1D5D40">
            <w:pPr>
              <w:ind w:firstLine="480" w:firstLineChars="200"/>
              <w:jc w:val="center"/>
              <w:rPr>
                <w:rFonts w:hint="eastAsia"/>
                <w:color w:val="000000"/>
                <w:sz w:val="24"/>
              </w:rPr>
            </w:pPr>
          </w:p>
        </w:tc>
        <w:tc>
          <w:tcPr>
            <w:tcW w:w="1157" w:type="dxa"/>
            <w:noWrap w:val="0"/>
            <w:vAlign w:val="center"/>
          </w:tcPr>
          <w:p w14:paraId="519FF1D8">
            <w:pPr>
              <w:ind w:firstLine="480" w:firstLineChars="200"/>
              <w:jc w:val="center"/>
              <w:rPr>
                <w:rFonts w:hint="eastAsia"/>
                <w:color w:val="000000"/>
                <w:sz w:val="24"/>
              </w:rPr>
            </w:pPr>
          </w:p>
        </w:tc>
        <w:tc>
          <w:tcPr>
            <w:tcW w:w="1157" w:type="dxa"/>
            <w:noWrap w:val="0"/>
            <w:vAlign w:val="center"/>
          </w:tcPr>
          <w:p w14:paraId="3C49C43F">
            <w:pPr>
              <w:ind w:firstLine="480" w:firstLineChars="200"/>
              <w:jc w:val="center"/>
              <w:rPr>
                <w:rFonts w:hint="eastAsia"/>
                <w:color w:val="000000"/>
                <w:sz w:val="24"/>
              </w:rPr>
            </w:pPr>
          </w:p>
        </w:tc>
        <w:tc>
          <w:tcPr>
            <w:tcW w:w="1035" w:type="dxa"/>
            <w:noWrap w:val="0"/>
            <w:vAlign w:val="center"/>
          </w:tcPr>
          <w:p w14:paraId="7BF1F44B">
            <w:pPr>
              <w:ind w:firstLine="480" w:firstLineChars="200"/>
              <w:jc w:val="center"/>
              <w:rPr>
                <w:rFonts w:hint="eastAsia"/>
                <w:color w:val="000000"/>
                <w:sz w:val="24"/>
              </w:rPr>
            </w:pPr>
          </w:p>
        </w:tc>
        <w:tc>
          <w:tcPr>
            <w:tcW w:w="1280" w:type="dxa"/>
            <w:noWrap w:val="0"/>
            <w:vAlign w:val="center"/>
          </w:tcPr>
          <w:p w14:paraId="7979955E">
            <w:pPr>
              <w:ind w:firstLine="480" w:firstLineChars="200"/>
              <w:jc w:val="center"/>
              <w:rPr>
                <w:rFonts w:hint="eastAsia"/>
                <w:color w:val="000000"/>
                <w:sz w:val="24"/>
              </w:rPr>
            </w:pPr>
          </w:p>
        </w:tc>
        <w:tc>
          <w:tcPr>
            <w:tcW w:w="1157" w:type="dxa"/>
            <w:noWrap w:val="0"/>
            <w:vAlign w:val="center"/>
          </w:tcPr>
          <w:p w14:paraId="44234A5D">
            <w:pPr>
              <w:ind w:firstLine="480" w:firstLineChars="200"/>
              <w:jc w:val="center"/>
              <w:rPr>
                <w:rFonts w:hint="eastAsia"/>
                <w:color w:val="000000"/>
                <w:sz w:val="24"/>
              </w:rPr>
            </w:pPr>
          </w:p>
        </w:tc>
        <w:tc>
          <w:tcPr>
            <w:tcW w:w="1153" w:type="dxa"/>
            <w:noWrap w:val="0"/>
            <w:vAlign w:val="center"/>
          </w:tcPr>
          <w:p w14:paraId="3703828B">
            <w:pPr>
              <w:ind w:firstLine="480" w:firstLineChars="200"/>
              <w:jc w:val="center"/>
              <w:rPr>
                <w:rFonts w:hint="eastAsia"/>
                <w:color w:val="000000"/>
                <w:sz w:val="24"/>
              </w:rPr>
            </w:pPr>
          </w:p>
        </w:tc>
      </w:tr>
    </w:tbl>
    <w:p w14:paraId="0D928373">
      <w:pPr>
        <w:spacing w:line="470" w:lineRule="exact"/>
        <w:ind w:firstLine="480" w:firstLineChars="200"/>
        <w:rPr>
          <w:rFonts w:hint="eastAsia" w:ascii="宋体" w:hAnsi="宋体"/>
          <w:sz w:val="24"/>
        </w:rPr>
      </w:pPr>
      <w:r>
        <w:rPr>
          <w:rFonts w:hint="eastAsia" w:ascii="宋体" w:hAnsi="宋体"/>
          <w:sz w:val="24"/>
        </w:rPr>
        <w:t>开采保护层时，必须对保护层本身进行瓦斯预抽，同时对被保护层的瓦斯进行预抽，达到消除突出危险性的目的。开采的上一层煤层可以作为下一煤层的保护层，但必须对上一煤层的采空区进行调查核实，并按《防治煤与瓦斯突出规定》第三章、第四章有关规定，对区域综合防突措施和局部综合防突措施效果的检验。并确定上一煤层是否还存在没有全部采完或者留有煤柱，并将调查核实情况（残留煤层或煤柱）的准确位置和尺寸准确地标注在采掘工程平面图上，被保护层的瓦斯地质图上应标出其影响范围，在这个范围内的采掘工作，必须采取综合防治突出措施。</w:t>
      </w:r>
    </w:p>
    <w:p w14:paraId="4F99C01F">
      <w:pPr>
        <w:spacing w:line="470" w:lineRule="exact"/>
        <w:ind w:firstLine="480" w:firstLineChars="200"/>
        <w:rPr>
          <w:rFonts w:ascii="宋体" w:hAnsi="宋体"/>
          <w:color w:val="000000"/>
          <w:sz w:val="24"/>
        </w:rPr>
      </w:pPr>
      <w:r>
        <w:rPr>
          <w:rFonts w:hint="eastAsia" w:ascii="宋体" w:hAnsi="宋体" w:cs="宋体"/>
          <w:color w:val="000000"/>
          <w:sz w:val="24"/>
        </w:rPr>
        <w:t>2）</w:t>
      </w:r>
      <w:r>
        <w:rPr>
          <w:rFonts w:ascii="宋体" w:hAnsi="宋体"/>
          <w:color w:val="000000"/>
          <w:sz w:val="24"/>
        </w:rPr>
        <w:t>预抽煤层瓦斯</w:t>
      </w:r>
    </w:p>
    <w:p w14:paraId="272374F3">
      <w:pPr>
        <w:spacing w:line="470" w:lineRule="exact"/>
        <w:ind w:firstLine="480" w:firstLineChars="200"/>
        <w:rPr>
          <w:rFonts w:ascii="宋体" w:hAnsi="宋体"/>
          <w:color w:val="000000"/>
          <w:sz w:val="24"/>
        </w:rPr>
      </w:pPr>
      <w:r>
        <w:rPr>
          <w:rFonts w:ascii="宋体" w:hAnsi="宋体"/>
          <w:color w:val="000000"/>
          <w:sz w:val="24"/>
        </w:rPr>
        <w:t>预抽煤层瓦斯可采用的方式有：地面井预抽煤层瓦斯以及井下穿层钻孔或顺层钻孔预抽区段煤层瓦斯、穿层钻孔预抽煤巷条带煤层瓦斯、顺层钻孔或穿层钻孔预抽回采区域煤层瓦斯、穿层钻孔预抽石门（含立、斜井等）揭煤区域煤层瓦斯、顺层钻孔预抽煤巷条带煤层瓦斯等。</w:t>
      </w:r>
    </w:p>
    <w:p w14:paraId="508B9BC0">
      <w:pPr>
        <w:spacing w:line="470" w:lineRule="exact"/>
        <w:ind w:firstLine="480" w:firstLineChars="200"/>
        <w:rPr>
          <w:rFonts w:ascii="宋体" w:hAnsi="宋体"/>
          <w:color w:val="000000"/>
          <w:sz w:val="24"/>
        </w:rPr>
      </w:pPr>
      <w:r>
        <w:rPr>
          <w:rFonts w:ascii="宋体" w:hAnsi="宋体"/>
          <w:color w:val="000000"/>
          <w:sz w:val="24"/>
        </w:rPr>
        <w:t>预抽煤层瓦斯区域防突措施应当按上述所列方式的优先顺序选取，或一并采用多种方式的预抽煤层瓦斯措施。</w:t>
      </w:r>
    </w:p>
    <w:p w14:paraId="4F7049D5">
      <w:pPr>
        <w:spacing w:line="470" w:lineRule="exact"/>
        <w:ind w:firstLine="480" w:firstLineChars="200"/>
        <w:rPr>
          <w:rFonts w:ascii="宋体" w:hAnsi="宋体"/>
          <w:color w:val="000000"/>
          <w:sz w:val="24"/>
        </w:rPr>
      </w:pPr>
      <w:r>
        <w:rPr>
          <w:rFonts w:hint="eastAsia" w:ascii="宋体" w:hAnsi="宋体"/>
          <w:color w:val="000000"/>
          <w:sz w:val="24"/>
        </w:rPr>
        <w:t xml:space="preserve">⑴ </w:t>
      </w:r>
      <w:r>
        <w:rPr>
          <w:rFonts w:ascii="宋体" w:hAnsi="宋体"/>
          <w:color w:val="000000"/>
          <w:sz w:val="24"/>
        </w:rPr>
        <w:t>采取各种方式的预抽煤层瓦斯区域防突措施时，应当符合下列要求：</w:t>
      </w:r>
    </w:p>
    <w:p w14:paraId="51F975F4">
      <w:pPr>
        <w:spacing w:line="470" w:lineRule="exact"/>
        <w:ind w:firstLine="480" w:firstLineChars="200"/>
        <w:rPr>
          <w:rFonts w:ascii="宋体" w:hAnsi="宋体"/>
          <w:color w:val="000000"/>
          <w:sz w:val="24"/>
        </w:rPr>
      </w:pPr>
      <w:r>
        <w:rPr>
          <w:rFonts w:ascii="宋体" w:hAnsi="宋体"/>
          <w:color w:val="000000"/>
          <w:sz w:val="24"/>
        </w:rPr>
        <w:t>a、穿层钻孔或顺层钻孔预抽区段煤层瓦斯区域防突措施的钻孔应当控制区段内的整个开采块段、两侧回采巷道及其外侧一定范围内的煤层。要求钻孔控制回采巷道外侧的范围是：倾斜、急倾斜煤层巷道上帮轮廓线外至少20m，下帮至少10m；其他为巷道两侧轮廓线外至少各15m。以上所述的钻孔控制范围均为沿层面的距离，以下同；</w:t>
      </w:r>
    </w:p>
    <w:p w14:paraId="48D52CD5">
      <w:pPr>
        <w:spacing w:line="470" w:lineRule="exact"/>
        <w:ind w:firstLine="480" w:firstLineChars="200"/>
        <w:rPr>
          <w:rFonts w:ascii="宋体" w:hAnsi="宋体"/>
          <w:color w:val="000000"/>
          <w:sz w:val="24"/>
        </w:rPr>
      </w:pPr>
      <w:r>
        <w:rPr>
          <w:rFonts w:ascii="宋体" w:hAnsi="宋体"/>
          <w:color w:val="000000"/>
          <w:sz w:val="24"/>
        </w:rPr>
        <w:t>b、穿层钻孔预抽煤巷条带煤层瓦斯区域防突措施的钻孔应当控制整条煤层巷道及其两侧一定范围内的煤层。该范围与本条第一项中回采巷道外侧的要求相同；</w:t>
      </w:r>
    </w:p>
    <w:p w14:paraId="3E2D3D84">
      <w:pPr>
        <w:spacing w:line="470" w:lineRule="exact"/>
        <w:ind w:firstLine="480" w:firstLineChars="200"/>
        <w:rPr>
          <w:rFonts w:ascii="宋体" w:hAnsi="宋体"/>
          <w:color w:val="000000"/>
          <w:sz w:val="24"/>
        </w:rPr>
      </w:pPr>
      <w:r>
        <w:rPr>
          <w:rFonts w:ascii="宋体" w:hAnsi="宋体"/>
          <w:color w:val="000000"/>
          <w:sz w:val="24"/>
        </w:rPr>
        <w:t>c、顺层钻孔或穿层钻孔预抽回采区域煤层瓦斯区域防突措施的钻孔应当控制整个开采块段的煤层；</w:t>
      </w:r>
    </w:p>
    <w:p w14:paraId="56F7437E">
      <w:pPr>
        <w:spacing w:line="470" w:lineRule="exact"/>
        <w:ind w:firstLine="480" w:firstLineChars="200"/>
        <w:rPr>
          <w:rFonts w:ascii="宋体" w:hAnsi="宋体"/>
          <w:color w:val="000000"/>
          <w:sz w:val="24"/>
        </w:rPr>
      </w:pPr>
      <w:r>
        <w:rPr>
          <w:rFonts w:ascii="宋体" w:hAnsi="宋体"/>
          <w:color w:val="000000"/>
          <w:sz w:val="24"/>
        </w:rPr>
        <w:t>d、穿层钻孔预抽石门（含立、斜井等）揭煤区域煤层瓦斯区域防突措施应当在揭煤工作面距煤层的最小法向距离7m以前实施（在构造破坏带应适当加大距离）。钻孔的最小控制范围是：石门和立井、斜井揭煤处巷道轮廓线外12m（急倾斜煤层底部或下帮6m），同时还应当保证控制范围的外边缘到巷道轮廓线（包括预计前方揭煤段巷道的轮廓线）的最小距离不小于5m，且当钻孔不能一次穿透煤层全厚时，应当保持煤孔最小超前距15m；</w:t>
      </w:r>
    </w:p>
    <w:p w14:paraId="6645949A">
      <w:pPr>
        <w:spacing w:line="470" w:lineRule="exact"/>
        <w:ind w:firstLine="480" w:firstLineChars="200"/>
        <w:rPr>
          <w:rFonts w:ascii="宋体" w:hAnsi="宋体"/>
          <w:color w:val="000000"/>
          <w:sz w:val="24"/>
        </w:rPr>
      </w:pPr>
      <w:r>
        <w:rPr>
          <w:rFonts w:ascii="宋体" w:hAnsi="宋体"/>
          <w:color w:val="000000"/>
          <w:sz w:val="24"/>
        </w:rPr>
        <w:t>e、顺层钻孔预抽煤巷条带煤层瓦斯区域防突措施的钻孔应控制的条带长度不小于60m，巷道两侧的控制范围与本条第一项中回采巷道外侧的要求相同；</w:t>
      </w:r>
    </w:p>
    <w:p w14:paraId="2533B169">
      <w:pPr>
        <w:spacing w:line="470" w:lineRule="exact"/>
        <w:ind w:firstLine="480" w:firstLineChars="200"/>
        <w:rPr>
          <w:rFonts w:ascii="宋体" w:hAnsi="宋体"/>
          <w:color w:val="000000"/>
          <w:sz w:val="24"/>
        </w:rPr>
      </w:pPr>
      <w:r>
        <w:rPr>
          <w:rFonts w:ascii="宋体" w:hAnsi="宋体"/>
          <w:color w:val="000000"/>
          <w:sz w:val="24"/>
        </w:rPr>
        <w:t>f、当煤巷掘进和回采工作面在预抽防突效果有效的区域内作业时，工作面距未预抽或者预抽防突效果无效范围的前方边界不得小于20m；</w:t>
      </w:r>
    </w:p>
    <w:p w14:paraId="49B7354B">
      <w:pPr>
        <w:spacing w:line="470" w:lineRule="exact"/>
        <w:ind w:firstLine="480" w:firstLineChars="200"/>
        <w:rPr>
          <w:rFonts w:ascii="宋体" w:hAnsi="宋体"/>
          <w:color w:val="000000"/>
          <w:sz w:val="24"/>
        </w:rPr>
      </w:pPr>
      <w:r>
        <w:rPr>
          <w:rFonts w:hint="eastAsia" w:ascii="宋体" w:hAnsi="宋体"/>
          <w:color w:val="000000"/>
          <w:sz w:val="24"/>
        </w:rPr>
        <w:t xml:space="preserve">⑵ </w:t>
      </w:r>
      <w:r>
        <w:rPr>
          <w:rFonts w:ascii="宋体" w:hAnsi="宋体"/>
          <w:color w:val="000000"/>
          <w:sz w:val="24"/>
        </w:rPr>
        <w:t>预抽煤层瓦斯钻孔应当在整个预抽区域内均匀布置，钻孔间距应当根据实际考察的煤层有效抽放半径确定。</w:t>
      </w:r>
    </w:p>
    <w:p w14:paraId="09628E60">
      <w:pPr>
        <w:pStyle w:val="56"/>
        <w:spacing w:before="0" w:beforeAutospacing="0" w:after="0" w:afterAutospacing="0" w:line="470" w:lineRule="exact"/>
        <w:ind w:firstLine="480" w:firstLineChars="200"/>
        <w:jc w:val="both"/>
        <w:rPr>
          <w:color w:val="000000"/>
        </w:rPr>
      </w:pPr>
      <w:r>
        <w:rPr>
          <w:color w:val="000000"/>
        </w:rPr>
        <w:t>预抽瓦斯钻孔封堵必须严密。穿层钻孔的封孔段长度不得小于5m，顺层钻孔的封孔段长度不得小于8m。</w:t>
      </w:r>
    </w:p>
    <w:p w14:paraId="4A2A2FF3">
      <w:pPr>
        <w:pStyle w:val="56"/>
        <w:spacing w:before="0" w:beforeAutospacing="0" w:after="0" w:afterAutospacing="0" w:line="470" w:lineRule="exact"/>
        <w:ind w:firstLine="480" w:firstLineChars="200"/>
        <w:jc w:val="both"/>
        <w:rPr>
          <w:color w:val="000000"/>
        </w:rPr>
      </w:pPr>
      <w:r>
        <w:rPr>
          <w:color w:val="000000"/>
        </w:rPr>
        <w:t>应当做好每个钻孔施工参数的记录及抽采参数的测定。钻孔孔口抽采负压不得小于13kPa。预抽瓦斯浓度低于30%时，应当采取改进封孔的措施，以提高封孔质量。</w:t>
      </w:r>
    </w:p>
    <w:p w14:paraId="0D357061">
      <w:pPr>
        <w:spacing w:line="470" w:lineRule="exact"/>
        <w:ind w:firstLine="480" w:firstLineChars="200"/>
        <w:rPr>
          <w:rFonts w:hint="eastAsia" w:ascii="宋体" w:hAnsi="宋体"/>
          <w:color w:val="000000"/>
          <w:sz w:val="24"/>
        </w:rPr>
      </w:pPr>
      <w:r>
        <w:rPr>
          <w:rFonts w:hint="eastAsia" w:ascii="宋体" w:hAnsi="宋体"/>
          <w:color w:val="000000"/>
          <w:sz w:val="24"/>
        </w:rPr>
        <w:t>⑶ 该矿预抽煤层瓦斯设计</w:t>
      </w:r>
    </w:p>
    <w:p w14:paraId="7F44996C">
      <w:pPr>
        <w:spacing w:line="470" w:lineRule="exact"/>
        <w:ind w:firstLine="480" w:firstLineChars="200"/>
        <w:rPr>
          <w:rFonts w:hint="eastAsia" w:ascii="宋体" w:hAnsi="宋体"/>
          <w:color w:val="000000"/>
          <w:sz w:val="24"/>
        </w:rPr>
      </w:pPr>
      <w:r>
        <w:rPr>
          <w:rFonts w:hint="eastAsia" w:ascii="宋体" w:hAnsi="宋体"/>
          <w:color w:val="000000"/>
          <w:sz w:val="24"/>
        </w:rPr>
        <w:t>该矿</w:t>
      </w:r>
      <w:r>
        <w:rPr>
          <w:rFonts w:hint="eastAsia" w:ascii="宋体" w:hAnsi="宋体"/>
          <w:sz w:val="24"/>
        </w:rPr>
        <w:t>全区可采煤层11层，编号为</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w:t>
      </w:r>
      <w:r>
        <w:rPr>
          <w:rFonts w:ascii="宋体" w:hAnsi="宋体"/>
          <w:sz w:val="24"/>
        </w:rPr>
        <w:t>-</w:t>
      </w:r>
      <w:r>
        <w:rPr>
          <w:rFonts w:hint="eastAsia" w:ascii="宋体" w:hAnsi="宋体"/>
          <w:sz w:val="24"/>
        </w:rPr>
        <w:t>a，</w:t>
      </w:r>
      <w:r>
        <w:rPr>
          <w:rFonts w:hint="eastAsia" w:ascii="宋体" w:hAnsi="宋体"/>
          <w:color w:val="000000"/>
          <w:sz w:val="24"/>
        </w:rPr>
        <w:t>为薄及中厚煤层，</w:t>
      </w:r>
      <w:r>
        <w:rPr>
          <w:rFonts w:hint="eastAsia" w:ascii="宋体" w:hAnsi="宋体"/>
          <w:snapToGrid w:val="0"/>
          <w:sz w:val="24"/>
        </w:rPr>
        <w:t>煤层平均间距分别为</w:t>
      </w:r>
      <w:r>
        <w:rPr>
          <w:rFonts w:hint="eastAsia" w:ascii="宋体" w:hAnsi="宋体"/>
          <w:color w:val="000000"/>
          <w:kern w:val="0"/>
          <w:sz w:val="24"/>
        </w:rPr>
        <w:t>10m、28m、10m、10m、30m、28m、20m、245m、25m、13m</w:t>
      </w:r>
      <w:r>
        <w:rPr>
          <w:rFonts w:hint="eastAsia" w:ascii="宋体" w:hAnsi="宋体"/>
          <w:snapToGrid w:val="0"/>
          <w:sz w:val="24"/>
        </w:rPr>
        <w:t>，煤层平均倾角30°，属倾斜煤层。</w:t>
      </w:r>
      <w:r>
        <w:rPr>
          <w:rFonts w:hint="eastAsia" w:ascii="宋体" w:hAnsi="宋体"/>
          <w:sz w:val="24"/>
        </w:rPr>
        <w:t>K35</w:t>
      </w:r>
      <w:r>
        <w:rPr>
          <w:rFonts w:ascii="宋体" w:hAnsi="宋体"/>
          <w:sz w:val="24"/>
        </w:rPr>
        <w:t>-b</w:t>
      </w:r>
      <w:r>
        <w:rPr>
          <w:rFonts w:hint="eastAsia" w:ascii="宋体" w:hAnsi="宋体"/>
          <w:snapToGrid w:val="0"/>
          <w:sz w:val="24"/>
        </w:rPr>
        <w:t>煤层与</w:t>
      </w:r>
      <w:r>
        <w:rPr>
          <w:rFonts w:hint="eastAsia" w:ascii="宋体" w:hAnsi="宋体"/>
          <w:sz w:val="24"/>
        </w:rPr>
        <w:t>K106</w:t>
      </w:r>
      <w:r>
        <w:rPr>
          <w:rFonts w:ascii="宋体" w:hAnsi="宋体"/>
          <w:sz w:val="24"/>
        </w:rPr>
        <w:t>-</w:t>
      </w:r>
      <w:r>
        <w:rPr>
          <w:rFonts w:hint="eastAsia" w:ascii="宋体" w:hAnsi="宋体"/>
          <w:sz w:val="24"/>
        </w:rPr>
        <w:t>b</w:t>
      </w:r>
      <w:r>
        <w:rPr>
          <w:rFonts w:hint="eastAsia" w:ascii="宋体" w:hAnsi="宋体"/>
          <w:snapToGrid w:val="0"/>
          <w:sz w:val="24"/>
        </w:rPr>
        <w:t>煤层之间层间距较大</w:t>
      </w:r>
      <w:r>
        <w:rPr>
          <w:rFonts w:hint="eastAsia" w:ascii="宋体" w:hAnsi="宋体"/>
          <w:color w:val="000000"/>
          <w:sz w:val="24"/>
        </w:rPr>
        <w:t>，不宜采用穿层钻孔预抽，其他煤层可根据实际情况可采取穿层钻孔预抽，因此，设计采用</w:t>
      </w:r>
      <w:r>
        <w:rPr>
          <w:rFonts w:hint="eastAsia" w:ascii="宋体" w:hAnsi="宋体" w:cs="宋体"/>
          <w:color w:val="000000"/>
          <w:sz w:val="24"/>
        </w:rPr>
        <w:t>顶板穿层钻孔预抽和</w:t>
      </w:r>
      <w:r>
        <w:rPr>
          <w:rFonts w:hint="eastAsia" w:ascii="宋体" w:hAnsi="宋体"/>
          <w:color w:val="000000"/>
          <w:sz w:val="24"/>
        </w:rPr>
        <w:t>采用顺层钻孔预抽。</w:t>
      </w:r>
    </w:p>
    <w:p w14:paraId="7B970817">
      <w:pPr>
        <w:autoSpaceDE w:val="0"/>
        <w:autoSpaceDN w:val="0"/>
        <w:adjustRightInd w:val="0"/>
        <w:spacing w:line="470" w:lineRule="exact"/>
        <w:ind w:firstLine="480" w:firstLineChars="200"/>
        <w:jc w:val="left"/>
        <w:rPr>
          <w:rFonts w:hint="eastAsia" w:ascii="宋体" w:hAnsi="宋体" w:cs="宋体"/>
          <w:color w:val="000000"/>
          <w:sz w:val="24"/>
        </w:rPr>
      </w:pPr>
      <w:r>
        <w:rPr>
          <w:rFonts w:hint="eastAsia" w:ascii="宋体" w:hAnsi="宋体"/>
          <w:color w:val="000000"/>
          <w:sz w:val="24"/>
        </w:rPr>
        <w:t>·</w:t>
      </w:r>
      <w:r>
        <w:rPr>
          <w:rFonts w:hint="eastAsia" w:ascii="宋体" w:hAnsi="宋体" w:cs="宋体"/>
          <w:color w:val="000000"/>
          <w:sz w:val="24"/>
        </w:rPr>
        <w:t>顶板穿层钻孔预抽煤层瓦斯</w:t>
      </w:r>
    </w:p>
    <w:p w14:paraId="25C817A6">
      <w:pPr>
        <w:autoSpaceDE w:val="0"/>
        <w:autoSpaceDN w:val="0"/>
        <w:adjustRightInd w:val="0"/>
        <w:spacing w:line="470" w:lineRule="exact"/>
        <w:ind w:firstLine="480" w:firstLineChars="200"/>
        <w:jc w:val="left"/>
        <w:rPr>
          <w:rFonts w:hint="eastAsia" w:ascii="宋体" w:hAnsi="宋体"/>
          <w:color w:val="000000"/>
          <w:sz w:val="24"/>
        </w:rPr>
      </w:pPr>
      <w:r>
        <w:rPr>
          <w:rFonts w:hint="eastAsia" w:ascii="宋体" w:hAnsi="宋体"/>
          <w:color w:val="000000"/>
          <w:sz w:val="24"/>
        </w:rPr>
        <w:t>开采上部煤层时，利用上部煤层回采巷道作为瓦斯抽放巷，来抽放下部煤层的瓦斯，开采</w:t>
      </w:r>
      <w:r>
        <w:rPr>
          <w:rFonts w:ascii="宋体" w:hAnsi="宋体"/>
          <w:sz w:val="24"/>
        </w:rPr>
        <w:t>K1-b</w:t>
      </w:r>
      <w:r>
        <w:rPr>
          <w:rFonts w:hint="eastAsia" w:ascii="宋体" w:hAnsi="宋体"/>
          <w:color w:val="000000"/>
          <w:sz w:val="24"/>
        </w:rPr>
        <w:t>煤层时，在</w:t>
      </w:r>
      <w:r>
        <w:rPr>
          <w:rFonts w:ascii="宋体" w:hAnsi="宋体"/>
          <w:sz w:val="24"/>
        </w:rPr>
        <w:t>K1-b</w:t>
      </w:r>
      <w:r>
        <w:rPr>
          <w:rFonts w:hint="eastAsia" w:ascii="宋体" w:hAnsi="宋体"/>
          <w:color w:val="000000"/>
          <w:sz w:val="24"/>
        </w:rPr>
        <w:t>煤层中布置钻孔，抽放K3煤层的瓦斯，依此类推，同理，也可采用此抽放方法抽放开采层上部煤层的瓦斯。</w:t>
      </w:r>
    </w:p>
    <w:p w14:paraId="6CAEFC53">
      <w:pPr>
        <w:spacing w:line="470" w:lineRule="exact"/>
        <w:ind w:left="-6" w:leftChars="-3" w:firstLine="480" w:firstLineChars="200"/>
        <w:rPr>
          <w:rFonts w:hint="eastAsia" w:ascii="宋体" w:hAnsi="宋体"/>
          <w:color w:val="000000"/>
          <w:sz w:val="24"/>
        </w:rPr>
      </w:pPr>
      <w:r>
        <w:rPr>
          <w:rFonts w:hint="eastAsia" w:ascii="宋体" w:hAnsi="宋体"/>
          <w:color w:val="000000"/>
          <w:sz w:val="24"/>
        </w:rPr>
        <w:t>钻场布置：在巷道一侧每隔40m左右施工一个钻场，钻场的规格为长×宽×高=4×2.7×2.1m，采用锚杆支护。</w:t>
      </w:r>
    </w:p>
    <w:p w14:paraId="159D7F23">
      <w:pPr>
        <w:spacing w:line="470" w:lineRule="exact"/>
        <w:ind w:left="-6" w:leftChars="-3" w:firstLine="480" w:firstLineChars="200"/>
        <w:rPr>
          <w:rFonts w:hint="eastAsia" w:ascii="宋体" w:hAnsi="宋体"/>
          <w:color w:val="000000"/>
          <w:sz w:val="24"/>
        </w:rPr>
      </w:pPr>
      <w:r>
        <w:rPr>
          <w:rFonts w:hint="eastAsia" w:ascii="宋体" w:hAnsi="宋体"/>
          <w:color w:val="000000"/>
          <w:sz w:val="24"/>
        </w:rPr>
        <w:t>钻孔布置：在每一个钻场内布置20～25个穿层抽放钻孔，钻孔深度以打穿煤层为准，现以</w:t>
      </w:r>
      <w:r>
        <w:rPr>
          <w:rFonts w:ascii="宋体" w:hAnsi="宋体"/>
          <w:sz w:val="24"/>
        </w:rPr>
        <w:t>K1-b</w:t>
      </w:r>
      <w:r>
        <w:rPr>
          <w:rFonts w:hint="eastAsia" w:ascii="宋体" w:hAnsi="宋体"/>
          <w:color w:val="000000"/>
          <w:sz w:val="24"/>
        </w:rPr>
        <w:t xml:space="preserve">煤层与K3煤层之间的钻孔布置为例，钻孔布置示意图见 </w:t>
      </w:r>
      <w:r>
        <w:rPr>
          <w:rFonts w:hint="eastAsia" w:ascii="宋体" w:hAnsi="宋体"/>
          <w:b/>
          <w:color w:val="000000"/>
          <w:sz w:val="24"/>
        </w:rPr>
        <w:t>图4－3－3</w:t>
      </w:r>
      <w:r>
        <w:rPr>
          <w:rFonts w:hint="eastAsia" w:ascii="宋体" w:hAnsi="宋体"/>
          <w:color w:val="000000"/>
          <w:sz w:val="24"/>
        </w:rPr>
        <w:t>。</w:t>
      </w:r>
    </w:p>
    <w:p w14:paraId="4CA9C5EF">
      <w:pPr>
        <w:spacing w:line="360" w:lineRule="auto"/>
        <w:jc w:val="center"/>
        <w:rPr>
          <w:rFonts w:hint="eastAsia"/>
        </w:rPr>
      </w:pPr>
      <w:r>
        <w:drawing>
          <wp:inline distT="0" distB="0" distL="114300" distR="114300">
            <wp:extent cx="5704205" cy="3761740"/>
            <wp:effectExtent l="0" t="0" r="0" b="10160"/>
            <wp:docPr id="2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3"/>
                    <pic:cNvPicPr>
                      <a:picLocks noChangeAspect="1"/>
                    </pic:cNvPicPr>
                  </pic:nvPicPr>
                  <pic:blipFill>
                    <a:blip r:embed="rId157"/>
                    <a:srcRect l="40230" t="33723" r="32654" b="29044"/>
                    <a:stretch>
                      <a:fillRect/>
                    </a:stretch>
                  </pic:blipFill>
                  <pic:spPr>
                    <a:xfrm>
                      <a:off x="0" y="0"/>
                      <a:ext cx="5704205" cy="3761740"/>
                    </a:xfrm>
                    <a:prstGeom prst="rect">
                      <a:avLst/>
                    </a:prstGeom>
                    <a:noFill/>
                    <a:ln>
                      <a:noFill/>
                    </a:ln>
                  </pic:spPr>
                </pic:pic>
              </a:graphicData>
            </a:graphic>
          </wp:inline>
        </w:drawing>
      </w:r>
    </w:p>
    <w:p w14:paraId="0A59BC85">
      <w:pPr>
        <w:spacing w:line="360" w:lineRule="auto"/>
        <w:ind w:firstLine="540"/>
        <w:jc w:val="center"/>
        <w:rPr>
          <w:rFonts w:hint="eastAsia" w:ascii="宋体" w:hAnsi="宋体"/>
          <w:b/>
          <w:color w:val="000000"/>
          <w:sz w:val="24"/>
        </w:rPr>
      </w:pPr>
      <w:r>
        <w:rPr>
          <w:rFonts w:hint="eastAsia" w:ascii="宋体" w:hAnsi="宋体"/>
          <w:b/>
          <w:color w:val="000000"/>
          <w:sz w:val="24"/>
        </w:rPr>
        <w:t>图4-3-3    穿层钻孔布置示意图</w:t>
      </w:r>
    </w:p>
    <w:p w14:paraId="7142D845">
      <w:pPr>
        <w:spacing w:line="360" w:lineRule="auto"/>
        <w:ind w:firstLine="480" w:firstLineChars="200"/>
        <w:rPr>
          <w:rFonts w:hint="eastAsia" w:ascii="宋体" w:hAnsi="宋体"/>
          <w:color w:val="000000"/>
          <w:sz w:val="24"/>
        </w:rPr>
      </w:pPr>
      <w:r>
        <w:rPr>
          <w:rFonts w:hint="eastAsia" w:ascii="宋体" w:hAnsi="宋体"/>
          <w:color w:val="000000"/>
          <w:sz w:val="24"/>
        </w:rPr>
        <w:t>·顺层钻孔预抽煤层瓦斯</w:t>
      </w:r>
    </w:p>
    <w:p w14:paraId="1DAABC64">
      <w:pPr>
        <w:pStyle w:val="130"/>
        <w:spacing w:line="360" w:lineRule="auto"/>
        <w:ind w:firstLine="480" w:firstLineChars="200"/>
        <w:rPr>
          <w:rFonts w:hint="eastAsia"/>
          <w:color w:val="000000"/>
          <w:sz w:val="24"/>
          <w:szCs w:val="24"/>
        </w:rPr>
      </w:pPr>
      <w:r>
        <w:rPr>
          <w:rFonts w:hint="eastAsia"/>
          <w:color w:val="000000"/>
          <w:sz w:val="24"/>
          <w:szCs w:val="24"/>
        </w:rPr>
        <w:t xml:space="preserve">设计在回采工作面运输顺槽实施本煤层顺层钻孔预抽。在运输顺槽沿煤层倾斜方向每隔2-3m布置一个顺层抽放钻孔，钻孔深度100-105m。回采工作面本煤层预抽钻孔布置详见 </w:t>
      </w:r>
      <w:r>
        <w:rPr>
          <w:rFonts w:hint="eastAsia"/>
          <w:b/>
          <w:color w:val="000000"/>
          <w:sz w:val="24"/>
          <w:szCs w:val="24"/>
        </w:rPr>
        <w:t>图4-3-4</w:t>
      </w:r>
      <w:r>
        <w:rPr>
          <w:rFonts w:hint="eastAsia"/>
          <w:color w:val="000000"/>
          <w:sz w:val="24"/>
          <w:szCs w:val="24"/>
        </w:rPr>
        <w:t>。</w:t>
      </w:r>
    </w:p>
    <w:p w14:paraId="4DC1ED23">
      <w:pPr>
        <w:pStyle w:val="29"/>
        <w:spacing w:line="360" w:lineRule="auto"/>
        <w:jc w:val="center"/>
        <w:rPr>
          <w:rFonts w:hint="eastAsia"/>
        </w:rPr>
      </w:pPr>
      <w:r>
        <w:drawing>
          <wp:inline distT="0" distB="0" distL="114300" distR="114300">
            <wp:extent cx="5704205" cy="3078480"/>
            <wp:effectExtent l="0" t="0" r="10795" b="7620"/>
            <wp:docPr id="2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4"/>
                    <pic:cNvPicPr>
                      <a:picLocks noChangeAspect="1"/>
                    </pic:cNvPicPr>
                  </pic:nvPicPr>
                  <pic:blipFill>
                    <a:blip r:embed="rId158"/>
                    <a:srcRect l="21906" t="7803" r="13818" b="20255"/>
                    <a:stretch>
                      <a:fillRect/>
                    </a:stretch>
                  </pic:blipFill>
                  <pic:spPr>
                    <a:xfrm>
                      <a:off x="0" y="0"/>
                      <a:ext cx="5704205" cy="3078480"/>
                    </a:xfrm>
                    <a:prstGeom prst="rect">
                      <a:avLst/>
                    </a:prstGeom>
                    <a:noFill/>
                    <a:ln>
                      <a:noFill/>
                    </a:ln>
                  </pic:spPr>
                </pic:pic>
              </a:graphicData>
            </a:graphic>
          </wp:inline>
        </w:drawing>
      </w:r>
    </w:p>
    <w:p w14:paraId="44EF4950">
      <w:pPr>
        <w:autoSpaceDE w:val="0"/>
        <w:autoSpaceDN w:val="0"/>
        <w:adjustRightInd w:val="0"/>
        <w:spacing w:line="360" w:lineRule="auto"/>
        <w:jc w:val="center"/>
        <w:rPr>
          <w:rFonts w:hint="eastAsia" w:ascii="宋体" w:hAnsi="宋体"/>
          <w:b/>
          <w:color w:val="000000"/>
          <w:sz w:val="24"/>
        </w:rPr>
      </w:pPr>
      <w:r>
        <w:rPr>
          <w:rFonts w:hint="eastAsia" w:ascii="宋体" w:hAnsi="宋体"/>
          <w:b/>
          <w:color w:val="000000"/>
          <w:sz w:val="24"/>
        </w:rPr>
        <w:t>图 4-3-4     回采工作面本煤层预抽瓦斯钻孔布置图</w:t>
      </w:r>
    </w:p>
    <w:p w14:paraId="081713FC">
      <w:pPr>
        <w:spacing w:line="360" w:lineRule="auto"/>
        <w:ind w:firstLine="480" w:firstLineChars="200"/>
        <w:rPr>
          <w:rFonts w:hint="eastAsia" w:ascii="宋体" w:hAnsi="宋体"/>
          <w:sz w:val="24"/>
        </w:rPr>
      </w:pPr>
      <w:r>
        <w:rPr>
          <w:rFonts w:hint="eastAsia" w:ascii="宋体" w:hAnsi="宋体"/>
          <w:sz w:val="24"/>
        </w:rPr>
        <w:t>（4）区域措施效果检验</w:t>
      </w:r>
    </w:p>
    <w:p w14:paraId="0B95B02F">
      <w:pPr>
        <w:pStyle w:val="56"/>
        <w:spacing w:before="0" w:beforeAutospacing="0" w:after="0" w:afterAutospacing="0" w:line="360" w:lineRule="auto"/>
        <w:ind w:firstLine="480" w:firstLineChars="200"/>
        <w:jc w:val="both"/>
        <w:rPr>
          <w:color w:val="000000"/>
        </w:rPr>
      </w:pPr>
      <w:r>
        <w:rPr>
          <w:rFonts w:hint="eastAsia"/>
          <w:color w:val="000000"/>
        </w:rPr>
        <w:t>1）</w:t>
      </w:r>
      <w:r>
        <w:rPr>
          <w:color w:val="000000"/>
        </w:rPr>
        <w:t>开采保护层的保护效果检验主要采用残余瓦斯压力、残余瓦斯含量、顶底板位移量及其他经试验（应符合</w:t>
      </w:r>
      <w:r>
        <w:t>区域突出危险性预测中第1项</w:t>
      </w:r>
      <w:r>
        <w:rPr>
          <w:color w:val="000000"/>
        </w:rPr>
        <w:t>要求的程序）证实有效的指标和方法，也可以结合煤层的透气性系数变化率等辅助指标。</w:t>
      </w:r>
    </w:p>
    <w:p w14:paraId="368614F8">
      <w:pPr>
        <w:pStyle w:val="56"/>
        <w:spacing w:before="0" w:beforeAutospacing="0" w:after="0" w:afterAutospacing="0" w:line="360" w:lineRule="auto"/>
        <w:ind w:firstLine="480" w:firstLineChars="200"/>
        <w:jc w:val="both"/>
        <w:rPr>
          <w:color w:val="000000"/>
        </w:rPr>
      </w:pPr>
      <w:r>
        <w:rPr>
          <w:color w:val="000000"/>
        </w:rPr>
        <w:t>当采用残余瓦斯压力、残余瓦斯含量检验时，应当根据实测的最大残余瓦斯压力或者最大残余瓦斯含量按（区域突出危险性预测中第2项第3小项）的方法对预计被保护区域的保护效果进行判断。若检验结果仍为突出危险区，保护效果为无效。</w:t>
      </w:r>
    </w:p>
    <w:p w14:paraId="7F9AD0F5">
      <w:pPr>
        <w:pStyle w:val="56"/>
        <w:spacing w:before="0" w:beforeAutospacing="0" w:after="0" w:afterAutospacing="0" w:line="360" w:lineRule="auto"/>
        <w:ind w:firstLine="480" w:firstLineChars="200"/>
        <w:jc w:val="both"/>
        <w:rPr>
          <w:color w:val="000000"/>
        </w:rPr>
      </w:pPr>
      <w:r>
        <w:rPr>
          <w:rFonts w:hint="eastAsia"/>
          <w:color w:val="000000"/>
        </w:rPr>
        <w:t>2）</w:t>
      </w:r>
      <w:r>
        <w:rPr>
          <w:color w:val="000000"/>
        </w:rPr>
        <w:t>采用预抽煤层瓦斯区域防突措施时，应当以预抽区域的煤层残余瓦斯压力或者残余瓦斯含量为主要指标或其他经试验（应符合区域突出危险性预测中第1项要求的程序）证实有效的指标和方法进行措施效果检验。其中，在采用残余瓦斯压力或者残余瓦斯含量指标对穿层钻孔、顺层钻孔预抽煤巷条带煤层瓦斯区域防突措施和穿层钻孔预抽石门（含立、斜井等）揭煤区域煤层瓦斯区域防突措施进行检验时，必须依据实际的直接测定值，其他方式的预抽煤层瓦斯区域防突措施可采用直接测定值或根据预抽前的瓦斯含量及抽、排瓦斯量等参数间接计算的残余瓦斯含量值。</w:t>
      </w:r>
    </w:p>
    <w:p w14:paraId="6F96A6EC">
      <w:pPr>
        <w:pStyle w:val="56"/>
        <w:spacing w:before="0" w:beforeAutospacing="0" w:after="0" w:afterAutospacing="0" w:line="360" w:lineRule="auto"/>
        <w:ind w:firstLine="480" w:firstLineChars="200"/>
        <w:jc w:val="both"/>
        <w:rPr>
          <w:color w:val="000000"/>
        </w:rPr>
      </w:pPr>
      <w:r>
        <w:rPr>
          <w:color w:val="000000"/>
        </w:rPr>
        <w:t>对穿层钻孔预抽石门（含立、斜井等）揭煤区域煤层瓦斯区域防突措施也可以参照</w:t>
      </w:r>
      <w:r>
        <w:t>（工作面突出危险性预测中第5项）的方</w:t>
      </w:r>
      <w:r>
        <w:rPr>
          <w:color w:val="000000"/>
        </w:rPr>
        <w:t>法采用钻屑瓦斯解吸指标进行措施效果检验。</w:t>
      </w:r>
    </w:p>
    <w:p w14:paraId="118671FB">
      <w:pPr>
        <w:pStyle w:val="56"/>
        <w:spacing w:before="0" w:beforeAutospacing="0" w:after="0" w:afterAutospacing="0" w:line="360" w:lineRule="auto"/>
        <w:ind w:firstLine="480" w:firstLineChars="200"/>
        <w:jc w:val="both"/>
        <w:rPr>
          <w:color w:val="000000"/>
        </w:rPr>
      </w:pPr>
      <w:r>
        <w:rPr>
          <w:color w:val="000000"/>
        </w:rPr>
        <w:t>检验期间还应当观察、记录在煤层中进行钻孔等作业时发生的喷孔、顶钻及其他突出预兆。</w:t>
      </w:r>
    </w:p>
    <w:p w14:paraId="2DCED798">
      <w:pPr>
        <w:pStyle w:val="56"/>
        <w:spacing w:before="0" w:beforeAutospacing="0" w:after="0" w:afterAutospacing="0" w:line="360" w:lineRule="auto"/>
        <w:ind w:firstLine="480" w:firstLineChars="200"/>
        <w:jc w:val="both"/>
        <w:rPr>
          <w:color w:val="000000"/>
        </w:rPr>
      </w:pPr>
      <w:r>
        <w:rPr>
          <w:rFonts w:hint="eastAsia"/>
          <w:color w:val="000000"/>
        </w:rPr>
        <w:t>3）</w:t>
      </w:r>
      <w:r>
        <w:rPr>
          <w:color w:val="000000"/>
        </w:rPr>
        <w:t>对预抽煤层瓦斯区域防突措施进行检验时，应当根据经试验考察（应符合</w:t>
      </w:r>
      <w:r>
        <w:t>区域突出危险性预测中第一项</w:t>
      </w:r>
      <w:r>
        <w:rPr>
          <w:color w:val="000000"/>
        </w:rPr>
        <w:t>要求的程序）确定的临界值进行评判。在确定前可以按照如下指标进行评判：可采用残余瓦斯压力指标进行检验，如果没有或者缺少残余瓦斯压力资料，也可根据残余瓦斯含量进行检验，并且煤层残余瓦斯压力小于0.74MPa或残余瓦斯含量小于8m</w:t>
      </w:r>
      <w:r>
        <w:rPr>
          <w:color w:val="000000"/>
          <w:vertAlign w:val="superscript"/>
        </w:rPr>
        <w:t>3</w:t>
      </w:r>
      <w:r>
        <w:rPr>
          <w:color w:val="000000"/>
        </w:rPr>
        <w:t>/t的预抽区域为无突出危险区，否则，即为突出危险区，预抽防突效果无效；也可以采用钻屑瓦斯解吸指标对穿层钻孔预抽石门（含立、斜井等）揭煤区域煤层瓦斯区域防突措施进行检验，如果所有实测的指标值均小于表4的临界值则为无突出危险区，否则，即为突出危险区，预抽防突效果无效。</w:t>
      </w:r>
    </w:p>
    <w:p w14:paraId="2F61C6EC">
      <w:pPr>
        <w:spacing w:line="360" w:lineRule="auto"/>
        <w:ind w:firstLine="480" w:firstLineChars="200"/>
        <w:rPr>
          <w:rFonts w:hint="eastAsia" w:ascii="宋体" w:hAnsi="宋体"/>
          <w:color w:val="000000"/>
          <w:sz w:val="24"/>
        </w:rPr>
      </w:pPr>
      <w:r>
        <w:rPr>
          <w:rFonts w:hint="eastAsia" w:ascii="宋体" w:hAnsi="宋体"/>
          <w:color w:val="000000"/>
          <w:sz w:val="24"/>
        </w:rPr>
        <w:t>但若检验期间在煤层中进行钻孔等作业时发现了喷孔、顶钻及其他明显突出预兆时，发生明显突出预兆的位置周围半径100m内的预抽区域判定为措施无效，所在区域煤层仍属突出危险区。</w:t>
      </w:r>
    </w:p>
    <w:p w14:paraId="3F92A07C">
      <w:pPr>
        <w:spacing w:line="360" w:lineRule="auto"/>
        <w:ind w:firstLine="480" w:firstLineChars="200"/>
        <w:rPr>
          <w:rFonts w:hint="eastAsia" w:ascii="宋体" w:hAnsi="宋体"/>
          <w:color w:val="000000"/>
          <w:sz w:val="24"/>
        </w:rPr>
      </w:pPr>
      <w:r>
        <w:rPr>
          <w:rFonts w:hint="eastAsia" w:ascii="宋体" w:hAnsi="宋体"/>
          <w:color w:val="000000"/>
          <w:sz w:val="24"/>
        </w:rPr>
        <w:t>当采用煤层残余瓦斯压力或残余瓦斯含量的直接测定值进行检验时，若任何一个检验测试点的指标测定值达到或超过了有突出危险的临界值而判定为预抽防突效果无效时，则此检验测试点周围半径100m内的预抽区域均判定为预抽防突效果无效，即为突出危险区。</w:t>
      </w:r>
    </w:p>
    <w:p w14:paraId="6195CCD6">
      <w:pPr>
        <w:spacing w:line="360" w:lineRule="auto"/>
        <w:ind w:firstLine="480" w:firstLineChars="200"/>
        <w:rPr>
          <w:rFonts w:ascii="宋体" w:hAnsi="宋体"/>
          <w:sz w:val="24"/>
        </w:rPr>
      </w:pPr>
      <w:r>
        <w:rPr>
          <w:rFonts w:hint="eastAsia" w:ascii="宋体" w:hAnsi="宋体"/>
          <w:sz w:val="24"/>
        </w:rPr>
        <w:t>4）</w:t>
      </w:r>
      <w:r>
        <w:rPr>
          <w:rFonts w:ascii="宋体" w:hAnsi="宋体"/>
          <w:sz w:val="24"/>
        </w:rPr>
        <w:t>对预抽煤层瓦斯区域防突措施进行检验时，均应当首先分析、检查预抽区域内钻孔的分布等是否符合设计要求，不符合设计要求的，不予检验。</w:t>
      </w:r>
    </w:p>
    <w:p w14:paraId="31313064">
      <w:pPr>
        <w:spacing w:line="360" w:lineRule="auto"/>
        <w:ind w:firstLine="480" w:firstLineChars="200"/>
        <w:rPr>
          <w:rFonts w:ascii="宋体" w:hAnsi="宋体"/>
          <w:sz w:val="24"/>
        </w:rPr>
      </w:pPr>
      <w:r>
        <w:rPr>
          <w:rFonts w:hint="eastAsia" w:ascii="宋体" w:hAnsi="宋体"/>
          <w:sz w:val="24"/>
        </w:rPr>
        <w:t>5）</w:t>
      </w:r>
      <w:r>
        <w:rPr>
          <w:rFonts w:ascii="宋体" w:hAnsi="宋体"/>
          <w:sz w:val="24"/>
        </w:rPr>
        <w:t>采用直接测定煤层残余瓦斯压力或残余瓦斯含量等参数进行预抽煤层瓦斯区域措施效果检验时，应当符合下列要求：</w:t>
      </w:r>
    </w:p>
    <w:p w14:paraId="66CF9AFA">
      <w:pPr>
        <w:spacing w:line="360" w:lineRule="auto"/>
        <w:ind w:firstLine="480" w:firstLineChars="200"/>
        <w:rPr>
          <w:rFonts w:ascii="宋体" w:hAnsi="宋体"/>
          <w:sz w:val="24"/>
        </w:rPr>
      </w:pPr>
      <w:r>
        <w:rPr>
          <w:rFonts w:ascii="宋体" w:hAnsi="宋体"/>
          <w:sz w:val="24"/>
        </w:rPr>
        <w:t>① 对穿层钻孔或顺层钻孔预抽区段煤层瓦斯区域防突措施进行检验时若区段宽度（两侧回采巷道间距加回采巷道外侧控制范围）未超过120m，以及对预抽回采区域煤层瓦斯区域防突措施进行检验时若回采工作面长度未超过120m，则沿回采工作面推进方向每间隔30～50m至少布置1个检验测试点；若预抽区段煤层瓦斯区域防突措施的区段宽度或预抽回采区域煤层瓦斯区域防突措施的回采工作面长度大于120m时，则在回采工作面推进方向每间隔30～50m，至少沿工作面方向布置2个检验测试点。</w:t>
      </w:r>
    </w:p>
    <w:p w14:paraId="739E52F1">
      <w:pPr>
        <w:spacing w:line="360" w:lineRule="auto"/>
        <w:ind w:firstLine="480" w:firstLineChars="200"/>
        <w:rPr>
          <w:rFonts w:ascii="宋体" w:hAnsi="宋体"/>
          <w:sz w:val="24"/>
        </w:rPr>
      </w:pPr>
      <w:r>
        <w:rPr>
          <w:rFonts w:ascii="宋体" w:hAnsi="宋体"/>
          <w:sz w:val="24"/>
        </w:rPr>
        <w:t>当预抽区段煤层瓦斯的钻孔在回采区域和煤巷条带的布置方式或参数不同时，按照预抽回采区域煤层瓦斯区域防突措施和穿层钻孔预抽煤巷条带煤层瓦斯区域防突措施的检验要求分别进行检验；</w:t>
      </w:r>
    </w:p>
    <w:p w14:paraId="374FACA1">
      <w:pPr>
        <w:pStyle w:val="56"/>
        <w:spacing w:before="0" w:beforeAutospacing="0" w:after="0" w:afterAutospacing="0" w:line="360" w:lineRule="auto"/>
        <w:ind w:firstLine="480" w:firstLineChars="200"/>
        <w:jc w:val="both"/>
        <w:rPr>
          <w:color w:val="000000"/>
        </w:rPr>
      </w:pPr>
      <w:r>
        <w:rPr>
          <w:color w:val="000000"/>
        </w:rPr>
        <w:t>② 对穿层钻孔预抽煤巷条带煤层瓦斯区域防突措施进行检验时，在煤巷条带每间隔30～50m至少布置1个检验测试点；</w:t>
      </w:r>
    </w:p>
    <w:p w14:paraId="0F77A9BA">
      <w:pPr>
        <w:pStyle w:val="56"/>
        <w:spacing w:before="0" w:beforeAutospacing="0" w:after="0" w:afterAutospacing="0" w:line="360" w:lineRule="auto"/>
        <w:ind w:firstLine="480" w:firstLineChars="200"/>
        <w:jc w:val="both"/>
        <w:rPr>
          <w:color w:val="000000"/>
        </w:rPr>
      </w:pPr>
      <w:r>
        <w:rPr>
          <w:color w:val="000000"/>
        </w:rPr>
        <w:t>③ 对穿层钻孔预抽石门（含立、斜井等）揭煤区域煤层瓦斯区域防突措施进行检验时，至少布置4个检验测试点，分别位于要求预抽区域内的上部、中部和两侧，并且至少有1个检验测试点位于要求预抽区域内距边缘不大于2m的范围；</w:t>
      </w:r>
    </w:p>
    <w:p w14:paraId="3C6DBF5E">
      <w:pPr>
        <w:pStyle w:val="56"/>
        <w:spacing w:before="0" w:beforeAutospacing="0" w:after="0" w:afterAutospacing="0" w:line="360" w:lineRule="auto"/>
        <w:ind w:firstLine="480" w:firstLineChars="200"/>
        <w:jc w:val="both"/>
        <w:rPr>
          <w:color w:val="000000"/>
        </w:rPr>
      </w:pPr>
      <w:r>
        <w:rPr>
          <w:color w:val="000000"/>
        </w:rPr>
        <w:t>④ 对顺层钻孔预抽煤巷条带煤层瓦斯区域防突措施进行检验时，在煤巷条带每间隔20～30m至少布置1个检验测试点，且每个检验区域不得少于3个检验测试点；</w:t>
      </w:r>
    </w:p>
    <w:p w14:paraId="60362364">
      <w:pPr>
        <w:spacing w:line="360" w:lineRule="auto"/>
        <w:ind w:firstLine="480" w:firstLineChars="200"/>
        <w:rPr>
          <w:rFonts w:hint="eastAsia" w:ascii="宋体" w:hAnsi="宋体"/>
          <w:color w:val="000000"/>
          <w:sz w:val="24"/>
        </w:rPr>
      </w:pPr>
      <w:r>
        <w:rPr>
          <w:rFonts w:hint="eastAsia" w:ascii="宋体" w:hAnsi="宋体" w:cs="宋体"/>
          <w:color w:val="000000"/>
          <w:sz w:val="24"/>
        </w:rPr>
        <w:t>⑤</w:t>
      </w:r>
      <w:r>
        <w:rPr>
          <w:rFonts w:ascii="宋体" w:hAnsi="宋体"/>
          <w:color w:val="000000"/>
          <w:sz w:val="24"/>
        </w:rPr>
        <w:t xml:space="preserve"> </w:t>
      </w:r>
      <w:r>
        <w:rPr>
          <w:rFonts w:hint="eastAsia" w:ascii="宋体" w:hAnsi="宋体"/>
          <w:color w:val="000000"/>
          <w:sz w:val="24"/>
        </w:rPr>
        <w:t>各检验测试点应布置于所在部位钻孔密度较小、孔间距较大、预抽时间较短的位置，并尽可能远离测试点周围的各预抽钻孔或尽可能与周围预抽钻孔保持等距离，且避开采掘巷道的排放范围和工作面的预抽超前距。在地质构造复杂区域适当增加检验测试点。</w:t>
      </w:r>
    </w:p>
    <w:p w14:paraId="16F4C950">
      <w:pPr>
        <w:spacing w:line="360" w:lineRule="auto"/>
        <w:ind w:firstLine="480" w:firstLineChars="200"/>
        <w:rPr>
          <w:rFonts w:hint="eastAsia" w:ascii="宋体" w:hAnsi="宋体"/>
          <w:color w:val="000000"/>
          <w:sz w:val="24"/>
        </w:rPr>
      </w:pPr>
      <w:r>
        <w:rPr>
          <w:rFonts w:hint="eastAsia" w:ascii="宋体" w:hAnsi="宋体" w:cs="宋体"/>
          <w:color w:val="000000"/>
          <w:sz w:val="24"/>
        </w:rPr>
        <w:t>6）</w:t>
      </w:r>
      <w:r>
        <w:rPr>
          <w:rFonts w:hint="eastAsia" w:ascii="宋体" w:hAnsi="宋体"/>
          <w:color w:val="000000"/>
          <w:sz w:val="24"/>
        </w:rPr>
        <w:t>采用间接计算的残余瓦斯含量进行预抽煤层瓦斯区域措施效果检验时，应当符合下列要求：</w:t>
      </w:r>
    </w:p>
    <w:p w14:paraId="08C79A1B">
      <w:pPr>
        <w:spacing w:line="360" w:lineRule="auto"/>
        <w:ind w:firstLine="480" w:firstLineChars="200"/>
        <w:rPr>
          <w:rFonts w:hint="eastAsia" w:ascii="宋体" w:hAnsi="宋体"/>
          <w:color w:val="000000"/>
          <w:sz w:val="24"/>
        </w:rPr>
      </w:pPr>
      <w:r>
        <w:rPr>
          <w:rFonts w:hint="eastAsia" w:ascii="宋体" w:hAnsi="宋体"/>
          <w:color w:val="000000"/>
          <w:sz w:val="24"/>
        </w:rPr>
        <w:t>① 当预抽区域内钻孔的间距和预抽时间差别较大时，根据孔间距和预抽时间划分评价单元分别计算检验指标；</w:t>
      </w:r>
    </w:p>
    <w:p w14:paraId="4FB955A2">
      <w:pPr>
        <w:pStyle w:val="56"/>
        <w:spacing w:before="0" w:beforeAutospacing="0" w:after="0" w:afterAutospacing="0" w:line="360" w:lineRule="auto"/>
        <w:ind w:firstLine="480" w:firstLineChars="200"/>
        <w:jc w:val="both"/>
        <w:rPr>
          <w:color w:val="000000"/>
        </w:rPr>
      </w:pPr>
      <w:r>
        <w:rPr>
          <w:color w:val="000000"/>
        </w:rPr>
        <w:t>② 若预抽钻孔控制边缘外侧为未采动煤体，在计算检验指标时根据不同煤层的透气性及钻孔在不同预抽时间的影响范围等情况，在钻孔控制范围边缘外适当扩大评价计算区域的煤层范围。但检验结果仅适用于预抽钻孔控制范围。</w:t>
      </w:r>
    </w:p>
    <w:p w14:paraId="510A5DE1">
      <w:pPr>
        <w:spacing w:line="360" w:lineRule="auto"/>
        <w:ind w:firstLine="480" w:firstLineChars="200"/>
        <w:rPr>
          <w:rFonts w:hint="eastAsia" w:ascii="宋体" w:hAnsi="宋体"/>
          <w:color w:val="000000"/>
          <w:sz w:val="24"/>
        </w:rPr>
      </w:pPr>
      <w:r>
        <w:rPr>
          <w:rFonts w:hint="eastAsia" w:ascii="宋体" w:hAnsi="宋体"/>
          <w:color w:val="000000"/>
          <w:sz w:val="24"/>
        </w:rPr>
        <w:t>（5）区域验证</w:t>
      </w:r>
    </w:p>
    <w:p w14:paraId="7F91F3C6">
      <w:pPr>
        <w:spacing w:line="360" w:lineRule="auto"/>
        <w:ind w:firstLine="480" w:firstLineChars="200"/>
        <w:rPr>
          <w:rFonts w:hint="eastAsia" w:ascii="宋体" w:hAnsi="宋体"/>
          <w:sz w:val="24"/>
        </w:rPr>
      </w:pPr>
      <w:r>
        <w:rPr>
          <w:rFonts w:hint="eastAsia" w:ascii="宋体" w:hAnsi="宋体" w:cs="宋体"/>
          <w:sz w:val="24"/>
        </w:rPr>
        <w:t>1）</w:t>
      </w:r>
      <w:r>
        <w:rPr>
          <w:rFonts w:hint="eastAsia" w:ascii="宋体" w:hAnsi="宋体"/>
          <w:sz w:val="24"/>
        </w:rPr>
        <w:t>在石门揭煤工作面对无突出危险区进行的区域验证，应当采用</w:t>
      </w:r>
      <w:r>
        <w:rPr>
          <w:rFonts w:ascii="宋体" w:hAnsi="宋体"/>
          <w:sz w:val="24"/>
        </w:rPr>
        <w:t>（</w:t>
      </w:r>
      <w:r>
        <w:rPr>
          <w:rFonts w:hint="eastAsia" w:ascii="宋体" w:hAnsi="宋体"/>
          <w:sz w:val="24"/>
        </w:rPr>
        <w:t>工作面突出危险性预测</w:t>
      </w:r>
      <w:r>
        <w:rPr>
          <w:rFonts w:ascii="宋体" w:hAnsi="宋体"/>
          <w:sz w:val="24"/>
        </w:rPr>
        <w:t>中</w:t>
      </w:r>
      <w:r>
        <w:rPr>
          <w:rFonts w:hint="eastAsia" w:ascii="宋体" w:hAnsi="宋体"/>
          <w:sz w:val="24"/>
        </w:rPr>
        <w:t>第3</w:t>
      </w:r>
      <w:r>
        <w:rPr>
          <w:rFonts w:ascii="宋体" w:hAnsi="宋体"/>
          <w:sz w:val="24"/>
        </w:rPr>
        <w:t>项）</w:t>
      </w:r>
      <w:r>
        <w:rPr>
          <w:rFonts w:hint="eastAsia" w:ascii="宋体" w:hAnsi="宋体"/>
          <w:sz w:val="24"/>
        </w:rPr>
        <w:t>所列的石门揭煤工作面突出危险性预测方法进行。</w:t>
      </w:r>
    </w:p>
    <w:p w14:paraId="704ECB75">
      <w:pPr>
        <w:spacing w:line="360" w:lineRule="auto"/>
        <w:ind w:firstLine="480" w:firstLineChars="200"/>
        <w:rPr>
          <w:rFonts w:hint="eastAsia" w:ascii="宋体" w:hAnsi="宋体"/>
          <w:sz w:val="24"/>
        </w:rPr>
      </w:pPr>
      <w:r>
        <w:rPr>
          <w:rFonts w:hint="eastAsia" w:ascii="宋体" w:hAnsi="宋体"/>
          <w:sz w:val="24"/>
        </w:rPr>
        <w:t>在煤巷掘进工作面和回采工作面分别采用</w:t>
      </w:r>
      <w:r>
        <w:rPr>
          <w:rFonts w:ascii="宋体" w:hAnsi="宋体"/>
          <w:sz w:val="24"/>
        </w:rPr>
        <w:t>（</w:t>
      </w:r>
      <w:r>
        <w:rPr>
          <w:rFonts w:hint="eastAsia" w:ascii="宋体" w:hAnsi="宋体"/>
          <w:sz w:val="24"/>
        </w:rPr>
        <w:t>工作面突出危险性预测</w:t>
      </w:r>
      <w:r>
        <w:rPr>
          <w:rFonts w:ascii="宋体" w:hAnsi="宋体"/>
          <w:sz w:val="24"/>
        </w:rPr>
        <w:t>中</w:t>
      </w:r>
      <w:r>
        <w:rPr>
          <w:rFonts w:hint="eastAsia" w:ascii="宋体" w:hAnsi="宋体"/>
          <w:sz w:val="24"/>
        </w:rPr>
        <w:t>第6</w:t>
      </w:r>
      <w:r>
        <w:rPr>
          <w:rFonts w:ascii="宋体" w:hAnsi="宋体"/>
          <w:sz w:val="24"/>
        </w:rPr>
        <w:t>项</w:t>
      </w:r>
      <w:r>
        <w:rPr>
          <w:rFonts w:hint="eastAsia" w:ascii="宋体" w:hAnsi="宋体"/>
          <w:sz w:val="24"/>
        </w:rPr>
        <w:t>、第10</w:t>
      </w:r>
      <w:r>
        <w:rPr>
          <w:rFonts w:ascii="宋体" w:hAnsi="宋体"/>
          <w:sz w:val="24"/>
        </w:rPr>
        <w:t>项）</w:t>
      </w:r>
      <w:r>
        <w:rPr>
          <w:rFonts w:hint="eastAsia" w:ascii="宋体" w:hAnsi="宋体"/>
          <w:sz w:val="24"/>
        </w:rPr>
        <w:t>所列的工作面预测方法对无突出危险区进行区域验证时，应当按照下列要求进行：</w:t>
      </w:r>
    </w:p>
    <w:p w14:paraId="20818238">
      <w:pPr>
        <w:spacing w:line="360" w:lineRule="auto"/>
        <w:ind w:firstLine="480" w:firstLineChars="200"/>
        <w:rPr>
          <w:rFonts w:hint="eastAsia" w:ascii="宋体" w:hAnsi="宋体"/>
          <w:color w:val="000000"/>
          <w:sz w:val="24"/>
        </w:rPr>
      </w:pPr>
      <w:r>
        <w:rPr>
          <w:rFonts w:hint="eastAsia" w:ascii="宋体" w:hAnsi="宋体" w:cs="宋体"/>
          <w:color w:val="000000"/>
          <w:sz w:val="24"/>
        </w:rPr>
        <w:t>①</w:t>
      </w:r>
      <w:r>
        <w:rPr>
          <w:rFonts w:ascii="宋体" w:hAnsi="宋体"/>
          <w:color w:val="000000"/>
          <w:sz w:val="24"/>
        </w:rPr>
        <w:t xml:space="preserve"> </w:t>
      </w:r>
      <w:r>
        <w:rPr>
          <w:rFonts w:hint="eastAsia" w:ascii="宋体" w:hAnsi="宋体"/>
          <w:color w:val="000000"/>
          <w:sz w:val="24"/>
        </w:rPr>
        <w:t>在工作面进入该区域时，立即连续进行至少两次区域验证；</w:t>
      </w:r>
    </w:p>
    <w:p w14:paraId="17D0DCDE">
      <w:pPr>
        <w:spacing w:line="360" w:lineRule="auto"/>
        <w:ind w:firstLine="480" w:firstLineChars="200"/>
        <w:rPr>
          <w:rFonts w:hint="eastAsia" w:ascii="宋体" w:hAnsi="宋体"/>
          <w:color w:val="000000"/>
          <w:sz w:val="24"/>
        </w:rPr>
      </w:pPr>
      <w:r>
        <w:rPr>
          <w:rFonts w:hint="eastAsia" w:ascii="宋体" w:hAnsi="宋体" w:cs="宋体"/>
          <w:color w:val="000000"/>
          <w:sz w:val="24"/>
        </w:rPr>
        <w:t>②</w:t>
      </w:r>
      <w:r>
        <w:rPr>
          <w:rFonts w:ascii="宋体" w:hAnsi="宋体"/>
          <w:color w:val="000000"/>
          <w:sz w:val="24"/>
        </w:rPr>
        <w:t xml:space="preserve"> </w:t>
      </w:r>
      <w:r>
        <w:rPr>
          <w:rFonts w:hint="eastAsia" w:ascii="宋体" w:hAnsi="宋体"/>
          <w:color w:val="000000"/>
          <w:sz w:val="24"/>
        </w:rPr>
        <w:t>工作面每推进10～50m（在地质构造复杂区域或采取了预抽煤层瓦斯区域防突措施以及其他必要情况时宜取小值）至少进行两次区域验证；</w:t>
      </w:r>
    </w:p>
    <w:p w14:paraId="75E0526A">
      <w:pPr>
        <w:spacing w:line="360" w:lineRule="auto"/>
        <w:ind w:firstLine="480" w:firstLineChars="200"/>
        <w:rPr>
          <w:rFonts w:hint="eastAsia" w:ascii="宋体" w:hAnsi="宋体"/>
          <w:color w:val="000000"/>
          <w:sz w:val="24"/>
        </w:rPr>
      </w:pPr>
      <w:r>
        <w:rPr>
          <w:rFonts w:hint="eastAsia" w:ascii="宋体" w:hAnsi="宋体" w:cs="宋体"/>
          <w:color w:val="000000"/>
          <w:sz w:val="24"/>
        </w:rPr>
        <w:t>③</w:t>
      </w:r>
      <w:r>
        <w:rPr>
          <w:rFonts w:ascii="宋体" w:hAnsi="宋体"/>
          <w:color w:val="000000"/>
          <w:sz w:val="24"/>
        </w:rPr>
        <w:t xml:space="preserve"> </w:t>
      </w:r>
      <w:r>
        <w:rPr>
          <w:rFonts w:hint="eastAsia" w:ascii="宋体" w:hAnsi="宋体"/>
          <w:color w:val="000000"/>
          <w:sz w:val="24"/>
        </w:rPr>
        <w:t>在构造破坏带连续进行区域验证；</w:t>
      </w:r>
    </w:p>
    <w:p w14:paraId="0CE65972">
      <w:pPr>
        <w:spacing w:line="360" w:lineRule="auto"/>
        <w:ind w:firstLine="480" w:firstLineChars="200"/>
        <w:rPr>
          <w:rFonts w:hint="eastAsia" w:ascii="宋体" w:hAnsi="宋体"/>
          <w:color w:val="000000"/>
          <w:sz w:val="24"/>
        </w:rPr>
      </w:pPr>
      <w:r>
        <w:rPr>
          <w:rFonts w:hint="eastAsia" w:ascii="宋体" w:hAnsi="宋体" w:cs="宋体"/>
          <w:color w:val="000000"/>
          <w:sz w:val="24"/>
        </w:rPr>
        <w:t>④</w:t>
      </w:r>
      <w:r>
        <w:rPr>
          <w:rFonts w:ascii="宋体" w:hAnsi="宋体"/>
          <w:color w:val="000000"/>
          <w:sz w:val="24"/>
        </w:rPr>
        <w:t xml:space="preserve"> </w:t>
      </w:r>
      <w:r>
        <w:rPr>
          <w:rFonts w:hint="eastAsia" w:ascii="宋体" w:hAnsi="宋体"/>
          <w:color w:val="000000"/>
          <w:sz w:val="24"/>
        </w:rPr>
        <w:t>在煤巷掘进工作面还应当至少打1个超前距不小于10m的超前钻孔或者采取超前物探措施，探测地质构造和观察突出预兆。</w:t>
      </w:r>
    </w:p>
    <w:p w14:paraId="6CB7C261">
      <w:pPr>
        <w:spacing w:line="360" w:lineRule="auto"/>
        <w:ind w:firstLine="480" w:firstLineChars="200"/>
        <w:rPr>
          <w:rFonts w:hint="eastAsia" w:ascii="宋体" w:hAnsi="宋体"/>
          <w:color w:val="000000"/>
          <w:sz w:val="24"/>
        </w:rPr>
      </w:pPr>
      <w:r>
        <w:rPr>
          <w:rFonts w:hint="eastAsia" w:ascii="宋体" w:hAnsi="宋体" w:cs="宋体"/>
          <w:color w:val="000000"/>
          <w:sz w:val="24"/>
        </w:rPr>
        <w:t>2）</w:t>
      </w:r>
      <w:r>
        <w:rPr>
          <w:rFonts w:hint="eastAsia" w:ascii="宋体" w:hAnsi="宋体"/>
          <w:color w:val="000000"/>
          <w:sz w:val="24"/>
        </w:rPr>
        <w:t>当区域验证为无突出危险时，应当采取安全防护措施后进行采掘作业。但若为采掘工作面在该区域进行的首次区域验证时，采掘前还应保留足够的突出预测超前距。</w:t>
      </w:r>
    </w:p>
    <w:p w14:paraId="2048E141">
      <w:pPr>
        <w:spacing w:line="360" w:lineRule="auto"/>
        <w:ind w:firstLine="480" w:firstLineChars="200"/>
        <w:rPr>
          <w:rFonts w:hint="eastAsia" w:ascii="宋体" w:hAnsi="宋体"/>
          <w:color w:val="000000"/>
          <w:sz w:val="24"/>
        </w:rPr>
      </w:pPr>
      <w:r>
        <w:rPr>
          <w:rFonts w:hint="eastAsia" w:ascii="宋体" w:hAnsi="宋体"/>
          <w:color w:val="000000"/>
          <w:sz w:val="24"/>
        </w:rPr>
        <w:t>只要有一次区域验证为有突出危险或超前钻孔等发现了突出预兆，则该区域以后的采掘作业均应当执行局部综合防突措施。</w:t>
      </w:r>
    </w:p>
    <w:p w14:paraId="49C49D21">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2、局部综合防突出措施</w:t>
      </w:r>
    </w:p>
    <w:p w14:paraId="1A9DD461">
      <w:pPr>
        <w:spacing w:line="360" w:lineRule="auto"/>
        <w:ind w:firstLine="480" w:firstLineChars="200"/>
        <w:rPr>
          <w:rFonts w:hint="eastAsia" w:ascii="宋体" w:hAnsi="宋体"/>
          <w:color w:val="000000"/>
          <w:sz w:val="24"/>
        </w:rPr>
      </w:pPr>
      <w:r>
        <w:rPr>
          <w:rFonts w:hint="eastAsia" w:ascii="宋体" w:hAnsi="宋体"/>
          <w:color w:val="000000"/>
          <w:sz w:val="24"/>
        </w:rPr>
        <w:t>（1）局部综合防突措施基本程序和要求</w:t>
      </w:r>
    </w:p>
    <w:p w14:paraId="0D9613BB">
      <w:pPr>
        <w:spacing w:line="360" w:lineRule="auto"/>
        <w:ind w:firstLine="480" w:firstLineChars="200"/>
        <w:rPr>
          <w:rFonts w:hint="eastAsia" w:ascii="宋体" w:hAnsi="宋体"/>
          <w:color w:val="000000"/>
          <w:sz w:val="24"/>
        </w:rPr>
      </w:pPr>
      <w:r>
        <w:rPr>
          <w:rFonts w:hint="eastAsia" w:ascii="宋体" w:hAnsi="宋体" w:cs="宋体"/>
          <w:color w:val="000000"/>
          <w:sz w:val="24"/>
        </w:rPr>
        <w:t>1）</w:t>
      </w:r>
      <w:r>
        <w:rPr>
          <w:rFonts w:hint="eastAsia" w:ascii="宋体" w:hAnsi="宋体"/>
          <w:color w:val="000000"/>
          <w:sz w:val="24"/>
        </w:rPr>
        <w:t>工作面突出危险性预测（以下简称工作面预测）是预测工作面煤体的突出危险性，包括石门和立井、斜井揭煤工作面、煤巷掘进工作面和采煤工作面的突出危险性预测等。工作面预测应当在工作面推进过程中进行。</w:t>
      </w:r>
    </w:p>
    <w:p w14:paraId="235FFF1A">
      <w:pPr>
        <w:pStyle w:val="56"/>
        <w:spacing w:before="0" w:beforeAutospacing="0" w:after="0" w:afterAutospacing="0" w:line="360" w:lineRule="auto"/>
        <w:ind w:firstLine="480" w:firstLineChars="200"/>
        <w:jc w:val="both"/>
        <w:rPr>
          <w:color w:val="000000"/>
        </w:rPr>
      </w:pPr>
      <w:r>
        <w:rPr>
          <w:color w:val="000000"/>
        </w:rPr>
        <w:t>采掘工作面经工作面预测后划分为突出危险工作面和无突出危险工作面。</w:t>
      </w:r>
    </w:p>
    <w:p w14:paraId="5F002528">
      <w:pPr>
        <w:pStyle w:val="56"/>
        <w:spacing w:before="0" w:beforeAutospacing="0" w:after="0" w:afterAutospacing="0" w:line="360" w:lineRule="auto"/>
        <w:ind w:firstLine="480" w:firstLineChars="200"/>
        <w:jc w:val="both"/>
        <w:rPr>
          <w:color w:val="000000"/>
        </w:rPr>
      </w:pPr>
      <w:r>
        <w:rPr>
          <w:color w:val="000000"/>
        </w:rPr>
        <w:t>未进行工作面预测的采掘工作面，应当视为突出危险工作面。</w:t>
      </w:r>
    </w:p>
    <w:p w14:paraId="46DF039C">
      <w:pPr>
        <w:pStyle w:val="56"/>
        <w:spacing w:before="0" w:beforeAutospacing="0" w:after="0" w:afterAutospacing="0" w:line="360" w:lineRule="auto"/>
        <w:ind w:firstLine="480" w:firstLineChars="200"/>
        <w:jc w:val="both"/>
        <w:rPr>
          <w:color w:val="000000"/>
        </w:rPr>
      </w:pPr>
      <w:r>
        <w:rPr>
          <w:rFonts w:hint="eastAsia"/>
          <w:color w:val="000000"/>
        </w:rPr>
        <w:t>2）</w:t>
      </w:r>
      <w:r>
        <w:rPr>
          <w:color w:val="000000"/>
        </w:rPr>
        <w:t>突出危险工作面必须采取工作面防突措施，并进行措施效果检验。经检验证实措施有效后，即判定为无突出危险工作面；当措施无效时，仍为突出危险工作面，必须采取补充防突措施，并再次进行措施效果检验，直到措施有效。</w:t>
      </w:r>
    </w:p>
    <w:p w14:paraId="38A42BAE">
      <w:pPr>
        <w:spacing w:line="360" w:lineRule="auto"/>
        <w:ind w:firstLine="480" w:firstLineChars="200"/>
        <w:rPr>
          <w:rFonts w:hint="eastAsia" w:ascii="宋体" w:hAnsi="宋体"/>
          <w:color w:val="000000"/>
          <w:sz w:val="24"/>
        </w:rPr>
      </w:pPr>
      <w:r>
        <w:rPr>
          <w:rFonts w:hint="eastAsia" w:ascii="宋体" w:hAnsi="宋体"/>
          <w:color w:val="000000"/>
          <w:sz w:val="24"/>
        </w:rPr>
        <w:t>无突出危险工作面必须在采取安全防护措施并保留足够的突出预测超前距或防突措施超前距的条件下进行采掘作业。</w:t>
      </w:r>
    </w:p>
    <w:p w14:paraId="186D8FAA">
      <w:pPr>
        <w:pStyle w:val="56"/>
        <w:spacing w:before="0" w:beforeAutospacing="0" w:after="0" w:afterAutospacing="0" w:line="360" w:lineRule="auto"/>
        <w:ind w:firstLine="480" w:firstLineChars="200"/>
        <w:jc w:val="both"/>
        <w:rPr>
          <w:color w:val="000000"/>
        </w:rPr>
      </w:pPr>
      <w:r>
        <w:rPr>
          <w:color w:val="000000"/>
        </w:rPr>
        <w:t>煤巷掘进和回采工作面应保留的最小预测超前距均为2m。</w:t>
      </w:r>
    </w:p>
    <w:p w14:paraId="31894A60">
      <w:pPr>
        <w:pStyle w:val="56"/>
        <w:spacing w:before="0" w:beforeAutospacing="0" w:after="0" w:afterAutospacing="0" w:line="360" w:lineRule="auto"/>
        <w:ind w:firstLine="480" w:firstLineChars="200"/>
        <w:jc w:val="both"/>
        <w:rPr>
          <w:color w:val="000000"/>
        </w:rPr>
      </w:pPr>
      <w:r>
        <w:rPr>
          <w:color w:val="000000"/>
        </w:rPr>
        <w:t>工作面应保留的最小防突措施超前距为：煤巷掘进工作面5m，回采工作面3m；在地质构造破坏严重地带应适当增加超前距，但煤巷掘进工作面不小于7m，回采工作面不小于5m。</w:t>
      </w:r>
    </w:p>
    <w:p w14:paraId="7C7599F9">
      <w:pPr>
        <w:pStyle w:val="23"/>
        <w:adjustRightInd w:val="0"/>
      </w:pPr>
      <w:r>
        <w:t>每次工作面防突措施施工完成后，应当绘制工作面防突措施竣工图。</w:t>
      </w:r>
    </w:p>
    <w:p w14:paraId="122BF89B">
      <w:pPr>
        <w:pStyle w:val="23"/>
        <w:adjustRightInd w:val="0"/>
      </w:pPr>
      <w:r>
        <w:rPr>
          <w:rFonts w:hint="eastAsia" w:cs="宋体"/>
        </w:rPr>
        <w:t>3）</w:t>
      </w:r>
      <w:r>
        <w:t>石门和立井、斜井揭穿突出煤层前，必须准确控制煤层层位，掌握煤层的赋存位置、形态。</w:t>
      </w:r>
    </w:p>
    <w:p w14:paraId="60DF469D">
      <w:pPr>
        <w:spacing w:line="360" w:lineRule="auto"/>
        <w:ind w:firstLine="480" w:firstLineChars="200"/>
        <w:rPr>
          <w:rFonts w:ascii="宋体" w:hAnsi="宋体"/>
          <w:sz w:val="24"/>
        </w:rPr>
      </w:pPr>
      <w:r>
        <w:rPr>
          <w:rFonts w:ascii="宋体" w:hAnsi="宋体"/>
          <w:sz w:val="24"/>
        </w:rPr>
        <w:t>在揭煤工作面掘进至距煤层最小法向距离10m之前，应当至少打两个穿透煤层全厚且进入顶（底）板不小于0.5m的前探取芯钻孔，并详细记录岩芯资料。当需要测定瓦斯压力时，前探钻孔可用作测定钻孔；若二者不能共用时，则测定钻孔应布置在该区域各钻孔见煤点间距最大的位置。</w:t>
      </w:r>
    </w:p>
    <w:p w14:paraId="2DB5C30C">
      <w:pPr>
        <w:spacing w:line="360" w:lineRule="auto"/>
        <w:ind w:firstLine="480" w:firstLineChars="200"/>
        <w:rPr>
          <w:rFonts w:ascii="宋体" w:hAnsi="宋体"/>
          <w:sz w:val="24"/>
        </w:rPr>
      </w:pPr>
      <w:r>
        <w:rPr>
          <w:rFonts w:ascii="宋体" w:hAnsi="宋体"/>
          <w:sz w:val="24"/>
        </w:rPr>
        <w:t>在地质构造复杂、岩石破碎的区域，揭煤工作面掘进至距煤层最小法向距离20m之前必须布置一定数量的前探钻孔，以保证能确切掌握煤层厚度、倾角变化、地质构造和瓦斯情况。</w:t>
      </w:r>
    </w:p>
    <w:p w14:paraId="30D0D458">
      <w:pPr>
        <w:pStyle w:val="56"/>
        <w:spacing w:before="0" w:beforeAutospacing="0" w:after="0" w:afterAutospacing="0" w:line="360" w:lineRule="auto"/>
        <w:ind w:firstLine="480" w:firstLineChars="200"/>
        <w:jc w:val="both"/>
        <w:rPr>
          <w:color w:val="000000"/>
        </w:rPr>
      </w:pPr>
      <w:r>
        <w:rPr>
          <w:color w:val="000000"/>
        </w:rPr>
        <w:t>也可用物探等手段探测煤层的层位、赋存形态和底（顶）板岩石致密性等情况。</w:t>
      </w:r>
    </w:p>
    <w:p w14:paraId="0566FD60">
      <w:pPr>
        <w:pStyle w:val="56"/>
        <w:spacing w:before="0" w:beforeAutospacing="0" w:after="0" w:afterAutospacing="0" w:line="360" w:lineRule="auto"/>
        <w:ind w:firstLine="480" w:firstLineChars="200"/>
        <w:jc w:val="both"/>
        <w:rPr>
          <w:color w:val="000000"/>
        </w:rPr>
      </w:pPr>
      <w:r>
        <w:rPr>
          <w:rFonts w:hint="eastAsia"/>
          <w:color w:val="000000"/>
        </w:rPr>
        <w:t>4）</w:t>
      </w:r>
      <w:r>
        <w:rPr>
          <w:color w:val="000000"/>
        </w:rPr>
        <w:t>石门和立井、斜井工作面从距突出煤层底（顶）板的最小法向距离5m开始到穿过煤层进入顶（底）板2m（最小法向距离）的过程均属于揭煤作业。揭煤作业前应编制揭煤的专项防突设计，报煤矿企业技术负责人批准。</w:t>
      </w:r>
    </w:p>
    <w:p w14:paraId="3825DD3B">
      <w:pPr>
        <w:pStyle w:val="56"/>
        <w:spacing w:before="0" w:beforeAutospacing="0" w:after="0" w:afterAutospacing="0" w:line="360" w:lineRule="auto"/>
        <w:ind w:firstLine="480" w:firstLineChars="200"/>
        <w:jc w:val="both"/>
        <w:rPr>
          <w:color w:val="000000"/>
        </w:rPr>
      </w:pPr>
      <w:r>
        <w:rPr>
          <w:color w:val="000000"/>
        </w:rPr>
        <w:t>揭煤作业应当具有相应技术能力的专业队伍施工，并按照下列作业程序进行：</w:t>
      </w:r>
    </w:p>
    <w:p w14:paraId="66FA4D45">
      <w:pPr>
        <w:pStyle w:val="56"/>
        <w:spacing w:before="0" w:beforeAutospacing="0" w:after="0" w:afterAutospacing="0" w:line="360" w:lineRule="auto"/>
        <w:ind w:firstLine="480" w:firstLineChars="200"/>
        <w:jc w:val="both"/>
        <w:rPr>
          <w:color w:val="000000"/>
        </w:rPr>
      </w:pPr>
      <w:r>
        <w:rPr>
          <w:color w:val="000000"/>
        </w:rPr>
        <w:t>① 探明揭煤工作面和煤层的相对位置；</w:t>
      </w:r>
    </w:p>
    <w:p w14:paraId="50ACBEF8">
      <w:pPr>
        <w:pStyle w:val="56"/>
        <w:spacing w:before="0" w:beforeAutospacing="0" w:after="0" w:afterAutospacing="0" w:line="360" w:lineRule="auto"/>
        <w:ind w:firstLine="480" w:firstLineChars="200"/>
        <w:jc w:val="both"/>
        <w:rPr>
          <w:color w:val="000000"/>
        </w:rPr>
      </w:pPr>
      <w:r>
        <w:rPr>
          <w:color w:val="000000"/>
        </w:rPr>
        <w:t>② 在与煤层保持适当距离的位置进行工作面预测（或区域验证）；</w:t>
      </w:r>
    </w:p>
    <w:p w14:paraId="579BFC76">
      <w:pPr>
        <w:pStyle w:val="56"/>
        <w:spacing w:before="0" w:beforeAutospacing="0" w:after="0" w:afterAutospacing="0" w:line="360" w:lineRule="auto"/>
        <w:ind w:firstLine="480" w:firstLineChars="200"/>
        <w:jc w:val="both"/>
        <w:rPr>
          <w:color w:val="000000"/>
        </w:rPr>
      </w:pPr>
      <w:r>
        <w:rPr>
          <w:color w:val="000000"/>
        </w:rPr>
        <w:t>③ 工作面预测（或区域验证）有突出危险时，采取工作面防突措施；</w:t>
      </w:r>
    </w:p>
    <w:p w14:paraId="3264F3AA">
      <w:pPr>
        <w:pStyle w:val="56"/>
        <w:spacing w:before="0" w:beforeAutospacing="0" w:after="0" w:afterAutospacing="0" w:line="360" w:lineRule="auto"/>
        <w:ind w:firstLine="480" w:firstLineChars="200"/>
        <w:jc w:val="both"/>
        <w:rPr>
          <w:color w:val="000000"/>
        </w:rPr>
      </w:pPr>
      <w:r>
        <w:rPr>
          <w:color w:val="000000"/>
        </w:rPr>
        <w:t>④ 实施工作面措施效果检验；</w:t>
      </w:r>
    </w:p>
    <w:p w14:paraId="4D35A7F7">
      <w:pPr>
        <w:pStyle w:val="23"/>
        <w:adjustRightInd w:val="0"/>
        <w:rPr>
          <w:rFonts w:cs="宋体"/>
        </w:rPr>
      </w:pPr>
      <w:r>
        <w:rPr>
          <w:rFonts w:cs="宋体"/>
        </w:rPr>
        <w:t>⑤ 掘进至远距离爆破揭穿煤层前的工作面位置，采用工作面预测或措施效果检验的方法进行最后验证；</w:t>
      </w:r>
    </w:p>
    <w:p w14:paraId="397978E1">
      <w:pPr>
        <w:pStyle w:val="23"/>
        <w:adjustRightInd w:val="0"/>
        <w:rPr>
          <w:rFonts w:cs="宋体"/>
        </w:rPr>
      </w:pPr>
      <w:r>
        <w:rPr>
          <w:rFonts w:cs="宋体"/>
        </w:rPr>
        <w:t>⑥ 采取安全防护措施并用远距离爆破揭开或穿过煤层；</w:t>
      </w:r>
    </w:p>
    <w:p w14:paraId="190B2688">
      <w:pPr>
        <w:pStyle w:val="23"/>
        <w:adjustRightInd w:val="0"/>
        <w:rPr>
          <w:rFonts w:cs="宋体"/>
        </w:rPr>
      </w:pPr>
      <w:r>
        <w:rPr>
          <w:rFonts w:cs="宋体"/>
        </w:rPr>
        <w:t>⑦ 在岩石巷道与煤层连接处加强支护。</w:t>
      </w:r>
    </w:p>
    <w:p w14:paraId="11D0DD1F">
      <w:pPr>
        <w:pStyle w:val="23"/>
        <w:adjustRightInd w:val="0"/>
        <w:rPr>
          <w:rFonts w:cs="宋体"/>
        </w:rPr>
      </w:pPr>
      <w:r>
        <w:rPr>
          <w:rFonts w:hint="eastAsia" w:cs="宋体"/>
        </w:rPr>
        <w:t>5）</w:t>
      </w:r>
      <w:r>
        <w:rPr>
          <w:rFonts w:cs="宋体"/>
        </w:rPr>
        <w:t>石门和立井、斜井揭煤工作面的突出危险性预测必须在距突出煤层最小法向距离5m（地质构造复杂、岩石破碎的区域，应适当加大法向距离）前进行。</w:t>
      </w:r>
    </w:p>
    <w:p w14:paraId="68567E8B">
      <w:pPr>
        <w:pStyle w:val="23"/>
        <w:adjustRightInd w:val="0"/>
      </w:pPr>
      <w:r>
        <w:rPr>
          <w:rFonts w:cs="宋体"/>
        </w:rPr>
        <w:t>在经工作面预测或措施效果检验为无突</w:t>
      </w:r>
      <w:r>
        <w:t>出危险工作面时，可掘进至远距离爆破揭穿煤层前的工作面位置，再采用工作面预测的方法进行最后验证。若经验证仍为无突出危险工作面时，则在采取安全防护措施的条件下采用远距离爆破揭穿煤层；否则，必须采取或补充工作面防突措施。</w:t>
      </w:r>
    </w:p>
    <w:p w14:paraId="268E60D2">
      <w:pPr>
        <w:pStyle w:val="23"/>
        <w:adjustRightInd w:val="0"/>
      </w:pPr>
      <w:r>
        <w:t>当工作面预测或措施效果检验为突出危险工作面时，必须采取或补充工作面防突措施，直到经措施效果检验为无突出危险工作面。</w:t>
      </w:r>
    </w:p>
    <w:p w14:paraId="6EA7F16B">
      <w:pPr>
        <w:pStyle w:val="23"/>
        <w:adjustRightInd w:val="0"/>
      </w:pPr>
      <w:r>
        <w:rPr>
          <w:rFonts w:hint="eastAsia" w:cs="宋体"/>
        </w:rPr>
        <w:t>6）</w:t>
      </w:r>
      <w:r>
        <w:t>石门和立井、斜井工作面从掘进至距突出煤层的最小法向距离5m开始，必须采用物探或钻探手段边探边掘，保证工作面到煤层的最小法向距离不小于远距离爆破揭开突出煤层前要求的最小距离。</w:t>
      </w:r>
    </w:p>
    <w:p w14:paraId="375FF863">
      <w:pPr>
        <w:pStyle w:val="56"/>
        <w:spacing w:before="0" w:beforeAutospacing="0" w:after="0" w:afterAutospacing="0" w:line="360" w:lineRule="auto"/>
        <w:ind w:firstLine="480" w:firstLineChars="200"/>
        <w:jc w:val="both"/>
        <w:rPr>
          <w:color w:val="000000"/>
        </w:rPr>
      </w:pPr>
      <w:r>
        <w:rPr>
          <w:color w:val="000000"/>
        </w:rPr>
        <w:t>采用远距离爆破揭开突出煤层时，要求石门、斜井揭煤工作面与煤层间的最小法向距离是：急倾斜煤层2m，其他煤层1.5m。要求立井揭煤工作面与煤层间的最小法向距离是：急倾斜煤层1.5m，其他煤层2m。如果岩石松软、破碎，还应适当增加法向距离。</w:t>
      </w:r>
    </w:p>
    <w:p w14:paraId="0A0FE0C2">
      <w:pPr>
        <w:spacing w:line="360" w:lineRule="auto"/>
        <w:ind w:firstLine="480" w:firstLineChars="200"/>
        <w:rPr>
          <w:rFonts w:ascii="宋体" w:hAnsi="宋体"/>
          <w:sz w:val="24"/>
        </w:rPr>
      </w:pPr>
      <w:r>
        <w:rPr>
          <w:rFonts w:hint="eastAsia" w:ascii="宋体" w:hAnsi="宋体"/>
          <w:sz w:val="24"/>
        </w:rPr>
        <w:t>7）</w:t>
      </w:r>
      <w:r>
        <w:rPr>
          <w:rFonts w:ascii="宋体" w:hAnsi="宋体"/>
          <w:sz w:val="24"/>
        </w:rPr>
        <w:t>在揭煤工作面用远距离爆破揭开突出煤层后，若未能一次揭穿至煤层顶（底）板，则仍应当按照远距离爆破的要求执行，直至完成揭煤作业全过程。</w:t>
      </w:r>
    </w:p>
    <w:p w14:paraId="69F474A6">
      <w:pPr>
        <w:spacing w:line="360" w:lineRule="auto"/>
        <w:ind w:firstLine="480" w:firstLineChars="200"/>
        <w:rPr>
          <w:rFonts w:ascii="宋体" w:hAnsi="宋体"/>
          <w:sz w:val="24"/>
        </w:rPr>
      </w:pPr>
      <w:r>
        <w:rPr>
          <w:rFonts w:hint="eastAsia" w:ascii="宋体" w:hAnsi="宋体"/>
          <w:sz w:val="24"/>
        </w:rPr>
        <w:t>8）</w:t>
      </w:r>
      <w:r>
        <w:rPr>
          <w:rFonts w:ascii="宋体" w:hAnsi="宋体"/>
          <w:sz w:val="24"/>
        </w:rPr>
        <w:t>当石门或立井、斜井揭穿厚度小于0.3m的突出煤层时，可直接用远距离爆破方式揭穿煤层。</w:t>
      </w:r>
    </w:p>
    <w:p w14:paraId="1756F05E">
      <w:pPr>
        <w:pStyle w:val="56"/>
        <w:spacing w:before="0" w:beforeAutospacing="0" w:after="0" w:afterAutospacing="0" w:line="360" w:lineRule="auto"/>
        <w:ind w:firstLine="480" w:firstLineChars="200"/>
        <w:jc w:val="both"/>
        <w:rPr>
          <w:color w:val="000000"/>
        </w:rPr>
      </w:pPr>
      <w:r>
        <w:rPr>
          <w:rFonts w:hint="eastAsia"/>
          <w:color w:val="000000"/>
        </w:rPr>
        <w:t>9）</w:t>
      </w:r>
      <w:r>
        <w:rPr>
          <w:color w:val="000000"/>
        </w:rPr>
        <w:t>突出煤层的每个煤巷掘进工作面和采煤工作面都应当编制工作面专项防突设计，报矿技术负责人批准。实施过程中当煤层赋存条件变化较大或巷道设计发生变化时，还应当作出补充或修改设计。</w:t>
      </w:r>
    </w:p>
    <w:p w14:paraId="6323E096">
      <w:pPr>
        <w:spacing w:line="360" w:lineRule="auto"/>
        <w:ind w:firstLine="480" w:firstLineChars="200"/>
        <w:rPr>
          <w:rFonts w:hint="eastAsia" w:ascii="宋体" w:hAnsi="宋体"/>
          <w:color w:val="000000"/>
          <w:sz w:val="24"/>
        </w:rPr>
      </w:pPr>
      <w:r>
        <w:rPr>
          <w:rFonts w:hint="eastAsia" w:ascii="宋体" w:hAnsi="宋体" w:cs="宋体"/>
          <w:color w:val="000000"/>
          <w:sz w:val="24"/>
        </w:rPr>
        <w:t>10）</w:t>
      </w:r>
      <w:r>
        <w:rPr>
          <w:rFonts w:hint="eastAsia" w:ascii="宋体" w:hAnsi="宋体"/>
          <w:color w:val="000000"/>
          <w:sz w:val="24"/>
        </w:rPr>
        <w:t>在实施局部综合防突措施的煤巷掘进工作面和回采工作面，若预测指标为无突出危险，则只有当上一循环的预测指标也是无突出危险时，方可确定为无突出危险工作面，并在采取安全防护措施、保留足够的预测超前距的条件下进行采掘作业；否则，仍要执行一次工作面防突措施和措施效果检验。</w:t>
      </w:r>
    </w:p>
    <w:p w14:paraId="26B62BD4">
      <w:pPr>
        <w:pStyle w:val="23"/>
        <w:adjustRightInd w:val="0"/>
        <w:rPr>
          <w:rFonts w:hint="eastAsia" w:cs="宋体"/>
        </w:rPr>
      </w:pPr>
      <w:r>
        <w:rPr>
          <w:rFonts w:hint="eastAsia" w:cs="宋体"/>
        </w:rPr>
        <w:t>（2）工作面突出危险性预测</w:t>
      </w:r>
    </w:p>
    <w:p w14:paraId="262B44F5">
      <w:pPr>
        <w:pStyle w:val="23"/>
        <w:adjustRightInd w:val="0"/>
        <w:rPr>
          <w:rFonts w:hint="eastAsia" w:cs="宋体"/>
        </w:rPr>
      </w:pPr>
      <w:r>
        <w:rPr>
          <w:rFonts w:hint="eastAsia" w:cs="宋体"/>
        </w:rPr>
        <w:t>1）对于各类工作面，除</w:t>
      </w:r>
      <w:r>
        <w:rPr>
          <w:rFonts w:cs="宋体"/>
        </w:rPr>
        <w:t>《防治煤与瓦斯突出规定》</w:t>
      </w:r>
      <w:r>
        <w:rPr>
          <w:rFonts w:hint="eastAsia" w:cs="宋体"/>
        </w:rPr>
        <w:t>载明应该或可以采用的工作面预测方法外，其他新方法的研究试验应当由具有突出危险性鉴定资质的单位进行；在试验前，应当由煤矿企业技术负责人批准。</w:t>
      </w:r>
    </w:p>
    <w:p w14:paraId="17614C84">
      <w:pPr>
        <w:pStyle w:val="23"/>
        <w:adjustRightInd w:val="0"/>
        <w:rPr>
          <w:color w:val="000000"/>
        </w:rPr>
      </w:pPr>
      <w:r>
        <w:rPr>
          <w:rFonts w:cs="宋体"/>
        </w:rPr>
        <w:t>应针对各煤层发生煤与瓦斯突出的特点和条件试验确定工作面预测的敏感指标和临界值，并作为判定工作面突出危险性的主要依据。试验应由具有突出危险性鉴定资质的单位进行，在试验前和应用前应当由煤矿企业技术负责人批</w:t>
      </w:r>
      <w:r>
        <w:rPr>
          <w:color w:val="000000"/>
        </w:rPr>
        <w:t>准。</w:t>
      </w:r>
    </w:p>
    <w:p w14:paraId="6A0853A4">
      <w:pPr>
        <w:pStyle w:val="56"/>
        <w:spacing w:before="0" w:beforeAutospacing="0" w:after="0" w:afterAutospacing="0" w:line="360" w:lineRule="auto"/>
        <w:ind w:firstLine="480" w:firstLineChars="200"/>
        <w:jc w:val="both"/>
        <w:rPr>
          <w:color w:val="000000"/>
        </w:rPr>
      </w:pPr>
      <w:r>
        <w:rPr>
          <w:rFonts w:hint="eastAsia"/>
          <w:color w:val="000000"/>
        </w:rPr>
        <w:t>2）</w:t>
      </w:r>
      <w:r>
        <w:rPr>
          <w:color w:val="000000"/>
        </w:rPr>
        <w:t>在主要采用敏感指标进行工作面预测的同时，可以根据实际条件测定一些辅助指标（如瓦斯含量、工作面瓦斯涌出量动态变化、声发射、电磁辐射、钻屑温度、煤体温度等），采用物探、钻探等手段探测前方地质构造，观察分析工作面揭露的地质构造、采掘作业及钻孔等发生的各种现象，实现工作面突出危险性的多元信息综合预测和判断。</w:t>
      </w:r>
    </w:p>
    <w:p w14:paraId="20A73325">
      <w:pPr>
        <w:pStyle w:val="56"/>
        <w:spacing w:before="0" w:beforeAutospacing="0" w:after="0" w:afterAutospacing="0" w:line="360" w:lineRule="auto"/>
        <w:ind w:firstLine="480" w:firstLineChars="200"/>
        <w:jc w:val="both"/>
        <w:rPr>
          <w:color w:val="000000"/>
        </w:rPr>
      </w:pPr>
      <w:r>
        <w:rPr>
          <w:color w:val="000000"/>
        </w:rPr>
        <w:t>工作面地质构造、采掘作业及钻孔等发生的各种现象主要有以下方面：</w:t>
      </w:r>
    </w:p>
    <w:p w14:paraId="06E77FF7">
      <w:pPr>
        <w:pStyle w:val="56"/>
        <w:spacing w:before="0" w:beforeAutospacing="0" w:after="0" w:afterAutospacing="0" w:line="360" w:lineRule="auto"/>
        <w:ind w:firstLine="480" w:firstLineChars="200"/>
        <w:jc w:val="both"/>
        <w:rPr>
          <w:color w:val="000000"/>
        </w:rPr>
      </w:pPr>
      <w:r>
        <w:rPr>
          <w:color w:val="000000"/>
        </w:rPr>
        <w:t>① 煤层的构造破坏带，包括断层、剧烈褶曲、火成岩侵入等；</w:t>
      </w:r>
    </w:p>
    <w:p w14:paraId="15487F87">
      <w:pPr>
        <w:pStyle w:val="56"/>
        <w:spacing w:before="0" w:beforeAutospacing="0" w:after="0" w:afterAutospacing="0" w:line="360" w:lineRule="auto"/>
        <w:ind w:firstLine="480" w:firstLineChars="200"/>
        <w:jc w:val="both"/>
        <w:rPr>
          <w:color w:val="000000"/>
        </w:rPr>
      </w:pPr>
      <w:r>
        <w:rPr>
          <w:color w:val="000000"/>
        </w:rPr>
        <w:t>② 煤层赋存条件急剧变化；</w:t>
      </w:r>
    </w:p>
    <w:p w14:paraId="4340FB8F">
      <w:pPr>
        <w:pStyle w:val="56"/>
        <w:spacing w:before="0" w:beforeAutospacing="0" w:after="0" w:afterAutospacing="0" w:line="360" w:lineRule="auto"/>
        <w:ind w:firstLine="480" w:firstLineChars="200"/>
        <w:jc w:val="both"/>
        <w:rPr>
          <w:color w:val="000000"/>
        </w:rPr>
      </w:pPr>
      <w:r>
        <w:rPr>
          <w:color w:val="000000"/>
        </w:rPr>
        <w:t>③ 采掘应力叠加；</w:t>
      </w:r>
    </w:p>
    <w:p w14:paraId="56C0FF0A">
      <w:pPr>
        <w:pStyle w:val="56"/>
        <w:spacing w:before="0" w:beforeAutospacing="0" w:after="0" w:afterAutospacing="0" w:line="360" w:lineRule="auto"/>
        <w:ind w:firstLine="480" w:firstLineChars="200"/>
        <w:jc w:val="both"/>
        <w:rPr>
          <w:color w:val="000000"/>
        </w:rPr>
      </w:pPr>
      <w:r>
        <w:rPr>
          <w:color w:val="000000"/>
        </w:rPr>
        <w:t>④ 工作面出现喷孔、顶钻等动力现象；</w:t>
      </w:r>
    </w:p>
    <w:p w14:paraId="3AB87FDB">
      <w:pPr>
        <w:pStyle w:val="56"/>
        <w:spacing w:before="0" w:beforeAutospacing="0" w:after="0" w:afterAutospacing="0" w:line="360" w:lineRule="auto"/>
        <w:ind w:firstLine="480" w:firstLineChars="200"/>
        <w:jc w:val="both"/>
        <w:rPr>
          <w:color w:val="000000"/>
        </w:rPr>
      </w:pPr>
      <w:r>
        <w:rPr>
          <w:color w:val="000000"/>
        </w:rPr>
        <w:t>⑤ 工作面出现明显的突出预兆。</w:t>
      </w:r>
    </w:p>
    <w:p w14:paraId="4B76C4B6">
      <w:pPr>
        <w:pStyle w:val="56"/>
        <w:spacing w:before="0" w:beforeAutospacing="0" w:after="0" w:afterAutospacing="0" w:line="360" w:lineRule="auto"/>
        <w:ind w:firstLine="480" w:firstLineChars="200"/>
        <w:jc w:val="both"/>
        <w:rPr>
          <w:color w:val="000000"/>
        </w:rPr>
      </w:pPr>
      <w:r>
        <w:rPr>
          <w:color w:val="000000"/>
        </w:rPr>
        <w:t>在突出煤层，当出现上述第④、⑤的情况时，应判定为突出危险工作面；当有上述第①、②、③的情况时，除已经实施了工作面防突措施的以外，应视为突出危险工作面并实施相关措施。</w:t>
      </w:r>
    </w:p>
    <w:p w14:paraId="23E90BCE">
      <w:pPr>
        <w:pStyle w:val="56"/>
        <w:spacing w:before="0" w:beforeAutospacing="0" w:after="0" w:afterAutospacing="0" w:line="360" w:lineRule="auto"/>
        <w:ind w:firstLine="480" w:firstLineChars="200"/>
        <w:jc w:val="both"/>
        <w:rPr>
          <w:color w:val="000000"/>
        </w:rPr>
      </w:pPr>
      <w:r>
        <w:rPr>
          <w:rFonts w:hint="eastAsia"/>
          <w:color w:val="000000"/>
        </w:rPr>
        <w:t>3）</w:t>
      </w:r>
      <w:r>
        <w:rPr>
          <w:color w:val="000000"/>
        </w:rPr>
        <w:t>石门揭煤工作面的突出危险性预测应当选用综合指标法、钻屑瓦斯解吸指标法或其他经试验证实有效的方法进行。</w:t>
      </w:r>
    </w:p>
    <w:p w14:paraId="77B4BED5">
      <w:pPr>
        <w:pStyle w:val="56"/>
        <w:spacing w:before="0" w:beforeAutospacing="0" w:after="0" w:afterAutospacing="0" w:line="360" w:lineRule="auto"/>
        <w:ind w:firstLine="480" w:firstLineChars="200"/>
        <w:jc w:val="both"/>
        <w:rPr>
          <w:color w:val="000000"/>
        </w:rPr>
      </w:pPr>
      <w:r>
        <w:rPr>
          <w:color w:val="000000"/>
        </w:rPr>
        <w:t>立井、斜井揭煤工作面的突出危险性预测按照石门揭煤工作面的各项要求和方法执行。</w:t>
      </w:r>
    </w:p>
    <w:p w14:paraId="341D85F3">
      <w:pPr>
        <w:pStyle w:val="56"/>
        <w:spacing w:before="0" w:beforeAutospacing="0" w:after="0" w:afterAutospacing="0" w:line="360" w:lineRule="auto"/>
        <w:ind w:firstLine="480" w:firstLineChars="200"/>
        <w:jc w:val="both"/>
        <w:rPr>
          <w:color w:val="000000"/>
        </w:rPr>
      </w:pPr>
      <w:r>
        <w:rPr>
          <w:rFonts w:hint="eastAsia"/>
          <w:color w:val="000000"/>
        </w:rPr>
        <w:t>4）</w:t>
      </w:r>
      <w:r>
        <w:rPr>
          <w:color w:val="000000"/>
        </w:rPr>
        <w:t>采用综合指标法预测石门揭煤工作面突出危险性时，应当由工作面向煤层的适当位置至少打3个钻孔测定煤层瓦斯压力P。近距离煤层群的层间距小于5m或层间岩石破碎时，应当测定各煤层的综合瓦斯压力。</w:t>
      </w:r>
    </w:p>
    <w:p w14:paraId="2F2669E9">
      <w:pPr>
        <w:pStyle w:val="56"/>
        <w:spacing w:before="0" w:beforeAutospacing="0" w:after="0" w:afterAutospacing="0" w:line="360" w:lineRule="auto"/>
        <w:ind w:firstLine="480" w:firstLineChars="200"/>
        <w:jc w:val="both"/>
        <w:rPr>
          <w:color w:val="000000"/>
        </w:rPr>
      </w:pPr>
      <w:r>
        <w:rPr>
          <w:color w:val="000000"/>
        </w:rPr>
        <w:t>测压钻孔在每米煤孔采一个煤样测定煤的坚固性系数f，把每个钻孔中坚固性系数最小的煤样混合后测定煤的瓦斯放散初速度Δp，则此值及所有钻孔中测定的最小坚固性系数f值作为软分层煤的瓦斯放散初速度和坚固性系数参数值。综合指标D、K的计算公式为：</w:t>
      </w:r>
    </w:p>
    <w:p w14:paraId="22720B0C">
      <w:pPr>
        <w:pStyle w:val="56"/>
        <w:spacing w:before="0" w:beforeAutospacing="0" w:after="0" w:afterAutospacing="0" w:line="360" w:lineRule="auto"/>
        <w:ind w:firstLine="480" w:firstLineChars="200"/>
        <w:jc w:val="both"/>
        <w:rPr>
          <w:color w:val="000000"/>
        </w:rPr>
      </w:pPr>
      <w:r>
        <w:rPr>
          <w:color w:val="000000"/>
        </w:rPr>
        <w:t>D=（0.0075H/f-3）×（P-0.74）   （1）</w:t>
      </w:r>
    </w:p>
    <w:p w14:paraId="16117459">
      <w:pPr>
        <w:pStyle w:val="56"/>
        <w:spacing w:before="0" w:beforeAutospacing="0" w:after="0" w:afterAutospacing="0" w:line="360" w:lineRule="auto"/>
        <w:ind w:firstLine="480" w:firstLineChars="200"/>
        <w:jc w:val="both"/>
        <w:rPr>
          <w:color w:val="000000"/>
        </w:rPr>
      </w:pPr>
      <w:r>
        <w:rPr>
          <w:color w:val="000000"/>
        </w:rPr>
        <w:t>K=△pf                          （2）</w:t>
      </w:r>
    </w:p>
    <w:p w14:paraId="5F3832CB">
      <w:pPr>
        <w:pStyle w:val="56"/>
        <w:spacing w:before="0" w:beforeAutospacing="0" w:after="0" w:afterAutospacing="0" w:line="360" w:lineRule="auto"/>
        <w:ind w:firstLine="480" w:firstLineChars="200"/>
        <w:jc w:val="both"/>
        <w:rPr>
          <w:color w:val="000000"/>
        </w:rPr>
      </w:pPr>
      <w:r>
        <w:rPr>
          <w:color w:val="000000"/>
        </w:rPr>
        <w:t>式中:D—工作面突出危险性的D综合指标；</w:t>
      </w:r>
    </w:p>
    <w:p w14:paraId="1B1392F1">
      <w:pPr>
        <w:pStyle w:val="56"/>
        <w:spacing w:before="0" w:beforeAutospacing="0" w:after="0" w:afterAutospacing="0" w:line="360" w:lineRule="auto"/>
        <w:ind w:firstLine="1080" w:firstLineChars="450"/>
        <w:jc w:val="both"/>
        <w:rPr>
          <w:rFonts w:hint="eastAsia"/>
          <w:color w:val="000000"/>
        </w:rPr>
      </w:pPr>
      <w:r>
        <w:rPr>
          <w:color w:val="000000"/>
        </w:rPr>
        <w:t>K—工作面突出危险性的K综合指标；</w:t>
      </w:r>
    </w:p>
    <w:p w14:paraId="3D77B014">
      <w:pPr>
        <w:pStyle w:val="56"/>
        <w:spacing w:before="0" w:beforeAutospacing="0" w:after="0" w:afterAutospacing="0" w:line="360" w:lineRule="auto"/>
        <w:ind w:firstLine="1080" w:firstLineChars="450"/>
        <w:jc w:val="both"/>
        <w:rPr>
          <w:rFonts w:hint="eastAsia"/>
          <w:color w:val="000000"/>
        </w:rPr>
      </w:pPr>
      <w:r>
        <w:rPr>
          <w:color w:val="000000"/>
        </w:rPr>
        <w:t>H—煤层埋藏深度，m；</w:t>
      </w:r>
    </w:p>
    <w:p w14:paraId="03756BA4">
      <w:pPr>
        <w:pStyle w:val="56"/>
        <w:spacing w:before="0" w:beforeAutospacing="0" w:after="0" w:afterAutospacing="0" w:line="360" w:lineRule="auto"/>
        <w:ind w:firstLine="1080" w:firstLineChars="450"/>
        <w:jc w:val="both"/>
        <w:rPr>
          <w:rFonts w:hint="eastAsia"/>
          <w:color w:val="000000"/>
        </w:rPr>
      </w:pPr>
      <w:r>
        <w:rPr>
          <w:color w:val="000000"/>
        </w:rPr>
        <w:t>P—煤层瓦斯压力，取各个测压钻孔实测瓦斯压力的最大值，MPa；</w:t>
      </w:r>
    </w:p>
    <w:p w14:paraId="7A584FF5">
      <w:pPr>
        <w:pStyle w:val="56"/>
        <w:spacing w:before="0" w:beforeAutospacing="0" w:after="0" w:afterAutospacing="0" w:line="360" w:lineRule="auto"/>
        <w:ind w:firstLine="1080" w:firstLineChars="450"/>
        <w:jc w:val="both"/>
        <w:rPr>
          <w:rFonts w:hint="eastAsia"/>
          <w:color w:val="000000"/>
        </w:rPr>
      </w:pPr>
      <w:r>
        <w:rPr>
          <w:color w:val="000000"/>
        </w:rPr>
        <w:t>△p—软分层煤的瓦斯放散初速度；</w:t>
      </w:r>
    </w:p>
    <w:p w14:paraId="6848079A">
      <w:pPr>
        <w:pStyle w:val="56"/>
        <w:spacing w:before="0" w:beforeAutospacing="0" w:after="0" w:afterAutospacing="0" w:line="360" w:lineRule="auto"/>
        <w:ind w:firstLine="1080" w:firstLineChars="450"/>
        <w:jc w:val="both"/>
        <w:rPr>
          <w:color w:val="000000"/>
        </w:rPr>
      </w:pPr>
      <w:r>
        <w:rPr>
          <w:color w:val="000000"/>
        </w:rPr>
        <w:t>f—软分层煤的坚固性系数。</w:t>
      </w:r>
    </w:p>
    <w:p w14:paraId="6905F58C">
      <w:pPr>
        <w:pStyle w:val="56"/>
        <w:spacing w:before="0" w:beforeAutospacing="0" w:after="0" w:afterAutospacing="0" w:line="360" w:lineRule="auto"/>
        <w:ind w:firstLine="480" w:firstLineChars="200"/>
        <w:jc w:val="both"/>
        <w:rPr>
          <w:color w:val="000000"/>
        </w:rPr>
      </w:pPr>
      <w:r>
        <w:rPr>
          <w:color w:val="000000"/>
        </w:rPr>
        <w:t>各煤层石门揭煤工作面突出预测综合指标D、K的临界值应根据试验考察确定，在确定前可暂按下表所列的临界值进行预测。</w:t>
      </w:r>
    </w:p>
    <w:p w14:paraId="37738B7E">
      <w:pPr>
        <w:pStyle w:val="56"/>
        <w:spacing w:before="0" w:beforeAutospacing="0" w:after="0" w:afterAutospacing="0" w:line="360" w:lineRule="auto"/>
        <w:jc w:val="center"/>
        <w:rPr>
          <w:color w:val="000000"/>
        </w:rPr>
      </w:pPr>
      <w:r>
        <w:rPr>
          <w:color w:val="000000"/>
        </w:rPr>
        <w:t>石门揭煤工作面突出危险性预测综合指标D、K参考临界值表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2891"/>
        <w:gridCol w:w="2918"/>
      </w:tblGrid>
      <w:tr w14:paraId="50BC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3020" w:type="dxa"/>
            <w:vMerge w:val="restart"/>
            <w:noWrap w:val="0"/>
            <w:vAlign w:val="center"/>
          </w:tcPr>
          <w:p w14:paraId="120EA0DC">
            <w:pPr>
              <w:pStyle w:val="56"/>
              <w:spacing w:before="0" w:beforeAutospacing="0" w:after="0" w:afterAutospacing="0"/>
              <w:jc w:val="center"/>
              <w:rPr>
                <w:color w:val="000000"/>
              </w:rPr>
            </w:pPr>
            <w:r>
              <w:rPr>
                <w:color w:val="000000"/>
              </w:rPr>
              <w:t>综合指标D</w:t>
            </w:r>
          </w:p>
        </w:tc>
        <w:tc>
          <w:tcPr>
            <w:tcW w:w="5809" w:type="dxa"/>
            <w:gridSpan w:val="2"/>
            <w:noWrap w:val="0"/>
            <w:vAlign w:val="center"/>
          </w:tcPr>
          <w:p w14:paraId="3FB6B79A">
            <w:pPr>
              <w:pStyle w:val="56"/>
              <w:spacing w:before="0" w:beforeAutospacing="0" w:after="0" w:afterAutospacing="0"/>
              <w:jc w:val="center"/>
              <w:rPr>
                <w:color w:val="000000"/>
              </w:rPr>
            </w:pPr>
            <w:r>
              <w:rPr>
                <w:color w:val="000000"/>
              </w:rPr>
              <w:t>综合指标K</w:t>
            </w:r>
          </w:p>
        </w:tc>
      </w:tr>
      <w:tr w14:paraId="4BA0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3020" w:type="dxa"/>
            <w:vMerge w:val="continue"/>
            <w:noWrap w:val="0"/>
            <w:vAlign w:val="center"/>
          </w:tcPr>
          <w:p w14:paraId="556B0FC7">
            <w:pPr>
              <w:pStyle w:val="56"/>
              <w:spacing w:before="0" w:beforeAutospacing="0" w:after="0" w:afterAutospacing="0"/>
              <w:jc w:val="center"/>
              <w:rPr>
                <w:color w:val="000000"/>
              </w:rPr>
            </w:pPr>
          </w:p>
        </w:tc>
        <w:tc>
          <w:tcPr>
            <w:tcW w:w="2891" w:type="dxa"/>
            <w:noWrap w:val="0"/>
            <w:vAlign w:val="center"/>
          </w:tcPr>
          <w:p w14:paraId="70C943DE">
            <w:pPr>
              <w:pStyle w:val="56"/>
              <w:spacing w:before="0" w:beforeAutospacing="0" w:after="0" w:afterAutospacing="0"/>
              <w:jc w:val="center"/>
              <w:rPr>
                <w:color w:val="000000"/>
              </w:rPr>
            </w:pPr>
            <w:r>
              <w:rPr>
                <w:color w:val="000000"/>
              </w:rPr>
              <w:t>无烟煤</w:t>
            </w:r>
          </w:p>
        </w:tc>
        <w:tc>
          <w:tcPr>
            <w:tcW w:w="2918" w:type="dxa"/>
            <w:noWrap w:val="0"/>
            <w:vAlign w:val="center"/>
          </w:tcPr>
          <w:p w14:paraId="03FEF338">
            <w:pPr>
              <w:pStyle w:val="56"/>
              <w:spacing w:before="0" w:beforeAutospacing="0" w:after="0" w:afterAutospacing="0"/>
              <w:jc w:val="center"/>
              <w:rPr>
                <w:color w:val="000000"/>
              </w:rPr>
            </w:pPr>
            <w:r>
              <w:rPr>
                <w:color w:val="000000"/>
              </w:rPr>
              <w:t>其他煤种</w:t>
            </w:r>
          </w:p>
        </w:tc>
      </w:tr>
      <w:tr w14:paraId="516C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3020" w:type="dxa"/>
            <w:noWrap w:val="0"/>
            <w:vAlign w:val="center"/>
          </w:tcPr>
          <w:p w14:paraId="16899D85">
            <w:pPr>
              <w:pStyle w:val="56"/>
              <w:spacing w:before="0" w:beforeAutospacing="0" w:after="0" w:afterAutospacing="0"/>
              <w:jc w:val="center"/>
              <w:rPr>
                <w:color w:val="000000"/>
              </w:rPr>
            </w:pPr>
            <w:r>
              <w:rPr>
                <w:color w:val="000000"/>
              </w:rPr>
              <w:t>0.25</w:t>
            </w:r>
          </w:p>
        </w:tc>
        <w:tc>
          <w:tcPr>
            <w:tcW w:w="2891" w:type="dxa"/>
            <w:noWrap w:val="0"/>
            <w:vAlign w:val="center"/>
          </w:tcPr>
          <w:p w14:paraId="0F17799D">
            <w:pPr>
              <w:pStyle w:val="56"/>
              <w:spacing w:before="0" w:beforeAutospacing="0" w:after="0" w:afterAutospacing="0"/>
              <w:jc w:val="center"/>
              <w:rPr>
                <w:color w:val="000000"/>
              </w:rPr>
            </w:pPr>
            <w:r>
              <w:rPr>
                <w:color w:val="000000"/>
              </w:rPr>
              <w:t>20</w:t>
            </w:r>
          </w:p>
        </w:tc>
        <w:tc>
          <w:tcPr>
            <w:tcW w:w="2918" w:type="dxa"/>
            <w:noWrap w:val="0"/>
            <w:vAlign w:val="center"/>
          </w:tcPr>
          <w:p w14:paraId="3E104811">
            <w:pPr>
              <w:pStyle w:val="56"/>
              <w:spacing w:before="0" w:beforeAutospacing="0" w:after="0" w:afterAutospacing="0"/>
              <w:jc w:val="center"/>
              <w:rPr>
                <w:color w:val="000000"/>
              </w:rPr>
            </w:pPr>
            <w:r>
              <w:rPr>
                <w:color w:val="000000"/>
              </w:rPr>
              <w:t>15</w:t>
            </w:r>
          </w:p>
        </w:tc>
      </w:tr>
    </w:tbl>
    <w:p w14:paraId="0CD76C68">
      <w:pPr>
        <w:pStyle w:val="56"/>
        <w:spacing w:before="0" w:beforeAutospacing="0" w:after="0" w:afterAutospacing="0" w:line="360" w:lineRule="auto"/>
        <w:ind w:firstLine="480" w:firstLineChars="200"/>
        <w:jc w:val="both"/>
        <w:rPr>
          <w:color w:val="000000"/>
        </w:rPr>
      </w:pPr>
      <w:r>
        <w:rPr>
          <w:color w:val="000000"/>
        </w:rPr>
        <w:t>当测定的综合指标D、K都小于临界值，或者指标K小于临界值且式（1）中两括号内的计算值都为负值时，若未发现其他异常情况，该工作面即为无突出危险工作面；否则，判定为突出危险工作面。</w:t>
      </w:r>
    </w:p>
    <w:p w14:paraId="499AAA9B">
      <w:pPr>
        <w:spacing w:line="360" w:lineRule="auto"/>
        <w:ind w:firstLine="480" w:firstLineChars="200"/>
        <w:rPr>
          <w:rFonts w:ascii="宋体" w:hAnsi="宋体"/>
          <w:color w:val="000000"/>
          <w:sz w:val="24"/>
        </w:rPr>
      </w:pPr>
      <w:r>
        <w:rPr>
          <w:rFonts w:hint="eastAsia" w:ascii="宋体" w:hAnsi="宋体" w:cs="宋体"/>
          <w:color w:val="000000"/>
          <w:sz w:val="24"/>
        </w:rPr>
        <w:t>5）</w:t>
      </w:r>
      <w:r>
        <w:rPr>
          <w:rFonts w:ascii="宋体" w:hAnsi="宋体"/>
          <w:color w:val="000000"/>
          <w:sz w:val="24"/>
        </w:rPr>
        <w:t>采用钻屑瓦斯解吸指标法预测石门揭煤工作面突出危险性时，由工作面向煤层的适当位置至少打3个钻孔，在钻孔钻进到煤层时每钻进1m采集一次孔口排出的粒径1～3mm的煤钻屑，测定其瓦斯解吸指标K1或</w:t>
      </w:r>
      <w:r>
        <w:rPr>
          <w:rFonts w:hint="eastAsia" w:ascii="宋体" w:hAnsi="宋体" w:cs="宋体"/>
          <w:color w:val="000000"/>
          <w:sz w:val="24"/>
        </w:rPr>
        <w:t>△</w:t>
      </w:r>
      <w:r>
        <w:rPr>
          <w:rFonts w:ascii="宋体" w:hAnsi="宋体"/>
          <w:color w:val="000000"/>
          <w:sz w:val="24"/>
        </w:rPr>
        <w:t>h2值。测定时，应考虑不同钻进工艺条件下的排渣速度。</w:t>
      </w:r>
    </w:p>
    <w:p w14:paraId="7C7431C6">
      <w:pPr>
        <w:pStyle w:val="56"/>
        <w:spacing w:before="0" w:beforeAutospacing="0" w:after="0" w:afterAutospacing="0" w:line="360" w:lineRule="auto"/>
        <w:ind w:firstLine="480" w:firstLineChars="200"/>
        <w:jc w:val="both"/>
        <w:rPr>
          <w:color w:val="000000"/>
        </w:rPr>
      </w:pPr>
      <w:r>
        <w:rPr>
          <w:color w:val="000000"/>
        </w:rPr>
        <w:t>各煤层石门揭煤工作面钻屑瓦斯解吸指标的临界值应根据试验考察确定，在确定前可暂按下表中所列的指标临界值预测突出危险性。</w:t>
      </w:r>
    </w:p>
    <w:p w14:paraId="2E82FFEF">
      <w:pPr>
        <w:pStyle w:val="56"/>
        <w:spacing w:before="0" w:beforeAutospacing="0" w:after="0" w:afterAutospacing="0" w:line="360" w:lineRule="auto"/>
        <w:jc w:val="center"/>
        <w:rPr>
          <w:color w:val="000000"/>
        </w:rPr>
      </w:pPr>
      <w:r>
        <w:rPr>
          <w:color w:val="000000"/>
        </w:rPr>
        <w:t>钻屑瓦斯解吸指标法预测石门揭煤工作面突出危险性的参考临界值表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2602"/>
        <w:gridCol w:w="4927"/>
      </w:tblGrid>
      <w:tr w14:paraId="47DC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1263" w:type="dxa"/>
            <w:noWrap w:val="0"/>
            <w:vAlign w:val="center"/>
          </w:tcPr>
          <w:p w14:paraId="6412EAC3">
            <w:pPr>
              <w:pStyle w:val="56"/>
              <w:spacing w:before="0" w:beforeAutospacing="0" w:after="0" w:afterAutospacing="0"/>
              <w:jc w:val="center"/>
              <w:rPr>
                <w:color w:val="000000"/>
              </w:rPr>
            </w:pPr>
            <w:r>
              <w:rPr>
                <w:color w:val="000000"/>
              </w:rPr>
              <w:t>煤样</w:t>
            </w:r>
          </w:p>
        </w:tc>
        <w:tc>
          <w:tcPr>
            <w:tcW w:w="2602" w:type="dxa"/>
            <w:noWrap w:val="0"/>
            <w:vAlign w:val="center"/>
          </w:tcPr>
          <w:p w14:paraId="61AFEE3A">
            <w:pPr>
              <w:pStyle w:val="56"/>
              <w:spacing w:before="0" w:beforeAutospacing="0" w:after="0" w:afterAutospacing="0"/>
              <w:jc w:val="center"/>
              <w:rPr>
                <w:color w:val="000000"/>
              </w:rPr>
            </w:pPr>
            <w:r>
              <w:rPr>
                <w:color w:val="000000"/>
              </w:rPr>
              <w:t>Δh</w:t>
            </w:r>
            <w:r>
              <w:rPr>
                <w:color w:val="000000"/>
                <w:vertAlign w:val="subscript"/>
              </w:rPr>
              <w:t>2</w:t>
            </w:r>
            <w:r>
              <w:rPr>
                <w:color w:val="000000"/>
              </w:rPr>
              <w:t>指标临界值/Pa</w:t>
            </w:r>
          </w:p>
        </w:tc>
        <w:tc>
          <w:tcPr>
            <w:tcW w:w="4927" w:type="dxa"/>
            <w:noWrap w:val="0"/>
            <w:vAlign w:val="center"/>
          </w:tcPr>
          <w:p w14:paraId="6DD969E1">
            <w:pPr>
              <w:pStyle w:val="56"/>
              <w:spacing w:before="0" w:beforeAutospacing="0" w:after="0" w:afterAutospacing="0"/>
              <w:jc w:val="center"/>
              <w:rPr>
                <w:color w:val="000000"/>
              </w:rPr>
            </w:pPr>
            <w:r>
              <w:rPr>
                <w:color w:val="000000"/>
              </w:rPr>
              <w:t>K1指标临界值/[mL•（/g•min</w:t>
            </w:r>
            <w:r>
              <w:rPr>
                <w:color w:val="000000"/>
                <w:vertAlign w:val="superscript"/>
              </w:rPr>
              <w:t>0.5</w:t>
            </w:r>
            <w:r>
              <w:rPr>
                <w:color w:val="000000"/>
              </w:rPr>
              <w:t>）</w:t>
            </w:r>
            <w:r>
              <w:rPr>
                <w:color w:val="000000"/>
                <w:vertAlign w:val="superscript"/>
              </w:rPr>
              <w:t>-1</w:t>
            </w:r>
            <w:r>
              <w:rPr>
                <w:color w:val="000000"/>
              </w:rPr>
              <w:t>]</w:t>
            </w:r>
          </w:p>
        </w:tc>
      </w:tr>
      <w:tr w14:paraId="3468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1263" w:type="dxa"/>
            <w:noWrap w:val="0"/>
            <w:vAlign w:val="center"/>
          </w:tcPr>
          <w:p w14:paraId="1E761F08">
            <w:pPr>
              <w:pStyle w:val="56"/>
              <w:spacing w:before="0" w:beforeAutospacing="0" w:after="0" w:afterAutospacing="0"/>
              <w:jc w:val="center"/>
              <w:rPr>
                <w:color w:val="000000"/>
              </w:rPr>
            </w:pPr>
            <w:r>
              <w:rPr>
                <w:color w:val="000000"/>
              </w:rPr>
              <w:t>干煤样</w:t>
            </w:r>
          </w:p>
        </w:tc>
        <w:tc>
          <w:tcPr>
            <w:tcW w:w="2602" w:type="dxa"/>
            <w:noWrap w:val="0"/>
            <w:vAlign w:val="center"/>
          </w:tcPr>
          <w:p w14:paraId="7DD085E5">
            <w:pPr>
              <w:pStyle w:val="56"/>
              <w:spacing w:before="0" w:beforeAutospacing="0" w:after="0" w:afterAutospacing="0"/>
              <w:jc w:val="center"/>
              <w:rPr>
                <w:color w:val="000000"/>
              </w:rPr>
            </w:pPr>
            <w:r>
              <w:rPr>
                <w:color w:val="000000"/>
              </w:rPr>
              <w:t>200</w:t>
            </w:r>
          </w:p>
        </w:tc>
        <w:tc>
          <w:tcPr>
            <w:tcW w:w="4927" w:type="dxa"/>
            <w:noWrap w:val="0"/>
            <w:vAlign w:val="center"/>
          </w:tcPr>
          <w:p w14:paraId="64CBD70F">
            <w:pPr>
              <w:pStyle w:val="56"/>
              <w:spacing w:before="0" w:beforeAutospacing="0" w:after="0" w:afterAutospacing="0"/>
              <w:jc w:val="center"/>
              <w:rPr>
                <w:color w:val="000000"/>
              </w:rPr>
            </w:pPr>
            <w:r>
              <w:rPr>
                <w:color w:val="000000"/>
              </w:rPr>
              <w:t>0.5</w:t>
            </w:r>
          </w:p>
        </w:tc>
      </w:tr>
      <w:tr w14:paraId="3427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1263" w:type="dxa"/>
            <w:noWrap w:val="0"/>
            <w:vAlign w:val="center"/>
          </w:tcPr>
          <w:p w14:paraId="7E407CC4">
            <w:pPr>
              <w:pStyle w:val="56"/>
              <w:spacing w:before="0" w:beforeAutospacing="0" w:after="0" w:afterAutospacing="0"/>
              <w:jc w:val="center"/>
              <w:rPr>
                <w:color w:val="000000"/>
              </w:rPr>
            </w:pPr>
            <w:r>
              <w:rPr>
                <w:color w:val="000000"/>
              </w:rPr>
              <w:t>湿煤样</w:t>
            </w:r>
          </w:p>
        </w:tc>
        <w:tc>
          <w:tcPr>
            <w:tcW w:w="2602" w:type="dxa"/>
            <w:noWrap w:val="0"/>
            <w:vAlign w:val="center"/>
          </w:tcPr>
          <w:p w14:paraId="172924DA">
            <w:pPr>
              <w:pStyle w:val="56"/>
              <w:spacing w:before="0" w:beforeAutospacing="0" w:after="0" w:afterAutospacing="0"/>
              <w:jc w:val="center"/>
              <w:rPr>
                <w:color w:val="000000"/>
              </w:rPr>
            </w:pPr>
            <w:r>
              <w:rPr>
                <w:color w:val="000000"/>
              </w:rPr>
              <w:t>160</w:t>
            </w:r>
          </w:p>
        </w:tc>
        <w:tc>
          <w:tcPr>
            <w:tcW w:w="4927" w:type="dxa"/>
            <w:noWrap w:val="0"/>
            <w:vAlign w:val="center"/>
          </w:tcPr>
          <w:p w14:paraId="06BC1A76">
            <w:pPr>
              <w:pStyle w:val="56"/>
              <w:spacing w:before="0" w:beforeAutospacing="0" w:after="0" w:afterAutospacing="0"/>
              <w:jc w:val="center"/>
              <w:rPr>
                <w:color w:val="000000"/>
              </w:rPr>
            </w:pPr>
            <w:r>
              <w:rPr>
                <w:color w:val="000000"/>
              </w:rPr>
              <w:t>0.4</w:t>
            </w:r>
          </w:p>
        </w:tc>
      </w:tr>
    </w:tbl>
    <w:p w14:paraId="7C09FF23">
      <w:pPr>
        <w:pStyle w:val="56"/>
        <w:spacing w:before="0" w:beforeAutospacing="0" w:after="0" w:afterAutospacing="0" w:line="360" w:lineRule="auto"/>
        <w:ind w:firstLine="480" w:firstLineChars="200"/>
        <w:jc w:val="both"/>
        <w:rPr>
          <w:color w:val="000000"/>
        </w:rPr>
      </w:pPr>
      <w:r>
        <w:rPr>
          <w:color w:val="000000"/>
        </w:rPr>
        <w:t>如果所有实测的指标值均小于临界值，并且未发现其他异常情况，则该工作面为无突出危险工作面；否则，为突出危险工作面。</w:t>
      </w:r>
    </w:p>
    <w:p w14:paraId="7F83E695">
      <w:pPr>
        <w:pStyle w:val="56"/>
        <w:spacing w:before="0" w:beforeAutospacing="0" w:after="0" w:afterAutospacing="0" w:line="360" w:lineRule="auto"/>
        <w:ind w:firstLine="480" w:firstLineChars="200"/>
        <w:jc w:val="both"/>
        <w:rPr>
          <w:color w:val="000000"/>
        </w:rPr>
      </w:pPr>
      <w:r>
        <w:rPr>
          <w:rFonts w:hint="eastAsia"/>
          <w:color w:val="000000"/>
        </w:rPr>
        <w:t>6）</w:t>
      </w:r>
      <w:r>
        <w:rPr>
          <w:color w:val="000000"/>
        </w:rPr>
        <w:t>可采用下列方法预测煤巷掘进工作面的突出危险性：</w:t>
      </w:r>
    </w:p>
    <w:p w14:paraId="573E319B">
      <w:pPr>
        <w:pStyle w:val="56"/>
        <w:spacing w:before="0" w:beforeAutospacing="0" w:after="0" w:afterAutospacing="0" w:line="360" w:lineRule="auto"/>
        <w:ind w:firstLine="480" w:firstLineChars="200"/>
        <w:jc w:val="both"/>
        <w:rPr>
          <w:color w:val="000000"/>
        </w:rPr>
      </w:pPr>
      <w:r>
        <w:rPr>
          <w:color w:val="000000"/>
        </w:rPr>
        <w:t>① 钻屑指标法；</w:t>
      </w:r>
    </w:p>
    <w:p w14:paraId="50C16110">
      <w:pPr>
        <w:spacing w:line="360" w:lineRule="auto"/>
        <w:ind w:firstLine="480" w:firstLineChars="200"/>
        <w:rPr>
          <w:rFonts w:ascii="宋体" w:hAnsi="宋体" w:cs="宋体"/>
          <w:color w:val="000000"/>
          <w:sz w:val="24"/>
        </w:rPr>
      </w:pPr>
      <w:r>
        <w:rPr>
          <w:rFonts w:ascii="宋体" w:hAnsi="宋体" w:cs="宋体"/>
          <w:color w:val="000000"/>
          <w:sz w:val="24"/>
        </w:rPr>
        <w:t>② 复合指标法；</w:t>
      </w:r>
    </w:p>
    <w:p w14:paraId="2415D87D">
      <w:pPr>
        <w:spacing w:line="360" w:lineRule="auto"/>
        <w:ind w:firstLine="480" w:firstLineChars="200"/>
        <w:rPr>
          <w:rFonts w:ascii="宋体" w:hAnsi="宋体" w:cs="宋体"/>
          <w:color w:val="000000"/>
          <w:sz w:val="24"/>
        </w:rPr>
      </w:pPr>
      <w:r>
        <w:rPr>
          <w:rFonts w:ascii="宋体" w:hAnsi="宋体" w:cs="宋体"/>
          <w:color w:val="000000"/>
          <w:sz w:val="24"/>
        </w:rPr>
        <w:t>③ R值指标法；</w:t>
      </w:r>
    </w:p>
    <w:p w14:paraId="7A20DBA2">
      <w:pPr>
        <w:spacing w:line="360" w:lineRule="auto"/>
        <w:ind w:firstLine="480" w:firstLineChars="200"/>
        <w:rPr>
          <w:rFonts w:ascii="宋体" w:hAnsi="宋体" w:cs="宋体"/>
          <w:color w:val="000000"/>
          <w:sz w:val="24"/>
        </w:rPr>
      </w:pPr>
      <w:r>
        <w:rPr>
          <w:rFonts w:ascii="宋体" w:hAnsi="宋体" w:cs="宋体"/>
          <w:color w:val="000000"/>
          <w:sz w:val="24"/>
        </w:rPr>
        <w:t>⑤ 其他经试验证实有效的方法。</w:t>
      </w:r>
    </w:p>
    <w:p w14:paraId="17FBBD74">
      <w:pPr>
        <w:spacing w:line="360" w:lineRule="auto"/>
        <w:ind w:firstLine="480" w:firstLineChars="200"/>
        <w:rPr>
          <w:rFonts w:ascii="宋体" w:hAnsi="宋体" w:cs="宋体"/>
          <w:color w:val="000000"/>
          <w:sz w:val="24"/>
        </w:rPr>
      </w:pPr>
      <w:r>
        <w:rPr>
          <w:rFonts w:hint="eastAsia" w:ascii="宋体" w:hAnsi="宋体" w:cs="宋体"/>
          <w:color w:val="000000"/>
          <w:sz w:val="24"/>
        </w:rPr>
        <w:t>7）</w:t>
      </w:r>
      <w:r>
        <w:rPr>
          <w:rFonts w:ascii="宋体" w:hAnsi="宋体" w:cs="宋体"/>
          <w:color w:val="000000"/>
          <w:sz w:val="24"/>
        </w:rPr>
        <w:t>采用钻屑指标法预测煤巷掘进工作面突出危险性时，在近水平、倾斜煤层工作面应向前方煤体至少施工3个、在倾斜或急倾斜煤层至少施工2个直径42mm、孔深8～10m的钻孔，测定钻屑瓦斯解吸指标和钻屑量。</w:t>
      </w:r>
    </w:p>
    <w:p w14:paraId="2AAF0B08">
      <w:pPr>
        <w:pStyle w:val="56"/>
        <w:spacing w:before="0" w:beforeAutospacing="0" w:after="0" w:afterAutospacing="0" w:line="360" w:lineRule="auto"/>
        <w:ind w:firstLine="480" w:firstLineChars="200"/>
        <w:jc w:val="both"/>
        <w:rPr>
          <w:color w:val="000000"/>
        </w:rPr>
      </w:pPr>
      <w:r>
        <w:rPr>
          <w:color w:val="000000"/>
        </w:rPr>
        <w:t>钻孔应尽可能布置在软分层中，一个钻孔位于掘进巷道断面中部，并平行于掘进方向，其他钻孔的终孔点应位于巷道断面两侧轮廓线外2～4m处。</w:t>
      </w:r>
    </w:p>
    <w:p w14:paraId="249049AA">
      <w:pPr>
        <w:pStyle w:val="56"/>
        <w:spacing w:before="0" w:beforeAutospacing="0" w:after="0" w:afterAutospacing="0" w:line="360" w:lineRule="auto"/>
        <w:ind w:firstLine="480" w:firstLineChars="200"/>
        <w:jc w:val="both"/>
        <w:rPr>
          <w:color w:val="000000"/>
        </w:rPr>
      </w:pPr>
      <w:r>
        <w:rPr>
          <w:color w:val="000000"/>
        </w:rPr>
        <w:t>钻孔每钻进1m测定该1m段的全部钻屑量S，每钻进2m至少测定一次钻屑瓦斯解吸指标K1或△h2值。</w:t>
      </w:r>
    </w:p>
    <w:p w14:paraId="72DC2456">
      <w:pPr>
        <w:pStyle w:val="56"/>
        <w:spacing w:before="0" w:beforeAutospacing="0" w:after="0" w:afterAutospacing="0" w:line="360" w:lineRule="auto"/>
        <w:ind w:firstLine="480" w:firstLineChars="200"/>
        <w:jc w:val="both"/>
        <w:rPr>
          <w:color w:val="000000"/>
        </w:rPr>
      </w:pPr>
      <w:r>
        <w:rPr>
          <w:color w:val="000000"/>
        </w:rPr>
        <w:t>各煤层采用钻屑指标法预测煤巷掘进工作面突出危险性的指标临界值应根据试验考察确定，在确定前可暂按下表的临界值确定工作面的突出危险性。</w:t>
      </w:r>
    </w:p>
    <w:p w14:paraId="2CB477B3">
      <w:pPr>
        <w:pStyle w:val="56"/>
        <w:spacing w:before="0" w:beforeAutospacing="0" w:after="0" w:afterAutospacing="0" w:line="360" w:lineRule="auto"/>
        <w:jc w:val="center"/>
        <w:rPr>
          <w:color w:val="000000"/>
        </w:rPr>
      </w:pPr>
      <w:r>
        <w:rPr>
          <w:color w:val="000000"/>
        </w:rPr>
        <w:t>钻屑指标法预测煤巷掘进工作面突出危险性的参考临界值表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2586"/>
        <w:gridCol w:w="1764"/>
        <w:gridCol w:w="1506"/>
      </w:tblGrid>
      <w:tr w14:paraId="4B52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976" w:type="dxa"/>
            <w:vMerge w:val="restart"/>
            <w:noWrap w:val="0"/>
            <w:vAlign w:val="center"/>
          </w:tcPr>
          <w:p w14:paraId="7F517B5E">
            <w:pPr>
              <w:pStyle w:val="56"/>
              <w:spacing w:before="0" w:beforeAutospacing="0" w:after="0" w:afterAutospacing="0"/>
              <w:jc w:val="center"/>
              <w:rPr>
                <w:color w:val="000000"/>
              </w:rPr>
            </w:pPr>
            <w:r>
              <w:rPr>
                <w:color w:val="000000"/>
              </w:rPr>
              <w:t>钻屑瓦斯解吸指标Δh</w:t>
            </w:r>
            <w:r>
              <w:rPr>
                <w:color w:val="000000"/>
                <w:vertAlign w:val="subscript"/>
              </w:rPr>
              <w:t>2</w:t>
            </w:r>
            <w:r>
              <w:rPr>
                <w:color w:val="000000"/>
              </w:rPr>
              <w:t>/Pa</w:t>
            </w:r>
          </w:p>
        </w:tc>
        <w:tc>
          <w:tcPr>
            <w:tcW w:w="2586" w:type="dxa"/>
            <w:vMerge w:val="restart"/>
            <w:noWrap w:val="0"/>
            <w:vAlign w:val="center"/>
          </w:tcPr>
          <w:p w14:paraId="73068974">
            <w:pPr>
              <w:pStyle w:val="56"/>
              <w:spacing w:before="0" w:beforeAutospacing="0" w:after="0" w:afterAutospacing="0"/>
              <w:jc w:val="center"/>
              <w:rPr>
                <w:color w:val="000000"/>
              </w:rPr>
            </w:pPr>
            <w:r>
              <w:rPr>
                <w:color w:val="000000"/>
              </w:rPr>
              <w:t>钻屑瓦斯解吸指标K</w:t>
            </w:r>
            <w:r>
              <w:rPr>
                <w:color w:val="000000"/>
                <w:vertAlign w:val="subscript"/>
              </w:rPr>
              <w:t>1</w:t>
            </w:r>
            <w:r>
              <w:rPr>
                <w:color w:val="000000"/>
              </w:rPr>
              <w:t>/</w:t>
            </w:r>
          </w:p>
          <w:p w14:paraId="4D444FFA">
            <w:pPr>
              <w:pStyle w:val="56"/>
              <w:spacing w:before="0" w:beforeAutospacing="0" w:after="0" w:afterAutospacing="0"/>
              <w:jc w:val="center"/>
              <w:rPr>
                <w:color w:val="000000"/>
              </w:rPr>
            </w:pPr>
            <w:r>
              <w:rPr>
                <w:color w:val="000000"/>
              </w:rPr>
              <w:t>[mL•（/g•min</w:t>
            </w:r>
            <w:r>
              <w:rPr>
                <w:color w:val="000000"/>
                <w:vertAlign w:val="superscript"/>
              </w:rPr>
              <w:t>0.5</w:t>
            </w:r>
            <w:r>
              <w:rPr>
                <w:color w:val="000000"/>
              </w:rPr>
              <w:t>）</w:t>
            </w:r>
            <w:r>
              <w:rPr>
                <w:color w:val="000000"/>
                <w:vertAlign w:val="superscript"/>
              </w:rPr>
              <w:t>-1</w:t>
            </w:r>
            <w:r>
              <w:rPr>
                <w:color w:val="000000"/>
              </w:rPr>
              <w:t>]</w:t>
            </w:r>
          </w:p>
        </w:tc>
        <w:tc>
          <w:tcPr>
            <w:tcW w:w="3270" w:type="dxa"/>
            <w:gridSpan w:val="2"/>
            <w:noWrap w:val="0"/>
            <w:vAlign w:val="center"/>
          </w:tcPr>
          <w:p w14:paraId="2E273C97">
            <w:pPr>
              <w:pStyle w:val="56"/>
              <w:spacing w:before="0" w:beforeAutospacing="0" w:after="0" w:afterAutospacing="0"/>
              <w:jc w:val="center"/>
              <w:rPr>
                <w:color w:val="000000"/>
              </w:rPr>
            </w:pPr>
            <w:r>
              <w:rPr>
                <w:color w:val="000000"/>
              </w:rPr>
              <w:t>钻屑量S/</w:t>
            </w:r>
          </w:p>
        </w:tc>
      </w:tr>
      <w:tr w14:paraId="765A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976" w:type="dxa"/>
            <w:vMerge w:val="continue"/>
            <w:noWrap w:val="0"/>
            <w:vAlign w:val="center"/>
          </w:tcPr>
          <w:p w14:paraId="1C4986F4">
            <w:pPr>
              <w:pStyle w:val="56"/>
              <w:spacing w:before="0" w:beforeAutospacing="0" w:after="0" w:afterAutospacing="0"/>
              <w:jc w:val="center"/>
              <w:rPr>
                <w:color w:val="000000"/>
              </w:rPr>
            </w:pPr>
          </w:p>
        </w:tc>
        <w:tc>
          <w:tcPr>
            <w:tcW w:w="2586" w:type="dxa"/>
            <w:vMerge w:val="continue"/>
            <w:noWrap w:val="0"/>
            <w:vAlign w:val="center"/>
          </w:tcPr>
          <w:p w14:paraId="4A4FDAAF">
            <w:pPr>
              <w:pStyle w:val="56"/>
              <w:spacing w:before="0" w:beforeAutospacing="0" w:after="0" w:afterAutospacing="0"/>
              <w:jc w:val="center"/>
              <w:rPr>
                <w:color w:val="000000"/>
              </w:rPr>
            </w:pPr>
          </w:p>
        </w:tc>
        <w:tc>
          <w:tcPr>
            <w:tcW w:w="1764" w:type="dxa"/>
            <w:noWrap w:val="0"/>
            <w:vAlign w:val="center"/>
          </w:tcPr>
          <w:p w14:paraId="6D4695C8">
            <w:pPr>
              <w:pStyle w:val="56"/>
              <w:spacing w:before="0" w:beforeAutospacing="0" w:after="0" w:afterAutospacing="0"/>
              <w:jc w:val="center"/>
              <w:rPr>
                <w:color w:val="000000"/>
              </w:rPr>
            </w:pPr>
            <w:r>
              <w:rPr>
                <w:color w:val="000000"/>
              </w:rPr>
              <w:t>（kg•m</w:t>
            </w:r>
            <w:r>
              <w:rPr>
                <w:color w:val="000000"/>
                <w:vertAlign w:val="superscript"/>
              </w:rPr>
              <w:t>-1</w:t>
            </w:r>
            <w:r>
              <w:rPr>
                <w:color w:val="000000"/>
              </w:rPr>
              <w:t>）</w:t>
            </w:r>
          </w:p>
        </w:tc>
        <w:tc>
          <w:tcPr>
            <w:tcW w:w="1506" w:type="dxa"/>
            <w:noWrap w:val="0"/>
            <w:vAlign w:val="center"/>
          </w:tcPr>
          <w:p w14:paraId="7AA0DFE5">
            <w:pPr>
              <w:pStyle w:val="56"/>
              <w:spacing w:before="0" w:beforeAutospacing="0" w:after="0" w:afterAutospacing="0"/>
              <w:jc w:val="center"/>
              <w:rPr>
                <w:color w:val="000000"/>
              </w:rPr>
            </w:pPr>
            <w:r>
              <w:rPr>
                <w:color w:val="000000"/>
              </w:rPr>
              <w:t>（L•m</w:t>
            </w:r>
            <w:r>
              <w:rPr>
                <w:color w:val="000000"/>
                <w:vertAlign w:val="superscript"/>
              </w:rPr>
              <w:t>-1</w:t>
            </w:r>
            <w:r>
              <w:rPr>
                <w:color w:val="000000"/>
              </w:rPr>
              <w:t>）</w:t>
            </w:r>
          </w:p>
        </w:tc>
      </w:tr>
      <w:tr w14:paraId="261B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976" w:type="dxa"/>
            <w:noWrap w:val="0"/>
            <w:vAlign w:val="center"/>
          </w:tcPr>
          <w:p w14:paraId="0EFFBA1E">
            <w:pPr>
              <w:pStyle w:val="56"/>
              <w:spacing w:before="0" w:beforeAutospacing="0" w:after="0" w:afterAutospacing="0"/>
              <w:jc w:val="center"/>
              <w:rPr>
                <w:color w:val="000000"/>
              </w:rPr>
            </w:pPr>
            <w:r>
              <w:rPr>
                <w:color w:val="000000"/>
              </w:rPr>
              <w:t>200</w:t>
            </w:r>
          </w:p>
        </w:tc>
        <w:tc>
          <w:tcPr>
            <w:tcW w:w="2586" w:type="dxa"/>
            <w:noWrap w:val="0"/>
            <w:vAlign w:val="center"/>
          </w:tcPr>
          <w:p w14:paraId="4D9A12C9">
            <w:pPr>
              <w:pStyle w:val="56"/>
              <w:spacing w:before="0" w:beforeAutospacing="0" w:after="0" w:afterAutospacing="0"/>
              <w:jc w:val="center"/>
              <w:rPr>
                <w:color w:val="000000"/>
              </w:rPr>
            </w:pPr>
            <w:r>
              <w:rPr>
                <w:color w:val="000000"/>
              </w:rPr>
              <w:t>0.5</w:t>
            </w:r>
          </w:p>
        </w:tc>
        <w:tc>
          <w:tcPr>
            <w:tcW w:w="1764" w:type="dxa"/>
            <w:noWrap w:val="0"/>
            <w:vAlign w:val="center"/>
          </w:tcPr>
          <w:p w14:paraId="79367048">
            <w:pPr>
              <w:pStyle w:val="56"/>
              <w:spacing w:before="0" w:beforeAutospacing="0" w:after="0" w:afterAutospacing="0"/>
              <w:jc w:val="center"/>
              <w:rPr>
                <w:color w:val="000000"/>
              </w:rPr>
            </w:pPr>
            <w:r>
              <w:rPr>
                <w:color w:val="000000"/>
              </w:rPr>
              <w:t>6</w:t>
            </w:r>
          </w:p>
        </w:tc>
        <w:tc>
          <w:tcPr>
            <w:tcW w:w="1506" w:type="dxa"/>
            <w:noWrap w:val="0"/>
            <w:vAlign w:val="center"/>
          </w:tcPr>
          <w:p w14:paraId="10869028">
            <w:pPr>
              <w:pStyle w:val="56"/>
              <w:spacing w:before="0" w:beforeAutospacing="0" w:after="0" w:afterAutospacing="0"/>
              <w:jc w:val="center"/>
              <w:rPr>
                <w:color w:val="000000"/>
              </w:rPr>
            </w:pPr>
            <w:r>
              <w:rPr>
                <w:color w:val="000000"/>
              </w:rPr>
              <w:t>5.4</w:t>
            </w:r>
          </w:p>
        </w:tc>
      </w:tr>
    </w:tbl>
    <w:p w14:paraId="60C06587">
      <w:pPr>
        <w:spacing w:line="360" w:lineRule="auto"/>
        <w:ind w:firstLine="480" w:firstLineChars="200"/>
        <w:rPr>
          <w:rFonts w:ascii="宋体" w:hAnsi="宋体" w:cs="宋体"/>
          <w:color w:val="000000"/>
          <w:sz w:val="24"/>
        </w:rPr>
      </w:pPr>
      <w:r>
        <w:rPr>
          <w:rFonts w:ascii="宋体" w:hAnsi="宋体" w:cs="宋体"/>
          <w:color w:val="000000"/>
          <w:sz w:val="24"/>
        </w:rPr>
        <w:t>如果实测得到的S、K1或△h2的所有测定值均小于临界值，并且未发现其他异常情况，则该工作面预测为无突出危险工作面；否则，为突出危险工作面。</w:t>
      </w:r>
    </w:p>
    <w:p w14:paraId="09FD3E5A">
      <w:pPr>
        <w:spacing w:line="360" w:lineRule="auto"/>
        <w:ind w:firstLine="480" w:firstLineChars="200"/>
        <w:rPr>
          <w:rFonts w:ascii="宋体" w:hAnsi="宋体" w:cs="宋体"/>
          <w:color w:val="000000"/>
          <w:sz w:val="24"/>
        </w:rPr>
      </w:pPr>
      <w:r>
        <w:rPr>
          <w:rFonts w:hint="eastAsia" w:ascii="宋体" w:hAnsi="宋体" w:cs="宋体"/>
          <w:color w:val="000000"/>
          <w:sz w:val="24"/>
        </w:rPr>
        <w:t>8）</w:t>
      </w:r>
      <w:r>
        <w:rPr>
          <w:rFonts w:ascii="宋体" w:hAnsi="宋体" w:cs="宋体"/>
          <w:color w:val="000000"/>
          <w:sz w:val="24"/>
        </w:rPr>
        <w:t>采用复合指标法预测煤巷掘进工作面突出危险性时，在近水平、倾斜煤层工作面应当向前方煤体至少施工3个、在倾斜或急倾斜煤层至少施工2个直径42mm、孔深8～10m的钻孔，测定钻孔瓦斯涌出初速度和钻屑量指标。</w:t>
      </w:r>
    </w:p>
    <w:p w14:paraId="6E32DB37">
      <w:pPr>
        <w:pStyle w:val="56"/>
        <w:spacing w:before="0" w:beforeAutospacing="0" w:after="0" w:afterAutospacing="0" w:line="360" w:lineRule="auto"/>
        <w:ind w:firstLine="468" w:firstLineChars="200"/>
        <w:jc w:val="both"/>
        <w:rPr>
          <w:color w:val="000000"/>
          <w:spacing w:val="-3"/>
        </w:rPr>
      </w:pPr>
      <w:r>
        <w:rPr>
          <w:color w:val="000000"/>
          <w:spacing w:val="-3"/>
        </w:rPr>
        <w:t>钻孔应当尽量布置在软分层中，一个钻孔位于掘进巷道断面中部，并平行于掘进方向，其他钻孔开孔口靠近巷道两帮0.5m处，终孔点应位于巷道断面两侧轮廓线外2～4m处。</w:t>
      </w:r>
    </w:p>
    <w:p w14:paraId="4CF51D68">
      <w:pPr>
        <w:pStyle w:val="56"/>
        <w:spacing w:before="0" w:beforeAutospacing="0" w:after="0" w:afterAutospacing="0" w:line="360" w:lineRule="auto"/>
        <w:ind w:firstLine="480" w:firstLineChars="200"/>
        <w:jc w:val="both"/>
        <w:rPr>
          <w:color w:val="000000"/>
        </w:rPr>
      </w:pPr>
      <w:r>
        <w:rPr>
          <w:color w:val="000000"/>
        </w:rPr>
        <w:t>钻孔每钻进1m测定该1m段的全部钻屑量S，并在暂停钻进后2min内测定钻孔瓦斯涌出初速度q。测定钻孔瓦斯涌出初速度时，测量室的长度为1.0m。</w:t>
      </w:r>
    </w:p>
    <w:p w14:paraId="1DE70622">
      <w:pPr>
        <w:pStyle w:val="56"/>
        <w:spacing w:before="0" w:beforeAutospacing="0" w:after="0" w:afterAutospacing="0" w:line="360" w:lineRule="auto"/>
        <w:ind w:firstLine="480" w:firstLineChars="200"/>
        <w:jc w:val="both"/>
        <w:rPr>
          <w:color w:val="000000"/>
        </w:rPr>
      </w:pPr>
      <w:r>
        <w:rPr>
          <w:color w:val="000000"/>
        </w:rPr>
        <w:t>各煤层采用复合指标法预测煤巷掘进工作面突出危险性的指标临界值应根据试验考察确定，在确定前可暂按下表的临界值进行预测。</w:t>
      </w:r>
    </w:p>
    <w:p w14:paraId="38941977">
      <w:pPr>
        <w:pStyle w:val="56"/>
        <w:spacing w:before="0" w:beforeAutospacing="0" w:after="0" w:afterAutospacing="0" w:line="360" w:lineRule="auto"/>
        <w:jc w:val="center"/>
        <w:rPr>
          <w:color w:val="000000"/>
        </w:rPr>
      </w:pPr>
      <w:r>
        <w:rPr>
          <w:color w:val="000000"/>
        </w:rPr>
        <w:t>复合指标法预测煤巷掘进工作面突出危险性的参考临界值表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8"/>
        <w:gridCol w:w="2407"/>
        <w:gridCol w:w="2244"/>
      </w:tblGrid>
      <w:tr w14:paraId="1704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4178" w:type="dxa"/>
            <w:vMerge w:val="restart"/>
            <w:noWrap w:val="0"/>
            <w:vAlign w:val="center"/>
          </w:tcPr>
          <w:p w14:paraId="38ED332A">
            <w:pPr>
              <w:pStyle w:val="56"/>
              <w:spacing w:before="0" w:beforeAutospacing="0" w:after="0" w:afterAutospacing="0"/>
              <w:jc w:val="center"/>
              <w:rPr>
                <w:color w:val="000000"/>
              </w:rPr>
            </w:pPr>
            <w:r>
              <w:rPr>
                <w:color w:val="000000"/>
              </w:rPr>
              <w:t>钻孔瓦斯涌出初速度q/（L•min</w:t>
            </w:r>
            <w:r>
              <w:rPr>
                <w:color w:val="000000"/>
                <w:vertAlign w:val="superscript"/>
              </w:rPr>
              <w:t>-1</w:t>
            </w:r>
            <w:r>
              <w:rPr>
                <w:color w:val="000000"/>
              </w:rPr>
              <w:t>）</w:t>
            </w:r>
          </w:p>
        </w:tc>
        <w:tc>
          <w:tcPr>
            <w:tcW w:w="4651" w:type="dxa"/>
            <w:gridSpan w:val="2"/>
            <w:noWrap w:val="0"/>
            <w:vAlign w:val="center"/>
          </w:tcPr>
          <w:p w14:paraId="2F2B4AAB">
            <w:pPr>
              <w:pStyle w:val="56"/>
              <w:spacing w:before="0" w:beforeAutospacing="0" w:after="0" w:afterAutospacing="0"/>
              <w:jc w:val="center"/>
              <w:rPr>
                <w:color w:val="000000"/>
              </w:rPr>
            </w:pPr>
            <w:r>
              <w:rPr>
                <w:color w:val="000000"/>
              </w:rPr>
              <w:t>钻屑量S/</w:t>
            </w:r>
          </w:p>
        </w:tc>
      </w:tr>
      <w:tr w14:paraId="2834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4178" w:type="dxa"/>
            <w:vMerge w:val="continue"/>
            <w:noWrap w:val="0"/>
            <w:vAlign w:val="center"/>
          </w:tcPr>
          <w:p w14:paraId="31FD8AAD">
            <w:pPr>
              <w:pStyle w:val="56"/>
              <w:spacing w:before="0" w:beforeAutospacing="0" w:after="0" w:afterAutospacing="0"/>
              <w:jc w:val="center"/>
              <w:rPr>
                <w:color w:val="000000"/>
              </w:rPr>
            </w:pPr>
          </w:p>
        </w:tc>
        <w:tc>
          <w:tcPr>
            <w:tcW w:w="2407" w:type="dxa"/>
            <w:noWrap w:val="0"/>
            <w:vAlign w:val="center"/>
          </w:tcPr>
          <w:p w14:paraId="0A2B98F3">
            <w:pPr>
              <w:pStyle w:val="56"/>
              <w:spacing w:before="0" w:beforeAutospacing="0" w:after="0" w:afterAutospacing="0"/>
              <w:jc w:val="center"/>
              <w:rPr>
                <w:color w:val="000000"/>
              </w:rPr>
            </w:pPr>
            <w:r>
              <w:rPr>
                <w:color w:val="000000"/>
              </w:rPr>
              <w:t>（kg•m</w:t>
            </w:r>
            <w:r>
              <w:rPr>
                <w:color w:val="000000"/>
                <w:vertAlign w:val="superscript"/>
              </w:rPr>
              <w:t>-1</w:t>
            </w:r>
            <w:r>
              <w:rPr>
                <w:color w:val="000000"/>
              </w:rPr>
              <w:t>）</w:t>
            </w:r>
          </w:p>
        </w:tc>
        <w:tc>
          <w:tcPr>
            <w:tcW w:w="2244" w:type="dxa"/>
            <w:noWrap w:val="0"/>
            <w:vAlign w:val="center"/>
          </w:tcPr>
          <w:p w14:paraId="30A730B0">
            <w:pPr>
              <w:pStyle w:val="56"/>
              <w:spacing w:before="0" w:beforeAutospacing="0" w:after="0" w:afterAutospacing="0"/>
              <w:jc w:val="center"/>
              <w:rPr>
                <w:color w:val="000000"/>
              </w:rPr>
            </w:pPr>
            <w:r>
              <w:rPr>
                <w:color w:val="000000"/>
              </w:rPr>
              <w:t>（L•m</w:t>
            </w:r>
            <w:r>
              <w:rPr>
                <w:color w:val="000000"/>
                <w:vertAlign w:val="superscript"/>
              </w:rPr>
              <w:t>-1</w:t>
            </w:r>
            <w:r>
              <w:rPr>
                <w:color w:val="000000"/>
              </w:rPr>
              <w:t>）</w:t>
            </w:r>
          </w:p>
        </w:tc>
      </w:tr>
      <w:tr w14:paraId="0D4F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40" w:hRule="atLeast"/>
          <w:jc w:val="center"/>
        </w:trPr>
        <w:tc>
          <w:tcPr>
            <w:tcW w:w="4178" w:type="dxa"/>
            <w:noWrap w:val="0"/>
            <w:vAlign w:val="center"/>
          </w:tcPr>
          <w:p w14:paraId="7801FD43">
            <w:pPr>
              <w:pStyle w:val="56"/>
              <w:spacing w:before="0" w:beforeAutospacing="0" w:after="0" w:afterAutospacing="0"/>
              <w:jc w:val="center"/>
              <w:rPr>
                <w:color w:val="000000"/>
              </w:rPr>
            </w:pPr>
            <w:r>
              <w:rPr>
                <w:color w:val="000000"/>
              </w:rPr>
              <w:t>5</w:t>
            </w:r>
          </w:p>
        </w:tc>
        <w:tc>
          <w:tcPr>
            <w:tcW w:w="2407" w:type="dxa"/>
            <w:noWrap w:val="0"/>
            <w:vAlign w:val="center"/>
          </w:tcPr>
          <w:p w14:paraId="5F77E4FD">
            <w:pPr>
              <w:pStyle w:val="56"/>
              <w:spacing w:before="0" w:beforeAutospacing="0" w:after="0" w:afterAutospacing="0"/>
              <w:jc w:val="center"/>
              <w:rPr>
                <w:color w:val="000000"/>
              </w:rPr>
            </w:pPr>
            <w:r>
              <w:rPr>
                <w:color w:val="000000"/>
              </w:rPr>
              <w:t>6</w:t>
            </w:r>
          </w:p>
        </w:tc>
        <w:tc>
          <w:tcPr>
            <w:tcW w:w="2244" w:type="dxa"/>
            <w:noWrap w:val="0"/>
            <w:vAlign w:val="center"/>
          </w:tcPr>
          <w:p w14:paraId="2D1D2BE2">
            <w:pPr>
              <w:pStyle w:val="56"/>
              <w:spacing w:before="0" w:beforeAutospacing="0" w:after="0" w:afterAutospacing="0"/>
              <w:jc w:val="center"/>
              <w:rPr>
                <w:color w:val="000000"/>
              </w:rPr>
            </w:pPr>
            <w:r>
              <w:rPr>
                <w:color w:val="000000"/>
              </w:rPr>
              <w:t>5.4</w:t>
            </w:r>
          </w:p>
        </w:tc>
      </w:tr>
    </w:tbl>
    <w:p w14:paraId="5EFD9539">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如果实测得到的指标q、S的所有测定值均小于临界值，并且未发现其他异常情况，则该工作面预测为无突出危险工作面；否则，为突出危险工作面。</w:t>
      </w:r>
    </w:p>
    <w:p w14:paraId="52938A0E">
      <w:pPr>
        <w:spacing w:line="360" w:lineRule="auto"/>
        <w:ind w:firstLine="480" w:firstLineChars="200"/>
        <w:rPr>
          <w:rFonts w:ascii="宋体" w:hAnsi="宋体" w:cs="宋体"/>
          <w:color w:val="000000"/>
          <w:sz w:val="24"/>
        </w:rPr>
      </w:pPr>
      <w:r>
        <w:rPr>
          <w:rFonts w:hint="eastAsia" w:ascii="宋体" w:hAnsi="宋体" w:cs="宋体"/>
          <w:color w:val="000000"/>
          <w:sz w:val="24"/>
        </w:rPr>
        <w:t>9）</w:t>
      </w:r>
      <w:r>
        <w:rPr>
          <w:rFonts w:ascii="宋体" w:hAnsi="宋体" w:cs="宋体"/>
          <w:color w:val="000000"/>
          <w:sz w:val="24"/>
        </w:rPr>
        <w:t>采用R值指标法预测煤巷掘进工作面突出危险性时，在近水平、倾斜煤层工作面应向前方煤体至少施工3个、在倾斜或急倾斜煤层至少施工2个直径42mm、孔深8～10m的钻孔，测定钻孔瓦斯涌出初速度和钻屑量指标。</w:t>
      </w:r>
    </w:p>
    <w:p w14:paraId="33751B61">
      <w:pPr>
        <w:pStyle w:val="56"/>
        <w:spacing w:before="0" w:beforeAutospacing="0" w:after="0" w:afterAutospacing="0" w:line="360" w:lineRule="auto"/>
        <w:ind w:firstLine="480" w:firstLineChars="200"/>
        <w:jc w:val="both"/>
        <w:rPr>
          <w:color w:val="000000"/>
        </w:rPr>
      </w:pPr>
      <w:r>
        <w:rPr>
          <w:color w:val="000000"/>
        </w:rPr>
        <w:t>钻孔应当尽可能布置在软分层中，一个钻孔位于掘进巷道断面中部，并平行于掘进方向，其他钻孔的终孔点应位于巷道断面两侧轮廓线外2～4m处。</w:t>
      </w:r>
    </w:p>
    <w:p w14:paraId="3272C146">
      <w:pPr>
        <w:pStyle w:val="56"/>
        <w:spacing w:before="0" w:beforeAutospacing="0" w:after="0" w:afterAutospacing="0" w:line="360" w:lineRule="auto"/>
        <w:ind w:firstLine="480" w:firstLineChars="200"/>
        <w:jc w:val="both"/>
        <w:rPr>
          <w:color w:val="000000"/>
        </w:rPr>
      </w:pPr>
      <w:r>
        <w:rPr>
          <w:color w:val="000000"/>
        </w:rPr>
        <w:t>钻孔每钻进1m收集并测定该1m段的全部钻屑量S，并在暂停钻进后2min内测定钻孔瓦斯涌出初速度q。测定钻孔瓦斯涌出初速度时，测量室的长度为1.0m。</w:t>
      </w:r>
    </w:p>
    <w:p w14:paraId="5F1F0F46">
      <w:pPr>
        <w:pStyle w:val="56"/>
        <w:spacing w:before="0" w:beforeAutospacing="0" w:after="0" w:afterAutospacing="0" w:line="360" w:lineRule="auto"/>
        <w:ind w:firstLine="480" w:firstLineChars="200"/>
        <w:jc w:val="both"/>
        <w:rPr>
          <w:color w:val="000000"/>
        </w:rPr>
      </w:pPr>
      <w:r>
        <w:rPr>
          <w:color w:val="000000"/>
        </w:rPr>
        <w:t>根据每个钻孔的最大钻屑量S</w:t>
      </w:r>
      <w:r>
        <w:rPr>
          <w:color w:val="000000"/>
          <w:vertAlign w:val="subscript"/>
        </w:rPr>
        <w:t>max</w:t>
      </w:r>
      <w:r>
        <w:rPr>
          <w:color w:val="000000"/>
        </w:rPr>
        <w:t>和最大钻孔瓦斯涌出初速度q</w:t>
      </w:r>
      <w:r>
        <w:rPr>
          <w:color w:val="000000"/>
          <w:vertAlign w:val="subscript"/>
        </w:rPr>
        <w:t>max</w:t>
      </w:r>
      <w:r>
        <w:rPr>
          <w:color w:val="000000"/>
        </w:rPr>
        <w:t>按式(3)计算各孔的R值：</w:t>
      </w:r>
    </w:p>
    <w:p w14:paraId="4966E439">
      <w:pPr>
        <w:pStyle w:val="56"/>
        <w:spacing w:before="0" w:beforeAutospacing="0" w:after="0" w:afterAutospacing="0" w:line="360" w:lineRule="auto"/>
        <w:ind w:firstLine="480" w:firstLineChars="200"/>
        <w:jc w:val="both"/>
        <w:rPr>
          <w:color w:val="000000"/>
        </w:rPr>
      </w:pPr>
      <w:r>
        <w:rPr>
          <w:color w:val="000000"/>
        </w:rPr>
        <w:t>R＝(S</w:t>
      </w:r>
      <w:r>
        <w:rPr>
          <w:color w:val="000000"/>
          <w:vertAlign w:val="subscript"/>
        </w:rPr>
        <w:t>max</w:t>
      </w:r>
      <w:r>
        <w:rPr>
          <w:color w:val="000000"/>
        </w:rPr>
        <w:t>-1.8)(q</w:t>
      </w:r>
      <w:r>
        <w:rPr>
          <w:color w:val="000000"/>
          <w:vertAlign w:val="subscript"/>
        </w:rPr>
        <w:t>max</w:t>
      </w:r>
      <w:r>
        <w:rPr>
          <w:color w:val="000000"/>
        </w:rPr>
        <w:t>-4)        (3)</w:t>
      </w:r>
    </w:p>
    <w:p w14:paraId="13666366">
      <w:pPr>
        <w:pStyle w:val="56"/>
        <w:spacing w:before="0" w:beforeAutospacing="0" w:after="0" w:afterAutospacing="0" w:line="360" w:lineRule="auto"/>
        <w:ind w:firstLine="480" w:firstLineChars="200"/>
        <w:jc w:val="both"/>
        <w:rPr>
          <w:color w:val="000000"/>
        </w:rPr>
      </w:pPr>
      <w:r>
        <w:rPr>
          <w:color w:val="000000"/>
        </w:rPr>
        <w:t>式中:S</w:t>
      </w:r>
      <w:r>
        <w:rPr>
          <w:color w:val="000000"/>
          <w:vertAlign w:val="subscript"/>
        </w:rPr>
        <w:t>max</w:t>
      </w:r>
      <w:r>
        <w:rPr>
          <w:color w:val="000000"/>
        </w:rPr>
        <w:t>—每个钻孔沿孔长的最大钻屑量，L/m；</w:t>
      </w:r>
    </w:p>
    <w:p w14:paraId="0F94E825">
      <w:pPr>
        <w:pStyle w:val="56"/>
        <w:spacing w:before="0" w:beforeAutospacing="0" w:after="0" w:afterAutospacing="0" w:line="360" w:lineRule="auto"/>
        <w:ind w:firstLine="1080" w:firstLineChars="450"/>
        <w:jc w:val="both"/>
        <w:rPr>
          <w:color w:val="000000"/>
        </w:rPr>
      </w:pPr>
      <w:r>
        <w:rPr>
          <w:color w:val="000000"/>
        </w:rPr>
        <w:t>q</w:t>
      </w:r>
      <w:r>
        <w:rPr>
          <w:color w:val="000000"/>
          <w:vertAlign w:val="subscript"/>
        </w:rPr>
        <w:t>max</w:t>
      </w:r>
      <w:r>
        <w:rPr>
          <w:color w:val="000000"/>
        </w:rPr>
        <w:t>—每个钻孔的最大钻孔瓦斯涌出初速度，L/min。</w:t>
      </w:r>
    </w:p>
    <w:p w14:paraId="61E5117B">
      <w:pPr>
        <w:spacing w:line="360" w:lineRule="auto"/>
        <w:ind w:firstLine="480" w:firstLineChars="200"/>
        <w:rPr>
          <w:rFonts w:ascii="宋体" w:hAnsi="宋体" w:cs="宋体"/>
          <w:color w:val="000000"/>
          <w:sz w:val="24"/>
        </w:rPr>
      </w:pPr>
      <w:r>
        <w:rPr>
          <w:rFonts w:ascii="宋体" w:hAnsi="宋体" w:cs="宋体"/>
          <w:color w:val="000000"/>
          <w:sz w:val="24"/>
        </w:rPr>
        <w:t>判定各煤层煤巷掘进工作面突出危险性的临界值应根据试验考察确定，在确定前可暂按以下指标进行预测：</w:t>
      </w:r>
    </w:p>
    <w:p w14:paraId="1AFA067A">
      <w:pPr>
        <w:spacing w:line="360" w:lineRule="auto"/>
        <w:ind w:firstLine="480" w:firstLineChars="200"/>
        <w:rPr>
          <w:rFonts w:ascii="宋体" w:hAnsi="宋体" w:cs="宋体"/>
          <w:color w:val="000000"/>
          <w:sz w:val="24"/>
        </w:rPr>
      </w:pPr>
      <w:r>
        <w:rPr>
          <w:rFonts w:ascii="宋体" w:hAnsi="宋体" w:cs="宋体"/>
          <w:color w:val="000000"/>
          <w:sz w:val="24"/>
        </w:rPr>
        <w:t>当所有钻孔的R值有R﹤6且未发现其他异常情况时，该工作面可预测为无突出危险工作面；否则，判定为突出危险工作面。</w:t>
      </w:r>
    </w:p>
    <w:p w14:paraId="22FF09E9">
      <w:pPr>
        <w:spacing w:line="360" w:lineRule="auto"/>
        <w:ind w:firstLine="480" w:firstLineChars="200"/>
        <w:rPr>
          <w:rFonts w:ascii="宋体" w:hAnsi="宋体" w:cs="宋体"/>
          <w:color w:val="000000"/>
          <w:sz w:val="24"/>
        </w:rPr>
      </w:pPr>
      <w:r>
        <w:rPr>
          <w:rFonts w:hint="eastAsia" w:ascii="宋体" w:hAnsi="宋体" w:cs="宋体"/>
          <w:color w:val="000000"/>
          <w:sz w:val="24"/>
        </w:rPr>
        <w:t>10）</w:t>
      </w:r>
      <w:r>
        <w:rPr>
          <w:rFonts w:ascii="宋体" w:hAnsi="宋体" w:cs="宋体"/>
          <w:color w:val="000000"/>
          <w:sz w:val="24"/>
        </w:rPr>
        <w:t>对采煤工作面的突出危险性预测，可参照本规定第七十四条所列的煤巷掘进工作面预测方法进行。但应沿采煤工作面每隔10～15m布置一个预测钻孔，深度5～10m，除此之外的各项操作等均与煤巷掘进工作面突出危险性预测相同。</w:t>
      </w:r>
    </w:p>
    <w:p w14:paraId="4AEB65C6">
      <w:pPr>
        <w:pStyle w:val="56"/>
        <w:spacing w:before="0" w:beforeAutospacing="0" w:after="0" w:afterAutospacing="0" w:line="360" w:lineRule="auto"/>
        <w:ind w:firstLine="480" w:firstLineChars="200"/>
        <w:jc w:val="both"/>
        <w:rPr>
          <w:color w:val="000000"/>
        </w:rPr>
      </w:pPr>
      <w:r>
        <w:rPr>
          <w:color w:val="000000"/>
        </w:rPr>
        <w:t>判定采煤工作面突出危险性的各指标临界值应根据试验考察确定，在确定前可参照煤巷掘进工作面突出危险性预测的临界值。</w:t>
      </w:r>
    </w:p>
    <w:p w14:paraId="2CCCE333">
      <w:pPr>
        <w:spacing w:line="360" w:lineRule="auto"/>
        <w:ind w:firstLine="480" w:firstLineChars="200"/>
        <w:rPr>
          <w:rFonts w:hint="eastAsia" w:ascii="宋体" w:hAnsi="宋体"/>
          <w:color w:val="000000"/>
          <w:sz w:val="24"/>
        </w:rPr>
      </w:pPr>
      <w:r>
        <w:rPr>
          <w:rFonts w:hint="eastAsia" w:ascii="宋体" w:hAnsi="宋体"/>
          <w:color w:val="000000"/>
          <w:sz w:val="24"/>
        </w:rPr>
        <w:t>（3）工作面防突措施</w:t>
      </w:r>
    </w:p>
    <w:p w14:paraId="5E299CD8">
      <w:pPr>
        <w:spacing w:line="360" w:lineRule="auto"/>
        <w:ind w:firstLine="480" w:firstLineChars="200"/>
        <w:rPr>
          <w:rFonts w:hint="eastAsia" w:ascii="宋体" w:hAnsi="宋体"/>
          <w:color w:val="000000"/>
          <w:sz w:val="24"/>
        </w:rPr>
      </w:pPr>
      <w:r>
        <w:rPr>
          <w:rFonts w:hint="eastAsia" w:ascii="宋体" w:hAnsi="宋体" w:cs="宋体"/>
          <w:color w:val="000000"/>
          <w:sz w:val="24"/>
        </w:rPr>
        <w:t>1）</w:t>
      </w:r>
      <w:r>
        <w:rPr>
          <w:rFonts w:hint="eastAsia" w:ascii="宋体" w:hAnsi="宋体"/>
          <w:color w:val="000000"/>
          <w:sz w:val="24"/>
        </w:rPr>
        <w:t>工作面防突措施是针对经工作面预测尚有突出危险的局部煤层实施的防突措施。其有效作用范围一般仅限于当前工作面周围的较小区域。</w:t>
      </w:r>
    </w:p>
    <w:p w14:paraId="2FE95AFF">
      <w:pPr>
        <w:spacing w:line="360" w:lineRule="auto"/>
        <w:ind w:firstLine="480" w:firstLineChars="200"/>
        <w:rPr>
          <w:rFonts w:hint="eastAsia" w:ascii="宋体" w:hAnsi="宋体"/>
          <w:color w:val="000000"/>
          <w:sz w:val="24"/>
        </w:rPr>
      </w:pPr>
      <w:r>
        <w:rPr>
          <w:rFonts w:hint="eastAsia" w:ascii="宋体" w:hAnsi="宋体" w:cs="宋体"/>
          <w:color w:val="000000"/>
          <w:sz w:val="24"/>
        </w:rPr>
        <w:t>2）</w:t>
      </w:r>
      <w:r>
        <w:rPr>
          <w:rFonts w:hint="eastAsia" w:ascii="宋体" w:hAnsi="宋体"/>
          <w:color w:val="000000"/>
          <w:sz w:val="24"/>
        </w:rPr>
        <w:t>石门、斜井揭穿突出煤层的专项防突设计至少应当包括下列主要内容：</w:t>
      </w:r>
    </w:p>
    <w:p w14:paraId="79B56D3D">
      <w:pPr>
        <w:spacing w:line="360" w:lineRule="auto"/>
        <w:ind w:firstLine="480" w:firstLineChars="200"/>
        <w:rPr>
          <w:rFonts w:hint="eastAsia" w:ascii="宋体" w:hAnsi="宋体"/>
          <w:color w:val="000000"/>
          <w:sz w:val="24"/>
        </w:rPr>
      </w:pPr>
      <w:r>
        <w:rPr>
          <w:rFonts w:hint="eastAsia" w:ascii="宋体" w:hAnsi="宋体" w:cs="宋体"/>
          <w:color w:val="000000"/>
          <w:sz w:val="24"/>
        </w:rPr>
        <w:t>①</w:t>
      </w:r>
      <w:r>
        <w:rPr>
          <w:rFonts w:ascii="宋体" w:hAnsi="宋体"/>
          <w:color w:val="000000"/>
          <w:sz w:val="24"/>
        </w:rPr>
        <w:t xml:space="preserve"> </w:t>
      </w:r>
      <w:r>
        <w:rPr>
          <w:rFonts w:hint="eastAsia" w:ascii="宋体" w:hAnsi="宋体"/>
          <w:color w:val="000000"/>
          <w:sz w:val="24"/>
        </w:rPr>
        <w:t>石门、斜井揭煤区域煤层、瓦斯、地质构造及巷道布置的基本情况；</w:t>
      </w:r>
    </w:p>
    <w:p w14:paraId="483842CE">
      <w:pPr>
        <w:spacing w:line="360" w:lineRule="auto"/>
        <w:ind w:firstLine="480" w:firstLineChars="200"/>
        <w:rPr>
          <w:rFonts w:hint="eastAsia" w:ascii="宋体" w:hAnsi="宋体"/>
          <w:color w:val="000000"/>
          <w:sz w:val="24"/>
        </w:rPr>
      </w:pPr>
      <w:r>
        <w:rPr>
          <w:rFonts w:hint="eastAsia" w:ascii="宋体" w:hAnsi="宋体" w:cs="宋体"/>
          <w:color w:val="000000"/>
          <w:sz w:val="24"/>
        </w:rPr>
        <w:t>②</w:t>
      </w:r>
      <w:r>
        <w:rPr>
          <w:rFonts w:ascii="宋体" w:hAnsi="宋体"/>
          <w:color w:val="000000"/>
          <w:sz w:val="24"/>
        </w:rPr>
        <w:t xml:space="preserve"> </w:t>
      </w:r>
      <w:r>
        <w:rPr>
          <w:rFonts w:hint="eastAsia" w:ascii="宋体" w:hAnsi="宋体"/>
          <w:color w:val="000000"/>
          <w:sz w:val="24"/>
        </w:rPr>
        <w:t>建立安全可靠的独立通风系统及加强控制通风风流设施的措施；</w:t>
      </w:r>
    </w:p>
    <w:p w14:paraId="711D9104">
      <w:pPr>
        <w:spacing w:line="360" w:lineRule="auto"/>
        <w:ind w:firstLine="480" w:firstLineChars="200"/>
        <w:rPr>
          <w:rFonts w:hint="eastAsia" w:ascii="宋体" w:hAnsi="宋体"/>
          <w:color w:val="000000"/>
          <w:sz w:val="24"/>
        </w:rPr>
      </w:pPr>
      <w:r>
        <w:rPr>
          <w:rFonts w:hint="eastAsia" w:ascii="宋体" w:hAnsi="宋体" w:cs="宋体"/>
          <w:color w:val="000000"/>
          <w:sz w:val="24"/>
        </w:rPr>
        <w:t>③</w:t>
      </w:r>
      <w:r>
        <w:rPr>
          <w:rFonts w:ascii="宋体" w:hAnsi="宋体"/>
          <w:color w:val="000000"/>
          <w:sz w:val="24"/>
        </w:rPr>
        <w:t xml:space="preserve"> </w:t>
      </w:r>
      <w:r>
        <w:rPr>
          <w:rFonts w:hint="eastAsia" w:ascii="宋体" w:hAnsi="宋体"/>
          <w:color w:val="000000"/>
          <w:sz w:val="24"/>
        </w:rPr>
        <w:t>控制突出煤层层位、准确确定安全岩柱厚度的措施，测定煤层瓦斯压力的钻孔等工程布置、实施方案；</w:t>
      </w:r>
    </w:p>
    <w:p w14:paraId="22CBEB3F">
      <w:pPr>
        <w:pStyle w:val="56"/>
        <w:spacing w:before="0" w:beforeAutospacing="0" w:after="0" w:afterAutospacing="0" w:line="360" w:lineRule="auto"/>
        <w:ind w:firstLine="480" w:firstLineChars="200"/>
        <w:jc w:val="both"/>
        <w:rPr>
          <w:color w:val="000000"/>
        </w:rPr>
      </w:pPr>
      <w:r>
        <w:rPr>
          <w:color w:val="000000"/>
        </w:rPr>
        <w:t>④ 揭煤工作面突出危险性预测及防突措施效果检验的方法、指标，预测及检验钻孔布置等；</w:t>
      </w:r>
    </w:p>
    <w:p w14:paraId="23E6F6DD">
      <w:pPr>
        <w:pStyle w:val="56"/>
        <w:spacing w:before="0" w:beforeAutospacing="0" w:after="0" w:afterAutospacing="0" w:line="360" w:lineRule="auto"/>
        <w:ind w:firstLine="480" w:firstLineChars="200"/>
        <w:jc w:val="both"/>
        <w:rPr>
          <w:color w:val="000000"/>
        </w:rPr>
      </w:pPr>
      <w:r>
        <w:rPr>
          <w:color w:val="000000"/>
        </w:rPr>
        <w:t>⑤ 工作面防突措施；</w:t>
      </w:r>
    </w:p>
    <w:p w14:paraId="3105F04F">
      <w:pPr>
        <w:pStyle w:val="56"/>
        <w:spacing w:before="0" w:beforeAutospacing="0" w:after="0" w:afterAutospacing="0" w:line="360" w:lineRule="auto"/>
        <w:ind w:firstLine="480" w:firstLineChars="200"/>
        <w:jc w:val="both"/>
        <w:rPr>
          <w:color w:val="000000"/>
        </w:rPr>
      </w:pPr>
      <w:r>
        <w:rPr>
          <w:color w:val="000000"/>
        </w:rPr>
        <w:t>⑥ 安全防护措施及组织管理措施；</w:t>
      </w:r>
    </w:p>
    <w:p w14:paraId="469C9251">
      <w:pPr>
        <w:pStyle w:val="56"/>
        <w:spacing w:before="0" w:beforeAutospacing="0" w:after="0" w:afterAutospacing="0" w:line="360" w:lineRule="auto"/>
        <w:ind w:firstLine="480" w:firstLineChars="200"/>
        <w:jc w:val="both"/>
        <w:rPr>
          <w:color w:val="000000"/>
        </w:rPr>
      </w:pPr>
      <w:r>
        <w:rPr>
          <w:color w:val="000000"/>
        </w:rPr>
        <w:t>⑦ 加强过煤层段巷道的支护及其他措施。</w:t>
      </w:r>
    </w:p>
    <w:p w14:paraId="3AFF8BD5">
      <w:pPr>
        <w:pStyle w:val="56"/>
        <w:spacing w:before="0" w:beforeAutospacing="0" w:after="0" w:afterAutospacing="0" w:line="360" w:lineRule="auto"/>
        <w:ind w:firstLine="480" w:firstLineChars="200"/>
        <w:jc w:val="both"/>
        <w:rPr>
          <w:color w:val="000000"/>
        </w:rPr>
      </w:pPr>
      <w:r>
        <w:rPr>
          <w:rFonts w:hint="eastAsia"/>
          <w:color w:val="000000"/>
        </w:rPr>
        <w:t>3）</w:t>
      </w:r>
      <w:r>
        <w:rPr>
          <w:color w:val="000000"/>
        </w:rPr>
        <w:t>石门揭煤工作面的防突措施包括预抽瓦斯、排放钻孔或其他经试验证明有效的措施。</w:t>
      </w:r>
    </w:p>
    <w:p w14:paraId="589D3C22">
      <w:pPr>
        <w:spacing w:line="360" w:lineRule="auto"/>
        <w:ind w:firstLine="480" w:firstLineChars="200"/>
        <w:rPr>
          <w:rFonts w:ascii="宋体" w:hAnsi="宋体"/>
          <w:color w:val="000000"/>
          <w:sz w:val="24"/>
        </w:rPr>
      </w:pPr>
      <w:r>
        <w:rPr>
          <w:rFonts w:ascii="宋体" w:hAnsi="宋体"/>
          <w:color w:val="000000"/>
          <w:sz w:val="24"/>
        </w:rPr>
        <w:t>斜井揭煤工作面的防突措施应当参考石门揭煤工作面防突措施进行。</w:t>
      </w:r>
    </w:p>
    <w:p w14:paraId="3683DCF8">
      <w:pPr>
        <w:spacing w:line="360" w:lineRule="auto"/>
        <w:ind w:firstLine="468" w:firstLineChars="200"/>
        <w:rPr>
          <w:rFonts w:ascii="宋体" w:hAnsi="宋体"/>
          <w:color w:val="000000"/>
          <w:spacing w:val="-3"/>
          <w:sz w:val="24"/>
        </w:rPr>
      </w:pPr>
      <w:r>
        <w:rPr>
          <w:rFonts w:ascii="宋体" w:hAnsi="宋体"/>
          <w:color w:val="000000"/>
          <w:spacing w:val="-3"/>
          <w:sz w:val="24"/>
        </w:rPr>
        <w:t>对所实施的防突措施都必须进行实际考察，得出符合该矿井实际条件的有关参数。</w:t>
      </w:r>
    </w:p>
    <w:p w14:paraId="74303D42">
      <w:pPr>
        <w:spacing w:line="360" w:lineRule="auto"/>
        <w:ind w:firstLine="480" w:firstLineChars="200"/>
        <w:rPr>
          <w:rFonts w:ascii="宋体" w:hAnsi="宋体"/>
          <w:color w:val="000000"/>
          <w:sz w:val="24"/>
        </w:rPr>
      </w:pPr>
      <w:r>
        <w:rPr>
          <w:rFonts w:ascii="宋体" w:hAnsi="宋体"/>
          <w:color w:val="000000"/>
          <w:sz w:val="24"/>
        </w:rPr>
        <w:t>根据工作面岩层情况，实施工作面防突措施时要求揭煤工作面与突出煤层间的最小法向距离为：预抽瓦斯、排放钻孔均为5m。当井巷断面较大、岩石破碎程度较高时，还应适当加大距离。</w:t>
      </w:r>
    </w:p>
    <w:p w14:paraId="47979D95">
      <w:pPr>
        <w:autoSpaceDE w:val="0"/>
        <w:autoSpaceDN w:val="0"/>
        <w:adjustRightInd w:val="0"/>
        <w:spacing w:line="360" w:lineRule="auto"/>
        <w:ind w:firstLine="480" w:firstLineChars="200"/>
        <w:jc w:val="left"/>
        <w:rPr>
          <w:rFonts w:hint="eastAsia" w:ascii="宋体" w:hAnsi="宋体"/>
          <w:color w:val="000000"/>
          <w:sz w:val="24"/>
        </w:rPr>
      </w:pPr>
      <w:r>
        <w:rPr>
          <w:rFonts w:hint="eastAsia" w:ascii="宋体" w:hAnsi="宋体" w:cs="宋体"/>
          <w:color w:val="000000"/>
          <w:sz w:val="24"/>
        </w:rPr>
        <w:t>4）</w:t>
      </w:r>
      <w:r>
        <w:rPr>
          <w:rFonts w:hint="eastAsia" w:ascii="宋体" w:hAnsi="宋体"/>
          <w:color w:val="000000"/>
          <w:sz w:val="24"/>
        </w:rPr>
        <w:t>石门揭煤掘进工作面防治突出措施</w:t>
      </w:r>
    </w:p>
    <w:p w14:paraId="1F200DC5">
      <w:pPr>
        <w:autoSpaceDE w:val="0"/>
        <w:autoSpaceDN w:val="0"/>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① 由井筒或上（下）山的一侧合适位置布置钻场向石门揭煤区域施工穿层钻孔，预抽石门揭煤区域煤层瓦斯。</w:t>
      </w:r>
    </w:p>
    <w:p w14:paraId="0C541DEA">
      <w:pPr>
        <w:spacing w:line="360" w:lineRule="auto"/>
        <w:ind w:left="-6" w:leftChars="-3" w:firstLine="480" w:firstLineChars="200"/>
        <w:rPr>
          <w:rFonts w:hint="eastAsia" w:ascii="宋体" w:hAnsi="宋体"/>
          <w:color w:val="000000"/>
          <w:sz w:val="24"/>
        </w:rPr>
      </w:pPr>
      <w:r>
        <w:rPr>
          <w:rFonts w:hint="eastAsia" w:ascii="宋体" w:hAnsi="宋体"/>
          <w:color w:val="000000"/>
          <w:sz w:val="24"/>
        </w:rPr>
        <w:t>钻场布置：在井筒或上（下）山的一侧施工一个钻场，钻场的规格为长×宽×高=4×3×2.2m，采用工字钢支护。</w:t>
      </w:r>
    </w:p>
    <w:p w14:paraId="5081B3B3">
      <w:pPr>
        <w:spacing w:line="360" w:lineRule="auto"/>
        <w:ind w:left="-6" w:leftChars="-3" w:firstLine="480" w:firstLineChars="200"/>
        <w:rPr>
          <w:rFonts w:hint="eastAsia" w:ascii="宋体" w:hAnsi="宋体"/>
          <w:color w:val="000000"/>
          <w:sz w:val="24"/>
        </w:rPr>
      </w:pPr>
      <w:r>
        <w:rPr>
          <w:rFonts w:hint="eastAsia" w:ascii="宋体" w:hAnsi="宋体"/>
          <w:color w:val="000000"/>
          <w:sz w:val="24"/>
        </w:rPr>
        <w:t xml:space="preserve">钻孔布置：在每一个钻场内布置30～50个穿层抽放钻孔，钻孔深度以打穿煤层为准，钻孔布置示意图见 </w:t>
      </w:r>
      <w:r>
        <w:rPr>
          <w:rFonts w:hint="eastAsia" w:ascii="宋体" w:hAnsi="宋体"/>
          <w:b/>
          <w:color w:val="000000"/>
          <w:sz w:val="24"/>
        </w:rPr>
        <w:t>图4－3－5</w:t>
      </w:r>
      <w:r>
        <w:rPr>
          <w:rFonts w:hint="eastAsia" w:ascii="宋体" w:hAnsi="宋体"/>
          <w:color w:val="000000"/>
          <w:sz w:val="24"/>
        </w:rPr>
        <w:t>。</w:t>
      </w:r>
    </w:p>
    <w:p w14:paraId="72B80C08">
      <w:pPr>
        <w:autoSpaceDE w:val="0"/>
        <w:autoSpaceDN w:val="0"/>
        <w:adjustRightInd w:val="0"/>
        <w:spacing w:line="360" w:lineRule="auto"/>
        <w:jc w:val="center"/>
        <w:rPr>
          <w:rFonts w:hint="eastAsia"/>
          <w:color w:val="000000"/>
          <w:sz w:val="24"/>
        </w:rPr>
      </w:pPr>
      <w:r>
        <w:drawing>
          <wp:inline distT="0" distB="0" distL="114300" distR="114300">
            <wp:extent cx="5782310" cy="2303145"/>
            <wp:effectExtent l="0" t="0" r="8890" b="1905"/>
            <wp:docPr id="3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5"/>
                    <pic:cNvPicPr>
                      <a:picLocks noChangeAspect="1"/>
                    </pic:cNvPicPr>
                  </pic:nvPicPr>
                  <pic:blipFill>
                    <a:blip r:embed="rId159"/>
                    <a:srcRect l="19740" t="8965" r="29778" b="49564"/>
                    <a:stretch>
                      <a:fillRect/>
                    </a:stretch>
                  </pic:blipFill>
                  <pic:spPr>
                    <a:xfrm>
                      <a:off x="0" y="0"/>
                      <a:ext cx="5782310" cy="2303145"/>
                    </a:xfrm>
                    <a:prstGeom prst="rect">
                      <a:avLst/>
                    </a:prstGeom>
                    <a:noFill/>
                    <a:ln>
                      <a:noFill/>
                    </a:ln>
                  </pic:spPr>
                </pic:pic>
              </a:graphicData>
            </a:graphic>
          </wp:inline>
        </w:drawing>
      </w:r>
    </w:p>
    <w:p w14:paraId="647D5C9D">
      <w:pPr>
        <w:pStyle w:val="130"/>
        <w:spacing w:line="360" w:lineRule="auto"/>
        <w:ind w:firstLine="477" w:firstLineChars="198"/>
        <w:jc w:val="center"/>
        <w:rPr>
          <w:rFonts w:hint="eastAsia"/>
          <w:b/>
          <w:color w:val="000000"/>
          <w:sz w:val="24"/>
          <w:szCs w:val="24"/>
        </w:rPr>
      </w:pPr>
      <w:r>
        <w:rPr>
          <w:rFonts w:hint="eastAsia"/>
          <w:b/>
          <w:color w:val="000000"/>
          <w:sz w:val="24"/>
          <w:szCs w:val="24"/>
        </w:rPr>
        <w:t>图4-3-5     石门揭煤前区域煤层瓦斯预抽布置示意图</w:t>
      </w:r>
    </w:p>
    <w:p w14:paraId="3A995519">
      <w:pPr>
        <w:spacing w:line="360" w:lineRule="auto"/>
        <w:ind w:firstLine="480" w:firstLineChars="200"/>
        <w:rPr>
          <w:rFonts w:ascii="宋体" w:hAnsi="宋体" w:cs="宋体"/>
          <w:color w:val="000000"/>
          <w:sz w:val="24"/>
        </w:rPr>
      </w:pPr>
      <w:r>
        <w:rPr>
          <w:rFonts w:hint="eastAsia" w:ascii="宋体" w:hAnsi="宋体" w:cs="宋体"/>
          <w:color w:val="000000"/>
          <w:sz w:val="24"/>
        </w:rPr>
        <w:t xml:space="preserve">② </w:t>
      </w:r>
      <w:r>
        <w:rPr>
          <w:rFonts w:ascii="宋体" w:hAnsi="宋体" w:cs="宋体"/>
          <w:color w:val="000000"/>
          <w:sz w:val="24"/>
        </w:rPr>
        <w:t>在石门揭煤工作面采用预抽瓦斯、排放钻孔防突措施时，钻孔直径一般为75～120mm。石门揭煤工作面钻孔的控制范围是：石门的两侧和上部轮廓线外</w:t>
      </w:r>
      <w:r>
        <w:rPr>
          <w:rFonts w:hint="eastAsia" w:ascii="宋体" w:hAnsi="宋体" w:cs="宋体"/>
          <w:color w:val="000000"/>
          <w:sz w:val="24"/>
        </w:rPr>
        <w:t>不小于</w:t>
      </w:r>
      <w:r>
        <w:rPr>
          <w:rFonts w:ascii="宋体" w:hAnsi="宋体" w:cs="宋体"/>
          <w:color w:val="000000"/>
          <w:sz w:val="24"/>
        </w:rPr>
        <w:t>5m，下部</w:t>
      </w:r>
      <w:r>
        <w:rPr>
          <w:rFonts w:hint="eastAsia" w:ascii="宋体" w:hAnsi="宋体" w:cs="宋体"/>
          <w:color w:val="000000"/>
          <w:sz w:val="24"/>
        </w:rPr>
        <w:t>不小于</w:t>
      </w:r>
      <w:r>
        <w:rPr>
          <w:rFonts w:ascii="宋体" w:hAnsi="宋体" w:cs="宋体"/>
          <w:color w:val="000000"/>
          <w:sz w:val="24"/>
        </w:rPr>
        <w:t>3m。钻孔的孔底间距应根据实际考察情况确定。</w:t>
      </w:r>
    </w:p>
    <w:p w14:paraId="725F69BC">
      <w:pPr>
        <w:spacing w:line="360" w:lineRule="auto"/>
        <w:ind w:firstLine="480" w:firstLineChars="200"/>
        <w:rPr>
          <w:rFonts w:ascii="宋体" w:hAnsi="宋体" w:cs="宋体"/>
          <w:color w:val="000000"/>
          <w:sz w:val="24"/>
        </w:rPr>
      </w:pPr>
      <w:r>
        <w:rPr>
          <w:rFonts w:ascii="宋体" w:hAnsi="宋体" w:cs="宋体"/>
          <w:color w:val="000000"/>
          <w:sz w:val="24"/>
        </w:rPr>
        <w:t>揭煤工作面施工的钻孔应当尽可能穿透煤层全厚。当不能一次打穿煤层全厚时，可分段施工，但第一次实施的钻孔穿煤长度不得小于15m，且进入煤层掘进时，必须至少留有5m的超前距离（掘进到煤层顶或底板时不在此限）。</w:t>
      </w:r>
    </w:p>
    <w:p w14:paraId="59628D8B">
      <w:pPr>
        <w:pStyle w:val="56"/>
        <w:spacing w:before="0" w:beforeAutospacing="0" w:after="0" w:afterAutospacing="0" w:line="360" w:lineRule="auto"/>
        <w:ind w:firstLine="480" w:firstLineChars="200"/>
        <w:jc w:val="both"/>
      </w:pPr>
      <w:r>
        <w:t>预抽瓦斯和排放钻孔在揭穿煤层之前应当保持自然排放或抽采状态。石门揭煤的前探钻孔和测压钻孔布置详见</w:t>
      </w:r>
      <w:r>
        <w:rPr>
          <w:rFonts w:hint="eastAsia"/>
        </w:rPr>
        <w:t xml:space="preserve"> </w:t>
      </w:r>
      <w:r>
        <w:rPr>
          <w:b/>
        </w:rPr>
        <w:t>图</w:t>
      </w:r>
      <w:r>
        <w:rPr>
          <w:rFonts w:hint="eastAsia"/>
          <w:b/>
        </w:rPr>
        <w:t>4</w:t>
      </w:r>
      <w:r>
        <w:rPr>
          <w:b/>
        </w:rPr>
        <w:t>-</w:t>
      </w:r>
      <w:r>
        <w:rPr>
          <w:rFonts w:hint="eastAsia"/>
          <w:b/>
        </w:rPr>
        <w:t>3</w:t>
      </w:r>
      <w:r>
        <w:rPr>
          <w:b/>
        </w:rPr>
        <w:t>-</w:t>
      </w:r>
      <w:r>
        <w:rPr>
          <w:rFonts w:hint="eastAsia"/>
          <w:b/>
        </w:rPr>
        <w:t>6</w:t>
      </w:r>
      <w:r>
        <w:t>。</w:t>
      </w:r>
    </w:p>
    <w:p w14:paraId="4F23B25E">
      <w:pPr>
        <w:spacing w:line="360" w:lineRule="auto"/>
        <w:jc w:val="center"/>
        <w:rPr>
          <w:rFonts w:hint="eastAsia"/>
          <w:color w:val="000000"/>
          <w:sz w:val="24"/>
        </w:rPr>
      </w:pPr>
      <w:r>
        <w:rPr>
          <w:rFonts w:hint="eastAsia"/>
          <w:sz w:val="24"/>
        </w:rPr>
        <w:drawing>
          <wp:inline distT="0" distB="0" distL="114300" distR="114300">
            <wp:extent cx="5055870" cy="3478530"/>
            <wp:effectExtent l="0" t="0" r="0" b="7620"/>
            <wp:docPr id="31" name="图片 227" descr="表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7" descr="表27"/>
                    <pic:cNvPicPr>
                      <a:picLocks noChangeAspect="1"/>
                    </pic:cNvPicPr>
                  </pic:nvPicPr>
                  <pic:blipFill>
                    <a:blip r:embed="rId160"/>
                    <a:srcRect l="-8717" t="4895" r="-9142" b="3363"/>
                    <a:stretch>
                      <a:fillRect/>
                    </a:stretch>
                  </pic:blipFill>
                  <pic:spPr>
                    <a:xfrm>
                      <a:off x="0" y="0"/>
                      <a:ext cx="5055870" cy="3478530"/>
                    </a:xfrm>
                    <a:prstGeom prst="rect">
                      <a:avLst/>
                    </a:prstGeom>
                    <a:noFill/>
                    <a:ln>
                      <a:noFill/>
                    </a:ln>
                  </pic:spPr>
                </pic:pic>
              </a:graphicData>
            </a:graphic>
          </wp:inline>
        </w:drawing>
      </w:r>
    </w:p>
    <w:p w14:paraId="299B9F9E">
      <w:pPr>
        <w:spacing w:line="360" w:lineRule="auto"/>
        <w:jc w:val="center"/>
        <w:rPr>
          <w:rFonts w:hint="eastAsia" w:ascii="宋体" w:hAnsi="宋体"/>
          <w:b/>
          <w:color w:val="000000"/>
          <w:sz w:val="24"/>
        </w:rPr>
      </w:pPr>
      <w:r>
        <w:rPr>
          <w:rFonts w:hint="eastAsia" w:ascii="宋体" w:hAnsi="宋体"/>
          <w:b/>
          <w:color w:val="000000"/>
          <w:sz w:val="24"/>
        </w:rPr>
        <w:t>图4-3-6        控制突出煤层的前探钻孔布置示意图</w:t>
      </w:r>
    </w:p>
    <w:p w14:paraId="5136B836">
      <w:pPr>
        <w:spacing w:line="360" w:lineRule="auto"/>
        <w:jc w:val="center"/>
        <w:rPr>
          <w:rFonts w:hint="eastAsia" w:ascii="宋体" w:hAnsi="宋体"/>
          <w:color w:val="000000"/>
          <w:sz w:val="24"/>
        </w:rPr>
      </w:pPr>
      <w:r>
        <w:rPr>
          <w:rFonts w:hint="eastAsia" w:ascii="宋体" w:hAnsi="宋体"/>
          <w:color w:val="000000"/>
          <w:sz w:val="24"/>
        </w:rPr>
        <w:t>1、2—控制煤层层位钻孔；3、4—测定煤层瓦斯压力钻孔；5—突出危险煤层</w:t>
      </w:r>
    </w:p>
    <w:p w14:paraId="6129CEE4">
      <w:pPr>
        <w:spacing w:line="360" w:lineRule="auto"/>
        <w:ind w:firstLine="480" w:firstLineChars="200"/>
        <w:rPr>
          <w:rFonts w:hint="eastAsia" w:ascii="宋体" w:hAnsi="宋体"/>
          <w:color w:val="000000"/>
          <w:sz w:val="24"/>
        </w:rPr>
      </w:pPr>
      <w:r>
        <w:rPr>
          <w:rFonts w:hint="eastAsia" w:ascii="宋体" w:hAnsi="宋体"/>
          <w:color w:val="000000"/>
          <w:sz w:val="24"/>
        </w:rPr>
        <w:t xml:space="preserve">石门揭煤工作面排放钻孔布置见 </w:t>
      </w:r>
      <w:r>
        <w:rPr>
          <w:rFonts w:hint="eastAsia" w:ascii="宋体" w:hAnsi="宋体"/>
          <w:b/>
          <w:color w:val="000000"/>
          <w:sz w:val="24"/>
        </w:rPr>
        <w:t>图4-3-7</w:t>
      </w:r>
      <w:r>
        <w:rPr>
          <w:rFonts w:hint="eastAsia" w:ascii="宋体" w:hAnsi="宋体"/>
          <w:color w:val="000000"/>
          <w:sz w:val="24"/>
        </w:rPr>
        <w:t>。</w:t>
      </w:r>
    </w:p>
    <w:p w14:paraId="5355B112">
      <w:pPr>
        <w:spacing w:line="360" w:lineRule="auto"/>
        <w:jc w:val="center"/>
        <w:rPr>
          <w:rFonts w:hint="eastAsia"/>
          <w:color w:val="000000"/>
          <w:sz w:val="24"/>
        </w:rPr>
      </w:pPr>
      <w:r>
        <w:rPr>
          <w:rFonts w:hint="eastAsia"/>
          <w:sz w:val="24"/>
        </w:rPr>
        <w:drawing>
          <wp:inline distT="0" distB="0" distL="114300" distR="114300">
            <wp:extent cx="4984750" cy="2843530"/>
            <wp:effectExtent l="0" t="0" r="6350" b="13970"/>
            <wp:docPr id="32" name="图片 2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8" descr="1"/>
                    <pic:cNvPicPr>
                      <a:picLocks noChangeAspect="1"/>
                    </pic:cNvPicPr>
                  </pic:nvPicPr>
                  <pic:blipFill>
                    <a:blip r:embed="rId161"/>
                    <a:srcRect l="-4837" t="7961" r="1129" b="20988"/>
                    <a:stretch>
                      <a:fillRect/>
                    </a:stretch>
                  </pic:blipFill>
                  <pic:spPr>
                    <a:xfrm>
                      <a:off x="0" y="0"/>
                      <a:ext cx="4984750" cy="2843530"/>
                    </a:xfrm>
                    <a:prstGeom prst="rect">
                      <a:avLst/>
                    </a:prstGeom>
                    <a:noFill/>
                    <a:ln>
                      <a:noFill/>
                    </a:ln>
                  </pic:spPr>
                </pic:pic>
              </a:graphicData>
            </a:graphic>
          </wp:inline>
        </w:drawing>
      </w:r>
    </w:p>
    <w:p w14:paraId="4B7F7EA7">
      <w:pPr>
        <w:spacing w:line="360" w:lineRule="auto"/>
        <w:ind w:firstLine="723" w:firstLineChars="300"/>
        <w:jc w:val="center"/>
        <w:rPr>
          <w:rFonts w:hint="eastAsia" w:ascii="宋体" w:hAnsi="宋体"/>
          <w:b/>
          <w:color w:val="000000"/>
          <w:sz w:val="24"/>
        </w:rPr>
      </w:pPr>
      <w:r>
        <w:rPr>
          <w:rFonts w:hint="eastAsia" w:ascii="宋体" w:hAnsi="宋体"/>
          <w:b/>
          <w:color w:val="000000"/>
          <w:sz w:val="24"/>
        </w:rPr>
        <w:t>图4-3-7  石门揭煤工作面排放钻孔布置图</w:t>
      </w:r>
    </w:p>
    <w:p w14:paraId="03D79D90">
      <w:pPr>
        <w:spacing w:line="360" w:lineRule="auto"/>
        <w:ind w:firstLine="720" w:firstLineChars="300"/>
        <w:jc w:val="center"/>
        <w:rPr>
          <w:rFonts w:hint="eastAsia" w:ascii="宋体" w:hAnsi="宋体"/>
          <w:color w:val="000000"/>
          <w:sz w:val="24"/>
        </w:rPr>
      </w:pPr>
      <w:r>
        <w:rPr>
          <w:rFonts w:hint="eastAsia" w:ascii="宋体" w:hAnsi="宋体"/>
          <w:color w:val="000000"/>
          <w:sz w:val="24"/>
        </w:rPr>
        <w:t>P—测压钻孔；1～28—排放钻孔</w:t>
      </w:r>
    </w:p>
    <w:p w14:paraId="59401F03">
      <w:pPr>
        <w:pStyle w:val="56"/>
        <w:spacing w:before="0" w:beforeAutospacing="0" w:after="0" w:afterAutospacing="0" w:line="360" w:lineRule="auto"/>
        <w:ind w:firstLine="480" w:firstLineChars="200"/>
        <w:jc w:val="both"/>
        <w:rPr>
          <w:color w:val="000000"/>
        </w:rPr>
      </w:pPr>
      <w:r>
        <w:rPr>
          <w:rFonts w:hint="eastAsia"/>
          <w:color w:val="000000"/>
        </w:rPr>
        <w:t>5）</w:t>
      </w:r>
      <w:r>
        <w:rPr>
          <w:color w:val="000000"/>
        </w:rPr>
        <w:t>煤巷掘进和采煤工作面的专项防突设计应当至少包括下列内容：</w:t>
      </w:r>
    </w:p>
    <w:p w14:paraId="197CECC1">
      <w:pPr>
        <w:pStyle w:val="56"/>
        <w:spacing w:before="0" w:beforeAutospacing="0" w:after="0" w:afterAutospacing="0" w:line="360" w:lineRule="auto"/>
        <w:ind w:firstLine="480" w:firstLineChars="200"/>
        <w:jc w:val="both"/>
        <w:rPr>
          <w:color w:val="000000"/>
        </w:rPr>
      </w:pPr>
      <w:r>
        <w:rPr>
          <w:color w:val="000000"/>
        </w:rPr>
        <w:t>① 煤层、瓦斯、地质构造及邻近区域巷道布置的基本情况；</w:t>
      </w:r>
    </w:p>
    <w:p w14:paraId="6046B044">
      <w:pPr>
        <w:pStyle w:val="56"/>
        <w:spacing w:before="0" w:beforeAutospacing="0" w:after="0" w:afterAutospacing="0" w:line="360" w:lineRule="auto"/>
        <w:ind w:firstLine="480" w:firstLineChars="200"/>
        <w:jc w:val="both"/>
        <w:rPr>
          <w:color w:val="000000"/>
        </w:rPr>
      </w:pPr>
      <w:r>
        <w:rPr>
          <w:color w:val="000000"/>
        </w:rPr>
        <w:t>② 建立安全可靠的独立通风系统及加强控制通风风流设施的措施；</w:t>
      </w:r>
    </w:p>
    <w:p w14:paraId="7E2A339C">
      <w:pPr>
        <w:pStyle w:val="56"/>
        <w:spacing w:before="0" w:beforeAutospacing="0" w:after="0" w:afterAutospacing="0" w:line="360" w:lineRule="auto"/>
        <w:ind w:firstLine="480" w:firstLineChars="200"/>
        <w:jc w:val="both"/>
        <w:rPr>
          <w:color w:val="000000"/>
        </w:rPr>
      </w:pPr>
      <w:r>
        <w:rPr>
          <w:color w:val="000000"/>
        </w:rPr>
        <w:t>③ 工作面突出危险性预测及防突措施效果检验的方法、指标以及预测、效果检验钻孔布置等；</w:t>
      </w:r>
    </w:p>
    <w:p w14:paraId="1AC3B826">
      <w:pPr>
        <w:spacing w:line="360" w:lineRule="auto"/>
        <w:ind w:firstLine="480" w:firstLineChars="200"/>
        <w:rPr>
          <w:rFonts w:ascii="宋体" w:hAnsi="宋体"/>
          <w:color w:val="000000"/>
          <w:sz w:val="24"/>
        </w:rPr>
      </w:pPr>
      <w:r>
        <w:rPr>
          <w:rFonts w:hint="eastAsia" w:ascii="宋体" w:hAnsi="宋体" w:cs="宋体"/>
          <w:color w:val="000000"/>
          <w:sz w:val="24"/>
        </w:rPr>
        <w:t>④</w:t>
      </w:r>
      <w:r>
        <w:rPr>
          <w:rFonts w:ascii="宋体" w:hAnsi="宋体"/>
          <w:color w:val="000000"/>
          <w:sz w:val="24"/>
        </w:rPr>
        <w:t xml:space="preserve"> 防突措施的选取及施工设计；</w:t>
      </w:r>
    </w:p>
    <w:p w14:paraId="5551B10A">
      <w:pPr>
        <w:spacing w:line="360" w:lineRule="auto"/>
        <w:ind w:firstLine="480" w:firstLineChars="200"/>
        <w:rPr>
          <w:rFonts w:ascii="宋体" w:hAnsi="宋体"/>
          <w:color w:val="000000"/>
          <w:sz w:val="24"/>
        </w:rPr>
      </w:pPr>
      <w:r>
        <w:rPr>
          <w:rFonts w:hint="eastAsia" w:ascii="宋体" w:hAnsi="宋体" w:cs="宋体"/>
          <w:color w:val="000000"/>
          <w:sz w:val="24"/>
        </w:rPr>
        <w:t>⑤</w:t>
      </w:r>
      <w:r>
        <w:rPr>
          <w:rFonts w:ascii="宋体" w:hAnsi="宋体"/>
          <w:color w:val="000000"/>
          <w:sz w:val="24"/>
        </w:rPr>
        <w:t xml:space="preserve"> 安全防护措施；</w:t>
      </w:r>
    </w:p>
    <w:p w14:paraId="06EFEFBD">
      <w:pPr>
        <w:spacing w:line="360" w:lineRule="auto"/>
        <w:ind w:firstLine="480" w:firstLineChars="200"/>
        <w:rPr>
          <w:rFonts w:ascii="宋体" w:hAnsi="宋体"/>
          <w:color w:val="000000"/>
          <w:sz w:val="24"/>
        </w:rPr>
      </w:pPr>
      <w:r>
        <w:rPr>
          <w:rFonts w:hint="eastAsia" w:ascii="宋体" w:hAnsi="宋体" w:cs="宋体"/>
          <w:color w:val="000000"/>
          <w:sz w:val="24"/>
        </w:rPr>
        <w:t>⑥</w:t>
      </w:r>
      <w:r>
        <w:rPr>
          <w:rFonts w:ascii="宋体" w:hAnsi="宋体"/>
          <w:color w:val="000000"/>
          <w:sz w:val="24"/>
        </w:rPr>
        <w:t xml:space="preserve"> 组织管理措施。</w:t>
      </w:r>
    </w:p>
    <w:p w14:paraId="296EBD46">
      <w:pPr>
        <w:spacing w:line="360" w:lineRule="auto"/>
        <w:ind w:firstLine="480" w:firstLineChars="200"/>
        <w:rPr>
          <w:rFonts w:ascii="宋体" w:hAnsi="宋体"/>
          <w:color w:val="000000"/>
          <w:sz w:val="24"/>
        </w:rPr>
      </w:pPr>
      <w:r>
        <w:rPr>
          <w:rFonts w:ascii="宋体" w:hAnsi="宋体"/>
          <w:color w:val="000000"/>
          <w:sz w:val="24"/>
        </w:rPr>
        <w:t>矿井各煤层采用的煤巷掘进工作面和采煤工作面各种局部防突措施的效果和参数等都要经实际考察确定。</w:t>
      </w:r>
    </w:p>
    <w:p w14:paraId="7D1BA401">
      <w:pPr>
        <w:spacing w:line="360" w:lineRule="auto"/>
        <w:ind w:firstLine="480" w:firstLineChars="200"/>
        <w:rPr>
          <w:rFonts w:ascii="宋体" w:hAnsi="宋体"/>
          <w:color w:val="000000"/>
          <w:sz w:val="24"/>
        </w:rPr>
      </w:pPr>
      <w:r>
        <w:rPr>
          <w:rFonts w:hint="eastAsia" w:ascii="宋体" w:hAnsi="宋体"/>
          <w:color w:val="000000"/>
          <w:sz w:val="24"/>
        </w:rPr>
        <w:t>6）</w:t>
      </w:r>
      <w:r>
        <w:rPr>
          <w:rFonts w:ascii="宋体" w:hAnsi="宋体"/>
          <w:color w:val="000000"/>
          <w:sz w:val="24"/>
        </w:rPr>
        <w:t>有突出危险的煤巷掘进工作面应当优先选用超前钻孔（包括超前预抽瓦斯钻孔、超前排放钻孔）防突措施。如果采用松动爆破或其他工作面防突措施时，必须经试验考察确认防突效果有效后方可使用。前探支架措施应当配合其他措施一起使用。</w:t>
      </w:r>
    </w:p>
    <w:p w14:paraId="7902DC4A">
      <w:pPr>
        <w:spacing w:line="360" w:lineRule="auto"/>
        <w:ind w:firstLine="480" w:firstLineChars="200"/>
        <w:rPr>
          <w:rFonts w:ascii="宋体" w:hAnsi="宋体"/>
          <w:color w:val="000000"/>
          <w:sz w:val="24"/>
        </w:rPr>
      </w:pPr>
      <w:r>
        <w:rPr>
          <w:rFonts w:ascii="宋体" w:hAnsi="宋体"/>
          <w:color w:val="000000"/>
          <w:sz w:val="24"/>
        </w:rPr>
        <w:t>上山掘进时，不得选用水力冲孔、水力疏松措施。倾角8°以上的上山掘进工作面不得选用松动爆破、水力冲孔、水力疏松措施。</w:t>
      </w:r>
    </w:p>
    <w:p w14:paraId="39ECE5DD">
      <w:pPr>
        <w:spacing w:line="360" w:lineRule="auto"/>
        <w:ind w:firstLine="480" w:firstLineChars="200"/>
        <w:rPr>
          <w:rFonts w:ascii="宋体" w:hAnsi="宋体"/>
          <w:color w:val="000000"/>
          <w:sz w:val="24"/>
        </w:rPr>
      </w:pPr>
      <w:r>
        <w:rPr>
          <w:rFonts w:hint="eastAsia" w:ascii="宋体" w:hAnsi="宋体"/>
          <w:color w:val="000000"/>
          <w:sz w:val="24"/>
        </w:rPr>
        <w:t>7）</w:t>
      </w:r>
      <w:r>
        <w:rPr>
          <w:rFonts w:ascii="宋体" w:hAnsi="宋体"/>
          <w:color w:val="000000"/>
          <w:sz w:val="24"/>
        </w:rPr>
        <w:t>煤巷掘进工作面在地质构造破坏带或煤层赋存条件急剧变化处不能按原措施设计要求实施时，必须打钻孔查明煤层赋存条件，然后采用直径为42～75mm的钻孔排放瓦斯。</w:t>
      </w:r>
    </w:p>
    <w:p w14:paraId="07F6EE20">
      <w:pPr>
        <w:spacing w:line="360" w:lineRule="auto"/>
        <w:ind w:firstLine="480" w:firstLineChars="200"/>
        <w:rPr>
          <w:rFonts w:ascii="宋体" w:hAnsi="宋体"/>
          <w:color w:val="000000"/>
          <w:sz w:val="24"/>
        </w:rPr>
      </w:pPr>
      <w:r>
        <w:rPr>
          <w:rFonts w:ascii="宋体" w:hAnsi="宋体"/>
          <w:color w:val="000000"/>
          <w:sz w:val="24"/>
        </w:rPr>
        <w:t>若突出煤层煤巷掘进工作面前方遇到落差超过煤层厚度的断层，应按石门揭煤的措施执行。</w:t>
      </w:r>
    </w:p>
    <w:p w14:paraId="00705BAD">
      <w:pPr>
        <w:spacing w:line="360" w:lineRule="auto"/>
        <w:ind w:firstLine="480" w:firstLineChars="200"/>
        <w:rPr>
          <w:rFonts w:ascii="宋体" w:hAnsi="宋体"/>
          <w:color w:val="000000"/>
          <w:sz w:val="24"/>
        </w:rPr>
      </w:pPr>
      <w:r>
        <w:rPr>
          <w:rFonts w:hint="eastAsia" w:ascii="宋体" w:hAnsi="宋体" w:cs="宋体"/>
          <w:color w:val="000000"/>
          <w:sz w:val="24"/>
        </w:rPr>
        <w:t>8）</w:t>
      </w:r>
      <w:r>
        <w:rPr>
          <w:rFonts w:ascii="宋体" w:hAnsi="宋体"/>
          <w:color w:val="000000"/>
          <w:sz w:val="24"/>
        </w:rPr>
        <w:t>煤巷掘进工作面采用超前钻孔作为工作面防突措施时，应当符合下列要求：</w:t>
      </w:r>
    </w:p>
    <w:p w14:paraId="1E5ADA73">
      <w:pPr>
        <w:spacing w:line="360" w:lineRule="auto"/>
        <w:ind w:firstLine="480" w:firstLineChars="200"/>
        <w:rPr>
          <w:rFonts w:ascii="宋体" w:hAnsi="宋体"/>
          <w:color w:val="000000"/>
          <w:sz w:val="24"/>
        </w:rPr>
      </w:pPr>
      <w:r>
        <w:rPr>
          <w:rFonts w:hint="eastAsia" w:ascii="宋体" w:hAnsi="宋体" w:cs="宋体"/>
          <w:color w:val="000000"/>
          <w:sz w:val="24"/>
        </w:rPr>
        <w:t>①</w:t>
      </w:r>
      <w:r>
        <w:rPr>
          <w:rFonts w:ascii="宋体" w:hAnsi="宋体"/>
          <w:color w:val="000000"/>
          <w:sz w:val="24"/>
        </w:rPr>
        <w:t xml:space="preserve"> 巷道两侧轮廓线外钻孔的最小控制范围：近水平、倾斜煤层5m，倾斜、急倾斜煤层上帮7m、下帮3m。当煤层厚度大于巷道高度时，在垂直煤层方向上的巷道上部煤层控制范围不小于7m，巷道下部煤层控制范围不小于3m；</w:t>
      </w:r>
    </w:p>
    <w:p w14:paraId="08C39DE2">
      <w:pPr>
        <w:spacing w:line="360" w:lineRule="auto"/>
        <w:ind w:firstLine="480" w:firstLineChars="200"/>
        <w:rPr>
          <w:rFonts w:ascii="宋体" w:hAnsi="宋体"/>
          <w:color w:val="000000"/>
          <w:sz w:val="24"/>
        </w:rPr>
      </w:pPr>
      <w:r>
        <w:rPr>
          <w:rFonts w:hint="eastAsia" w:ascii="宋体" w:hAnsi="宋体" w:cs="宋体"/>
          <w:color w:val="000000"/>
          <w:sz w:val="24"/>
        </w:rPr>
        <w:t>②</w:t>
      </w:r>
      <w:r>
        <w:rPr>
          <w:rFonts w:ascii="宋体" w:hAnsi="宋体"/>
          <w:color w:val="000000"/>
          <w:sz w:val="24"/>
        </w:rPr>
        <w:t xml:space="preserve"> 钻孔在控制范围内应当均匀布置，在煤层的软分层中可适当增加钻孔数。预抽钻孔或超前排放钻孔的孔数、孔底间距等应当根据钻孔的有效抽放或排放半径确定；</w:t>
      </w:r>
    </w:p>
    <w:p w14:paraId="0FD5CE19">
      <w:pPr>
        <w:spacing w:line="360" w:lineRule="auto"/>
        <w:ind w:firstLine="480" w:firstLineChars="200"/>
        <w:rPr>
          <w:rFonts w:ascii="宋体" w:hAnsi="宋体"/>
          <w:color w:val="000000"/>
          <w:sz w:val="24"/>
        </w:rPr>
      </w:pPr>
      <w:r>
        <w:rPr>
          <w:rFonts w:hint="eastAsia" w:ascii="宋体" w:hAnsi="宋体" w:cs="宋体"/>
          <w:color w:val="000000"/>
          <w:sz w:val="24"/>
        </w:rPr>
        <w:t>③</w:t>
      </w:r>
      <w:r>
        <w:rPr>
          <w:rFonts w:ascii="宋体" w:hAnsi="宋体"/>
          <w:color w:val="000000"/>
          <w:sz w:val="24"/>
        </w:rPr>
        <w:t xml:space="preserve"> 钻孔直径应当根据煤层赋存条件、地质构造和瓦斯情况确定，一般为75～120mm，地质条件变化剧烈地带也可采用直径42～75mm的钻孔。若钻孔直径超过120mm时，必须采用专门的钻进设备和制定专门的施工安全措施；</w:t>
      </w:r>
    </w:p>
    <w:p w14:paraId="01B367A3">
      <w:pPr>
        <w:pStyle w:val="56"/>
        <w:spacing w:before="0" w:beforeAutospacing="0" w:after="0" w:afterAutospacing="0" w:line="360" w:lineRule="auto"/>
        <w:ind w:firstLine="480" w:firstLineChars="200"/>
        <w:jc w:val="both"/>
        <w:rPr>
          <w:color w:val="000000"/>
        </w:rPr>
      </w:pPr>
      <w:r>
        <w:rPr>
          <w:color w:val="000000"/>
        </w:rPr>
        <w:t>④ 煤层赋存状态发生变化时，及时探明情况，再重新确定超前钻孔的参数；</w:t>
      </w:r>
    </w:p>
    <w:p w14:paraId="41EE71A8">
      <w:pPr>
        <w:pStyle w:val="56"/>
        <w:spacing w:before="0" w:beforeAutospacing="0" w:after="0" w:afterAutospacing="0" w:line="360" w:lineRule="auto"/>
        <w:ind w:firstLine="480" w:firstLineChars="200"/>
        <w:jc w:val="both"/>
        <w:rPr>
          <w:color w:val="000000"/>
        </w:rPr>
      </w:pPr>
      <w:r>
        <w:rPr>
          <w:color w:val="000000"/>
        </w:rPr>
        <w:t>⑤ 钻孔施工前，加强工作面支护，打好迎面支架，背好工作面煤壁。</w:t>
      </w:r>
    </w:p>
    <w:p w14:paraId="38D45FC7">
      <w:pPr>
        <w:pStyle w:val="56"/>
        <w:spacing w:before="0" w:beforeAutospacing="0" w:after="0" w:afterAutospacing="0" w:line="360" w:lineRule="auto"/>
        <w:ind w:firstLine="480" w:firstLineChars="200"/>
        <w:jc w:val="both"/>
        <w:rPr>
          <w:color w:val="000000"/>
        </w:rPr>
      </w:pPr>
      <w:r>
        <w:rPr>
          <w:rFonts w:hint="eastAsia"/>
          <w:color w:val="000000"/>
        </w:rPr>
        <w:t>9）</w:t>
      </w:r>
      <w:r>
        <w:rPr>
          <w:color w:val="000000"/>
        </w:rPr>
        <w:t>煤巷掘进工作面采用松动爆破防突措施时，应当符合下列要求：</w:t>
      </w:r>
    </w:p>
    <w:p w14:paraId="77083941">
      <w:pPr>
        <w:pStyle w:val="56"/>
        <w:spacing w:before="0" w:beforeAutospacing="0" w:after="0" w:afterAutospacing="0" w:line="360" w:lineRule="auto"/>
        <w:ind w:firstLine="480" w:firstLineChars="200"/>
        <w:jc w:val="both"/>
        <w:rPr>
          <w:color w:val="000000"/>
        </w:rPr>
      </w:pPr>
      <w:r>
        <w:rPr>
          <w:color w:val="000000"/>
        </w:rPr>
        <w:t>① 松动爆破钻孔的孔径一般为42mm，孔深不得小于8m。松动爆破应至少控制到巷道轮廓线外3m的范围。孔数根据松动爆破的有效影响半径确定。松动爆破的有效影响半径通过实测确定；</w:t>
      </w:r>
    </w:p>
    <w:p w14:paraId="67C5A56A">
      <w:pPr>
        <w:pStyle w:val="56"/>
        <w:spacing w:before="0" w:beforeAutospacing="0" w:after="0" w:afterAutospacing="0" w:line="360" w:lineRule="auto"/>
        <w:ind w:firstLine="480" w:firstLineChars="200"/>
        <w:jc w:val="both"/>
        <w:rPr>
          <w:color w:val="000000"/>
        </w:rPr>
      </w:pPr>
      <w:r>
        <w:rPr>
          <w:color w:val="000000"/>
        </w:rPr>
        <w:t>② 松动爆破孔的装药长度为孔长减去5.5～6m；</w:t>
      </w:r>
    </w:p>
    <w:p w14:paraId="2FDDA383">
      <w:pPr>
        <w:spacing w:line="360" w:lineRule="auto"/>
        <w:ind w:firstLine="480" w:firstLineChars="200"/>
        <w:rPr>
          <w:rFonts w:ascii="宋体" w:hAnsi="宋体"/>
          <w:color w:val="000000"/>
          <w:sz w:val="24"/>
        </w:rPr>
      </w:pPr>
      <w:r>
        <w:rPr>
          <w:rFonts w:hint="eastAsia" w:ascii="宋体" w:hAnsi="宋体" w:cs="宋体"/>
          <w:color w:val="000000"/>
          <w:sz w:val="24"/>
        </w:rPr>
        <w:t>③</w:t>
      </w:r>
      <w:r>
        <w:rPr>
          <w:rFonts w:ascii="宋体" w:hAnsi="宋体"/>
          <w:color w:val="000000"/>
          <w:sz w:val="24"/>
        </w:rPr>
        <w:t xml:space="preserve"> 松动爆破按远距离爆破的要求执行。</w:t>
      </w:r>
    </w:p>
    <w:p w14:paraId="2DABD820">
      <w:pPr>
        <w:spacing w:line="360" w:lineRule="auto"/>
        <w:ind w:firstLine="480" w:firstLineChars="200"/>
        <w:rPr>
          <w:rFonts w:ascii="宋体" w:hAnsi="宋体"/>
          <w:color w:val="000000"/>
          <w:sz w:val="24"/>
        </w:rPr>
      </w:pPr>
      <w:r>
        <w:rPr>
          <w:rFonts w:hint="eastAsia" w:ascii="宋体" w:hAnsi="宋体" w:cs="宋体"/>
          <w:color w:val="000000"/>
          <w:sz w:val="24"/>
        </w:rPr>
        <w:t>10）</w:t>
      </w:r>
      <w:r>
        <w:rPr>
          <w:rFonts w:ascii="宋体" w:hAnsi="宋体"/>
          <w:color w:val="000000"/>
          <w:sz w:val="24"/>
        </w:rPr>
        <w:t>前探支架可用于松软煤层的平巷工作面。一般是向工作面前方打钻孔，孔内插入钢管或钢轨，其长度可按两次掘进循环的长度再加0.5m，每掘进一次打一排钻孔，形成两排钻孔交替前进，钻孔间距为0.2～0.3m。</w:t>
      </w:r>
    </w:p>
    <w:p w14:paraId="6DB0BDFF">
      <w:pPr>
        <w:spacing w:line="360" w:lineRule="auto"/>
        <w:ind w:firstLine="480" w:firstLineChars="200"/>
        <w:rPr>
          <w:rFonts w:hint="eastAsia" w:ascii="宋体" w:hAnsi="宋体"/>
          <w:color w:val="000000"/>
          <w:sz w:val="24"/>
        </w:rPr>
      </w:pPr>
      <w:r>
        <w:rPr>
          <w:rFonts w:hint="eastAsia" w:ascii="宋体" w:hAnsi="宋体"/>
          <w:color w:val="000000"/>
          <w:sz w:val="24"/>
        </w:rPr>
        <w:t>11）煤巷掘进工作面防治突出措施</w:t>
      </w:r>
    </w:p>
    <w:p w14:paraId="48833854">
      <w:pPr>
        <w:spacing w:line="360" w:lineRule="auto"/>
        <w:ind w:firstLine="480" w:firstLineChars="200"/>
        <w:rPr>
          <w:rFonts w:hint="eastAsia" w:ascii="宋体" w:hAnsi="宋体"/>
          <w:color w:val="000000"/>
          <w:sz w:val="24"/>
        </w:rPr>
      </w:pPr>
      <w:r>
        <w:rPr>
          <w:rFonts w:hint="eastAsia" w:ascii="宋体" w:hAnsi="宋体"/>
          <w:color w:val="000000"/>
          <w:sz w:val="24"/>
        </w:rPr>
        <w:t>设计结合本煤矿生产实际情况，采用施工顺层钻孔预抽煤层瓦斯作为区域性防突措施。煤层掘进时，经效果检验无突出危险时，可不采取措施，当未消除突出危险时，在煤巷掘进中布置钻场进行抽放。</w:t>
      </w:r>
    </w:p>
    <w:p w14:paraId="585167AE">
      <w:pPr>
        <w:spacing w:line="360" w:lineRule="auto"/>
        <w:ind w:firstLine="480" w:firstLineChars="200"/>
        <w:rPr>
          <w:rFonts w:hint="eastAsia" w:ascii="宋体" w:hAnsi="宋体"/>
          <w:color w:val="000000"/>
          <w:sz w:val="24"/>
        </w:rPr>
      </w:pPr>
      <w:r>
        <w:rPr>
          <w:rFonts w:hint="eastAsia" w:ascii="宋体" w:hAnsi="宋体"/>
          <w:color w:val="000000"/>
          <w:sz w:val="24"/>
        </w:rPr>
        <w:t>①钻场布置</w:t>
      </w:r>
    </w:p>
    <w:p w14:paraId="54BD6E9B">
      <w:pPr>
        <w:spacing w:line="360" w:lineRule="auto"/>
        <w:ind w:firstLine="480" w:firstLineChars="200"/>
        <w:rPr>
          <w:rFonts w:ascii="宋体" w:hAnsi="宋体"/>
          <w:sz w:val="24"/>
        </w:rPr>
      </w:pPr>
      <w:r>
        <w:rPr>
          <w:rFonts w:hint="eastAsia" w:ascii="宋体" w:hAnsi="宋体"/>
          <w:sz w:val="24"/>
        </w:rPr>
        <w:t xml:space="preserve">在煤巷掘进工作面巷道两帮施工钻场，其优点是不影响掘进速度，且抽放效果较好，缺点是需掘钻场，增加工程量。钻场尺寸根据巷帮瓦斯抽放钻孔的布置要求，以及使用的钻机外形尺寸及钻杆的长度确定。结合矿井实际情况，每组钻场在煤巷两侧交替布置，同侧相邻两个钻场之间的距离为30m，控制范围为巷道轮廓线外20.5m，钻孔必须超前于掘进工作面31.5m，符合《煤矿瓦斯抽采基本指标》（AQ1026-2006）标准的规定。煤巷掘进抽放钻场和钻孔布置见 </w:t>
      </w:r>
      <w:r>
        <w:rPr>
          <w:rFonts w:hint="eastAsia" w:ascii="宋体" w:hAnsi="宋体"/>
          <w:b/>
          <w:sz w:val="24"/>
        </w:rPr>
        <w:t>图4-3-8</w:t>
      </w:r>
      <w:r>
        <w:rPr>
          <w:rFonts w:hint="eastAsia" w:ascii="宋体" w:hAnsi="宋体"/>
          <w:sz w:val="24"/>
        </w:rPr>
        <w:t>。</w:t>
      </w:r>
    </w:p>
    <w:p w14:paraId="48C7065B">
      <w:pPr>
        <w:spacing w:line="360" w:lineRule="auto"/>
        <w:jc w:val="center"/>
        <w:rPr>
          <w:rFonts w:hint="eastAsia"/>
        </w:rPr>
      </w:pPr>
      <w:r>
        <w:drawing>
          <wp:inline distT="0" distB="0" distL="114300" distR="114300">
            <wp:extent cx="5723255" cy="2346960"/>
            <wp:effectExtent l="0" t="0" r="0" b="0"/>
            <wp:docPr id="3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8"/>
                    <pic:cNvPicPr>
                      <a:picLocks noChangeAspect="1"/>
                    </pic:cNvPicPr>
                  </pic:nvPicPr>
                  <pic:blipFill>
                    <a:blip r:embed="rId162"/>
                    <a:srcRect l="8939" t="10823" r="9155" b="19164"/>
                    <a:stretch>
                      <a:fillRect/>
                    </a:stretch>
                  </pic:blipFill>
                  <pic:spPr>
                    <a:xfrm>
                      <a:off x="0" y="0"/>
                      <a:ext cx="5723255" cy="2346960"/>
                    </a:xfrm>
                    <a:prstGeom prst="rect">
                      <a:avLst/>
                    </a:prstGeom>
                    <a:noFill/>
                    <a:ln>
                      <a:noFill/>
                    </a:ln>
                  </pic:spPr>
                </pic:pic>
              </a:graphicData>
            </a:graphic>
          </wp:inline>
        </w:drawing>
      </w:r>
    </w:p>
    <w:p w14:paraId="46852FF8">
      <w:pPr>
        <w:spacing w:line="360" w:lineRule="auto"/>
        <w:jc w:val="center"/>
        <w:rPr>
          <w:rFonts w:hint="eastAsia" w:ascii="宋体" w:hAnsi="宋体"/>
          <w:b/>
          <w:sz w:val="24"/>
        </w:rPr>
      </w:pPr>
      <w:r>
        <w:rPr>
          <w:rFonts w:hint="eastAsia" w:ascii="宋体" w:hAnsi="宋体"/>
          <w:b/>
          <w:sz w:val="24"/>
        </w:rPr>
        <w:t>图4-3-8       煤巷掘进工作面抽放钻场和钻孔布置图</w:t>
      </w:r>
    </w:p>
    <w:p w14:paraId="3C5686F7">
      <w:pPr>
        <w:spacing w:line="360" w:lineRule="auto"/>
        <w:ind w:firstLine="480" w:firstLineChars="200"/>
        <w:rPr>
          <w:rFonts w:hint="eastAsia" w:ascii="宋体" w:hAnsi="宋体"/>
          <w:color w:val="000000"/>
          <w:sz w:val="24"/>
        </w:rPr>
      </w:pPr>
      <w:r>
        <w:rPr>
          <w:rFonts w:hint="eastAsia" w:ascii="宋体" w:hAnsi="宋体"/>
          <w:color w:val="000000"/>
          <w:sz w:val="24"/>
        </w:rPr>
        <w:t>②钻孔布置</w:t>
      </w:r>
    </w:p>
    <w:p w14:paraId="2948C0B3">
      <w:pPr>
        <w:spacing w:line="360" w:lineRule="auto"/>
        <w:ind w:firstLine="480" w:firstLineChars="200"/>
        <w:rPr>
          <w:rFonts w:hint="eastAsia" w:ascii="宋体" w:hAnsi="宋体"/>
          <w:color w:val="000000"/>
          <w:sz w:val="24"/>
        </w:rPr>
      </w:pPr>
      <w:r>
        <w:rPr>
          <w:rFonts w:hint="eastAsia" w:ascii="宋体" w:hAnsi="宋体"/>
          <w:color w:val="0000FF"/>
          <w:sz w:val="24"/>
        </w:rPr>
        <w:t>每个钻场内，沿走向布置12个抽放钻孔，即在左、右钻场各布置6个，钻孔编号为1#～12#，孔深分别为1#（63.04m）、2#（61.93m）、3#（61.06m）、4#（60.45m）、5#（60.09m）、6#（60.0m），6#～12#钻孔深与1#～6#钻孔相同，其中，右边钻场为1#～6#钻孔，终孔位置在工作面前方煤层中部，距巷道掘进中心线的距离分别为2m、6m、10m、14m、18m、22m，开孔位置距巷道中心线距离为3.2m；左边钻场为6#～12#钻孔，终孔位置、开孔位置同右边钻场的要求一样。该钻孔布置参数在矿井抽放过程中对抽放量、抽放浓度、防突效果等考察后，可根据实际情况进行调整。</w:t>
      </w:r>
      <w:r>
        <w:rPr>
          <w:rFonts w:hint="eastAsia" w:ascii="宋体" w:hAnsi="宋体"/>
          <w:color w:val="000000"/>
          <w:sz w:val="24"/>
        </w:rPr>
        <w:t>钻孔参数见下</w:t>
      </w:r>
      <w:r>
        <w:rPr>
          <w:rFonts w:hint="eastAsia" w:ascii="宋体" w:hAnsi="宋体"/>
          <w:b/>
          <w:color w:val="000000"/>
          <w:sz w:val="24"/>
        </w:rPr>
        <w:t>表</w:t>
      </w:r>
      <w:r>
        <w:rPr>
          <w:rFonts w:hint="eastAsia" w:ascii="宋体" w:hAnsi="宋体"/>
          <w:color w:val="000000"/>
          <w:sz w:val="24"/>
        </w:rPr>
        <w:t>。</w:t>
      </w:r>
    </w:p>
    <w:p w14:paraId="44A4B69C">
      <w:pPr>
        <w:spacing w:line="360" w:lineRule="auto"/>
        <w:jc w:val="center"/>
        <w:rPr>
          <w:rFonts w:hint="eastAsia" w:ascii="宋体" w:hAnsi="宋体"/>
          <w:color w:val="000000"/>
          <w:sz w:val="24"/>
        </w:rPr>
      </w:pPr>
      <w:r>
        <w:rPr>
          <w:rFonts w:hint="eastAsia" w:ascii="宋体" w:hAnsi="宋体"/>
          <w:color w:val="000000"/>
          <w:sz w:val="24"/>
        </w:rPr>
        <w:t>煤巷掘进抽放钻孔参数表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7"/>
        <w:gridCol w:w="1270"/>
        <w:gridCol w:w="1702"/>
        <w:gridCol w:w="885"/>
        <w:gridCol w:w="1433"/>
        <w:gridCol w:w="1408"/>
        <w:gridCol w:w="1527"/>
      </w:tblGrid>
      <w:tr w14:paraId="2A789A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vMerge w:val="restart"/>
            <w:noWrap w:val="0"/>
            <w:vAlign w:val="center"/>
          </w:tcPr>
          <w:p w14:paraId="16560FF0">
            <w:pPr>
              <w:widowControl/>
              <w:jc w:val="center"/>
              <w:rPr>
                <w:rFonts w:ascii="宋体" w:hAnsi="宋体" w:cs="宋体"/>
                <w:color w:val="0000FF"/>
              </w:rPr>
            </w:pPr>
            <w:r>
              <w:rPr>
                <w:rFonts w:hint="eastAsia" w:ascii="宋体" w:hAnsi="宋体" w:cs="宋体"/>
                <w:color w:val="0000FF"/>
              </w:rPr>
              <w:t>孔号</w:t>
            </w:r>
          </w:p>
        </w:tc>
        <w:tc>
          <w:tcPr>
            <w:tcW w:w="1270" w:type="dxa"/>
            <w:vMerge w:val="restart"/>
            <w:noWrap w:val="0"/>
            <w:vAlign w:val="center"/>
          </w:tcPr>
          <w:p w14:paraId="65B014E0">
            <w:pPr>
              <w:widowControl/>
              <w:jc w:val="center"/>
              <w:rPr>
                <w:rFonts w:ascii="宋体" w:hAnsi="宋体" w:cs="宋体"/>
                <w:color w:val="0000FF"/>
              </w:rPr>
            </w:pPr>
            <w:r>
              <w:rPr>
                <w:rFonts w:hint="eastAsia" w:ascii="宋体" w:hAnsi="宋体" w:cs="宋体"/>
                <w:color w:val="0000FF"/>
              </w:rPr>
              <w:t>每组钻场个数</w:t>
            </w:r>
            <w:r>
              <w:rPr>
                <w:rFonts w:ascii="宋体" w:hAnsi="宋体"/>
                <w:color w:val="0000FF"/>
              </w:rPr>
              <w:t>(</w:t>
            </w:r>
            <w:r>
              <w:rPr>
                <w:rFonts w:hint="eastAsia" w:ascii="宋体" w:hAnsi="宋体" w:cs="宋体"/>
                <w:color w:val="0000FF"/>
              </w:rPr>
              <w:t>个</w:t>
            </w:r>
            <w:r>
              <w:rPr>
                <w:rFonts w:ascii="宋体" w:hAnsi="宋体"/>
                <w:color w:val="0000FF"/>
              </w:rPr>
              <w:t>)</w:t>
            </w:r>
          </w:p>
        </w:tc>
        <w:tc>
          <w:tcPr>
            <w:tcW w:w="1702" w:type="dxa"/>
            <w:vMerge w:val="restart"/>
            <w:noWrap w:val="0"/>
            <w:vAlign w:val="center"/>
          </w:tcPr>
          <w:p w14:paraId="23A94654">
            <w:pPr>
              <w:widowControl/>
              <w:jc w:val="center"/>
              <w:rPr>
                <w:rFonts w:hint="eastAsia" w:ascii="宋体" w:hAnsi="宋体" w:cs="宋体"/>
                <w:color w:val="0000FF"/>
              </w:rPr>
            </w:pPr>
            <w:r>
              <w:rPr>
                <w:rFonts w:hint="eastAsia" w:ascii="宋体" w:hAnsi="宋体" w:cs="宋体"/>
                <w:color w:val="0000FF"/>
              </w:rPr>
              <w:t>钻场规格</w:t>
            </w:r>
          </w:p>
          <w:p w14:paraId="7024DB99">
            <w:pPr>
              <w:widowControl/>
              <w:jc w:val="center"/>
              <w:rPr>
                <w:rFonts w:ascii="宋体" w:hAnsi="宋体" w:cs="宋体"/>
                <w:color w:val="0000FF"/>
              </w:rPr>
            </w:pPr>
            <w:r>
              <w:rPr>
                <w:rFonts w:hint="eastAsia" w:ascii="宋体" w:hAnsi="宋体" w:cs="宋体"/>
                <w:color w:val="0000FF"/>
              </w:rPr>
              <w:t>长×宽×高（m）</w:t>
            </w:r>
          </w:p>
        </w:tc>
        <w:tc>
          <w:tcPr>
            <w:tcW w:w="885" w:type="dxa"/>
            <w:vMerge w:val="restart"/>
            <w:noWrap w:val="0"/>
            <w:vAlign w:val="center"/>
          </w:tcPr>
          <w:p w14:paraId="53898FD3">
            <w:pPr>
              <w:widowControl/>
              <w:jc w:val="center"/>
              <w:rPr>
                <w:rFonts w:ascii="宋体" w:hAnsi="宋体" w:cs="宋体"/>
                <w:color w:val="0000FF"/>
              </w:rPr>
            </w:pPr>
            <w:r>
              <w:rPr>
                <w:rFonts w:hint="eastAsia" w:ascii="宋体" w:hAnsi="宋体" w:cs="宋体"/>
                <w:color w:val="0000FF"/>
              </w:rPr>
              <w:t>钻孔长度（m）</w:t>
            </w:r>
          </w:p>
        </w:tc>
        <w:tc>
          <w:tcPr>
            <w:tcW w:w="1433" w:type="dxa"/>
            <w:vMerge w:val="restart"/>
            <w:noWrap w:val="0"/>
            <w:vAlign w:val="center"/>
          </w:tcPr>
          <w:p w14:paraId="10767B9A">
            <w:pPr>
              <w:widowControl/>
              <w:jc w:val="center"/>
              <w:rPr>
                <w:rFonts w:ascii="宋体" w:hAnsi="宋体" w:cs="宋体"/>
                <w:color w:val="0000FF"/>
              </w:rPr>
            </w:pPr>
            <w:r>
              <w:rPr>
                <w:rFonts w:hint="eastAsia" w:ascii="宋体" w:hAnsi="宋体" w:cs="宋体"/>
                <w:color w:val="0000FF"/>
              </w:rPr>
              <w:t>孔口与巷道中线距离</w:t>
            </w:r>
            <w:r>
              <w:rPr>
                <w:rFonts w:ascii="宋体" w:hAnsi="宋体"/>
                <w:color w:val="0000FF"/>
              </w:rPr>
              <w:t>(m)</w:t>
            </w:r>
          </w:p>
        </w:tc>
        <w:tc>
          <w:tcPr>
            <w:tcW w:w="1408" w:type="dxa"/>
            <w:vMerge w:val="restart"/>
            <w:noWrap w:val="0"/>
            <w:vAlign w:val="center"/>
          </w:tcPr>
          <w:p w14:paraId="35EFB0A8">
            <w:pPr>
              <w:widowControl/>
              <w:jc w:val="center"/>
              <w:rPr>
                <w:rFonts w:ascii="宋体" w:hAnsi="宋体" w:cs="宋体"/>
                <w:color w:val="0000FF"/>
              </w:rPr>
            </w:pPr>
            <w:r>
              <w:rPr>
                <w:rFonts w:hint="eastAsia" w:ascii="宋体" w:hAnsi="宋体" w:cs="宋体"/>
                <w:color w:val="0000FF"/>
              </w:rPr>
              <w:t>终孔与巷道中线距离</w:t>
            </w:r>
            <w:r>
              <w:rPr>
                <w:rFonts w:ascii="宋体" w:hAnsi="宋体"/>
                <w:color w:val="0000FF"/>
              </w:rPr>
              <w:t>(m)</w:t>
            </w:r>
          </w:p>
        </w:tc>
        <w:tc>
          <w:tcPr>
            <w:tcW w:w="1527" w:type="dxa"/>
            <w:vMerge w:val="restart"/>
            <w:noWrap w:val="0"/>
            <w:vAlign w:val="center"/>
          </w:tcPr>
          <w:p w14:paraId="16B5D47B">
            <w:pPr>
              <w:widowControl/>
              <w:jc w:val="center"/>
              <w:rPr>
                <w:rFonts w:ascii="宋体" w:hAnsi="宋体" w:cs="宋体"/>
                <w:color w:val="0000FF"/>
              </w:rPr>
            </w:pPr>
            <w:r>
              <w:rPr>
                <w:rFonts w:hint="eastAsia" w:ascii="宋体" w:hAnsi="宋体" w:cs="宋体"/>
                <w:color w:val="0000FF"/>
              </w:rPr>
              <w:t>孔与巷道掘进中线方位偏角</w:t>
            </w:r>
            <w:r>
              <w:rPr>
                <w:rFonts w:ascii="宋体" w:hAnsi="宋体"/>
                <w:color w:val="0000FF"/>
              </w:rPr>
              <w:t>(</w:t>
            </w:r>
            <w:r>
              <w:rPr>
                <w:rFonts w:hint="eastAsia" w:ascii="宋体" w:hAnsi="宋体"/>
                <w:color w:val="0000FF"/>
              </w:rPr>
              <w:t>°′″</w:t>
            </w:r>
            <w:r>
              <w:rPr>
                <w:rFonts w:ascii="宋体" w:hAnsi="宋体"/>
                <w:color w:val="0000FF"/>
              </w:rPr>
              <w:t>)</w:t>
            </w:r>
          </w:p>
        </w:tc>
      </w:tr>
      <w:tr w14:paraId="75F430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vMerge w:val="continue"/>
            <w:noWrap w:val="0"/>
            <w:vAlign w:val="center"/>
          </w:tcPr>
          <w:p w14:paraId="0908EF6C">
            <w:pPr>
              <w:widowControl/>
              <w:jc w:val="center"/>
              <w:rPr>
                <w:rFonts w:ascii="宋体" w:hAnsi="宋体" w:cs="宋体"/>
                <w:color w:val="0000FF"/>
              </w:rPr>
            </w:pPr>
          </w:p>
        </w:tc>
        <w:tc>
          <w:tcPr>
            <w:tcW w:w="1270" w:type="dxa"/>
            <w:vMerge w:val="continue"/>
            <w:noWrap w:val="0"/>
            <w:vAlign w:val="center"/>
          </w:tcPr>
          <w:p w14:paraId="0163E540">
            <w:pPr>
              <w:widowControl/>
              <w:jc w:val="center"/>
              <w:rPr>
                <w:rFonts w:ascii="宋体" w:hAnsi="宋体" w:cs="宋体"/>
                <w:color w:val="0000FF"/>
              </w:rPr>
            </w:pPr>
          </w:p>
        </w:tc>
        <w:tc>
          <w:tcPr>
            <w:tcW w:w="1702" w:type="dxa"/>
            <w:vMerge w:val="continue"/>
            <w:noWrap w:val="0"/>
            <w:vAlign w:val="center"/>
          </w:tcPr>
          <w:p w14:paraId="406D30CB">
            <w:pPr>
              <w:widowControl/>
              <w:jc w:val="center"/>
              <w:rPr>
                <w:rFonts w:ascii="宋体" w:hAnsi="宋体" w:cs="宋体"/>
                <w:color w:val="0000FF"/>
              </w:rPr>
            </w:pPr>
          </w:p>
        </w:tc>
        <w:tc>
          <w:tcPr>
            <w:tcW w:w="885" w:type="dxa"/>
            <w:vMerge w:val="continue"/>
            <w:noWrap w:val="0"/>
            <w:vAlign w:val="center"/>
          </w:tcPr>
          <w:p w14:paraId="1622D797">
            <w:pPr>
              <w:widowControl/>
              <w:jc w:val="center"/>
              <w:rPr>
                <w:rFonts w:ascii="宋体" w:hAnsi="宋体" w:cs="宋体"/>
                <w:color w:val="0000FF"/>
              </w:rPr>
            </w:pPr>
          </w:p>
        </w:tc>
        <w:tc>
          <w:tcPr>
            <w:tcW w:w="1433" w:type="dxa"/>
            <w:vMerge w:val="continue"/>
            <w:noWrap w:val="0"/>
            <w:vAlign w:val="center"/>
          </w:tcPr>
          <w:p w14:paraId="38A6E90A">
            <w:pPr>
              <w:widowControl/>
              <w:jc w:val="center"/>
              <w:rPr>
                <w:rFonts w:ascii="宋体" w:hAnsi="宋体" w:cs="宋体"/>
                <w:color w:val="0000FF"/>
              </w:rPr>
            </w:pPr>
          </w:p>
        </w:tc>
        <w:tc>
          <w:tcPr>
            <w:tcW w:w="1408" w:type="dxa"/>
            <w:vMerge w:val="continue"/>
            <w:noWrap w:val="0"/>
            <w:vAlign w:val="center"/>
          </w:tcPr>
          <w:p w14:paraId="5976AC26">
            <w:pPr>
              <w:widowControl/>
              <w:jc w:val="center"/>
              <w:rPr>
                <w:rFonts w:ascii="宋体" w:hAnsi="宋体" w:cs="宋体"/>
                <w:color w:val="0000FF"/>
              </w:rPr>
            </w:pPr>
          </w:p>
        </w:tc>
        <w:tc>
          <w:tcPr>
            <w:tcW w:w="1527" w:type="dxa"/>
            <w:vMerge w:val="continue"/>
            <w:noWrap w:val="0"/>
            <w:vAlign w:val="center"/>
          </w:tcPr>
          <w:p w14:paraId="138E4F23">
            <w:pPr>
              <w:widowControl/>
              <w:jc w:val="center"/>
              <w:rPr>
                <w:rFonts w:ascii="宋体" w:hAnsi="宋体" w:cs="宋体"/>
                <w:color w:val="0000FF"/>
              </w:rPr>
            </w:pPr>
          </w:p>
        </w:tc>
      </w:tr>
      <w:tr w14:paraId="5DE026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vMerge w:val="continue"/>
            <w:noWrap w:val="0"/>
            <w:vAlign w:val="center"/>
          </w:tcPr>
          <w:p w14:paraId="31EE7B80">
            <w:pPr>
              <w:widowControl/>
              <w:jc w:val="center"/>
              <w:rPr>
                <w:rFonts w:ascii="宋体" w:hAnsi="宋体" w:cs="宋体"/>
                <w:color w:val="0000FF"/>
              </w:rPr>
            </w:pPr>
          </w:p>
        </w:tc>
        <w:tc>
          <w:tcPr>
            <w:tcW w:w="1270" w:type="dxa"/>
            <w:vMerge w:val="continue"/>
            <w:noWrap w:val="0"/>
            <w:vAlign w:val="center"/>
          </w:tcPr>
          <w:p w14:paraId="4EE6BEDF">
            <w:pPr>
              <w:widowControl/>
              <w:jc w:val="center"/>
              <w:rPr>
                <w:rFonts w:ascii="宋体" w:hAnsi="宋体" w:cs="宋体"/>
                <w:color w:val="0000FF"/>
              </w:rPr>
            </w:pPr>
          </w:p>
        </w:tc>
        <w:tc>
          <w:tcPr>
            <w:tcW w:w="1702" w:type="dxa"/>
            <w:vMerge w:val="continue"/>
            <w:noWrap w:val="0"/>
            <w:vAlign w:val="center"/>
          </w:tcPr>
          <w:p w14:paraId="3AF80DD9">
            <w:pPr>
              <w:widowControl/>
              <w:jc w:val="center"/>
              <w:rPr>
                <w:rFonts w:ascii="宋体" w:hAnsi="宋体" w:cs="宋体"/>
                <w:color w:val="0000FF"/>
              </w:rPr>
            </w:pPr>
          </w:p>
        </w:tc>
        <w:tc>
          <w:tcPr>
            <w:tcW w:w="885" w:type="dxa"/>
            <w:vMerge w:val="continue"/>
            <w:noWrap w:val="0"/>
            <w:vAlign w:val="center"/>
          </w:tcPr>
          <w:p w14:paraId="74714DB2">
            <w:pPr>
              <w:widowControl/>
              <w:jc w:val="center"/>
              <w:rPr>
                <w:rFonts w:ascii="宋体" w:hAnsi="宋体" w:cs="宋体"/>
                <w:color w:val="0000FF"/>
              </w:rPr>
            </w:pPr>
          </w:p>
        </w:tc>
        <w:tc>
          <w:tcPr>
            <w:tcW w:w="1433" w:type="dxa"/>
            <w:vMerge w:val="continue"/>
            <w:noWrap w:val="0"/>
            <w:vAlign w:val="center"/>
          </w:tcPr>
          <w:p w14:paraId="3C029E3F">
            <w:pPr>
              <w:widowControl/>
              <w:jc w:val="center"/>
              <w:rPr>
                <w:rFonts w:ascii="宋体" w:hAnsi="宋体" w:cs="宋体"/>
                <w:color w:val="0000FF"/>
              </w:rPr>
            </w:pPr>
          </w:p>
        </w:tc>
        <w:tc>
          <w:tcPr>
            <w:tcW w:w="1408" w:type="dxa"/>
            <w:vMerge w:val="continue"/>
            <w:noWrap w:val="0"/>
            <w:vAlign w:val="center"/>
          </w:tcPr>
          <w:p w14:paraId="194F5DD3">
            <w:pPr>
              <w:widowControl/>
              <w:jc w:val="center"/>
              <w:rPr>
                <w:rFonts w:ascii="宋体" w:hAnsi="宋体" w:cs="宋体"/>
                <w:color w:val="0000FF"/>
              </w:rPr>
            </w:pPr>
          </w:p>
        </w:tc>
        <w:tc>
          <w:tcPr>
            <w:tcW w:w="1527" w:type="dxa"/>
            <w:vMerge w:val="continue"/>
            <w:noWrap w:val="0"/>
            <w:vAlign w:val="center"/>
          </w:tcPr>
          <w:p w14:paraId="0F2EB558">
            <w:pPr>
              <w:widowControl/>
              <w:jc w:val="center"/>
              <w:rPr>
                <w:rFonts w:ascii="宋体" w:hAnsi="宋体" w:cs="宋体"/>
                <w:color w:val="0000FF"/>
              </w:rPr>
            </w:pPr>
          </w:p>
        </w:tc>
      </w:tr>
      <w:tr w14:paraId="6BE54F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4503A60E">
            <w:pPr>
              <w:widowControl/>
              <w:jc w:val="center"/>
              <w:rPr>
                <w:rFonts w:ascii="宋体" w:hAnsi="宋体" w:cs="宋体"/>
                <w:color w:val="0000FF"/>
              </w:rPr>
            </w:pPr>
            <w:r>
              <w:rPr>
                <w:rFonts w:ascii="宋体" w:hAnsi="宋体" w:cs="宋体"/>
                <w:color w:val="0000FF"/>
              </w:rPr>
              <w:t>1#</w:t>
            </w:r>
          </w:p>
        </w:tc>
        <w:tc>
          <w:tcPr>
            <w:tcW w:w="1270" w:type="dxa"/>
            <w:vMerge w:val="restart"/>
            <w:noWrap w:val="0"/>
            <w:vAlign w:val="center"/>
          </w:tcPr>
          <w:p w14:paraId="363DFF80">
            <w:pPr>
              <w:widowControl/>
              <w:jc w:val="center"/>
              <w:rPr>
                <w:rFonts w:ascii="宋体" w:hAnsi="宋体"/>
                <w:color w:val="0000FF"/>
              </w:rPr>
            </w:pPr>
            <w:r>
              <w:rPr>
                <w:rFonts w:ascii="宋体" w:hAnsi="宋体"/>
                <w:color w:val="0000FF"/>
              </w:rPr>
              <w:t>2</w:t>
            </w:r>
            <w:r>
              <w:rPr>
                <w:rFonts w:hint="eastAsia" w:ascii="宋体" w:hAnsi="宋体"/>
                <w:color w:val="0000FF"/>
              </w:rPr>
              <w:t>个</w:t>
            </w:r>
            <w:r>
              <w:rPr>
                <w:rFonts w:ascii="宋体" w:hAnsi="宋体"/>
                <w:color w:val="0000FF"/>
              </w:rPr>
              <w:t>(</w:t>
            </w:r>
            <w:r>
              <w:rPr>
                <w:rFonts w:hint="eastAsia" w:ascii="宋体" w:hAnsi="宋体"/>
                <w:color w:val="0000FF"/>
              </w:rPr>
              <w:t>巷道两帮各一个）</w:t>
            </w:r>
          </w:p>
        </w:tc>
        <w:tc>
          <w:tcPr>
            <w:tcW w:w="1702" w:type="dxa"/>
            <w:vMerge w:val="restart"/>
            <w:noWrap w:val="0"/>
            <w:vAlign w:val="center"/>
          </w:tcPr>
          <w:p w14:paraId="582C91E4">
            <w:pPr>
              <w:widowControl/>
              <w:jc w:val="center"/>
              <w:rPr>
                <w:rFonts w:hint="eastAsia" w:ascii="宋体" w:hAnsi="宋体"/>
                <w:color w:val="0000FF"/>
              </w:rPr>
            </w:pPr>
            <w:r>
              <w:rPr>
                <w:rFonts w:ascii="宋体" w:hAnsi="宋体"/>
                <w:color w:val="0000FF"/>
              </w:rPr>
              <w:t>3.0</w:t>
            </w:r>
            <w:r>
              <w:rPr>
                <w:rFonts w:hint="eastAsia" w:ascii="宋体" w:hAnsi="宋体"/>
                <w:color w:val="0000FF"/>
              </w:rPr>
              <w:t>×</w:t>
            </w:r>
            <w:r>
              <w:rPr>
                <w:rFonts w:ascii="宋体" w:hAnsi="宋体"/>
                <w:color w:val="0000FF"/>
              </w:rPr>
              <w:t>3.0</w:t>
            </w:r>
            <w:r>
              <w:rPr>
                <w:rFonts w:hint="eastAsia" w:ascii="宋体" w:hAnsi="宋体"/>
                <w:color w:val="0000FF"/>
              </w:rPr>
              <w:t>×</w:t>
            </w:r>
            <w:r>
              <w:rPr>
                <w:rFonts w:ascii="宋体" w:hAnsi="宋体"/>
                <w:color w:val="0000FF"/>
              </w:rPr>
              <w:t>2.</w:t>
            </w:r>
            <w:r>
              <w:rPr>
                <w:rFonts w:hint="eastAsia" w:ascii="宋体" w:hAnsi="宋体"/>
                <w:color w:val="0000FF"/>
              </w:rPr>
              <w:t>2</w:t>
            </w:r>
          </w:p>
        </w:tc>
        <w:tc>
          <w:tcPr>
            <w:tcW w:w="885" w:type="dxa"/>
            <w:noWrap w:val="0"/>
            <w:vAlign w:val="center"/>
          </w:tcPr>
          <w:p w14:paraId="6A9EFD97">
            <w:pPr>
              <w:widowControl/>
              <w:jc w:val="center"/>
              <w:rPr>
                <w:rFonts w:hint="eastAsia" w:ascii="宋体" w:hAnsi="宋体"/>
                <w:color w:val="0000FF"/>
              </w:rPr>
            </w:pPr>
            <w:r>
              <w:rPr>
                <w:rFonts w:hint="eastAsia" w:ascii="宋体" w:hAnsi="宋体"/>
                <w:color w:val="0000FF"/>
              </w:rPr>
              <w:t>63.04</w:t>
            </w:r>
          </w:p>
        </w:tc>
        <w:tc>
          <w:tcPr>
            <w:tcW w:w="1433" w:type="dxa"/>
            <w:noWrap w:val="0"/>
            <w:vAlign w:val="center"/>
          </w:tcPr>
          <w:p w14:paraId="5D9A758E">
            <w:pPr>
              <w:widowControl/>
              <w:jc w:val="center"/>
              <w:rPr>
                <w:rFonts w:ascii="宋体" w:hAnsi="宋体"/>
                <w:color w:val="0000FF"/>
              </w:rPr>
            </w:pPr>
            <w:r>
              <w:rPr>
                <w:rFonts w:ascii="宋体" w:hAnsi="宋体"/>
                <w:color w:val="0000FF"/>
              </w:rPr>
              <w:t>3.2</w:t>
            </w:r>
          </w:p>
        </w:tc>
        <w:tc>
          <w:tcPr>
            <w:tcW w:w="1408" w:type="dxa"/>
            <w:noWrap w:val="0"/>
            <w:vAlign w:val="center"/>
          </w:tcPr>
          <w:p w14:paraId="6B29CB36">
            <w:pPr>
              <w:widowControl/>
              <w:jc w:val="center"/>
              <w:rPr>
                <w:rFonts w:hint="eastAsia" w:ascii="宋体" w:hAnsi="宋体"/>
                <w:color w:val="0000FF"/>
              </w:rPr>
            </w:pPr>
            <w:r>
              <w:rPr>
                <w:rFonts w:hint="eastAsia" w:ascii="宋体" w:hAnsi="宋体"/>
                <w:color w:val="0000FF"/>
              </w:rPr>
              <w:t>22</w:t>
            </w:r>
          </w:p>
        </w:tc>
        <w:tc>
          <w:tcPr>
            <w:tcW w:w="1527" w:type="dxa"/>
            <w:noWrap w:val="0"/>
            <w:vAlign w:val="center"/>
          </w:tcPr>
          <w:p w14:paraId="1B0E2EE5">
            <w:pPr>
              <w:widowControl/>
              <w:rPr>
                <w:rFonts w:ascii="宋体" w:hAnsi="宋体"/>
                <w:color w:val="0000FF"/>
              </w:rPr>
            </w:pPr>
            <w:r>
              <w:rPr>
                <w:rFonts w:hint="eastAsia" w:ascii="宋体" w:hAnsi="宋体"/>
                <w:color w:val="0000FF"/>
              </w:rPr>
              <w:t>17°52′28″</w:t>
            </w:r>
          </w:p>
        </w:tc>
      </w:tr>
      <w:tr w14:paraId="33E724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0292E96D">
            <w:pPr>
              <w:widowControl/>
              <w:jc w:val="center"/>
              <w:rPr>
                <w:rFonts w:ascii="宋体" w:hAnsi="宋体" w:cs="宋体"/>
                <w:color w:val="0000FF"/>
              </w:rPr>
            </w:pPr>
            <w:r>
              <w:rPr>
                <w:rFonts w:ascii="宋体" w:hAnsi="宋体" w:cs="宋体"/>
                <w:color w:val="0000FF"/>
              </w:rPr>
              <w:t>2#</w:t>
            </w:r>
          </w:p>
        </w:tc>
        <w:tc>
          <w:tcPr>
            <w:tcW w:w="1270" w:type="dxa"/>
            <w:vMerge w:val="continue"/>
            <w:noWrap w:val="0"/>
            <w:vAlign w:val="center"/>
          </w:tcPr>
          <w:p w14:paraId="6A8C9785">
            <w:pPr>
              <w:widowControl/>
              <w:jc w:val="center"/>
              <w:rPr>
                <w:rFonts w:ascii="宋体" w:hAnsi="宋体"/>
                <w:color w:val="0000FF"/>
              </w:rPr>
            </w:pPr>
          </w:p>
        </w:tc>
        <w:tc>
          <w:tcPr>
            <w:tcW w:w="1702" w:type="dxa"/>
            <w:vMerge w:val="continue"/>
            <w:noWrap w:val="0"/>
            <w:vAlign w:val="center"/>
          </w:tcPr>
          <w:p w14:paraId="752344AA">
            <w:pPr>
              <w:widowControl/>
              <w:jc w:val="center"/>
              <w:rPr>
                <w:rFonts w:ascii="宋体" w:hAnsi="宋体"/>
                <w:color w:val="0000FF"/>
              </w:rPr>
            </w:pPr>
          </w:p>
        </w:tc>
        <w:tc>
          <w:tcPr>
            <w:tcW w:w="885" w:type="dxa"/>
            <w:noWrap w:val="0"/>
            <w:vAlign w:val="center"/>
          </w:tcPr>
          <w:p w14:paraId="0253B785">
            <w:pPr>
              <w:widowControl/>
              <w:jc w:val="center"/>
              <w:rPr>
                <w:rFonts w:hint="eastAsia" w:ascii="宋体" w:hAnsi="宋体"/>
                <w:color w:val="0000FF"/>
              </w:rPr>
            </w:pPr>
            <w:r>
              <w:rPr>
                <w:rFonts w:hint="eastAsia" w:ascii="宋体" w:hAnsi="宋体"/>
                <w:color w:val="0000FF"/>
              </w:rPr>
              <w:t>61.93</w:t>
            </w:r>
          </w:p>
        </w:tc>
        <w:tc>
          <w:tcPr>
            <w:tcW w:w="1433" w:type="dxa"/>
            <w:noWrap w:val="0"/>
            <w:vAlign w:val="center"/>
          </w:tcPr>
          <w:p w14:paraId="01970940">
            <w:pPr>
              <w:widowControl/>
              <w:jc w:val="center"/>
              <w:rPr>
                <w:rFonts w:ascii="宋体" w:hAnsi="宋体"/>
                <w:color w:val="0000FF"/>
              </w:rPr>
            </w:pPr>
            <w:r>
              <w:rPr>
                <w:rFonts w:ascii="宋体" w:hAnsi="宋体"/>
                <w:color w:val="0000FF"/>
              </w:rPr>
              <w:t>3.2</w:t>
            </w:r>
          </w:p>
        </w:tc>
        <w:tc>
          <w:tcPr>
            <w:tcW w:w="1408" w:type="dxa"/>
            <w:noWrap w:val="0"/>
            <w:vAlign w:val="center"/>
          </w:tcPr>
          <w:p w14:paraId="34B22624">
            <w:pPr>
              <w:widowControl/>
              <w:jc w:val="center"/>
              <w:rPr>
                <w:rFonts w:hint="eastAsia" w:ascii="宋体" w:hAnsi="宋体"/>
                <w:color w:val="0000FF"/>
              </w:rPr>
            </w:pPr>
            <w:r>
              <w:rPr>
                <w:rFonts w:hint="eastAsia" w:ascii="宋体" w:hAnsi="宋体"/>
                <w:color w:val="0000FF"/>
              </w:rPr>
              <w:t>18</w:t>
            </w:r>
          </w:p>
        </w:tc>
        <w:tc>
          <w:tcPr>
            <w:tcW w:w="1527" w:type="dxa"/>
            <w:noWrap w:val="0"/>
            <w:vAlign w:val="center"/>
          </w:tcPr>
          <w:p w14:paraId="679C4370">
            <w:pPr>
              <w:widowControl/>
              <w:rPr>
                <w:rFonts w:ascii="宋体" w:hAnsi="宋体" w:cs="宋体"/>
                <w:color w:val="0000FF"/>
              </w:rPr>
            </w:pPr>
            <w:r>
              <w:rPr>
                <w:rFonts w:hint="eastAsia" w:ascii="宋体" w:hAnsi="宋体"/>
                <w:color w:val="0000FF"/>
              </w:rPr>
              <w:t>14°21′1″</w:t>
            </w:r>
          </w:p>
        </w:tc>
      </w:tr>
      <w:tr w14:paraId="4CD4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7B012EFB">
            <w:pPr>
              <w:widowControl/>
              <w:jc w:val="center"/>
              <w:rPr>
                <w:rFonts w:ascii="宋体" w:hAnsi="宋体" w:cs="宋体"/>
                <w:color w:val="0000FF"/>
              </w:rPr>
            </w:pPr>
            <w:r>
              <w:rPr>
                <w:rFonts w:ascii="宋体" w:hAnsi="宋体" w:cs="宋体"/>
                <w:color w:val="0000FF"/>
              </w:rPr>
              <w:t>3#</w:t>
            </w:r>
          </w:p>
        </w:tc>
        <w:tc>
          <w:tcPr>
            <w:tcW w:w="1270" w:type="dxa"/>
            <w:vMerge w:val="continue"/>
            <w:noWrap w:val="0"/>
            <w:vAlign w:val="center"/>
          </w:tcPr>
          <w:p w14:paraId="50684F02">
            <w:pPr>
              <w:widowControl/>
              <w:jc w:val="center"/>
              <w:rPr>
                <w:rFonts w:ascii="宋体" w:hAnsi="宋体"/>
                <w:color w:val="0000FF"/>
              </w:rPr>
            </w:pPr>
          </w:p>
        </w:tc>
        <w:tc>
          <w:tcPr>
            <w:tcW w:w="1702" w:type="dxa"/>
            <w:vMerge w:val="continue"/>
            <w:noWrap w:val="0"/>
            <w:vAlign w:val="center"/>
          </w:tcPr>
          <w:p w14:paraId="08AA4802">
            <w:pPr>
              <w:widowControl/>
              <w:jc w:val="center"/>
              <w:rPr>
                <w:rFonts w:ascii="宋体" w:hAnsi="宋体"/>
                <w:color w:val="0000FF"/>
              </w:rPr>
            </w:pPr>
          </w:p>
        </w:tc>
        <w:tc>
          <w:tcPr>
            <w:tcW w:w="885" w:type="dxa"/>
            <w:noWrap w:val="0"/>
            <w:vAlign w:val="center"/>
          </w:tcPr>
          <w:p w14:paraId="217C622A">
            <w:pPr>
              <w:widowControl/>
              <w:jc w:val="center"/>
              <w:rPr>
                <w:rFonts w:hint="eastAsia" w:ascii="宋体" w:hAnsi="宋体"/>
                <w:color w:val="0000FF"/>
              </w:rPr>
            </w:pPr>
            <w:r>
              <w:rPr>
                <w:rFonts w:hint="eastAsia" w:ascii="宋体" w:hAnsi="宋体"/>
                <w:color w:val="0000FF"/>
              </w:rPr>
              <w:t>61.06</w:t>
            </w:r>
          </w:p>
        </w:tc>
        <w:tc>
          <w:tcPr>
            <w:tcW w:w="1433" w:type="dxa"/>
            <w:noWrap w:val="0"/>
            <w:vAlign w:val="center"/>
          </w:tcPr>
          <w:p w14:paraId="632CC986">
            <w:pPr>
              <w:widowControl/>
              <w:jc w:val="center"/>
              <w:rPr>
                <w:rFonts w:ascii="宋体" w:hAnsi="宋体"/>
                <w:color w:val="0000FF"/>
              </w:rPr>
            </w:pPr>
            <w:r>
              <w:rPr>
                <w:rFonts w:ascii="宋体" w:hAnsi="宋体"/>
                <w:color w:val="0000FF"/>
              </w:rPr>
              <w:t>3.2</w:t>
            </w:r>
          </w:p>
        </w:tc>
        <w:tc>
          <w:tcPr>
            <w:tcW w:w="1408" w:type="dxa"/>
            <w:noWrap w:val="0"/>
            <w:vAlign w:val="center"/>
          </w:tcPr>
          <w:p w14:paraId="6C52A15B">
            <w:pPr>
              <w:widowControl/>
              <w:jc w:val="center"/>
              <w:rPr>
                <w:rFonts w:hint="eastAsia" w:ascii="宋体" w:hAnsi="宋体"/>
                <w:color w:val="0000FF"/>
              </w:rPr>
            </w:pPr>
            <w:r>
              <w:rPr>
                <w:rFonts w:hint="eastAsia" w:ascii="宋体" w:hAnsi="宋体"/>
                <w:color w:val="0000FF"/>
              </w:rPr>
              <w:t>14</w:t>
            </w:r>
          </w:p>
        </w:tc>
        <w:tc>
          <w:tcPr>
            <w:tcW w:w="1527" w:type="dxa"/>
            <w:noWrap w:val="0"/>
            <w:vAlign w:val="center"/>
          </w:tcPr>
          <w:p w14:paraId="406817C2">
            <w:pPr>
              <w:widowControl/>
              <w:rPr>
                <w:rFonts w:ascii="宋体" w:hAnsi="宋体"/>
                <w:color w:val="0000FF"/>
              </w:rPr>
            </w:pPr>
            <w:r>
              <w:rPr>
                <w:rFonts w:hint="eastAsia" w:ascii="宋体" w:hAnsi="宋体"/>
                <w:color w:val="0000FF"/>
              </w:rPr>
              <w:t>10°42′43″</w:t>
            </w:r>
          </w:p>
        </w:tc>
      </w:tr>
      <w:tr w14:paraId="5D9F04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42E8BCD1">
            <w:pPr>
              <w:widowControl/>
              <w:jc w:val="center"/>
              <w:rPr>
                <w:rFonts w:ascii="宋体" w:hAnsi="宋体" w:cs="宋体"/>
                <w:color w:val="0000FF"/>
              </w:rPr>
            </w:pPr>
            <w:r>
              <w:rPr>
                <w:rFonts w:ascii="宋体" w:hAnsi="宋体" w:cs="宋体"/>
                <w:color w:val="0000FF"/>
              </w:rPr>
              <w:t>4#</w:t>
            </w:r>
          </w:p>
        </w:tc>
        <w:tc>
          <w:tcPr>
            <w:tcW w:w="1270" w:type="dxa"/>
            <w:vMerge w:val="continue"/>
            <w:noWrap w:val="0"/>
            <w:vAlign w:val="center"/>
          </w:tcPr>
          <w:p w14:paraId="3E1A5741">
            <w:pPr>
              <w:widowControl/>
              <w:jc w:val="center"/>
              <w:rPr>
                <w:rFonts w:ascii="宋体" w:hAnsi="宋体"/>
                <w:color w:val="0000FF"/>
              </w:rPr>
            </w:pPr>
          </w:p>
        </w:tc>
        <w:tc>
          <w:tcPr>
            <w:tcW w:w="1702" w:type="dxa"/>
            <w:vMerge w:val="continue"/>
            <w:noWrap w:val="0"/>
            <w:vAlign w:val="center"/>
          </w:tcPr>
          <w:p w14:paraId="57E8EE6E">
            <w:pPr>
              <w:widowControl/>
              <w:jc w:val="center"/>
              <w:rPr>
                <w:rFonts w:ascii="宋体" w:hAnsi="宋体"/>
                <w:color w:val="0000FF"/>
              </w:rPr>
            </w:pPr>
          </w:p>
        </w:tc>
        <w:tc>
          <w:tcPr>
            <w:tcW w:w="885" w:type="dxa"/>
            <w:noWrap w:val="0"/>
            <w:vAlign w:val="center"/>
          </w:tcPr>
          <w:p w14:paraId="258EBBFC">
            <w:pPr>
              <w:widowControl/>
              <w:jc w:val="center"/>
              <w:rPr>
                <w:rFonts w:hint="eastAsia" w:ascii="宋体" w:hAnsi="宋体"/>
                <w:color w:val="0000FF"/>
              </w:rPr>
            </w:pPr>
            <w:r>
              <w:rPr>
                <w:rFonts w:hint="eastAsia" w:ascii="宋体" w:hAnsi="宋体"/>
                <w:color w:val="0000FF"/>
              </w:rPr>
              <w:t>60.45</w:t>
            </w:r>
          </w:p>
        </w:tc>
        <w:tc>
          <w:tcPr>
            <w:tcW w:w="1433" w:type="dxa"/>
            <w:noWrap w:val="0"/>
            <w:vAlign w:val="center"/>
          </w:tcPr>
          <w:p w14:paraId="0FBADC3D">
            <w:pPr>
              <w:widowControl/>
              <w:jc w:val="center"/>
              <w:rPr>
                <w:rFonts w:ascii="宋体" w:hAnsi="宋体"/>
                <w:color w:val="0000FF"/>
              </w:rPr>
            </w:pPr>
            <w:r>
              <w:rPr>
                <w:rFonts w:ascii="宋体" w:hAnsi="宋体"/>
                <w:color w:val="0000FF"/>
              </w:rPr>
              <w:t>3.2</w:t>
            </w:r>
          </w:p>
        </w:tc>
        <w:tc>
          <w:tcPr>
            <w:tcW w:w="1408" w:type="dxa"/>
            <w:noWrap w:val="0"/>
            <w:vAlign w:val="center"/>
          </w:tcPr>
          <w:p w14:paraId="79294704">
            <w:pPr>
              <w:widowControl/>
              <w:jc w:val="center"/>
              <w:rPr>
                <w:rFonts w:hint="eastAsia" w:ascii="宋体" w:hAnsi="宋体"/>
                <w:color w:val="0000FF"/>
              </w:rPr>
            </w:pPr>
            <w:r>
              <w:rPr>
                <w:rFonts w:hint="eastAsia" w:ascii="宋体" w:hAnsi="宋体"/>
                <w:color w:val="0000FF"/>
              </w:rPr>
              <w:t>10</w:t>
            </w:r>
          </w:p>
        </w:tc>
        <w:tc>
          <w:tcPr>
            <w:tcW w:w="1527" w:type="dxa"/>
            <w:noWrap w:val="0"/>
            <w:vAlign w:val="center"/>
          </w:tcPr>
          <w:p w14:paraId="27E27E9E">
            <w:pPr>
              <w:widowControl/>
              <w:rPr>
                <w:rFonts w:ascii="宋体" w:hAnsi="宋体" w:cs="宋体"/>
                <w:color w:val="0000FF"/>
              </w:rPr>
            </w:pPr>
            <w:r>
              <w:rPr>
                <w:rFonts w:hint="eastAsia" w:ascii="宋体" w:hAnsi="宋体"/>
                <w:color w:val="0000FF"/>
              </w:rPr>
              <w:t>6°59′2″</w:t>
            </w:r>
          </w:p>
        </w:tc>
      </w:tr>
      <w:tr w14:paraId="57C09E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3B1B0043">
            <w:pPr>
              <w:widowControl/>
              <w:jc w:val="center"/>
              <w:rPr>
                <w:rFonts w:ascii="宋体" w:hAnsi="宋体" w:cs="宋体"/>
                <w:color w:val="0000FF"/>
              </w:rPr>
            </w:pPr>
            <w:r>
              <w:rPr>
                <w:rFonts w:ascii="宋体" w:hAnsi="宋体" w:cs="宋体"/>
                <w:color w:val="0000FF"/>
              </w:rPr>
              <w:t>5#</w:t>
            </w:r>
          </w:p>
        </w:tc>
        <w:tc>
          <w:tcPr>
            <w:tcW w:w="1270" w:type="dxa"/>
            <w:vMerge w:val="continue"/>
            <w:noWrap w:val="0"/>
            <w:vAlign w:val="center"/>
          </w:tcPr>
          <w:p w14:paraId="54B3F5AE">
            <w:pPr>
              <w:widowControl/>
              <w:jc w:val="center"/>
              <w:rPr>
                <w:rFonts w:ascii="宋体" w:hAnsi="宋体"/>
                <w:color w:val="0000FF"/>
              </w:rPr>
            </w:pPr>
          </w:p>
        </w:tc>
        <w:tc>
          <w:tcPr>
            <w:tcW w:w="1702" w:type="dxa"/>
            <w:vMerge w:val="continue"/>
            <w:noWrap w:val="0"/>
            <w:vAlign w:val="center"/>
          </w:tcPr>
          <w:p w14:paraId="572681F0">
            <w:pPr>
              <w:widowControl/>
              <w:jc w:val="center"/>
              <w:rPr>
                <w:rFonts w:ascii="宋体" w:hAnsi="宋体"/>
                <w:color w:val="0000FF"/>
              </w:rPr>
            </w:pPr>
          </w:p>
        </w:tc>
        <w:tc>
          <w:tcPr>
            <w:tcW w:w="885" w:type="dxa"/>
            <w:noWrap w:val="0"/>
            <w:vAlign w:val="center"/>
          </w:tcPr>
          <w:p w14:paraId="2F8E8648">
            <w:pPr>
              <w:widowControl/>
              <w:jc w:val="center"/>
              <w:rPr>
                <w:rFonts w:hint="eastAsia" w:ascii="宋体" w:hAnsi="宋体"/>
                <w:color w:val="0000FF"/>
              </w:rPr>
            </w:pPr>
            <w:r>
              <w:rPr>
                <w:rFonts w:hint="eastAsia" w:ascii="宋体" w:hAnsi="宋体"/>
                <w:color w:val="0000FF"/>
              </w:rPr>
              <w:t>60.09</w:t>
            </w:r>
          </w:p>
        </w:tc>
        <w:tc>
          <w:tcPr>
            <w:tcW w:w="1433" w:type="dxa"/>
            <w:noWrap w:val="0"/>
            <w:vAlign w:val="center"/>
          </w:tcPr>
          <w:p w14:paraId="0033CEC8">
            <w:pPr>
              <w:widowControl/>
              <w:jc w:val="center"/>
              <w:rPr>
                <w:rFonts w:ascii="宋体" w:hAnsi="宋体"/>
                <w:color w:val="0000FF"/>
              </w:rPr>
            </w:pPr>
            <w:r>
              <w:rPr>
                <w:rFonts w:ascii="宋体" w:hAnsi="宋体"/>
                <w:color w:val="0000FF"/>
              </w:rPr>
              <w:t>3.2</w:t>
            </w:r>
          </w:p>
        </w:tc>
        <w:tc>
          <w:tcPr>
            <w:tcW w:w="1408" w:type="dxa"/>
            <w:noWrap w:val="0"/>
            <w:vAlign w:val="center"/>
          </w:tcPr>
          <w:p w14:paraId="4110EA44">
            <w:pPr>
              <w:widowControl/>
              <w:jc w:val="center"/>
              <w:rPr>
                <w:rFonts w:hint="eastAsia" w:ascii="宋体" w:hAnsi="宋体"/>
                <w:color w:val="0000FF"/>
              </w:rPr>
            </w:pPr>
            <w:r>
              <w:rPr>
                <w:rFonts w:hint="eastAsia" w:ascii="宋体" w:hAnsi="宋体"/>
                <w:color w:val="0000FF"/>
              </w:rPr>
              <w:t>6</w:t>
            </w:r>
          </w:p>
        </w:tc>
        <w:tc>
          <w:tcPr>
            <w:tcW w:w="1527" w:type="dxa"/>
            <w:noWrap w:val="0"/>
            <w:vAlign w:val="center"/>
          </w:tcPr>
          <w:p w14:paraId="63D49C86">
            <w:pPr>
              <w:widowControl/>
              <w:rPr>
                <w:rFonts w:ascii="宋体" w:hAnsi="宋体"/>
                <w:color w:val="0000FF"/>
              </w:rPr>
            </w:pPr>
            <w:r>
              <w:rPr>
                <w:rFonts w:hint="eastAsia" w:ascii="宋体" w:hAnsi="宋体"/>
                <w:color w:val="0000FF"/>
              </w:rPr>
              <w:t>3°11′45″</w:t>
            </w:r>
          </w:p>
        </w:tc>
      </w:tr>
      <w:tr w14:paraId="62EA04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4F43AB63">
            <w:pPr>
              <w:widowControl/>
              <w:jc w:val="center"/>
              <w:rPr>
                <w:rFonts w:ascii="宋体" w:hAnsi="宋体" w:cs="宋体"/>
                <w:color w:val="0000FF"/>
              </w:rPr>
            </w:pPr>
            <w:r>
              <w:rPr>
                <w:rFonts w:ascii="宋体" w:hAnsi="宋体" w:cs="宋体"/>
                <w:color w:val="0000FF"/>
              </w:rPr>
              <w:t>6#</w:t>
            </w:r>
          </w:p>
        </w:tc>
        <w:tc>
          <w:tcPr>
            <w:tcW w:w="1270" w:type="dxa"/>
            <w:vMerge w:val="continue"/>
            <w:noWrap w:val="0"/>
            <w:vAlign w:val="center"/>
          </w:tcPr>
          <w:p w14:paraId="505EC8F8">
            <w:pPr>
              <w:widowControl/>
              <w:jc w:val="center"/>
              <w:rPr>
                <w:rFonts w:ascii="宋体" w:hAnsi="宋体"/>
                <w:color w:val="0000FF"/>
              </w:rPr>
            </w:pPr>
          </w:p>
        </w:tc>
        <w:tc>
          <w:tcPr>
            <w:tcW w:w="1702" w:type="dxa"/>
            <w:vMerge w:val="continue"/>
            <w:noWrap w:val="0"/>
            <w:vAlign w:val="center"/>
          </w:tcPr>
          <w:p w14:paraId="5A13A3BA">
            <w:pPr>
              <w:widowControl/>
              <w:jc w:val="center"/>
              <w:rPr>
                <w:rFonts w:ascii="宋体" w:hAnsi="宋体"/>
                <w:color w:val="0000FF"/>
              </w:rPr>
            </w:pPr>
          </w:p>
        </w:tc>
        <w:tc>
          <w:tcPr>
            <w:tcW w:w="885" w:type="dxa"/>
            <w:noWrap w:val="0"/>
            <w:vAlign w:val="center"/>
          </w:tcPr>
          <w:p w14:paraId="6B2AA915">
            <w:pPr>
              <w:widowControl/>
              <w:jc w:val="center"/>
              <w:rPr>
                <w:rFonts w:hint="eastAsia" w:ascii="宋体" w:hAnsi="宋体"/>
                <w:color w:val="0000FF"/>
              </w:rPr>
            </w:pPr>
            <w:r>
              <w:rPr>
                <w:rFonts w:hint="eastAsia" w:ascii="宋体" w:hAnsi="宋体"/>
                <w:color w:val="0000FF"/>
              </w:rPr>
              <w:t>60.0</w:t>
            </w:r>
          </w:p>
        </w:tc>
        <w:tc>
          <w:tcPr>
            <w:tcW w:w="1433" w:type="dxa"/>
            <w:noWrap w:val="0"/>
            <w:vAlign w:val="center"/>
          </w:tcPr>
          <w:p w14:paraId="563BFEBF">
            <w:pPr>
              <w:widowControl/>
              <w:jc w:val="center"/>
              <w:rPr>
                <w:rFonts w:ascii="宋体" w:hAnsi="宋体"/>
                <w:color w:val="0000FF"/>
              </w:rPr>
            </w:pPr>
            <w:r>
              <w:rPr>
                <w:rFonts w:ascii="宋体" w:hAnsi="宋体"/>
                <w:color w:val="0000FF"/>
              </w:rPr>
              <w:t>3.2</w:t>
            </w:r>
          </w:p>
        </w:tc>
        <w:tc>
          <w:tcPr>
            <w:tcW w:w="1408" w:type="dxa"/>
            <w:noWrap w:val="0"/>
            <w:vAlign w:val="center"/>
          </w:tcPr>
          <w:p w14:paraId="6D64AE93">
            <w:pPr>
              <w:widowControl/>
              <w:jc w:val="center"/>
              <w:rPr>
                <w:rFonts w:ascii="宋体" w:hAnsi="宋体"/>
                <w:color w:val="0000FF"/>
              </w:rPr>
            </w:pPr>
            <w:r>
              <w:rPr>
                <w:rFonts w:ascii="宋体" w:hAnsi="宋体"/>
                <w:color w:val="0000FF"/>
              </w:rPr>
              <w:t>2</w:t>
            </w:r>
          </w:p>
        </w:tc>
        <w:tc>
          <w:tcPr>
            <w:tcW w:w="1527" w:type="dxa"/>
            <w:noWrap w:val="0"/>
            <w:vAlign w:val="center"/>
          </w:tcPr>
          <w:p w14:paraId="0070694C">
            <w:pPr>
              <w:widowControl/>
              <w:rPr>
                <w:rFonts w:ascii="宋体" w:hAnsi="宋体"/>
                <w:color w:val="0000FF"/>
              </w:rPr>
            </w:pPr>
            <w:r>
              <w:rPr>
                <w:rFonts w:hint="eastAsia" w:ascii="宋体" w:hAnsi="宋体"/>
                <w:color w:val="0000FF"/>
              </w:rPr>
              <w:t>-0°37′14″</w:t>
            </w:r>
          </w:p>
        </w:tc>
      </w:tr>
      <w:tr w14:paraId="735345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15C5C8C3">
            <w:pPr>
              <w:widowControl/>
              <w:jc w:val="center"/>
              <w:rPr>
                <w:rFonts w:ascii="宋体" w:hAnsi="宋体" w:cs="宋体"/>
                <w:color w:val="0000FF"/>
              </w:rPr>
            </w:pPr>
            <w:r>
              <w:rPr>
                <w:rFonts w:hint="eastAsia" w:ascii="宋体" w:hAnsi="宋体" w:cs="宋体"/>
                <w:color w:val="0000FF"/>
              </w:rPr>
              <w:t>7</w:t>
            </w:r>
            <w:r>
              <w:rPr>
                <w:rFonts w:ascii="宋体" w:hAnsi="宋体" w:cs="宋体"/>
                <w:color w:val="0000FF"/>
              </w:rPr>
              <w:t>#</w:t>
            </w:r>
          </w:p>
        </w:tc>
        <w:tc>
          <w:tcPr>
            <w:tcW w:w="1270" w:type="dxa"/>
            <w:vMerge w:val="continue"/>
            <w:noWrap w:val="0"/>
            <w:vAlign w:val="center"/>
          </w:tcPr>
          <w:p w14:paraId="27E690EA">
            <w:pPr>
              <w:widowControl/>
              <w:jc w:val="center"/>
              <w:rPr>
                <w:rFonts w:ascii="宋体" w:hAnsi="宋体"/>
                <w:color w:val="0000FF"/>
              </w:rPr>
            </w:pPr>
          </w:p>
        </w:tc>
        <w:tc>
          <w:tcPr>
            <w:tcW w:w="1702" w:type="dxa"/>
            <w:vMerge w:val="continue"/>
            <w:noWrap w:val="0"/>
            <w:vAlign w:val="center"/>
          </w:tcPr>
          <w:p w14:paraId="59AE1F37">
            <w:pPr>
              <w:widowControl/>
              <w:jc w:val="center"/>
              <w:rPr>
                <w:rFonts w:ascii="宋体" w:hAnsi="宋体"/>
                <w:color w:val="0000FF"/>
              </w:rPr>
            </w:pPr>
          </w:p>
        </w:tc>
        <w:tc>
          <w:tcPr>
            <w:tcW w:w="885" w:type="dxa"/>
            <w:noWrap w:val="0"/>
            <w:vAlign w:val="center"/>
          </w:tcPr>
          <w:p w14:paraId="2B8AE30C">
            <w:pPr>
              <w:widowControl/>
              <w:jc w:val="center"/>
              <w:rPr>
                <w:rFonts w:hint="eastAsia" w:ascii="宋体" w:hAnsi="宋体"/>
                <w:color w:val="0000FF"/>
              </w:rPr>
            </w:pPr>
            <w:r>
              <w:rPr>
                <w:rFonts w:hint="eastAsia" w:ascii="宋体" w:hAnsi="宋体"/>
                <w:color w:val="0000FF"/>
              </w:rPr>
              <w:t>60.0</w:t>
            </w:r>
          </w:p>
        </w:tc>
        <w:tc>
          <w:tcPr>
            <w:tcW w:w="1433" w:type="dxa"/>
            <w:noWrap w:val="0"/>
            <w:vAlign w:val="center"/>
          </w:tcPr>
          <w:p w14:paraId="3177C8D0">
            <w:pPr>
              <w:widowControl/>
              <w:jc w:val="center"/>
              <w:rPr>
                <w:rFonts w:ascii="宋体" w:hAnsi="宋体"/>
                <w:color w:val="0000FF"/>
              </w:rPr>
            </w:pPr>
            <w:r>
              <w:rPr>
                <w:rFonts w:ascii="宋体" w:hAnsi="宋体"/>
                <w:color w:val="0000FF"/>
              </w:rPr>
              <w:t>3.2</w:t>
            </w:r>
          </w:p>
        </w:tc>
        <w:tc>
          <w:tcPr>
            <w:tcW w:w="1408" w:type="dxa"/>
            <w:noWrap w:val="0"/>
            <w:vAlign w:val="center"/>
          </w:tcPr>
          <w:p w14:paraId="7E681B2C">
            <w:pPr>
              <w:widowControl/>
              <w:jc w:val="center"/>
              <w:rPr>
                <w:rFonts w:hint="eastAsia" w:ascii="宋体" w:hAnsi="宋体"/>
                <w:color w:val="0000FF"/>
              </w:rPr>
            </w:pPr>
            <w:r>
              <w:rPr>
                <w:rFonts w:hint="eastAsia" w:ascii="宋体" w:hAnsi="宋体"/>
                <w:color w:val="0000FF"/>
              </w:rPr>
              <w:t>2</w:t>
            </w:r>
          </w:p>
        </w:tc>
        <w:tc>
          <w:tcPr>
            <w:tcW w:w="1527" w:type="dxa"/>
            <w:noWrap w:val="0"/>
            <w:vAlign w:val="center"/>
          </w:tcPr>
          <w:p w14:paraId="0509DFE1">
            <w:pPr>
              <w:widowControl/>
              <w:rPr>
                <w:rFonts w:ascii="宋体" w:hAnsi="宋体" w:cs="宋体"/>
                <w:color w:val="0000FF"/>
              </w:rPr>
            </w:pPr>
            <w:r>
              <w:rPr>
                <w:rFonts w:hint="eastAsia" w:ascii="宋体" w:hAnsi="宋体"/>
                <w:color w:val="0000FF"/>
              </w:rPr>
              <w:t>-0°37′14″</w:t>
            </w:r>
          </w:p>
        </w:tc>
      </w:tr>
      <w:tr w14:paraId="2EB115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45D9CA24">
            <w:pPr>
              <w:widowControl/>
              <w:jc w:val="center"/>
              <w:rPr>
                <w:rFonts w:ascii="宋体" w:hAnsi="宋体" w:cs="宋体"/>
                <w:color w:val="0000FF"/>
              </w:rPr>
            </w:pPr>
            <w:r>
              <w:rPr>
                <w:rFonts w:hint="eastAsia" w:ascii="宋体" w:hAnsi="宋体" w:cs="宋体"/>
                <w:color w:val="0000FF"/>
              </w:rPr>
              <w:t>8</w:t>
            </w:r>
            <w:r>
              <w:rPr>
                <w:rFonts w:ascii="宋体" w:hAnsi="宋体" w:cs="宋体"/>
                <w:color w:val="0000FF"/>
              </w:rPr>
              <w:t>#</w:t>
            </w:r>
          </w:p>
        </w:tc>
        <w:tc>
          <w:tcPr>
            <w:tcW w:w="1270" w:type="dxa"/>
            <w:vMerge w:val="continue"/>
            <w:noWrap w:val="0"/>
            <w:vAlign w:val="center"/>
          </w:tcPr>
          <w:p w14:paraId="61B7F728">
            <w:pPr>
              <w:widowControl/>
              <w:jc w:val="center"/>
              <w:rPr>
                <w:rFonts w:ascii="宋体" w:hAnsi="宋体"/>
                <w:color w:val="0000FF"/>
              </w:rPr>
            </w:pPr>
          </w:p>
        </w:tc>
        <w:tc>
          <w:tcPr>
            <w:tcW w:w="1702" w:type="dxa"/>
            <w:vMerge w:val="continue"/>
            <w:noWrap w:val="0"/>
            <w:vAlign w:val="center"/>
          </w:tcPr>
          <w:p w14:paraId="07B19699">
            <w:pPr>
              <w:widowControl/>
              <w:jc w:val="center"/>
              <w:rPr>
                <w:rFonts w:ascii="宋体" w:hAnsi="宋体"/>
                <w:color w:val="0000FF"/>
              </w:rPr>
            </w:pPr>
          </w:p>
        </w:tc>
        <w:tc>
          <w:tcPr>
            <w:tcW w:w="885" w:type="dxa"/>
            <w:noWrap w:val="0"/>
            <w:vAlign w:val="center"/>
          </w:tcPr>
          <w:p w14:paraId="4D7C7E7C">
            <w:pPr>
              <w:widowControl/>
              <w:jc w:val="center"/>
              <w:rPr>
                <w:rFonts w:hint="eastAsia" w:ascii="宋体" w:hAnsi="宋体"/>
                <w:color w:val="0000FF"/>
              </w:rPr>
            </w:pPr>
            <w:r>
              <w:rPr>
                <w:rFonts w:hint="eastAsia" w:ascii="宋体" w:hAnsi="宋体"/>
                <w:color w:val="0000FF"/>
              </w:rPr>
              <w:t>60.09</w:t>
            </w:r>
          </w:p>
        </w:tc>
        <w:tc>
          <w:tcPr>
            <w:tcW w:w="1433" w:type="dxa"/>
            <w:noWrap w:val="0"/>
            <w:vAlign w:val="center"/>
          </w:tcPr>
          <w:p w14:paraId="52B50F3D">
            <w:pPr>
              <w:widowControl/>
              <w:jc w:val="center"/>
              <w:rPr>
                <w:rFonts w:ascii="宋体" w:hAnsi="宋体"/>
                <w:color w:val="0000FF"/>
              </w:rPr>
            </w:pPr>
            <w:r>
              <w:rPr>
                <w:rFonts w:ascii="宋体" w:hAnsi="宋体"/>
                <w:color w:val="0000FF"/>
              </w:rPr>
              <w:t>3.2</w:t>
            </w:r>
          </w:p>
        </w:tc>
        <w:tc>
          <w:tcPr>
            <w:tcW w:w="1408" w:type="dxa"/>
            <w:noWrap w:val="0"/>
            <w:vAlign w:val="center"/>
          </w:tcPr>
          <w:p w14:paraId="2AD5A9F4">
            <w:pPr>
              <w:widowControl/>
              <w:jc w:val="center"/>
              <w:rPr>
                <w:rFonts w:hint="eastAsia" w:ascii="宋体" w:hAnsi="宋体"/>
                <w:color w:val="0000FF"/>
              </w:rPr>
            </w:pPr>
            <w:r>
              <w:rPr>
                <w:rFonts w:hint="eastAsia" w:ascii="宋体" w:hAnsi="宋体"/>
                <w:color w:val="0000FF"/>
              </w:rPr>
              <w:t>6</w:t>
            </w:r>
          </w:p>
        </w:tc>
        <w:tc>
          <w:tcPr>
            <w:tcW w:w="1527" w:type="dxa"/>
            <w:noWrap w:val="0"/>
            <w:vAlign w:val="center"/>
          </w:tcPr>
          <w:p w14:paraId="5108091A">
            <w:pPr>
              <w:widowControl/>
              <w:rPr>
                <w:rFonts w:ascii="宋体" w:hAnsi="宋体"/>
                <w:color w:val="0000FF"/>
              </w:rPr>
            </w:pPr>
            <w:r>
              <w:rPr>
                <w:rFonts w:hint="eastAsia" w:ascii="宋体" w:hAnsi="宋体"/>
                <w:color w:val="0000FF"/>
              </w:rPr>
              <w:t>3°11′45″</w:t>
            </w:r>
          </w:p>
        </w:tc>
      </w:tr>
      <w:tr w14:paraId="30D22F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50587F02">
            <w:pPr>
              <w:widowControl/>
              <w:jc w:val="center"/>
              <w:rPr>
                <w:rFonts w:ascii="宋体" w:hAnsi="宋体" w:cs="宋体"/>
                <w:color w:val="0000FF"/>
              </w:rPr>
            </w:pPr>
            <w:r>
              <w:rPr>
                <w:rFonts w:hint="eastAsia" w:ascii="宋体" w:hAnsi="宋体" w:cs="宋体"/>
                <w:color w:val="0000FF"/>
              </w:rPr>
              <w:t>9</w:t>
            </w:r>
            <w:r>
              <w:rPr>
                <w:rFonts w:ascii="宋体" w:hAnsi="宋体" w:cs="宋体"/>
                <w:color w:val="0000FF"/>
              </w:rPr>
              <w:t>#</w:t>
            </w:r>
          </w:p>
        </w:tc>
        <w:tc>
          <w:tcPr>
            <w:tcW w:w="1270" w:type="dxa"/>
            <w:vMerge w:val="continue"/>
            <w:noWrap w:val="0"/>
            <w:vAlign w:val="center"/>
          </w:tcPr>
          <w:p w14:paraId="61397EA0">
            <w:pPr>
              <w:widowControl/>
              <w:jc w:val="center"/>
              <w:rPr>
                <w:rFonts w:ascii="宋体" w:hAnsi="宋体"/>
                <w:color w:val="0000FF"/>
              </w:rPr>
            </w:pPr>
          </w:p>
        </w:tc>
        <w:tc>
          <w:tcPr>
            <w:tcW w:w="1702" w:type="dxa"/>
            <w:vMerge w:val="continue"/>
            <w:noWrap w:val="0"/>
            <w:vAlign w:val="center"/>
          </w:tcPr>
          <w:p w14:paraId="4B35C8A6">
            <w:pPr>
              <w:widowControl/>
              <w:jc w:val="center"/>
              <w:rPr>
                <w:rFonts w:ascii="宋体" w:hAnsi="宋体"/>
                <w:color w:val="0000FF"/>
              </w:rPr>
            </w:pPr>
          </w:p>
        </w:tc>
        <w:tc>
          <w:tcPr>
            <w:tcW w:w="885" w:type="dxa"/>
            <w:noWrap w:val="0"/>
            <w:vAlign w:val="center"/>
          </w:tcPr>
          <w:p w14:paraId="2ABDD98C">
            <w:pPr>
              <w:widowControl/>
              <w:jc w:val="center"/>
              <w:rPr>
                <w:rFonts w:hint="eastAsia" w:ascii="宋体" w:hAnsi="宋体"/>
                <w:color w:val="0000FF"/>
              </w:rPr>
            </w:pPr>
            <w:r>
              <w:rPr>
                <w:rFonts w:hint="eastAsia" w:ascii="宋体" w:hAnsi="宋体"/>
                <w:color w:val="0000FF"/>
              </w:rPr>
              <w:t>60.45</w:t>
            </w:r>
          </w:p>
        </w:tc>
        <w:tc>
          <w:tcPr>
            <w:tcW w:w="1433" w:type="dxa"/>
            <w:noWrap w:val="0"/>
            <w:vAlign w:val="center"/>
          </w:tcPr>
          <w:p w14:paraId="5F214E86">
            <w:pPr>
              <w:widowControl/>
              <w:jc w:val="center"/>
              <w:rPr>
                <w:rFonts w:hint="eastAsia" w:ascii="宋体" w:hAnsi="宋体"/>
                <w:color w:val="0000FF"/>
              </w:rPr>
            </w:pPr>
            <w:r>
              <w:rPr>
                <w:rFonts w:hint="eastAsia" w:ascii="宋体" w:hAnsi="宋体"/>
                <w:color w:val="0000FF"/>
              </w:rPr>
              <w:t>3.2</w:t>
            </w:r>
          </w:p>
        </w:tc>
        <w:tc>
          <w:tcPr>
            <w:tcW w:w="1408" w:type="dxa"/>
            <w:noWrap w:val="0"/>
            <w:vAlign w:val="center"/>
          </w:tcPr>
          <w:p w14:paraId="103FEA65">
            <w:pPr>
              <w:widowControl/>
              <w:jc w:val="center"/>
              <w:rPr>
                <w:rFonts w:hint="eastAsia" w:ascii="宋体" w:hAnsi="宋体"/>
                <w:color w:val="0000FF"/>
              </w:rPr>
            </w:pPr>
            <w:r>
              <w:rPr>
                <w:rFonts w:hint="eastAsia" w:ascii="宋体" w:hAnsi="宋体"/>
                <w:color w:val="0000FF"/>
              </w:rPr>
              <w:t>10</w:t>
            </w:r>
          </w:p>
        </w:tc>
        <w:tc>
          <w:tcPr>
            <w:tcW w:w="1527" w:type="dxa"/>
            <w:noWrap w:val="0"/>
            <w:vAlign w:val="center"/>
          </w:tcPr>
          <w:p w14:paraId="52B8358C">
            <w:pPr>
              <w:widowControl/>
              <w:rPr>
                <w:rFonts w:ascii="宋体" w:hAnsi="宋体"/>
                <w:color w:val="0000FF"/>
              </w:rPr>
            </w:pPr>
            <w:r>
              <w:rPr>
                <w:rFonts w:hint="eastAsia" w:ascii="宋体" w:hAnsi="宋体"/>
                <w:color w:val="0000FF"/>
              </w:rPr>
              <w:t>6°59′2″</w:t>
            </w:r>
          </w:p>
        </w:tc>
      </w:tr>
      <w:tr w14:paraId="48F092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5A6C5663">
            <w:pPr>
              <w:widowControl/>
              <w:jc w:val="center"/>
              <w:rPr>
                <w:rFonts w:ascii="宋体" w:hAnsi="宋体" w:cs="宋体"/>
                <w:color w:val="0000FF"/>
              </w:rPr>
            </w:pPr>
            <w:r>
              <w:rPr>
                <w:rFonts w:hint="eastAsia" w:ascii="宋体" w:hAnsi="宋体" w:cs="宋体"/>
                <w:color w:val="0000FF"/>
              </w:rPr>
              <w:t>10</w:t>
            </w:r>
            <w:r>
              <w:rPr>
                <w:rFonts w:ascii="宋体" w:hAnsi="宋体" w:cs="宋体"/>
                <w:color w:val="0000FF"/>
              </w:rPr>
              <w:t>#</w:t>
            </w:r>
          </w:p>
        </w:tc>
        <w:tc>
          <w:tcPr>
            <w:tcW w:w="1270" w:type="dxa"/>
            <w:vMerge w:val="continue"/>
            <w:noWrap w:val="0"/>
            <w:vAlign w:val="center"/>
          </w:tcPr>
          <w:p w14:paraId="1CF3E83B">
            <w:pPr>
              <w:widowControl/>
              <w:jc w:val="center"/>
              <w:rPr>
                <w:rFonts w:ascii="宋体" w:hAnsi="宋体"/>
                <w:color w:val="0000FF"/>
              </w:rPr>
            </w:pPr>
          </w:p>
        </w:tc>
        <w:tc>
          <w:tcPr>
            <w:tcW w:w="1702" w:type="dxa"/>
            <w:vMerge w:val="continue"/>
            <w:noWrap w:val="0"/>
            <w:vAlign w:val="center"/>
          </w:tcPr>
          <w:p w14:paraId="658E238F">
            <w:pPr>
              <w:widowControl/>
              <w:jc w:val="center"/>
              <w:rPr>
                <w:rFonts w:ascii="宋体" w:hAnsi="宋体"/>
                <w:color w:val="0000FF"/>
              </w:rPr>
            </w:pPr>
          </w:p>
        </w:tc>
        <w:tc>
          <w:tcPr>
            <w:tcW w:w="885" w:type="dxa"/>
            <w:noWrap w:val="0"/>
            <w:vAlign w:val="center"/>
          </w:tcPr>
          <w:p w14:paraId="57065FBB">
            <w:pPr>
              <w:widowControl/>
              <w:jc w:val="center"/>
              <w:rPr>
                <w:rFonts w:hint="eastAsia" w:ascii="宋体" w:hAnsi="宋体"/>
                <w:color w:val="0000FF"/>
              </w:rPr>
            </w:pPr>
            <w:r>
              <w:rPr>
                <w:rFonts w:hint="eastAsia" w:ascii="宋体" w:hAnsi="宋体"/>
                <w:color w:val="0000FF"/>
              </w:rPr>
              <w:t>61.06</w:t>
            </w:r>
          </w:p>
        </w:tc>
        <w:tc>
          <w:tcPr>
            <w:tcW w:w="1433" w:type="dxa"/>
            <w:noWrap w:val="0"/>
            <w:vAlign w:val="center"/>
          </w:tcPr>
          <w:p w14:paraId="3B290B9E">
            <w:pPr>
              <w:widowControl/>
              <w:jc w:val="center"/>
              <w:rPr>
                <w:rFonts w:hint="eastAsia" w:ascii="宋体" w:hAnsi="宋体"/>
                <w:color w:val="0000FF"/>
              </w:rPr>
            </w:pPr>
            <w:r>
              <w:rPr>
                <w:rFonts w:hint="eastAsia" w:ascii="宋体" w:hAnsi="宋体"/>
                <w:color w:val="0000FF"/>
              </w:rPr>
              <w:t>3.2</w:t>
            </w:r>
          </w:p>
        </w:tc>
        <w:tc>
          <w:tcPr>
            <w:tcW w:w="1408" w:type="dxa"/>
            <w:noWrap w:val="0"/>
            <w:vAlign w:val="center"/>
          </w:tcPr>
          <w:p w14:paraId="78CCC329">
            <w:pPr>
              <w:widowControl/>
              <w:jc w:val="center"/>
              <w:rPr>
                <w:rFonts w:hint="eastAsia" w:ascii="宋体" w:hAnsi="宋体"/>
                <w:color w:val="0000FF"/>
              </w:rPr>
            </w:pPr>
            <w:r>
              <w:rPr>
                <w:rFonts w:hint="eastAsia" w:ascii="宋体" w:hAnsi="宋体"/>
                <w:color w:val="0000FF"/>
              </w:rPr>
              <w:t>14</w:t>
            </w:r>
          </w:p>
        </w:tc>
        <w:tc>
          <w:tcPr>
            <w:tcW w:w="1527" w:type="dxa"/>
            <w:noWrap w:val="0"/>
            <w:vAlign w:val="center"/>
          </w:tcPr>
          <w:p w14:paraId="4DFE1259">
            <w:pPr>
              <w:widowControl/>
              <w:rPr>
                <w:rFonts w:hint="eastAsia" w:ascii="宋体" w:hAnsi="宋体"/>
                <w:color w:val="0000FF"/>
              </w:rPr>
            </w:pPr>
            <w:r>
              <w:rPr>
                <w:rFonts w:hint="eastAsia" w:ascii="宋体" w:hAnsi="宋体"/>
                <w:color w:val="0000FF"/>
              </w:rPr>
              <w:t>10°42′43″</w:t>
            </w:r>
          </w:p>
        </w:tc>
      </w:tr>
      <w:tr w14:paraId="0C45D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5C3DB7BF">
            <w:pPr>
              <w:widowControl/>
              <w:jc w:val="center"/>
              <w:rPr>
                <w:rFonts w:ascii="宋体" w:hAnsi="宋体" w:cs="宋体"/>
                <w:color w:val="0000FF"/>
              </w:rPr>
            </w:pPr>
            <w:r>
              <w:rPr>
                <w:rFonts w:hint="eastAsia" w:ascii="宋体" w:hAnsi="宋体" w:cs="宋体"/>
                <w:color w:val="0000FF"/>
              </w:rPr>
              <w:t>11</w:t>
            </w:r>
            <w:r>
              <w:rPr>
                <w:rFonts w:ascii="宋体" w:hAnsi="宋体" w:cs="宋体"/>
                <w:color w:val="0000FF"/>
              </w:rPr>
              <w:t>#</w:t>
            </w:r>
          </w:p>
        </w:tc>
        <w:tc>
          <w:tcPr>
            <w:tcW w:w="1270" w:type="dxa"/>
            <w:vMerge w:val="continue"/>
            <w:noWrap w:val="0"/>
            <w:vAlign w:val="center"/>
          </w:tcPr>
          <w:p w14:paraId="6F03C446">
            <w:pPr>
              <w:widowControl/>
              <w:jc w:val="center"/>
              <w:rPr>
                <w:rFonts w:ascii="宋体" w:hAnsi="宋体"/>
                <w:color w:val="0000FF"/>
              </w:rPr>
            </w:pPr>
          </w:p>
        </w:tc>
        <w:tc>
          <w:tcPr>
            <w:tcW w:w="1702" w:type="dxa"/>
            <w:vMerge w:val="continue"/>
            <w:noWrap w:val="0"/>
            <w:vAlign w:val="center"/>
          </w:tcPr>
          <w:p w14:paraId="517E384E">
            <w:pPr>
              <w:widowControl/>
              <w:jc w:val="center"/>
              <w:rPr>
                <w:rFonts w:ascii="宋体" w:hAnsi="宋体"/>
                <w:color w:val="0000FF"/>
              </w:rPr>
            </w:pPr>
          </w:p>
        </w:tc>
        <w:tc>
          <w:tcPr>
            <w:tcW w:w="885" w:type="dxa"/>
            <w:noWrap w:val="0"/>
            <w:vAlign w:val="center"/>
          </w:tcPr>
          <w:p w14:paraId="29B204AB">
            <w:pPr>
              <w:widowControl/>
              <w:jc w:val="center"/>
              <w:rPr>
                <w:rFonts w:hint="eastAsia" w:ascii="宋体" w:hAnsi="宋体"/>
                <w:color w:val="0000FF"/>
              </w:rPr>
            </w:pPr>
            <w:r>
              <w:rPr>
                <w:rFonts w:hint="eastAsia" w:ascii="宋体" w:hAnsi="宋体"/>
                <w:color w:val="0000FF"/>
              </w:rPr>
              <w:t>61.93</w:t>
            </w:r>
          </w:p>
        </w:tc>
        <w:tc>
          <w:tcPr>
            <w:tcW w:w="1433" w:type="dxa"/>
            <w:noWrap w:val="0"/>
            <w:vAlign w:val="center"/>
          </w:tcPr>
          <w:p w14:paraId="736F070C">
            <w:pPr>
              <w:widowControl/>
              <w:jc w:val="center"/>
              <w:rPr>
                <w:rFonts w:hint="eastAsia" w:ascii="宋体" w:hAnsi="宋体"/>
                <w:color w:val="0000FF"/>
              </w:rPr>
            </w:pPr>
            <w:r>
              <w:rPr>
                <w:rFonts w:hint="eastAsia" w:ascii="宋体" w:hAnsi="宋体"/>
                <w:color w:val="0000FF"/>
              </w:rPr>
              <w:t>3.2</w:t>
            </w:r>
          </w:p>
        </w:tc>
        <w:tc>
          <w:tcPr>
            <w:tcW w:w="1408" w:type="dxa"/>
            <w:noWrap w:val="0"/>
            <w:vAlign w:val="center"/>
          </w:tcPr>
          <w:p w14:paraId="0FFB2230">
            <w:pPr>
              <w:widowControl/>
              <w:jc w:val="center"/>
              <w:rPr>
                <w:rFonts w:hint="eastAsia" w:ascii="宋体" w:hAnsi="宋体"/>
                <w:color w:val="0000FF"/>
              </w:rPr>
            </w:pPr>
            <w:r>
              <w:rPr>
                <w:rFonts w:hint="eastAsia" w:ascii="宋体" w:hAnsi="宋体"/>
                <w:color w:val="0000FF"/>
              </w:rPr>
              <w:t>18</w:t>
            </w:r>
          </w:p>
        </w:tc>
        <w:tc>
          <w:tcPr>
            <w:tcW w:w="1527" w:type="dxa"/>
            <w:noWrap w:val="0"/>
            <w:vAlign w:val="center"/>
          </w:tcPr>
          <w:p w14:paraId="13E830E4">
            <w:pPr>
              <w:widowControl/>
              <w:rPr>
                <w:rFonts w:ascii="宋体" w:hAnsi="宋体" w:cs="宋体"/>
                <w:color w:val="0000FF"/>
              </w:rPr>
            </w:pPr>
            <w:r>
              <w:rPr>
                <w:rFonts w:hint="eastAsia" w:ascii="宋体" w:hAnsi="宋体"/>
                <w:color w:val="0000FF"/>
              </w:rPr>
              <w:t>14°21′1″</w:t>
            </w:r>
          </w:p>
        </w:tc>
      </w:tr>
      <w:tr w14:paraId="1D35B3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atLeast"/>
          <w:jc w:val="center"/>
        </w:trPr>
        <w:tc>
          <w:tcPr>
            <w:tcW w:w="787" w:type="dxa"/>
            <w:noWrap w:val="0"/>
            <w:vAlign w:val="center"/>
          </w:tcPr>
          <w:p w14:paraId="64F34EFA">
            <w:pPr>
              <w:widowControl/>
              <w:jc w:val="center"/>
              <w:rPr>
                <w:rFonts w:hint="eastAsia" w:ascii="宋体" w:hAnsi="宋体" w:cs="宋体"/>
                <w:color w:val="0000FF"/>
              </w:rPr>
            </w:pPr>
            <w:r>
              <w:rPr>
                <w:rFonts w:hint="eastAsia" w:ascii="宋体" w:hAnsi="宋体" w:cs="宋体"/>
                <w:color w:val="0000FF"/>
              </w:rPr>
              <w:t>12</w:t>
            </w:r>
            <w:r>
              <w:rPr>
                <w:rFonts w:ascii="宋体" w:hAnsi="宋体" w:cs="宋体"/>
                <w:color w:val="0000FF"/>
              </w:rPr>
              <w:t>#</w:t>
            </w:r>
          </w:p>
        </w:tc>
        <w:tc>
          <w:tcPr>
            <w:tcW w:w="1270" w:type="dxa"/>
            <w:vMerge w:val="continue"/>
            <w:noWrap w:val="0"/>
            <w:vAlign w:val="center"/>
          </w:tcPr>
          <w:p w14:paraId="5EBAA187">
            <w:pPr>
              <w:widowControl/>
              <w:jc w:val="center"/>
              <w:rPr>
                <w:rFonts w:ascii="宋体" w:hAnsi="宋体"/>
                <w:color w:val="0000FF"/>
              </w:rPr>
            </w:pPr>
          </w:p>
        </w:tc>
        <w:tc>
          <w:tcPr>
            <w:tcW w:w="1702" w:type="dxa"/>
            <w:vMerge w:val="continue"/>
            <w:noWrap w:val="0"/>
            <w:vAlign w:val="center"/>
          </w:tcPr>
          <w:p w14:paraId="0CB79756">
            <w:pPr>
              <w:widowControl/>
              <w:jc w:val="center"/>
              <w:rPr>
                <w:rFonts w:ascii="宋体" w:hAnsi="宋体"/>
                <w:color w:val="0000FF"/>
              </w:rPr>
            </w:pPr>
          </w:p>
        </w:tc>
        <w:tc>
          <w:tcPr>
            <w:tcW w:w="885" w:type="dxa"/>
            <w:noWrap w:val="0"/>
            <w:vAlign w:val="center"/>
          </w:tcPr>
          <w:p w14:paraId="31751429">
            <w:pPr>
              <w:widowControl/>
              <w:jc w:val="center"/>
              <w:rPr>
                <w:rFonts w:hint="eastAsia" w:ascii="宋体" w:hAnsi="宋体"/>
                <w:color w:val="0000FF"/>
              </w:rPr>
            </w:pPr>
            <w:r>
              <w:rPr>
                <w:rFonts w:hint="eastAsia" w:ascii="宋体" w:hAnsi="宋体"/>
                <w:color w:val="0000FF"/>
              </w:rPr>
              <w:t>63.04</w:t>
            </w:r>
          </w:p>
        </w:tc>
        <w:tc>
          <w:tcPr>
            <w:tcW w:w="1433" w:type="dxa"/>
            <w:noWrap w:val="0"/>
            <w:vAlign w:val="center"/>
          </w:tcPr>
          <w:p w14:paraId="40EF8EF1">
            <w:pPr>
              <w:widowControl/>
              <w:jc w:val="center"/>
              <w:rPr>
                <w:rFonts w:hint="eastAsia" w:ascii="宋体" w:hAnsi="宋体"/>
                <w:color w:val="0000FF"/>
              </w:rPr>
            </w:pPr>
            <w:r>
              <w:rPr>
                <w:rFonts w:hint="eastAsia" w:ascii="宋体" w:hAnsi="宋体"/>
                <w:color w:val="0000FF"/>
              </w:rPr>
              <w:t>3.2</w:t>
            </w:r>
          </w:p>
        </w:tc>
        <w:tc>
          <w:tcPr>
            <w:tcW w:w="1408" w:type="dxa"/>
            <w:noWrap w:val="0"/>
            <w:vAlign w:val="center"/>
          </w:tcPr>
          <w:p w14:paraId="7B096667">
            <w:pPr>
              <w:widowControl/>
              <w:jc w:val="center"/>
              <w:rPr>
                <w:rFonts w:hint="eastAsia" w:ascii="宋体" w:hAnsi="宋体"/>
                <w:color w:val="0000FF"/>
              </w:rPr>
            </w:pPr>
            <w:r>
              <w:rPr>
                <w:rFonts w:hint="eastAsia" w:ascii="宋体" w:hAnsi="宋体"/>
                <w:color w:val="0000FF"/>
              </w:rPr>
              <w:t>22</w:t>
            </w:r>
          </w:p>
        </w:tc>
        <w:tc>
          <w:tcPr>
            <w:tcW w:w="1527" w:type="dxa"/>
            <w:noWrap w:val="0"/>
            <w:vAlign w:val="center"/>
          </w:tcPr>
          <w:p w14:paraId="0BD95A21">
            <w:pPr>
              <w:widowControl/>
              <w:rPr>
                <w:rFonts w:ascii="宋体" w:hAnsi="宋体"/>
                <w:color w:val="0000FF"/>
              </w:rPr>
            </w:pPr>
            <w:r>
              <w:rPr>
                <w:rFonts w:hint="eastAsia" w:ascii="宋体" w:hAnsi="宋体"/>
                <w:color w:val="0000FF"/>
              </w:rPr>
              <w:t>17°52′28″</w:t>
            </w:r>
          </w:p>
        </w:tc>
      </w:tr>
    </w:tbl>
    <w:p w14:paraId="474BBEA1">
      <w:pPr>
        <w:spacing w:line="360" w:lineRule="auto"/>
        <w:ind w:firstLine="480" w:firstLineChars="200"/>
        <w:rPr>
          <w:rFonts w:hint="eastAsia" w:ascii="宋体" w:hAnsi="宋体"/>
          <w:color w:val="000000"/>
          <w:sz w:val="24"/>
        </w:rPr>
      </w:pPr>
      <w:r>
        <w:rPr>
          <w:rFonts w:hint="eastAsia" w:ascii="宋体" w:hAnsi="宋体"/>
          <w:color w:val="000000"/>
          <w:sz w:val="24"/>
        </w:rPr>
        <w:t>注：钻孔倾角同煤层倾角</w:t>
      </w:r>
    </w:p>
    <w:p w14:paraId="121BBBC8">
      <w:pPr>
        <w:spacing w:line="360" w:lineRule="auto"/>
        <w:ind w:firstLine="480" w:firstLineChars="200"/>
        <w:rPr>
          <w:rFonts w:ascii="宋体" w:hAnsi="宋体"/>
          <w:color w:val="000000"/>
          <w:sz w:val="24"/>
        </w:rPr>
      </w:pPr>
      <w:r>
        <w:rPr>
          <w:rFonts w:hint="eastAsia" w:ascii="宋体" w:hAnsi="宋体"/>
          <w:color w:val="000000"/>
          <w:sz w:val="24"/>
        </w:rPr>
        <w:t>12）采煤工作面可采用的工作面防突措施有超前排放钻孔、预抽瓦斯、松动爆破、注水湿润煤体或其他经试验证实有效的防突措施。</w:t>
      </w:r>
    </w:p>
    <w:p w14:paraId="156E4A62">
      <w:pPr>
        <w:pStyle w:val="56"/>
        <w:spacing w:before="0" w:beforeAutospacing="0" w:after="0" w:afterAutospacing="0" w:line="360" w:lineRule="auto"/>
        <w:ind w:firstLine="480" w:firstLineChars="200"/>
        <w:jc w:val="both"/>
        <w:rPr>
          <w:color w:val="000000"/>
        </w:rPr>
      </w:pPr>
      <w:r>
        <w:rPr>
          <w:rFonts w:hint="eastAsia"/>
          <w:color w:val="000000"/>
        </w:rPr>
        <w:t>13）</w:t>
      </w:r>
      <w:r>
        <w:rPr>
          <w:color w:val="000000"/>
        </w:rPr>
        <w:t>采煤工作面采用超前排放钻孔和预抽瓦斯作为工作面防突措施时，钻孔直径一般为75～120mm，钻孔在控制范围内应当均匀布置，在煤层的软分层中可适当增加钻孔数；超前排放钻孔和预抽钻孔的孔数、孔底间距等应当根据钻孔的有效排放或抽放半径确定。</w:t>
      </w:r>
    </w:p>
    <w:p w14:paraId="1014A13E">
      <w:pPr>
        <w:spacing w:line="360" w:lineRule="auto"/>
        <w:ind w:firstLine="480" w:firstLineChars="200"/>
        <w:rPr>
          <w:rFonts w:hint="eastAsia" w:ascii="宋体" w:hAnsi="宋体"/>
          <w:color w:val="000000"/>
          <w:sz w:val="24"/>
        </w:rPr>
      </w:pPr>
      <w:r>
        <w:rPr>
          <w:rFonts w:hint="eastAsia" w:ascii="宋体" w:hAnsi="宋体"/>
          <w:color w:val="000000"/>
          <w:sz w:val="24"/>
        </w:rPr>
        <w:t xml:space="preserve">回采工作面预抽瓦斯，经效果检验无突出危险时，可不采取措施，当未消除突出危险时，一方面应加大瓦斯的抽放力度；另一方面应在工作面向工作面推进方向每隔5m施工一个瓦斯排放钻孔，孔深15m。排放钻孔布置详见 </w:t>
      </w:r>
      <w:r>
        <w:rPr>
          <w:rFonts w:hint="eastAsia" w:ascii="宋体" w:hAnsi="宋体"/>
          <w:b/>
          <w:color w:val="000000"/>
          <w:sz w:val="24"/>
        </w:rPr>
        <w:t>图4-3-9</w:t>
      </w:r>
      <w:r>
        <w:rPr>
          <w:rFonts w:hint="eastAsia" w:ascii="宋体" w:hAnsi="宋体"/>
          <w:color w:val="000000"/>
          <w:sz w:val="24"/>
        </w:rPr>
        <w:t>。</w:t>
      </w:r>
    </w:p>
    <w:p w14:paraId="75A6927E">
      <w:pPr>
        <w:spacing w:line="360" w:lineRule="auto"/>
        <w:jc w:val="center"/>
        <w:rPr>
          <w:rFonts w:hint="eastAsia"/>
          <w:color w:val="000000"/>
          <w:sz w:val="24"/>
        </w:rPr>
      </w:pPr>
      <w:r>
        <w:drawing>
          <wp:inline distT="0" distB="0" distL="114300" distR="114300">
            <wp:extent cx="5716270" cy="2771775"/>
            <wp:effectExtent l="0" t="0" r="0" b="0"/>
            <wp:docPr id="3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9"/>
                    <pic:cNvPicPr>
                      <a:picLocks noChangeAspect="1"/>
                    </pic:cNvPicPr>
                  </pic:nvPicPr>
                  <pic:blipFill>
                    <a:blip r:embed="rId163"/>
                    <a:srcRect l="38097" t="26367" r="31783" b="42960"/>
                    <a:stretch>
                      <a:fillRect/>
                    </a:stretch>
                  </pic:blipFill>
                  <pic:spPr>
                    <a:xfrm>
                      <a:off x="0" y="0"/>
                      <a:ext cx="5716270" cy="2771775"/>
                    </a:xfrm>
                    <a:prstGeom prst="rect">
                      <a:avLst/>
                    </a:prstGeom>
                    <a:noFill/>
                    <a:ln>
                      <a:noFill/>
                    </a:ln>
                  </pic:spPr>
                </pic:pic>
              </a:graphicData>
            </a:graphic>
          </wp:inline>
        </w:drawing>
      </w:r>
    </w:p>
    <w:p w14:paraId="00F0DEDE">
      <w:pPr>
        <w:spacing w:line="360" w:lineRule="auto"/>
        <w:ind w:firstLine="2024" w:firstLineChars="840"/>
        <w:rPr>
          <w:rFonts w:hint="eastAsia" w:ascii="宋体" w:hAnsi="宋体"/>
          <w:b/>
          <w:color w:val="000000"/>
          <w:sz w:val="24"/>
        </w:rPr>
      </w:pPr>
      <w:r>
        <w:rPr>
          <w:rFonts w:hint="eastAsia" w:ascii="宋体" w:hAnsi="宋体"/>
          <w:b/>
          <w:color w:val="000000"/>
          <w:sz w:val="24"/>
        </w:rPr>
        <w:t>图4-3-9      回采工作面瓦斯排放钻孔布置图</w:t>
      </w:r>
    </w:p>
    <w:p w14:paraId="45C3933E">
      <w:pPr>
        <w:pStyle w:val="56"/>
        <w:spacing w:before="0" w:beforeAutospacing="0" w:after="0" w:afterAutospacing="0" w:line="360" w:lineRule="auto"/>
        <w:ind w:firstLine="480" w:firstLineChars="200"/>
        <w:jc w:val="both"/>
        <w:rPr>
          <w:color w:val="000000"/>
        </w:rPr>
      </w:pPr>
      <w:r>
        <w:rPr>
          <w:rFonts w:hint="eastAsia"/>
          <w:color w:val="000000"/>
        </w:rPr>
        <w:t>14）</w:t>
      </w:r>
      <w:r>
        <w:rPr>
          <w:color w:val="000000"/>
        </w:rPr>
        <w:t>采煤工作面的松动爆破防突措施适用于煤质较硬、围岩稳定性较好的煤层。松动爆破孔间距根据实际情况确定，一般2～3m，孔深不小于5m，炮泥封孔长度不得小于1m。应当适当控制装药量，以免孔口煤壁垮塌。</w:t>
      </w:r>
    </w:p>
    <w:p w14:paraId="58B0D389">
      <w:pPr>
        <w:pStyle w:val="56"/>
        <w:spacing w:before="0" w:beforeAutospacing="0" w:after="0" w:afterAutospacing="0" w:line="360" w:lineRule="auto"/>
        <w:ind w:firstLine="480" w:firstLineChars="200"/>
        <w:jc w:val="both"/>
        <w:rPr>
          <w:color w:val="000000"/>
        </w:rPr>
      </w:pPr>
      <w:r>
        <w:rPr>
          <w:color w:val="000000"/>
        </w:rPr>
        <w:t>松动爆破时，应当按远距离爆破的要求执行。</w:t>
      </w:r>
    </w:p>
    <w:p w14:paraId="6FD7239F">
      <w:pPr>
        <w:pStyle w:val="56"/>
        <w:spacing w:before="0" w:beforeAutospacing="0" w:after="0" w:afterAutospacing="0" w:line="360" w:lineRule="auto"/>
        <w:ind w:firstLine="480" w:firstLineChars="200"/>
        <w:jc w:val="both"/>
        <w:rPr>
          <w:color w:val="000000"/>
        </w:rPr>
      </w:pPr>
      <w:r>
        <w:rPr>
          <w:rFonts w:hint="eastAsia"/>
          <w:color w:val="000000"/>
        </w:rPr>
        <w:t>15）</w:t>
      </w:r>
      <w:r>
        <w:rPr>
          <w:color w:val="000000"/>
        </w:rPr>
        <w:t>采煤工作面浅孔注水湿润煤体措施可用于煤质较硬的突出煤层。注水孔间距根据实际情况确定，孔深不小于4m，向煤体注水压力不得低于8MPa。当发现水由煤壁或相邻注水钻孔中流出时，即可停止注水。</w:t>
      </w:r>
    </w:p>
    <w:p w14:paraId="175BC7E7">
      <w:pPr>
        <w:spacing w:line="360" w:lineRule="auto"/>
        <w:ind w:firstLine="480" w:firstLineChars="200"/>
        <w:rPr>
          <w:rFonts w:hint="eastAsia" w:ascii="宋体" w:hAnsi="宋体"/>
          <w:color w:val="000000"/>
          <w:sz w:val="24"/>
        </w:rPr>
      </w:pPr>
      <w:r>
        <w:rPr>
          <w:rFonts w:hint="eastAsia" w:ascii="宋体" w:hAnsi="宋体"/>
          <w:color w:val="000000"/>
          <w:sz w:val="24"/>
        </w:rPr>
        <w:t>（4）工作面措施效果检验</w:t>
      </w:r>
    </w:p>
    <w:p w14:paraId="40BB4C76">
      <w:pPr>
        <w:spacing w:line="360" w:lineRule="auto"/>
        <w:ind w:firstLine="480" w:firstLineChars="200"/>
        <w:rPr>
          <w:rFonts w:hint="eastAsia" w:ascii="宋体" w:hAnsi="宋体"/>
          <w:color w:val="000000"/>
          <w:sz w:val="24"/>
        </w:rPr>
      </w:pPr>
      <w:r>
        <w:rPr>
          <w:rFonts w:hint="eastAsia" w:ascii="宋体" w:hAnsi="宋体"/>
          <w:color w:val="000000"/>
          <w:sz w:val="24"/>
        </w:rPr>
        <w:t>1）在实施钻孔法防突措施效果检验时，分布在工作面各部位的检验钻孔应当布置于所在部位防突措施钻孔密度相对较小、孔间距相对较大的位置，并远离周围的各防突措施钻孔或尽可能与周围各防突措施钻孔保持等距离。在地质构造复杂地带应根据情况适当增加检验钻孔。</w:t>
      </w:r>
    </w:p>
    <w:p w14:paraId="34996AAC">
      <w:pPr>
        <w:pStyle w:val="56"/>
        <w:spacing w:before="0" w:beforeAutospacing="0" w:after="0" w:afterAutospacing="0" w:line="360" w:lineRule="auto"/>
        <w:ind w:firstLine="480" w:firstLineChars="200"/>
        <w:jc w:val="both"/>
        <w:rPr>
          <w:color w:val="000000"/>
        </w:rPr>
      </w:pPr>
      <w:r>
        <w:rPr>
          <w:color w:val="000000"/>
        </w:rPr>
        <w:t>工作面防突措施效果检验必须包括以下两部分内容：</w:t>
      </w:r>
    </w:p>
    <w:p w14:paraId="4446D7CD">
      <w:pPr>
        <w:pStyle w:val="56"/>
        <w:spacing w:before="0" w:beforeAutospacing="0" w:after="0" w:afterAutospacing="0" w:line="360" w:lineRule="auto"/>
        <w:ind w:firstLine="480" w:firstLineChars="200"/>
        <w:jc w:val="both"/>
        <w:rPr>
          <w:color w:val="000000"/>
        </w:rPr>
      </w:pPr>
      <w:r>
        <w:rPr>
          <w:color w:val="000000"/>
        </w:rPr>
        <w:t>① 检查所实施的工作面防突措施是否达到了设计要求和满足有关的规章、标准等，并了解、收集工作面及实施措施的相关情况、突出预兆等(包括喷孔、卡钻等)，作为措施效果检验报告的内容之一，用于综合分析、判断;</w:t>
      </w:r>
    </w:p>
    <w:p w14:paraId="23CB0B2F">
      <w:pPr>
        <w:pStyle w:val="56"/>
        <w:spacing w:before="0" w:beforeAutospacing="0" w:after="0" w:afterAutospacing="0" w:line="360" w:lineRule="auto"/>
        <w:ind w:firstLine="480" w:firstLineChars="200"/>
        <w:jc w:val="both"/>
        <w:rPr>
          <w:color w:val="000000"/>
        </w:rPr>
      </w:pPr>
      <w:r>
        <w:rPr>
          <w:color w:val="000000"/>
        </w:rPr>
        <w:t>② 各检验指标的测定情况及主要数据。</w:t>
      </w:r>
    </w:p>
    <w:p w14:paraId="01041928">
      <w:pPr>
        <w:pStyle w:val="56"/>
        <w:spacing w:before="0" w:beforeAutospacing="0" w:after="0" w:afterAutospacing="0" w:line="360" w:lineRule="auto"/>
        <w:ind w:firstLine="480" w:firstLineChars="200"/>
        <w:jc w:val="both"/>
        <w:rPr>
          <w:color w:val="000000"/>
        </w:rPr>
      </w:pPr>
      <w:r>
        <w:rPr>
          <w:rFonts w:hint="eastAsia"/>
          <w:color w:val="000000"/>
        </w:rPr>
        <w:t>2）</w:t>
      </w:r>
      <w:r>
        <w:rPr>
          <w:color w:val="000000"/>
        </w:rPr>
        <w:t>对石门和其他揭煤工作面进行防突措施效果检验时，应当选择（工作面突出危险性预测中第3项）所列的钻屑瓦斯解吸指标法或其他经试验证实有效的方法，但所有用钻孔方式检验的方法中检验孔数均不得少于5个，分别位于石门的上部、中部、下部和两侧。</w:t>
      </w:r>
    </w:p>
    <w:p w14:paraId="66FE3224">
      <w:pPr>
        <w:pStyle w:val="56"/>
        <w:spacing w:before="0" w:beforeAutospacing="0" w:after="0" w:afterAutospacing="0" w:line="360" w:lineRule="auto"/>
        <w:ind w:firstLine="480" w:firstLineChars="200"/>
        <w:jc w:val="both"/>
        <w:rPr>
          <w:color w:val="000000"/>
        </w:rPr>
      </w:pPr>
      <w:r>
        <w:rPr>
          <w:color w:val="000000"/>
        </w:rPr>
        <w:t>如检验结果的各项指标都在该煤层突出危险临界值以下，且未发现其他异常情况，则措施有效；反之，判定为措施无效。</w:t>
      </w:r>
    </w:p>
    <w:p w14:paraId="1EBC406A">
      <w:pPr>
        <w:pStyle w:val="56"/>
        <w:spacing w:before="0" w:beforeAutospacing="0" w:after="0" w:afterAutospacing="0" w:line="360" w:lineRule="auto"/>
        <w:ind w:firstLine="480" w:firstLineChars="200"/>
        <w:jc w:val="both"/>
      </w:pPr>
      <w:r>
        <w:rPr>
          <w:rFonts w:hint="eastAsia"/>
          <w:color w:val="000000"/>
        </w:rPr>
        <w:t>3）</w:t>
      </w:r>
      <w:r>
        <w:rPr>
          <w:color w:val="000000"/>
        </w:rPr>
        <w:t>煤巷掘进工作面执行防突措施后，应</w:t>
      </w:r>
      <w:r>
        <w:t>当选择（工作面突出危险性预测中第6项）所列的方法进行措施效果检验。</w:t>
      </w:r>
    </w:p>
    <w:p w14:paraId="118C92B5">
      <w:pPr>
        <w:pStyle w:val="56"/>
        <w:spacing w:before="0" w:beforeAutospacing="0" w:after="0" w:afterAutospacing="0" w:line="360" w:lineRule="auto"/>
        <w:ind w:firstLine="480" w:firstLineChars="200"/>
        <w:jc w:val="both"/>
        <w:rPr>
          <w:color w:val="000000"/>
        </w:rPr>
      </w:pPr>
      <w:r>
        <w:rPr>
          <w:color w:val="000000"/>
        </w:rPr>
        <w:t>检验孔应当不少于3个，深度应当小于或等于防突措施钻孔。</w:t>
      </w:r>
    </w:p>
    <w:p w14:paraId="3E02E7E9">
      <w:pPr>
        <w:pStyle w:val="56"/>
        <w:spacing w:before="0" w:beforeAutospacing="0" w:after="0" w:afterAutospacing="0" w:line="360" w:lineRule="auto"/>
        <w:ind w:firstLine="480" w:firstLineChars="200"/>
        <w:jc w:val="both"/>
        <w:rPr>
          <w:color w:val="000000"/>
        </w:rPr>
      </w:pPr>
      <w:r>
        <w:rPr>
          <w:color w:val="000000"/>
        </w:rPr>
        <w:t>如果煤巷掘进工作面措施效果检验指标均小于指标临界值，且未发现其他异常情况，则措施有效；否则，判定为措施无效。</w:t>
      </w:r>
    </w:p>
    <w:p w14:paraId="35746881">
      <w:pPr>
        <w:pStyle w:val="56"/>
        <w:spacing w:before="0" w:beforeAutospacing="0" w:after="0" w:afterAutospacing="0" w:line="360" w:lineRule="auto"/>
        <w:ind w:firstLine="480" w:firstLineChars="200"/>
        <w:jc w:val="both"/>
        <w:rPr>
          <w:color w:val="000000"/>
        </w:rPr>
      </w:pPr>
      <w:r>
        <w:rPr>
          <w:color w:val="000000"/>
        </w:rPr>
        <w:t>当检验结果措施有效时，若检验孔与防突措施钻孔向巷道掘进方向的投影长度（简称投影孔深）相等，则可在留足</w:t>
      </w:r>
      <w:r>
        <w:t>防突措施超前距（见局部综合防突措施基本程序和要求中第2项）并采取安全防护措施的条件下掘</w:t>
      </w:r>
      <w:r>
        <w:rPr>
          <w:color w:val="000000"/>
        </w:rPr>
        <w:t>进。当检验孔的投影孔深小于防突措施钻孔时，则应当在留足所需的防突措施超前距并同时保留有至少2m检验孔投影孔深超前距的条件下，采取安全防护措施后实施掘进作业。</w:t>
      </w:r>
    </w:p>
    <w:p w14:paraId="29143960">
      <w:pPr>
        <w:pStyle w:val="56"/>
        <w:spacing w:before="0" w:beforeAutospacing="0" w:after="0" w:afterAutospacing="0" w:line="360" w:lineRule="auto"/>
        <w:ind w:firstLine="480" w:firstLineChars="200"/>
        <w:jc w:val="both"/>
        <w:rPr>
          <w:color w:val="000000"/>
        </w:rPr>
      </w:pPr>
      <w:r>
        <w:rPr>
          <w:rFonts w:hint="eastAsia"/>
          <w:color w:val="000000"/>
        </w:rPr>
        <w:t>4）</w:t>
      </w:r>
      <w:r>
        <w:rPr>
          <w:color w:val="000000"/>
        </w:rPr>
        <w:t>对采煤工作面防突措施效果的检验应当参照采煤工作面突出危险性预测的方法和指标实施。但应当沿采煤工作面每隔10～15m布置一个检验钻孔，深度应当小于或等于防突措施钻孔。</w:t>
      </w:r>
    </w:p>
    <w:p w14:paraId="17FD8148">
      <w:pPr>
        <w:spacing w:line="360" w:lineRule="auto"/>
        <w:ind w:firstLine="480" w:firstLineChars="200"/>
        <w:rPr>
          <w:rFonts w:hint="eastAsia" w:ascii="宋体" w:hAnsi="宋体"/>
          <w:color w:val="000000"/>
          <w:sz w:val="24"/>
        </w:rPr>
      </w:pPr>
      <w:r>
        <w:rPr>
          <w:rFonts w:hint="eastAsia" w:ascii="宋体" w:hAnsi="宋体"/>
          <w:color w:val="000000"/>
          <w:sz w:val="24"/>
        </w:rPr>
        <w:t>如果采煤工作面检验指标均小于指标临界值，且未发现其他异常情况，则措施有效；否则，判定为措施无效。</w:t>
      </w:r>
    </w:p>
    <w:p w14:paraId="439F3043">
      <w:pPr>
        <w:spacing w:line="360" w:lineRule="auto"/>
        <w:ind w:firstLine="480" w:firstLineChars="200"/>
        <w:rPr>
          <w:rFonts w:hint="eastAsia" w:ascii="宋体" w:hAnsi="宋体"/>
          <w:color w:val="000000"/>
          <w:sz w:val="24"/>
        </w:rPr>
      </w:pPr>
      <w:r>
        <w:rPr>
          <w:rFonts w:hint="eastAsia" w:ascii="宋体" w:hAnsi="宋体"/>
          <w:color w:val="000000"/>
          <w:sz w:val="24"/>
        </w:rPr>
        <w:t>当检验结果措施有效时，若检验孔与防突措施钻孔深度相等，则可在留足防突措施超前距（</w:t>
      </w:r>
      <w:r>
        <w:rPr>
          <w:rFonts w:ascii="宋体" w:hAnsi="宋体"/>
          <w:color w:val="000000"/>
          <w:sz w:val="24"/>
        </w:rPr>
        <w:t>见</w:t>
      </w:r>
      <w:r>
        <w:rPr>
          <w:rFonts w:hint="eastAsia" w:ascii="宋体" w:hAnsi="宋体"/>
          <w:color w:val="000000"/>
          <w:sz w:val="24"/>
        </w:rPr>
        <w:t>局部综合防突措施基本程序和要求</w:t>
      </w:r>
      <w:r>
        <w:rPr>
          <w:rFonts w:ascii="宋体" w:hAnsi="宋体"/>
          <w:color w:val="000000"/>
          <w:sz w:val="24"/>
        </w:rPr>
        <w:t>中第2项</w:t>
      </w:r>
      <w:r>
        <w:rPr>
          <w:rFonts w:hint="eastAsia" w:ascii="宋体" w:hAnsi="宋体"/>
          <w:color w:val="000000"/>
          <w:sz w:val="24"/>
        </w:rPr>
        <w:t>）并采取安全防护措施的条件下回采。当检验孔的深度小于防突措施钻孔时，则应当在留足所需的防突措施超前距并同时保留有2m检验孔超前距的条件下，采取安全防护措施后实施回采作业。</w:t>
      </w:r>
    </w:p>
    <w:p w14:paraId="000DD14B">
      <w:pPr>
        <w:spacing w:before="120" w:beforeLines="50" w:after="120" w:afterLines="50" w:line="360" w:lineRule="auto"/>
        <w:ind w:firstLine="480" w:firstLineChars="200"/>
        <w:rPr>
          <w:rFonts w:hint="eastAsia" w:ascii="宋体" w:hAnsi="宋体"/>
          <w:kern w:val="0"/>
          <w:sz w:val="24"/>
        </w:rPr>
      </w:pPr>
      <w:r>
        <w:rPr>
          <w:rFonts w:hint="eastAsia" w:ascii="宋体" w:hAnsi="宋体"/>
          <w:kern w:val="0"/>
          <w:sz w:val="24"/>
        </w:rPr>
        <w:t>（四）安全防护措施</w:t>
      </w:r>
    </w:p>
    <w:p w14:paraId="407CC73F">
      <w:pPr>
        <w:spacing w:line="360" w:lineRule="auto"/>
        <w:ind w:firstLine="480" w:firstLineChars="200"/>
        <w:rPr>
          <w:rFonts w:hint="eastAsia" w:ascii="宋体" w:hAnsi="宋体"/>
          <w:color w:val="000000"/>
          <w:sz w:val="24"/>
        </w:rPr>
      </w:pPr>
      <w:r>
        <w:rPr>
          <w:rFonts w:hint="eastAsia" w:ascii="宋体" w:hAnsi="宋体"/>
          <w:color w:val="000000"/>
          <w:sz w:val="24"/>
        </w:rPr>
        <w:t>安全防护措施是“四位一体”综合防突措施的第四个环节，其目的在于预测失误或防突措施失效后发生突出时，避免造成人员伤害，从而建立起防止突出事故的第二道保障线。安全防护措施主要包括岩巷揭穿突出煤层的震动放炮，远距离放炮、反向风门、避难所，压风自救和隔离式（压缩氧或化学氧）自救器等。根据矿井开拓系统及采区巷道布置的实际情况，矿井（斜）石门（巷）及上、下山揭煤时，主要采用远距离爆破、设置反向风门、避难所、压风自救系统等。</w:t>
      </w:r>
    </w:p>
    <w:p w14:paraId="6D2A589E">
      <w:pPr>
        <w:spacing w:line="360" w:lineRule="auto"/>
        <w:ind w:firstLine="480" w:firstLineChars="200"/>
        <w:rPr>
          <w:rFonts w:hint="eastAsia" w:ascii="宋体" w:hAnsi="宋体"/>
          <w:color w:val="000000"/>
          <w:sz w:val="24"/>
        </w:rPr>
      </w:pPr>
      <w:r>
        <w:rPr>
          <w:rFonts w:hint="eastAsia" w:ascii="宋体" w:hAnsi="宋体"/>
          <w:color w:val="000000"/>
          <w:sz w:val="24"/>
        </w:rPr>
        <w:t>1、远距离爆破</w:t>
      </w:r>
    </w:p>
    <w:p w14:paraId="0E92E7BC">
      <w:pPr>
        <w:spacing w:line="360" w:lineRule="auto"/>
        <w:ind w:firstLine="480" w:firstLineChars="200"/>
        <w:rPr>
          <w:rFonts w:hint="eastAsia" w:ascii="宋体" w:hAnsi="宋体"/>
          <w:color w:val="000000"/>
          <w:sz w:val="24"/>
        </w:rPr>
      </w:pPr>
      <w:r>
        <w:rPr>
          <w:rFonts w:hint="eastAsia" w:ascii="宋体" w:hAnsi="宋体"/>
          <w:color w:val="000000"/>
          <w:sz w:val="24"/>
        </w:rPr>
        <w:t>（1）为降低放炮诱发突出的强度，可根据情况在炮掘工作面安设挡栏。挡栏可以用金属、矸石或木垛等构成。金属挡栏一般是由槽钢排列成的方格框架，框架中槽钢的间隔为0.4m，槽钢彼此用卡环固定，使用时在迎工作面的框架上再铺上金属网，然后用木支柱将框架撑成45°的斜面。一组挡拦通常由两架组成，间距为6～8m。可根据预计的突出强度在设计中确定挡栏距工作面的距离。</w:t>
      </w:r>
    </w:p>
    <w:p w14:paraId="7611A1D5">
      <w:pPr>
        <w:spacing w:line="360" w:lineRule="auto"/>
        <w:ind w:firstLine="480" w:firstLineChars="200"/>
        <w:rPr>
          <w:rFonts w:hint="eastAsia" w:ascii="宋体" w:hAnsi="宋体"/>
          <w:color w:val="000000"/>
          <w:sz w:val="24"/>
        </w:rPr>
      </w:pPr>
      <w:r>
        <w:rPr>
          <w:rFonts w:hint="eastAsia" w:ascii="宋体" w:hAnsi="宋体"/>
          <w:color w:val="000000"/>
          <w:sz w:val="24"/>
        </w:rPr>
        <w:t>（2）井巷揭穿突出煤层和突出煤层的炮掘、普采工作面必须采取远距离爆破安全防护措施。</w:t>
      </w:r>
    </w:p>
    <w:p w14:paraId="13BF52D5">
      <w:pPr>
        <w:spacing w:line="360" w:lineRule="auto"/>
        <w:ind w:firstLine="480" w:firstLineChars="200"/>
        <w:rPr>
          <w:rFonts w:hint="eastAsia" w:ascii="宋体" w:hAnsi="宋体"/>
          <w:color w:val="000000"/>
          <w:sz w:val="24"/>
        </w:rPr>
      </w:pPr>
      <w:r>
        <w:rPr>
          <w:rFonts w:hint="eastAsia" w:ascii="宋体" w:hAnsi="宋体"/>
          <w:color w:val="000000"/>
          <w:sz w:val="24"/>
        </w:rPr>
        <w:t>石门揭煤采用远距离爆破时，必须制定包括放炮地点、避灾路线及停电、撤人和警戒范围等的专项措施。</w:t>
      </w:r>
    </w:p>
    <w:p w14:paraId="649A9B5E">
      <w:pPr>
        <w:spacing w:line="360" w:lineRule="auto"/>
        <w:ind w:firstLine="480" w:firstLineChars="200"/>
        <w:rPr>
          <w:rFonts w:hint="eastAsia" w:ascii="宋体" w:hAnsi="宋体"/>
          <w:color w:val="000000"/>
          <w:sz w:val="24"/>
        </w:rPr>
      </w:pPr>
      <w:r>
        <w:rPr>
          <w:rFonts w:hint="eastAsia" w:ascii="宋体" w:hAnsi="宋体"/>
          <w:color w:val="000000"/>
          <w:sz w:val="24"/>
        </w:rPr>
        <w:t>在矿井尚未构成全风压通风的建井初期，在石门揭穿有突出危险煤层的全部作业过程中，与此石门有关的其他工作面必须停止工作。在实施揭穿突出煤层的远距离爆破时，井下全部人员必须撤至地面，井下必须全部断电，立井口附近地面20m范围内或斜井口前方50m、两侧20m范围内严禁有任何火源。</w:t>
      </w:r>
    </w:p>
    <w:p w14:paraId="1CA85D3F">
      <w:pPr>
        <w:spacing w:line="360" w:lineRule="auto"/>
        <w:ind w:firstLine="480" w:firstLineChars="200"/>
        <w:rPr>
          <w:rFonts w:hint="eastAsia" w:ascii="宋体" w:hAnsi="宋体"/>
          <w:color w:val="000000"/>
          <w:sz w:val="24"/>
        </w:rPr>
      </w:pPr>
      <w:r>
        <w:rPr>
          <w:rFonts w:hint="eastAsia" w:ascii="宋体" w:hAnsi="宋体"/>
          <w:color w:val="000000"/>
          <w:sz w:val="24"/>
        </w:rPr>
        <w:t>煤巷掘进工作面采用远距离爆破时，放炮地点必须设在进风侧反向风门之外的全风压通风的新鲜风流中或避难所内，放炮地点距工作面的距离由矿技术负责人根据曾经发生的最大突出强度等具体情况确定，但不得小于300m；采煤工作面放炮地点到工作面的距离由矿技术负责人根据具体情况确定，但不得小于100m。</w:t>
      </w:r>
    </w:p>
    <w:p w14:paraId="3CB879CA">
      <w:pPr>
        <w:spacing w:line="360" w:lineRule="auto"/>
        <w:ind w:firstLine="480" w:firstLineChars="200"/>
        <w:rPr>
          <w:rFonts w:hint="eastAsia" w:ascii="宋体" w:hAnsi="宋体"/>
          <w:color w:val="000000"/>
          <w:sz w:val="24"/>
        </w:rPr>
      </w:pPr>
      <w:r>
        <w:rPr>
          <w:rFonts w:hint="eastAsia" w:ascii="宋体" w:hAnsi="宋体"/>
          <w:color w:val="000000"/>
          <w:sz w:val="24"/>
        </w:rPr>
        <w:t>远距离爆破时，回风系统必须停电、撤人。放炮后进入工作面检查的时间由矿技术负责人根据情况确定，但不得少于30min。</w:t>
      </w:r>
    </w:p>
    <w:p w14:paraId="4B4CD043">
      <w:pPr>
        <w:spacing w:line="360" w:lineRule="auto"/>
        <w:ind w:firstLine="480" w:firstLineChars="200"/>
        <w:rPr>
          <w:rFonts w:hint="eastAsia" w:ascii="宋体" w:hAnsi="宋体"/>
          <w:color w:val="000000"/>
          <w:sz w:val="24"/>
        </w:rPr>
      </w:pPr>
      <w:r>
        <w:rPr>
          <w:rFonts w:hint="eastAsia" w:ascii="宋体" w:hAnsi="宋体"/>
          <w:color w:val="000000"/>
          <w:sz w:val="24"/>
        </w:rPr>
        <w:t>（3）</w:t>
      </w:r>
      <w:r>
        <w:rPr>
          <w:rFonts w:ascii="宋体" w:hAnsi="宋体"/>
          <w:color w:val="000000"/>
          <w:sz w:val="24"/>
        </w:rPr>
        <w:t>对有突出危险的煤层，必须制定石门揭煤的专项措施，准确掌握工作面距煤层的法线距离，严格按要求组织施工。未形成系统的建设矿井，石门揭煤放炮必须在地面实施。已经形成系统的建设矿井和生产矿井，石门揭煤放炮作业可以在反向防突风门后的避难硐室中实施，严重突出矿井也应在地面实施；在突出煤层顶底板掘进的巷道，特别是距突出煤层法线距离小于20米的掘进巷道，必须采取消突措施并采取严格控制突出煤层层位和地质构造，防止瓦斯异常涌出或误穿突出煤层。</w:t>
      </w:r>
    </w:p>
    <w:p w14:paraId="54F0149B">
      <w:pPr>
        <w:spacing w:line="360" w:lineRule="auto"/>
        <w:ind w:firstLine="480" w:firstLineChars="200"/>
        <w:rPr>
          <w:rFonts w:hint="eastAsia" w:ascii="宋体" w:hAnsi="宋体"/>
          <w:color w:val="000000"/>
          <w:sz w:val="24"/>
        </w:rPr>
      </w:pPr>
      <w:r>
        <w:rPr>
          <w:rFonts w:hint="eastAsia" w:ascii="宋体" w:hAnsi="宋体"/>
          <w:color w:val="000000"/>
          <w:sz w:val="24"/>
        </w:rPr>
        <w:t>（4）石门揭煤采用远距离放炮，放炮前矿井必须制定包括爆破地点、避难线路及停电、撤人和警戒范围等的专项措施，矿井范围小，石门揭煤时，必须撤出井下的人员。</w:t>
      </w:r>
    </w:p>
    <w:p w14:paraId="487AB890">
      <w:pPr>
        <w:spacing w:line="360" w:lineRule="auto"/>
        <w:ind w:firstLine="480" w:firstLineChars="200"/>
        <w:rPr>
          <w:rFonts w:hint="eastAsia" w:ascii="宋体" w:hAnsi="宋体"/>
          <w:color w:val="000000"/>
          <w:sz w:val="24"/>
        </w:rPr>
      </w:pPr>
      <w:r>
        <w:rPr>
          <w:rFonts w:hint="eastAsia" w:ascii="宋体" w:hAnsi="宋体"/>
          <w:color w:val="000000"/>
          <w:sz w:val="24"/>
        </w:rPr>
        <w:t>（5）煤巷掘进工作面采用远距离爆破，启爆地点必须设在进风侧反向风门之外的全风压通风的新鲜风流中或避难硐室内，启爆地点距离工作面不得小于300m，并设有直通矿调度室的电话。</w:t>
      </w:r>
    </w:p>
    <w:p w14:paraId="7679A9AD">
      <w:pPr>
        <w:spacing w:line="360" w:lineRule="auto"/>
        <w:ind w:firstLine="480" w:firstLineChars="200"/>
        <w:rPr>
          <w:rFonts w:hint="eastAsia" w:ascii="宋体" w:hAnsi="宋体"/>
          <w:color w:val="000000"/>
          <w:sz w:val="24"/>
        </w:rPr>
      </w:pPr>
      <w:r>
        <w:rPr>
          <w:rFonts w:hint="eastAsia" w:ascii="宋体" w:hAnsi="宋体"/>
          <w:color w:val="000000"/>
          <w:sz w:val="24"/>
        </w:rPr>
        <w:t>（6）相关区域工作的所有人员，在放炮前必须预先通知放炮时间、撤离时间，放炮前由矿调度统计进入该区域的人数、撤离至指定地点的人数，确保放炮时该区域内无人。</w:t>
      </w:r>
    </w:p>
    <w:p w14:paraId="5AE9AAC9">
      <w:pPr>
        <w:spacing w:line="360" w:lineRule="auto"/>
        <w:ind w:firstLine="480" w:firstLineChars="200"/>
        <w:rPr>
          <w:rFonts w:ascii="宋体" w:hAnsi="宋体"/>
          <w:color w:val="000000"/>
          <w:sz w:val="24"/>
        </w:rPr>
      </w:pPr>
      <w:r>
        <w:rPr>
          <w:rFonts w:hint="eastAsia" w:ascii="宋体" w:hAnsi="宋体"/>
          <w:color w:val="000000"/>
          <w:sz w:val="24"/>
        </w:rPr>
        <w:t>2、</w:t>
      </w:r>
      <w:r>
        <w:rPr>
          <w:rFonts w:ascii="宋体" w:hAnsi="宋体"/>
          <w:color w:val="000000"/>
          <w:sz w:val="24"/>
        </w:rPr>
        <w:t>设置</w:t>
      </w:r>
      <w:r>
        <w:rPr>
          <w:rFonts w:hint="eastAsia" w:ascii="宋体" w:hAnsi="宋体"/>
          <w:color w:val="000000"/>
          <w:sz w:val="24"/>
        </w:rPr>
        <w:t>防突</w:t>
      </w:r>
      <w:r>
        <w:rPr>
          <w:rFonts w:ascii="宋体" w:hAnsi="宋体"/>
          <w:color w:val="000000"/>
          <w:sz w:val="24"/>
        </w:rPr>
        <w:t>反向风门</w:t>
      </w:r>
    </w:p>
    <w:p w14:paraId="2A606AC8">
      <w:pPr>
        <w:spacing w:line="360" w:lineRule="auto"/>
        <w:ind w:firstLine="480" w:firstLineChars="200"/>
        <w:rPr>
          <w:rFonts w:hint="eastAsia" w:ascii="宋体" w:hAnsi="宋体"/>
          <w:sz w:val="24"/>
        </w:rPr>
      </w:pPr>
      <w:r>
        <w:rPr>
          <w:rFonts w:hint="eastAsia" w:ascii="宋体" w:hAnsi="宋体"/>
          <w:sz w:val="24"/>
        </w:rPr>
        <w:t>在突出煤层的石门揭煤和煤巷掘进工作面进风侧，必须设置至少2道牢固可靠的反向风门。风门之间的距离不得小于4m。</w:t>
      </w:r>
    </w:p>
    <w:p w14:paraId="53D47200">
      <w:pPr>
        <w:pStyle w:val="56"/>
        <w:spacing w:before="0" w:beforeAutospacing="0" w:after="0" w:afterAutospacing="0" w:line="360" w:lineRule="auto"/>
        <w:ind w:firstLine="480" w:firstLineChars="200"/>
        <w:jc w:val="both"/>
      </w:pPr>
      <w:r>
        <w:t>反向风门距工作面的距离和反向风门的组数，应当根据掘进工作面的通风系统和预计的突出强度确定，但反向风门距工作面回风巷不得小于10m，与工作面的最近距离一般不得小于70m，如小于70m时应设置至少三道反向风门。</w:t>
      </w:r>
    </w:p>
    <w:p w14:paraId="46A11832">
      <w:pPr>
        <w:pStyle w:val="56"/>
        <w:spacing w:before="0" w:beforeAutospacing="0" w:after="0" w:afterAutospacing="0" w:line="360" w:lineRule="auto"/>
        <w:ind w:firstLine="480" w:firstLineChars="200"/>
        <w:jc w:val="both"/>
      </w:pPr>
      <w:r>
        <w:t>反向风门墙垛可用砖、料石或混凝土砌筑，嵌入巷道周边岩石的深度可根据岩石的性质确定，但不得小于0.2m；墙垛厚度不得小于0.8m。在煤巷构筑反向风门时，风门墙体四周必须掏槽，掏槽深度见硬帮硬底后再进入实体煤不小于0.5m。通过反向风门墙垛的风筒、水沟、刮板输送机道等，必须设有逆向隔断装置。</w:t>
      </w:r>
    </w:p>
    <w:p w14:paraId="6A1C2B98">
      <w:pPr>
        <w:pStyle w:val="56"/>
        <w:spacing w:before="0" w:beforeAutospacing="0" w:after="0" w:afterAutospacing="0" w:line="360" w:lineRule="auto"/>
        <w:ind w:firstLine="480" w:firstLineChars="200"/>
        <w:jc w:val="both"/>
      </w:pPr>
      <w:r>
        <w:t>人员进入工作面时必须把反向风门打开、顶牢。工作面放炮和无人时，反向风门必须关闭。</w:t>
      </w:r>
    </w:p>
    <w:p w14:paraId="1E7B0448">
      <w:pPr>
        <w:spacing w:line="360" w:lineRule="auto"/>
        <w:ind w:firstLine="480" w:firstLineChars="200"/>
        <w:rPr>
          <w:rFonts w:hint="eastAsia" w:ascii="宋体" w:hAnsi="宋体"/>
          <w:sz w:val="24"/>
        </w:rPr>
      </w:pPr>
      <w:r>
        <w:rPr>
          <w:rFonts w:hint="eastAsia" w:ascii="宋体" w:hAnsi="宋体"/>
          <w:sz w:val="24"/>
        </w:rPr>
        <w:t>对通过墙垛的风筒，矿井必须设有防逆风装置。</w:t>
      </w:r>
    </w:p>
    <w:p w14:paraId="3F05FBFC">
      <w:pPr>
        <w:spacing w:line="360" w:lineRule="auto"/>
        <w:ind w:firstLine="480" w:firstLineChars="200"/>
        <w:rPr>
          <w:rFonts w:hint="eastAsia" w:ascii="宋体" w:hAnsi="宋体"/>
          <w:sz w:val="24"/>
        </w:rPr>
      </w:pPr>
      <w:r>
        <w:rPr>
          <w:rFonts w:hint="eastAsia" w:ascii="宋体" w:hAnsi="宋体"/>
          <w:sz w:val="24"/>
        </w:rPr>
        <w:t>放炮时风门必须关闭，放炮后，救护队和有关人员进入工作面检查及施工作业时，反向风门必须打开顶牢。</w:t>
      </w:r>
    </w:p>
    <w:p w14:paraId="2FA2E31E">
      <w:pPr>
        <w:spacing w:line="360" w:lineRule="auto"/>
        <w:ind w:firstLine="480" w:firstLineChars="200"/>
        <w:rPr>
          <w:rFonts w:hint="eastAsia" w:ascii="宋体" w:hAnsi="宋体"/>
          <w:color w:val="000000"/>
          <w:sz w:val="24"/>
        </w:rPr>
      </w:pPr>
      <w:r>
        <w:rPr>
          <w:rFonts w:hint="eastAsia" w:ascii="宋体" w:hAnsi="宋体"/>
          <w:color w:val="000000"/>
          <w:sz w:val="24"/>
        </w:rPr>
        <w:t>3、设置避难所</w:t>
      </w:r>
    </w:p>
    <w:p w14:paraId="2022BA4E">
      <w:pPr>
        <w:spacing w:line="360" w:lineRule="auto"/>
        <w:ind w:firstLine="480" w:firstLineChars="200"/>
        <w:rPr>
          <w:rFonts w:hint="eastAsia" w:ascii="宋体" w:hAnsi="宋体"/>
          <w:sz w:val="24"/>
        </w:rPr>
      </w:pPr>
      <w:r>
        <w:rPr>
          <w:rFonts w:hint="eastAsia" w:ascii="宋体" w:hAnsi="宋体"/>
          <w:sz w:val="24"/>
        </w:rPr>
        <w:t>（1）有突出煤层的采区必须设置采区避难所。避难所的位置应当根据实际情况确定。避难所应当符合下列要求：</w:t>
      </w:r>
    </w:p>
    <w:p w14:paraId="74024346">
      <w:pPr>
        <w:pStyle w:val="56"/>
        <w:spacing w:before="0" w:beforeAutospacing="0" w:after="0" w:afterAutospacing="0" w:line="360" w:lineRule="auto"/>
        <w:ind w:firstLine="480" w:firstLineChars="200"/>
        <w:jc w:val="both"/>
        <w:rPr>
          <w:szCs w:val="21"/>
        </w:rPr>
      </w:pPr>
      <w:r>
        <w:rPr>
          <w:szCs w:val="21"/>
        </w:rPr>
        <w:t>1）避难所设置向外开启的隔离门，隔离门设置标准按照反向风门标准安设。室内净高不得低于2m，深度满足扩散通风的要求，长度和宽度应根据可能同时避难的人数确定，但至少能满足15人避难，且每人使用面积不得少于0.5m</w:t>
      </w:r>
      <w:r>
        <w:rPr>
          <w:vertAlign w:val="superscript"/>
        </w:rPr>
        <w:t>2</w:t>
      </w:r>
      <w:r>
        <w:rPr>
          <w:szCs w:val="21"/>
        </w:rPr>
        <w:t>。避难所内支护保持良好，并设有与矿(井)调度室直通的电话；</w:t>
      </w:r>
    </w:p>
    <w:p w14:paraId="7671F0D6">
      <w:pPr>
        <w:pStyle w:val="56"/>
        <w:spacing w:before="0" w:beforeAutospacing="0" w:after="0" w:afterAutospacing="0" w:line="360" w:lineRule="auto"/>
        <w:ind w:firstLine="480" w:firstLineChars="200"/>
        <w:jc w:val="both"/>
        <w:rPr>
          <w:szCs w:val="21"/>
        </w:rPr>
      </w:pPr>
      <w:r>
        <w:rPr>
          <w:szCs w:val="21"/>
        </w:rPr>
        <w:t>2）避难所内放置足量的饮用水、安设供给空气的设施，每人供风量不得少于0.3m</w:t>
      </w:r>
      <w:r>
        <w:rPr>
          <w:vertAlign w:val="superscript"/>
        </w:rPr>
        <w:t>3</w:t>
      </w:r>
      <w:r>
        <w:rPr>
          <w:szCs w:val="21"/>
        </w:rPr>
        <w:t>/min。如果用压缩空气供风时，设有减压装置和带有阀门控制的呼吸嘴；</w:t>
      </w:r>
    </w:p>
    <w:p w14:paraId="658B64A1">
      <w:pPr>
        <w:pStyle w:val="56"/>
        <w:spacing w:before="0" w:beforeAutospacing="0" w:after="0" w:afterAutospacing="0" w:line="360" w:lineRule="auto"/>
        <w:ind w:firstLine="480" w:firstLineChars="200"/>
        <w:jc w:val="both"/>
        <w:rPr>
          <w:szCs w:val="21"/>
        </w:rPr>
      </w:pPr>
      <w:r>
        <w:rPr>
          <w:szCs w:val="21"/>
        </w:rPr>
        <w:t>3）避难所内应根据设计的最多避难人数配备足够数量的隔离式自救器。</w:t>
      </w:r>
    </w:p>
    <w:p w14:paraId="128EC164">
      <w:pPr>
        <w:spacing w:line="360" w:lineRule="auto"/>
        <w:ind w:firstLine="480" w:firstLineChars="200"/>
        <w:rPr>
          <w:rFonts w:hint="eastAsia" w:ascii="宋体" w:hAnsi="宋体"/>
          <w:sz w:val="24"/>
        </w:rPr>
      </w:pPr>
      <w:r>
        <w:rPr>
          <w:rFonts w:hint="eastAsia" w:ascii="宋体" w:hAnsi="宋体"/>
          <w:sz w:val="24"/>
        </w:rPr>
        <w:t>（2）避难所设计</w:t>
      </w:r>
    </w:p>
    <w:p w14:paraId="08B9A485">
      <w:pPr>
        <w:spacing w:line="360" w:lineRule="auto"/>
        <w:ind w:firstLine="480" w:firstLineChars="200"/>
        <w:rPr>
          <w:rFonts w:hint="eastAsia" w:ascii="宋体" w:hAnsi="宋体"/>
          <w:sz w:val="24"/>
        </w:rPr>
      </w:pPr>
      <w:r>
        <w:rPr>
          <w:rFonts w:hint="eastAsia" w:ascii="宋体" w:hAnsi="宋体"/>
          <w:sz w:val="24"/>
        </w:rPr>
        <w:t>该矿设计的避难硐室采用梯形断面、工字钢支护，硐室净断面积6.6m</w:t>
      </w:r>
      <w:r>
        <w:rPr>
          <w:rFonts w:hint="eastAsia" w:ascii="宋体" w:hAnsi="宋体"/>
          <w:sz w:val="24"/>
          <w:vertAlign w:val="superscript"/>
        </w:rPr>
        <w:t>2</w:t>
      </w:r>
      <w:r>
        <w:rPr>
          <w:rFonts w:hint="eastAsia" w:ascii="宋体" w:hAnsi="宋体"/>
          <w:sz w:val="24"/>
        </w:rPr>
        <w:t>，硐室的几何尺寸为：下宽×中高×深度＝3400×2200×2500mm，采用扩散通风，硐室内设食用水管路系统，直通矿调度室的通信系统和压风自救系统，每个避难硐室内设置两组自救袋，每组自救袋设置8个吸嘴，合计16个吸嘴，如下图所示。</w:t>
      </w:r>
    </w:p>
    <w:p w14:paraId="6CA9D173">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 xml:space="preserve">避难硐室主要设置在水泵房、采掘工作面运输顺槽、回风顺槽入口下侧，水泵房内的避硐室选择在水泵房一侧的岩层中，服务于整个矿井，采掘工作面运输顺槽、回风顺槽入口下侧的避难硐选择布置在煤层中，服务于该区段的采掘工作面，详见 </w:t>
      </w:r>
      <w:r>
        <w:rPr>
          <w:rFonts w:hint="eastAsia" w:ascii="宋体" w:hAnsi="宋体"/>
          <w:b/>
          <w:sz w:val="24"/>
        </w:rPr>
        <w:t>图13 压风管路及压风自救系统布置图</w:t>
      </w:r>
      <w:r>
        <w:rPr>
          <w:rFonts w:hint="eastAsia" w:ascii="宋体" w:hAnsi="宋体"/>
          <w:sz w:val="24"/>
        </w:rPr>
        <w:t>。</w:t>
      </w:r>
    </w:p>
    <w:p w14:paraId="16632D95">
      <w:pPr>
        <w:spacing w:line="360" w:lineRule="auto"/>
        <w:jc w:val="center"/>
        <w:rPr>
          <w:rFonts w:hint="eastAsia"/>
          <w:color w:val="000000"/>
          <w:sz w:val="24"/>
        </w:rPr>
      </w:pPr>
      <w:r>
        <w:drawing>
          <wp:inline distT="0" distB="0" distL="114300" distR="114300">
            <wp:extent cx="4856480" cy="4714240"/>
            <wp:effectExtent l="0" t="0" r="0" b="10160"/>
            <wp:docPr id="3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0"/>
                    <pic:cNvPicPr>
                      <a:picLocks noChangeAspect="1"/>
                    </pic:cNvPicPr>
                  </pic:nvPicPr>
                  <pic:blipFill>
                    <a:blip r:embed="rId164"/>
                    <a:srcRect l="51979" t="18109" r="21884" b="28970"/>
                    <a:stretch>
                      <a:fillRect/>
                    </a:stretch>
                  </pic:blipFill>
                  <pic:spPr>
                    <a:xfrm>
                      <a:off x="0" y="0"/>
                      <a:ext cx="4856480" cy="4714240"/>
                    </a:xfrm>
                    <a:prstGeom prst="rect">
                      <a:avLst/>
                    </a:prstGeom>
                    <a:noFill/>
                    <a:ln>
                      <a:noFill/>
                    </a:ln>
                  </pic:spPr>
                </pic:pic>
              </a:graphicData>
            </a:graphic>
          </wp:inline>
        </w:drawing>
      </w:r>
    </w:p>
    <w:p w14:paraId="785B8395">
      <w:pPr>
        <w:spacing w:line="360" w:lineRule="auto"/>
        <w:ind w:firstLine="480" w:firstLineChars="200"/>
        <w:rPr>
          <w:rFonts w:hint="eastAsia" w:ascii="宋体" w:hAnsi="宋体"/>
          <w:color w:val="000000"/>
          <w:sz w:val="24"/>
        </w:rPr>
      </w:pPr>
      <w:r>
        <w:rPr>
          <w:rFonts w:hint="eastAsia" w:ascii="宋体" w:hAnsi="宋体"/>
          <w:color w:val="000000"/>
          <w:sz w:val="24"/>
        </w:rPr>
        <w:t>4、压风自救系统</w:t>
      </w:r>
    </w:p>
    <w:p w14:paraId="7B8F7019">
      <w:pPr>
        <w:spacing w:line="360" w:lineRule="auto"/>
        <w:ind w:firstLine="480" w:firstLineChars="200"/>
        <w:rPr>
          <w:rFonts w:hint="eastAsia" w:ascii="宋体" w:hAnsi="宋体"/>
          <w:sz w:val="24"/>
        </w:rPr>
      </w:pPr>
      <w:r>
        <w:rPr>
          <w:rFonts w:hint="eastAsia" w:ascii="宋体" w:hAnsi="宋体"/>
          <w:sz w:val="24"/>
        </w:rPr>
        <w:t>（1）突出煤层的采掘工作面应设置工作面避难所或压风自救系统。应根据具体情况设置其中之一或混合设置，但掘进距离超过500m的巷道内必须设置工作面避难所。</w:t>
      </w:r>
    </w:p>
    <w:p w14:paraId="6F330462">
      <w:pPr>
        <w:spacing w:line="360" w:lineRule="auto"/>
        <w:ind w:firstLine="480" w:firstLineChars="200"/>
        <w:rPr>
          <w:rFonts w:hint="eastAsia" w:ascii="宋体" w:hAnsi="宋体"/>
          <w:sz w:val="24"/>
        </w:rPr>
      </w:pPr>
      <w:r>
        <w:rPr>
          <w:rFonts w:hint="eastAsia" w:ascii="宋体" w:hAnsi="宋体"/>
          <w:sz w:val="24"/>
        </w:rPr>
        <w:t>工作面避难所应当设在采掘工作面附近和爆破工操纵放炮的地点。根据具体条件确定避难所的数量及其距采掘工作面的距离。工作面避难所应当能够满足工作面最多作业人数时的避难要求，其他要求与采区避难所相同。</w:t>
      </w:r>
    </w:p>
    <w:p w14:paraId="0A9FE38B">
      <w:pPr>
        <w:spacing w:line="360" w:lineRule="auto"/>
        <w:ind w:firstLine="480" w:firstLineChars="200"/>
        <w:rPr>
          <w:rFonts w:hint="eastAsia" w:ascii="宋体" w:hAnsi="宋体"/>
          <w:sz w:val="24"/>
        </w:rPr>
      </w:pPr>
      <w:r>
        <w:rPr>
          <w:rFonts w:hint="eastAsia" w:ascii="宋体" w:hAnsi="宋体"/>
          <w:sz w:val="24"/>
        </w:rPr>
        <w:t>（2）压风自救系统应当达到下列要求：</w:t>
      </w:r>
    </w:p>
    <w:p w14:paraId="5385EFFA">
      <w:pPr>
        <w:spacing w:line="360" w:lineRule="auto"/>
        <w:ind w:firstLine="480" w:firstLineChars="200"/>
        <w:rPr>
          <w:rFonts w:hint="eastAsia" w:ascii="宋体" w:hAnsi="宋体"/>
          <w:sz w:val="24"/>
        </w:rPr>
      </w:pPr>
      <w:r>
        <w:rPr>
          <w:rFonts w:hint="eastAsia" w:ascii="宋体" w:hAnsi="宋体"/>
          <w:sz w:val="24"/>
        </w:rPr>
        <w:t>1）压风自救装置安装在掘进工作面巷道和回采工作面巷道内的压缩空气管道上；</w:t>
      </w:r>
    </w:p>
    <w:p w14:paraId="0037DB2D">
      <w:pPr>
        <w:spacing w:line="360" w:lineRule="auto"/>
        <w:ind w:firstLine="480" w:firstLineChars="200"/>
        <w:rPr>
          <w:rFonts w:hint="eastAsia" w:ascii="宋体" w:hAnsi="宋体"/>
          <w:sz w:val="24"/>
        </w:rPr>
      </w:pPr>
      <w:r>
        <w:rPr>
          <w:rFonts w:hint="eastAsia" w:ascii="宋体" w:hAnsi="宋体"/>
          <w:sz w:val="24"/>
        </w:rPr>
        <w:t>2）在以下每个地点都应至少设置一组压风自救装置：距采掘工作面25～40m的巷道内、放炮地点、撤离人员与警戒人员所在的位置以及回风道有人作业处等。在长距离的掘进巷道中，应根据实际情况增加设置；</w:t>
      </w:r>
    </w:p>
    <w:p w14:paraId="0D1DBB6D">
      <w:pPr>
        <w:spacing w:line="360" w:lineRule="auto"/>
        <w:ind w:firstLine="480" w:firstLineChars="200"/>
        <w:rPr>
          <w:rFonts w:hint="eastAsia" w:ascii="宋体" w:hAnsi="宋体"/>
          <w:sz w:val="24"/>
        </w:rPr>
      </w:pPr>
      <w:r>
        <w:rPr>
          <w:rFonts w:hint="eastAsia" w:ascii="宋体" w:hAnsi="宋体"/>
          <w:sz w:val="24"/>
        </w:rPr>
        <w:t>3）每组压风自救装置应可供5～8个人使用，平均每人的压缩空气供给量不得少于0.1m</w:t>
      </w:r>
      <w:r>
        <w:rPr>
          <w:rFonts w:hint="eastAsia" w:ascii="宋体" w:hAnsi="宋体"/>
          <w:sz w:val="24"/>
          <w:vertAlign w:val="superscript"/>
        </w:rPr>
        <w:t>3</w:t>
      </w:r>
      <w:r>
        <w:rPr>
          <w:rFonts w:hint="eastAsia" w:ascii="宋体" w:hAnsi="宋体"/>
          <w:sz w:val="24"/>
        </w:rPr>
        <w:t>/min。</w:t>
      </w:r>
    </w:p>
    <w:p w14:paraId="040DEBCB">
      <w:pPr>
        <w:spacing w:line="360" w:lineRule="auto"/>
        <w:ind w:firstLine="480" w:firstLineChars="200"/>
        <w:rPr>
          <w:rFonts w:hint="eastAsia" w:ascii="宋体" w:hAnsi="宋体"/>
          <w:sz w:val="24"/>
        </w:rPr>
      </w:pPr>
      <w:r>
        <w:rPr>
          <w:rFonts w:hint="eastAsia" w:ascii="宋体" w:hAnsi="宋体"/>
          <w:sz w:val="24"/>
        </w:rPr>
        <w:t>4）压风自救系统必须派专人维护，确保设备完好、风量足够，且要求</w:t>
      </w:r>
      <w:r>
        <w:rPr>
          <w:rFonts w:ascii="宋体" w:hAnsi="宋体"/>
          <w:sz w:val="24"/>
        </w:rPr>
        <w:t>24</w:t>
      </w:r>
      <w:r>
        <w:rPr>
          <w:rFonts w:hint="eastAsia" w:ascii="宋体" w:hAnsi="宋体"/>
          <w:sz w:val="24"/>
        </w:rPr>
        <w:t>小时随时可以使用。</w:t>
      </w:r>
    </w:p>
    <w:p w14:paraId="17CA9B3B">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w:t>
      </w:r>
      <w:r>
        <w:rPr>
          <w:rFonts w:hint="eastAsia" w:ascii="宋体" w:hAnsi="宋体"/>
          <w:color w:val="000000"/>
          <w:sz w:val="24"/>
        </w:rPr>
        <w:t>系统组成</w:t>
      </w:r>
    </w:p>
    <w:p w14:paraId="41534651">
      <w:pPr>
        <w:spacing w:line="360" w:lineRule="auto"/>
        <w:ind w:firstLine="480" w:firstLineChars="200"/>
        <w:rPr>
          <w:rFonts w:hint="eastAsia" w:ascii="宋体" w:hAnsi="宋体"/>
          <w:color w:val="000000"/>
          <w:sz w:val="24"/>
        </w:rPr>
      </w:pPr>
      <w:r>
        <w:rPr>
          <w:rFonts w:hint="eastAsia" w:ascii="宋体" w:hAnsi="宋体"/>
          <w:color w:val="000000"/>
          <w:sz w:val="24"/>
        </w:rPr>
        <w:t>系统组成：地面固定式压风机，压风主管路，压风分管，压风自救装置，压风卸压阀，呼吸面罩。</w:t>
      </w:r>
    </w:p>
    <w:p w14:paraId="0CA76AE9">
      <w:pPr>
        <w:spacing w:line="360" w:lineRule="auto"/>
        <w:ind w:firstLine="480" w:firstLineChars="200"/>
        <w:rPr>
          <w:rFonts w:hint="eastAsia" w:ascii="宋体" w:hAnsi="宋体"/>
          <w:color w:val="000000"/>
          <w:sz w:val="24"/>
        </w:rPr>
      </w:pPr>
      <w:r>
        <w:rPr>
          <w:rFonts w:hint="eastAsia" w:ascii="宋体" w:hAnsi="宋体"/>
          <w:color w:val="000000"/>
          <w:sz w:val="24"/>
        </w:rPr>
        <w:t>（3）设备选择：</w:t>
      </w:r>
    </w:p>
    <w:p w14:paraId="3EF40145">
      <w:pPr>
        <w:spacing w:line="360" w:lineRule="auto"/>
        <w:ind w:firstLine="480" w:firstLineChars="200"/>
        <w:rPr>
          <w:rFonts w:hint="eastAsia" w:ascii="宋体" w:hAnsi="宋体"/>
          <w:sz w:val="24"/>
        </w:rPr>
      </w:pPr>
      <w:r>
        <w:rPr>
          <w:rFonts w:hint="eastAsia" w:ascii="宋体" w:hAnsi="宋体"/>
          <w:sz w:val="24"/>
        </w:rPr>
        <w:t>根据计算，地面固定式空压机站压风机选用</w:t>
      </w:r>
      <w:r>
        <w:rPr>
          <w:rFonts w:ascii="宋体" w:hAnsi="宋体"/>
          <w:sz w:val="24"/>
        </w:rPr>
        <w:t>GA90（A）/7.5</w:t>
      </w:r>
      <w:r>
        <w:rPr>
          <w:rFonts w:hint="eastAsia" w:ascii="宋体" w:hAnsi="宋体"/>
          <w:sz w:val="24"/>
        </w:rPr>
        <w:t>型(配带电机及电控)螺杆式式空压机二台，一台工作，一台备用，电机功率：75kW，电压</w:t>
      </w:r>
      <w:r>
        <w:rPr>
          <w:rFonts w:ascii="宋体" w:hAnsi="宋体"/>
          <w:sz w:val="24"/>
        </w:rPr>
        <w:t>380V。</w:t>
      </w:r>
      <w:r>
        <w:rPr>
          <w:rFonts w:hint="eastAsia" w:ascii="宋体" w:hAnsi="宋体"/>
          <w:sz w:val="24"/>
        </w:rPr>
        <w:t>排气量16.2m</w:t>
      </w:r>
      <w:r>
        <w:rPr>
          <w:rFonts w:hint="eastAsia" w:ascii="宋体" w:hAnsi="宋体"/>
          <w:sz w:val="24"/>
          <w:vertAlign w:val="superscript"/>
        </w:rPr>
        <w:t>3</w:t>
      </w:r>
      <w:r>
        <w:rPr>
          <w:rFonts w:hint="eastAsia" w:ascii="宋体" w:hAnsi="宋体"/>
          <w:sz w:val="24"/>
        </w:rPr>
        <w:t>/min，排气压力0.75MPa。</w:t>
      </w:r>
    </w:p>
    <w:p w14:paraId="7BA7960B">
      <w:pPr>
        <w:spacing w:line="360" w:lineRule="auto"/>
        <w:ind w:firstLine="480" w:firstLineChars="200"/>
        <w:rPr>
          <w:rFonts w:hint="eastAsia" w:ascii="宋体" w:hAnsi="宋体"/>
          <w:sz w:val="24"/>
        </w:rPr>
      </w:pPr>
      <w:r>
        <w:rPr>
          <w:rFonts w:ascii="宋体" w:hAnsi="宋体"/>
          <w:sz w:val="24"/>
        </w:rPr>
        <w:t>压风主管路选用：煤矿用</w:t>
      </w:r>
      <w:r>
        <w:rPr>
          <w:rFonts w:hint="eastAsia" w:ascii="宋体" w:hAnsi="宋体"/>
          <w:sz w:val="24"/>
        </w:rPr>
        <w:t>无缝钢</w:t>
      </w:r>
      <w:r>
        <w:rPr>
          <w:rFonts w:ascii="宋体" w:hAnsi="宋体"/>
          <w:sz w:val="24"/>
        </w:rPr>
        <w:t>压风管DN</w:t>
      </w:r>
      <w:r>
        <w:rPr>
          <w:rFonts w:hint="eastAsia" w:ascii="宋体" w:hAnsi="宋体"/>
          <w:sz w:val="24"/>
        </w:rPr>
        <w:t>80</w:t>
      </w:r>
      <w:r>
        <w:rPr>
          <w:rFonts w:ascii="宋体" w:hAnsi="宋体"/>
          <w:sz w:val="24"/>
        </w:rPr>
        <w:t>，PN=0.8MPa，</w:t>
      </w:r>
      <w:r>
        <w:rPr>
          <w:rFonts w:hint="eastAsia" w:ascii="宋体" w:hAnsi="宋体"/>
          <w:sz w:val="24"/>
        </w:rPr>
        <w:t>长800m</w:t>
      </w:r>
      <w:r>
        <w:rPr>
          <w:rFonts w:ascii="宋体" w:hAnsi="宋体"/>
          <w:sz w:val="24"/>
        </w:rPr>
        <w:t>；</w:t>
      </w:r>
    </w:p>
    <w:p w14:paraId="3065AB9B">
      <w:pPr>
        <w:spacing w:line="360" w:lineRule="auto"/>
        <w:ind w:firstLine="480" w:firstLineChars="200"/>
        <w:rPr>
          <w:rFonts w:hint="eastAsia" w:ascii="宋体" w:hAnsi="宋体"/>
          <w:sz w:val="24"/>
        </w:rPr>
      </w:pPr>
      <w:r>
        <w:rPr>
          <w:rFonts w:hint="eastAsia" w:ascii="宋体" w:hAnsi="宋体"/>
          <w:sz w:val="24"/>
        </w:rPr>
        <w:t>压风支管，</w:t>
      </w:r>
      <w:r>
        <w:rPr>
          <w:rFonts w:ascii="宋体" w:hAnsi="宋体"/>
          <w:sz w:val="24"/>
        </w:rPr>
        <w:t>煤矿用</w:t>
      </w:r>
      <w:r>
        <w:rPr>
          <w:rFonts w:hint="eastAsia" w:ascii="宋体" w:hAnsi="宋体"/>
          <w:sz w:val="24"/>
        </w:rPr>
        <w:t>焊缝铁管作</w:t>
      </w:r>
      <w:r>
        <w:rPr>
          <w:rFonts w:ascii="宋体" w:hAnsi="宋体"/>
          <w:sz w:val="24"/>
        </w:rPr>
        <w:t>压风管DN</w:t>
      </w:r>
      <w:r>
        <w:rPr>
          <w:rFonts w:hint="eastAsia" w:ascii="宋体" w:hAnsi="宋体"/>
          <w:sz w:val="24"/>
        </w:rPr>
        <w:t>75</w:t>
      </w:r>
      <w:r>
        <w:rPr>
          <w:rFonts w:ascii="宋体" w:hAnsi="宋体"/>
          <w:sz w:val="24"/>
        </w:rPr>
        <w:t>，PN=0.8Mpa，</w:t>
      </w:r>
      <w:r>
        <w:rPr>
          <w:rFonts w:hint="eastAsia" w:ascii="宋体" w:hAnsi="宋体"/>
          <w:sz w:val="24"/>
        </w:rPr>
        <w:t>长1500m</w:t>
      </w:r>
      <w:r>
        <w:rPr>
          <w:rFonts w:ascii="宋体" w:hAnsi="宋体"/>
          <w:sz w:val="24"/>
        </w:rPr>
        <w:t>；</w:t>
      </w:r>
    </w:p>
    <w:p w14:paraId="0A682A3A">
      <w:pPr>
        <w:spacing w:line="360" w:lineRule="auto"/>
        <w:ind w:firstLine="480" w:firstLineChars="200"/>
        <w:rPr>
          <w:rFonts w:hint="eastAsia" w:ascii="宋体" w:hAnsi="宋体"/>
          <w:color w:val="000000"/>
          <w:sz w:val="24"/>
        </w:rPr>
      </w:pPr>
      <w:r>
        <w:rPr>
          <w:rFonts w:hint="eastAsia" w:ascii="宋体" w:hAnsi="宋体"/>
          <w:color w:val="000000"/>
          <w:sz w:val="24"/>
        </w:rPr>
        <w:t>根据矿井的开采范围和巷道布置。掘进工作面每50m设置一组压风自救系统，预计7组；回采工作面回风顺槽每50m设置1组，预计设置15组；回采工作面进风顺槽每50m设置1组，预计设置12组。即矿井配置压风自救系统总组数为M＝7＋15＋12＝34（组），压风自救系统具体布置位置详见</w:t>
      </w:r>
      <w:r>
        <w:rPr>
          <w:rFonts w:hint="eastAsia" w:ascii="宋体" w:hAnsi="宋体"/>
          <w:b/>
          <w:color w:val="000000"/>
          <w:sz w:val="24"/>
        </w:rPr>
        <w:t>（附图）</w:t>
      </w:r>
      <w:r>
        <w:rPr>
          <w:rFonts w:hint="eastAsia" w:ascii="宋体" w:hAnsi="宋体"/>
          <w:color w:val="000000"/>
          <w:sz w:val="24"/>
        </w:rPr>
        <w:t>。</w:t>
      </w:r>
    </w:p>
    <w:p w14:paraId="1018C10D">
      <w:pPr>
        <w:spacing w:line="360" w:lineRule="auto"/>
        <w:ind w:firstLine="480" w:firstLineChars="200"/>
        <w:rPr>
          <w:rFonts w:hint="eastAsia" w:ascii="宋体" w:hAnsi="宋体"/>
          <w:sz w:val="24"/>
        </w:rPr>
      </w:pPr>
      <w:r>
        <w:rPr>
          <w:rFonts w:hint="eastAsia" w:ascii="宋体" w:hAnsi="宋体"/>
          <w:sz w:val="24"/>
        </w:rPr>
        <w:t>压风自救系统安设在井下压风支管上，每组安装8个压风卸压阀，每个卸压阀配呼吸面罩一个。压风自救系统的选型设计详见 第五章第四节压缩空气设备。</w:t>
      </w:r>
    </w:p>
    <w:p w14:paraId="6B257CB9">
      <w:pPr>
        <w:spacing w:line="360" w:lineRule="auto"/>
        <w:ind w:firstLine="480" w:firstLineChars="200"/>
        <w:rPr>
          <w:rFonts w:hint="eastAsia" w:ascii="宋体" w:hAnsi="宋体"/>
          <w:sz w:val="24"/>
        </w:rPr>
      </w:pPr>
      <w:r>
        <w:rPr>
          <w:rFonts w:hint="eastAsia" w:ascii="宋体" w:hAnsi="宋体"/>
          <w:sz w:val="24"/>
        </w:rPr>
        <w:t>（4）矿井自救安全区域内</w:t>
      </w:r>
      <w:r>
        <w:rPr>
          <w:rFonts w:ascii="宋体" w:hAnsi="宋体"/>
          <w:sz w:val="24"/>
        </w:rPr>
        <w:t>工作人员</w:t>
      </w:r>
      <w:r>
        <w:rPr>
          <w:rFonts w:hint="eastAsia" w:ascii="宋体" w:hAnsi="宋体"/>
          <w:sz w:val="24"/>
        </w:rPr>
        <w:t>所需总风量</w:t>
      </w:r>
    </w:p>
    <w:p w14:paraId="1178340D">
      <w:pPr>
        <w:adjustRightInd w:val="0"/>
        <w:snapToGrid w:val="0"/>
        <w:spacing w:line="360" w:lineRule="auto"/>
        <w:ind w:firstLine="480" w:firstLineChars="200"/>
        <w:rPr>
          <w:rFonts w:ascii="宋体" w:hAnsi="宋体"/>
          <w:sz w:val="24"/>
        </w:rPr>
      </w:pPr>
      <w:r>
        <w:rPr>
          <w:rFonts w:ascii="宋体" w:hAnsi="宋体"/>
          <w:sz w:val="24"/>
        </w:rPr>
        <w:t>根据压风自救安装区域工作人员数量，考虑输气管路的漏风量，并保持一定的富余量，按下式确定供风量。</w:t>
      </w:r>
    </w:p>
    <w:p w14:paraId="15507E6F">
      <w:pPr>
        <w:adjustRightInd w:val="0"/>
        <w:snapToGrid w:val="0"/>
        <w:spacing w:line="360" w:lineRule="auto"/>
        <w:ind w:firstLine="480" w:firstLineChars="200"/>
        <w:rPr>
          <w:rFonts w:ascii="宋体" w:hAnsi="宋体"/>
          <w:sz w:val="24"/>
        </w:rPr>
      </w:pPr>
      <w:r>
        <w:rPr>
          <w:rFonts w:ascii="宋体" w:hAnsi="宋体"/>
          <w:sz w:val="24"/>
        </w:rPr>
        <w:t>Q</w:t>
      </w:r>
      <w:r>
        <w:rPr>
          <w:rFonts w:ascii="宋体" w:hAnsi="宋体"/>
          <w:sz w:val="24"/>
          <w:vertAlign w:val="subscript"/>
        </w:rPr>
        <w:t>需</w:t>
      </w:r>
      <w:r>
        <w:rPr>
          <w:rFonts w:ascii="宋体" w:hAnsi="宋体"/>
          <w:sz w:val="24"/>
        </w:rPr>
        <w:t>=K</w:t>
      </w:r>
      <w:r>
        <w:rPr>
          <w:rFonts w:hint="eastAsia" w:ascii="宋体" w:hAnsi="宋体"/>
          <w:sz w:val="24"/>
        </w:rPr>
        <w:t>·</w:t>
      </w:r>
      <w:r>
        <w:rPr>
          <w:rFonts w:ascii="宋体" w:hAnsi="宋体"/>
          <w:sz w:val="24"/>
        </w:rPr>
        <w:t>K</w:t>
      </w:r>
      <w:r>
        <w:rPr>
          <w:rFonts w:ascii="宋体" w:hAnsi="宋体"/>
          <w:sz w:val="24"/>
          <w:vertAlign w:val="subscript"/>
        </w:rPr>
        <w:t>1</w:t>
      </w:r>
      <w:r>
        <w:rPr>
          <w:rFonts w:ascii="宋体" w:hAnsi="宋体"/>
          <w:sz w:val="24"/>
        </w:rPr>
        <w:t>∑</w:t>
      </w:r>
      <w:r>
        <w:rPr>
          <w:rFonts w:ascii="宋体" w:hAnsi="宋体"/>
          <w:sz w:val="24"/>
          <w:vertAlign w:val="subscript"/>
        </w:rPr>
        <w:t>总</w:t>
      </w:r>
      <w:r>
        <w:rPr>
          <w:rFonts w:ascii="宋体" w:hAnsi="宋体"/>
          <w:sz w:val="24"/>
        </w:rPr>
        <w:t>q</w:t>
      </w:r>
      <w:r>
        <w:rPr>
          <w:rFonts w:ascii="宋体" w:hAnsi="宋体"/>
          <w:sz w:val="24"/>
          <w:vertAlign w:val="subscript"/>
        </w:rPr>
        <w:t>自</w:t>
      </w:r>
    </w:p>
    <w:p w14:paraId="2F2FED80">
      <w:pPr>
        <w:adjustRightInd w:val="0"/>
        <w:snapToGrid w:val="0"/>
        <w:spacing w:line="360" w:lineRule="auto"/>
        <w:ind w:firstLine="480" w:firstLineChars="200"/>
        <w:rPr>
          <w:rFonts w:hint="eastAsia" w:ascii="宋体" w:hAnsi="宋体"/>
          <w:sz w:val="24"/>
        </w:rPr>
      </w:pPr>
      <w:r>
        <w:rPr>
          <w:rFonts w:ascii="宋体" w:hAnsi="宋体"/>
          <w:sz w:val="24"/>
        </w:rPr>
        <w:t>式中：Q</w:t>
      </w:r>
      <w:r>
        <w:rPr>
          <w:rFonts w:ascii="宋体" w:hAnsi="宋体"/>
          <w:sz w:val="24"/>
          <w:vertAlign w:val="subscript"/>
        </w:rPr>
        <w:t>源</w:t>
      </w:r>
      <w:r>
        <w:rPr>
          <w:rFonts w:ascii="宋体" w:hAnsi="宋体"/>
          <w:sz w:val="24"/>
        </w:rPr>
        <w:t>——气源的供风能力，m</w:t>
      </w:r>
      <w:r>
        <w:rPr>
          <w:rFonts w:ascii="宋体" w:hAnsi="宋体"/>
          <w:sz w:val="24"/>
          <w:vertAlign w:val="superscript"/>
        </w:rPr>
        <w:t>3</w:t>
      </w:r>
      <w:r>
        <w:rPr>
          <w:rFonts w:ascii="宋体" w:hAnsi="宋体"/>
          <w:sz w:val="24"/>
        </w:rPr>
        <w:t>/min</w:t>
      </w:r>
      <w:r>
        <w:rPr>
          <w:rFonts w:hint="eastAsia" w:ascii="宋体" w:hAnsi="宋体"/>
          <w:sz w:val="24"/>
        </w:rPr>
        <w:t>；</w:t>
      </w:r>
    </w:p>
    <w:p w14:paraId="1C7EBF8E">
      <w:pPr>
        <w:adjustRightInd w:val="0"/>
        <w:snapToGrid w:val="0"/>
        <w:spacing w:line="360" w:lineRule="auto"/>
        <w:ind w:firstLine="1200" w:firstLineChars="500"/>
        <w:rPr>
          <w:rFonts w:hint="eastAsia" w:ascii="宋体" w:hAnsi="宋体"/>
          <w:sz w:val="24"/>
        </w:rPr>
      </w:pPr>
      <w:r>
        <w:rPr>
          <w:rFonts w:ascii="宋体" w:hAnsi="宋体"/>
          <w:sz w:val="24"/>
        </w:rPr>
        <w:t>Q</w:t>
      </w:r>
      <w:r>
        <w:rPr>
          <w:rFonts w:ascii="宋体" w:hAnsi="宋体"/>
          <w:sz w:val="24"/>
          <w:vertAlign w:val="subscript"/>
        </w:rPr>
        <w:t>需</w:t>
      </w:r>
      <w:r>
        <w:rPr>
          <w:rFonts w:ascii="宋体" w:hAnsi="宋体"/>
          <w:sz w:val="24"/>
        </w:rPr>
        <w:t>——受灾区的所需风量，m</w:t>
      </w:r>
      <w:r>
        <w:rPr>
          <w:rFonts w:ascii="宋体" w:hAnsi="宋体"/>
          <w:sz w:val="24"/>
          <w:vertAlign w:val="superscript"/>
        </w:rPr>
        <w:t>3</w:t>
      </w:r>
      <w:r>
        <w:rPr>
          <w:rFonts w:ascii="宋体" w:hAnsi="宋体"/>
          <w:sz w:val="24"/>
        </w:rPr>
        <w:t>/min</w:t>
      </w:r>
      <w:r>
        <w:rPr>
          <w:rFonts w:hint="eastAsia" w:ascii="宋体" w:hAnsi="宋体"/>
          <w:sz w:val="24"/>
        </w:rPr>
        <w:t>；</w:t>
      </w:r>
    </w:p>
    <w:p w14:paraId="2ABF0175">
      <w:pPr>
        <w:adjustRightInd w:val="0"/>
        <w:snapToGrid w:val="0"/>
        <w:spacing w:line="360" w:lineRule="auto"/>
        <w:ind w:firstLine="1200" w:firstLineChars="500"/>
        <w:rPr>
          <w:rFonts w:hint="eastAsia" w:ascii="宋体" w:hAnsi="宋体"/>
          <w:sz w:val="24"/>
        </w:rPr>
      </w:pPr>
      <w:r>
        <w:rPr>
          <w:rFonts w:ascii="宋体" w:hAnsi="宋体"/>
          <w:sz w:val="24"/>
        </w:rPr>
        <w:t>K——压风管路漏气系数，取1.2</w:t>
      </w:r>
      <w:r>
        <w:rPr>
          <w:rFonts w:hint="eastAsia" w:ascii="宋体" w:hAnsi="宋体"/>
          <w:sz w:val="24"/>
        </w:rPr>
        <w:t>；</w:t>
      </w:r>
    </w:p>
    <w:p w14:paraId="44FBA9CB">
      <w:pPr>
        <w:adjustRightInd w:val="0"/>
        <w:snapToGrid w:val="0"/>
        <w:spacing w:line="360" w:lineRule="auto"/>
        <w:ind w:firstLine="1200" w:firstLineChars="500"/>
        <w:rPr>
          <w:rFonts w:hint="eastAsia" w:ascii="宋体" w:hAnsi="宋体"/>
          <w:sz w:val="24"/>
        </w:rPr>
      </w:pPr>
      <w:r>
        <w:rPr>
          <w:rFonts w:ascii="宋体" w:hAnsi="宋体"/>
          <w:sz w:val="24"/>
        </w:rPr>
        <w:t>K</w:t>
      </w:r>
      <w:r>
        <w:rPr>
          <w:rFonts w:ascii="宋体" w:hAnsi="宋体"/>
          <w:sz w:val="24"/>
          <w:vertAlign w:val="subscript"/>
        </w:rPr>
        <w:t>1</w:t>
      </w:r>
      <w:r>
        <w:rPr>
          <w:rFonts w:ascii="宋体" w:hAnsi="宋体"/>
          <w:sz w:val="24"/>
        </w:rPr>
        <w:t>——压风自救安装区域工作人员不均衡系数,取1.2</w:t>
      </w:r>
      <w:r>
        <w:rPr>
          <w:rFonts w:hint="eastAsia" w:ascii="宋体" w:hAnsi="宋体"/>
          <w:sz w:val="24"/>
        </w:rPr>
        <w:t>；</w:t>
      </w:r>
    </w:p>
    <w:p w14:paraId="6BC957EB">
      <w:pPr>
        <w:adjustRightInd w:val="0"/>
        <w:snapToGrid w:val="0"/>
        <w:spacing w:line="360" w:lineRule="auto"/>
        <w:ind w:firstLine="1200" w:firstLineChars="500"/>
        <w:rPr>
          <w:rFonts w:hint="eastAsia" w:ascii="宋体" w:hAnsi="宋体"/>
          <w:sz w:val="24"/>
        </w:rPr>
      </w:pPr>
      <w:r>
        <w:rPr>
          <w:rFonts w:ascii="宋体" w:hAnsi="宋体"/>
          <w:sz w:val="24"/>
        </w:rPr>
        <w:t>∑</w:t>
      </w:r>
      <w:r>
        <w:rPr>
          <w:rFonts w:ascii="宋体" w:hAnsi="宋体"/>
          <w:sz w:val="24"/>
          <w:vertAlign w:val="subscript"/>
        </w:rPr>
        <w:t>总</w:t>
      </w:r>
      <w:r>
        <w:rPr>
          <w:rFonts w:ascii="宋体" w:hAnsi="宋体"/>
          <w:sz w:val="24"/>
        </w:rPr>
        <w:t>——压风自救安装区域工作的最多人数；</w:t>
      </w:r>
      <w:r>
        <w:rPr>
          <w:rFonts w:hint="eastAsia" w:ascii="宋体" w:hAnsi="宋体"/>
          <w:sz w:val="24"/>
        </w:rPr>
        <w:t>按80人取；</w:t>
      </w:r>
    </w:p>
    <w:p w14:paraId="44225A02">
      <w:pPr>
        <w:adjustRightInd w:val="0"/>
        <w:snapToGrid w:val="0"/>
        <w:spacing w:line="360" w:lineRule="auto"/>
        <w:ind w:firstLine="1200" w:firstLineChars="500"/>
        <w:rPr>
          <w:rFonts w:ascii="宋体" w:hAnsi="宋体"/>
          <w:sz w:val="24"/>
        </w:rPr>
      </w:pPr>
      <w:r>
        <w:rPr>
          <w:rFonts w:ascii="宋体" w:hAnsi="宋体"/>
          <w:sz w:val="24"/>
        </w:rPr>
        <w:t>q</w:t>
      </w:r>
      <w:r>
        <w:rPr>
          <w:rFonts w:ascii="宋体" w:hAnsi="宋体"/>
          <w:sz w:val="24"/>
          <w:vertAlign w:val="subscript"/>
        </w:rPr>
        <w:t>自</w:t>
      </w:r>
      <w:r>
        <w:rPr>
          <w:rFonts w:ascii="宋体" w:hAnsi="宋体"/>
          <w:sz w:val="24"/>
        </w:rPr>
        <w:t>——压缩空气供给量，每人按0.1m</w:t>
      </w:r>
      <w:r>
        <w:rPr>
          <w:rFonts w:ascii="宋体" w:hAnsi="宋体"/>
          <w:sz w:val="24"/>
          <w:vertAlign w:val="superscript"/>
        </w:rPr>
        <w:t>3</w:t>
      </w:r>
      <w:r>
        <w:rPr>
          <w:rFonts w:ascii="宋体" w:hAnsi="宋体"/>
          <w:sz w:val="24"/>
        </w:rPr>
        <w:t>∕min计。</w:t>
      </w:r>
    </w:p>
    <w:p w14:paraId="6D6D22ED">
      <w:pPr>
        <w:adjustRightInd w:val="0"/>
        <w:snapToGrid w:val="0"/>
        <w:spacing w:line="360" w:lineRule="auto"/>
        <w:ind w:firstLine="480" w:firstLineChars="200"/>
        <w:rPr>
          <w:rFonts w:hint="eastAsia" w:ascii="宋体" w:hAnsi="宋体"/>
          <w:sz w:val="24"/>
        </w:rPr>
      </w:pPr>
      <w:r>
        <w:rPr>
          <w:rFonts w:ascii="宋体" w:hAnsi="宋体"/>
          <w:sz w:val="24"/>
        </w:rPr>
        <w:t>Q</w:t>
      </w:r>
      <w:r>
        <w:rPr>
          <w:rFonts w:ascii="宋体" w:hAnsi="宋体"/>
          <w:sz w:val="24"/>
          <w:vertAlign w:val="subscript"/>
        </w:rPr>
        <w:t>需</w:t>
      </w:r>
      <w:r>
        <w:rPr>
          <w:rFonts w:ascii="宋体" w:hAnsi="宋体"/>
          <w:sz w:val="24"/>
        </w:rPr>
        <w:t>=K</w:t>
      </w:r>
      <w:r>
        <w:rPr>
          <w:rFonts w:hint="eastAsia" w:ascii="宋体" w:hAnsi="宋体"/>
          <w:sz w:val="24"/>
        </w:rPr>
        <w:t>·</w:t>
      </w:r>
      <w:r>
        <w:rPr>
          <w:rFonts w:ascii="宋体" w:hAnsi="宋体"/>
          <w:sz w:val="24"/>
        </w:rPr>
        <w:t>K</w:t>
      </w:r>
      <w:r>
        <w:rPr>
          <w:rFonts w:ascii="宋体" w:hAnsi="宋体"/>
          <w:sz w:val="24"/>
          <w:vertAlign w:val="subscript"/>
        </w:rPr>
        <w:t>1</w:t>
      </w:r>
      <w:r>
        <w:rPr>
          <w:rFonts w:ascii="宋体" w:hAnsi="宋体"/>
          <w:sz w:val="24"/>
        </w:rPr>
        <w:t>∑</w:t>
      </w:r>
      <w:r>
        <w:rPr>
          <w:rFonts w:ascii="宋体" w:hAnsi="宋体"/>
          <w:sz w:val="24"/>
          <w:vertAlign w:val="subscript"/>
        </w:rPr>
        <w:t>总</w:t>
      </w:r>
      <w:r>
        <w:rPr>
          <w:rFonts w:ascii="宋体" w:hAnsi="宋体"/>
          <w:sz w:val="24"/>
        </w:rPr>
        <w:t>q</w:t>
      </w:r>
      <w:r>
        <w:rPr>
          <w:rFonts w:ascii="宋体" w:hAnsi="宋体"/>
          <w:sz w:val="24"/>
          <w:vertAlign w:val="subscript"/>
        </w:rPr>
        <w:t>自</w:t>
      </w:r>
      <w:r>
        <w:rPr>
          <w:rFonts w:ascii="宋体" w:hAnsi="宋体"/>
          <w:sz w:val="24"/>
        </w:rPr>
        <w:t>=</w:t>
      </w:r>
      <w:r>
        <w:rPr>
          <w:rFonts w:hint="eastAsia" w:ascii="宋体" w:hAnsi="宋体"/>
          <w:sz w:val="24"/>
        </w:rPr>
        <w:t>1.2×1.2×80×0.1＝11.52</w:t>
      </w:r>
      <w:r>
        <w:rPr>
          <w:rFonts w:ascii="宋体" w:hAnsi="宋体"/>
          <w:sz w:val="24"/>
        </w:rPr>
        <w:t>m</w:t>
      </w:r>
      <w:r>
        <w:rPr>
          <w:rFonts w:ascii="宋体" w:hAnsi="宋体"/>
          <w:sz w:val="24"/>
          <w:vertAlign w:val="superscript"/>
        </w:rPr>
        <w:t>3</w:t>
      </w:r>
      <w:r>
        <w:rPr>
          <w:rFonts w:ascii="宋体" w:hAnsi="宋体"/>
          <w:sz w:val="24"/>
        </w:rPr>
        <w:t>∕min</w:t>
      </w:r>
    </w:p>
    <w:p w14:paraId="57EE0B34">
      <w:pPr>
        <w:adjustRightInd w:val="0"/>
        <w:snapToGrid w:val="0"/>
        <w:spacing w:line="360" w:lineRule="auto"/>
        <w:ind w:firstLine="480" w:firstLineChars="200"/>
        <w:rPr>
          <w:rFonts w:hint="eastAsia" w:ascii="宋体" w:hAnsi="宋体"/>
          <w:sz w:val="24"/>
        </w:rPr>
      </w:pPr>
      <w:r>
        <w:rPr>
          <w:rFonts w:hint="eastAsia" w:ascii="宋体" w:hAnsi="宋体"/>
          <w:sz w:val="24"/>
        </w:rPr>
        <w:t>根据以上计算，所选压风机满足要求。</w:t>
      </w:r>
    </w:p>
    <w:p w14:paraId="63AC0739">
      <w:pPr>
        <w:pStyle w:val="4"/>
        <w:keepLines/>
        <w:adjustRightInd w:val="0"/>
        <w:snapToGrid w:val="0"/>
        <w:spacing w:before="240" w:after="240" w:line="360" w:lineRule="auto"/>
        <w:ind w:firstLine="562" w:firstLineChars="200"/>
        <w:jc w:val="both"/>
        <w:rPr>
          <w:b/>
          <w:color w:val="000000"/>
          <w:kern w:val="0"/>
          <w:szCs w:val="20"/>
        </w:rPr>
      </w:pPr>
      <w:bookmarkStart w:id="440" w:name="_Toc173869240"/>
      <w:bookmarkStart w:id="441" w:name="_Toc173918915"/>
      <w:bookmarkStart w:id="442" w:name="_Toc173893676"/>
      <w:r>
        <w:rPr>
          <w:rFonts w:hint="eastAsia"/>
          <w:b/>
          <w:color w:val="000000"/>
          <w:kern w:val="0"/>
          <w:szCs w:val="20"/>
        </w:rPr>
        <w:t>三</w:t>
      </w:r>
      <w:r>
        <w:rPr>
          <w:b/>
          <w:color w:val="000000"/>
          <w:kern w:val="0"/>
          <w:szCs w:val="20"/>
        </w:rPr>
        <w:t>、</w:t>
      </w:r>
      <w:r>
        <w:rPr>
          <w:rFonts w:hint="eastAsia"/>
          <w:b/>
          <w:color w:val="000000"/>
          <w:kern w:val="0"/>
          <w:szCs w:val="20"/>
        </w:rPr>
        <w:t>粉尘防治</w:t>
      </w:r>
      <w:bookmarkEnd w:id="440"/>
      <w:bookmarkEnd w:id="441"/>
      <w:bookmarkEnd w:id="442"/>
    </w:p>
    <w:p w14:paraId="42451D7D">
      <w:pPr>
        <w:spacing w:line="360" w:lineRule="auto"/>
        <w:ind w:left="1" w:firstLine="480" w:firstLineChars="200"/>
        <w:rPr>
          <w:rFonts w:hint="eastAsia" w:ascii="宋体" w:hAnsi="宋体"/>
          <w:sz w:val="24"/>
        </w:rPr>
      </w:pPr>
      <w:r>
        <w:rPr>
          <w:rFonts w:hint="eastAsia" w:ascii="宋体" w:hAnsi="宋体"/>
          <w:sz w:val="24"/>
        </w:rPr>
        <w:t>要将空气中的矿尘浓度降到安全标准以下，矿井必须采取综合防尘措施，并以风、水为主，包括通风防尘、净化风流和个体防护等措施，并建立完善的防尘洒水管路系统。</w:t>
      </w:r>
    </w:p>
    <w:p w14:paraId="504ECA05">
      <w:pPr>
        <w:spacing w:line="360" w:lineRule="auto"/>
        <w:ind w:firstLine="480" w:firstLineChars="200"/>
        <w:rPr>
          <w:rFonts w:ascii="宋体" w:hAnsi="宋体"/>
          <w:sz w:val="24"/>
        </w:rPr>
      </w:pPr>
      <w:r>
        <w:rPr>
          <w:rFonts w:hint="eastAsia" w:ascii="宋体" w:hAnsi="宋体"/>
          <w:sz w:val="24"/>
        </w:rPr>
        <w:t>1、掘进工作面采用喷雾洒水，配备除尘器及粉尘捕集装置，掘进工人均配备防尘口罩。对回采工作面经常进行洒水，使煤体湿润，减少开采时煤尘飞扬。</w:t>
      </w:r>
    </w:p>
    <w:p w14:paraId="37FB859F">
      <w:pPr>
        <w:spacing w:line="360" w:lineRule="auto"/>
        <w:ind w:firstLine="480" w:firstLineChars="200"/>
        <w:rPr>
          <w:rFonts w:ascii="宋体" w:hAnsi="宋体"/>
          <w:sz w:val="24"/>
        </w:rPr>
      </w:pPr>
      <w:r>
        <w:rPr>
          <w:rFonts w:hint="eastAsia" w:ascii="宋体" w:hAnsi="宋体"/>
          <w:sz w:val="24"/>
        </w:rPr>
        <w:t>2、在其它粉尘较大的地点均采用喷雾、洒水等降尘措施。</w:t>
      </w:r>
    </w:p>
    <w:p w14:paraId="708FEDA4">
      <w:pPr>
        <w:spacing w:line="360" w:lineRule="auto"/>
        <w:ind w:firstLine="480" w:firstLineChars="200"/>
        <w:rPr>
          <w:rFonts w:ascii="宋体" w:hAnsi="宋体"/>
          <w:sz w:val="24"/>
        </w:rPr>
      </w:pPr>
      <w:r>
        <w:rPr>
          <w:rFonts w:hint="eastAsia" w:ascii="宋体" w:hAnsi="宋体"/>
          <w:sz w:val="24"/>
        </w:rPr>
        <w:t>3、及时调整和控制各巷道风速，防止因风速过小而不能及时带出空气中的浮尘和风速过大重新扬起落尘。</w:t>
      </w:r>
    </w:p>
    <w:p w14:paraId="238B6105">
      <w:pPr>
        <w:spacing w:line="360" w:lineRule="auto"/>
        <w:ind w:firstLine="480" w:firstLineChars="200"/>
        <w:rPr>
          <w:rFonts w:ascii="宋体" w:hAnsi="宋体"/>
          <w:sz w:val="24"/>
        </w:rPr>
      </w:pPr>
      <w:r>
        <w:rPr>
          <w:rFonts w:hint="eastAsia" w:ascii="宋体" w:hAnsi="宋体"/>
          <w:sz w:val="24"/>
        </w:rPr>
        <w:t>4、定期清扫和刷洗巷壁上的煤尘。</w:t>
      </w:r>
    </w:p>
    <w:p w14:paraId="09774A65">
      <w:pPr>
        <w:spacing w:line="360" w:lineRule="auto"/>
        <w:ind w:firstLine="480" w:firstLineChars="200"/>
        <w:rPr>
          <w:rFonts w:ascii="宋体" w:hAnsi="宋体"/>
          <w:sz w:val="24"/>
        </w:rPr>
      </w:pPr>
      <w:r>
        <w:rPr>
          <w:rFonts w:hint="eastAsia" w:ascii="宋体" w:hAnsi="宋体"/>
          <w:sz w:val="24"/>
        </w:rPr>
        <w:t>5、对井下采掘人员进行个体防护，配备防尘口罩和压风呼吸器，还应该定期进行身体检查，以预防尘肺病危害。</w:t>
      </w:r>
    </w:p>
    <w:p w14:paraId="7DEC3C13">
      <w:pPr>
        <w:spacing w:line="360" w:lineRule="auto"/>
        <w:ind w:firstLine="480" w:firstLineChars="200"/>
        <w:rPr>
          <w:rFonts w:ascii="宋体" w:hAnsi="宋体"/>
          <w:sz w:val="24"/>
        </w:rPr>
      </w:pPr>
      <w:r>
        <w:rPr>
          <w:rFonts w:hint="eastAsia" w:ascii="宋体" w:hAnsi="宋体"/>
          <w:sz w:val="24"/>
        </w:rPr>
        <w:t>5、采、掘工作面配备呼吸性粉尘测定仪，用以检测井下空气，及时发现粉尘浓度超限，以便立即采取措施。</w:t>
      </w:r>
    </w:p>
    <w:p w14:paraId="290914C8">
      <w:pPr>
        <w:spacing w:line="360" w:lineRule="auto"/>
        <w:ind w:firstLine="480" w:firstLineChars="200"/>
        <w:rPr>
          <w:rFonts w:ascii="宋体" w:hAnsi="宋体"/>
          <w:sz w:val="24"/>
        </w:rPr>
      </w:pPr>
      <w:r>
        <w:rPr>
          <w:rFonts w:hint="eastAsia" w:ascii="宋体" w:hAnsi="宋体"/>
          <w:sz w:val="24"/>
        </w:rPr>
        <w:t>7、按照有关规定，在易发生爆炸事故的地点设置隔爆水棚，防止爆炸事故的扩散。</w:t>
      </w:r>
    </w:p>
    <w:p w14:paraId="00295433">
      <w:pPr>
        <w:spacing w:before="120" w:beforeLines="50" w:after="120" w:afterLines="50" w:line="360" w:lineRule="auto"/>
        <w:ind w:firstLine="482" w:firstLineChars="200"/>
        <w:rPr>
          <w:rFonts w:ascii="宋体" w:hAnsi="宋体"/>
          <w:b/>
          <w:sz w:val="24"/>
        </w:rPr>
      </w:pPr>
      <w:r>
        <w:rPr>
          <w:rFonts w:hint="eastAsia" w:ascii="宋体" w:hAnsi="宋体"/>
          <w:b/>
          <w:sz w:val="24"/>
        </w:rPr>
        <w:t>（一）防爆措施</w:t>
      </w:r>
    </w:p>
    <w:p w14:paraId="1E3F4FAF">
      <w:pPr>
        <w:spacing w:line="360" w:lineRule="auto"/>
        <w:ind w:firstLine="480" w:firstLineChars="200"/>
        <w:rPr>
          <w:rFonts w:hint="eastAsia" w:ascii="宋体" w:hAnsi="宋体"/>
          <w:sz w:val="24"/>
        </w:rPr>
      </w:pPr>
      <w:r>
        <w:rPr>
          <w:rFonts w:hint="eastAsia" w:ascii="宋体" w:hAnsi="宋体"/>
          <w:sz w:val="24"/>
        </w:rPr>
        <w:t>本设计按煤尘有爆炸性管理，必须采取防止煤尘爆炸的措施。</w:t>
      </w:r>
    </w:p>
    <w:p w14:paraId="79581CA6">
      <w:pPr>
        <w:autoSpaceDE w:val="0"/>
        <w:autoSpaceDN w:val="0"/>
        <w:adjustRightInd w:val="0"/>
        <w:spacing w:line="360" w:lineRule="auto"/>
        <w:ind w:firstLine="480" w:firstLineChars="200"/>
        <w:jc w:val="left"/>
        <w:rPr>
          <w:rFonts w:hint="eastAsia" w:ascii="宋体" w:hAnsi="宋体"/>
          <w:kern w:val="0"/>
          <w:sz w:val="24"/>
        </w:rPr>
      </w:pPr>
      <w:r>
        <w:rPr>
          <w:rFonts w:hint="eastAsia" w:ascii="宋体" w:hAnsi="宋体"/>
          <w:kern w:val="0"/>
          <w:sz w:val="24"/>
        </w:rPr>
        <w:t>1、防止煤尘瓦斯爆炸的措施</w:t>
      </w:r>
    </w:p>
    <w:p w14:paraId="63EC606E">
      <w:pPr>
        <w:spacing w:line="360" w:lineRule="auto"/>
        <w:ind w:firstLine="480" w:firstLineChars="200"/>
        <w:rPr>
          <w:rFonts w:hint="eastAsia" w:ascii="宋体" w:hAnsi="宋体"/>
          <w:sz w:val="24"/>
        </w:rPr>
      </w:pPr>
      <w:r>
        <w:rPr>
          <w:rFonts w:hint="eastAsia" w:ascii="宋体" w:hAnsi="宋体"/>
          <w:sz w:val="24"/>
        </w:rPr>
        <w:t>煤尘瓦斯爆炸主要是指当煤尘、瓦斯达到一定的浓度时，若遇上火源，即可能发生爆炸，因此，防止煤尘、瓦斯爆炸措施，实际上就是降低风流中煤尘、瓦斯浓度，使其达不到爆炸浓度，再一方面就是消除火源。</w:t>
      </w:r>
    </w:p>
    <w:p w14:paraId="12370E08">
      <w:pPr>
        <w:spacing w:line="360" w:lineRule="auto"/>
        <w:ind w:firstLine="480" w:firstLineChars="200"/>
        <w:rPr>
          <w:rFonts w:hint="eastAsia" w:ascii="宋体" w:hAnsi="宋体"/>
          <w:sz w:val="24"/>
        </w:rPr>
      </w:pPr>
      <w:r>
        <w:rPr>
          <w:rFonts w:hint="eastAsia" w:ascii="宋体" w:hAnsi="宋体"/>
          <w:sz w:val="24"/>
        </w:rPr>
        <w:t>（1）通风方面：合理的通风系统，适中的风速。通风既能将涌出的瓦斯稀释排走，又能及时地将空气中的浮尘带走，但需同时保证不会将落尘重新扬起。</w:t>
      </w:r>
    </w:p>
    <w:p w14:paraId="26C77BC0">
      <w:pPr>
        <w:spacing w:line="360" w:lineRule="auto"/>
        <w:ind w:firstLine="480" w:firstLineChars="200"/>
        <w:rPr>
          <w:rFonts w:hint="eastAsia" w:ascii="宋体" w:hAnsi="宋体"/>
          <w:sz w:val="24"/>
        </w:rPr>
      </w:pPr>
      <w:r>
        <w:rPr>
          <w:rFonts w:hint="eastAsia" w:ascii="宋体" w:hAnsi="宋体"/>
          <w:sz w:val="24"/>
        </w:rPr>
        <w:t>（2）防尘洒水方面：在井下各主要产尘点，设置风流净化水幕、洒水装置、洒水管路等，使煤尘湿润，减少煤尘的飞扬，降低风流中煤尘浓度。</w:t>
      </w:r>
    </w:p>
    <w:p w14:paraId="7924599E">
      <w:pPr>
        <w:spacing w:line="360" w:lineRule="auto"/>
        <w:ind w:firstLine="480" w:firstLineChars="200"/>
        <w:rPr>
          <w:rFonts w:hint="eastAsia" w:ascii="宋体" w:hAnsi="宋体"/>
          <w:sz w:val="24"/>
        </w:rPr>
      </w:pPr>
      <w:r>
        <w:rPr>
          <w:rFonts w:hint="eastAsia" w:ascii="宋体" w:hAnsi="宋体"/>
          <w:sz w:val="24"/>
        </w:rPr>
        <w:t>（3）除尘方面：在掘进工作面采用湿式除尘设备，减少煤尘的产生。</w:t>
      </w:r>
    </w:p>
    <w:p w14:paraId="4F318C54">
      <w:pPr>
        <w:spacing w:line="360" w:lineRule="auto"/>
        <w:ind w:firstLine="480" w:firstLineChars="200"/>
        <w:rPr>
          <w:rFonts w:hint="eastAsia" w:ascii="宋体" w:hAnsi="宋体"/>
          <w:sz w:val="24"/>
        </w:rPr>
      </w:pPr>
      <w:r>
        <w:rPr>
          <w:rFonts w:hint="eastAsia" w:ascii="宋体" w:hAnsi="宋体"/>
          <w:sz w:val="24"/>
        </w:rPr>
        <w:t>（4）检测方面：本设计为矿井配备了适当的粉尘检测设备，应加强对粉尘浓度的检测和采样，一旦发现空气风流中粉尘浓度高时，必须采取相应的降尘措施。</w:t>
      </w:r>
    </w:p>
    <w:p w14:paraId="11F6AB7E">
      <w:pPr>
        <w:autoSpaceDE w:val="0"/>
        <w:autoSpaceDN w:val="0"/>
        <w:adjustRightInd w:val="0"/>
        <w:spacing w:line="360" w:lineRule="auto"/>
        <w:ind w:firstLine="480" w:firstLineChars="200"/>
        <w:jc w:val="left"/>
        <w:rPr>
          <w:rFonts w:hint="eastAsia" w:ascii="宋体" w:hAnsi="宋体"/>
          <w:kern w:val="0"/>
          <w:sz w:val="24"/>
        </w:rPr>
      </w:pPr>
      <w:r>
        <w:rPr>
          <w:rFonts w:hint="eastAsia" w:ascii="宋体" w:hAnsi="宋体"/>
          <w:kern w:val="0"/>
          <w:sz w:val="24"/>
        </w:rPr>
        <w:t>2、对于井巷中积聚的煤尘的防爆措施</w:t>
      </w:r>
    </w:p>
    <w:p w14:paraId="4F14ECFF">
      <w:pPr>
        <w:spacing w:line="360" w:lineRule="auto"/>
        <w:ind w:firstLine="480" w:firstLineChars="200"/>
        <w:rPr>
          <w:rFonts w:hint="eastAsia" w:ascii="宋体" w:hAnsi="宋体"/>
          <w:sz w:val="24"/>
        </w:rPr>
      </w:pPr>
      <w:r>
        <w:rPr>
          <w:rFonts w:hint="eastAsia" w:ascii="宋体" w:hAnsi="宋体"/>
          <w:sz w:val="24"/>
        </w:rPr>
        <w:t>（1）经常清扫巷道中积聚的煤尘，尽量勿使煤尘飞扬蔓延，防止沉积的煤尘参与爆炸。</w:t>
      </w:r>
    </w:p>
    <w:p w14:paraId="1FBFD0ED">
      <w:pPr>
        <w:spacing w:line="360" w:lineRule="auto"/>
        <w:ind w:firstLine="480" w:firstLineChars="200"/>
        <w:rPr>
          <w:rFonts w:hint="eastAsia" w:ascii="宋体" w:hAnsi="宋体"/>
          <w:sz w:val="24"/>
        </w:rPr>
      </w:pPr>
      <w:r>
        <w:rPr>
          <w:rFonts w:hint="eastAsia" w:ascii="宋体" w:hAnsi="宋体"/>
          <w:sz w:val="24"/>
        </w:rPr>
        <w:t>（2）冲洗巷壁，用水将沉积于巷道周边的煤尘冲掉并运出。</w:t>
      </w:r>
    </w:p>
    <w:p w14:paraId="4B353FBE">
      <w:pPr>
        <w:spacing w:line="360" w:lineRule="auto"/>
        <w:ind w:firstLine="480" w:firstLineChars="200"/>
        <w:rPr>
          <w:rFonts w:hint="eastAsia" w:ascii="宋体" w:hAnsi="宋体"/>
          <w:sz w:val="24"/>
        </w:rPr>
      </w:pPr>
      <w:r>
        <w:rPr>
          <w:rFonts w:hint="eastAsia" w:ascii="宋体" w:hAnsi="宋体"/>
          <w:sz w:val="24"/>
        </w:rPr>
        <w:t>（3）巷壁刷浆，用石灰水或水泥石灰水喷洒在巷道周壁，使煤尘固结起来不能飞扬到空气中参与爆炸，巷壁刷浆后，还能改善井下环境，并有利于冲洗煤尘。刷浆用石灰水为生石灰与水按1：1.5（体积比）配制，或以水泥：石灰：水＝1：2：10（体积比）配制成水泥石灰水。刷浆工作一般每半年进行一次。</w:t>
      </w:r>
    </w:p>
    <w:p w14:paraId="1908CC4C">
      <w:pPr>
        <w:autoSpaceDE w:val="0"/>
        <w:autoSpaceDN w:val="0"/>
        <w:adjustRightInd w:val="0"/>
        <w:spacing w:line="360" w:lineRule="auto"/>
        <w:ind w:firstLine="480" w:firstLineChars="200"/>
        <w:jc w:val="left"/>
        <w:rPr>
          <w:rFonts w:hint="eastAsia" w:ascii="宋体" w:hAnsi="宋体"/>
          <w:kern w:val="0"/>
          <w:sz w:val="24"/>
        </w:rPr>
      </w:pPr>
      <w:r>
        <w:rPr>
          <w:rFonts w:hint="eastAsia" w:ascii="宋体" w:hAnsi="宋体"/>
          <w:kern w:val="0"/>
          <w:sz w:val="24"/>
        </w:rPr>
        <w:t>3、消除爆炸火源的措施</w:t>
      </w:r>
    </w:p>
    <w:p w14:paraId="02ECAF25">
      <w:pPr>
        <w:spacing w:line="360" w:lineRule="auto"/>
        <w:ind w:firstLine="480" w:firstLineChars="200"/>
        <w:rPr>
          <w:rFonts w:hint="eastAsia" w:ascii="宋体" w:hAnsi="宋体"/>
          <w:sz w:val="24"/>
        </w:rPr>
      </w:pPr>
      <w:r>
        <w:rPr>
          <w:rFonts w:hint="eastAsia" w:ascii="宋体" w:hAnsi="宋体"/>
          <w:sz w:val="24"/>
        </w:rPr>
        <w:t>（1）消除采、掘工作面放炮时产生的火焰；</w:t>
      </w:r>
    </w:p>
    <w:p w14:paraId="457A8F68">
      <w:pPr>
        <w:spacing w:line="360" w:lineRule="auto"/>
        <w:ind w:firstLine="480" w:firstLineChars="200"/>
        <w:rPr>
          <w:rFonts w:hint="eastAsia" w:ascii="宋体" w:hAnsi="宋体"/>
          <w:sz w:val="24"/>
        </w:rPr>
      </w:pPr>
      <w:r>
        <w:rPr>
          <w:rFonts w:hint="eastAsia" w:ascii="宋体" w:hAnsi="宋体"/>
          <w:sz w:val="24"/>
        </w:rPr>
        <w:t>（2）本设计选用的井下电气设备均为矿用防爆型电气设备，且所有的电气设备均设可靠的接地、短路和漏电保护；</w:t>
      </w:r>
    </w:p>
    <w:p w14:paraId="54794F39">
      <w:pPr>
        <w:spacing w:line="360" w:lineRule="auto"/>
        <w:ind w:firstLine="480" w:firstLineChars="200"/>
        <w:rPr>
          <w:rFonts w:hint="eastAsia" w:ascii="宋体" w:hAnsi="宋体"/>
          <w:sz w:val="24"/>
        </w:rPr>
      </w:pPr>
      <w:r>
        <w:rPr>
          <w:rFonts w:hint="eastAsia" w:ascii="宋体" w:hAnsi="宋体"/>
          <w:sz w:val="24"/>
        </w:rPr>
        <w:t>（3）消除其他火源（比如防止矿车与轨道强烈摩擦和撞击电气设备而产生电气火花），以及金属强烈碰撞产生的火源等。</w:t>
      </w:r>
    </w:p>
    <w:p w14:paraId="23E410A2">
      <w:pPr>
        <w:spacing w:line="360" w:lineRule="auto"/>
        <w:ind w:firstLine="480" w:firstLineChars="200"/>
        <w:rPr>
          <w:rFonts w:hint="eastAsia" w:ascii="宋体" w:hAnsi="宋体"/>
          <w:sz w:val="24"/>
        </w:rPr>
      </w:pPr>
      <w:r>
        <w:rPr>
          <w:rFonts w:hint="eastAsia" w:ascii="宋体" w:hAnsi="宋体"/>
          <w:sz w:val="24"/>
        </w:rPr>
        <w:t>采用喷雾洒水和设置隔爆水棚的措施。同时，由于瓦斯和煤尘爆炸时，存在相互作用的状况，故两种爆炸的隔爆均可采用隔爆水棚。</w:t>
      </w:r>
    </w:p>
    <w:p w14:paraId="53783C52">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（二）喷雾洒水</w:t>
      </w:r>
    </w:p>
    <w:p w14:paraId="2511C574">
      <w:pPr>
        <w:spacing w:line="360" w:lineRule="auto"/>
        <w:ind w:firstLine="480" w:firstLineChars="200"/>
        <w:rPr>
          <w:rFonts w:hint="eastAsia" w:ascii="宋体" w:hAnsi="宋体"/>
          <w:sz w:val="24"/>
        </w:rPr>
      </w:pPr>
      <w:r>
        <w:rPr>
          <w:rFonts w:hint="eastAsia" w:ascii="宋体" w:hAnsi="宋体"/>
          <w:sz w:val="24"/>
        </w:rPr>
        <w:t>喷雾洒水前已叙述，其作为隔绝煤尘爆炸传播措施时，必须遵守下列规定：</w:t>
      </w:r>
    </w:p>
    <w:p w14:paraId="217E8FAC">
      <w:pPr>
        <w:spacing w:line="360" w:lineRule="auto"/>
        <w:ind w:firstLine="480" w:firstLineChars="200"/>
        <w:rPr>
          <w:rFonts w:hint="eastAsia" w:ascii="宋体" w:hAnsi="宋体"/>
          <w:sz w:val="24"/>
        </w:rPr>
      </w:pPr>
      <w:r>
        <w:rPr>
          <w:rFonts w:hint="eastAsia" w:ascii="宋体" w:hAnsi="宋体"/>
          <w:sz w:val="24"/>
        </w:rPr>
        <w:t>1、喷雾洒水巷道的总长度不得小于200m。如果巷道长度小于200m时，全部巷道都应喷雾洒水。</w:t>
      </w:r>
    </w:p>
    <w:p w14:paraId="5DE61E82">
      <w:pPr>
        <w:spacing w:line="360" w:lineRule="auto"/>
        <w:ind w:firstLine="480" w:firstLineChars="200"/>
        <w:rPr>
          <w:rFonts w:hint="eastAsia" w:ascii="宋体" w:hAnsi="宋体"/>
          <w:sz w:val="24"/>
        </w:rPr>
      </w:pPr>
      <w:r>
        <w:rPr>
          <w:rFonts w:hint="eastAsia" w:ascii="宋体" w:hAnsi="宋体"/>
          <w:sz w:val="24"/>
        </w:rPr>
        <w:t>2、在喷雾洒水的巷道内，必须随时保证煤尘中水分大于33%（水分大于12%，可防止煤尘起爆）。</w:t>
      </w:r>
    </w:p>
    <w:p w14:paraId="66E8551E">
      <w:pPr>
        <w:spacing w:before="120" w:beforeLines="50" w:after="120" w:afterLines="50" w:line="360" w:lineRule="auto"/>
        <w:ind w:firstLine="482" w:firstLineChars="200"/>
        <w:rPr>
          <w:rFonts w:ascii="宋体" w:hAnsi="宋体"/>
          <w:b/>
          <w:sz w:val="24"/>
        </w:rPr>
      </w:pPr>
      <w:bookmarkStart w:id="443" w:name="_Toc240049220"/>
      <w:r>
        <w:rPr>
          <w:rFonts w:hint="eastAsia" w:ascii="宋体" w:hAnsi="宋体"/>
          <w:b/>
          <w:sz w:val="24"/>
        </w:rPr>
        <w:t>（三）</w:t>
      </w:r>
      <w:r>
        <w:rPr>
          <w:rFonts w:ascii="宋体" w:hAnsi="宋体"/>
          <w:b/>
          <w:sz w:val="24"/>
        </w:rPr>
        <w:t>煤层注水</w:t>
      </w:r>
      <w:bookmarkEnd w:id="443"/>
    </w:p>
    <w:p w14:paraId="2823BF18">
      <w:pPr>
        <w:spacing w:line="360" w:lineRule="auto"/>
        <w:ind w:firstLine="480" w:firstLineChars="200"/>
        <w:rPr>
          <w:rFonts w:hint="eastAsia" w:ascii="宋体" w:hAnsi="宋体"/>
          <w:sz w:val="24"/>
        </w:rPr>
      </w:pPr>
      <w:r>
        <w:rPr>
          <w:rFonts w:ascii="宋体" w:hAnsi="宋体"/>
          <w:sz w:val="24"/>
        </w:rPr>
        <w:t>煤层注水是减少采煤工作面粉尘产生最根本、最有效的措施。</w:t>
      </w:r>
      <w:r>
        <w:rPr>
          <w:rFonts w:hint="eastAsia" w:ascii="宋体" w:hAnsi="宋体"/>
          <w:sz w:val="24"/>
        </w:rPr>
        <w:t>为搞好该矿综合防尘工作，按规定对回采工作面进行煤体注水。</w:t>
      </w:r>
    </w:p>
    <w:p w14:paraId="6D948DEA">
      <w:pPr>
        <w:autoSpaceDE w:val="0"/>
        <w:autoSpaceDN w:val="0"/>
        <w:adjustRightInd w:val="0"/>
        <w:spacing w:line="360" w:lineRule="auto"/>
        <w:ind w:firstLine="480" w:firstLineChars="200"/>
        <w:jc w:val="left"/>
        <w:rPr>
          <w:rFonts w:hint="eastAsia" w:ascii="宋体" w:hAnsi="宋体"/>
          <w:kern w:val="0"/>
          <w:sz w:val="24"/>
        </w:rPr>
      </w:pPr>
      <w:r>
        <w:rPr>
          <w:rFonts w:hint="eastAsia" w:ascii="宋体" w:hAnsi="宋体"/>
          <w:kern w:val="0"/>
          <w:sz w:val="24"/>
        </w:rPr>
        <w:t>1、注水方式</w:t>
      </w:r>
    </w:p>
    <w:p w14:paraId="6CA4CBC0">
      <w:pPr>
        <w:spacing w:line="360" w:lineRule="auto"/>
        <w:ind w:firstLine="480" w:firstLineChars="200"/>
        <w:rPr>
          <w:rFonts w:hint="eastAsia" w:ascii="宋体" w:hAnsi="宋体"/>
          <w:sz w:val="24"/>
        </w:rPr>
      </w:pPr>
      <w:r>
        <w:rPr>
          <w:rFonts w:ascii="宋体" w:hAnsi="宋体"/>
          <w:snapToGrid w:val="0"/>
          <w:kern w:val="0"/>
          <w:sz w:val="24"/>
        </w:rPr>
        <w:t>井田内含煤岩系为上二叠统龙潭组（P</w:t>
      </w:r>
      <w:r>
        <w:rPr>
          <w:rFonts w:ascii="宋体" w:hAnsi="宋体"/>
          <w:snapToGrid w:val="0"/>
          <w:kern w:val="0"/>
          <w:sz w:val="24"/>
          <w:vertAlign w:val="subscript"/>
        </w:rPr>
        <w:t>3</w:t>
      </w:r>
      <w:r>
        <w:rPr>
          <w:rFonts w:ascii="宋体" w:hAnsi="宋体"/>
          <w:snapToGrid w:val="0"/>
          <w:kern w:val="0"/>
          <w:sz w:val="24"/>
        </w:rPr>
        <w:t>l），煤系厚4</w:t>
      </w:r>
      <w:r>
        <w:rPr>
          <w:rFonts w:hint="eastAsia" w:ascii="宋体" w:hAnsi="宋体"/>
          <w:snapToGrid w:val="0"/>
          <w:kern w:val="0"/>
          <w:sz w:val="24"/>
        </w:rPr>
        <w:t>00</w:t>
      </w:r>
      <w:r>
        <w:rPr>
          <w:rFonts w:ascii="宋体" w:hAnsi="宋体"/>
          <w:snapToGrid w:val="0"/>
          <w:kern w:val="0"/>
          <w:sz w:val="24"/>
        </w:rPr>
        <w:t>～48</w:t>
      </w:r>
      <w:r>
        <w:rPr>
          <w:rFonts w:hint="eastAsia" w:ascii="宋体" w:hAnsi="宋体"/>
          <w:snapToGrid w:val="0"/>
          <w:kern w:val="0"/>
          <w:sz w:val="24"/>
        </w:rPr>
        <w:t>5</w:t>
      </w:r>
      <w:r>
        <w:rPr>
          <w:rFonts w:ascii="宋体" w:hAnsi="宋体"/>
          <w:snapToGrid w:val="0"/>
          <w:kern w:val="0"/>
          <w:sz w:val="24"/>
        </w:rPr>
        <w:t>m，</w:t>
      </w:r>
      <w:r>
        <w:rPr>
          <w:rFonts w:hint="eastAsia" w:ascii="宋体" w:hAnsi="宋体"/>
          <w:snapToGrid w:val="0"/>
          <w:kern w:val="0"/>
          <w:sz w:val="24"/>
        </w:rPr>
        <w:t>平均452</w:t>
      </w:r>
      <w:r>
        <w:rPr>
          <w:rFonts w:ascii="宋体" w:hAnsi="宋体"/>
          <w:snapToGrid w:val="0"/>
          <w:kern w:val="0"/>
          <w:sz w:val="24"/>
        </w:rPr>
        <w:t>m</w:t>
      </w:r>
      <w:r>
        <w:rPr>
          <w:rFonts w:hint="eastAsia" w:ascii="宋体" w:hAnsi="宋体"/>
          <w:snapToGrid w:val="0"/>
          <w:kern w:val="0"/>
          <w:sz w:val="24"/>
        </w:rPr>
        <w:t>。</w:t>
      </w:r>
      <w:r>
        <w:rPr>
          <w:rFonts w:ascii="宋体" w:hAnsi="宋体"/>
          <w:snapToGrid w:val="0"/>
          <w:kern w:val="0"/>
          <w:sz w:val="24"/>
        </w:rPr>
        <w:t>含煤</w:t>
      </w:r>
      <w:r>
        <w:rPr>
          <w:rFonts w:hint="eastAsia" w:ascii="宋体" w:hAnsi="宋体"/>
          <w:snapToGrid w:val="0"/>
          <w:kern w:val="0"/>
          <w:sz w:val="24"/>
        </w:rPr>
        <w:t>一般为40～6</w:t>
      </w:r>
      <w:r>
        <w:rPr>
          <w:rFonts w:ascii="宋体" w:hAnsi="宋体"/>
          <w:snapToGrid w:val="0"/>
          <w:kern w:val="0"/>
          <w:sz w:val="24"/>
        </w:rPr>
        <w:t>0层，</w:t>
      </w:r>
      <w:r>
        <w:rPr>
          <w:rFonts w:hint="eastAsia" w:ascii="宋体" w:hAnsi="宋体"/>
          <w:snapToGrid w:val="0"/>
          <w:kern w:val="0"/>
          <w:sz w:val="24"/>
        </w:rPr>
        <w:t>煤层</w:t>
      </w:r>
      <w:r>
        <w:rPr>
          <w:rFonts w:ascii="宋体" w:hAnsi="宋体"/>
          <w:snapToGrid w:val="0"/>
          <w:kern w:val="0"/>
          <w:sz w:val="24"/>
        </w:rPr>
        <w:t>总厚</w:t>
      </w:r>
      <w:r>
        <w:rPr>
          <w:rFonts w:hint="eastAsia" w:ascii="宋体" w:hAnsi="宋体"/>
          <w:snapToGrid w:val="0"/>
          <w:kern w:val="0"/>
          <w:sz w:val="24"/>
        </w:rPr>
        <w:t>度为28～36</w:t>
      </w:r>
      <w:r>
        <w:rPr>
          <w:rFonts w:ascii="宋体" w:hAnsi="宋体"/>
          <w:snapToGrid w:val="0"/>
          <w:kern w:val="0"/>
          <w:sz w:val="24"/>
        </w:rPr>
        <w:t>m</w:t>
      </w:r>
      <w:r>
        <w:rPr>
          <w:rFonts w:hint="eastAsia" w:ascii="宋体" w:hAnsi="宋体"/>
          <w:snapToGrid w:val="0"/>
          <w:kern w:val="0"/>
          <w:sz w:val="24"/>
        </w:rPr>
        <w:t>，平均32</w:t>
      </w:r>
      <w:r>
        <w:rPr>
          <w:rFonts w:ascii="宋体" w:hAnsi="宋体"/>
          <w:snapToGrid w:val="0"/>
          <w:kern w:val="0"/>
          <w:sz w:val="24"/>
        </w:rPr>
        <w:t>m</w:t>
      </w:r>
      <w:r>
        <w:rPr>
          <w:rFonts w:hint="eastAsia" w:ascii="宋体" w:hAnsi="宋体"/>
          <w:snapToGrid w:val="0"/>
          <w:kern w:val="0"/>
          <w:sz w:val="24"/>
        </w:rPr>
        <w:t>。其中全区</w:t>
      </w:r>
      <w:r>
        <w:rPr>
          <w:rFonts w:ascii="宋体" w:hAnsi="宋体"/>
          <w:snapToGrid w:val="0"/>
          <w:kern w:val="0"/>
          <w:sz w:val="24"/>
        </w:rPr>
        <w:t>可采</w:t>
      </w:r>
      <w:r>
        <w:rPr>
          <w:rFonts w:hint="eastAsia" w:ascii="宋体" w:hAnsi="宋体"/>
          <w:snapToGrid w:val="0"/>
          <w:kern w:val="0"/>
          <w:sz w:val="24"/>
        </w:rPr>
        <w:t>煤层3层，大</w:t>
      </w:r>
      <w:r>
        <w:rPr>
          <w:rFonts w:ascii="宋体" w:hAnsi="宋体"/>
          <w:snapToGrid w:val="0"/>
          <w:kern w:val="0"/>
          <w:sz w:val="24"/>
        </w:rPr>
        <w:t>部可采煤层6层，</w:t>
      </w:r>
      <w:r>
        <w:rPr>
          <w:rFonts w:hint="eastAsia" w:ascii="宋体" w:hAnsi="宋体"/>
          <w:snapToGrid w:val="0"/>
          <w:kern w:val="0"/>
          <w:sz w:val="24"/>
        </w:rPr>
        <w:t>局部可采煤层2层，可采煤层中单层最大厚度6</w:t>
      </w:r>
      <w:r>
        <w:rPr>
          <w:rFonts w:ascii="宋体" w:hAnsi="宋体"/>
          <w:snapToGrid w:val="0"/>
          <w:kern w:val="0"/>
          <w:sz w:val="24"/>
        </w:rPr>
        <w:t>.</w:t>
      </w:r>
      <w:r>
        <w:rPr>
          <w:rFonts w:hint="eastAsia" w:ascii="宋体" w:hAnsi="宋体"/>
          <w:snapToGrid w:val="0"/>
          <w:kern w:val="0"/>
          <w:sz w:val="24"/>
        </w:rPr>
        <w:t>5</w:t>
      </w:r>
      <w:r>
        <w:rPr>
          <w:rFonts w:ascii="宋体" w:hAnsi="宋体"/>
          <w:snapToGrid w:val="0"/>
          <w:kern w:val="0"/>
          <w:sz w:val="24"/>
        </w:rPr>
        <w:t>4m</w:t>
      </w:r>
      <w:r>
        <w:rPr>
          <w:rFonts w:hint="eastAsia" w:ascii="宋体" w:hAnsi="宋体"/>
          <w:snapToGrid w:val="0"/>
          <w:kern w:val="0"/>
          <w:sz w:val="24"/>
        </w:rPr>
        <w:t>，一般厚1.5～2.5</w:t>
      </w:r>
      <w:r>
        <w:rPr>
          <w:rFonts w:ascii="宋体" w:hAnsi="宋体"/>
          <w:snapToGrid w:val="0"/>
          <w:kern w:val="0"/>
          <w:sz w:val="24"/>
        </w:rPr>
        <w:t>m</w:t>
      </w:r>
      <w:r>
        <w:rPr>
          <w:rFonts w:hint="eastAsia" w:ascii="宋体" w:hAnsi="宋体"/>
          <w:snapToGrid w:val="0"/>
          <w:kern w:val="0"/>
          <w:sz w:val="24"/>
        </w:rPr>
        <w:t>，可采</w:t>
      </w:r>
      <w:r>
        <w:rPr>
          <w:rFonts w:ascii="宋体" w:hAnsi="宋体"/>
          <w:snapToGrid w:val="0"/>
          <w:kern w:val="0"/>
          <w:sz w:val="24"/>
        </w:rPr>
        <w:t>总厚</w:t>
      </w:r>
      <w:r>
        <w:rPr>
          <w:rFonts w:hint="eastAsia" w:ascii="宋体" w:hAnsi="宋体"/>
          <w:snapToGrid w:val="0"/>
          <w:kern w:val="0"/>
          <w:sz w:val="24"/>
        </w:rPr>
        <w:t>1</w:t>
      </w:r>
      <w:r>
        <w:rPr>
          <w:rFonts w:ascii="宋体" w:hAnsi="宋体"/>
          <w:snapToGrid w:val="0"/>
          <w:kern w:val="0"/>
          <w:sz w:val="24"/>
        </w:rPr>
        <w:t>8.</w:t>
      </w:r>
      <w:r>
        <w:rPr>
          <w:rFonts w:hint="eastAsia" w:ascii="宋体" w:hAnsi="宋体"/>
          <w:snapToGrid w:val="0"/>
          <w:kern w:val="0"/>
          <w:sz w:val="24"/>
        </w:rPr>
        <w:t>21</w:t>
      </w:r>
      <w:r>
        <w:rPr>
          <w:rFonts w:ascii="宋体" w:hAnsi="宋体"/>
          <w:snapToGrid w:val="0"/>
          <w:kern w:val="0"/>
          <w:sz w:val="24"/>
        </w:rPr>
        <w:t>m，</w:t>
      </w:r>
      <w:r>
        <w:rPr>
          <w:rFonts w:hint="eastAsia" w:ascii="宋体" w:hAnsi="宋体"/>
          <w:snapToGrid w:val="0"/>
          <w:kern w:val="0"/>
          <w:sz w:val="24"/>
        </w:rPr>
        <w:t>含煤系数为7%。以上煤层</w:t>
      </w:r>
      <w:r>
        <w:rPr>
          <w:rFonts w:ascii="宋体" w:hAnsi="宋体"/>
          <w:snapToGrid w:val="0"/>
          <w:kern w:val="0"/>
          <w:sz w:val="24"/>
        </w:rPr>
        <w:t>主要集中在</w:t>
      </w:r>
      <w:r>
        <w:rPr>
          <w:rFonts w:hint="eastAsia" w:ascii="宋体" w:hAnsi="宋体"/>
          <w:snapToGrid w:val="0"/>
          <w:kern w:val="0"/>
          <w:sz w:val="24"/>
        </w:rPr>
        <w:t>分布在</w:t>
      </w:r>
      <w:r>
        <w:rPr>
          <w:rFonts w:ascii="宋体" w:hAnsi="宋体"/>
          <w:snapToGrid w:val="0"/>
          <w:kern w:val="0"/>
          <w:sz w:val="24"/>
        </w:rPr>
        <w:t>煤系上部</w:t>
      </w:r>
      <w:r>
        <w:rPr>
          <w:rFonts w:hint="eastAsia" w:ascii="宋体" w:hAnsi="宋体"/>
          <w:snapToGrid w:val="0"/>
          <w:kern w:val="0"/>
          <w:sz w:val="24"/>
        </w:rPr>
        <w:t>的</w:t>
      </w:r>
      <w:r>
        <w:rPr>
          <w:rFonts w:ascii="宋体" w:hAnsi="宋体"/>
          <w:snapToGrid w:val="0"/>
          <w:kern w:val="0"/>
          <w:sz w:val="24"/>
        </w:rPr>
        <w:t>第</w:t>
      </w:r>
      <w:r>
        <w:rPr>
          <w:rFonts w:hint="eastAsia" w:ascii="宋体" w:hAnsi="宋体"/>
          <w:snapToGrid w:val="0"/>
          <w:kern w:val="0"/>
          <w:sz w:val="24"/>
        </w:rPr>
        <w:t>四</w:t>
      </w:r>
      <w:r>
        <w:rPr>
          <w:rFonts w:ascii="宋体" w:hAnsi="宋体"/>
          <w:snapToGrid w:val="0"/>
          <w:kern w:val="0"/>
          <w:sz w:val="24"/>
        </w:rPr>
        <w:t>段（P</w:t>
      </w:r>
      <w:r>
        <w:rPr>
          <w:rFonts w:ascii="宋体" w:hAnsi="宋体"/>
          <w:snapToGrid w:val="0"/>
          <w:kern w:val="0"/>
          <w:sz w:val="24"/>
          <w:vertAlign w:val="subscript"/>
        </w:rPr>
        <w:t>3</w:t>
      </w:r>
      <w:r>
        <w:rPr>
          <w:rFonts w:ascii="宋体" w:hAnsi="宋体"/>
          <w:snapToGrid w:val="0"/>
          <w:kern w:val="0"/>
          <w:sz w:val="24"/>
        </w:rPr>
        <w:t>l</w:t>
      </w:r>
      <w:r>
        <w:rPr>
          <w:rFonts w:hint="eastAsia" w:ascii="宋体" w:hAnsi="宋体"/>
          <w:snapToGrid w:val="0"/>
          <w:kern w:val="0"/>
          <w:sz w:val="24"/>
          <w:vertAlign w:val="superscript"/>
        </w:rPr>
        <w:t>4</w:t>
      </w:r>
      <w:r>
        <w:rPr>
          <w:rFonts w:ascii="宋体" w:hAnsi="宋体"/>
          <w:snapToGrid w:val="0"/>
          <w:kern w:val="0"/>
          <w:sz w:val="24"/>
        </w:rPr>
        <w:t>）</w:t>
      </w:r>
      <w:r>
        <w:rPr>
          <w:rFonts w:hint="eastAsia" w:ascii="宋体" w:hAnsi="宋体"/>
          <w:snapToGrid w:val="0"/>
          <w:kern w:val="0"/>
          <w:sz w:val="24"/>
        </w:rPr>
        <w:t>、</w:t>
      </w:r>
      <w:r>
        <w:rPr>
          <w:rFonts w:ascii="宋体" w:hAnsi="宋体"/>
          <w:snapToGrid w:val="0"/>
          <w:kern w:val="0"/>
          <w:sz w:val="24"/>
        </w:rPr>
        <w:t>第三段（P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3</w:t>
      </w:r>
      <w:r>
        <w:rPr>
          <w:rFonts w:ascii="宋体" w:hAnsi="宋体"/>
          <w:snapToGrid w:val="0"/>
          <w:kern w:val="0"/>
          <w:sz w:val="24"/>
        </w:rPr>
        <w:t>），其次是第一段（P</w:t>
      </w:r>
      <w:r>
        <w:rPr>
          <w:rFonts w:ascii="宋体" w:hAnsi="宋体"/>
          <w:snapToGrid w:val="0"/>
          <w:kern w:val="0"/>
          <w:sz w:val="24"/>
          <w:vertAlign w:val="subscript"/>
        </w:rPr>
        <w:t>3</w:t>
      </w:r>
      <w:r>
        <w:rPr>
          <w:rFonts w:ascii="宋体" w:hAnsi="宋体"/>
          <w:snapToGrid w:val="0"/>
          <w:kern w:val="0"/>
          <w:sz w:val="24"/>
        </w:rPr>
        <w:t>l</w:t>
      </w:r>
      <w:r>
        <w:rPr>
          <w:rFonts w:ascii="宋体" w:hAnsi="宋体"/>
          <w:snapToGrid w:val="0"/>
          <w:kern w:val="0"/>
          <w:sz w:val="24"/>
          <w:vertAlign w:val="superscript"/>
        </w:rPr>
        <w:t>1</w:t>
      </w:r>
      <w:r>
        <w:rPr>
          <w:rFonts w:ascii="宋体" w:hAnsi="宋体"/>
          <w:snapToGrid w:val="0"/>
          <w:kern w:val="0"/>
          <w:sz w:val="24"/>
        </w:rPr>
        <w:t>）。</w:t>
      </w:r>
      <w:r>
        <w:rPr>
          <w:rFonts w:hint="eastAsia" w:ascii="宋体" w:hAnsi="宋体"/>
          <w:color w:val="000000"/>
          <w:sz w:val="24"/>
        </w:rPr>
        <w:t>全区稳定可采煤层共11层</w:t>
      </w:r>
      <w:r>
        <w:rPr>
          <w:rFonts w:hint="eastAsia" w:ascii="宋体" w:hAnsi="宋体"/>
          <w:sz w:val="24"/>
        </w:rPr>
        <w:t>，煤层编号分别为</w:t>
      </w:r>
      <w:r>
        <w:rPr>
          <w:rFonts w:ascii="宋体" w:hAnsi="宋体"/>
          <w:sz w:val="24"/>
        </w:rPr>
        <w:t>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w:t>
      </w:r>
      <w:r>
        <w:rPr>
          <w:rFonts w:ascii="宋体" w:hAnsi="宋体"/>
          <w:sz w:val="24"/>
        </w:rPr>
        <w:t>-</w:t>
      </w:r>
      <w:r>
        <w:rPr>
          <w:rFonts w:hint="eastAsia" w:ascii="宋体" w:hAnsi="宋体"/>
          <w:sz w:val="24"/>
        </w:rPr>
        <w:t>a煤层，为薄及中厚煤层</w:t>
      </w:r>
      <w:r>
        <w:rPr>
          <w:rFonts w:hint="eastAsia" w:ascii="宋体" w:hAnsi="宋体"/>
          <w:color w:val="000000"/>
          <w:sz w:val="24"/>
        </w:rPr>
        <w:t>，</w:t>
      </w:r>
      <w:r>
        <w:rPr>
          <w:rFonts w:hint="eastAsia" w:ascii="宋体" w:hAnsi="宋体"/>
          <w:color w:val="000000"/>
          <w:sz w:val="24"/>
          <w:lang w:val="zh-CN"/>
        </w:rPr>
        <w:t>煤层平均倾角30°</w:t>
      </w:r>
      <w:r>
        <w:rPr>
          <w:rFonts w:hint="eastAsia" w:ascii="宋体" w:hAnsi="宋体"/>
          <w:color w:val="000000"/>
          <w:sz w:val="24"/>
        </w:rPr>
        <w:t>，属倾斜煤层,该</w:t>
      </w:r>
      <w:r>
        <w:rPr>
          <w:rFonts w:ascii="宋体" w:hAnsi="宋体"/>
          <w:color w:val="000000"/>
          <w:sz w:val="24"/>
        </w:rPr>
        <w:t>矿</w:t>
      </w:r>
      <w:r>
        <w:rPr>
          <w:rFonts w:ascii="宋体" w:hAnsi="宋体"/>
          <w:sz w:val="24"/>
        </w:rPr>
        <w:t>构造复杂程度属中等类型，水文地质条件中等，顶底板条件一般</w:t>
      </w:r>
      <w:r>
        <w:rPr>
          <w:rFonts w:hint="eastAsia" w:ascii="宋体" w:hAnsi="宋体"/>
          <w:sz w:val="24"/>
        </w:rPr>
        <w:t>。</w:t>
      </w:r>
    </w:p>
    <w:p w14:paraId="489FED03">
      <w:pPr>
        <w:spacing w:line="360" w:lineRule="auto"/>
        <w:ind w:firstLine="480" w:firstLineChars="200"/>
        <w:rPr>
          <w:rFonts w:hint="eastAsia" w:ascii="宋体" w:hAnsi="宋体"/>
          <w:sz w:val="24"/>
        </w:rPr>
      </w:pPr>
      <w:r>
        <w:rPr>
          <w:rFonts w:hint="eastAsia" w:ascii="宋体" w:hAnsi="宋体"/>
          <w:sz w:val="24"/>
        </w:rPr>
        <w:t>根据煤层赋存条件，设计选择在工作面回风顺槽沿煤层施工下向伪斜长钻孔的注水方式。</w:t>
      </w:r>
    </w:p>
    <w:p w14:paraId="55D2BB7A">
      <w:pPr>
        <w:autoSpaceDE w:val="0"/>
        <w:autoSpaceDN w:val="0"/>
        <w:adjustRightInd w:val="0"/>
        <w:spacing w:line="360" w:lineRule="auto"/>
        <w:ind w:firstLine="480" w:firstLineChars="200"/>
        <w:jc w:val="left"/>
        <w:rPr>
          <w:rFonts w:hint="eastAsia" w:ascii="宋体" w:hAnsi="宋体"/>
          <w:kern w:val="0"/>
          <w:sz w:val="24"/>
        </w:rPr>
      </w:pPr>
      <w:r>
        <w:rPr>
          <w:rFonts w:hint="eastAsia" w:ascii="宋体" w:hAnsi="宋体"/>
          <w:kern w:val="0"/>
          <w:sz w:val="24"/>
        </w:rPr>
        <w:t>2、钻孔布置及设备</w:t>
      </w:r>
    </w:p>
    <w:p w14:paraId="58426376">
      <w:pPr>
        <w:spacing w:line="360" w:lineRule="auto"/>
        <w:ind w:firstLine="480" w:firstLineChars="200"/>
        <w:rPr>
          <w:rFonts w:hint="eastAsia" w:ascii="宋体" w:hAnsi="宋体"/>
          <w:color w:val="000000"/>
          <w:sz w:val="24"/>
        </w:rPr>
      </w:pPr>
      <w:r>
        <w:rPr>
          <w:rFonts w:hint="eastAsia" w:ascii="宋体" w:hAnsi="宋体"/>
          <w:color w:val="000000"/>
          <w:sz w:val="24"/>
        </w:rPr>
        <w:t>（1）设备</w:t>
      </w:r>
    </w:p>
    <w:p w14:paraId="758E3781">
      <w:pPr>
        <w:spacing w:line="360" w:lineRule="auto"/>
        <w:ind w:firstLine="480" w:firstLineChars="200"/>
        <w:rPr>
          <w:rFonts w:hint="eastAsia" w:ascii="宋体" w:hAnsi="宋体"/>
          <w:color w:val="000000"/>
          <w:sz w:val="24"/>
        </w:rPr>
      </w:pPr>
      <w:r>
        <w:rPr>
          <w:rFonts w:hint="eastAsia" w:ascii="宋体" w:hAnsi="宋体"/>
          <w:color w:val="000000"/>
          <w:sz w:val="24"/>
        </w:rPr>
        <w:t>1）采用ZY－150型钻机，在工作面回风顺槽施工顺层钻孔，钻孔方位角为100度，倾角为0度，钻杆直径为Φ42</w:t>
      </w:r>
      <w:r>
        <w:rPr>
          <w:rFonts w:ascii="宋体" w:hAnsi="宋体"/>
          <w:color w:val="000000"/>
          <w:sz w:val="24"/>
        </w:rPr>
        <w:t>mm</w:t>
      </w:r>
      <w:r>
        <w:rPr>
          <w:rFonts w:hint="eastAsia" w:ascii="宋体" w:hAnsi="宋体"/>
          <w:color w:val="000000"/>
          <w:sz w:val="24"/>
        </w:rPr>
        <w:t>，钻头直径为Φ65</w:t>
      </w:r>
      <w:r>
        <w:rPr>
          <w:rFonts w:ascii="宋体" w:hAnsi="宋体"/>
          <w:color w:val="000000"/>
          <w:sz w:val="24"/>
        </w:rPr>
        <w:t>mm</w:t>
      </w:r>
      <w:r>
        <w:rPr>
          <w:rFonts w:hint="eastAsia" w:ascii="宋体" w:hAnsi="宋体"/>
          <w:color w:val="000000"/>
          <w:sz w:val="24"/>
        </w:rPr>
        <w:t xml:space="preserve">。注水钻孔布置见 </w:t>
      </w:r>
      <w:r>
        <w:rPr>
          <w:rFonts w:hint="eastAsia" w:ascii="宋体" w:hAnsi="宋体"/>
          <w:b/>
          <w:color w:val="000000"/>
          <w:sz w:val="24"/>
        </w:rPr>
        <w:t>图4－3－10</w:t>
      </w:r>
      <w:r>
        <w:rPr>
          <w:rFonts w:hint="eastAsia" w:ascii="宋体" w:hAnsi="宋体"/>
          <w:color w:val="000000"/>
          <w:sz w:val="24"/>
        </w:rPr>
        <w:t>。</w:t>
      </w:r>
    </w:p>
    <w:p w14:paraId="38B4C6A2">
      <w:pPr>
        <w:spacing w:line="360" w:lineRule="auto"/>
        <w:ind w:firstLine="480" w:firstLineChars="200"/>
        <w:rPr>
          <w:rFonts w:hint="eastAsia" w:ascii="宋体" w:hAnsi="宋体"/>
          <w:color w:val="000000"/>
          <w:sz w:val="24"/>
        </w:rPr>
      </w:pPr>
      <w:r>
        <w:rPr>
          <w:rFonts w:hint="eastAsia" w:ascii="宋体" w:hAnsi="宋体"/>
          <w:color w:val="000000"/>
          <w:sz w:val="24"/>
        </w:rPr>
        <w:t>2）采用高压5D－2／150型注水泵，泵与孔之间选用钢管和高压水胶管连接，并配备DC－2／150高压水表，压力表阀门等设备（注水泵工作压力为150</w:t>
      </w:r>
      <w:r>
        <w:rPr>
          <w:rFonts w:ascii="宋体" w:hAnsi="宋体"/>
          <w:color w:val="000000"/>
          <w:sz w:val="24"/>
        </w:rPr>
        <w:t>kg/cm</w:t>
      </w:r>
      <w:r>
        <w:rPr>
          <w:rFonts w:ascii="宋体" w:hAnsi="宋体"/>
          <w:color w:val="000000"/>
          <w:sz w:val="24"/>
          <w:vertAlign w:val="superscript"/>
        </w:rPr>
        <w:t>3</w:t>
      </w:r>
      <w:r>
        <w:rPr>
          <w:rFonts w:hint="eastAsia" w:ascii="宋体" w:hAnsi="宋体"/>
          <w:color w:val="000000"/>
          <w:sz w:val="24"/>
        </w:rPr>
        <w:t>，注水压力大于注水泵额定压力）。</w:t>
      </w:r>
    </w:p>
    <w:p w14:paraId="58CC5726">
      <w:pPr>
        <w:spacing w:line="360" w:lineRule="auto"/>
        <w:ind w:firstLine="480" w:firstLineChars="200"/>
        <w:rPr>
          <w:rFonts w:hint="eastAsia" w:ascii="宋体" w:hAnsi="宋体"/>
          <w:color w:val="000000"/>
          <w:sz w:val="24"/>
        </w:rPr>
      </w:pPr>
      <w:r>
        <w:rPr>
          <w:rFonts w:hint="eastAsia" w:ascii="宋体" w:hAnsi="宋体"/>
          <w:color w:val="000000"/>
          <w:sz w:val="24"/>
        </w:rPr>
        <w:t>3）封孔采用封孔器封孔。</w:t>
      </w:r>
    </w:p>
    <w:p w14:paraId="31E1C74D">
      <w:pPr>
        <w:spacing w:line="360" w:lineRule="auto"/>
        <w:jc w:val="center"/>
        <w:rPr>
          <w:rFonts w:hint="eastAsia"/>
        </w:rPr>
      </w:pPr>
      <w:r>
        <w:drawing>
          <wp:inline distT="0" distB="0" distL="114300" distR="114300">
            <wp:extent cx="5727065" cy="2303145"/>
            <wp:effectExtent l="0" t="0" r="0" b="1905"/>
            <wp:docPr id="36"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1"/>
                    <pic:cNvPicPr>
                      <a:picLocks noChangeAspect="1"/>
                    </pic:cNvPicPr>
                  </pic:nvPicPr>
                  <pic:blipFill>
                    <a:blip r:embed="rId165"/>
                    <a:srcRect l="17679" t="18016" r="5112" b="17604"/>
                    <a:stretch>
                      <a:fillRect/>
                    </a:stretch>
                  </pic:blipFill>
                  <pic:spPr>
                    <a:xfrm>
                      <a:off x="0" y="0"/>
                      <a:ext cx="5727065" cy="2303145"/>
                    </a:xfrm>
                    <a:prstGeom prst="rect">
                      <a:avLst/>
                    </a:prstGeom>
                    <a:noFill/>
                    <a:ln>
                      <a:noFill/>
                    </a:ln>
                  </pic:spPr>
                </pic:pic>
              </a:graphicData>
            </a:graphic>
          </wp:inline>
        </w:drawing>
      </w:r>
    </w:p>
    <w:p w14:paraId="394709D0">
      <w:pPr>
        <w:spacing w:line="360" w:lineRule="auto"/>
        <w:ind w:firstLine="482" w:firstLineChars="200"/>
        <w:jc w:val="center"/>
        <w:rPr>
          <w:rFonts w:hint="eastAsia" w:ascii="宋体" w:hAnsi="宋体"/>
          <w:b/>
          <w:color w:val="000000"/>
          <w:sz w:val="24"/>
        </w:rPr>
      </w:pPr>
      <w:r>
        <w:rPr>
          <w:rFonts w:hint="eastAsia" w:ascii="宋体" w:hAnsi="宋体"/>
          <w:b/>
          <w:color w:val="000000"/>
          <w:sz w:val="24"/>
        </w:rPr>
        <w:t>图4－3－10      注水钻孔布置图</w:t>
      </w:r>
    </w:p>
    <w:p w14:paraId="0E61D3F8">
      <w:pPr>
        <w:spacing w:line="360" w:lineRule="auto"/>
        <w:ind w:firstLine="480" w:firstLineChars="200"/>
        <w:rPr>
          <w:rFonts w:hint="eastAsia" w:ascii="宋体" w:hAnsi="宋体"/>
          <w:color w:val="000000"/>
          <w:sz w:val="24"/>
        </w:rPr>
      </w:pPr>
      <w:r>
        <w:rPr>
          <w:rFonts w:hint="eastAsia" w:ascii="宋体" w:hAnsi="宋体"/>
          <w:color w:val="000000"/>
          <w:sz w:val="24"/>
        </w:rPr>
        <w:t>（2）钻孔布置</w:t>
      </w:r>
    </w:p>
    <w:p w14:paraId="0B352F95">
      <w:pPr>
        <w:spacing w:line="360" w:lineRule="auto"/>
        <w:ind w:firstLine="480" w:firstLineChars="200"/>
        <w:rPr>
          <w:rFonts w:hint="eastAsia" w:ascii="宋体" w:hAnsi="宋体"/>
          <w:color w:val="000000"/>
          <w:sz w:val="24"/>
        </w:rPr>
      </w:pPr>
      <w:r>
        <w:rPr>
          <w:rFonts w:hint="eastAsia" w:ascii="宋体" w:hAnsi="宋体"/>
          <w:color w:val="000000"/>
          <w:sz w:val="24"/>
        </w:rPr>
        <w:t>1）钻孔深度：钻孔长度为100—105</w:t>
      </w:r>
      <w:r>
        <w:rPr>
          <w:rFonts w:ascii="宋体" w:hAnsi="宋体"/>
          <w:color w:val="000000"/>
          <w:sz w:val="24"/>
        </w:rPr>
        <w:t>m</w:t>
      </w:r>
      <w:r>
        <w:rPr>
          <w:rFonts w:hint="eastAsia" w:ascii="宋体" w:hAnsi="宋体"/>
          <w:color w:val="000000"/>
          <w:sz w:val="24"/>
        </w:rPr>
        <w:t>。</w:t>
      </w:r>
    </w:p>
    <w:p w14:paraId="2D8BB15B">
      <w:pPr>
        <w:spacing w:line="360" w:lineRule="auto"/>
        <w:ind w:firstLine="480" w:firstLineChars="200"/>
        <w:rPr>
          <w:rFonts w:hint="eastAsia" w:ascii="宋体" w:hAnsi="宋体"/>
          <w:color w:val="000000"/>
          <w:sz w:val="24"/>
        </w:rPr>
      </w:pPr>
      <w:r>
        <w:rPr>
          <w:rFonts w:hint="eastAsia" w:ascii="宋体" w:hAnsi="宋体"/>
          <w:color w:val="000000"/>
          <w:sz w:val="24"/>
        </w:rPr>
        <w:t>2）钻孔孔径：Φ65</w:t>
      </w:r>
      <w:r>
        <w:rPr>
          <w:rFonts w:ascii="宋体" w:hAnsi="宋体"/>
          <w:color w:val="000000"/>
          <w:sz w:val="24"/>
        </w:rPr>
        <w:t>mm</w:t>
      </w:r>
      <w:r>
        <w:rPr>
          <w:rFonts w:hint="eastAsia" w:ascii="宋体" w:hAnsi="宋体"/>
          <w:color w:val="000000"/>
          <w:sz w:val="24"/>
        </w:rPr>
        <w:t>为封孔需要，每个孔都要扩孔2</w:t>
      </w:r>
      <w:r>
        <w:rPr>
          <w:rFonts w:ascii="宋体" w:hAnsi="宋体"/>
          <w:color w:val="000000"/>
          <w:sz w:val="24"/>
        </w:rPr>
        <w:t>m</w:t>
      </w:r>
      <w:r>
        <w:rPr>
          <w:rFonts w:hint="eastAsia" w:ascii="宋体" w:hAnsi="宋体"/>
          <w:color w:val="000000"/>
          <w:sz w:val="24"/>
        </w:rPr>
        <w:t>以上，孔径为110</w:t>
      </w:r>
      <w:r>
        <w:rPr>
          <w:rFonts w:ascii="宋体" w:hAnsi="宋体"/>
          <w:color w:val="000000"/>
          <w:sz w:val="24"/>
        </w:rPr>
        <w:t>mm</w:t>
      </w:r>
      <w:r>
        <w:rPr>
          <w:rFonts w:hint="eastAsia" w:ascii="宋体" w:hAnsi="宋体"/>
          <w:color w:val="000000"/>
          <w:sz w:val="24"/>
        </w:rPr>
        <w:t>。</w:t>
      </w:r>
    </w:p>
    <w:p w14:paraId="1AA1A075">
      <w:pPr>
        <w:spacing w:line="360" w:lineRule="auto"/>
        <w:ind w:firstLine="480" w:firstLineChars="200"/>
        <w:rPr>
          <w:rFonts w:hint="eastAsia" w:ascii="宋体" w:hAnsi="宋体"/>
          <w:color w:val="000000"/>
          <w:sz w:val="24"/>
        </w:rPr>
      </w:pPr>
      <w:r>
        <w:rPr>
          <w:rFonts w:hint="eastAsia" w:ascii="宋体" w:hAnsi="宋体"/>
          <w:color w:val="000000"/>
          <w:sz w:val="24"/>
        </w:rPr>
        <w:t>3）钻孔间距，每隔11-13</w:t>
      </w:r>
      <w:r>
        <w:rPr>
          <w:rFonts w:ascii="宋体" w:hAnsi="宋体"/>
          <w:color w:val="000000"/>
          <w:sz w:val="24"/>
        </w:rPr>
        <w:t>m</w:t>
      </w:r>
      <w:r>
        <w:rPr>
          <w:rFonts w:hint="eastAsia" w:ascii="宋体" w:hAnsi="宋体"/>
          <w:color w:val="000000"/>
          <w:sz w:val="24"/>
        </w:rPr>
        <w:t>打一个孔，但在断层附近不布置钻孔，孔位布置在煤层厚度二分之一处。</w:t>
      </w:r>
    </w:p>
    <w:p w14:paraId="4776F66D">
      <w:pPr>
        <w:spacing w:line="360" w:lineRule="auto"/>
        <w:ind w:firstLine="480" w:firstLineChars="200"/>
        <w:rPr>
          <w:rFonts w:hint="eastAsia" w:ascii="宋体" w:hAnsi="宋体"/>
          <w:color w:val="000000"/>
          <w:sz w:val="24"/>
        </w:rPr>
      </w:pPr>
      <w:r>
        <w:rPr>
          <w:rFonts w:hint="eastAsia" w:ascii="宋体" w:hAnsi="宋体"/>
          <w:color w:val="000000"/>
          <w:sz w:val="24"/>
        </w:rPr>
        <w:t>钻孔间距：</w:t>
      </w:r>
      <w:r>
        <w:rPr>
          <w:rFonts w:ascii="宋体" w:hAnsi="宋体"/>
          <w:color w:val="000000"/>
          <w:sz w:val="24"/>
        </w:rPr>
        <w:t>B</w:t>
      </w:r>
      <w:r>
        <w:rPr>
          <w:rFonts w:hint="eastAsia" w:ascii="宋体" w:hAnsi="宋体"/>
          <w:color w:val="000000"/>
          <w:sz w:val="24"/>
        </w:rPr>
        <w:t>＝</w:t>
      </w:r>
      <w:r>
        <w:rPr>
          <w:rFonts w:ascii="宋体" w:hAnsi="宋体"/>
          <w:color w:val="000000"/>
          <w:sz w:val="24"/>
        </w:rPr>
        <w:t>5</w:t>
      </w:r>
      <w:r>
        <w:rPr>
          <w:rFonts w:hint="eastAsia" w:ascii="宋体" w:hAnsi="宋体"/>
          <w:color w:val="000000"/>
          <w:sz w:val="24"/>
        </w:rPr>
        <w:t>×H＝</w:t>
      </w:r>
      <w:r>
        <w:rPr>
          <w:rFonts w:ascii="宋体" w:hAnsi="宋体"/>
          <w:color w:val="000000"/>
          <w:sz w:val="24"/>
        </w:rPr>
        <w:t>5</w:t>
      </w:r>
      <w:r>
        <w:rPr>
          <w:rFonts w:hint="eastAsia" w:ascii="宋体" w:hAnsi="宋体"/>
          <w:color w:val="000000"/>
          <w:sz w:val="24"/>
        </w:rPr>
        <w:t>×2.3＝11.5</w:t>
      </w:r>
      <w:r>
        <w:rPr>
          <w:rFonts w:ascii="宋体" w:hAnsi="宋体"/>
          <w:color w:val="000000"/>
          <w:sz w:val="24"/>
        </w:rPr>
        <w:t>m</w:t>
      </w:r>
      <w:r>
        <w:rPr>
          <w:rFonts w:hint="eastAsia" w:ascii="宋体" w:hAnsi="宋体"/>
          <w:color w:val="000000"/>
          <w:sz w:val="24"/>
        </w:rPr>
        <w:t>，取11-13m。</w:t>
      </w:r>
    </w:p>
    <w:p w14:paraId="5F8C55D1">
      <w:pPr>
        <w:spacing w:line="360" w:lineRule="auto"/>
        <w:ind w:firstLine="480" w:firstLineChars="200"/>
        <w:rPr>
          <w:rFonts w:hint="eastAsia" w:ascii="宋体" w:hAnsi="宋体"/>
          <w:color w:val="000000"/>
          <w:sz w:val="24"/>
        </w:rPr>
      </w:pPr>
      <w:r>
        <w:rPr>
          <w:rFonts w:hint="eastAsia" w:ascii="宋体" w:hAnsi="宋体"/>
          <w:color w:val="000000"/>
          <w:sz w:val="24"/>
        </w:rPr>
        <w:t>式中：</w:t>
      </w:r>
      <w:r>
        <w:rPr>
          <w:rFonts w:ascii="宋体" w:hAnsi="宋体"/>
          <w:color w:val="000000"/>
          <w:sz w:val="24"/>
        </w:rPr>
        <w:t>B</w:t>
      </w:r>
      <w:r>
        <w:rPr>
          <w:rFonts w:hint="eastAsia" w:ascii="宋体" w:hAnsi="宋体"/>
          <w:color w:val="000000"/>
          <w:sz w:val="24"/>
        </w:rPr>
        <w:t>—为钻孔间距；</w:t>
      </w:r>
      <w:r>
        <w:rPr>
          <w:rFonts w:ascii="宋体" w:hAnsi="宋体"/>
          <w:color w:val="000000"/>
          <w:sz w:val="24"/>
        </w:rPr>
        <w:t>H</w:t>
      </w:r>
      <w:r>
        <w:rPr>
          <w:rFonts w:hint="eastAsia" w:ascii="宋体" w:hAnsi="宋体"/>
          <w:color w:val="000000"/>
          <w:sz w:val="24"/>
        </w:rPr>
        <w:t>—为工作面平均采高。</w:t>
      </w:r>
    </w:p>
    <w:p w14:paraId="47D54C1C">
      <w:pPr>
        <w:tabs>
          <w:tab w:val="center" w:pos="4265"/>
        </w:tabs>
        <w:spacing w:line="360" w:lineRule="auto"/>
        <w:ind w:firstLine="480" w:firstLineChars="200"/>
        <w:rPr>
          <w:rFonts w:hint="eastAsia" w:ascii="宋体" w:hAnsi="宋体"/>
          <w:color w:val="000000"/>
          <w:sz w:val="24"/>
        </w:rPr>
      </w:pPr>
      <w:r>
        <w:rPr>
          <w:rFonts w:hint="eastAsia" w:ascii="宋体" w:hAnsi="宋体"/>
          <w:color w:val="000000"/>
          <w:sz w:val="24"/>
        </w:rPr>
        <w:t>（3）单孔注水量及注水时间</w:t>
      </w:r>
    </w:p>
    <w:p w14:paraId="1DCAE63B">
      <w:pPr>
        <w:spacing w:line="360" w:lineRule="auto"/>
        <w:ind w:firstLine="480" w:firstLineChars="200"/>
        <w:rPr>
          <w:rFonts w:hint="eastAsia" w:ascii="宋体" w:hAnsi="宋体"/>
          <w:color w:val="000000"/>
          <w:sz w:val="24"/>
        </w:rPr>
      </w:pPr>
      <w:r>
        <w:rPr>
          <w:rFonts w:hint="eastAsia" w:ascii="宋体" w:hAnsi="宋体"/>
          <w:color w:val="000000"/>
          <w:sz w:val="24"/>
        </w:rPr>
        <w:t>1）注水量＝（工作面长度×煤层厚度×钻孔间距×</w:t>
      </w:r>
      <w:r>
        <w:rPr>
          <w:rFonts w:ascii="宋体" w:hAnsi="宋体"/>
          <w:color w:val="000000"/>
          <w:sz w:val="24"/>
        </w:rPr>
        <w:t>1.4</w:t>
      </w:r>
      <w:r>
        <w:rPr>
          <w:rFonts w:hint="eastAsia" w:ascii="宋体" w:hAnsi="宋体"/>
          <w:color w:val="000000"/>
          <w:sz w:val="24"/>
        </w:rPr>
        <w:t>）／100</w:t>
      </w:r>
    </w:p>
    <w:p w14:paraId="327E5633">
      <w:pPr>
        <w:spacing w:line="360" w:lineRule="auto"/>
        <w:ind w:firstLine="1560" w:firstLineChars="650"/>
        <w:rPr>
          <w:rFonts w:hint="eastAsia" w:ascii="宋体" w:hAnsi="宋体"/>
          <w:color w:val="000000"/>
          <w:sz w:val="24"/>
        </w:rPr>
      </w:pPr>
      <w:r>
        <w:rPr>
          <w:rFonts w:hint="eastAsia" w:ascii="宋体" w:hAnsi="宋体"/>
          <w:color w:val="000000"/>
          <w:sz w:val="24"/>
        </w:rPr>
        <w:t>＝（120×2.3</w:t>
      </w:r>
      <w:r>
        <w:rPr>
          <w:rFonts w:ascii="宋体" w:hAnsi="宋体"/>
          <w:color w:val="000000"/>
          <w:sz w:val="24"/>
        </w:rPr>
        <w:t>×</w:t>
      </w:r>
      <w:r>
        <w:rPr>
          <w:rFonts w:hint="eastAsia" w:ascii="宋体" w:hAnsi="宋体"/>
          <w:color w:val="000000"/>
          <w:sz w:val="24"/>
        </w:rPr>
        <w:t>11</w:t>
      </w:r>
      <w:r>
        <w:rPr>
          <w:rFonts w:ascii="宋体" w:hAnsi="宋体"/>
          <w:color w:val="000000"/>
          <w:sz w:val="24"/>
        </w:rPr>
        <w:t>×1.4</w:t>
      </w:r>
      <w:r>
        <w:rPr>
          <w:rFonts w:hint="eastAsia" w:ascii="宋体" w:hAnsi="宋体"/>
          <w:color w:val="000000"/>
          <w:sz w:val="24"/>
        </w:rPr>
        <w:t>）</w:t>
      </w:r>
      <w:r>
        <w:rPr>
          <w:rFonts w:ascii="宋体" w:hAnsi="宋体"/>
          <w:color w:val="000000"/>
          <w:sz w:val="24"/>
        </w:rPr>
        <w:t>/100</w:t>
      </w:r>
    </w:p>
    <w:p w14:paraId="5C39145E">
      <w:pPr>
        <w:spacing w:line="360" w:lineRule="auto"/>
        <w:ind w:firstLine="1560" w:firstLineChars="650"/>
        <w:rPr>
          <w:rFonts w:hint="eastAsia" w:ascii="宋体" w:hAnsi="宋体"/>
          <w:color w:val="000000"/>
          <w:sz w:val="24"/>
        </w:rPr>
      </w:pPr>
      <w:r>
        <w:rPr>
          <w:rFonts w:hint="eastAsia" w:ascii="宋体" w:hAnsi="宋体"/>
          <w:color w:val="000000"/>
          <w:sz w:val="24"/>
        </w:rPr>
        <w:t>＝42.51</w:t>
      </w:r>
      <w:r>
        <w:rPr>
          <w:rFonts w:ascii="宋体" w:hAnsi="宋体"/>
          <w:color w:val="000000"/>
          <w:sz w:val="24"/>
        </w:rPr>
        <w:t>t</w:t>
      </w:r>
    </w:p>
    <w:p w14:paraId="774CED3F">
      <w:pPr>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单孔注水时间＝注水量／注水泵流量＝42.51</w:t>
      </w:r>
      <w:r>
        <w:rPr>
          <w:rFonts w:ascii="宋体" w:hAnsi="宋体"/>
          <w:color w:val="000000"/>
          <w:sz w:val="24"/>
        </w:rPr>
        <w:t>/2</w:t>
      </w:r>
      <w:r>
        <w:rPr>
          <w:rFonts w:hint="eastAsia" w:ascii="宋体" w:hAnsi="宋体"/>
          <w:color w:val="000000"/>
          <w:sz w:val="24"/>
        </w:rPr>
        <w:t>＝21.2</w:t>
      </w:r>
      <w:r>
        <w:rPr>
          <w:rFonts w:ascii="宋体" w:hAnsi="宋体"/>
          <w:color w:val="000000"/>
          <w:sz w:val="24"/>
        </w:rPr>
        <w:t>h</w:t>
      </w:r>
    </w:p>
    <w:p w14:paraId="7956D7B8">
      <w:pPr>
        <w:spacing w:line="360" w:lineRule="auto"/>
        <w:ind w:firstLine="480" w:firstLineChars="200"/>
        <w:rPr>
          <w:rFonts w:hint="eastAsia" w:ascii="宋体" w:hAnsi="宋体"/>
          <w:color w:val="000000"/>
          <w:sz w:val="24"/>
        </w:rPr>
      </w:pPr>
      <w:r>
        <w:rPr>
          <w:rFonts w:hint="eastAsia" w:ascii="宋体" w:hAnsi="宋体"/>
          <w:color w:val="000000"/>
          <w:sz w:val="24"/>
        </w:rPr>
        <w:t>注：5D－2／50型泵流量为2</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/h</w:t>
      </w:r>
      <w:r>
        <w:rPr>
          <w:rFonts w:hint="eastAsia" w:ascii="宋体" w:hAnsi="宋体"/>
          <w:color w:val="000000"/>
          <w:sz w:val="24"/>
        </w:rPr>
        <w:t>。</w:t>
      </w:r>
    </w:p>
    <w:p w14:paraId="36C5B0C5">
      <w:pPr>
        <w:spacing w:line="360" w:lineRule="auto"/>
        <w:ind w:firstLine="482" w:firstLineChars="200"/>
        <w:rPr>
          <w:rFonts w:hint="eastAsia" w:ascii="宋体" w:hAnsi="宋体"/>
          <w:b/>
          <w:sz w:val="24"/>
        </w:rPr>
      </w:pPr>
      <w:r>
        <w:rPr>
          <w:rFonts w:hint="eastAsia" w:ascii="宋体" w:hAnsi="宋体"/>
          <w:b/>
          <w:sz w:val="24"/>
        </w:rPr>
        <w:t>（四）隔爆水袋</w:t>
      </w:r>
    </w:p>
    <w:p w14:paraId="5CE9266A">
      <w:pPr>
        <w:spacing w:line="360" w:lineRule="auto"/>
        <w:ind w:firstLine="480" w:firstLineChars="200"/>
        <w:rPr>
          <w:rFonts w:hint="eastAsia" w:ascii="宋体" w:hAnsi="宋体"/>
          <w:color w:val="000000"/>
          <w:sz w:val="24"/>
        </w:rPr>
      </w:pPr>
      <w:r>
        <w:rPr>
          <w:rFonts w:hint="eastAsia" w:ascii="宋体" w:hAnsi="宋体"/>
          <w:sz w:val="24"/>
        </w:rPr>
        <w:t>按保护的范围隔爆水棚分为：主要隔爆棚(水袋棚)和辅助隔爆棚(水袋棚)两类，本矿井为一个采区生产，井下未设主要大巷，不存在采区之间的相互影响，由于3#煤层与17#煤层之间的层间距较大，需在煤层之间的石门中设置主要隔爆水棚，</w:t>
      </w:r>
      <w:r>
        <w:rPr>
          <w:rFonts w:hint="eastAsia" w:ascii="宋体" w:hAnsi="宋体"/>
          <w:color w:val="000000"/>
          <w:sz w:val="24"/>
        </w:rPr>
        <w:t>主要隔爆选用60L的</w:t>
      </w:r>
      <w:r>
        <w:rPr>
          <w:rFonts w:hint="eastAsia" w:ascii="宋体" w:hAnsi="宋体" w:cs="宋体"/>
          <w:color w:val="000000"/>
          <w:sz w:val="24"/>
        </w:rPr>
        <w:t>塑料水袋，</w:t>
      </w:r>
      <w:r>
        <w:rPr>
          <w:rFonts w:hint="eastAsia" w:ascii="宋体" w:hAnsi="宋体"/>
          <w:color w:val="000000"/>
          <w:sz w:val="24"/>
        </w:rPr>
        <w:t>型号：</w:t>
      </w:r>
      <w:r>
        <w:rPr>
          <w:rFonts w:ascii="宋体" w:hAnsi="宋体"/>
          <w:color w:val="000000"/>
          <w:sz w:val="24"/>
        </w:rPr>
        <w:t>GBSD-60</w:t>
      </w:r>
      <w:r>
        <w:rPr>
          <w:rFonts w:hint="eastAsia" w:ascii="宋体" w:hAnsi="宋体"/>
          <w:color w:val="000000"/>
          <w:sz w:val="24"/>
        </w:rPr>
        <w:t>；尺寸：</w:t>
      </w:r>
      <w:r>
        <w:rPr>
          <w:rFonts w:ascii="宋体" w:hAnsi="宋体"/>
          <w:color w:val="000000"/>
          <w:sz w:val="24"/>
        </w:rPr>
        <w:t>长×宽×高＝</w:t>
      </w:r>
      <w:r>
        <w:rPr>
          <w:rFonts w:hint="eastAsia" w:ascii="宋体" w:hAnsi="宋体"/>
          <w:color w:val="000000"/>
          <w:sz w:val="24"/>
        </w:rPr>
        <w:t>9</w:t>
      </w:r>
      <w:r>
        <w:rPr>
          <w:rFonts w:ascii="宋体" w:hAnsi="宋体"/>
          <w:color w:val="000000"/>
          <w:sz w:val="24"/>
        </w:rPr>
        <w:t>00×4</w:t>
      </w:r>
      <w:r>
        <w:rPr>
          <w:rFonts w:hint="eastAsia" w:ascii="宋体" w:hAnsi="宋体"/>
          <w:color w:val="000000"/>
          <w:sz w:val="24"/>
        </w:rPr>
        <w:t>0</w:t>
      </w:r>
      <w:r>
        <w:rPr>
          <w:rFonts w:ascii="宋体" w:hAnsi="宋体"/>
          <w:color w:val="000000"/>
          <w:sz w:val="24"/>
        </w:rPr>
        <w:t>0×2</w:t>
      </w:r>
      <w:r>
        <w:rPr>
          <w:rFonts w:hint="eastAsia" w:ascii="宋体" w:hAnsi="宋体"/>
          <w:color w:val="000000"/>
          <w:sz w:val="24"/>
        </w:rPr>
        <w:t>5</w:t>
      </w:r>
      <w:r>
        <w:rPr>
          <w:rFonts w:ascii="宋体" w:hAnsi="宋体"/>
          <w:color w:val="000000"/>
          <w:sz w:val="24"/>
        </w:rPr>
        <w:t>0mm</w:t>
      </w:r>
      <w:r>
        <w:rPr>
          <w:rFonts w:hint="eastAsia" w:ascii="宋体" w:hAnsi="宋体"/>
          <w:color w:val="000000"/>
          <w:sz w:val="24"/>
        </w:rPr>
        <w:t>；辅助隔爆选用40L的</w:t>
      </w:r>
      <w:r>
        <w:rPr>
          <w:rFonts w:hint="eastAsia" w:ascii="宋体" w:hAnsi="宋体" w:cs="宋体"/>
          <w:color w:val="000000"/>
          <w:sz w:val="24"/>
        </w:rPr>
        <w:t>塑料水袋，</w:t>
      </w:r>
      <w:r>
        <w:rPr>
          <w:rFonts w:hint="eastAsia" w:ascii="宋体" w:hAnsi="宋体"/>
          <w:color w:val="000000"/>
          <w:sz w:val="24"/>
        </w:rPr>
        <w:t>型号：</w:t>
      </w:r>
      <w:r>
        <w:rPr>
          <w:rFonts w:ascii="宋体" w:hAnsi="宋体"/>
          <w:color w:val="000000"/>
          <w:sz w:val="24"/>
        </w:rPr>
        <w:t>GBSD-40</w:t>
      </w:r>
      <w:r>
        <w:rPr>
          <w:rFonts w:hint="eastAsia" w:ascii="宋体" w:hAnsi="宋体"/>
          <w:color w:val="000000"/>
          <w:sz w:val="24"/>
        </w:rPr>
        <w:t>；尺寸：</w:t>
      </w:r>
      <w:r>
        <w:rPr>
          <w:rFonts w:ascii="宋体" w:hAnsi="宋体"/>
          <w:color w:val="000000"/>
          <w:sz w:val="24"/>
        </w:rPr>
        <w:t>长×宽×高＝</w:t>
      </w:r>
      <w:r>
        <w:rPr>
          <w:rFonts w:hint="eastAsia" w:ascii="宋体" w:hAnsi="宋体"/>
          <w:color w:val="000000"/>
          <w:sz w:val="24"/>
        </w:rPr>
        <w:t>6</w:t>
      </w:r>
      <w:r>
        <w:rPr>
          <w:rFonts w:ascii="宋体" w:hAnsi="宋体"/>
          <w:color w:val="000000"/>
          <w:sz w:val="24"/>
        </w:rPr>
        <w:t>00×4</w:t>
      </w:r>
      <w:r>
        <w:rPr>
          <w:rFonts w:hint="eastAsia" w:ascii="宋体" w:hAnsi="宋体"/>
          <w:color w:val="000000"/>
          <w:sz w:val="24"/>
        </w:rPr>
        <w:t>0</w:t>
      </w:r>
      <w:r>
        <w:rPr>
          <w:rFonts w:ascii="宋体" w:hAnsi="宋体"/>
          <w:color w:val="000000"/>
          <w:sz w:val="24"/>
        </w:rPr>
        <w:t>0×2</w:t>
      </w:r>
      <w:r>
        <w:rPr>
          <w:rFonts w:hint="eastAsia" w:ascii="宋体" w:hAnsi="宋体"/>
          <w:color w:val="000000"/>
          <w:sz w:val="24"/>
        </w:rPr>
        <w:t>5</w:t>
      </w:r>
      <w:r>
        <w:rPr>
          <w:rFonts w:ascii="宋体" w:hAnsi="宋体"/>
          <w:color w:val="000000"/>
          <w:sz w:val="24"/>
        </w:rPr>
        <w:t>0mm</w:t>
      </w:r>
      <w:r>
        <w:rPr>
          <w:rFonts w:hint="eastAsia" w:ascii="宋体" w:hAnsi="宋体"/>
          <w:color w:val="000000"/>
          <w:sz w:val="24"/>
        </w:rPr>
        <w:t>。</w:t>
      </w:r>
    </w:p>
    <w:p w14:paraId="14710231">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1、主要隔爆棚应在下列巷道设置</w:t>
      </w:r>
    </w:p>
    <w:p w14:paraId="379B7B0D">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（1）矿井两翼与井筒相连通的主要大巷；</w:t>
      </w:r>
    </w:p>
    <w:p w14:paraId="5CE631DC">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（2）相邻采区之间的集中运输巷和回风巷；</w:t>
      </w:r>
    </w:p>
    <w:p w14:paraId="5EC7300F">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（3）相邻煤层之间的运输石门和回风石门。</w:t>
      </w:r>
    </w:p>
    <w:p w14:paraId="36DA1945">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2、辅助隔爆棚应在下列巷道设置</w:t>
      </w:r>
    </w:p>
    <w:p w14:paraId="27DD2A65">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（1）采煤工作面的进、回风顺槽道；</w:t>
      </w:r>
    </w:p>
    <w:p w14:paraId="05B67B83">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（2）采区内的煤和半煤巷掘进巷道：</w:t>
      </w:r>
    </w:p>
    <w:p w14:paraId="1B27CC98">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（3）采用独立通风并有煤尘爆炸危险其他巷道。</w:t>
      </w:r>
    </w:p>
    <w:p w14:paraId="2B2A2E4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根据该矿情况，设计在</w:t>
      </w:r>
      <w:r>
        <w:rPr>
          <w:rFonts w:ascii="宋体" w:hAnsi="宋体"/>
          <w:color w:val="000000"/>
          <w:sz w:val="24"/>
        </w:rPr>
        <w:t>131</w:t>
      </w:r>
      <w:r>
        <w:rPr>
          <w:rFonts w:hint="eastAsia" w:ascii="宋体" w:hAnsi="宋体"/>
          <w:color w:val="000000"/>
          <w:sz w:val="24"/>
        </w:rPr>
        <w:t>运输石门、</w:t>
      </w:r>
      <w:r>
        <w:rPr>
          <w:rFonts w:ascii="宋体" w:hAnsi="宋体"/>
          <w:color w:val="000000"/>
          <w:sz w:val="24"/>
        </w:rPr>
        <w:t>133</w:t>
      </w:r>
      <w:r>
        <w:rPr>
          <w:rFonts w:hint="eastAsia" w:ascii="宋体" w:hAnsi="宋体"/>
          <w:color w:val="000000"/>
          <w:sz w:val="24"/>
        </w:rPr>
        <w:t>轨道石门、</w:t>
      </w:r>
      <w:r>
        <w:rPr>
          <w:rFonts w:ascii="宋体" w:hAnsi="宋体"/>
          <w:color w:val="000000"/>
          <w:sz w:val="24"/>
        </w:rPr>
        <w:t>132</w:t>
      </w:r>
      <w:r>
        <w:rPr>
          <w:rFonts w:hint="eastAsia" w:ascii="宋体" w:hAnsi="宋体"/>
          <w:color w:val="000000"/>
          <w:sz w:val="24"/>
        </w:rPr>
        <w:t>回风石门、</w:t>
      </w:r>
      <w:r>
        <w:rPr>
          <w:rFonts w:ascii="宋体" w:hAnsi="宋体"/>
          <w:color w:val="000000"/>
          <w:sz w:val="24"/>
        </w:rPr>
        <w:t>133</w:t>
      </w:r>
      <w:r>
        <w:rPr>
          <w:rFonts w:hint="eastAsia" w:ascii="宋体" w:hAnsi="宋体"/>
          <w:color w:val="000000"/>
          <w:sz w:val="24"/>
        </w:rPr>
        <w:t>回风石门、</w:t>
      </w:r>
      <w:r>
        <w:rPr>
          <w:rFonts w:ascii="宋体" w:hAnsi="宋体"/>
          <w:color w:val="000000"/>
          <w:sz w:val="24"/>
        </w:rPr>
        <w:t>131</w:t>
      </w:r>
      <w:r>
        <w:rPr>
          <w:rFonts w:hint="eastAsia" w:ascii="宋体" w:hAnsi="宋体"/>
          <w:color w:val="000000"/>
          <w:sz w:val="24"/>
        </w:rPr>
        <w:t>回风石门内设置主要隔爆水棚，在11015采面进、回风顺槽、11135运输顺槽、11135回风顺槽设置辅助隔爆棚。</w:t>
      </w:r>
    </w:p>
    <w:p w14:paraId="2FEF75C8">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3、隔爆水棚的形式及布置</w:t>
      </w:r>
    </w:p>
    <w:p w14:paraId="73A0CF7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该矿设置被动式隔爆水棚，集中布置在巷道内。</w:t>
      </w:r>
    </w:p>
    <w:p w14:paraId="240926C8">
      <w:pPr>
        <w:spacing w:line="360" w:lineRule="auto"/>
        <w:ind w:firstLine="480" w:firstLineChars="200"/>
        <w:rPr>
          <w:rFonts w:hint="eastAsia" w:ascii="宋体" w:hAnsi="宋体"/>
          <w:sz w:val="24"/>
        </w:rPr>
      </w:pPr>
      <w:r>
        <w:rPr>
          <w:rFonts w:hint="eastAsia" w:ascii="宋体" w:hAnsi="宋体"/>
          <w:sz w:val="24"/>
        </w:rPr>
        <w:t>水袋棚是一种经济可行的辅助性隔爆设施，对水袋作为盛水容器的材料，必须能经受水的长期浸泡，材质不腐烂和机械强度不下降，且具有阻燃和抗静电性能。其原理和水袋棚相同，水袋外形呈园弧形，通过四个金属吊环用挂勾吊挂。</w:t>
      </w:r>
    </w:p>
    <w:p w14:paraId="3C29AB93">
      <w:pPr>
        <w:spacing w:line="360" w:lineRule="auto"/>
        <w:ind w:firstLine="480" w:firstLineChars="200"/>
        <w:rPr>
          <w:rFonts w:hint="eastAsia" w:ascii="宋体" w:hAnsi="宋体"/>
          <w:color w:val="000000"/>
          <w:sz w:val="24"/>
        </w:rPr>
      </w:pPr>
      <w:r>
        <w:rPr>
          <w:rFonts w:hint="eastAsia" w:ascii="宋体" w:hAnsi="宋体"/>
          <w:color w:val="000000"/>
          <w:sz w:val="24"/>
        </w:rPr>
        <w:t>4、辅助水棚计算</w:t>
      </w:r>
    </w:p>
    <w:p w14:paraId="6DA6974F">
      <w:pPr>
        <w:spacing w:line="360" w:lineRule="auto"/>
        <w:ind w:firstLine="480" w:firstLineChars="200"/>
        <w:rPr>
          <w:rFonts w:hint="eastAsia" w:ascii="宋体" w:hAnsi="宋体"/>
          <w:color w:val="000000"/>
          <w:sz w:val="24"/>
        </w:rPr>
      </w:pPr>
      <w:r>
        <w:rPr>
          <w:rFonts w:hint="eastAsia" w:ascii="宋体" w:hAnsi="宋体"/>
          <w:color w:val="000000"/>
          <w:sz w:val="24"/>
        </w:rPr>
        <w:t>（1）主要隔爆水棚</w:t>
      </w:r>
    </w:p>
    <w:p w14:paraId="6E72DB83">
      <w:pPr>
        <w:spacing w:line="360" w:lineRule="auto"/>
        <w:ind w:firstLine="480" w:firstLineChars="200"/>
        <w:rPr>
          <w:rFonts w:hint="eastAsia" w:ascii="宋体" w:hAnsi="宋体"/>
          <w:color w:val="000000"/>
          <w:sz w:val="24"/>
        </w:rPr>
      </w:pPr>
      <w:r>
        <w:rPr>
          <w:rFonts w:ascii="宋体" w:hAnsi="宋体"/>
          <w:color w:val="000000"/>
          <w:sz w:val="24"/>
        </w:rPr>
        <w:t>A</w:t>
      </w:r>
      <w:r>
        <w:rPr>
          <w:rFonts w:hint="eastAsia" w:ascii="宋体" w:hAnsi="宋体"/>
          <w:color w:val="000000"/>
          <w:sz w:val="24"/>
        </w:rPr>
        <w:t>、主要水棚总水量</w:t>
      </w:r>
    </w:p>
    <w:p w14:paraId="2288C9C3">
      <w:pPr>
        <w:spacing w:line="360" w:lineRule="auto"/>
        <w:ind w:firstLine="480" w:firstLineChars="200"/>
        <w:rPr>
          <w:rFonts w:hint="eastAsia" w:ascii="宋体" w:hAnsi="宋体"/>
          <w:color w:val="000000"/>
          <w:sz w:val="24"/>
        </w:rPr>
      </w:pPr>
      <w:r>
        <w:rPr>
          <w:rFonts w:hint="eastAsia" w:ascii="宋体" w:hAnsi="宋体"/>
          <w:color w:val="000000"/>
          <w:sz w:val="24"/>
        </w:rPr>
        <w:t>运输石门、轨道石门、回风石门总水量：G＝g.s＝400×6.6＝2640L</w:t>
      </w:r>
    </w:p>
    <w:p w14:paraId="5C719A79">
      <w:pPr>
        <w:spacing w:line="360" w:lineRule="auto"/>
        <w:ind w:firstLine="480" w:firstLineChars="200"/>
        <w:rPr>
          <w:rFonts w:hint="eastAsia" w:ascii="宋体" w:hAnsi="宋体"/>
          <w:color w:val="000000"/>
          <w:sz w:val="24"/>
        </w:rPr>
      </w:pPr>
      <w:r>
        <w:rPr>
          <w:rFonts w:hint="eastAsia" w:ascii="宋体" w:hAnsi="宋体"/>
          <w:color w:val="000000"/>
          <w:sz w:val="24"/>
        </w:rPr>
        <w:t>式中:G――总水量，L；</w:t>
      </w:r>
    </w:p>
    <w:p w14:paraId="54CAB282">
      <w:pPr>
        <w:spacing w:line="360" w:lineRule="auto"/>
        <w:ind w:firstLine="1080" w:firstLineChars="450"/>
        <w:rPr>
          <w:rFonts w:hint="eastAsia" w:ascii="宋体" w:hAnsi="宋体"/>
          <w:color w:val="000000"/>
          <w:sz w:val="24"/>
        </w:rPr>
      </w:pPr>
      <w:r>
        <w:rPr>
          <w:rFonts w:hint="eastAsia" w:ascii="宋体" w:hAnsi="宋体"/>
          <w:color w:val="000000"/>
          <w:sz w:val="24"/>
        </w:rPr>
        <w:t>g――每平方米巷道所需水量，L/m</w:t>
      </w:r>
      <w:r>
        <w:rPr>
          <w:rFonts w:hint="eastAsia" w:ascii="宋体" w:hAnsi="宋体"/>
          <w:color w:val="000000"/>
          <w:sz w:val="24"/>
          <w:vertAlign w:val="superscript"/>
        </w:rPr>
        <w:t>2</w:t>
      </w:r>
      <w:r>
        <w:rPr>
          <w:rFonts w:hint="eastAsia" w:ascii="宋体" w:hAnsi="宋体"/>
          <w:color w:val="000000"/>
          <w:sz w:val="24"/>
        </w:rPr>
        <w:t xml:space="preserve"> (主要水棚按400L/m</w:t>
      </w:r>
      <w:r>
        <w:rPr>
          <w:rFonts w:hint="eastAsia" w:ascii="宋体" w:hAnsi="宋体"/>
          <w:color w:val="000000"/>
          <w:sz w:val="24"/>
          <w:vertAlign w:val="superscript"/>
        </w:rPr>
        <w:t>2</w:t>
      </w:r>
      <w:r>
        <w:rPr>
          <w:rFonts w:hint="eastAsia" w:ascii="宋体" w:hAnsi="宋体"/>
          <w:color w:val="000000"/>
          <w:sz w:val="24"/>
        </w:rPr>
        <w:t>)</w:t>
      </w:r>
    </w:p>
    <w:p w14:paraId="47887943">
      <w:pPr>
        <w:spacing w:line="360" w:lineRule="auto"/>
        <w:ind w:firstLine="480" w:firstLineChars="200"/>
        <w:rPr>
          <w:rFonts w:hint="eastAsia" w:ascii="宋体" w:hAnsi="宋体"/>
          <w:color w:val="000000"/>
          <w:sz w:val="24"/>
        </w:rPr>
      </w:pPr>
      <w:r>
        <w:rPr>
          <w:rFonts w:hint="eastAsia" w:ascii="宋体" w:hAnsi="宋体"/>
          <w:color w:val="000000"/>
          <w:sz w:val="24"/>
        </w:rPr>
        <w:t>B、单架水棚水量</w:t>
      </w:r>
    </w:p>
    <w:p w14:paraId="3DCF25D4">
      <w:pPr>
        <w:spacing w:line="360" w:lineRule="auto"/>
        <w:ind w:firstLine="480" w:firstLineChars="200"/>
        <w:rPr>
          <w:rFonts w:hint="eastAsia" w:ascii="宋体" w:hAnsi="宋体"/>
          <w:color w:val="000000"/>
          <w:sz w:val="24"/>
        </w:rPr>
      </w:pPr>
      <w:r>
        <w:rPr>
          <w:rFonts w:hint="eastAsia" w:ascii="宋体" w:hAnsi="宋体"/>
          <w:color w:val="000000"/>
          <w:sz w:val="24"/>
        </w:rPr>
        <w:t>设计选用的水袋型号为GD60，每个容积60L，每架2个，则Gn=120L。</w:t>
      </w:r>
    </w:p>
    <w:p w14:paraId="209953DA">
      <w:pPr>
        <w:spacing w:line="360" w:lineRule="auto"/>
        <w:ind w:firstLine="480" w:firstLineChars="200"/>
        <w:rPr>
          <w:rFonts w:hint="eastAsia" w:ascii="宋体" w:hAnsi="宋体"/>
          <w:color w:val="000000"/>
          <w:sz w:val="24"/>
        </w:rPr>
      </w:pPr>
      <w:r>
        <w:rPr>
          <w:rFonts w:hint="eastAsia" w:ascii="宋体" w:hAnsi="宋体"/>
          <w:color w:val="000000"/>
          <w:sz w:val="24"/>
        </w:rPr>
        <w:t>C、水棚架数</w:t>
      </w:r>
    </w:p>
    <w:p w14:paraId="3CA3B803">
      <w:pPr>
        <w:spacing w:line="360" w:lineRule="auto"/>
        <w:ind w:firstLine="480" w:firstLineChars="200"/>
        <w:rPr>
          <w:rFonts w:hint="eastAsia" w:ascii="宋体" w:hAnsi="宋体"/>
          <w:color w:val="000000"/>
          <w:sz w:val="24"/>
        </w:rPr>
      </w:pPr>
      <w:r>
        <w:rPr>
          <w:rFonts w:hint="eastAsia" w:ascii="宋体" w:hAnsi="宋体"/>
          <w:color w:val="000000"/>
          <w:sz w:val="24"/>
        </w:rPr>
        <w:t>运输石门、轨道石门、回风石门：</w:t>
      </w:r>
      <w:r>
        <w:rPr>
          <w:rFonts w:ascii="宋体" w:hAnsi="宋体"/>
          <w:color w:val="000000"/>
          <w:sz w:val="24"/>
        </w:rPr>
        <w:t>N</w:t>
      </w:r>
      <w:r>
        <w:rPr>
          <w:rFonts w:hint="eastAsia" w:ascii="宋体" w:hAnsi="宋体"/>
          <w:color w:val="000000"/>
          <w:sz w:val="24"/>
        </w:rPr>
        <w:t>＝G/Gn＝2640/120＝22(架)，取22架</w:t>
      </w:r>
    </w:p>
    <w:p w14:paraId="12009B83">
      <w:pPr>
        <w:spacing w:line="360" w:lineRule="auto"/>
        <w:ind w:firstLine="480" w:firstLineChars="200"/>
        <w:rPr>
          <w:rFonts w:hint="eastAsia" w:ascii="宋体" w:hAnsi="宋体"/>
          <w:color w:val="000000"/>
          <w:sz w:val="24"/>
        </w:rPr>
      </w:pPr>
      <w:r>
        <w:rPr>
          <w:rFonts w:hint="eastAsia" w:ascii="宋体" w:hAnsi="宋体"/>
          <w:color w:val="000000"/>
          <w:sz w:val="24"/>
        </w:rPr>
        <w:t>D、水棚区长度</w:t>
      </w:r>
    </w:p>
    <w:p w14:paraId="67D53BDD">
      <w:pPr>
        <w:spacing w:line="360" w:lineRule="auto"/>
        <w:ind w:firstLine="480" w:firstLineChars="200"/>
        <w:rPr>
          <w:rFonts w:hint="eastAsia" w:ascii="宋体" w:hAnsi="宋体"/>
          <w:color w:val="000000"/>
          <w:sz w:val="24"/>
        </w:rPr>
      </w:pPr>
      <w:r>
        <w:rPr>
          <w:rFonts w:hint="eastAsia" w:ascii="宋体" w:hAnsi="宋体"/>
          <w:color w:val="000000"/>
          <w:sz w:val="24"/>
        </w:rPr>
        <w:t>L＝（n-1）×C + W</w:t>
      </w:r>
    </w:p>
    <w:p w14:paraId="6336A524">
      <w:pPr>
        <w:spacing w:line="360" w:lineRule="auto"/>
        <w:ind w:firstLine="480" w:firstLineChars="200"/>
        <w:rPr>
          <w:rFonts w:hint="eastAsia" w:ascii="宋体" w:hAnsi="宋体"/>
          <w:color w:val="000000"/>
          <w:sz w:val="24"/>
        </w:rPr>
      </w:pPr>
      <w:r>
        <w:rPr>
          <w:rFonts w:hint="eastAsia" w:ascii="宋体" w:hAnsi="宋体"/>
          <w:color w:val="000000"/>
          <w:sz w:val="24"/>
        </w:rPr>
        <w:t>式中:L――主要水棚区长度；</w:t>
      </w:r>
    </w:p>
    <w:p w14:paraId="4150BB69">
      <w:pPr>
        <w:spacing w:line="360" w:lineRule="auto"/>
        <w:ind w:firstLine="480" w:firstLineChars="200"/>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N</w:t>
      </w:r>
      <w:r>
        <w:rPr>
          <w:rFonts w:hint="eastAsia" w:ascii="宋体" w:hAnsi="宋体"/>
          <w:color w:val="000000"/>
          <w:sz w:val="24"/>
        </w:rPr>
        <w:t>――水棚架数；</w:t>
      </w:r>
    </w:p>
    <w:p w14:paraId="581D87A1">
      <w:pPr>
        <w:spacing w:line="360" w:lineRule="auto"/>
        <w:ind w:firstLine="480" w:firstLineChars="200"/>
        <w:rPr>
          <w:rFonts w:hint="eastAsia" w:ascii="宋体" w:hAnsi="宋体"/>
          <w:color w:val="000000"/>
          <w:sz w:val="24"/>
        </w:rPr>
      </w:pPr>
      <w:r>
        <w:rPr>
          <w:rFonts w:hint="eastAsia" w:ascii="宋体" w:hAnsi="宋体"/>
          <w:color w:val="000000"/>
          <w:sz w:val="24"/>
        </w:rPr>
        <w:t xml:space="preserve">     C――水棚间距，m，该矿取1.5m；</w:t>
      </w:r>
    </w:p>
    <w:p w14:paraId="313C3913">
      <w:pPr>
        <w:spacing w:line="360" w:lineRule="auto"/>
        <w:ind w:firstLine="480" w:firstLineChars="200"/>
        <w:rPr>
          <w:rFonts w:hint="eastAsia" w:ascii="宋体" w:hAnsi="宋体"/>
          <w:color w:val="000000"/>
          <w:sz w:val="24"/>
        </w:rPr>
      </w:pPr>
      <w:r>
        <w:rPr>
          <w:rFonts w:hint="eastAsia" w:ascii="宋体" w:hAnsi="宋体"/>
          <w:color w:val="000000"/>
          <w:sz w:val="24"/>
        </w:rPr>
        <w:t xml:space="preserve">     W――水棚宽度，m。</w:t>
      </w:r>
    </w:p>
    <w:p w14:paraId="13BD7E49">
      <w:pPr>
        <w:spacing w:line="360" w:lineRule="auto"/>
        <w:ind w:firstLine="480" w:firstLineChars="200"/>
        <w:rPr>
          <w:rFonts w:hint="eastAsia" w:ascii="宋体" w:hAnsi="宋体"/>
          <w:color w:val="000000"/>
          <w:sz w:val="24"/>
        </w:rPr>
      </w:pPr>
      <w:r>
        <w:rPr>
          <w:rFonts w:hint="eastAsia" w:ascii="宋体" w:hAnsi="宋体"/>
          <w:color w:val="000000"/>
          <w:sz w:val="24"/>
        </w:rPr>
        <w:t>运输石门、轨道石门、回风石门：L＝（22-1）×1.5 + 0.4＝31.9m</w:t>
      </w:r>
    </w:p>
    <w:p w14:paraId="554FF1CF">
      <w:pPr>
        <w:spacing w:line="360" w:lineRule="auto"/>
        <w:ind w:firstLine="480" w:firstLineChars="200"/>
        <w:rPr>
          <w:rFonts w:hint="eastAsia" w:ascii="宋体" w:hAnsi="宋体"/>
          <w:color w:val="000000"/>
          <w:sz w:val="24"/>
        </w:rPr>
      </w:pPr>
      <w:r>
        <w:rPr>
          <w:rFonts w:hint="eastAsia" w:ascii="宋体" w:hAnsi="宋体"/>
          <w:color w:val="000000"/>
          <w:sz w:val="24"/>
        </w:rPr>
        <w:t>满足主要水棚区长度不小于30m的要求。</w:t>
      </w:r>
    </w:p>
    <w:p w14:paraId="6E6C25FD">
      <w:pPr>
        <w:spacing w:line="360" w:lineRule="auto"/>
        <w:ind w:firstLine="480" w:firstLineChars="200"/>
        <w:rPr>
          <w:rFonts w:hint="eastAsia" w:ascii="宋体" w:hAnsi="宋体"/>
          <w:color w:val="000000"/>
          <w:sz w:val="24"/>
        </w:rPr>
      </w:pPr>
      <w:r>
        <w:rPr>
          <w:rFonts w:hint="eastAsia" w:ascii="宋体" w:hAnsi="宋体"/>
          <w:color w:val="000000"/>
          <w:sz w:val="24"/>
        </w:rPr>
        <w:t>（2）辅助隔爆水棚</w:t>
      </w:r>
    </w:p>
    <w:p w14:paraId="2A10A22F">
      <w:pPr>
        <w:spacing w:line="360" w:lineRule="auto"/>
        <w:ind w:firstLine="480" w:firstLineChars="200"/>
        <w:rPr>
          <w:rFonts w:hint="eastAsia" w:ascii="宋体" w:hAnsi="宋体"/>
          <w:color w:val="000000"/>
          <w:sz w:val="24"/>
        </w:rPr>
      </w:pPr>
      <w:r>
        <w:rPr>
          <w:rFonts w:ascii="宋体" w:hAnsi="宋体"/>
          <w:color w:val="000000"/>
          <w:sz w:val="24"/>
        </w:rPr>
        <w:t>A</w:t>
      </w:r>
      <w:r>
        <w:rPr>
          <w:rFonts w:hint="eastAsia" w:ascii="宋体" w:hAnsi="宋体"/>
          <w:color w:val="000000"/>
          <w:sz w:val="24"/>
        </w:rPr>
        <w:t>、辅助隔爆水棚总水量</w:t>
      </w:r>
    </w:p>
    <w:p w14:paraId="0CA2CCB9">
      <w:pPr>
        <w:spacing w:line="360" w:lineRule="auto"/>
        <w:ind w:firstLine="480" w:firstLineChars="200"/>
        <w:rPr>
          <w:rFonts w:hint="eastAsia" w:ascii="宋体" w:hAnsi="宋体"/>
          <w:color w:val="000000"/>
          <w:sz w:val="24"/>
        </w:rPr>
      </w:pPr>
      <w:r>
        <w:rPr>
          <w:rFonts w:hint="eastAsia" w:ascii="宋体" w:hAnsi="宋体"/>
          <w:color w:val="000000"/>
          <w:sz w:val="24"/>
        </w:rPr>
        <w:t>采面运输、回风顺槽、掘进工作面总水量：G＝g.s＝200×6.6＝1320L</w:t>
      </w:r>
    </w:p>
    <w:p w14:paraId="26F24E30">
      <w:pPr>
        <w:spacing w:line="360" w:lineRule="auto"/>
        <w:ind w:firstLine="480" w:firstLineChars="200"/>
        <w:rPr>
          <w:rFonts w:hint="eastAsia" w:ascii="宋体" w:hAnsi="宋体"/>
          <w:color w:val="000000"/>
          <w:sz w:val="24"/>
        </w:rPr>
      </w:pPr>
      <w:r>
        <w:rPr>
          <w:rFonts w:hint="eastAsia" w:ascii="宋体" w:hAnsi="宋体"/>
          <w:color w:val="000000"/>
          <w:sz w:val="24"/>
        </w:rPr>
        <w:t>式中:G—总水量，L；</w:t>
      </w:r>
    </w:p>
    <w:p w14:paraId="36C62464">
      <w:pPr>
        <w:spacing w:line="360" w:lineRule="auto"/>
        <w:ind w:firstLine="1080" w:firstLineChars="450"/>
        <w:rPr>
          <w:rFonts w:hint="eastAsia" w:ascii="宋体" w:hAnsi="宋体"/>
          <w:color w:val="000000"/>
          <w:sz w:val="24"/>
        </w:rPr>
      </w:pPr>
      <w:r>
        <w:rPr>
          <w:rFonts w:ascii="宋体" w:hAnsi="宋体"/>
          <w:color w:val="000000"/>
          <w:sz w:val="24"/>
        </w:rPr>
        <w:t>G</w:t>
      </w:r>
      <w:r>
        <w:rPr>
          <w:rFonts w:hint="eastAsia" w:ascii="宋体" w:hAnsi="宋体"/>
          <w:color w:val="000000"/>
          <w:sz w:val="24"/>
        </w:rPr>
        <w:t>—每平方米巷道所需水量，L/m</w:t>
      </w:r>
      <w:r>
        <w:rPr>
          <w:rFonts w:hint="eastAsia" w:ascii="宋体" w:hAnsi="宋体"/>
          <w:color w:val="000000"/>
          <w:sz w:val="24"/>
          <w:vertAlign w:val="superscript"/>
        </w:rPr>
        <w:t xml:space="preserve">2 </w:t>
      </w:r>
      <w:r>
        <w:rPr>
          <w:rFonts w:hint="eastAsia" w:ascii="宋体" w:hAnsi="宋体"/>
          <w:color w:val="000000"/>
          <w:sz w:val="24"/>
        </w:rPr>
        <w:t>(辅助水棚按200L/m</w:t>
      </w:r>
      <w:r>
        <w:rPr>
          <w:rFonts w:hint="eastAsia" w:ascii="宋体" w:hAnsi="宋体"/>
          <w:color w:val="000000"/>
          <w:sz w:val="24"/>
          <w:vertAlign w:val="superscript"/>
        </w:rPr>
        <w:t>2</w:t>
      </w:r>
      <w:r>
        <w:rPr>
          <w:rFonts w:hint="eastAsia" w:ascii="宋体" w:hAnsi="宋体"/>
          <w:color w:val="000000"/>
          <w:sz w:val="24"/>
        </w:rPr>
        <w:t>)。</w:t>
      </w:r>
    </w:p>
    <w:p w14:paraId="7599B5A6">
      <w:pPr>
        <w:spacing w:line="360" w:lineRule="auto"/>
        <w:ind w:firstLine="480" w:firstLineChars="200"/>
        <w:rPr>
          <w:rFonts w:hint="eastAsia" w:ascii="宋体" w:hAnsi="宋体"/>
          <w:color w:val="000000"/>
          <w:sz w:val="24"/>
        </w:rPr>
      </w:pPr>
      <w:r>
        <w:rPr>
          <w:rFonts w:hint="eastAsia" w:ascii="宋体" w:hAnsi="宋体"/>
          <w:color w:val="000000"/>
          <w:sz w:val="24"/>
        </w:rPr>
        <w:t>B、单架水棚水量</w:t>
      </w:r>
    </w:p>
    <w:p w14:paraId="2D08B478">
      <w:pPr>
        <w:spacing w:line="360" w:lineRule="auto"/>
        <w:ind w:firstLine="480" w:firstLineChars="200"/>
        <w:rPr>
          <w:rFonts w:hint="eastAsia" w:ascii="宋体" w:hAnsi="宋体"/>
          <w:color w:val="000000"/>
          <w:sz w:val="24"/>
        </w:rPr>
      </w:pPr>
      <w:r>
        <w:rPr>
          <w:rFonts w:hint="eastAsia" w:ascii="宋体" w:hAnsi="宋体"/>
          <w:color w:val="000000"/>
          <w:sz w:val="24"/>
        </w:rPr>
        <w:t>设计选用水袋型号为</w:t>
      </w:r>
      <w:r>
        <w:rPr>
          <w:rFonts w:ascii="宋体" w:hAnsi="宋体"/>
          <w:color w:val="000000"/>
          <w:sz w:val="24"/>
        </w:rPr>
        <w:t>GBSD-40</w:t>
      </w:r>
      <w:r>
        <w:rPr>
          <w:rFonts w:hint="eastAsia" w:ascii="宋体" w:hAnsi="宋体"/>
          <w:color w:val="000000"/>
          <w:sz w:val="24"/>
        </w:rPr>
        <w:t>，每个容积40L，每架2个水袋，则Gn=80L。</w:t>
      </w:r>
    </w:p>
    <w:p w14:paraId="16F56B8D">
      <w:pPr>
        <w:spacing w:line="490" w:lineRule="exact"/>
        <w:ind w:firstLine="480" w:firstLineChars="200"/>
        <w:rPr>
          <w:rFonts w:hint="eastAsia" w:ascii="宋体" w:hAnsi="宋体"/>
          <w:color w:val="000000"/>
          <w:sz w:val="24"/>
        </w:rPr>
      </w:pPr>
      <w:r>
        <w:rPr>
          <w:rFonts w:hint="eastAsia" w:ascii="宋体" w:hAnsi="宋体"/>
          <w:color w:val="000000"/>
          <w:sz w:val="24"/>
        </w:rPr>
        <w:t>C、水棚架数</w:t>
      </w:r>
    </w:p>
    <w:p w14:paraId="7AD52F1D">
      <w:pPr>
        <w:spacing w:line="490" w:lineRule="exact"/>
        <w:ind w:firstLine="480" w:firstLineChars="200"/>
        <w:rPr>
          <w:rFonts w:hint="eastAsia" w:ascii="宋体" w:hAnsi="宋体"/>
          <w:color w:val="000000"/>
          <w:sz w:val="24"/>
        </w:rPr>
      </w:pPr>
      <w:r>
        <w:rPr>
          <w:rFonts w:hint="eastAsia" w:ascii="宋体" w:hAnsi="宋体"/>
          <w:color w:val="000000"/>
          <w:sz w:val="24"/>
        </w:rPr>
        <w:t>采面运输、回风顺槽、掘进工作面：</w:t>
      </w:r>
      <w:r>
        <w:rPr>
          <w:rFonts w:ascii="宋体" w:hAnsi="宋体"/>
          <w:color w:val="000000"/>
          <w:sz w:val="24"/>
        </w:rPr>
        <w:t>N</w:t>
      </w:r>
      <w:r>
        <w:rPr>
          <w:rFonts w:hint="eastAsia" w:ascii="宋体" w:hAnsi="宋体"/>
          <w:color w:val="000000"/>
          <w:sz w:val="24"/>
        </w:rPr>
        <w:t>＝G/Gn＝1320/80＝16.5(架),取17架。</w:t>
      </w:r>
    </w:p>
    <w:p w14:paraId="17DE41D2">
      <w:pPr>
        <w:spacing w:line="490" w:lineRule="exact"/>
        <w:ind w:firstLine="480" w:firstLineChars="200"/>
        <w:rPr>
          <w:rFonts w:hint="eastAsia" w:ascii="宋体" w:hAnsi="宋体"/>
          <w:color w:val="000000"/>
          <w:sz w:val="24"/>
        </w:rPr>
      </w:pPr>
      <w:r>
        <w:rPr>
          <w:rFonts w:hint="eastAsia" w:ascii="宋体" w:hAnsi="宋体"/>
          <w:color w:val="000000"/>
          <w:sz w:val="24"/>
        </w:rPr>
        <w:t>D、水棚区长度</w:t>
      </w:r>
    </w:p>
    <w:p w14:paraId="2E2BB101">
      <w:pPr>
        <w:spacing w:line="490" w:lineRule="exact"/>
        <w:ind w:firstLine="480" w:firstLineChars="200"/>
        <w:rPr>
          <w:rFonts w:hint="eastAsia" w:ascii="宋体" w:hAnsi="宋体"/>
          <w:color w:val="000000"/>
          <w:sz w:val="24"/>
        </w:rPr>
      </w:pPr>
      <w:r>
        <w:rPr>
          <w:rFonts w:hint="eastAsia" w:ascii="宋体" w:hAnsi="宋体"/>
          <w:color w:val="000000"/>
          <w:sz w:val="24"/>
        </w:rPr>
        <w:t>L＝（n-1）×C+W</w:t>
      </w:r>
    </w:p>
    <w:p w14:paraId="19CEED73">
      <w:pPr>
        <w:spacing w:line="490" w:lineRule="exact"/>
        <w:ind w:firstLine="480" w:firstLineChars="200"/>
        <w:rPr>
          <w:rFonts w:hint="eastAsia" w:ascii="宋体" w:hAnsi="宋体"/>
          <w:color w:val="000000"/>
          <w:sz w:val="24"/>
        </w:rPr>
      </w:pPr>
      <w:r>
        <w:rPr>
          <w:rFonts w:hint="eastAsia" w:ascii="宋体" w:hAnsi="宋体"/>
          <w:color w:val="000000"/>
          <w:sz w:val="24"/>
        </w:rPr>
        <w:t>式中:L—辅助水棚区长度；</w:t>
      </w:r>
    </w:p>
    <w:p w14:paraId="70186DF7">
      <w:pPr>
        <w:spacing w:line="490" w:lineRule="exact"/>
        <w:ind w:firstLine="480" w:firstLineChars="200"/>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N</w:t>
      </w:r>
      <w:r>
        <w:rPr>
          <w:rFonts w:hint="eastAsia" w:ascii="宋体" w:hAnsi="宋体"/>
          <w:color w:val="000000"/>
          <w:sz w:val="24"/>
        </w:rPr>
        <w:t>—水棚架数</w:t>
      </w:r>
    </w:p>
    <w:p w14:paraId="2B07B071">
      <w:pPr>
        <w:spacing w:line="490" w:lineRule="exact"/>
        <w:ind w:firstLine="480" w:firstLineChars="200"/>
        <w:rPr>
          <w:rFonts w:hint="eastAsia" w:ascii="宋体" w:hAnsi="宋体"/>
          <w:color w:val="000000"/>
          <w:sz w:val="24"/>
        </w:rPr>
      </w:pPr>
      <w:r>
        <w:rPr>
          <w:rFonts w:hint="eastAsia" w:ascii="宋体" w:hAnsi="宋体"/>
          <w:color w:val="000000"/>
          <w:sz w:val="24"/>
        </w:rPr>
        <w:t xml:space="preserve">     C—水棚间距,m,该矿取1.5m；</w:t>
      </w:r>
    </w:p>
    <w:p w14:paraId="39D89F65">
      <w:pPr>
        <w:spacing w:line="490" w:lineRule="exact"/>
        <w:ind w:firstLine="480" w:firstLineChars="200"/>
        <w:rPr>
          <w:rFonts w:hint="eastAsia" w:ascii="宋体" w:hAnsi="宋体"/>
          <w:color w:val="000000"/>
          <w:sz w:val="24"/>
        </w:rPr>
      </w:pPr>
      <w:r>
        <w:rPr>
          <w:rFonts w:hint="eastAsia" w:ascii="宋体" w:hAnsi="宋体"/>
          <w:color w:val="000000"/>
          <w:sz w:val="24"/>
        </w:rPr>
        <w:t xml:space="preserve">     W—水棚宽度,m。</w:t>
      </w:r>
    </w:p>
    <w:p w14:paraId="10D90EDB">
      <w:pPr>
        <w:spacing w:line="490" w:lineRule="exact"/>
        <w:ind w:firstLine="480" w:firstLineChars="200"/>
        <w:rPr>
          <w:rFonts w:hint="eastAsia" w:ascii="宋体" w:hAnsi="宋体"/>
          <w:color w:val="000000"/>
          <w:sz w:val="24"/>
        </w:rPr>
      </w:pPr>
      <w:r>
        <w:rPr>
          <w:rFonts w:hint="eastAsia" w:ascii="宋体" w:hAnsi="宋体"/>
          <w:color w:val="000000"/>
          <w:sz w:val="24"/>
        </w:rPr>
        <w:t>采面运输、回风顺槽、掘进工作面：L＝（17-1）×1.5 + 0.4＝24.4m</w:t>
      </w:r>
    </w:p>
    <w:p w14:paraId="0C24DC9B">
      <w:pPr>
        <w:spacing w:line="490" w:lineRule="exact"/>
        <w:ind w:firstLine="480" w:firstLineChars="200"/>
        <w:rPr>
          <w:rFonts w:hint="eastAsia" w:ascii="宋体" w:hAnsi="宋体"/>
          <w:color w:val="000000"/>
          <w:sz w:val="24"/>
        </w:rPr>
      </w:pPr>
      <w:r>
        <w:rPr>
          <w:rFonts w:hint="eastAsia" w:ascii="宋体" w:hAnsi="宋体"/>
          <w:color w:val="000000"/>
          <w:sz w:val="24"/>
        </w:rPr>
        <w:t>满足辅助水棚区长度不小于20m的要求。</w:t>
      </w:r>
    </w:p>
    <w:p w14:paraId="26E16823">
      <w:pPr>
        <w:spacing w:line="490" w:lineRule="exact"/>
        <w:ind w:firstLine="480" w:firstLineChars="200"/>
        <w:rPr>
          <w:rFonts w:hint="eastAsia" w:ascii="宋体" w:hAnsi="宋体"/>
          <w:color w:val="000000"/>
          <w:sz w:val="24"/>
        </w:rPr>
      </w:pPr>
      <w:r>
        <w:rPr>
          <w:rFonts w:hint="eastAsia" w:ascii="宋体" w:hAnsi="宋体"/>
          <w:color w:val="000000"/>
          <w:sz w:val="24"/>
        </w:rPr>
        <w:t>5、水棚的布置</w:t>
      </w:r>
    </w:p>
    <w:p w14:paraId="11789DE7">
      <w:pPr>
        <w:spacing w:line="490" w:lineRule="exact"/>
        <w:ind w:firstLine="480" w:firstLineChars="200"/>
        <w:rPr>
          <w:rFonts w:hint="eastAsia" w:ascii="宋体" w:hAnsi="宋体"/>
          <w:color w:val="000000"/>
          <w:sz w:val="24"/>
        </w:rPr>
      </w:pPr>
      <w:r>
        <w:rPr>
          <w:rFonts w:hint="eastAsia" w:ascii="宋体" w:hAnsi="宋体"/>
          <w:color w:val="000000"/>
          <w:sz w:val="24"/>
        </w:rPr>
        <w:t>（1）水棚的安装方式，既可以采用吊挂式，也可以采用混合式。</w:t>
      </w:r>
    </w:p>
    <w:p w14:paraId="17017CF8">
      <w:pPr>
        <w:spacing w:line="490" w:lineRule="exact"/>
        <w:ind w:firstLine="480" w:firstLineChars="200"/>
        <w:rPr>
          <w:rFonts w:hint="eastAsia" w:ascii="宋体" w:hAnsi="宋体"/>
          <w:color w:val="000000"/>
          <w:sz w:val="24"/>
        </w:rPr>
      </w:pPr>
      <w:r>
        <w:rPr>
          <w:rFonts w:hint="eastAsia" w:ascii="宋体" w:hAnsi="宋体"/>
          <w:color w:val="000000"/>
          <w:sz w:val="24"/>
        </w:rPr>
        <w:t>（2）水袋棚安装方式的原则是当受爆炸冲击力时，水袋中的水容易泼出。</w:t>
      </w:r>
    </w:p>
    <w:p w14:paraId="5ACDAC24">
      <w:pPr>
        <w:spacing w:line="490" w:lineRule="exact"/>
        <w:ind w:firstLine="480" w:firstLineChars="200"/>
        <w:rPr>
          <w:rFonts w:hint="eastAsia" w:ascii="宋体" w:hAnsi="宋体"/>
          <w:color w:val="000000"/>
          <w:sz w:val="24"/>
        </w:rPr>
      </w:pPr>
      <w:r>
        <w:rPr>
          <w:rFonts w:hint="eastAsia" w:ascii="宋体" w:hAnsi="宋体"/>
          <w:color w:val="000000"/>
          <w:sz w:val="24"/>
        </w:rPr>
        <w:t>（3）水袋的布置必须符合以下规定，占据巷道宽度之和与巷道最大宽度的比例为：巷道净断面积小于</w:t>
      </w:r>
      <w:r>
        <w:rPr>
          <w:rFonts w:ascii="宋体" w:hAnsi="宋体"/>
          <w:color w:val="000000"/>
          <w:sz w:val="24"/>
        </w:rPr>
        <w:t>10m</w:t>
      </w:r>
      <w:r>
        <w:rPr>
          <w:rFonts w:ascii="宋体" w:hAnsi="宋体"/>
          <w:color w:val="000000"/>
          <w:sz w:val="24"/>
          <w:vertAlign w:val="superscript"/>
        </w:rPr>
        <w:t>2</w:t>
      </w:r>
      <w:r>
        <w:rPr>
          <w:rFonts w:hint="eastAsia" w:ascii="宋体" w:hAnsi="宋体"/>
          <w:color w:val="000000"/>
          <w:sz w:val="24"/>
        </w:rPr>
        <w:t>，大于等于</w:t>
      </w:r>
      <w:r>
        <w:rPr>
          <w:rFonts w:ascii="宋体" w:hAnsi="宋体"/>
          <w:color w:val="000000"/>
          <w:sz w:val="24"/>
        </w:rPr>
        <w:t>35%</w:t>
      </w:r>
      <w:r>
        <w:rPr>
          <w:rFonts w:hint="eastAsia" w:ascii="宋体" w:hAnsi="宋体"/>
          <w:color w:val="000000"/>
          <w:sz w:val="24"/>
        </w:rPr>
        <w:t>；巷道净断面积</w:t>
      </w:r>
      <w:r>
        <w:rPr>
          <w:rFonts w:ascii="宋体" w:hAnsi="宋体"/>
          <w:color w:val="000000"/>
          <w:sz w:val="24"/>
        </w:rPr>
        <w:t>10</w:t>
      </w:r>
      <w:r>
        <w:rPr>
          <w:rFonts w:hint="eastAsia" w:ascii="宋体" w:hAnsi="宋体"/>
          <w:color w:val="000000"/>
          <w:sz w:val="24"/>
        </w:rPr>
        <w:t>～</w:t>
      </w:r>
      <w:r>
        <w:rPr>
          <w:rFonts w:ascii="宋体" w:hAnsi="宋体"/>
          <w:color w:val="000000"/>
          <w:sz w:val="24"/>
        </w:rPr>
        <w:t>12m</w:t>
      </w:r>
      <w:r>
        <w:rPr>
          <w:rFonts w:ascii="宋体" w:hAnsi="宋体"/>
          <w:color w:val="000000"/>
          <w:sz w:val="24"/>
          <w:vertAlign w:val="superscript"/>
        </w:rPr>
        <w:t>2</w:t>
      </w:r>
      <w:r>
        <w:rPr>
          <w:rFonts w:hint="eastAsia" w:ascii="宋体" w:hAnsi="宋体"/>
          <w:color w:val="000000"/>
          <w:sz w:val="24"/>
        </w:rPr>
        <w:t>，大于等于</w:t>
      </w:r>
      <w:r>
        <w:rPr>
          <w:rFonts w:ascii="宋体" w:hAnsi="宋体"/>
          <w:color w:val="000000"/>
          <w:sz w:val="24"/>
        </w:rPr>
        <w:t>50%</w:t>
      </w:r>
      <w:r>
        <w:rPr>
          <w:rFonts w:hint="eastAsia" w:ascii="宋体" w:hAnsi="宋体"/>
          <w:color w:val="000000"/>
          <w:sz w:val="24"/>
        </w:rPr>
        <w:t>；巷道净断面积大于</w:t>
      </w:r>
      <w:r>
        <w:rPr>
          <w:rFonts w:ascii="宋体" w:hAnsi="宋体"/>
          <w:color w:val="000000"/>
          <w:sz w:val="24"/>
        </w:rPr>
        <w:t>12m</w:t>
      </w:r>
      <w:r>
        <w:rPr>
          <w:rFonts w:ascii="宋体" w:hAnsi="宋体"/>
          <w:color w:val="000000"/>
          <w:sz w:val="24"/>
          <w:vertAlign w:val="superscript"/>
        </w:rPr>
        <w:t>2</w:t>
      </w:r>
      <w:r>
        <w:rPr>
          <w:rFonts w:hint="eastAsia" w:ascii="宋体" w:hAnsi="宋体"/>
          <w:color w:val="000000"/>
          <w:sz w:val="24"/>
        </w:rPr>
        <w:t>，大于等于</w:t>
      </w:r>
      <w:r>
        <w:rPr>
          <w:rFonts w:ascii="宋体" w:hAnsi="宋体"/>
          <w:color w:val="000000"/>
          <w:sz w:val="24"/>
        </w:rPr>
        <w:t>65%</w:t>
      </w:r>
      <w:r>
        <w:rPr>
          <w:rFonts w:hint="eastAsia" w:ascii="宋体" w:hAnsi="宋体"/>
          <w:color w:val="000000"/>
          <w:sz w:val="24"/>
        </w:rPr>
        <w:t>。</w:t>
      </w:r>
    </w:p>
    <w:p w14:paraId="107FA8FC">
      <w:pPr>
        <w:spacing w:line="490" w:lineRule="exact"/>
        <w:ind w:firstLine="480" w:firstLineChars="200"/>
        <w:rPr>
          <w:rFonts w:ascii="宋体" w:hAnsi="宋体"/>
          <w:color w:val="000000"/>
          <w:sz w:val="24"/>
        </w:rPr>
      </w:pPr>
      <w:r>
        <w:rPr>
          <w:rFonts w:hint="eastAsia" w:ascii="宋体" w:hAnsi="宋体"/>
          <w:color w:val="000000"/>
          <w:sz w:val="24"/>
        </w:rPr>
        <w:t>（4）水袋之间的间隙与水袋同支架或巷道壁之间的间隙之和不大于</w:t>
      </w:r>
      <w:r>
        <w:rPr>
          <w:rFonts w:ascii="宋体" w:hAnsi="宋体"/>
          <w:color w:val="000000"/>
          <w:sz w:val="24"/>
        </w:rPr>
        <w:t>1.5m</w:t>
      </w:r>
      <w:r>
        <w:rPr>
          <w:rFonts w:hint="eastAsia" w:ascii="宋体" w:hAnsi="宋体"/>
          <w:color w:val="000000"/>
          <w:sz w:val="24"/>
        </w:rPr>
        <w:t>，特殊情况下不大于</w:t>
      </w:r>
      <w:r>
        <w:rPr>
          <w:rFonts w:ascii="宋体" w:hAnsi="宋体"/>
          <w:color w:val="000000"/>
          <w:sz w:val="24"/>
        </w:rPr>
        <w:t>1.</w:t>
      </w:r>
      <w:r>
        <w:rPr>
          <w:rFonts w:hint="eastAsia" w:ascii="宋体" w:hAnsi="宋体"/>
          <w:color w:val="000000"/>
          <w:sz w:val="24"/>
        </w:rPr>
        <w:t>8</w:t>
      </w:r>
      <w:r>
        <w:rPr>
          <w:rFonts w:ascii="宋体" w:hAnsi="宋体"/>
          <w:color w:val="000000"/>
          <w:sz w:val="24"/>
        </w:rPr>
        <w:t xml:space="preserve"> m</w:t>
      </w:r>
      <w:r>
        <w:rPr>
          <w:rFonts w:hint="eastAsia" w:ascii="宋体" w:hAnsi="宋体"/>
          <w:color w:val="000000"/>
          <w:sz w:val="24"/>
        </w:rPr>
        <w:t>，两个水袋之间的间隙不得大于</w:t>
      </w:r>
      <w:r>
        <w:rPr>
          <w:rFonts w:ascii="宋体" w:hAnsi="宋体"/>
          <w:color w:val="000000"/>
          <w:sz w:val="24"/>
        </w:rPr>
        <w:t>1.2m</w:t>
      </w:r>
      <w:r>
        <w:rPr>
          <w:rFonts w:hint="eastAsia" w:ascii="宋体" w:hAnsi="宋体"/>
          <w:color w:val="000000"/>
          <w:sz w:val="24"/>
        </w:rPr>
        <w:t>。</w:t>
      </w:r>
    </w:p>
    <w:p w14:paraId="74799C52">
      <w:pPr>
        <w:spacing w:line="490" w:lineRule="exact"/>
        <w:ind w:firstLine="480" w:firstLineChars="200"/>
        <w:rPr>
          <w:rFonts w:hint="eastAsia" w:ascii="宋体" w:hAnsi="宋体"/>
          <w:color w:val="000000"/>
          <w:sz w:val="24"/>
        </w:rPr>
      </w:pPr>
      <w:r>
        <w:rPr>
          <w:rFonts w:hint="eastAsia" w:ascii="宋体" w:hAnsi="宋体"/>
          <w:color w:val="000000"/>
          <w:sz w:val="24"/>
        </w:rPr>
        <w:t>（5）水袋边与巷道、支架、顶板、构筑物之间的距离不得小于</w:t>
      </w:r>
      <w:r>
        <w:rPr>
          <w:rFonts w:ascii="宋体" w:hAnsi="宋体"/>
          <w:color w:val="000000"/>
          <w:sz w:val="24"/>
        </w:rPr>
        <w:t>0.1m</w:t>
      </w:r>
      <w:r>
        <w:rPr>
          <w:rFonts w:hint="eastAsia" w:ascii="宋体" w:hAnsi="宋体"/>
          <w:color w:val="000000"/>
          <w:sz w:val="24"/>
        </w:rPr>
        <w:t>，水袋底部到顶梁（顶板）的距离不得大于</w:t>
      </w:r>
      <w:r>
        <w:rPr>
          <w:rFonts w:ascii="宋体" w:hAnsi="宋体"/>
          <w:color w:val="000000"/>
          <w:sz w:val="24"/>
        </w:rPr>
        <w:t>1.6m</w:t>
      </w:r>
      <w:r>
        <w:rPr>
          <w:rFonts w:hint="eastAsia" w:ascii="宋体" w:hAnsi="宋体"/>
          <w:color w:val="000000"/>
          <w:sz w:val="24"/>
        </w:rPr>
        <w:t>，如顶梁大于1.6m，则必须在该水袋上方增设一个水袋。</w:t>
      </w:r>
    </w:p>
    <w:p w14:paraId="499D4123">
      <w:pPr>
        <w:spacing w:line="490" w:lineRule="exact"/>
        <w:ind w:firstLine="480" w:firstLineChars="200"/>
        <w:rPr>
          <w:rFonts w:ascii="宋体" w:hAnsi="宋体"/>
          <w:color w:val="000000"/>
          <w:sz w:val="24"/>
        </w:rPr>
      </w:pPr>
      <w:r>
        <w:rPr>
          <w:rFonts w:hint="eastAsia" w:ascii="宋体" w:hAnsi="宋体"/>
          <w:color w:val="000000"/>
          <w:sz w:val="24"/>
        </w:rPr>
        <w:t>（6）水棚距离轨道面的高度不小于</w:t>
      </w:r>
      <w:r>
        <w:rPr>
          <w:rFonts w:ascii="宋体" w:hAnsi="宋体"/>
          <w:color w:val="000000"/>
          <w:sz w:val="24"/>
        </w:rPr>
        <w:t>1.8m</w:t>
      </w:r>
      <w:r>
        <w:rPr>
          <w:rFonts w:hint="eastAsia" w:ascii="宋体" w:hAnsi="宋体"/>
          <w:color w:val="000000"/>
          <w:sz w:val="24"/>
        </w:rPr>
        <w:t>，水棚并应保持同一高度，需要挑顶时，水棚区内的巷道断面应与其前后各20m长的巷道断面一致。</w:t>
      </w:r>
    </w:p>
    <w:p w14:paraId="3E0686A1">
      <w:pPr>
        <w:spacing w:line="490" w:lineRule="exact"/>
        <w:ind w:firstLine="480" w:firstLineChars="200"/>
        <w:rPr>
          <w:rFonts w:ascii="宋体" w:hAnsi="宋体"/>
          <w:color w:val="000000"/>
          <w:sz w:val="24"/>
        </w:rPr>
      </w:pPr>
      <w:r>
        <w:rPr>
          <w:rFonts w:hint="eastAsia" w:ascii="宋体" w:hAnsi="宋体"/>
          <w:color w:val="000000"/>
          <w:sz w:val="24"/>
        </w:rPr>
        <w:t>（7）当水袋采用易脱钩的布置方式时，挂勾位置要对正，每对挂钩的方向要相向布置（钩尖与钩尖相对），挂钩为4—8mm的圆钢，挂勾角度为60±5度，弯勾长度为25mm。</w:t>
      </w:r>
    </w:p>
    <w:p w14:paraId="6C11E735">
      <w:pPr>
        <w:pStyle w:val="23"/>
        <w:spacing w:line="490" w:lineRule="exact"/>
        <w:rPr>
          <w:rFonts w:hint="eastAsia"/>
        </w:rPr>
      </w:pPr>
      <w:r>
        <w:rPr>
          <w:rFonts w:hint="eastAsia"/>
        </w:rPr>
        <w:t>（8）凡设置有辅助隔爆水棚的巷道，应多组设置，每组间距不大于200mm。</w:t>
      </w:r>
    </w:p>
    <w:p w14:paraId="13DFD7BE">
      <w:pPr>
        <w:pStyle w:val="23"/>
        <w:spacing w:line="490" w:lineRule="exact"/>
        <w:rPr>
          <w:rFonts w:hint="eastAsia"/>
        </w:rPr>
      </w:pPr>
      <w:r>
        <w:rPr>
          <w:color w:val="000000"/>
        </w:rPr>
        <w:t>131</w:t>
      </w:r>
      <w:r>
        <w:rPr>
          <w:rFonts w:hint="eastAsia"/>
          <w:color w:val="000000"/>
        </w:rPr>
        <w:t>运输石门、</w:t>
      </w:r>
      <w:r>
        <w:rPr>
          <w:color w:val="000000"/>
        </w:rPr>
        <w:t>133</w:t>
      </w:r>
      <w:r>
        <w:rPr>
          <w:rFonts w:hint="eastAsia"/>
          <w:color w:val="000000"/>
        </w:rPr>
        <w:t>轨道石门、</w:t>
      </w:r>
      <w:r>
        <w:rPr>
          <w:color w:val="000000"/>
        </w:rPr>
        <w:t>132</w:t>
      </w:r>
      <w:r>
        <w:rPr>
          <w:rFonts w:hint="eastAsia"/>
          <w:color w:val="000000"/>
        </w:rPr>
        <w:t>回风石门、</w:t>
      </w:r>
      <w:r>
        <w:rPr>
          <w:color w:val="000000"/>
        </w:rPr>
        <w:t>133</w:t>
      </w:r>
      <w:r>
        <w:rPr>
          <w:rFonts w:hint="eastAsia"/>
          <w:color w:val="000000"/>
        </w:rPr>
        <w:t>回风石门、</w:t>
      </w:r>
      <w:r>
        <w:rPr>
          <w:color w:val="000000"/>
        </w:rPr>
        <w:t>131</w:t>
      </w:r>
      <w:r>
        <w:rPr>
          <w:rFonts w:hint="eastAsia"/>
          <w:color w:val="000000"/>
        </w:rPr>
        <w:t>回风石门</w:t>
      </w:r>
      <w:r>
        <w:rPr>
          <w:rFonts w:hint="eastAsia"/>
        </w:rPr>
        <w:t xml:space="preserve">主要隔爆水棚设置断面图见 </w:t>
      </w:r>
      <w:r>
        <w:rPr>
          <w:rFonts w:hint="eastAsia"/>
          <w:b/>
        </w:rPr>
        <w:t>图4－3－11</w:t>
      </w:r>
      <w:r>
        <w:rPr>
          <w:rFonts w:hint="eastAsia"/>
        </w:rPr>
        <w:t>。</w:t>
      </w:r>
    </w:p>
    <w:p w14:paraId="2690B27F">
      <w:pPr>
        <w:pStyle w:val="23"/>
        <w:ind w:firstLine="0" w:firstLineChars="0"/>
        <w:jc w:val="center"/>
        <w:rPr>
          <w:rFonts w:hint="eastAsia"/>
          <w:color w:val="000000"/>
        </w:rPr>
      </w:pPr>
      <w:r>
        <w:drawing>
          <wp:inline distT="0" distB="0" distL="114300" distR="114300">
            <wp:extent cx="4286885" cy="3611880"/>
            <wp:effectExtent l="0" t="0" r="0" b="7620"/>
            <wp:docPr id="3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2"/>
                    <pic:cNvPicPr>
                      <a:picLocks noChangeAspect="1"/>
                    </pic:cNvPicPr>
                  </pic:nvPicPr>
                  <pic:blipFill>
                    <a:blip r:embed="rId166"/>
                    <a:srcRect l="35278" t="25526" r="32965" b="19215"/>
                    <a:stretch>
                      <a:fillRect/>
                    </a:stretch>
                  </pic:blipFill>
                  <pic:spPr>
                    <a:xfrm>
                      <a:off x="0" y="0"/>
                      <a:ext cx="4286885" cy="3611880"/>
                    </a:xfrm>
                    <a:prstGeom prst="rect">
                      <a:avLst/>
                    </a:prstGeom>
                    <a:noFill/>
                    <a:ln>
                      <a:noFill/>
                    </a:ln>
                  </pic:spPr>
                </pic:pic>
              </a:graphicData>
            </a:graphic>
          </wp:inline>
        </w:drawing>
      </w:r>
    </w:p>
    <w:p w14:paraId="40529974">
      <w:pPr>
        <w:spacing w:line="360" w:lineRule="auto"/>
        <w:jc w:val="center"/>
        <w:rPr>
          <w:rFonts w:hint="eastAsia" w:ascii="宋体" w:hAnsi="宋体"/>
          <w:b/>
          <w:color w:val="000000"/>
          <w:sz w:val="24"/>
        </w:rPr>
      </w:pPr>
      <w:r>
        <w:rPr>
          <w:rFonts w:hint="eastAsia" w:ascii="宋体" w:hAnsi="宋体"/>
          <w:b/>
          <w:color w:val="000000"/>
          <w:sz w:val="24"/>
        </w:rPr>
        <w:t>图4－3－11     石门主要隔爆水棚设置断面图</w:t>
      </w:r>
    </w:p>
    <w:p w14:paraId="2F3D9274">
      <w:pPr>
        <w:spacing w:line="360" w:lineRule="auto"/>
        <w:ind w:firstLine="480" w:firstLineChars="200"/>
        <w:rPr>
          <w:rFonts w:hint="eastAsia" w:ascii="宋体" w:hAnsi="宋体"/>
          <w:color w:val="000000"/>
          <w:sz w:val="24"/>
        </w:rPr>
      </w:pPr>
      <w:r>
        <w:rPr>
          <w:rFonts w:hint="eastAsia" w:ascii="宋体" w:hAnsi="宋体"/>
          <w:color w:val="000000"/>
          <w:sz w:val="24"/>
        </w:rPr>
        <w:t xml:space="preserve">采煤工作面进、回顺槽、掘进工作面辅助隔爆水棚设置断面图见 </w:t>
      </w:r>
      <w:r>
        <w:rPr>
          <w:rFonts w:hint="eastAsia" w:ascii="宋体" w:hAnsi="宋体"/>
          <w:b/>
          <w:color w:val="000000"/>
          <w:sz w:val="24"/>
        </w:rPr>
        <w:t>图4－3－12</w:t>
      </w:r>
      <w:r>
        <w:rPr>
          <w:rFonts w:hint="eastAsia" w:ascii="宋体" w:hAnsi="宋体"/>
          <w:color w:val="000000"/>
          <w:sz w:val="24"/>
        </w:rPr>
        <w:t>。</w:t>
      </w:r>
    </w:p>
    <w:p w14:paraId="593F8467">
      <w:pPr>
        <w:spacing w:line="360" w:lineRule="auto"/>
        <w:jc w:val="center"/>
        <w:rPr>
          <w:rFonts w:hint="eastAsia"/>
        </w:rPr>
      </w:pPr>
      <w:r>
        <w:drawing>
          <wp:inline distT="0" distB="0" distL="114300" distR="114300">
            <wp:extent cx="4275455" cy="4245610"/>
            <wp:effectExtent l="0" t="0" r="0" b="2540"/>
            <wp:docPr id="3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3"/>
                    <pic:cNvPicPr>
                      <a:picLocks noChangeAspect="1"/>
                    </pic:cNvPicPr>
                  </pic:nvPicPr>
                  <pic:blipFill>
                    <a:blip r:embed="rId167"/>
                    <a:srcRect l="39017" t="24422" r="26070" b="3142"/>
                    <a:stretch>
                      <a:fillRect/>
                    </a:stretch>
                  </pic:blipFill>
                  <pic:spPr>
                    <a:xfrm>
                      <a:off x="0" y="0"/>
                      <a:ext cx="4275455" cy="4245610"/>
                    </a:xfrm>
                    <a:prstGeom prst="rect">
                      <a:avLst/>
                    </a:prstGeom>
                    <a:noFill/>
                    <a:ln>
                      <a:noFill/>
                    </a:ln>
                  </pic:spPr>
                </pic:pic>
              </a:graphicData>
            </a:graphic>
          </wp:inline>
        </w:drawing>
      </w:r>
    </w:p>
    <w:p w14:paraId="1B878E60">
      <w:pPr>
        <w:adjustRightInd w:val="0"/>
        <w:snapToGrid w:val="0"/>
        <w:spacing w:line="360" w:lineRule="auto"/>
        <w:jc w:val="center"/>
        <w:rPr>
          <w:rFonts w:hint="eastAsia" w:ascii="宋体" w:hAnsi="宋体"/>
          <w:b/>
          <w:color w:val="000000"/>
          <w:sz w:val="24"/>
        </w:rPr>
      </w:pPr>
      <w:r>
        <w:rPr>
          <w:rFonts w:hint="eastAsia" w:ascii="宋体" w:hAnsi="宋体"/>
          <w:b/>
          <w:color w:val="000000"/>
          <w:sz w:val="24"/>
        </w:rPr>
        <w:t>图4－3－12    采煤工作面进、回风顺槽、掘进工作面辅助隔爆水棚设置断面图</w:t>
      </w:r>
    </w:p>
    <w:p w14:paraId="0FD1AA49">
      <w:pPr>
        <w:spacing w:line="360" w:lineRule="auto"/>
        <w:ind w:firstLine="480" w:firstLineChars="200"/>
        <w:rPr>
          <w:rFonts w:hint="eastAsia"/>
          <w:color w:val="000000"/>
          <w:sz w:val="24"/>
        </w:rPr>
      </w:pPr>
      <w:r>
        <w:rPr>
          <w:rFonts w:hint="eastAsia"/>
          <w:color w:val="000000"/>
          <w:sz w:val="24"/>
        </w:rPr>
        <w:t>该矿在石门主要</w:t>
      </w:r>
      <w:r>
        <w:rPr>
          <w:rFonts w:hint="eastAsia" w:ascii="宋体" w:hAnsi="宋体"/>
          <w:color w:val="000000"/>
          <w:sz w:val="24"/>
        </w:rPr>
        <w:t>隔爆水棚安装大样图详见</w:t>
      </w:r>
      <w:r>
        <w:rPr>
          <w:rFonts w:hint="eastAsia" w:ascii="宋体" w:hAnsi="宋体"/>
          <w:b/>
          <w:color w:val="000000"/>
          <w:sz w:val="24"/>
        </w:rPr>
        <w:t>图4－3－13</w:t>
      </w:r>
      <w:r>
        <w:rPr>
          <w:rFonts w:hint="eastAsia" w:ascii="宋体" w:hAnsi="宋体"/>
          <w:color w:val="000000"/>
          <w:sz w:val="24"/>
        </w:rPr>
        <w:t>。</w:t>
      </w:r>
    </w:p>
    <w:p w14:paraId="797CACE6">
      <w:pPr>
        <w:spacing w:line="360" w:lineRule="auto"/>
        <w:jc w:val="center"/>
        <w:rPr>
          <w:rFonts w:hint="eastAsia"/>
        </w:rPr>
      </w:pPr>
      <w:r>
        <w:drawing>
          <wp:inline distT="0" distB="0" distL="114300" distR="114300">
            <wp:extent cx="5191125" cy="2265680"/>
            <wp:effectExtent l="0" t="0" r="0" b="0"/>
            <wp:docPr id="3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4"/>
                    <pic:cNvPicPr>
                      <a:picLocks noChangeAspect="1"/>
                    </pic:cNvPicPr>
                  </pic:nvPicPr>
                  <pic:blipFill>
                    <a:blip r:embed="rId168"/>
                    <a:srcRect l="32426" t="21011" r="20882" b="36591"/>
                    <a:stretch>
                      <a:fillRect/>
                    </a:stretch>
                  </pic:blipFill>
                  <pic:spPr>
                    <a:xfrm>
                      <a:off x="0" y="0"/>
                      <a:ext cx="5191125" cy="2265680"/>
                    </a:xfrm>
                    <a:prstGeom prst="rect">
                      <a:avLst/>
                    </a:prstGeom>
                    <a:noFill/>
                    <a:ln>
                      <a:noFill/>
                    </a:ln>
                  </pic:spPr>
                </pic:pic>
              </a:graphicData>
            </a:graphic>
          </wp:inline>
        </w:drawing>
      </w:r>
    </w:p>
    <w:p w14:paraId="51FDD1DB">
      <w:pPr>
        <w:spacing w:line="360" w:lineRule="auto"/>
        <w:jc w:val="center"/>
        <w:rPr>
          <w:rFonts w:hint="eastAsia" w:ascii="宋体" w:hAnsi="宋体"/>
          <w:b/>
          <w:color w:val="000000"/>
          <w:sz w:val="24"/>
        </w:rPr>
      </w:pPr>
      <w:r>
        <w:rPr>
          <w:rFonts w:hint="eastAsia" w:ascii="宋体" w:hAnsi="宋体"/>
          <w:b/>
          <w:color w:val="000000"/>
          <w:sz w:val="24"/>
        </w:rPr>
        <w:t>图4－3－13      石门主要隔爆水棚安装大样图</w:t>
      </w:r>
    </w:p>
    <w:p w14:paraId="4E4237CF">
      <w:pPr>
        <w:adjustRightInd w:val="0"/>
        <w:snapToGrid w:val="0"/>
        <w:spacing w:line="360" w:lineRule="auto"/>
        <w:ind w:firstLine="480" w:firstLineChars="200"/>
        <w:rPr>
          <w:rFonts w:hint="eastAsia" w:ascii="宋体" w:hAnsi="宋体"/>
          <w:b/>
          <w:color w:val="000000"/>
          <w:sz w:val="24"/>
        </w:rPr>
      </w:pPr>
      <w:r>
        <w:rPr>
          <w:rFonts w:hint="eastAsia" w:ascii="宋体" w:hAnsi="宋体"/>
          <w:color w:val="000000"/>
          <w:sz w:val="24"/>
        </w:rPr>
        <w:t>采煤工作面进、回顺槽、掘进工作面集中式隔爆水棚布置详见</w:t>
      </w:r>
      <w:r>
        <w:rPr>
          <w:rFonts w:hint="eastAsia" w:ascii="宋体" w:hAnsi="宋体"/>
          <w:b/>
          <w:color w:val="000000"/>
          <w:sz w:val="24"/>
        </w:rPr>
        <w:t>图4－3－14</w:t>
      </w:r>
      <w:r>
        <w:rPr>
          <w:rFonts w:hint="eastAsia" w:ascii="宋体" w:hAnsi="宋体"/>
          <w:color w:val="000000"/>
          <w:sz w:val="24"/>
        </w:rPr>
        <w:t>。</w:t>
      </w:r>
    </w:p>
    <w:p w14:paraId="015F51B3">
      <w:pPr>
        <w:spacing w:line="360" w:lineRule="auto"/>
        <w:jc w:val="center"/>
        <w:rPr>
          <w:rFonts w:hint="eastAsia"/>
          <w:b/>
          <w:color w:val="000000"/>
          <w:sz w:val="24"/>
        </w:rPr>
      </w:pPr>
      <w:r>
        <w:drawing>
          <wp:inline distT="0" distB="0" distL="114300" distR="114300">
            <wp:extent cx="5157470" cy="5291455"/>
            <wp:effectExtent l="0" t="0" r="5080" b="4445"/>
            <wp:docPr id="4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5"/>
                    <pic:cNvPicPr>
                      <a:picLocks noChangeAspect="1"/>
                    </pic:cNvPicPr>
                  </pic:nvPicPr>
                  <pic:blipFill>
                    <a:blip r:embed="rId169"/>
                    <a:srcRect l="35616" t="14622" r="31042" b="13155"/>
                    <a:stretch>
                      <a:fillRect/>
                    </a:stretch>
                  </pic:blipFill>
                  <pic:spPr>
                    <a:xfrm>
                      <a:off x="0" y="0"/>
                      <a:ext cx="5157470" cy="5291455"/>
                    </a:xfrm>
                    <a:prstGeom prst="rect">
                      <a:avLst/>
                    </a:prstGeom>
                    <a:noFill/>
                    <a:ln>
                      <a:noFill/>
                    </a:ln>
                  </pic:spPr>
                </pic:pic>
              </a:graphicData>
            </a:graphic>
          </wp:inline>
        </w:drawing>
      </w:r>
    </w:p>
    <w:p w14:paraId="76CA0B31">
      <w:pPr>
        <w:spacing w:line="360" w:lineRule="auto"/>
        <w:jc w:val="center"/>
        <w:rPr>
          <w:rFonts w:hint="eastAsia" w:ascii="宋体" w:hAnsi="宋体"/>
          <w:b/>
          <w:color w:val="000000"/>
          <w:sz w:val="24"/>
        </w:rPr>
      </w:pPr>
      <w:r>
        <w:rPr>
          <w:rFonts w:hint="eastAsia" w:ascii="宋体" w:hAnsi="宋体"/>
          <w:b/>
          <w:color w:val="000000"/>
          <w:sz w:val="24"/>
        </w:rPr>
        <w:t>图4－3－14　　　集中式水袋棚布置示意图</w:t>
      </w:r>
    </w:p>
    <w:p w14:paraId="28257CFC">
      <w:pPr>
        <w:pStyle w:val="4"/>
        <w:keepLines/>
        <w:adjustRightInd w:val="0"/>
        <w:snapToGrid w:val="0"/>
        <w:spacing w:before="240" w:after="240" w:line="360" w:lineRule="auto"/>
        <w:ind w:firstLine="562" w:firstLineChars="200"/>
        <w:jc w:val="both"/>
        <w:rPr>
          <w:b/>
          <w:color w:val="000000"/>
          <w:kern w:val="0"/>
          <w:szCs w:val="20"/>
        </w:rPr>
      </w:pPr>
      <w:bookmarkStart w:id="444" w:name="_Toc173869241"/>
      <w:bookmarkStart w:id="445" w:name="_Toc173893677"/>
      <w:bookmarkStart w:id="446" w:name="_Toc173918916"/>
      <w:r>
        <w:rPr>
          <w:rFonts w:hint="eastAsia"/>
          <w:b/>
          <w:color w:val="000000"/>
          <w:kern w:val="0"/>
          <w:szCs w:val="20"/>
        </w:rPr>
        <w:t>四</w:t>
      </w:r>
      <w:r>
        <w:rPr>
          <w:b/>
          <w:color w:val="000000"/>
          <w:kern w:val="0"/>
          <w:szCs w:val="20"/>
        </w:rPr>
        <w:t>、防灭火</w:t>
      </w:r>
      <w:bookmarkEnd w:id="444"/>
      <w:bookmarkEnd w:id="445"/>
      <w:bookmarkEnd w:id="446"/>
    </w:p>
    <w:p w14:paraId="715B5F46">
      <w:pPr>
        <w:spacing w:before="120" w:beforeLines="50" w:after="120" w:afterLines="50" w:line="360" w:lineRule="auto"/>
        <w:ind w:firstLine="470" w:firstLineChars="200"/>
        <w:rPr>
          <w:rFonts w:hint="eastAsia" w:ascii="宋体" w:hAnsi="宋体"/>
          <w:b/>
          <w:sz w:val="24"/>
        </w:rPr>
      </w:pPr>
      <w:r>
        <w:rPr>
          <w:rFonts w:hint="eastAsia" w:ascii="宋体" w:hAnsi="宋体"/>
          <w:b/>
          <w:spacing w:val="-3"/>
          <w:sz w:val="24"/>
        </w:rPr>
        <w:t>（一）井下内因火灾防治</w:t>
      </w:r>
    </w:p>
    <w:p w14:paraId="68189997">
      <w:pPr>
        <w:spacing w:line="360" w:lineRule="auto"/>
        <w:ind w:firstLine="480" w:firstLineChars="200"/>
        <w:rPr>
          <w:rFonts w:hint="eastAsia" w:ascii="宋体" w:hAnsi="宋体"/>
          <w:sz w:val="24"/>
        </w:rPr>
      </w:pPr>
      <w:r>
        <w:rPr>
          <w:rFonts w:hint="eastAsia" w:ascii="宋体" w:hAnsi="宋体"/>
          <w:sz w:val="24"/>
        </w:rPr>
        <w:t>1、开拓开采方面的措施</w:t>
      </w:r>
    </w:p>
    <w:p w14:paraId="2DC096B0">
      <w:pPr>
        <w:spacing w:line="360" w:lineRule="auto"/>
        <w:ind w:firstLine="480" w:firstLineChars="200"/>
        <w:rPr>
          <w:rFonts w:hint="eastAsia" w:ascii="宋体" w:hAnsi="宋体"/>
          <w:sz w:val="24"/>
        </w:rPr>
      </w:pPr>
      <w:r>
        <w:rPr>
          <w:rFonts w:hint="eastAsia" w:ascii="宋体" w:hAnsi="宋体"/>
          <w:sz w:val="24"/>
        </w:rPr>
        <w:t>矿井煤层按容易自燃煤层进行设计和管理，开拓、准备巷道无论布置在岩层、煤层中，采用砌碹（锚喷）支护封闭。</w:t>
      </w:r>
    </w:p>
    <w:p w14:paraId="6E254B0B">
      <w:pPr>
        <w:spacing w:line="360" w:lineRule="auto"/>
        <w:ind w:firstLine="480" w:firstLineChars="200"/>
        <w:rPr>
          <w:rFonts w:hint="eastAsia" w:ascii="宋体" w:hAnsi="宋体"/>
          <w:sz w:val="24"/>
        </w:rPr>
      </w:pPr>
      <w:r>
        <w:rPr>
          <w:rFonts w:hint="eastAsia" w:ascii="宋体" w:hAnsi="宋体"/>
          <w:sz w:val="24"/>
        </w:rPr>
        <w:t>回采巷道均布置在煤层中，采用不可燃的金属棚支护。</w:t>
      </w:r>
    </w:p>
    <w:p w14:paraId="6C6A12FE">
      <w:pPr>
        <w:spacing w:line="360" w:lineRule="auto"/>
        <w:ind w:firstLine="480" w:firstLineChars="200"/>
        <w:rPr>
          <w:rFonts w:hint="eastAsia" w:ascii="宋体" w:hAnsi="宋体"/>
          <w:sz w:val="24"/>
        </w:rPr>
      </w:pPr>
      <w:r>
        <w:rPr>
          <w:rFonts w:hint="eastAsia" w:ascii="宋体" w:hAnsi="宋体"/>
          <w:sz w:val="24"/>
        </w:rPr>
        <w:t>矿井开采时，要注意观察，加强自燃征兆的早期识别工作。采煤方法对自燃发火的影响主要表现在煤炭回收率的高低、回采时间的长短上。本矿采用走向长壁后退式采煤法，回采率高，巷道布置简单。顶板管理采用全部垮落法，人工攉煤，清扫浮煤，尽量使工作面回采率提高，采煤工作面回采结束后，必须在45天内进行永久性封闭。综合防治，有很高的防火安全性。</w:t>
      </w:r>
    </w:p>
    <w:p w14:paraId="3E882C7D">
      <w:pPr>
        <w:spacing w:line="360" w:lineRule="auto"/>
        <w:ind w:firstLine="480" w:firstLineChars="200"/>
        <w:rPr>
          <w:rFonts w:hint="eastAsia" w:ascii="宋体" w:hAnsi="宋体"/>
          <w:sz w:val="24"/>
        </w:rPr>
      </w:pPr>
      <w:r>
        <w:rPr>
          <w:rFonts w:hint="eastAsia" w:ascii="宋体" w:hAnsi="宋体"/>
          <w:sz w:val="24"/>
        </w:rPr>
        <w:t>合理的采煤方法能够提高矿井先天的抗自燃发火能力，多年来的实践表明，降低煤层自燃发火的可能性要从以下几个方面着手：</w:t>
      </w:r>
    </w:p>
    <w:p w14:paraId="1089D100">
      <w:pPr>
        <w:spacing w:line="360" w:lineRule="auto"/>
        <w:ind w:firstLine="480" w:firstLineChars="200"/>
        <w:rPr>
          <w:rFonts w:hint="eastAsia" w:ascii="宋体" w:hAnsi="宋体"/>
          <w:sz w:val="24"/>
        </w:rPr>
      </w:pPr>
      <w:r>
        <w:rPr>
          <w:rFonts w:hint="eastAsia" w:ascii="宋体" w:hAnsi="宋体"/>
          <w:sz w:val="24"/>
        </w:rPr>
        <w:t>（1）少丢煤；</w:t>
      </w:r>
    </w:p>
    <w:p w14:paraId="2E0EB6D6">
      <w:pPr>
        <w:spacing w:line="360" w:lineRule="auto"/>
        <w:ind w:firstLine="480" w:firstLineChars="200"/>
        <w:rPr>
          <w:rFonts w:hint="eastAsia" w:ascii="宋体" w:hAnsi="宋体"/>
          <w:sz w:val="24"/>
        </w:rPr>
      </w:pPr>
      <w:r>
        <w:rPr>
          <w:rFonts w:hint="eastAsia" w:ascii="宋体" w:hAnsi="宋体"/>
          <w:sz w:val="24"/>
        </w:rPr>
        <w:t>（2）控制矿山压力，减少煤柱破裂；</w:t>
      </w:r>
    </w:p>
    <w:p w14:paraId="2D165A1D">
      <w:pPr>
        <w:spacing w:line="360" w:lineRule="auto"/>
        <w:ind w:firstLine="480" w:firstLineChars="200"/>
        <w:rPr>
          <w:rFonts w:hint="eastAsia" w:ascii="宋体" w:hAnsi="宋体"/>
          <w:sz w:val="24"/>
        </w:rPr>
      </w:pPr>
      <w:r>
        <w:rPr>
          <w:rFonts w:hint="eastAsia" w:ascii="宋体" w:hAnsi="宋体"/>
          <w:sz w:val="24"/>
        </w:rPr>
        <w:t>（3）合理布置采区；</w:t>
      </w:r>
    </w:p>
    <w:p w14:paraId="6A4EE528">
      <w:pPr>
        <w:spacing w:line="360" w:lineRule="auto"/>
        <w:ind w:firstLine="480" w:firstLineChars="200"/>
        <w:rPr>
          <w:rFonts w:hint="eastAsia" w:ascii="宋体" w:hAnsi="宋体"/>
          <w:sz w:val="24"/>
        </w:rPr>
      </w:pPr>
      <w:r>
        <w:rPr>
          <w:rFonts w:hint="eastAsia" w:ascii="宋体" w:hAnsi="宋体"/>
          <w:sz w:val="24"/>
        </w:rPr>
        <w:t>（4）回采时应尽量避免过分破碎煤体；</w:t>
      </w:r>
    </w:p>
    <w:p w14:paraId="01633DE6">
      <w:pPr>
        <w:spacing w:line="360" w:lineRule="auto"/>
        <w:ind w:firstLine="480" w:firstLineChars="200"/>
        <w:rPr>
          <w:rFonts w:hint="eastAsia" w:ascii="宋体" w:hAnsi="宋体"/>
          <w:sz w:val="24"/>
        </w:rPr>
      </w:pPr>
      <w:r>
        <w:rPr>
          <w:rFonts w:hint="eastAsia" w:ascii="宋体" w:hAnsi="宋体"/>
          <w:sz w:val="24"/>
        </w:rPr>
        <w:t>（5）加快工作面的回采速度，使采空区热源难于形成；</w:t>
      </w:r>
    </w:p>
    <w:p w14:paraId="7D493F32">
      <w:pPr>
        <w:spacing w:line="360" w:lineRule="auto"/>
        <w:ind w:firstLine="480" w:firstLineChars="200"/>
        <w:rPr>
          <w:rFonts w:hint="eastAsia" w:ascii="宋体" w:hAnsi="宋体"/>
          <w:sz w:val="24"/>
        </w:rPr>
      </w:pPr>
      <w:r>
        <w:rPr>
          <w:rFonts w:hint="eastAsia" w:ascii="宋体" w:hAnsi="宋体"/>
          <w:sz w:val="24"/>
        </w:rPr>
        <w:t>（6）及时密闭已采区和废弃的旧巷；</w:t>
      </w:r>
    </w:p>
    <w:p w14:paraId="213A5BB5">
      <w:pPr>
        <w:spacing w:line="360" w:lineRule="auto"/>
        <w:ind w:firstLine="480" w:firstLineChars="200"/>
        <w:rPr>
          <w:rFonts w:hint="eastAsia" w:ascii="宋体" w:hAnsi="宋体"/>
          <w:sz w:val="24"/>
        </w:rPr>
      </w:pPr>
      <w:r>
        <w:rPr>
          <w:rFonts w:hint="eastAsia" w:ascii="宋体" w:hAnsi="宋体"/>
          <w:sz w:val="24"/>
        </w:rPr>
        <w:t>（7）注意选择回采方向，不使采区回风巷过分受压或长时间维护在煤柱里。</w:t>
      </w:r>
    </w:p>
    <w:p w14:paraId="27F7B474">
      <w:pPr>
        <w:spacing w:line="360" w:lineRule="auto"/>
        <w:ind w:firstLine="480" w:firstLineChars="200"/>
        <w:rPr>
          <w:rFonts w:hint="eastAsia" w:ascii="宋体" w:hAnsi="宋体"/>
          <w:sz w:val="24"/>
        </w:rPr>
      </w:pPr>
      <w:r>
        <w:rPr>
          <w:rFonts w:hint="eastAsia" w:ascii="宋体" w:hAnsi="宋体"/>
          <w:sz w:val="24"/>
        </w:rPr>
        <w:t>（8）废弃的旧巷和采空区及时密闭；密闭质量必须按前章节要求设置，密闭处必须设置自燃观测点，CO探头接入监控系统，制定人员定期观测制度。派专人每班检测1次</w:t>
      </w:r>
      <w:r>
        <w:rPr>
          <w:rFonts w:ascii="宋体" w:hAnsi="宋体"/>
          <w:sz w:val="24"/>
        </w:rPr>
        <w:t>，所有检测分析结果必须记录在专用的防火记录簿内，发现</w:t>
      </w:r>
      <w:r>
        <w:rPr>
          <w:rFonts w:hint="eastAsia" w:ascii="宋体" w:hAnsi="宋体"/>
          <w:sz w:val="24"/>
        </w:rPr>
        <w:t>自燃</w:t>
      </w:r>
      <w:r>
        <w:rPr>
          <w:rFonts w:ascii="宋体" w:hAnsi="宋体"/>
          <w:sz w:val="24"/>
        </w:rPr>
        <w:t>发火指标超过或达到临界值等异常变化时，</w:t>
      </w:r>
      <w:r>
        <w:rPr>
          <w:rFonts w:hint="eastAsia" w:ascii="宋体" w:hAnsi="宋体"/>
          <w:sz w:val="24"/>
        </w:rPr>
        <w:t>必须</w:t>
      </w:r>
      <w:r>
        <w:rPr>
          <w:rFonts w:ascii="宋体" w:hAnsi="宋体"/>
          <w:sz w:val="24"/>
        </w:rPr>
        <w:t>立即</w:t>
      </w:r>
      <w:r>
        <w:rPr>
          <w:rFonts w:hint="eastAsia" w:ascii="宋体" w:hAnsi="宋体"/>
          <w:sz w:val="24"/>
        </w:rPr>
        <w:t>报告矿安全管理人员和矿技术负责人，</w:t>
      </w:r>
      <w:r>
        <w:rPr>
          <w:rFonts w:ascii="宋体" w:hAnsi="宋体"/>
          <w:sz w:val="24"/>
        </w:rPr>
        <w:t>发出</w:t>
      </w:r>
      <w:r>
        <w:rPr>
          <w:rFonts w:hint="eastAsia" w:ascii="宋体" w:hAnsi="宋体"/>
          <w:sz w:val="24"/>
        </w:rPr>
        <w:t>自燃</w:t>
      </w:r>
      <w:r>
        <w:rPr>
          <w:rFonts w:ascii="宋体" w:hAnsi="宋体"/>
          <w:sz w:val="24"/>
        </w:rPr>
        <w:t>发火预报，采取措施进行处理。</w:t>
      </w:r>
    </w:p>
    <w:p w14:paraId="0474D9E7">
      <w:pPr>
        <w:spacing w:line="360" w:lineRule="auto"/>
        <w:ind w:firstLine="480" w:firstLineChars="200"/>
        <w:rPr>
          <w:rFonts w:hint="eastAsia" w:ascii="宋体" w:hAnsi="宋体"/>
          <w:sz w:val="24"/>
        </w:rPr>
      </w:pPr>
      <w:r>
        <w:rPr>
          <w:rFonts w:hint="eastAsia" w:ascii="宋体" w:hAnsi="宋体"/>
          <w:sz w:val="24"/>
        </w:rPr>
        <w:t>2、通风方面的措施</w:t>
      </w:r>
    </w:p>
    <w:p w14:paraId="7CCA5A05">
      <w:pPr>
        <w:spacing w:line="360" w:lineRule="auto"/>
        <w:ind w:firstLine="480" w:firstLineChars="200"/>
        <w:rPr>
          <w:rFonts w:hint="eastAsia" w:ascii="宋体" w:hAnsi="宋体"/>
          <w:sz w:val="24"/>
        </w:rPr>
      </w:pPr>
      <w:r>
        <w:rPr>
          <w:rFonts w:hint="eastAsia" w:ascii="宋体" w:hAnsi="宋体"/>
          <w:sz w:val="24"/>
        </w:rPr>
        <w:t>通风因素的影响主要表现在采空区，煤柱和煤壁裂隙漏风，漏风就是向这些地点供氧，促进煤的氧化自燃。采空区面积大，漏风量相当大，但风速低，散热作用差，在工作面的两巷（回采工作面的运输巷和回风巷）一线（停采线），过断层地带，煤层变薄跳面的地方有大量的浮煤堆积，最易发生自燃。所以每一回采工作面回采完毕必须立即进行封闭，以减少浮煤堆积地点的漏风量，防止自燃。良好的通风系统可以在很大程度上控制自然火灾的发生。为防止煤层自燃，本矿在通风方面采取如下措施：</w:t>
      </w:r>
    </w:p>
    <w:p w14:paraId="6C639F64">
      <w:pPr>
        <w:spacing w:line="360" w:lineRule="auto"/>
        <w:ind w:firstLine="480" w:firstLineChars="200"/>
        <w:rPr>
          <w:rFonts w:hint="eastAsia" w:ascii="宋体" w:hAnsi="宋体"/>
          <w:sz w:val="24"/>
        </w:rPr>
      </w:pPr>
      <w:r>
        <w:rPr>
          <w:rFonts w:hint="eastAsia" w:ascii="宋体" w:hAnsi="宋体"/>
          <w:sz w:val="24"/>
        </w:rPr>
        <w:t>（1）本矿井在开采过程中，工作面采用“U”型通风方式，一进一回。新风和乏风均不通过采空区，漏风少；</w:t>
      </w:r>
    </w:p>
    <w:p w14:paraId="71A8FDA9">
      <w:pPr>
        <w:spacing w:line="360" w:lineRule="auto"/>
        <w:ind w:firstLine="480" w:firstLineChars="200"/>
        <w:rPr>
          <w:rFonts w:hint="eastAsia" w:ascii="宋体" w:hAnsi="宋体"/>
          <w:sz w:val="24"/>
        </w:rPr>
      </w:pPr>
      <w:r>
        <w:rPr>
          <w:rFonts w:hint="eastAsia" w:ascii="宋体" w:hAnsi="宋体"/>
          <w:sz w:val="24"/>
        </w:rPr>
        <w:t>（2）调节风门、风门应设置在围岩坚固、地压稳定的地点，还应避免引起采空区或煤柱裂隙漏风量的增大；</w:t>
      </w:r>
    </w:p>
    <w:p w14:paraId="1928EF3E">
      <w:pPr>
        <w:spacing w:line="360" w:lineRule="auto"/>
        <w:ind w:firstLine="480" w:firstLineChars="200"/>
        <w:rPr>
          <w:rFonts w:hint="eastAsia" w:ascii="宋体" w:hAnsi="宋体"/>
          <w:sz w:val="24"/>
        </w:rPr>
      </w:pPr>
      <w:r>
        <w:rPr>
          <w:rFonts w:hint="eastAsia" w:ascii="宋体" w:hAnsi="宋体"/>
          <w:sz w:val="24"/>
        </w:rPr>
        <w:t>（3）采取措施，降低采区进回风巷之间两端的负压差，以减少漏风；</w:t>
      </w:r>
    </w:p>
    <w:p w14:paraId="6D67AB90">
      <w:pPr>
        <w:spacing w:line="360" w:lineRule="auto"/>
        <w:ind w:firstLine="480" w:firstLineChars="200"/>
        <w:rPr>
          <w:rFonts w:hint="eastAsia" w:ascii="宋体" w:hAnsi="宋体"/>
          <w:sz w:val="24"/>
        </w:rPr>
      </w:pPr>
      <w:r>
        <w:rPr>
          <w:rFonts w:hint="eastAsia" w:ascii="宋体" w:hAnsi="宋体"/>
          <w:sz w:val="24"/>
        </w:rPr>
        <w:t>（4）风门、调节风门之间的距离留有较大的余地；</w:t>
      </w:r>
    </w:p>
    <w:p w14:paraId="6975D14D">
      <w:pPr>
        <w:spacing w:line="360" w:lineRule="auto"/>
        <w:ind w:firstLine="480" w:firstLineChars="200"/>
        <w:rPr>
          <w:rFonts w:hint="eastAsia" w:ascii="宋体" w:hAnsi="宋体"/>
          <w:sz w:val="24"/>
        </w:rPr>
      </w:pPr>
      <w:r>
        <w:rPr>
          <w:rFonts w:hint="eastAsia" w:ascii="宋体" w:hAnsi="宋体"/>
          <w:sz w:val="24"/>
        </w:rPr>
        <w:t>（5）设置双向风门，矿井可实现反风，以防火灾事故扩大；</w:t>
      </w:r>
    </w:p>
    <w:p w14:paraId="71D73E8B">
      <w:pPr>
        <w:spacing w:line="360" w:lineRule="auto"/>
        <w:ind w:firstLine="480" w:firstLineChars="200"/>
        <w:rPr>
          <w:rFonts w:hint="eastAsia" w:ascii="宋体" w:hAnsi="宋体"/>
          <w:sz w:val="24"/>
        </w:rPr>
      </w:pPr>
      <w:r>
        <w:rPr>
          <w:rFonts w:hint="eastAsia" w:ascii="宋体" w:hAnsi="宋体"/>
          <w:sz w:val="24"/>
        </w:rPr>
        <w:t>（6）实现风门闭锁，使一组风门不能同时敞开，确保风流稳定。</w:t>
      </w:r>
    </w:p>
    <w:p w14:paraId="0DDF17C9">
      <w:pPr>
        <w:spacing w:line="360" w:lineRule="auto"/>
        <w:ind w:firstLine="480" w:firstLineChars="200"/>
        <w:rPr>
          <w:rFonts w:hint="eastAsia" w:ascii="宋体" w:hAnsi="宋体"/>
          <w:sz w:val="24"/>
        </w:rPr>
      </w:pPr>
      <w:r>
        <w:rPr>
          <w:rFonts w:hint="eastAsia" w:ascii="宋体" w:hAnsi="宋体"/>
          <w:sz w:val="24"/>
        </w:rPr>
        <w:t>3、监测方面的措施</w:t>
      </w:r>
    </w:p>
    <w:p w14:paraId="426DE45C">
      <w:pPr>
        <w:spacing w:line="360" w:lineRule="auto"/>
        <w:ind w:firstLine="480" w:firstLineChars="200"/>
        <w:rPr>
          <w:rFonts w:hint="eastAsia" w:ascii="宋体" w:hAnsi="宋体"/>
          <w:bCs/>
          <w:sz w:val="24"/>
        </w:rPr>
      </w:pPr>
      <w:r>
        <w:rPr>
          <w:rFonts w:hint="eastAsia" w:ascii="宋体" w:hAnsi="宋体"/>
          <w:bCs/>
          <w:sz w:val="24"/>
        </w:rPr>
        <w:t xml:space="preserve">（1）人的感官可以察觉的自燃征兆 </w:t>
      </w:r>
    </w:p>
    <w:p w14:paraId="4873C7D5">
      <w:pPr>
        <w:spacing w:line="360" w:lineRule="auto"/>
        <w:ind w:firstLine="480" w:firstLineChars="200"/>
        <w:rPr>
          <w:rFonts w:hint="eastAsia" w:ascii="宋体" w:hAnsi="宋体"/>
          <w:sz w:val="24"/>
        </w:rPr>
      </w:pPr>
      <w:r>
        <w:rPr>
          <w:rFonts w:hint="eastAsia" w:ascii="宋体" w:hAnsi="宋体"/>
          <w:sz w:val="24"/>
        </w:rPr>
        <w:t>1）巷道中出现雾汽或巷壁汗“挂汗”；</w:t>
      </w:r>
    </w:p>
    <w:p w14:paraId="7F4CE91F">
      <w:pPr>
        <w:spacing w:line="360" w:lineRule="auto"/>
        <w:ind w:firstLine="480" w:firstLineChars="200"/>
        <w:rPr>
          <w:rFonts w:hint="eastAsia" w:ascii="宋体" w:hAnsi="宋体"/>
          <w:sz w:val="24"/>
        </w:rPr>
      </w:pPr>
      <w:r>
        <w:rPr>
          <w:rFonts w:hint="eastAsia" w:ascii="宋体" w:hAnsi="宋体"/>
          <w:sz w:val="24"/>
        </w:rPr>
        <w:t>2）风流中出现火灾气味，如煤油味、松香味、臭味等；</w:t>
      </w:r>
    </w:p>
    <w:p w14:paraId="39AACC83">
      <w:pPr>
        <w:spacing w:line="360" w:lineRule="auto"/>
        <w:ind w:firstLine="480" w:firstLineChars="200"/>
        <w:rPr>
          <w:rFonts w:hint="eastAsia" w:ascii="宋体" w:hAnsi="宋体"/>
          <w:sz w:val="24"/>
        </w:rPr>
      </w:pPr>
      <w:r>
        <w:rPr>
          <w:rFonts w:hint="eastAsia" w:ascii="宋体" w:hAnsi="宋体"/>
          <w:sz w:val="24"/>
        </w:rPr>
        <w:t>3）从煤炭自燃点流出的水和空气较正常的温度高；</w:t>
      </w:r>
    </w:p>
    <w:p w14:paraId="598651DF">
      <w:pPr>
        <w:spacing w:line="360" w:lineRule="auto"/>
        <w:ind w:firstLine="480" w:firstLineChars="200"/>
        <w:rPr>
          <w:rFonts w:hint="eastAsia" w:ascii="宋体" w:hAnsi="宋体"/>
          <w:sz w:val="24"/>
        </w:rPr>
      </w:pPr>
      <w:r>
        <w:rPr>
          <w:rFonts w:hint="eastAsia" w:ascii="宋体" w:hAnsi="宋体"/>
          <w:sz w:val="24"/>
        </w:rPr>
        <w:t>4）当空气中有毒有害气体浓度增加时，人们有不舒服的感觉，如头痛、头晕、精神疲乏等。</w:t>
      </w:r>
    </w:p>
    <w:p w14:paraId="60F3098E">
      <w:pPr>
        <w:spacing w:line="360" w:lineRule="auto"/>
        <w:ind w:firstLine="480" w:firstLineChars="200"/>
        <w:rPr>
          <w:rFonts w:hint="eastAsia" w:ascii="宋体" w:hAnsi="宋体"/>
          <w:bCs/>
          <w:sz w:val="24"/>
        </w:rPr>
      </w:pPr>
      <w:r>
        <w:rPr>
          <w:rFonts w:hint="eastAsia" w:ascii="宋体" w:hAnsi="宋体"/>
          <w:bCs/>
          <w:sz w:val="24"/>
        </w:rPr>
        <w:t>（2）仪表检测</w:t>
      </w:r>
    </w:p>
    <w:p w14:paraId="153EA991">
      <w:pPr>
        <w:spacing w:line="360" w:lineRule="auto"/>
        <w:ind w:firstLine="480" w:firstLineChars="200"/>
        <w:rPr>
          <w:rFonts w:hint="eastAsia" w:ascii="宋体" w:hAnsi="宋体"/>
          <w:sz w:val="24"/>
        </w:rPr>
      </w:pPr>
      <w:r>
        <w:rPr>
          <w:rFonts w:hint="eastAsia" w:ascii="宋体" w:hAnsi="宋体"/>
          <w:sz w:val="24"/>
        </w:rPr>
        <w:t>1）有下列情况之一者，定为自燃发火：</w:t>
      </w:r>
    </w:p>
    <w:p w14:paraId="305E674B">
      <w:pPr>
        <w:spacing w:line="360" w:lineRule="auto"/>
        <w:ind w:firstLine="480" w:firstLineChars="200"/>
        <w:rPr>
          <w:rFonts w:hint="eastAsia" w:ascii="宋体" w:hAnsi="宋体"/>
          <w:sz w:val="24"/>
        </w:rPr>
      </w:pPr>
      <w:r>
        <w:rPr>
          <w:rFonts w:ascii="宋体" w:hAnsi="宋体"/>
          <w:sz w:val="24"/>
        </w:rPr>
        <w:t>①</w:t>
      </w:r>
      <w:r>
        <w:rPr>
          <w:rFonts w:hint="eastAsia" w:ascii="宋体" w:hAnsi="宋体"/>
          <w:sz w:val="24"/>
        </w:rPr>
        <w:t xml:space="preserve"> 煤炭自燃出现明火、火灾烟雾、煤油味等；</w:t>
      </w:r>
    </w:p>
    <w:p w14:paraId="2FE4EBEA">
      <w:pPr>
        <w:spacing w:line="360" w:lineRule="auto"/>
        <w:ind w:firstLine="480" w:firstLineChars="200"/>
        <w:rPr>
          <w:rFonts w:hint="eastAsia" w:ascii="宋体" w:hAnsi="宋体"/>
          <w:sz w:val="24"/>
        </w:rPr>
      </w:pPr>
      <w:r>
        <w:rPr>
          <w:rFonts w:ascii="宋体" w:hAnsi="宋体"/>
          <w:sz w:val="24"/>
        </w:rPr>
        <w:t>②</w:t>
      </w:r>
      <w:r>
        <w:rPr>
          <w:rFonts w:hint="eastAsia" w:ascii="宋体" w:hAnsi="宋体"/>
          <w:sz w:val="24"/>
        </w:rPr>
        <w:t xml:space="preserve"> 煤炭自燃使环境空气、煤层围岩及其它介质温度升高并超过70</w:t>
      </w:r>
      <w:r>
        <w:rPr>
          <w:rFonts w:ascii="宋体" w:hAnsi="宋体"/>
          <w:sz w:val="24"/>
        </w:rPr>
        <w:t>℃</w:t>
      </w:r>
      <w:r>
        <w:rPr>
          <w:rFonts w:hint="eastAsia" w:ascii="宋体" w:hAnsi="宋体"/>
          <w:sz w:val="24"/>
        </w:rPr>
        <w:t>；</w:t>
      </w:r>
    </w:p>
    <w:p w14:paraId="2164BD0D">
      <w:pPr>
        <w:spacing w:line="360" w:lineRule="auto"/>
        <w:ind w:firstLine="480" w:firstLineChars="200"/>
        <w:rPr>
          <w:rFonts w:hint="eastAsia" w:ascii="宋体" w:hAnsi="宋体"/>
          <w:sz w:val="24"/>
        </w:rPr>
      </w:pPr>
      <w:r>
        <w:rPr>
          <w:rFonts w:ascii="宋体" w:hAnsi="宋体"/>
          <w:sz w:val="24"/>
        </w:rPr>
        <w:t>③</w:t>
      </w:r>
      <w:r>
        <w:rPr>
          <w:rFonts w:hint="eastAsia" w:ascii="宋体" w:hAnsi="宋体"/>
          <w:sz w:val="24"/>
        </w:rPr>
        <w:t xml:space="preserve"> 采空区或风流中出现一氧化碳（CO），其浓度已超过矿井实际统计的临界指标，并有上升趋势。</w:t>
      </w:r>
    </w:p>
    <w:p w14:paraId="7767932A">
      <w:pPr>
        <w:spacing w:line="360" w:lineRule="auto"/>
        <w:ind w:firstLine="480" w:firstLineChars="200"/>
        <w:rPr>
          <w:rFonts w:hint="eastAsia" w:ascii="宋体" w:hAnsi="宋体"/>
          <w:sz w:val="24"/>
        </w:rPr>
      </w:pPr>
      <w:r>
        <w:rPr>
          <w:rFonts w:hint="eastAsia" w:ascii="宋体" w:hAnsi="宋体"/>
          <w:sz w:val="24"/>
        </w:rPr>
        <w:t>2）有下列情况之一者，定为自燃发火隐患：</w:t>
      </w:r>
    </w:p>
    <w:p w14:paraId="47454D03">
      <w:pPr>
        <w:spacing w:line="360" w:lineRule="auto"/>
        <w:ind w:firstLine="480" w:firstLineChars="200"/>
        <w:rPr>
          <w:rFonts w:hint="eastAsia" w:ascii="宋体" w:hAnsi="宋体"/>
          <w:sz w:val="24"/>
        </w:rPr>
      </w:pPr>
      <w:r>
        <w:rPr>
          <w:rFonts w:ascii="宋体" w:hAnsi="宋体"/>
          <w:sz w:val="24"/>
        </w:rPr>
        <w:t>①</w:t>
      </w:r>
      <w:r>
        <w:rPr>
          <w:rFonts w:hint="eastAsia" w:ascii="宋体" w:hAnsi="宋体"/>
          <w:sz w:val="24"/>
        </w:rPr>
        <w:t xml:space="preserve"> 采空区或井巷风流中出现一氧化碳，其发生量呈上升趋势，但尚未达到矿井实际统计的临界指标；</w:t>
      </w:r>
    </w:p>
    <w:p w14:paraId="6C6FBA3C">
      <w:pPr>
        <w:spacing w:line="360" w:lineRule="auto"/>
        <w:ind w:firstLine="480" w:firstLineChars="200"/>
        <w:rPr>
          <w:rFonts w:hint="eastAsia" w:ascii="宋体" w:hAnsi="宋体"/>
          <w:sz w:val="24"/>
        </w:rPr>
      </w:pPr>
      <w:r>
        <w:rPr>
          <w:rFonts w:ascii="宋体" w:hAnsi="宋体"/>
          <w:sz w:val="24"/>
        </w:rPr>
        <w:t>②</w:t>
      </w:r>
      <w:r>
        <w:rPr>
          <w:rFonts w:hint="eastAsia" w:ascii="宋体" w:hAnsi="宋体"/>
          <w:sz w:val="24"/>
        </w:rPr>
        <w:t xml:space="preserve"> 风流中出现二氧化碳（CO</w:t>
      </w:r>
      <w:r>
        <w:rPr>
          <w:rFonts w:hint="eastAsia" w:ascii="宋体" w:hAnsi="宋体"/>
          <w:sz w:val="24"/>
          <w:vertAlign w:val="subscript"/>
        </w:rPr>
        <w:t>2</w:t>
      </w:r>
      <w:r>
        <w:rPr>
          <w:rFonts w:hint="eastAsia" w:ascii="宋体" w:hAnsi="宋体"/>
          <w:sz w:val="24"/>
        </w:rPr>
        <w:t>），其发生量呈上升趋势，但尚未达到矿井实际统计的临界指标；</w:t>
      </w:r>
    </w:p>
    <w:p w14:paraId="1DBF8E25">
      <w:pPr>
        <w:spacing w:line="360" w:lineRule="auto"/>
        <w:ind w:firstLine="480" w:firstLineChars="200"/>
        <w:rPr>
          <w:rFonts w:hint="eastAsia" w:ascii="宋体" w:hAnsi="宋体"/>
          <w:sz w:val="24"/>
        </w:rPr>
      </w:pPr>
      <w:r>
        <w:rPr>
          <w:rFonts w:ascii="宋体" w:hAnsi="宋体"/>
          <w:sz w:val="24"/>
        </w:rPr>
        <w:t>③</w:t>
      </w:r>
      <w:r>
        <w:rPr>
          <w:rFonts w:hint="eastAsia" w:ascii="宋体" w:hAnsi="宋体"/>
          <w:sz w:val="24"/>
        </w:rPr>
        <w:t xml:space="preserve"> 煤炭、围岩及空气和水的温度升高，并超过正常温度，但尚未达到70</w:t>
      </w:r>
      <w:r>
        <w:rPr>
          <w:rFonts w:ascii="宋体" w:hAnsi="宋体"/>
          <w:sz w:val="24"/>
        </w:rPr>
        <w:t>℃</w:t>
      </w:r>
      <w:r>
        <w:rPr>
          <w:rFonts w:hint="eastAsia" w:ascii="宋体" w:hAnsi="宋体"/>
          <w:sz w:val="24"/>
        </w:rPr>
        <w:t>；风流中氧（O</w:t>
      </w:r>
      <w:r>
        <w:rPr>
          <w:rFonts w:hint="eastAsia" w:ascii="宋体" w:hAnsi="宋体"/>
          <w:sz w:val="24"/>
          <w:vertAlign w:val="subscript"/>
        </w:rPr>
        <w:t>2</w:t>
      </w:r>
      <w:r>
        <w:rPr>
          <w:rFonts w:hint="eastAsia" w:ascii="宋体" w:hAnsi="宋体"/>
          <w:sz w:val="24"/>
        </w:rPr>
        <w:t>）浓度降低，其消耗量呈上升趋势。</w:t>
      </w:r>
    </w:p>
    <w:p w14:paraId="3A8AFB59">
      <w:pPr>
        <w:spacing w:line="360" w:lineRule="auto"/>
        <w:ind w:firstLine="480" w:firstLineChars="200"/>
        <w:rPr>
          <w:rFonts w:hint="eastAsia" w:ascii="宋体" w:hAnsi="宋体"/>
          <w:sz w:val="24"/>
        </w:rPr>
      </w:pPr>
      <w:r>
        <w:rPr>
          <w:rFonts w:hint="eastAsia" w:ascii="宋体" w:hAnsi="宋体"/>
          <w:sz w:val="24"/>
        </w:rPr>
        <w:t>（3）自燃发火观测站</w:t>
      </w:r>
    </w:p>
    <w:p w14:paraId="017F8D1A">
      <w:pPr>
        <w:spacing w:line="360" w:lineRule="auto"/>
        <w:ind w:firstLine="480" w:firstLineChars="200"/>
        <w:rPr>
          <w:rFonts w:hint="eastAsia" w:ascii="宋体"/>
          <w:sz w:val="24"/>
        </w:rPr>
      </w:pPr>
      <w:r>
        <w:rPr>
          <w:rFonts w:hint="eastAsia" w:ascii="宋体" w:hAnsi="宋体"/>
          <w:sz w:val="24"/>
        </w:rPr>
        <w:t>为预防煤层自燃，采用一氧化碳增量法预测工作面火灾，</w:t>
      </w:r>
      <w:r>
        <w:rPr>
          <w:rFonts w:ascii="宋体" w:hAnsi="宋体"/>
          <w:sz w:val="24"/>
        </w:rPr>
        <w:t>确定煤层自然发火的标志气体和建立</w:t>
      </w:r>
      <w:r>
        <w:rPr>
          <w:rFonts w:hint="eastAsia" w:ascii="宋体" w:hAnsi="宋体"/>
          <w:sz w:val="24"/>
        </w:rPr>
        <w:t>自燃</w:t>
      </w:r>
      <w:r>
        <w:rPr>
          <w:rFonts w:ascii="宋体" w:hAnsi="宋体"/>
          <w:sz w:val="24"/>
        </w:rPr>
        <w:t>发火预测预报制度。</w:t>
      </w:r>
      <w:r>
        <w:rPr>
          <w:rFonts w:hint="eastAsia" w:ascii="宋体" w:hAnsi="宋体"/>
          <w:sz w:val="24"/>
        </w:rPr>
        <w:t>派专人每班检测1次</w:t>
      </w:r>
      <w:r>
        <w:rPr>
          <w:rFonts w:ascii="宋体" w:hAnsi="宋体"/>
          <w:sz w:val="24"/>
        </w:rPr>
        <w:t>，所有检测分析结果必须记录在专用的防火记录簿内，发现</w:t>
      </w:r>
      <w:r>
        <w:rPr>
          <w:rFonts w:hint="eastAsia" w:ascii="宋体" w:hAnsi="宋体"/>
          <w:sz w:val="24"/>
        </w:rPr>
        <w:t>自燃</w:t>
      </w:r>
      <w:r>
        <w:rPr>
          <w:rFonts w:ascii="宋体" w:hAnsi="宋体"/>
          <w:sz w:val="24"/>
        </w:rPr>
        <w:t>发火指标超过或达到临界值等异常变化时，</w:t>
      </w:r>
      <w:r>
        <w:rPr>
          <w:rFonts w:hint="eastAsia" w:ascii="宋体" w:hAnsi="宋体"/>
          <w:sz w:val="24"/>
        </w:rPr>
        <w:t>必须</w:t>
      </w:r>
      <w:r>
        <w:rPr>
          <w:rFonts w:ascii="宋体" w:hAnsi="宋体"/>
          <w:sz w:val="24"/>
        </w:rPr>
        <w:t>立即</w:t>
      </w:r>
      <w:r>
        <w:rPr>
          <w:rFonts w:hint="eastAsia" w:ascii="宋体" w:hAnsi="宋体"/>
          <w:sz w:val="24"/>
        </w:rPr>
        <w:t>报告矿安全管理人员和矿技术负责人，</w:t>
      </w:r>
      <w:r>
        <w:rPr>
          <w:rFonts w:ascii="宋体" w:hAnsi="宋体"/>
          <w:sz w:val="24"/>
        </w:rPr>
        <w:t>发出</w:t>
      </w:r>
      <w:r>
        <w:rPr>
          <w:rFonts w:hint="eastAsia" w:ascii="宋体" w:hAnsi="宋体"/>
          <w:sz w:val="24"/>
        </w:rPr>
        <w:t>自燃</w:t>
      </w:r>
      <w:r>
        <w:rPr>
          <w:rFonts w:ascii="宋体" w:hAnsi="宋体"/>
          <w:sz w:val="24"/>
        </w:rPr>
        <w:t>发火预报，采取措施进行处理。</w:t>
      </w:r>
      <w:r>
        <w:rPr>
          <w:rFonts w:hint="eastAsia" w:ascii="宋体" w:hAnsi="宋体"/>
          <w:sz w:val="24"/>
        </w:rPr>
        <w:t>自燃发火观测站设置位置示意图如下</w:t>
      </w:r>
      <w:r>
        <w:rPr>
          <w:rFonts w:hint="eastAsia" w:ascii="宋体"/>
          <w:sz w:val="24"/>
        </w:rPr>
        <w:t>：</w:t>
      </w:r>
    </w:p>
    <w:p w14:paraId="35944F3C">
      <w:pPr>
        <w:jc w:val="center"/>
        <w:rPr>
          <w:rFonts w:hint="eastAsia"/>
        </w:rPr>
      </w:pPr>
      <w:r>
        <w:drawing>
          <wp:inline distT="0" distB="0" distL="114300" distR="114300">
            <wp:extent cx="4836795" cy="3244850"/>
            <wp:effectExtent l="0" t="0" r="1905" b="0"/>
            <wp:docPr id="41"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6"/>
                    <pic:cNvPicPr>
                      <a:picLocks noChangeAspect="1"/>
                    </pic:cNvPicPr>
                  </pic:nvPicPr>
                  <pic:blipFill>
                    <a:blip r:embed="rId170"/>
                    <a:srcRect t="-2516" b="-2786"/>
                    <a:stretch>
                      <a:fillRect/>
                    </a:stretch>
                  </pic:blipFill>
                  <pic:spPr>
                    <a:xfrm>
                      <a:off x="0" y="0"/>
                      <a:ext cx="4836795" cy="3244850"/>
                    </a:xfrm>
                    <a:prstGeom prst="rect">
                      <a:avLst/>
                    </a:prstGeom>
                    <a:noFill/>
                    <a:ln>
                      <a:noFill/>
                    </a:ln>
                  </pic:spPr>
                </pic:pic>
              </a:graphicData>
            </a:graphic>
          </wp:inline>
        </w:drawing>
      </w:r>
    </w:p>
    <w:p w14:paraId="0219D7E3">
      <w:pPr>
        <w:spacing w:line="360" w:lineRule="auto"/>
        <w:ind w:firstLine="480" w:firstLineChars="200"/>
        <w:rPr>
          <w:rFonts w:hint="eastAsia" w:ascii="宋体" w:hAnsi="宋体"/>
          <w:bCs/>
          <w:color w:val="000000"/>
          <w:sz w:val="24"/>
        </w:rPr>
      </w:pPr>
      <w:r>
        <w:rPr>
          <w:rFonts w:hint="eastAsia" w:ascii="宋体" w:hAnsi="宋体"/>
          <w:bCs/>
          <w:color w:val="000000"/>
          <w:sz w:val="24"/>
        </w:rPr>
        <w:t>（4）本矿监测监控系统中，在回采工作面回风流，掘进工作面、回风斜井设置一氧化碳传感器和温度传感器。</w:t>
      </w:r>
    </w:p>
    <w:p w14:paraId="748FC079">
      <w:pPr>
        <w:spacing w:line="360" w:lineRule="auto"/>
        <w:ind w:firstLine="480" w:firstLineChars="200"/>
        <w:rPr>
          <w:rFonts w:hint="eastAsia" w:ascii="宋体" w:hAnsi="宋体"/>
          <w:bCs/>
          <w:color w:val="000000"/>
          <w:sz w:val="24"/>
        </w:rPr>
      </w:pPr>
      <w:r>
        <w:rPr>
          <w:rFonts w:hint="eastAsia" w:ascii="宋体" w:hAnsi="宋体"/>
          <w:bCs/>
          <w:color w:val="000000"/>
          <w:sz w:val="24"/>
        </w:rPr>
        <w:t>4、束管监测系统的选择</w:t>
      </w:r>
    </w:p>
    <w:p w14:paraId="4225D43B">
      <w:pPr>
        <w:spacing w:line="360" w:lineRule="auto"/>
        <w:ind w:firstLine="480" w:firstLineChars="200"/>
        <w:rPr>
          <w:rFonts w:hint="eastAsia" w:ascii="宋体" w:hAnsi="宋体"/>
          <w:bCs/>
          <w:color w:val="000000"/>
          <w:sz w:val="24"/>
        </w:rPr>
      </w:pPr>
      <w:r>
        <w:rPr>
          <w:rFonts w:hint="eastAsia" w:ascii="宋体" w:hAnsi="宋体"/>
          <w:bCs/>
          <w:color w:val="000000"/>
          <w:sz w:val="24"/>
        </w:rPr>
        <w:t>目前，我国研制开发和煤矿使用的束管监测系统主要有煤科总院抚顺分院研制生产的ASZ——Ⅱ型矿井火灾预报束管监测系统、GC——85型煤矿火灾多参数色谱监测系统和煤科总院重庆分院研制生产的JSG——8</w:t>
      </w:r>
      <w:r>
        <w:rPr>
          <w:rFonts w:ascii="宋体" w:hAnsi="宋体"/>
          <w:bCs/>
          <w:color w:val="000000"/>
          <w:sz w:val="24"/>
        </w:rPr>
        <w:t>型井下束管火灾监测系统</w:t>
      </w:r>
      <w:r>
        <w:rPr>
          <w:rFonts w:hint="eastAsia" w:ascii="宋体" w:hAnsi="宋体"/>
          <w:bCs/>
          <w:color w:val="000000"/>
          <w:sz w:val="24"/>
        </w:rPr>
        <w:t>。本设计拟选煤科总院重庆分院研制生产的JSG——8</w:t>
      </w:r>
      <w:r>
        <w:rPr>
          <w:rFonts w:ascii="宋体" w:hAnsi="宋体"/>
          <w:bCs/>
          <w:color w:val="000000"/>
          <w:sz w:val="24"/>
        </w:rPr>
        <w:t>型井下束管火灾监测系统</w:t>
      </w:r>
      <w:r>
        <w:rPr>
          <w:rFonts w:hint="eastAsia" w:ascii="宋体" w:hAnsi="宋体"/>
          <w:bCs/>
          <w:color w:val="000000"/>
          <w:sz w:val="24"/>
        </w:rPr>
        <w:t>。</w:t>
      </w:r>
    </w:p>
    <w:p w14:paraId="34FDE332">
      <w:pPr>
        <w:spacing w:line="360" w:lineRule="auto"/>
        <w:ind w:firstLine="480" w:firstLineChars="200"/>
        <w:rPr>
          <w:rFonts w:hint="eastAsia" w:ascii="宋体" w:hAnsi="宋体"/>
          <w:bCs/>
          <w:color w:val="000000"/>
          <w:sz w:val="24"/>
        </w:rPr>
      </w:pPr>
      <w:r>
        <w:rPr>
          <w:rFonts w:hint="eastAsia" w:ascii="宋体" w:hAnsi="宋体"/>
          <w:bCs/>
          <w:color w:val="000000"/>
          <w:sz w:val="24"/>
        </w:rPr>
        <w:t>5、防灭火方法</w:t>
      </w:r>
    </w:p>
    <w:p w14:paraId="4E5A40F9">
      <w:pPr>
        <w:spacing w:line="360" w:lineRule="auto"/>
        <w:ind w:firstLine="480" w:firstLineChars="200"/>
        <w:rPr>
          <w:rFonts w:hint="eastAsia" w:ascii="宋体" w:hAnsi="宋体"/>
          <w:bCs/>
          <w:color w:val="000000"/>
          <w:sz w:val="24"/>
          <w:u w:val="single"/>
        </w:rPr>
      </w:pPr>
      <w:r>
        <w:rPr>
          <w:rFonts w:hint="eastAsia" w:ascii="宋体" w:hAnsi="宋体"/>
          <w:bCs/>
          <w:color w:val="000000"/>
          <w:sz w:val="24"/>
        </w:rPr>
        <w:t>由于矿井矿按Ⅰ类，即容易自燃煤层设计和管理，待矿井对各层煤的自燃发火期鉴定后，再根据煤层发火期进行相应调整，本次设计按煤层容易自燃进行设计和管理，</w:t>
      </w:r>
      <w:r>
        <w:rPr>
          <w:rFonts w:hint="eastAsia" w:ascii="宋体" w:hAnsi="宋体"/>
          <w:bCs/>
          <w:color w:val="000000"/>
          <w:sz w:val="24"/>
          <w:u w:val="single"/>
        </w:rPr>
        <w:t>矿井采取以灌浆为主，喷洒阻化剂为辅的防灭火措施。</w:t>
      </w:r>
    </w:p>
    <w:p w14:paraId="777A7F57">
      <w:pPr>
        <w:spacing w:before="120" w:beforeLines="50" w:after="120" w:afterLines="50" w:line="360" w:lineRule="auto"/>
        <w:ind w:firstLine="470" w:firstLineChars="200"/>
        <w:rPr>
          <w:rFonts w:hint="eastAsia" w:ascii="宋体" w:hAnsi="宋体"/>
          <w:b/>
          <w:spacing w:val="-3"/>
          <w:sz w:val="24"/>
        </w:rPr>
      </w:pPr>
      <w:r>
        <w:rPr>
          <w:rFonts w:hint="eastAsia" w:ascii="宋体" w:hAnsi="宋体"/>
          <w:b/>
          <w:spacing w:val="-3"/>
          <w:sz w:val="24"/>
        </w:rPr>
        <w:t>•灌浆防灭火</w:t>
      </w:r>
    </w:p>
    <w:p w14:paraId="1DB5C3D9">
      <w:pPr>
        <w:spacing w:line="360" w:lineRule="auto"/>
        <w:ind w:firstLine="480" w:firstLineChars="200"/>
        <w:rPr>
          <w:rFonts w:hint="eastAsia" w:ascii="宋体" w:hAnsi="宋体"/>
          <w:bCs/>
          <w:color w:val="000000"/>
          <w:sz w:val="24"/>
        </w:rPr>
      </w:pPr>
      <w:r>
        <w:rPr>
          <w:rFonts w:hint="eastAsia" w:ascii="宋体" w:hAnsi="宋体"/>
          <w:bCs/>
          <w:color w:val="000000"/>
          <w:sz w:val="24"/>
        </w:rPr>
        <w:t>1、设计依据及主要技术资料</w:t>
      </w:r>
    </w:p>
    <w:p w14:paraId="1EB6A274">
      <w:pPr>
        <w:spacing w:line="360" w:lineRule="auto"/>
        <w:ind w:firstLine="480" w:firstLineChars="200"/>
        <w:rPr>
          <w:rFonts w:hint="eastAsia" w:ascii="宋体" w:hAnsi="宋体"/>
          <w:sz w:val="24"/>
        </w:rPr>
      </w:pPr>
      <w:r>
        <w:rPr>
          <w:rFonts w:hint="eastAsia" w:ascii="宋体" w:hAnsi="宋体"/>
          <w:sz w:val="24"/>
          <w:lang w:val="zh-CN"/>
        </w:rPr>
        <w:t>根据贵州省六枝工矿（集团）恒达勘察设计有限公司实验室提交的《贵州省水城县玉舍大坪煤矿煤炭自燃倾向性等级鉴定报告》，本矿K35-b、K1-b煤层的自燃倾向性等级鉴定均属Ⅱ类，即自燃煤层；K9、K18煤层的自燃倾向性等级鉴定均属Ⅲ类，即不易自燃煤层，其他煤层未取样进行鉴定，因此，本矿按Ⅰ类，即煤层容易自燃进行设计和管理</w:t>
      </w:r>
      <w:r>
        <w:rPr>
          <w:rFonts w:hint="eastAsia" w:ascii="宋体" w:hAnsi="宋体"/>
          <w:color w:val="000000"/>
          <w:sz w:val="24"/>
        </w:rPr>
        <w:t>，待矿井对各层煤的自燃发火期鉴定后，再根据煤层发火期进行相应调整，本次设计按煤层容易自燃矿进行设计和管理</w:t>
      </w:r>
      <w:r>
        <w:rPr>
          <w:rFonts w:hint="eastAsia" w:ascii="宋体" w:hAnsi="宋体"/>
          <w:sz w:val="24"/>
        </w:rPr>
        <w:t>，在生产期间编制专项防灭火设计。</w:t>
      </w:r>
    </w:p>
    <w:p w14:paraId="49389F53">
      <w:pPr>
        <w:spacing w:line="360" w:lineRule="auto"/>
        <w:ind w:firstLine="480" w:firstLineChars="200"/>
        <w:rPr>
          <w:rFonts w:hint="eastAsia" w:ascii="宋体" w:hAnsi="宋体"/>
          <w:bCs/>
          <w:color w:val="000000"/>
          <w:sz w:val="24"/>
        </w:rPr>
      </w:pPr>
      <w:r>
        <w:rPr>
          <w:rFonts w:hint="eastAsia" w:ascii="宋体" w:hAnsi="宋体"/>
          <w:bCs/>
          <w:color w:val="000000"/>
          <w:sz w:val="24"/>
        </w:rPr>
        <w:t>2、灌浆系统及方法</w:t>
      </w:r>
    </w:p>
    <w:p w14:paraId="5BDB8F1F">
      <w:pPr>
        <w:spacing w:line="360" w:lineRule="auto"/>
        <w:ind w:firstLine="480" w:firstLineChars="200"/>
        <w:rPr>
          <w:rFonts w:hint="eastAsia" w:ascii="宋体" w:hAnsi="宋体"/>
          <w:sz w:val="24"/>
        </w:rPr>
      </w:pPr>
      <w:r>
        <w:rPr>
          <w:rFonts w:hint="eastAsia" w:ascii="宋体" w:hAnsi="宋体"/>
          <w:bCs/>
          <w:sz w:val="24"/>
        </w:rPr>
        <w:t>预防性灌浆是防止煤自燃发火的一项传统的、也是最为有效、稳定可靠的重要措施，其方法多种多样，这里采用井下移动式注浆站边采边灌的方法，即使用</w:t>
      </w:r>
      <w:r>
        <w:rPr>
          <w:rFonts w:hint="eastAsia" w:ascii="宋体" w:hAnsi="宋体"/>
          <w:sz w:val="24"/>
        </w:rPr>
        <w:t>在采煤工作面推进的同时向采空区灌注泥浆，灌注方式为埋管灌浆及洒浆。</w:t>
      </w:r>
    </w:p>
    <w:p w14:paraId="4923CDA3">
      <w:pPr>
        <w:tabs>
          <w:tab w:val="left" w:pos="540"/>
        </w:tabs>
        <w:spacing w:line="360" w:lineRule="auto"/>
        <w:ind w:firstLine="480" w:firstLineChars="200"/>
        <w:rPr>
          <w:rFonts w:hint="eastAsia" w:ascii="宋体" w:hAnsi="宋体"/>
          <w:sz w:val="24"/>
        </w:rPr>
      </w:pPr>
      <w:r>
        <w:rPr>
          <w:rFonts w:hint="eastAsia" w:ascii="宋体" w:hAnsi="宋体"/>
          <w:sz w:val="24"/>
        </w:rPr>
        <w:t>（1）埋管灌浆：在放顶前沿回风巷道在采空区预先铺好灌浆管，放顶后立即进行灌浆。随着工作面的推进，按放顶步距用回柱绞车逐渐向外牵引灌浆管，牵引一定距离灌一次浆。出浆口距工作面的距离应不小于15m。埋管灌浆系统布置详见下图。</w:t>
      </w:r>
    </w:p>
    <w:p w14:paraId="4484B571">
      <w:pPr>
        <w:tabs>
          <w:tab w:val="left" w:pos="540"/>
        </w:tabs>
        <w:spacing w:line="360" w:lineRule="auto"/>
        <w:jc w:val="center"/>
        <w:rPr>
          <w:rFonts w:hint="eastAsia"/>
          <w:sz w:val="24"/>
        </w:rPr>
      </w:pPr>
      <w:r>
        <w:rPr>
          <w:sz w:val="24"/>
        </w:rPr>
        <w:drawing>
          <wp:inline distT="0" distB="0" distL="114300" distR="114300">
            <wp:extent cx="5032375" cy="3225800"/>
            <wp:effectExtent l="0" t="0" r="0" b="0"/>
            <wp:docPr id="4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8"/>
                    <pic:cNvPicPr>
                      <a:picLocks noChangeAspect="1"/>
                    </pic:cNvPicPr>
                  </pic:nvPicPr>
                  <pic:blipFill>
                    <a:blip r:embed="rId171"/>
                    <a:srcRect l="-4553" r="-4372"/>
                    <a:stretch>
                      <a:fillRect/>
                    </a:stretch>
                  </pic:blipFill>
                  <pic:spPr>
                    <a:xfrm>
                      <a:off x="0" y="0"/>
                      <a:ext cx="5032375" cy="3225800"/>
                    </a:xfrm>
                    <a:prstGeom prst="rect">
                      <a:avLst/>
                    </a:prstGeom>
                    <a:noFill/>
                    <a:ln>
                      <a:noFill/>
                    </a:ln>
                  </pic:spPr>
                </pic:pic>
              </a:graphicData>
            </a:graphic>
          </wp:inline>
        </w:drawing>
      </w:r>
    </w:p>
    <w:p w14:paraId="6C787529">
      <w:pPr>
        <w:spacing w:line="360" w:lineRule="auto"/>
        <w:jc w:val="center"/>
        <w:rPr>
          <w:rFonts w:ascii="宋体" w:hAnsi="宋体"/>
          <w:szCs w:val="23"/>
          <w:lang w:val="zh-CN"/>
        </w:rPr>
      </w:pPr>
      <w:r>
        <w:rPr>
          <w:rFonts w:hint="eastAsia" w:ascii="宋体" w:hAnsi="宋体"/>
          <w:b/>
          <w:sz w:val="24"/>
        </w:rPr>
        <w:t>埋管灌浆系统布置示意图</w:t>
      </w:r>
    </w:p>
    <w:p w14:paraId="1796CD85">
      <w:pPr>
        <w:tabs>
          <w:tab w:val="left" w:pos="540"/>
        </w:tabs>
        <w:spacing w:line="360" w:lineRule="auto"/>
        <w:ind w:firstLine="480" w:firstLineChars="200"/>
        <w:rPr>
          <w:rFonts w:hint="eastAsia" w:ascii="宋体" w:hAnsi="宋体"/>
          <w:sz w:val="24"/>
        </w:rPr>
      </w:pPr>
      <w:r>
        <w:rPr>
          <w:rFonts w:hint="eastAsia" w:ascii="宋体" w:hAnsi="宋体"/>
          <w:sz w:val="24"/>
        </w:rPr>
        <w:t>（2）洒浆：从灌浆管接出一段胶管，沿工作面方向向采空区均匀地洒浆，洒浆量要充足，使采空区新冒落的矸石能被泥浆均匀地包围。洒浆作为埋管灌浆的一种补充手段，使整个采空区，特别是采空区下半部分也能灌到足够的泥浆。浆液出口压力应不大于0.3MPa。洒浆系统布置详见下图。</w:t>
      </w:r>
    </w:p>
    <w:p w14:paraId="21DE9D60">
      <w:pPr>
        <w:tabs>
          <w:tab w:val="left" w:pos="540"/>
        </w:tabs>
        <w:spacing w:line="360" w:lineRule="auto"/>
        <w:jc w:val="center"/>
        <w:rPr>
          <w:rFonts w:hint="eastAsia"/>
          <w:sz w:val="24"/>
        </w:rPr>
      </w:pPr>
      <w:r>
        <w:rPr>
          <w:sz w:val="24"/>
        </w:rPr>
        <w:drawing>
          <wp:inline distT="0" distB="0" distL="114300" distR="114300">
            <wp:extent cx="5102860" cy="3181985"/>
            <wp:effectExtent l="0" t="0" r="2540" b="18415"/>
            <wp:docPr id="4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7"/>
                    <pic:cNvPicPr>
                      <a:picLocks noChangeAspect="1"/>
                    </pic:cNvPicPr>
                  </pic:nvPicPr>
                  <pic:blipFill>
                    <a:blip r:embed="rId172"/>
                    <a:stretch>
                      <a:fillRect/>
                    </a:stretch>
                  </pic:blipFill>
                  <pic:spPr>
                    <a:xfrm>
                      <a:off x="0" y="0"/>
                      <a:ext cx="5102860" cy="3181985"/>
                    </a:xfrm>
                    <a:prstGeom prst="rect">
                      <a:avLst/>
                    </a:prstGeom>
                    <a:noFill/>
                    <a:ln>
                      <a:noFill/>
                    </a:ln>
                  </pic:spPr>
                </pic:pic>
              </a:graphicData>
            </a:graphic>
          </wp:inline>
        </w:drawing>
      </w:r>
    </w:p>
    <w:p w14:paraId="16C9F3CE">
      <w:pPr>
        <w:spacing w:line="360" w:lineRule="auto"/>
        <w:jc w:val="center"/>
        <w:rPr>
          <w:rFonts w:ascii="宋体" w:hAnsi="宋体"/>
          <w:szCs w:val="23"/>
          <w:lang w:val="zh-CN"/>
        </w:rPr>
      </w:pPr>
      <w:r>
        <w:rPr>
          <w:rFonts w:hint="eastAsia" w:ascii="宋体" w:hAnsi="宋体"/>
          <w:b/>
          <w:sz w:val="24"/>
        </w:rPr>
        <w:t>洒浆系统布置示意图</w:t>
      </w:r>
    </w:p>
    <w:p w14:paraId="04837273">
      <w:pPr>
        <w:spacing w:line="360" w:lineRule="auto"/>
        <w:ind w:firstLine="480" w:firstLineChars="200"/>
        <w:rPr>
          <w:rFonts w:hint="eastAsia" w:ascii="宋体" w:hAnsi="宋体"/>
          <w:bCs/>
          <w:color w:val="000000"/>
          <w:sz w:val="24"/>
        </w:rPr>
      </w:pPr>
      <w:r>
        <w:rPr>
          <w:rFonts w:hint="eastAsia" w:ascii="宋体" w:hAnsi="宋体"/>
          <w:bCs/>
          <w:color w:val="000000"/>
          <w:sz w:val="24"/>
        </w:rPr>
        <w:t>3、主要注浆参数</w:t>
      </w:r>
    </w:p>
    <w:p w14:paraId="3CDB922F">
      <w:pPr>
        <w:spacing w:line="360" w:lineRule="auto"/>
        <w:ind w:firstLine="480" w:firstLineChars="200"/>
        <w:rPr>
          <w:rFonts w:hint="eastAsia" w:ascii="宋体" w:hAnsi="宋体"/>
          <w:sz w:val="24"/>
        </w:rPr>
      </w:pPr>
      <w:r>
        <w:rPr>
          <w:rFonts w:hint="eastAsia" w:ascii="宋体" w:hAnsi="宋体"/>
          <w:sz w:val="24"/>
        </w:rPr>
        <w:t>（1）灌浆系数</w:t>
      </w:r>
    </w:p>
    <w:p w14:paraId="54457BE9">
      <w:pPr>
        <w:spacing w:line="360" w:lineRule="auto"/>
        <w:ind w:firstLine="480" w:firstLineChars="200"/>
        <w:rPr>
          <w:rFonts w:hint="eastAsia" w:ascii="宋体" w:hAnsi="宋体"/>
          <w:sz w:val="24"/>
        </w:rPr>
      </w:pPr>
      <w:r>
        <w:rPr>
          <w:rFonts w:hint="eastAsia" w:ascii="宋体" w:hAnsi="宋体"/>
          <w:sz w:val="24"/>
        </w:rPr>
        <w:t>防火灌浆系数为3％～12％，灭火灌浆系数相应加大，取8%。</w:t>
      </w:r>
    </w:p>
    <w:p w14:paraId="250C540C">
      <w:pPr>
        <w:spacing w:line="360" w:lineRule="auto"/>
        <w:ind w:firstLine="480" w:firstLineChars="200"/>
        <w:rPr>
          <w:rFonts w:hint="eastAsia" w:ascii="宋体" w:hAnsi="宋体"/>
          <w:sz w:val="24"/>
        </w:rPr>
      </w:pPr>
      <w:r>
        <w:rPr>
          <w:rFonts w:hint="eastAsia" w:ascii="宋体" w:hAnsi="宋体"/>
          <w:sz w:val="24"/>
        </w:rPr>
        <w:t>（2）土水比</w:t>
      </w:r>
    </w:p>
    <w:p w14:paraId="0604D9E4">
      <w:pPr>
        <w:spacing w:line="360" w:lineRule="auto"/>
        <w:ind w:firstLine="480" w:firstLineChars="200"/>
        <w:rPr>
          <w:rFonts w:hint="eastAsia" w:ascii="宋体" w:hAnsi="宋体"/>
          <w:sz w:val="24"/>
        </w:rPr>
      </w:pPr>
      <w:r>
        <w:rPr>
          <w:rFonts w:hint="eastAsia" w:ascii="宋体" w:hAnsi="宋体"/>
          <w:sz w:val="24"/>
        </w:rPr>
        <w:t>矿井防灭火注浆浆液的土水比应为1:2～1:5；在回采工作面洒浆防火时，土水比应为1:2～1:3，水土比随注浆管道的出口到工作面的采帮线距离而定，可调整。</w:t>
      </w:r>
    </w:p>
    <w:p w14:paraId="43D558FF">
      <w:pPr>
        <w:spacing w:line="360" w:lineRule="auto"/>
        <w:ind w:firstLine="480" w:firstLineChars="200"/>
        <w:rPr>
          <w:rFonts w:hint="eastAsia" w:ascii="宋体" w:hAnsi="宋体"/>
          <w:sz w:val="24"/>
        </w:rPr>
      </w:pPr>
      <w:r>
        <w:rPr>
          <w:rFonts w:hint="eastAsia" w:ascii="宋体" w:hAnsi="宋体"/>
          <w:sz w:val="24"/>
        </w:rPr>
        <w:t xml:space="preserve">（3）灌浆所需土量 </w:t>
      </w:r>
    </w:p>
    <w:p w14:paraId="510FAB87">
      <w:pPr>
        <w:spacing w:line="360" w:lineRule="auto"/>
        <w:ind w:firstLine="480" w:firstLineChars="200"/>
        <w:rPr>
          <w:rFonts w:hint="eastAsia" w:ascii="宋体" w:hAnsi="宋体"/>
          <w:sz w:val="24"/>
        </w:rPr>
      </w:pPr>
      <w:r>
        <w:rPr>
          <w:rFonts w:hint="eastAsia" w:ascii="宋体" w:hAnsi="宋体"/>
          <w:sz w:val="24"/>
        </w:rPr>
        <w:t>1）采面注浆量：</w:t>
      </w:r>
    </w:p>
    <w:p w14:paraId="5F4BFF30">
      <w:pPr>
        <w:spacing w:line="360" w:lineRule="auto"/>
        <w:ind w:firstLine="480" w:firstLineChars="200"/>
        <w:rPr>
          <w:rFonts w:hint="eastAsia" w:ascii="宋体" w:hAnsi="宋体"/>
          <w:bCs/>
          <w:sz w:val="24"/>
        </w:rPr>
      </w:pPr>
      <w:r>
        <w:rPr>
          <w:rFonts w:hint="eastAsia" w:ascii="宋体" w:hAnsi="宋体"/>
          <w:bCs/>
          <w:sz w:val="24"/>
        </w:rPr>
        <w:t>Q＝K×m×L×H×C/100</w:t>
      </w:r>
    </w:p>
    <w:p w14:paraId="20729A43">
      <w:pPr>
        <w:spacing w:line="360" w:lineRule="auto"/>
        <w:ind w:firstLine="480" w:firstLineChars="200"/>
        <w:rPr>
          <w:rFonts w:hint="eastAsia" w:ascii="宋体" w:hAnsi="宋体"/>
          <w:bCs/>
          <w:sz w:val="24"/>
        </w:rPr>
      </w:pPr>
      <w:r>
        <w:rPr>
          <w:rFonts w:hint="eastAsia" w:ascii="宋体" w:hAnsi="宋体"/>
          <w:bCs/>
          <w:sz w:val="24"/>
        </w:rPr>
        <w:t>式中：Q--灌浆用土量m³；</w:t>
      </w:r>
    </w:p>
    <w:p w14:paraId="132C489C">
      <w:pPr>
        <w:spacing w:line="360" w:lineRule="auto"/>
        <w:ind w:firstLine="1200" w:firstLineChars="500"/>
        <w:rPr>
          <w:rFonts w:hint="eastAsia" w:ascii="宋体" w:hAnsi="宋体"/>
          <w:bCs/>
          <w:sz w:val="24"/>
        </w:rPr>
      </w:pPr>
      <w:r>
        <w:rPr>
          <w:rFonts w:hint="eastAsia" w:ascii="宋体" w:hAnsi="宋体"/>
          <w:bCs/>
          <w:sz w:val="24"/>
        </w:rPr>
        <w:t>m</w:t>
      </w:r>
      <w:r>
        <w:rPr>
          <w:rFonts w:ascii="宋体" w:hAnsi="宋体"/>
          <w:bCs/>
          <w:sz w:val="24"/>
        </w:rPr>
        <w:t>—</w:t>
      </w:r>
      <w:r>
        <w:rPr>
          <w:rFonts w:hint="eastAsia" w:ascii="宋体" w:hAnsi="宋体"/>
          <w:bCs/>
          <w:sz w:val="24"/>
        </w:rPr>
        <w:t>煤层开采厚度m；按K1-b煤层2.3m计算；</w:t>
      </w:r>
    </w:p>
    <w:p w14:paraId="706AD54D">
      <w:pPr>
        <w:spacing w:line="360" w:lineRule="auto"/>
        <w:ind w:firstLine="1200" w:firstLineChars="500"/>
        <w:rPr>
          <w:rFonts w:hint="eastAsia" w:ascii="宋体" w:hAnsi="宋体"/>
          <w:bCs/>
          <w:sz w:val="24"/>
        </w:rPr>
      </w:pPr>
      <w:r>
        <w:rPr>
          <w:rFonts w:hint="eastAsia" w:ascii="宋体" w:hAnsi="宋体"/>
          <w:bCs/>
          <w:sz w:val="24"/>
        </w:rPr>
        <w:t>L</w:t>
      </w:r>
      <w:r>
        <w:rPr>
          <w:rFonts w:ascii="宋体" w:hAnsi="宋体"/>
          <w:bCs/>
          <w:sz w:val="24"/>
        </w:rPr>
        <w:t>—</w:t>
      </w:r>
      <w:r>
        <w:rPr>
          <w:rFonts w:hint="eastAsia" w:ascii="宋体" w:hAnsi="宋体"/>
          <w:bCs/>
          <w:sz w:val="24"/>
        </w:rPr>
        <w:t>灌浆区的走向长度，m；按最大走向长度700m计算；</w:t>
      </w:r>
    </w:p>
    <w:p w14:paraId="34ECA6CE">
      <w:pPr>
        <w:spacing w:line="360" w:lineRule="auto"/>
        <w:ind w:firstLine="1200" w:firstLineChars="500"/>
        <w:rPr>
          <w:rFonts w:hint="eastAsia" w:ascii="宋体" w:hAnsi="宋体"/>
          <w:bCs/>
          <w:sz w:val="24"/>
        </w:rPr>
      </w:pPr>
      <w:r>
        <w:rPr>
          <w:rFonts w:hint="eastAsia" w:ascii="宋体" w:hAnsi="宋体"/>
          <w:bCs/>
          <w:sz w:val="24"/>
        </w:rPr>
        <w:t>H</w:t>
      </w:r>
      <w:r>
        <w:rPr>
          <w:rFonts w:ascii="宋体" w:hAnsi="宋体"/>
          <w:bCs/>
          <w:sz w:val="24"/>
        </w:rPr>
        <w:t>—</w:t>
      </w:r>
      <w:r>
        <w:rPr>
          <w:rFonts w:hint="eastAsia" w:ascii="宋体" w:hAnsi="宋体"/>
          <w:bCs/>
          <w:sz w:val="24"/>
        </w:rPr>
        <w:t>灌浆区倾斜长度，120m；</w:t>
      </w:r>
    </w:p>
    <w:p w14:paraId="0EE83907">
      <w:pPr>
        <w:spacing w:line="360" w:lineRule="auto"/>
        <w:ind w:firstLine="1200" w:firstLineChars="500"/>
        <w:rPr>
          <w:rFonts w:hint="eastAsia" w:ascii="宋体" w:hAnsi="宋体"/>
          <w:bCs/>
          <w:sz w:val="24"/>
        </w:rPr>
      </w:pPr>
      <w:r>
        <w:rPr>
          <w:rFonts w:hint="eastAsia" w:ascii="宋体" w:hAnsi="宋体"/>
          <w:bCs/>
          <w:sz w:val="24"/>
        </w:rPr>
        <w:t>C</w:t>
      </w:r>
      <w:r>
        <w:rPr>
          <w:rFonts w:ascii="宋体" w:hAnsi="宋体"/>
          <w:bCs/>
          <w:sz w:val="24"/>
        </w:rPr>
        <w:t>—</w:t>
      </w:r>
      <w:r>
        <w:rPr>
          <w:rFonts w:hint="eastAsia" w:ascii="宋体" w:hAnsi="宋体"/>
          <w:bCs/>
          <w:sz w:val="24"/>
        </w:rPr>
        <w:t>煤炭回收率，95%；</w:t>
      </w:r>
    </w:p>
    <w:p w14:paraId="1E11AA16">
      <w:pPr>
        <w:spacing w:line="360" w:lineRule="auto"/>
        <w:ind w:firstLine="1200" w:firstLineChars="500"/>
        <w:rPr>
          <w:rFonts w:hint="eastAsia" w:ascii="宋体" w:hAnsi="宋体"/>
          <w:bCs/>
          <w:sz w:val="24"/>
        </w:rPr>
      </w:pPr>
      <w:r>
        <w:rPr>
          <w:rFonts w:hint="eastAsia" w:ascii="宋体" w:hAnsi="宋体"/>
          <w:bCs/>
          <w:sz w:val="24"/>
        </w:rPr>
        <w:t>K</w:t>
      </w:r>
      <w:r>
        <w:rPr>
          <w:rFonts w:ascii="宋体" w:hAnsi="宋体"/>
          <w:bCs/>
          <w:sz w:val="24"/>
        </w:rPr>
        <w:t>—</w:t>
      </w:r>
      <w:r>
        <w:rPr>
          <w:rFonts w:hint="eastAsia" w:ascii="宋体" w:hAnsi="宋体"/>
          <w:bCs/>
          <w:sz w:val="24"/>
        </w:rPr>
        <w:t>灌浆系数，取8%；</w:t>
      </w:r>
    </w:p>
    <w:p w14:paraId="4D3DCC1A">
      <w:pPr>
        <w:spacing w:line="360" w:lineRule="auto"/>
        <w:ind w:firstLine="480" w:firstLineChars="200"/>
        <w:rPr>
          <w:rFonts w:hint="eastAsia" w:ascii="宋体" w:hAnsi="宋体"/>
          <w:bCs/>
          <w:sz w:val="24"/>
          <w:vertAlign w:val="superscript"/>
        </w:rPr>
      </w:pPr>
      <w:r>
        <w:rPr>
          <w:rFonts w:hint="eastAsia" w:ascii="宋体" w:hAnsi="宋体"/>
          <w:bCs/>
          <w:sz w:val="24"/>
        </w:rPr>
        <w:t>则Q＝0.08×2.3×700×120×0.95＝14683.2m</w:t>
      </w:r>
      <w:r>
        <w:rPr>
          <w:rFonts w:hint="eastAsia" w:ascii="宋体" w:hAnsi="宋体"/>
          <w:bCs/>
          <w:sz w:val="24"/>
          <w:vertAlign w:val="superscript"/>
        </w:rPr>
        <w:t>3</w:t>
      </w:r>
    </w:p>
    <w:p w14:paraId="23B558FD">
      <w:pPr>
        <w:spacing w:line="360" w:lineRule="auto"/>
        <w:ind w:firstLine="480" w:firstLineChars="200"/>
        <w:rPr>
          <w:rFonts w:hint="eastAsia" w:ascii="宋体" w:hAnsi="宋体"/>
          <w:bCs/>
          <w:sz w:val="24"/>
        </w:rPr>
      </w:pPr>
      <w:r>
        <w:rPr>
          <w:rFonts w:hint="eastAsia" w:ascii="宋体" w:hAnsi="宋体"/>
          <w:bCs/>
          <w:sz w:val="24"/>
        </w:rPr>
        <w:t>2）采面日灌浆需土量</w:t>
      </w:r>
    </w:p>
    <w:p w14:paraId="5BE950A2">
      <w:pPr>
        <w:spacing w:line="360" w:lineRule="auto"/>
        <w:ind w:firstLine="480" w:firstLineChars="200"/>
        <w:rPr>
          <w:rFonts w:hint="eastAsia" w:ascii="宋体" w:hAnsi="宋体"/>
          <w:bCs/>
          <w:sz w:val="24"/>
        </w:rPr>
      </w:pPr>
      <w:r>
        <w:rPr>
          <w:rFonts w:hint="eastAsia" w:ascii="宋体" w:hAnsi="宋体"/>
          <w:bCs/>
          <w:sz w:val="24"/>
        </w:rPr>
        <w:t>Q</w:t>
      </w:r>
      <w:r>
        <w:rPr>
          <w:rFonts w:hint="eastAsia" w:ascii="宋体" w:hAnsi="宋体"/>
          <w:bCs/>
          <w:sz w:val="24"/>
          <w:vertAlign w:val="subscript"/>
        </w:rPr>
        <w:t>日</w:t>
      </w:r>
      <w:r>
        <w:rPr>
          <w:rFonts w:hint="eastAsia" w:ascii="宋体" w:hAnsi="宋体"/>
          <w:bCs/>
          <w:sz w:val="24"/>
        </w:rPr>
        <w:t>=K×m×l×H×C</w:t>
      </w:r>
    </w:p>
    <w:p w14:paraId="615298FD">
      <w:pPr>
        <w:spacing w:line="360" w:lineRule="auto"/>
        <w:ind w:firstLine="480" w:firstLineChars="200"/>
        <w:rPr>
          <w:rFonts w:hint="eastAsia" w:ascii="宋体" w:hAnsi="宋体"/>
          <w:bCs/>
          <w:sz w:val="24"/>
        </w:rPr>
      </w:pPr>
      <w:r>
        <w:rPr>
          <w:rFonts w:hint="eastAsia" w:ascii="宋体" w:hAnsi="宋体"/>
          <w:bCs/>
          <w:sz w:val="24"/>
        </w:rPr>
        <w:t>式中：Q</w:t>
      </w:r>
      <w:r>
        <w:rPr>
          <w:rFonts w:hint="eastAsia" w:ascii="宋体" w:hAnsi="宋体"/>
          <w:bCs/>
          <w:sz w:val="24"/>
          <w:vertAlign w:val="subscript"/>
        </w:rPr>
        <w:t>日</w:t>
      </w:r>
      <w:r>
        <w:rPr>
          <w:rFonts w:ascii="宋体" w:hAnsi="宋体"/>
          <w:bCs/>
          <w:sz w:val="24"/>
        </w:rPr>
        <w:t>—</w:t>
      </w:r>
      <w:r>
        <w:rPr>
          <w:rFonts w:hint="eastAsia" w:ascii="宋体" w:hAnsi="宋体"/>
          <w:bCs/>
          <w:sz w:val="24"/>
        </w:rPr>
        <w:t>日灌浆用土量m³；</w:t>
      </w:r>
    </w:p>
    <w:p w14:paraId="21CB9628">
      <w:pPr>
        <w:spacing w:line="360" w:lineRule="auto"/>
        <w:ind w:firstLine="1200" w:firstLineChars="500"/>
        <w:rPr>
          <w:rFonts w:hint="eastAsia" w:ascii="宋体" w:hAnsi="宋体"/>
          <w:bCs/>
          <w:sz w:val="24"/>
        </w:rPr>
      </w:pPr>
      <w:r>
        <w:rPr>
          <w:rFonts w:hint="eastAsia" w:ascii="宋体" w:hAnsi="宋体"/>
          <w:bCs/>
          <w:sz w:val="24"/>
        </w:rPr>
        <w:t>l</w:t>
      </w:r>
      <w:r>
        <w:rPr>
          <w:rFonts w:ascii="宋体" w:hAnsi="宋体"/>
          <w:bCs/>
          <w:sz w:val="24"/>
        </w:rPr>
        <w:t>—</w:t>
      </w:r>
      <w:r>
        <w:rPr>
          <w:rFonts w:hint="eastAsia" w:ascii="宋体" w:hAnsi="宋体"/>
          <w:bCs/>
          <w:sz w:val="24"/>
        </w:rPr>
        <w:t>工作面日推进度，3.0m/d；</w:t>
      </w:r>
    </w:p>
    <w:p w14:paraId="068ACD8C">
      <w:pPr>
        <w:spacing w:line="360" w:lineRule="auto"/>
        <w:ind w:firstLine="480" w:firstLineChars="200"/>
        <w:rPr>
          <w:rFonts w:hint="eastAsia" w:ascii="宋体" w:hAnsi="宋体"/>
          <w:bCs/>
          <w:sz w:val="24"/>
          <w:vertAlign w:val="superscript"/>
        </w:rPr>
      </w:pPr>
      <w:r>
        <w:rPr>
          <w:rFonts w:hint="eastAsia" w:ascii="宋体" w:hAnsi="宋体"/>
          <w:bCs/>
          <w:sz w:val="24"/>
        </w:rPr>
        <w:t>则Q</w:t>
      </w:r>
      <w:r>
        <w:rPr>
          <w:rFonts w:hint="eastAsia" w:ascii="宋体" w:hAnsi="宋体"/>
          <w:bCs/>
          <w:sz w:val="24"/>
          <w:vertAlign w:val="subscript"/>
        </w:rPr>
        <w:t>日</w:t>
      </w:r>
      <w:r>
        <w:rPr>
          <w:rFonts w:hint="eastAsia" w:ascii="宋体" w:hAnsi="宋体"/>
          <w:bCs/>
          <w:sz w:val="24"/>
        </w:rPr>
        <w:t>＝0.08×2.3×3.0×120×0.95＝62.93m</w:t>
      </w:r>
      <w:r>
        <w:rPr>
          <w:rFonts w:hint="eastAsia" w:ascii="宋体" w:hAnsi="宋体"/>
          <w:bCs/>
          <w:sz w:val="24"/>
          <w:vertAlign w:val="superscript"/>
        </w:rPr>
        <w:t>3</w:t>
      </w:r>
    </w:p>
    <w:p w14:paraId="5AAE82A2">
      <w:pPr>
        <w:spacing w:line="360" w:lineRule="auto"/>
        <w:ind w:firstLine="480" w:firstLineChars="200"/>
        <w:rPr>
          <w:rFonts w:hint="eastAsia" w:ascii="宋体" w:hAnsi="宋体"/>
          <w:sz w:val="24"/>
        </w:rPr>
      </w:pPr>
      <w:r>
        <w:rPr>
          <w:rFonts w:hint="eastAsia" w:ascii="宋体" w:hAnsi="宋体"/>
          <w:sz w:val="24"/>
        </w:rPr>
        <w:t>（4）注浆流量</w:t>
      </w:r>
    </w:p>
    <w:p w14:paraId="4DB0AE94">
      <w:pPr>
        <w:spacing w:line="360" w:lineRule="auto"/>
        <w:ind w:firstLine="480" w:firstLineChars="200"/>
        <w:rPr>
          <w:rFonts w:hint="eastAsia" w:ascii="宋体" w:hAnsi="宋体"/>
          <w:bCs/>
          <w:sz w:val="24"/>
        </w:rPr>
      </w:pPr>
      <w:r>
        <w:rPr>
          <w:rFonts w:hint="eastAsia" w:ascii="宋体" w:hAnsi="宋体"/>
          <w:bCs/>
          <w:sz w:val="24"/>
        </w:rPr>
        <w:t>回采工作面灌浆、洒浆防火土水比取1:2.5，采煤面作业方式为“四、六制”，三采一准，灌浆站一班灌浆，纯灌浆时间4h。</w:t>
      </w:r>
    </w:p>
    <w:p w14:paraId="786D6FC8">
      <w:pPr>
        <w:spacing w:line="360" w:lineRule="auto"/>
        <w:ind w:firstLine="480" w:firstLineChars="200"/>
        <w:rPr>
          <w:rFonts w:hint="eastAsia" w:ascii="宋体" w:hAnsi="宋体"/>
          <w:bCs/>
          <w:sz w:val="24"/>
        </w:rPr>
      </w:pPr>
      <w:r>
        <w:rPr>
          <w:rFonts w:hint="eastAsia" w:ascii="宋体" w:hAnsi="宋体"/>
          <w:bCs/>
          <w:sz w:val="24"/>
        </w:rPr>
        <w:t>则所需注浆流量：Q</w:t>
      </w:r>
      <w:r>
        <w:rPr>
          <w:rFonts w:hint="eastAsia" w:ascii="宋体" w:hAnsi="宋体"/>
          <w:bCs/>
          <w:sz w:val="24"/>
          <w:vertAlign w:val="subscript"/>
        </w:rPr>
        <w:t>j</w:t>
      </w:r>
      <w:r>
        <w:rPr>
          <w:rFonts w:hint="eastAsia" w:ascii="宋体" w:hAnsi="宋体"/>
          <w:bCs/>
          <w:sz w:val="24"/>
        </w:rPr>
        <w:t>=62.93/4=15.73m</w:t>
      </w:r>
      <w:r>
        <w:rPr>
          <w:rFonts w:hint="eastAsia" w:ascii="宋体" w:hAnsi="宋体"/>
          <w:bCs/>
          <w:sz w:val="24"/>
          <w:vertAlign w:val="superscript"/>
        </w:rPr>
        <w:t>3</w:t>
      </w:r>
      <w:r>
        <w:rPr>
          <w:rFonts w:hint="eastAsia" w:ascii="宋体" w:hAnsi="宋体"/>
          <w:bCs/>
          <w:sz w:val="24"/>
        </w:rPr>
        <w:t>/h</w:t>
      </w:r>
    </w:p>
    <w:p w14:paraId="3B0FF25F">
      <w:pPr>
        <w:spacing w:line="360" w:lineRule="auto"/>
        <w:ind w:firstLine="480" w:firstLineChars="200"/>
        <w:rPr>
          <w:rFonts w:hint="eastAsia" w:ascii="宋体" w:hAnsi="宋体"/>
          <w:bCs/>
          <w:color w:val="000000"/>
          <w:sz w:val="24"/>
        </w:rPr>
      </w:pPr>
      <w:r>
        <w:rPr>
          <w:rFonts w:hint="eastAsia" w:ascii="宋体" w:hAnsi="宋体"/>
          <w:bCs/>
          <w:color w:val="000000"/>
          <w:sz w:val="24"/>
        </w:rPr>
        <w:t>4、注浆材料</w:t>
      </w:r>
    </w:p>
    <w:p w14:paraId="7E0FAACB">
      <w:pPr>
        <w:spacing w:line="360" w:lineRule="auto"/>
        <w:ind w:firstLine="480" w:firstLineChars="200"/>
        <w:rPr>
          <w:rFonts w:hint="eastAsia" w:ascii="宋体" w:hAnsi="宋体"/>
          <w:sz w:val="24"/>
          <w:u w:val="single"/>
        </w:rPr>
      </w:pPr>
      <w:r>
        <w:rPr>
          <w:rFonts w:hint="eastAsia" w:ascii="宋体" w:hAnsi="宋体"/>
          <w:sz w:val="24"/>
          <w:u w:val="single"/>
        </w:rPr>
        <w:t>该矿注浆材料初步选用页岩、矸石等不燃性材料，也可注石灰浆，业主应根据现场实际情况确定；</w:t>
      </w:r>
    </w:p>
    <w:p w14:paraId="25B25DFA">
      <w:pPr>
        <w:spacing w:line="360" w:lineRule="auto"/>
        <w:ind w:firstLine="480" w:firstLineChars="200"/>
        <w:rPr>
          <w:rFonts w:hint="eastAsia" w:ascii="宋体" w:hAnsi="宋体"/>
          <w:sz w:val="24"/>
        </w:rPr>
      </w:pPr>
      <w:r>
        <w:rPr>
          <w:rFonts w:hint="eastAsia" w:ascii="宋体" w:hAnsi="宋体"/>
          <w:sz w:val="24"/>
        </w:rPr>
        <w:t>注浆材料成浆性能指标(0.1mm以下级别的样品)应达到如下规定：</w:t>
      </w:r>
    </w:p>
    <w:p w14:paraId="5F2DD023">
      <w:pPr>
        <w:spacing w:line="360" w:lineRule="auto"/>
        <w:ind w:firstLine="480" w:firstLineChars="200"/>
        <w:rPr>
          <w:rFonts w:hint="eastAsia" w:ascii="宋体" w:hAnsi="宋体"/>
          <w:sz w:val="24"/>
        </w:rPr>
      </w:pPr>
      <w:r>
        <w:rPr>
          <w:rFonts w:hint="eastAsia" w:ascii="宋体" w:hAnsi="宋体"/>
          <w:sz w:val="24"/>
        </w:rPr>
        <w:t xml:space="preserve">（1）沉降速度1～10mm/min； </w:t>
      </w:r>
    </w:p>
    <w:p w14:paraId="75D21DA6">
      <w:pPr>
        <w:spacing w:line="360" w:lineRule="auto"/>
        <w:ind w:firstLine="480" w:firstLineChars="200"/>
        <w:rPr>
          <w:rFonts w:hint="eastAsia" w:ascii="宋体" w:hAnsi="宋体"/>
          <w:sz w:val="24"/>
        </w:rPr>
      </w:pPr>
      <w:r>
        <w:rPr>
          <w:rFonts w:hint="eastAsia" w:ascii="宋体" w:hAnsi="宋体"/>
          <w:sz w:val="24"/>
        </w:rPr>
        <w:t xml:space="preserve">（2）临界稳定时间为20～60min； </w:t>
      </w:r>
    </w:p>
    <w:p w14:paraId="1753C503">
      <w:pPr>
        <w:spacing w:line="360" w:lineRule="auto"/>
        <w:ind w:firstLine="480" w:firstLineChars="200"/>
        <w:rPr>
          <w:rFonts w:hint="eastAsia" w:ascii="宋体" w:hAnsi="宋体"/>
          <w:sz w:val="24"/>
        </w:rPr>
      </w:pPr>
      <w:r>
        <w:rPr>
          <w:rFonts w:hint="eastAsia" w:ascii="宋体" w:hAnsi="宋体"/>
          <w:sz w:val="24"/>
        </w:rPr>
        <w:t xml:space="preserve">（3）塑性指数7～14； </w:t>
      </w:r>
    </w:p>
    <w:p w14:paraId="6266D518">
      <w:pPr>
        <w:spacing w:line="360" w:lineRule="auto"/>
        <w:ind w:firstLine="480" w:firstLineChars="200"/>
        <w:rPr>
          <w:rFonts w:hint="eastAsia" w:ascii="宋体" w:hAnsi="宋体"/>
          <w:sz w:val="24"/>
        </w:rPr>
      </w:pPr>
      <w:r>
        <w:rPr>
          <w:rFonts w:hint="eastAsia" w:ascii="宋体" w:hAnsi="宋体"/>
          <w:sz w:val="24"/>
        </w:rPr>
        <w:t>（4）粘度系数(1～2)×10</w:t>
      </w:r>
      <w:r>
        <w:rPr>
          <w:rFonts w:hint="eastAsia" w:ascii="宋体" w:hAnsi="宋体"/>
          <w:sz w:val="24"/>
          <w:vertAlign w:val="superscript"/>
        </w:rPr>
        <w:t>-3</w:t>
      </w:r>
      <w:r>
        <w:rPr>
          <w:rFonts w:hint="eastAsia" w:ascii="宋体" w:hAnsi="宋体"/>
          <w:sz w:val="24"/>
        </w:rPr>
        <w:t xml:space="preserve">Pa.S； </w:t>
      </w:r>
    </w:p>
    <w:p w14:paraId="43DDD673">
      <w:pPr>
        <w:spacing w:line="360" w:lineRule="auto"/>
        <w:ind w:firstLine="480" w:firstLineChars="200"/>
        <w:rPr>
          <w:rFonts w:hint="eastAsia" w:ascii="宋体" w:hAnsi="宋体"/>
          <w:sz w:val="24"/>
        </w:rPr>
      </w:pPr>
      <w:r>
        <w:rPr>
          <w:rFonts w:hint="eastAsia" w:ascii="宋体" w:hAnsi="宋体"/>
          <w:sz w:val="24"/>
        </w:rPr>
        <w:t>（5）氧化镁胶体混合物含量20％～35％；</w:t>
      </w:r>
    </w:p>
    <w:p w14:paraId="294D6FCB">
      <w:pPr>
        <w:spacing w:line="360" w:lineRule="auto"/>
        <w:ind w:firstLine="480" w:firstLineChars="200"/>
        <w:rPr>
          <w:rFonts w:hint="eastAsia" w:ascii="宋体" w:hAnsi="宋体"/>
          <w:sz w:val="24"/>
        </w:rPr>
      </w:pPr>
      <w:r>
        <w:rPr>
          <w:rFonts w:hint="eastAsia" w:ascii="宋体" w:hAnsi="宋体"/>
          <w:sz w:val="24"/>
        </w:rPr>
        <w:t>（6）含砂量10％～30％。</w:t>
      </w:r>
    </w:p>
    <w:p w14:paraId="35230939">
      <w:pPr>
        <w:spacing w:line="360" w:lineRule="auto"/>
        <w:ind w:firstLine="480" w:firstLineChars="200"/>
        <w:rPr>
          <w:rFonts w:hint="eastAsia" w:ascii="宋体" w:hAnsi="宋体"/>
          <w:bCs/>
          <w:color w:val="000000"/>
          <w:sz w:val="24"/>
        </w:rPr>
      </w:pPr>
      <w:r>
        <w:rPr>
          <w:rFonts w:hint="eastAsia" w:ascii="宋体" w:hAnsi="宋体"/>
          <w:bCs/>
          <w:color w:val="000000"/>
          <w:sz w:val="24"/>
        </w:rPr>
        <w:t>5、浆液的制备方法</w:t>
      </w:r>
    </w:p>
    <w:p w14:paraId="44B0D3D1">
      <w:pPr>
        <w:spacing w:line="360" w:lineRule="auto"/>
        <w:ind w:firstLine="480" w:firstLineChars="200"/>
        <w:rPr>
          <w:rFonts w:hint="eastAsia" w:ascii="宋体" w:hAnsi="宋体"/>
          <w:sz w:val="24"/>
        </w:rPr>
      </w:pPr>
      <w:r>
        <w:rPr>
          <w:rFonts w:hint="eastAsia" w:ascii="宋体" w:hAnsi="宋体"/>
          <w:sz w:val="24"/>
        </w:rPr>
        <w:t>设计使用煤炭科学研究总院抚顺分院生产的ZHJ12/1.2型矿用移动注浆站，该型号注浆站配备机械搅拌系统，机械化连续作业，只要及时添料就可生产出所要求的高质量浆液。ZHJ12/1.2型矿用移动注浆站技术参数见下表：</w:t>
      </w:r>
    </w:p>
    <w:tbl>
      <w:tblPr>
        <w:tblStyle w:val="62"/>
        <w:tblW w:w="0" w:type="auto"/>
        <w:jc w:val="center"/>
        <w:tblLayout w:type="fixed"/>
        <w:tblCellMar>
          <w:top w:w="0" w:type="dxa"/>
          <w:left w:w="108" w:type="dxa"/>
          <w:bottom w:w="0" w:type="dxa"/>
          <w:right w:w="108" w:type="dxa"/>
        </w:tblCellMar>
      </w:tblPr>
      <w:tblGrid>
        <w:gridCol w:w="4834"/>
        <w:gridCol w:w="4152"/>
      </w:tblGrid>
      <w:tr w14:paraId="5902462F">
        <w:tblPrEx>
          <w:tblCellMar>
            <w:top w:w="0" w:type="dxa"/>
            <w:left w:w="108" w:type="dxa"/>
            <w:bottom w:w="0" w:type="dxa"/>
            <w:right w:w="108" w:type="dxa"/>
          </w:tblCellMar>
        </w:tblPrEx>
        <w:trPr>
          <w:wBefore w:w="0" w:type="dxa"/>
          <w:wAfter w:w="0" w:type="dxa"/>
          <w:trHeight w:val="340" w:hRule="atLeast"/>
          <w:jc w:val="center"/>
        </w:trPr>
        <w:tc>
          <w:tcPr>
            <w:tcW w:w="4834" w:type="dxa"/>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1555ABEA">
            <w:pPr>
              <w:widowControl/>
              <w:ind w:firstLine="120" w:firstLineChars="50"/>
              <w:jc w:val="left"/>
              <w:rPr>
                <w:rFonts w:ascii="宋体" w:hAnsi="宋体" w:cs="宋体"/>
                <w:sz w:val="24"/>
              </w:rPr>
            </w:pPr>
            <w:r>
              <w:rPr>
                <w:rFonts w:hint="eastAsia" w:ascii="宋体" w:hAnsi="宋体" w:cs="宋体"/>
                <w:sz w:val="24"/>
              </w:rPr>
              <w:t>项目      　　　　　　　　       型号</w:t>
            </w:r>
          </w:p>
        </w:tc>
        <w:tc>
          <w:tcPr>
            <w:tcW w:w="4152" w:type="dxa"/>
            <w:vMerge w:val="restart"/>
            <w:tcBorders>
              <w:top w:val="single" w:color="auto" w:sz="4" w:space="0"/>
              <w:left w:val="single" w:color="auto" w:sz="4" w:space="0"/>
              <w:bottom w:val="single" w:color="auto" w:sz="4" w:space="0"/>
              <w:right w:val="single" w:color="auto" w:sz="4" w:space="0"/>
            </w:tcBorders>
            <w:noWrap w:val="0"/>
            <w:vAlign w:val="center"/>
          </w:tcPr>
          <w:p w14:paraId="3478F5B2">
            <w:pPr>
              <w:widowControl/>
              <w:jc w:val="center"/>
              <w:rPr>
                <w:rFonts w:ascii="宋体" w:hAnsi="宋体" w:cs="宋体"/>
                <w:sz w:val="24"/>
              </w:rPr>
            </w:pPr>
            <w:r>
              <w:rPr>
                <w:rFonts w:hint="eastAsia" w:ascii="宋体" w:hAnsi="宋体" w:cs="宋体"/>
                <w:sz w:val="24"/>
              </w:rPr>
              <w:t>ZHJ-12/1.2</w:t>
            </w:r>
          </w:p>
        </w:tc>
      </w:tr>
      <w:tr w14:paraId="4FF71E60">
        <w:tblPrEx>
          <w:tblCellMar>
            <w:top w:w="0" w:type="dxa"/>
            <w:left w:w="108" w:type="dxa"/>
            <w:bottom w:w="0" w:type="dxa"/>
            <w:right w:w="108" w:type="dxa"/>
          </w:tblCellMar>
        </w:tblPrEx>
        <w:trPr>
          <w:wBefore w:w="0" w:type="dxa"/>
          <w:wAfter w:w="0" w:type="dxa"/>
          <w:trHeight w:val="340" w:hRule="atLeast"/>
          <w:jc w:val="center"/>
        </w:trPr>
        <w:tc>
          <w:tcPr>
            <w:tcW w:w="4834" w:type="dxa"/>
            <w:vMerge w:val="continue"/>
            <w:tcBorders>
              <w:top w:val="single" w:color="auto" w:sz="4" w:space="0"/>
              <w:left w:val="single" w:color="auto" w:sz="4" w:space="0"/>
              <w:bottom w:val="single" w:color="auto" w:sz="4" w:space="0"/>
              <w:right w:val="single" w:color="auto" w:sz="4" w:space="0"/>
            </w:tcBorders>
            <w:noWrap w:val="0"/>
            <w:vAlign w:val="center"/>
          </w:tcPr>
          <w:p w14:paraId="787BBF74">
            <w:pPr>
              <w:widowControl/>
              <w:jc w:val="left"/>
              <w:rPr>
                <w:rFonts w:ascii="宋体" w:hAnsi="宋体" w:cs="宋体"/>
                <w:sz w:val="24"/>
              </w:rPr>
            </w:pPr>
          </w:p>
        </w:tc>
        <w:tc>
          <w:tcPr>
            <w:tcW w:w="4152" w:type="dxa"/>
            <w:vMerge w:val="continue"/>
            <w:tcBorders>
              <w:top w:val="single" w:color="auto" w:sz="4" w:space="0"/>
              <w:left w:val="single" w:color="auto" w:sz="4" w:space="0"/>
              <w:bottom w:val="single" w:color="auto" w:sz="4" w:space="0"/>
              <w:right w:val="single" w:color="auto" w:sz="4" w:space="0"/>
            </w:tcBorders>
            <w:noWrap w:val="0"/>
            <w:vAlign w:val="center"/>
          </w:tcPr>
          <w:p w14:paraId="26919A4C">
            <w:pPr>
              <w:widowControl/>
              <w:jc w:val="left"/>
              <w:rPr>
                <w:rFonts w:ascii="宋体" w:hAnsi="宋体" w:cs="宋体"/>
                <w:sz w:val="24"/>
              </w:rPr>
            </w:pPr>
          </w:p>
        </w:tc>
      </w:tr>
      <w:tr w14:paraId="73A43613">
        <w:tblPrEx>
          <w:tblCellMar>
            <w:top w:w="0" w:type="dxa"/>
            <w:left w:w="108" w:type="dxa"/>
            <w:bottom w:w="0" w:type="dxa"/>
            <w:right w:w="108" w:type="dxa"/>
          </w:tblCellMar>
        </w:tblPrEx>
        <w:trPr>
          <w:wBefore w:w="0" w:type="dxa"/>
          <w:wAfter w:w="0" w:type="dxa"/>
          <w:trHeight w:val="340" w:hRule="atLeast"/>
          <w:jc w:val="center"/>
        </w:trPr>
        <w:tc>
          <w:tcPr>
            <w:tcW w:w="4834" w:type="dxa"/>
            <w:tcBorders>
              <w:top w:val="nil"/>
              <w:left w:val="single" w:color="auto" w:sz="4" w:space="0"/>
              <w:bottom w:val="single" w:color="auto" w:sz="4" w:space="0"/>
              <w:right w:val="single" w:color="auto" w:sz="4" w:space="0"/>
            </w:tcBorders>
            <w:noWrap w:val="0"/>
            <w:vAlign w:val="center"/>
          </w:tcPr>
          <w:p w14:paraId="3335AA79">
            <w:pPr>
              <w:widowControl/>
              <w:jc w:val="left"/>
              <w:rPr>
                <w:rFonts w:ascii="宋体" w:hAnsi="宋体" w:cs="宋体"/>
                <w:sz w:val="24"/>
              </w:rPr>
            </w:pPr>
            <w:r>
              <w:rPr>
                <w:rFonts w:hint="eastAsia" w:ascii="宋体" w:hAnsi="宋体" w:cs="宋体"/>
                <w:sz w:val="24"/>
              </w:rPr>
              <w:t>输入电源电压（V）</w:t>
            </w:r>
          </w:p>
        </w:tc>
        <w:tc>
          <w:tcPr>
            <w:tcW w:w="4152" w:type="dxa"/>
            <w:tcBorders>
              <w:top w:val="nil"/>
              <w:left w:val="nil"/>
              <w:bottom w:val="single" w:color="auto" w:sz="4" w:space="0"/>
              <w:right w:val="single" w:color="auto" w:sz="4" w:space="0"/>
            </w:tcBorders>
            <w:noWrap w:val="0"/>
            <w:vAlign w:val="center"/>
          </w:tcPr>
          <w:p w14:paraId="49934E64">
            <w:pPr>
              <w:widowControl/>
              <w:jc w:val="center"/>
              <w:rPr>
                <w:rFonts w:ascii="宋体" w:hAnsi="宋体" w:cs="宋体"/>
                <w:sz w:val="24"/>
              </w:rPr>
            </w:pPr>
            <w:r>
              <w:rPr>
                <w:rFonts w:hint="eastAsia" w:ascii="宋体" w:hAnsi="宋体" w:cs="宋体"/>
                <w:sz w:val="24"/>
              </w:rPr>
              <w:t>380/660</w:t>
            </w:r>
          </w:p>
        </w:tc>
      </w:tr>
      <w:tr w14:paraId="044EC794">
        <w:tblPrEx>
          <w:tblCellMar>
            <w:top w:w="0" w:type="dxa"/>
            <w:left w:w="108" w:type="dxa"/>
            <w:bottom w:w="0" w:type="dxa"/>
            <w:right w:w="108" w:type="dxa"/>
          </w:tblCellMar>
        </w:tblPrEx>
        <w:trPr>
          <w:wBefore w:w="0" w:type="dxa"/>
          <w:wAfter w:w="0" w:type="dxa"/>
          <w:trHeight w:val="340" w:hRule="atLeast"/>
          <w:jc w:val="center"/>
        </w:trPr>
        <w:tc>
          <w:tcPr>
            <w:tcW w:w="4834" w:type="dxa"/>
            <w:tcBorders>
              <w:top w:val="nil"/>
              <w:left w:val="single" w:color="auto" w:sz="4" w:space="0"/>
              <w:bottom w:val="single" w:color="auto" w:sz="4" w:space="0"/>
              <w:right w:val="single" w:color="auto" w:sz="4" w:space="0"/>
            </w:tcBorders>
            <w:noWrap w:val="0"/>
            <w:vAlign w:val="center"/>
          </w:tcPr>
          <w:p w14:paraId="19395DE1">
            <w:pPr>
              <w:widowControl/>
              <w:jc w:val="left"/>
              <w:rPr>
                <w:rFonts w:ascii="宋体" w:hAnsi="宋体" w:cs="宋体"/>
                <w:sz w:val="24"/>
              </w:rPr>
            </w:pPr>
            <w:r>
              <w:rPr>
                <w:rFonts w:hint="eastAsia" w:ascii="宋体" w:hAnsi="宋体" w:cs="宋体"/>
                <w:sz w:val="24"/>
              </w:rPr>
              <w:t>主电机功率（kW）</w:t>
            </w:r>
          </w:p>
        </w:tc>
        <w:tc>
          <w:tcPr>
            <w:tcW w:w="4152" w:type="dxa"/>
            <w:tcBorders>
              <w:top w:val="nil"/>
              <w:left w:val="nil"/>
              <w:bottom w:val="single" w:color="auto" w:sz="4" w:space="0"/>
              <w:right w:val="single" w:color="auto" w:sz="4" w:space="0"/>
            </w:tcBorders>
            <w:noWrap w:val="0"/>
            <w:vAlign w:val="center"/>
          </w:tcPr>
          <w:p w14:paraId="43BCD1C6">
            <w:pPr>
              <w:widowControl/>
              <w:jc w:val="center"/>
              <w:rPr>
                <w:rFonts w:ascii="宋体" w:hAnsi="宋体" w:cs="宋体"/>
                <w:sz w:val="24"/>
              </w:rPr>
            </w:pPr>
            <w:r>
              <w:rPr>
                <w:rFonts w:hint="eastAsia" w:ascii="宋体" w:hAnsi="宋体" w:cs="宋体"/>
                <w:sz w:val="24"/>
              </w:rPr>
              <w:t xml:space="preserve">5.5 </w:t>
            </w:r>
          </w:p>
        </w:tc>
      </w:tr>
      <w:tr w14:paraId="2B4C4671">
        <w:tblPrEx>
          <w:tblCellMar>
            <w:top w:w="0" w:type="dxa"/>
            <w:left w:w="108" w:type="dxa"/>
            <w:bottom w:w="0" w:type="dxa"/>
            <w:right w:w="108" w:type="dxa"/>
          </w:tblCellMar>
        </w:tblPrEx>
        <w:trPr>
          <w:wBefore w:w="0" w:type="dxa"/>
          <w:wAfter w:w="0" w:type="dxa"/>
          <w:trHeight w:val="340" w:hRule="atLeast"/>
          <w:jc w:val="center"/>
        </w:trPr>
        <w:tc>
          <w:tcPr>
            <w:tcW w:w="4834" w:type="dxa"/>
            <w:tcBorders>
              <w:top w:val="nil"/>
              <w:left w:val="single" w:color="auto" w:sz="4" w:space="0"/>
              <w:bottom w:val="single" w:color="auto" w:sz="4" w:space="0"/>
              <w:right w:val="single" w:color="auto" w:sz="4" w:space="0"/>
            </w:tcBorders>
            <w:noWrap w:val="0"/>
            <w:vAlign w:val="center"/>
          </w:tcPr>
          <w:p w14:paraId="0A532A6E">
            <w:pPr>
              <w:widowControl/>
              <w:jc w:val="left"/>
              <w:rPr>
                <w:rFonts w:ascii="宋体" w:hAnsi="宋体" w:cs="宋体"/>
                <w:sz w:val="24"/>
              </w:rPr>
            </w:pPr>
            <w:r>
              <w:rPr>
                <w:rFonts w:hint="eastAsia" w:ascii="宋体" w:hAnsi="宋体" w:cs="宋体"/>
                <w:sz w:val="24"/>
              </w:rPr>
              <w:t>搅拌电机功率（kW）</w:t>
            </w:r>
          </w:p>
        </w:tc>
        <w:tc>
          <w:tcPr>
            <w:tcW w:w="4152" w:type="dxa"/>
            <w:tcBorders>
              <w:top w:val="nil"/>
              <w:left w:val="nil"/>
              <w:bottom w:val="single" w:color="auto" w:sz="4" w:space="0"/>
              <w:right w:val="single" w:color="auto" w:sz="4" w:space="0"/>
            </w:tcBorders>
            <w:noWrap w:val="0"/>
            <w:vAlign w:val="center"/>
          </w:tcPr>
          <w:p w14:paraId="25E40041">
            <w:pPr>
              <w:widowControl/>
              <w:jc w:val="center"/>
              <w:rPr>
                <w:rFonts w:ascii="宋体" w:hAnsi="宋体" w:cs="宋体"/>
                <w:sz w:val="24"/>
              </w:rPr>
            </w:pPr>
            <w:r>
              <w:rPr>
                <w:rFonts w:hint="eastAsia" w:ascii="宋体" w:hAnsi="宋体" w:cs="宋体"/>
                <w:sz w:val="24"/>
              </w:rPr>
              <w:t>2.2×2</w:t>
            </w:r>
          </w:p>
        </w:tc>
      </w:tr>
      <w:tr w14:paraId="3D4AC285">
        <w:tblPrEx>
          <w:tblCellMar>
            <w:top w:w="0" w:type="dxa"/>
            <w:left w:w="108" w:type="dxa"/>
            <w:bottom w:w="0" w:type="dxa"/>
            <w:right w:w="108" w:type="dxa"/>
          </w:tblCellMar>
        </w:tblPrEx>
        <w:trPr>
          <w:wBefore w:w="0" w:type="dxa"/>
          <w:wAfter w:w="0" w:type="dxa"/>
          <w:trHeight w:val="340" w:hRule="atLeast"/>
          <w:jc w:val="center"/>
        </w:trPr>
        <w:tc>
          <w:tcPr>
            <w:tcW w:w="4834" w:type="dxa"/>
            <w:tcBorders>
              <w:top w:val="nil"/>
              <w:left w:val="single" w:color="auto" w:sz="4" w:space="0"/>
              <w:bottom w:val="single" w:color="auto" w:sz="4" w:space="0"/>
              <w:right w:val="single" w:color="auto" w:sz="4" w:space="0"/>
            </w:tcBorders>
            <w:noWrap w:val="0"/>
            <w:vAlign w:val="center"/>
          </w:tcPr>
          <w:p w14:paraId="6323E5CB">
            <w:pPr>
              <w:widowControl/>
              <w:jc w:val="left"/>
              <w:rPr>
                <w:rFonts w:ascii="宋体" w:hAnsi="宋体" w:cs="宋体"/>
                <w:sz w:val="24"/>
              </w:rPr>
            </w:pPr>
            <w:r>
              <w:rPr>
                <w:rFonts w:hint="eastAsia" w:ascii="宋体" w:hAnsi="宋体" w:cs="宋体"/>
                <w:sz w:val="24"/>
              </w:rPr>
              <w:t>储液箱（m</w:t>
            </w:r>
            <w:r>
              <w:rPr>
                <w:rFonts w:hint="eastAsia" w:ascii="宋体" w:hAnsi="宋体" w:cs="宋体"/>
                <w:sz w:val="24"/>
                <w:vertAlign w:val="superscript"/>
              </w:rPr>
              <w:t>3</w:t>
            </w:r>
            <w:r>
              <w:rPr>
                <w:rFonts w:hint="eastAsia" w:ascii="宋体" w:hAnsi="宋体" w:cs="宋体"/>
                <w:sz w:val="24"/>
              </w:rPr>
              <w:t>）</w:t>
            </w:r>
          </w:p>
        </w:tc>
        <w:tc>
          <w:tcPr>
            <w:tcW w:w="4152" w:type="dxa"/>
            <w:tcBorders>
              <w:top w:val="nil"/>
              <w:left w:val="nil"/>
              <w:bottom w:val="single" w:color="auto" w:sz="4" w:space="0"/>
              <w:right w:val="single" w:color="auto" w:sz="4" w:space="0"/>
            </w:tcBorders>
            <w:noWrap w:val="0"/>
            <w:vAlign w:val="center"/>
          </w:tcPr>
          <w:p w14:paraId="42771554">
            <w:pPr>
              <w:widowControl/>
              <w:jc w:val="center"/>
              <w:rPr>
                <w:rFonts w:ascii="宋体" w:hAnsi="宋体" w:cs="宋体"/>
                <w:sz w:val="24"/>
              </w:rPr>
            </w:pPr>
            <w:r>
              <w:rPr>
                <w:rFonts w:hint="eastAsia" w:ascii="宋体" w:hAnsi="宋体" w:cs="宋体"/>
                <w:sz w:val="24"/>
              </w:rPr>
              <w:t>1×2</w:t>
            </w:r>
          </w:p>
        </w:tc>
      </w:tr>
      <w:tr w14:paraId="3AA29707">
        <w:tblPrEx>
          <w:tblCellMar>
            <w:top w:w="0" w:type="dxa"/>
            <w:left w:w="108" w:type="dxa"/>
            <w:bottom w:w="0" w:type="dxa"/>
            <w:right w:w="108" w:type="dxa"/>
          </w:tblCellMar>
        </w:tblPrEx>
        <w:trPr>
          <w:wBefore w:w="0" w:type="dxa"/>
          <w:wAfter w:w="0" w:type="dxa"/>
          <w:trHeight w:val="340" w:hRule="atLeast"/>
          <w:jc w:val="center"/>
        </w:trPr>
        <w:tc>
          <w:tcPr>
            <w:tcW w:w="4834" w:type="dxa"/>
            <w:tcBorders>
              <w:top w:val="nil"/>
              <w:left w:val="single" w:color="auto" w:sz="4" w:space="0"/>
              <w:bottom w:val="single" w:color="auto" w:sz="4" w:space="0"/>
              <w:right w:val="single" w:color="auto" w:sz="4" w:space="0"/>
            </w:tcBorders>
            <w:noWrap w:val="0"/>
            <w:vAlign w:val="center"/>
          </w:tcPr>
          <w:p w14:paraId="16F45E13">
            <w:pPr>
              <w:widowControl/>
              <w:jc w:val="left"/>
              <w:rPr>
                <w:rFonts w:ascii="宋体" w:hAnsi="宋体" w:cs="宋体"/>
                <w:sz w:val="24"/>
              </w:rPr>
            </w:pPr>
            <w:r>
              <w:rPr>
                <w:rFonts w:hint="eastAsia" w:ascii="宋体" w:hAnsi="宋体" w:cs="宋体"/>
                <w:sz w:val="24"/>
              </w:rPr>
              <w:t>注浆出口压力（Mpa）</w:t>
            </w:r>
          </w:p>
        </w:tc>
        <w:tc>
          <w:tcPr>
            <w:tcW w:w="4152" w:type="dxa"/>
            <w:tcBorders>
              <w:top w:val="nil"/>
              <w:left w:val="nil"/>
              <w:bottom w:val="single" w:color="auto" w:sz="4" w:space="0"/>
              <w:right w:val="single" w:color="auto" w:sz="4" w:space="0"/>
            </w:tcBorders>
            <w:noWrap w:val="0"/>
            <w:vAlign w:val="center"/>
          </w:tcPr>
          <w:p w14:paraId="6F3A6C35">
            <w:pPr>
              <w:widowControl/>
              <w:jc w:val="center"/>
              <w:rPr>
                <w:rFonts w:ascii="宋体" w:hAnsi="宋体" w:cs="宋体"/>
                <w:sz w:val="24"/>
              </w:rPr>
            </w:pPr>
            <w:r>
              <w:rPr>
                <w:rFonts w:hint="eastAsia" w:ascii="宋体" w:hAnsi="宋体" w:cs="宋体"/>
                <w:sz w:val="24"/>
              </w:rPr>
              <w:t>1.2</w:t>
            </w:r>
          </w:p>
        </w:tc>
      </w:tr>
      <w:tr w14:paraId="032E8791">
        <w:tblPrEx>
          <w:tblCellMar>
            <w:top w:w="0" w:type="dxa"/>
            <w:left w:w="108" w:type="dxa"/>
            <w:bottom w:w="0" w:type="dxa"/>
            <w:right w:w="108" w:type="dxa"/>
          </w:tblCellMar>
        </w:tblPrEx>
        <w:trPr>
          <w:wBefore w:w="0" w:type="dxa"/>
          <w:wAfter w:w="0" w:type="dxa"/>
          <w:trHeight w:val="340" w:hRule="atLeast"/>
          <w:jc w:val="center"/>
        </w:trPr>
        <w:tc>
          <w:tcPr>
            <w:tcW w:w="4834" w:type="dxa"/>
            <w:tcBorders>
              <w:top w:val="nil"/>
              <w:left w:val="single" w:color="auto" w:sz="4" w:space="0"/>
              <w:bottom w:val="single" w:color="auto" w:sz="4" w:space="0"/>
              <w:right w:val="single" w:color="auto" w:sz="4" w:space="0"/>
            </w:tcBorders>
            <w:noWrap w:val="0"/>
            <w:vAlign w:val="center"/>
          </w:tcPr>
          <w:p w14:paraId="15DF86CC">
            <w:pPr>
              <w:widowControl/>
              <w:jc w:val="left"/>
              <w:rPr>
                <w:rFonts w:ascii="宋体" w:hAnsi="宋体" w:cs="宋体"/>
                <w:sz w:val="24"/>
              </w:rPr>
            </w:pPr>
            <w:r>
              <w:rPr>
                <w:rFonts w:hint="eastAsia" w:ascii="宋体" w:hAnsi="宋体" w:cs="宋体"/>
                <w:sz w:val="24"/>
              </w:rPr>
              <w:t>注浆流量（m</w:t>
            </w:r>
            <w:r>
              <w:rPr>
                <w:rFonts w:hint="eastAsia" w:ascii="宋体" w:hAnsi="宋体" w:cs="宋体"/>
                <w:sz w:val="24"/>
                <w:vertAlign w:val="superscript"/>
              </w:rPr>
              <w:t>3</w:t>
            </w:r>
            <w:r>
              <w:rPr>
                <w:rFonts w:hint="eastAsia" w:ascii="宋体" w:hAnsi="宋体" w:cs="宋体"/>
                <w:sz w:val="24"/>
              </w:rPr>
              <w:t>/h）</w:t>
            </w:r>
          </w:p>
        </w:tc>
        <w:tc>
          <w:tcPr>
            <w:tcW w:w="4152" w:type="dxa"/>
            <w:tcBorders>
              <w:top w:val="nil"/>
              <w:left w:val="nil"/>
              <w:bottom w:val="single" w:color="auto" w:sz="4" w:space="0"/>
              <w:right w:val="single" w:color="auto" w:sz="4" w:space="0"/>
            </w:tcBorders>
            <w:noWrap w:val="0"/>
            <w:vAlign w:val="center"/>
          </w:tcPr>
          <w:p w14:paraId="76A4DBB4">
            <w:pPr>
              <w:widowControl/>
              <w:jc w:val="center"/>
              <w:rPr>
                <w:rFonts w:ascii="宋体" w:hAnsi="宋体" w:cs="宋体"/>
                <w:sz w:val="24"/>
              </w:rPr>
            </w:pPr>
            <w:r>
              <w:rPr>
                <w:rFonts w:hint="eastAsia" w:ascii="宋体" w:hAnsi="宋体" w:cs="宋体"/>
                <w:sz w:val="24"/>
              </w:rPr>
              <w:t>12</w:t>
            </w:r>
          </w:p>
        </w:tc>
      </w:tr>
    </w:tbl>
    <w:p w14:paraId="0F81E7C5">
      <w:pPr>
        <w:spacing w:line="360" w:lineRule="auto"/>
        <w:ind w:firstLine="480" w:firstLineChars="200"/>
        <w:rPr>
          <w:rFonts w:hint="eastAsia" w:ascii="宋体" w:hAnsi="宋体"/>
          <w:bCs/>
          <w:color w:val="000000"/>
          <w:sz w:val="24"/>
        </w:rPr>
      </w:pPr>
      <w:r>
        <w:rPr>
          <w:rFonts w:hint="eastAsia" w:ascii="宋体" w:hAnsi="宋体"/>
          <w:bCs/>
          <w:color w:val="000000"/>
          <w:sz w:val="24"/>
        </w:rPr>
        <w:t>6、输送浆液的管路系统</w:t>
      </w:r>
    </w:p>
    <w:p w14:paraId="38CA80B6">
      <w:pPr>
        <w:spacing w:line="360" w:lineRule="auto"/>
        <w:ind w:firstLine="480" w:firstLineChars="200"/>
        <w:rPr>
          <w:rFonts w:hint="eastAsia" w:ascii="宋体" w:hAnsi="宋体"/>
          <w:sz w:val="24"/>
        </w:rPr>
      </w:pPr>
      <w:r>
        <w:rPr>
          <w:rFonts w:hint="eastAsia" w:ascii="宋体" w:hAnsi="宋体"/>
          <w:sz w:val="24"/>
        </w:rPr>
        <w:t>灌浆管道的选择。当管道中浆液恰好处于无沉积的悬浮状态时的流速称为临界流速（V</w:t>
      </w:r>
      <w:r>
        <w:rPr>
          <w:rFonts w:hint="eastAsia" w:ascii="宋体" w:hAnsi="宋体"/>
          <w:sz w:val="24"/>
          <w:vertAlign w:val="subscript"/>
        </w:rPr>
        <w:t>c</w:t>
      </w:r>
      <w:r>
        <w:rPr>
          <w:rFonts w:hint="eastAsia" w:ascii="宋体" w:hAnsi="宋体"/>
          <w:sz w:val="24"/>
        </w:rPr>
        <w:t>），也叫不淤流速。在这个流速下输送浆液，既能保证不淤积、不堵管，而且消耗的能量又最小。因此，临界流速是一重要参数。与临界流速对应的管径叫临界管径d</w:t>
      </w:r>
      <w:r>
        <w:rPr>
          <w:rFonts w:hint="eastAsia" w:ascii="宋体" w:hAnsi="宋体"/>
          <w:sz w:val="24"/>
          <w:vertAlign w:val="subscript"/>
        </w:rPr>
        <w:t>C</w:t>
      </w:r>
      <w:r>
        <w:rPr>
          <w:rFonts w:hint="eastAsia" w:ascii="宋体" w:hAnsi="宋体"/>
          <w:sz w:val="24"/>
        </w:rPr>
        <w:t>，两者的关系为：d</w:t>
      </w:r>
      <w:r>
        <w:rPr>
          <w:rFonts w:hint="eastAsia" w:ascii="宋体" w:hAnsi="宋体"/>
          <w:sz w:val="24"/>
          <w:vertAlign w:val="subscript"/>
        </w:rPr>
        <w:t>C</w:t>
      </w:r>
      <w:r>
        <w:rPr>
          <w:rFonts w:hint="eastAsia" w:ascii="宋体" w:hAnsi="宋体"/>
          <w:sz w:val="24"/>
        </w:rPr>
        <w:t>=〔Q</w:t>
      </w:r>
      <w:r>
        <w:rPr>
          <w:rFonts w:hint="eastAsia" w:ascii="宋体" w:hAnsi="宋体"/>
          <w:sz w:val="24"/>
          <w:vertAlign w:val="subscript"/>
        </w:rPr>
        <w:t>j</w:t>
      </w:r>
      <w:r>
        <w:rPr>
          <w:rFonts w:hint="eastAsia" w:ascii="宋体" w:hAnsi="宋体"/>
          <w:sz w:val="24"/>
        </w:rPr>
        <w:t>/（π×V</w:t>
      </w:r>
      <w:r>
        <w:rPr>
          <w:rFonts w:hint="eastAsia" w:ascii="宋体" w:hAnsi="宋体"/>
          <w:sz w:val="24"/>
          <w:vertAlign w:val="subscript"/>
        </w:rPr>
        <w:t>C</w:t>
      </w:r>
      <w:r>
        <w:rPr>
          <w:rFonts w:hint="eastAsia" w:ascii="宋体" w:hAnsi="宋体"/>
          <w:sz w:val="24"/>
        </w:rPr>
        <w:t>）〕</w:t>
      </w:r>
      <w:r>
        <w:rPr>
          <w:rFonts w:hint="eastAsia" w:ascii="宋体" w:hAnsi="宋体"/>
          <w:sz w:val="24"/>
          <w:vertAlign w:val="superscript"/>
        </w:rPr>
        <w:t>0.5</w:t>
      </w:r>
      <w:r>
        <w:rPr>
          <w:rFonts w:hint="eastAsia" w:ascii="宋体" w:hAnsi="宋体"/>
          <w:sz w:val="24"/>
        </w:rPr>
        <w:t>/30,灌浆量Q</w:t>
      </w:r>
      <w:r>
        <w:rPr>
          <w:rFonts w:hint="eastAsia" w:ascii="宋体" w:hAnsi="宋体"/>
          <w:sz w:val="24"/>
          <w:vertAlign w:val="subscript"/>
        </w:rPr>
        <w:t>j</w:t>
      </w:r>
      <w:r>
        <w:rPr>
          <w:rFonts w:hint="eastAsia" w:ascii="宋体" w:hAnsi="宋体"/>
          <w:sz w:val="24"/>
        </w:rPr>
        <w:t>值一定时，与Q</w:t>
      </w:r>
      <w:r>
        <w:rPr>
          <w:rFonts w:hint="eastAsia" w:ascii="宋体" w:hAnsi="宋体"/>
          <w:sz w:val="24"/>
          <w:vertAlign w:val="subscript"/>
        </w:rPr>
        <w:t>j</w:t>
      </w:r>
      <w:r>
        <w:rPr>
          <w:rFonts w:hint="eastAsia" w:ascii="宋体" w:hAnsi="宋体"/>
          <w:sz w:val="24"/>
        </w:rPr>
        <w:t>对应的（d</w:t>
      </w:r>
      <w:r>
        <w:rPr>
          <w:rFonts w:hint="eastAsia" w:ascii="宋体" w:hAnsi="宋体"/>
          <w:sz w:val="24"/>
          <w:vertAlign w:val="subscript"/>
        </w:rPr>
        <w:t>c</w:t>
      </w:r>
      <w:r>
        <w:rPr>
          <w:rFonts w:hint="eastAsia" w:ascii="宋体" w:hAnsi="宋体"/>
          <w:sz w:val="24"/>
        </w:rPr>
        <w:t>,V</w:t>
      </w:r>
      <w:r>
        <w:rPr>
          <w:rFonts w:hint="eastAsia" w:ascii="宋体" w:hAnsi="宋体"/>
          <w:sz w:val="24"/>
          <w:vertAlign w:val="subscript"/>
        </w:rPr>
        <w:t>c</w:t>
      </w:r>
      <w:r>
        <w:rPr>
          <w:rFonts w:hint="eastAsia" w:ascii="宋体" w:hAnsi="宋体"/>
          <w:sz w:val="24"/>
        </w:rPr>
        <w:t>）有很多组，矿井可结合实际情况采用试算法确定d</w:t>
      </w:r>
      <w:r>
        <w:rPr>
          <w:rFonts w:hint="eastAsia" w:ascii="宋体" w:hAnsi="宋体"/>
          <w:sz w:val="24"/>
          <w:vertAlign w:val="subscript"/>
        </w:rPr>
        <w:t>c</w:t>
      </w:r>
      <w:r>
        <w:rPr>
          <w:rFonts w:hint="eastAsia" w:ascii="宋体" w:hAnsi="宋体"/>
          <w:sz w:val="24"/>
        </w:rPr>
        <w:t>，一般最好的灌浆输送信线值是5～6。</w:t>
      </w:r>
    </w:p>
    <w:p w14:paraId="63B0DBE5">
      <w:pPr>
        <w:spacing w:line="360" w:lineRule="auto"/>
        <w:ind w:firstLine="480" w:firstLineChars="200"/>
        <w:rPr>
          <w:rFonts w:hint="eastAsia" w:ascii="宋体" w:hAnsi="宋体"/>
          <w:bCs/>
          <w:color w:val="000000"/>
          <w:sz w:val="24"/>
        </w:rPr>
      </w:pPr>
      <w:r>
        <w:rPr>
          <w:rFonts w:hint="eastAsia" w:ascii="宋体" w:hAnsi="宋体"/>
          <w:bCs/>
          <w:color w:val="000000"/>
          <w:sz w:val="24"/>
        </w:rPr>
        <w:t xml:space="preserve">7、矿井注浆防灭火效果考察 </w:t>
      </w:r>
    </w:p>
    <w:p w14:paraId="416D3865">
      <w:pPr>
        <w:spacing w:line="360" w:lineRule="auto"/>
        <w:ind w:firstLine="468" w:firstLineChars="200"/>
        <w:rPr>
          <w:rFonts w:hint="eastAsia" w:ascii="宋体" w:hAnsi="宋体"/>
          <w:spacing w:val="-3"/>
          <w:sz w:val="24"/>
        </w:rPr>
      </w:pPr>
      <w:r>
        <w:rPr>
          <w:rFonts w:hint="eastAsia" w:ascii="宋体" w:hAnsi="宋体"/>
          <w:spacing w:val="-3"/>
          <w:sz w:val="24"/>
        </w:rPr>
        <w:t>派专人定期检测注浆灭火区、注浆防火工作面及其采空区内的气温、煤温和出水温度。</w:t>
      </w:r>
    </w:p>
    <w:p w14:paraId="25BB221F">
      <w:pPr>
        <w:spacing w:line="360" w:lineRule="auto"/>
        <w:ind w:firstLine="480" w:firstLineChars="200"/>
        <w:rPr>
          <w:rFonts w:hint="eastAsia" w:ascii="宋体" w:hAnsi="宋体"/>
          <w:sz w:val="24"/>
        </w:rPr>
      </w:pPr>
      <w:r>
        <w:rPr>
          <w:rFonts w:hint="eastAsia" w:ascii="宋体" w:hAnsi="宋体"/>
          <w:sz w:val="24"/>
        </w:rPr>
        <w:t xml:space="preserve">矿井应建立完善的火灾束管监测系统或地面气体分析实验室。气体分析成份主要有:氧气、甲烷、一氧化碳、二氧化碳。 </w:t>
      </w:r>
    </w:p>
    <w:p w14:paraId="4AC8853B">
      <w:pPr>
        <w:spacing w:line="360" w:lineRule="auto"/>
        <w:ind w:firstLine="480" w:firstLineChars="200"/>
        <w:rPr>
          <w:rFonts w:hint="eastAsia" w:ascii="宋体" w:hAnsi="宋体"/>
          <w:sz w:val="24"/>
        </w:rPr>
      </w:pPr>
      <w:r>
        <w:rPr>
          <w:rFonts w:hint="eastAsia" w:ascii="宋体" w:hAnsi="宋体"/>
          <w:sz w:val="24"/>
        </w:rPr>
        <w:t>（1）采集气体的地点为:</w:t>
      </w:r>
    </w:p>
    <w:p w14:paraId="33735759">
      <w:pPr>
        <w:spacing w:line="360" w:lineRule="auto"/>
        <w:ind w:firstLine="480" w:firstLineChars="200"/>
        <w:rPr>
          <w:rFonts w:hint="eastAsia" w:ascii="宋体" w:hAnsi="宋体"/>
          <w:sz w:val="24"/>
        </w:rPr>
      </w:pPr>
      <w:r>
        <w:rPr>
          <w:rFonts w:hint="eastAsia" w:ascii="宋体" w:hAnsi="宋体"/>
          <w:sz w:val="24"/>
        </w:rPr>
        <w:t>1）回采工作面的回风巷、上隅角、采空区氧化带回风侧；</w:t>
      </w:r>
    </w:p>
    <w:p w14:paraId="034E2B7D">
      <w:pPr>
        <w:spacing w:line="360" w:lineRule="auto"/>
        <w:ind w:firstLine="480" w:firstLineChars="200"/>
        <w:rPr>
          <w:rFonts w:hint="eastAsia" w:ascii="宋体" w:hAnsi="宋体"/>
          <w:sz w:val="24"/>
        </w:rPr>
      </w:pPr>
      <w:r>
        <w:rPr>
          <w:rFonts w:hint="eastAsia" w:ascii="宋体" w:hAnsi="宋体"/>
          <w:sz w:val="24"/>
        </w:rPr>
        <w:t>2）通向火区的密闭墙内侧或钻孔内；</w:t>
      </w:r>
    </w:p>
    <w:p w14:paraId="53C4F995">
      <w:pPr>
        <w:spacing w:line="360" w:lineRule="auto"/>
        <w:ind w:firstLine="480" w:firstLineChars="200"/>
        <w:rPr>
          <w:rFonts w:hint="eastAsia" w:ascii="宋体" w:hAnsi="宋体"/>
          <w:sz w:val="24"/>
        </w:rPr>
      </w:pPr>
      <w:r>
        <w:rPr>
          <w:rFonts w:hint="eastAsia" w:ascii="宋体" w:hAnsi="宋体"/>
          <w:sz w:val="24"/>
        </w:rPr>
        <w:t>3）其他需要的地点。</w:t>
      </w:r>
    </w:p>
    <w:p w14:paraId="5E1EC771">
      <w:pPr>
        <w:spacing w:line="360" w:lineRule="auto"/>
        <w:ind w:firstLine="480" w:firstLineChars="200"/>
        <w:rPr>
          <w:rFonts w:hint="eastAsia" w:ascii="宋体" w:hAnsi="宋体"/>
          <w:sz w:val="24"/>
        </w:rPr>
      </w:pPr>
      <w:r>
        <w:rPr>
          <w:rFonts w:hint="eastAsia" w:ascii="宋体" w:hAnsi="宋体"/>
          <w:sz w:val="24"/>
        </w:rPr>
        <w:t>（2）采用人工取样在地面进行气体分析时，应符合以下要求:</w:t>
      </w:r>
    </w:p>
    <w:p w14:paraId="708757D3">
      <w:pPr>
        <w:spacing w:line="360" w:lineRule="auto"/>
        <w:ind w:firstLine="480" w:firstLineChars="200"/>
        <w:rPr>
          <w:rFonts w:hint="eastAsia" w:ascii="宋体" w:hAnsi="宋体"/>
          <w:sz w:val="24"/>
        </w:rPr>
      </w:pPr>
      <w:r>
        <w:rPr>
          <w:rFonts w:hint="eastAsia" w:ascii="宋体" w:hAnsi="宋体"/>
          <w:sz w:val="24"/>
        </w:rPr>
        <w:t>1）取样必须使用专用取样袋或取样器，取样后应在5h内送到地面实验室进行分析；</w:t>
      </w:r>
    </w:p>
    <w:p w14:paraId="637DD06C">
      <w:pPr>
        <w:spacing w:line="360" w:lineRule="auto"/>
        <w:ind w:firstLine="480" w:firstLineChars="200"/>
        <w:rPr>
          <w:rFonts w:hint="eastAsia" w:ascii="宋体" w:hAnsi="宋体"/>
          <w:sz w:val="24"/>
        </w:rPr>
      </w:pPr>
      <w:r>
        <w:rPr>
          <w:rFonts w:hint="eastAsia" w:ascii="宋体" w:hAnsi="宋体"/>
          <w:sz w:val="24"/>
        </w:rPr>
        <w:t xml:space="preserve">2）注浆防火区域应定期对各取样点取一次样； </w:t>
      </w:r>
    </w:p>
    <w:p w14:paraId="25EEF07D">
      <w:pPr>
        <w:spacing w:line="360" w:lineRule="auto"/>
        <w:ind w:firstLine="480" w:firstLineChars="200"/>
        <w:rPr>
          <w:rFonts w:hint="eastAsia" w:ascii="宋体" w:hAnsi="宋体"/>
          <w:sz w:val="24"/>
        </w:rPr>
      </w:pPr>
      <w:r>
        <w:rPr>
          <w:rFonts w:hint="eastAsia" w:ascii="宋体" w:hAnsi="宋体"/>
          <w:sz w:val="24"/>
        </w:rPr>
        <w:t xml:space="preserve">3）注浆灭火封闭区域内每天取一次样； </w:t>
      </w:r>
    </w:p>
    <w:p w14:paraId="104CD482">
      <w:pPr>
        <w:spacing w:line="360" w:lineRule="auto"/>
        <w:ind w:firstLine="480" w:firstLineChars="200"/>
        <w:rPr>
          <w:rFonts w:hint="eastAsia" w:ascii="宋体" w:hAnsi="宋体"/>
          <w:sz w:val="24"/>
        </w:rPr>
      </w:pPr>
      <w:r>
        <w:rPr>
          <w:rFonts w:hint="eastAsia" w:ascii="宋体" w:hAnsi="宋体"/>
          <w:sz w:val="24"/>
        </w:rPr>
        <w:t xml:space="preserve">4）回采工作面或其他地点在发火期间(未封闭的情况下)每班取一次样。 </w:t>
      </w:r>
    </w:p>
    <w:p w14:paraId="0203DEE9">
      <w:pPr>
        <w:spacing w:line="360" w:lineRule="auto"/>
        <w:ind w:firstLine="480" w:firstLineChars="200"/>
        <w:rPr>
          <w:rFonts w:hint="eastAsia" w:ascii="宋体" w:hAnsi="宋体"/>
          <w:bCs/>
          <w:color w:val="000000"/>
          <w:sz w:val="24"/>
        </w:rPr>
      </w:pPr>
      <w:r>
        <w:rPr>
          <w:rFonts w:hint="eastAsia" w:ascii="宋体" w:hAnsi="宋体"/>
          <w:bCs/>
          <w:color w:val="000000"/>
          <w:sz w:val="24"/>
        </w:rPr>
        <w:t xml:space="preserve">8、注浆防灭火区的管理 </w:t>
      </w:r>
    </w:p>
    <w:p w14:paraId="5F9393A2">
      <w:pPr>
        <w:spacing w:line="360" w:lineRule="auto"/>
        <w:ind w:firstLine="480" w:firstLineChars="200"/>
        <w:rPr>
          <w:rFonts w:hint="eastAsia" w:ascii="宋体" w:hAnsi="宋体"/>
          <w:sz w:val="24"/>
        </w:rPr>
      </w:pPr>
      <w:r>
        <w:rPr>
          <w:rFonts w:hint="eastAsia" w:ascii="宋体" w:hAnsi="宋体"/>
          <w:sz w:val="24"/>
        </w:rPr>
        <w:t>建立防灭火注浆台帐，主要内容应包括：</w:t>
      </w:r>
    </w:p>
    <w:p w14:paraId="3B65B056">
      <w:pPr>
        <w:spacing w:line="360" w:lineRule="auto"/>
        <w:ind w:firstLine="480" w:firstLineChars="200"/>
        <w:rPr>
          <w:rFonts w:hint="eastAsia" w:ascii="宋体" w:hAnsi="宋体"/>
          <w:sz w:val="24"/>
        </w:rPr>
      </w:pPr>
      <w:r>
        <w:rPr>
          <w:rFonts w:hint="eastAsia" w:ascii="宋体" w:hAnsi="宋体"/>
          <w:sz w:val="24"/>
        </w:rPr>
        <w:t>（1）注浆区位置；</w:t>
      </w:r>
    </w:p>
    <w:p w14:paraId="4E931CCC">
      <w:pPr>
        <w:spacing w:line="360" w:lineRule="auto"/>
        <w:ind w:firstLine="480" w:firstLineChars="200"/>
        <w:rPr>
          <w:rFonts w:hint="eastAsia" w:ascii="宋体" w:hAnsi="宋体"/>
          <w:sz w:val="24"/>
        </w:rPr>
      </w:pPr>
      <w:r>
        <w:rPr>
          <w:rFonts w:hint="eastAsia" w:ascii="宋体" w:hAnsi="宋体"/>
          <w:sz w:val="24"/>
        </w:rPr>
        <w:t>（2）钻孔工程；</w:t>
      </w:r>
    </w:p>
    <w:p w14:paraId="462A7CE2">
      <w:pPr>
        <w:spacing w:line="360" w:lineRule="auto"/>
        <w:ind w:firstLine="480" w:firstLineChars="200"/>
        <w:rPr>
          <w:rFonts w:hint="eastAsia" w:ascii="宋体" w:hAnsi="宋体"/>
          <w:sz w:val="24"/>
        </w:rPr>
      </w:pPr>
      <w:r>
        <w:rPr>
          <w:rFonts w:hint="eastAsia" w:ascii="宋体" w:hAnsi="宋体"/>
          <w:sz w:val="24"/>
        </w:rPr>
        <w:t>（3）注浆工程；</w:t>
      </w:r>
    </w:p>
    <w:p w14:paraId="310F8AEE">
      <w:pPr>
        <w:spacing w:line="360" w:lineRule="auto"/>
        <w:ind w:firstLine="480" w:firstLineChars="200"/>
        <w:rPr>
          <w:rFonts w:hint="eastAsia" w:ascii="宋体" w:hAnsi="宋体"/>
          <w:sz w:val="24"/>
        </w:rPr>
      </w:pPr>
      <w:r>
        <w:rPr>
          <w:rFonts w:hint="eastAsia" w:ascii="宋体" w:hAnsi="宋体"/>
          <w:sz w:val="24"/>
        </w:rPr>
        <w:t>（4）防灭火密闭墙工程；</w:t>
      </w:r>
    </w:p>
    <w:p w14:paraId="13C1035D">
      <w:pPr>
        <w:spacing w:line="360" w:lineRule="auto"/>
        <w:ind w:firstLine="480" w:firstLineChars="200"/>
        <w:rPr>
          <w:rFonts w:hint="eastAsia" w:ascii="宋体" w:hAnsi="宋体"/>
          <w:sz w:val="24"/>
        </w:rPr>
      </w:pPr>
      <w:r>
        <w:rPr>
          <w:rFonts w:hint="eastAsia" w:ascii="宋体" w:hAnsi="宋体"/>
          <w:sz w:val="24"/>
        </w:rPr>
        <w:t>（5）气体分析及温度记录；</w:t>
      </w:r>
    </w:p>
    <w:p w14:paraId="76B1DFBE">
      <w:pPr>
        <w:spacing w:line="360" w:lineRule="auto"/>
        <w:ind w:firstLine="480" w:firstLineChars="200"/>
        <w:rPr>
          <w:rFonts w:hint="eastAsia" w:ascii="宋体" w:hAnsi="宋体"/>
          <w:sz w:val="24"/>
        </w:rPr>
      </w:pPr>
      <w:r>
        <w:rPr>
          <w:rFonts w:hint="eastAsia" w:ascii="宋体" w:hAnsi="宋体"/>
          <w:sz w:val="24"/>
        </w:rPr>
        <w:t>（6）泥浆分布状况等。</w:t>
      </w:r>
    </w:p>
    <w:p w14:paraId="294BD214">
      <w:pPr>
        <w:spacing w:line="360" w:lineRule="auto"/>
        <w:ind w:firstLine="480" w:firstLineChars="200"/>
        <w:rPr>
          <w:rFonts w:hint="eastAsia" w:ascii="宋体" w:hAnsi="宋体"/>
          <w:bCs/>
          <w:color w:val="000000"/>
          <w:sz w:val="24"/>
        </w:rPr>
      </w:pPr>
      <w:r>
        <w:rPr>
          <w:rFonts w:hint="eastAsia" w:ascii="宋体" w:hAnsi="宋体"/>
          <w:bCs/>
          <w:color w:val="000000"/>
          <w:sz w:val="24"/>
        </w:rPr>
        <w:t>9、矿井注浆防灭火安全措施</w:t>
      </w:r>
    </w:p>
    <w:p w14:paraId="42F68AD3">
      <w:pPr>
        <w:spacing w:line="360" w:lineRule="auto"/>
        <w:ind w:firstLine="480" w:firstLineChars="200"/>
        <w:rPr>
          <w:rFonts w:hint="eastAsia" w:ascii="宋体" w:hAnsi="宋体"/>
          <w:sz w:val="24"/>
        </w:rPr>
      </w:pPr>
      <w:r>
        <w:rPr>
          <w:rFonts w:hint="eastAsia" w:ascii="宋体" w:hAnsi="宋体"/>
          <w:sz w:val="24"/>
        </w:rPr>
        <w:t>（1）采空区灌入水量与排出水量均应详细记录，若排出水量很少时，则表明灌浆区内可能有大量泥浆水积存，应停止灌浆，采取放水措施。若排出的水中泥砂量增大，则说明采空区中可能形成了泥浆通道，使泥浆不能均匀充填煤矸间空隙，而直接流到采空区下部被排出，此时应在泥浆中加入砂子和石灰填塞通道。</w:t>
      </w:r>
    </w:p>
    <w:p w14:paraId="774C5BF0">
      <w:pPr>
        <w:spacing w:line="360" w:lineRule="auto"/>
        <w:ind w:firstLine="480" w:firstLineChars="200"/>
        <w:rPr>
          <w:rFonts w:hint="eastAsia" w:ascii="宋体" w:hAnsi="宋体"/>
          <w:sz w:val="24"/>
        </w:rPr>
      </w:pPr>
      <w:r>
        <w:rPr>
          <w:rFonts w:hint="eastAsia" w:ascii="宋体" w:hAnsi="宋体"/>
          <w:sz w:val="24"/>
        </w:rPr>
        <w:t>（2）灌浆后应再灌几分钟清水，清洗管道，以免泥浆在管道内沉淀。</w:t>
      </w:r>
    </w:p>
    <w:p w14:paraId="00646663">
      <w:pPr>
        <w:spacing w:line="360" w:lineRule="auto"/>
        <w:ind w:firstLine="480" w:firstLineChars="200"/>
        <w:rPr>
          <w:rFonts w:hint="eastAsia" w:ascii="宋体" w:hAnsi="宋体"/>
          <w:sz w:val="24"/>
        </w:rPr>
      </w:pPr>
      <w:r>
        <w:rPr>
          <w:rFonts w:hint="eastAsia" w:ascii="宋体" w:hAnsi="宋体"/>
          <w:sz w:val="24"/>
        </w:rPr>
        <w:t>（3）在灌浆区下部巷道中必须用滤浆密闭将灌浆区和工作区隔开，而且要求滤浆密闭有一定的强度，防止崩浆事故发生。</w:t>
      </w:r>
    </w:p>
    <w:p w14:paraId="208A7DD9">
      <w:pPr>
        <w:spacing w:line="360" w:lineRule="auto"/>
        <w:ind w:firstLine="480" w:firstLineChars="200"/>
        <w:rPr>
          <w:rFonts w:hint="eastAsia" w:ascii="宋体" w:hAnsi="宋体"/>
          <w:sz w:val="24"/>
        </w:rPr>
      </w:pPr>
      <w:r>
        <w:rPr>
          <w:rFonts w:hint="eastAsia" w:ascii="宋体" w:hAnsi="宋体"/>
          <w:sz w:val="24"/>
        </w:rPr>
        <w:t>（4）在煤层浅部灌浆时，要及时填塞地表塌陷坑及钻孔，防止地表水流入井下。</w:t>
      </w:r>
    </w:p>
    <w:p w14:paraId="1D5D7C1E">
      <w:pPr>
        <w:spacing w:line="360" w:lineRule="auto"/>
        <w:ind w:firstLine="480" w:firstLineChars="200"/>
        <w:rPr>
          <w:rFonts w:hint="eastAsia" w:ascii="宋体" w:hAnsi="宋体"/>
          <w:sz w:val="24"/>
        </w:rPr>
      </w:pPr>
      <w:r>
        <w:rPr>
          <w:rFonts w:hint="eastAsia" w:ascii="宋体" w:hAnsi="宋体"/>
          <w:sz w:val="24"/>
        </w:rPr>
        <w:t>（5）在灌浆区下部进行采掘前，必须对灌浆区进行检查，一旦发现有积水，必须打钻放水后，才能进行采掘工作，注意观察灌浆效果和底板是否因浆水影响产生底鼓，防支柱倒坍。</w:t>
      </w:r>
    </w:p>
    <w:p w14:paraId="5562A9D9">
      <w:pPr>
        <w:spacing w:before="120" w:beforeLines="50" w:after="120" w:afterLines="50" w:line="360" w:lineRule="auto"/>
        <w:ind w:firstLine="470" w:firstLineChars="200"/>
        <w:rPr>
          <w:rFonts w:ascii="宋体" w:hAnsi="宋体"/>
          <w:b/>
          <w:spacing w:val="-3"/>
          <w:sz w:val="24"/>
        </w:rPr>
      </w:pPr>
      <w:r>
        <w:rPr>
          <w:rFonts w:ascii="宋体" w:hAnsi="宋体"/>
          <w:b/>
          <w:spacing w:val="-3"/>
          <w:sz w:val="24"/>
        </w:rPr>
        <w:t>·</w:t>
      </w:r>
      <w:r>
        <w:rPr>
          <w:rFonts w:hint="eastAsia" w:ascii="宋体" w:hAnsi="宋体"/>
          <w:b/>
          <w:spacing w:val="-3"/>
          <w:sz w:val="24"/>
        </w:rPr>
        <w:t>流动汽雾阻化剂防灭火</w:t>
      </w:r>
    </w:p>
    <w:p w14:paraId="7883BC1B">
      <w:pPr>
        <w:spacing w:line="360" w:lineRule="auto"/>
        <w:ind w:firstLine="480" w:firstLineChars="200"/>
        <w:rPr>
          <w:rFonts w:ascii="宋体" w:hAnsi="宋体"/>
          <w:color w:val="000000"/>
          <w:sz w:val="24"/>
        </w:rPr>
      </w:pPr>
      <w:r>
        <w:rPr>
          <w:rFonts w:hint="eastAsia" w:ascii="宋体" w:hAnsi="宋体"/>
          <w:color w:val="000000"/>
          <w:sz w:val="24"/>
        </w:rPr>
        <w:t>1、灭火原理</w:t>
      </w:r>
    </w:p>
    <w:p w14:paraId="580EFD05">
      <w:pPr>
        <w:spacing w:line="360" w:lineRule="auto"/>
        <w:ind w:firstLine="480" w:firstLineChars="200"/>
        <w:rPr>
          <w:rFonts w:ascii="宋体" w:hAnsi="宋体"/>
          <w:color w:val="000000"/>
          <w:sz w:val="24"/>
        </w:rPr>
      </w:pPr>
      <w:r>
        <w:rPr>
          <w:rFonts w:hint="eastAsia" w:ascii="宋体" w:hAnsi="宋体"/>
          <w:color w:val="000000"/>
          <w:sz w:val="24"/>
        </w:rPr>
        <w:t>流动汽雾阻化剂防灭火技术是通过雾化器加速、加压使水溶液变为微小雾滴，雾滴以漏风风流为载体飘移到采空区，覆盖在残煤表面，对煤体产生物理和化学的综合作用，减少煤体表面与空气的接触，抑制煤表面活化物氧化反应速度，达到防残煤自燃的目的。</w:t>
      </w:r>
    </w:p>
    <w:p w14:paraId="43A19677">
      <w:pPr>
        <w:spacing w:line="360" w:lineRule="auto"/>
        <w:ind w:firstLine="480" w:firstLineChars="200"/>
        <w:rPr>
          <w:rFonts w:ascii="宋体" w:hAnsi="宋体"/>
          <w:color w:val="000000"/>
          <w:sz w:val="24"/>
        </w:rPr>
      </w:pPr>
      <w:r>
        <w:rPr>
          <w:rFonts w:hint="eastAsia" w:ascii="宋体" w:hAnsi="宋体"/>
          <w:color w:val="000000"/>
          <w:sz w:val="24"/>
        </w:rPr>
        <w:t>2、系统组成</w:t>
      </w:r>
    </w:p>
    <w:p w14:paraId="769EF3D2">
      <w:pPr>
        <w:spacing w:line="360" w:lineRule="auto"/>
        <w:ind w:firstLine="480" w:firstLineChars="200"/>
        <w:rPr>
          <w:rFonts w:hint="eastAsia" w:ascii="宋体" w:hAnsi="宋体"/>
          <w:color w:val="000000"/>
          <w:sz w:val="24"/>
        </w:rPr>
      </w:pPr>
      <w:r>
        <w:rPr>
          <w:rFonts w:hint="eastAsia" w:ascii="宋体" w:hAnsi="宋体"/>
          <w:color w:val="000000"/>
          <w:sz w:val="24"/>
        </w:rPr>
        <w:t>流动汽雾阻化剂防灭火系统由储液箱、高压泵、过滤器、电器开关、高压胶管、雾化器等组成,系统所用设备型号参数详见下表；流动汽雾阻化剂防灭火系统详见下图。</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67"/>
        <w:gridCol w:w="2117"/>
        <w:gridCol w:w="5018"/>
      </w:tblGrid>
      <w:tr w14:paraId="6E8A44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1967" w:type="dxa"/>
            <w:noWrap w:val="0"/>
            <w:vAlign w:val="center"/>
          </w:tcPr>
          <w:p w14:paraId="5D8FD99A">
            <w:pPr>
              <w:autoSpaceDE w:val="0"/>
              <w:autoSpaceDN w:val="0"/>
              <w:adjustRightInd w:val="0"/>
              <w:ind w:left="-108" w:firstLine="16" w:firstLineChars="7"/>
              <w:jc w:val="center"/>
              <w:rPr>
                <w:rFonts w:ascii="宋体" w:hAnsi="宋体"/>
                <w:color w:val="000000"/>
                <w:sz w:val="24"/>
              </w:rPr>
            </w:pPr>
            <w:r>
              <w:rPr>
                <w:rFonts w:hint="eastAsia" w:ascii="宋体" w:hAnsi="宋体"/>
                <w:color w:val="000000"/>
                <w:sz w:val="24"/>
              </w:rPr>
              <w:t>名</w:t>
            </w:r>
            <w:r>
              <w:rPr>
                <w:rFonts w:ascii="宋体" w:hAnsi="宋体"/>
                <w:color w:val="000000"/>
                <w:sz w:val="24"/>
              </w:rPr>
              <w:t xml:space="preserve">    </w:t>
            </w:r>
            <w:r>
              <w:rPr>
                <w:rFonts w:hint="eastAsia" w:ascii="宋体" w:hAnsi="宋体"/>
                <w:color w:val="000000"/>
                <w:sz w:val="24"/>
              </w:rPr>
              <w:t>称</w:t>
            </w:r>
          </w:p>
        </w:tc>
        <w:tc>
          <w:tcPr>
            <w:tcW w:w="2117" w:type="dxa"/>
            <w:noWrap w:val="0"/>
            <w:vAlign w:val="center"/>
          </w:tcPr>
          <w:p w14:paraId="34C1A41E">
            <w:pPr>
              <w:autoSpaceDE w:val="0"/>
              <w:autoSpaceDN w:val="0"/>
              <w:adjustRightInd w:val="0"/>
              <w:ind w:left="-90"/>
              <w:jc w:val="center"/>
              <w:rPr>
                <w:rFonts w:ascii="宋体" w:hAnsi="宋体"/>
                <w:color w:val="000000"/>
                <w:sz w:val="24"/>
              </w:rPr>
            </w:pPr>
            <w:r>
              <w:rPr>
                <w:rFonts w:hint="eastAsia" w:ascii="宋体" w:hAnsi="宋体"/>
                <w:color w:val="000000"/>
                <w:sz w:val="24"/>
              </w:rPr>
              <w:t>型</w:t>
            </w:r>
            <w:r>
              <w:rPr>
                <w:rFonts w:ascii="宋体" w:hAnsi="宋体"/>
                <w:color w:val="000000"/>
                <w:sz w:val="24"/>
              </w:rPr>
              <w:t xml:space="preserve">    </w:t>
            </w:r>
            <w:r>
              <w:rPr>
                <w:rFonts w:hint="eastAsia" w:ascii="宋体" w:hAnsi="宋体"/>
                <w:color w:val="000000"/>
                <w:sz w:val="24"/>
              </w:rPr>
              <w:t>号</w:t>
            </w:r>
          </w:p>
        </w:tc>
        <w:tc>
          <w:tcPr>
            <w:tcW w:w="5018" w:type="dxa"/>
            <w:noWrap w:val="0"/>
            <w:vAlign w:val="center"/>
          </w:tcPr>
          <w:p w14:paraId="7149740B">
            <w:pPr>
              <w:autoSpaceDE w:val="0"/>
              <w:autoSpaceDN w:val="0"/>
              <w:adjustRightInd w:val="0"/>
              <w:ind w:left="-90"/>
              <w:jc w:val="center"/>
              <w:rPr>
                <w:rFonts w:ascii="宋体" w:hAnsi="宋体"/>
                <w:color w:val="000000"/>
                <w:sz w:val="24"/>
              </w:rPr>
            </w:pPr>
            <w:r>
              <w:rPr>
                <w:rFonts w:hint="eastAsia" w:ascii="宋体" w:hAnsi="宋体"/>
                <w:color w:val="000000"/>
                <w:sz w:val="24"/>
              </w:rPr>
              <w:t>技</w:t>
            </w:r>
            <w:r>
              <w:rPr>
                <w:rFonts w:ascii="宋体" w:hAnsi="宋体"/>
                <w:color w:val="000000"/>
                <w:sz w:val="24"/>
              </w:rPr>
              <w:t xml:space="preserve">  </w:t>
            </w:r>
            <w:r>
              <w:rPr>
                <w:rFonts w:hint="eastAsia" w:ascii="宋体" w:hAnsi="宋体"/>
                <w:color w:val="000000"/>
                <w:sz w:val="24"/>
              </w:rPr>
              <w:t>术</w:t>
            </w:r>
            <w:r>
              <w:rPr>
                <w:rFonts w:ascii="宋体" w:hAnsi="宋体"/>
                <w:color w:val="000000"/>
                <w:sz w:val="24"/>
              </w:rPr>
              <w:t xml:space="preserve">  </w:t>
            </w:r>
            <w:r>
              <w:rPr>
                <w:rFonts w:hint="eastAsia" w:ascii="宋体" w:hAnsi="宋体"/>
                <w:color w:val="000000"/>
                <w:sz w:val="24"/>
              </w:rPr>
              <w:t>参</w:t>
            </w:r>
            <w:r>
              <w:rPr>
                <w:rFonts w:ascii="宋体" w:hAnsi="宋体"/>
                <w:color w:val="000000"/>
                <w:sz w:val="24"/>
              </w:rPr>
              <w:t xml:space="preserve">  </w:t>
            </w:r>
            <w:r>
              <w:rPr>
                <w:rFonts w:hint="eastAsia" w:ascii="宋体" w:hAnsi="宋体"/>
                <w:color w:val="000000"/>
                <w:sz w:val="24"/>
              </w:rPr>
              <w:t>数</w:t>
            </w:r>
          </w:p>
        </w:tc>
      </w:tr>
      <w:tr w14:paraId="03C1B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1967" w:type="dxa"/>
            <w:noWrap w:val="0"/>
            <w:vAlign w:val="center"/>
          </w:tcPr>
          <w:p w14:paraId="6C5052F2">
            <w:pPr>
              <w:autoSpaceDE w:val="0"/>
              <w:autoSpaceDN w:val="0"/>
              <w:adjustRightInd w:val="0"/>
              <w:ind w:left="-90"/>
              <w:jc w:val="center"/>
              <w:rPr>
                <w:rFonts w:ascii="宋体" w:hAnsi="宋体"/>
                <w:color w:val="000000"/>
                <w:sz w:val="24"/>
              </w:rPr>
            </w:pPr>
            <w:r>
              <w:rPr>
                <w:rFonts w:hint="eastAsia" w:ascii="宋体" w:hAnsi="宋体"/>
                <w:color w:val="000000"/>
                <w:sz w:val="24"/>
              </w:rPr>
              <w:t>高压泵</w:t>
            </w:r>
          </w:p>
        </w:tc>
        <w:tc>
          <w:tcPr>
            <w:tcW w:w="2117" w:type="dxa"/>
            <w:noWrap w:val="0"/>
            <w:vAlign w:val="center"/>
          </w:tcPr>
          <w:p w14:paraId="7BB42009">
            <w:pPr>
              <w:autoSpaceDE w:val="0"/>
              <w:autoSpaceDN w:val="0"/>
              <w:adjustRightInd w:val="0"/>
              <w:ind w:left="-90"/>
              <w:rPr>
                <w:rFonts w:ascii="宋体" w:hAnsi="宋体"/>
                <w:color w:val="000000"/>
                <w:sz w:val="24"/>
              </w:rPr>
            </w:pPr>
            <w:r>
              <w:rPr>
                <w:rFonts w:ascii="宋体" w:hAnsi="宋体"/>
                <w:color w:val="000000"/>
                <w:sz w:val="24"/>
              </w:rPr>
              <w:t>S0—2</w:t>
            </w:r>
            <w:r>
              <w:rPr>
                <w:rFonts w:hint="eastAsia" w:ascii="宋体" w:hAnsi="宋体"/>
                <w:color w:val="000000"/>
                <w:sz w:val="24"/>
              </w:rPr>
              <w:t>/</w:t>
            </w:r>
            <w:r>
              <w:rPr>
                <w:rFonts w:ascii="宋体" w:hAnsi="宋体"/>
                <w:color w:val="000000"/>
                <w:sz w:val="24"/>
              </w:rPr>
              <w:t>150</w:t>
            </w:r>
          </w:p>
        </w:tc>
        <w:tc>
          <w:tcPr>
            <w:tcW w:w="5018" w:type="dxa"/>
            <w:noWrap w:val="0"/>
            <w:vAlign w:val="center"/>
          </w:tcPr>
          <w:p w14:paraId="7B99683D">
            <w:pPr>
              <w:autoSpaceDE w:val="0"/>
              <w:autoSpaceDN w:val="0"/>
              <w:adjustRightInd w:val="0"/>
              <w:ind w:left="-90"/>
              <w:rPr>
                <w:rFonts w:ascii="宋体" w:hAnsi="宋体"/>
                <w:color w:val="000000"/>
                <w:sz w:val="24"/>
              </w:rPr>
            </w:pPr>
            <w:r>
              <w:rPr>
                <w:rFonts w:hint="eastAsia" w:ascii="宋体" w:hAnsi="宋体"/>
                <w:color w:val="000000"/>
                <w:sz w:val="24"/>
              </w:rPr>
              <w:t>压力</w:t>
            </w:r>
            <w:r>
              <w:rPr>
                <w:rFonts w:ascii="宋体" w:hAnsi="宋体"/>
                <w:color w:val="000000"/>
                <w:sz w:val="24"/>
              </w:rPr>
              <w:t>150kg</w:t>
            </w:r>
            <w:r>
              <w:rPr>
                <w:rFonts w:hint="eastAsia" w:ascii="宋体" w:hAnsi="宋体"/>
                <w:color w:val="000000"/>
                <w:sz w:val="24"/>
              </w:rPr>
              <w:t>/</w:t>
            </w:r>
            <w:r>
              <w:rPr>
                <w:rFonts w:ascii="宋体" w:hAnsi="宋体"/>
                <w:color w:val="000000"/>
                <w:sz w:val="24"/>
              </w:rPr>
              <w:t>cm</w:t>
            </w:r>
            <w:r>
              <w:rPr>
                <w:rFonts w:hint="eastAsia" w:ascii="宋体" w:hAnsi="宋体"/>
                <w:color w:val="000000"/>
                <w:sz w:val="24"/>
                <w:vertAlign w:val="superscript"/>
              </w:rPr>
              <w:t>2</w:t>
            </w:r>
            <w:r>
              <w:rPr>
                <w:rFonts w:hint="eastAsia" w:ascii="宋体" w:hAnsi="宋体"/>
                <w:color w:val="000000"/>
                <w:sz w:val="24"/>
              </w:rPr>
              <w:t>，流量</w:t>
            </w:r>
            <w:r>
              <w:rPr>
                <w:rFonts w:ascii="宋体" w:hAnsi="宋体"/>
                <w:color w:val="000000"/>
                <w:sz w:val="24"/>
              </w:rPr>
              <w:t>0</w:t>
            </w:r>
            <w:r>
              <w:rPr>
                <w:rFonts w:hint="eastAsia" w:ascii="宋体" w:hAnsi="宋体"/>
                <w:color w:val="000000"/>
                <w:sz w:val="24"/>
              </w:rPr>
              <w:t>.</w:t>
            </w:r>
            <w:r>
              <w:rPr>
                <w:rFonts w:ascii="宋体" w:hAnsi="宋体"/>
                <w:color w:val="000000"/>
                <w:sz w:val="24"/>
              </w:rPr>
              <w:t>5</w:t>
            </w:r>
            <w:r>
              <w:rPr>
                <w:rFonts w:hint="eastAsia" w:ascii="宋体" w:hAnsi="宋体"/>
                <w:color w:val="000000"/>
                <w:sz w:val="24"/>
              </w:rPr>
              <w:t>m</w:t>
            </w:r>
            <w:r>
              <w:rPr>
                <w:rFonts w:hint="eastAsia" w:ascii="宋体" w:hAnsi="宋体"/>
                <w:color w:val="000000"/>
                <w:sz w:val="24"/>
                <w:vertAlign w:val="superscript"/>
              </w:rPr>
              <w:t>3</w:t>
            </w:r>
            <w:r>
              <w:rPr>
                <w:rFonts w:hint="eastAsia" w:ascii="宋体" w:hAnsi="宋体"/>
                <w:color w:val="000000"/>
                <w:sz w:val="24"/>
              </w:rPr>
              <w:t>/</w:t>
            </w:r>
            <w:r>
              <w:rPr>
                <w:rFonts w:ascii="宋体" w:hAnsi="宋体"/>
                <w:color w:val="000000"/>
                <w:sz w:val="24"/>
              </w:rPr>
              <w:t>h</w:t>
            </w:r>
          </w:p>
        </w:tc>
      </w:tr>
      <w:tr w14:paraId="4D659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1967" w:type="dxa"/>
            <w:noWrap w:val="0"/>
            <w:vAlign w:val="center"/>
          </w:tcPr>
          <w:p w14:paraId="2AAC7CF7">
            <w:pPr>
              <w:autoSpaceDE w:val="0"/>
              <w:autoSpaceDN w:val="0"/>
              <w:adjustRightInd w:val="0"/>
              <w:jc w:val="center"/>
              <w:rPr>
                <w:rFonts w:ascii="宋体" w:hAnsi="宋体"/>
                <w:color w:val="000000"/>
                <w:sz w:val="24"/>
              </w:rPr>
            </w:pPr>
            <w:r>
              <w:rPr>
                <w:rFonts w:hint="eastAsia" w:ascii="宋体" w:hAnsi="宋体"/>
                <w:color w:val="000000"/>
                <w:sz w:val="24"/>
              </w:rPr>
              <w:t>喷雾器</w:t>
            </w:r>
          </w:p>
        </w:tc>
        <w:tc>
          <w:tcPr>
            <w:tcW w:w="2117" w:type="dxa"/>
            <w:noWrap w:val="0"/>
            <w:vAlign w:val="center"/>
          </w:tcPr>
          <w:p w14:paraId="38649044">
            <w:pPr>
              <w:autoSpaceDE w:val="0"/>
              <w:autoSpaceDN w:val="0"/>
              <w:adjustRightInd w:val="0"/>
              <w:ind w:left="-90"/>
              <w:rPr>
                <w:rFonts w:ascii="宋体" w:hAnsi="宋体"/>
                <w:color w:val="000000"/>
                <w:sz w:val="24"/>
              </w:rPr>
            </w:pPr>
            <w:r>
              <w:rPr>
                <w:rFonts w:hint="eastAsia" w:ascii="宋体" w:hAnsi="宋体"/>
                <w:color w:val="000000"/>
                <w:sz w:val="24"/>
              </w:rPr>
              <w:t>Q</w:t>
            </w:r>
            <w:r>
              <w:rPr>
                <w:rFonts w:ascii="宋体" w:hAnsi="宋体"/>
                <w:color w:val="000000"/>
                <w:sz w:val="24"/>
              </w:rPr>
              <w:t>WF—II</w:t>
            </w:r>
          </w:p>
        </w:tc>
        <w:tc>
          <w:tcPr>
            <w:tcW w:w="5018" w:type="dxa"/>
            <w:noWrap w:val="0"/>
            <w:vAlign w:val="center"/>
          </w:tcPr>
          <w:p w14:paraId="7EF97D82">
            <w:pPr>
              <w:autoSpaceDE w:val="0"/>
              <w:autoSpaceDN w:val="0"/>
              <w:adjustRightInd w:val="0"/>
              <w:ind w:left="-90"/>
              <w:rPr>
                <w:rFonts w:hint="eastAsia" w:ascii="宋体" w:hAnsi="宋体"/>
                <w:color w:val="000000"/>
                <w:sz w:val="24"/>
              </w:rPr>
            </w:pPr>
            <w:r>
              <w:rPr>
                <w:rFonts w:hint="eastAsia" w:ascii="宋体" w:hAnsi="宋体"/>
                <w:color w:val="000000"/>
                <w:sz w:val="24"/>
              </w:rPr>
              <w:t>压力</w:t>
            </w:r>
            <w:r>
              <w:rPr>
                <w:rFonts w:ascii="宋体" w:hAnsi="宋体"/>
                <w:color w:val="000000"/>
                <w:sz w:val="24"/>
              </w:rPr>
              <w:t>0</w:t>
            </w:r>
            <w:r>
              <w:rPr>
                <w:rFonts w:hint="eastAsia" w:ascii="宋体" w:hAnsi="宋体"/>
                <w:color w:val="000000"/>
                <w:sz w:val="24"/>
              </w:rPr>
              <w:t>.</w:t>
            </w:r>
            <w:r>
              <w:rPr>
                <w:rFonts w:ascii="宋体" w:hAnsi="宋体"/>
                <w:color w:val="000000"/>
                <w:sz w:val="24"/>
              </w:rPr>
              <w:t>5—0</w:t>
            </w:r>
            <w:r>
              <w:rPr>
                <w:rFonts w:hint="eastAsia" w:ascii="宋体" w:hAnsi="宋体"/>
                <w:color w:val="000000"/>
                <w:sz w:val="24"/>
              </w:rPr>
              <w:t>.</w:t>
            </w:r>
            <w:r>
              <w:rPr>
                <w:rFonts w:ascii="宋体" w:hAnsi="宋体"/>
                <w:color w:val="000000"/>
                <w:sz w:val="24"/>
              </w:rPr>
              <w:t>6M</w:t>
            </w:r>
            <w:r>
              <w:rPr>
                <w:rFonts w:hint="eastAsia" w:ascii="宋体" w:hAnsi="宋体"/>
                <w:color w:val="000000"/>
                <w:sz w:val="24"/>
              </w:rPr>
              <w:t>Pa</w:t>
            </w:r>
          </w:p>
        </w:tc>
      </w:tr>
      <w:tr w14:paraId="23011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1967" w:type="dxa"/>
            <w:noWrap w:val="0"/>
            <w:vAlign w:val="center"/>
          </w:tcPr>
          <w:p w14:paraId="6D136DDB">
            <w:pPr>
              <w:autoSpaceDE w:val="0"/>
              <w:autoSpaceDN w:val="0"/>
              <w:adjustRightInd w:val="0"/>
              <w:ind w:left="-90"/>
              <w:jc w:val="center"/>
              <w:rPr>
                <w:rFonts w:ascii="宋体" w:hAnsi="宋体"/>
                <w:color w:val="000000"/>
                <w:sz w:val="24"/>
              </w:rPr>
            </w:pPr>
            <w:r>
              <w:rPr>
                <w:rFonts w:hint="eastAsia" w:ascii="宋体" w:hAnsi="宋体"/>
                <w:color w:val="000000"/>
                <w:sz w:val="24"/>
              </w:rPr>
              <w:t>储液箱</w:t>
            </w:r>
          </w:p>
        </w:tc>
        <w:tc>
          <w:tcPr>
            <w:tcW w:w="2117" w:type="dxa"/>
            <w:noWrap w:val="0"/>
            <w:vAlign w:val="center"/>
          </w:tcPr>
          <w:p w14:paraId="11AE3875">
            <w:pPr>
              <w:autoSpaceDE w:val="0"/>
              <w:autoSpaceDN w:val="0"/>
              <w:adjustRightInd w:val="0"/>
              <w:ind w:left="-90"/>
              <w:rPr>
                <w:rFonts w:ascii="宋体" w:hAnsi="宋体"/>
                <w:color w:val="000000"/>
                <w:sz w:val="24"/>
              </w:rPr>
            </w:pPr>
            <w:r>
              <w:rPr>
                <w:rFonts w:ascii="宋体" w:hAnsi="宋体"/>
                <w:color w:val="000000"/>
                <w:sz w:val="24"/>
              </w:rPr>
              <w:t>1</w:t>
            </w:r>
            <w:r>
              <w:rPr>
                <w:rFonts w:hint="eastAsia" w:ascii="宋体" w:hAnsi="宋体"/>
                <w:color w:val="000000"/>
                <w:sz w:val="24"/>
              </w:rPr>
              <w:t>吨矿车改装</w:t>
            </w:r>
          </w:p>
        </w:tc>
        <w:tc>
          <w:tcPr>
            <w:tcW w:w="5018" w:type="dxa"/>
            <w:noWrap w:val="0"/>
            <w:vAlign w:val="center"/>
          </w:tcPr>
          <w:p w14:paraId="0631C3EC">
            <w:pPr>
              <w:autoSpaceDE w:val="0"/>
              <w:autoSpaceDN w:val="0"/>
              <w:adjustRightInd w:val="0"/>
              <w:ind w:left="-90"/>
              <w:rPr>
                <w:rFonts w:ascii="宋体" w:hAnsi="宋体"/>
                <w:color w:val="000000"/>
                <w:sz w:val="24"/>
              </w:rPr>
            </w:pPr>
          </w:p>
        </w:tc>
      </w:tr>
      <w:tr w14:paraId="2AF3E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1967" w:type="dxa"/>
            <w:noWrap w:val="0"/>
            <w:vAlign w:val="center"/>
          </w:tcPr>
          <w:p w14:paraId="04AFA48F">
            <w:pPr>
              <w:autoSpaceDE w:val="0"/>
              <w:autoSpaceDN w:val="0"/>
              <w:adjustRightInd w:val="0"/>
              <w:ind w:left="-90"/>
              <w:jc w:val="center"/>
              <w:rPr>
                <w:rFonts w:ascii="宋体" w:hAnsi="宋体"/>
                <w:color w:val="000000"/>
                <w:sz w:val="24"/>
              </w:rPr>
            </w:pPr>
            <w:r>
              <w:rPr>
                <w:rFonts w:hint="eastAsia" w:ascii="宋体" w:hAnsi="宋体"/>
                <w:color w:val="000000"/>
                <w:sz w:val="24"/>
              </w:rPr>
              <w:t>高压管</w:t>
            </w:r>
          </w:p>
        </w:tc>
        <w:tc>
          <w:tcPr>
            <w:tcW w:w="2117" w:type="dxa"/>
            <w:noWrap w:val="0"/>
            <w:vAlign w:val="center"/>
          </w:tcPr>
          <w:p w14:paraId="60E23647">
            <w:pPr>
              <w:autoSpaceDE w:val="0"/>
              <w:autoSpaceDN w:val="0"/>
              <w:adjustRightInd w:val="0"/>
              <w:ind w:left="-90"/>
              <w:jc w:val="center"/>
              <w:rPr>
                <w:rFonts w:ascii="宋体" w:hAnsi="宋体"/>
                <w:color w:val="000000"/>
                <w:sz w:val="24"/>
              </w:rPr>
            </w:pPr>
          </w:p>
        </w:tc>
        <w:tc>
          <w:tcPr>
            <w:tcW w:w="5018" w:type="dxa"/>
            <w:noWrap w:val="0"/>
            <w:vAlign w:val="center"/>
          </w:tcPr>
          <w:p w14:paraId="4A125EDD">
            <w:pPr>
              <w:autoSpaceDE w:val="0"/>
              <w:autoSpaceDN w:val="0"/>
              <w:adjustRightInd w:val="0"/>
              <w:ind w:left="-90"/>
              <w:rPr>
                <w:rFonts w:hint="eastAsia" w:ascii="宋体" w:hAnsi="宋体"/>
                <w:color w:val="000000"/>
                <w:sz w:val="24"/>
              </w:rPr>
            </w:pPr>
            <w:r>
              <w:rPr>
                <w:rFonts w:hint="eastAsia" w:ascii="宋体" w:hAnsi="宋体"/>
                <w:color w:val="000000"/>
                <w:sz w:val="24"/>
              </w:rPr>
              <w:t>φ</w:t>
            </w:r>
            <w:r>
              <w:rPr>
                <w:rFonts w:ascii="宋体" w:hAnsi="宋体"/>
                <w:color w:val="000000"/>
                <w:sz w:val="24"/>
              </w:rPr>
              <w:t>32</w:t>
            </w:r>
            <w:r>
              <w:rPr>
                <w:rFonts w:hint="eastAsia" w:ascii="宋体" w:hAnsi="宋体"/>
                <w:color w:val="000000"/>
                <w:sz w:val="24"/>
              </w:rPr>
              <w:t>mm</w:t>
            </w:r>
          </w:p>
        </w:tc>
      </w:tr>
    </w:tbl>
    <w:p w14:paraId="74D53419">
      <w:pPr>
        <w:spacing w:line="360" w:lineRule="auto"/>
        <w:jc w:val="center"/>
        <w:rPr>
          <w:rFonts w:ascii="宋体" w:hAnsi="宋体"/>
          <w:color w:val="000000"/>
          <w:szCs w:val="23"/>
          <w:lang w:val="zh-CN"/>
        </w:rPr>
      </w:pPr>
      <w:r>
        <w:rPr>
          <w:rFonts w:hint="eastAsia" w:ascii="宋体" w:hAnsi="宋体"/>
          <w:b/>
          <w:color w:val="000000"/>
          <w:sz w:val="24"/>
        </w:rPr>
        <w:t>流动汽雾阻化剂防灭火系统示意图</w:t>
      </w:r>
      <w:r>
        <w:rPr>
          <w:rFonts w:hint="eastAsia" w:ascii="宋体" w:hAnsi="宋体"/>
          <w:color w:val="000000"/>
        </w:rPr>
        <w:drawing>
          <wp:inline distT="0" distB="0" distL="114300" distR="114300">
            <wp:extent cx="5186680" cy="3133090"/>
            <wp:effectExtent l="0" t="0" r="13970" b="10160"/>
            <wp:docPr id="44" name="图片 229" descr="阻化剂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9" descr="阻化剂示意图"/>
                    <pic:cNvPicPr>
                      <a:picLocks noChangeAspect="1"/>
                    </pic:cNvPicPr>
                  </pic:nvPicPr>
                  <pic:blipFill>
                    <a:blip r:embed="rId173"/>
                    <a:srcRect l="1379" t="1372" r="853" b="12311"/>
                    <a:stretch>
                      <a:fillRect/>
                    </a:stretch>
                  </pic:blipFill>
                  <pic:spPr>
                    <a:xfrm>
                      <a:off x="0" y="0"/>
                      <a:ext cx="5186680" cy="3133090"/>
                    </a:xfrm>
                    <a:prstGeom prst="rect">
                      <a:avLst/>
                    </a:prstGeom>
                    <a:noFill/>
                    <a:ln>
                      <a:noFill/>
                    </a:ln>
                  </pic:spPr>
                </pic:pic>
              </a:graphicData>
            </a:graphic>
          </wp:inline>
        </w:drawing>
      </w:r>
    </w:p>
    <w:p w14:paraId="63B1410D">
      <w:pPr>
        <w:spacing w:line="360" w:lineRule="auto"/>
        <w:ind w:firstLine="480" w:firstLineChars="200"/>
        <w:rPr>
          <w:rFonts w:hint="eastAsia" w:ascii="宋体" w:hAnsi="宋体"/>
          <w:color w:val="000000"/>
          <w:sz w:val="24"/>
        </w:rPr>
      </w:pPr>
      <w:r>
        <w:rPr>
          <w:rFonts w:hint="eastAsia" w:ascii="宋体" w:hAnsi="宋体"/>
          <w:color w:val="000000"/>
          <w:sz w:val="24"/>
        </w:rPr>
        <w:t>3、阻化剂</w:t>
      </w:r>
    </w:p>
    <w:p w14:paraId="77C89274">
      <w:pPr>
        <w:spacing w:line="360" w:lineRule="auto"/>
        <w:ind w:firstLine="480" w:firstLineChars="200"/>
        <w:rPr>
          <w:rFonts w:ascii="宋体" w:hAnsi="宋体"/>
          <w:color w:val="000000"/>
          <w:sz w:val="24"/>
        </w:rPr>
      </w:pPr>
      <w:r>
        <w:rPr>
          <w:rFonts w:hint="eastAsia" w:ascii="宋体" w:hAnsi="宋体"/>
          <w:color w:val="000000"/>
          <w:sz w:val="24"/>
        </w:rPr>
        <w:t>阻化剂的作用就是利用阻化剂分子与煤体表面活性分子的相互吸引，破坏煤体表面自由力场，促使氧原子</w:t>
      </w:r>
      <w:r>
        <w:rPr>
          <w:rFonts w:ascii="宋体" w:hAnsi="宋体"/>
          <w:color w:val="000000"/>
          <w:sz w:val="24"/>
        </w:rPr>
        <w:t>(0)</w:t>
      </w:r>
      <w:r>
        <w:rPr>
          <w:rFonts w:hint="eastAsia" w:ascii="宋体" w:hAnsi="宋体"/>
          <w:color w:val="000000"/>
          <w:sz w:val="24"/>
        </w:rPr>
        <w:t>恢复到分子状态</w:t>
      </w:r>
      <w:r>
        <w:rPr>
          <w:rFonts w:ascii="宋体" w:hAnsi="宋体"/>
          <w:color w:val="000000"/>
          <w:sz w:val="24"/>
        </w:rPr>
        <w:t>(0</w:t>
      </w:r>
      <w:r>
        <w:rPr>
          <w:rFonts w:hint="eastAsia" w:ascii="宋体" w:hAnsi="宋体"/>
          <w:color w:val="000000"/>
          <w:sz w:val="24"/>
          <w:vertAlign w:val="subscript"/>
        </w:rPr>
        <w:t>2</w:t>
      </w:r>
      <w:r>
        <w:rPr>
          <w:rFonts w:ascii="宋体" w:hAnsi="宋体"/>
          <w:color w:val="000000"/>
          <w:sz w:val="24"/>
        </w:rPr>
        <w:t>)</w:t>
      </w:r>
      <w:r>
        <w:rPr>
          <w:rFonts w:hint="eastAsia" w:ascii="宋体" w:hAnsi="宋体"/>
          <w:color w:val="000000"/>
          <w:sz w:val="24"/>
        </w:rPr>
        <w:t>，使煤表面活化物质氧化反应速度放慢或者抑制，起到阻化作用。针对本煤矿，选用卤块</w:t>
      </w:r>
      <w:r>
        <w:rPr>
          <w:rFonts w:ascii="宋体" w:hAnsi="宋体"/>
          <w:color w:val="000000"/>
          <w:sz w:val="24"/>
        </w:rPr>
        <w:t>(</w:t>
      </w:r>
      <w:r>
        <w:rPr>
          <w:rFonts w:hint="eastAsia" w:ascii="宋体" w:hAnsi="宋体"/>
          <w:color w:val="000000"/>
          <w:sz w:val="24"/>
        </w:rPr>
        <w:t>片</w:t>
      </w:r>
      <w:r>
        <w:rPr>
          <w:rFonts w:ascii="宋体" w:hAnsi="宋体"/>
          <w:color w:val="000000"/>
          <w:sz w:val="24"/>
        </w:rPr>
        <w:t>)</w:t>
      </w:r>
      <w:r>
        <w:rPr>
          <w:rFonts w:hint="eastAsia" w:ascii="宋体" w:hAnsi="宋体"/>
          <w:color w:val="000000"/>
          <w:sz w:val="24"/>
        </w:rPr>
        <w:t>作为阻化剂，阻化剂浓度为20%，阻化率为80%。</w:t>
      </w:r>
    </w:p>
    <w:p w14:paraId="7C6321AD">
      <w:pPr>
        <w:spacing w:line="360" w:lineRule="auto"/>
        <w:ind w:firstLine="480" w:firstLineChars="200"/>
        <w:rPr>
          <w:rFonts w:ascii="宋体" w:hAnsi="宋体"/>
          <w:color w:val="000000"/>
          <w:sz w:val="24"/>
        </w:rPr>
      </w:pPr>
      <w:r>
        <w:rPr>
          <w:rFonts w:hint="eastAsia" w:ascii="宋体" w:hAnsi="宋体"/>
          <w:color w:val="000000"/>
          <w:sz w:val="24"/>
        </w:rPr>
        <w:t>4、喷洒量计算</w:t>
      </w:r>
    </w:p>
    <w:p w14:paraId="29E8FADD">
      <w:pPr>
        <w:spacing w:line="360" w:lineRule="auto"/>
        <w:ind w:firstLine="480" w:firstLineChars="200"/>
        <w:rPr>
          <w:rFonts w:ascii="宋体" w:hAnsi="宋体"/>
          <w:color w:val="000000"/>
          <w:sz w:val="24"/>
        </w:rPr>
      </w:pPr>
      <w:r>
        <w:rPr>
          <w:rFonts w:hint="eastAsia" w:ascii="宋体" w:hAnsi="宋体"/>
          <w:color w:val="000000"/>
          <w:sz w:val="24"/>
        </w:rPr>
        <w:t>（1）工作面一次喷洒量可按下式计算：</w:t>
      </w:r>
    </w:p>
    <w:p w14:paraId="49931C3E">
      <w:pPr>
        <w:spacing w:line="360" w:lineRule="auto"/>
        <w:ind w:firstLine="480" w:firstLineChars="200"/>
        <w:rPr>
          <w:rFonts w:hint="eastAsia" w:ascii="宋体" w:hAnsi="宋体"/>
          <w:color w:val="000000"/>
          <w:sz w:val="24"/>
        </w:rPr>
      </w:pPr>
      <w:r>
        <w:rPr>
          <w:rFonts w:ascii="宋体" w:hAnsi="宋体"/>
          <w:color w:val="000000"/>
          <w:sz w:val="24"/>
        </w:rPr>
        <w:t>V</w:t>
      </w:r>
      <w:r>
        <w:rPr>
          <w:rFonts w:hint="eastAsia" w:ascii="宋体" w:hAnsi="宋体"/>
          <w:color w:val="000000"/>
          <w:sz w:val="24"/>
          <w:vertAlign w:val="subscript"/>
        </w:rPr>
        <w:t>1</w:t>
      </w:r>
      <w:r>
        <w:rPr>
          <w:rFonts w:ascii="宋体" w:hAnsi="宋体"/>
          <w:color w:val="000000"/>
          <w:sz w:val="24"/>
        </w:rPr>
        <w:t>=K</w:t>
      </w:r>
      <w:r>
        <w:rPr>
          <w:rFonts w:ascii="宋体" w:hAnsi="宋体"/>
          <w:color w:val="000000"/>
          <w:sz w:val="24"/>
          <w:vertAlign w:val="subscript"/>
        </w:rPr>
        <w:t>l</w:t>
      </w:r>
      <w:r>
        <w:rPr>
          <w:rFonts w:hint="eastAsia" w:ascii="宋体" w:hAnsi="宋体"/>
          <w:color w:val="000000"/>
          <w:sz w:val="24"/>
          <w:lang w:val="en-GB"/>
        </w:rPr>
        <w:t>·</w:t>
      </w:r>
      <w:r>
        <w:rPr>
          <w:rFonts w:hint="eastAsia" w:ascii="宋体" w:hAnsi="宋体"/>
          <w:color w:val="000000"/>
          <w:sz w:val="24"/>
        </w:rPr>
        <w:t>K</w:t>
      </w:r>
      <w:r>
        <w:rPr>
          <w:rFonts w:hint="eastAsia" w:ascii="宋体" w:hAnsi="宋体"/>
          <w:color w:val="000000"/>
          <w:sz w:val="24"/>
          <w:vertAlign w:val="subscript"/>
        </w:rPr>
        <w:t>2</w:t>
      </w:r>
      <w:r>
        <w:rPr>
          <w:rFonts w:hint="eastAsia" w:ascii="宋体" w:hAnsi="宋体"/>
          <w:color w:val="000000"/>
          <w:sz w:val="24"/>
          <w:lang w:val="en-GB"/>
        </w:rPr>
        <w:t>·</w:t>
      </w:r>
      <w:r>
        <w:rPr>
          <w:rFonts w:ascii="宋体" w:hAnsi="宋体"/>
          <w:color w:val="000000"/>
          <w:sz w:val="24"/>
        </w:rPr>
        <w:t>A</w:t>
      </w:r>
      <w:r>
        <w:rPr>
          <w:rFonts w:hint="eastAsia" w:ascii="宋体" w:hAnsi="宋体"/>
          <w:color w:val="000000"/>
          <w:sz w:val="24"/>
          <w:lang w:val="en-GB"/>
        </w:rPr>
        <w:t>·</w:t>
      </w:r>
      <w:r>
        <w:rPr>
          <w:rFonts w:ascii="宋体" w:hAnsi="宋体"/>
          <w:color w:val="000000"/>
          <w:sz w:val="24"/>
        </w:rPr>
        <w:t>L</w:t>
      </w:r>
      <w:r>
        <w:rPr>
          <w:rFonts w:hint="eastAsia" w:ascii="宋体" w:hAnsi="宋体"/>
          <w:color w:val="000000"/>
          <w:sz w:val="24"/>
          <w:lang w:val="en-GB"/>
        </w:rPr>
        <w:t>·</w:t>
      </w:r>
      <w:r>
        <w:rPr>
          <w:rFonts w:ascii="宋体" w:hAnsi="宋体"/>
          <w:color w:val="000000"/>
          <w:sz w:val="24"/>
        </w:rPr>
        <w:t>H</w:t>
      </w:r>
      <w:r>
        <w:rPr>
          <w:rFonts w:hint="eastAsia" w:ascii="宋体" w:hAnsi="宋体"/>
          <w:color w:val="000000"/>
          <w:sz w:val="24"/>
          <w:lang w:val="en-GB"/>
        </w:rPr>
        <w:t>·</w:t>
      </w:r>
      <w:r>
        <w:rPr>
          <w:rFonts w:ascii="宋体" w:hAnsi="宋体"/>
          <w:color w:val="000000"/>
          <w:sz w:val="24"/>
        </w:rPr>
        <w:t>S</w:t>
      </w:r>
      <w:r>
        <w:rPr>
          <w:rFonts w:hint="eastAsia" w:ascii="宋体" w:hAnsi="宋体"/>
          <w:color w:val="000000"/>
          <w:sz w:val="24"/>
          <w:lang w:val="en-GB"/>
        </w:rPr>
        <w:t>·</w:t>
      </w:r>
      <w:r>
        <w:rPr>
          <w:rFonts w:ascii="宋体" w:hAnsi="宋体"/>
          <w:color w:val="000000"/>
          <w:sz w:val="24"/>
        </w:rPr>
        <w:t>r</w:t>
      </w:r>
      <w:r>
        <w:rPr>
          <w:rFonts w:hint="eastAsia" w:ascii="宋体" w:hAnsi="宋体"/>
          <w:color w:val="000000"/>
          <w:sz w:val="24"/>
        </w:rPr>
        <w:t>/</w:t>
      </w:r>
      <w:r>
        <w:rPr>
          <w:rFonts w:ascii="宋体" w:hAnsi="宋体"/>
          <w:color w:val="000000"/>
          <w:sz w:val="24"/>
        </w:rPr>
        <w:t>R</w:t>
      </w:r>
    </w:p>
    <w:p w14:paraId="1209B29C">
      <w:pPr>
        <w:spacing w:line="360" w:lineRule="auto"/>
        <w:ind w:firstLine="480" w:firstLineChars="200"/>
        <w:rPr>
          <w:rFonts w:hint="eastAsia" w:ascii="宋体" w:hAnsi="宋体"/>
          <w:color w:val="000000"/>
          <w:sz w:val="24"/>
        </w:rPr>
      </w:pPr>
      <w:r>
        <w:rPr>
          <w:rFonts w:hint="eastAsia" w:ascii="宋体" w:hAnsi="宋体"/>
          <w:color w:val="000000"/>
          <w:sz w:val="24"/>
        </w:rPr>
        <w:t>式中：K</w:t>
      </w:r>
      <w:r>
        <w:rPr>
          <w:rFonts w:hint="eastAsia" w:ascii="宋体" w:hAnsi="宋体"/>
          <w:color w:val="000000"/>
          <w:sz w:val="24"/>
          <w:vertAlign w:val="subscript"/>
        </w:rPr>
        <w:t>1</w:t>
      </w:r>
      <w:r>
        <w:rPr>
          <w:rFonts w:ascii="宋体" w:hAnsi="宋体"/>
          <w:color w:val="000000"/>
          <w:sz w:val="24"/>
        </w:rPr>
        <w:t>——</w:t>
      </w:r>
      <w:r>
        <w:rPr>
          <w:rFonts w:hint="eastAsia" w:ascii="宋体" w:hAnsi="宋体"/>
          <w:color w:val="000000"/>
          <w:sz w:val="24"/>
        </w:rPr>
        <w:t>易自燃部位药液量加量系数，一般取</w:t>
      </w:r>
      <w:r>
        <w:rPr>
          <w:rFonts w:ascii="宋体" w:hAnsi="宋体"/>
          <w:color w:val="000000"/>
          <w:sz w:val="24"/>
        </w:rPr>
        <w:t>1</w:t>
      </w:r>
      <w:r>
        <w:rPr>
          <w:rFonts w:hint="eastAsia" w:ascii="宋体" w:hAnsi="宋体"/>
          <w:color w:val="000000"/>
          <w:sz w:val="24"/>
        </w:rPr>
        <w:t>.</w:t>
      </w:r>
      <w:r>
        <w:rPr>
          <w:rFonts w:ascii="宋体" w:hAnsi="宋体"/>
          <w:color w:val="000000"/>
          <w:sz w:val="24"/>
        </w:rPr>
        <w:t>2</w:t>
      </w:r>
      <w:r>
        <w:rPr>
          <w:rFonts w:hint="eastAsia" w:ascii="宋体" w:hAnsi="宋体"/>
          <w:color w:val="000000"/>
          <w:sz w:val="24"/>
        </w:rPr>
        <w:t>；</w:t>
      </w:r>
    </w:p>
    <w:p w14:paraId="7B6A5D14">
      <w:pPr>
        <w:spacing w:line="360" w:lineRule="auto"/>
        <w:ind w:firstLine="1200" w:firstLineChars="500"/>
        <w:rPr>
          <w:rFonts w:hint="eastAsia" w:ascii="宋体" w:hAnsi="宋体"/>
          <w:color w:val="000000"/>
          <w:sz w:val="24"/>
        </w:rPr>
      </w:pPr>
      <w:r>
        <w:rPr>
          <w:rFonts w:hint="eastAsia" w:ascii="宋体" w:hAnsi="宋体"/>
          <w:color w:val="000000"/>
          <w:sz w:val="24"/>
        </w:rPr>
        <w:t>K</w:t>
      </w:r>
      <w:r>
        <w:rPr>
          <w:rFonts w:hint="eastAsia" w:ascii="宋体" w:hAnsi="宋体"/>
          <w:color w:val="000000"/>
          <w:sz w:val="24"/>
          <w:vertAlign w:val="subscript"/>
        </w:rPr>
        <w:t>2</w:t>
      </w:r>
      <w:r>
        <w:rPr>
          <w:rFonts w:ascii="宋体" w:hAnsi="宋体"/>
          <w:color w:val="000000"/>
          <w:sz w:val="24"/>
        </w:rPr>
        <w:t>——</w:t>
      </w:r>
      <w:r>
        <w:rPr>
          <w:rFonts w:hint="eastAsia" w:ascii="宋体" w:hAnsi="宋体"/>
          <w:color w:val="000000"/>
          <w:sz w:val="24"/>
        </w:rPr>
        <w:t>采空区遗煤容重，取1.0</w:t>
      </w:r>
      <w:r>
        <w:rPr>
          <w:rFonts w:ascii="宋体" w:hAnsi="宋体"/>
          <w:color w:val="000000"/>
          <w:sz w:val="24"/>
        </w:rPr>
        <w:t>t</w:t>
      </w:r>
      <w:r>
        <w:rPr>
          <w:rFonts w:hint="eastAsia" w:ascii="宋体" w:hAnsi="宋体"/>
          <w:color w:val="000000"/>
          <w:sz w:val="24"/>
        </w:rPr>
        <w:t>/</w:t>
      </w:r>
      <w:r>
        <w:rPr>
          <w:rFonts w:ascii="宋体" w:hAnsi="宋体"/>
          <w:color w:val="000000"/>
          <w:sz w:val="24"/>
        </w:rPr>
        <w:t>m</w:t>
      </w:r>
      <w:r>
        <w:rPr>
          <w:rFonts w:hint="eastAsia" w:ascii="宋体" w:hAnsi="宋体"/>
          <w:color w:val="000000"/>
          <w:sz w:val="24"/>
        </w:rPr>
        <w:t>，取遗煤样实测；</w:t>
      </w:r>
    </w:p>
    <w:p w14:paraId="034F0374">
      <w:pPr>
        <w:spacing w:line="360" w:lineRule="auto"/>
        <w:ind w:firstLine="1200" w:firstLineChars="500"/>
        <w:rPr>
          <w:rFonts w:hint="eastAsia" w:ascii="宋体" w:hAnsi="宋体"/>
          <w:color w:val="000000"/>
          <w:sz w:val="24"/>
        </w:rPr>
      </w:pPr>
      <w:r>
        <w:rPr>
          <w:rFonts w:ascii="宋体" w:hAnsi="宋体"/>
          <w:color w:val="000000"/>
          <w:sz w:val="24"/>
        </w:rPr>
        <w:t>A——</w:t>
      </w:r>
      <w:r>
        <w:rPr>
          <w:rFonts w:hint="eastAsia" w:ascii="宋体" w:hAnsi="宋体"/>
          <w:color w:val="000000"/>
          <w:sz w:val="24"/>
        </w:rPr>
        <w:t>吨煤吸液量，0.058</w:t>
      </w:r>
      <w:r>
        <w:rPr>
          <w:rFonts w:ascii="宋体" w:hAnsi="宋体"/>
          <w:color w:val="000000"/>
          <w:sz w:val="24"/>
        </w:rPr>
        <w:t>t</w:t>
      </w:r>
      <w:r>
        <w:rPr>
          <w:rFonts w:hint="eastAsia" w:ascii="宋体" w:hAnsi="宋体"/>
          <w:color w:val="000000"/>
          <w:sz w:val="24"/>
        </w:rPr>
        <w:t>/</w:t>
      </w:r>
      <w:r>
        <w:rPr>
          <w:rFonts w:ascii="宋体" w:hAnsi="宋体"/>
          <w:color w:val="000000"/>
          <w:sz w:val="24"/>
        </w:rPr>
        <w:t>t</w:t>
      </w:r>
      <w:r>
        <w:rPr>
          <w:rFonts w:hint="eastAsia" w:ascii="宋体" w:hAnsi="宋体"/>
          <w:color w:val="000000"/>
          <w:sz w:val="24"/>
        </w:rPr>
        <w:t>；</w:t>
      </w:r>
    </w:p>
    <w:p w14:paraId="775963B4">
      <w:pPr>
        <w:spacing w:line="360" w:lineRule="auto"/>
        <w:ind w:firstLine="1200" w:firstLineChars="500"/>
        <w:rPr>
          <w:rFonts w:hint="eastAsia" w:ascii="宋体" w:hAnsi="宋体"/>
          <w:color w:val="000000"/>
          <w:sz w:val="24"/>
        </w:rPr>
      </w:pPr>
      <w:r>
        <w:rPr>
          <w:rFonts w:hint="eastAsia" w:ascii="宋体" w:hAnsi="宋体"/>
          <w:color w:val="000000"/>
          <w:sz w:val="24"/>
        </w:rPr>
        <w:t>r</w:t>
      </w:r>
      <w:r>
        <w:rPr>
          <w:rFonts w:ascii="宋体" w:hAnsi="宋体"/>
          <w:color w:val="000000"/>
          <w:sz w:val="24"/>
        </w:rPr>
        <w:t>——</w:t>
      </w:r>
      <w:r>
        <w:rPr>
          <w:rFonts w:hint="eastAsia" w:ascii="宋体" w:hAnsi="宋体"/>
          <w:color w:val="000000"/>
          <w:sz w:val="24"/>
        </w:rPr>
        <w:t>阻化剂溶液容重，1.05</w:t>
      </w:r>
      <w:r>
        <w:rPr>
          <w:rFonts w:ascii="宋体" w:hAnsi="宋体"/>
          <w:color w:val="000000"/>
          <w:sz w:val="24"/>
        </w:rPr>
        <w:t>t</w:t>
      </w:r>
      <w:r>
        <w:rPr>
          <w:rFonts w:hint="eastAsia" w:ascii="宋体" w:hAnsi="宋体"/>
          <w:color w:val="000000"/>
          <w:sz w:val="24"/>
        </w:rPr>
        <w:t>/</w:t>
      </w:r>
      <w:r>
        <w:rPr>
          <w:rFonts w:ascii="宋体" w:hAnsi="宋体"/>
          <w:color w:val="000000"/>
          <w:sz w:val="24"/>
        </w:rPr>
        <w:t>m</w:t>
      </w:r>
      <w:r>
        <w:rPr>
          <w:rFonts w:hint="eastAsia" w:ascii="宋体" w:hAnsi="宋体"/>
          <w:color w:val="000000"/>
          <w:sz w:val="24"/>
          <w:vertAlign w:val="superscript"/>
        </w:rPr>
        <w:t>3</w:t>
      </w:r>
      <w:r>
        <w:rPr>
          <w:rFonts w:hint="eastAsia" w:ascii="宋体" w:hAnsi="宋体"/>
          <w:color w:val="000000"/>
          <w:sz w:val="24"/>
        </w:rPr>
        <w:t>；</w:t>
      </w:r>
    </w:p>
    <w:p w14:paraId="596E9AE4">
      <w:pPr>
        <w:spacing w:line="360" w:lineRule="auto"/>
        <w:ind w:firstLine="1200" w:firstLineChars="500"/>
        <w:rPr>
          <w:rFonts w:hint="eastAsia" w:ascii="宋体" w:hAnsi="宋体"/>
          <w:color w:val="000000"/>
          <w:sz w:val="24"/>
        </w:rPr>
      </w:pPr>
      <w:r>
        <w:rPr>
          <w:rFonts w:ascii="宋体" w:hAnsi="宋体"/>
          <w:color w:val="000000"/>
          <w:sz w:val="24"/>
        </w:rPr>
        <w:t>L——</w:t>
      </w:r>
      <w:r>
        <w:rPr>
          <w:rFonts w:hint="eastAsia" w:ascii="宋体" w:hAnsi="宋体"/>
          <w:color w:val="000000"/>
          <w:sz w:val="24"/>
        </w:rPr>
        <w:t>工作面长度，120</w:t>
      </w:r>
      <w:r>
        <w:rPr>
          <w:rFonts w:ascii="宋体" w:hAnsi="宋体"/>
          <w:color w:val="000000"/>
          <w:sz w:val="24"/>
        </w:rPr>
        <w:t>m</w:t>
      </w:r>
      <w:r>
        <w:rPr>
          <w:rFonts w:hint="eastAsia" w:ascii="宋体" w:hAnsi="宋体"/>
          <w:color w:val="000000"/>
          <w:sz w:val="24"/>
        </w:rPr>
        <w:t>；</w:t>
      </w:r>
    </w:p>
    <w:p w14:paraId="787AEF6C">
      <w:pPr>
        <w:spacing w:line="360" w:lineRule="auto"/>
        <w:ind w:firstLine="1200" w:firstLineChars="500"/>
        <w:rPr>
          <w:rFonts w:hint="eastAsia" w:ascii="宋体" w:hAnsi="宋体"/>
          <w:color w:val="000000"/>
          <w:sz w:val="24"/>
        </w:rPr>
      </w:pPr>
      <w:r>
        <w:rPr>
          <w:rFonts w:hint="eastAsia" w:ascii="宋体" w:hAnsi="宋体"/>
          <w:color w:val="000000"/>
          <w:sz w:val="24"/>
        </w:rPr>
        <w:t>H——采空区底板遗煤走向长度；</w:t>
      </w:r>
    </w:p>
    <w:p w14:paraId="12A839B6">
      <w:pPr>
        <w:spacing w:line="360" w:lineRule="auto"/>
        <w:ind w:firstLine="1200" w:firstLineChars="500"/>
        <w:rPr>
          <w:rFonts w:hint="eastAsia" w:ascii="宋体" w:hAnsi="宋体"/>
          <w:color w:val="000000"/>
          <w:sz w:val="24"/>
        </w:rPr>
      </w:pPr>
      <w:r>
        <w:rPr>
          <w:rFonts w:ascii="宋体" w:hAnsi="宋体"/>
          <w:color w:val="000000"/>
          <w:sz w:val="24"/>
        </w:rPr>
        <w:t>S——</w:t>
      </w:r>
      <w:r>
        <w:rPr>
          <w:rFonts w:hint="eastAsia" w:ascii="宋体" w:hAnsi="宋体"/>
          <w:color w:val="000000"/>
          <w:sz w:val="24"/>
        </w:rPr>
        <w:t>采空区底板遗煤厚度，0.1</w:t>
      </w:r>
      <w:r>
        <w:rPr>
          <w:rFonts w:ascii="宋体" w:hAnsi="宋体"/>
          <w:color w:val="000000"/>
          <w:sz w:val="24"/>
        </w:rPr>
        <w:t>m</w:t>
      </w:r>
      <w:r>
        <w:rPr>
          <w:rFonts w:hint="eastAsia" w:ascii="宋体" w:hAnsi="宋体"/>
          <w:color w:val="000000"/>
          <w:sz w:val="24"/>
        </w:rPr>
        <w:t>；</w:t>
      </w:r>
    </w:p>
    <w:p w14:paraId="08750808">
      <w:pPr>
        <w:spacing w:line="360" w:lineRule="auto"/>
        <w:ind w:firstLine="1200" w:firstLineChars="500"/>
        <w:rPr>
          <w:rFonts w:hint="eastAsia" w:ascii="宋体" w:hAnsi="宋体"/>
          <w:color w:val="000000"/>
          <w:sz w:val="24"/>
        </w:rPr>
      </w:pPr>
      <w:r>
        <w:rPr>
          <w:rFonts w:ascii="宋体" w:hAnsi="宋体"/>
          <w:color w:val="000000"/>
          <w:sz w:val="24"/>
        </w:rPr>
        <w:t>R———</w:t>
      </w:r>
      <w:r>
        <w:rPr>
          <w:rFonts w:hint="eastAsia" w:ascii="宋体" w:hAnsi="宋体"/>
          <w:color w:val="000000"/>
          <w:sz w:val="24"/>
        </w:rPr>
        <w:t>雾化率％，取</w:t>
      </w:r>
      <w:r>
        <w:rPr>
          <w:rFonts w:ascii="宋体" w:hAnsi="宋体"/>
          <w:color w:val="000000"/>
          <w:sz w:val="24"/>
        </w:rPr>
        <w:t>R</w:t>
      </w:r>
      <w:r>
        <w:rPr>
          <w:rFonts w:hint="eastAsia" w:ascii="宋体" w:hAnsi="宋体"/>
          <w:color w:val="000000"/>
          <w:sz w:val="24"/>
        </w:rPr>
        <w:t>=80％；</w:t>
      </w:r>
    </w:p>
    <w:p w14:paraId="18884ADF">
      <w:pPr>
        <w:spacing w:line="360" w:lineRule="auto"/>
        <w:ind w:firstLine="480" w:firstLineChars="200"/>
        <w:rPr>
          <w:rFonts w:hint="eastAsia" w:ascii="宋体" w:hAnsi="宋体"/>
          <w:color w:val="000000"/>
          <w:sz w:val="24"/>
        </w:rPr>
      </w:pPr>
      <w:r>
        <w:rPr>
          <w:rFonts w:ascii="宋体" w:hAnsi="宋体"/>
          <w:color w:val="000000"/>
          <w:sz w:val="24"/>
        </w:rPr>
        <w:t>V</w:t>
      </w:r>
      <w:r>
        <w:rPr>
          <w:rFonts w:hint="eastAsia" w:ascii="宋体" w:hAnsi="宋体"/>
          <w:color w:val="000000"/>
          <w:sz w:val="24"/>
          <w:vertAlign w:val="subscript"/>
        </w:rPr>
        <w:t>1</w:t>
      </w:r>
      <w:r>
        <w:rPr>
          <w:rFonts w:hint="eastAsia" w:ascii="宋体" w:hAnsi="宋体"/>
          <w:color w:val="000000"/>
          <w:sz w:val="24"/>
        </w:rPr>
        <w:t>＝</w:t>
      </w:r>
      <w:r>
        <w:rPr>
          <w:rFonts w:ascii="宋体" w:hAnsi="宋体"/>
          <w:color w:val="000000"/>
          <w:sz w:val="24"/>
        </w:rPr>
        <w:t>K</w:t>
      </w:r>
      <w:r>
        <w:rPr>
          <w:rFonts w:ascii="宋体" w:hAnsi="宋体"/>
          <w:color w:val="000000"/>
          <w:sz w:val="24"/>
          <w:vertAlign w:val="subscript"/>
        </w:rPr>
        <w:t>l</w:t>
      </w:r>
      <w:r>
        <w:rPr>
          <w:rFonts w:hint="eastAsia" w:ascii="宋体" w:hAnsi="宋体"/>
          <w:color w:val="000000"/>
          <w:sz w:val="24"/>
        </w:rPr>
        <w:t>·K</w:t>
      </w:r>
      <w:r>
        <w:rPr>
          <w:rFonts w:hint="eastAsia" w:ascii="宋体" w:hAnsi="宋体"/>
          <w:color w:val="000000"/>
          <w:sz w:val="24"/>
          <w:vertAlign w:val="subscript"/>
        </w:rPr>
        <w:t>2</w:t>
      </w:r>
      <w:r>
        <w:rPr>
          <w:rFonts w:hint="eastAsia" w:ascii="宋体" w:hAnsi="宋体"/>
          <w:color w:val="000000"/>
          <w:sz w:val="24"/>
        </w:rPr>
        <w:t>·</w:t>
      </w:r>
      <w:r>
        <w:rPr>
          <w:rFonts w:ascii="宋体" w:hAnsi="宋体"/>
          <w:color w:val="000000"/>
          <w:sz w:val="24"/>
        </w:rPr>
        <w:t>A</w:t>
      </w:r>
      <w:r>
        <w:rPr>
          <w:rFonts w:hint="eastAsia" w:ascii="宋体" w:hAnsi="宋体"/>
          <w:color w:val="000000"/>
          <w:sz w:val="24"/>
        </w:rPr>
        <w:t>·</w:t>
      </w:r>
      <w:r>
        <w:rPr>
          <w:rFonts w:ascii="宋体" w:hAnsi="宋体"/>
          <w:color w:val="000000"/>
          <w:sz w:val="24"/>
        </w:rPr>
        <w:t>L</w:t>
      </w:r>
      <w:r>
        <w:rPr>
          <w:rFonts w:hint="eastAsia" w:ascii="宋体" w:hAnsi="宋体"/>
          <w:color w:val="000000"/>
          <w:sz w:val="24"/>
        </w:rPr>
        <w:t>·</w:t>
      </w:r>
      <w:r>
        <w:rPr>
          <w:rFonts w:ascii="宋体" w:hAnsi="宋体"/>
          <w:color w:val="000000"/>
          <w:sz w:val="24"/>
        </w:rPr>
        <w:t>H</w:t>
      </w:r>
      <w:r>
        <w:rPr>
          <w:rFonts w:hint="eastAsia" w:ascii="宋体" w:hAnsi="宋体"/>
          <w:color w:val="000000"/>
          <w:sz w:val="24"/>
        </w:rPr>
        <w:t>·</w:t>
      </w:r>
      <w:r>
        <w:rPr>
          <w:rFonts w:ascii="宋体" w:hAnsi="宋体"/>
          <w:color w:val="000000"/>
          <w:sz w:val="24"/>
        </w:rPr>
        <w:t>S</w:t>
      </w:r>
      <w:r>
        <w:rPr>
          <w:rFonts w:hint="eastAsia" w:ascii="宋体" w:hAnsi="宋体"/>
          <w:color w:val="000000"/>
          <w:sz w:val="24"/>
        </w:rPr>
        <w:t>·</w:t>
      </w:r>
      <w:r>
        <w:rPr>
          <w:rFonts w:ascii="宋体" w:hAnsi="宋体"/>
          <w:color w:val="000000"/>
          <w:sz w:val="24"/>
        </w:rPr>
        <w:t>r</w:t>
      </w:r>
      <w:r>
        <w:rPr>
          <w:rFonts w:hint="eastAsia" w:ascii="宋体" w:hAnsi="宋体"/>
          <w:color w:val="000000"/>
          <w:sz w:val="24"/>
        </w:rPr>
        <w:t>/</w:t>
      </w:r>
      <w:r>
        <w:rPr>
          <w:rFonts w:ascii="宋体" w:hAnsi="宋体"/>
          <w:color w:val="000000"/>
          <w:sz w:val="24"/>
        </w:rPr>
        <w:t>R</w:t>
      </w:r>
    </w:p>
    <w:p w14:paraId="2E53C31A">
      <w:pPr>
        <w:spacing w:line="360" w:lineRule="auto"/>
        <w:ind w:firstLine="480" w:firstLineChars="200"/>
        <w:rPr>
          <w:rFonts w:hint="eastAsia" w:ascii="宋体" w:hAnsi="宋体"/>
          <w:color w:val="000000"/>
          <w:sz w:val="24"/>
        </w:rPr>
      </w:pPr>
      <w:r>
        <w:rPr>
          <w:rFonts w:hint="eastAsia" w:ascii="宋体" w:hAnsi="宋体"/>
          <w:color w:val="000000"/>
          <w:sz w:val="24"/>
        </w:rPr>
        <w:t>＝1.2</w:t>
      </w:r>
      <w:r>
        <w:rPr>
          <w:rFonts w:hint="eastAsia" w:ascii="宋体" w:hAnsi="宋体"/>
          <w:color w:val="000000"/>
          <w:sz w:val="24"/>
          <w:lang w:val="en-GB"/>
        </w:rPr>
        <w:t>×</w:t>
      </w:r>
      <w:r>
        <w:rPr>
          <w:rFonts w:hint="eastAsia" w:ascii="宋体" w:hAnsi="宋体"/>
          <w:color w:val="000000"/>
          <w:sz w:val="24"/>
        </w:rPr>
        <w:t>1.0</w:t>
      </w:r>
      <w:r>
        <w:rPr>
          <w:rFonts w:hint="eastAsia" w:ascii="宋体" w:hAnsi="宋体"/>
          <w:color w:val="000000"/>
          <w:sz w:val="24"/>
          <w:lang w:val="en-GB"/>
        </w:rPr>
        <w:t>×</w:t>
      </w:r>
      <w:r>
        <w:rPr>
          <w:rFonts w:hint="eastAsia" w:ascii="宋体" w:hAnsi="宋体"/>
          <w:color w:val="000000"/>
          <w:sz w:val="24"/>
        </w:rPr>
        <w:t>0.058</w:t>
      </w:r>
      <w:r>
        <w:rPr>
          <w:rFonts w:hint="eastAsia" w:ascii="宋体" w:hAnsi="宋体"/>
          <w:color w:val="000000"/>
          <w:sz w:val="24"/>
          <w:lang w:val="en-GB"/>
        </w:rPr>
        <w:t>×</w:t>
      </w:r>
      <w:r>
        <w:rPr>
          <w:rFonts w:hint="eastAsia" w:ascii="宋体" w:hAnsi="宋体"/>
          <w:color w:val="000000"/>
          <w:sz w:val="24"/>
        </w:rPr>
        <w:t>120</w:t>
      </w:r>
      <w:r>
        <w:rPr>
          <w:rFonts w:hint="eastAsia" w:ascii="宋体" w:hAnsi="宋体"/>
          <w:color w:val="000000"/>
          <w:sz w:val="24"/>
          <w:lang w:val="en-GB"/>
        </w:rPr>
        <w:t>×</w:t>
      </w:r>
      <w:r>
        <w:rPr>
          <w:rFonts w:hint="eastAsia" w:ascii="宋体" w:hAnsi="宋体"/>
          <w:color w:val="000000"/>
          <w:sz w:val="24"/>
        </w:rPr>
        <w:t>2.0</w:t>
      </w:r>
      <w:r>
        <w:rPr>
          <w:rFonts w:hint="eastAsia" w:ascii="宋体" w:hAnsi="宋体"/>
          <w:color w:val="000000"/>
          <w:sz w:val="24"/>
          <w:lang w:val="en-GB"/>
        </w:rPr>
        <w:t>×</w:t>
      </w:r>
      <w:r>
        <w:rPr>
          <w:rFonts w:hint="eastAsia" w:ascii="宋体" w:hAnsi="宋体"/>
          <w:color w:val="000000"/>
          <w:sz w:val="24"/>
        </w:rPr>
        <w:t>0.1</w:t>
      </w:r>
      <w:r>
        <w:rPr>
          <w:rFonts w:hint="eastAsia" w:ascii="宋体" w:hAnsi="宋体"/>
          <w:color w:val="000000"/>
          <w:sz w:val="24"/>
          <w:lang w:val="en-GB"/>
        </w:rPr>
        <w:t>×</w:t>
      </w:r>
      <w:r>
        <w:rPr>
          <w:rFonts w:hint="eastAsia" w:ascii="宋体" w:hAnsi="宋体"/>
          <w:color w:val="000000"/>
          <w:sz w:val="24"/>
        </w:rPr>
        <w:t>1.05/80%</w:t>
      </w:r>
    </w:p>
    <w:p w14:paraId="1BA72DFA">
      <w:pPr>
        <w:spacing w:line="360" w:lineRule="auto"/>
        <w:ind w:firstLine="480" w:firstLineChars="200"/>
        <w:rPr>
          <w:rFonts w:hint="eastAsia" w:ascii="宋体" w:hAnsi="宋体"/>
          <w:color w:val="000000"/>
          <w:sz w:val="24"/>
        </w:rPr>
      </w:pPr>
      <w:r>
        <w:rPr>
          <w:rFonts w:hint="eastAsia" w:ascii="宋体" w:hAnsi="宋体"/>
          <w:color w:val="000000"/>
          <w:sz w:val="24"/>
        </w:rPr>
        <w:t>＝2.19t</w:t>
      </w:r>
    </w:p>
    <w:p w14:paraId="07199C43">
      <w:pPr>
        <w:spacing w:line="360" w:lineRule="auto"/>
        <w:ind w:firstLine="480" w:firstLineChars="200"/>
        <w:rPr>
          <w:rFonts w:hint="eastAsia" w:ascii="宋体" w:hAnsi="宋体"/>
          <w:color w:val="000000"/>
          <w:sz w:val="24"/>
        </w:rPr>
      </w:pPr>
      <w:r>
        <w:rPr>
          <w:rFonts w:hint="eastAsia" w:ascii="宋体" w:hAnsi="宋体"/>
          <w:color w:val="000000"/>
          <w:sz w:val="24"/>
        </w:rPr>
        <w:t>（2）工作面一次喷洒所需阻化剂用量</w:t>
      </w:r>
    </w:p>
    <w:p w14:paraId="498EFA57">
      <w:pPr>
        <w:spacing w:line="360" w:lineRule="auto"/>
        <w:ind w:firstLine="480" w:firstLineChars="200"/>
        <w:rPr>
          <w:rFonts w:hint="eastAsia" w:ascii="宋体" w:hAnsi="宋体"/>
          <w:color w:val="000000"/>
          <w:sz w:val="24"/>
        </w:rPr>
      </w:pPr>
      <w:r>
        <w:rPr>
          <w:rFonts w:hint="eastAsia" w:ascii="宋体" w:hAnsi="宋体"/>
          <w:color w:val="000000"/>
          <w:sz w:val="24"/>
        </w:rPr>
        <w:t>V</w:t>
      </w:r>
      <w:r>
        <w:rPr>
          <w:rFonts w:hint="eastAsia" w:ascii="宋体" w:hAnsi="宋体"/>
          <w:color w:val="000000"/>
          <w:sz w:val="24"/>
          <w:vertAlign w:val="subscript"/>
        </w:rPr>
        <w:t>2</w:t>
      </w:r>
      <w:r>
        <w:rPr>
          <w:rFonts w:hint="eastAsia" w:ascii="宋体" w:hAnsi="宋体"/>
          <w:color w:val="000000"/>
          <w:sz w:val="24"/>
        </w:rPr>
        <w:t>＝</w:t>
      </w:r>
      <w:r>
        <w:rPr>
          <w:rFonts w:ascii="宋体" w:hAnsi="宋体"/>
          <w:color w:val="000000"/>
          <w:sz w:val="24"/>
        </w:rPr>
        <w:t>V</w:t>
      </w:r>
      <w:r>
        <w:rPr>
          <w:rFonts w:hint="eastAsia" w:ascii="宋体" w:hAnsi="宋体"/>
          <w:color w:val="000000"/>
          <w:sz w:val="24"/>
          <w:vertAlign w:val="subscript"/>
        </w:rPr>
        <w:t>1</w:t>
      </w:r>
      <w:r>
        <w:rPr>
          <w:rFonts w:hint="eastAsia" w:ascii="宋体" w:hAnsi="宋体"/>
          <w:color w:val="000000"/>
          <w:sz w:val="24"/>
          <w:lang w:val="en-GB"/>
        </w:rPr>
        <w:t>×</w:t>
      </w:r>
      <w:r>
        <w:rPr>
          <w:rFonts w:hint="eastAsia" w:ascii="宋体" w:hAnsi="宋体"/>
          <w:color w:val="000000"/>
          <w:sz w:val="24"/>
        </w:rPr>
        <w:t>ρ＝2.19</w:t>
      </w:r>
      <w:r>
        <w:rPr>
          <w:rFonts w:hint="eastAsia" w:ascii="宋体" w:hAnsi="宋体"/>
          <w:color w:val="000000"/>
          <w:sz w:val="24"/>
          <w:lang w:val="en-GB"/>
        </w:rPr>
        <w:t>×</w:t>
      </w:r>
      <w:r>
        <w:rPr>
          <w:rFonts w:hint="eastAsia" w:ascii="宋体" w:hAnsi="宋体"/>
          <w:color w:val="000000"/>
          <w:sz w:val="24"/>
        </w:rPr>
        <w:t>20%＝0.438t</w:t>
      </w:r>
    </w:p>
    <w:p w14:paraId="0ECDC10B">
      <w:pPr>
        <w:spacing w:line="360" w:lineRule="auto"/>
        <w:ind w:firstLine="480" w:firstLineChars="200"/>
        <w:rPr>
          <w:rFonts w:hint="eastAsia" w:ascii="宋体" w:hAnsi="宋体"/>
          <w:color w:val="000000"/>
          <w:sz w:val="24"/>
        </w:rPr>
      </w:pPr>
      <w:r>
        <w:rPr>
          <w:rFonts w:hint="eastAsia" w:ascii="宋体" w:hAnsi="宋体"/>
          <w:color w:val="000000"/>
          <w:sz w:val="24"/>
        </w:rPr>
        <w:t>选用卤块</w:t>
      </w:r>
      <w:r>
        <w:rPr>
          <w:rFonts w:ascii="宋体" w:hAnsi="宋体"/>
          <w:color w:val="000000"/>
          <w:sz w:val="24"/>
        </w:rPr>
        <w:t>(</w:t>
      </w:r>
      <w:r>
        <w:rPr>
          <w:rFonts w:hint="eastAsia" w:ascii="宋体" w:hAnsi="宋体"/>
          <w:color w:val="000000"/>
          <w:sz w:val="24"/>
        </w:rPr>
        <w:t>片</w:t>
      </w:r>
      <w:r>
        <w:rPr>
          <w:rFonts w:ascii="宋体" w:hAnsi="宋体"/>
          <w:color w:val="000000"/>
          <w:sz w:val="24"/>
        </w:rPr>
        <w:t>)</w:t>
      </w:r>
      <w:r>
        <w:rPr>
          <w:rFonts w:hint="eastAsia" w:ascii="宋体" w:hAnsi="宋体"/>
          <w:color w:val="000000"/>
          <w:sz w:val="24"/>
        </w:rPr>
        <w:t>作为阻化剂，阻化剂溶液浓度为20%，阻化率为80%。</w:t>
      </w:r>
    </w:p>
    <w:p w14:paraId="0655F43C">
      <w:pPr>
        <w:spacing w:line="360" w:lineRule="auto"/>
        <w:ind w:firstLine="480" w:firstLineChars="200"/>
        <w:rPr>
          <w:rFonts w:hint="eastAsia" w:ascii="宋体" w:hAnsi="宋体"/>
          <w:color w:val="000000"/>
          <w:sz w:val="24"/>
        </w:rPr>
      </w:pPr>
      <w:r>
        <w:rPr>
          <w:rFonts w:hint="eastAsia" w:ascii="宋体" w:hAnsi="宋体"/>
          <w:color w:val="000000"/>
          <w:sz w:val="24"/>
        </w:rPr>
        <w:t>实施时，每班</w:t>
      </w:r>
      <w:r>
        <w:rPr>
          <w:rFonts w:ascii="宋体" w:hAnsi="宋体"/>
          <w:color w:val="000000"/>
          <w:sz w:val="24"/>
        </w:rPr>
        <w:t>2</w:t>
      </w:r>
      <w:r>
        <w:rPr>
          <w:rFonts w:hint="eastAsia" w:ascii="宋体" w:hAnsi="宋体"/>
          <w:color w:val="000000"/>
          <w:sz w:val="24"/>
        </w:rPr>
        <w:t>只喷枪对采空区喷雾，喷雾工作时间为2小时/班。</w:t>
      </w:r>
    </w:p>
    <w:p w14:paraId="5D4512D9">
      <w:pPr>
        <w:spacing w:line="360" w:lineRule="auto"/>
        <w:ind w:firstLine="480" w:firstLineChars="200"/>
        <w:rPr>
          <w:rFonts w:hint="eastAsia" w:ascii="宋体" w:hAnsi="宋体"/>
          <w:color w:val="000000"/>
          <w:sz w:val="24"/>
        </w:rPr>
      </w:pPr>
      <w:r>
        <w:rPr>
          <w:rFonts w:hint="eastAsia" w:ascii="宋体" w:hAnsi="宋体"/>
          <w:color w:val="000000"/>
          <w:sz w:val="24"/>
        </w:rPr>
        <w:t>5、工作面日喷洒次数</w:t>
      </w:r>
    </w:p>
    <w:p w14:paraId="33BAECE6">
      <w:pPr>
        <w:spacing w:line="360" w:lineRule="auto"/>
        <w:ind w:firstLine="480" w:firstLineChars="200"/>
        <w:rPr>
          <w:rFonts w:hint="eastAsia" w:ascii="宋体" w:hAnsi="宋体"/>
          <w:color w:val="000000"/>
          <w:sz w:val="24"/>
        </w:rPr>
      </w:pPr>
      <w:r>
        <w:rPr>
          <w:rFonts w:hint="eastAsia" w:ascii="宋体" w:hAnsi="宋体"/>
          <w:color w:val="000000"/>
          <w:sz w:val="24"/>
        </w:rPr>
        <w:t>该矿工作面作业形式为：三采一准，喷洒工作安排在准备班前进行，工作面上下口喷枪相向喷洒，在工作面中部相遇喷洒完毕。</w:t>
      </w:r>
    </w:p>
    <w:p w14:paraId="3923DA18">
      <w:pPr>
        <w:spacing w:line="360" w:lineRule="auto"/>
        <w:ind w:firstLine="480" w:firstLineChars="200"/>
        <w:rPr>
          <w:rFonts w:ascii="宋体" w:hAnsi="宋体"/>
          <w:color w:val="000000"/>
          <w:sz w:val="24"/>
        </w:rPr>
      </w:pPr>
      <w:r>
        <w:rPr>
          <w:rFonts w:hint="eastAsia" w:ascii="宋体" w:hAnsi="宋体"/>
          <w:color w:val="000000"/>
          <w:sz w:val="24"/>
        </w:rPr>
        <w:t>6、系统特点</w:t>
      </w:r>
    </w:p>
    <w:p w14:paraId="302A6F10">
      <w:pPr>
        <w:spacing w:line="360" w:lineRule="auto"/>
        <w:ind w:firstLine="480" w:firstLineChars="200"/>
        <w:rPr>
          <w:rFonts w:hint="eastAsia" w:ascii="宋体" w:hAnsi="宋体"/>
          <w:color w:val="000000"/>
          <w:sz w:val="24"/>
        </w:rPr>
      </w:pPr>
      <w:r>
        <w:rPr>
          <w:rFonts w:hint="eastAsia" w:ascii="宋体" w:hAnsi="宋体"/>
          <w:color w:val="000000"/>
          <w:sz w:val="24"/>
        </w:rPr>
        <w:t>机动灵活，防灭火范围大等特点。与其它防灭火方法相比，流动汽雾阻化剂具有防灭火效果好，工人劳动强度小等特点。</w:t>
      </w:r>
    </w:p>
    <w:p w14:paraId="6F93656F">
      <w:pPr>
        <w:spacing w:line="360" w:lineRule="auto"/>
        <w:ind w:firstLine="480" w:firstLineChars="200"/>
        <w:rPr>
          <w:rFonts w:ascii="宋体" w:hAnsi="宋体"/>
          <w:color w:val="000000"/>
          <w:sz w:val="24"/>
        </w:rPr>
      </w:pPr>
      <w:r>
        <w:rPr>
          <w:rFonts w:hint="eastAsia" w:ascii="宋体" w:hAnsi="宋体"/>
          <w:color w:val="000000"/>
          <w:sz w:val="24"/>
        </w:rPr>
        <w:t>7、防腐措施</w:t>
      </w:r>
    </w:p>
    <w:p w14:paraId="244BD657">
      <w:pPr>
        <w:spacing w:line="360" w:lineRule="auto"/>
        <w:ind w:firstLine="480" w:firstLineChars="200"/>
        <w:rPr>
          <w:rFonts w:ascii="宋体" w:hAnsi="宋体"/>
          <w:color w:val="000000"/>
          <w:sz w:val="24"/>
        </w:rPr>
      </w:pPr>
      <w:r>
        <w:rPr>
          <w:rFonts w:ascii="宋体" w:hAnsi="宋体"/>
          <w:color w:val="000000"/>
          <w:sz w:val="24"/>
        </w:rPr>
        <w:t>采用阻化剂防灭火时，应遵守下列规定：</w:t>
      </w:r>
    </w:p>
    <w:p w14:paraId="5CF7FDE2">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选用的阻化剂材料不得污染井下空气和危害人体健康。</w:t>
      </w:r>
    </w:p>
    <w:p w14:paraId="1924E8E5">
      <w:pPr>
        <w:spacing w:line="360" w:lineRule="auto"/>
        <w:ind w:firstLine="480" w:firstLineChars="200"/>
        <w:rPr>
          <w:rFonts w:ascii="宋体" w:hAnsi="宋体"/>
          <w:color w:val="000000"/>
          <w:sz w:val="24"/>
        </w:rPr>
      </w:pPr>
      <w:r>
        <w:rPr>
          <w:rFonts w:hint="eastAsia" w:ascii="宋体" w:hAnsi="宋体"/>
          <w:color w:val="000000"/>
          <w:sz w:val="24"/>
        </w:rPr>
        <w:t>（2）</w:t>
      </w:r>
      <w:r>
        <w:rPr>
          <w:rFonts w:ascii="宋体" w:hAnsi="宋体"/>
          <w:color w:val="000000"/>
          <w:sz w:val="24"/>
        </w:rPr>
        <w:t>必须在设计中对阻化剂的种类和数量、阻化效果等主要参数作出明确规定。</w:t>
      </w:r>
    </w:p>
    <w:p w14:paraId="3CE72180">
      <w:pPr>
        <w:spacing w:line="360" w:lineRule="auto"/>
        <w:ind w:firstLine="480" w:firstLineChars="200"/>
        <w:rPr>
          <w:rFonts w:ascii="宋体" w:hAnsi="宋体"/>
          <w:color w:val="000000"/>
          <w:sz w:val="24"/>
        </w:rPr>
      </w:pPr>
      <w:r>
        <w:rPr>
          <w:rFonts w:hint="eastAsia" w:ascii="宋体" w:hAnsi="宋体"/>
          <w:color w:val="000000"/>
          <w:sz w:val="24"/>
        </w:rPr>
        <w:t>（3）</w:t>
      </w:r>
      <w:r>
        <w:rPr>
          <w:rFonts w:ascii="宋体" w:hAnsi="宋体"/>
          <w:color w:val="000000"/>
          <w:sz w:val="24"/>
        </w:rPr>
        <w:t>应采取防止阻化剂腐蚀机械设备、支架等金属构件的措施。</w:t>
      </w:r>
    </w:p>
    <w:p w14:paraId="705ECC69">
      <w:pPr>
        <w:spacing w:line="360" w:lineRule="auto"/>
        <w:ind w:firstLine="480" w:firstLineChars="200"/>
        <w:rPr>
          <w:rFonts w:hint="eastAsia" w:ascii="宋体" w:hAnsi="宋体"/>
          <w:color w:val="000000"/>
          <w:sz w:val="24"/>
        </w:rPr>
      </w:pPr>
      <w:r>
        <w:rPr>
          <w:rFonts w:hint="eastAsia" w:ascii="宋体" w:hAnsi="宋体"/>
          <w:color w:val="000000"/>
          <w:sz w:val="24"/>
        </w:rPr>
        <w:t>1）高压胶管、喷雾器必须保持完好，严禁泄露。</w:t>
      </w:r>
    </w:p>
    <w:p w14:paraId="74B0F5AB">
      <w:pPr>
        <w:spacing w:line="360" w:lineRule="auto"/>
        <w:ind w:firstLine="480" w:firstLineChars="200"/>
        <w:rPr>
          <w:rFonts w:hint="eastAsia" w:ascii="宋体" w:hAnsi="宋体"/>
          <w:color w:val="000000"/>
          <w:sz w:val="24"/>
        </w:rPr>
      </w:pPr>
      <w:r>
        <w:rPr>
          <w:rFonts w:hint="eastAsia" w:ascii="宋体" w:hAnsi="宋体"/>
          <w:color w:val="000000"/>
          <w:sz w:val="24"/>
        </w:rPr>
        <w:t>2）喷雾器必须伸入采空区喷雾，不得在采面风速较大的地点开启喷雾器。</w:t>
      </w:r>
    </w:p>
    <w:p w14:paraId="1101BBBF">
      <w:pPr>
        <w:spacing w:line="360" w:lineRule="auto"/>
        <w:ind w:firstLine="480" w:firstLineChars="200"/>
        <w:rPr>
          <w:rFonts w:hint="eastAsia" w:ascii="宋体" w:hAnsi="宋体"/>
          <w:color w:val="000000"/>
          <w:sz w:val="24"/>
        </w:rPr>
      </w:pPr>
      <w:r>
        <w:rPr>
          <w:rFonts w:hint="eastAsia" w:ascii="宋体" w:hAnsi="宋体"/>
          <w:color w:val="000000"/>
          <w:sz w:val="24"/>
        </w:rPr>
        <w:t>3）喷洒工作安排在回柱放顶前进行，不得在放顶后再喷洒</w:t>
      </w:r>
    </w:p>
    <w:p w14:paraId="4DCEAEF6">
      <w:pPr>
        <w:spacing w:line="360" w:lineRule="auto"/>
        <w:ind w:firstLine="480" w:firstLineChars="200"/>
        <w:rPr>
          <w:rFonts w:hint="eastAsia" w:ascii="宋体" w:hAnsi="宋体"/>
          <w:color w:val="000000"/>
          <w:sz w:val="24"/>
        </w:rPr>
      </w:pPr>
      <w:r>
        <w:rPr>
          <w:rFonts w:hint="eastAsia" w:ascii="宋体" w:hAnsi="宋体"/>
          <w:color w:val="000000"/>
          <w:sz w:val="24"/>
        </w:rPr>
        <w:t>4）每班喷洒完毕后，要及时用清水冲洗采面单体支柱，防止因风速较大点的雾状</w:t>
      </w:r>
      <w:r>
        <w:rPr>
          <w:rFonts w:ascii="宋体" w:hAnsi="宋体"/>
          <w:color w:val="000000"/>
          <w:sz w:val="24"/>
        </w:rPr>
        <w:t>阻化剂</w:t>
      </w:r>
      <w:r>
        <w:rPr>
          <w:rFonts w:hint="eastAsia" w:ascii="宋体" w:hAnsi="宋体"/>
          <w:color w:val="000000"/>
          <w:sz w:val="24"/>
        </w:rPr>
        <w:t>漂移附着在单体支柱上。</w:t>
      </w:r>
    </w:p>
    <w:p w14:paraId="3191A44F">
      <w:pPr>
        <w:spacing w:before="120" w:beforeLines="50" w:after="120" w:afterLines="50" w:line="360" w:lineRule="auto"/>
        <w:ind w:firstLine="482" w:firstLineChars="200"/>
        <w:rPr>
          <w:rFonts w:hint="eastAsia" w:ascii="宋体" w:hAnsi="宋体"/>
          <w:b/>
          <w:sz w:val="24"/>
        </w:rPr>
      </w:pPr>
      <w:bookmarkStart w:id="447" w:name="_Toc90049053"/>
      <w:bookmarkStart w:id="448" w:name="_Toc80703506"/>
      <w:r>
        <w:rPr>
          <w:rFonts w:hint="eastAsia" w:ascii="宋体" w:hAnsi="宋体"/>
          <w:b/>
          <w:sz w:val="24"/>
        </w:rPr>
        <w:t>（二）井下外因火灾防治</w:t>
      </w:r>
      <w:bookmarkEnd w:id="447"/>
      <w:bookmarkEnd w:id="448"/>
    </w:p>
    <w:p w14:paraId="153DB6CF">
      <w:pPr>
        <w:spacing w:line="360" w:lineRule="auto"/>
        <w:ind w:firstLine="480" w:firstLineChars="200"/>
        <w:rPr>
          <w:rFonts w:hint="eastAsia" w:ascii="宋体" w:hAnsi="宋体"/>
          <w:sz w:val="24"/>
        </w:rPr>
      </w:pPr>
      <w:r>
        <w:rPr>
          <w:rFonts w:hint="eastAsia" w:ascii="宋体" w:hAnsi="宋体"/>
          <w:sz w:val="24"/>
        </w:rPr>
        <w:t>外因火灾的主要特点是突然发生，来势迅猛，发生的时间和地点出人意料之外。由于这种突发性、意外性，常使人们惊慌失措而造成恶性事故。矿井中一切能够产生高温、明火、火花的以及由于可燃材料制成的器材和设备，如使用不当都可能会引起外因火灾。绝大多数外因火灾是由于机电设备质量不高，安装不良，又缺乏严格的检修、维护制度，长期带病运行而引起的。对于小型煤矿，由于机械化程度较低，其中爆破和明火是造成外因火灾的主要原因。</w:t>
      </w:r>
    </w:p>
    <w:p w14:paraId="00CA15D8">
      <w:pPr>
        <w:spacing w:line="360" w:lineRule="auto"/>
        <w:ind w:firstLine="480" w:firstLineChars="200"/>
        <w:rPr>
          <w:rFonts w:hint="eastAsia" w:ascii="宋体" w:hAnsi="宋体"/>
          <w:sz w:val="24"/>
        </w:rPr>
      </w:pPr>
      <w:r>
        <w:rPr>
          <w:rFonts w:hint="eastAsia" w:ascii="宋体" w:hAnsi="宋体"/>
          <w:sz w:val="24"/>
        </w:rPr>
        <w:t>外因火灾的防治主要应从两个方面着手，一是防止失控的高温热源；其次是在井下尽量采用不燃或耐燃的材料和制品。</w:t>
      </w:r>
    </w:p>
    <w:p w14:paraId="5E589BEB">
      <w:pPr>
        <w:spacing w:line="360" w:lineRule="auto"/>
        <w:ind w:firstLine="480" w:firstLineChars="200"/>
        <w:rPr>
          <w:rFonts w:hint="eastAsia" w:ascii="宋体" w:hAnsi="宋体"/>
          <w:sz w:val="24"/>
        </w:rPr>
      </w:pPr>
      <w:r>
        <w:rPr>
          <w:rFonts w:hint="eastAsia" w:ascii="宋体" w:hAnsi="宋体"/>
          <w:sz w:val="24"/>
        </w:rPr>
        <w:t>1、电气事故引发火灾防治措施及装备</w:t>
      </w:r>
    </w:p>
    <w:p w14:paraId="66E7BF98">
      <w:pPr>
        <w:spacing w:line="360" w:lineRule="auto"/>
        <w:ind w:firstLine="480" w:firstLineChars="200"/>
        <w:rPr>
          <w:rFonts w:hint="eastAsia" w:ascii="宋体" w:hAnsi="宋体"/>
          <w:sz w:val="24"/>
        </w:rPr>
      </w:pPr>
      <w:r>
        <w:rPr>
          <w:rFonts w:hint="eastAsia" w:ascii="宋体" w:hAnsi="宋体"/>
          <w:sz w:val="24"/>
        </w:rPr>
        <w:t>（1）井下机电硐室防火措施</w:t>
      </w:r>
    </w:p>
    <w:p w14:paraId="3B965C5D">
      <w:pPr>
        <w:spacing w:line="360" w:lineRule="auto"/>
        <w:ind w:firstLine="480" w:firstLineChars="200"/>
        <w:rPr>
          <w:rFonts w:hint="eastAsia" w:ascii="宋体" w:hAnsi="宋体"/>
          <w:sz w:val="24"/>
        </w:rPr>
      </w:pPr>
      <w:r>
        <w:rPr>
          <w:rFonts w:hint="eastAsia" w:ascii="宋体" w:hAnsi="宋体"/>
          <w:sz w:val="24"/>
        </w:rPr>
        <w:t>本煤矿在井下设置水泵房、绞车房、消防材料硐室等，消防材料硐室设计在便于运送消防材料处。对水泵房和消防材料硐室采取以下防灭火措施：</w:t>
      </w:r>
    </w:p>
    <w:p w14:paraId="44C322C7">
      <w:pPr>
        <w:spacing w:line="360" w:lineRule="auto"/>
        <w:ind w:firstLine="480" w:firstLineChars="200"/>
        <w:rPr>
          <w:rFonts w:hint="eastAsia" w:ascii="宋体" w:hAnsi="宋体"/>
          <w:sz w:val="24"/>
        </w:rPr>
      </w:pPr>
      <w:r>
        <w:rPr>
          <w:rFonts w:hint="eastAsia" w:ascii="宋体" w:hAnsi="宋体"/>
          <w:sz w:val="24"/>
        </w:rPr>
        <w:t>1）硐室必须装设向外开的防火铁门，铁门全部敞开时不妨碍运输，严禁存放无关的设备和物件，并采用防爆型的照明设备。</w:t>
      </w:r>
    </w:p>
    <w:p w14:paraId="75ADE11D">
      <w:pPr>
        <w:spacing w:line="360" w:lineRule="auto"/>
        <w:ind w:firstLine="480" w:firstLineChars="200"/>
        <w:rPr>
          <w:rFonts w:hint="eastAsia" w:ascii="宋体" w:hAnsi="宋体"/>
          <w:sz w:val="24"/>
        </w:rPr>
      </w:pPr>
      <w:r>
        <w:rPr>
          <w:rFonts w:hint="eastAsia" w:ascii="宋体" w:hAnsi="宋体"/>
          <w:sz w:val="24"/>
        </w:rPr>
        <w:t>2）从硐室出口防火铁门起5m内的巷道，应砌碹或用其他不燃性材料支护。</w:t>
      </w:r>
    </w:p>
    <w:p w14:paraId="7B5F943E">
      <w:pPr>
        <w:spacing w:line="360" w:lineRule="auto"/>
        <w:ind w:firstLine="480" w:firstLineChars="200"/>
        <w:rPr>
          <w:rFonts w:hint="eastAsia" w:ascii="宋体" w:hAnsi="宋体"/>
          <w:sz w:val="24"/>
        </w:rPr>
      </w:pPr>
      <w:r>
        <w:rPr>
          <w:rFonts w:hint="eastAsia" w:ascii="宋体" w:hAnsi="宋体"/>
          <w:sz w:val="24"/>
        </w:rPr>
        <w:t>3）硐室内必须设置足够数量的扑灭电气火灾的灭火器材。故应在硐室内设CO</w:t>
      </w:r>
      <w:r>
        <w:rPr>
          <w:rFonts w:hint="eastAsia" w:ascii="宋体" w:hAnsi="宋体"/>
          <w:sz w:val="24"/>
          <w:vertAlign w:val="subscript"/>
        </w:rPr>
        <w:t>2</w:t>
      </w:r>
      <w:r>
        <w:rPr>
          <w:rFonts w:hint="eastAsia" w:ascii="宋体" w:hAnsi="宋体"/>
          <w:sz w:val="24"/>
        </w:rPr>
        <w:t>灭火器2个，8kg干粉灭火器1个，灭火沙袋2个。</w:t>
      </w:r>
    </w:p>
    <w:p w14:paraId="1F9F2A58">
      <w:pPr>
        <w:spacing w:line="360" w:lineRule="auto"/>
        <w:ind w:firstLine="480" w:firstLineChars="200"/>
        <w:rPr>
          <w:rFonts w:hint="eastAsia" w:ascii="宋体" w:hAnsi="宋体"/>
          <w:sz w:val="24"/>
        </w:rPr>
      </w:pPr>
      <w:r>
        <w:rPr>
          <w:rFonts w:hint="eastAsia" w:ascii="宋体" w:hAnsi="宋体"/>
          <w:sz w:val="24"/>
        </w:rPr>
        <w:t>4）硐室长度超过6m时，必须在硐室的两端各设一个出口。</w:t>
      </w:r>
    </w:p>
    <w:p w14:paraId="41E42975">
      <w:pPr>
        <w:spacing w:line="360" w:lineRule="auto"/>
        <w:ind w:firstLine="480" w:firstLineChars="200"/>
        <w:rPr>
          <w:rFonts w:hint="eastAsia" w:ascii="宋体" w:hAnsi="宋体"/>
          <w:sz w:val="24"/>
        </w:rPr>
      </w:pPr>
      <w:r>
        <w:rPr>
          <w:rFonts w:hint="eastAsia" w:ascii="宋体" w:hAnsi="宋体"/>
          <w:sz w:val="24"/>
        </w:rPr>
        <w:t>5）在机电设备硐室内严禁设集油坑。硐室不应有滴水，硐室的过道应保特畅通，严禁存放无关的设备和物件。带油的电气设备溢油或漏油时，必须立即处理。</w:t>
      </w:r>
    </w:p>
    <w:p w14:paraId="3D41B72F">
      <w:pPr>
        <w:spacing w:line="360" w:lineRule="auto"/>
        <w:ind w:firstLine="480" w:firstLineChars="200"/>
        <w:rPr>
          <w:rFonts w:hint="eastAsia" w:ascii="宋体" w:hAnsi="宋体"/>
          <w:sz w:val="24"/>
        </w:rPr>
      </w:pPr>
      <w:r>
        <w:rPr>
          <w:rFonts w:hint="eastAsia" w:ascii="宋体" w:hAnsi="宋体"/>
          <w:sz w:val="24"/>
        </w:rPr>
        <w:t>6）消防材料硐室，参照煤矿建设工程安全监察手册规定配备如下：</w:t>
      </w:r>
    </w:p>
    <w:p w14:paraId="5DB878D2">
      <w:pPr>
        <w:spacing w:line="360" w:lineRule="auto"/>
        <w:jc w:val="center"/>
        <w:rPr>
          <w:rFonts w:hint="eastAsia" w:ascii="宋体" w:hAnsi="宋体"/>
          <w:sz w:val="24"/>
        </w:rPr>
      </w:pPr>
      <w:r>
        <w:rPr>
          <w:rFonts w:hint="eastAsia" w:ascii="宋体" w:hAnsi="宋体"/>
          <w:b/>
          <w:bCs/>
          <w:sz w:val="24"/>
        </w:rPr>
        <w:t>井下消防设备配备表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241"/>
        <w:gridCol w:w="679"/>
        <w:gridCol w:w="658"/>
        <w:gridCol w:w="762"/>
        <w:gridCol w:w="2210"/>
        <w:gridCol w:w="645"/>
        <w:gridCol w:w="1036"/>
      </w:tblGrid>
      <w:tr w14:paraId="1D18F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2157BFA1">
            <w:pPr>
              <w:jc w:val="center"/>
              <w:rPr>
                <w:rFonts w:hint="eastAsia" w:ascii="宋体" w:hAnsi="宋体"/>
                <w:szCs w:val="21"/>
              </w:rPr>
            </w:pPr>
            <w:r>
              <w:rPr>
                <w:rFonts w:hint="eastAsia" w:ascii="宋体" w:hAnsi="宋体"/>
                <w:szCs w:val="21"/>
              </w:rPr>
              <w:t>序号</w:t>
            </w:r>
          </w:p>
        </w:tc>
        <w:tc>
          <w:tcPr>
            <w:tcW w:w="2241" w:type="dxa"/>
            <w:noWrap w:val="0"/>
            <w:vAlign w:val="center"/>
          </w:tcPr>
          <w:p w14:paraId="75D4FB77">
            <w:pPr>
              <w:jc w:val="center"/>
              <w:rPr>
                <w:rFonts w:hint="eastAsia" w:ascii="宋体" w:hAnsi="宋体"/>
                <w:szCs w:val="21"/>
              </w:rPr>
            </w:pPr>
            <w:r>
              <w:rPr>
                <w:rFonts w:hint="eastAsia" w:ascii="宋体" w:hAnsi="宋体"/>
                <w:szCs w:val="21"/>
              </w:rPr>
              <w:t>灭火器种类</w:t>
            </w:r>
          </w:p>
        </w:tc>
        <w:tc>
          <w:tcPr>
            <w:tcW w:w="679" w:type="dxa"/>
            <w:noWrap w:val="0"/>
            <w:vAlign w:val="center"/>
          </w:tcPr>
          <w:p w14:paraId="5D90D976">
            <w:pPr>
              <w:jc w:val="center"/>
              <w:rPr>
                <w:rFonts w:hint="eastAsia" w:ascii="宋体" w:hAnsi="宋体"/>
                <w:szCs w:val="21"/>
              </w:rPr>
            </w:pPr>
            <w:r>
              <w:rPr>
                <w:rFonts w:hint="eastAsia" w:ascii="宋体" w:hAnsi="宋体"/>
                <w:szCs w:val="21"/>
              </w:rPr>
              <w:t>单位</w:t>
            </w:r>
          </w:p>
        </w:tc>
        <w:tc>
          <w:tcPr>
            <w:tcW w:w="658" w:type="dxa"/>
            <w:noWrap w:val="0"/>
            <w:vAlign w:val="center"/>
          </w:tcPr>
          <w:p w14:paraId="0AB27A90">
            <w:pPr>
              <w:jc w:val="center"/>
              <w:rPr>
                <w:rFonts w:hint="eastAsia" w:ascii="宋体" w:hAnsi="宋体"/>
                <w:szCs w:val="21"/>
              </w:rPr>
            </w:pPr>
            <w:r>
              <w:rPr>
                <w:rFonts w:hint="eastAsia" w:ascii="宋体" w:hAnsi="宋体"/>
                <w:szCs w:val="21"/>
              </w:rPr>
              <w:t>数量</w:t>
            </w:r>
          </w:p>
        </w:tc>
        <w:tc>
          <w:tcPr>
            <w:tcW w:w="762" w:type="dxa"/>
            <w:noWrap w:val="0"/>
            <w:vAlign w:val="center"/>
          </w:tcPr>
          <w:p w14:paraId="44C4C7CF">
            <w:pPr>
              <w:jc w:val="center"/>
              <w:rPr>
                <w:rFonts w:hint="eastAsia" w:ascii="宋体" w:hAnsi="宋体"/>
                <w:szCs w:val="21"/>
              </w:rPr>
            </w:pPr>
            <w:r>
              <w:rPr>
                <w:rFonts w:hint="eastAsia" w:ascii="宋体" w:hAnsi="宋体"/>
                <w:szCs w:val="21"/>
              </w:rPr>
              <w:t>序号</w:t>
            </w:r>
          </w:p>
        </w:tc>
        <w:tc>
          <w:tcPr>
            <w:tcW w:w="2210" w:type="dxa"/>
            <w:noWrap w:val="0"/>
            <w:vAlign w:val="center"/>
          </w:tcPr>
          <w:p w14:paraId="6D806879">
            <w:pPr>
              <w:jc w:val="center"/>
              <w:rPr>
                <w:rFonts w:hint="eastAsia" w:ascii="宋体" w:hAnsi="宋体"/>
                <w:szCs w:val="21"/>
              </w:rPr>
            </w:pPr>
            <w:r>
              <w:rPr>
                <w:rFonts w:hint="eastAsia" w:ascii="宋体" w:hAnsi="宋体"/>
                <w:szCs w:val="21"/>
              </w:rPr>
              <w:t>灭火器种类</w:t>
            </w:r>
          </w:p>
        </w:tc>
        <w:tc>
          <w:tcPr>
            <w:tcW w:w="645" w:type="dxa"/>
            <w:noWrap w:val="0"/>
            <w:vAlign w:val="center"/>
          </w:tcPr>
          <w:p w14:paraId="0279BD95">
            <w:pPr>
              <w:jc w:val="center"/>
              <w:rPr>
                <w:rFonts w:hint="eastAsia" w:ascii="宋体" w:hAnsi="宋体"/>
                <w:szCs w:val="21"/>
              </w:rPr>
            </w:pPr>
            <w:r>
              <w:rPr>
                <w:rFonts w:hint="eastAsia" w:ascii="宋体" w:hAnsi="宋体"/>
                <w:szCs w:val="21"/>
              </w:rPr>
              <w:t>单位</w:t>
            </w:r>
          </w:p>
        </w:tc>
        <w:tc>
          <w:tcPr>
            <w:tcW w:w="1036" w:type="dxa"/>
            <w:noWrap w:val="0"/>
            <w:vAlign w:val="center"/>
          </w:tcPr>
          <w:p w14:paraId="524FD4B8">
            <w:pPr>
              <w:jc w:val="center"/>
              <w:rPr>
                <w:rFonts w:hint="eastAsia" w:ascii="宋体" w:hAnsi="宋体"/>
                <w:szCs w:val="21"/>
              </w:rPr>
            </w:pPr>
            <w:r>
              <w:rPr>
                <w:rFonts w:hint="eastAsia" w:ascii="宋体" w:hAnsi="宋体"/>
                <w:szCs w:val="21"/>
              </w:rPr>
              <w:t>数量</w:t>
            </w:r>
          </w:p>
        </w:tc>
      </w:tr>
      <w:tr w14:paraId="43B4D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483B4053">
            <w:pPr>
              <w:pStyle w:val="45"/>
              <w:rPr>
                <w:rFonts w:hint="eastAsia" w:ascii="宋体" w:hAnsi="宋体"/>
                <w:sz w:val="21"/>
                <w:szCs w:val="21"/>
              </w:rPr>
            </w:pPr>
            <w:r>
              <w:rPr>
                <w:rFonts w:hint="eastAsia" w:ascii="宋体" w:hAnsi="宋体"/>
                <w:sz w:val="21"/>
                <w:szCs w:val="21"/>
              </w:rPr>
              <w:t>1</w:t>
            </w:r>
          </w:p>
        </w:tc>
        <w:tc>
          <w:tcPr>
            <w:tcW w:w="2241" w:type="dxa"/>
            <w:noWrap w:val="0"/>
            <w:vAlign w:val="center"/>
          </w:tcPr>
          <w:p w14:paraId="4A96D73A">
            <w:pPr>
              <w:pStyle w:val="45"/>
              <w:jc w:val="both"/>
              <w:rPr>
                <w:rFonts w:hint="eastAsia" w:ascii="宋体" w:hAnsi="宋体"/>
                <w:sz w:val="21"/>
                <w:szCs w:val="21"/>
              </w:rPr>
            </w:pPr>
            <w:r>
              <w:rPr>
                <w:rFonts w:hint="eastAsia" w:ascii="宋体" w:hAnsi="宋体"/>
                <w:sz w:val="21"/>
                <w:szCs w:val="21"/>
              </w:rPr>
              <w:t>CO</w:t>
            </w:r>
            <w:r>
              <w:rPr>
                <w:rFonts w:hint="eastAsia" w:ascii="宋体" w:hAnsi="宋体"/>
                <w:sz w:val="21"/>
                <w:szCs w:val="21"/>
                <w:vertAlign w:val="subscript"/>
              </w:rPr>
              <w:t>2</w:t>
            </w:r>
            <w:r>
              <w:rPr>
                <w:rFonts w:hint="eastAsia" w:ascii="宋体" w:hAnsi="宋体"/>
                <w:sz w:val="21"/>
                <w:szCs w:val="21"/>
              </w:rPr>
              <w:t>灭火器</w:t>
            </w:r>
          </w:p>
        </w:tc>
        <w:tc>
          <w:tcPr>
            <w:tcW w:w="679" w:type="dxa"/>
            <w:noWrap w:val="0"/>
            <w:vAlign w:val="center"/>
          </w:tcPr>
          <w:p w14:paraId="07A2C6E1">
            <w:pPr>
              <w:jc w:val="center"/>
              <w:rPr>
                <w:rFonts w:hint="eastAsia" w:ascii="宋体" w:hAnsi="宋体"/>
                <w:szCs w:val="21"/>
              </w:rPr>
            </w:pPr>
            <w:r>
              <w:rPr>
                <w:rFonts w:hint="eastAsia" w:ascii="宋体" w:hAnsi="宋体"/>
                <w:szCs w:val="21"/>
              </w:rPr>
              <w:t>个</w:t>
            </w:r>
          </w:p>
        </w:tc>
        <w:tc>
          <w:tcPr>
            <w:tcW w:w="658" w:type="dxa"/>
            <w:noWrap w:val="0"/>
            <w:vAlign w:val="center"/>
          </w:tcPr>
          <w:p w14:paraId="5C923A44">
            <w:pPr>
              <w:jc w:val="center"/>
              <w:rPr>
                <w:rFonts w:hint="eastAsia" w:ascii="宋体" w:hAnsi="宋体"/>
                <w:szCs w:val="21"/>
              </w:rPr>
            </w:pPr>
            <w:r>
              <w:rPr>
                <w:rFonts w:hint="eastAsia" w:ascii="宋体" w:hAnsi="宋体"/>
                <w:szCs w:val="21"/>
              </w:rPr>
              <w:t>18</w:t>
            </w:r>
          </w:p>
        </w:tc>
        <w:tc>
          <w:tcPr>
            <w:tcW w:w="762" w:type="dxa"/>
            <w:noWrap w:val="0"/>
            <w:vAlign w:val="center"/>
          </w:tcPr>
          <w:p w14:paraId="7A240DA6">
            <w:pPr>
              <w:jc w:val="center"/>
              <w:rPr>
                <w:rFonts w:hint="eastAsia" w:ascii="宋体" w:hAnsi="宋体"/>
                <w:szCs w:val="21"/>
              </w:rPr>
            </w:pPr>
            <w:r>
              <w:rPr>
                <w:rFonts w:hint="eastAsia" w:ascii="宋体" w:hAnsi="宋体"/>
                <w:szCs w:val="21"/>
              </w:rPr>
              <w:t>16</w:t>
            </w:r>
          </w:p>
        </w:tc>
        <w:tc>
          <w:tcPr>
            <w:tcW w:w="2210" w:type="dxa"/>
            <w:noWrap w:val="0"/>
            <w:vAlign w:val="center"/>
          </w:tcPr>
          <w:p w14:paraId="3CC1A125">
            <w:pPr>
              <w:rPr>
                <w:rFonts w:hint="eastAsia" w:ascii="宋体" w:hAnsi="宋体"/>
                <w:szCs w:val="21"/>
              </w:rPr>
            </w:pPr>
            <w:r>
              <w:rPr>
                <w:rFonts w:hint="eastAsia" w:ascii="宋体" w:hAnsi="宋体"/>
                <w:szCs w:val="21"/>
              </w:rPr>
              <w:t>8kg干粉灭火器</w:t>
            </w:r>
          </w:p>
        </w:tc>
        <w:tc>
          <w:tcPr>
            <w:tcW w:w="645" w:type="dxa"/>
            <w:noWrap w:val="0"/>
            <w:vAlign w:val="center"/>
          </w:tcPr>
          <w:p w14:paraId="2F02C384">
            <w:pPr>
              <w:jc w:val="center"/>
              <w:rPr>
                <w:rFonts w:hint="eastAsia" w:ascii="宋体" w:hAnsi="宋体"/>
                <w:szCs w:val="21"/>
              </w:rPr>
            </w:pPr>
            <w:r>
              <w:rPr>
                <w:rFonts w:hint="eastAsia" w:ascii="宋体" w:hAnsi="宋体"/>
                <w:szCs w:val="21"/>
              </w:rPr>
              <w:t>个</w:t>
            </w:r>
          </w:p>
        </w:tc>
        <w:tc>
          <w:tcPr>
            <w:tcW w:w="1036" w:type="dxa"/>
            <w:noWrap w:val="0"/>
            <w:vAlign w:val="center"/>
          </w:tcPr>
          <w:p w14:paraId="654E1E2D">
            <w:pPr>
              <w:jc w:val="center"/>
              <w:rPr>
                <w:rFonts w:hint="eastAsia" w:ascii="宋体" w:hAnsi="宋体"/>
                <w:szCs w:val="21"/>
              </w:rPr>
            </w:pPr>
            <w:r>
              <w:rPr>
                <w:rFonts w:hint="eastAsia" w:ascii="宋体" w:hAnsi="宋体"/>
                <w:szCs w:val="21"/>
              </w:rPr>
              <w:t>16</w:t>
            </w:r>
          </w:p>
        </w:tc>
      </w:tr>
      <w:tr w14:paraId="30A89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75968210">
            <w:pPr>
              <w:jc w:val="center"/>
              <w:rPr>
                <w:rFonts w:hint="eastAsia" w:ascii="宋体" w:hAnsi="宋体"/>
                <w:szCs w:val="21"/>
              </w:rPr>
            </w:pPr>
            <w:r>
              <w:rPr>
                <w:rFonts w:hint="eastAsia" w:ascii="宋体" w:hAnsi="宋体"/>
                <w:szCs w:val="21"/>
              </w:rPr>
              <w:t>2</w:t>
            </w:r>
          </w:p>
        </w:tc>
        <w:tc>
          <w:tcPr>
            <w:tcW w:w="2241" w:type="dxa"/>
            <w:noWrap w:val="0"/>
            <w:vAlign w:val="center"/>
          </w:tcPr>
          <w:p w14:paraId="0A535798">
            <w:pPr>
              <w:rPr>
                <w:rFonts w:hint="eastAsia" w:ascii="宋体" w:hAnsi="宋体"/>
                <w:szCs w:val="21"/>
              </w:rPr>
            </w:pPr>
            <w:r>
              <w:rPr>
                <w:rFonts w:hint="eastAsia" w:ascii="宋体" w:hAnsi="宋体"/>
                <w:szCs w:val="21"/>
              </w:rPr>
              <w:t>10L泡沫灭火器</w:t>
            </w:r>
          </w:p>
        </w:tc>
        <w:tc>
          <w:tcPr>
            <w:tcW w:w="679" w:type="dxa"/>
            <w:noWrap w:val="0"/>
            <w:vAlign w:val="center"/>
          </w:tcPr>
          <w:p w14:paraId="184B504E">
            <w:pPr>
              <w:jc w:val="center"/>
              <w:rPr>
                <w:rFonts w:hint="eastAsia" w:ascii="宋体" w:hAnsi="宋体"/>
                <w:szCs w:val="21"/>
              </w:rPr>
            </w:pPr>
            <w:r>
              <w:rPr>
                <w:rFonts w:hint="eastAsia" w:ascii="宋体" w:hAnsi="宋体"/>
                <w:szCs w:val="21"/>
              </w:rPr>
              <w:t>个</w:t>
            </w:r>
          </w:p>
        </w:tc>
        <w:tc>
          <w:tcPr>
            <w:tcW w:w="658" w:type="dxa"/>
            <w:noWrap w:val="0"/>
            <w:vAlign w:val="center"/>
          </w:tcPr>
          <w:p w14:paraId="76E8EE04">
            <w:pPr>
              <w:jc w:val="center"/>
              <w:rPr>
                <w:rFonts w:hint="eastAsia" w:ascii="宋体" w:hAnsi="宋体"/>
                <w:szCs w:val="21"/>
              </w:rPr>
            </w:pPr>
            <w:r>
              <w:rPr>
                <w:rFonts w:hint="eastAsia" w:ascii="宋体" w:hAnsi="宋体"/>
                <w:szCs w:val="21"/>
              </w:rPr>
              <w:t>10</w:t>
            </w:r>
          </w:p>
        </w:tc>
        <w:tc>
          <w:tcPr>
            <w:tcW w:w="762" w:type="dxa"/>
            <w:noWrap w:val="0"/>
            <w:vAlign w:val="center"/>
          </w:tcPr>
          <w:p w14:paraId="4AD0033C">
            <w:pPr>
              <w:jc w:val="center"/>
              <w:rPr>
                <w:rFonts w:hint="eastAsia" w:ascii="宋体" w:hAnsi="宋体"/>
                <w:szCs w:val="21"/>
              </w:rPr>
            </w:pPr>
            <w:r>
              <w:rPr>
                <w:rFonts w:hint="eastAsia" w:ascii="宋体" w:hAnsi="宋体"/>
                <w:szCs w:val="21"/>
              </w:rPr>
              <w:t>17</w:t>
            </w:r>
          </w:p>
        </w:tc>
        <w:tc>
          <w:tcPr>
            <w:tcW w:w="2210" w:type="dxa"/>
            <w:noWrap w:val="0"/>
            <w:vAlign w:val="center"/>
          </w:tcPr>
          <w:p w14:paraId="2BE8B2C0">
            <w:pPr>
              <w:rPr>
                <w:rFonts w:hint="eastAsia" w:ascii="宋体" w:hAnsi="宋体"/>
                <w:szCs w:val="21"/>
              </w:rPr>
            </w:pPr>
            <w:r>
              <w:rPr>
                <w:rFonts w:hint="eastAsia" w:ascii="宋体" w:hAnsi="宋体"/>
                <w:szCs w:val="21"/>
              </w:rPr>
              <w:t>50kg干粉灭火器</w:t>
            </w:r>
          </w:p>
        </w:tc>
        <w:tc>
          <w:tcPr>
            <w:tcW w:w="645" w:type="dxa"/>
            <w:noWrap w:val="0"/>
            <w:vAlign w:val="center"/>
          </w:tcPr>
          <w:p w14:paraId="50C218CE">
            <w:pPr>
              <w:jc w:val="center"/>
              <w:rPr>
                <w:rFonts w:hint="eastAsia" w:ascii="宋体" w:hAnsi="宋体"/>
                <w:szCs w:val="21"/>
              </w:rPr>
            </w:pPr>
            <w:r>
              <w:rPr>
                <w:rFonts w:hint="eastAsia" w:ascii="宋体" w:hAnsi="宋体"/>
                <w:szCs w:val="21"/>
              </w:rPr>
              <w:t>个</w:t>
            </w:r>
          </w:p>
        </w:tc>
        <w:tc>
          <w:tcPr>
            <w:tcW w:w="1036" w:type="dxa"/>
            <w:noWrap w:val="0"/>
            <w:vAlign w:val="center"/>
          </w:tcPr>
          <w:p w14:paraId="0D5990AA">
            <w:pPr>
              <w:jc w:val="center"/>
              <w:rPr>
                <w:rFonts w:hint="eastAsia" w:ascii="宋体" w:hAnsi="宋体"/>
                <w:szCs w:val="21"/>
              </w:rPr>
            </w:pPr>
            <w:r>
              <w:rPr>
                <w:rFonts w:hint="eastAsia" w:ascii="宋体" w:hAnsi="宋体"/>
                <w:szCs w:val="21"/>
              </w:rPr>
              <w:t>4</w:t>
            </w:r>
          </w:p>
        </w:tc>
      </w:tr>
      <w:tr w14:paraId="4814F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61D028E7">
            <w:pPr>
              <w:jc w:val="center"/>
              <w:rPr>
                <w:rFonts w:hint="eastAsia" w:ascii="宋体" w:hAnsi="宋体"/>
                <w:szCs w:val="21"/>
              </w:rPr>
            </w:pPr>
            <w:r>
              <w:rPr>
                <w:rFonts w:hint="eastAsia" w:ascii="宋体" w:hAnsi="宋体"/>
                <w:szCs w:val="21"/>
              </w:rPr>
              <w:t>3</w:t>
            </w:r>
          </w:p>
        </w:tc>
        <w:tc>
          <w:tcPr>
            <w:tcW w:w="2241" w:type="dxa"/>
            <w:noWrap w:val="0"/>
            <w:vAlign w:val="center"/>
          </w:tcPr>
          <w:p w14:paraId="750E1800">
            <w:pPr>
              <w:rPr>
                <w:rFonts w:hint="eastAsia" w:ascii="宋体" w:hAnsi="宋体"/>
                <w:szCs w:val="21"/>
              </w:rPr>
            </w:pPr>
            <w:r>
              <w:rPr>
                <w:rFonts w:hint="eastAsia" w:ascii="宋体" w:hAnsi="宋体"/>
                <w:szCs w:val="21"/>
              </w:rPr>
              <w:t>Φ75mm消火水龙带</w:t>
            </w:r>
          </w:p>
        </w:tc>
        <w:tc>
          <w:tcPr>
            <w:tcW w:w="679" w:type="dxa"/>
            <w:noWrap w:val="0"/>
            <w:vAlign w:val="center"/>
          </w:tcPr>
          <w:p w14:paraId="476F39E4">
            <w:pPr>
              <w:jc w:val="center"/>
              <w:rPr>
                <w:rFonts w:hint="eastAsia" w:ascii="宋体" w:hAnsi="宋体"/>
                <w:szCs w:val="21"/>
              </w:rPr>
            </w:pPr>
            <w:r>
              <w:rPr>
                <w:rFonts w:hint="eastAsia" w:ascii="宋体" w:hAnsi="宋体"/>
                <w:szCs w:val="21"/>
              </w:rPr>
              <w:t>M</w:t>
            </w:r>
          </w:p>
        </w:tc>
        <w:tc>
          <w:tcPr>
            <w:tcW w:w="658" w:type="dxa"/>
            <w:noWrap w:val="0"/>
            <w:vAlign w:val="center"/>
          </w:tcPr>
          <w:p w14:paraId="58F932A1">
            <w:pPr>
              <w:jc w:val="center"/>
              <w:rPr>
                <w:rFonts w:hint="eastAsia" w:ascii="宋体" w:hAnsi="宋体"/>
                <w:szCs w:val="21"/>
              </w:rPr>
            </w:pPr>
            <w:r>
              <w:rPr>
                <w:rFonts w:hint="eastAsia" w:ascii="宋体" w:hAnsi="宋体"/>
                <w:szCs w:val="21"/>
              </w:rPr>
              <w:t>200</w:t>
            </w:r>
          </w:p>
        </w:tc>
        <w:tc>
          <w:tcPr>
            <w:tcW w:w="762" w:type="dxa"/>
            <w:noWrap w:val="0"/>
            <w:vAlign w:val="center"/>
          </w:tcPr>
          <w:p w14:paraId="4607C972">
            <w:pPr>
              <w:jc w:val="center"/>
              <w:rPr>
                <w:rFonts w:hint="eastAsia" w:ascii="宋体" w:hAnsi="宋体"/>
                <w:szCs w:val="21"/>
              </w:rPr>
            </w:pPr>
            <w:r>
              <w:rPr>
                <w:rFonts w:hint="eastAsia" w:ascii="宋体" w:hAnsi="宋体"/>
                <w:szCs w:val="21"/>
              </w:rPr>
              <w:t>18</w:t>
            </w:r>
          </w:p>
        </w:tc>
        <w:tc>
          <w:tcPr>
            <w:tcW w:w="2210" w:type="dxa"/>
            <w:noWrap w:val="0"/>
            <w:vAlign w:val="center"/>
          </w:tcPr>
          <w:p w14:paraId="7B656C9D">
            <w:pPr>
              <w:rPr>
                <w:rFonts w:hint="eastAsia" w:ascii="宋体" w:hAnsi="宋体"/>
                <w:szCs w:val="21"/>
              </w:rPr>
            </w:pPr>
            <w:r>
              <w:rPr>
                <w:rFonts w:hint="eastAsia" w:ascii="宋体" w:hAnsi="宋体"/>
                <w:szCs w:val="21"/>
              </w:rPr>
              <w:t>风筒布</w:t>
            </w:r>
          </w:p>
        </w:tc>
        <w:tc>
          <w:tcPr>
            <w:tcW w:w="645" w:type="dxa"/>
            <w:noWrap w:val="0"/>
            <w:vAlign w:val="center"/>
          </w:tcPr>
          <w:p w14:paraId="0A94E528">
            <w:pPr>
              <w:jc w:val="center"/>
              <w:rPr>
                <w:rFonts w:hint="eastAsia" w:ascii="宋体" w:hAnsi="宋体"/>
                <w:szCs w:val="21"/>
              </w:rPr>
            </w:pPr>
            <w:r>
              <w:rPr>
                <w:rFonts w:hint="eastAsia" w:ascii="宋体" w:hAnsi="宋体"/>
                <w:szCs w:val="21"/>
              </w:rPr>
              <w:t>M</w:t>
            </w:r>
          </w:p>
        </w:tc>
        <w:tc>
          <w:tcPr>
            <w:tcW w:w="1036" w:type="dxa"/>
            <w:noWrap w:val="0"/>
            <w:vAlign w:val="center"/>
          </w:tcPr>
          <w:p w14:paraId="58FA3BB5">
            <w:pPr>
              <w:jc w:val="center"/>
              <w:rPr>
                <w:rFonts w:hint="eastAsia" w:ascii="宋体" w:hAnsi="宋体"/>
                <w:szCs w:val="21"/>
              </w:rPr>
            </w:pPr>
            <w:r>
              <w:rPr>
                <w:rFonts w:hint="eastAsia" w:ascii="宋体" w:hAnsi="宋体"/>
                <w:szCs w:val="21"/>
              </w:rPr>
              <w:t>100</w:t>
            </w:r>
          </w:p>
        </w:tc>
      </w:tr>
      <w:tr w14:paraId="4B01A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34D28508">
            <w:pPr>
              <w:jc w:val="center"/>
              <w:rPr>
                <w:rFonts w:hint="eastAsia" w:ascii="宋体" w:hAnsi="宋体"/>
                <w:szCs w:val="21"/>
              </w:rPr>
            </w:pPr>
            <w:r>
              <w:rPr>
                <w:rFonts w:hint="eastAsia" w:ascii="宋体" w:hAnsi="宋体"/>
                <w:szCs w:val="21"/>
              </w:rPr>
              <w:t>4</w:t>
            </w:r>
          </w:p>
        </w:tc>
        <w:tc>
          <w:tcPr>
            <w:tcW w:w="2241" w:type="dxa"/>
            <w:noWrap w:val="0"/>
            <w:vAlign w:val="center"/>
          </w:tcPr>
          <w:p w14:paraId="1B75D34E">
            <w:pPr>
              <w:rPr>
                <w:rFonts w:hint="eastAsia" w:ascii="宋体" w:hAnsi="宋体"/>
                <w:szCs w:val="21"/>
              </w:rPr>
            </w:pPr>
            <w:r>
              <w:rPr>
                <w:rFonts w:hint="eastAsia" w:ascii="宋体" w:hAnsi="宋体"/>
                <w:szCs w:val="21"/>
              </w:rPr>
              <w:t>Φ52mm消火水龙带</w:t>
            </w:r>
          </w:p>
        </w:tc>
        <w:tc>
          <w:tcPr>
            <w:tcW w:w="679" w:type="dxa"/>
            <w:noWrap w:val="0"/>
            <w:vAlign w:val="center"/>
          </w:tcPr>
          <w:p w14:paraId="027993B7">
            <w:pPr>
              <w:jc w:val="center"/>
              <w:rPr>
                <w:rFonts w:hint="eastAsia" w:ascii="宋体" w:hAnsi="宋体"/>
                <w:szCs w:val="21"/>
              </w:rPr>
            </w:pPr>
            <w:r>
              <w:rPr>
                <w:rFonts w:hint="eastAsia" w:ascii="宋体" w:hAnsi="宋体"/>
                <w:szCs w:val="21"/>
              </w:rPr>
              <w:t>M</w:t>
            </w:r>
          </w:p>
        </w:tc>
        <w:tc>
          <w:tcPr>
            <w:tcW w:w="658" w:type="dxa"/>
            <w:noWrap w:val="0"/>
            <w:vAlign w:val="center"/>
          </w:tcPr>
          <w:p w14:paraId="6DA59D8B">
            <w:pPr>
              <w:jc w:val="center"/>
              <w:rPr>
                <w:rFonts w:hint="eastAsia" w:ascii="宋体" w:hAnsi="宋体"/>
                <w:szCs w:val="21"/>
              </w:rPr>
            </w:pPr>
            <w:r>
              <w:rPr>
                <w:rFonts w:hint="eastAsia" w:ascii="宋体" w:hAnsi="宋体"/>
                <w:szCs w:val="21"/>
              </w:rPr>
              <w:t>300</w:t>
            </w:r>
          </w:p>
        </w:tc>
        <w:tc>
          <w:tcPr>
            <w:tcW w:w="762" w:type="dxa"/>
            <w:noWrap w:val="0"/>
            <w:vAlign w:val="center"/>
          </w:tcPr>
          <w:p w14:paraId="696DA632">
            <w:pPr>
              <w:jc w:val="center"/>
              <w:rPr>
                <w:rFonts w:hint="eastAsia" w:ascii="宋体" w:hAnsi="宋体"/>
                <w:szCs w:val="21"/>
              </w:rPr>
            </w:pPr>
            <w:r>
              <w:rPr>
                <w:rFonts w:hint="eastAsia" w:ascii="宋体" w:hAnsi="宋体"/>
                <w:szCs w:val="21"/>
              </w:rPr>
              <w:t>19</w:t>
            </w:r>
          </w:p>
        </w:tc>
        <w:tc>
          <w:tcPr>
            <w:tcW w:w="2210" w:type="dxa"/>
            <w:noWrap w:val="0"/>
            <w:vAlign w:val="center"/>
          </w:tcPr>
          <w:p w14:paraId="4BBB7231">
            <w:pPr>
              <w:rPr>
                <w:rFonts w:hint="eastAsia" w:ascii="宋体" w:hAnsi="宋体"/>
                <w:szCs w:val="21"/>
              </w:rPr>
            </w:pPr>
            <w:r>
              <w:rPr>
                <w:rFonts w:hint="eastAsia" w:ascii="宋体" w:hAnsi="宋体"/>
                <w:szCs w:val="21"/>
              </w:rPr>
              <w:t>水泥</w:t>
            </w:r>
          </w:p>
        </w:tc>
        <w:tc>
          <w:tcPr>
            <w:tcW w:w="645" w:type="dxa"/>
            <w:noWrap w:val="0"/>
            <w:vAlign w:val="center"/>
          </w:tcPr>
          <w:p w14:paraId="318846C9">
            <w:pPr>
              <w:jc w:val="center"/>
              <w:rPr>
                <w:rFonts w:hint="eastAsia" w:ascii="宋体" w:hAnsi="宋体"/>
                <w:szCs w:val="21"/>
              </w:rPr>
            </w:pPr>
            <w:r>
              <w:rPr>
                <w:rFonts w:hint="eastAsia" w:ascii="宋体" w:hAnsi="宋体"/>
                <w:szCs w:val="21"/>
              </w:rPr>
              <w:t>T</w:t>
            </w:r>
          </w:p>
        </w:tc>
        <w:tc>
          <w:tcPr>
            <w:tcW w:w="1036" w:type="dxa"/>
            <w:noWrap w:val="0"/>
            <w:vAlign w:val="center"/>
          </w:tcPr>
          <w:p w14:paraId="46238815">
            <w:pPr>
              <w:jc w:val="center"/>
              <w:rPr>
                <w:rFonts w:hint="eastAsia" w:ascii="宋体" w:hAnsi="宋体"/>
                <w:szCs w:val="21"/>
              </w:rPr>
            </w:pPr>
            <w:r>
              <w:rPr>
                <w:rFonts w:hint="eastAsia" w:ascii="宋体" w:hAnsi="宋体"/>
                <w:szCs w:val="21"/>
              </w:rPr>
              <w:t>0.5</w:t>
            </w:r>
          </w:p>
        </w:tc>
      </w:tr>
      <w:tr w14:paraId="03E33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104DA5C3">
            <w:pPr>
              <w:jc w:val="center"/>
              <w:rPr>
                <w:rFonts w:hint="eastAsia" w:ascii="宋体" w:hAnsi="宋体"/>
                <w:szCs w:val="21"/>
              </w:rPr>
            </w:pPr>
            <w:r>
              <w:rPr>
                <w:rFonts w:hint="eastAsia" w:ascii="宋体" w:hAnsi="宋体"/>
                <w:szCs w:val="21"/>
              </w:rPr>
              <w:t>5</w:t>
            </w:r>
          </w:p>
        </w:tc>
        <w:tc>
          <w:tcPr>
            <w:tcW w:w="2241" w:type="dxa"/>
            <w:noWrap w:val="0"/>
            <w:vAlign w:val="center"/>
          </w:tcPr>
          <w:p w14:paraId="6445E8A3">
            <w:pPr>
              <w:rPr>
                <w:rFonts w:hint="eastAsia" w:ascii="宋体" w:hAnsi="宋体"/>
                <w:szCs w:val="21"/>
              </w:rPr>
            </w:pPr>
            <w:r>
              <w:rPr>
                <w:rFonts w:hint="eastAsia" w:ascii="宋体" w:hAnsi="宋体"/>
                <w:szCs w:val="21"/>
              </w:rPr>
              <w:t>Φ52mm普通消火水枪</w:t>
            </w:r>
          </w:p>
        </w:tc>
        <w:tc>
          <w:tcPr>
            <w:tcW w:w="679" w:type="dxa"/>
            <w:noWrap w:val="0"/>
            <w:vAlign w:val="center"/>
          </w:tcPr>
          <w:p w14:paraId="5F75965A">
            <w:pPr>
              <w:jc w:val="center"/>
              <w:rPr>
                <w:rFonts w:hint="eastAsia" w:ascii="宋体" w:hAnsi="宋体"/>
                <w:szCs w:val="21"/>
              </w:rPr>
            </w:pPr>
            <w:r>
              <w:rPr>
                <w:rFonts w:hint="eastAsia" w:ascii="宋体" w:hAnsi="宋体"/>
                <w:szCs w:val="21"/>
              </w:rPr>
              <w:t>支</w:t>
            </w:r>
          </w:p>
        </w:tc>
        <w:tc>
          <w:tcPr>
            <w:tcW w:w="658" w:type="dxa"/>
            <w:noWrap w:val="0"/>
            <w:vAlign w:val="center"/>
          </w:tcPr>
          <w:p w14:paraId="27746D05">
            <w:pPr>
              <w:jc w:val="center"/>
              <w:rPr>
                <w:rFonts w:hint="eastAsia" w:ascii="宋体" w:hAnsi="宋体"/>
                <w:szCs w:val="21"/>
              </w:rPr>
            </w:pPr>
            <w:r>
              <w:rPr>
                <w:rFonts w:hint="eastAsia" w:ascii="宋体" w:hAnsi="宋体"/>
                <w:szCs w:val="21"/>
              </w:rPr>
              <w:t>4</w:t>
            </w:r>
          </w:p>
        </w:tc>
        <w:tc>
          <w:tcPr>
            <w:tcW w:w="762" w:type="dxa"/>
            <w:noWrap w:val="0"/>
            <w:vAlign w:val="center"/>
          </w:tcPr>
          <w:p w14:paraId="00E13D80">
            <w:pPr>
              <w:jc w:val="center"/>
              <w:rPr>
                <w:rFonts w:hint="eastAsia" w:ascii="宋体" w:hAnsi="宋体"/>
                <w:szCs w:val="21"/>
              </w:rPr>
            </w:pPr>
            <w:r>
              <w:rPr>
                <w:rFonts w:hint="eastAsia" w:ascii="宋体" w:hAnsi="宋体"/>
                <w:szCs w:val="21"/>
              </w:rPr>
              <w:t>20</w:t>
            </w:r>
          </w:p>
        </w:tc>
        <w:tc>
          <w:tcPr>
            <w:tcW w:w="2210" w:type="dxa"/>
            <w:noWrap w:val="0"/>
            <w:vAlign w:val="center"/>
          </w:tcPr>
          <w:p w14:paraId="2ADE16E9">
            <w:pPr>
              <w:rPr>
                <w:rFonts w:hint="eastAsia" w:ascii="宋体" w:hAnsi="宋体"/>
                <w:szCs w:val="21"/>
              </w:rPr>
            </w:pPr>
            <w:r>
              <w:rPr>
                <w:rFonts w:hint="eastAsia" w:ascii="宋体" w:hAnsi="宋体"/>
                <w:szCs w:val="21"/>
              </w:rPr>
              <w:t>石灰</w:t>
            </w:r>
          </w:p>
        </w:tc>
        <w:tc>
          <w:tcPr>
            <w:tcW w:w="645" w:type="dxa"/>
            <w:noWrap w:val="0"/>
            <w:vAlign w:val="center"/>
          </w:tcPr>
          <w:p w14:paraId="5C30B811">
            <w:pPr>
              <w:jc w:val="center"/>
              <w:rPr>
                <w:rFonts w:hint="eastAsia" w:ascii="宋体" w:hAnsi="宋体"/>
                <w:szCs w:val="21"/>
              </w:rPr>
            </w:pPr>
            <w:r>
              <w:rPr>
                <w:rFonts w:hint="eastAsia" w:ascii="宋体" w:hAnsi="宋体"/>
                <w:szCs w:val="21"/>
              </w:rPr>
              <w:t>T</w:t>
            </w:r>
          </w:p>
        </w:tc>
        <w:tc>
          <w:tcPr>
            <w:tcW w:w="1036" w:type="dxa"/>
            <w:noWrap w:val="0"/>
            <w:vAlign w:val="center"/>
          </w:tcPr>
          <w:p w14:paraId="7F7DEB65">
            <w:pPr>
              <w:jc w:val="center"/>
              <w:rPr>
                <w:rFonts w:hint="eastAsia" w:ascii="宋体" w:hAnsi="宋体"/>
                <w:szCs w:val="21"/>
              </w:rPr>
            </w:pPr>
            <w:r>
              <w:rPr>
                <w:rFonts w:hint="eastAsia" w:ascii="宋体" w:hAnsi="宋体"/>
                <w:szCs w:val="21"/>
              </w:rPr>
              <w:t>0.5</w:t>
            </w:r>
          </w:p>
        </w:tc>
      </w:tr>
      <w:tr w14:paraId="7F5CC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6FA0E1D1">
            <w:pPr>
              <w:jc w:val="center"/>
              <w:rPr>
                <w:rFonts w:hint="eastAsia" w:ascii="宋体" w:hAnsi="宋体"/>
                <w:szCs w:val="21"/>
              </w:rPr>
            </w:pPr>
            <w:r>
              <w:rPr>
                <w:rFonts w:hint="eastAsia" w:ascii="宋体" w:hAnsi="宋体"/>
                <w:szCs w:val="21"/>
              </w:rPr>
              <w:t>6</w:t>
            </w:r>
          </w:p>
        </w:tc>
        <w:tc>
          <w:tcPr>
            <w:tcW w:w="2241" w:type="dxa"/>
            <w:noWrap w:val="0"/>
            <w:vAlign w:val="center"/>
          </w:tcPr>
          <w:p w14:paraId="783A9041">
            <w:pPr>
              <w:rPr>
                <w:rFonts w:hint="eastAsia" w:ascii="宋体" w:hAnsi="宋体"/>
                <w:szCs w:val="21"/>
              </w:rPr>
            </w:pPr>
            <w:r>
              <w:rPr>
                <w:rFonts w:hint="eastAsia" w:ascii="宋体" w:hAnsi="宋体"/>
                <w:szCs w:val="21"/>
              </w:rPr>
              <w:t>Φ75/52mm变径管节</w:t>
            </w:r>
          </w:p>
        </w:tc>
        <w:tc>
          <w:tcPr>
            <w:tcW w:w="679" w:type="dxa"/>
            <w:noWrap w:val="0"/>
            <w:vAlign w:val="center"/>
          </w:tcPr>
          <w:p w14:paraId="092B3ECB">
            <w:pPr>
              <w:jc w:val="center"/>
              <w:rPr>
                <w:rFonts w:hint="eastAsia" w:ascii="宋体" w:hAnsi="宋体"/>
                <w:szCs w:val="21"/>
              </w:rPr>
            </w:pPr>
            <w:r>
              <w:rPr>
                <w:rFonts w:hint="eastAsia" w:ascii="宋体" w:hAnsi="宋体"/>
                <w:szCs w:val="21"/>
              </w:rPr>
              <w:t>个</w:t>
            </w:r>
          </w:p>
        </w:tc>
        <w:tc>
          <w:tcPr>
            <w:tcW w:w="658" w:type="dxa"/>
            <w:noWrap w:val="0"/>
            <w:vAlign w:val="center"/>
          </w:tcPr>
          <w:p w14:paraId="51E3E793">
            <w:pPr>
              <w:jc w:val="center"/>
              <w:rPr>
                <w:rFonts w:hint="eastAsia" w:ascii="宋体" w:hAnsi="宋体"/>
                <w:szCs w:val="21"/>
              </w:rPr>
            </w:pPr>
            <w:r>
              <w:rPr>
                <w:rFonts w:hint="eastAsia" w:ascii="宋体" w:hAnsi="宋体"/>
                <w:szCs w:val="21"/>
              </w:rPr>
              <w:t>10</w:t>
            </w:r>
          </w:p>
        </w:tc>
        <w:tc>
          <w:tcPr>
            <w:tcW w:w="762" w:type="dxa"/>
            <w:noWrap w:val="0"/>
            <w:vAlign w:val="center"/>
          </w:tcPr>
          <w:p w14:paraId="2661BDA4">
            <w:pPr>
              <w:jc w:val="center"/>
              <w:rPr>
                <w:rFonts w:hint="eastAsia" w:ascii="宋体" w:hAnsi="宋体"/>
                <w:szCs w:val="21"/>
              </w:rPr>
            </w:pPr>
            <w:r>
              <w:rPr>
                <w:rFonts w:hint="eastAsia" w:ascii="宋体" w:hAnsi="宋体"/>
                <w:szCs w:val="21"/>
              </w:rPr>
              <w:t>21</w:t>
            </w:r>
          </w:p>
        </w:tc>
        <w:tc>
          <w:tcPr>
            <w:tcW w:w="2210" w:type="dxa"/>
            <w:noWrap w:val="0"/>
            <w:vAlign w:val="center"/>
          </w:tcPr>
          <w:p w14:paraId="38622DBE">
            <w:pPr>
              <w:rPr>
                <w:rFonts w:hint="eastAsia" w:ascii="宋体" w:hAnsi="宋体"/>
                <w:szCs w:val="21"/>
              </w:rPr>
            </w:pPr>
            <w:r>
              <w:rPr>
                <w:rFonts w:hint="eastAsia" w:ascii="宋体" w:hAnsi="宋体"/>
                <w:szCs w:val="21"/>
              </w:rPr>
              <w:t>Φ75mm胶管</w:t>
            </w:r>
          </w:p>
        </w:tc>
        <w:tc>
          <w:tcPr>
            <w:tcW w:w="645" w:type="dxa"/>
            <w:noWrap w:val="0"/>
            <w:vAlign w:val="center"/>
          </w:tcPr>
          <w:p w14:paraId="2243DD60">
            <w:pPr>
              <w:jc w:val="center"/>
              <w:rPr>
                <w:rFonts w:hint="eastAsia" w:ascii="宋体" w:hAnsi="宋体"/>
                <w:szCs w:val="21"/>
              </w:rPr>
            </w:pPr>
            <w:r>
              <w:rPr>
                <w:rFonts w:hint="eastAsia" w:ascii="宋体" w:hAnsi="宋体"/>
                <w:szCs w:val="21"/>
              </w:rPr>
              <w:t>M</w:t>
            </w:r>
          </w:p>
        </w:tc>
        <w:tc>
          <w:tcPr>
            <w:tcW w:w="1036" w:type="dxa"/>
            <w:noWrap w:val="0"/>
            <w:vAlign w:val="center"/>
          </w:tcPr>
          <w:p w14:paraId="0F92CD86">
            <w:pPr>
              <w:jc w:val="center"/>
              <w:rPr>
                <w:rFonts w:hint="eastAsia" w:ascii="宋体" w:hAnsi="宋体"/>
                <w:szCs w:val="21"/>
              </w:rPr>
            </w:pPr>
            <w:r>
              <w:rPr>
                <w:rFonts w:hint="eastAsia" w:ascii="宋体" w:hAnsi="宋体"/>
                <w:szCs w:val="21"/>
              </w:rPr>
              <w:t>200</w:t>
            </w:r>
          </w:p>
        </w:tc>
      </w:tr>
      <w:tr w14:paraId="38B95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4712FEAF">
            <w:pPr>
              <w:jc w:val="center"/>
              <w:rPr>
                <w:rFonts w:hint="eastAsia" w:ascii="宋体" w:hAnsi="宋体"/>
                <w:szCs w:val="21"/>
              </w:rPr>
            </w:pPr>
            <w:r>
              <w:rPr>
                <w:rFonts w:hint="eastAsia" w:ascii="宋体" w:hAnsi="宋体"/>
                <w:szCs w:val="21"/>
              </w:rPr>
              <w:t>7</w:t>
            </w:r>
          </w:p>
        </w:tc>
        <w:tc>
          <w:tcPr>
            <w:tcW w:w="2241" w:type="dxa"/>
            <w:noWrap w:val="0"/>
            <w:vAlign w:val="center"/>
          </w:tcPr>
          <w:p w14:paraId="46BD9F69">
            <w:pPr>
              <w:rPr>
                <w:rFonts w:hint="eastAsia" w:ascii="宋体" w:hAnsi="宋体"/>
                <w:szCs w:val="21"/>
              </w:rPr>
            </w:pPr>
            <w:r>
              <w:rPr>
                <w:rFonts w:hint="eastAsia" w:ascii="宋体" w:hAnsi="宋体"/>
                <w:szCs w:val="21"/>
              </w:rPr>
              <w:t>Φ52mm喷嘴</w:t>
            </w:r>
          </w:p>
        </w:tc>
        <w:tc>
          <w:tcPr>
            <w:tcW w:w="679" w:type="dxa"/>
            <w:noWrap w:val="0"/>
            <w:vAlign w:val="center"/>
          </w:tcPr>
          <w:p w14:paraId="0D095374">
            <w:pPr>
              <w:pStyle w:val="45"/>
              <w:rPr>
                <w:rFonts w:hint="eastAsia" w:ascii="宋体" w:hAnsi="宋体"/>
                <w:sz w:val="21"/>
                <w:szCs w:val="21"/>
              </w:rPr>
            </w:pPr>
            <w:r>
              <w:rPr>
                <w:rFonts w:hint="eastAsia" w:ascii="宋体" w:hAnsi="宋体"/>
                <w:sz w:val="21"/>
                <w:szCs w:val="21"/>
              </w:rPr>
              <w:t>个</w:t>
            </w:r>
          </w:p>
        </w:tc>
        <w:tc>
          <w:tcPr>
            <w:tcW w:w="658" w:type="dxa"/>
            <w:noWrap w:val="0"/>
            <w:vAlign w:val="center"/>
          </w:tcPr>
          <w:p w14:paraId="3F8E2A37">
            <w:pPr>
              <w:jc w:val="center"/>
              <w:rPr>
                <w:rFonts w:hint="eastAsia" w:ascii="宋体" w:hAnsi="宋体"/>
                <w:szCs w:val="21"/>
              </w:rPr>
            </w:pPr>
            <w:r>
              <w:rPr>
                <w:rFonts w:hint="eastAsia" w:ascii="宋体" w:hAnsi="宋体"/>
                <w:szCs w:val="21"/>
              </w:rPr>
              <w:t>4</w:t>
            </w:r>
          </w:p>
        </w:tc>
        <w:tc>
          <w:tcPr>
            <w:tcW w:w="762" w:type="dxa"/>
            <w:noWrap w:val="0"/>
            <w:vAlign w:val="center"/>
          </w:tcPr>
          <w:p w14:paraId="35545EC1">
            <w:pPr>
              <w:jc w:val="center"/>
              <w:rPr>
                <w:rFonts w:hint="eastAsia" w:ascii="宋体" w:hAnsi="宋体"/>
                <w:szCs w:val="21"/>
              </w:rPr>
            </w:pPr>
            <w:r>
              <w:rPr>
                <w:rFonts w:hint="eastAsia" w:ascii="宋体" w:hAnsi="宋体"/>
                <w:szCs w:val="21"/>
              </w:rPr>
              <w:t>22</w:t>
            </w:r>
          </w:p>
        </w:tc>
        <w:tc>
          <w:tcPr>
            <w:tcW w:w="2210" w:type="dxa"/>
            <w:noWrap w:val="0"/>
            <w:vAlign w:val="center"/>
          </w:tcPr>
          <w:p w14:paraId="5E14A31B">
            <w:pPr>
              <w:rPr>
                <w:rFonts w:hint="eastAsia" w:ascii="宋体" w:hAnsi="宋体"/>
                <w:szCs w:val="21"/>
              </w:rPr>
            </w:pPr>
            <w:r>
              <w:rPr>
                <w:rFonts w:hint="eastAsia" w:ascii="宋体" w:hAnsi="宋体"/>
                <w:szCs w:val="21"/>
              </w:rPr>
              <w:t>Φ52mm胶管</w:t>
            </w:r>
          </w:p>
        </w:tc>
        <w:tc>
          <w:tcPr>
            <w:tcW w:w="645" w:type="dxa"/>
            <w:noWrap w:val="0"/>
            <w:vAlign w:val="center"/>
          </w:tcPr>
          <w:p w14:paraId="208EB1B9">
            <w:pPr>
              <w:jc w:val="center"/>
              <w:rPr>
                <w:rFonts w:hint="eastAsia" w:ascii="宋体" w:hAnsi="宋体"/>
                <w:szCs w:val="21"/>
              </w:rPr>
            </w:pPr>
            <w:r>
              <w:rPr>
                <w:rFonts w:hint="eastAsia" w:ascii="宋体" w:hAnsi="宋体"/>
                <w:szCs w:val="21"/>
              </w:rPr>
              <w:t>M</w:t>
            </w:r>
          </w:p>
        </w:tc>
        <w:tc>
          <w:tcPr>
            <w:tcW w:w="1036" w:type="dxa"/>
            <w:noWrap w:val="0"/>
            <w:vAlign w:val="center"/>
          </w:tcPr>
          <w:p w14:paraId="7D4645FF">
            <w:pPr>
              <w:jc w:val="center"/>
              <w:rPr>
                <w:rFonts w:hint="eastAsia" w:ascii="宋体" w:hAnsi="宋体"/>
                <w:szCs w:val="21"/>
              </w:rPr>
            </w:pPr>
            <w:r>
              <w:rPr>
                <w:rFonts w:hint="eastAsia" w:ascii="宋体" w:hAnsi="宋体"/>
                <w:szCs w:val="21"/>
              </w:rPr>
              <w:t>200</w:t>
            </w:r>
          </w:p>
        </w:tc>
      </w:tr>
      <w:tr w14:paraId="2D64C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7E67E8E3">
            <w:pPr>
              <w:jc w:val="center"/>
              <w:rPr>
                <w:rFonts w:hint="eastAsia" w:ascii="宋体" w:hAnsi="宋体"/>
                <w:szCs w:val="21"/>
              </w:rPr>
            </w:pPr>
            <w:r>
              <w:rPr>
                <w:rFonts w:hint="eastAsia" w:ascii="宋体" w:hAnsi="宋体"/>
                <w:szCs w:val="21"/>
              </w:rPr>
              <w:t>8</w:t>
            </w:r>
          </w:p>
        </w:tc>
        <w:tc>
          <w:tcPr>
            <w:tcW w:w="2241" w:type="dxa"/>
            <w:noWrap w:val="0"/>
            <w:vAlign w:val="center"/>
          </w:tcPr>
          <w:p w14:paraId="0ACE4732">
            <w:pPr>
              <w:rPr>
                <w:rFonts w:hint="eastAsia" w:ascii="宋体" w:hAnsi="宋体"/>
                <w:szCs w:val="21"/>
              </w:rPr>
            </w:pPr>
            <w:r>
              <w:rPr>
                <w:rFonts w:hint="eastAsia" w:ascii="宋体" w:hAnsi="宋体"/>
                <w:szCs w:val="21"/>
              </w:rPr>
              <w:t>Φ52mm垫圈</w:t>
            </w:r>
          </w:p>
        </w:tc>
        <w:tc>
          <w:tcPr>
            <w:tcW w:w="679" w:type="dxa"/>
            <w:noWrap w:val="0"/>
            <w:vAlign w:val="center"/>
          </w:tcPr>
          <w:p w14:paraId="43CBF749">
            <w:pPr>
              <w:jc w:val="center"/>
              <w:rPr>
                <w:rFonts w:hint="eastAsia" w:ascii="宋体" w:hAnsi="宋体"/>
                <w:szCs w:val="21"/>
              </w:rPr>
            </w:pPr>
            <w:r>
              <w:rPr>
                <w:rFonts w:hint="eastAsia" w:ascii="宋体" w:hAnsi="宋体"/>
                <w:szCs w:val="21"/>
              </w:rPr>
              <w:t>套</w:t>
            </w:r>
          </w:p>
        </w:tc>
        <w:tc>
          <w:tcPr>
            <w:tcW w:w="658" w:type="dxa"/>
            <w:noWrap w:val="0"/>
            <w:vAlign w:val="center"/>
          </w:tcPr>
          <w:p w14:paraId="1A7E27ED">
            <w:pPr>
              <w:jc w:val="center"/>
              <w:rPr>
                <w:rFonts w:hint="eastAsia" w:ascii="宋体" w:hAnsi="宋体"/>
                <w:szCs w:val="21"/>
              </w:rPr>
            </w:pPr>
            <w:r>
              <w:rPr>
                <w:rFonts w:hint="eastAsia" w:ascii="宋体" w:hAnsi="宋体"/>
                <w:szCs w:val="21"/>
              </w:rPr>
              <w:t>4</w:t>
            </w:r>
          </w:p>
        </w:tc>
        <w:tc>
          <w:tcPr>
            <w:tcW w:w="762" w:type="dxa"/>
            <w:noWrap w:val="0"/>
            <w:vAlign w:val="center"/>
          </w:tcPr>
          <w:p w14:paraId="34E5B5A5">
            <w:pPr>
              <w:jc w:val="center"/>
              <w:rPr>
                <w:rFonts w:hint="eastAsia" w:ascii="宋体" w:hAnsi="宋体"/>
                <w:szCs w:val="21"/>
              </w:rPr>
            </w:pPr>
            <w:r>
              <w:rPr>
                <w:rFonts w:hint="eastAsia" w:ascii="宋体" w:hAnsi="宋体"/>
                <w:szCs w:val="21"/>
              </w:rPr>
              <w:t>23</w:t>
            </w:r>
          </w:p>
        </w:tc>
        <w:tc>
          <w:tcPr>
            <w:tcW w:w="2210" w:type="dxa"/>
            <w:noWrap w:val="0"/>
            <w:vAlign w:val="center"/>
          </w:tcPr>
          <w:p w14:paraId="6BB80263">
            <w:pPr>
              <w:rPr>
                <w:rFonts w:hint="eastAsia" w:ascii="宋体" w:hAnsi="宋体"/>
                <w:szCs w:val="21"/>
              </w:rPr>
            </w:pPr>
            <w:r>
              <w:rPr>
                <w:rFonts w:hint="eastAsia" w:ascii="宋体" w:hAnsi="宋体"/>
                <w:szCs w:val="21"/>
              </w:rPr>
              <w:t>安全带</w:t>
            </w:r>
          </w:p>
        </w:tc>
        <w:tc>
          <w:tcPr>
            <w:tcW w:w="645" w:type="dxa"/>
            <w:noWrap w:val="0"/>
            <w:vAlign w:val="center"/>
          </w:tcPr>
          <w:p w14:paraId="156D37E2">
            <w:pPr>
              <w:jc w:val="center"/>
              <w:rPr>
                <w:rFonts w:hint="eastAsia" w:ascii="宋体" w:hAnsi="宋体"/>
                <w:szCs w:val="21"/>
              </w:rPr>
            </w:pPr>
            <w:r>
              <w:rPr>
                <w:rFonts w:hint="eastAsia" w:ascii="宋体" w:hAnsi="宋体"/>
                <w:szCs w:val="21"/>
              </w:rPr>
              <w:t>条</w:t>
            </w:r>
          </w:p>
        </w:tc>
        <w:tc>
          <w:tcPr>
            <w:tcW w:w="1036" w:type="dxa"/>
            <w:noWrap w:val="0"/>
            <w:vAlign w:val="center"/>
          </w:tcPr>
          <w:p w14:paraId="0F5D9166">
            <w:pPr>
              <w:jc w:val="center"/>
              <w:rPr>
                <w:rFonts w:hint="eastAsia" w:ascii="宋体" w:hAnsi="宋体"/>
                <w:szCs w:val="21"/>
              </w:rPr>
            </w:pPr>
            <w:r>
              <w:rPr>
                <w:rFonts w:hint="eastAsia" w:ascii="宋体" w:hAnsi="宋体"/>
                <w:szCs w:val="21"/>
              </w:rPr>
              <w:t>4</w:t>
            </w:r>
          </w:p>
        </w:tc>
      </w:tr>
      <w:tr w14:paraId="67BCA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2C895C98">
            <w:pPr>
              <w:jc w:val="center"/>
              <w:rPr>
                <w:rFonts w:hint="eastAsia" w:ascii="宋体" w:hAnsi="宋体"/>
                <w:szCs w:val="21"/>
              </w:rPr>
            </w:pPr>
            <w:r>
              <w:rPr>
                <w:rFonts w:hint="eastAsia" w:ascii="宋体" w:hAnsi="宋体"/>
                <w:szCs w:val="21"/>
              </w:rPr>
              <w:t>9</w:t>
            </w:r>
          </w:p>
        </w:tc>
        <w:tc>
          <w:tcPr>
            <w:tcW w:w="2241" w:type="dxa"/>
            <w:noWrap w:val="0"/>
            <w:vAlign w:val="center"/>
          </w:tcPr>
          <w:p w14:paraId="43E93866">
            <w:pPr>
              <w:rPr>
                <w:rFonts w:hint="eastAsia" w:ascii="宋体" w:hAnsi="宋体"/>
                <w:szCs w:val="21"/>
              </w:rPr>
            </w:pPr>
            <w:r>
              <w:rPr>
                <w:rFonts w:hint="eastAsia" w:ascii="宋体" w:hAnsi="宋体"/>
                <w:szCs w:val="21"/>
              </w:rPr>
              <w:t>管钳子</w:t>
            </w:r>
          </w:p>
        </w:tc>
        <w:tc>
          <w:tcPr>
            <w:tcW w:w="679" w:type="dxa"/>
            <w:noWrap w:val="0"/>
            <w:vAlign w:val="center"/>
          </w:tcPr>
          <w:p w14:paraId="25048EF6">
            <w:pPr>
              <w:jc w:val="center"/>
              <w:rPr>
                <w:rFonts w:hint="eastAsia" w:ascii="宋体" w:hAnsi="宋体"/>
                <w:szCs w:val="21"/>
              </w:rPr>
            </w:pPr>
            <w:r>
              <w:rPr>
                <w:rFonts w:hint="eastAsia" w:ascii="宋体" w:hAnsi="宋体"/>
                <w:szCs w:val="21"/>
              </w:rPr>
              <w:t>把</w:t>
            </w:r>
          </w:p>
        </w:tc>
        <w:tc>
          <w:tcPr>
            <w:tcW w:w="658" w:type="dxa"/>
            <w:noWrap w:val="0"/>
            <w:vAlign w:val="center"/>
          </w:tcPr>
          <w:p w14:paraId="7CA69CD2">
            <w:pPr>
              <w:jc w:val="center"/>
              <w:rPr>
                <w:rFonts w:hint="eastAsia" w:ascii="宋体" w:hAnsi="宋体"/>
                <w:szCs w:val="21"/>
              </w:rPr>
            </w:pPr>
            <w:r>
              <w:rPr>
                <w:rFonts w:hint="eastAsia" w:ascii="宋体" w:hAnsi="宋体"/>
                <w:szCs w:val="21"/>
              </w:rPr>
              <w:t>4</w:t>
            </w:r>
          </w:p>
        </w:tc>
        <w:tc>
          <w:tcPr>
            <w:tcW w:w="762" w:type="dxa"/>
            <w:noWrap w:val="0"/>
            <w:vAlign w:val="center"/>
          </w:tcPr>
          <w:p w14:paraId="47D806F5">
            <w:pPr>
              <w:jc w:val="center"/>
              <w:rPr>
                <w:rFonts w:hint="eastAsia" w:ascii="宋体" w:hAnsi="宋体"/>
                <w:szCs w:val="21"/>
              </w:rPr>
            </w:pPr>
            <w:r>
              <w:rPr>
                <w:rFonts w:hint="eastAsia" w:ascii="宋体" w:hAnsi="宋体"/>
                <w:szCs w:val="21"/>
              </w:rPr>
              <w:t>24</w:t>
            </w:r>
          </w:p>
        </w:tc>
        <w:tc>
          <w:tcPr>
            <w:tcW w:w="2210" w:type="dxa"/>
            <w:noWrap w:val="0"/>
            <w:vAlign w:val="center"/>
          </w:tcPr>
          <w:p w14:paraId="3C2CFA55">
            <w:pPr>
              <w:rPr>
                <w:rFonts w:hint="eastAsia" w:ascii="宋体" w:hAnsi="宋体"/>
                <w:szCs w:val="21"/>
              </w:rPr>
            </w:pPr>
            <w:r>
              <w:rPr>
                <w:rFonts w:hint="eastAsia" w:ascii="宋体" w:hAnsi="宋体"/>
                <w:szCs w:val="21"/>
              </w:rPr>
              <w:t>绳梯</w:t>
            </w:r>
          </w:p>
        </w:tc>
        <w:tc>
          <w:tcPr>
            <w:tcW w:w="645" w:type="dxa"/>
            <w:noWrap w:val="0"/>
            <w:vAlign w:val="center"/>
          </w:tcPr>
          <w:p w14:paraId="13DD794F">
            <w:pPr>
              <w:jc w:val="center"/>
              <w:rPr>
                <w:rFonts w:hint="eastAsia" w:ascii="宋体" w:hAnsi="宋体"/>
                <w:szCs w:val="21"/>
              </w:rPr>
            </w:pPr>
            <w:r>
              <w:rPr>
                <w:rFonts w:hint="eastAsia" w:ascii="宋体" w:hAnsi="宋体"/>
                <w:szCs w:val="21"/>
              </w:rPr>
              <w:t>副</w:t>
            </w:r>
          </w:p>
        </w:tc>
        <w:tc>
          <w:tcPr>
            <w:tcW w:w="1036" w:type="dxa"/>
            <w:noWrap w:val="0"/>
            <w:vAlign w:val="center"/>
          </w:tcPr>
          <w:p w14:paraId="000E5BCD">
            <w:pPr>
              <w:jc w:val="center"/>
              <w:rPr>
                <w:rFonts w:hint="eastAsia" w:ascii="宋体" w:hAnsi="宋体"/>
                <w:szCs w:val="21"/>
              </w:rPr>
            </w:pPr>
            <w:r>
              <w:rPr>
                <w:rFonts w:hint="eastAsia" w:ascii="宋体" w:hAnsi="宋体"/>
                <w:szCs w:val="21"/>
              </w:rPr>
              <w:t>2</w:t>
            </w:r>
          </w:p>
        </w:tc>
      </w:tr>
      <w:tr w14:paraId="6F2CE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3C4DAD6C">
            <w:pPr>
              <w:jc w:val="center"/>
              <w:rPr>
                <w:rFonts w:hint="eastAsia" w:ascii="宋体" w:hAnsi="宋体"/>
                <w:szCs w:val="21"/>
              </w:rPr>
            </w:pPr>
            <w:r>
              <w:rPr>
                <w:rFonts w:hint="eastAsia" w:ascii="宋体" w:hAnsi="宋体"/>
                <w:szCs w:val="21"/>
              </w:rPr>
              <w:t>10</w:t>
            </w:r>
          </w:p>
        </w:tc>
        <w:tc>
          <w:tcPr>
            <w:tcW w:w="2241" w:type="dxa"/>
            <w:noWrap w:val="0"/>
            <w:vAlign w:val="center"/>
          </w:tcPr>
          <w:p w14:paraId="545A5F06">
            <w:pPr>
              <w:rPr>
                <w:rFonts w:hint="eastAsia" w:ascii="宋体" w:hAnsi="宋体"/>
                <w:szCs w:val="21"/>
              </w:rPr>
            </w:pPr>
            <w:r>
              <w:rPr>
                <w:rFonts w:hint="eastAsia" w:ascii="宋体" w:hAnsi="宋体"/>
                <w:szCs w:val="21"/>
              </w:rPr>
              <w:t>救生绳（长20m）</w:t>
            </w:r>
          </w:p>
        </w:tc>
        <w:tc>
          <w:tcPr>
            <w:tcW w:w="679" w:type="dxa"/>
            <w:noWrap w:val="0"/>
            <w:vAlign w:val="center"/>
          </w:tcPr>
          <w:p w14:paraId="2E8ABF85">
            <w:pPr>
              <w:jc w:val="center"/>
              <w:rPr>
                <w:rFonts w:hint="eastAsia" w:ascii="宋体" w:hAnsi="宋体"/>
                <w:szCs w:val="21"/>
              </w:rPr>
            </w:pPr>
            <w:r>
              <w:rPr>
                <w:rFonts w:hint="eastAsia" w:ascii="宋体" w:hAnsi="宋体"/>
                <w:szCs w:val="21"/>
              </w:rPr>
              <w:t>根</w:t>
            </w:r>
          </w:p>
        </w:tc>
        <w:tc>
          <w:tcPr>
            <w:tcW w:w="658" w:type="dxa"/>
            <w:noWrap w:val="0"/>
            <w:vAlign w:val="center"/>
          </w:tcPr>
          <w:p w14:paraId="73AC4F6B">
            <w:pPr>
              <w:jc w:val="center"/>
              <w:rPr>
                <w:rFonts w:hint="eastAsia" w:ascii="宋体" w:hAnsi="宋体"/>
                <w:szCs w:val="21"/>
              </w:rPr>
            </w:pPr>
            <w:r>
              <w:rPr>
                <w:rFonts w:hint="eastAsia" w:ascii="宋体" w:hAnsi="宋体"/>
                <w:szCs w:val="21"/>
              </w:rPr>
              <w:t>4</w:t>
            </w:r>
          </w:p>
        </w:tc>
        <w:tc>
          <w:tcPr>
            <w:tcW w:w="762" w:type="dxa"/>
            <w:noWrap w:val="0"/>
            <w:vAlign w:val="center"/>
          </w:tcPr>
          <w:p w14:paraId="4CB5F654">
            <w:pPr>
              <w:jc w:val="center"/>
              <w:rPr>
                <w:rFonts w:hint="eastAsia" w:ascii="宋体" w:hAnsi="宋体"/>
                <w:szCs w:val="21"/>
              </w:rPr>
            </w:pPr>
            <w:r>
              <w:rPr>
                <w:rFonts w:hint="eastAsia" w:ascii="宋体" w:hAnsi="宋体"/>
                <w:szCs w:val="21"/>
              </w:rPr>
              <w:t>25</w:t>
            </w:r>
          </w:p>
        </w:tc>
        <w:tc>
          <w:tcPr>
            <w:tcW w:w="2210" w:type="dxa"/>
            <w:noWrap w:val="0"/>
            <w:vAlign w:val="center"/>
          </w:tcPr>
          <w:p w14:paraId="5F4B3FC9">
            <w:pPr>
              <w:rPr>
                <w:rFonts w:hint="eastAsia" w:ascii="宋体" w:hAnsi="宋体"/>
                <w:szCs w:val="21"/>
              </w:rPr>
            </w:pPr>
            <w:r>
              <w:rPr>
                <w:rFonts w:hint="eastAsia" w:ascii="宋体" w:hAnsi="宋体"/>
                <w:szCs w:val="21"/>
              </w:rPr>
              <w:t>麻袋或塑料编制袋</w:t>
            </w:r>
          </w:p>
        </w:tc>
        <w:tc>
          <w:tcPr>
            <w:tcW w:w="645" w:type="dxa"/>
            <w:noWrap w:val="0"/>
            <w:vAlign w:val="center"/>
          </w:tcPr>
          <w:p w14:paraId="5FD3540F">
            <w:pPr>
              <w:jc w:val="center"/>
              <w:rPr>
                <w:rFonts w:hint="eastAsia" w:ascii="宋体" w:hAnsi="宋体"/>
                <w:szCs w:val="21"/>
              </w:rPr>
            </w:pPr>
            <w:r>
              <w:rPr>
                <w:rFonts w:hint="eastAsia" w:ascii="宋体" w:hAnsi="宋体"/>
                <w:szCs w:val="21"/>
              </w:rPr>
              <w:t>条</w:t>
            </w:r>
          </w:p>
        </w:tc>
        <w:tc>
          <w:tcPr>
            <w:tcW w:w="1036" w:type="dxa"/>
            <w:noWrap w:val="0"/>
            <w:vAlign w:val="center"/>
          </w:tcPr>
          <w:p w14:paraId="7499EAE0">
            <w:pPr>
              <w:jc w:val="center"/>
              <w:rPr>
                <w:rFonts w:hint="eastAsia" w:ascii="宋体" w:hAnsi="宋体"/>
                <w:szCs w:val="21"/>
              </w:rPr>
            </w:pPr>
            <w:r>
              <w:rPr>
                <w:rFonts w:hint="eastAsia" w:ascii="宋体" w:hAnsi="宋体"/>
                <w:szCs w:val="21"/>
              </w:rPr>
              <w:t>200</w:t>
            </w:r>
          </w:p>
        </w:tc>
      </w:tr>
      <w:tr w14:paraId="26D72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5813AD08">
            <w:pPr>
              <w:jc w:val="center"/>
              <w:rPr>
                <w:rFonts w:hint="eastAsia" w:ascii="宋体" w:hAnsi="宋体"/>
                <w:szCs w:val="21"/>
              </w:rPr>
            </w:pPr>
            <w:r>
              <w:rPr>
                <w:rFonts w:hint="eastAsia" w:ascii="宋体" w:hAnsi="宋体"/>
                <w:szCs w:val="21"/>
              </w:rPr>
              <w:t>11</w:t>
            </w:r>
          </w:p>
        </w:tc>
        <w:tc>
          <w:tcPr>
            <w:tcW w:w="2241" w:type="dxa"/>
            <w:noWrap w:val="0"/>
            <w:vAlign w:val="center"/>
          </w:tcPr>
          <w:p w14:paraId="583BAE4D">
            <w:pPr>
              <w:rPr>
                <w:rFonts w:hint="eastAsia" w:ascii="宋体" w:hAnsi="宋体"/>
                <w:szCs w:val="21"/>
              </w:rPr>
            </w:pPr>
            <w:r>
              <w:rPr>
                <w:rFonts w:hint="eastAsia" w:ascii="宋体" w:hAnsi="宋体"/>
                <w:szCs w:val="21"/>
              </w:rPr>
              <w:t>撬棍</w:t>
            </w:r>
          </w:p>
        </w:tc>
        <w:tc>
          <w:tcPr>
            <w:tcW w:w="679" w:type="dxa"/>
            <w:noWrap w:val="0"/>
            <w:vAlign w:val="center"/>
          </w:tcPr>
          <w:p w14:paraId="71781CF0">
            <w:pPr>
              <w:jc w:val="center"/>
              <w:rPr>
                <w:rFonts w:hint="eastAsia" w:ascii="宋体" w:hAnsi="宋体"/>
                <w:szCs w:val="21"/>
              </w:rPr>
            </w:pPr>
            <w:r>
              <w:rPr>
                <w:rFonts w:hint="eastAsia" w:ascii="宋体" w:hAnsi="宋体"/>
                <w:szCs w:val="21"/>
              </w:rPr>
              <w:t>根</w:t>
            </w:r>
          </w:p>
        </w:tc>
        <w:tc>
          <w:tcPr>
            <w:tcW w:w="658" w:type="dxa"/>
            <w:noWrap w:val="0"/>
            <w:vAlign w:val="center"/>
          </w:tcPr>
          <w:p w14:paraId="5E33D807">
            <w:pPr>
              <w:jc w:val="center"/>
              <w:rPr>
                <w:rFonts w:hint="eastAsia" w:ascii="宋体" w:hAnsi="宋体"/>
                <w:szCs w:val="21"/>
              </w:rPr>
            </w:pPr>
            <w:r>
              <w:rPr>
                <w:rFonts w:hint="eastAsia" w:ascii="宋体" w:hAnsi="宋体"/>
                <w:szCs w:val="21"/>
              </w:rPr>
              <w:t>2</w:t>
            </w:r>
          </w:p>
        </w:tc>
        <w:tc>
          <w:tcPr>
            <w:tcW w:w="762" w:type="dxa"/>
            <w:noWrap w:val="0"/>
            <w:vAlign w:val="center"/>
          </w:tcPr>
          <w:p w14:paraId="303710CC">
            <w:pPr>
              <w:jc w:val="center"/>
              <w:rPr>
                <w:rFonts w:hint="eastAsia" w:ascii="宋体" w:hAnsi="宋体"/>
                <w:szCs w:val="21"/>
              </w:rPr>
            </w:pPr>
            <w:r>
              <w:rPr>
                <w:rFonts w:hint="eastAsia" w:ascii="宋体" w:hAnsi="宋体"/>
                <w:szCs w:val="21"/>
              </w:rPr>
              <w:t>26</w:t>
            </w:r>
          </w:p>
        </w:tc>
        <w:tc>
          <w:tcPr>
            <w:tcW w:w="2210" w:type="dxa"/>
            <w:noWrap w:val="0"/>
            <w:vAlign w:val="center"/>
          </w:tcPr>
          <w:p w14:paraId="7C78D40C">
            <w:pPr>
              <w:rPr>
                <w:rFonts w:hint="eastAsia" w:ascii="宋体" w:hAnsi="宋体"/>
                <w:szCs w:val="21"/>
              </w:rPr>
            </w:pPr>
            <w:r>
              <w:rPr>
                <w:rFonts w:hint="eastAsia" w:ascii="宋体" w:hAnsi="宋体"/>
                <w:szCs w:val="21"/>
              </w:rPr>
              <w:t>砖</w:t>
            </w:r>
          </w:p>
        </w:tc>
        <w:tc>
          <w:tcPr>
            <w:tcW w:w="645" w:type="dxa"/>
            <w:noWrap w:val="0"/>
            <w:vAlign w:val="center"/>
          </w:tcPr>
          <w:p w14:paraId="687000D7">
            <w:pPr>
              <w:jc w:val="center"/>
              <w:rPr>
                <w:rFonts w:hint="eastAsia" w:ascii="宋体" w:hAnsi="宋体"/>
                <w:szCs w:val="21"/>
              </w:rPr>
            </w:pPr>
            <w:r>
              <w:rPr>
                <w:rFonts w:hint="eastAsia" w:ascii="宋体" w:hAnsi="宋体"/>
                <w:szCs w:val="21"/>
              </w:rPr>
              <w:t>M</w:t>
            </w:r>
            <w:r>
              <w:rPr>
                <w:rFonts w:hint="eastAsia" w:ascii="宋体" w:hAnsi="宋体"/>
                <w:szCs w:val="21"/>
                <w:vertAlign w:val="superscript"/>
              </w:rPr>
              <w:t>3</w:t>
            </w:r>
          </w:p>
        </w:tc>
        <w:tc>
          <w:tcPr>
            <w:tcW w:w="1036" w:type="dxa"/>
            <w:noWrap w:val="0"/>
            <w:vAlign w:val="center"/>
          </w:tcPr>
          <w:p w14:paraId="6D2772C4">
            <w:pPr>
              <w:jc w:val="center"/>
              <w:rPr>
                <w:rFonts w:hint="eastAsia" w:ascii="宋体" w:hAnsi="宋体"/>
                <w:szCs w:val="21"/>
              </w:rPr>
            </w:pPr>
            <w:r>
              <w:rPr>
                <w:rFonts w:hint="eastAsia" w:ascii="宋体" w:hAnsi="宋体"/>
                <w:szCs w:val="21"/>
              </w:rPr>
              <w:t>3</w:t>
            </w:r>
          </w:p>
        </w:tc>
      </w:tr>
      <w:tr w14:paraId="1B2EC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779DE9F6">
            <w:pPr>
              <w:jc w:val="center"/>
              <w:rPr>
                <w:rFonts w:hint="eastAsia" w:ascii="宋体" w:hAnsi="宋体"/>
                <w:szCs w:val="21"/>
              </w:rPr>
            </w:pPr>
            <w:r>
              <w:rPr>
                <w:rFonts w:hint="eastAsia" w:ascii="宋体" w:hAnsi="宋体"/>
                <w:szCs w:val="21"/>
              </w:rPr>
              <w:t>12</w:t>
            </w:r>
          </w:p>
        </w:tc>
        <w:tc>
          <w:tcPr>
            <w:tcW w:w="2241" w:type="dxa"/>
            <w:noWrap w:val="0"/>
            <w:vAlign w:val="center"/>
          </w:tcPr>
          <w:p w14:paraId="4D787AE0">
            <w:pPr>
              <w:rPr>
                <w:rFonts w:hint="eastAsia" w:ascii="宋体" w:hAnsi="宋体"/>
                <w:szCs w:val="21"/>
              </w:rPr>
            </w:pPr>
            <w:r>
              <w:rPr>
                <w:rFonts w:hint="eastAsia" w:ascii="宋体" w:hAnsi="宋体"/>
                <w:szCs w:val="21"/>
              </w:rPr>
              <w:t>木锯</w:t>
            </w:r>
          </w:p>
        </w:tc>
        <w:tc>
          <w:tcPr>
            <w:tcW w:w="679" w:type="dxa"/>
            <w:noWrap w:val="0"/>
            <w:vAlign w:val="center"/>
          </w:tcPr>
          <w:p w14:paraId="54513E02">
            <w:pPr>
              <w:jc w:val="center"/>
              <w:rPr>
                <w:rFonts w:hint="eastAsia" w:ascii="宋体" w:hAnsi="宋体"/>
                <w:szCs w:val="21"/>
              </w:rPr>
            </w:pPr>
            <w:r>
              <w:rPr>
                <w:rFonts w:hint="eastAsia" w:ascii="宋体" w:hAnsi="宋体"/>
                <w:szCs w:val="21"/>
              </w:rPr>
              <w:t>把</w:t>
            </w:r>
          </w:p>
        </w:tc>
        <w:tc>
          <w:tcPr>
            <w:tcW w:w="658" w:type="dxa"/>
            <w:noWrap w:val="0"/>
            <w:vAlign w:val="center"/>
          </w:tcPr>
          <w:p w14:paraId="56B77BD2">
            <w:pPr>
              <w:jc w:val="center"/>
              <w:rPr>
                <w:rFonts w:hint="eastAsia" w:ascii="宋体" w:hAnsi="宋体"/>
                <w:szCs w:val="21"/>
              </w:rPr>
            </w:pPr>
            <w:r>
              <w:rPr>
                <w:rFonts w:hint="eastAsia" w:ascii="宋体" w:hAnsi="宋体"/>
                <w:szCs w:val="21"/>
              </w:rPr>
              <w:t>2</w:t>
            </w:r>
          </w:p>
        </w:tc>
        <w:tc>
          <w:tcPr>
            <w:tcW w:w="762" w:type="dxa"/>
            <w:noWrap w:val="0"/>
            <w:vAlign w:val="center"/>
          </w:tcPr>
          <w:p w14:paraId="249F663F">
            <w:pPr>
              <w:jc w:val="center"/>
              <w:rPr>
                <w:rFonts w:hint="eastAsia" w:ascii="宋体" w:hAnsi="宋体"/>
                <w:szCs w:val="21"/>
              </w:rPr>
            </w:pPr>
            <w:r>
              <w:rPr>
                <w:rFonts w:hint="eastAsia" w:ascii="宋体" w:hAnsi="宋体"/>
                <w:szCs w:val="21"/>
              </w:rPr>
              <w:t>27</w:t>
            </w:r>
          </w:p>
        </w:tc>
        <w:tc>
          <w:tcPr>
            <w:tcW w:w="2210" w:type="dxa"/>
            <w:noWrap w:val="0"/>
            <w:vAlign w:val="center"/>
          </w:tcPr>
          <w:p w14:paraId="16362862">
            <w:pPr>
              <w:rPr>
                <w:rFonts w:hint="eastAsia" w:ascii="宋体" w:hAnsi="宋体"/>
                <w:szCs w:val="21"/>
              </w:rPr>
            </w:pPr>
            <w:r>
              <w:rPr>
                <w:rFonts w:hint="eastAsia" w:ascii="宋体" w:hAnsi="宋体"/>
                <w:szCs w:val="21"/>
              </w:rPr>
              <w:t>砂子</w:t>
            </w:r>
          </w:p>
        </w:tc>
        <w:tc>
          <w:tcPr>
            <w:tcW w:w="645" w:type="dxa"/>
            <w:noWrap w:val="0"/>
            <w:vAlign w:val="center"/>
          </w:tcPr>
          <w:p w14:paraId="359596ED">
            <w:pPr>
              <w:jc w:val="center"/>
              <w:rPr>
                <w:rFonts w:hint="eastAsia" w:ascii="宋体" w:hAnsi="宋体"/>
                <w:szCs w:val="21"/>
              </w:rPr>
            </w:pPr>
            <w:r>
              <w:rPr>
                <w:rFonts w:hint="eastAsia" w:ascii="宋体" w:hAnsi="宋体"/>
                <w:szCs w:val="21"/>
              </w:rPr>
              <w:t>M</w:t>
            </w:r>
            <w:r>
              <w:rPr>
                <w:rFonts w:hint="eastAsia" w:ascii="宋体" w:hAnsi="宋体"/>
                <w:szCs w:val="21"/>
                <w:vertAlign w:val="superscript"/>
              </w:rPr>
              <w:t>3</w:t>
            </w:r>
          </w:p>
        </w:tc>
        <w:tc>
          <w:tcPr>
            <w:tcW w:w="1036" w:type="dxa"/>
            <w:noWrap w:val="0"/>
            <w:vAlign w:val="center"/>
          </w:tcPr>
          <w:p w14:paraId="1FD9A464">
            <w:pPr>
              <w:jc w:val="center"/>
              <w:rPr>
                <w:rFonts w:hint="eastAsia" w:ascii="宋体" w:hAnsi="宋体"/>
                <w:szCs w:val="21"/>
              </w:rPr>
            </w:pPr>
            <w:r>
              <w:rPr>
                <w:rFonts w:hint="eastAsia" w:ascii="宋体" w:hAnsi="宋体"/>
                <w:szCs w:val="21"/>
              </w:rPr>
              <w:t>0.5</w:t>
            </w:r>
          </w:p>
        </w:tc>
      </w:tr>
      <w:tr w14:paraId="481DA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3D810B69">
            <w:pPr>
              <w:jc w:val="center"/>
              <w:rPr>
                <w:rFonts w:hint="eastAsia" w:ascii="宋体" w:hAnsi="宋体"/>
                <w:szCs w:val="21"/>
              </w:rPr>
            </w:pPr>
            <w:r>
              <w:rPr>
                <w:rFonts w:hint="eastAsia" w:ascii="宋体" w:hAnsi="宋体"/>
                <w:szCs w:val="21"/>
              </w:rPr>
              <w:t>13</w:t>
            </w:r>
          </w:p>
        </w:tc>
        <w:tc>
          <w:tcPr>
            <w:tcW w:w="2241" w:type="dxa"/>
            <w:noWrap w:val="0"/>
            <w:vAlign w:val="center"/>
          </w:tcPr>
          <w:p w14:paraId="2CDA7D22">
            <w:pPr>
              <w:rPr>
                <w:rFonts w:hint="eastAsia" w:ascii="宋体" w:hAnsi="宋体"/>
                <w:szCs w:val="21"/>
              </w:rPr>
            </w:pPr>
            <w:r>
              <w:rPr>
                <w:rFonts w:hint="eastAsia" w:ascii="宋体" w:hAnsi="宋体"/>
                <w:szCs w:val="21"/>
              </w:rPr>
              <w:t>平板锹</w:t>
            </w:r>
          </w:p>
        </w:tc>
        <w:tc>
          <w:tcPr>
            <w:tcW w:w="679" w:type="dxa"/>
            <w:noWrap w:val="0"/>
            <w:vAlign w:val="center"/>
          </w:tcPr>
          <w:p w14:paraId="0A398004">
            <w:pPr>
              <w:jc w:val="center"/>
              <w:rPr>
                <w:rFonts w:hint="eastAsia" w:ascii="宋体" w:hAnsi="宋体"/>
                <w:szCs w:val="21"/>
              </w:rPr>
            </w:pPr>
            <w:r>
              <w:rPr>
                <w:rFonts w:hint="eastAsia" w:ascii="宋体" w:hAnsi="宋体"/>
                <w:szCs w:val="21"/>
              </w:rPr>
              <w:t>把</w:t>
            </w:r>
          </w:p>
        </w:tc>
        <w:tc>
          <w:tcPr>
            <w:tcW w:w="658" w:type="dxa"/>
            <w:noWrap w:val="0"/>
            <w:vAlign w:val="center"/>
          </w:tcPr>
          <w:p w14:paraId="10205C47">
            <w:pPr>
              <w:jc w:val="center"/>
              <w:rPr>
                <w:rFonts w:hint="eastAsia" w:ascii="宋体" w:hAnsi="宋体"/>
                <w:szCs w:val="21"/>
              </w:rPr>
            </w:pPr>
            <w:r>
              <w:rPr>
                <w:rFonts w:hint="eastAsia" w:ascii="宋体" w:hAnsi="宋体"/>
                <w:szCs w:val="21"/>
              </w:rPr>
              <w:t>2</w:t>
            </w:r>
          </w:p>
        </w:tc>
        <w:tc>
          <w:tcPr>
            <w:tcW w:w="762" w:type="dxa"/>
            <w:noWrap w:val="0"/>
            <w:vAlign w:val="center"/>
          </w:tcPr>
          <w:p w14:paraId="15C805A9">
            <w:pPr>
              <w:jc w:val="center"/>
              <w:rPr>
                <w:rFonts w:hint="eastAsia" w:ascii="宋体" w:hAnsi="宋体"/>
                <w:szCs w:val="21"/>
              </w:rPr>
            </w:pPr>
            <w:r>
              <w:rPr>
                <w:rFonts w:hint="eastAsia" w:ascii="宋体" w:hAnsi="宋体"/>
                <w:szCs w:val="21"/>
              </w:rPr>
              <w:t>28</w:t>
            </w:r>
          </w:p>
        </w:tc>
        <w:tc>
          <w:tcPr>
            <w:tcW w:w="2210" w:type="dxa"/>
            <w:noWrap w:val="0"/>
            <w:vAlign w:val="center"/>
          </w:tcPr>
          <w:p w14:paraId="04E5ED1E">
            <w:pPr>
              <w:rPr>
                <w:rFonts w:hint="eastAsia" w:ascii="宋体" w:hAnsi="宋体"/>
                <w:szCs w:val="21"/>
              </w:rPr>
            </w:pPr>
            <w:r>
              <w:rPr>
                <w:rFonts w:hint="eastAsia" w:ascii="宋体" w:hAnsi="宋体"/>
                <w:szCs w:val="21"/>
              </w:rPr>
              <w:t>方木</w:t>
            </w:r>
          </w:p>
        </w:tc>
        <w:tc>
          <w:tcPr>
            <w:tcW w:w="645" w:type="dxa"/>
            <w:noWrap w:val="0"/>
            <w:vAlign w:val="center"/>
          </w:tcPr>
          <w:p w14:paraId="667AB1D0">
            <w:pPr>
              <w:jc w:val="center"/>
              <w:rPr>
                <w:rFonts w:hint="eastAsia" w:ascii="宋体" w:hAnsi="宋体"/>
                <w:szCs w:val="21"/>
              </w:rPr>
            </w:pPr>
            <w:r>
              <w:rPr>
                <w:rFonts w:hint="eastAsia" w:ascii="宋体" w:hAnsi="宋体"/>
                <w:szCs w:val="21"/>
              </w:rPr>
              <w:t>M</w:t>
            </w:r>
            <w:r>
              <w:rPr>
                <w:rFonts w:hint="eastAsia" w:ascii="宋体" w:hAnsi="宋体"/>
                <w:szCs w:val="21"/>
                <w:vertAlign w:val="superscript"/>
              </w:rPr>
              <w:t>3</w:t>
            </w:r>
          </w:p>
        </w:tc>
        <w:tc>
          <w:tcPr>
            <w:tcW w:w="1036" w:type="dxa"/>
            <w:noWrap w:val="0"/>
            <w:vAlign w:val="center"/>
          </w:tcPr>
          <w:p w14:paraId="3E2BF515">
            <w:pPr>
              <w:jc w:val="center"/>
              <w:rPr>
                <w:rFonts w:hint="eastAsia" w:ascii="宋体" w:hAnsi="宋体"/>
                <w:szCs w:val="21"/>
              </w:rPr>
            </w:pPr>
            <w:r>
              <w:rPr>
                <w:rFonts w:hint="eastAsia" w:ascii="宋体" w:hAnsi="宋体"/>
                <w:szCs w:val="21"/>
              </w:rPr>
              <w:t>0.5</w:t>
            </w:r>
          </w:p>
        </w:tc>
      </w:tr>
      <w:tr w14:paraId="557FC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0A8C3466">
            <w:pPr>
              <w:jc w:val="center"/>
              <w:rPr>
                <w:rFonts w:hint="eastAsia" w:ascii="宋体" w:hAnsi="宋体"/>
                <w:szCs w:val="21"/>
              </w:rPr>
            </w:pPr>
            <w:r>
              <w:rPr>
                <w:rFonts w:hint="eastAsia" w:ascii="宋体" w:hAnsi="宋体"/>
                <w:szCs w:val="21"/>
              </w:rPr>
              <w:t>14</w:t>
            </w:r>
          </w:p>
        </w:tc>
        <w:tc>
          <w:tcPr>
            <w:tcW w:w="2241" w:type="dxa"/>
            <w:noWrap w:val="0"/>
            <w:vAlign w:val="center"/>
          </w:tcPr>
          <w:p w14:paraId="26AE8252">
            <w:pPr>
              <w:rPr>
                <w:rFonts w:hint="eastAsia" w:ascii="宋体" w:hAnsi="宋体"/>
                <w:szCs w:val="21"/>
              </w:rPr>
            </w:pPr>
            <w:r>
              <w:rPr>
                <w:rFonts w:hint="eastAsia" w:ascii="宋体" w:hAnsi="宋体"/>
                <w:szCs w:val="21"/>
              </w:rPr>
              <w:t>灭火岩粉</w:t>
            </w:r>
          </w:p>
        </w:tc>
        <w:tc>
          <w:tcPr>
            <w:tcW w:w="679" w:type="dxa"/>
            <w:noWrap w:val="0"/>
            <w:vAlign w:val="center"/>
          </w:tcPr>
          <w:p w14:paraId="5B6D56EB">
            <w:pPr>
              <w:jc w:val="center"/>
              <w:rPr>
                <w:rFonts w:hint="eastAsia" w:ascii="宋体" w:hAnsi="宋体"/>
                <w:szCs w:val="21"/>
              </w:rPr>
            </w:pPr>
            <w:r>
              <w:rPr>
                <w:rFonts w:hint="eastAsia" w:ascii="宋体" w:hAnsi="宋体"/>
                <w:szCs w:val="21"/>
              </w:rPr>
              <w:t>Kg</w:t>
            </w:r>
          </w:p>
        </w:tc>
        <w:tc>
          <w:tcPr>
            <w:tcW w:w="658" w:type="dxa"/>
            <w:noWrap w:val="0"/>
            <w:vAlign w:val="center"/>
          </w:tcPr>
          <w:p w14:paraId="41E5D3B7">
            <w:pPr>
              <w:jc w:val="center"/>
              <w:rPr>
                <w:rFonts w:hint="eastAsia" w:ascii="宋体" w:hAnsi="宋体"/>
                <w:szCs w:val="21"/>
              </w:rPr>
            </w:pPr>
            <w:r>
              <w:rPr>
                <w:rFonts w:hint="eastAsia" w:ascii="宋体" w:hAnsi="宋体"/>
                <w:szCs w:val="21"/>
              </w:rPr>
              <w:t>200</w:t>
            </w:r>
          </w:p>
        </w:tc>
        <w:tc>
          <w:tcPr>
            <w:tcW w:w="762" w:type="dxa"/>
            <w:noWrap w:val="0"/>
            <w:vAlign w:val="center"/>
          </w:tcPr>
          <w:p w14:paraId="1CBE4779">
            <w:pPr>
              <w:jc w:val="center"/>
              <w:rPr>
                <w:rFonts w:hint="eastAsia" w:ascii="宋体" w:hAnsi="宋体"/>
                <w:szCs w:val="21"/>
              </w:rPr>
            </w:pPr>
            <w:r>
              <w:rPr>
                <w:rFonts w:hint="eastAsia" w:ascii="宋体" w:hAnsi="宋体"/>
                <w:szCs w:val="21"/>
              </w:rPr>
              <w:t>29</w:t>
            </w:r>
          </w:p>
        </w:tc>
        <w:tc>
          <w:tcPr>
            <w:tcW w:w="2210" w:type="dxa"/>
            <w:noWrap w:val="0"/>
            <w:vAlign w:val="center"/>
          </w:tcPr>
          <w:p w14:paraId="49AF87EA">
            <w:pPr>
              <w:rPr>
                <w:rFonts w:hint="eastAsia" w:ascii="宋体" w:hAnsi="宋体"/>
                <w:szCs w:val="21"/>
              </w:rPr>
            </w:pPr>
            <w:r>
              <w:rPr>
                <w:rFonts w:hint="eastAsia" w:ascii="宋体" w:hAnsi="宋体"/>
                <w:szCs w:val="21"/>
              </w:rPr>
              <w:t>木板</w:t>
            </w:r>
          </w:p>
        </w:tc>
        <w:tc>
          <w:tcPr>
            <w:tcW w:w="645" w:type="dxa"/>
            <w:noWrap w:val="0"/>
            <w:vAlign w:val="center"/>
          </w:tcPr>
          <w:p w14:paraId="024030BB">
            <w:pPr>
              <w:jc w:val="center"/>
              <w:rPr>
                <w:rFonts w:hint="eastAsia" w:ascii="宋体" w:hAnsi="宋体"/>
                <w:szCs w:val="21"/>
              </w:rPr>
            </w:pPr>
            <w:r>
              <w:rPr>
                <w:rFonts w:hint="eastAsia" w:ascii="宋体" w:hAnsi="宋体"/>
                <w:szCs w:val="21"/>
              </w:rPr>
              <w:t>M</w:t>
            </w:r>
            <w:r>
              <w:rPr>
                <w:rFonts w:hint="eastAsia" w:ascii="宋体" w:hAnsi="宋体"/>
                <w:szCs w:val="21"/>
                <w:vertAlign w:val="superscript"/>
              </w:rPr>
              <w:t>3</w:t>
            </w:r>
          </w:p>
        </w:tc>
        <w:tc>
          <w:tcPr>
            <w:tcW w:w="1036" w:type="dxa"/>
            <w:noWrap w:val="0"/>
            <w:vAlign w:val="center"/>
          </w:tcPr>
          <w:p w14:paraId="5CD4814A">
            <w:pPr>
              <w:jc w:val="center"/>
              <w:rPr>
                <w:rFonts w:hint="eastAsia" w:ascii="宋体" w:hAnsi="宋体"/>
                <w:szCs w:val="21"/>
              </w:rPr>
            </w:pPr>
            <w:r>
              <w:rPr>
                <w:rFonts w:hint="eastAsia" w:ascii="宋体" w:hAnsi="宋体"/>
                <w:szCs w:val="21"/>
              </w:rPr>
              <w:t>2</w:t>
            </w:r>
          </w:p>
        </w:tc>
      </w:tr>
      <w:tr w14:paraId="712F4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803" w:type="dxa"/>
            <w:noWrap w:val="0"/>
            <w:vAlign w:val="center"/>
          </w:tcPr>
          <w:p w14:paraId="743A0EB5">
            <w:pPr>
              <w:jc w:val="center"/>
              <w:rPr>
                <w:rFonts w:hint="eastAsia" w:ascii="宋体" w:hAnsi="宋体"/>
                <w:szCs w:val="21"/>
              </w:rPr>
            </w:pPr>
            <w:r>
              <w:rPr>
                <w:rFonts w:hint="eastAsia" w:ascii="宋体" w:hAnsi="宋体"/>
                <w:szCs w:val="21"/>
              </w:rPr>
              <w:t xml:space="preserve">15 </w:t>
            </w:r>
          </w:p>
        </w:tc>
        <w:tc>
          <w:tcPr>
            <w:tcW w:w="2241" w:type="dxa"/>
            <w:noWrap w:val="0"/>
            <w:vAlign w:val="center"/>
          </w:tcPr>
          <w:p w14:paraId="6D77B601">
            <w:pPr>
              <w:rPr>
                <w:rFonts w:hint="eastAsia" w:ascii="宋体" w:hAnsi="宋体"/>
                <w:szCs w:val="21"/>
              </w:rPr>
            </w:pPr>
            <w:r>
              <w:rPr>
                <w:rFonts w:hint="eastAsia" w:ascii="宋体" w:hAnsi="宋体"/>
                <w:szCs w:val="21"/>
              </w:rPr>
              <w:t>石棉毯</w:t>
            </w:r>
          </w:p>
        </w:tc>
        <w:tc>
          <w:tcPr>
            <w:tcW w:w="679" w:type="dxa"/>
            <w:noWrap w:val="0"/>
            <w:vAlign w:val="center"/>
          </w:tcPr>
          <w:p w14:paraId="12717BC5">
            <w:pPr>
              <w:jc w:val="center"/>
              <w:rPr>
                <w:rFonts w:hint="eastAsia" w:ascii="宋体" w:hAnsi="宋体"/>
                <w:szCs w:val="21"/>
              </w:rPr>
            </w:pPr>
            <w:r>
              <w:rPr>
                <w:rFonts w:hint="eastAsia" w:ascii="宋体" w:hAnsi="宋体"/>
                <w:szCs w:val="21"/>
              </w:rPr>
              <w:t>块</w:t>
            </w:r>
          </w:p>
        </w:tc>
        <w:tc>
          <w:tcPr>
            <w:tcW w:w="658" w:type="dxa"/>
            <w:noWrap w:val="0"/>
            <w:vAlign w:val="center"/>
          </w:tcPr>
          <w:p w14:paraId="3CCF8C4A">
            <w:pPr>
              <w:jc w:val="center"/>
              <w:rPr>
                <w:rFonts w:hint="eastAsia" w:ascii="宋体" w:hAnsi="宋体"/>
                <w:szCs w:val="21"/>
              </w:rPr>
            </w:pPr>
            <w:r>
              <w:rPr>
                <w:rFonts w:hint="eastAsia" w:ascii="宋体" w:hAnsi="宋体"/>
                <w:szCs w:val="21"/>
              </w:rPr>
              <w:t>2</w:t>
            </w:r>
          </w:p>
        </w:tc>
        <w:tc>
          <w:tcPr>
            <w:tcW w:w="762" w:type="dxa"/>
            <w:noWrap w:val="0"/>
            <w:vAlign w:val="center"/>
          </w:tcPr>
          <w:p w14:paraId="2E8E1098">
            <w:pPr>
              <w:jc w:val="center"/>
              <w:rPr>
                <w:rFonts w:hint="eastAsia" w:ascii="宋体" w:hAnsi="宋体"/>
                <w:szCs w:val="21"/>
              </w:rPr>
            </w:pPr>
            <w:r>
              <w:rPr>
                <w:rFonts w:hint="eastAsia" w:ascii="宋体" w:hAnsi="宋体"/>
                <w:szCs w:val="21"/>
              </w:rPr>
              <w:t>30</w:t>
            </w:r>
          </w:p>
        </w:tc>
        <w:tc>
          <w:tcPr>
            <w:tcW w:w="2210" w:type="dxa"/>
            <w:noWrap w:val="0"/>
            <w:vAlign w:val="center"/>
          </w:tcPr>
          <w:p w14:paraId="3F7E662E">
            <w:pPr>
              <w:rPr>
                <w:rFonts w:hint="eastAsia" w:ascii="宋体" w:hAnsi="宋体"/>
                <w:szCs w:val="21"/>
              </w:rPr>
            </w:pPr>
            <w:r>
              <w:rPr>
                <w:rFonts w:hint="eastAsia" w:ascii="宋体" w:hAnsi="宋体"/>
                <w:szCs w:val="21"/>
              </w:rPr>
              <w:t>铁钉（2</w:t>
            </w:r>
            <w:r>
              <w:rPr>
                <w:rFonts w:hint="eastAsia" w:ascii="宋体" w:hAnsi="宋体"/>
                <w:szCs w:val="21"/>
                <w:vertAlign w:val="superscript"/>
              </w:rPr>
              <w:t>#</w:t>
            </w:r>
            <w:r>
              <w:rPr>
                <w:rFonts w:hint="eastAsia" w:ascii="宋体" w:hAnsi="宋体"/>
                <w:szCs w:val="21"/>
              </w:rPr>
              <w:t>、3</w:t>
            </w:r>
            <w:r>
              <w:rPr>
                <w:rFonts w:hint="eastAsia" w:ascii="宋体" w:hAnsi="宋体"/>
                <w:szCs w:val="21"/>
                <w:vertAlign w:val="superscript"/>
              </w:rPr>
              <w:t>#</w:t>
            </w:r>
            <w:r>
              <w:rPr>
                <w:rFonts w:hint="eastAsia" w:ascii="宋体" w:hAnsi="宋体"/>
                <w:szCs w:val="21"/>
              </w:rPr>
              <w:t>、4</w:t>
            </w:r>
            <w:r>
              <w:rPr>
                <w:rFonts w:hint="eastAsia" w:ascii="宋体" w:hAnsi="宋体"/>
                <w:szCs w:val="21"/>
                <w:vertAlign w:val="superscript"/>
              </w:rPr>
              <w:t>#</w:t>
            </w:r>
            <w:r>
              <w:rPr>
                <w:rFonts w:hint="eastAsia" w:ascii="宋体" w:hAnsi="宋体"/>
                <w:szCs w:val="21"/>
              </w:rPr>
              <w:t>）</w:t>
            </w:r>
          </w:p>
        </w:tc>
        <w:tc>
          <w:tcPr>
            <w:tcW w:w="645" w:type="dxa"/>
            <w:noWrap w:val="0"/>
            <w:vAlign w:val="center"/>
          </w:tcPr>
          <w:p w14:paraId="6A66E6C5">
            <w:pPr>
              <w:jc w:val="center"/>
              <w:rPr>
                <w:rFonts w:hint="eastAsia" w:ascii="宋体" w:hAnsi="宋体"/>
                <w:szCs w:val="21"/>
              </w:rPr>
            </w:pPr>
            <w:r>
              <w:rPr>
                <w:rFonts w:hint="eastAsia" w:ascii="宋体" w:hAnsi="宋体"/>
                <w:szCs w:val="21"/>
              </w:rPr>
              <w:t>Kg</w:t>
            </w:r>
          </w:p>
        </w:tc>
        <w:tc>
          <w:tcPr>
            <w:tcW w:w="1036" w:type="dxa"/>
            <w:noWrap w:val="0"/>
            <w:vAlign w:val="center"/>
          </w:tcPr>
          <w:p w14:paraId="03D5711B">
            <w:pPr>
              <w:jc w:val="center"/>
              <w:rPr>
                <w:rFonts w:hint="eastAsia" w:ascii="宋体" w:hAnsi="宋体"/>
                <w:szCs w:val="21"/>
              </w:rPr>
            </w:pPr>
            <w:r>
              <w:rPr>
                <w:rFonts w:hint="eastAsia" w:ascii="宋体" w:hAnsi="宋体"/>
                <w:szCs w:val="21"/>
              </w:rPr>
              <w:t>3</w:t>
            </w:r>
          </w:p>
        </w:tc>
      </w:tr>
    </w:tbl>
    <w:p w14:paraId="1F91CF61">
      <w:pPr>
        <w:spacing w:line="360" w:lineRule="auto"/>
        <w:ind w:firstLine="480" w:firstLineChars="200"/>
        <w:rPr>
          <w:rFonts w:hint="eastAsia" w:ascii="宋体" w:hAnsi="宋体"/>
          <w:sz w:val="24"/>
        </w:rPr>
      </w:pPr>
      <w:r>
        <w:rPr>
          <w:rFonts w:hint="eastAsia" w:ascii="宋体" w:hAnsi="宋体"/>
          <w:sz w:val="24"/>
        </w:rPr>
        <w:t>（2）井下电气设备的防火措施</w:t>
      </w:r>
    </w:p>
    <w:p w14:paraId="320BB931">
      <w:pPr>
        <w:spacing w:line="360" w:lineRule="auto"/>
        <w:ind w:firstLine="480" w:firstLineChars="200"/>
        <w:rPr>
          <w:rFonts w:hint="eastAsia" w:ascii="宋体" w:hAnsi="宋体"/>
          <w:sz w:val="24"/>
        </w:rPr>
      </w:pPr>
      <w:r>
        <w:rPr>
          <w:rFonts w:hint="eastAsia" w:ascii="宋体" w:hAnsi="宋体"/>
          <w:sz w:val="24"/>
        </w:rPr>
        <w:t>1）井下所有电气设备采用矿用隔爆型或本质安全型电气设备，并具有“产品合格证”、“防爆合格证”、“煤矿矿用产品安全标志”。</w:t>
      </w:r>
    </w:p>
    <w:p w14:paraId="6BD2ECD4">
      <w:pPr>
        <w:spacing w:line="360" w:lineRule="auto"/>
        <w:ind w:firstLine="480" w:firstLineChars="200"/>
        <w:rPr>
          <w:rFonts w:hint="eastAsia" w:ascii="宋体" w:hAnsi="宋体"/>
          <w:sz w:val="24"/>
        </w:rPr>
      </w:pPr>
      <w:r>
        <w:rPr>
          <w:rFonts w:hint="eastAsia" w:ascii="宋体" w:hAnsi="宋体"/>
          <w:sz w:val="24"/>
        </w:rPr>
        <w:t>2）向井下供电的变压器或发电机严禁直接接地。</w:t>
      </w:r>
    </w:p>
    <w:p w14:paraId="746E5F4A">
      <w:pPr>
        <w:spacing w:line="360" w:lineRule="auto"/>
        <w:ind w:firstLine="480" w:firstLineChars="200"/>
        <w:rPr>
          <w:rFonts w:hint="eastAsia" w:ascii="宋体" w:hAnsi="宋体"/>
          <w:sz w:val="24"/>
        </w:rPr>
      </w:pPr>
      <w:r>
        <w:rPr>
          <w:rFonts w:hint="eastAsia" w:ascii="宋体" w:hAnsi="宋体"/>
          <w:sz w:val="24"/>
        </w:rPr>
        <w:t>3）井下动力供电电压为660V，照明为127V。</w:t>
      </w:r>
    </w:p>
    <w:p w14:paraId="44E16294">
      <w:pPr>
        <w:spacing w:line="360" w:lineRule="auto"/>
        <w:ind w:firstLine="480" w:firstLineChars="200"/>
        <w:rPr>
          <w:rFonts w:hint="eastAsia" w:ascii="宋体" w:hAnsi="宋体"/>
          <w:sz w:val="24"/>
        </w:rPr>
      </w:pPr>
      <w:r>
        <w:rPr>
          <w:rFonts w:hint="eastAsia" w:ascii="宋体" w:hAnsi="宋体"/>
          <w:sz w:val="24"/>
        </w:rPr>
        <w:t>4）低压负荷开关选用QBD和KBZ型并配合JY82—2/3A型检漏继电器，以保证安全用电。</w:t>
      </w:r>
    </w:p>
    <w:p w14:paraId="760B497B">
      <w:pPr>
        <w:spacing w:line="360" w:lineRule="auto"/>
        <w:ind w:firstLine="480" w:firstLineChars="200"/>
        <w:rPr>
          <w:rFonts w:hint="eastAsia" w:ascii="宋体" w:hAnsi="宋体"/>
          <w:sz w:val="24"/>
        </w:rPr>
      </w:pPr>
      <w:r>
        <w:rPr>
          <w:rFonts w:hint="eastAsia" w:ascii="宋体" w:hAnsi="宋体"/>
          <w:sz w:val="24"/>
        </w:rPr>
        <w:t>5）向井下配电的XGZ2-12型低压配电屏设有过载、短路、漏电保护。</w:t>
      </w:r>
    </w:p>
    <w:p w14:paraId="60DE1750">
      <w:pPr>
        <w:spacing w:line="360" w:lineRule="auto"/>
        <w:ind w:firstLine="480" w:firstLineChars="200"/>
        <w:rPr>
          <w:rFonts w:hint="eastAsia" w:ascii="宋体" w:hAnsi="宋体"/>
          <w:sz w:val="24"/>
        </w:rPr>
      </w:pPr>
      <w:r>
        <w:rPr>
          <w:rFonts w:hint="eastAsia" w:ascii="宋体" w:hAnsi="宋体"/>
          <w:sz w:val="24"/>
        </w:rPr>
        <w:t>6）井下局部通风机与掘进设备实现风、电、瓦斯闭锁.</w:t>
      </w:r>
    </w:p>
    <w:p w14:paraId="0E0D39E9">
      <w:pPr>
        <w:spacing w:line="360" w:lineRule="auto"/>
        <w:ind w:firstLine="480" w:firstLineChars="200"/>
        <w:rPr>
          <w:rFonts w:hint="eastAsia" w:ascii="宋体" w:hAnsi="宋体"/>
          <w:sz w:val="24"/>
        </w:rPr>
      </w:pPr>
      <w:r>
        <w:rPr>
          <w:rFonts w:hint="eastAsia" w:ascii="宋体" w:hAnsi="宋体"/>
          <w:sz w:val="24"/>
        </w:rPr>
        <w:t>7）所有防爆开关，均设有短路、过负荷、单相断线保护和漏电闭锁保护。</w:t>
      </w:r>
    </w:p>
    <w:p w14:paraId="2D7918C3">
      <w:pPr>
        <w:spacing w:line="360" w:lineRule="auto"/>
        <w:ind w:firstLine="480" w:firstLineChars="200"/>
        <w:rPr>
          <w:rFonts w:hint="eastAsia" w:ascii="宋体" w:hAnsi="宋体"/>
          <w:sz w:val="24"/>
        </w:rPr>
      </w:pPr>
      <w:r>
        <w:rPr>
          <w:rFonts w:hint="eastAsia" w:ascii="宋体" w:hAnsi="宋体"/>
          <w:sz w:val="24"/>
        </w:rPr>
        <w:t>8）井下所有电气的金属外壳都进行接地。</w:t>
      </w:r>
    </w:p>
    <w:p w14:paraId="31EE9816">
      <w:pPr>
        <w:spacing w:line="360" w:lineRule="auto"/>
        <w:ind w:firstLine="480" w:firstLineChars="200"/>
        <w:rPr>
          <w:rFonts w:hint="eastAsia" w:ascii="宋体" w:hAnsi="宋体"/>
          <w:sz w:val="24"/>
        </w:rPr>
      </w:pPr>
      <w:r>
        <w:rPr>
          <w:rFonts w:hint="eastAsia" w:ascii="宋体" w:hAnsi="宋体"/>
          <w:sz w:val="24"/>
        </w:rPr>
        <w:t>（3）井下电缆</w:t>
      </w:r>
    </w:p>
    <w:p w14:paraId="27FA1020">
      <w:pPr>
        <w:spacing w:line="360" w:lineRule="auto"/>
        <w:ind w:firstLine="480" w:firstLineChars="200"/>
        <w:rPr>
          <w:rFonts w:hint="eastAsia" w:ascii="宋体" w:hAnsi="宋体"/>
          <w:sz w:val="24"/>
        </w:rPr>
      </w:pPr>
      <w:r>
        <w:rPr>
          <w:rFonts w:hint="eastAsia" w:ascii="宋体" w:hAnsi="宋体"/>
          <w:sz w:val="24"/>
        </w:rPr>
        <w:t>1）电缆选择</w:t>
      </w:r>
    </w:p>
    <w:p w14:paraId="45C1EB55">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井下电缆按安全载流量选择，并经电压损失和短路保护校验，采用矿用橡套软电缆。</w:t>
      </w:r>
    </w:p>
    <w:p w14:paraId="6724934B">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井下各配电站的低压电缆均采用矿用橡套铜芯电缆。</w:t>
      </w:r>
    </w:p>
    <w:p w14:paraId="3DFDBA16">
      <w:pPr>
        <w:spacing w:line="360" w:lineRule="auto"/>
        <w:ind w:firstLine="480" w:firstLineChars="200"/>
        <w:rPr>
          <w:rFonts w:hint="eastAsia" w:ascii="宋体" w:hAnsi="宋体"/>
          <w:sz w:val="24"/>
        </w:rPr>
      </w:pPr>
      <w:r>
        <w:rPr>
          <w:rFonts w:hint="eastAsia" w:ascii="宋体" w:hAnsi="宋体"/>
          <w:sz w:val="24"/>
        </w:rPr>
        <w:t>照明电源均引自地面配电所，采用阻燃的矿用橡套电缆（UM）；电钻采用矿用电钻电缆（UZ）。</w:t>
      </w:r>
    </w:p>
    <w:p w14:paraId="57D205C1">
      <w:pPr>
        <w:spacing w:line="360" w:lineRule="auto"/>
        <w:ind w:firstLine="480" w:firstLineChars="200"/>
        <w:rPr>
          <w:rFonts w:hint="eastAsia" w:ascii="宋体" w:hAnsi="宋体"/>
          <w:sz w:val="24"/>
        </w:rPr>
      </w:pPr>
      <w:r>
        <w:rPr>
          <w:rFonts w:hint="eastAsia" w:ascii="宋体" w:hAnsi="宋体"/>
          <w:sz w:val="24"/>
        </w:rPr>
        <w:t>2）电缆悬挂</w:t>
      </w:r>
    </w:p>
    <w:p w14:paraId="6F65A74B">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在水平巷道或倾角在30</w:t>
      </w:r>
      <w:r>
        <w:rPr>
          <w:rFonts w:ascii="宋体" w:hAnsi="宋体"/>
          <w:sz w:val="24"/>
        </w:rPr>
        <w:t>°</w:t>
      </w:r>
      <w:r>
        <w:rPr>
          <w:rFonts w:hint="eastAsia" w:ascii="宋体" w:hAnsi="宋体"/>
          <w:sz w:val="24"/>
        </w:rPr>
        <w:t>以下的井巷中，电缆用吊钩悬挂；</w:t>
      </w:r>
    </w:p>
    <w:p w14:paraId="2F836AD9">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在倾角在305</w:t>
      </w:r>
      <w:r>
        <w:rPr>
          <w:rFonts w:ascii="宋体" w:hAnsi="宋体"/>
          <w:sz w:val="24"/>
        </w:rPr>
        <w:t>°</w:t>
      </w:r>
      <w:r>
        <w:rPr>
          <w:rFonts w:hint="eastAsia" w:ascii="宋体" w:hAnsi="宋体"/>
          <w:sz w:val="24"/>
        </w:rPr>
        <w:t>以上的井巷中，电缆用卡箍固定；</w:t>
      </w:r>
    </w:p>
    <w:p w14:paraId="5822E1AC">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悬挂电缆有适当的弛度；悬挂高度高于矿车；</w:t>
      </w:r>
    </w:p>
    <w:p w14:paraId="1DADF521">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悬挂点间距为3米；电缆要在压风管、供水管等管子的上方，并保持0.3米以上的距离。</w:t>
      </w:r>
    </w:p>
    <w:p w14:paraId="7616E49C">
      <w:pPr>
        <w:spacing w:line="360" w:lineRule="auto"/>
        <w:ind w:firstLine="480" w:firstLineChars="200"/>
        <w:rPr>
          <w:rFonts w:hint="eastAsia" w:ascii="宋体" w:hAnsi="宋体"/>
          <w:sz w:val="24"/>
        </w:rPr>
      </w:pPr>
      <w:r>
        <w:rPr>
          <w:rFonts w:hint="eastAsia" w:ascii="宋体" w:hAnsi="宋体"/>
          <w:sz w:val="24"/>
        </w:rPr>
        <w:t>3）电缆连接</w:t>
      </w:r>
    </w:p>
    <w:p w14:paraId="45263C72">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电缆与电气设备的连接，用与电气设备性能相符的接线盒；</w:t>
      </w:r>
    </w:p>
    <w:p w14:paraId="2CF9B22F">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电缆线芯使用齿形压线板（卡爪</w:t>
      </w:r>
      <w:r>
        <w:rPr>
          <w:rFonts w:ascii="宋体" w:hAnsi="宋体"/>
          <w:sz w:val="24"/>
        </w:rPr>
        <w:t>）</w:t>
      </w:r>
      <w:r>
        <w:rPr>
          <w:rFonts w:hint="eastAsia" w:ascii="宋体" w:hAnsi="宋体"/>
          <w:sz w:val="24"/>
        </w:rPr>
        <w:t>或线鼻子与电气设备进行连接；</w:t>
      </w:r>
    </w:p>
    <w:p w14:paraId="70FA5759">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不同型电缆之间严禁直接连接，采用符合要求的连线盒、连接器或母线盒进行连接；</w:t>
      </w:r>
    </w:p>
    <w:p w14:paraId="490D6F4F">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同型电缆之间直接连接时，橡套电缆的修补连接（包括绝缘、护套已损坏的橡套电缆的修补）采用阻燃材料进行硫化热补或热补有同等效能的冷补，并经浸水耐压试验，合格后方可下井使用。</w:t>
      </w:r>
    </w:p>
    <w:p w14:paraId="38848309">
      <w:pPr>
        <w:spacing w:line="360" w:lineRule="auto"/>
        <w:ind w:firstLine="480" w:firstLineChars="200"/>
        <w:rPr>
          <w:rFonts w:hint="eastAsia" w:ascii="宋体" w:hAnsi="宋体"/>
          <w:sz w:val="24"/>
        </w:rPr>
      </w:pPr>
      <w:r>
        <w:rPr>
          <w:rFonts w:hint="eastAsia" w:ascii="宋体" w:hAnsi="宋体"/>
          <w:sz w:val="24"/>
        </w:rPr>
        <w:t>2、井下电气设备的各种保护</w:t>
      </w:r>
    </w:p>
    <w:p w14:paraId="665E8C3D">
      <w:pPr>
        <w:spacing w:line="360" w:lineRule="auto"/>
        <w:ind w:firstLine="480" w:firstLineChars="200"/>
        <w:rPr>
          <w:rFonts w:hint="eastAsia" w:ascii="宋体" w:hAnsi="宋体"/>
          <w:sz w:val="24"/>
        </w:rPr>
      </w:pPr>
      <w:r>
        <w:rPr>
          <w:rFonts w:hint="eastAsia" w:ascii="宋体" w:hAnsi="宋体"/>
          <w:sz w:val="24"/>
        </w:rPr>
        <w:t>井下电气设备有接地、短路、过流、过负荷、断相、漏电等保护。</w:t>
      </w:r>
    </w:p>
    <w:p w14:paraId="61ABEF04">
      <w:pPr>
        <w:spacing w:line="360" w:lineRule="auto"/>
        <w:ind w:firstLine="480" w:firstLineChars="200"/>
        <w:rPr>
          <w:rFonts w:hint="eastAsia" w:ascii="宋体" w:hAnsi="宋体"/>
          <w:sz w:val="24"/>
        </w:rPr>
      </w:pPr>
      <w:r>
        <w:rPr>
          <w:rFonts w:hint="eastAsia" w:ascii="宋体" w:hAnsi="宋体"/>
          <w:sz w:val="24"/>
        </w:rPr>
        <w:t>（1）电压在36V以上和由于绝缘损坏可能带有危险电压的电气设备的金属外壳、构架，铠装电缆的钢带（或钢丝）、铅皮或屏蔽护套等均设有保护接地；接地网上任一保护接地点的接地电阻值不得超过2</w:t>
      </w:r>
      <w:r>
        <w:rPr>
          <w:rFonts w:ascii="宋体" w:hAnsi="宋体"/>
          <w:sz w:val="24"/>
        </w:rPr>
        <w:t>Ω</w:t>
      </w:r>
      <w:r>
        <w:rPr>
          <w:rFonts w:hint="eastAsia" w:ascii="宋体" w:hAnsi="宋体"/>
          <w:sz w:val="24"/>
        </w:rPr>
        <w:t>，并且每一移动式和手持式电气设备至局部接地极之间的保护接地用的电缆芯线和接地连接连接导线的电阻值，不得超过1</w:t>
      </w:r>
      <w:r>
        <w:rPr>
          <w:rFonts w:ascii="宋体" w:hAnsi="宋体"/>
          <w:sz w:val="24"/>
        </w:rPr>
        <w:t>Ω</w:t>
      </w:r>
      <w:r>
        <w:rPr>
          <w:rFonts w:hint="eastAsia" w:ascii="宋体" w:hAnsi="宋体"/>
          <w:sz w:val="24"/>
        </w:rPr>
        <w:t>。</w:t>
      </w:r>
    </w:p>
    <w:p w14:paraId="620E96F9">
      <w:pPr>
        <w:spacing w:line="360" w:lineRule="auto"/>
        <w:ind w:firstLine="480" w:firstLineChars="200"/>
        <w:rPr>
          <w:rFonts w:hint="eastAsia" w:ascii="宋体" w:hAnsi="宋体"/>
          <w:sz w:val="24"/>
        </w:rPr>
      </w:pPr>
      <w:r>
        <w:rPr>
          <w:rFonts w:hint="eastAsia" w:ascii="宋体" w:hAnsi="宋体"/>
          <w:sz w:val="24"/>
        </w:rPr>
        <w:t>（2）所有电气设备的保护接地装置（包括电缆的铠装、铅皮、接地芯线）和局部接地装置，与主接地极连接成1个总接地网，主接地极在水仓中埋设1块，用耐腐蚀的钢板制成，其面积不得小于0.75m</w:t>
      </w:r>
      <w:r>
        <w:rPr>
          <w:rFonts w:hint="eastAsia" w:ascii="宋体" w:hAnsi="宋体"/>
          <w:sz w:val="24"/>
          <w:vertAlign w:val="superscript"/>
        </w:rPr>
        <w:t>2.</w:t>
      </w:r>
      <w:r>
        <w:rPr>
          <w:rFonts w:hint="eastAsia" w:ascii="宋体" w:hAnsi="宋体"/>
          <w:sz w:val="24"/>
        </w:rPr>
        <w:t>厚度不得小于5mm。</w:t>
      </w:r>
    </w:p>
    <w:p w14:paraId="2C41C6E2">
      <w:pPr>
        <w:spacing w:line="360" w:lineRule="auto"/>
        <w:ind w:firstLine="480" w:firstLineChars="200"/>
        <w:rPr>
          <w:rFonts w:hint="eastAsia" w:ascii="宋体" w:hAnsi="宋体"/>
          <w:sz w:val="24"/>
        </w:rPr>
      </w:pPr>
      <w:r>
        <w:rPr>
          <w:rFonts w:hint="eastAsia" w:ascii="宋体" w:hAnsi="宋体"/>
          <w:sz w:val="24"/>
        </w:rPr>
        <w:t>（3）在下列地点装设局部接地极：采区变电所（包括移动变电站和移动变压器）；装有电气设备的硐室和单独装设的高压电气设备；低压配电点或装有3台以上电气设备的地点。</w:t>
      </w:r>
    </w:p>
    <w:p w14:paraId="78ADA825">
      <w:pPr>
        <w:spacing w:line="360" w:lineRule="auto"/>
        <w:ind w:firstLine="480" w:firstLineChars="200"/>
        <w:rPr>
          <w:rFonts w:hint="eastAsia" w:ascii="宋体" w:hAnsi="宋体"/>
          <w:sz w:val="24"/>
        </w:rPr>
      </w:pPr>
      <w:r>
        <w:rPr>
          <w:rFonts w:hint="eastAsia" w:ascii="宋体" w:hAnsi="宋体"/>
          <w:sz w:val="24"/>
        </w:rPr>
        <w:t>（4）局部接地极设置于巷道水沟内或其他就近的潮湿处。设置在水沟中的局部接地极应用面积不小于0.6m</w:t>
      </w:r>
      <w:r>
        <w:rPr>
          <w:rFonts w:hint="eastAsia" w:ascii="宋体" w:hAnsi="宋体"/>
          <w:sz w:val="24"/>
          <w:vertAlign w:val="superscript"/>
        </w:rPr>
        <w:t>2.</w:t>
      </w:r>
      <w:r>
        <w:rPr>
          <w:rFonts w:hint="eastAsia" w:ascii="宋体" w:hAnsi="宋体"/>
          <w:sz w:val="24"/>
        </w:rPr>
        <w:t xml:space="preserve">厚度不小于3mm的钢板或具有同等有效面积的钢管制成，并平放于水沟深处。设置在其他地点的局部接地极，可用直径不小于35mm、长度不小于1.5m的钢管制成，管上应至少钻20个直径不小于5mm的透孔，并垂直全部埋入底板。 </w:t>
      </w:r>
    </w:p>
    <w:p w14:paraId="2920D8A6">
      <w:pPr>
        <w:spacing w:line="360" w:lineRule="auto"/>
        <w:ind w:firstLine="480" w:firstLineChars="200"/>
        <w:rPr>
          <w:rFonts w:hint="eastAsia" w:ascii="宋体" w:hAnsi="宋体"/>
          <w:sz w:val="24"/>
        </w:rPr>
      </w:pPr>
      <w:r>
        <w:rPr>
          <w:rFonts w:hint="eastAsia" w:ascii="宋体" w:hAnsi="宋体"/>
          <w:sz w:val="24"/>
        </w:rPr>
        <w:t>（5）连接主接地极的接地母线，采用截面不小于50mm</w:t>
      </w:r>
      <w:r>
        <w:rPr>
          <w:rFonts w:hint="eastAsia" w:ascii="宋体" w:hAnsi="宋体"/>
          <w:sz w:val="24"/>
          <w:vertAlign w:val="superscript"/>
        </w:rPr>
        <w:t>2</w:t>
      </w:r>
      <w:r>
        <w:rPr>
          <w:rFonts w:hint="eastAsia" w:ascii="宋体" w:hAnsi="宋体"/>
          <w:sz w:val="24"/>
        </w:rPr>
        <w:t>的铜线。电气设备的外壳与接地母线或局部接地极的连接，电缆连接装置两头的铠装、铅皮的连接，采用截面不小于25mm</w:t>
      </w:r>
      <w:r>
        <w:rPr>
          <w:rFonts w:hint="eastAsia" w:ascii="宋体" w:hAnsi="宋体"/>
          <w:sz w:val="24"/>
          <w:vertAlign w:val="superscript"/>
        </w:rPr>
        <w:t>2</w:t>
      </w:r>
      <w:r>
        <w:rPr>
          <w:rFonts w:hint="eastAsia" w:ascii="宋体" w:hAnsi="宋体"/>
          <w:sz w:val="24"/>
        </w:rPr>
        <w:t>的铜线。</w:t>
      </w:r>
    </w:p>
    <w:p w14:paraId="6CE1A0E9">
      <w:pPr>
        <w:spacing w:line="360" w:lineRule="auto"/>
        <w:ind w:firstLine="480" w:firstLineChars="200"/>
        <w:rPr>
          <w:rFonts w:hint="eastAsia" w:ascii="宋体" w:hAnsi="宋体"/>
          <w:sz w:val="24"/>
        </w:rPr>
      </w:pPr>
      <w:r>
        <w:rPr>
          <w:rFonts w:hint="eastAsia" w:ascii="宋体" w:hAnsi="宋体"/>
          <w:sz w:val="24"/>
        </w:rPr>
        <w:t>（6）40KW以上的电动机采用真空电磁起动器控制；井下的馈电线上，装设短路、过负荷和漏电保护装置；低压电动机的控制设备要具备短路、过负荷、单相断线、漏电保护装置和远程控制装置；要正确选择熔断器的熔体；每天对低压检漏装置进行一次跳闸试验。</w:t>
      </w:r>
    </w:p>
    <w:p w14:paraId="32A9F3BB">
      <w:pPr>
        <w:spacing w:line="360" w:lineRule="auto"/>
        <w:ind w:firstLine="480" w:firstLineChars="200"/>
        <w:rPr>
          <w:rFonts w:hint="eastAsia" w:ascii="宋体" w:hAnsi="宋体"/>
          <w:sz w:val="24"/>
        </w:rPr>
      </w:pPr>
      <w:r>
        <w:rPr>
          <w:rFonts w:hint="eastAsia" w:ascii="宋体" w:hAnsi="宋体"/>
          <w:sz w:val="24"/>
        </w:rPr>
        <w:t>（7</w:t>
      </w:r>
      <w:r>
        <w:rPr>
          <w:rFonts w:ascii="宋体" w:hAnsi="宋体"/>
          <w:sz w:val="24"/>
        </w:rPr>
        <w:t>）</w:t>
      </w:r>
      <w:r>
        <w:rPr>
          <w:rFonts w:hint="eastAsia" w:ascii="宋体" w:hAnsi="宋体"/>
          <w:sz w:val="24"/>
        </w:rPr>
        <w:t>127伏煤电钻和信号应设有检漏、短路、过负荷、远距离启动和停止煤电钻的综合保护装置。660伏的电气网络中，必须有过电流和漏电保护。煤电钻综合保护装置在每班故障或网络绝缘降低，应立即停电处量。检漏装置应灵敏可靠，严禁甩掉不用。</w:t>
      </w:r>
    </w:p>
    <w:p w14:paraId="10C4CBAB">
      <w:pPr>
        <w:spacing w:line="360" w:lineRule="auto"/>
        <w:ind w:firstLine="480" w:firstLineChars="200"/>
        <w:rPr>
          <w:rFonts w:hint="eastAsia" w:ascii="宋体" w:hAnsi="宋体"/>
          <w:sz w:val="24"/>
        </w:rPr>
      </w:pPr>
      <w:r>
        <w:rPr>
          <w:rFonts w:hint="eastAsia" w:ascii="宋体" w:hAnsi="宋体"/>
          <w:sz w:val="24"/>
        </w:rPr>
        <w:t>（8）供电线路在入井处装设防雷电装置；通信线路在入井处装设熔断器和防雷电装置。</w:t>
      </w:r>
    </w:p>
    <w:p w14:paraId="17C74EE4">
      <w:pPr>
        <w:spacing w:line="360" w:lineRule="auto"/>
        <w:ind w:firstLine="480" w:firstLineChars="200"/>
        <w:rPr>
          <w:rFonts w:hint="eastAsia" w:ascii="宋体" w:hAnsi="宋体"/>
          <w:sz w:val="24"/>
        </w:rPr>
      </w:pPr>
      <w:r>
        <w:rPr>
          <w:rFonts w:hint="eastAsia" w:ascii="宋体" w:hAnsi="宋体"/>
          <w:sz w:val="24"/>
        </w:rPr>
        <w:t>1）井口安设AZ—1A型导体消雷器，消雷器的接地体距井管、轨、线接地网相互间距在20米以上。</w:t>
      </w:r>
    </w:p>
    <w:p w14:paraId="6C066345">
      <w:pPr>
        <w:spacing w:line="360" w:lineRule="auto"/>
        <w:ind w:firstLine="480" w:firstLineChars="200"/>
        <w:rPr>
          <w:rFonts w:hint="eastAsia" w:ascii="宋体" w:hAnsi="宋体"/>
          <w:sz w:val="24"/>
        </w:rPr>
      </w:pPr>
      <w:r>
        <w:rPr>
          <w:rFonts w:hint="eastAsia" w:ascii="宋体" w:hAnsi="宋体"/>
          <w:sz w:val="24"/>
        </w:rPr>
        <w:t>2）所在伸出井口的钢管和钢轨均采用铸型尼龙材料进行两处相互间距为100米的绝缘隔离，每段铸型尼龙材料长度为1米，对地绝缘电阻在150M</w:t>
      </w:r>
      <w:r>
        <w:rPr>
          <w:rFonts w:ascii="宋体" w:hAnsi="宋体"/>
          <w:sz w:val="24"/>
        </w:rPr>
        <w:t>Ω</w:t>
      </w:r>
      <w:r>
        <w:rPr>
          <w:rFonts w:hint="eastAsia" w:ascii="宋体" w:hAnsi="宋体"/>
          <w:sz w:val="24"/>
        </w:rPr>
        <w:t>左右。</w:t>
      </w:r>
    </w:p>
    <w:p w14:paraId="44B5B187">
      <w:pPr>
        <w:spacing w:line="360" w:lineRule="auto"/>
        <w:ind w:firstLine="480" w:firstLineChars="200"/>
        <w:rPr>
          <w:rFonts w:hint="eastAsia" w:ascii="宋体" w:hAnsi="宋体"/>
          <w:sz w:val="24"/>
        </w:rPr>
      </w:pPr>
      <w:r>
        <w:rPr>
          <w:rFonts w:hint="eastAsia" w:ascii="宋体" w:hAnsi="宋体"/>
          <w:sz w:val="24"/>
        </w:rPr>
        <w:t>3）所在伸出井口的钢管、钢轨和电缆的铠装铅皮在入井处均接地，接地引入线均采用截面积为50mm</w:t>
      </w:r>
      <w:r>
        <w:rPr>
          <w:rFonts w:hint="eastAsia" w:ascii="宋体" w:hAnsi="宋体"/>
          <w:sz w:val="24"/>
          <w:vertAlign w:val="superscript"/>
        </w:rPr>
        <w:t>2</w:t>
      </w:r>
      <w:r>
        <w:rPr>
          <w:rFonts w:hint="eastAsia" w:ascii="宋体" w:hAnsi="宋体"/>
          <w:sz w:val="24"/>
        </w:rPr>
        <w:t>的橡套电缆，引出井口的接地体相互间距在20米以上，接地电阻不得大于2</w:t>
      </w:r>
      <w:r>
        <w:rPr>
          <w:rFonts w:ascii="宋体" w:hAnsi="宋体"/>
          <w:sz w:val="24"/>
        </w:rPr>
        <w:t>Ω</w:t>
      </w:r>
      <w:r>
        <w:rPr>
          <w:rFonts w:hint="eastAsia" w:ascii="宋体" w:hAnsi="宋体"/>
          <w:sz w:val="24"/>
        </w:rPr>
        <w:t>。通讯线路在入井口处装设一组熔断器和避雷装置，其接地电阻不得大于1</w:t>
      </w:r>
      <w:r>
        <w:rPr>
          <w:rFonts w:ascii="宋体" w:hAnsi="宋体"/>
          <w:sz w:val="24"/>
        </w:rPr>
        <w:t>Ω</w:t>
      </w:r>
      <w:r>
        <w:rPr>
          <w:rFonts w:hint="eastAsia" w:ascii="宋体" w:hAnsi="宋体"/>
          <w:sz w:val="24"/>
        </w:rPr>
        <w:t>。</w:t>
      </w:r>
    </w:p>
    <w:p w14:paraId="2368A509">
      <w:pPr>
        <w:spacing w:line="360" w:lineRule="auto"/>
        <w:ind w:firstLine="480" w:firstLineChars="200"/>
        <w:rPr>
          <w:rFonts w:hint="eastAsia" w:ascii="宋体" w:hAnsi="宋体"/>
          <w:sz w:val="24"/>
        </w:rPr>
      </w:pPr>
      <w:r>
        <w:rPr>
          <w:rFonts w:hint="eastAsia" w:ascii="宋体" w:hAnsi="宋体"/>
          <w:sz w:val="24"/>
        </w:rPr>
        <w:t>4）由地面直接入井的轨道、管路，必须 在井口处将金属体进行不少于两处的良好的集中接地。通信线路必须在入井处装设熔断器和避雷装置。每年雨季前必须对避雷装置进行检查试验。</w:t>
      </w:r>
    </w:p>
    <w:p w14:paraId="17AA9E1C">
      <w:pPr>
        <w:spacing w:line="360" w:lineRule="auto"/>
        <w:ind w:firstLine="480" w:firstLineChars="200"/>
        <w:rPr>
          <w:rFonts w:hint="eastAsia" w:ascii="宋体" w:hAnsi="宋体"/>
          <w:sz w:val="24"/>
        </w:rPr>
      </w:pPr>
      <w:r>
        <w:rPr>
          <w:rFonts w:hint="eastAsia" w:ascii="宋体" w:hAnsi="宋体"/>
          <w:sz w:val="24"/>
        </w:rPr>
        <w:t>（9）胶带运输机防火措施</w:t>
      </w:r>
    </w:p>
    <w:p w14:paraId="21A46982">
      <w:pPr>
        <w:spacing w:line="360" w:lineRule="auto"/>
        <w:ind w:firstLine="480" w:firstLineChars="200"/>
        <w:rPr>
          <w:rFonts w:hint="eastAsia" w:ascii="宋体" w:hAnsi="宋体"/>
          <w:sz w:val="24"/>
        </w:rPr>
      </w:pPr>
      <w:r>
        <w:rPr>
          <w:rFonts w:hint="eastAsia" w:ascii="宋体" w:hAnsi="宋体"/>
          <w:sz w:val="24"/>
        </w:rPr>
        <w:t>1）井下使用的运输设备必须是由正规厂家生产，符合煤矿使用标准的防爆合格产品。必须使用阻燃输送带,带式输送机托辊的非金属材料零部件和包胶滚筒的胶料,其阻燃性和抗静电性必须符合有关部门规定</w:t>
      </w:r>
    </w:p>
    <w:p w14:paraId="5DD50540">
      <w:pPr>
        <w:spacing w:line="360" w:lineRule="auto"/>
        <w:ind w:firstLine="480" w:firstLineChars="200"/>
        <w:rPr>
          <w:rFonts w:hint="eastAsia" w:ascii="宋体" w:hAnsi="宋体"/>
          <w:sz w:val="24"/>
        </w:rPr>
      </w:pPr>
      <w:r>
        <w:rPr>
          <w:rFonts w:hint="eastAsia" w:ascii="宋体" w:hAnsi="宋体"/>
          <w:sz w:val="24"/>
        </w:rPr>
        <w:t>2）巷道内应有充分的照明。</w:t>
      </w:r>
    </w:p>
    <w:p w14:paraId="10295073">
      <w:pPr>
        <w:spacing w:line="360" w:lineRule="auto"/>
        <w:ind w:firstLine="480" w:firstLineChars="200"/>
        <w:rPr>
          <w:rFonts w:hint="eastAsia" w:ascii="宋体" w:hAnsi="宋体"/>
          <w:sz w:val="24"/>
        </w:rPr>
      </w:pPr>
      <w:r>
        <w:rPr>
          <w:rFonts w:hint="eastAsia" w:ascii="宋体" w:hAnsi="宋体"/>
          <w:sz w:val="24"/>
        </w:rPr>
        <w:t>3）必须装设驱动滚筒防滑保护、堆煤保护和防跑偏装置。</w:t>
      </w:r>
    </w:p>
    <w:p w14:paraId="7B58C53A">
      <w:pPr>
        <w:spacing w:line="360" w:lineRule="auto"/>
        <w:ind w:firstLine="480" w:firstLineChars="200"/>
        <w:rPr>
          <w:rFonts w:hint="eastAsia" w:ascii="宋体" w:hAnsi="宋体"/>
          <w:sz w:val="24"/>
        </w:rPr>
      </w:pPr>
      <w:r>
        <w:rPr>
          <w:rFonts w:hint="eastAsia" w:ascii="宋体" w:hAnsi="宋体"/>
          <w:sz w:val="24"/>
        </w:rPr>
        <w:t>4）应装设温度保护、烟雾保护和自动洒水装置。</w:t>
      </w:r>
    </w:p>
    <w:p w14:paraId="4591DF5A">
      <w:pPr>
        <w:spacing w:line="360" w:lineRule="auto"/>
        <w:ind w:firstLine="480" w:firstLineChars="200"/>
        <w:rPr>
          <w:rFonts w:hint="eastAsia" w:ascii="宋体" w:hAnsi="宋体"/>
          <w:sz w:val="24"/>
        </w:rPr>
      </w:pPr>
      <w:r>
        <w:rPr>
          <w:rFonts w:hint="eastAsia" w:ascii="宋体" w:hAnsi="宋体"/>
          <w:sz w:val="24"/>
        </w:rPr>
        <w:t>5）在主要巷道内安设的带式输送机还必须装设:</w:t>
      </w:r>
    </w:p>
    <w:p w14:paraId="5D98A229">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输送带张紧力下降保护装置和防撕裂保护装置。</w:t>
      </w:r>
    </w:p>
    <w:p w14:paraId="5877608D">
      <w:pPr>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在机头和机尾防止人员与驱动滚筒相接触的防护拦。</w:t>
      </w:r>
    </w:p>
    <w:p w14:paraId="6E132E11">
      <w:pPr>
        <w:spacing w:line="360" w:lineRule="auto"/>
        <w:ind w:firstLine="480" w:firstLineChars="200"/>
        <w:rPr>
          <w:rFonts w:hint="eastAsia" w:ascii="宋体" w:hAnsi="宋体"/>
          <w:sz w:val="24"/>
        </w:rPr>
      </w:pPr>
      <w:r>
        <w:rPr>
          <w:rFonts w:hint="eastAsia" w:ascii="宋体" w:hAnsi="宋体"/>
          <w:sz w:val="24"/>
        </w:rPr>
        <w:t>（10）为防止地面明火，引发井下火灾，在井口附近20m内严禁有任何火源，矸石山、炉灰场必须远离井口80米，井口房、坑木场应设置消防水管、撒砂灭火装置及高倍泡沫灭火器等设施。</w:t>
      </w:r>
    </w:p>
    <w:p w14:paraId="69CE8A1F">
      <w:pPr>
        <w:spacing w:line="360" w:lineRule="auto"/>
        <w:ind w:firstLine="480" w:firstLineChars="200"/>
        <w:rPr>
          <w:rFonts w:hint="eastAsia" w:ascii="宋体" w:hAnsi="宋体"/>
          <w:sz w:val="24"/>
        </w:rPr>
      </w:pPr>
      <w:r>
        <w:rPr>
          <w:rFonts w:hint="eastAsia" w:ascii="宋体" w:hAnsi="宋体"/>
          <w:sz w:val="24"/>
        </w:rPr>
        <w:t>（11）在主井井口应设防火铁门，以防止地面火灾波及井下，防火铁门设置必须密封可靠，在平时不影响通风和运输。</w:t>
      </w:r>
    </w:p>
    <w:p w14:paraId="2BE56AC9">
      <w:pPr>
        <w:spacing w:line="360" w:lineRule="auto"/>
        <w:ind w:firstLine="480" w:firstLineChars="200"/>
        <w:rPr>
          <w:rFonts w:hint="eastAsia" w:ascii="宋体" w:hAnsi="宋体"/>
          <w:sz w:val="24"/>
        </w:rPr>
      </w:pPr>
      <w:r>
        <w:rPr>
          <w:rFonts w:hint="eastAsia" w:ascii="宋体" w:hAnsi="宋体"/>
          <w:sz w:val="24"/>
        </w:rPr>
        <w:t>（12）井下放炮必须严格按《煤矿安全规程》的下列规定执行，防止放炮引发火灾。</w:t>
      </w:r>
    </w:p>
    <w:p w14:paraId="4D41F210">
      <w:pPr>
        <w:spacing w:line="360" w:lineRule="auto"/>
        <w:ind w:firstLine="480" w:firstLineChars="200"/>
        <w:rPr>
          <w:rFonts w:ascii="宋体" w:hAnsi="宋体"/>
          <w:sz w:val="24"/>
        </w:rPr>
      </w:pPr>
      <w:r>
        <w:rPr>
          <w:rFonts w:hint="eastAsia" w:ascii="宋体" w:hAnsi="宋体"/>
          <w:sz w:val="24"/>
        </w:rPr>
        <w:t>1）采、掘工作面部必须使用取得产品许可证的煤矿许用炸药和煤矿许用雷管。使用煤矿许用毫秒电雷管时，最后一段的延期时间不得超过</w:t>
      </w:r>
      <w:r>
        <w:rPr>
          <w:rFonts w:ascii="宋体" w:hAnsi="宋体"/>
          <w:sz w:val="24"/>
        </w:rPr>
        <w:t>130</w:t>
      </w:r>
      <w:r>
        <w:rPr>
          <w:rFonts w:hint="eastAsia" w:ascii="宋体" w:hAnsi="宋体"/>
          <w:sz w:val="24"/>
        </w:rPr>
        <w:t>毫秒。</w:t>
      </w:r>
    </w:p>
    <w:p w14:paraId="00B993C4">
      <w:pPr>
        <w:spacing w:line="360" w:lineRule="auto"/>
        <w:ind w:firstLine="480" w:firstLineChars="200"/>
        <w:rPr>
          <w:rFonts w:ascii="宋体" w:hAnsi="宋体"/>
          <w:sz w:val="24"/>
        </w:rPr>
      </w:pPr>
      <w:r>
        <w:rPr>
          <w:rFonts w:hint="eastAsia" w:ascii="宋体" w:hAnsi="宋体"/>
          <w:sz w:val="24"/>
        </w:rPr>
        <w:t>2）采、掘工作面应采用毫秒爆破。在掘进工作面必须全断面起爆，在采煤工作面严禁使用</w:t>
      </w:r>
      <w:r>
        <w:rPr>
          <w:rFonts w:ascii="宋体" w:hAnsi="宋体"/>
          <w:sz w:val="24"/>
        </w:rPr>
        <w:t>2</w:t>
      </w:r>
      <w:r>
        <w:rPr>
          <w:rFonts w:hint="eastAsia" w:ascii="宋体" w:hAnsi="宋体"/>
          <w:sz w:val="24"/>
        </w:rPr>
        <w:t>台放炮器同时进行放炮。</w:t>
      </w:r>
    </w:p>
    <w:p w14:paraId="42F4E16C">
      <w:pPr>
        <w:spacing w:line="360" w:lineRule="auto"/>
        <w:ind w:firstLine="480" w:firstLineChars="200"/>
        <w:rPr>
          <w:rFonts w:ascii="宋体" w:hAnsi="宋体"/>
          <w:sz w:val="24"/>
        </w:rPr>
      </w:pPr>
      <w:r>
        <w:rPr>
          <w:rFonts w:hint="eastAsia" w:ascii="宋体" w:hAnsi="宋体"/>
          <w:sz w:val="24"/>
        </w:rPr>
        <w:t>3）炮眼封泥应用水炮泥，水炮泥外剩余的炮眼部分，应用粘土炮泥封实。</w:t>
      </w:r>
    </w:p>
    <w:p w14:paraId="2AF0D053">
      <w:pPr>
        <w:spacing w:line="360" w:lineRule="auto"/>
        <w:ind w:firstLine="480" w:firstLineChars="200"/>
        <w:rPr>
          <w:rFonts w:ascii="宋体" w:hAnsi="宋体"/>
          <w:sz w:val="24"/>
        </w:rPr>
      </w:pPr>
      <w:r>
        <w:rPr>
          <w:rFonts w:hint="eastAsia" w:ascii="宋体" w:hAnsi="宋体"/>
          <w:sz w:val="24"/>
        </w:rPr>
        <w:t>4）炮眼封泥严禁用煤粉，块状材料或其它可燃性材料，无炮泥或不实的炮眼，严禁放炮。封泥长度必须符合《煤矿安全规程》第329条的规定。</w:t>
      </w:r>
    </w:p>
    <w:p w14:paraId="16407846">
      <w:pPr>
        <w:spacing w:line="360" w:lineRule="auto"/>
        <w:ind w:firstLine="480" w:firstLineChars="200"/>
        <w:rPr>
          <w:rFonts w:ascii="宋体" w:hAnsi="宋体"/>
          <w:sz w:val="24"/>
        </w:rPr>
      </w:pPr>
      <w:r>
        <w:rPr>
          <w:rFonts w:hint="eastAsia" w:ascii="宋体" w:hAnsi="宋体"/>
          <w:sz w:val="24"/>
        </w:rPr>
        <w:t>5）炮眼内发现异状、温度骤高骤低、有显著瓦斯涌出、煤岩松散、透老空等情况时，不准装药放炮。</w:t>
      </w:r>
    </w:p>
    <w:p w14:paraId="4C457D7B">
      <w:pPr>
        <w:spacing w:line="360" w:lineRule="auto"/>
        <w:ind w:firstLine="480" w:firstLineChars="200"/>
        <w:rPr>
          <w:rFonts w:ascii="宋体" w:hAnsi="宋体"/>
          <w:sz w:val="24"/>
        </w:rPr>
      </w:pPr>
      <w:r>
        <w:rPr>
          <w:rFonts w:hint="eastAsia" w:ascii="宋体" w:hAnsi="宋体"/>
          <w:sz w:val="24"/>
        </w:rPr>
        <w:t>6）放炮母线、连接线和电雷管脚线必须相互扭紧并悬挂，不得同轨道、金属管、钢丝绳、刮板运输机等导电体相接触。严禁使用固定放炮母线。</w:t>
      </w:r>
    </w:p>
    <w:p w14:paraId="5E36EAB4">
      <w:pPr>
        <w:spacing w:line="360" w:lineRule="auto"/>
        <w:ind w:firstLine="480" w:firstLineChars="200"/>
        <w:rPr>
          <w:rFonts w:ascii="宋体" w:hAnsi="宋体"/>
          <w:sz w:val="24"/>
        </w:rPr>
      </w:pPr>
      <w:r>
        <w:rPr>
          <w:rFonts w:hint="eastAsia" w:ascii="宋体" w:hAnsi="宋体"/>
          <w:sz w:val="24"/>
        </w:rPr>
        <w:t>7）在放炮地点</w:t>
      </w:r>
      <w:r>
        <w:rPr>
          <w:rFonts w:ascii="宋体" w:hAnsi="宋体"/>
          <w:sz w:val="24"/>
        </w:rPr>
        <w:t>20m</w:t>
      </w:r>
      <w:r>
        <w:rPr>
          <w:rFonts w:hint="eastAsia" w:ascii="宋体" w:hAnsi="宋体"/>
          <w:sz w:val="24"/>
        </w:rPr>
        <w:t>内，有矿车、未清除的煤、矸或其它物体阻塞巷道</w:t>
      </w:r>
      <w:r>
        <w:rPr>
          <w:rFonts w:ascii="宋体" w:hAnsi="宋体"/>
          <w:sz w:val="24"/>
        </w:rPr>
        <w:t>1</w:t>
      </w:r>
      <w:r>
        <w:rPr>
          <w:rFonts w:hint="eastAsia" w:ascii="宋体" w:hAnsi="宋体"/>
          <w:sz w:val="24"/>
        </w:rPr>
        <w:t>/</w:t>
      </w:r>
      <w:r>
        <w:rPr>
          <w:rFonts w:ascii="宋体" w:hAnsi="宋体"/>
          <w:sz w:val="24"/>
        </w:rPr>
        <w:t>3</w:t>
      </w:r>
      <w:r>
        <w:rPr>
          <w:rFonts w:hint="eastAsia" w:ascii="宋体" w:hAnsi="宋体"/>
          <w:sz w:val="24"/>
        </w:rPr>
        <w:t>以上时，不准装药放炮。</w:t>
      </w:r>
    </w:p>
    <w:p w14:paraId="3A8417E3">
      <w:pPr>
        <w:spacing w:line="360" w:lineRule="auto"/>
        <w:ind w:firstLine="480" w:firstLineChars="200"/>
        <w:rPr>
          <w:rFonts w:ascii="宋体" w:hAnsi="宋体"/>
          <w:sz w:val="24"/>
        </w:rPr>
      </w:pPr>
      <w:r>
        <w:rPr>
          <w:rFonts w:hint="eastAsia" w:ascii="宋体" w:hAnsi="宋体"/>
          <w:sz w:val="24"/>
        </w:rPr>
        <w:t>8）处理瞎炮</w:t>
      </w:r>
      <w:r>
        <w:rPr>
          <w:rFonts w:ascii="宋体" w:hAnsi="宋体"/>
          <w:sz w:val="24"/>
        </w:rPr>
        <w:t>(</w:t>
      </w:r>
      <w:r>
        <w:rPr>
          <w:rFonts w:hint="eastAsia" w:ascii="宋体" w:hAnsi="宋体"/>
          <w:sz w:val="24"/>
        </w:rPr>
        <w:t>包括残炮</w:t>
      </w:r>
      <w:r>
        <w:rPr>
          <w:rFonts w:ascii="宋体" w:hAnsi="宋体"/>
          <w:sz w:val="24"/>
        </w:rPr>
        <w:t>)</w:t>
      </w:r>
      <w:r>
        <w:rPr>
          <w:rFonts w:hint="eastAsia" w:ascii="宋体" w:hAnsi="宋体"/>
          <w:sz w:val="24"/>
        </w:rPr>
        <w:t>必须在班组长直接指导下进行，并应在当班处理完毕。如果当班未能处理完毕，放炮员必须同下一班放炮员在现场交接清楚。</w:t>
      </w:r>
    </w:p>
    <w:p w14:paraId="753175C9">
      <w:pPr>
        <w:spacing w:line="360" w:lineRule="auto"/>
        <w:ind w:firstLine="480" w:firstLineChars="200"/>
        <w:rPr>
          <w:rFonts w:ascii="宋体" w:hAnsi="宋体"/>
          <w:sz w:val="24"/>
        </w:rPr>
      </w:pPr>
      <w:r>
        <w:rPr>
          <w:rFonts w:hint="eastAsia" w:ascii="宋体" w:hAnsi="宋体"/>
          <w:sz w:val="24"/>
        </w:rPr>
        <w:t>9）放炮时，应采用正向起爆。</w:t>
      </w:r>
    </w:p>
    <w:p w14:paraId="17D845C9">
      <w:pPr>
        <w:spacing w:line="360" w:lineRule="auto"/>
        <w:ind w:firstLine="480" w:firstLineChars="200"/>
        <w:rPr>
          <w:rFonts w:hint="eastAsia" w:ascii="宋体" w:hAnsi="宋体"/>
          <w:sz w:val="24"/>
        </w:rPr>
      </w:pPr>
      <w:r>
        <w:rPr>
          <w:rFonts w:hint="eastAsia" w:ascii="宋体" w:hAnsi="宋体"/>
          <w:sz w:val="24"/>
        </w:rPr>
        <w:t>10）放炮必须严格执行</w:t>
      </w:r>
      <w:r>
        <w:rPr>
          <w:rFonts w:ascii="宋体" w:hAnsi="宋体"/>
          <w:sz w:val="24"/>
        </w:rPr>
        <w:t>“</w:t>
      </w:r>
      <w:r>
        <w:rPr>
          <w:rFonts w:hint="eastAsia" w:ascii="宋体" w:hAnsi="宋体"/>
          <w:sz w:val="24"/>
        </w:rPr>
        <w:t>一炮三检查</w:t>
      </w:r>
      <w:r>
        <w:rPr>
          <w:rFonts w:ascii="宋体" w:hAnsi="宋体"/>
          <w:sz w:val="24"/>
        </w:rPr>
        <w:t>”(</w:t>
      </w:r>
      <w:r>
        <w:rPr>
          <w:rFonts w:hint="eastAsia" w:ascii="宋体" w:hAnsi="宋体"/>
          <w:sz w:val="24"/>
        </w:rPr>
        <w:t>装药前、放炮前、放炮后</w:t>
      </w:r>
      <w:r>
        <w:rPr>
          <w:rFonts w:ascii="宋体" w:hAnsi="宋体"/>
          <w:sz w:val="24"/>
        </w:rPr>
        <w:t>)</w:t>
      </w:r>
      <w:r>
        <w:rPr>
          <w:rFonts w:hint="eastAsia" w:ascii="宋体" w:hAnsi="宋体"/>
          <w:sz w:val="24"/>
        </w:rPr>
        <w:t>和</w:t>
      </w:r>
      <w:r>
        <w:rPr>
          <w:rFonts w:ascii="宋体" w:hAnsi="宋体"/>
          <w:sz w:val="24"/>
        </w:rPr>
        <w:t>“</w:t>
      </w:r>
      <w:r>
        <w:rPr>
          <w:rFonts w:hint="eastAsia" w:ascii="宋体" w:hAnsi="宋体"/>
          <w:sz w:val="24"/>
        </w:rPr>
        <w:t>三人连锁放炮</w:t>
      </w:r>
      <w:r>
        <w:rPr>
          <w:rFonts w:ascii="宋体" w:hAnsi="宋体"/>
          <w:sz w:val="24"/>
        </w:rPr>
        <w:t>”(</w:t>
      </w:r>
      <w:r>
        <w:rPr>
          <w:rFonts w:hint="eastAsia" w:ascii="宋体" w:hAnsi="宋体"/>
          <w:sz w:val="24"/>
        </w:rPr>
        <w:t>放炮员、班组长、瓦检员</w:t>
      </w:r>
      <w:r>
        <w:rPr>
          <w:rFonts w:ascii="宋体" w:hAnsi="宋体"/>
          <w:sz w:val="24"/>
        </w:rPr>
        <w:t>)</w:t>
      </w:r>
      <w:r>
        <w:rPr>
          <w:rFonts w:hint="eastAsia" w:ascii="宋体" w:hAnsi="宋体"/>
          <w:sz w:val="24"/>
        </w:rPr>
        <w:t>制度，严禁采用糊炮、明火放炮和一次装药多次放炮。</w:t>
      </w:r>
    </w:p>
    <w:p w14:paraId="0672FE82">
      <w:pPr>
        <w:spacing w:line="360" w:lineRule="auto"/>
        <w:ind w:firstLine="480" w:firstLineChars="200"/>
        <w:rPr>
          <w:rFonts w:hint="eastAsia" w:ascii="宋体" w:hAnsi="宋体"/>
          <w:sz w:val="24"/>
        </w:rPr>
      </w:pPr>
      <w:r>
        <w:rPr>
          <w:rFonts w:hint="eastAsia" w:ascii="宋体" w:hAnsi="宋体"/>
          <w:sz w:val="24"/>
        </w:rPr>
        <w:t>（13）为防止地面雷电导入井下，必须在通往井下的轨道，管路在井口附近设可靠接地保护装置。</w:t>
      </w:r>
    </w:p>
    <w:p w14:paraId="3F7333FC">
      <w:pPr>
        <w:spacing w:line="360" w:lineRule="auto"/>
        <w:ind w:firstLine="480" w:firstLineChars="200"/>
        <w:rPr>
          <w:rFonts w:hint="eastAsia" w:ascii="宋体" w:hAnsi="宋体"/>
          <w:sz w:val="24"/>
        </w:rPr>
      </w:pPr>
      <w:r>
        <w:rPr>
          <w:rFonts w:hint="eastAsia" w:ascii="宋体" w:hAnsi="宋体"/>
          <w:sz w:val="24"/>
        </w:rPr>
        <w:t>井下低压系统同时存在2种或2种以上电压时，低压电气设备上应标明其电压额定值。</w:t>
      </w:r>
    </w:p>
    <w:p w14:paraId="1C2E2818">
      <w:pPr>
        <w:spacing w:line="360" w:lineRule="auto"/>
        <w:ind w:firstLine="480" w:firstLineChars="200"/>
        <w:rPr>
          <w:rFonts w:hint="eastAsia" w:ascii="宋体" w:hAnsi="宋体"/>
          <w:sz w:val="24"/>
        </w:rPr>
      </w:pPr>
      <w:r>
        <w:rPr>
          <w:rFonts w:hint="eastAsia" w:ascii="宋体" w:hAnsi="宋体"/>
          <w:sz w:val="24"/>
        </w:rPr>
        <w:t>（14）严格实行明火管制，建立健全明火管理制度，切实做到：</w:t>
      </w:r>
    </w:p>
    <w:p w14:paraId="767E691F">
      <w:pPr>
        <w:spacing w:line="360" w:lineRule="auto"/>
        <w:ind w:firstLine="480" w:firstLineChars="200"/>
        <w:rPr>
          <w:rFonts w:hint="eastAsia" w:ascii="宋体" w:hAnsi="宋体"/>
          <w:sz w:val="24"/>
        </w:rPr>
      </w:pPr>
      <w:r>
        <w:rPr>
          <w:rFonts w:hint="eastAsia" w:ascii="宋体" w:hAnsi="宋体"/>
          <w:sz w:val="24"/>
        </w:rPr>
        <w:t>1）严禁携带明火下井。</w:t>
      </w:r>
    </w:p>
    <w:p w14:paraId="0E5EFD2D">
      <w:pPr>
        <w:spacing w:line="360" w:lineRule="auto"/>
        <w:ind w:firstLine="480" w:firstLineChars="200"/>
        <w:rPr>
          <w:rFonts w:hint="eastAsia" w:ascii="宋体" w:hAnsi="宋体"/>
          <w:sz w:val="24"/>
        </w:rPr>
      </w:pPr>
      <w:r>
        <w:rPr>
          <w:rFonts w:hint="eastAsia" w:ascii="宋体" w:hAnsi="宋体"/>
          <w:sz w:val="24"/>
        </w:rPr>
        <w:t>2）工业广场内的进、回风井口20m内严禁烟火。</w:t>
      </w:r>
    </w:p>
    <w:p w14:paraId="40838906">
      <w:pPr>
        <w:spacing w:line="360" w:lineRule="auto"/>
        <w:ind w:firstLine="480" w:firstLineChars="200"/>
        <w:rPr>
          <w:rFonts w:hint="eastAsia" w:ascii="宋体" w:hAnsi="宋体"/>
          <w:sz w:val="24"/>
        </w:rPr>
      </w:pPr>
      <w:r>
        <w:rPr>
          <w:rFonts w:hint="eastAsia" w:ascii="宋体" w:hAnsi="宋体"/>
          <w:sz w:val="24"/>
        </w:rPr>
        <w:t>3）井下严禁使用电炉。</w:t>
      </w:r>
    </w:p>
    <w:p w14:paraId="290A9D3B">
      <w:pPr>
        <w:spacing w:line="360" w:lineRule="auto"/>
        <w:ind w:firstLine="480" w:firstLineChars="200"/>
        <w:rPr>
          <w:rFonts w:hint="eastAsia" w:ascii="宋体" w:hAnsi="宋体"/>
          <w:sz w:val="24"/>
        </w:rPr>
      </w:pPr>
      <w:r>
        <w:rPr>
          <w:rFonts w:hint="eastAsia" w:ascii="宋体" w:hAnsi="宋体"/>
          <w:sz w:val="24"/>
        </w:rPr>
        <w:t>4）井下严禁使用灯泡取暖。</w:t>
      </w:r>
    </w:p>
    <w:p w14:paraId="2DCB3AAD">
      <w:pPr>
        <w:spacing w:line="360" w:lineRule="auto"/>
        <w:ind w:firstLine="480" w:firstLineChars="200"/>
        <w:rPr>
          <w:rFonts w:hint="eastAsia" w:ascii="宋体" w:hAnsi="宋体"/>
          <w:sz w:val="24"/>
        </w:rPr>
      </w:pPr>
      <w:r>
        <w:rPr>
          <w:rFonts w:hint="eastAsia" w:ascii="宋体" w:hAnsi="宋体"/>
          <w:sz w:val="24"/>
        </w:rPr>
        <w:t>5）井口和井下电气设备必须有防雷击和防短路的保护装置。</w:t>
      </w:r>
    </w:p>
    <w:p w14:paraId="00B0397B">
      <w:pPr>
        <w:spacing w:line="360" w:lineRule="auto"/>
        <w:ind w:firstLine="480" w:firstLineChars="200"/>
        <w:rPr>
          <w:rFonts w:hint="eastAsia" w:ascii="宋体" w:hAnsi="宋体"/>
          <w:sz w:val="24"/>
        </w:rPr>
      </w:pPr>
      <w:r>
        <w:rPr>
          <w:rFonts w:hint="eastAsia" w:ascii="宋体" w:hAnsi="宋体"/>
          <w:sz w:val="24"/>
        </w:rPr>
        <w:t>6）井下电焊、气焊作业必须按《规程》规定进行。</w:t>
      </w:r>
    </w:p>
    <w:p w14:paraId="16386F4E">
      <w:pPr>
        <w:spacing w:line="360" w:lineRule="auto"/>
        <w:ind w:firstLine="480" w:firstLineChars="200"/>
        <w:rPr>
          <w:rFonts w:hint="eastAsia" w:ascii="宋体" w:hAnsi="宋体"/>
          <w:sz w:val="24"/>
        </w:rPr>
      </w:pPr>
      <w:r>
        <w:rPr>
          <w:rFonts w:hint="eastAsia" w:ascii="宋体" w:hAnsi="宋体"/>
          <w:sz w:val="24"/>
        </w:rPr>
        <w:t>7）严禁使用产生火焰的爆炸器材和爆破工艺。</w:t>
      </w:r>
    </w:p>
    <w:p w14:paraId="2F3DDD94">
      <w:pPr>
        <w:spacing w:line="360" w:lineRule="auto"/>
        <w:ind w:firstLine="480" w:firstLineChars="200"/>
        <w:rPr>
          <w:rFonts w:hint="eastAsia" w:ascii="宋体" w:hAnsi="宋体"/>
          <w:sz w:val="24"/>
        </w:rPr>
      </w:pPr>
      <w:r>
        <w:rPr>
          <w:rFonts w:hint="eastAsia" w:ascii="宋体" w:hAnsi="宋体"/>
          <w:sz w:val="24"/>
        </w:rPr>
        <w:t>8）严格火区管理。</w:t>
      </w:r>
    </w:p>
    <w:p w14:paraId="48177CA5">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（三）其它火灾的防治措施及装备</w:t>
      </w:r>
    </w:p>
    <w:p w14:paraId="36105BE7">
      <w:pPr>
        <w:spacing w:line="360" w:lineRule="auto"/>
        <w:ind w:firstLine="480" w:firstLineChars="200"/>
        <w:rPr>
          <w:rFonts w:hint="eastAsia" w:ascii="宋体" w:hAnsi="宋体"/>
          <w:sz w:val="24"/>
        </w:rPr>
      </w:pPr>
      <w:r>
        <w:rPr>
          <w:rFonts w:hint="eastAsia" w:ascii="宋体" w:hAnsi="宋体"/>
          <w:sz w:val="24"/>
        </w:rPr>
        <w:t>预防矿井火灾的一般规定</w:t>
      </w:r>
    </w:p>
    <w:p w14:paraId="29802E3F">
      <w:pPr>
        <w:spacing w:line="360" w:lineRule="auto"/>
        <w:ind w:firstLine="480" w:firstLineChars="200"/>
        <w:rPr>
          <w:rFonts w:hint="eastAsia" w:ascii="宋体" w:hAnsi="宋体"/>
          <w:sz w:val="24"/>
        </w:rPr>
      </w:pPr>
      <w:r>
        <w:rPr>
          <w:rFonts w:hint="eastAsia" w:ascii="宋体" w:hAnsi="宋体"/>
          <w:sz w:val="24"/>
        </w:rPr>
        <w:t>1、地面必须设置消防水池，经常保持不少于200m</w:t>
      </w:r>
      <w:r>
        <w:rPr>
          <w:rFonts w:hint="eastAsia" w:ascii="宋体" w:hAnsi="宋体"/>
          <w:sz w:val="24"/>
          <w:vertAlign w:val="superscript"/>
        </w:rPr>
        <w:t>3</w:t>
      </w:r>
      <w:r>
        <w:rPr>
          <w:rFonts w:hint="eastAsia" w:ascii="宋体" w:hAnsi="宋体"/>
          <w:sz w:val="24"/>
        </w:rPr>
        <w:t>的水量；设置消防材料库，与副平硐轨道直接相连，以便于消防材料运输。</w:t>
      </w:r>
    </w:p>
    <w:p w14:paraId="12BC1E01">
      <w:pPr>
        <w:spacing w:line="360" w:lineRule="auto"/>
        <w:ind w:firstLine="480" w:firstLineChars="200"/>
        <w:rPr>
          <w:rFonts w:hint="eastAsia" w:ascii="宋体" w:hAnsi="宋体"/>
          <w:sz w:val="24"/>
        </w:rPr>
      </w:pPr>
      <w:r>
        <w:rPr>
          <w:rFonts w:hint="eastAsia" w:ascii="宋体" w:hAnsi="宋体"/>
          <w:sz w:val="24"/>
        </w:rPr>
        <w:t>2、井口房和通风机房附近20m内不得有烟火或用火炉取暖；</w:t>
      </w:r>
    </w:p>
    <w:p w14:paraId="45E1E26E">
      <w:pPr>
        <w:spacing w:line="360" w:lineRule="auto"/>
        <w:ind w:firstLine="480" w:firstLineChars="200"/>
        <w:rPr>
          <w:rFonts w:hint="eastAsia" w:ascii="宋体" w:hAnsi="宋体"/>
          <w:sz w:val="24"/>
        </w:rPr>
      </w:pPr>
      <w:r>
        <w:rPr>
          <w:rFonts w:hint="eastAsia" w:ascii="宋体" w:hAnsi="宋体"/>
          <w:sz w:val="24"/>
        </w:rPr>
        <w:t>3、井下和井口房不得从事电焊、气焊和喷灯等焊接工作；</w:t>
      </w:r>
    </w:p>
    <w:p w14:paraId="34CEB619">
      <w:pPr>
        <w:spacing w:line="360" w:lineRule="auto"/>
        <w:ind w:firstLine="480" w:firstLineChars="200"/>
        <w:rPr>
          <w:rFonts w:hint="eastAsia" w:ascii="宋体" w:hAnsi="宋体"/>
          <w:sz w:val="24"/>
        </w:rPr>
      </w:pPr>
      <w:r>
        <w:rPr>
          <w:rFonts w:hint="eastAsia" w:ascii="宋体" w:hAnsi="宋体"/>
          <w:sz w:val="24"/>
        </w:rPr>
        <w:t>4、井下严禁吸烟；</w:t>
      </w:r>
    </w:p>
    <w:p w14:paraId="0B224E2F">
      <w:pPr>
        <w:spacing w:line="360" w:lineRule="auto"/>
        <w:ind w:firstLine="480" w:firstLineChars="200"/>
        <w:rPr>
          <w:rFonts w:hint="eastAsia" w:ascii="宋体" w:hAnsi="宋体"/>
          <w:sz w:val="24"/>
        </w:rPr>
      </w:pPr>
      <w:r>
        <w:rPr>
          <w:rFonts w:hint="eastAsia" w:ascii="宋体" w:hAnsi="宋体"/>
          <w:sz w:val="24"/>
        </w:rPr>
        <w:t>5、井下和硐室内不得存放汽油，煤油和变压器油，井下使用的润滑油、棉纱、布头和纸等，必须存在盖严的铁桶内。用过的棉纱、布头和纸等，必须存在盖严的铁桶内，由专人定期送地面处理；</w:t>
      </w:r>
    </w:p>
    <w:p w14:paraId="34BC99EF">
      <w:pPr>
        <w:spacing w:line="360" w:lineRule="auto"/>
        <w:ind w:firstLine="480" w:firstLineChars="200"/>
        <w:rPr>
          <w:rFonts w:hint="eastAsia" w:ascii="宋体" w:hAnsi="宋体"/>
          <w:sz w:val="24"/>
        </w:rPr>
      </w:pPr>
      <w:r>
        <w:rPr>
          <w:rFonts w:hint="eastAsia" w:ascii="宋体" w:hAnsi="宋体"/>
          <w:sz w:val="24"/>
        </w:rPr>
        <w:t>6、井下清洗风动工具，必须在专用硐室内进行，并必须用不燃性和无毒性洗涤剂；</w:t>
      </w:r>
    </w:p>
    <w:p w14:paraId="157CC68E">
      <w:pPr>
        <w:spacing w:line="360" w:lineRule="auto"/>
        <w:ind w:firstLine="480" w:firstLineChars="200"/>
        <w:rPr>
          <w:rFonts w:hint="eastAsia" w:ascii="宋体" w:hAnsi="宋体"/>
          <w:sz w:val="24"/>
        </w:rPr>
      </w:pPr>
      <w:r>
        <w:rPr>
          <w:rFonts w:hint="eastAsia" w:ascii="宋体" w:hAnsi="宋体"/>
          <w:sz w:val="24"/>
        </w:rPr>
        <w:t>7、井下严禁使用灯炮取暖和使用电炉；</w:t>
      </w:r>
    </w:p>
    <w:p w14:paraId="67881D8F">
      <w:pPr>
        <w:spacing w:line="360" w:lineRule="auto"/>
        <w:ind w:firstLine="480" w:firstLineChars="200"/>
        <w:rPr>
          <w:rFonts w:hint="eastAsia" w:ascii="宋体" w:hAnsi="宋体"/>
          <w:sz w:val="24"/>
        </w:rPr>
      </w:pPr>
      <w:r>
        <w:rPr>
          <w:rFonts w:hint="eastAsia" w:ascii="宋体" w:hAnsi="宋体"/>
          <w:sz w:val="24"/>
        </w:rPr>
        <w:t>8、所有井下工作人员都必须熟悉灭火器材的使用方法，并熟悉本职工作区域内灭火器材的存放地点。</w:t>
      </w:r>
    </w:p>
    <w:p w14:paraId="3F01E3FF">
      <w:pPr>
        <w:spacing w:line="360" w:lineRule="auto"/>
        <w:ind w:firstLine="480" w:firstLineChars="200"/>
        <w:rPr>
          <w:rFonts w:hint="eastAsia" w:ascii="宋体" w:hAnsi="宋体"/>
          <w:sz w:val="24"/>
        </w:rPr>
      </w:pPr>
      <w:r>
        <w:rPr>
          <w:rFonts w:hint="eastAsia" w:ascii="宋体" w:hAnsi="宋体"/>
          <w:sz w:val="24"/>
        </w:rPr>
        <w:t>9、矿灯房采用不燃性材料建筑；采用火炉取暖时，火炉间有单独的间隔和出口；通风要良好，严禁烟火，备有干粉灭火器和砂箱等灭火器材；充电装置要有可靠的充电稳压装置。</w:t>
      </w:r>
    </w:p>
    <w:p w14:paraId="631D9A29">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（四）发现矿井火灾的行动原则</w:t>
      </w:r>
    </w:p>
    <w:p w14:paraId="260577C7">
      <w:pPr>
        <w:spacing w:line="360" w:lineRule="auto"/>
        <w:ind w:firstLine="480" w:firstLineChars="200"/>
        <w:rPr>
          <w:rFonts w:hint="eastAsia" w:ascii="宋体" w:hAnsi="宋体"/>
          <w:sz w:val="24"/>
        </w:rPr>
      </w:pPr>
      <w:r>
        <w:rPr>
          <w:rFonts w:hint="eastAsia" w:ascii="宋体" w:hAnsi="宋体"/>
          <w:sz w:val="24"/>
        </w:rPr>
        <w:t>1、任何发现火灾时，应视火灾性质、通风和瓦斯情况，立即采取一切可能的方法直接灭火，控制火势，并迅速报告矿调度室。</w:t>
      </w:r>
    </w:p>
    <w:p w14:paraId="173BFC21">
      <w:pPr>
        <w:spacing w:line="360" w:lineRule="auto"/>
        <w:ind w:firstLine="480" w:firstLineChars="200"/>
        <w:rPr>
          <w:rFonts w:hint="eastAsia" w:ascii="宋体" w:hAnsi="宋体"/>
          <w:sz w:val="24"/>
        </w:rPr>
      </w:pPr>
      <w:r>
        <w:rPr>
          <w:rFonts w:hint="eastAsia" w:ascii="宋体" w:hAnsi="宋体"/>
          <w:sz w:val="24"/>
        </w:rPr>
        <w:t>在现场的区、队、班组长应依照灾害预防和处理计划的规定，将所有可能受火灾威协地区的人员撤离危险区域，并组织人员利用现场的一切工具和器材进行灭火。</w:t>
      </w:r>
    </w:p>
    <w:p w14:paraId="6689F088">
      <w:pPr>
        <w:spacing w:line="360" w:lineRule="auto"/>
        <w:ind w:firstLine="480" w:firstLineChars="200"/>
        <w:rPr>
          <w:rFonts w:hint="eastAsia" w:ascii="宋体" w:hAnsi="宋体"/>
          <w:sz w:val="24"/>
        </w:rPr>
      </w:pPr>
      <w:r>
        <w:rPr>
          <w:rFonts w:hint="eastAsia" w:ascii="宋体" w:hAnsi="宋体"/>
          <w:sz w:val="24"/>
        </w:rPr>
        <w:t>2、电气设备着火时，应首先切断电源。在切断电源前，只准使用不导电的灭火器材进行灭火。</w:t>
      </w:r>
    </w:p>
    <w:p w14:paraId="60A5E921">
      <w:pPr>
        <w:spacing w:line="360" w:lineRule="auto"/>
        <w:ind w:firstLine="480" w:firstLineChars="200"/>
        <w:rPr>
          <w:rFonts w:hint="eastAsia" w:ascii="宋体" w:hAnsi="宋体"/>
          <w:sz w:val="24"/>
        </w:rPr>
      </w:pPr>
      <w:r>
        <w:rPr>
          <w:rFonts w:hint="eastAsia" w:ascii="宋体" w:hAnsi="宋体"/>
          <w:sz w:val="24"/>
        </w:rPr>
        <w:t>3、回采工作面和掘进工作面一旦发生火灾，应立即组织人员进行灭火，在采取一切措施后不能扑灭火灾时，应立即在运输巷和回风巷以及掘进工作面出口构筑防火墙，防火墙四周伸入巷道壁不小于0.5m，防火墙厚度为0.5m，墙体之间用黄泥充填。矿主要技术负责人负责封闭火区的工作。</w:t>
      </w:r>
    </w:p>
    <w:p w14:paraId="685A90DF">
      <w:pPr>
        <w:spacing w:line="360" w:lineRule="auto"/>
        <w:ind w:firstLine="480" w:firstLineChars="200"/>
        <w:rPr>
          <w:rFonts w:hint="eastAsia" w:ascii="宋体" w:hAnsi="宋体"/>
          <w:sz w:val="24"/>
        </w:rPr>
      </w:pPr>
      <w:r>
        <w:rPr>
          <w:rFonts w:hint="eastAsia" w:ascii="宋体" w:hAnsi="宋体"/>
          <w:sz w:val="24"/>
        </w:rPr>
        <w:t>4、回采工作面灭火原则：</w:t>
      </w:r>
    </w:p>
    <w:p w14:paraId="5D24F1A9">
      <w:pPr>
        <w:spacing w:line="360" w:lineRule="auto"/>
        <w:ind w:firstLine="480" w:firstLineChars="200"/>
        <w:rPr>
          <w:rFonts w:hint="eastAsia" w:ascii="宋体" w:hAnsi="宋体"/>
          <w:sz w:val="24"/>
        </w:rPr>
      </w:pPr>
      <w:r>
        <w:rPr>
          <w:rFonts w:hint="eastAsia" w:ascii="宋体" w:hAnsi="宋体"/>
          <w:sz w:val="24"/>
        </w:rPr>
        <w:t>（1）从进风侧进行灭火，要有效地利用灭火器和防尘水管；</w:t>
      </w:r>
    </w:p>
    <w:p w14:paraId="615BF5BF">
      <w:pPr>
        <w:spacing w:line="360" w:lineRule="auto"/>
        <w:ind w:firstLine="480" w:firstLineChars="200"/>
        <w:rPr>
          <w:rFonts w:hint="eastAsia" w:ascii="宋体" w:hAnsi="宋体"/>
          <w:sz w:val="24"/>
        </w:rPr>
      </w:pPr>
      <w:r>
        <w:rPr>
          <w:rFonts w:hint="eastAsia" w:ascii="宋体" w:hAnsi="宋体"/>
          <w:sz w:val="24"/>
        </w:rPr>
        <w:t>（2）禁止在火源上方灭火，防止水蒸气伤人，也不能在火源下方灭火，防止火区塌落物伤人，要从侧面（即工作面或采空区方向）利用保护装置接近火源灭火；</w:t>
      </w:r>
    </w:p>
    <w:p w14:paraId="76C8AE5B">
      <w:pPr>
        <w:spacing w:line="360" w:lineRule="auto"/>
        <w:ind w:firstLine="480" w:firstLineChars="200"/>
        <w:rPr>
          <w:rFonts w:hint="eastAsia" w:ascii="宋体" w:hAnsi="宋体"/>
          <w:sz w:val="24"/>
        </w:rPr>
      </w:pPr>
      <w:r>
        <w:rPr>
          <w:rFonts w:hint="eastAsia" w:ascii="宋体" w:hAnsi="宋体"/>
          <w:sz w:val="24"/>
        </w:rPr>
        <w:t>（3）采煤工作面瓦斯燃烧时，要增大工作面风量，并利用干粉灭火器、砂子、岩粉等喷射灭火；</w:t>
      </w:r>
    </w:p>
    <w:p w14:paraId="7A91A7F3">
      <w:pPr>
        <w:spacing w:line="360" w:lineRule="auto"/>
        <w:ind w:firstLine="480" w:firstLineChars="200"/>
        <w:rPr>
          <w:rFonts w:hint="eastAsia" w:ascii="宋体" w:hAnsi="宋体"/>
          <w:sz w:val="24"/>
        </w:rPr>
      </w:pPr>
      <w:r>
        <w:rPr>
          <w:rFonts w:hint="eastAsia" w:ascii="宋体" w:hAnsi="宋体"/>
          <w:sz w:val="24"/>
        </w:rPr>
        <w:t>（4）在进风侧灭火难以取得效果时，可采取局部反风，从回风侧灭火，但进风侧要设置水幕，并将人员撤出；</w:t>
      </w:r>
    </w:p>
    <w:p w14:paraId="4CFE7D5D">
      <w:pPr>
        <w:spacing w:line="360" w:lineRule="auto"/>
        <w:ind w:firstLine="480" w:firstLineChars="200"/>
        <w:rPr>
          <w:rFonts w:hint="eastAsia" w:ascii="宋体" w:hAnsi="宋体"/>
          <w:sz w:val="24"/>
        </w:rPr>
      </w:pPr>
      <w:r>
        <w:rPr>
          <w:rFonts w:hint="eastAsia" w:ascii="宋体" w:hAnsi="宋体"/>
          <w:sz w:val="24"/>
        </w:rPr>
        <w:t>（5）采煤工作面回风巷着火时，必须采取有效方法，防止采空区瓦斯涌出和积聚；</w:t>
      </w:r>
    </w:p>
    <w:p w14:paraId="3E4E4C3D">
      <w:pPr>
        <w:spacing w:line="360" w:lineRule="auto"/>
        <w:ind w:firstLine="480" w:firstLineChars="200"/>
        <w:rPr>
          <w:rFonts w:hint="eastAsia" w:ascii="宋体" w:hAnsi="宋体"/>
          <w:sz w:val="24"/>
        </w:rPr>
      </w:pPr>
      <w:r>
        <w:rPr>
          <w:rFonts w:hint="eastAsia" w:ascii="宋体" w:hAnsi="宋体"/>
          <w:sz w:val="24"/>
        </w:rPr>
        <w:t>（6）用上述方法无效时，应采取隔绝的方法灭火。</w:t>
      </w:r>
    </w:p>
    <w:p w14:paraId="4ED0786D">
      <w:pPr>
        <w:spacing w:line="360" w:lineRule="auto"/>
        <w:ind w:firstLine="480" w:firstLineChars="200"/>
        <w:rPr>
          <w:rFonts w:hint="eastAsia" w:ascii="宋体" w:hAnsi="宋体"/>
          <w:sz w:val="24"/>
        </w:rPr>
      </w:pPr>
      <w:r>
        <w:rPr>
          <w:rFonts w:hint="eastAsia" w:ascii="宋体" w:hAnsi="宋体"/>
          <w:sz w:val="24"/>
        </w:rPr>
        <w:t>5、掘进工作面灭火原则：</w:t>
      </w:r>
    </w:p>
    <w:p w14:paraId="2DCD99FF">
      <w:pPr>
        <w:spacing w:line="360" w:lineRule="auto"/>
        <w:ind w:firstLine="480" w:firstLineChars="200"/>
        <w:rPr>
          <w:rFonts w:hint="eastAsia" w:ascii="宋体" w:hAnsi="宋体"/>
          <w:sz w:val="24"/>
        </w:rPr>
      </w:pPr>
      <w:r>
        <w:rPr>
          <w:rFonts w:hint="eastAsia" w:ascii="宋体" w:hAnsi="宋体"/>
          <w:sz w:val="24"/>
        </w:rPr>
        <w:t>（1）要保持巷道的通风原状，即风机停止运转的不要随便开启，风机开启运转的不要盲目停止；</w:t>
      </w:r>
    </w:p>
    <w:p w14:paraId="7E2DDDF5">
      <w:pPr>
        <w:spacing w:line="360" w:lineRule="auto"/>
        <w:ind w:firstLine="480" w:firstLineChars="200"/>
        <w:rPr>
          <w:rFonts w:hint="eastAsia" w:ascii="宋体" w:hAnsi="宋体"/>
          <w:sz w:val="24"/>
        </w:rPr>
      </w:pPr>
      <w:r>
        <w:rPr>
          <w:rFonts w:hint="eastAsia" w:ascii="宋体" w:hAnsi="宋体"/>
          <w:sz w:val="24"/>
        </w:rPr>
        <w:t>（2）如发火巷道有爆炸危险，则不得入内灭火，而要在远离火区的安全地点建筑密闭墙；</w:t>
      </w:r>
    </w:p>
    <w:p w14:paraId="7CC1C96B">
      <w:pPr>
        <w:spacing w:line="360" w:lineRule="auto"/>
        <w:ind w:firstLine="480" w:firstLineChars="200"/>
        <w:rPr>
          <w:rFonts w:hint="eastAsia" w:ascii="宋体" w:hAnsi="宋体"/>
          <w:sz w:val="24"/>
        </w:rPr>
      </w:pPr>
      <w:r>
        <w:rPr>
          <w:rFonts w:hint="eastAsia" w:ascii="宋体" w:hAnsi="宋体"/>
          <w:sz w:val="24"/>
        </w:rPr>
        <w:t>（3）火灾发生在煤巷迎头、瓦斯浓度不超过2％时，可在通风的情况下采用干粉灭火器、水等直接灭火，灭火后，必须仔细清查阴燃火点，防止复燃。如瓦斯浓度超过2％且仍在继续上升，要立即将人员撤到安全地点，远距离进行封闭；</w:t>
      </w:r>
    </w:p>
    <w:p w14:paraId="69D59187">
      <w:pPr>
        <w:spacing w:line="360" w:lineRule="auto"/>
        <w:ind w:firstLine="480" w:firstLineChars="200"/>
        <w:rPr>
          <w:rFonts w:hint="eastAsia" w:ascii="宋体" w:hAnsi="宋体"/>
          <w:sz w:val="24"/>
        </w:rPr>
      </w:pPr>
      <w:r>
        <w:rPr>
          <w:rFonts w:hint="eastAsia" w:ascii="宋体" w:hAnsi="宋体"/>
          <w:sz w:val="24"/>
        </w:rPr>
        <w:t>（4）火灾发生在煤巷的中段时，灭火过程中必须检测流向火源的瓦斯浓度，防止瓦斯经过火源点，如果情况不清应远距离封闭。如火灾发生在上山中段时，不得直接灭火，要在安全地点进行封闭；</w:t>
      </w:r>
    </w:p>
    <w:p w14:paraId="02603A10">
      <w:pPr>
        <w:spacing w:line="360" w:lineRule="auto"/>
        <w:ind w:firstLine="480" w:firstLineChars="200"/>
        <w:rPr>
          <w:rFonts w:hint="eastAsia" w:ascii="宋体" w:hAnsi="宋体"/>
          <w:sz w:val="24"/>
        </w:rPr>
      </w:pPr>
      <w:r>
        <w:rPr>
          <w:rFonts w:hint="eastAsia" w:ascii="宋体" w:hAnsi="宋体"/>
          <w:sz w:val="24"/>
        </w:rPr>
        <w:t>（5）煤巷发生火灾时，不管火源点在什么地点，如果局部通风机已经停止运转，在无需救人时，严禁进入灭火或侦察，而要立即撤出附近人员，远距离进行封闭；</w:t>
      </w:r>
    </w:p>
    <w:p w14:paraId="7AEAA245">
      <w:pPr>
        <w:spacing w:line="360" w:lineRule="auto"/>
        <w:ind w:firstLine="480" w:firstLineChars="200"/>
        <w:rPr>
          <w:rFonts w:hint="eastAsia" w:ascii="宋体" w:hAnsi="宋体"/>
          <w:sz w:val="24"/>
        </w:rPr>
      </w:pPr>
      <w:r>
        <w:rPr>
          <w:rFonts w:hint="eastAsia" w:ascii="宋体" w:hAnsi="宋体"/>
          <w:sz w:val="24"/>
        </w:rPr>
        <w:t>（6）火源在下山煤巷迎头时，若火源情况不清，一般不要进入直接灭火，应进行封闭。</w:t>
      </w:r>
    </w:p>
    <w:p w14:paraId="148CAAEF">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（五）用水灭火应注意的问题</w:t>
      </w:r>
    </w:p>
    <w:p w14:paraId="6654474C">
      <w:pPr>
        <w:spacing w:line="360" w:lineRule="auto"/>
        <w:ind w:firstLine="480" w:firstLineChars="200"/>
        <w:rPr>
          <w:rFonts w:hint="eastAsia" w:ascii="宋体" w:hAnsi="宋体"/>
          <w:sz w:val="24"/>
        </w:rPr>
      </w:pPr>
      <w:r>
        <w:rPr>
          <w:rFonts w:hint="eastAsia" w:ascii="宋体" w:hAnsi="宋体"/>
          <w:sz w:val="24"/>
        </w:rPr>
        <w:t>1、水是导电物质，不能用来扑灭带电的电气设备的火灾。</w:t>
      </w:r>
    </w:p>
    <w:p w14:paraId="242AE446">
      <w:pPr>
        <w:spacing w:line="360" w:lineRule="auto"/>
        <w:ind w:firstLine="480" w:firstLineChars="200"/>
        <w:rPr>
          <w:rFonts w:hint="eastAsia" w:ascii="宋体" w:hAnsi="宋体"/>
          <w:sz w:val="24"/>
        </w:rPr>
      </w:pPr>
      <w:r>
        <w:rPr>
          <w:rFonts w:hint="eastAsia" w:ascii="宋体" w:hAnsi="宋体"/>
          <w:sz w:val="24"/>
        </w:rPr>
        <w:t>2、水比油重，不能用水扑灭油类火灾。</w:t>
      </w:r>
    </w:p>
    <w:p w14:paraId="1E0A9FBE">
      <w:pPr>
        <w:spacing w:line="360" w:lineRule="auto"/>
        <w:ind w:firstLine="480" w:firstLineChars="200"/>
        <w:rPr>
          <w:rFonts w:hint="eastAsia" w:ascii="宋体" w:hAnsi="宋体"/>
          <w:sz w:val="24"/>
        </w:rPr>
      </w:pPr>
      <w:r>
        <w:rPr>
          <w:rFonts w:hint="eastAsia" w:ascii="宋体" w:hAnsi="宋体"/>
          <w:sz w:val="24"/>
        </w:rPr>
        <w:t>3、扑灭猛烈火灾时，不得将水直接射入火源中心，防止水蒸汽逆风而烫伤救火人员和发生水煤气爆炸。</w:t>
      </w:r>
    </w:p>
    <w:p w14:paraId="0A911364">
      <w:pPr>
        <w:spacing w:line="360" w:lineRule="auto"/>
        <w:ind w:firstLine="480" w:firstLineChars="200"/>
        <w:rPr>
          <w:rFonts w:hint="eastAsia" w:ascii="宋体" w:hAnsi="宋体"/>
          <w:sz w:val="24"/>
        </w:rPr>
      </w:pPr>
      <w:r>
        <w:rPr>
          <w:rFonts w:hint="eastAsia" w:ascii="宋体" w:hAnsi="宋体"/>
          <w:sz w:val="24"/>
        </w:rPr>
        <w:t>4、灭火水量必须充足，若水量不足，在高温下可分解为氢气和一氧化碳气体，有混合气体爆炸的危险。</w:t>
      </w:r>
    </w:p>
    <w:p w14:paraId="60EC1CC4">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（六）井下防火墙</w:t>
      </w:r>
    </w:p>
    <w:p w14:paraId="76399AC6">
      <w:pPr>
        <w:spacing w:line="360" w:lineRule="auto"/>
        <w:ind w:firstLine="480" w:firstLineChars="200"/>
        <w:rPr>
          <w:rFonts w:hint="eastAsia" w:ascii="宋体" w:hAnsi="宋体"/>
          <w:sz w:val="24"/>
        </w:rPr>
      </w:pPr>
      <w:r>
        <w:rPr>
          <w:rFonts w:hint="eastAsia" w:ascii="宋体" w:hAnsi="宋体"/>
          <w:sz w:val="24"/>
        </w:rPr>
        <w:t>1、封闭火区时，应尽量缩小封闭范围，并必须指定专人检查瓦斯、氧气、一氧化碳、煤尘以及其他有害气体和风向、风量的变化，还必须采取防止瓦斯、煤尘爆炸和人员的安全措施。</w:t>
      </w:r>
    </w:p>
    <w:p w14:paraId="33FBFC80">
      <w:pPr>
        <w:spacing w:line="360" w:lineRule="auto"/>
        <w:ind w:firstLine="480" w:firstLineChars="200"/>
        <w:rPr>
          <w:rFonts w:hint="eastAsia" w:ascii="宋体" w:hAnsi="宋体"/>
          <w:sz w:val="24"/>
        </w:rPr>
      </w:pPr>
      <w:r>
        <w:rPr>
          <w:rFonts w:hint="eastAsia" w:ascii="宋体" w:hAnsi="宋体"/>
          <w:sz w:val="24"/>
        </w:rPr>
        <w:t>2、永久性防火墙的管理应遵守下列规定：</w:t>
      </w:r>
    </w:p>
    <w:p w14:paraId="0DE4A7EB">
      <w:pPr>
        <w:spacing w:line="360" w:lineRule="auto"/>
        <w:ind w:firstLine="480" w:firstLineChars="200"/>
        <w:rPr>
          <w:rFonts w:hint="eastAsia" w:ascii="宋体" w:hAnsi="宋体"/>
          <w:sz w:val="24"/>
        </w:rPr>
      </w:pPr>
      <w:r>
        <w:rPr>
          <w:rFonts w:hint="eastAsia" w:ascii="宋体" w:hAnsi="宋体"/>
          <w:sz w:val="24"/>
        </w:rPr>
        <w:t>（1）每个防火墙附近必须设置栅栏、警标，禁止人员入内，并悬挂说明牌。</w:t>
      </w:r>
    </w:p>
    <w:p w14:paraId="71AD44E6">
      <w:pPr>
        <w:spacing w:line="360" w:lineRule="auto"/>
        <w:ind w:firstLine="480" w:firstLineChars="200"/>
        <w:rPr>
          <w:rFonts w:hint="eastAsia" w:ascii="宋体" w:hAnsi="宋体"/>
          <w:sz w:val="24"/>
        </w:rPr>
      </w:pPr>
      <w:r>
        <w:rPr>
          <w:rFonts w:hint="eastAsia" w:ascii="宋体" w:hAnsi="宋体"/>
          <w:sz w:val="24"/>
        </w:rPr>
        <w:t>（2）应定期测定和分析防火墙内的气体成分和空气温度。</w:t>
      </w:r>
    </w:p>
    <w:p w14:paraId="1BF8753E">
      <w:pPr>
        <w:spacing w:line="360" w:lineRule="auto"/>
        <w:ind w:firstLine="480" w:firstLineChars="200"/>
        <w:rPr>
          <w:rFonts w:hint="eastAsia" w:ascii="宋体" w:hAnsi="宋体"/>
          <w:sz w:val="24"/>
        </w:rPr>
      </w:pPr>
      <w:r>
        <w:rPr>
          <w:rFonts w:hint="eastAsia" w:ascii="宋体" w:hAnsi="宋体"/>
          <w:sz w:val="24"/>
        </w:rPr>
        <w:t>（3）必须定期检查防火墙外的空气温度、瓦斯浓度、防火墙内外空气压差以及防火墙墙体，发现封闭不严或有其他缺陷或火区异常变化时，必须采取措施及时处理。</w:t>
      </w:r>
    </w:p>
    <w:p w14:paraId="13F4E0C4">
      <w:pPr>
        <w:spacing w:line="360" w:lineRule="auto"/>
        <w:ind w:firstLine="480" w:firstLineChars="200"/>
        <w:rPr>
          <w:rFonts w:hint="eastAsia" w:ascii="宋体" w:hAnsi="宋体"/>
          <w:sz w:val="24"/>
        </w:rPr>
      </w:pPr>
      <w:r>
        <w:rPr>
          <w:rFonts w:hint="eastAsia" w:ascii="宋体" w:hAnsi="宋体"/>
          <w:sz w:val="24"/>
        </w:rPr>
        <w:t>（4）所有测定和检查的结果，必须记入防火记录簿。</w:t>
      </w:r>
    </w:p>
    <w:p w14:paraId="385D541F">
      <w:pPr>
        <w:spacing w:line="360" w:lineRule="auto"/>
        <w:ind w:firstLine="480" w:firstLineChars="200"/>
        <w:rPr>
          <w:rFonts w:hint="eastAsia" w:ascii="宋体" w:hAnsi="宋体"/>
          <w:sz w:val="24"/>
        </w:rPr>
      </w:pPr>
      <w:r>
        <w:rPr>
          <w:rFonts w:hint="eastAsia" w:ascii="宋体" w:hAnsi="宋体"/>
          <w:sz w:val="24"/>
        </w:rPr>
        <w:t>（5）矿井作大的风量调整时，应测定防火墙内气体成分和空气温度。</w:t>
      </w:r>
    </w:p>
    <w:p w14:paraId="5D3EBAD6">
      <w:pPr>
        <w:spacing w:line="360" w:lineRule="auto"/>
        <w:ind w:firstLine="480" w:firstLineChars="200"/>
        <w:rPr>
          <w:rFonts w:hint="eastAsia" w:ascii="宋体" w:hAnsi="宋体"/>
          <w:sz w:val="24"/>
        </w:rPr>
      </w:pPr>
      <w:r>
        <w:rPr>
          <w:rFonts w:hint="eastAsia" w:ascii="宋体" w:hAnsi="宋体"/>
          <w:sz w:val="24"/>
        </w:rPr>
        <w:t>（6）井下所有永久性防火墙都应有编号，并在火区位置关系图中注明。</w:t>
      </w:r>
    </w:p>
    <w:p w14:paraId="421F6C0F">
      <w:pPr>
        <w:spacing w:line="360" w:lineRule="auto"/>
        <w:ind w:firstLine="480" w:firstLineChars="200"/>
        <w:rPr>
          <w:rFonts w:hint="eastAsia" w:ascii="宋体" w:hAnsi="宋体"/>
          <w:sz w:val="24"/>
        </w:rPr>
      </w:pPr>
      <w:r>
        <w:rPr>
          <w:rFonts w:hint="eastAsia" w:ascii="宋体" w:hAnsi="宋体"/>
          <w:sz w:val="24"/>
        </w:rPr>
        <w:t>3、采空区的封闭防灭火措施：采煤工作面回采结束后，必须在45天内采用密闭墙进行永久封闭，密闭墙必须使用砖或粗料石和水泥砂浆砌筑，密闭墙两端必须伸入煤体200mm，墙厚不小于250mm，密闭墙必须对表面用水泥砂浆抹平，并标明施工日期、负责人、施工材料。对有水涌出的采空区，密闭墙必须设置反水槽。</w:t>
      </w:r>
    </w:p>
    <w:p w14:paraId="2670A572">
      <w:pPr>
        <w:spacing w:line="360" w:lineRule="auto"/>
        <w:ind w:firstLine="480" w:firstLineChars="200"/>
        <w:rPr>
          <w:rFonts w:hint="eastAsia" w:ascii="宋体" w:hAnsi="宋体"/>
          <w:sz w:val="24"/>
        </w:rPr>
      </w:pPr>
      <w:r>
        <w:rPr>
          <w:rFonts w:hint="eastAsia" w:ascii="宋体" w:hAnsi="宋体"/>
          <w:sz w:val="24"/>
        </w:rPr>
        <w:t>4、封闭、启封火区的要求</w:t>
      </w:r>
    </w:p>
    <w:p w14:paraId="7A817F98">
      <w:pPr>
        <w:spacing w:line="360" w:lineRule="auto"/>
        <w:ind w:firstLine="480" w:firstLineChars="200"/>
        <w:rPr>
          <w:rFonts w:hint="eastAsia" w:ascii="宋体" w:hAnsi="宋体"/>
          <w:sz w:val="24"/>
        </w:rPr>
      </w:pPr>
      <w:r>
        <w:rPr>
          <w:rFonts w:hint="eastAsia" w:ascii="宋体" w:hAnsi="宋体"/>
          <w:sz w:val="24"/>
        </w:rPr>
        <w:t>（1）封闭火区的要求</w:t>
      </w:r>
    </w:p>
    <w:p w14:paraId="23869828">
      <w:pPr>
        <w:spacing w:line="360" w:lineRule="auto"/>
        <w:ind w:firstLine="480" w:firstLineChars="200"/>
        <w:rPr>
          <w:rFonts w:hint="eastAsia" w:ascii="宋体" w:hAnsi="宋体"/>
          <w:sz w:val="24"/>
        </w:rPr>
      </w:pPr>
      <w:r>
        <w:rPr>
          <w:rFonts w:hint="eastAsia" w:ascii="宋体" w:hAnsi="宋体"/>
          <w:sz w:val="24"/>
        </w:rPr>
        <w:t>1）建立火区管理卡片，记录火灾发生地点、发生时间及其类别，火灾的地质、采矿简况，火区范围及已经采取的灭火措施等，并绘制火区位置关系图。</w:t>
      </w:r>
    </w:p>
    <w:p w14:paraId="34C93C09">
      <w:pPr>
        <w:spacing w:line="360" w:lineRule="auto"/>
        <w:ind w:firstLine="480" w:firstLineChars="200"/>
        <w:rPr>
          <w:rFonts w:hint="eastAsia" w:ascii="宋体" w:hAnsi="宋体"/>
          <w:sz w:val="24"/>
        </w:rPr>
      </w:pPr>
      <w:r>
        <w:rPr>
          <w:rFonts w:hint="eastAsia" w:ascii="宋体" w:hAnsi="宋体"/>
          <w:sz w:val="24"/>
        </w:rPr>
        <w:t>2）密闭墙附近设置棚栏并挂警示牌，设立记录板、记明墙内外瓦斯浓度、二氧化碳浓度、一氧化碳浓度、气温及出水温度、空气压差，检查日期及检查人姓名。</w:t>
      </w:r>
    </w:p>
    <w:p w14:paraId="56C0B08A">
      <w:pPr>
        <w:spacing w:line="360" w:lineRule="auto"/>
        <w:ind w:firstLine="480" w:firstLineChars="200"/>
        <w:rPr>
          <w:rFonts w:hint="eastAsia" w:ascii="宋体" w:hAnsi="宋体"/>
          <w:sz w:val="24"/>
        </w:rPr>
      </w:pPr>
      <w:r>
        <w:rPr>
          <w:rFonts w:hint="eastAsia" w:ascii="宋体" w:hAnsi="宋体"/>
          <w:sz w:val="24"/>
        </w:rPr>
        <w:t>3）封闭火区的密闭墙必须每天检查一次，发现急剧变化时，每班至少检查一次，一旦发现密闭不严或有其它缺陷时，应及时采取措施处理。</w:t>
      </w:r>
    </w:p>
    <w:p w14:paraId="0A85161D">
      <w:pPr>
        <w:spacing w:line="360" w:lineRule="auto"/>
        <w:ind w:firstLine="480" w:firstLineChars="200"/>
        <w:rPr>
          <w:rFonts w:hint="eastAsia" w:ascii="宋体" w:hAnsi="宋体"/>
          <w:sz w:val="24"/>
        </w:rPr>
      </w:pPr>
      <w:r>
        <w:rPr>
          <w:rFonts w:hint="eastAsia" w:ascii="宋体" w:hAnsi="宋体"/>
          <w:sz w:val="24"/>
        </w:rPr>
        <w:t>4）如果密闭墙漏风较多，应及时严密处理，如填粘土或砂浆，或压注胶结剂等。</w:t>
      </w:r>
    </w:p>
    <w:p w14:paraId="19EFBA2A">
      <w:pPr>
        <w:spacing w:line="360" w:lineRule="auto"/>
        <w:ind w:firstLine="480" w:firstLineChars="200"/>
        <w:rPr>
          <w:rFonts w:hint="eastAsia" w:ascii="宋体" w:hAnsi="宋体"/>
          <w:sz w:val="24"/>
        </w:rPr>
      </w:pPr>
      <w:r>
        <w:rPr>
          <w:rFonts w:hint="eastAsia" w:ascii="宋体" w:hAnsi="宋体"/>
          <w:sz w:val="24"/>
        </w:rPr>
        <w:t>（2）启封火区的要求：</w:t>
      </w:r>
    </w:p>
    <w:p w14:paraId="2A5E7E0C">
      <w:pPr>
        <w:spacing w:line="360" w:lineRule="auto"/>
        <w:ind w:firstLine="480" w:firstLineChars="200"/>
        <w:rPr>
          <w:rFonts w:hint="eastAsia" w:ascii="宋体" w:hAnsi="宋体"/>
          <w:sz w:val="24"/>
        </w:rPr>
      </w:pPr>
      <w:r>
        <w:rPr>
          <w:rFonts w:hint="eastAsia" w:ascii="宋体" w:hAnsi="宋体"/>
          <w:sz w:val="24"/>
        </w:rPr>
        <w:t>封闭的火区只有同时具备下列条件并经取样化验证实火已经熄灭后， 方可启封或注销。</w:t>
      </w:r>
    </w:p>
    <w:p w14:paraId="7B207F3A">
      <w:pPr>
        <w:spacing w:line="360" w:lineRule="auto"/>
        <w:ind w:firstLine="480" w:firstLineChars="200"/>
        <w:rPr>
          <w:rFonts w:hint="eastAsia" w:ascii="宋体" w:hAnsi="宋体"/>
          <w:sz w:val="24"/>
        </w:rPr>
      </w:pPr>
      <w:r>
        <w:rPr>
          <w:rFonts w:hint="eastAsia" w:ascii="宋体" w:hAnsi="宋体"/>
          <w:sz w:val="24"/>
        </w:rPr>
        <w:t>1）火区内的空气温度下降到30℃以下，或与火灾发生前该区的日常空气温度相同。</w:t>
      </w:r>
    </w:p>
    <w:p w14:paraId="76B50F12">
      <w:pPr>
        <w:spacing w:line="360" w:lineRule="auto"/>
        <w:ind w:firstLine="480" w:firstLineChars="200"/>
        <w:rPr>
          <w:rFonts w:hint="eastAsia" w:ascii="宋体" w:hAnsi="宋体"/>
          <w:sz w:val="24"/>
        </w:rPr>
      </w:pPr>
      <w:r>
        <w:rPr>
          <w:rFonts w:hint="eastAsia" w:ascii="宋体" w:hAnsi="宋体"/>
          <w:sz w:val="24"/>
        </w:rPr>
        <w:t>2）火区内空气中的氧气浓度降到5.0%以下。</w:t>
      </w:r>
    </w:p>
    <w:p w14:paraId="7D1AE6C0">
      <w:pPr>
        <w:spacing w:line="360" w:lineRule="auto"/>
        <w:ind w:firstLine="480" w:firstLineChars="200"/>
        <w:rPr>
          <w:rFonts w:hint="eastAsia" w:ascii="宋体" w:hAnsi="宋体"/>
          <w:sz w:val="24"/>
        </w:rPr>
      </w:pPr>
      <w:r>
        <w:rPr>
          <w:rFonts w:hint="eastAsia" w:ascii="宋体" w:hAnsi="宋体"/>
          <w:sz w:val="24"/>
        </w:rPr>
        <w:t>3）火区内空气中不含乙烯、乙炔，一氧化碳浓度在封闭期间内逐渐下降，并稳定在0.001%。</w:t>
      </w:r>
    </w:p>
    <w:p w14:paraId="2392AA63">
      <w:pPr>
        <w:spacing w:line="360" w:lineRule="auto"/>
        <w:ind w:firstLine="480" w:firstLineChars="200"/>
        <w:rPr>
          <w:rFonts w:hint="eastAsia" w:ascii="宋体" w:hAnsi="宋体"/>
          <w:sz w:val="24"/>
        </w:rPr>
      </w:pPr>
      <w:r>
        <w:rPr>
          <w:rFonts w:hint="eastAsia" w:ascii="宋体" w:hAnsi="宋体"/>
          <w:sz w:val="24"/>
        </w:rPr>
        <w:t>4）火区的出水温度低于25℃，或与火灾发生前的日常出水温度相同。</w:t>
      </w:r>
    </w:p>
    <w:p w14:paraId="30202882">
      <w:pPr>
        <w:spacing w:line="360" w:lineRule="auto"/>
        <w:ind w:firstLine="480" w:firstLineChars="200"/>
        <w:rPr>
          <w:rFonts w:hint="eastAsia" w:ascii="宋体" w:hAnsi="宋体"/>
          <w:sz w:val="24"/>
        </w:rPr>
      </w:pPr>
      <w:r>
        <w:rPr>
          <w:rFonts w:hint="eastAsia" w:ascii="宋体" w:hAnsi="宋体"/>
          <w:sz w:val="24"/>
        </w:rPr>
        <w:t>5）上述4项指标持续稳定的时间在1个月以上。</w:t>
      </w:r>
    </w:p>
    <w:p w14:paraId="1DCD384D">
      <w:pPr>
        <w:spacing w:line="360" w:lineRule="auto"/>
        <w:ind w:firstLine="480" w:firstLineChars="200"/>
        <w:rPr>
          <w:rFonts w:hint="eastAsia" w:ascii="宋体" w:hAnsi="宋体"/>
          <w:sz w:val="24"/>
        </w:rPr>
      </w:pPr>
      <w:r>
        <w:rPr>
          <w:rFonts w:hint="eastAsia" w:ascii="宋体" w:hAnsi="宋体"/>
          <w:sz w:val="24"/>
        </w:rPr>
        <w:t>启封已熄灭的火区前，必须制定安全措施。</w:t>
      </w:r>
    </w:p>
    <w:p w14:paraId="037486BF">
      <w:pPr>
        <w:spacing w:line="360" w:lineRule="auto"/>
        <w:ind w:firstLine="480" w:firstLineChars="200"/>
        <w:rPr>
          <w:rFonts w:hint="eastAsia" w:ascii="宋体" w:hAnsi="宋体"/>
          <w:sz w:val="24"/>
        </w:rPr>
      </w:pPr>
      <w:r>
        <w:rPr>
          <w:rFonts w:hint="eastAsia" w:ascii="宋体" w:hAnsi="宋体"/>
          <w:sz w:val="24"/>
        </w:rPr>
        <w:t>启封火区时，应逐段恢复通风，同时测定回风流中有无一氧化碳。发现复燃征兆时，必须立即停止向火区送风，并重新封闭火区。</w:t>
      </w:r>
    </w:p>
    <w:p w14:paraId="055C901D">
      <w:pPr>
        <w:spacing w:line="360" w:lineRule="auto"/>
        <w:ind w:firstLine="480" w:firstLineChars="200"/>
        <w:rPr>
          <w:rFonts w:hint="eastAsia" w:ascii="宋体" w:hAnsi="宋体"/>
          <w:sz w:val="24"/>
        </w:rPr>
      </w:pPr>
      <w:r>
        <w:rPr>
          <w:rFonts w:hint="eastAsia" w:ascii="宋体" w:hAnsi="宋体"/>
          <w:sz w:val="24"/>
        </w:rPr>
        <w:t>启封火区和恢复火区初期通风等工作，必须由矿山救护队负责进行，火区回风风流所经过巷道的人员必须全部撤出。</w:t>
      </w:r>
    </w:p>
    <w:p w14:paraId="5D152C48">
      <w:pPr>
        <w:spacing w:line="360" w:lineRule="auto"/>
        <w:ind w:firstLine="480" w:firstLineChars="200"/>
        <w:rPr>
          <w:rFonts w:hint="eastAsia" w:ascii="宋体" w:hAnsi="宋体"/>
          <w:sz w:val="24"/>
        </w:rPr>
      </w:pPr>
      <w:r>
        <w:rPr>
          <w:rFonts w:hint="eastAsia" w:ascii="宋体" w:hAnsi="宋体"/>
          <w:sz w:val="24"/>
        </w:rPr>
        <w:t>在启封火区工作完毕后的3天内，每班必须由矿山救护队检查通风工作，并测定水温、空气温度和空气成分。只有在确认火区完全熄灭、通风等情况良好后，方可进行生产工作。</w:t>
      </w:r>
    </w:p>
    <w:p w14:paraId="51E76118">
      <w:pPr>
        <w:spacing w:before="120" w:beforeLines="50" w:after="120" w:afterLines="50" w:line="360" w:lineRule="auto"/>
        <w:ind w:firstLine="482" w:firstLineChars="200"/>
        <w:rPr>
          <w:rFonts w:hint="eastAsia" w:ascii="宋体" w:hAnsi="宋体"/>
          <w:b/>
          <w:sz w:val="24"/>
        </w:rPr>
      </w:pPr>
      <w:r>
        <w:rPr>
          <w:rFonts w:hint="eastAsia" w:ascii="宋体" w:hAnsi="宋体"/>
          <w:b/>
          <w:sz w:val="24"/>
        </w:rPr>
        <w:t>（七）井下消防、洒水系统及灭火装置</w:t>
      </w:r>
    </w:p>
    <w:p w14:paraId="67E97CF4">
      <w:pPr>
        <w:adjustRightInd w:val="0"/>
        <w:snapToGrid w:val="0"/>
        <w:spacing w:line="360" w:lineRule="auto"/>
        <w:ind w:firstLine="480" w:firstLineChars="200"/>
        <w:rPr>
          <w:rFonts w:hint="eastAsia" w:ascii="宋体" w:hAnsi="宋体"/>
          <w:sz w:val="24"/>
        </w:rPr>
      </w:pPr>
      <w:r>
        <w:rPr>
          <w:rFonts w:hint="eastAsia" w:ascii="宋体" w:hAnsi="宋体"/>
          <w:sz w:val="24"/>
        </w:rPr>
        <w:t>井下设有完善的消防洒水管网，由地面消防洒水池静压供水，防尘洒水管路系统主要敷设在：</w:t>
      </w:r>
      <w:r>
        <w:rPr>
          <w:rFonts w:ascii="宋体" w:hAnsi="宋体"/>
          <w:sz w:val="24"/>
        </w:rPr>
        <w:t>①</w:t>
      </w:r>
      <w:r>
        <w:rPr>
          <w:rFonts w:hint="eastAsia" w:ascii="宋体" w:hAnsi="宋体"/>
          <w:sz w:val="24"/>
        </w:rPr>
        <w:t>采掘工作面，</w:t>
      </w:r>
      <w:r>
        <w:rPr>
          <w:rFonts w:ascii="宋体" w:hAnsi="宋体"/>
          <w:sz w:val="24"/>
        </w:rPr>
        <w:t>②</w:t>
      </w:r>
      <w:r>
        <w:rPr>
          <w:rFonts w:hint="eastAsia" w:ascii="宋体" w:hAnsi="宋体"/>
          <w:sz w:val="24"/>
        </w:rPr>
        <w:t>卸载点，</w:t>
      </w:r>
      <w:r>
        <w:rPr>
          <w:rFonts w:ascii="宋体" w:hAnsi="宋体"/>
          <w:sz w:val="24"/>
        </w:rPr>
        <w:t>③</w:t>
      </w:r>
      <w:r>
        <w:rPr>
          <w:rFonts w:hint="eastAsia" w:ascii="宋体" w:hAnsi="宋体"/>
          <w:sz w:val="24"/>
        </w:rPr>
        <w:t>装载点，</w:t>
      </w:r>
      <w:r>
        <w:rPr>
          <w:rFonts w:ascii="宋体" w:hAnsi="宋体"/>
          <w:sz w:val="24"/>
        </w:rPr>
        <w:t>④</w:t>
      </w:r>
      <w:r>
        <w:rPr>
          <w:rFonts w:hint="eastAsia" w:ascii="宋体" w:hAnsi="宋体"/>
          <w:sz w:val="24"/>
        </w:rPr>
        <w:t>运输系统，</w:t>
      </w:r>
      <w:r>
        <w:rPr>
          <w:rFonts w:ascii="宋体" w:hAnsi="宋体"/>
          <w:sz w:val="24"/>
        </w:rPr>
        <w:t>⑤</w:t>
      </w:r>
      <w:r>
        <w:rPr>
          <w:rFonts w:hint="eastAsia" w:ascii="宋体" w:hAnsi="宋体"/>
          <w:sz w:val="24"/>
        </w:rPr>
        <w:t>采煤工作面的进回风巷。井下按《煤矿安全规程》（2010版）的要求设置消防设施和喷雾降尘装置。</w:t>
      </w:r>
    </w:p>
    <w:p w14:paraId="530C0003">
      <w:pPr>
        <w:adjustRightInd w:val="0"/>
        <w:snapToGrid w:val="0"/>
        <w:spacing w:line="360" w:lineRule="auto"/>
        <w:ind w:firstLine="480" w:firstLineChars="200"/>
        <w:rPr>
          <w:rFonts w:hint="eastAsia" w:ascii="宋体" w:hAnsi="宋体"/>
          <w:sz w:val="24"/>
        </w:rPr>
      </w:pPr>
      <w:r>
        <w:rPr>
          <w:rFonts w:hint="eastAsia" w:ascii="宋体" w:hAnsi="宋体"/>
          <w:sz w:val="24"/>
        </w:rPr>
        <w:t>地面生活用水为一供水系统，井下消防、防尘用水为另一供水系统。在回风斜井口南东侧建300</w:t>
      </w:r>
      <w:r>
        <w:rPr>
          <w:rFonts w:ascii="宋体" w:hAnsi="宋体"/>
          <w:sz w:val="24"/>
        </w:rPr>
        <w:t>m</w:t>
      </w:r>
      <w:r>
        <w:rPr>
          <w:rFonts w:ascii="宋体" w:hAnsi="宋体"/>
          <w:sz w:val="24"/>
          <w:vertAlign w:val="superscript"/>
        </w:rPr>
        <w:t>3</w:t>
      </w:r>
      <w:r>
        <w:rPr>
          <w:rFonts w:hint="eastAsia" w:ascii="宋体" w:hAnsi="宋体"/>
          <w:sz w:val="24"/>
        </w:rPr>
        <w:t>消防、防尘水池一座（池底标高2015.0m）和</w:t>
      </w:r>
      <w:r>
        <w:rPr>
          <w:rFonts w:ascii="宋体" w:hAnsi="宋体"/>
          <w:sz w:val="24"/>
        </w:rPr>
        <w:t>100m</w:t>
      </w:r>
      <w:r>
        <w:rPr>
          <w:rFonts w:ascii="宋体" w:hAnsi="宋体"/>
          <w:sz w:val="24"/>
          <w:vertAlign w:val="superscript"/>
        </w:rPr>
        <w:t>3</w:t>
      </w:r>
      <w:r>
        <w:rPr>
          <w:rFonts w:hint="eastAsia" w:ascii="宋体" w:hAnsi="宋体"/>
          <w:sz w:val="24"/>
        </w:rPr>
        <w:t>生活、生产水池一座（池底标高2020.0m）。</w:t>
      </w:r>
    </w:p>
    <w:p w14:paraId="377432E0">
      <w:pPr>
        <w:adjustRightInd w:val="0"/>
        <w:snapToGrid w:val="0"/>
        <w:spacing w:line="360" w:lineRule="auto"/>
        <w:ind w:firstLine="480" w:firstLineChars="200"/>
        <w:rPr>
          <w:rFonts w:hint="eastAsia" w:ascii="宋体" w:hAnsi="宋体"/>
          <w:sz w:val="24"/>
        </w:rPr>
      </w:pPr>
      <w:r>
        <w:rPr>
          <w:rFonts w:hint="eastAsia" w:ascii="宋体" w:hAnsi="宋体"/>
          <w:sz w:val="24"/>
        </w:rPr>
        <w:t>由水源处各敷设DN102焊接钢管一条至生活、生产水池，再由100m</w:t>
      </w:r>
      <w:r>
        <w:rPr>
          <w:rFonts w:hint="eastAsia" w:ascii="宋体" w:hAnsi="宋体"/>
          <w:sz w:val="24"/>
          <w:vertAlign w:val="superscript"/>
        </w:rPr>
        <w:t>3</w:t>
      </w:r>
      <w:r>
        <w:rPr>
          <w:rFonts w:hint="eastAsia" w:ascii="宋体" w:hAnsi="宋体"/>
          <w:sz w:val="24"/>
        </w:rPr>
        <w:t>地面生活水池敷设DN80焊接钢管二趟至工业场地和生活区，100m</w:t>
      </w:r>
      <w:r>
        <w:rPr>
          <w:rFonts w:hint="eastAsia" w:ascii="宋体" w:hAnsi="宋体"/>
          <w:sz w:val="24"/>
          <w:vertAlign w:val="superscript"/>
        </w:rPr>
        <w:t>3</w:t>
      </w:r>
      <w:r>
        <w:rPr>
          <w:rFonts w:hint="eastAsia" w:ascii="宋体" w:hAnsi="宋体"/>
          <w:sz w:val="24"/>
        </w:rPr>
        <w:t>地面生活水池距工业场地的几何高差大于25m，以静压供水方式向工业场地及生活区供水。</w:t>
      </w:r>
    </w:p>
    <w:p w14:paraId="6067918A">
      <w:pPr>
        <w:adjustRightInd w:val="0"/>
        <w:snapToGrid w:val="0"/>
        <w:spacing w:line="360" w:lineRule="auto"/>
        <w:ind w:firstLine="480" w:firstLineChars="200"/>
        <w:rPr>
          <w:rFonts w:hint="eastAsia" w:ascii="宋体" w:hAnsi="宋体"/>
          <w:sz w:val="24"/>
        </w:rPr>
      </w:pPr>
      <w:r>
        <w:rPr>
          <w:rFonts w:hint="eastAsia" w:ascii="宋体" w:hAnsi="宋体"/>
          <w:sz w:val="24"/>
        </w:rPr>
        <w:t>由100m</w:t>
      </w:r>
      <w:r>
        <w:rPr>
          <w:rFonts w:hint="eastAsia" w:ascii="宋体" w:hAnsi="宋体"/>
          <w:sz w:val="24"/>
          <w:vertAlign w:val="superscript"/>
        </w:rPr>
        <w:t>3</w:t>
      </w:r>
      <w:r>
        <w:rPr>
          <w:rFonts w:hint="eastAsia" w:ascii="宋体" w:hAnsi="宋体"/>
          <w:sz w:val="24"/>
        </w:rPr>
        <w:t>地面生活水池敷设焊接钢管一条和井上下污水处理站敷设焊接钢管一条至井下消防、防尘水池，再由300m</w:t>
      </w:r>
      <w:r>
        <w:rPr>
          <w:rFonts w:ascii="宋体" w:hAnsi="宋体"/>
          <w:sz w:val="24"/>
          <w:vertAlign w:val="superscript"/>
        </w:rPr>
        <w:t>3</w:t>
      </w:r>
      <w:r>
        <w:rPr>
          <w:rFonts w:hint="eastAsia" w:ascii="宋体" w:hAnsi="宋体"/>
          <w:sz w:val="24"/>
        </w:rPr>
        <w:t>井下消防、防尘水池敷设DN120焊接钢管两趟至井下，因为消防水池的标高满足井下最高用水点几何高差35m的规定，所以采用静压供水方式向井下用水地点供水。</w:t>
      </w:r>
    </w:p>
    <w:p w14:paraId="3E05C45D">
      <w:pPr>
        <w:adjustRightInd w:val="0"/>
        <w:snapToGrid w:val="0"/>
        <w:spacing w:line="360" w:lineRule="auto"/>
        <w:ind w:firstLine="480" w:firstLineChars="200"/>
        <w:rPr>
          <w:rFonts w:hint="eastAsia" w:ascii="宋体" w:hAnsi="宋体"/>
          <w:sz w:val="24"/>
        </w:rPr>
      </w:pPr>
      <w:r>
        <w:rPr>
          <w:rFonts w:hint="eastAsia" w:ascii="宋体" w:hAnsi="宋体"/>
          <w:sz w:val="24"/>
        </w:rPr>
        <w:t>井下消防、防尘水管规格：主管为120mm；消防、防尘在工作面运输及回风巷铺设DN50mm消防洒水支管。在主要工作面运输巷、掘进巷道的洒水管每50m设洒水支管和阀门，在其他巷道每隔100m设一支管阀门。在井下每个装载点、转载点设洒水器，在采掘工作面进回风巷的隔爆水棚点、水炮泥给水点设支管和阀门。</w:t>
      </w:r>
    </w:p>
    <w:p w14:paraId="784E4EF7">
      <w:pPr>
        <w:adjustRightInd w:val="0"/>
        <w:snapToGrid w:val="0"/>
        <w:spacing w:line="360" w:lineRule="auto"/>
        <w:ind w:firstLine="480" w:firstLineChars="200"/>
        <w:rPr>
          <w:rFonts w:hint="eastAsia" w:ascii="宋体" w:hAnsi="宋体"/>
          <w:sz w:val="24"/>
        </w:rPr>
      </w:pPr>
      <w:r>
        <w:rPr>
          <w:rFonts w:hint="eastAsia" w:ascii="宋体" w:hAnsi="宋体"/>
          <w:sz w:val="24"/>
        </w:rPr>
        <w:t>工作面运输巷及主斜井内每隔50m设DN25mm给水栓一个，工作面回风巷及其他地点每隔100m设DN25mm给水栓一个。</w:t>
      </w:r>
    </w:p>
    <w:p w14:paraId="683107E2">
      <w:pPr>
        <w:adjustRightInd w:val="0"/>
        <w:snapToGrid w:val="0"/>
        <w:spacing w:line="360" w:lineRule="auto"/>
        <w:ind w:firstLine="480" w:firstLineChars="200"/>
        <w:rPr>
          <w:rFonts w:hint="eastAsia" w:ascii="宋体" w:hAnsi="宋体"/>
          <w:sz w:val="24"/>
        </w:rPr>
      </w:pPr>
      <w:r>
        <w:rPr>
          <w:rFonts w:hint="eastAsia" w:ascii="宋体" w:hAnsi="宋体"/>
          <w:sz w:val="24"/>
        </w:rPr>
        <w:t>防尘供水管路的布置，见井下综合管网系统及隔爆设施布置图。</w:t>
      </w:r>
    </w:p>
    <w:p w14:paraId="0C6E82E2">
      <w:pPr>
        <w:adjustRightInd w:val="0"/>
        <w:snapToGrid w:val="0"/>
        <w:spacing w:line="360" w:lineRule="auto"/>
        <w:ind w:firstLine="480" w:firstLineChars="200"/>
        <w:rPr>
          <w:rFonts w:hint="eastAsia" w:ascii="宋体" w:hAnsi="宋体"/>
          <w:sz w:val="24"/>
        </w:rPr>
      </w:pPr>
      <w:r>
        <w:rPr>
          <w:rFonts w:hint="eastAsia" w:ascii="宋体" w:hAnsi="宋体"/>
          <w:sz w:val="24"/>
        </w:rPr>
        <w:t>在井下消防洒水系统中每隔100m设置一个三通阀门，以供消防洒水用。</w:t>
      </w:r>
    </w:p>
    <w:p w14:paraId="19E21AC4">
      <w:pPr>
        <w:adjustRightInd w:val="0"/>
        <w:snapToGrid w:val="0"/>
        <w:spacing w:line="360" w:lineRule="auto"/>
        <w:ind w:firstLine="480" w:firstLineChars="200"/>
        <w:rPr>
          <w:rFonts w:hint="eastAsia" w:ascii="宋体" w:hAnsi="宋体"/>
          <w:sz w:val="24"/>
        </w:rPr>
      </w:pPr>
      <w:r>
        <w:rPr>
          <w:rFonts w:hint="eastAsia" w:ascii="宋体" w:hAnsi="宋体"/>
          <w:sz w:val="24"/>
        </w:rPr>
        <w:t>在井下各机电硐室，采掘工作面主要机电运输设备安装位置等处，设置消防洒水及防尘水管，同时设置灭火砂箱、高倍泡沫灭火装置。</w:t>
      </w:r>
    </w:p>
    <w:p w14:paraId="63BB25BB">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五</w:t>
      </w:r>
      <w:r>
        <w:rPr>
          <w:b/>
          <w:color w:val="000000"/>
          <w:kern w:val="0"/>
          <w:szCs w:val="20"/>
        </w:rPr>
        <w:t>、防</w:t>
      </w:r>
      <w:r>
        <w:rPr>
          <w:rFonts w:hint="eastAsia"/>
          <w:b/>
          <w:color w:val="000000"/>
          <w:kern w:val="0"/>
          <w:szCs w:val="20"/>
        </w:rPr>
        <w:t>治水</w:t>
      </w:r>
    </w:p>
    <w:p w14:paraId="1D5482DF">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1、本井田以地表水、老窑水、采空区积水及裂隙水为主的裂隙充水矿床，水文地质复杂程度属简单类型。矿井涌水量主要取决于大气降水及开采范围，大气降水及老窑采空区积水为是矿井充水的直接因素。</w:t>
      </w:r>
    </w:p>
    <w:p w14:paraId="7B5459EF">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在开采过程中值得注意的是地表水倒灌、裂隙导水、滑坡积水及老窑采空区积水将会对矿井开采带来影响，开采时要严加防范。</w:t>
      </w:r>
    </w:p>
    <w:p w14:paraId="52C0D8B8">
      <w:pPr>
        <w:adjustRightInd w:val="0"/>
        <w:snapToGrid w:val="0"/>
        <w:spacing w:line="360" w:lineRule="auto"/>
        <w:ind w:firstLine="480" w:firstLineChars="200"/>
        <w:rPr>
          <w:rFonts w:ascii="宋体" w:hAnsi="宋体"/>
          <w:color w:val="000000"/>
          <w:sz w:val="24"/>
        </w:rPr>
      </w:pPr>
      <w:r>
        <w:rPr>
          <w:rFonts w:ascii="宋体" w:hAnsi="宋体"/>
          <w:color w:val="000000"/>
          <w:sz w:val="24"/>
        </w:rPr>
        <w:t>矿井建设和生产中</w:t>
      </w:r>
      <w:r>
        <w:rPr>
          <w:rFonts w:hint="eastAsia" w:ascii="宋体" w:hAnsi="宋体"/>
          <w:color w:val="000000"/>
          <w:sz w:val="24"/>
        </w:rPr>
        <w:t>，</w:t>
      </w:r>
      <w:r>
        <w:rPr>
          <w:rFonts w:ascii="宋体" w:hAnsi="宋体"/>
          <w:color w:val="000000"/>
          <w:sz w:val="24"/>
        </w:rPr>
        <w:t>需进一步查明直接充水含水层、间接充水含水层、地表水三者的水力联系，以及间接充水含水层对直接含水层的补给途径、部位与补给量，并对矿井的涌水量</w:t>
      </w:r>
      <w:r>
        <w:rPr>
          <w:rFonts w:hint="eastAsia" w:ascii="宋体" w:hAnsi="宋体"/>
          <w:color w:val="000000"/>
          <w:sz w:val="24"/>
        </w:rPr>
        <w:t>进一步</w:t>
      </w:r>
      <w:r>
        <w:rPr>
          <w:rFonts w:ascii="宋体" w:hAnsi="宋体"/>
          <w:color w:val="000000"/>
          <w:sz w:val="24"/>
        </w:rPr>
        <w:t>作出预计。</w:t>
      </w:r>
    </w:p>
    <w:p w14:paraId="3A0F43EB">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2、</w:t>
      </w:r>
      <w:r>
        <w:rPr>
          <w:rFonts w:ascii="宋体" w:hAnsi="宋体"/>
          <w:color w:val="000000"/>
          <w:sz w:val="24"/>
        </w:rPr>
        <w:t>留设采区及井田边界隔离防水煤柱</w:t>
      </w:r>
      <w:r>
        <w:rPr>
          <w:rFonts w:hint="eastAsia" w:ascii="宋体" w:hAnsi="宋体"/>
          <w:color w:val="000000"/>
          <w:sz w:val="24"/>
        </w:rPr>
        <w:t>；</w:t>
      </w:r>
      <w:r>
        <w:rPr>
          <w:rFonts w:ascii="宋体" w:hAnsi="宋体"/>
          <w:color w:val="000000"/>
          <w:sz w:val="24"/>
        </w:rPr>
        <w:t>在断层两侧，必须按规定留设足够的断层煤柱，在条件不具备时，不得进入防水煤柱采煤</w:t>
      </w:r>
      <w:r>
        <w:rPr>
          <w:rFonts w:hint="eastAsia" w:ascii="宋体" w:hAnsi="宋体"/>
          <w:color w:val="000000"/>
          <w:sz w:val="24"/>
        </w:rPr>
        <w:t>；</w:t>
      </w:r>
      <w:r>
        <w:rPr>
          <w:rFonts w:ascii="宋体" w:hAnsi="宋体"/>
          <w:color w:val="000000"/>
          <w:sz w:val="24"/>
        </w:rPr>
        <w:t>以煤层导水裂缝带高度为基础参数，加上一定安全系数，留设</w:t>
      </w:r>
      <w:r>
        <w:rPr>
          <w:rFonts w:hint="eastAsia" w:ascii="宋体" w:hAnsi="宋体"/>
          <w:color w:val="000000"/>
          <w:sz w:val="24"/>
        </w:rPr>
        <w:t>“</w:t>
      </w:r>
      <w:r>
        <w:rPr>
          <w:rFonts w:ascii="宋体" w:hAnsi="宋体"/>
          <w:color w:val="000000"/>
          <w:sz w:val="24"/>
        </w:rPr>
        <w:t>三砂</w:t>
      </w:r>
      <w:r>
        <w:rPr>
          <w:rFonts w:hint="eastAsia" w:ascii="宋体" w:hAnsi="宋体"/>
          <w:color w:val="000000"/>
          <w:sz w:val="24"/>
        </w:rPr>
        <w:t>”</w:t>
      </w:r>
      <w:r>
        <w:rPr>
          <w:rFonts w:ascii="宋体" w:hAnsi="宋体"/>
          <w:color w:val="000000"/>
          <w:sz w:val="24"/>
        </w:rPr>
        <w:t>防水（防砂）煤岩柱。</w:t>
      </w:r>
    </w:p>
    <w:p w14:paraId="0515C605">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3、</w:t>
      </w:r>
      <w:r>
        <w:rPr>
          <w:rFonts w:ascii="宋体" w:hAnsi="宋体"/>
          <w:color w:val="000000"/>
          <w:sz w:val="24"/>
        </w:rPr>
        <w:t>检查地质钻孔的封孔状况，对安全生产有威胁的钻孔应及时启封，重新封闭。</w:t>
      </w:r>
    </w:p>
    <w:p w14:paraId="6BA2A44F">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4、本矿井采用斜井开拓，</w:t>
      </w:r>
      <w:r>
        <w:rPr>
          <w:rFonts w:ascii="宋体" w:hAnsi="宋体"/>
          <w:color w:val="000000"/>
          <w:sz w:val="24"/>
        </w:rPr>
        <w:t>井下设排水泵房、水仓</w:t>
      </w:r>
      <w:r>
        <w:rPr>
          <w:rFonts w:hint="eastAsia" w:ascii="宋体" w:hAnsi="宋体"/>
          <w:color w:val="000000"/>
          <w:sz w:val="24"/>
        </w:rPr>
        <w:t>，但各巷道内设</w:t>
      </w:r>
      <w:r>
        <w:rPr>
          <w:rFonts w:ascii="宋体" w:hAnsi="宋体"/>
          <w:color w:val="000000"/>
          <w:sz w:val="24"/>
        </w:rPr>
        <w:t>水沟</w:t>
      </w:r>
      <w:r>
        <w:rPr>
          <w:rFonts w:hint="eastAsia" w:ascii="宋体" w:hAnsi="宋体"/>
          <w:color w:val="000000"/>
          <w:sz w:val="24"/>
        </w:rPr>
        <w:t>，</w:t>
      </w:r>
      <w:r>
        <w:rPr>
          <w:rFonts w:ascii="宋体" w:hAnsi="宋体"/>
          <w:color w:val="000000"/>
          <w:sz w:val="24"/>
        </w:rPr>
        <w:t>经常清理</w:t>
      </w:r>
      <w:r>
        <w:rPr>
          <w:rFonts w:hint="eastAsia" w:ascii="宋体" w:hAnsi="宋体"/>
          <w:color w:val="000000"/>
          <w:sz w:val="24"/>
        </w:rPr>
        <w:t>排</w:t>
      </w:r>
      <w:r>
        <w:rPr>
          <w:rFonts w:ascii="宋体" w:hAnsi="宋体"/>
          <w:color w:val="000000"/>
          <w:sz w:val="24"/>
        </w:rPr>
        <w:t>水沟</w:t>
      </w:r>
      <w:r>
        <w:rPr>
          <w:rFonts w:hint="eastAsia" w:ascii="宋体" w:hAnsi="宋体"/>
          <w:color w:val="000000"/>
          <w:sz w:val="24"/>
        </w:rPr>
        <w:t>，</w:t>
      </w:r>
      <w:r>
        <w:rPr>
          <w:rFonts w:ascii="宋体" w:hAnsi="宋体"/>
          <w:color w:val="000000"/>
          <w:sz w:val="24"/>
        </w:rPr>
        <w:t>确保排水</w:t>
      </w:r>
      <w:r>
        <w:rPr>
          <w:rFonts w:hint="eastAsia" w:ascii="宋体" w:hAnsi="宋体"/>
          <w:color w:val="000000"/>
          <w:sz w:val="24"/>
        </w:rPr>
        <w:t>畅通</w:t>
      </w:r>
      <w:r>
        <w:rPr>
          <w:rFonts w:ascii="宋体" w:hAnsi="宋体"/>
          <w:color w:val="000000"/>
          <w:sz w:val="24"/>
        </w:rPr>
        <w:t>，并保证足够的排水能力及抗灾能力。</w:t>
      </w:r>
    </w:p>
    <w:p w14:paraId="486EBC15">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5、</w:t>
      </w:r>
      <w:r>
        <w:rPr>
          <w:rFonts w:ascii="宋体" w:hAnsi="宋体"/>
          <w:color w:val="000000"/>
          <w:sz w:val="24"/>
        </w:rPr>
        <w:t>对巷道开拓及回采所可能遇到的断层提前进行探放水，查明断层的水文地质要素，据此经技术经济比较采取留设防水煤柱、注浆堵水、疏放等措施。</w:t>
      </w:r>
    </w:p>
    <w:p w14:paraId="4F255734">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6、</w:t>
      </w:r>
      <w:r>
        <w:rPr>
          <w:rFonts w:ascii="宋体" w:hAnsi="宋体"/>
          <w:color w:val="000000"/>
          <w:sz w:val="24"/>
        </w:rPr>
        <w:t>如在勘探中发现有陷落柱，则必须查明陷落柱的水文地质要素（包括陷落柱顶面到达的岩（煤）层高度、陷落柱定位、对煤层开采的影响程度，陷落柱的导水性、水压、预计的涌水量等），据此经技术经济比较采取留设防水煤柱、井下或地面注浆堵水、井下探放水等措施。</w:t>
      </w:r>
    </w:p>
    <w:p w14:paraId="1B9661BB">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7、</w:t>
      </w:r>
      <w:r>
        <w:rPr>
          <w:rFonts w:ascii="宋体" w:hAnsi="宋体"/>
          <w:color w:val="000000"/>
          <w:sz w:val="24"/>
        </w:rPr>
        <w:t>对未封闭好的钻孔根据具体情况采取重封、留设防水煤柱、探放钻孔水等措施。</w:t>
      </w:r>
    </w:p>
    <w:p w14:paraId="4B5442B6">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8、</w:t>
      </w:r>
      <w:r>
        <w:rPr>
          <w:rFonts w:ascii="宋体" w:hAnsi="宋体"/>
          <w:color w:val="000000"/>
          <w:sz w:val="24"/>
        </w:rPr>
        <w:t>对主要含水层建立地下水动态观察系统，进行地下水动态观测、水害预报，并制定相应的</w:t>
      </w:r>
      <w:r>
        <w:rPr>
          <w:rFonts w:hint="eastAsia" w:ascii="宋体" w:hAnsi="宋体"/>
          <w:color w:val="000000"/>
          <w:sz w:val="24"/>
        </w:rPr>
        <w:t>“</w:t>
      </w:r>
      <w:r>
        <w:rPr>
          <w:rFonts w:ascii="宋体" w:hAnsi="宋体"/>
          <w:color w:val="000000"/>
          <w:sz w:val="24"/>
        </w:rPr>
        <w:t>探、防、堵、截、排</w:t>
      </w:r>
      <w:r>
        <w:rPr>
          <w:rFonts w:hint="eastAsia" w:ascii="宋体" w:hAnsi="宋体"/>
          <w:color w:val="000000"/>
          <w:sz w:val="24"/>
        </w:rPr>
        <w:t>”</w:t>
      </w:r>
      <w:r>
        <w:rPr>
          <w:rFonts w:ascii="宋体" w:hAnsi="宋体"/>
          <w:color w:val="000000"/>
          <w:sz w:val="24"/>
        </w:rPr>
        <w:t>综合防治措施。</w:t>
      </w:r>
    </w:p>
    <w:p w14:paraId="0D28BA16">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9、</w:t>
      </w:r>
      <w:r>
        <w:rPr>
          <w:rFonts w:ascii="宋体" w:hAnsi="宋体"/>
          <w:color w:val="000000"/>
          <w:sz w:val="24"/>
        </w:rPr>
        <w:t>配备足够数量的探放水设备及HFV—C型液压驱动注浆堵水设备。</w:t>
      </w:r>
    </w:p>
    <w:p w14:paraId="791E841D">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10、</w:t>
      </w:r>
      <w:r>
        <w:rPr>
          <w:rFonts w:ascii="宋体" w:hAnsi="宋体"/>
          <w:color w:val="000000"/>
          <w:sz w:val="24"/>
        </w:rPr>
        <w:t>主要巷道尽量布置在隔水层或弱含水层中。</w:t>
      </w:r>
    </w:p>
    <w:p w14:paraId="5F5EE9B6">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11、</w:t>
      </w:r>
      <w:r>
        <w:rPr>
          <w:rFonts w:ascii="宋体" w:hAnsi="宋体"/>
          <w:color w:val="000000"/>
          <w:sz w:val="24"/>
        </w:rPr>
        <w:t>对矿井采掘工程所影响到的各含水层、断层，必须作出水文地质评价，进行提前预报，以便采取相应的防治水措施。</w:t>
      </w:r>
    </w:p>
    <w:p w14:paraId="7F998BB0">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12、</w:t>
      </w:r>
      <w:r>
        <w:rPr>
          <w:rFonts w:ascii="宋体" w:hAnsi="宋体"/>
          <w:color w:val="000000"/>
          <w:sz w:val="24"/>
        </w:rPr>
        <w:t>装备KDL—2型防爆地质雷达仪（探测深度30～40m）、WKT—F型防爆型坑透仪（探测距离150～250m）及槽波地震仪，用于探测井下断层、陷落柱及其它地质构造。</w:t>
      </w:r>
    </w:p>
    <w:p w14:paraId="57DC4984">
      <w:pPr>
        <w:autoSpaceDE w:val="0"/>
        <w:autoSpaceDN w:val="0"/>
        <w:adjustRightInd w:val="0"/>
        <w:snapToGrid w:val="0"/>
        <w:spacing w:line="360" w:lineRule="auto"/>
        <w:ind w:firstLine="480" w:firstLineChars="200"/>
        <w:rPr>
          <w:rFonts w:hint="eastAsia" w:ascii="宋体" w:hAnsi="宋体"/>
          <w:color w:val="000000"/>
          <w:kern w:val="0"/>
          <w:sz w:val="24"/>
        </w:rPr>
      </w:pPr>
      <w:r>
        <w:rPr>
          <w:rFonts w:hint="eastAsia" w:ascii="宋体" w:hAnsi="宋体"/>
          <w:color w:val="000000"/>
          <w:sz w:val="24"/>
        </w:rPr>
        <w:t>13、</w:t>
      </w:r>
      <w:r>
        <w:rPr>
          <w:rFonts w:hint="eastAsia" w:ascii="宋体" w:hAnsi="宋体"/>
          <w:color w:val="000000"/>
          <w:kern w:val="0"/>
          <w:sz w:val="24"/>
        </w:rPr>
        <w:t>防治水措施</w:t>
      </w:r>
    </w:p>
    <w:p w14:paraId="46657DE3">
      <w:pPr>
        <w:adjustRightInd w:val="0"/>
        <w:snapToGrid w:val="0"/>
        <w:spacing w:line="360" w:lineRule="auto"/>
        <w:ind w:firstLine="480" w:firstLineChars="200"/>
        <w:rPr>
          <w:rFonts w:hint="eastAsia" w:ascii="宋体" w:hAnsi="宋体"/>
          <w:sz w:val="24"/>
          <w:szCs w:val="28"/>
        </w:rPr>
      </w:pPr>
      <w:bookmarkStart w:id="449" w:name="_Toc173869243"/>
      <w:bookmarkStart w:id="450" w:name="_Toc173893679"/>
      <w:bookmarkStart w:id="451" w:name="_Toc173918918"/>
      <w:r>
        <w:rPr>
          <w:rFonts w:hint="eastAsia" w:ascii="宋体" w:hAnsi="宋体"/>
          <w:sz w:val="24"/>
          <w:szCs w:val="28"/>
        </w:rPr>
        <w:t>（1）根据防治水</w:t>
      </w:r>
      <w:r>
        <w:rPr>
          <w:rFonts w:hint="eastAsia" w:ascii="宋体" w:hAnsi="宋体"/>
          <w:sz w:val="24"/>
        </w:rPr>
        <w:t>计划</w:t>
      </w:r>
      <w:r>
        <w:rPr>
          <w:rFonts w:hint="eastAsia" w:ascii="宋体" w:hAnsi="宋体"/>
          <w:sz w:val="24"/>
          <w:szCs w:val="28"/>
        </w:rPr>
        <w:t>及地下水动态观测查明矿区和矿井中的水文地质条件，编制中长期防治水规划和年度防治水计划，并组织实施。</w:t>
      </w:r>
    </w:p>
    <w:p w14:paraId="0ABF6FB0">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（2）定期收集、调查和核对相邻煤矿和废弃的老窑小窑情况，并在井上、下工程对照图上标出其老窑位置、开采范围、开采年限、积水情况，对本矿的采掘情况要及时测量和填图。</w:t>
      </w:r>
    </w:p>
    <w:p w14:paraId="595BF076">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（3）每年雨季前必须对防治水工作进行全面检查。</w:t>
      </w:r>
    </w:p>
    <w:p w14:paraId="6A5608E8">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雨季前制定防治水措施，并组织抢险队伍，储备足够的防洪抢险物资。对排水能力要进行核定，各排水系统要组织检修。</w:t>
      </w:r>
    </w:p>
    <w:p w14:paraId="6384399E">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采空区设隔水墙，水沟及时进行清理。</w:t>
      </w:r>
    </w:p>
    <w:p w14:paraId="3F833FF9">
      <w:pPr>
        <w:adjustRightInd w:val="0"/>
        <w:snapToGrid w:val="0"/>
        <w:spacing w:line="360" w:lineRule="auto"/>
        <w:ind w:firstLine="480" w:firstLineChars="200"/>
        <w:rPr>
          <w:rFonts w:hint="eastAsia" w:ascii="宋体" w:hAnsi="宋体"/>
          <w:sz w:val="24"/>
        </w:rPr>
      </w:pPr>
      <w:r>
        <w:rPr>
          <w:rFonts w:hint="eastAsia" w:ascii="宋体" w:hAnsi="宋体"/>
          <w:sz w:val="24"/>
        </w:rPr>
        <w:t>（4）采掘工程要有专人测量，准确填图，巷道掘进要按设计的中腰线施工，防止误穿采空区。</w:t>
      </w:r>
    </w:p>
    <w:p w14:paraId="154AFEEF">
      <w:pPr>
        <w:topLinePunct/>
        <w:adjustRightInd w:val="0"/>
        <w:snapToGrid w:val="0"/>
        <w:spacing w:line="360" w:lineRule="auto"/>
        <w:ind w:firstLine="480" w:firstLineChars="200"/>
        <w:rPr>
          <w:rFonts w:hint="eastAsia" w:ascii="宋体" w:hAnsi="宋体"/>
          <w:sz w:val="24"/>
        </w:rPr>
      </w:pPr>
      <w:r>
        <w:rPr>
          <w:rFonts w:hint="eastAsia" w:ascii="宋体" w:hAnsi="宋体"/>
          <w:sz w:val="24"/>
        </w:rPr>
        <w:t>（5）采区浅部巷道或采面风巷掘进必须先探后掘，其他巷道做到“预测预报、有掘必探，先探后掘、先治后采”。</w:t>
      </w:r>
    </w:p>
    <w:p w14:paraId="70BD50B0">
      <w:pPr>
        <w:topLinePunct/>
        <w:adjustRightInd w:val="0"/>
        <w:snapToGrid w:val="0"/>
        <w:spacing w:line="360" w:lineRule="auto"/>
        <w:ind w:firstLine="480" w:firstLineChars="200"/>
        <w:rPr>
          <w:rFonts w:hint="eastAsia" w:ascii="宋体" w:hAnsi="宋体"/>
          <w:sz w:val="24"/>
        </w:rPr>
      </w:pPr>
      <w:r>
        <w:rPr>
          <w:rFonts w:hint="eastAsia" w:ascii="宋体" w:hAnsi="宋体"/>
          <w:sz w:val="24"/>
        </w:rPr>
        <w:t>（6）探放水必严格按</w:t>
      </w:r>
      <w:r>
        <w:rPr>
          <w:rFonts w:ascii="宋体" w:hAnsi="宋体"/>
          <w:sz w:val="24"/>
        </w:rPr>
        <w:t>贵州煤矿安全监察局</w:t>
      </w:r>
      <w:r>
        <w:rPr>
          <w:rFonts w:hint="eastAsia" w:ascii="宋体" w:hAnsi="宋体"/>
          <w:sz w:val="24"/>
        </w:rPr>
        <w:t>，</w:t>
      </w:r>
      <w:r>
        <w:rPr>
          <w:rFonts w:ascii="宋体" w:hAnsi="宋体"/>
          <w:sz w:val="24"/>
        </w:rPr>
        <w:t>黔煤办字</w:t>
      </w:r>
      <w:r>
        <w:rPr>
          <w:rFonts w:hint="eastAsia" w:ascii="宋体" w:hAnsi="宋体"/>
          <w:color w:val="000000"/>
          <w:sz w:val="24"/>
        </w:rPr>
        <w:t>【2007】</w:t>
      </w:r>
      <w:r>
        <w:rPr>
          <w:rFonts w:ascii="宋体" w:hAnsi="宋体"/>
          <w:sz w:val="24"/>
        </w:rPr>
        <w:t>37号</w:t>
      </w:r>
      <w:r>
        <w:rPr>
          <w:rFonts w:hint="eastAsia" w:ascii="宋体" w:hAnsi="宋体"/>
          <w:sz w:val="24"/>
        </w:rPr>
        <w:t>文《关于加强小煤矿水害防治工作的通知》有关规定执行。</w:t>
      </w:r>
    </w:p>
    <w:p w14:paraId="5E9D6A40">
      <w:pPr>
        <w:topLinePunct/>
        <w:adjustRightInd w:val="0"/>
        <w:snapToGrid w:val="0"/>
        <w:spacing w:line="360" w:lineRule="auto"/>
        <w:ind w:firstLine="480" w:firstLineChars="200"/>
        <w:rPr>
          <w:rFonts w:hint="eastAsia" w:ascii="宋体" w:hAnsi="宋体"/>
          <w:sz w:val="24"/>
        </w:rPr>
      </w:pPr>
      <w:r>
        <w:rPr>
          <w:rFonts w:hint="eastAsia" w:ascii="宋体" w:hAnsi="宋体"/>
          <w:sz w:val="24"/>
        </w:rPr>
        <w:t>14、采空区积水防范及探放水措施</w:t>
      </w:r>
    </w:p>
    <w:p w14:paraId="67BE6FF7">
      <w:pPr>
        <w:adjustRightInd w:val="0"/>
        <w:snapToGrid w:val="0"/>
        <w:spacing w:line="360" w:lineRule="auto"/>
        <w:ind w:firstLine="480" w:firstLineChars="200"/>
        <w:rPr>
          <w:rFonts w:hint="eastAsia" w:ascii="宋体" w:hAnsi="宋体"/>
          <w:sz w:val="24"/>
          <w:szCs w:val="28"/>
        </w:rPr>
      </w:pPr>
      <w:r>
        <w:rPr>
          <w:rFonts w:hint="eastAsia" w:ascii="宋体" w:hAnsi="宋体"/>
          <w:sz w:val="24"/>
        </w:rPr>
        <w:t>（1）认真</w:t>
      </w:r>
      <w:r>
        <w:rPr>
          <w:rFonts w:hint="eastAsia" w:ascii="宋体" w:hAnsi="宋体"/>
          <w:sz w:val="24"/>
          <w:szCs w:val="28"/>
        </w:rPr>
        <w:t>收集、调查和核对相邻煤矿和废弃的老窑小窑开采情况，在上、下工程对照图上标出其老窑位置、开采范围、开采年限、积水情况，对本矿的采掘情况要及时测量和填图。</w:t>
      </w:r>
    </w:p>
    <w:p w14:paraId="5217A55D">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（2）在采空区四周根据采空区范围和积水量情况，按要求留设够的防隔水煤柱。</w:t>
      </w:r>
    </w:p>
    <w:p w14:paraId="5B463ADD">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（3）</w:t>
      </w:r>
      <w:r>
        <w:rPr>
          <w:rFonts w:hint="eastAsia" w:ascii="宋体" w:hAnsi="宋体"/>
          <w:sz w:val="24"/>
        </w:rPr>
        <w:t>，严格执行”预测预报、有疑必停、有掘必探、先探后掘、先治后采”水害防治原则。</w:t>
      </w:r>
    </w:p>
    <w:p w14:paraId="610ADFE9">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（4）井下探放水措施</w:t>
      </w:r>
    </w:p>
    <w:p w14:paraId="16E71497">
      <w:pPr>
        <w:adjustRightInd w:val="0"/>
        <w:snapToGrid w:val="0"/>
        <w:spacing w:line="360" w:lineRule="auto"/>
        <w:ind w:firstLine="480" w:firstLineChars="200"/>
        <w:rPr>
          <w:rFonts w:hint="eastAsia" w:ascii="宋体" w:hAnsi="宋体"/>
          <w:sz w:val="24"/>
          <w:szCs w:val="28"/>
        </w:rPr>
      </w:pPr>
      <w:r>
        <w:rPr>
          <w:rFonts w:hint="eastAsia" w:ascii="宋体" w:hAnsi="宋体"/>
          <w:sz w:val="24"/>
          <w:szCs w:val="28"/>
        </w:rPr>
        <w:t>1）探放水原则</w:t>
      </w:r>
    </w:p>
    <w:p w14:paraId="02E846A0">
      <w:pPr>
        <w:autoSpaceDE w:val="0"/>
        <w:autoSpaceDN w:val="0"/>
        <w:adjustRightInd w:val="0"/>
        <w:spacing w:line="360" w:lineRule="auto"/>
        <w:ind w:right="6" w:firstLine="480" w:firstLineChars="200"/>
        <w:rPr>
          <w:rFonts w:ascii="宋体" w:hAnsi="宋体"/>
          <w:kern w:val="0"/>
          <w:sz w:val="24"/>
        </w:rPr>
      </w:pPr>
      <w:r>
        <w:rPr>
          <w:rFonts w:hint="eastAsia" w:ascii="宋体" w:hAnsi="宋体"/>
          <w:sz w:val="24"/>
        </w:rPr>
        <w:t>必须做好水害分析报告，坚持“预测预报、有疑必停、有掘必探、先探后掘、先治后采”的探放水原则。</w:t>
      </w:r>
      <w:r>
        <w:rPr>
          <w:rFonts w:ascii="宋体" w:hAnsi="宋体"/>
          <w:kern w:val="0"/>
          <w:sz w:val="24"/>
        </w:rPr>
        <w:t>采掘工作面遇到下列情况之一时，必须确定探水线进行探水：</w:t>
      </w:r>
    </w:p>
    <w:p w14:paraId="405AB6F2">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① </w:t>
      </w:r>
      <w:r>
        <w:rPr>
          <w:rFonts w:ascii="宋体" w:hAnsi="宋体"/>
          <w:kern w:val="0"/>
          <w:sz w:val="24"/>
        </w:rPr>
        <w:t>接近水淹或可能积水的井巷、老空时</w:t>
      </w:r>
      <w:r>
        <w:rPr>
          <w:rFonts w:hint="eastAsia" w:ascii="宋体" w:hAnsi="宋体"/>
          <w:kern w:val="0"/>
          <w:sz w:val="24"/>
        </w:rPr>
        <w:t>，在沿空掘巷时必须及时探、防水。</w:t>
      </w:r>
    </w:p>
    <w:p w14:paraId="71026DD3">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② </w:t>
      </w:r>
      <w:r>
        <w:rPr>
          <w:rFonts w:ascii="宋体" w:hAnsi="宋体"/>
          <w:kern w:val="0"/>
          <w:sz w:val="24"/>
        </w:rPr>
        <w:t>接近含水层、断层时。</w:t>
      </w:r>
    </w:p>
    <w:p w14:paraId="2302FC10">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③ </w:t>
      </w:r>
      <w:r>
        <w:rPr>
          <w:rFonts w:ascii="宋体" w:hAnsi="宋体"/>
          <w:kern w:val="0"/>
          <w:sz w:val="24"/>
        </w:rPr>
        <w:t>打开隔离煤柱放水时。</w:t>
      </w:r>
    </w:p>
    <w:p w14:paraId="2A4C97C5">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④ </w:t>
      </w:r>
      <w:r>
        <w:rPr>
          <w:rFonts w:ascii="宋体" w:hAnsi="宋体"/>
          <w:kern w:val="0"/>
          <w:sz w:val="24"/>
        </w:rPr>
        <w:t>接近可能与河流、湖泊、水库、蓄水池、水井等相</w:t>
      </w:r>
      <w:r>
        <w:rPr>
          <w:rFonts w:hint="eastAsia" w:ascii="宋体" w:hAnsi="宋体"/>
          <w:kern w:val="0"/>
          <w:sz w:val="24"/>
        </w:rPr>
        <w:t>通</w:t>
      </w:r>
      <w:r>
        <w:rPr>
          <w:rFonts w:ascii="宋体" w:hAnsi="宋体"/>
          <w:kern w:val="0"/>
          <w:sz w:val="24"/>
        </w:rPr>
        <w:t>的断层破碎带时。</w:t>
      </w:r>
    </w:p>
    <w:p w14:paraId="46459690">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⑤ </w:t>
      </w:r>
      <w:r>
        <w:rPr>
          <w:rFonts w:ascii="宋体" w:hAnsi="宋体"/>
          <w:kern w:val="0"/>
          <w:sz w:val="24"/>
        </w:rPr>
        <w:t>接近水文地质复杂区域，并有出水征兆时。</w:t>
      </w:r>
    </w:p>
    <w:p w14:paraId="764060F1">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⑥ </w:t>
      </w:r>
      <w:r>
        <w:rPr>
          <w:rFonts w:ascii="宋体" w:hAnsi="宋体"/>
          <w:kern w:val="0"/>
          <w:sz w:val="24"/>
        </w:rPr>
        <w:t>接近有出水可能的钻孔时。</w:t>
      </w:r>
    </w:p>
    <w:p w14:paraId="6BB717C8">
      <w:pPr>
        <w:autoSpaceDE w:val="0"/>
        <w:autoSpaceDN w:val="0"/>
        <w:adjustRightInd w:val="0"/>
        <w:spacing w:line="360" w:lineRule="auto"/>
        <w:ind w:right="6" w:firstLine="480" w:firstLineChars="200"/>
        <w:rPr>
          <w:rFonts w:ascii="宋体" w:hAnsi="宋体"/>
          <w:kern w:val="0"/>
          <w:sz w:val="24"/>
        </w:rPr>
      </w:pPr>
      <w:r>
        <w:rPr>
          <w:rFonts w:hint="eastAsia" w:ascii="宋体" w:hAnsi="宋体"/>
          <w:kern w:val="0"/>
          <w:sz w:val="24"/>
        </w:rPr>
        <w:t xml:space="preserve">⑦ </w:t>
      </w:r>
      <w:r>
        <w:rPr>
          <w:rFonts w:ascii="宋体" w:hAnsi="宋体"/>
          <w:kern w:val="0"/>
          <w:sz w:val="24"/>
        </w:rPr>
        <w:t>接近其他可能出水地区时。</w:t>
      </w:r>
    </w:p>
    <w:p w14:paraId="759E4063">
      <w:pPr>
        <w:spacing w:line="360" w:lineRule="auto"/>
        <w:ind w:firstLine="480" w:firstLineChars="200"/>
        <w:rPr>
          <w:rFonts w:hint="eastAsia" w:ascii="宋体" w:hAnsi="宋体"/>
          <w:sz w:val="24"/>
        </w:rPr>
      </w:pPr>
      <w:r>
        <w:rPr>
          <w:rFonts w:hint="eastAsia" w:ascii="宋体" w:hAnsi="宋体"/>
          <w:sz w:val="24"/>
        </w:rPr>
        <w:t>接近积水地区掘进前或排放被淹井巷和积水前，必须编制探放水设计，并采取防止瓦斯和其它有害气体危害等安全措施。</w:t>
      </w:r>
    </w:p>
    <w:p w14:paraId="0AF4FD5F">
      <w:pPr>
        <w:spacing w:line="360" w:lineRule="auto"/>
        <w:ind w:firstLine="480" w:firstLineChars="200"/>
        <w:rPr>
          <w:rFonts w:hint="eastAsia" w:ascii="宋体" w:hAnsi="宋体"/>
          <w:sz w:val="24"/>
        </w:rPr>
      </w:pPr>
      <w:r>
        <w:rPr>
          <w:rFonts w:hint="eastAsia" w:ascii="宋体" w:hAnsi="宋体"/>
          <w:sz w:val="24"/>
        </w:rPr>
        <w:t>探水眼的布置和超前距离，应根据水头高低、煤（岩）层厚度和硬度以及安全措施等在探放水设计中具体规定。</w:t>
      </w:r>
    </w:p>
    <w:p w14:paraId="788D9399">
      <w:pPr>
        <w:spacing w:line="360" w:lineRule="auto"/>
        <w:ind w:firstLine="480" w:firstLineChars="200"/>
        <w:rPr>
          <w:rFonts w:hint="eastAsia" w:ascii="宋体" w:hAnsi="宋体"/>
          <w:sz w:val="24"/>
        </w:rPr>
      </w:pPr>
      <w:r>
        <w:rPr>
          <w:rFonts w:hint="eastAsia" w:ascii="宋体" w:hAnsi="宋体"/>
          <w:sz w:val="24"/>
        </w:rPr>
        <w:t>2）探放水设计包含以下方面：</w:t>
      </w:r>
    </w:p>
    <w:p w14:paraId="31830552">
      <w:pPr>
        <w:spacing w:line="360" w:lineRule="auto"/>
        <w:ind w:firstLine="480" w:firstLineChars="200"/>
        <w:rPr>
          <w:rFonts w:hint="eastAsia" w:ascii="宋体" w:hAnsi="宋体"/>
          <w:sz w:val="24"/>
        </w:rPr>
      </w:pPr>
      <w:r>
        <w:rPr>
          <w:rFonts w:hint="eastAsia" w:ascii="宋体" w:hAnsi="宋体"/>
          <w:kern w:val="0"/>
          <w:sz w:val="24"/>
        </w:rPr>
        <w:t xml:space="preserve">① </w:t>
      </w:r>
      <w:r>
        <w:rPr>
          <w:rFonts w:hint="eastAsia" w:ascii="宋体" w:hAnsi="宋体"/>
          <w:sz w:val="24"/>
        </w:rPr>
        <w:t>探水起点的确定：为了确保采掘工作和人生安全，将水淹区的积水范围、水位标高、积水量等资料填绘在采掘工程图上，经过分析划出三条界线。</w:t>
      </w:r>
    </w:p>
    <w:p w14:paraId="66C71D75">
      <w:pPr>
        <w:spacing w:line="360" w:lineRule="auto"/>
        <w:ind w:firstLine="480" w:firstLineChars="200"/>
        <w:rPr>
          <w:rFonts w:hint="eastAsia" w:ascii="宋体" w:hAnsi="宋体"/>
          <w:sz w:val="24"/>
        </w:rPr>
      </w:pPr>
      <w:r>
        <w:rPr>
          <w:rFonts w:hint="eastAsia" w:ascii="宋体" w:hAnsi="宋体"/>
          <w:sz w:val="24"/>
        </w:rPr>
        <w:t>② 积水线：积水边界线（小窑采空区范围），其深部界线应根据小窑或老空的最深下山划定。</w:t>
      </w:r>
    </w:p>
    <w:p w14:paraId="6AFB9553">
      <w:pPr>
        <w:spacing w:line="360" w:lineRule="auto"/>
        <w:ind w:firstLine="480" w:firstLineChars="200"/>
        <w:rPr>
          <w:rFonts w:hint="eastAsia" w:ascii="宋体" w:hAnsi="宋体"/>
          <w:sz w:val="24"/>
        </w:rPr>
      </w:pPr>
      <w:r>
        <w:rPr>
          <w:rFonts w:hint="eastAsia" w:ascii="宋体" w:hAnsi="宋体"/>
          <w:sz w:val="24"/>
        </w:rPr>
        <w:t>③ 探水线：根据积水区的位置、范围、地质及水文地质条件及其资料可靠程度、采空区和巷道受矿山压力破坏情况等因素确定，具体规定如下：</w:t>
      </w:r>
    </w:p>
    <w:p w14:paraId="27B33E94">
      <w:pPr>
        <w:tabs>
          <w:tab w:val="left" w:pos="2100"/>
        </w:tabs>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对采掘工作造成的老空、老巷、硐室等积水区，如边界准确，水压不超过10kPa时，探水线至积水区的最小距离：煤层中不得小于30ｍ，岩层中小于20ｍ。</w:t>
      </w:r>
    </w:p>
    <w:p w14:paraId="0F1A2AC7">
      <w:pPr>
        <w:tabs>
          <w:tab w:val="left" w:pos="2100"/>
        </w:tabs>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对虽有图纸资料，但不能确定积水区边界位置的积水区，探水线至推断积水区边界的最小距离不得小于60ｍ。</w:t>
      </w:r>
    </w:p>
    <w:p w14:paraId="40B454A3">
      <w:pPr>
        <w:tabs>
          <w:tab w:val="left" w:pos="2100"/>
        </w:tabs>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对有图纸资料的小窑，探水线至积水区边界的最小距离不得小于60ｍ；对没有图纸资料可查的小窑，必须坚持“有掘必探，先探后掘”的原则，防止发生透水事故。</w:t>
      </w:r>
    </w:p>
    <w:p w14:paraId="1ED3123B">
      <w:pPr>
        <w:tabs>
          <w:tab w:val="left" w:pos="2100"/>
        </w:tabs>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掘进巷道附近有断层或陷落柱时，探水线至最大摆动范围预计煤柱线时的最小距离不得小于60ｍ。</w:t>
      </w:r>
    </w:p>
    <w:p w14:paraId="664BDDCA">
      <w:pPr>
        <w:tabs>
          <w:tab w:val="left" w:pos="2100"/>
        </w:tabs>
        <w:spacing w:line="360" w:lineRule="auto"/>
        <w:ind w:firstLine="480" w:firstLineChars="200"/>
        <w:rPr>
          <w:rFonts w:hint="eastAsia" w:ascii="宋体" w:hAnsi="宋体"/>
          <w:sz w:val="24"/>
        </w:rPr>
      </w:pPr>
      <w:r>
        <w:rPr>
          <w:rFonts w:ascii="宋体" w:hAnsi="宋体"/>
          <w:sz w:val="24"/>
        </w:rPr>
        <w:t>·</w:t>
      </w:r>
      <w:r>
        <w:rPr>
          <w:rFonts w:hint="eastAsia" w:ascii="宋体" w:hAnsi="宋体"/>
          <w:sz w:val="24"/>
        </w:rPr>
        <w:t>石门揭开含水层前，探水线至含水层的最小距离不得小于20ｍ。</w:t>
      </w:r>
    </w:p>
    <w:p w14:paraId="7EB5809E">
      <w:pPr>
        <w:spacing w:line="360" w:lineRule="auto"/>
        <w:ind w:firstLine="480" w:firstLineChars="200"/>
        <w:rPr>
          <w:rFonts w:hint="eastAsia" w:ascii="宋体" w:hAnsi="宋体"/>
          <w:sz w:val="24"/>
        </w:rPr>
      </w:pPr>
      <w:r>
        <w:rPr>
          <w:rFonts w:hint="eastAsia" w:ascii="宋体" w:hAnsi="宋体"/>
          <w:sz w:val="24"/>
        </w:rPr>
        <w:t>3）警戒线：</w:t>
      </w:r>
    </w:p>
    <w:p w14:paraId="15EF4BAA">
      <w:pPr>
        <w:spacing w:line="360" w:lineRule="auto"/>
        <w:ind w:firstLine="480" w:firstLineChars="200"/>
        <w:rPr>
          <w:rFonts w:hint="eastAsia" w:ascii="宋体" w:hAnsi="宋体"/>
          <w:sz w:val="24"/>
        </w:rPr>
      </w:pPr>
      <w:r>
        <w:rPr>
          <w:rFonts w:hint="eastAsia" w:ascii="宋体" w:hAnsi="宋体"/>
          <w:sz w:val="24"/>
        </w:rPr>
        <w:t>沿探水线外推50～150ｍ（在上山掘进时指倾斜距离）即为警戒线。</w:t>
      </w:r>
    </w:p>
    <w:p w14:paraId="2C60329B">
      <w:pPr>
        <w:tabs>
          <w:tab w:val="left" w:pos="1260"/>
        </w:tabs>
        <w:spacing w:line="360" w:lineRule="auto"/>
        <w:ind w:firstLine="480" w:firstLineChars="200"/>
        <w:rPr>
          <w:rFonts w:hint="eastAsia" w:ascii="宋体" w:hAnsi="宋体"/>
          <w:sz w:val="24"/>
        </w:rPr>
      </w:pPr>
      <w:r>
        <w:rPr>
          <w:rFonts w:hint="eastAsia" w:ascii="宋体" w:hAnsi="宋体"/>
          <w:sz w:val="24"/>
        </w:rPr>
        <w:t>探放水钻孔布置方式：</w:t>
      </w:r>
    </w:p>
    <w:p w14:paraId="70A8C5CE">
      <w:pPr>
        <w:spacing w:line="360" w:lineRule="auto"/>
        <w:ind w:firstLine="480" w:firstLineChars="200"/>
        <w:rPr>
          <w:rFonts w:hint="eastAsia" w:ascii="宋体" w:hAnsi="宋体"/>
          <w:sz w:val="24"/>
        </w:rPr>
      </w:pPr>
      <w:r>
        <w:rPr>
          <w:rFonts w:hint="eastAsia" w:ascii="宋体" w:hAnsi="宋体"/>
          <w:sz w:val="24"/>
        </w:rPr>
        <w:t>一般倾斜煤层平巷和上山巷道探水钻孔的布置方式为半扇形布置在巷道上帮，一般布置3组钻孔，每组1～2孔。钻孔夹角分大夹角与小夹角两种，前者钻孔夹角7～15°，后者1～3°，视小窑老空的规模而定，老空规模大取大夹角，规模小取小夹角。每组只少应有一个探水钻孔见底。</w:t>
      </w:r>
    </w:p>
    <w:p w14:paraId="279AC946">
      <w:pPr>
        <w:spacing w:line="360" w:lineRule="auto"/>
        <w:ind w:firstLine="480" w:firstLineChars="200"/>
        <w:rPr>
          <w:rFonts w:hint="eastAsia" w:ascii="宋体" w:hAnsi="宋体"/>
          <w:sz w:val="24"/>
        </w:rPr>
      </w:pPr>
      <w:r>
        <w:rPr>
          <w:rFonts w:hint="eastAsia" w:ascii="宋体" w:hAnsi="宋体"/>
          <w:sz w:val="24"/>
        </w:rPr>
        <w:t>15、采掘工作面遇下列情况之一时，必须确定探水线进行探水。</w:t>
      </w:r>
    </w:p>
    <w:p w14:paraId="4B9EF861">
      <w:pPr>
        <w:spacing w:line="360" w:lineRule="auto"/>
        <w:ind w:firstLine="480" w:firstLineChars="200"/>
        <w:rPr>
          <w:rFonts w:hint="eastAsia" w:ascii="宋体" w:hAnsi="宋体"/>
          <w:sz w:val="24"/>
        </w:rPr>
      </w:pPr>
      <w:r>
        <w:rPr>
          <w:rFonts w:hint="eastAsia" w:ascii="宋体" w:hAnsi="宋体"/>
          <w:sz w:val="24"/>
        </w:rPr>
        <w:t>（1）接近水淹或可能积水的井巷、老空或相邻煤矿时，井巷出水点的位置及其水量、有积水的的井巷及采空区积水范围、标高和积水量，必须绘制在采掘工程平面图上。在水淹区域应标出探水线位置。采掘到探水线位置时，必须探水前进。</w:t>
      </w:r>
    </w:p>
    <w:p w14:paraId="4A2626E0">
      <w:pPr>
        <w:spacing w:line="360" w:lineRule="auto"/>
        <w:ind w:firstLine="480" w:firstLineChars="200"/>
        <w:rPr>
          <w:rFonts w:hint="eastAsia" w:ascii="宋体" w:hAnsi="宋体"/>
          <w:sz w:val="24"/>
        </w:rPr>
      </w:pPr>
      <w:r>
        <w:rPr>
          <w:rFonts w:hint="eastAsia" w:ascii="宋体" w:hAnsi="宋体"/>
          <w:sz w:val="24"/>
        </w:rPr>
        <w:t>（2）有与溶洞、含水层及与之有水力联系的导水层、裂隙（带）、陷落柱时必须查出其位置，并按规定留设防水煤柱。巷道必须穿过上述构造时，必须探水前进。如果前方有水，应超前预注浆封堵加固，也可采取其它防治措施。</w:t>
      </w:r>
    </w:p>
    <w:p w14:paraId="250660BD">
      <w:pPr>
        <w:spacing w:line="360" w:lineRule="auto"/>
        <w:ind w:firstLine="480" w:firstLineChars="200"/>
        <w:rPr>
          <w:rFonts w:hint="eastAsia" w:ascii="宋体" w:hAnsi="宋体"/>
          <w:sz w:val="24"/>
        </w:rPr>
      </w:pPr>
      <w:r>
        <w:rPr>
          <w:rFonts w:hint="eastAsia" w:ascii="宋体" w:hAnsi="宋体"/>
          <w:sz w:val="24"/>
        </w:rPr>
        <w:t>（3）打开隔离煤柱前必须探放水。</w:t>
      </w:r>
    </w:p>
    <w:p w14:paraId="5CD0E481">
      <w:pPr>
        <w:spacing w:line="360" w:lineRule="auto"/>
        <w:ind w:firstLine="480" w:firstLineChars="200"/>
        <w:rPr>
          <w:rFonts w:hint="eastAsia" w:ascii="宋体" w:hAnsi="宋体"/>
          <w:sz w:val="24"/>
        </w:rPr>
      </w:pPr>
      <w:r>
        <w:rPr>
          <w:rFonts w:hint="eastAsia" w:ascii="宋体" w:hAnsi="宋体"/>
          <w:sz w:val="24"/>
        </w:rPr>
        <w:t>（4）接近有水的采煤工作面时必须探放水。</w:t>
      </w:r>
    </w:p>
    <w:p w14:paraId="75C17185">
      <w:pPr>
        <w:spacing w:line="360" w:lineRule="auto"/>
        <w:ind w:firstLine="480" w:firstLineChars="200"/>
        <w:rPr>
          <w:rFonts w:hint="eastAsia" w:ascii="宋体" w:hAnsi="宋体"/>
          <w:sz w:val="24"/>
        </w:rPr>
      </w:pPr>
      <w:r>
        <w:rPr>
          <w:rFonts w:hint="eastAsia" w:ascii="宋体" w:hAnsi="宋体"/>
          <w:sz w:val="24"/>
        </w:rPr>
        <w:t>（5）接近未封闭又可能突水的钻孔时必须探放水。</w:t>
      </w:r>
    </w:p>
    <w:p w14:paraId="4EED5EA1">
      <w:pPr>
        <w:spacing w:line="360" w:lineRule="auto"/>
        <w:ind w:firstLine="480" w:firstLineChars="200"/>
        <w:rPr>
          <w:rFonts w:hint="eastAsia" w:ascii="宋体" w:hAnsi="宋体"/>
          <w:sz w:val="24"/>
        </w:rPr>
      </w:pPr>
      <w:r>
        <w:rPr>
          <w:rFonts w:hint="eastAsia" w:ascii="宋体" w:hAnsi="宋体"/>
          <w:sz w:val="24"/>
        </w:rPr>
        <w:t>（6）煤层顶板的含水层和水体存在时，应当观测“三带”发育高度。当导水裂隙带范围内的含水层或老空积水影响安全开采时，必须超前探放水并建立疏排水系统。</w:t>
      </w:r>
    </w:p>
    <w:p w14:paraId="1099F833">
      <w:pPr>
        <w:spacing w:line="360" w:lineRule="auto"/>
        <w:ind w:firstLine="480" w:firstLineChars="200"/>
        <w:rPr>
          <w:rFonts w:hint="eastAsia" w:ascii="宋体" w:hAnsi="宋体"/>
          <w:sz w:val="24"/>
        </w:rPr>
      </w:pPr>
      <w:r>
        <w:rPr>
          <w:rFonts w:hint="eastAsia" w:ascii="宋体" w:hAnsi="宋体"/>
          <w:sz w:val="24"/>
        </w:rPr>
        <w:t>（7）采、掘工程接近其它可能突水段时必须探放水。</w:t>
      </w:r>
    </w:p>
    <w:p w14:paraId="6710270D">
      <w:pPr>
        <w:spacing w:line="360" w:lineRule="auto"/>
        <w:ind w:firstLine="480" w:firstLineChars="200"/>
        <w:rPr>
          <w:rFonts w:hint="eastAsia" w:ascii="宋体" w:hAnsi="宋体"/>
          <w:sz w:val="24"/>
        </w:rPr>
      </w:pPr>
      <w:r>
        <w:rPr>
          <w:rFonts w:hint="eastAsia" w:ascii="宋体" w:hAnsi="宋体"/>
          <w:sz w:val="24"/>
        </w:rPr>
        <w:t>经探水确认无突水危险后，方可向前掘进。每年雨季后，上部采空区的积水情况都在变化，一定要坚持“预测预报、有疑必停、有掘必探、先探后掘、先治后采”的原则。</w:t>
      </w:r>
    </w:p>
    <w:p w14:paraId="313D93DC">
      <w:pPr>
        <w:spacing w:line="360" w:lineRule="auto"/>
        <w:ind w:firstLine="480" w:firstLineChars="200"/>
        <w:rPr>
          <w:rFonts w:hint="eastAsia" w:ascii="宋体" w:hAnsi="宋体"/>
          <w:sz w:val="24"/>
        </w:rPr>
      </w:pPr>
      <w:r>
        <w:rPr>
          <w:rFonts w:hint="eastAsia" w:ascii="宋体" w:hAnsi="宋体"/>
          <w:sz w:val="24"/>
        </w:rPr>
        <w:t>区内有采煤历史较长，长期以来，一些地方小煤窑分布于可采煤层露头附近，形成的采空区较多。由于地质资料没有提供准确的小煤窑及老空区开采深度和范围，只提供了大至的老空区开采深度和范围，因此，无法确定小煤窑积水探水线的位置。所以在工作中一定要收集有关资料，确定小煤窑积水位置，以防开采浅部煤层时和小窑、老窑穿透而产生透水事故。</w:t>
      </w:r>
    </w:p>
    <w:p w14:paraId="664114DB">
      <w:pPr>
        <w:spacing w:line="360" w:lineRule="auto"/>
        <w:ind w:firstLine="480" w:firstLineChars="200"/>
        <w:rPr>
          <w:rFonts w:hint="eastAsia" w:ascii="宋体" w:hAnsi="宋体"/>
          <w:sz w:val="24"/>
        </w:rPr>
      </w:pPr>
      <w:r>
        <w:rPr>
          <w:rFonts w:hint="eastAsia" w:ascii="宋体" w:hAnsi="宋体"/>
          <w:sz w:val="24"/>
        </w:rPr>
        <w:t>16、探放水注意事项</w:t>
      </w:r>
    </w:p>
    <w:p w14:paraId="0B55D989">
      <w:pPr>
        <w:spacing w:line="360" w:lineRule="auto"/>
        <w:ind w:firstLine="480" w:firstLineChars="200"/>
        <w:rPr>
          <w:rFonts w:hint="eastAsia" w:ascii="宋体" w:hAnsi="宋体"/>
          <w:sz w:val="24"/>
        </w:rPr>
      </w:pPr>
      <w:r>
        <w:rPr>
          <w:rFonts w:hint="eastAsia" w:ascii="宋体" w:hAnsi="宋体"/>
          <w:sz w:val="24"/>
        </w:rPr>
        <w:t>（1）安装钻机探水前，要遵守下列规定：</w:t>
      </w:r>
    </w:p>
    <w:p w14:paraId="151A34B1">
      <w:pPr>
        <w:spacing w:line="360" w:lineRule="auto"/>
        <w:ind w:firstLine="480" w:firstLineChars="200"/>
        <w:rPr>
          <w:rFonts w:hint="eastAsia" w:ascii="宋体" w:hAnsi="宋体"/>
          <w:sz w:val="24"/>
        </w:rPr>
      </w:pPr>
      <w:r>
        <w:rPr>
          <w:rFonts w:hint="eastAsia" w:ascii="宋体" w:hAnsi="宋体"/>
          <w:sz w:val="24"/>
        </w:rPr>
        <w:t>1）加强钻场附近的支护，并在工作面迎头打好坚固的立柱和拦板。</w:t>
      </w:r>
    </w:p>
    <w:p w14:paraId="5B508D11">
      <w:pPr>
        <w:spacing w:line="360" w:lineRule="auto"/>
        <w:ind w:firstLine="480" w:firstLineChars="200"/>
        <w:rPr>
          <w:rFonts w:hint="eastAsia" w:ascii="宋体" w:hAnsi="宋体"/>
          <w:sz w:val="24"/>
        </w:rPr>
      </w:pPr>
      <w:r>
        <w:rPr>
          <w:rFonts w:hint="eastAsia" w:ascii="宋体" w:hAnsi="宋体"/>
          <w:sz w:val="24"/>
        </w:rPr>
        <w:t>2）清理巷道、挖好排水沟。探水钻孔位于巷道低洼处时，必须配备与探放水量相适应的排水设备。</w:t>
      </w:r>
    </w:p>
    <w:p w14:paraId="3522BFCC">
      <w:pPr>
        <w:spacing w:line="360" w:lineRule="auto"/>
        <w:ind w:firstLine="480" w:firstLineChars="200"/>
        <w:rPr>
          <w:rFonts w:hint="eastAsia" w:ascii="宋体" w:hAnsi="宋体"/>
          <w:sz w:val="24"/>
        </w:rPr>
      </w:pPr>
      <w:r>
        <w:rPr>
          <w:rFonts w:hint="eastAsia" w:ascii="宋体" w:hAnsi="宋体"/>
          <w:sz w:val="24"/>
        </w:rPr>
        <w:t>3）在打钻孔地点或附近安设专用电话。</w:t>
      </w:r>
    </w:p>
    <w:p w14:paraId="4543437F">
      <w:pPr>
        <w:spacing w:line="360" w:lineRule="auto"/>
        <w:ind w:firstLine="480" w:firstLineChars="200"/>
        <w:rPr>
          <w:rFonts w:hint="eastAsia" w:ascii="宋体" w:hAnsi="宋体"/>
          <w:sz w:val="24"/>
        </w:rPr>
      </w:pPr>
      <w:r>
        <w:rPr>
          <w:rFonts w:hint="eastAsia" w:ascii="宋体" w:hAnsi="宋体"/>
          <w:sz w:val="24"/>
        </w:rPr>
        <w:t>4）测量和防探水人员必须亲临现场，依据设计，确定主要探水孔的位置、方位、角度、深度以及钻孔数目。</w:t>
      </w:r>
    </w:p>
    <w:p w14:paraId="3E50C00B">
      <w:pPr>
        <w:spacing w:line="360" w:lineRule="auto"/>
        <w:ind w:firstLine="480" w:firstLineChars="200"/>
        <w:rPr>
          <w:rFonts w:hint="eastAsia" w:ascii="宋体" w:hAnsi="宋体"/>
          <w:sz w:val="24"/>
        </w:rPr>
      </w:pPr>
      <w:r>
        <w:rPr>
          <w:rFonts w:hint="eastAsia" w:ascii="宋体" w:hAnsi="宋体"/>
          <w:sz w:val="24"/>
        </w:rPr>
        <w:t>（2）预计水压较大的地区，探水钻进之前，必须安好孔口管和控制闸阀，进行耐压试验，达到设计承受的水压后，方可继续钻进。特别危险的地区，应有躲避场所，并规定避灾路线。</w:t>
      </w:r>
    </w:p>
    <w:p w14:paraId="3338008F">
      <w:pPr>
        <w:spacing w:line="360" w:lineRule="auto"/>
        <w:ind w:firstLine="480" w:firstLineChars="200"/>
        <w:rPr>
          <w:rFonts w:hint="eastAsia" w:ascii="宋体" w:hAnsi="宋体"/>
          <w:sz w:val="24"/>
        </w:rPr>
      </w:pPr>
      <w:r>
        <w:rPr>
          <w:rFonts w:hint="eastAsia" w:ascii="宋体" w:hAnsi="宋体"/>
          <w:sz w:val="24"/>
        </w:rPr>
        <w:t>（3）钻孔水压过大时，采用反压和有防喷装置的方法钻进，并有防止孔口管和煤（岩）避突然鼓出的措施。</w:t>
      </w:r>
    </w:p>
    <w:p w14:paraId="6B9DE42E">
      <w:pPr>
        <w:spacing w:line="360" w:lineRule="auto"/>
        <w:ind w:firstLine="480" w:firstLineChars="200"/>
        <w:rPr>
          <w:rFonts w:hint="eastAsia" w:ascii="宋体" w:hAnsi="宋体"/>
          <w:sz w:val="24"/>
        </w:rPr>
      </w:pPr>
      <w:r>
        <w:rPr>
          <w:rFonts w:hint="eastAsia" w:ascii="宋体" w:hAnsi="宋体"/>
          <w:sz w:val="24"/>
        </w:rPr>
        <w:t>（4）钻进时，发现煤岩松软、片帮、来压或钻孔中的水压、水量突然增大，以及有顶钻等异常状况时，必须停止钻进，但不得拔出钻杆，现场负责人应立即向调度室报告，并派人监测水情。如果发现情况危急时，必须立即撤出所有受水威胁的人员，然后采取措施，进行处理。</w:t>
      </w:r>
    </w:p>
    <w:p w14:paraId="7F5A13F2">
      <w:pPr>
        <w:spacing w:line="360" w:lineRule="auto"/>
        <w:ind w:firstLine="480" w:firstLineChars="200"/>
        <w:rPr>
          <w:rFonts w:hint="eastAsia" w:ascii="宋体" w:hAnsi="宋体"/>
          <w:sz w:val="24"/>
        </w:rPr>
      </w:pPr>
      <w:r>
        <w:rPr>
          <w:rFonts w:hint="eastAsia" w:ascii="宋体" w:hAnsi="宋体"/>
          <w:sz w:val="24"/>
        </w:rPr>
        <w:t>（5）探放老空水前，首先要分析查明老空水体的空间位置、积水量和水压。老空积水高于探放水点位置时，只准用钻机探放水。探放水孔必须打中老空水体，并要监视放水全过程，核对放水量，直到老空水放完为止。钻孔接近老空，预计可能有瓦斯或其它有害气体涌出时，必须有瓦斯检查员或矿山救护队员在现场值班，检查空气成分。如果瓦斯或其它有害气体浓度超过规程规定时，必须立即停止钻进，切断电源，撤出人员，并报告矿调度室，及时处理。</w:t>
      </w:r>
    </w:p>
    <w:p w14:paraId="1D0CBD7B">
      <w:pPr>
        <w:spacing w:line="360" w:lineRule="auto"/>
        <w:ind w:firstLine="480" w:firstLineChars="200"/>
        <w:rPr>
          <w:rFonts w:hint="eastAsia" w:ascii="宋体" w:hAnsi="宋体"/>
          <w:sz w:val="24"/>
        </w:rPr>
      </w:pPr>
      <w:r>
        <w:rPr>
          <w:rFonts w:hint="eastAsia" w:ascii="宋体" w:hAnsi="宋体"/>
          <w:sz w:val="24"/>
        </w:rPr>
        <w:t>（6）钻孔放水前，必须估计积水量，根据矿井排水能力和水仓容量，控制放水流量；放水时，必须设专人监测钻孔出水情况，测定水量、水压，做好记录。若水量突然变化，必须及时处理，并立即报告矿调度室。</w:t>
      </w:r>
    </w:p>
    <w:p w14:paraId="7E093D19">
      <w:pPr>
        <w:spacing w:line="360" w:lineRule="auto"/>
        <w:ind w:firstLine="480" w:firstLineChars="200"/>
        <w:rPr>
          <w:rFonts w:hint="eastAsia" w:ascii="宋体" w:hAnsi="宋体"/>
          <w:sz w:val="24"/>
        </w:rPr>
      </w:pPr>
      <w:r>
        <w:rPr>
          <w:rFonts w:hint="eastAsia" w:ascii="宋体" w:hAnsi="宋体"/>
          <w:sz w:val="24"/>
        </w:rPr>
        <w:t>（7）排除上山的积水以及恢复被淹井巷前，必须有矿山救护队检查水面上的空气成分，发现有害气体，必须及时处理。排水过程中，有害气体有突然涌出的可能，必须制定安全措施。</w:t>
      </w:r>
    </w:p>
    <w:p w14:paraId="79B78B71">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六</w:t>
      </w:r>
      <w:r>
        <w:rPr>
          <w:b/>
          <w:color w:val="000000"/>
          <w:kern w:val="0"/>
          <w:szCs w:val="20"/>
        </w:rPr>
        <w:t>、顶板冒落灾害的防治</w:t>
      </w:r>
      <w:bookmarkEnd w:id="449"/>
      <w:bookmarkEnd w:id="450"/>
      <w:bookmarkEnd w:id="451"/>
    </w:p>
    <w:p w14:paraId="36F94B40">
      <w:pPr>
        <w:adjustRightInd w:val="0"/>
        <w:snapToGrid w:val="0"/>
        <w:spacing w:line="360" w:lineRule="auto"/>
        <w:ind w:firstLine="480" w:firstLineChars="200"/>
        <w:rPr>
          <w:rFonts w:hint="eastAsia" w:ascii="宋体" w:hAnsi="宋体"/>
          <w:sz w:val="24"/>
        </w:rPr>
      </w:pPr>
      <w:r>
        <w:rPr>
          <w:rFonts w:ascii="宋体" w:hAnsi="宋体"/>
          <w:sz w:val="24"/>
        </w:rPr>
        <w:t>井田内可采煤层为K1-b</w:t>
      </w:r>
      <w:r>
        <w:rPr>
          <w:rFonts w:hint="eastAsia" w:ascii="宋体" w:hAnsi="宋体"/>
          <w:sz w:val="24"/>
        </w:rPr>
        <w:t>、K3、K9、K10、K13、K18、K26、K35</w:t>
      </w:r>
      <w:r>
        <w:rPr>
          <w:rFonts w:ascii="宋体" w:hAnsi="宋体"/>
          <w:sz w:val="24"/>
        </w:rPr>
        <w:t>-b</w:t>
      </w:r>
      <w:r>
        <w:rPr>
          <w:rFonts w:hint="eastAsia" w:ascii="宋体" w:hAnsi="宋体"/>
          <w:sz w:val="24"/>
        </w:rPr>
        <w:t>、K106</w:t>
      </w:r>
      <w:r>
        <w:rPr>
          <w:rFonts w:ascii="宋体" w:hAnsi="宋体"/>
          <w:sz w:val="24"/>
        </w:rPr>
        <w:t>-</w:t>
      </w:r>
      <w:r>
        <w:rPr>
          <w:rFonts w:hint="eastAsia" w:ascii="宋体" w:hAnsi="宋体"/>
          <w:sz w:val="24"/>
        </w:rPr>
        <w:t>b、K109</w:t>
      </w:r>
      <w:r>
        <w:rPr>
          <w:rFonts w:ascii="宋体" w:hAnsi="宋体"/>
          <w:sz w:val="24"/>
        </w:rPr>
        <w:t>-</w:t>
      </w:r>
      <w:r>
        <w:rPr>
          <w:rFonts w:hint="eastAsia" w:ascii="宋体" w:hAnsi="宋体"/>
          <w:sz w:val="24"/>
        </w:rPr>
        <w:t>b、K110</w:t>
      </w:r>
      <w:r>
        <w:rPr>
          <w:rFonts w:ascii="宋体" w:hAnsi="宋体"/>
          <w:sz w:val="24"/>
        </w:rPr>
        <w:t>-</w:t>
      </w:r>
      <w:r>
        <w:rPr>
          <w:rFonts w:hint="eastAsia" w:ascii="宋体" w:hAnsi="宋体"/>
          <w:sz w:val="24"/>
        </w:rPr>
        <w:t>a4</w:t>
      </w:r>
      <w:r>
        <w:rPr>
          <w:rFonts w:ascii="宋体" w:hAnsi="宋体"/>
          <w:sz w:val="24"/>
        </w:rPr>
        <w:t>煤层。其顶板多为粉砂岩、粉砂质泥岩、细砂岩、泥质粉砂岩、泥岩、炭质泥岩，力学强度中等，</w:t>
      </w:r>
      <w:r>
        <w:rPr>
          <w:rFonts w:hint="eastAsia" w:ascii="宋体" w:hAnsi="宋体"/>
          <w:sz w:val="24"/>
        </w:rPr>
        <w:t>稳定性一般，风化后易</w:t>
      </w:r>
      <w:r>
        <w:rPr>
          <w:rFonts w:ascii="宋体" w:hAnsi="宋体"/>
          <w:sz w:val="24"/>
        </w:rPr>
        <w:t>发生顶板跨</w:t>
      </w:r>
      <w:r>
        <w:rPr>
          <w:rFonts w:hint="eastAsia" w:ascii="宋体" w:hAnsi="宋体"/>
          <w:sz w:val="24"/>
        </w:rPr>
        <w:t>落；</w:t>
      </w:r>
      <w:r>
        <w:rPr>
          <w:rFonts w:ascii="宋体" w:hAnsi="宋体"/>
          <w:sz w:val="24"/>
        </w:rPr>
        <w:t>底板多为泥岩、粘土岩</w:t>
      </w:r>
      <w:r>
        <w:rPr>
          <w:rFonts w:hint="eastAsia" w:ascii="宋体" w:hAnsi="宋体"/>
          <w:sz w:val="24"/>
        </w:rPr>
        <w:t>，泥岩、</w:t>
      </w:r>
      <w:r>
        <w:rPr>
          <w:rFonts w:ascii="宋体" w:hAnsi="宋体"/>
          <w:sz w:val="24"/>
        </w:rPr>
        <w:t>粘土岩，力学强度低，</w:t>
      </w:r>
      <w:r>
        <w:rPr>
          <w:rFonts w:hint="eastAsia" w:ascii="宋体" w:hAnsi="宋体"/>
          <w:sz w:val="24"/>
        </w:rPr>
        <w:t>遇水后常易产生膨胀、底鼓现象。</w:t>
      </w:r>
    </w:p>
    <w:p w14:paraId="2A5CB73A">
      <w:pPr>
        <w:adjustRightInd w:val="0"/>
        <w:snapToGrid w:val="0"/>
        <w:spacing w:line="360" w:lineRule="auto"/>
        <w:ind w:firstLine="480" w:firstLineChars="200"/>
        <w:rPr>
          <w:rFonts w:ascii="宋体" w:hAnsi="宋体"/>
          <w:sz w:val="24"/>
        </w:rPr>
      </w:pPr>
      <w:r>
        <w:rPr>
          <w:rFonts w:hint="eastAsia" w:ascii="宋体" w:hAnsi="宋体"/>
          <w:sz w:val="24"/>
        </w:rPr>
        <w:t>本矿井采用机采，工作面支护</w:t>
      </w:r>
      <w:r>
        <w:rPr>
          <w:rFonts w:ascii="宋体" w:hAnsi="宋体"/>
          <w:sz w:val="24"/>
        </w:rPr>
        <w:t>选用适应能力较强的</w:t>
      </w:r>
      <w:r>
        <w:rPr>
          <w:rFonts w:hint="eastAsia" w:ascii="宋体" w:hAnsi="宋体"/>
          <w:sz w:val="24"/>
        </w:rPr>
        <w:t>单体液压支柱支护，</w:t>
      </w:r>
      <w:r>
        <w:rPr>
          <w:rFonts w:ascii="宋体" w:hAnsi="宋体"/>
          <w:sz w:val="24"/>
        </w:rPr>
        <w:t>其型号为</w:t>
      </w:r>
      <w:r>
        <w:rPr>
          <w:rFonts w:hint="eastAsia" w:ascii="宋体" w:hAnsi="宋体"/>
          <w:sz w:val="24"/>
        </w:rPr>
        <w:t>D</w:t>
      </w:r>
      <w:r>
        <w:rPr>
          <w:rFonts w:ascii="宋体" w:hAnsi="宋体"/>
          <w:sz w:val="24"/>
        </w:rPr>
        <w:t>Z</w:t>
      </w:r>
      <w:r>
        <w:rPr>
          <w:rFonts w:hint="eastAsia" w:ascii="宋体" w:hAnsi="宋体"/>
          <w:sz w:val="24"/>
        </w:rPr>
        <w:t>系列。</w:t>
      </w:r>
    </w:p>
    <w:p w14:paraId="751879B2">
      <w:pPr>
        <w:spacing w:line="360" w:lineRule="auto"/>
        <w:ind w:firstLine="480" w:firstLineChars="200"/>
        <w:rPr>
          <w:rFonts w:hint="eastAsia" w:ascii="宋体" w:hAnsi="宋体"/>
          <w:sz w:val="24"/>
        </w:rPr>
      </w:pPr>
      <w:r>
        <w:rPr>
          <w:rFonts w:hint="eastAsia" w:ascii="宋体" w:hAnsi="宋体"/>
          <w:sz w:val="24"/>
        </w:rPr>
        <w:t>本井田主采煤层顶板较完整，节理、裂隙发育，其稳定性较差，应对顶板加强支护和管理；底板由于遇水易膨胀，造成底鼓，在底板管理中消除积水或采取其它相应措施，消除底板软岩危害。</w:t>
      </w:r>
    </w:p>
    <w:p w14:paraId="5F35A127">
      <w:pPr>
        <w:adjustRightInd w:val="0"/>
        <w:snapToGrid w:val="0"/>
        <w:spacing w:line="360" w:lineRule="auto"/>
        <w:ind w:firstLine="480" w:firstLineChars="200"/>
        <w:rPr>
          <w:rFonts w:hint="eastAsia" w:ascii="宋体" w:hAnsi="宋体"/>
          <w:sz w:val="24"/>
        </w:rPr>
      </w:pPr>
      <w:r>
        <w:rPr>
          <w:rFonts w:hint="eastAsia" w:ascii="宋体" w:hAnsi="宋体"/>
          <w:sz w:val="24"/>
        </w:rPr>
        <w:t>1、防止</w:t>
      </w:r>
      <w:r>
        <w:rPr>
          <w:rFonts w:ascii="宋体" w:hAnsi="宋体"/>
          <w:sz w:val="24"/>
        </w:rPr>
        <w:t>顶板事故</w:t>
      </w:r>
      <w:r>
        <w:rPr>
          <w:rFonts w:hint="eastAsia" w:ascii="宋体" w:hAnsi="宋体"/>
          <w:sz w:val="24"/>
        </w:rPr>
        <w:t>发生的</w:t>
      </w:r>
      <w:r>
        <w:rPr>
          <w:rFonts w:ascii="宋体" w:hAnsi="宋体"/>
          <w:sz w:val="24"/>
        </w:rPr>
        <w:t>措施</w:t>
      </w:r>
    </w:p>
    <w:p w14:paraId="51757111">
      <w:pPr>
        <w:spacing w:line="360" w:lineRule="auto"/>
        <w:ind w:firstLine="480" w:firstLineChars="200"/>
        <w:rPr>
          <w:rFonts w:hint="eastAsia" w:ascii="宋体" w:hAnsi="宋体"/>
          <w:sz w:val="24"/>
        </w:rPr>
      </w:pPr>
      <w:r>
        <w:rPr>
          <w:rFonts w:hint="eastAsia" w:ascii="宋体" w:hAnsi="宋体"/>
          <w:sz w:val="24"/>
        </w:rPr>
        <w:t>（1）掘进工作面开工前必须编制作业规程，情况发生变化时，必须及时修改作业规程或补充安全措施；对漏垮型冒顶和游离大块掉落等必须特殊补充措施。</w:t>
      </w:r>
    </w:p>
    <w:p w14:paraId="45007FB2">
      <w:pPr>
        <w:spacing w:line="360" w:lineRule="auto"/>
        <w:ind w:firstLine="480" w:firstLineChars="200"/>
        <w:rPr>
          <w:rFonts w:hint="eastAsia" w:ascii="宋体" w:hAnsi="宋体"/>
          <w:sz w:val="24"/>
        </w:rPr>
      </w:pPr>
      <w:r>
        <w:rPr>
          <w:rFonts w:hint="eastAsia" w:ascii="宋体" w:hAnsi="宋体"/>
          <w:sz w:val="24"/>
        </w:rPr>
        <w:t>（2）掘进工作面严禁空顶作业，靠近工作面10m内的支护，在爆破前必须架设牢固；掘进工作面放炮后，首先恢复好被放炮冲倒、崩坏的支架，之后方可进入工作面作业，修复支架时必须先检查顶、帮，并由外向里逐架进行；出碴前，必须及时打上前探梁作临时支护，前探梁上必须铺上挑板，严禁空顶作业。</w:t>
      </w:r>
    </w:p>
    <w:p w14:paraId="525FCBF8">
      <w:pPr>
        <w:spacing w:line="360" w:lineRule="auto"/>
        <w:ind w:firstLine="480" w:firstLineChars="200"/>
        <w:rPr>
          <w:rFonts w:hint="eastAsia" w:ascii="宋体" w:hAnsi="宋体"/>
          <w:sz w:val="24"/>
        </w:rPr>
      </w:pPr>
      <w:r>
        <w:rPr>
          <w:rFonts w:hint="eastAsia" w:ascii="宋体" w:hAnsi="宋体"/>
          <w:sz w:val="24"/>
        </w:rPr>
        <w:t>（3）必须采取前探支护或其他措施。</w:t>
      </w:r>
    </w:p>
    <w:p w14:paraId="66502529">
      <w:pPr>
        <w:spacing w:line="360" w:lineRule="auto"/>
        <w:ind w:firstLine="480" w:firstLineChars="200"/>
        <w:rPr>
          <w:rFonts w:hint="eastAsia" w:ascii="宋体" w:hAnsi="宋体"/>
          <w:sz w:val="24"/>
        </w:rPr>
      </w:pPr>
      <w:r>
        <w:rPr>
          <w:rFonts w:hint="eastAsia" w:ascii="宋体" w:hAnsi="宋体"/>
          <w:sz w:val="24"/>
        </w:rPr>
        <w:t>（4）支架间应设牢固的撑木或拉杆，支架与顶、帮之间的空隙必须塞紧、背实。巷道冒顶部分，可用支护材料接顶，但在碹拱上部必须充填不燃物垫层，其厚度不小于0.5m。</w:t>
      </w:r>
    </w:p>
    <w:p w14:paraId="1ABB2CA9">
      <w:pPr>
        <w:spacing w:line="360" w:lineRule="auto"/>
        <w:ind w:firstLine="480" w:firstLineChars="200"/>
        <w:rPr>
          <w:rFonts w:hint="eastAsia" w:ascii="宋体" w:hAnsi="宋体"/>
          <w:sz w:val="24"/>
        </w:rPr>
      </w:pPr>
      <w:r>
        <w:rPr>
          <w:rFonts w:hint="eastAsia" w:ascii="宋体" w:hAnsi="宋体"/>
          <w:sz w:val="24"/>
        </w:rPr>
        <w:t>（5）更换巷道支护时，在拆除原有支护前，应先加固临近支护，拆除原有支护后，必须及时除掉顶帮活矸和架设永久支护，必要时还必须采取临时支护措施；在倾斜巷道中，必须有防止矸石、物料滚落和支架歪倒的安全措施。</w:t>
      </w:r>
    </w:p>
    <w:p w14:paraId="2F70B39B">
      <w:pPr>
        <w:spacing w:line="360" w:lineRule="auto"/>
        <w:ind w:firstLine="480" w:firstLineChars="200"/>
        <w:rPr>
          <w:rFonts w:hint="eastAsia" w:ascii="宋体" w:hAnsi="宋体"/>
          <w:sz w:val="24"/>
        </w:rPr>
      </w:pPr>
      <w:r>
        <w:rPr>
          <w:rFonts w:hint="eastAsia" w:ascii="宋体" w:hAnsi="宋体"/>
          <w:sz w:val="24"/>
        </w:rPr>
        <w:t>（6）掘进巷道在揭露老空前，必须制定探查老空的安全措施，在揭露老空时，必须将人员撤到安全地点，只有经过检查，证明老空的水、瓦斯和其他有害气体等无危险后，方可恢复工作。</w:t>
      </w:r>
    </w:p>
    <w:p w14:paraId="46960487">
      <w:pPr>
        <w:spacing w:line="360" w:lineRule="auto"/>
        <w:ind w:firstLine="480" w:firstLineChars="200"/>
        <w:rPr>
          <w:rFonts w:hint="eastAsia" w:ascii="宋体" w:hAnsi="宋体"/>
          <w:sz w:val="24"/>
        </w:rPr>
      </w:pPr>
      <w:r>
        <w:rPr>
          <w:rFonts w:hint="eastAsia" w:ascii="宋体" w:hAnsi="宋体"/>
          <w:sz w:val="24"/>
        </w:rPr>
        <w:t>2、遇特殊情况，还应采取相应措施。</w:t>
      </w:r>
    </w:p>
    <w:p w14:paraId="7541EB6B">
      <w:pPr>
        <w:spacing w:line="360" w:lineRule="auto"/>
        <w:ind w:firstLine="480" w:firstLineChars="200"/>
        <w:rPr>
          <w:rFonts w:hint="eastAsia" w:ascii="宋体" w:hAnsi="宋体"/>
          <w:sz w:val="24"/>
        </w:rPr>
      </w:pPr>
      <w:r>
        <w:rPr>
          <w:rFonts w:hint="eastAsia" w:ascii="宋体" w:hAnsi="宋体"/>
          <w:sz w:val="24"/>
        </w:rPr>
        <w:t>（1）回采工作面回采前必须编制作业规程，情况发生变化时，必须及时修改作业规程或补充安全措施。对漏垮型冒顶和游离大块推倒型冒顶及游离大块掉落等必须特殊补充措施。</w:t>
      </w:r>
    </w:p>
    <w:p w14:paraId="35225E70">
      <w:pPr>
        <w:spacing w:line="360" w:lineRule="auto"/>
        <w:ind w:firstLine="480" w:firstLineChars="200"/>
        <w:rPr>
          <w:rFonts w:hint="eastAsia" w:ascii="宋体" w:hAnsi="宋体"/>
          <w:sz w:val="24"/>
        </w:rPr>
      </w:pPr>
      <w:r>
        <w:rPr>
          <w:rFonts w:hint="eastAsia" w:ascii="宋体" w:hAnsi="宋体"/>
          <w:sz w:val="24"/>
        </w:rPr>
        <w:t>（2）上、下巷发生支架断梁折柱、巷道底鼓变形时，必须及时更换、清挖。尤其顶板出现小的冒空时，必须及时加强背顶，充填。</w:t>
      </w:r>
    </w:p>
    <w:p w14:paraId="2B4AFC99">
      <w:pPr>
        <w:spacing w:line="360" w:lineRule="auto"/>
        <w:ind w:firstLine="480" w:firstLineChars="200"/>
        <w:rPr>
          <w:rFonts w:hint="eastAsia" w:ascii="宋体" w:hAnsi="宋体"/>
          <w:sz w:val="24"/>
        </w:rPr>
      </w:pPr>
      <w:r>
        <w:rPr>
          <w:rFonts w:hint="eastAsia" w:ascii="宋体" w:hAnsi="宋体"/>
          <w:sz w:val="24"/>
        </w:rPr>
        <w:t>（3）采煤工作面必须经常存有一定数量的支护材料，本设计使用单体液压支柱，必须备有坑木，其数量、规格存放地点和管理方法必须在作业规程中规定。</w:t>
      </w:r>
    </w:p>
    <w:p w14:paraId="324C5934">
      <w:pPr>
        <w:spacing w:line="360" w:lineRule="auto"/>
        <w:ind w:firstLine="480" w:firstLineChars="200"/>
        <w:rPr>
          <w:rFonts w:hint="eastAsia" w:ascii="宋体" w:hAnsi="宋体"/>
          <w:sz w:val="24"/>
        </w:rPr>
      </w:pPr>
      <w:r>
        <w:rPr>
          <w:rFonts w:hint="eastAsia" w:ascii="宋体" w:hAnsi="宋体"/>
          <w:sz w:val="24"/>
        </w:rPr>
        <w:t>采煤工作面严禁使用折损的坑木、损坏的金属顶梁和失效的单体液压支柱。在同一工作面中不得使用不同类型和不同性能的支柱，严禁金木混支；在地质条件复杂的采煤工作面中必须使用不同类型的支柱时，必须分段使用，严禁金木混支，并必须制定安全措施。</w:t>
      </w:r>
    </w:p>
    <w:p w14:paraId="5332B7C6">
      <w:pPr>
        <w:spacing w:line="360" w:lineRule="auto"/>
        <w:ind w:firstLine="480" w:firstLineChars="200"/>
        <w:rPr>
          <w:rFonts w:hint="eastAsia" w:ascii="宋体" w:hAnsi="宋体"/>
          <w:sz w:val="24"/>
        </w:rPr>
      </w:pPr>
      <w:r>
        <w:rPr>
          <w:rFonts w:hint="eastAsia" w:ascii="宋体" w:hAnsi="宋体"/>
          <w:sz w:val="24"/>
        </w:rPr>
        <w:t>（4）单体液压支柱入井前必须逐根进行压力试验。单体液压支柱、金属铰接顶梁，在采煤工作面结束后或使用时间超过8个月后，必须升井进行检修。检修好的支柱还必须进行压力试验，合格后方能入井使用。</w:t>
      </w:r>
    </w:p>
    <w:p w14:paraId="3B03ACD1">
      <w:pPr>
        <w:spacing w:line="360" w:lineRule="auto"/>
        <w:ind w:firstLine="480" w:firstLineChars="200"/>
        <w:rPr>
          <w:rFonts w:hint="eastAsia" w:ascii="宋体" w:hAnsi="宋体"/>
          <w:sz w:val="24"/>
        </w:rPr>
      </w:pPr>
      <w:r>
        <w:rPr>
          <w:rFonts w:hint="eastAsia" w:ascii="宋体" w:hAnsi="宋体"/>
          <w:sz w:val="24"/>
        </w:rPr>
        <w:t>（5）采煤工作面必须按作业规程的规定及时支护，严禁空顶作业，所有支架必须架设牢固，并有防倒措施；支柱必须垂直于顶、底板打设，严禁打在浮煤浮矸上；使用单体液压支柱时，初撑力不得小于90kN，严禁在控顶区域内提前摘柱，碰倒或损坏、失效的支柱必须立即恢复或更换。</w:t>
      </w:r>
    </w:p>
    <w:p w14:paraId="3C3CE430">
      <w:pPr>
        <w:spacing w:line="360" w:lineRule="auto"/>
        <w:ind w:firstLine="480" w:firstLineChars="200"/>
        <w:rPr>
          <w:rFonts w:hint="eastAsia" w:ascii="宋体" w:hAnsi="宋体"/>
          <w:sz w:val="24"/>
        </w:rPr>
      </w:pPr>
      <w:r>
        <w:rPr>
          <w:rFonts w:hint="eastAsia" w:ascii="宋体" w:hAnsi="宋体"/>
          <w:sz w:val="24"/>
        </w:rPr>
        <w:t>（6）在开工前，班组长必须对工作面安全情况进行全面检查，确认无危险后，方准人员进入工作面；在进入采掘工作面工作前，首先进行敲帮问顶工作，严格执行敲帮问顶制度，及时找掉活石悬矸，以免掉落伤人。采煤工作面采煤机割煤后，必须及时挂梁，及时恢复好被放炮冲倒的支柱，并打好临时护身顶柱，人员必须在护身顶柱下攉煤，攉完煤及时打好支柱和贴帮柱，严格按设计或作业规程规定及时支护，严禁空顶作业。</w:t>
      </w:r>
    </w:p>
    <w:p w14:paraId="6FF47610">
      <w:pPr>
        <w:spacing w:line="360" w:lineRule="auto"/>
        <w:ind w:firstLine="480" w:firstLineChars="200"/>
        <w:rPr>
          <w:rFonts w:hint="eastAsia" w:ascii="宋体" w:hAnsi="宋体"/>
          <w:sz w:val="24"/>
        </w:rPr>
      </w:pPr>
      <w:r>
        <w:rPr>
          <w:rFonts w:hint="eastAsia" w:ascii="宋体" w:hAnsi="宋体"/>
          <w:sz w:val="24"/>
        </w:rPr>
        <w:t>（7）当遇顶板条件变化时，必须及时修改《作业规程》，制定有针对性的支护措施。</w:t>
      </w:r>
    </w:p>
    <w:p w14:paraId="359A4898">
      <w:pPr>
        <w:spacing w:line="360" w:lineRule="auto"/>
        <w:ind w:firstLine="480" w:firstLineChars="200"/>
        <w:rPr>
          <w:rFonts w:hint="eastAsia" w:ascii="宋体" w:hAnsi="宋体"/>
          <w:sz w:val="24"/>
        </w:rPr>
      </w:pPr>
      <w:r>
        <w:rPr>
          <w:rFonts w:hint="eastAsia" w:ascii="宋体" w:hAnsi="宋体"/>
          <w:sz w:val="24"/>
        </w:rPr>
        <w:t>（8）回柱时，放顶人员必须站在顶板完整、支柱完好、无崩绳、崩柱、甩钩、断绳抽人等危险的安全地点工作，回柱放顶前必须事先清理好退路，确保退路畅通；回柱放顶时，必须指定有经验的人员观察顶板。</w:t>
      </w:r>
    </w:p>
    <w:p w14:paraId="51257EDB">
      <w:pPr>
        <w:spacing w:line="360" w:lineRule="auto"/>
        <w:ind w:firstLine="480" w:firstLineChars="200"/>
        <w:rPr>
          <w:rFonts w:hint="eastAsia" w:ascii="宋体" w:hAnsi="宋体"/>
          <w:sz w:val="24"/>
        </w:rPr>
      </w:pPr>
      <w:r>
        <w:rPr>
          <w:rFonts w:hint="eastAsia" w:ascii="宋体" w:hAnsi="宋体"/>
          <w:sz w:val="24"/>
        </w:rPr>
        <w:t>（9）支柱打设必须迎山有劲，支柱打设必须成排成行，保证排、柱距不超宽，确保有足够的支护密度。</w:t>
      </w:r>
    </w:p>
    <w:p w14:paraId="3E795642">
      <w:pPr>
        <w:spacing w:line="360" w:lineRule="auto"/>
        <w:ind w:firstLine="480" w:firstLineChars="200"/>
        <w:rPr>
          <w:rFonts w:hint="eastAsia" w:ascii="宋体" w:hAnsi="宋体"/>
          <w:sz w:val="24"/>
        </w:rPr>
      </w:pPr>
      <w:r>
        <w:rPr>
          <w:rFonts w:hint="eastAsia" w:ascii="宋体" w:hAnsi="宋体"/>
          <w:sz w:val="24"/>
        </w:rPr>
        <w:t>（10）打柱时必须在金属顶梁上用小板将顶背实，确保不发生漏顶。</w:t>
      </w:r>
    </w:p>
    <w:p w14:paraId="67906D72">
      <w:pPr>
        <w:spacing w:line="360" w:lineRule="auto"/>
        <w:ind w:firstLine="480" w:firstLineChars="200"/>
        <w:rPr>
          <w:rFonts w:hint="eastAsia" w:ascii="宋体" w:hAnsi="宋体"/>
          <w:sz w:val="24"/>
        </w:rPr>
      </w:pPr>
      <w:r>
        <w:rPr>
          <w:rFonts w:hint="eastAsia" w:ascii="宋体" w:hAnsi="宋体"/>
          <w:sz w:val="24"/>
        </w:rPr>
        <w:t>（11）加强采掘工作面的工程质量的检查和验收，不合格的支柱必须推倒重来，支柱或支架必须符合《作业规程》的规定。</w:t>
      </w:r>
    </w:p>
    <w:p w14:paraId="005D5DE2">
      <w:pPr>
        <w:spacing w:line="360" w:lineRule="auto"/>
        <w:ind w:firstLine="480" w:firstLineChars="200"/>
        <w:rPr>
          <w:rFonts w:hint="eastAsia" w:ascii="宋体" w:hAnsi="宋体"/>
          <w:sz w:val="24"/>
        </w:rPr>
      </w:pPr>
      <w:r>
        <w:rPr>
          <w:rFonts w:hint="eastAsia" w:ascii="宋体" w:hAnsi="宋体"/>
          <w:sz w:val="24"/>
        </w:rPr>
        <w:t>（12）在回柱放顶前必须先打好放顶线的特殊支护，禁止先回后打，回下的支柱必须堆码整齐，保证退路畅通。</w:t>
      </w:r>
    </w:p>
    <w:p w14:paraId="6E60ACB8">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七、矿井主要安全措施及安全设备选型</w:t>
      </w:r>
    </w:p>
    <w:p w14:paraId="043FFE9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为了保证各采掘工作面和硐室的风量，并使风流按规定的方向流动，在通风系统中设置有风门等构筑物。风门等通风构筑物的设置应坚固、稳定，并加强通风管理，及时进行检查与维修，为防止爆炸性气体爆炸时冲击主要通风机，在回风斜井口设置防爆门。矿井主要通风机设有反风装置，必要时可进行全矿井反向通风。</w:t>
      </w:r>
    </w:p>
    <w:p w14:paraId="2484D3EC">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为降低风阻，砌碹、锚喷表面应尽量平滑平整，巷道连接处应做成斜线或圆弧形，巷道拐弯处应尽量避免直角转弯或小于90度转弯，并使其内外侧施工成斜线或圆弧形，必要时设置导风板。主要巷道中应避免停放矿车、堆放杂物，以利用风流畅通。</w:t>
      </w:r>
    </w:p>
    <w:p w14:paraId="2BE76888">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2、建立、健全安全生产责任制、安全目标管理制度、安全隐患排查制度、安全检查制度等，并制定安全技术计划，对职工进行安全培训，未经培训不得上岗，特种作业人员必须持证上岗。</w:t>
      </w:r>
    </w:p>
    <w:p w14:paraId="3C7DD2CD">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3、必须购买和使用经过安全检验并取得煤矿专用产品安全标志的设备。</w:t>
      </w:r>
    </w:p>
    <w:p w14:paraId="25B2A95D">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4、入井人员必须戴安全帽，随身携带自救器和矿灯，严禁携带香烟及点火物品及穿化纤衣服、喝酒下井作业。</w:t>
      </w:r>
    </w:p>
    <w:p w14:paraId="7C0103EC">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5、副斜井必须设置躲避硐室及防滑、防跑车装置，井巷交叉地点设置路标，安全出口须经常清理和维护。</w:t>
      </w:r>
    </w:p>
    <w:p w14:paraId="17DF888C">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6、绞车信号等应由专职信号工发送，作业人员应熟悉其信号。</w:t>
      </w:r>
    </w:p>
    <w:p w14:paraId="3494C19E">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7、井下作业场所接近小窑采空区附近时，应做到”预测预报、有掘必探，先探后掘、先治后采”</w:t>
      </w:r>
      <w:r>
        <w:rPr>
          <w:rFonts w:ascii="宋体" w:hAnsi="宋体"/>
          <w:color w:val="000000"/>
          <w:sz w:val="24"/>
        </w:rPr>
        <w:t>,</w:t>
      </w:r>
      <w:r>
        <w:rPr>
          <w:rFonts w:hint="eastAsia" w:ascii="宋体" w:hAnsi="宋体"/>
          <w:color w:val="000000"/>
          <w:sz w:val="24"/>
        </w:rPr>
        <w:t>防止出现透水事故。</w:t>
      </w:r>
    </w:p>
    <w:p w14:paraId="2A65633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8、采煤工作面遇到顶板松软或破碎、过断层、过老空区、过煤柱、以及冒顶区时均应制定安全技术措施。</w:t>
      </w:r>
    </w:p>
    <w:p w14:paraId="40005613">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9、严格执行敲帮问顶制度。</w:t>
      </w:r>
    </w:p>
    <w:p w14:paraId="2B54E0D5">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10、采空区、原有老巷以及作废巷道必须及时密闭。</w:t>
      </w:r>
    </w:p>
    <w:p w14:paraId="6D1EC59B">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11、安全监控设备须定期调试和校正。</w:t>
      </w:r>
    </w:p>
    <w:p w14:paraId="64732E41">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12、地表水体、断层、老窑采空区、与邻近井田的人为境界必须按设计留设隔离煤柱。</w:t>
      </w:r>
    </w:p>
    <w:p w14:paraId="533C31AE">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13、爆破作业必须编制爆破作业规程，并遵守《煤矿安全规程》（2010版）的有关规定。</w:t>
      </w:r>
    </w:p>
    <w:p w14:paraId="312D4101">
      <w:pPr>
        <w:adjustRightInd w:val="0"/>
        <w:snapToGrid w:val="0"/>
        <w:spacing w:line="360" w:lineRule="auto"/>
        <w:ind w:firstLine="480" w:firstLineChars="200"/>
        <w:rPr>
          <w:rFonts w:hint="eastAsia" w:ascii="宋体" w:hAnsi="宋体"/>
          <w:b/>
          <w:color w:val="000000"/>
          <w:sz w:val="24"/>
        </w:rPr>
      </w:pPr>
      <w:r>
        <w:rPr>
          <w:rFonts w:hint="eastAsia" w:ascii="宋体" w:hAnsi="宋体"/>
          <w:color w:val="000000"/>
          <w:sz w:val="24"/>
        </w:rPr>
        <w:t>14、所有作业地点必须编制有针对性的作业规程或安全技术措施。矿井安全设备配备详见</w:t>
      </w:r>
      <w:r>
        <w:rPr>
          <w:rFonts w:hint="eastAsia" w:ascii="宋体" w:hAnsi="宋体"/>
          <w:b/>
          <w:color w:val="000000"/>
          <w:sz w:val="24"/>
        </w:rPr>
        <w:t>表4－3－2</w:t>
      </w:r>
    </w:p>
    <w:p w14:paraId="12A2C702">
      <w:pPr>
        <w:spacing w:line="360" w:lineRule="auto"/>
        <w:ind w:firstLine="482" w:firstLineChars="200"/>
        <w:jc w:val="center"/>
        <w:rPr>
          <w:rFonts w:hint="eastAsia" w:ascii="宋体" w:hAnsi="宋体"/>
          <w:b/>
          <w:color w:val="000000"/>
          <w:sz w:val="24"/>
        </w:rPr>
      </w:pPr>
      <w:r>
        <w:rPr>
          <w:rFonts w:hint="eastAsia" w:ascii="宋体" w:hAnsi="宋体"/>
          <w:b/>
          <w:color w:val="000000"/>
          <w:sz w:val="24"/>
        </w:rPr>
        <w:t>表4－3－2　　矿井安全设配备表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7"/>
        <w:gridCol w:w="2628"/>
        <w:gridCol w:w="1617"/>
        <w:gridCol w:w="743"/>
        <w:gridCol w:w="900"/>
        <w:gridCol w:w="2389"/>
      </w:tblGrid>
      <w:tr w14:paraId="2FF48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tblHeader/>
          <w:jc w:val="center"/>
        </w:trPr>
        <w:tc>
          <w:tcPr>
            <w:tcW w:w="737" w:type="dxa"/>
            <w:noWrap w:val="0"/>
            <w:vAlign w:val="center"/>
          </w:tcPr>
          <w:p w14:paraId="7CFDA34D">
            <w:pPr>
              <w:adjustRightInd w:val="0"/>
              <w:snapToGrid w:val="0"/>
              <w:jc w:val="center"/>
              <w:rPr>
                <w:rFonts w:ascii="宋体" w:hAnsi="宋体"/>
                <w:bCs/>
                <w:snapToGrid w:val="0"/>
                <w:kern w:val="0"/>
                <w:sz w:val="24"/>
              </w:rPr>
            </w:pPr>
            <w:bookmarkStart w:id="452" w:name="_Hlt89071845"/>
            <w:bookmarkEnd w:id="452"/>
            <w:bookmarkStart w:id="453" w:name="_Hlt89071879"/>
            <w:bookmarkEnd w:id="453"/>
            <w:bookmarkStart w:id="454" w:name="_Toc20112196"/>
            <w:bookmarkStart w:id="455" w:name="_Toc24611644"/>
            <w:bookmarkStart w:id="456" w:name="_Toc26188411"/>
            <w:bookmarkStart w:id="457" w:name="_Toc26188587"/>
            <w:bookmarkStart w:id="458" w:name="_Toc27657790"/>
            <w:bookmarkStart w:id="459" w:name="_Toc27657985"/>
            <w:bookmarkStart w:id="460" w:name="_Toc27658513"/>
            <w:bookmarkStart w:id="461" w:name="_Toc27658646"/>
            <w:bookmarkStart w:id="462" w:name="_Toc37524606"/>
            <w:r>
              <w:rPr>
                <w:rFonts w:hint="eastAsia" w:ascii="宋体" w:hAnsi="宋体"/>
                <w:bCs/>
                <w:snapToGrid w:val="0"/>
                <w:kern w:val="0"/>
                <w:sz w:val="24"/>
              </w:rPr>
              <w:t>序号</w:t>
            </w:r>
          </w:p>
        </w:tc>
        <w:tc>
          <w:tcPr>
            <w:tcW w:w="2628" w:type="dxa"/>
            <w:noWrap w:val="0"/>
            <w:vAlign w:val="center"/>
          </w:tcPr>
          <w:p w14:paraId="05B142C0">
            <w:pPr>
              <w:adjustRightInd w:val="0"/>
              <w:snapToGrid w:val="0"/>
              <w:jc w:val="center"/>
              <w:rPr>
                <w:rFonts w:ascii="宋体" w:hAnsi="宋体"/>
                <w:bCs/>
                <w:snapToGrid w:val="0"/>
                <w:kern w:val="0"/>
                <w:sz w:val="24"/>
              </w:rPr>
            </w:pPr>
            <w:r>
              <w:rPr>
                <w:rFonts w:hint="eastAsia" w:ascii="宋体" w:hAnsi="宋体"/>
                <w:bCs/>
                <w:snapToGrid w:val="0"/>
                <w:kern w:val="0"/>
                <w:sz w:val="24"/>
              </w:rPr>
              <w:t>名        称</w:t>
            </w:r>
          </w:p>
        </w:tc>
        <w:tc>
          <w:tcPr>
            <w:tcW w:w="1617" w:type="dxa"/>
            <w:noWrap w:val="0"/>
            <w:vAlign w:val="center"/>
          </w:tcPr>
          <w:p w14:paraId="42383544">
            <w:pPr>
              <w:adjustRightInd w:val="0"/>
              <w:snapToGrid w:val="0"/>
              <w:jc w:val="center"/>
              <w:rPr>
                <w:rFonts w:ascii="宋体" w:hAnsi="宋体"/>
                <w:bCs/>
                <w:snapToGrid w:val="0"/>
                <w:kern w:val="0"/>
                <w:sz w:val="24"/>
              </w:rPr>
            </w:pPr>
            <w:r>
              <w:rPr>
                <w:rFonts w:hint="eastAsia" w:ascii="宋体" w:hAnsi="宋体"/>
                <w:bCs/>
                <w:snapToGrid w:val="0"/>
                <w:kern w:val="0"/>
                <w:sz w:val="24"/>
              </w:rPr>
              <w:t>型    号</w:t>
            </w:r>
          </w:p>
        </w:tc>
        <w:tc>
          <w:tcPr>
            <w:tcW w:w="743" w:type="dxa"/>
            <w:noWrap w:val="0"/>
            <w:vAlign w:val="center"/>
          </w:tcPr>
          <w:p w14:paraId="7BD793AD">
            <w:pPr>
              <w:adjustRightInd w:val="0"/>
              <w:snapToGrid w:val="0"/>
              <w:jc w:val="center"/>
              <w:rPr>
                <w:rFonts w:ascii="宋体" w:hAnsi="宋体"/>
                <w:bCs/>
                <w:snapToGrid w:val="0"/>
                <w:kern w:val="0"/>
                <w:sz w:val="24"/>
              </w:rPr>
            </w:pPr>
            <w:r>
              <w:rPr>
                <w:rFonts w:hint="eastAsia" w:ascii="宋体" w:hAnsi="宋体"/>
                <w:bCs/>
                <w:snapToGrid w:val="0"/>
                <w:kern w:val="0"/>
                <w:sz w:val="24"/>
              </w:rPr>
              <w:t>单位</w:t>
            </w:r>
          </w:p>
        </w:tc>
        <w:tc>
          <w:tcPr>
            <w:tcW w:w="900" w:type="dxa"/>
            <w:noWrap w:val="0"/>
            <w:vAlign w:val="center"/>
          </w:tcPr>
          <w:p w14:paraId="23C950E5">
            <w:pPr>
              <w:adjustRightInd w:val="0"/>
              <w:snapToGrid w:val="0"/>
              <w:jc w:val="center"/>
              <w:rPr>
                <w:rFonts w:ascii="宋体" w:hAnsi="宋体"/>
                <w:bCs/>
                <w:snapToGrid w:val="0"/>
                <w:kern w:val="0"/>
                <w:sz w:val="24"/>
              </w:rPr>
            </w:pPr>
            <w:r>
              <w:rPr>
                <w:rFonts w:hint="eastAsia" w:ascii="宋体" w:hAnsi="宋体"/>
                <w:bCs/>
                <w:snapToGrid w:val="0"/>
                <w:kern w:val="0"/>
                <w:sz w:val="24"/>
              </w:rPr>
              <w:t>数量</w:t>
            </w:r>
          </w:p>
        </w:tc>
        <w:tc>
          <w:tcPr>
            <w:tcW w:w="2389" w:type="dxa"/>
            <w:noWrap w:val="0"/>
            <w:vAlign w:val="center"/>
          </w:tcPr>
          <w:p w14:paraId="0A270348">
            <w:pPr>
              <w:adjustRightInd w:val="0"/>
              <w:snapToGrid w:val="0"/>
              <w:jc w:val="center"/>
              <w:rPr>
                <w:rFonts w:ascii="宋体" w:hAnsi="宋体"/>
                <w:bCs/>
                <w:snapToGrid w:val="0"/>
                <w:kern w:val="0"/>
                <w:sz w:val="24"/>
              </w:rPr>
            </w:pPr>
            <w:r>
              <w:rPr>
                <w:rFonts w:hint="eastAsia" w:ascii="宋体" w:hAnsi="宋体"/>
                <w:bCs/>
                <w:snapToGrid w:val="0"/>
                <w:kern w:val="0"/>
                <w:sz w:val="24"/>
              </w:rPr>
              <w:t>备         注</w:t>
            </w:r>
          </w:p>
        </w:tc>
      </w:tr>
      <w:tr w14:paraId="3F7E48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0AAD0FA6">
            <w:pPr>
              <w:adjustRightInd w:val="0"/>
              <w:snapToGrid w:val="0"/>
              <w:jc w:val="center"/>
              <w:rPr>
                <w:rFonts w:ascii="宋体" w:hAnsi="宋体"/>
                <w:snapToGrid w:val="0"/>
                <w:kern w:val="0"/>
                <w:sz w:val="24"/>
              </w:rPr>
            </w:pPr>
            <w:r>
              <w:rPr>
                <w:rFonts w:ascii="宋体" w:hAnsi="宋体"/>
                <w:snapToGrid w:val="0"/>
                <w:kern w:val="0"/>
                <w:sz w:val="24"/>
              </w:rPr>
              <w:t>1</w:t>
            </w:r>
          </w:p>
        </w:tc>
        <w:tc>
          <w:tcPr>
            <w:tcW w:w="2628" w:type="dxa"/>
            <w:noWrap w:val="0"/>
            <w:vAlign w:val="center"/>
          </w:tcPr>
          <w:p w14:paraId="205BD8B7">
            <w:pPr>
              <w:adjustRightInd w:val="0"/>
              <w:snapToGrid w:val="0"/>
              <w:rPr>
                <w:rFonts w:ascii="宋体" w:hAnsi="宋体"/>
                <w:snapToGrid w:val="0"/>
                <w:kern w:val="0"/>
                <w:sz w:val="24"/>
              </w:rPr>
            </w:pPr>
            <w:r>
              <w:rPr>
                <w:rFonts w:hint="eastAsia" w:ascii="宋体" w:hAnsi="宋体"/>
                <w:snapToGrid w:val="0"/>
                <w:kern w:val="0"/>
                <w:sz w:val="24"/>
              </w:rPr>
              <w:t>光学瓦斯检定器</w:t>
            </w:r>
          </w:p>
        </w:tc>
        <w:tc>
          <w:tcPr>
            <w:tcW w:w="1617" w:type="dxa"/>
            <w:noWrap w:val="0"/>
            <w:vAlign w:val="center"/>
          </w:tcPr>
          <w:p w14:paraId="5DED02E9">
            <w:pPr>
              <w:adjustRightInd w:val="0"/>
              <w:snapToGrid w:val="0"/>
              <w:rPr>
                <w:rFonts w:ascii="宋体" w:hAnsi="宋体"/>
                <w:snapToGrid w:val="0"/>
                <w:kern w:val="0"/>
                <w:sz w:val="24"/>
              </w:rPr>
            </w:pPr>
            <w:r>
              <w:rPr>
                <w:rFonts w:ascii="宋体" w:hAnsi="宋体"/>
                <w:snapToGrid w:val="0"/>
                <w:kern w:val="0"/>
                <w:sz w:val="24"/>
              </w:rPr>
              <w:t>GWJ-1A</w:t>
            </w:r>
          </w:p>
        </w:tc>
        <w:tc>
          <w:tcPr>
            <w:tcW w:w="743" w:type="dxa"/>
            <w:noWrap w:val="0"/>
            <w:vAlign w:val="center"/>
          </w:tcPr>
          <w:p w14:paraId="27008FC6">
            <w:pPr>
              <w:adjustRightInd w:val="0"/>
              <w:snapToGrid w:val="0"/>
              <w:jc w:val="center"/>
              <w:rPr>
                <w:rFonts w:ascii="宋体" w:hAnsi="宋体"/>
                <w:snapToGrid w:val="0"/>
                <w:kern w:val="0"/>
                <w:sz w:val="24"/>
              </w:rPr>
            </w:pPr>
            <w:r>
              <w:rPr>
                <w:rFonts w:hint="eastAsia" w:ascii="宋体" w:hAnsi="宋体"/>
                <w:snapToGrid w:val="0"/>
                <w:kern w:val="0"/>
                <w:sz w:val="24"/>
              </w:rPr>
              <w:t>台</w:t>
            </w:r>
          </w:p>
        </w:tc>
        <w:tc>
          <w:tcPr>
            <w:tcW w:w="900" w:type="dxa"/>
            <w:noWrap w:val="0"/>
            <w:vAlign w:val="center"/>
          </w:tcPr>
          <w:p w14:paraId="2AC7CD78">
            <w:pPr>
              <w:adjustRightInd w:val="0"/>
              <w:snapToGrid w:val="0"/>
              <w:jc w:val="center"/>
              <w:rPr>
                <w:rFonts w:hint="eastAsia" w:ascii="宋体" w:hAnsi="宋体"/>
                <w:snapToGrid w:val="0"/>
                <w:kern w:val="0"/>
                <w:sz w:val="24"/>
              </w:rPr>
            </w:pPr>
            <w:r>
              <w:rPr>
                <w:rFonts w:hint="eastAsia" w:ascii="宋体" w:hAnsi="宋体"/>
                <w:snapToGrid w:val="0"/>
                <w:kern w:val="0"/>
                <w:sz w:val="24"/>
              </w:rPr>
              <w:t>20</w:t>
            </w:r>
          </w:p>
        </w:tc>
        <w:tc>
          <w:tcPr>
            <w:tcW w:w="2389" w:type="dxa"/>
            <w:noWrap w:val="0"/>
            <w:vAlign w:val="center"/>
          </w:tcPr>
          <w:p w14:paraId="5F15D781">
            <w:pPr>
              <w:adjustRightInd w:val="0"/>
              <w:snapToGrid w:val="0"/>
              <w:jc w:val="center"/>
              <w:rPr>
                <w:rFonts w:hint="eastAsia" w:ascii="宋体" w:hAnsi="宋体"/>
                <w:snapToGrid w:val="0"/>
                <w:kern w:val="0"/>
                <w:sz w:val="24"/>
              </w:rPr>
            </w:pPr>
            <w:r>
              <w:rPr>
                <w:rFonts w:hint="eastAsia" w:ascii="宋体" w:hAnsi="宋体"/>
                <w:snapToGrid w:val="0"/>
                <w:kern w:val="0"/>
                <w:sz w:val="24"/>
              </w:rPr>
              <w:t>CH</w:t>
            </w:r>
            <w:r>
              <w:rPr>
                <w:rFonts w:hint="eastAsia" w:ascii="宋体" w:hAnsi="宋体"/>
                <w:snapToGrid w:val="0"/>
                <w:kern w:val="0"/>
                <w:sz w:val="24"/>
                <w:vertAlign w:val="subscript"/>
              </w:rPr>
              <w:t>4</w:t>
            </w:r>
            <w:r>
              <w:rPr>
                <w:rFonts w:hint="eastAsia" w:ascii="宋体" w:hAnsi="宋体"/>
                <w:snapToGrid w:val="0"/>
                <w:kern w:val="0"/>
                <w:sz w:val="24"/>
              </w:rPr>
              <w:t>0%-10%</w:t>
            </w:r>
          </w:p>
        </w:tc>
      </w:tr>
      <w:tr w14:paraId="64334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0E703D34">
            <w:pPr>
              <w:adjustRightInd w:val="0"/>
              <w:snapToGrid w:val="0"/>
              <w:jc w:val="center"/>
              <w:rPr>
                <w:rFonts w:ascii="宋体" w:hAnsi="宋体"/>
                <w:snapToGrid w:val="0"/>
                <w:kern w:val="0"/>
                <w:sz w:val="24"/>
              </w:rPr>
            </w:pPr>
            <w:r>
              <w:rPr>
                <w:rFonts w:ascii="宋体" w:hAnsi="宋体"/>
                <w:snapToGrid w:val="0"/>
                <w:kern w:val="0"/>
                <w:sz w:val="24"/>
              </w:rPr>
              <w:t>2</w:t>
            </w:r>
          </w:p>
        </w:tc>
        <w:tc>
          <w:tcPr>
            <w:tcW w:w="2628" w:type="dxa"/>
            <w:noWrap w:val="0"/>
            <w:vAlign w:val="center"/>
          </w:tcPr>
          <w:p w14:paraId="238DB268">
            <w:pPr>
              <w:adjustRightInd w:val="0"/>
              <w:snapToGrid w:val="0"/>
              <w:rPr>
                <w:rFonts w:ascii="宋体" w:hAnsi="宋体"/>
                <w:snapToGrid w:val="0"/>
                <w:kern w:val="0"/>
                <w:sz w:val="24"/>
              </w:rPr>
            </w:pPr>
            <w:r>
              <w:rPr>
                <w:rFonts w:hint="eastAsia" w:ascii="宋体" w:hAnsi="宋体"/>
                <w:snapToGrid w:val="0"/>
                <w:kern w:val="0"/>
                <w:sz w:val="24"/>
              </w:rPr>
              <w:t>光学瓦斯检定器</w:t>
            </w:r>
          </w:p>
        </w:tc>
        <w:tc>
          <w:tcPr>
            <w:tcW w:w="1617" w:type="dxa"/>
            <w:noWrap w:val="0"/>
            <w:vAlign w:val="center"/>
          </w:tcPr>
          <w:p w14:paraId="66B16878">
            <w:pPr>
              <w:adjustRightInd w:val="0"/>
              <w:snapToGrid w:val="0"/>
              <w:rPr>
                <w:rFonts w:hint="eastAsia" w:ascii="宋体" w:hAnsi="宋体"/>
                <w:snapToGrid w:val="0"/>
                <w:kern w:val="0"/>
                <w:sz w:val="24"/>
              </w:rPr>
            </w:pPr>
            <w:r>
              <w:rPr>
                <w:rFonts w:ascii="宋体" w:hAnsi="宋体"/>
                <w:snapToGrid w:val="0"/>
                <w:kern w:val="0"/>
                <w:sz w:val="24"/>
              </w:rPr>
              <w:t>GWJ-</w:t>
            </w:r>
            <w:r>
              <w:rPr>
                <w:rFonts w:hint="eastAsia" w:ascii="宋体" w:hAnsi="宋体"/>
                <w:snapToGrid w:val="0"/>
                <w:kern w:val="0"/>
                <w:sz w:val="24"/>
              </w:rPr>
              <w:t>2</w:t>
            </w:r>
          </w:p>
        </w:tc>
        <w:tc>
          <w:tcPr>
            <w:tcW w:w="743" w:type="dxa"/>
            <w:noWrap w:val="0"/>
            <w:vAlign w:val="center"/>
          </w:tcPr>
          <w:p w14:paraId="325AF3A6">
            <w:pPr>
              <w:adjustRightInd w:val="0"/>
              <w:snapToGrid w:val="0"/>
              <w:jc w:val="center"/>
              <w:rPr>
                <w:rFonts w:ascii="宋体" w:hAnsi="宋体"/>
                <w:snapToGrid w:val="0"/>
                <w:kern w:val="0"/>
                <w:sz w:val="24"/>
              </w:rPr>
            </w:pPr>
            <w:r>
              <w:rPr>
                <w:rFonts w:hint="eastAsia" w:ascii="宋体" w:hAnsi="宋体"/>
                <w:snapToGrid w:val="0"/>
                <w:kern w:val="0"/>
                <w:sz w:val="24"/>
              </w:rPr>
              <w:t>台</w:t>
            </w:r>
          </w:p>
        </w:tc>
        <w:tc>
          <w:tcPr>
            <w:tcW w:w="900" w:type="dxa"/>
            <w:noWrap w:val="0"/>
            <w:vAlign w:val="center"/>
          </w:tcPr>
          <w:p w14:paraId="27484BB0">
            <w:pPr>
              <w:adjustRightInd w:val="0"/>
              <w:snapToGrid w:val="0"/>
              <w:jc w:val="center"/>
              <w:rPr>
                <w:rFonts w:hint="eastAsia" w:ascii="宋体" w:hAnsi="宋体"/>
                <w:snapToGrid w:val="0"/>
                <w:kern w:val="0"/>
                <w:sz w:val="24"/>
              </w:rPr>
            </w:pPr>
            <w:r>
              <w:rPr>
                <w:rFonts w:hint="eastAsia" w:ascii="宋体" w:hAnsi="宋体"/>
                <w:snapToGrid w:val="0"/>
                <w:kern w:val="0"/>
                <w:sz w:val="24"/>
              </w:rPr>
              <w:t>2</w:t>
            </w:r>
          </w:p>
        </w:tc>
        <w:tc>
          <w:tcPr>
            <w:tcW w:w="2389" w:type="dxa"/>
            <w:noWrap w:val="0"/>
            <w:vAlign w:val="center"/>
          </w:tcPr>
          <w:p w14:paraId="7F1D03C4">
            <w:pPr>
              <w:adjustRightInd w:val="0"/>
              <w:snapToGrid w:val="0"/>
              <w:jc w:val="center"/>
              <w:rPr>
                <w:rFonts w:ascii="宋体" w:hAnsi="宋体"/>
                <w:snapToGrid w:val="0"/>
                <w:kern w:val="0"/>
                <w:sz w:val="24"/>
              </w:rPr>
            </w:pPr>
            <w:r>
              <w:rPr>
                <w:rFonts w:hint="eastAsia" w:ascii="宋体" w:hAnsi="宋体"/>
                <w:snapToGrid w:val="0"/>
                <w:kern w:val="0"/>
                <w:sz w:val="24"/>
              </w:rPr>
              <w:t>CH</w:t>
            </w:r>
            <w:r>
              <w:rPr>
                <w:rFonts w:hint="eastAsia" w:ascii="宋体" w:hAnsi="宋体"/>
                <w:snapToGrid w:val="0"/>
                <w:kern w:val="0"/>
                <w:sz w:val="24"/>
                <w:vertAlign w:val="subscript"/>
              </w:rPr>
              <w:t>4</w:t>
            </w:r>
            <w:r>
              <w:rPr>
                <w:rFonts w:hint="eastAsia" w:ascii="宋体" w:hAnsi="宋体"/>
                <w:snapToGrid w:val="0"/>
                <w:kern w:val="0"/>
                <w:sz w:val="24"/>
              </w:rPr>
              <w:t>0%-100%</w:t>
            </w:r>
          </w:p>
        </w:tc>
      </w:tr>
      <w:tr w14:paraId="705B6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54C04862">
            <w:pPr>
              <w:adjustRightInd w:val="0"/>
              <w:snapToGrid w:val="0"/>
              <w:jc w:val="center"/>
              <w:rPr>
                <w:rFonts w:ascii="宋体" w:hAnsi="宋体"/>
                <w:snapToGrid w:val="0"/>
                <w:kern w:val="0"/>
                <w:sz w:val="24"/>
              </w:rPr>
            </w:pPr>
            <w:r>
              <w:rPr>
                <w:rFonts w:ascii="宋体" w:hAnsi="宋体"/>
                <w:snapToGrid w:val="0"/>
                <w:kern w:val="0"/>
                <w:sz w:val="24"/>
              </w:rPr>
              <w:t>3</w:t>
            </w:r>
          </w:p>
        </w:tc>
        <w:tc>
          <w:tcPr>
            <w:tcW w:w="2628" w:type="dxa"/>
            <w:noWrap w:val="0"/>
            <w:vAlign w:val="center"/>
          </w:tcPr>
          <w:p w14:paraId="13F976F0">
            <w:pPr>
              <w:adjustRightInd w:val="0"/>
              <w:snapToGrid w:val="0"/>
              <w:rPr>
                <w:rFonts w:hint="eastAsia" w:ascii="宋体" w:hAnsi="宋体"/>
                <w:snapToGrid w:val="0"/>
                <w:kern w:val="0"/>
                <w:sz w:val="24"/>
              </w:rPr>
            </w:pPr>
            <w:r>
              <w:rPr>
                <w:rFonts w:hint="eastAsia" w:ascii="宋体" w:hAnsi="宋体"/>
                <w:snapToGrid w:val="0"/>
                <w:kern w:val="0"/>
                <w:sz w:val="24"/>
              </w:rPr>
              <w:t>便携式瓦斯检测报警器</w:t>
            </w:r>
          </w:p>
        </w:tc>
        <w:tc>
          <w:tcPr>
            <w:tcW w:w="1617" w:type="dxa"/>
            <w:noWrap w:val="0"/>
            <w:vAlign w:val="center"/>
          </w:tcPr>
          <w:p w14:paraId="685465EA">
            <w:pPr>
              <w:adjustRightInd w:val="0"/>
              <w:snapToGrid w:val="0"/>
              <w:rPr>
                <w:rFonts w:hint="eastAsia" w:ascii="宋体" w:hAnsi="宋体"/>
                <w:snapToGrid w:val="0"/>
                <w:kern w:val="0"/>
                <w:sz w:val="24"/>
              </w:rPr>
            </w:pPr>
            <w:r>
              <w:rPr>
                <w:rFonts w:hint="eastAsia" w:ascii="宋体" w:hAnsi="宋体"/>
                <w:snapToGrid w:val="0"/>
                <w:kern w:val="0"/>
                <w:sz w:val="24"/>
              </w:rPr>
              <w:t>AZJ-91</w:t>
            </w:r>
          </w:p>
        </w:tc>
        <w:tc>
          <w:tcPr>
            <w:tcW w:w="743" w:type="dxa"/>
            <w:noWrap w:val="0"/>
            <w:vAlign w:val="center"/>
          </w:tcPr>
          <w:p w14:paraId="27481073">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01EA2BA8">
            <w:pPr>
              <w:adjustRightInd w:val="0"/>
              <w:snapToGrid w:val="0"/>
              <w:jc w:val="center"/>
              <w:rPr>
                <w:rFonts w:hint="eastAsia" w:ascii="宋体" w:hAnsi="宋体"/>
                <w:snapToGrid w:val="0"/>
                <w:kern w:val="0"/>
                <w:sz w:val="24"/>
              </w:rPr>
            </w:pPr>
            <w:r>
              <w:rPr>
                <w:rFonts w:hint="eastAsia" w:ascii="宋体" w:hAnsi="宋体"/>
                <w:snapToGrid w:val="0"/>
                <w:kern w:val="0"/>
                <w:sz w:val="24"/>
              </w:rPr>
              <w:t>50</w:t>
            </w:r>
          </w:p>
        </w:tc>
        <w:tc>
          <w:tcPr>
            <w:tcW w:w="2389" w:type="dxa"/>
            <w:noWrap w:val="0"/>
            <w:vAlign w:val="center"/>
          </w:tcPr>
          <w:p w14:paraId="02B976A3">
            <w:pPr>
              <w:adjustRightInd w:val="0"/>
              <w:snapToGrid w:val="0"/>
              <w:jc w:val="center"/>
              <w:rPr>
                <w:rFonts w:ascii="宋体" w:hAnsi="宋体"/>
                <w:snapToGrid w:val="0"/>
                <w:kern w:val="0"/>
                <w:sz w:val="24"/>
              </w:rPr>
            </w:pPr>
          </w:p>
        </w:tc>
      </w:tr>
      <w:tr w14:paraId="478D70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526E46B">
            <w:pPr>
              <w:adjustRightInd w:val="0"/>
              <w:snapToGrid w:val="0"/>
              <w:jc w:val="center"/>
              <w:rPr>
                <w:rFonts w:ascii="宋体" w:hAnsi="宋体"/>
                <w:snapToGrid w:val="0"/>
                <w:kern w:val="0"/>
                <w:sz w:val="24"/>
              </w:rPr>
            </w:pPr>
            <w:r>
              <w:rPr>
                <w:rFonts w:ascii="宋体" w:hAnsi="宋体"/>
                <w:snapToGrid w:val="0"/>
                <w:kern w:val="0"/>
                <w:sz w:val="24"/>
              </w:rPr>
              <w:t>4</w:t>
            </w:r>
          </w:p>
        </w:tc>
        <w:tc>
          <w:tcPr>
            <w:tcW w:w="2628" w:type="dxa"/>
            <w:noWrap w:val="0"/>
            <w:vAlign w:val="center"/>
          </w:tcPr>
          <w:p w14:paraId="6CAB1780">
            <w:pPr>
              <w:adjustRightInd w:val="0"/>
              <w:snapToGrid w:val="0"/>
              <w:rPr>
                <w:rFonts w:hint="eastAsia" w:ascii="宋体" w:hAnsi="宋体"/>
                <w:snapToGrid w:val="0"/>
                <w:kern w:val="0"/>
                <w:sz w:val="24"/>
              </w:rPr>
            </w:pPr>
            <w:r>
              <w:rPr>
                <w:rFonts w:hint="eastAsia" w:ascii="宋体" w:hAnsi="宋体"/>
                <w:snapToGrid w:val="0"/>
                <w:kern w:val="0"/>
                <w:sz w:val="24"/>
              </w:rPr>
              <w:t>袖珍数字式瓦斯测定仪</w:t>
            </w:r>
          </w:p>
        </w:tc>
        <w:tc>
          <w:tcPr>
            <w:tcW w:w="1617" w:type="dxa"/>
            <w:noWrap w:val="0"/>
            <w:vAlign w:val="center"/>
          </w:tcPr>
          <w:p w14:paraId="03363B3B">
            <w:pPr>
              <w:adjustRightInd w:val="0"/>
              <w:snapToGrid w:val="0"/>
              <w:rPr>
                <w:rFonts w:hint="eastAsia" w:ascii="宋体" w:hAnsi="宋体"/>
                <w:snapToGrid w:val="0"/>
                <w:kern w:val="0"/>
                <w:sz w:val="24"/>
              </w:rPr>
            </w:pPr>
            <w:r>
              <w:rPr>
                <w:rFonts w:hint="eastAsia" w:ascii="宋体" w:hAnsi="宋体"/>
                <w:snapToGrid w:val="0"/>
                <w:kern w:val="0"/>
                <w:sz w:val="24"/>
              </w:rPr>
              <w:t>XZC-1</w:t>
            </w:r>
          </w:p>
        </w:tc>
        <w:tc>
          <w:tcPr>
            <w:tcW w:w="743" w:type="dxa"/>
            <w:noWrap w:val="0"/>
            <w:vAlign w:val="center"/>
          </w:tcPr>
          <w:p w14:paraId="7F3428CA">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2A9D526E">
            <w:pPr>
              <w:adjustRightInd w:val="0"/>
              <w:snapToGrid w:val="0"/>
              <w:jc w:val="center"/>
              <w:rPr>
                <w:rFonts w:hint="eastAsia" w:ascii="宋体" w:hAnsi="宋体"/>
                <w:snapToGrid w:val="0"/>
                <w:kern w:val="0"/>
                <w:sz w:val="24"/>
              </w:rPr>
            </w:pPr>
            <w:r>
              <w:rPr>
                <w:rFonts w:hint="eastAsia" w:ascii="宋体" w:hAnsi="宋体"/>
                <w:snapToGrid w:val="0"/>
                <w:kern w:val="0"/>
                <w:sz w:val="24"/>
              </w:rPr>
              <w:t>6</w:t>
            </w:r>
          </w:p>
        </w:tc>
        <w:tc>
          <w:tcPr>
            <w:tcW w:w="2389" w:type="dxa"/>
            <w:noWrap w:val="0"/>
            <w:vAlign w:val="center"/>
          </w:tcPr>
          <w:p w14:paraId="536AB1CD">
            <w:pPr>
              <w:adjustRightInd w:val="0"/>
              <w:snapToGrid w:val="0"/>
              <w:jc w:val="center"/>
              <w:rPr>
                <w:rFonts w:ascii="宋体" w:hAnsi="宋体"/>
                <w:snapToGrid w:val="0"/>
                <w:kern w:val="0"/>
                <w:sz w:val="24"/>
              </w:rPr>
            </w:pPr>
          </w:p>
        </w:tc>
      </w:tr>
      <w:tr w14:paraId="3CC04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37ACC2C8">
            <w:pPr>
              <w:adjustRightInd w:val="0"/>
              <w:snapToGrid w:val="0"/>
              <w:jc w:val="center"/>
              <w:rPr>
                <w:rFonts w:ascii="宋体" w:hAnsi="宋体"/>
                <w:snapToGrid w:val="0"/>
                <w:kern w:val="0"/>
                <w:sz w:val="24"/>
              </w:rPr>
            </w:pPr>
            <w:r>
              <w:rPr>
                <w:rFonts w:ascii="宋体" w:hAnsi="宋体"/>
                <w:snapToGrid w:val="0"/>
                <w:kern w:val="0"/>
                <w:sz w:val="24"/>
              </w:rPr>
              <w:t>5</w:t>
            </w:r>
          </w:p>
        </w:tc>
        <w:tc>
          <w:tcPr>
            <w:tcW w:w="2628" w:type="dxa"/>
            <w:noWrap w:val="0"/>
            <w:vAlign w:val="center"/>
          </w:tcPr>
          <w:p w14:paraId="12AAC511">
            <w:pPr>
              <w:adjustRightInd w:val="0"/>
              <w:snapToGrid w:val="0"/>
              <w:rPr>
                <w:rFonts w:ascii="宋体" w:hAnsi="宋体"/>
                <w:snapToGrid w:val="0"/>
                <w:kern w:val="0"/>
                <w:sz w:val="24"/>
              </w:rPr>
            </w:pPr>
            <w:r>
              <w:rPr>
                <w:rFonts w:hint="eastAsia" w:ascii="宋体" w:hAnsi="宋体"/>
                <w:snapToGrid w:val="0"/>
                <w:kern w:val="0"/>
                <w:sz w:val="24"/>
              </w:rPr>
              <w:t>瓦斯检定器校正仪</w:t>
            </w:r>
          </w:p>
        </w:tc>
        <w:tc>
          <w:tcPr>
            <w:tcW w:w="1617" w:type="dxa"/>
            <w:noWrap w:val="0"/>
            <w:vAlign w:val="center"/>
          </w:tcPr>
          <w:p w14:paraId="4FE17618">
            <w:pPr>
              <w:adjustRightInd w:val="0"/>
              <w:snapToGrid w:val="0"/>
              <w:rPr>
                <w:rFonts w:ascii="宋体" w:hAnsi="宋体"/>
                <w:snapToGrid w:val="0"/>
                <w:kern w:val="0"/>
                <w:sz w:val="24"/>
              </w:rPr>
            </w:pPr>
            <w:r>
              <w:rPr>
                <w:rFonts w:ascii="宋体" w:hAnsi="宋体"/>
                <w:snapToGrid w:val="0"/>
                <w:kern w:val="0"/>
                <w:sz w:val="24"/>
              </w:rPr>
              <w:t>GJX-2</w:t>
            </w:r>
          </w:p>
        </w:tc>
        <w:tc>
          <w:tcPr>
            <w:tcW w:w="743" w:type="dxa"/>
            <w:noWrap w:val="0"/>
            <w:vAlign w:val="center"/>
          </w:tcPr>
          <w:p w14:paraId="29866A73">
            <w:pPr>
              <w:adjustRightInd w:val="0"/>
              <w:snapToGrid w:val="0"/>
              <w:jc w:val="center"/>
              <w:rPr>
                <w:rFonts w:ascii="宋体" w:hAnsi="宋体"/>
                <w:snapToGrid w:val="0"/>
                <w:kern w:val="0"/>
                <w:sz w:val="24"/>
              </w:rPr>
            </w:pPr>
            <w:r>
              <w:rPr>
                <w:rFonts w:hint="eastAsia" w:ascii="宋体" w:hAnsi="宋体"/>
                <w:snapToGrid w:val="0"/>
                <w:kern w:val="0"/>
                <w:sz w:val="24"/>
              </w:rPr>
              <w:t>台</w:t>
            </w:r>
          </w:p>
        </w:tc>
        <w:tc>
          <w:tcPr>
            <w:tcW w:w="900" w:type="dxa"/>
            <w:noWrap w:val="0"/>
            <w:vAlign w:val="center"/>
          </w:tcPr>
          <w:p w14:paraId="74B1321D">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75DB7226">
            <w:pPr>
              <w:adjustRightInd w:val="0"/>
              <w:snapToGrid w:val="0"/>
              <w:jc w:val="center"/>
              <w:rPr>
                <w:rFonts w:ascii="宋体" w:hAnsi="宋体"/>
                <w:snapToGrid w:val="0"/>
                <w:kern w:val="0"/>
                <w:sz w:val="24"/>
              </w:rPr>
            </w:pPr>
          </w:p>
        </w:tc>
      </w:tr>
      <w:tr w14:paraId="0B6E4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322F1CC6">
            <w:pPr>
              <w:pStyle w:val="216"/>
              <w:rPr>
                <w:snapToGrid w:val="0"/>
                <w:color w:val="auto"/>
                <w:kern w:val="0"/>
                <w:sz w:val="24"/>
              </w:rPr>
            </w:pPr>
            <w:r>
              <w:rPr>
                <w:snapToGrid w:val="0"/>
                <w:color w:val="auto"/>
                <w:kern w:val="0"/>
                <w:sz w:val="24"/>
              </w:rPr>
              <w:t>6</w:t>
            </w:r>
          </w:p>
        </w:tc>
        <w:tc>
          <w:tcPr>
            <w:tcW w:w="2628" w:type="dxa"/>
            <w:noWrap w:val="0"/>
            <w:vAlign w:val="center"/>
          </w:tcPr>
          <w:p w14:paraId="45E507D5">
            <w:pPr>
              <w:adjustRightInd w:val="0"/>
              <w:snapToGrid w:val="0"/>
              <w:rPr>
                <w:rFonts w:hint="eastAsia" w:ascii="宋体" w:hAnsi="宋体"/>
                <w:snapToGrid w:val="0"/>
                <w:kern w:val="0"/>
                <w:sz w:val="24"/>
              </w:rPr>
            </w:pPr>
            <w:r>
              <w:rPr>
                <w:rFonts w:hint="eastAsia" w:ascii="宋体" w:hAnsi="宋体"/>
                <w:snapToGrid w:val="0"/>
                <w:kern w:val="0"/>
                <w:sz w:val="24"/>
              </w:rPr>
              <w:t>一氧化碳测定仪</w:t>
            </w:r>
          </w:p>
        </w:tc>
        <w:tc>
          <w:tcPr>
            <w:tcW w:w="1617" w:type="dxa"/>
            <w:noWrap w:val="0"/>
            <w:vAlign w:val="center"/>
          </w:tcPr>
          <w:p w14:paraId="45E359A6">
            <w:pPr>
              <w:adjustRightInd w:val="0"/>
              <w:snapToGrid w:val="0"/>
              <w:rPr>
                <w:rFonts w:hint="eastAsia" w:ascii="宋体" w:hAnsi="宋体"/>
                <w:snapToGrid w:val="0"/>
                <w:kern w:val="0"/>
                <w:sz w:val="24"/>
              </w:rPr>
            </w:pPr>
            <w:r>
              <w:rPr>
                <w:rFonts w:hint="eastAsia" w:ascii="宋体" w:hAnsi="宋体"/>
                <w:snapToGrid w:val="0"/>
                <w:kern w:val="0"/>
                <w:sz w:val="24"/>
              </w:rPr>
              <w:t>AQY-50</w:t>
            </w:r>
          </w:p>
        </w:tc>
        <w:tc>
          <w:tcPr>
            <w:tcW w:w="743" w:type="dxa"/>
            <w:noWrap w:val="0"/>
            <w:vAlign w:val="center"/>
          </w:tcPr>
          <w:p w14:paraId="22D35580">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7C2AF12A">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140B29D9">
            <w:pPr>
              <w:adjustRightInd w:val="0"/>
              <w:snapToGrid w:val="0"/>
              <w:jc w:val="center"/>
              <w:rPr>
                <w:rFonts w:ascii="宋体" w:hAnsi="宋体"/>
                <w:snapToGrid w:val="0"/>
                <w:kern w:val="0"/>
                <w:sz w:val="24"/>
              </w:rPr>
            </w:pPr>
          </w:p>
        </w:tc>
      </w:tr>
      <w:tr w14:paraId="16406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0CE7F4EE">
            <w:pPr>
              <w:adjustRightInd w:val="0"/>
              <w:snapToGrid w:val="0"/>
              <w:jc w:val="center"/>
              <w:rPr>
                <w:rFonts w:ascii="宋体" w:hAnsi="宋体"/>
                <w:snapToGrid w:val="0"/>
                <w:kern w:val="0"/>
                <w:sz w:val="24"/>
              </w:rPr>
            </w:pPr>
            <w:r>
              <w:rPr>
                <w:rFonts w:ascii="宋体" w:hAnsi="宋体"/>
                <w:snapToGrid w:val="0"/>
                <w:kern w:val="0"/>
                <w:sz w:val="24"/>
              </w:rPr>
              <w:t>7</w:t>
            </w:r>
          </w:p>
        </w:tc>
        <w:tc>
          <w:tcPr>
            <w:tcW w:w="2628" w:type="dxa"/>
            <w:noWrap w:val="0"/>
            <w:vAlign w:val="center"/>
          </w:tcPr>
          <w:p w14:paraId="71A02633">
            <w:pPr>
              <w:adjustRightInd w:val="0"/>
              <w:snapToGrid w:val="0"/>
              <w:rPr>
                <w:rFonts w:hint="eastAsia" w:ascii="宋体" w:hAnsi="宋体"/>
                <w:snapToGrid w:val="0"/>
                <w:kern w:val="0"/>
                <w:sz w:val="24"/>
              </w:rPr>
            </w:pPr>
            <w:r>
              <w:rPr>
                <w:rFonts w:hint="eastAsia" w:ascii="宋体" w:hAnsi="宋体"/>
                <w:snapToGrid w:val="0"/>
                <w:kern w:val="0"/>
                <w:sz w:val="24"/>
              </w:rPr>
              <w:t>多种气体检定器</w:t>
            </w:r>
          </w:p>
        </w:tc>
        <w:tc>
          <w:tcPr>
            <w:tcW w:w="1617" w:type="dxa"/>
            <w:noWrap w:val="0"/>
            <w:vAlign w:val="center"/>
          </w:tcPr>
          <w:p w14:paraId="714E8304">
            <w:pPr>
              <w:adjustRightInd w:val="0"/>
              <w:snapToGrid w:val="0"/>
              <w:rPr>
                <w:rFonts w:hint="eastAsia" w:ascii="宋体" w:hAnsi="宋体"/>
                <w:snapToGrid w:val="0"/>
                <w:kern w:val="0"/>
                <w:sz w:val="24"/>
              </w:rPr>
            </w:pPr>
            <w:r>
              <w:rPr>
                <w:rFonts w:hint="eastAsia" w:ascii="宋体" w:hAnsi="宋体"/>
                <w:snapToGrid w:val="0"/>
                <w:kern w:val="0"/>
                <w:sz w:val="24"/>
              </w:rPr>
              <w:t>DQJD-1</w:t>
            </w:r>
          </w:p>
        </w:tc>
        <w:tc>
          <w:tcPr>
            <w:tcW w:w="743" w:type="dxa"/>
            <w:noWrap w:val="0"/>
            <w:vAlign w:val="center"/>
          </w:tcPr>
          <w:p w14:paraId="3F409CA8">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5A87A59F">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3A4DAC71">
            <w:pPr>
              <w:adjustRightInd w:val="0"/>
              <w:snapToGrid w:val="0"/>
              <w:jc w:val="center"/>
              <w:rPr>
                <w:rFonts w:ascii="宋体" w:hAnsi="宋体"/>
                <w:snapToGrid w:val="0"/>
                <w:kern w:val="0"/>
                <w:sz w:val="24"/>
              </w:rPr>
            </w:pPr>
          </w:p>
        </w:tc>
      </w:tr>
      <w:tr w14:paraId="6D74F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4E4E82DC">
            <w:pPr>
              <w:pStyle w:val="275"/>
              <w:adjustRightInd w:val="0"/>
              <w:snapToGrid w:val="0"/>
              <w:spacing w:before="0" w:beforeAutospacing="0" w:after="0" w:afterAutospacing="0"/>
              <w:jc w:val="center"/>
              <w:rPr>
                <w:rFonts w:ascii="宋体" w:hAnsi="宋体" w:eastAsia="宋体"/>
                <w:snapToGrid w:val="0"/>
                <w:sz w:val="24"/>
                <w:szCs w:val="24"/>
              </w:rPr>
            </w:pPr>
            <w:r>
              <w:rPr>
                <w:rFonts w:ascii="宋体" w:hAnsi="宋体" w:eastAsia="宋体"/>
                <w:snapToGrid w:val="0"/>
                <w:sz w:val="24"/>
                <w:szCs w:val="24"/>
              </w:rPr>
              <w:t>8</w:t>
            </w:r>
          </w:p>
        </w:tc>
        <w:tc>
          <w:tcPr>
            <w:tcW w:w="2628" w:type="dxa"/>
            <w:noWrap w:val="0"/>
            <w:vAlign w:val="center"/>
          </w:tcPr>
          <w:p w14:paraId="531E7DC1">
            <w:pPr>
              <w:adjustRightInd w:val="0"/>
              <w:snapToGrid w:val="0"/>
              <w:rPr>
                <w:rFonts w:hint="eastAsia" w:ascii="宋体" w:hAnsi="宋体"/>
                <w:snapToGrid w:val="0"/>
                <w:kern w:val="0"/>
                <w:sz w:val="24"/>
              </w:rPr>
            </w:pPr>
            <w:r>
              <w:rPr>
                <w:rFonts w:hint="eastAsia" w:ascii="宋体" w:hAnsi="宋体"/>
                <w:snapToGrid w:val="0"/>
                <w:kern w:val="0"/>
                <w:sz w:val="24"/>
              </w:rPr>
              <w:t>瓦斯、氧气检测仪</w:t>
            </w:r>
          </w:p>
        </w:tc>
        <w:tc>
          <w:tcPr>
            <w:tcW w:w="1617" w:type="dxa"/>
            <w:noWrap w:val="0"/>
            <w:vAlign w:val="center"/>
          </w:tcPr>
          <w:p w14:paraId="09A8FFBC">
            <w:pPr>
              <w:adjustRightInd w:val="0"/>
              <w:snapToGrid w:val="0"/>
              <w:rPr>
                <w:rFonts w:hint="eastAsia" w:ascii="宋体" w:hAnsi="宋体"/>
                <w:snapToGrid w:val="0"/>
                <w:kern w:val="0"/>
                <w:sz w:val="24"/>
              </w:rPr>
            </w:pPr>
            <w:r>
              <w:rPr>
                <w:rFonts w:hint="eastAsia" w:ascii="宋体" w:hAnsi="宋体"/>
                <w:snapToGrid w:val="0"/>
                <w:kern w:val="0"/>
                <w:sz w:val="24"/>
              </w:rPr>
              <w:t>JJY-1</w:t>
            </w:r>
          </w:p>
        </w:tc>
        <w:tc>
          <w:tcPr>
            <w:tcW w:w="743" w:type="dxa"/>
            <w:noWrap w:val="0"/>
            <w:vAlign w:val="center"/>
          </w:tcPr>
          <w:p w14:paraId="192E510B">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0A8F54F6">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07840033">
            <w:pPr>
              <w:adjustRightInd w:val="0"/>
              <w:snapToGrid w:val="0"/>
              <w:jc w:val="center"/>
              <w:rPr>
                <w:rFonts w:ascii="宋体" w:hAnsi="宋体"/>
                <w:snapToGrid w:val="0"/>
                <w:kern w:val="0"/>
                <w:sz w:val="24"/>
              </w:rPr>
            </w:pPr>
          </w:p>
        </w:tc>
      </w:tr>
      <w:tr w14:paraId="1C1FB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0A039C65">
            <w:pPr>
              <w:adjustRightInd w:val="0"/>
              <w:snapToGrid w:val="0"/>
              <w:jc w:val="center"/>
              <w:rPr>
                <w:rFonts w:ascii="宋体" w:hAnsi="宋体"/>
                <w:snapToGrid w:val="0"/>
                <w:kern w:val="0"/>
                <w:sz w:val="24"/>
              </w:rPr>
            </w:pPr>
            <w:r>
              <w:rPr>
                <w:rFonts w:ascii="宋体" w:hAnsi="宋体"/>
                <w:snapToGrid w:val="0"/>
                <w:kern w:val="0"/>
                <w:sz w:val="24"/>
              </w:rPr>
              <w:t>9</w:t>
            </w:r>
          </w:p>
        </w:tc>
        <w:tc>
          <w:tcPr>
            <w:tcW w:w="2628" w:type="dxa"/>
            <w:noWrap w:val="0"/>
            <w:vAlign w:val="center"/>
          </w:tcPr>
          <w:p w14:paraId="7DF57BB9">
            <w:pPr>
              <w:adjustRightInd w:val="0"/>
              <w:snapToGrid w:val="0"/>
              <w:rPr>
                <w:rFonts w:hint="eastAsia" w:ascii="宋体" w:hAnsi="宋体"/>
                <w:snapToGrid w:val="0"/>
                <w:kern w:val="0"/>
                <w:sz w:val="24"/>
              </w:rPr>
            </w:pPr>
            <w:r>
              <w:rPr>
                <w:rFonts w:hint="eastAsia" w:ascii="宋体" w:hAnsi="宋体"/>
                <w:snapToGrid w:val="0"/>
                <w:kern w:val="0"/>
                <w:sz w:val="24"/>
              </w:rPr>
              <w:t>化学氧自救器</w:t>
            </w:r>
          </w:p>
        </w:tc>
        <w:tc>
          <w:tcPr>
            <w:tcW w:w="1617" w:type="dxa"/>
            <w:noWrap w:val="0"/>
            <w:vAlign w:val="center"/>
          </w:tcPr>
          <w:p w14:paraId="2692D753">
            <w:pPr>
              <w:adjustRightInd w:val="0"/>
              <w:snapToGrid w:val="0"/>
              <w:rPr>
                <w:rFonts w:hint="eastAsia" w:ascii="宋体" w:hAnsi="宋体"/>
                <w:snapToGrid w:val="0"/>
                <w:kern w:val="0"/>
                <w:sz w:val="24"/>
              </w:rPr>
            </w:pPr>
            <w:r>
              <w:rPr>
                <w:rFonts w:hint="eastAsia" w:ascii="宋体" w:hAnsi="宋体"/>
                <w:snapToGrid w:val="0"/>
                <w:kern w:val="0"/>
                <w:sz w:val="24"/>
              </w:rPr>
              <w:t>QSR-40</w:t>
            </w:r>
          </w:p>
        </w:tc>
        <w:tc>
          <w:tcPr>
            <w:tcW w:w="743" w:type="dxa"/>
            <w:noWrap w:val="0"/>
            <w:vAlign w:val="center"/>
          </w:tcPr>
          <w:p w14:paraId="04A0416A">
            <w:pPr>
              <w:adjustRightInd w:val="0"/>
              <w:snapToGrid w:val="0"/>
              <w:jc w:val="center"/>
              <w:rPr>
                <w:rFonts w:hint="eastAsia" w:ascii="宋体" w:hAnsi="宋体"/>
                <w:snapToGrid w:val="0"/>
                <w:kern w:val="0"/>
                <w:sz w:val="24"/>
              </w:rPr>
            </w:pPr>
            <w:r>
              <w:rPr>
                <w:rFonts w:hint="eastAsia" w:ascii="宋体" w:hAnsi="宋体"/>
                <w:snapToGrid w:val="0"/>
                <w:kern w:val="0"/>
                <w:sz w:val="24"/>
              </w:rPr>
              <w:t>套</w:t>
            </w:r>
          </w:p>
        </w:tc>
        <w:tc>
          <w:tcPr>
            <w:tcW w:w="900" w:type="dxa"/>
            <w:noWrap w:val="0"/>
            <w:vAlign w:val="center"/>
          </w:tcPr>
          <w:p w14:paraId="60A6B16D">
            <w:pPr>
              <w:adjustRightInd w:val="0"/>
              <w:snapToGrid w:val="0"/>
              <w:jc w:val="center"/>
              <w:rPr>
                <w:rFonts w:hint="eastAsia" w:ascii="宋体" w:hAnsi="宋体"/>
                <w:snapToGrid w:val="0"/>
                <w:kern w:val="0"/>
                <w:sz w:val="24"/>
              </w:rPr>
            </w:pPr>
            <w:r>
              <w:rPr>
                <w:rFonts w:hint="eastAsia" w:ascii="宋体" w:hAnsi="宋体"/>
                <w:snapToGrid w:val="0"/>
                <w:kern w:val="0"/>
                <w:sz w:val="24"/>
              </w:rPr>
              <w:t>60</w:t>
            </w:r>
          </w:p>
        </w:tc>
        <w:tc>
          <w:tcPr>
            <w:tcW w:w="2389" w:type="dxa"/>
            <w:noWrap w:val="0"/>
            <w:vAlign w:val="center"/>
          </w:tcPr>
          <w:p w14:paraId="55F9FDE7">
            <w:pPr>
              <w:adjustRightInd w:val="0"/>
              <w:snapToGrid w:val="0"/>
              <w:jc w:val="center"/>
              <w:rPr>
                <w:rFonts w:ascii="宋体" w:hAnsi="宋体"/>
                <w:snapToGrid w:val="0"/>
                <w:kern w:val="0"/>
                <w:sz w:val="24"/>
              </w:rPr>
            </w:pPr>
          </w:p>
        </w:tc>
      </w:tr>
      <w:tr w14:paraId="0A65F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1C1F3738">
            <w:pPr>
              <w:adjustRightInd w:val="0"/>
              <w:snapToGrid w:val="0"/>
              <w:jc w:val="center"/>
              <w:rPr>
                <w:rFonts w:ascii="宋体" w:hAnsi="宋体"/>
                <w:snapToGrid w:val="0"/>
                <w:kern w:val="0"/>
                <w:sz w:val="24"/>
              </w:rPr>
            </w:pPr>
            <w:r>
              <w:rPr>
                <w:rFonts w:ascii="宋体" w:hAnsi="宋体"/>
                <w:snapToGrid w:val="0"/>
                <w:kern w:val="0"/>
                <w:sz w:val="24"/>
              </w:rPr>
              <w:t>10</w:t>
            </w:r>
          </w:p>
        </w:tc>
        <w:tc>
          <w:tcPr>
            <w:tcW w:w="2628" w:type="dxa"/>
            <w:noWrap w:val="0"/>
            <w:vAlign w:val="center"/>
          </w:tcPr>
          <w:p w14:paraId="41880B9E">
            <w:pPr>
              <w:adjustRightInd w:val="0"/>
              <w:snapToGrid w:val="0"/>
              <w:rPr>
                <w:rFonts w:hint="eastAsia" w:ascii="宋体" w:hAnsi="宋体"/>
                <w:snapToGrid w:val="0"/>
                <w:kern w:val="0"/>
                <w:sz w:val="24"/>
              </w:rPr>
            </w:pPr>
            <w:r>
              <w:rPr>
                <w:rFonts w:hint="eastAsia" w:ascii="宋体" w:hAnsi="宋体"/>
                <w:snapToGrid w:val="0"/>
                <w:kern w:val="0"/>
                <w:sz w:val="24"/>
              </w:rPr>
              <w:t>自救器密度检查仪</w:t>
            </w:r>
          </w:p>
        </w:tc>
        <w:tc>
          <w:tcPr>
            <w:tcW w:w="1617" w:type="dxa"/>
            <w:noWrap w:val="0"/>
            <w:vAlign w:val="center"/>
          </w:tcPr>
          <w:p w14:paraId="0C257B48">
            <w:pPr>
              <w:adjustRightInd w:val="0"/>
              <w:snapToGrid w:val="0"/>
              <w:rPr>
                <w:rFonts w:hint="eastAsia" w:ascii="宋体" w:hAnsi="宋体"/>
                <w:snapToGrid w:val="0"/>
                <w:kern w:val="0"/>
                <w:sz w:val="24"/>
              </w:rPr>
            </w:pPr>
            <w:r>
              <w:rPr>
                <w:rFonts w:hint="eastAsia" w:ascii="宋体" w:hAnsi="宋体"/>
                <w:snapToGrid w:val="0"/>
                <w:kern w:val="0"/>
                <w:sz w:val="24"/>
              </w:rPr>
              <w:t>ZJ-2</w:t>
            </w:r>
          </w:p>
        </w:tc>
        <w:tc>
          <w:tcPr>
            <w:tcW w:w="743" w:type="dxa"/>
            <w:noWrap w:val="0"/>
            <w:vAlign w:val="center"/>
          </w:tcPr>
          <w:p w14:paraId="5E1AB674">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74D11BED">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10036932">
            <w:pPr>
              <w:adjustRightInd w:val="0"/>
              <w:snapToGrid w:val="0"/>
              <w:jc w:val="center"/>
              <w:rPr>
                <w:rFonts w:ascii="宋体" w:hAnsi="宋体"/>
                <w:snapToGrid w:val="0"/>
                <w:kern w:val="0"/>
                <w:sz w:val="24"/>
              </w:rPr>
            </w:pPr>
          </w:p>
        </w:tc>
      </w:tr>
      <w:tr w14:paraId="75329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6C6EF196">
            <w:pPr>
              <w:adjustRightInd w:val="0"/>
              <w:snapToGrid w:val="0"/>
              <w:jc w:val="center"/>
              <w:rPr>
                <w:rFonts w:ascii="宋体" w:hAnsi="宋体"/>
                <w:snapToGrid w:val="0"/>
                <w:kern w:val="0"/>
                <w:sz w:val="24"/>
              </w:rPr>
            </w:pPr>
            <w:r>
              <w:rPr>
                <w:rFonts w:ascii="宋体" w:hAnsi="宋体"/>
                <w:snapToGrid w:val="0"/>
                <w:kern w:val="0"/>
                <w:sz w:val="24"/>
              </w:rPr>
              <w:t>11</w:t>
            </w:r>
          </w:p>
        </w:tc>
        <w:tc>
          <w:tcPr>
            <w:tcW w:w="2628" w:type="dxa"/>
            <w:noWrap w:val="0"/>
            <w:vAlign w:val="center"/>
          </w:tcPr>
          <w:p w14:paraId="2A9F3EA4">
            <w:pPr>
              <w:adjustRightInd w:val="0"/>
              <w:snapToGrid w:val="0"/>
              <w:rPr>
                <w:rFonts w:ascii="宋体" w:hAnsi="宋体"/>
                <w:snapToGrid w:val="0"/>
                <w:kern w:val="0"/>
                <w:sz w:val="24"/>
              </w:rPr>
            </w:pPr>
            <w:r>
              <w:rPr>
                <w:rFonts w:hint="eastAsia" w:ascii="宋体" w:hAnsi="宋体"/>
                <w:snapToGrid w:val="0"/>
                <w:kern w:val="0"/>
                <w:sz w:val="24"/>
              </w:rPr>
              <w:t>高速风表</w:t>
            </w:r>
          </w:p>
        </w:tc>
        <w:tc>
          <w:tcPr>
            <w:tcW w:w="1617" w:type="dxa"/>
            <w:noWrap w:val="0"/>
            <w:vAlign w:val="center"/>
          </w:tcPr>
          <w:p w14:paraId="44F226E5">
            <w:pPr>
              <w:adjustRightInd w:val="0"/>
              <w:snapToGrid w:val="0"/>
              <w:rPr>
                <w:rFonts w:ascii="宋体" w:hAnsi="宋体"/>
                <w:snapToGrid w:val="0"/>
                <w:kern w:val="0"/>
                <w:sz w:val="24"/>
              </w:rPr>
            </w:pPr>
            <w:r>
              <w:rPr>
                <w:rFonts w:ascii="宋体" w:hAnsi="宋体"/>
                <w:snapToGrid w:val="0"/>
                <w:kern w:val="0"/>
                <w:sz w:val="24"/>
              </w:rPr>
              <w:t>EY11B</w:t>
            </w:r>
            <w:r>
              <w:rPr>
                <w:rFonts w:hint="eastAsia" w:ascii="宋体" w:hAnsi="宋体"/>
                <w:snapToGrid w:val="0"/>
                <w:kern w:val="0"/>
                <w:sz w:val="24"/>
              </w:rPr>
              <w:t>数字式</w:t>
            </w:r>
          </w:p>
        </w:tc>
        <w:tc>
          <w:tcPr>
            <w:tcW w:w="743" w:type="dxa"/>
            <w:noWrap w:val="0"/>
            <w:vAlign w:val="center"/>
          </w:tcPr>
          <w:p w14:paraId="3C5746BB">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65491627">
            <w:pPr>
              <w:adjustRightInd w:val="0"/>
              <w:snapToGrid w:val="0"/>
              <w:jc w:val="center"/>
              <w:rPr>
                <w:rFonts w:ascii="宋体" w:hAnsi="宋体"/>
                <w:snapToGrid w:val="0"/>
                <w:kern w:val="0"/>
                <w:sz w:val="24"/>
              </w:rPr>
            </w:pPr>
            <w:r>
              <w:rPr>
                <w:rFonts w:ascii="宋体" w:hAnsi="宋体"/>
                <w:snapToGrid w:val="0"/>
                <w:kern w:val="0"/>
                <w:sz w:val="24"/>
              </w:rPr>
              <w:t>1</w:t>
            </w:r>
          </w:p>
        </w:tc>
        <w:tc>
          <w:tcPr>
            <w:tcW w:w="2389" w:type="dxa"/>
            <w:noWrap w:val="0"/>
            <w:vAlign w:val="center"/>
          </w:tcPr>
          <w:p w14:paraId="70889CDE">
            <w:pPr>
              <w:adjustRightInd w:val="0"/>
              <w:snapToGrid w:val="0"/>
              <w:jc w:val="center"/>
              <w:rPr>
                <w:rFonts w:ascii="宋体" w:hAnsi="宋体"/>
                <w:snapToGrid w:val="0"/>
                <w:kern w:val="0"/>
                <w:sz w:val="24"/>
              </w:rPr>
            </w:pPr>
          </w:p>
        </w:tc>
      </w:tr>
      <w:tr w14:paraId="40AB1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6A82F8D3">
            <w:pPr>
              <w:pStyle w:val="216"/>
              <w:rPr>
                <w:snapToGrid w:val="0"/>
                <w:color w:val="auto"/>
                <w:kern w:val="0"/>
                <w:sz w:val="24"/>
              </w:rPr>
            </w:pPr>
            <w:r>
              <w:rPr>
                <w:snapToGrid w:val="0"/>
                <w:color w:val="auto"/>
                <w:kern w:val="0"/>
                <w:sz w:val="24"/>
              </w:rPr>
              <w:t>12</w:t>
            </w:r>
          </w:p>
        </w:tc>
        <w:tc>
          <w:tcPr>
            <w:tcW w:w="2628" w:type="dxa"/>
            <w:noWrap w:val="0"/>
            <w:vAlign w:val="center"/>
          </w:tcPr>
          <w:p w14:paraId="565CD4F9">
            <w:pPr>
              <w:adjustRightInd w:val="0"/>
              <w:snapToGrid w:val="0"/>
              <w:rPr>
                <w:rFonts w:ascii="宋体" w:hAnsi="宋体"/>
                <w:snapToGrid w:val="0"/>
                <w:kern w:val="0"/>
                <w:sz w:val="24"/>
              </w:rPr>
            </w:pPr>
            <w:r>
              <w:rPr>
                <w:rFonts w:hint="eastAsia" w:ascii="宋体" w:hAnsi="宋体"/>
                <w:snapToGrid w:val="0"/>
                <w:kern w:val="0"/>
                <w:sz w:val="24"/>
              </w:rPr>
              <w:t>高中速风表</w:t>
            </w:r>
          </w:p>
        </w:tc>
        <w:tc>
          <w:tcPr>
            <w:tcW w:w="1617" w:type="dxa"/>
            <w:noWrap w:val="0"/>
            <w:vAlign w:val="center"/>
          </w:tcPr>
          <w:p w14:paraId="187F4916">
            <w:pPr>
              <w:adjustRightInd w:val="0"/>
              <w:snapToGrid w:val="0"/>
              <w:rPr>
                <w:rFonts w:ascii="宋体" w:hAnsi="宋体"/>
                <w:snapToGrid w:val="0"/>
                <w:kern w:val="0"/>
                <w:sz w:val="24"/>
              </w:rPr>
            </w:pPr>
            <w:r>
              <w:rPr>
                <w:rFonts w:ascii="宋体" w:hAnsi="宋体"/>
                <w:snapToGrid w:val="0"/>
                <w:kern w:val="0"/>
                <w:sz w:val="24"/>
              </w:rPr>
              <w:t>APC-121</w:t>
            </w:r>
          </w:p>
        </w:tc>
        <w:tc>
          <w:tcPr>
            <w:tcW w:w="743" w:type="dxa"/>
            <w:noWrap w:val="0"/>
            <w:vAlign w:val="center"/>
          </w:tcPr>
          <w:p w14:paraId="623E7576">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25DD444E">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7275DF81">
            <w:pPr>
              <w:adjustRightInd w:val="0"/>
              <w:snapToGrid w:val="0"/>
              <w:jc w:val="center"/>
              <w:rPr>
                <w:rFonts w:ascii="宋体" w:hAnsi="宋体"/>
                <w:snapToGrid w:val="0"/>
                <w:kern w:val="0"/>
                <w:sz w:val="24"/>
              </w:rPr>
            </w:pPr>
          </w:p>
        </w:tc>
      </w:tr>
      <w:tr w14:paraId="1CA98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76957443">
            <w:pPr>
              <w:adjustRightInd w:val="0"/>
              <w:snapToGrid w:val="0"/>
              <w:jc w:val="center"/>
              <w:rPr>
                <w:rFonts w:ascii="宋体" w:hAnsi="宋体"/>
                <w:snapToGrid w:val="0"/>
                <w:kern w:val="0"/>
                <w:sz w:val="24"/>
              </w:rPr>
            </w:pPr>
            <w:r>
              <w:rPr>
                <w:rFonts w:ascii="宋体" w:hAnsi="宋体"/>
                <w:snapToGrid w:val="0"/>
                <w:kern w:val="0"/>
                <w:sz w:val="24"/>
              </w:rPr>
              <w:t>13</w:t>
            </w:r>
          </w:p>
        </w:tc>
        <w:tc>
          <w:tcPr>
            <w:tcW w:w="2628" w:type="dxa"/>
            <w:noWrap w:val="0"/>
            <w:vAlign w:val="center"/>
          </w:tcPr>
          <w:p w14:paraId="74050738">
            <w:pPr>
              <w:adjustRightInd w:val="0"/>
              <w:snapToGrid w:val="0"/>
              <w:rPr>
                <w:rFonts w:ascii="宋体" w:hAnsi="宋体"/>
                <w:snapToGrid w:val="0"/>
                <w:kern w:val="0"/>
                <w:sz w:val="24"/>
              </w:rPr>
            </w:pPr>
            <w:r>
              <w:rPr>
                <w:rFonts w:hint="eastAsia" w:ascii="宋体" w:hAnsi="宋体"/>
                <w:snapToGrid w:val="0"/>
                <w:kern w:val="0"/>
                <w:sz w:val="24"/>
              </w:rPr>
              <w:t>微风表</w:t>
            </w:r>
          </w:p>
        </w:tc>
        <w:tc>
          <w:tcPr>
            <w:tcW w:w="1617" w:type="dxa"/>
            <w:noWrap w:val="0"/>
            <w:vAlign w:val="center"/>
          </w:tcPr>
          <w:p w14:paraId="71874F4A">
            <w:pPr>
              <w:adjustRightInd w:val="0"/>
              <w:snapToGrid w:val="0"/>
              <w:rPr>
                <w:rFonts w:ascii="宋体" w:hAnsi="宋体"/>
                <w:snapToGrid w:val="0"/>
                <w:kern w:val="0"/>
                <w:sz w:val="24"/>
              </w:rPr>
            </w:pPr>
            <w:r>
              <w:rPr>
                <w:rFonts w:ascii="宋体" w:hAnsi="宋体"/>
                <w:snapToGrid w:val="0"/>
                <w:kern w:val="0"/>
                <w:sz w:val="24"/>
              </w:rPr>
              <w:t>DFA-3</w:t>
            </w:r>
          </w:p>
        </w:tc>
        <w:tc>
          <w:tcPr>
            <w:tcW w:w="743" w:type="dxa"/>
            <w:noWrap w:val="0"/>
            <w:vAlign w:val="center"/>
          </w:tcPr>
          <w:p w14:paraId="4891251C">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36E48084">
            <w:pPr>
              <w:adjustRightInd w:val="0"/>
              <w:snapToGrid w:val="0"/>
              <w:jc w:val="center"/>
              <w:rPr>
                <w:rFonts w:ascii="宋体" w:hAnsi="宋体"/>
                <w:snapToGrid w:val="0"/>
                <w:kern w:val="0"/>
                <w:sz w:val="24"/>
              </w:rPr>
            </w:pPr>
            <w:r>
              <w:rPr>
                <w:rFonts w:ascii="宋体" w:hAnsi="宋体"/>
                <w:snapToGrid w:val="0"/>
                <w:kern w:val="0"/>
                <w:sz w:val="24"/>
              </w:rPr>
              <w:t>1</w:t>
            </w:r>
          </w:p>
        </w:tc>
        <w:tc>
          <w:tcPr>
            <w:tcW w:w="2389" w:type="dxa"/>
            <w:noWrap w:val="0"/>
            <w:vAlign w:val="center"/>
          </w:tcPr>
          <w:p w14:paraId="28097165">
            <w:pPr>
              <w:adjustRightInd w:val="0"/>
              <w:snapToGrid w:val="0"/>
              <w:jc w:val="center"/>
              <w:rPr>
                <w:rFonts w:ascii="宋体" w:hAnsi="宋体"/>
                <w:snapToGrid w:val="0"/>
                <w:kern w:val="0"/>
                <w:sz w:val="24"/>
              </w:rPr>
            </w:pPr>
          </w:p>
        </w:tc>
      </w:tr>
      <w:tr w14:paraId="524BA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1059A86">
            <w:pPr>
              <w:pStyle w:val="275"/>
              <w:adjustRightInd w:val="0"/>
              <w:snapToGrid w:val="0"/>
              <w:spacing w:before="0" w:beforeAutospacing="0" w:after="0" w:afterAutospacing="0"/>
              <w:jc w:val="center"/>
              <w:rPr>
                <w:rFonts w:ascii="宋体" w:hAnsi="宋体" w:eastAsia="宋体"/>
                <w:snapToGrid w:val="0"/>
                <w:sz w:val="24"/>
                <w:szCs w:val="24"/>
              </w:rPr>
            </w:pPr>
            <w:r>
              <w:rPr>
                <w:rFonts w:ascii="宋体" w:hAnsi="宋体" w:eastAsia="宋体"/>
                <w:snapToGrid w:val="0"/>
                <w:sz w:val="24"/>
                <w:szCs w:val="24"/>
              </w:rPr>
              <w:t>14</w:t>
            </w:r>
          </w:p>
        </w:tc>
        <w:tc>
          <w:tcPr>
            <w:tcW w:w="2628" w:type="dxa"/>
            <w:noWrap w:val="0"/>
            <w:vAlign w:val="center"/>
          </w:tcPr>
          <w:p w14:paraId="6EB0B63A">
            <w:pPr>
              <w:adjustRightInd w:val="0"/>
              <w:snapToGrid w:val="0"/>
              <w:rPr>
                <w:rFonts w:ascii="宋体" w:hAnsi="宋体"/>
                <w:snapToGrid w:val="0"/>
                <w:kern w:val="0"/>
                <w:sz w:val="24"/>
              </w:rPr>
            </w:pPr>
            <w:r>
              <w:rPr>
                <w:rFonts w:hint="eastAsia" w:ascii="宋体" w:hAnsi="宋体"/>
                <w:snapToGrid w:val="0"/>
                <w:kern w:val="0"/>
                <w:sz w:val="24"/>
              </w:rPr>
              <w:t>干湿温度计</w:t>
            </w:r>
          </w:p>
        </w:tc>
        <w:tc>
          <w:tcPr>
            <w:tcW w:w="1617" w:type="dxa"/>
            <w:noWrap w:val="0"/>
            <w:vAlign w:val="center"/>
          </w:tcPr>
          <w:p w14:paraId="0D5F27E7">
            <w:pPr>
              <w:adjustRightInd w:val="0"/>
              <w:snapToGrid w:val="0"/>
              <w:rPr>
                <w:rFonts w:ascii="宋体" w:hAnsi="宋体"/>
                <w:snapToGrid w:val="0"/>
                <w:kern w:val="0"/>
                <w:sz w:val="24"/>
              </w:rPr>
            </w:pPr>
            <w:r>
              <w:rPr>
                <w:rFonts w:ascii="宋体" w:hAnsi="宋体"/>
                <w:snapToGrid w:val="0"/>
                <w:kern w:val="0"/>
                <w:sz w:val="24"/>
              </w:rPr>
              <w:t>DHM1</w:t>
            </w:r>
          </w:p>
        </w:tc>
        <w:tc>
          <w:tcPr>
            <w:tcW w:w="743" w:type="dxa"/>
            <w:noWrap w:val="0"/>
            <w:vAlign w:val="center"/>
          </w:tcPr>
          <w:p w14:paraId="45224DC6">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0124A0A4">
            <w:pPr>
              <w:adjustRightInd w:val="0"/>
              <w:snapToGrid w:val="0"/>
              <w:jc w:val="center"/>
              <w:rPr>
                <w:rFonts w:hint="eastAsia" w:ascii="宋体" w:hAnsi="宋体"/>
                <w:snapToGrid w:val="0"/>
                <w:kern w:val="0"/>
                <w:sz w:val="24"/>
              </w:rPr>
            </w:pPr>
            <w:r>
              <w:rPr>
                <w:rFonts w:hint="eastAsia" w:ascii="宋体" w:hAnsi="宋体"/>
                <w:snapToGrid w:val="0"/>
                <w:kern w:val="0"/>
                <w:sz w:val="24"/>
              </w:rPr>
              <w:t>3</w:t>
            </w:r>
          </w:p>
        </w:tc>
        <w:tc>
          <w:tcPr>
            <w:tcW w:w="2389" w:type="dxa"/>
            <w:noWrap w:val="0"/>
            <w:vAlign w:val="center"/>
          </w:tcPr>
          <w:p w14:paraId="0EE95A82">
            <w:pPr>
              <w:adjustRightInd w:val="0"/>
              <w:snapToGrid w:val="0"/>
              <w:jc w:val="center"/>
              <w:rPr>
                <w:rFonts w:ascii="宋体" w:hAnsi="宋体"/>
                <w:snapToGrid w:val="0"/>
                <w:kern w:val="0"/>
                <w:sz w:val="24"/>
              </w:rPr>
            </w:pPr>
          </w:p>
        </w:tc>
      </w:tr>
      <w:tr w14:paraId="5D439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58CE20C">
            <w:pPr>
              <w:adjustRightInd w:val="0"/>
              <w:snapToGrid w:val="0"/>
              <w:jc w:val="center"/>
              <w:rPr>
                <w:rFonts w:ascii="宋体" w:hAnsi="宋体"/>
                <w:snapToGrid w:val="0"/>
                <w:kern w:val="0"/>
                <w:sz w:val="24"/>
              </w:rPr>
            </w:pPr>
            <w:r>
              <w:rPr>
                <w:rFonts w:ascii="宋体" w:hAnsi="宋体"/>
                <w:snapToGrid w:val="0"/>
                <w:kern w:val="0"/>
                <w:sz w:val="24"/>
              </w:rPr>
              <w:t>15</w:t>
            </w:r>
          </w:p>
        </w:tc>
        <w:tc>
          <w:tcPr>
            <w:tcW w:w="2628" w:type="dxa"/>
            <w:noWrap w:val="0"/>
            <w:vAlign w:val="center"/>
          </w:tcPr>
          <w:p w14:paraId="7B255393">
            <w:pPr>
              <w:adjustRightInd w:val="0"/>
              <w:snapToGrid w:val="0"/>
              <w:rPr>
                <w:rFonts w:ascii="宋体" w:hAnsi="宋体"/>
                <w:snapToGrid w:val="0"/>
                <w:kern w:val="0"/>
                <w:sz w:val="24"/>
              </w:rPr>
            </w:pPr>
            <w:r>
              <w:rPr>
                <w:rFonts w:hint="eastAsia" w:ascii="宋体" w:hAnsi="宋体"/>
                <w:snapToGrid w:val="0"/>
                <w:kern w:val="0"/>
                <w:sz w:val="24"/>
              </w:rPr>
              <w:t>空盒气压计</w:t>
            </w:r>
          </w:p>
        </w:tc>
        <w:tc>
          <w:tcPr>
            <w:tcW w:w="1617" w:type="dxa"/>
            <w:noWrap w:val="0"/>
            <w:vAlign w:val="center"/>
          </w:tcPr>
          <w:p w14:paraId="65C776E3">
            <w:pPr>
              <w:adjustRightInd w:val="0"/>
              <w:snapToGrid w:val="0"/>
              <w:rPr>
                <w:rFonts w:hint="eastAsia" w:ascii="宋体" w:hAnsi="宋体"/>
                <w:snapToGrid w:val="0"/>
                <w:kern w:val="0"/>
                <w:sz w:val="24"/>
              </w:rPr>
            </w:pPr>
            <w:r>
              <w:rPr>
                <w:rFonts w:ascii="宋体" w:hAnsi="宋体"/>
                <w:snapToGrid w:val="0"/>
                <w:kern w:val="0"/>
                <w:sz w:val="24"/>
              </w:rPr>
              <w:t>DYM</w:t>
            </w:r>
            <w:r>
              <w:rPr>
                <w:rFonts w:ascii="宋体" w:hAnsi="宋体"/>
                <w:snapToGrid w:val="0"/>
                <w:kern w:val="0"/>
                <w:sz w:val="24"/>
                <w:vertAlign w:val="subscript"/>
              </w:rPr>
              <w:t>3</w:t>
            </w:r>
          </w:p>
        </w:tc>
        <w:tc>
          <w:tcPr>
            <w:tcW w:w="743" w:type="dxa"/>
            <w:noWrap w:val="0"/>
            <w:vAlign w:val="center"/>
          </w:tcPr>
          <w:p w14:paraId="6665D34B">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7B6E2F15">
            <w:pPr>
              <w:adjustRightInd w:val="0"/>
              <w:snapToGrid w:val="0"/>
              <w:jc w:val="center"/>
              <w:rPr>
                <w:rFonts w:hint="eastAsia" w:ascii="宋体" w:hAnsi="宋体"/>
                <w:snapToGrid w:val="0"/>
                <w:kern w:val="0"/>
                <w:sz w:val="24"/>
              </w:rPr>
            </w:pPr>
            <w:r>
              <w:rPr>
                <w:rFonts w:hint="eastAsia" w:ascii="宋体" w:hAnsi="宋体"/>
                <w:snapToGrid w:val="0"/>
                <w:kern w:val="0"/>
                <w:sz w:val="24"/>
              </w:rPr>
              <w:t>3</w:t>
            </w:r>
          </w:p>
        </w:tc>
        <w:tc>
          <w:tcPr>
            <w:tcW w:w="2389" w:type="dxa"/>
            <w:noWrap w:val="0"/>
            <w:vAlign w:val="center"/>
          </w:tcPr>
          <w:p w14:paraId="56F45D2C">
            <w:pPr>
              <w:adjustRightInd w:val="0"/>
              <w:snapToGrid w:val="0"/>
              <w:jc w:val="center"/>
              <w:rPr>
                <w:rFonts w:ascii="宋体" w:hAnsi="宋体"/>
                <w:snapToGrid w:val="0"/>
                <w:kern w:val="0"/>
                <w:sz w:val="24"/>
              </w:rPr>
            </w:pPr>
          </w:p>
        </w:tc>
      </w:tr>
      <w:tr w14:paraId="2EEEB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640EB39A">
            <w:pPr>
              <w:adjustRightInd w:val="0"/>
              <w:snapToGrid w:val="0"/>
              <w:jc w:val="center"/>
              <w:rPr>
                <w:rFonts w:hint="eastAsia" w:ascii="宋体" w:hAnsi="宋体"/>
                <w:snapToGrid w:val="0"/>
                <w:kern w:val="0"/>
                <w:sz w:val="24"/>
              </w:rPr>
            </w:pPr>
            <w:r>
              <w:rPr>
                <w:rFonts w:ascii="宋体" w:hAnsi="宋体"/>
                <w:snapToGrid w:val="0"/>
                <w:kern w:val="0"/>
                <w:sz w:val="24"/>
              </w:rPr>
              <w:t>1</w:t>
            </w:r>
            <w:r>
              <w:rPr>
                <w:rFonts w:hint="eastAsia" w:ascii="宋体" w:hAnsi="宋体"/>
                <w:snapToGrid w:val="0"/>
                <w:kern w:val="0"/>
                <w:sz w:val="24"/>
              </w:rPr>
              <w:t>6</w:t>
            </w:r>
          </w:p>
        </w:tc>
        <w:tc>
          <w:tcPr>
            <w:tcW w:w="2628" w:type="dxa"/>
            <w:noWrap w:val="0"/>
            <w:vAlign w:val="center"/>
          </w:tcPr>
          <w:p w14:paraId="062A9724">
            <w:pPr>
              <w:adjustRightInd w:val="0"/>
              <w:snapToGrid w:val="0"/>
              <w:rPr>
                <w:rFonts w:ascii="宋体" w:hAnsi="宋体"/>
                <w:snapToGrid w:val="0"/>
                <w:kern w:val="0"/>
                <w:sz w:val="24"/>
              </w:rPr>
            </w:pPr>
            <w:r>
              <w:rPr>
                <w:rFonts w:hint="eastAsia" w:ascii="宋体" w:hAnsi="宋体"/>
                <w:snapToGrid w:val="0"/>
                <w:kern w:val="0"/>
                <w:sz w:val="24"/>
              </w:rPr>
              <w:t>双管水银压力表</w:t>
            </w:r>
          </w:p>
        </w:tc>
        <w:tc>
          <w:tcPr>
            <w:tcW w:w="1617" w:type="dxa"/>
            <w:noWrap w:val="0"/>
            <w:vAlign w:val="center"/>
          </w:tcPr>
          <w:p w14:paraId="27A47E0E">
            <w:pPr>
              <w:adjustRightInd w:val="0"/>
              <w:snapToGrid w:val="0"/>
              <w:rPr>
                <w:rFonts w:ascii="宋体" w:hAnsi="宋体"/>
                <w:snapToGrid w:val="0"/>
                <w:kern w:val="0"/>
                <w:sz w:val="24"/>
              </w:rPr>
            </w:pPr>
            <w:r>
              <w:rPr>
                <w:rFonts w:ascii="宋体" w:hAnsi="宋体"/>
                <w:snapToGrid w:val="0"/>
                <w:kern w:val="0"/>
                <w:sz w:val="24"/>
              </w:rPr>
              <w:t>DYB</w:t>
            </w:r>
            <w:r>
              <w:rPr>
                <w:rFonts w:ascii="宋体" w:hAnsi="宋体"/>
                <w:snapToGrid w:val="0"/>
                <w:kern w:val="0"/>
                <w:sz w:val="24"/>
                <w:vertAlign w:val="subscript"/>
              </w:rPr>
              <w:t>3</w:t>
            </w:r>
          </w:p>
        </w:tc>
        <w:tc>
          <w:tcPr>
            <w:tcW w:w="743" w:type="dxa"/>
            <w:noWrap w:val="0"/>
            <w:vAlign w:val="center"/>
          </w:tcPr>
          <w:p w14:paraId="67ED8E8B">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0DC9739D">
            <w:pPr>
              <w:adjustRightInd w:val="0"/>
              <w:snapToGrid w:val="0"/>
              <w:jc w:val="center"/>
              <w:rPr>
                <w:rFonts w:ascii="宋体" w:hAnsi="宋体"/>
                <w:snapToGrid w:val="0"/>
                <w:kern w:val="0"/>
                <w:sz w:val="24"/>
              </w:rPr>
            </w:pPr>
            <w:r>
              <w:rPr>
                <w:rFonts w:ascii="宋体" w:hAnsi="宋体"/>
                <w:snapToGrid w:val="0"/>
                <w:kern w:val="0"/>
                <w:sz w:val="24"/>
              </w:rPr>
              <w:t>1</w:t>
            </w:r>
          </w:p>
        </w:tc>
        <w:tc>
          <w:tcPr>
            <w:tcW w:w="2389" w:type="dxa"/>
            <w:noWrap w:val="0"/>
            <w:vAlign w:val="center"/>
          </w:tcPr>
          <w:p w14:paraId="680059F6">
            <w:pPr>
              <w:adjustRightInd w:val="0"/>
              <w:snapToGrid w:val="0"/>
              <w:jc w:val="center"/>
              <w:rPr>
                <w:rFonts w:ascii="宋体" w:hAnsi="宋体"/>
                <w:snapToGrid w:val="0"/>
                <w:kern w:val="0"/>
                <w:sz w:val="24"/>
              </w:rPr>
            </w:pPr>
          </w:p>
        </w:tc>
      </w:tr>
      <w:tr w14:paraId="6DE76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F4553E9">
            <w:pPr>
              <w:adjustRightInd w:val="0"/>
              <w:snapToGrid w:val="0"/>
              <w:jc w:val="center"/>
              <w:rPr>
                <w:rFonts w:hint="eastAsia" w:ascii="宋体" w:hAnsi="宋体"/>
                <w:snapToGrid w:val="0"/>
                <w:kern w:val="0"/>
                <w:sz w:val="24"/>
              </w:rPr>
            </w:pPr>
            <w:r>
              <w:rPr>
                <w:rFonts w:ascii="宋体" w:hAnsi="宋体"/>
                <w:snapToGrid w:val="0"/>
                <w:kern w:val="0"/>
                <w:sz w:val="24"/>
              </w:rPr>
              <w:t>1</w:t>
            </w:r>
            <w:r>
              <w:rPr>
                <w:rFonts w:hint="eastAsia" w:ascii="宋体" w:hAnsi="宋体"/>
                <w:snapToGrid w:val="0"/>
                <w:kern w:val="0"/>
                <w:sz w:val="24"/>
              </w:rPr>
              <w:t>7</w:t>
            </w:r>
          </w:p>
        </w:tc>
        <w:tc>
          <w:tcPr>
            <w:tcW w:w="2628" w:type="dxa"/>
            <w:noWrap w:val="0"/>
            <w:vAlign w:val="center"/>
          </w:tcPr>
          <w:p w14:paraId="656E1882">
            <w:pPr>
              <w:adjustRightInd w:val="0"/>
              <w:snapToGrid w:val="0"/>
              <w:rPr>
                <w:rFonts w:hint="eastAsia" w:ascii="宋体" w:hAnsi="宋体"/>
                <w:snapToGrid w:val="0"/>
                <w:kern w:val="0"/>
                <w:sz w:val="24"/>
              </w:rPr>
            </w:pPr>
            <w:r>
              <w:rPr>
                <w:rFonts w:hint="eastAsia" w:ascii="宋体" w:hAnsi="宋体"/>
                <w:snapToGrid w:val="0"/>
                <w:kern w:val="0"/>
                <w:sz w:val="24"/>
              </w:rPr>
              <w:t>U型倾斜压差计</w:t>
            </w:r>
          </w:p>
        </w:tc>
        <w:tc>
          <w:tcPr>
            <w:tcW w:w="1617" w:type="dxa"/>
            <w:noWrap w:val="0"/>
            <w:vAlign w:val="center"/>
          </w:tcPr>
          <w:p w14:paraId="61AEFBEB">
            <w:pPr>
              <w:adjustRightInd w:val="0"/>
              <w:snapToGrid w:val="0"/>
              <w:rPr>
                <w:rFonts w:hint="eastAsia" w:ascii="宋体" w:hAnsi="宋体"/>
                <w:snapToGrid w:val="0"/>
                <w:kern w:val="0"/>
                <w:sz w:val="24"/>
              </w:rPr>
            </w:pPr>
            <w:r>
              <w:rPr>
                <w:rFonts w:hint="eastAsia" w:ascii="宋体" w:hAnsi="宋体"/>
                <w:snapToGrid w:val="0"/>
                <w:kern w:val="0"/>
                <w:sz w:val="24"/>
              </w:rPr>
              <w:t>AFJ-150</w:t>
            </w:r>
          </w:p>
        </w:tc>
        <w:tc>
          <w:tcPr>
            <w:tcW w:w="743" w:type="dxa"/>
            <w:noWrap w:val="0"/>
            <w:vAlign w:val="center"/>
          </w:tcPr>
          <w:p w14:paraId="4AA259E3">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156E7900">
            <w:pPr>
              <w:adjustRightInd w:val="0"/>
              <w:snapToGrid w:val="0"/>
              <w:jc w:val="center"/>
              <w:rPr>
                <w:rFonts w:hint="eastAsia" w:ascii="宋体" w:hAnsi="宋体"/>
                <w:snapToGrid w:val="0"/>
                <w:kern w:val="0"/>
                <w:sz w:val="24"/>
              </w:rPr>
            </w:pPr>
            <w:r>
              <w:rPr>
                <w:rFonts w:hint="eastAsia" w:ascii="宋体" w:hAnsi="宋体"/>
                <w:snapToGrid w:val="0"/>
                <w:kern w:val="0"/>
                <w:sz w:val="24"/>
              </w:rPr>
              <w:t>2</w:t>
            </w:r>
          </w:p>
        </w:tc>
        <w:tc>
          <w:tcPr>
            <w:tcW w:w="2389" w:type="dxa"/>
            <w:noWrap w:val="0"/>
            <w:vAlign w:val="center"/>
          </w:tcPr>
          <w:p w14:paraId="2C359089">
            <w:pPr>
              <w:adjustRightInd w:val="0"/>
              <w:snapToGrid w:val="0"/>
              <w:jc w:val="center"/>
              <w:rPr>
                <w:rFonts w:ascii="宋体" w:hAnsi="宋体"/>
                <w:snapToGrid w:val="0"/>
                <w:kern w:val="0"/>
                <w:sz w:val="24"/>
              </w:rPr>
            </w:pPr>
          </w:p>
        </w:tc>
      </w:tr>
      <w:tr w14:paraId="1C473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642187C6">
            <w:pPr>
              <w:adjustRightInd w:val="0"/>
              <w:snapToGrid w:val="0"/>
              <w:jc w:val="center"/>
              <w:rPr>
                <w:rFonts w:hint="eastAsia" w:ascii="宋体" w:hAnsi="宋体"/>
                <w:snapToGrid w:val="0"/>
                <w:kern w:val="0"/>
                <w:sz w:val="24"/>
              </w:rPr>
            </w:pPr>
            <w:r>
              <w:rPr>
                <w:rFonts w:hint="eastAsia" w:ascii="宋体" w:hAnsi="宋体"/>
                <w:snapToGrid w:val="0"/>
                <w:kern w:val="0"/>
                <w:sz w:val="24"/>
              </w:rPr>
              <w:t>18</w:t>
            </w:r>
          </w:p>
        </w:tc>
        <w:tc>
          <w:tcPr>
            <w:tcW w:w="2628" w:type="dxa"/>
            <w:noWrap w:val="0"/>
            <w:vAlign w:val="center"/>
          </w:tcPr>
          <w:p w14:paraId="55761749">
            <w:pPr>
              <w:adjustRightInd w:val="0"/>
              <w:snapToGrid w:val="0"/>
              <w:rPr>
                <w:rFonts w:ascii="宋体" w:hAnsi="宋体"/>
                <w:snapToGrid w:val="0"/>
                <w:kern w:val="0"/>
                <w:sz w:val="24"/>
              </w:rPr>
            </w:pPr>
            <w:r>
              <w:rPr>
                <w:rFonts w:hint="eastAsia" w:ascii="宋体" w:hAnsi="宋体"/>
                <w:snapToGrid w:val="0"/>
                <w:kern w:val="0"/>
                <w:sz w:val="24"/>
              </w:rPr>
              <w:t>补偿式微压计</w:t>
            </w:r>
          </w:p>
        </w:tc>
        <w:tc>
          <w:tcPr>
            <w:tcW w:w="1617" w:type="dxa"/>
            <w:noWrap w:val="0"/>
            <w:vAlign w:val="center"/>
          </w:tcPr>
          <w:p w14:paraId="5B71B407">
            <w:pPr>
              <w:adjustRightInd w:val="0"/>
              <w:snapToGrid w:val="0"/>
              <w:rPr>
                <w:rFonts w:ascii="宋体" w:hAnsi="宋体"/>
                <w:snapToGrid w:val="0"/>
                <w:kern w:val="0"/>
                <w:sz w:val="24"/>
              </w:rPr>
            </w:pPr>
            <w:r>
              <w:rPr>
                <w:rFonts w:ascii="宋体" w:hAnsi="宋体"/>
                <w:snapToGrid w:val="0"/>
                <w:kern w:val="0"/>
                <w:sz w:val="24"/>
              </w:rPr>
              <w:t>B</w:t>
            </w:r>
            <w:r>
              <w:rPr>
                <w:rFonts w:hint="eastAsia" w:ascii="宋体" w:hAnsi="宋体"/>
                <w:snapToGrid w:val="0"/>
                <w:kern w:val="0"/>
                <w:sz w:val="24"/>
              </w:rPr>
              <w:t>EY-250</w:t>
            </w:r>
          </w:p>
        </w:tc>
        <w:tc>
          <w:tcPr>
            <w:tcW w:w="743" w:type="dxa"/>
            <w:noWrap w:val="0"/>
            <w:vAlign w:val="center"/>
          </w:tcPr>
          <w:p w14:paraId="025EDB70">
            <w:pPr>
              <w:adjustRightInd w:val="0"/>
              <w:snapToGrid w:val="0"/>
              <w:jc w:val="center"/>
              <w:rPr>
                <w:rFonts w:ascii="宋体" w:hAnsi="宋体"/>
                <w:snapToGrid w:val="0"/>
                <w:kern w:val="0"/>
                <w:sz w:val="24"/>
              </w:rPr>
            </w:pPr>
            <w:r>
              <w:rPr>
                <w:rFonts w:hint="eastAsia" w:ascii="宋体" w:hAnsi="宋体"/>
                <w:snapToGrid w:val="0"/>
                <w:kern w:val="0"/>
                <w:sz w:val="24"/>
              </w:rPr>
              <w:t>台</w:t>
            </w:r>
          </w:p>
        </w:tc>
        <w:tc>
          <w:tcPr>
            <w:tcW w:w="900" w:type="dxa"/>
            <w:noWrap w:val="0"/>
            <w:vAlign w:val="center"/>
          </w:tcPr>
          <w:p w14:paraId="3614D2B5">
            <w:pPr>
              <w:adjustRightInd w:val="0"/>
              <w:snapToGrid w:val="0"/>
              <w:jc w:val="center"/>
              <w:rPr>
                <w:rFonts w:ascii="宋体" w:hAnsi="宋体"/>
                <w:snapToGrid w:val="0"/>
                <w:kern w:val="0"/>
                <w:sz w:val="24"/>
              </w:rPr>
            </w:pPr>
            <w:r>
              <w:rPr>
                <w:rFonts w:ascii="宋体" w:hAnsi="宋体"/>
                <w:snapToGrid w:val="0"/>
                <w:kern w:val="0"/>
                <w:sz w:val="24"/>
              </w:rPr>
              <w:t>1</w:t>
            </w:r>
          </w:p>
        </w:tc>
        <w:tc>
          <w:tcPr>
            <w:tcW w:w="2389" w:type="dxa"/>
            <w:noWrap w:val="0"/>
            <w:vAlign w:val="center"/>
          </w:tcPr>
          <w:p w14:paraId="0808B881">
            <w:pPr>
              <w:adjustRightInd w:val="0"/>
              <w:snapToGrid w:val="0"/>
              <w:jc w:val="center"/>
              <w:rPr>
                <w:rFonts w:ascii="宋体" w:hAnsi="宋体"/>
                <w:snapToGrid w:val="0"/>
                <w:kern w:val="0"/>
                <w:sz w:val="24"/>
              </w:rPr>
            </w:pPr>
          </w:p>
        </w:tc>
      </w:tr>
      <w:tr w14:paraId="140A3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3DD7D35A">
            <w:pPr>
              <w:adjustRightInd w:val="0"/>
              <w:snapToGrid w:val="0"/>
              <w:jc w:val="center"/>
              <w:rPr>
                <w:rFonts w:hint="eastAsia" w:ascii="宋体" w:hAnsi="宋体"/>
                <w:snapToGrid w:val="0"/>
                <w:kern w:val="0"/>
                <w:sz w:val="24"/>
              </w:rPr>
            </w:pPr>
            <w:r>
              <w:rPr>
                <w:rFonts w:hint="eastAsia" w:ascii="宋体" w:hAnsi="宋体"/>
                <w:snapToGrid w:val="0"/>
                <w:kern w:val="0"/>
                <w:sz w:val="24"/>
              </w:rPr>
              <w:t>19</w:t>
            </w:r>
          </w:p>
        </w:tc>
        <w:tc>
          <w:tcPr>
            <w:tcW w:w="2628" w:type="dxa"/>
            <w:noWrap w:val="0"/>
            <w:vAlign w:val="center"/>
          </w:tcPr>
          <w:p w14:paraId="4AF64561">
            <w:pPr>
              <w:adjustRightInd w:val="0"/>
              <w:snapToGrid w:val="0"/>
              <w:rPr>
                <w:rFonts w:ascii="宋体" w:hAnsi="宋体"/>
                <w:snapToGrid w:val="0"/>
                <w:kern w:val="0"/>
                <w:sz w:val="24"/>
              </w:rPr>
            </w:pPr>
            <w:r>
              <w:rPr>
                <w:rFonts w:hint="eastAsia" w:ascii="宋体" w:hAnsi="宋体"/>
                <w:snapToGrid w:val="0"/>
                <w:kern w:val="0"/>
                <w:sz w:val="24"/>
              </w:rPr>
              <w:t>通风干湿表</w:t>
            </w:r>
          </w:p>
        </w:tc>
        <w:tc>
          <w:tcPr>
            <w:tcW w:w="1617" w:type="dxa"/>
            <w:noWrap w:val="0"/>
            <w:vAlign w:val="center"/>
          </w:tcPr>
          <w:p w14:paraId="41F4EF6A">
            <w:pPr>
              <w:adjustRightInd w:val="0"/>
              <w:snapToGrid w:val="0"/>
              <w:rPr>
                <w:rFonts w:hint="eastAsia" w:ascii="宋体" w:hAnsi="宋体"/>
                <w:snapToGrid w:val="0"/>
                <w:kern w:val="0"/>
                <w:sz w:val="24"/>
              </w:rPr>
            </w:pPr>
            <w:r>
              <w:rPr>
                <w:rFonts w:hint="eastAsia" w:ascii="宋体" w:hAnsi="宋体"/>
                <w:snapToGrid w:val="0"/>
                <w:kern w:val="0"/>
                <w:sz w:val="24"/>
              </w:rPr>
              <w:t>DWHJ</w:t>
            </w:r>
            <w:r>
              <w:rPr>
                <w:rFonts w:hint="eastAsia" w:ascii="宋体" w:hAnsi="宋体"/>
                <w:snapToGrid w:val="0"/>
                <w:kern w:val="0"/>
                <w:sz w:val="24"/>
                <w:vertAlign w:val="subscript"/>
              </w:rPr>
              <w:t>2</w:t>
            </w:r>
          </w:p>
        </w:tc>
        <w:tc>
          <w:tcPr>
            <w:tcW w:w="743" w:type="dxa"/>
            <w:noWrap w:val="0"/>
            <w:vAlign w:val="center"/>
          </w:tcPr>
          <w:p w14:paraId="7C20350A">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1949C7C4">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15DF2DD3">
            <w:pPr>
              <w:adjustRightInd w:val="0"/>
              <w:snapToGrid w:val="0"/>
              <w:jc w:val="center"/>
              <w:rPr>
                <w:rFonts w:ascii="宋体" w:hAnsi="宋体"/>
                <w:snapToGrid w:val="0"/>
                <w:kern w:val="0"/>
                <w:sz w:val="24"/>
              </w:rPr>
            </w:pPr>
          </w:p>
        </w:tc>
      </w:tr>
      <w:tr w14:paraId="04DA7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577DCA8">
            <w:pPr>
              <w:adjustRightInd w:val="0"/>
              <w:snapToGrid w:val="0"/>
              <w:jc w:val="center"/>
              <w:rPr>
                <w:rFonts w:hint="eastAsia" w:ascii="宋体" w:hAnsi="宋体"/>
                <w:snapToGrid w:val="0"/>
                <w:kern w:val="0"/>
                <w:sz w:val="24"/>
              </w:rPr>
            </w:pPr>
            <w:r>
              <w:rPr>
                <w:rFonts w:hint="eastAsia" w:ascii="宋体" w:hAnsi="宋体"/>
                <w:snapToGrid w:val="0"/>
                <w:kern w:val="0"/>
                <w:sz w:val="24"/>
              </w:rPr>
              <w:t>20</w:t>
            </w:r>
          </w:p>
        </w:tc>
        <w:tc>
          <w:tcPr>
            <w:tcW w:w="2628" w:type="dxa"/>
            <w:noWrap w:val="0"/>
            <w:vAlign w:val="center"/>
          </w:tcPr>
          <w:p w14:paraId="3BE7B28D">
            <w:pPr>
              <w:adjustRightInd w:val="0"/>
              <w:snapToGrid w:val="0"/>
              <w:rPr>
                <w:rFonts w:ascii="宋体" w:hAnsi="宋体"/>
                <w:snapToGrid w:val="0"/>
                <w:kern w:val="0"/>
                <w:sz w:val="24"/>
              </w:rPr>
            </w:pPr>
            <w:r>
              <w:rPr>
                <w:rFonts w:hint="eastAsia" w:ascii="宋体" w:hAnsi="宋体"/>
                <w:snapToGrid w:val="0"/>
                <w:kern w:val="0"/>
                <w:sz w:val="24"/>
              </w:rPr>
              <w:t>秒表</w:t>
            </w:r>
          </w:p>
        </w:tc>
        <w:tc>
          <w:tcPr>
            <w:tcW w:w="1617" w:type="dxa"/>
            <w:noWrap w:val="0"/>
            <w:vAlign w:val="center"/>
          </w:tcPr>
          <w:p w14:paraId="66C1BCAB">
            <w:pPr>
              <w:adjustRightInd w:val="0"/>
              <w:snapToGrid w:val="0"/>
              <w:rPr>
                <w:rFonts w:hint="eastAsia" w:ascii="宋体" w:hAnsi="宋体"/>
                <w:snapToGrid w:val="0"/>
                <w:kern w:val="0"/>
                <w:sz w:val="24"/>
              </w:rPr>
            </w:pPr>
          </w:p>
        </w:tc>
        <w:tc>
          <w:tcPr>
            <w:tcW w:w="743" w:type="dxa"/>
            <w:noWrap w:val="0"/>
            <w:vAlign w:val="center"/>
          </w:tcPr>
          <w:p w14:paraId="37B9AA30">
            <w:pPr>
              <w:adjustRightInd w:val="0"/>
              <w:snapToGrid w:val="0"/>
              <w:jc w:val="center"/>
              <w:rPr>
                <w:rFonts w:ascii="宋体" w:hAnsi="宋体"/>
                <w:snapToGrid w:val="0"/>
                <w:kern w:val="0"/>
                <w:sz w:val="24"/>
              </w:rPr>
            </w:pPr>
            <w:r>
              <w:rPr>
                <w:rFonts w:hint="eastAsia" w:ascii="宋体" w:hAnsi="宋体"/>
                <w:snapToGrid w:val="0"/>
                <w:kern w:val="0"/>
                <w:sz w:val="24"/>
              </w:rPr>
              <w:t>个</w:t>
            </w:r>
          </w:p>
        </w:tc>
        <w:tc>
          <w:tcPr>
            <w:tcW w:w="900" w:type="dxa"/>
            <w:noWrap w:val="0"/>
            <w:vAlign w:val="center"/>
          </w:tcPr>
          <w:p w14:paraId="35E6965D">
            <w:pPr>
              <w:adjustRightInd w:val="0"/>
              <w:snapToGrid w:val="0"/>
              <w:jc w:val="center"/>
              <w:rPr>
                <w:rFonts w:hint="eastAsia" w:ascii="宋体" w:hAnsi="宋体"/>
                <w:snapToGrid w:val="0"/>
                <w:kern w:val="0"/>
                <w:sz w:val="24"/>
              </w:rPr>
            </w:pPr>
            <w:r>
              <w:rPr>
                <w:rFonts w:hint="eastAsia" w:ascii="宋体" w:hAnsi="宋体"/>
                <w:snapToGrid w:val="0"/>
                <w:kern w:val="0"/>
                <w:sz w:val="24"/>
              </w:rPr>
              <w:t>2</w:t>
            </w:r>
          </w:p>
        </w:tc>
        <w:tc>
          <w:tcPr>
            <w:tcW w:w="2389" w:type="dxa"/>
            <w:noWrap w:val="0"/>
            <w:vAlign w:val="center"/>
          </w:tcPr>
          <w:p w14:paraId="04307A15">
            <w:pPr>
              <w:adjustRightInd w:val="0"/>
              <w:snapToGrid w:val="0"/>
              <w:jc w:val="center"/>
              <w:rPr>
                <w:rFonts w:ascii="宋体" w:hAnsi="宋体"/>
                <w:snapToGrid w:val="0"/>
                <w:kern w:val="0"/>
                <w:sz w:val="24"/>
              </w:rPr>
            </w:pPr>
          </w:p>
        </w:tc>
      </w:tr>
      <w:tr w14:paraId="09666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65D892A1">
            <w:pPr>
              <w:adjustRightInd w:val="0"/>
              <w:snapToGrid w:val="0"/>
              <w:jc w:val="center"/>
              <w:rPr>
                <w:rFonts w:hint="eastAsia" w:ascii="宋体" w:hAnsi="宋体"/>
                <w:snapToGrid w:val="0"/>
                <w:kern w:val="0"/>
                <w:sz w:val="24"/>
              </w:rPr>
            </w:pPr>
            <w:r>
              <w:rPr>
                <w:rFonts w:hint="eastAsia" w:ascii="宋体" w:hAnsi="宋体"/>
                <w:snapToGrid w:val="0"/>
                <w:kern w:val="0"/>
                <w:sz w:val="24"/>
              </w:rPr>
              <w:t>21</w:t>
            </w:r>
          </w:p>
        </w:tc>
        <w:tc>
          <w:tcPr>
            <w:tcW w:w="2628" w:type="dxa"/>
            <w:noWrap w:val="0"/>
            <w:vAlign w:val="center"/>
          </w:tcPr>
          <w:p w14:paraId="1CAF2498">
            <w:pPr>
              <w:adjustRightInd w:val="0"/>
              <w:snapToGrid w:val="0"/>
              <w:rPr>
                <w:rFonts w:hint="eastAsia" w:ascii="宋体" w:hAnsi="宋体"/>
                <w:snapToGrid w:val="0"/>
                <w:kern w:val="0"/>
                <w:sz w:val="24"/>
              </w:rPr>
            </w:pPr>
            <w:r>
              <w:rPr>
                <w:rFonts w:hint="eastAsia" w:ascii="宋体" w:hAnsi="宋体"/>
                <w:snapToGrid w:val="0"/>
                <w:kern w:val="0"/>
                <w:sz w:val="24"/>
              </w:rPr>
              <w:t>皮托管</w:t>
            </w:r>
          </w:p>
        </w:tc>
        <w:tc>
          <w:tcPr>
            <w:tcW w:w="1617" w:type="dxa"/>
            <w:noWrap w:val="0"/>
            <w:vAlign w:val="center"/>
          </w:tcPr>
          <w:p w14:paraId="102A9072">
            <w:pPr>
              <w:adjustRightInd w:val="0"/>
              <w:snapToGrid w:val="0"/>
              <w:rPr>
                <w:rFonts w:hint="eastAsia" w:ascii="宋体" w:hAnsi="宋体"/>
                <w:snapToGrid w:val="0"/>
                <w:kern w:val="0"/>
                <w:sz w:val="24"/>
              </w:rPr>
            </w:pPr>
            <w:r>
              <w:rPr>
                <w:rFonts w:hint="eastAsia" w:ascii="宋体" w:hAnsi="宋体"/>
                <w:snapToGrid w:val="0"/>
                <w:kern w:val="0"/>
                <w:sz w:val="24"/>
              </w:rPr>
              <w:t>AFP系列</w:t>
            </w:r>
          </w:p>
        </w:tc>
        <w:tc>
          <w:tcPr>
            <w:tcW w:w="743" w:type="dxa"/>
            <w:noWrap w:val="0"/>
            <w:vAlign w:val="center"/>
          </w:tcPr>
          <w:p w14:paraId="19065634">
            <w:pPr>
              <w:adjustRightInd w:val="0"/>
              <w:snapToGrid w:val="0"/>
              <w:jc w:val="center"/>
              <w:rPr>
                <w:rFonts w:hint="eastAsia" w:ascii="宋体" w:hAnsi="宋体"/>
                <w:snapToGrid w:val="0"/>
                <w:kern w:val="0"/>
                <w:sz w:val="24"/>
              </w:rPr>
            </w:pPr>
            <w:r>
              <w:rPr>
                <w:rFonts w:hint="eastAsia" w:ascii="宋体" w:hAnsi="宋体"/>
                <w:snapToGrid w:val="0"/>
                <w:kern w:val="0"/>
                <w:sz w:val="24"/>
              </w:rPr>
              <w:t>支</w:t>
            </w:r>
          </w:p>
        </w:tc>
        <w:tc>
          <w:tcPr>
            <w:tcW w:w="900" w:type="dxa"/>
            <w:noWrap w:val="0"/>
            <w:vAlign w:val="center"/>
          </w:tcPr>
          <w:p w14:paraId="520E2A3E">
            <w:pPr>
              <w:adjustRightInd w:val="0"/>
              <w:snapToGrid w:val="0"/>
              <w:jc w:val="center"/>
              <w:rPr>
                <w:rFonts w:hint="eastAsia" w:ascii="宋体" w:hAnsi="宋体"/>
                <w:snapToGrid w:val="0"/>
                <w:kern w:val="0"/>
                <w:sz w:val="24"/>
              </w:rPr>
            </w:pPr>
            <w:r>
              <w:rPr>
                <w:rFonts w:hint="eastAsia" w:ascii="宋体" w:hAnsi="宋体"/>
                <w:snapToGrid w:val="0"/>
                <w:kern w:val="0"/>
                <w:sz w:val="24"/>
              </w:rPr>
              <w:t>4</w:t>
            </w:r>
          </w:p>
        </w:tc>
        <w:tc>
          <w:tcPr>
            <w:tcW w:w="2389" w:type="dxa"/>
            <w:noWrap w:val="0"/>
            <w:vAlign w:val="center"/>
          </w:tcPr>
          <w:p w14:paraId="57B6B66B">
            <w:pPr>
              <w:adjustRightInd w:val="0"/>
              <w:snapToGrid w:val="0"/>
              <w:jc w:val="center"/>
              <w:rPr>
                <w:rFonts w:ascii="宋体" w:hAnsi="宋体"/>
                <w:snapToGrid w:val="0"/>
                <w:kern w:val="0"/>
                <w:sz w:val="24"/>
              </w:rPr>
            </w:pPr>
          </w:p>
        </w:tc>
      </w:tr>
      <w:tr w14:paraId="0756A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3D50AD5F">
            <w:pPr>
              <w:adjustRightInd w:val="0"/>
              <w:snapToGrid w:val="0"/>
              <w:jc w:val="center"/>
              <w:rPr>
                <w:rFonts w:hint="eastAsia" w:ascii="宋体" w:hAnsi="宋体"/>
                <w:snapToGrid w:val="0"/>
                <w:kern w:val="0"/>
                <w:sz w:val="24"/>
              </w:rPr>
            </w:pPr>
            <w:r>
              <w:rPr>
                <w:rFonts w:hint="eastAsia" w:ascii="宋体" w:hAnsi="宋体"/>
                <w:snapToGrid w:val="0"/>
                <w:kern w:val="0"/>
                <w:sz w:val="24"/>
              </w:rPr>
              <w:t>22</w:t>
            </w:r>
          </w:p>
        </w:tc>
        <w:tc>
          <w:tcPr>
            <w:tcW w:w="2628" w:type="dxa"/>
            <w:noWrap w:val="0"/>
            <w:vAlign w:val="center"/>
          </w:tcPr>
          <w:p w14:paraId="3BE749D7">
            <w:pPr>
              <w:adjustRightInd w:val="0"/>
              <w:snapToGrid w:val="0"/>
              <w:rPr>
                <w:rFonts w:hint="eastAsia" w:ascii="宋体" w:hAnsi="宋体"/>
                <w:snapToGrid w:val="0"/>
                <w:kern w:val="0"/>
                <w:sz w:val="24"/>
              </w:rPr>
            </w:pPr>
            <w:r>
              <w:rPr>
                <w:rFonts w:hint="eastAsia" w:ascii="宋体" w:hAnsi="宋体"/>
                <w:snapToGrid w:val="0"/>
                <w:kern w:val="0"/>
                <w:sz w:val="24"/>
              </w:rPr>
              <w:t>粉尘采样器</w:t>
            </w:r>
          </w:p>
        </w:tc>
        <w:tc>
          <w:tcPr>
            <w:tcW w:w="1617" w:type="dxa"/>
            <w:noWrap w:val="0"/>
            <w:vAlign w:val="center"/>
          </w:tcPr>
          <w:p w14:paraId="250060C8">
            <w:pPr>
              <w:adjustRightInd w:val="0"/>
              <w:snapToGrid w:val="0"/>
              <w:rPr>
                <w:rFonts w:hint="eastAsia" w:ascii="宋体" w:hAnsi="宋体"/>
                <w:snapToGrid w:val="0"/>
                <w:kern w:val="0"/>
                <w:sz w:val="24"/>
              </w:rPr>
            </w:pPr>
            <w:r>
              <w:rPr>
                <w:rFonts w:hint="eastAsia" w:ascii="宋体" w:hAnsi="宋体"/>
                <w:snapToGrid w:val="0"/>
                <w:kern w:val="0"/>
                <w:sz w:val="24"/>
              </w:rPr>
              <w:t>APF-1</w:t>
            </w:r>
          </w:p>
        </w:tc>
        <w:tc>
          <w:tcPr>
            <w:tcW w:w="743" w:type="dxa"/>
            <w:noWrap w:val="0"/>
            <w:vAlign w:val="center"/>
          </w:tcPr>
          <w:p w14:paraId="585DA7F6">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5A47A4D7">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534824F9">
            <w:pPr>
              <w:adjustRightInd w:val="0"/>
              <w:snapToGrid w:val="0"/>
              <w:jc w:val="center"/>
              <w:rPr>
                <w:rFonts w:ascii="宋体" w:hAnsi="宋体"/>
                <w:snapToGrid w:val="0"/>
                <w:kern w:val="0"/>
                <w:sz w:val="24"/>
              </w:rPr>
            </w:pPr>
          </w:p>
        </w:tc>
      </w:tr>
      <w:tr w14:paraId="26F04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42D539E7">
            <w:pPr>
              <w:adjustRightInd w:val="0"/>
              <w:snapToGrid w:val="0"/>
              <w:jc w:val="center"/>
              <w:rPr>
                <w:rFonts w:hint="eastAsia" w:ascii="宋体" w:hAnsi="宋体"/>
                <w:snapToGrid w:val="0"/>
                <w:kern w:val="0"/>
                <w:sz w:val="24"/>
              </w:rPr>
            </w:pPr>
            <w:r>
              <w:rPr>
                <w:rFonts w:hint="eastAsia" w:ascii="宋体" w:hAnsi="宋体"/>
                <w:snapToGrid w:val="0"/>
                <w:kern w:val="0"/>
                <w:sz w:val="24"/>
              </w:rPr>
              <w:t>23</w:t>
            </w:r>
          </w:p>
        </w:tc>
        <w:tc>
          <w:tcPr>
            <w:tcW w:w="2628" w:type="dxa"/>
            <w:noWrap w:val="0"/>
            <w:vAlign w:val="center"/>
          </w:tcPr>
          <w:p w14:paraId="44B5A9FC">
            <w:pPr>
              <w:adjustRightInd w:val="0"/>
              <w:snapToGrid w:val="0"/>
              <w:rPr>
                <w:rFonts w:hint="eastAsia" w:ascii="宋体" w:hAnsi="宋体"/>
                <w:snapToGrid w:val="0"/>
                <w:kern w:val="0"/>
                <w:sz w:val="24"/>
              </w:rPr>
            </w:pPr>
            <w:r>
              <w:rPr>
                <w:rFonts w:hint="eastAsia" w:ascii="宋体" w:hAnsi="宋体"/>
                <w:snapToGrid w:val="0"/>
                <w:kern w:val="0"/>
                <w:sz w:val="24"/>
              </w:rPr>
              <w:t>光电粉尘测定仪</w:t>
            </w:r>
          </w:p>
        </w:tc>
        <w:tc>
          <w:tcPr>
            <w:tcW w:w="1617" w:type="dxa"/>
            <w:noWrap w:val="0"/>
            <w:vAlign w:val="center"/>
          </w:tcPr>
          <w:p w14:paraId="17D609B2">
            <w:pPr>
              <w:adjustRightInd w:val="0"/>
              <w:snapToGrid w:val="0"/>
              <w:rPr>
                <w:rFonts w:hint="eastAsia" w:ascii="宋体" w:hAnsi="宋体"/>
                <w:snapToGrid w:val="0"/>
                <w:kern w:val="0"/>
                <w:sz w:val="24"/>
              </w:rPr>
            </w:pPr>
            <w:r>
              <w:rPr>
                <w:rFonts w:hint="eastAsia" w:ascii="宋体" w:hAnsi="宋体"/>
                <w:snapToGrid w:val="0"/>
                <w:kern w:val="0"/>
                <w:sz w:val="24"/>
              </w:rPr>
              <w:t>ACG-1</w:t>
            </w:r>
          </w:p>
        </w:tc>
        <w:tc>
          <w:tcPr>
            <w:tcW w:w="743" w:type="dxa"/>
            <w:noWrap w:val="0"/>
            <w:vAlign w:val="center"/>
          </w:tcPr>
          <w:p w14:paraId="73D1743C">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2940C259">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445C4624">
            <w:pPr>
              <w:adjustRightInd w:val="0"/>
              <w:snapToGrid w:val="0"/>
              <w:jc w:val="center"/>
              <w:rPr>
                <w:rFonts w:ascii="宋体" w:hAnsi="宋体"/>
                <w:snapToGrid w:val="0"/>
                <w:kern w:val="0"/>
                <w:sz w:val="24"/>
              </w:rPr>
            </w:pPr>
          </w:p>
        </w:tc>
      </w:tr>
      <w:tr w14:paraId="38688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1EBEC574">
            <w:pPr>
              <w:adjustRightInd w:val="0"/>
              <w:snapToGrid w:val="0"/>
              <w:jc w:val="center"/>
              <w:rPr>
                <w:rFonts w:hint="eastAsia" w:ascii="宋体" w:hAnsi="宋体"/>
                <w:snapToGrid w:val="0"/>
                <w:kern w:val="0"/>
                <w:sz w:val="24"/>
              </w:rPr>
            </w:pPr>
            <w:r>
              <w:rPr>
                <w:rFonts w:hint="eastAsia" w:ascii="宋体" w:hAnsi="宋体"/>
                <w:snapToGrid w:val="0"/>
                <w:kern w:val="0"/>
                <w:sz w:val="24"/>
              </w:rPr>
              <w:t>24</w:t>
            </w:r>
          </w:p>
        </w:tc>
        <w:tc>
          <w:tcPr>
            <w:tcW w:w="2628" w:type="dxa"/>
            <w:noWrap w:val="0"/>
            <w:vAlign w:val="center"/>
          </w:tcPr>
          <w:p w14:paraId="31E7E4D1">
            <w:pPr>
              <w:adjustRightInd w:val="0"/>
              <w:snapToGrid w:val="0"/>
              <w:rPr>
                <w:rFonts w:hint="eastAsia" w:ascii="宋体" w:hAnsi="宋体"/>
                <w:snapToGrid w:val="0"/>
                <w:kern w:val="0"/>
                <w:sz w:val="24"/>
              </w:rPr>
            </w:pPr>
            <w:r>
              <w:rPr>
                <w:rFonts w:hint="eastAsia" w:ascii="宋体" w:hAnsi="宋体"/>
                <w:snapToGrid w:val="0"/>
                <w:kern w:val="0"/>
                <w:sz w:val="24"/>
              </w:rPr>
              <w:t>支柱初撑力测定表</w:t>
            </w:r>
          </w:p>
        </w:tc>
        <w:tc>
          <w:tcPr>
            <w:tcW w:w="1617" w:type="dxa"/>
            <w:noWrap w:val="0"/>
            <w:vAlign w:val="center"/>
          </w:tcPr>
          <w:p w14:paraId="7DA44E68">
            <w:pPr>
              <w:adjustRightInd w:val="0"/>
              <w:snapToGrid w:val="0"/>
              <w:rPr>
                <w:rFonts w:hint="eastAsia" w:ascii="宋体" w:hAnsi="宋体"/>
                <w:snapToGrid w:val="0"/>
                <w:kern w:val="0"/>
                <w:sz w:val="24"/>
              </w:rPr>
            </w:pPr>
          </w:p>
        </w:tc>
        <w:tc>
          <w:tcPr>
            <w:tcW w:w="743" w:type="dxa"/>
            <w:noWrap w:val="0"/>
            <w:vAlign w:val="center"/>
          </w:tcPr>
          <w:p w14:paraId="4A553317">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4E46D046">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0CF79B8C">
            <w:pPr>
              <w:adjustRightInd w:val="0"/>
              <w:snapToGrid w:val="0"/>
              <w:jc w:val="center"/>
              <w:rPr>
                <w:rFonts w:ascii="宋体" w:hAnsi="宋体"/>
                <w:snapToGrid w:val="0"/>
                <w:kern w:val="0"/>
                <w:sz w:val="24"/>
              </w:rPr>
            </w:pPr>
          </w:p>
        </w:tc>
      </w:tr>
      <w:tr w14:paraId="5C758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33F111F8">
            <w:pPr>
              <w:adjustRightInd w:val="0"/>
              <w:snapToGrid w:val="0"/>
              <w:jc w:val="center"/>
              <w:rPr>
                <w:rFonts w:hint="eastAsia" w:ascii="宋体" w:hAnsi="宋体"/>
                <w:snapToGrid w:val="0"/>
                <w:kern w:val="0"/>
                <w:sz w:val="24"/>
              </w:rPr>
            </w:pPr>
            <w:r>
              <w:rPr>
                <w:rFonts w:hint="eastAsia" w:ascii="宋体" w:hAnsi="宋体"/>
                <w:snapToGrid w:val="0"/>
                <w:kern w:val="0"/>
                <w:sz w:val="24"/>
              </w:rPr>
              <w:t>25</w:t>
            </w:r>
          </w:p>
        </w:tc>
        <w:tc>
          <w:tcPr>
            <w:tcW w:w="2628" w:type="dxa"/>
            <w:noWrap w:val="0"/>
            <w:vAlign w:val="center"/>
          </w:tcPr>
          <w:p w14:paraId="1E23BE5F">
            <w:pPr>
              <w:adjustRightInd w:val="0"/>
              <w:snapToGrid w:val="0"/>
              <w:rPr>
                <w:rFonts w:hint="eastAsia" w:ascii="宋体" w:hAnsi="宋体"/>
                <w:snapToGrid w:val="0"/>
                <w:kern w:val="0"/>
                <w:sz w:val="24"/>
              </w:rPr>
            </w:pPr>
            <w:r>
              <w:rPr>
                <w:rFonts w:hint="eastAsia" w:ascii="宋体" w:hAnsi="宋体"/>
                <w:snapToGrid w:val="0"/>
                <w:kern w:val="0"/>
                <w:sz w:val="24"/>
              </w:rPr>
              <w:t>钢丝绳探伤仪</w:t>
            </w:r>
          </w:p>
        </w:tc>
        <w:tc>
          <w:tcPr>
            <w:tcW w:w="1617" w:type="dxa"/>
            <w:noWrap w:val="0"/>
            <w:vAlign w:val="center"/>
          </w:tcPr>
          <w:p w14:paraId="33317DD9">
            <w:pPr>
              <w:adjustRightInd w:val="0"/>
              <w:snapToGrid w:val="0"/>
              <w:rPr>
                <w:rFonts w:hint="eastAsia" w:ascii="宋体" w:hAnsi="宋体"/>
                <w:snapToGrid w:val="0"/>
                <w:kern w:val="0"/>
                <w:sz w:val="24"/>
              </w:rPr>
            </w:pPr>
            <w:r>
              <w:rPr>
                <w:rFonts w:hint="eastAsia" w:ascii="宋体" w:hAnsi="宋体"/>
                <w:snapToGrid w:val="0"/>
                <w:kern w:val="0"/>
                <w:sz w:val="24"/>
              </w:rPr>
              <w:t>GT-30</w:t>
            </w:r>
          </w:p>
        </w:tc>
        <w:tc>
          <w:tcPr>
            <w:tcW w:w="743" w:type="dxa"/>
            <w:noWrap w:val="0"/>
            <w:vAlign w:val="center"/>
          </w:tcPr>
          <w:p w14:paraId="1889C7F7">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285FF7FA">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124964DD">
            <w:pPr>
              <w:adjustRightInd w:val="0"/>
              <w:snapToGrid w:val="0"/>
              <w:jc w:val="center"/>
              <w:rPr>
                <w:rFonts w:ascii="宋体" w:hAnsi="宋体"/>
                <w:snapToGrid w:val="0"/>
                <w:kern w:val="0"/>
                <w:sz w:val="24"/>
              </w:rPr>
            </w:pPr>
          </w:p>
        </w:tc>
      </w:tr>
      <w:tr w14:paraId="03405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0D325756">
            <w:pPr>
              <w:adjustRightInd w:val="0"/>
              <w:snapToGrid w:val="0"/>
              <w:jc w:val="center"/>
              <w:rPr>
                <w:rFonts w:hint="eastAsia" w:ascii="宋体" w:hAnsi="宋体"/>
                <w:snapToGrid w:val="0"/>
                <w:kern w:val="0"/>
                <w:sz w:val="24"/>
              </w:rPr>
            </w:pPr>
            <w:r>
              <w:rPr>
                <w:rFonts w:hint="eastAsia" w:ascii="宋体" w:hAnsi="宋体"/>
                <w:snapToGrid w:val="0"/>
                <w:kern w:val="0"/>
                <w:sz w:val="24"/>
              </w:rPr>
              <w:t>26</w:t>
            </w:r>
          </w:p>
        </w:tc>
        <w:tc>
          <w:tcPr>
            <w:tcW w:w="2628" w:type="dxa"/>
            <w:noWrap w:val="0"/>
            <w:vAlign w:val="center"/>
          </w:tcPr>
          <w:p w14:paraId="2FB39D9E">
            <w:pPr>
              <w:adjustRightInd w:val="0"/>
              <w:snapToGrid w:val="0"/>
              <w:rPr>
                <w:rFonts w:hint="eastAsia" w:ascii="宋体" w:hAnsi="宋体"/>
                <w:snapToGrid w:val="0"/>
                <w:kern w:val="0"/>
                <w:sz w:val="24"/>
              </w:rPr>
            </w:pPr>
            <w:r>
              <w:rPr>
                <w:rFonts w:hint="eastAsia" w:ascii="宋体" w:hAnsi="宋体"/>
                <w:snapToGrid w:val="0"/>
                <w:kern w:val="0"/>
                <w:sz w:val="24"/>
              </w:rPr>
              <w:t>测压计</w:t>
            </w:r>
          </w:p>
        </w:tc>
        <w:tc>
          <w:tcPr>
            <w:tcW w:w="1617" w:type="dxa"/>
            <w:noWrap w:val="0"/>
            <w:vAlign w:val="center"/>
          </w:tcPr>
          <w:p w14:paraId="56FE4EE7">
            <w:pPr>
              <w:adjustRightInd w:val="0"/>
              <w:snapToGrid w:val="0"/>
              <w:rPr>
                <w:rFonts w:ascii="宋体" w:hAnsi="宋体"/>
                <w:snapToGrid w:val="0"/>
                <w:kern w:val="0"/>
                <w:sz w:val="24"/>
              </w:rPr>
            </w:pPr>
          </w:p>
        </w:tc>
        <w:tc>
          <w:tcPr>
            <w:tcW w:w="743" w:type="dxa"/>
            <w:noWrap w:val="0"/>
            <w:vAlign w:val="center"/>
          </w:tcPr>
          <w:p w14:paraId="7FBA55B8">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22389F86">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6F0FF26B">
            <w:pPr>
              <w:adjustRightInd w:val="0"/>
              <w:snapToGrid w:val="0"/>
              <w:jc w:val="center"/>
              <w:rPr>
                <w:rFonts w:ascii="宋体" w:hAnsi="宋体"/>
                <w:snapToGrid w:val="0"/>
                <w:kern w:val="0"/>
                <w:sz w:val="24"/>
              </w:rPr>
            </w:pPr>
          </w:p>
        </w:tc>
      </w:tr>
      <w:tr w14:paraId="5FC49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08A2EB36">
            <w:pPr>
              <w:adjustRightInd w:val="0"/>
              <w:snapToGrid w:val="0"/>
              <w:jc w:val="center"/>
              <w:rPr>
                <w:rFonts w:hint="eastAsia" w:ascii="宋体" w:hAnsi="宋体"/>
                <w:snapToGrid w:val="0"/>
                <w:kern w:val="0"/>
                <w:sz w:val="24"/>
              </w:rPr>
            </w:pPr>
            <w:r>
              <w:rPr>
                <w:rFonts w:hint="eastAsia" w:ascii="宋体" w:hAnsi="宋体"/>
                <w:snapToGrid w:val="0"/>
                <w:kern w:val="0"/>
                <w:sz w:val="24"/>
              </w:rPr>
              <w:t>27</w:t>
            </w:r>
          </w:p>
        </w:tc>
        <w:tc>
          <w:tcPr>
            <w:tcW w:w="2628" w:type="dxa"/>
            <w:noWrap w:val="0"/>
            <w:vAlign w:val="center"/>
          </w:tcPr>
          <w:p w14:paraId="01EE286F">
            <w:pPr>
              <w:adjustRightInd w:val="0"/>
              <w:snapToGrid w:val="0"/>
              <w:rPr>
                <w:rFonts w:hint="eastAsia" w:ascii="宋体" w:hAnsi="宋体"/>
                <w:snapToGrid w:val="0"/>
                <w:kern w:val="0"/>
                <w:sz w:val="24"/>
              </w:rPr>
            </w:pPr>
            <w:r>
              <w:rPr>
                <w:rFonts w:hint="eastAsia" w:ascii="宋体" w:hAnsi="宋体"/>
                <w:snapToGrid w:val="0"/>
                <w:kern w:val="0"/>
                <w:sz w:val="24"/>
              </w:rPr>
              <w:t>地质罗盘</w:t>
            </w:r>
          </w:p>
        </w:tc>
        <w:tc>
          <w:tcPr>
            <w:tcW w:w="1617" w:type="dxa"/>
            <w:noWrap w:val="0"/>
            <w:vAlign w:val="center"/>
          </w:tcPr>
          <w:p w14:paraId="32E26696">
            <w:pPr>
              <w:adjustRightInd w:val="0"/>
              <w:snapToGrid w:val="0"/>
              <w:rPr>
                <w:rFonts w:hint="eastAsia" w:ascii="宋体" w:hAnsi="宋体"/>
                <w:snapToGrid w:val="0"/>
                <w:kern w:val="0"/>
                <w:sz w:val="24"/>
              </w:rPr>
            </w:pPr>
            <w:r>
              <w:rPr>
                <w:rFonts w:hint="eastAsia" w:ascii="宋体" w:hAnsi="宋体"/>
                <w:snapToGrid w:val="0"/>
                <w:kern w:val="0"/>
                <w:sz w:val="24"/>
              </w:rPr>
              <w:t>CKX-1</w:t>
            </w:r>
          </w:p>
        </w:tc>
        <w:tc>
          <w:tcPr>
            <w:tcW w:w="743" w:type="dxa"/>
            <w:noWrap w:val="0"/>
            <w:vAlign w:val="center"/>
          </w:tcPr>
          <w:p w14:paraId="7669E417">
            <w:pPr>
              <w:adjustRightInd w:val="0"/>
              <w:snapToGrid w:val="0"/>
              <w:jc w:val="center"/>
              <w:rPr>
                <w:rFonts w:hint="eastAsia" w:ascii="宋体" w:hAnsi="宋体"/>
                <w:snapToGrid w:val="0"/>
                <w:kern w:val="0"/>
                <w:sz w:val="24"/>
              </w:rPr>
            </w:pPr>
            <w:r>
              <w:rPr>
                <w:rFonts w:hint="eastAsia" w:ascii="宋体" w:hAnsi="宋体"/>
                <w:snapToGrid w:val="0"/>
                <w:kern w:val="0"/>
                <w:sz w:val="24"/>
              </w:rPr>
              <w:t>个</w:t>
            </w:r>
          </w:p>
        </w:tc>
        <w:tc>
          <w:tcPr>
            <w:tcW w:w="900" w:type="dxa"/>
            <w:noWrap w:val="0"/>
            <w:vAlign w:val="center"/>
          </w:tcPr>
          <w:p w14:paraId="1CFE8D2A">
            <w:pPr>
              <w:adjustRightInd w:val="0"/>
              <w:snapToGrid w:val="0"/>
              <w:jc w:val="center"/>
              <w:rPr>
                <w:rFonts w:hint="eastAsia" w:ascii="宋体" w:hAnsi="宋体"/>
                <w:snapToGrid w:val="0"/>
                <w:kern w:val="0"/>
                <w:sz w:val="24"/>
              </w:rPr>
            </w:pPr>
            <w:r>
              <w:rPr>
                <w:rFonts w:hint="eastAsia" w:ascii="宋体" w:hAnsi="宋体"/>
                <w:snapToGrid w:val="0"/>
                <w:kern w:val="0"/>
                <w:sz w:val="24"/>
              </w:rPr>
              <w:t>2</w:t>
            </w:r>
          </w:p>
        </w:tc>
        <w:tc>
          <w:tcPr>
            <w:tcW w:w="2389" w:type="dxa"/>
            <w:noWrap w:val="0"/>
            <w:vAlign w:val="center"/>
          </w:tcPr>
          <w:p w14:paraId="69F8C01C">
            <w:pPr>
              <w:adjustRightInd w:val="0"/>
              <w:snapToGrid w:val="0"/>
              <w:jc w:val="center"/>
              <w:rPr>
                <w:rFonts w:ascii="宋体" w:hAnsi="宋体"/>
                <w:snapToGrid w:val="0"/>
                <w:kern w:val="0"/>
                <w:sz w:val="24"/>
              </w:rPr>
            </w:pPr>
          </w:p>
        </w:tc>
      </w:tr>
      <w:tr w14:paraId="56299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765EC996">
            <w:pPr>
              <w:adjustRightInd w:val="0"/>
              <w:snapToGrid w:val="0"/>
              <w:jc w:val="center"/>
              <w:rPr>
                <w:rFonts w:hint="eastAsia" w:ascii="宋体" w:hAnsi="宋体"/>
                <w:snapToGrid w:val="0"/>
                <w:kern w:val="0"/>
                <w:sz w:val="24"/>
              </w:rPr>
            </w:pPr>
            <w:r>
              <w:rPr>
                <w:rFonts w:hint="eastAsia" w:ascii="宋体" w:hAnsi="宋体"/>
                <w:snapToGrid w:val="0"/>
                <w:kern w:val="0"/>
                <w:sz w:val="24"/>
              </w:rPr>
              <w:t>28</w:t>
            </w:r>
          </w:p>
        </w:tc>
        <w:tc>
          <w:tcPr>
            <w:tcW w:w="2628" w:type="dxa"/>
            <w:noWrap w:val="0"/>
            <w:vAlign w:val="center"/>
          </w:tcPr>
          <w:p w14:paraId="1C53DB40">
            <w:pPr>
              <w:adjustRightInd w:val="0"/>
              <w:snapToGrid w:val="0"/>
              <w:rPr>
                <w:rFonts w:hint="eastAsia" w:ascii="宋体" w:hAnsi="宋体"/>
                <w:snapToGrid w:val="0"/>
                <w:kern w:val="0"/>
                <w:sz w:val="24"/>
              </w:rPr>
            </w:pPr>
            <w:r>
              <w:rPr>
                <w:rFonts w:hint="eastAsia" w:ascii="宋体" w:hAnsi="宋体"/>
                <w:snapToGrid w:val="0"/>
                <w:kern w:val="0"/>
                <w:sz w:val="24"/>
              </w:rPr>
              <w:t>矿山挂罗盘</w:t>
            </w:r>
          </w:p>
        </w:tc>
        <w:tc>
          <w:tcPr>
            <w:tcW w:w="1617" w:type="dxa"/>
            <w:noWrap w:val="0"/>
            <w:vAlign w:val="center"/>
          </w:tcPr>
          <w:p w14:paraId="32F9D703">
            <w:pPr>
              <w:adjustRightInd w:val="0"/>
              <w:snapToGrid w:val="0"/>
              <w:rPr>
                <w:rFonts w:hint="eastAsia" w:ascii="宋体" w:hAnsi="宋体"/>
                <w:snapToGrid w:val="0"/>
                <w:kern w:val="0"/>
                <w:sz w:val="24"/>
              </w:rPr>
            </w:pPr>
            <w:r>
              <w:rPr>
                <w:rFonts w:hint="eastAsia" w:ascii="宋体" w:hAnsi="宋体"/>
                <w:snapToGrid w:val="0"/>
                <w:kern w:val="0"/>
                <w:sz w:val="24"/>
              </w:rPr>
              <w:t>KL-100</w:t>
            </w:r>
          </w:p>
        </w:tc>
        <w:tc>
          <w:tcPr>
            <w:tcW w:w="743" w:type="dxa"/>
            <w:noWrap w:val="0"/>
            <w:vAlign w:val="center"/>
          </w:tcPr>
          <w:p w14:paraId="7E3535E9">
            <w:pPr>
              <w:adjustRightInd w:val="0"/>
              <w:snapToGrid w:val="0"/>
              <w:jc w:val="center"/>
              <w:rPr>
                <w:rFonts w:hint="eastAsia" w:ascii="宋体" w:hAnsi="宋体"/>
                <w:snapToGrid w:val="0"/>
                <w:kern w:val="0"/>
                <w:sz w:val="24"/>
              </w:rPr>
            </w:pPr>
            <w:r>
              <w:rPr>
                <w:rFonts w:hint="eastAsia" w:ascii="宋体" w:hAnsi="宋体"/>
                <w:snapToGrid w:val="0"/>
                <w:kern w:val="0"/>
                <w:sz w:val="24"/>
              </w:rPr>
              <w:t>个</w:t>
            </w:r>
          </w:p>
        </w:tc>
        <w:tc>
          <w:tcPr>
            <w:tcW w:w="900" w:type="dxa"/>
            <w:noWrap w:val="0"/>
            <w:vAlign w:val="center"/>
          </w:tcPr>
          <w:p w14:paraId="69D40E82">
            <w:pPr>
              <w:adjustRightInd w:val="0"/>
              <w:snapToGrid w:val="0"/>
              <w:jc w:val="center"/>
              <w:rPr>
                <w:rFonts w:hint="eastAsia" w:ascii="宋体" w:hAnsi="宋体"/>
                <w:snapToGrid w:val="0"/>
                <w:kern w:val="0"/>
                <w:sz w:val="24"/>
              </w:rPr>
            </w:pPr>
            <w:r>
              <w:rPr>
                <w:rFonts w:hint="eastAsia" w:ascii="宋体" w:hAnsi="宋体"/>
                <w:snapToGrid w:val="0"/>
                <w:kern w:val="0"/>
                <w:sz w:val="24"/>
              </w:rPr>
              <w:t>3</w:t>
            </w:r>
          </w:p>
        </w:tc>
        <w:tc>
          <w:tcPr>
            <w:tcW w:w="2389" w:type="dxa"/>
            <w:noWrap w:val="0"/>
            <w:vAlign w:val="center"/>
          </w:tcPr>
          <w:p w14:paraId="7B403044">
            <w:pPr>
              <w:adjustRightInd w:val="0"/>
              <w:snapToGrid w:val="0"/>
              <w:jc w:val="center"/>
              <w:rPr>
                <w:rFonts w:ascii="宋体" w:hAnsi="宋体"/>
                <w:snapToGrid w:val="0"/>
                <w:kern w:val="0"/>
                <w:sz w:val="24"/>
              </w:rPr>
            </w:pPr>
          </w:p>
        </w:tc>
      </w:tr>
      <w:tr w14:paraId="139CC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021AAD7">
            <w:pPr>
              <w:adjustRightInd w:val="0"/>
              <w:snapToGrid w:val="0"/>
              <w:jc w:val="center"/>
              <w:rPr>
                <w:rFonts w:hint="eastAsia" w:ascii="宋体" w:hAnsi="宋体"/>
                <w:snapToGrid w:val="0"/>
                <w:kern w:val="0"/>
                <w:sz w:val="24"/>
              </w:rPr>
            </w:pPr>
            <w:r>
              <w:rPr>
                <w:rFonts w:hint="eastAsia" w:ascii="宋体" w:hAnsi="宋体"/>
                <w:snapToGrid w:val="0"/>
                <w:kern w:val="0"/>
                <w:sz w:val="24"/>
              </w:rPr>
              <w:t>29</w:t>
            </w:r>
          </w:p>
        </w:tc>
        <w:tc>
          <w:tcPr>
            <w:tcW w:w="2628" w:type="dxa"/>
            <w:noWrap w:val="0"/>
            <w:vAlign w:val="center"/>
          </w:tcPr>
          <w:p w14:paraId="5B9F314B">
            <w:pPr>
              <w:adjustRightInd w:val="0"/>
              <w:snapToGrid w:val="0"/>
              <w:rPr>
                <w:rFonts w:hint="eastAsia" w:ascii="宋体" w:hAnsi="宋体"/>
                <w:snapToGrid w:val="0"/>
                <w:kern w:val="0"/>
                <w:sz w:val="24"/>
              </w:rPr>
            </w:pPr>
            <w:r>
              <w:rPr>
                <w:rFonts w:hint="eastAsia" w:ascii="宋体" w:hAnsi="宋体"/>
                <w:snapToGrid w:val="0"/>
                <w:kern w:val="0"/>
                <w:sz w:val="24"/>
              </w:rPr>
              <w:t>光学经纬仪</w:t>
            </w:r>
          </w:p>
        </w:tc>
        <w:tc>
          <w:tcPr>
            <w:tcW w:w="1617" w:type="dxa"/>
            <w:noWrap w:val="0"/>
            <w:vAlign w:val="center"/>
          </w:tcPr>
          <w:p w14:paraId="4EF694FE">
            <w:pPr>
              <w:adjustRightInd w:val="0"/>
              <w:snapToGrid w:val="0"/>
              <w:rPr>
                <w:rFonts w:hint="eastAsia" w:ascii="宋体" w:hAnsi="宋体"/>
                <w:snapToGrid w:val="0"/>
                <w:kern w:val="0"/>
                <w:sz w:val="24"/>
              </w:rPr>
            </w:pPr>
            <w:r>
              <w:rPr>
                <w:rFonts w:hint="eastAsia" w:ascii="宋体" w:hAnsi="宋体"/>
                <w:snapToGrid w:val="0"/>
                <w:kern w:val="0"/>
                <w:sz w:val="24"/>
              </w:rPr>
              <w:t>DJK-6</w:t>
            </w:r>
          </w:p>
        </w:tc>
        <w:tc>
          <w:tcPr>
            <w:tcW w:w="743" w:type="dxa"/>
            <w:noWrap w:val="0"/>
            <w:vAlign w:val="center"/>
          </w:tcPr>
          <w:p w14:paraId="3B7CC2E3">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5B484F24">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34F91697">
            <w:pPr>
              <w:adjustRightInd w:val="0"/>
              <w:snapToGrid w:val="0"/>
              <w:jc w:val="center"/>
              <w:rPr>
                <w:rFonts w:ascii="宋体" w:hAnsi="宋体"/>
                <w:snapToGrid w:val="0"/>
                <w:kern w:val="0"/>
                <w:sz w:val="24"/>
              </w:rPr>
            </w:pPr>
          </w:p>
        </w:tc>
      </w:tr>
      <w:tr w14:paraId="160A9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49BB9200">
            <w:pPr>
              <w:adjustRightInd w:val="0"/>
              <w:snapToGrid w:val="0"/>
              <w:jc w:val="center"/>
              <w:rPr>
                <w:rFonts w:hint="eastAsia" w:ascii="宋体" w:hAnsi="宋体"/>
                <w:snapToGrid w:val="0"/>
                <w:kern w:val="0"/>
                <w:sz w:val="24"/>
              </w:rPr>
            </w:pPr>
            <w:r>
              <w:rPr>
                <w:rFonts w:hint="eastAsia" w:ascii="宋体" w:hAnsi="宋体"/>
                <w:snapToGrid w:val="0"/>
                <w:kern w:val="0"/>
                <w:sz w:val="24"/>
              </w:rPr>
              <w:t>30</w:t>
            </w:r>
          </w:p>
        </w:tc>
        <w:tc>
          <w:tcPr>
            <w:tcW w:w="2628" w:type="dxa"/>
            <w:noWrap w:val="0"/>
            <w:vAlign w:val="center"/>
          </w:tcPr>
          <w:p w14:paraId="3D8F961A">
            <w:pPr>
              <w:adjustRightInd w:val="0"/>
              <w:snapToGrid w:val="0"/>
              <w:rPr>
                <w:rFonts w:hint="eastAsia" w:ascii="宋体" w:hAnsi="宋体"/>
                <w:snapToGrid w:val="0"/>
                <w:kern w:val="0"/>
                <w:sz w:val="24"/>
              </w:rPr>
            </w:pPr>
            <w:r>
              <w:rPr>
                <w:rFonts w:hint="eastAsia" w:ascii="宋体" w:hAnsi="宋体"/>
                <w:snapToGrid w:val="0"/>
                <w:kern w:val="0"/>
                <w:sz w:val="24"/>
              </w:rPr>
              <w:t>水准仪</w:t>
            </w:r>
          </w:p>
        </w:tc>
        <w:tc>
          <w:tcPr>
            <w:tcW w:w="1617" w:type="dxa"/>
            <w:noWrap w:val="0"/>
            <w:vAlign w:val="center"/>
          </w:tcPr>
          <w:p w14:paraId="4C6E1355">
            <w:pPr>
              <w:adjustRightInd w:val="0"/>
              <w:snapToGrid w:val="0"/>
              <w:rPr>
                <w:rFonts w:hint="eastAsia" w:ascii="宋体" w:hAnsi="宋体"/>
                <w:snapToGrid w:val="0"/>
                <w:kern w:val="0"/>
                <w:sz w:val="24"/>
              </w:rPr>
            </w:pPr>
            <w:r>
              <w:rPr>
                <w:rFonts w:hint="eastAsia" w:ascii="宋体" w:hAnsi="宋体"/>
                <w:snapToGrid w:val="0"/>
                <w:kern w:val="0"/>
                <w:sz w:val="24"/>
              </w:rPr>
              <w:t>DS</w:t>
            </w:r>
            <w:r>
              <w:rPr>
                <w:rFonts w:hint="eastAsia" w:ascii="宋体" w:hAnsi="宋体"/>
                <w:snapToGrid w:val="0"/>
                <w:kern w:val="0"/>
                <w:sz w:val="24"/>
                <w:vertAlign w:val="subscript"/>
              </w:rPr>
              <w:t>3</w:t>
            </w:r>
            <w:r>
              <w:rPr>
                <w:rFonts w:hint="eastAsia" w:ascii="宋体" w:hAnsi="宋体"/>
                <w:snapToGrid w:val="0"/>
                <w:kern w:val="0"/>
                <w:sz w:val="24"/>
              </w:rPr>
              <w:t>-2</w:t>
            </w:r>
          </w:p>
        </w:tc>
        <w:tc>
          <w:tcPr>
            <w:tcW w:w="743" w:type="dxa"/>
            <w:noWrap w:val="0"/>
            <w:vAlign w:val="center"/>
          </w:tcPr>
          <w:p w14:paraId="59196F54">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0E50FC3A">
            <w:pPr>
              <w:adjustRightInd w:val="0"/>
              <w:snapToGrid w:val="0"/>
              <w:jc w:val="center"/>
              <w:rPr>
                <w:rFonts w:hint="eastAsia" w:ascii="宋体" w:hAnsi="宋体"/>
                <w:snapToGrid w:val="0"/>
                <w:kern w:val="0"/>
                <w:sz w:val="24"/>
              </w:rPr>
            </w:pPr>
            <w:r>
              <w:rPr>
                <w:rFonts w:hint="eastAsia" w:ascii="宋体" w:hAnsi="宋体"/>
                <w:snapToGrid w:val="0"/>
                <w:kern w:val="0"/>
                <w:sz w:val="24"/>
              </w:rPr>
              <w:t>1</w:t>
            </w:r>
          </w:p>
        </w:tc>
        <w:tc>
          <w:tcPr>
            <w:tcW w:w="2389" w:type="dxa"/>
            <w:noWrap w:val="0"/>
            <w:vAlign w:val="center"/>
          </w:tcPr>
          <w:p w14:paraId="32EAC20E">
            <w:pPr>
              <w:adjustRightInd w:val="0"/>
              <w:snapToGrid w:val="0"/>
              <w:jc w:val="center"/>
              <w:rPr>
                <w:rFonts w:ascii="宋体" w:hAnsi="宋体"/>
                <w:snapToGrid w:val="0"/>
                <w:kern w:val="0"/>
                <w:sz w:val="24"/>
              </w:rPr>
            </w:pPr>
          </w:p>
        </w:tc>
      </w:tr>
      <w:tr w14:paraId="28C09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5CC5CEB2">
            <w:pPr>
              <w:adjustRightInd w:val="0"/>
              <w:snapToGrid w:val="0"/>
              <w:jc w:val="center"/>
              <w:rPr>
                <w:rFonts w:hint="eastAsia" w:ascii="宋体" w:hAnsi="宋体"/>
                <w:snapToGrid w:val="0"/>
                <w:kern w:val="0"/>
                <w:sz w:val="24"/>
              </w:rPr>
            </w:pPr>
            <w:r>
              <w:rPr>
                <w:rFonts w:hint="eastAsia" w:ascii="宋体" w:hAnsi="宋体"/>
                <w:snapToGrid w:val="0"/>
                <w:kern w:val="0"/>
                <w:sz w:val="24"/>
              </w:rPr>
              <w:t>31</w:t>
            </w:r>
          </w:p>
        </w:tc>
        <w:tc>
          <w:tcPr>
            <w:tcW w:w="2628" w:type="dxa"/>
            <w:noWrap w:val="0"/>
            <w:vAlign w:val="center"/>
          </w:tcPr>
          <w:p w14:paraId="4248F0C8">
            <w:pPr>
              <w:adjustRightInd w:val="0"/>
              <w:snapToGrid w:val="0"/>
              <w:rPr>
                <w:rFonts w:hint="eastAsia" w:ascii="宋体" w:hAnsi="宋体"/>
                <w:snapToGrid w:val="0"/>
                <w:kern w:val="0"/>
                <w:sz w:val="24"/>
              </w:rPr>
            </w:pPr>
            <w:r>
              <w:rPr>
                <w:rFonts w:hint="eastAsia" w:ascii="宋体" w:hAnsi="宋体"/>
                <w:snapToGrid w:val="0"/>
                <w:kern w:val="0"/>
                <w:sz w:val="24"/>
              </w:rPr>
              <w:t>CO</w:t>
            </w:r>
            <w:r>
              <w:rPr>
                <w:rFonts w:hint="eastAsia" w:ascii="宋体" w:hAnsi="宋体"/>
                <w:snapToGrid w:val="0"/>
                <w:kern w:val="0"/>
                <w:sz w:val="24"/>
                <w:vertAlign w:val="subscript"/>
              </w:rPr>
              <w:t>2</w:t>
            </w:r>
            <w:r>
              <w:rPr>
                <w:rFonts w:hint="eastAsia" w:ascii="宋体" w:hAnsi="宋体"/>
                <w:snapToGrid w:val="0"/>
                <w:kern w:val="0"/>
                <w:sz w:val="24"/>
              </w:rPr>
              <w:t>灭火器</w:t>
            </w:r>
          </w:p>
        </w:tc>
        <w:tc>
          <w:tcPr>
            <w:tcW w:w="1617" w:type="dxa"/>
            <w:noWrap w:val="0"/>
            <w:vAlign w:val="center"/>
          </w:tcPr>
          <w:p w14:paraId="012D2C54">
            <w:pPr>
              <w:adjustRightInd w:val="0"/>
              <w:snapToGrid w:val="0"/>
              <w:rPr>
                <w:rFonts w:ascii="宋体" w:hAnsi="宋体"/>
                <w:snapToGrid w:val="0"/>
                <w:kern w:val="0"/>
                <w:sz w:val="24"/>
              </w:rPr>
            </w:pPr>
          </w:p>
        </w:tc>
        <w:tc>
          <w:tcPr>
            <w:tcW w:w="743" w:type="dxa"/>
            <w:noWrap w:val="0"/>
            <w:vAlign w:val="center"/>
          </w:tcPr>
          <w:p w14:paraId="553BC6E2">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7F9564FA">
            <w:pPr>
              <w:adjustRightInd w:val="0"/>
              <w:snapToGrid w:val="0"/>
              <w:jc w:val="center"/>
              <w:rPr>
                <w:rFonts w:hint="eastAsia" w:ascii="宋体" w:hAnsi="宋体"/>
                <w:snapToGrid w:val="0"/>
                <w:kern w:val="0"/>
                <w:sz w:val="24"/>
              </w:rPr>
            </w:pPr>
            <w:r>
              <w:rPr>
                <w:rFonts w:hint="eastAsia" w:ascii="宋体" w:hAnsi="宋体"/>
                <w:snapToGrid w:val="0"/>
                <w:kern w:val="0"/>
                <w:sz w:val="24"/>
              </w:rPr>
              <w:t>10</w:t>
            </w:r>
          </w:p>
        </w:tc>
        <w:tc>
          <w:tcPr>
            <w:tcW w:w="2389" w:type="dxa"/>
            <w:noWrap w:val="0"/>
            <w:vAlign w:val="center"/>
          </w:tcPr>
          <w:p w14:paraId="64A22104">
            <w:pPr>
              <w:adjustRightInd w:val="0"/>
              <w:snapToGrid w:val="0"/>
              <w:jc w:val="center"/>
              <w:rPr>
                <w:rFonts w:ascii="宋体" w:hAnsi="宋体"/>
                <w:snapToGrid w:val="0"/>
                <w:kern w:val="0"/>
                <w:sz w:val="24"/>
              </w:rPr>
            </w:pPr>
          </w:p>
        </w:tc>
      </w:tr>
      <w:tr w14:paraId="11819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21C234CA">
            <w:pPr>
              <w:adjustRightInd w:val="0"/>
              <w:snapToGrid w:val="0"/>
              <w:jc w:val="center"/>
              <w:rPr>
                <w:rFonts w:hint="eastAsia" w:ascii="宋体" w:hAnsi="宋体"/>
                <w:snapToGrid w:val="0"/>
                <w:kern w:val="0"/>
                <w:sz w:val="24"/>
              </w:rPr>
            </w:pPr>
            <w:r>
              <w:rPr>
                <w:rFonts w:hint="eastAsia" w:ascii="宋体" w:hAnsi="宋体"/>
                <w:snapToGrid w:val="0"/>
                <w:kern w:val="0"/>
                <w:sz w:val="24"/>
              </w:rPr>
              <w:t>32</w:t>
            </w:r>
          </w:p>
        </w:tc>
        <w:tc>
          <w:tcPr>
            <w:tcW w:w="2628" w:type="dxa"/>
            <w:noWrap w:val="0"/>
            <w:vAlign w:val="center"/>
          </w:tcPr>
          <w:p w14:paraId="37100039">
            <w:pPr>
              <w:adjustRightInd w:val="0"/>
              <w:snapToGrid w:val="0"/>
              <w:rPr>
                <w:rFonts w:hint="eastAsia" w:ascii="宋体" w:hAnsi="宋体"/>
                <w:snapToGrid w:val="0"/>
                <w:kern w:val="0"/>
                <w:sz w:val="24"/>
              </w:rPr>
            </w:pPr>
            <w:r>
              <w:rPr>
                <w:rFonts w:hint="eastAsia" w:ascii="宋体" w:hAnsi="宋体"/>
                <w:snapToGrid w:val="0"/>
                <w:kern w:val="0"/>
                <w:sz w:val="24"/>
              </w:rPr>
              <w:t>干粉灭火器</w:t>
            </w:r>
          </w:p>
        </w:tc>
        <w:tc>
          <w:tcPr>
            <w:tcW w:w="1617" w:type="dxa"/>
            <w:noWrap w:val="0"/>
            <w:vAlign w:val="center"/>
          </w:tcPr>
          <w:p w14:paraId="13C3DB3B">
            <w:pPr>
              <w:adjustRightInd w:val="0"/>
              <w:snapToGrid w:val="0"/>
              <w:rPr>
                <w:rFonts w:hint="eastAsia" w:ascii="宋体" w:hAnsi="宋体"/>
                <w:snapToGrid w:val="0"/>
                <w:kern w:val="0"/>
                <w:sz w:val="24"/>
              </w:rPr>
            </w:pPr>
            <w:r>
              <w:rPr>
                <w:rFonts w:hint="eastAsia" w:ascii="宋体" w:hAnsi="宋体"/>
                <w:snapToGrid w:val="0"/>
                <w:kern w:val="0"/>
                <w:sz w:val="24"/>
              </w:rPr>
              <w:t>8kg</w:t>
            </w:r>
          </w:p>
        </w:tc>
        <w:tc>
          <w:tcPr>
            <w:tcW w:w="743" w:type="dxa"/>
            <w:noWrap w:val="0"/>
            <w:vAlign w:val="center"/>
          </w:tcPr>
          <w:p w14:paraId="0C3D163E">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1F5B57DC">
            <w:pPr>
              <w:adjustRightInd w:val="0"/>
              <w:snapToGrid w:val="0"/>
              <w:jc w:val="center"/>
              <w:rPr>
                <w:rFonts w:hint="eastAsia" w:ascii="宋体" w:hAnsi="宋体"/>
                <w:snapToGrid w:val="0"/>
                <w:kern w:val="0"/>
                <w:sz w:val="24"/>
              </w:rPr>
            </w:pPr>
            <w:r>
              <w:rPr>
                <w:rFonts w:hint="eastAsia" w:ascii="宋体" w:hAnsi="宋体"/>
                <w:snapToGrid w:val="0"/>
                <w:kern w:val="0"/>
                <w:sz w:val="24"/>
              </w:rPr>
              <w:t>20</w:t>
            </w:r>
          </w:p>
        </w:tc>
        <w:tc>
          <w:tcPr>
            <w:tcW w:w="2389" w:type="dxa"/>
            <w:noWrap w:val="0"/>
            <w:vAlign w:val="center"/>
          </w:tcPr>
          <w:p w14:paraId="0719BCB7">
            <w:pPr>
              <w:adjustRightInd w:val="0"/>
              <w:snapToGrid w:val="0"/>
              <w:jc w:val="center"/>
              <w:rPr>
                <w:rFonts w:ascii="宋体" w:hAnsi="宋体"/>
                <w:snapToGrid w:val="0"/>
                <w:kern w:val="0"/>
                <w:sz w:val="24"/>
              </w:rPr>
            </w:pPr>
          </w:p>
        </w:tc>
      </w:tr>
      <w:tr w14:paraId="72F94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97" w:hRule="atLeast"/>
          <w:jc w:val="center"/>
        </w:trPr>
        <w:tc>
          <w:tcPr>
            <w:tcW w:w="737" w:type="dxa"/>
            <w:noWrap w:val="0"/>
            <w:vAlign w:val="center"/>
          </w:tcPr>
          <w:p w14:paraId="76634D11">
            <w:pPr>
              <w:adjustRightInd w:val="0"/>
              <w:snapToGrid w:val="0"/>
              <w:jc w:val="center"/>
              <w:rPr>
                <w:rFonts w:hint="eastAsia" w:ascii="宋体" w:hAnsi="宋体"/>
                <w:snapToGrid w:val="0"/>
                <w:kern w:val="0"/>
                <w:sz w:val="24"/>
              </w:rPr>
            </w:pPr>
            <w:r>
              <w:rPr>
                <w:rFonts w:hint="eastAsia" w:ascii="宋体" w:hAnsi="宋体"/>
                <w:snapToGrid w:val="0"/>
                <w:kern w:val="0"/>
                <w:sz w:val="24"/>
              </w:rPr>
              <w:t>33</w:t>
            </w:r>
          </w:p>
        </w:tc>
        <w:tc>
          <w:tcPr>
            <w:tcW w:w="2628" w:type="dxa"/>
            <w:noWrap w:val="0"/>
            <w:vAlign w:val="center"/>
          </w:tcPr>
          <w:p w14:paraId="4226B8BE">
            <w:pPr>
              <w:adjustRightInd w:val="0"/>
              <w:snapToGrid w:val="0"/>
              <w:rPr>
                <w:rFonts w:hint="eastAsia" w:ascii="宋体" w:hAnsi="宋体"/>
                <w:snapToGrid w:val="0"/>
                <w:kern w:val="0"/>
                <w:sz w:val="24"/>
              </w:rPr>
            </w:pPr>
            <w:r>
              <w:rPr>
                <w:rFonts w:hint="eastAsia" w:ascii="宋体" w:hAnsi="宋体"/>
                <w:snapToGrid w:val="0"/>
                <w:kern w:val="0"/>
                <w:sz w:val="24"/>
              </w:rPr>
              <w:t>泡沫灭火器</w:t>
            </w:r>
          </w:p>
        </w:tc>
        <w:tc>
          <w:tcPr>
            <w:tcW w:w="1617" w:type="dxa"/>
            <w:noWrap w:val="0"/>
            <w:vAlign w:val="center"/>
          </w:tcPr>
          <w:p w14:paraId="50E708DF">
            <w:pPr>
              <w:adjustRightInd w:val="0"/>
              <w:snapToGrid w:val="0"/>
              <w:rPr>
                <w:rFonts w:hint="eastAsia" w:ascii="宋体" w:hAnsi="宋体"/>
                <w:snapToGrid w:val="0"/>
                <w:kern w:val="0"/>
                <w:sz w:val="24"/>
              </w:rPr>
            </w:pPr>
            <w:r>
              <w:rPr>
                <w:rFonts w:hint="eastAsia" w:ascii="宋体" w:hAnsi="宋体"/>
                <w:snapToGrid w:val="0"/>
                <w:kern w:val="0"/>
                <w:sz w:val="24"/>
              </w:rPr>
              <w:t>10L</w:t>
            </w:r>
          </w:p>
        </w:tc>
        <w:tc>
          <w:tcPr>
            <w:tcW w:w="743" w:type="dxa"/>
            <w:noWrap w:val="0"/>
            <w:vAlign w:val="center"/>
          </w:tcPr>
          <w:p w14:paraId="345A6760">
            <w:pPr>
              <w:adjustRightInd w:val="0"/>
              <w:snapToGrid w:val="0"/>
              <w:jc w:val="center"/>
              <w:rPr>
                <w:rFonts w:hint="eastAsia" w:ascii="宋体" w:hAnsi="宋体"/>
                <w:snapToGrid w:val="0"/>
                <w:kern w:val="0"/>
                <w:sz w:val="24"/>
              </w:rPr>
            </w:pPr>
            <w:r>
              <w:rPr>
                <w:rFonts w:hint="eastAsia" w:ascii="宋体" w:hAnsi="宋体"/>
                <w:snapToGrid w:val="0"/>
                <w:kern w:val="0"/>
                <w:sz w:val="24"/>
              </w:rPr>
              <w:t>台</w:t>
            </w:r>
          </w:p>
        </w:tc>
        <w:tc>
          <w:tcPr>
            <w:tcW w:w="900" w:type="dxa"/>
            <w:noWrap w:val="0"/>
            <w:vAlign w:val="center"/>
          </w:tcPr>
          <w:p w14:paraId="05D9CEA6">
            <w:pPr>
              <w:adjustRightInd w:val="0"/>
              <w:snapToGrid w:val="0"/>
              <w:jc w:val="center"/>
              <w:rPr>
                <w:rFonts w:hint="eastAsia" w:ascii="宋体" w:hAnsi="宋体"/>
                <w:snapToGrid w:val="0"/>
                <w:kern w:val="0"/>
                <w:sz w:val="24"/>
              </w:rPr>
            </w:pPr>
            <w:r>
              <w:rPr>
                <w:rFonts w:hint="eastAsia" w:ascii="宋体" w:hAnsi="宋体"/>
                <w:snapToGrid w:val="0"/>
                <w:kern w:val="0"/>
                <w:sz w:val="24"/>
              </w:rPr>
              <w:t>25</w:t>
            </w:r>
          </w:p>
        </w:tc>
        <w:tc>
          <w:tcPr>
            <w:tcW w:w="2389" w:type="dxa"/>
            <w:noWrap w:val="0"/>
            <w:vAlign w:val="center"/>
          </w:tcPr>
          <w:p w14:paraId="246429E7">
            <w:pPr>
              <w:adjustRightInd w:val="0"/>
              <w:snapToGrid w:val="0"/>
              <w:jc w:val="center"/>
              <w:rPr>
                <w:rFonts w:ascii="宋体" w:hAnsi="宋体"/>
                <w:snapToGrid w:val="0"/>
                <w:kern w:val="0"/>
                <w:sz w:val="24"/>
              </w:rPr>
            </w:pPr>
          </w:p>
        </w:tc>
      </w:tr>
      <w:bookmarkEnd w:id="454"/>
      <w:bookmarkEnd w:id="455"/>
      <w:bookmarkEnd w:id="456"/>
      <w:bookmarkEnd w:id="457"/>
      <w:bookmarkEnd w:id="458"/>
      <w:bookmarkEnd w:id="459"/>
      <w:bookmarkEnd w:id="460"/>
      <w:bookmarkEnd w:id="461"/>
      <w:bookmarkEnd w:id="462"/>
    </w:tbl>
    <w:p w14:paraId="0048F85C">
      <w:pPr>
        <w:spacing w:line="360" w:lineRule="auto"/>
        <w:rPr>
          <w:rFonts w:hint="eastAsia"/>
        </w:rPr>
      </w:pPr>
    </w:p>
    <w:p w14:paraId="1EBCD480">
      <w:pPr>
        <w:spacing w:line="360" w:lineRule="auto"/>
        <w:rPr>
          <w:rFonts w:hint="eastAsia"/>
        </w:rPr>
      </w:pPr>
    </w:p>
    <w:p w14:paraId="7BD7B84F">
      <w:pPr>
        <w:spacing w:line="360" w:lineRule="auto"/>
        <w:rPr>
          <w:rFonts w:hint="eastAsia"/>
        </w:rPr>
      </w:pPr>
    </w:p>
    <w:p w14:paraId="15ED21BF">
      <w:pPr>
        <w:spacing w:line="360" w:lineRule="auto"/>
        <w:rPr>
          <w:rFonts w:hint="eastAsia"/>
        </w:rPr>
      </w:pPr>
    </w:p>
    <w:p w14:paraId="6004B645">
      <w:pPr>
        <w:spacing w:line="360" w:lineRule="auto"/>
        <w:rPr>
          <w:rFonts w:hint="eastAsia"/>
        </w:rPr>
      </w:pPr>
    </w:p>
    <w:p w14:paraId="3E7AE99D">
      <w:pPr>
        <w:spacing w:line="360" w:lineRule="auto"/>
        <w:rPr>
          <w:rFonts w:hint="eastAsia"/>
        </w:rPr>
      </w:pPr>
    </w:p>
    <w:p w14:paraId="6B0A9E95">
      <w:pPr>
        <w:spacing w:line="360" w:lineRule="auto"/>
        <w:rPr>
          <w:rFonts w:hint="eastAsia"/>
        </w:rPr>
      </w:pPr>
    </w:p>
    <w:p w14:paraId="17AF30BA">
      <w:pPr>
        <w:spacing w:line="360" w:lineRule="auto"/>
        <w:rPr>
          <w:rFonts w:hint="eastAsia"/>
        </w:rPr>
      </w:pPr>
    </w:p>
    <w:p w14:paraId="361D8406">
      <w:pPr>
        <w:spacing w:line="360" w:lineRule="auto"/>
        <w:rPr>
          <w:rFonts w:hint="eastAsia"/>
        </w:rPr>
      </w:pPr>
    </w:p>
    <w:p w14:paraId="1EB2A15B">
      <w:pPr>
        <w:spacing w:line="360" w:lineRule="auto"/>
        <w:rPr>
          <w:rFonts w:hint="eastAsia"/>
        </w:rPr>
      </w:pPr>
    </w:p>
    <w:p w14:paraId="06B88CA3">
      <w:pPr>
        <w:spacing w:line="360" w:lineRule="auto"/>
        <w:rPr>
          <w:rFonts w:hint="eastAsia"/>
        </w:rPr>
      </w:pPr>
    </w:p>
    <w:p w14:paraId="547D2FFA">
      <w:pPr>
        <w:spacing w:line="360" w:lineRule="auto"/>
        <w:rPr>
          <w:rFonts w:hint="eastAsia"/>
        </w:rPr>
      </w:pPr>
    </w:p>
    <w:p w14:paraId="0301AED5">
      <w:pPr>
        <w:spacing w:line="360" w:lineRule="auto"/>
        <w:sectPr>
          <w:footerReference r:id="rId13" w:type="even"/>
          <w:pgSz w:w="11906" w:h="16838"/>
          <w:pgMar w:top="1304" w:right="1418" w:bottom="1304" w:left="1418" w:header="1134" w:footer="992" w:gutter="0"/>
          <w:cols w:space="720" w:num="1"/>
          <w:docGrid w:linePitch="312" w:charSpace="0"/>
        </w:sectPr>
      </w:pPr>
    </w:p>
    <w:p w14:paraId="11CD71A2">
      <w:pPr>
        <w:pStyle w:val="2"/>
        <w:keepLines/>
        <w:spacing w:before="340" w:after="330" w:line="360" w:lineRule="auto"/>
        <w:ind w:firstLine="0" w:firstLineChars="0"/>
        <w:rPr>
          <w:rFonts w:hint="eastAsia"/>
          <w:b/>
          <w:color w:val="000000"/>
          <w:kern w:val="44"/>
          <w:sz w:val="36"/>
          <w:szCs w:val="36"/>
        </w:rPr>
      </w:pPr>
      <w:bookmarkStart w:id="463" w:name="_Toc259438190"/>
      <w:bookmarkStart w:id="464" w:name="_Toc260915268"/>
      <w:bookmarkStart w:id="465" w:name="_Toc259438261"/>
      <w:r>
        <w:rPr>
          <w:rFonts w:hint="eastAsia"/>
          <w:b/>
          <w:color w:val="000000"/>
          <w:kern w:val="44"/>
          <w:sz w:val="36"/>
          <w:szCs w:val="36"/>
        </w:rPr>
        <w:t>第五章　　矿井主要设备</w:t>
      </w:r>
      <w:bookmarkEnd w:id="463"/>
      <w:bookmarkEnd w:id="464"/>
      <w:bookmarkEnd w:id="465"/>
    </w:p>
    <w:p w14:paraId="6DE4E722">
      <w:pPr>
        <w:spacing w:line="360" w:lineRule="auto"/>
        <w:ind w:firstLine="480" w:firstLineChars="200"/>
        <w:rPr>
          <w:rFonts w:hint="eastAsia" w:ascii="宋体" w:hAnsi="宋体"/>
          <w:sz w:val="24"/>
        </w:rPr>
      </w:pPr>
      <w:r>
        <w:rPr>
          <w:rFonts w:hint="eastAsia" w:ascii="宋体" w:hAnsi="宋体"/>
          <w:sz w:val="24"/>
        </w:rPr>
        <w:t>本章变更内容：1、为满足矿井生产本次变更设计对相关设备重新计算选型。</w:t>
      </w:r>
    </w:p>
    <w:p w14:paraId="783CF1E4">
      <w:pPr>
        <w:pStyle w:val="3"/>
        <w:keepLines/>
        <w:spacing w:before="260" w:after="260" w:line="360" w:lineRule="auto"/>
        <w:ind w:firstLine="0" w:firstLineChars="0"/>
        <w:jc w:val="center"/>
        <w:rPr>
          <w:rFonts w:hint="eastAsia"/>
          <w:b/>
          <w:color w:val="000000"/>
          <w:sz w:val="32"/>
          <w:szCs w:val="32"/>
        </w:rPr>
      </w:pPr>
      <w:bookmarkStart w:id="466" w:name="_Toc259438262"/>
      <w:bookmarkStart w:id="467" w:name="_Toc260915269"/>
      <w:bookmarkStart w:id="468" w:name="_Toc173869245"/>
      <w:bookmarkStart w:id="469" w:name="_Toc92630522"/>
      <w:bookmarkStart w:id="470" w:name="_Toc171757180"/>
      <w:bookmarkStart w:id="471" w:name="_Toc166494701"/>
      <w:r>
        <w:rPr>
          <w:rFonts w:hint="eastAsia"/>
          <w:b/>
          <w:color w:val="000000"/>
          <w:sz w:val="32"/>
          <w:szCs w:val="32"/>
        </w:rPr>
        <w:t>第一节　　提升运输</w:t>
      </w:r>
      <w:r>
        <w:rPr>
          <w:b/>
          <w:color w:val="000000"/>
          <w:sz w:val="32"/>
          <w:szCs w:val="32"/>
        </w:rPr>
        <w:t>设备</w:t>
      </w:r>
      <w:bookmarkEnd w:id="466"/>
      <w:bookmarkEnd w:id="467"/>
    </w:p>
    <w:bookmarkEnd w:id="468"/>
    <w:bookmarkEnd w:id="469"/>
    <w:bookmarkEnd w:id="470"/>
    <w:bookmarkEnd w:id="471"/>
    <w:p w14:paraId="6398EA30">
      <w:pPr>
        <w:spacing w:line="360" w:lineRule="auto"/>
        <w:ind w:firstLine="480" w:firstLineChars="200"/>
        <w:rPr>
          <w:rFonts w:hint="eastAsia" w:ascii="宋体" w:hAnsi="宋体"/>
          <w:color w:val="0000FF"/>
          <w:sz w:val="24"/>
        </w:rPr>
      </w:pPr>
      <w:r>
        <w:rPr>
          <w:rFonts w:hint="eastAsia" w:ascii="宋体" w:hAnsi="宋体"/>
          <w:sz w:val="24"/>
        </w:rPr>
        <w:t>本矿井采用斜井开拓方式，新建三个井筒，即主斜井、副斜井和回风斜井。</w:t>
      </w:r>
      <w:r>
        <w:rPr>
          <w:rFonts w:ascii="宋体" w:hAnsi="宋体"/>
          <w:sz w:val="24"/>
        </w:rPr>
        <w:t>主</w:t>
      </w:r>
      <w:r>
        <w:rPr>
          <w:rFonts w:hint="eastAsia" w:ascii="宋体" w:hAnsi="宋体"/>
          <w:sz w:val="24"/>
        </w:rPr>
        <w:t>斜井</w:t>
      </w:r>
      <w:r>
        <w:rPr>
          <w:rFonts w:ascii="宋体" w:hAnsi="宋体"/>
          <w:sz w:val="24"/>
        </w:rPr>
        <w:t>铺设</w:t>
      </w:r>
      <w:r>
        <w:rPr>
          <w:rFonts w:hint="eastAsia" w:ascii="宋体" w:hAnsi="宋体"/>
          <w:sz w:val="24"/>
        </w:rPr>
        <w:t>带式输送机，担负矿井辅助进风、</w:t>
      </w:r>
      <w:r>
        <w:rPr>
          <w:rFonts w:ascii="宋体" w:hAnsi="宋体"/>
          <w:sz w:val="24"/>
        </w:rPr>
        <w:t>煤炭</w:t>
      </w:r>
      <w:r>
        <w:rPr>
          <w:rFonts w:hint="eastAsia" w:ascii="宋体" w:hAnsi="宋体"/>
          <w:sz w:val="24"/>
        </w:rPr>
        <w:t>运输、人员运送及管线</w:t>
      </w:r>
      <w:r>
        <w:rPr>
          <w:rFonts w:ascii="宋体" w:hAnsi="宋体"/>
          <w:sz w:val="24"/>
        </w:rPr>
        <w:t>铺设</w:t>
      </w:r>
      <w:r>
        <w:rPr>
          <w:rFonts w:hint="eastAsia" w:ascii="宋体" w:hAnsi="宋体"/>
          <w:sz w:val="24"/>
        </w:rPr>
        <w:t>等任务；副斜井</w:t>
      </w:r>
      <w:r>
        <w:rPr>
          <w:rFonts w:ascii="宋体" w:hAnsi="宋体"/>
          <w:sz w:val="24"/>
        </w:rPr>
        <w:t>铺设</w:t>
      </w:r>
      <w:r>
        <w:rPr>
          <w:rFonts w:hint="eastAsia" w:ascii="宋体" w:hAnsi="宋体"/>
          <w:sz w:val="24"/>
        </w:rPr>
        <w:t>30kg/m</w:t>
      </w:r>
      <w:r>
        <w:rPr>
          <w:rFonts w:ascii="宋体" w:hAnsi="宋体"/>
          <w:sz w:val="24"/>
        </w:rPr>
        <w:t>钢轨，轨距600mm，</w:t>
      </w:r>
      <w:r>
        <w:rPr>
          <w:rFonts w:hint="eastAsia" w:ascii="宋体" w:hAnsi="宋体"/>
          <w:sz w:val="24"/>
        </w:rPr>
        <w:t>副斜井采用绞车单钩串车提升及运输，担负矿井主要进风、设备、材料、矸石运输、人员运送及管线</w:t>
      </w:r>
      <w:r>
        <w:rPr>
          <w:rFonts w:ascii="宋体" w:hAnsi="宋体"/>
          <w:sz w:val="24"/>
        </w:rPr>
        <w:t>铺设</w:t>
      </w:r>
      <w:r>
        <w:rPr>
          <w:rFonts w:hint="eastAsia" w:ascii="宋体" w:hAnsi="宋体"/>
          <w:sz w:val="24"/>
        </w:rPr>
        <w:t>等任务；回风斜井担负矿井一采区、二采区的专用回风任务，矿井设计生产能力30万吨/年，矿井年工作日330d，采用“四·六”</w:t>
      </w:r>
      <w:r>
        <w:rPr>
          <w:rFonts w:ascii="宋体" w:hAnsi="宋体"/>
          <w:sz w:val="24"/>
        </w:rPr>
        <w:t>制</w:t>
      </w:r>
      <w:r>
        <w:rPr>
          <w:rFonts w:hint="eastAsia" w:ascii="宋体" w:hAnsi="宋体"/>
          <w:sz w:val="24"/>
        </w:rPr>
        <w:t>作业（三采一准），</w:t>
      </w:r>
      <w:r>
        <w:rPr>
          <w:rFonts w:hint="eastAsia" w:ascii="宋体" w:hAnsi="宋体"/>
          <w:color w:val="0000FF"/>
          <w:sz w:val="24"/>
        </w:rPr>
        <w:t>日净提升时间16h。</w:t>
      </w:r>
    </w:p>
    <w:p w14:paraId="2086D502">
      <w:pPr>
        <w:pStyle w:val="4"/>
        <w:keepLines/>
        <w:adjustRightInd w:val="0"/>
        <w:snapToGrid w:val="0"/>
        <w:spacing w:before="240" w:after="240" w:line="360" w:lineRule="auto"/>
        <w:ind w:left="2" w:firstLine="562" w:firstLineChars="200"/>
        <w:jc w:val="both"/>
        <w:rPr>
          <w:rFonts w:hint="eastAsia"/>
          <w:b/>
          <w:color w:val="000000"/>
          <w:szCs w:val="20"/>
        </w:rPr>
      </w:pPr>
      <w:bookmarkStart w:id="472" w:name="_Toc173893682"/>
      <w:bookmarkStart w:id="473" w:name="_Toc173918921"/>
      <w:bookmarkStart w:id="474" w:name="_Toc173869246"/>
      <w:r>
        <w:rPr>
          <w:rFonts w:hint="eastAsia"/>
          <w:b/>
          <w:color w:val="000000"/>
          <w:szCs w:val="20"/>
        </w:rPr>
        <w:t>一、主斜井运输设备选型</w:t>
      </w:r>
    </w:p>
    <w:p w14:paraId="7FF054B0">
      <w:pPr>
        <w:spacing w:line="360" w:lineRule="auto"/>
        <w:ind w:firstLine="482" w:firstLineChars="200"/>
        <w:rPr>
          <w:rFonts w:hint="eastAsia" w:ascii="宋体" w:hAnsi="宋体"/>
          <w:b/>
          <w:bCs/>
          <w:sz w:val="28"/>
        </w:rPr>
      </w:pPr>
      <w:r>
        <w:rPr>
          <w:rFonts w:hint="eastAsia" w:ascii="宋体" w:hAnsi="宋体"/>
          <w:b/>
          <w:sz w:val="24"/>
        </w:rPr>
        <w:t>1.已知设计参数</w:t>
      </w:r>
    </w:p>
    <w:p w14:paraId="4006E8A9">
      <w:pPr>
        <w:spacing w:line="360" w:lineRule="auto"/>
        <w:ind w:firstLine="480" w:firstLineChars="200"/>
        <w:rPr>
          <w:rFonts w:ascii="宋体" w:hAnsi="宋体"/>
          <w:sz w:val="24"/>
        </w:rPr>
      </w:pPr>
      <w:r>
        <w:rPr>
          <w:rFonts w:hint="eastAsia" w:ascii="宋体" w:hAnsi="宋体"/>
          <w:sz w:val="24"/>
        </w:rPr>
        <w:t>输送距离L=506m；最大出煤量时取Q=200t/h；倾角α=19º；提升高度h=167m；物料密度γ=1t/m</w:t>
      </w:r>
      <w:r>
        <w:rPr>
          <w:rFonts w:hint="eastAsia" w:ascii="宋体" w:hAnsi="宋体"/>
          <w:sz w:val="24"/>
          <w:vertAlign w:val="superscript"/>
        </w:rPr>
        <w:t>3</w:t>
      </w:r>
      <w:r>
        <w:rPr>
          <w:rFonts w:hint="eastAsia" w:ascii="宋体" w:hAnsi="宋体"/>
          <w:sz w:val="24"/>
        </w:rPr>
        <w:t>；提升速度V=2m/</w:t>
      </w:r>
      <w:r>
        <w:rPr>
          <w:rFonts w:ascii="宋体" w:hAnsi="宋体"/>
          <w:sz w:val="24"/>
        </w:rPr>
        <w:t>s</w:t>
      </w:r>
      <w:r>
        <w:rPr>
          <w:rFonts w:hint="eastAsia" w:ascii="宋体" w:hAnsi="宋体"/>
          <w:sz w:val="24"/>
        </w:rPr>
        <w:t>。</w:t>
      </w:r>
    </w:p>
    <w:p w14:paraId="1539879A">
      <w:pPr>
        <w:spacing w:line="360" w:lineRule="auto"/>
        <w:ind w:firstLine="480" w:firstLineChars="200"/>
        <w:rPr>
          <w:rFonts w:hint="eastAsia" w:ascii="宋体" w:hAnsi="宋体"/>
          <w:b/>
          <w:bCs/>
          <w:sz w:val="28"/>
        </w:rPr>
      </w:pPr>
      <w:r>
        <w:rPr>
          <w:rFonts w:ascii="宋体" w:hAnsi="宋体"/>
          <w:sz w:val="24"/>
          <w:lang/>
        </w:rPr>
        <mc:AlternateContent>
          <mc:Choice Requires="wps">
            <w:drawing>
              <wp:anchor distT="0" distB="0" distL="114300" distR="114300" simplePos="0" relativeHeight="251662336" behindDoc="0" locked="0" layoutInCell="1" allowOverlap="1">
                <wp:simplePos x="0" y="0"/>
                <wp:positionH relativeFrom="column">
                  <wp:posOffset>666750</wp:posOffset>
                </wp:positionH>
                <wp:positionV relativeFrom="paragraph">
                  <wp:posOffset>255905</wp:posOffset>
                </wp:positionV>
                <wp:extent cx="1028700" cy="0"/>
                <wp:effectExtent l="0" t="4445" r="0" b="5080"/>
                <wp:wrapNone/>
                <wp:docPr id="4" name="直线 611"/>
                <wp:cNvGraphicFramePr/>
                <a:graphic xmlns:a="http://schemas.openxmlformats.org/drawingml/2006/main">
                  <a:graphicData uri="http://schemas.microsoft.com/office/word/2010/wordprocessingShape">
                    <wps:wsp>
                      <wps:cNvSpPr/>
                      <wps:spPr>
                        <a:xfrm>
                          <a:off x="0" y="0"/>
                          <a:ext cx="1028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1" o:spid="_x0000_s1026" o:spt="20" style="position:absolute;left:0pt;margin-left:52.5pt;margin-top:20.15pt;height:0pt;width:81pt;z-index:251662336;mso-width-relative:page;mso-height-relative:page;" filled="f" stroked="t" coordsize="21600,21600" o:gfxdata="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P9dANUA&#10;AAAJAQAADwAAAAAAAAABACAAAAAiAAAAZHJzL2Rvd25yZXYueG1sUEsBAhQAFAAAAAgAh07iQLHY&#10;vdHpAQAA3QMAAA4AAAAAAAAAAQAgAAAAJAEAAGRycy9lMm9Eb2MueG1sUEsFBgAAAAAGAAYAWQEA&#10;AH8FAAAAAA==&#10;">
                <v:fill on="f" focussize="0,0"/>
                <v:stroke color="#000000" joinstyle="round"/>
                <v:imagedata o:title=""/>
                <o:lock v:ext="edit" aspectratio="f"/>
              </v:line>
            </w:pict>
          </mc:Fallback>
        </mc:AlternateContent>
      </w:r>
      <w:r>
        <w:rPr>
          <w:rFonts w:hint="eastAsia" w:ascii="宋体" w:hAnsi="宋体"/>
          <w:b/>
          <w:sz w:val="24"/>
        </w:rPr>
        <w:t>2．带宽计算</w:t>
      </w:r>
    </w:p>
    <w:p w14:paraId="55D3427D">
      <w:pPr>
        <w:spacing w:line="360" w:lineRule="auto"/>
        <w:ind w:firstLine="480" w:firstLineChars="200"/>
        <w:rPr>
          <w:rFonts w:hint="eastAsia" w:ascii="宋体" w:hAnsi="宋体"/>
          <w:sz w:val="24"/>
        </w:rPr>
      </w:pPr>
      <w:r>
        <w:rPr>
          <w:rFonts w:hint="eastAsia" w:ascii="宋体" w:hAnsi="宋体"/>
          <w:sz w:val="24"/>
        </w:rPr>
        <w:t>B= √Q/（KγVCξ）</w:t>
      </w:r>
    </w:p>
    <w:p w14:paraId="72BB6EFA">
      <w:pPr>
        <w:spacing w:line="360" w:lineRule="auto"/>
        <w:ind w:firstLine="480" w:firstLineChars="200"/>
        <w:rPr>
          <w:rFonts w:hint="eastAsia" w:ascii="宋体" w:hAnsi="宋体"/>
          <w:sz w:val="24"/>
        </w:rPr>
      </w:pPr>
      <w:r>
        <w:rPr>
          <w:rFonts w:hint="eastAsia" w:ascii="宋体" w:hAnsi="宋体"/>
          <w:sz w:val="24"/>
        </w:rPr>
        <w:t>式中：K—断面系数，查表取堆集角为30°,K=458；</w:t>
      </w:r>
    </w:p>
    <w:p w14:paraId="09CD2015">
      <w:pPr>
        <w:spacing w:line="360" w:lineRule="auto"/>
        <w:ind w:firstLine="1200" w:firstLineChars="500"/>
        <w:rPr>
          <w:rFonts w:hint="eastAsia" w:ascii="宋体" w:hAnsi="宋体"/>
          <w:sz w:val="24"/>
        </w:rPr>
      </w:pPr>
      <w:r>
        <w:rPr>
          <w:rFonts w:hint="eastAsia" w:ascii="宋体" w:hAnsi="宋体"/>
          <w:sz w:val="24"/>
        </w:rPr>
        <w:t>γ—物料密度（t/m</w:t>
      </w:r>
      <w:r>
        <w:rPr>
          <w:rFonts w:hint="eastAsia" w:ascii="宋体" w:hAnsi="宋体"/>
          <w:sz w:val="24"/>
          <w:vertAlign w:val="superscript"/>
        </w:rPr>
        <w:t>3</w:t>
      </w:r>
      <w:r>
        <w:rPr>
          <w:rFonts w:hint="eastAsia" w:ascii="宋体" w:hAnsi="宋体"/>
          <w:sz w:val="24"/>
        </w:rPr>
        <w:t>），查表取1；</w:t>
      </w:r>
    </w:p>
    <w:p w14:paraId="0E89D1E2">
      <w:pPr>
        <w:spacing w:line="360" w:lineRule="auto"/>
        <w:ind w:firstLine="1200" w:firstLineChars="500"/>
        <w:rPr>
          <w:rFonts w:hint="eastAsia" w:ascii="宋体" w:hAnsi="宋体"/>
          <w:sz w:val="24"/>
        </w:rPr>
      </w:pPr>
      <w:r>
        <w:rPr>
          <w:rFonts w:hint="eastAsia" w:ascii="宋体" w:hAnsi="宋体"/>
          <w:sz w:val="24"/>
        </w:rPr>
        <w:t>C—输送机倾角系数，查表0.84；</w:t>
      </w:r>
    </w:p>
    <w:p w14:paraId="1A681B58">
      <w:pPr>
        <w:spacing w:line="360" w:lineRule="auto"/>
        <w:ind w:firstLine="1200" w:firstLineChars="500"/>
        <w:rPr>
          <w:rFonts w:hint="eastAsia" w:ascii="宋体" w:hAnsi="宋体"/>
          <w:sz w:val="24"/>
        </w:rPr>
      </w:pPr>
      <w:r>
        <w:rPr>
          <w:rFonts w:ascii="宋体" w:hAnsi="宋体"/>
          <w:sz w:val="24"/>
          <w:lang/>
        </w:rPr>
        <mc:AlternateContent>
          <mc:Choice Requires="wps">
            <w:drawing>
              <wp:anchor distT="0" distB="0" distL="114300" distR="114300" simplePos="0" relativeHeight="251663360" behindDoc="0" locked="0" layoutInCell="1" allowOverlap="1">
                <wp:simplePos x="0" y="0"/>
                <wp:positionH relativeFrom="column">
                  <wp:posOffset>1133475</wp:posOffset>
                </wp:positionH>
                <wp:positionV relativeFrom="paragraph">
                  <wp:posOffset>259715</wp:posOffset>
                </wp:positionV>
                <wp:extent cx="2200275" cy="0"/>
                <wp:effectExtent l="0" t="4445" r="0" b="5080"/>
                <wp:wrapNone/>
                <wp:docPr id="5" name="直线 612"/>
                <wp:cNvGraphicFramePr/>
                <a:graphic xmlns:a="http://schemas.openxmlformats.org/drawingml/2006/main">
                  <a:graphicData uri="http://schemas.microsoft.com/office/word/2010/wordprocessingShape">
                    <wps:wsp>
                      <wps:cNvSpPr/>
                      <wps:spPr>
                        <a:xfrm>
                          <a:off x="0" y="0"/>
                          <a:ext cx="2200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2" o:spid="_x0000_s1026" o:spt="20" style="position:absolute;left:0pt;margin-left:89.25pt;margin-top:20.45pt;height:0pt;width:173.25pt;z-index:251663360;mso-width-relative:page;mso-height-relative:page;" filled="f" stroked="t" coordsize="21600,21600" o:gfxdata="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BGFn1gAA&#10;AAkBAAAPAAAAAAAAAAEAIAAAACIAAABkcnMvZG93bnJldi54bWxQSwECFAAUAAAACACHTuJAJYR4&#10;GecBAADdAwAADgAAAAAAAAABACAAAAAlAQAAZHJzL2Uyb0RvYy54bWxQSwUGAAAAAAYABgBZAQAA&#10;fgUAAAAA&#10;">
                <v:fill on="f" focussize="0,0"/>
                <v:stroke color="#000000" joinstyle="round"/>
                <v:imagedata o:title=""/>
                <o:lock v:ext="edit" aspectratio="f"/>
              </v:line>
            </w:pict>
          </mc:Fallback>
        </mc:AlternateContent>
      </w:r>
      <w:r>
        <w:rPr>
          <w:rFonts w:hint="eastAsia" w:ascii="宋体" w:hAnsi="宋体"/>
          <w:sz w:val="24"/>
        </w:rPr>
        <w:t>ξ—输送机速度系数，查表取0.98</w:t>
      </w:r>
    </w:p>
    <w:p w14:paraId="11E080CA">
      <w:pPr>
        <w:spacing w:line="360" w:lineRule="auto"/>
        <w:ind w:firstLine="480" w:firstLineChars="200"/>
        <w:rPr>
          <w:rFonts w:hint="eastAsia" w:ascii="宋体" w:hAnsi="宋体"/>
          <w:sz w:val="24"/>
        </w:rPr>
      </w:pPr>
      <w:r>
        <w:rPr>
          <w:rFonts w:hint="eastAsia" w:ascii="宋体" w:hAnsi="宋体"/>
          <w:sz w:val="24"/>
        </w:rPr>
        <w:t>计算得B=√200÷（458×1×2×0.84×0.98）=0.415m。考虑物料块度大于200</w:t>
      </w:r>
      <w:r>
        <w:rPr>
          <w:rFonts w:ascii="宋体" w:hAnsi="宋体"/>
          <w:sz w:val="24"/>
        </w:rPr>
        <w:t>mm</w:t>
      </w:r>
      <w:r>
        <w:rPr>
          <w:rFonts w:hint="eastAsia" w:ascii="宋体" w:hAnsi="宋体"/>
          <w:sz w:val="24"/>
        </w:rPr>
        <w:t>及井筒倾角大等情况，取B＝800mm。</w:t>
      </w:r>
    </w:p>
    <w:p w14:paraId="0F899370">
      <w:pPr>
        <w:spacing w:line="360" w:lineRule="auto"/>
        <w:ind w:firstLine="482" w:firstLineChars="200"/>
        <w:rPr>
          <w:rFonts w:hint="eastAsia" w:ascii="宋体" w:hAnsi="宋体"/>
          <w:b/>
          <w:sz w:val="24"/>
        </w:rPr>
      </w:pPr>
      <w:r>
        <w:rPr>
          <w:rFonts w:hint="eastAsia" w:ascii="宋体" w:hAnsi="宋体"/>
          <w:b/>
          <w:sz w:val="24"/>
        </w:rPr>
        <w:t>3．对胶带宽度校核：</w:t>
      </w:r>
    </w:p>
    <w:p w14:paraId="29926A78">
      <w:pPr>
        <w:spacing w:line="360" w:lineRule="auto"/>
        <w:ind w:firstLine="480" w:firstLineChars="200"/>
        <w:rPr>
          <w:rFonts w:hint="eastAsia" w:ascii="宋体" w:hAnsi="宋体"/>
          <w:sz w:val="24"/>
        </w:rPr>
      </w:pPr>
      <w:r>
        <w:rPr>
          <w:rFonts w:hint="eastAsia" w:ascii="宋体" w:hAnsi="宋体"/>
          <w:sz w:val="24"/>
        </w:rPr>
        <w:t>未经筛分的松散原煤：</w:t>
      </w:r>
    </w:p>
    <w:p w14:paraId="521E8900">
      <w:pPr>
        <w:spacing w:line="360" w:lineRule="auto"/>
        <w:ind w:firstLine="480" w:firstLineChars="200"/>
        <w:rPr>
          <w:rFonts w:hint="eastAsia" w:ascii="宋体" w:hAnsi="宋体"/>
          <w:sz w:val="24"/>
        </w:rPr>
      </w:pPr>
      <w:r>
        <w:rPr>
          <w:rFonts w:hint="eastAsia" w:ascii="宋体" w:hAnsi="宋体"/>
          <w:sz w:val="24"/>
        </w:rPr>
        <w:t>B≥2a</w:t>
      </w:r>
      <w:r>
        <w:rPr>
          <w:rFonts w:hint="eastAsia" w:ascii="宋体" w:hAnsi="宋体"/>
          <w:sz w:val="24"/>
          <w:vertAlign w:val="subscript"/>
        </w:rPr>
        <w:t>max</w:t>
      </w:r>
      <w:r>
        <w:rPr>
          <w:rFonts w:hint="eastAsia" w:ascii="宋体" w:hAnsi="宋体"/>
          <w:sz w:val="24"/>
        </w:rPr>
        <w:t>+200</w:t>
      </w:r>
    </w:p>
    <w:p w14:paraId="7286F21B">
      <w:pPr>
        <w:spacing w:line="360" w:lineRule="auto"/>
        <w:ind w:firstLine="480" w:firstLineChars="200"/>
        <w:rPr>
          <w:rFonts w:hint="eastAsia" w:ascii="宋体" w:hAnsi="宋体"/>
          <w:sz w:val="24"/>
        </w:rPr>
      </w:pPr>
      <w:r>
        <w:rPr>
          <w:rFonts w:hint="eastAsia" w:ascii="宋体" w:hAnsi="宋体"/>
          <w:sz w:val="24"/>
        </w:rPr>
        <w:t>即：B≥2×300+200=800</w:t>
      </w:r>
    </w:p>
    <w:p w14:paraId="70C253AF">
      <w:pPr>
        <w:spacing w:line="360" w:lineRule="auto"/>
        <w:ind w:firstLine="480" w:firstLineChars="200"/>
        <w:rPr>
          <w:rFonts w:hint="eastAsia" w:ascii="宋体" w:hAnsi="宋体"/>
          <w:sz w:val="24"/>
        </w:rPr>
      </w:pPr>
      <w:r>
        <w:rPr>
          <w:rFonts w:hint="eastAsia" w:ascii="宋体" w:hAnsi="宋体"/>
          <w:sz w:val="24"/>
        </w:rPr>
        <w:t>所选胶带宽度800，胶带宽度满足要求</w:t>
      </w:r>
    </w:p>
    <w:p w14:paraId="39C4D7A6">
      <w:pPr>
        <w:spacing w:line="360" w:lineRule="auto"/>
        <w:ind w:firstLine="482" w:firstLineChars="200"/>
        <w:rPr>
          <w:rFonts w:hint="eastAsia" w:ascii="宋体" w:hAnsi="宋体"/>
          <w:b/>
          <w:sz w:val="24"/>
        </w:rPr>
      </w:pPr>
      <w:r>
        <w:rPr>
          <w:rFonts w:hint="eastAsia" w:ascii="宋体" w:hAnsi="宋体"/>
          <w:b/>
          <w:sz w:val="24"/>
        </w:rPr>
        <w:t>4．圆周驱动力</w:t>
      </w:r>
    </w:p>
    <w:p w14:paraId="1E352B58">
      <w:pPr>
        <w:spacing w:line="360" w:lineRule="auto"/>
        <w:ind w:firstLine="480" w:firstLineChars="200"/>
        <w:rPr>
          <w:rFonts w:hint="eastAsia" w:ascii="宋体" w:hAnsi="宋体"/>
          <w:sz w:val="24"/>
        </w:rPr>
      </w:pPr>
      <w:r>
        <w:rPr>
          <w:rFonts w:hint="eastAsia" w:ascii="宋体" w:hAnsi="宋体"/>
          <w:sz w:val="24"/>
        </w:rPr>
        <w:t>Fu=CfLg[qRO+qRU+(2qB+qG)</w:t>
      </w:r>
      <w:r>
        <w:rPr>
          <w:rFonts w:ascii="宋体" w:hAnsi="宋体"/>
          <w:sz w:val="24"/>
        </w:rPr>
        <w:t>cos</w:t>
      </w:r>
      <w:r>
        <w:rPr>
          <w:rFonts w:hint="eastAsia" w:ascii="宋体" w:hAnsi="宋体"/>
          <w:sz w:val="24"/>
        </w:rPr>
        <w:t>α]+qGHg+FS1+FS2</w:t>
      </w:r>
    </w:p>
    <w:p w14:paraId="364F0C07">
      <w:pPr>
        <w:spacing w:line="360" w:lineRule="auto"/>
        <w:ind w:firstLine="480" w:firstLineChars="200"/>
        <w:rPr>
          <w:rFonts w:hint="eastAsia" w:ascii="宋体" w:hAnsi="宋体"/>
          <w:sz w:val="24"/>
        </w:rPr>
      </w:pPr>
      <w:r>
        <w:rPr>
          <w:rFonts w:hint="eastAsia" w:ascii="宋体" w:hAnsi="宋体"/>
          <w:sz w:val="24"/>
        </w:rPr>
        <w:t>式中：C－附加阻力影响系数，查表取1.25</w:t>
      </w:r>
    </w:p>
    <w:p w14:paraId="3D32E591">
      <w:pPr>
        <w:spacing w:line="360" w:lineRule="auto"/>
        <w:ind w:firstLine="1200" w:firstLineChars="500"/>
        <w:rPr>
          <w:rFonts w:hint="eastAsia" w:ascii="宋体" w:hAnsi="宋体"/>
          <w:sz w:val="24"/>
        </w:rPr>
      </w:pPr>
      <w:r>
        <w:rPr>
          <w:rFonts w:hint="eastAsia" w:ascii="宋体" w:hAnsi="宋体"/>
          <w:sz w:val="24"/>
        </w:rPr>
        <w:t>f－模拟摩擦系数，查表取0.025</w:t>
      </w:r>
    </w:p>
    <w:p w14:paraId="450D6F75">
      <w:pPr>
        <w:spacing w:line="360" w:lineRule="auto"/>
        <w:ind w:firstLine="1200" w:firstLineChars="500"/>
        <w:rPr>
          <w:rFonts w:hint="eastAsia" w:ascii="宋体" w:hAnsi="宋体"/>
          <w:sz w:val="24"/>
          <w:vertAlign w:val="superscript"/>
        </w:rPr>
      </w:pPr>
      <w:r>
        <w:rPr>
          <w:rFonts w:hint="eastAsia" w:ascii="宋体" w:hAnsi="宋体"/>
          <w:sz w:val="24"/>
        </w:rPr>
        <w:t>g－重力加速度，g=9.81m/s</w:t>
      </w:r>
      <w:r>
        <w:rPr>
          <w:rFonts w:hint="eastAsia" w:ascii="宋体" w:hAnsi="宋体"/>
          <w:sz w:val="24"/>
          <w:vertAlign w:val="superscript"/>
        </w:rPr>
        <w:t>2</w:t>
      </w:r>
    </w:p>
    <w:p w14:paraId="32DCA237">
      <w:pPr>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RO</w:t>
      </w:r>
      <w:r>
        <w:rPr>
          <w:rFonts w:hint="eastAsia" w:ascii="宋体" w:hAnsi="宋体"/>
          <w:sz w:val="24"/>
        </w:rPr>
        <w:t>－承载托滚旋转部分质量，查表18.4kg/m</w:t>
      </w:r>
    </w:p>
    <w:p w14:paraId="051A9C58">
      <w:pPr>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RU</w:t>
      </w:r>
      <w:r>
        <w:rPr>
          <w:rFonts w:hint="eastAsia" w:ascii="宋体" w:hAnsi="宋体"/>
          <w:sz w:val="24"/>
        </w:rPr>
        <w:t>－空载托滚旋转部分质量，查表5.7kg/m</w:t>
      </w:r>
    </w:p>
    <w:p w14:paraId="5C581061">
      <w:pPr>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B</w:t>
      </w:r>
      <w:r>
        <w:rPr>
          <w:rFonts w:hint="eastAsia" w:ascii="宋体" w:hAnsi="宋体"/>
          <w:sz w:val="24"/>
        </w:rPr>
        <w:t>－输送带的质量，选带强为ST2000的钢绳芯阻燃输送带26.5kg/m</w:t>
      </w:r>
    </w:p>
    <w:p w14:paraId="4B944704">
      <w:pPr>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G</w:t>
      </w:r>
      <w:r>
        <w:rPr>
          <w:rFonts w:hint="eastAsia" w:ascii="宋体" w:hAnsi="宋体"/>
          <w:sz w:val="24"/>
        </w:rPr>
        <w:t>－输送物的质量，200÷（3.6×2）＝27.8kg/m</w:t>
      </w:r>
    </w:p>
    <w:p w14:paraId="244A22F3">
      <w:pPr>
        <w:spacing w:line="360" w:lineRule="auto"/>
        <w:ind w:firstLine="1200" w:firstLineChars="500"/>
        <w:rPr>
          <w:rFonts w:hint="eastAsia" w:ascii="宋体" w:hAnsi="宋体"/>
          <w:sz w:val="24"/>
        </w:rPr>
      </w:pPr>
      <w:r>
        <w:rPr>
          <w:rFonts w:hint="eastAsia" w:ascii="宋体" w:hAnsi="宋体"/>
          <w:sz w:val="24"/>
        </w:rPr>
        <w:t>F</w:t>
      </w:r>
      <w:r>
        <w:rPr>
          <w:rFonts w:hint="eastAsia" w:ascii="宋体" w:hAnsi="宋体"/>
          <w:sz w:val="24"/>
          <w:vertAlign w:val="subscript"/>
        </w:rPr>
        <w:t>S1</w:t>
      </w:r>
      <w:r>
        <w:rPr>
          <w:rFonts w:hint="eastAsia" w:ascii="宋体" w:hAnsi="宋体"/>
          <w:sz w:val="24"/>
        </w:rPr>
        <w:t>－特种主要阻力,取槽形系数0.4、取托辊与输送带间摩擦系数0.35</w:t>
      </w:r>
    </w:p>
    <w:p w14:paraId="389A5D7B">
      <w:pPr>
        <w:spacing w:line="360" w:lineRule="auto"/>
        <w:ind w:firstLine="480" w:firstLineChars="200"/>
        <w:rPr>
          <w:rFonts w:ascii="宋体" w:hAnsi="宋体"/>
          <w:sz w:val="24"/>
        </w:rPr>
      </w:pPr>
      <w:r>
        <w:rPr>
          <w:rFonts w:hint="eastAsia" w:ascii="宋体" w:hAnsi="宋体"/>
          <w:sz w:val="24"/>
        </w:rPr>
        <w:t>F</w:t>
      </w:r>
      <w:r>
        <w:rPr>
          <w:rFonts w:hint="eastAsia" w:ascii="宋体" w:hAnsi="宋体"/>
          <w:sz w:val="24"/>
          <w:vertAlign w:val="subscript"/>
        </w:rPr>
        <w:t>S1</w:t>
      </w:r>
      <w:r>
        <w:rPr>
          <w:rFonts w:hint="eastAsia" w:ascii="宋体" w:hAnsi="宋体"/>
          <w:sz w:val="24"/>
        </w:rPr>
        <w:t>＝CeμoL(q</w:t>
      </w:r>
      <w:r>
        <w:rPr>
          <w:rFonts w:hint="eastAsia" w:ascii="宋体" w:hAnsi="宋体"/>
          <w:sz w:val="24"/>
          <w:vertAlign w:val="subscript"/>
        </w:rPr>
        <w:t>B</w:t>
      </w:r>
      <w:r>
        <w:rPr>
          <w:rFonts w:hint="eastAsia" w:ascii="宋体" w:hAnsi="宋体"/>
          <w:sz w:val="24"/>
        </w:rPr>
        <w:t>+q</w:t>
      </w:r>
      <w:r>
        <w:rPr>
          <w:rFonts w:hint="eastAsia" w:ascii="宋体" w:hAnsi="宋体"/>
          <w:sz w:val="24"/>
          <w:vertAlign w:val="subscript"/>
        </w:rPr>
        <w:t>G</w:t>
      </w:r>
      <w:r>
        <w:rPr>
          <w:rFonts w:hint="eastAsia" w:ascii="宋体" w:hAnsi="宋体"/>
          <w:sz w:val="24"/>
        </w:rPr>
        <w:t>)gCosαSinα°</w:t>
      </w:r>
    </w:p>
    <w:p w14:paraId="42A01935">
      <w:pPr>
        <w:spacing w:line="360" w:lineRule="auto"/>
        <w:ind w:firstLine="480" w:firstLineChars="200"/>
        <w:rPr>
          <w:rFonts w:hint="eastAsia" w:ascii="宋体" w:hAnsi="宋体"/>
          <w:sz w:val="24"/>
        </w:rPr>
      </w:pPr>
      <w:r>
        <w:rPr>
          <w:rFonts w:hint="eastAsia" w:ascii="宋体" w:hAnsi="宋体"/>
          <w:sz w:val="24"/>
        </w:rPr>
        <w:t>＝0.4×0.35×506×（26.5＋27.8）×9.81×</w:t>
      </w:r>
      <w:r>
        <w:rPr>
          <w:rFonts w:ascii="宋体" w:hAnsi="宋体"/>
          <w:sz w:val="24"/>
        </w:rPr>
        <w:t>cos</w:t>
      </w:r>
      <w:r>
        <w:rPr>
          <w:rFonts w:hint="eastAsia" w:ascii="宋体" w:hAnsi="宋体"/>
          <w:sz w:val="24"/>
        </w:rPr>
        <w:t>19°×Sin1.5°＝</w:t>
      </w:r>
      <w:r>
        <w:rPr>
          <w:rFonts w:hint="eastAsia" w:ascii="宋体" w:hAnsi="宋体"/>
          <w:color w:val="FF0000"/>
          <w:sz w:val="24"/>
        </w:rPr>
        <w:t>947</w:t>
      </w:r>
      <w:r>
        <w:rPr>
          <w:rFonts w:hint="eastAsia" w:ascii="宋体" w:hAnsi="宋体"/>
          <w:sz w:val="24"/>
        </w:rPr>
        <w:t>N</w:t>
      </w:r>
    </w:p>
    <w:p w14:paraId="5B30A9B5">
      <w:pPr>
        <w:spacing w:line="360" w:lineRule="auto"/>
        <w:ind w:firstLine="480" w:firstLineChars="200"/>
        <w:rPr>
          <w:rFonts w:hint="eastAsia" w:ascii="宋体" w:hAnsi="宋体"/>
          <w:sz w:val="24"/>
          <w:vertAlign w:val="subscript"/>
        </w:rPr>
      </w:pPr>
      <w:r>
        <w:rPr>
          <w:rFonts w:hint="eastAsia" w:ascii="宋体" w:hAnsi="宋体"/>
          <w:sz w:val="24"/>
        </w:rPr>
        <w:t>F</w:t>
      </w:r>
      <w:r>
        <w:rPr>
          <w:rFonts w:hint="eastAsia" w:ascii="宋体" w:hAnsi="宋体"/>
          <w:sz w:val="24"/>
          <w:vertAlign w:val="subscript"/>
        </w:rPr>
        <w:t>S2－</w:t>
      </w:r>
      <w:r>
        <w:rPr>
          <w:rFonts w:hint="eastAsia" w:ascii="宋体" w:hAnsi="宋体"/>
          <w:sz w:val="24"/>
        </w:rPr>
        <w:t>特种附加阻力，取2000N</w:t>
      </w:r>
    </w:p>
    <w:p w14:paraId="55BA646B">
      <w:pPr>
        <w:spacing w:line="360" w:lineRule="auto"/>
        <w:ind w:firstLine="480" w:firstLineChars="200"/>
        <w:rPr>
          <w:rFonts w:ascii="宋体" w:hAnsi="宋体"/>
          <w:sz w:val="24"/>
        </w:rPr>
      </w:pPr>
      <w:r>
        <w:rPr>
          <w:rFonts w:hint="eastAsia" w:ascii="宋体" w:hAnsi="宋体"/>
          <w:sz w:val="24"/>
        </w:rPr>
        <w:t>计算得</w:t>
      </w:r>
      <w:r>
        <w:rPr>
          <w:rFonts w:ascii="宋体" w:hAnsi="宋体"/>
          <w:sz w:val="24"/>
        </w:rPr>
        <w:t>:</w:t>
      </w:r>
    </w:p>
    <w:p w14:paraId="506029D2">
      <w:pPr>
        <w:spacing w:line="360" w:lineRule="auto"/>
        <w:ind w:firstLine="480" w:firstLineChars="200"/>
        <w:rPr>
          <w:rFonts w:hint="eastAsia" w:ascii="宋体" w:hAnsi="宋体"/>
          <w:sz w:val="24"/>
        </w:rPr>
      </w:pPr>
      <w:r>
        <w:rPr>
          <w:rFonts w:hint="eastAsia" w:ascii="宋体" w:hAnsi="宋体"/>
          <w:sz w:val="24"/>
        </w:rPr>
        <w:t>Fu＝1.25×0.025×506×9.81〔18.4＋5.7＋（26.5×2＋27.8）</w:t>
      </w:r>
      <w:r>
        <w:rPr>
          <w:rFonts w:ascii="宋体" w:hAnsi="宋体"/>
          <w:sz w:val="24"/>
        </w:rPr>
        <w:t>cos</w:t>
      </w:r>
      <w:r>
        <w:rPr>
          <w:rFonts w:hint="eastAsia" w:ascii="宋体" w:hAnsi="宋体"/>
          <w:sz w:val="24"/>
        </w:rPr>
        <w:t>19°〕</w:t>
      </w:r>
    </w:p>
    <w:p w14:paraId="524D35A7">
      <w:pPr>
        <w:spacing w:line="360" w:lineRule="auto"/>
        <w:ind w:firstLine="480" w:firstLineChars="200"/>
        <w:rPr>
          <w:rFonts w:hint="eastAsia" w:ascii="宋体" w:hAnsi="宋体"/>
          <w:sz w:val="24"/>
          <w:vertAlign w:val="subscript"/>
        </w:rPr>
      </w:pPr>
      <w:r>
        <w:rPr>
          <w:rFonts w:hint="eastAsia" w:ascii="宋体" w:hAnsi="宋体"/>
          <w:sz w:val="24"/>
        </w:rPr>
        <w:t>＋27.8×167×9.81＋947＋2000＝64296N</w:t>
      </w:r>
    </w:p>
    <w:p w14:paraId="5C915A8E">
      <w:pPr>
        <w:spacing w:line="360" w:lineRule="auto"/>
        <w:ind w:firstLine="482" w:firstLineChars="200"/>
        <w:rPr>
          <w:rFonts w:hint="eastAsia" w:ascii="宋体" w:hAnsi="宋体"/>
          <w:b/>
          <w:sz w:val="24"/>
        </w:rPr>
      </w:pPr>
      <w:r>
        <w:rPr>
          <w:rFonts w:ascii="宋体" w:hAnsi="宋体"/>
          <w:b/>
          <w:sz w:val="24"/>
        </w:rPr>
        <w:t>5</w:t>
      </w:r>
      <w:r>
        <w:rPr>
          <w:rFonts w:hint="eastAsia" w:ascii="宋体" w:hAnsi="宋体"/>
          <w:b/>
        </w:rPr>
        <w:t>．</w:t>
      </w:r>
      <w:r>
        <w:rPr>
          <w:rFonts w:hint="eastAsia" w:ascii="宋体" w:hAnsi="宋体"/>
          <w:b/>
          <w:sz w:val="24"/>
        </w:rPr>
        <w:t>电动机功率</w:t>
      </w:r>
    </w:p>
    <w:p w14:paraId="17D8D083">
      <w:pPr>
        <w:spacing w:line="360" w:lineRule="auto"/>
        <w:ind w:firstLine="480" w:firstLineChars="200"/>
        <w:rPr>
          <w:rFonts w:ascii="宋体" w:hAnsi="宋体"/>
          <w:sz w:val="24"/>
        </w:rPr>
      </w:pPr>
      <w:r>
        <w:rPr>
          <w:rFonts w:hint="eastAsia" w:ascii="宋体" w:hAnsi="宋体"/>
          <w:sz w:val="24"/>
        </w:rPr>
        <w:t>P＝KFuU/1000η＝1.15×64296×2÷(1000×0.85)＝174KW</w:t>
      </w:r>
    </w:p>
    <w:p w14:paraId="4A5F63F7">
      <w:pPr>
        <w:spacing w:line="360" w:lineRule="auto"/>
        <w:ind w:firstLine="480" w:firstLineChars="200"/>
        <w:rPr>
          <w:rFonts w:hint="eastAsia" w:ascii="宋体" w:hAnsi="宋体"/>
          <w:sz w:val="24"/>
        </w:rPr>
      </w:pPr>
      <w:r>
        <w:rPr>
          <w:rFonts w:hint="eastAsia" w:ascii="宋体" w:hAnsi="宋体"/>
          <w:sz w:val="24"/>
        </w:rPr>
        <w:t>其中传动效率，取0.85</w:t>
      </w:r>
    </w:p>
    <w:p w14:paraId="1FEA2E67">
      <w:pPr>
        <w:spacing w:line="360" w:lineRule="auto"/>
        <w:ind w:firstLine="480" w:firstLineChars="200"/>
        <w:rPr>
          <w:rFonts w:hint="eastAsia" w:ascii="宋体" w:hAnsi="宋体"/>
          <w:sz w:val="24"/>
        </w:rPr>
      </w:pPr>
      <w:r>
        <w:rPr>
          <w:rFonts w:hint="eastAsia" w:ascii="宋体" w:hAnsi="宋体"/>
          <w:sz w:val="24"/>
        </w:rPr>
        <w:t>K－备用系数，取1.15</w:t>
      </w:r>
    </w:p>
    <w:p w14:paraId="4B1F6ADF">
      <w:pPr>
        <w:spacing w:line="360" w:lineRule="auto"/>
        <w:ind w:firstLine="482" w:firstLineChars="200"/>
        <w:rPr>
          <w:rFonts w:hint="eastAsia" w:ascii="宋体" w:hAnsi="宋体"/>
          <w:b/>
          <w:sz w:val="24"/>
        </w:rPr>
      </w:pPr>
      <w:r>
        <w:rPr>
          <w:rFonts w:hint="eastAsia" w:ascii="宋体" w:hAnsi="宋体"/>
          <w:b/>
          <w:sz w:val="24"/>
        </w:rPr>
        <w:t>6．输送带张力计算</w:t>
      </w:r>
    </w:p>
    <w:p w14:paraId="3574D787">
      <w:pPr>
        <w:spacing w:line="360" w:lineRule="auto"/>
        <w:ind w:firstLine="480" w:firstLineChars="200"/>
        <w:rPr>
          <w:rFonts w:hint="eastAsia" w:ascii="宋体" w:hAnsi="宋体"/>
          <w:sz w:val="24"/>
        </w:rPr>
      </w:pPr>
      <w:r>
        <w:rPr>
          <w:rFonts w:hint="eastAsia" w:ascii="宋体" w:hAnsi="宋体"/>
          <w:sz w:val="24"/>
        </w:rPr>
        <w:t>(1)最小张力确定</w:t>
      </w:r>
    </w:p>
    <w:p w14:paraId="0159EE14">
      <w:pPr>
        <w:spacing w:line="360" w:lineRule="auto"/>
        <w:ind w:firstLine="480" w:firstLineChars="200"/>
        <w:rPr>
          <w:rFonts w:hint="eastAsia" w:ascii="宋体" w:hAnsi="宋体"/>
          <w:b/>
          <w:sz w:val="24"/>
        </w:rPr>
      </w:pPr>
      <w:r>
        <w:rPr>
          <w:rFonts w:hint="eastAsia" w:ascii="宋体" w:hAnsi="宋体"/>
          <w:sz w:val="24"/>
        </w:rPr>
        <w:t>①按传动条件</w:t>
      </w:r>
    </w:p>
    <w:p w14:paraId="379752AF">
      <w:pPr>
        <w:spacing w:line="360" w:lineRule="auto"/>
        <w:ind w:firstLine="480" w:firstLineChars="200"/>
        <w:rPr>
          <w:rFonts w:hint="eastAsia" w:ascii="宋体" w:hAnsi="宋体"/>
          <w:sz w:val="24"/>
        </w:rPr>
      </w:pPr>
      <w:r>
        <w:rPr>
          <w:rFonts w:hint="eastAsia" w:ascii="宋体" w:hAnsi="宋体"/>
          <w:sz w:val="24"/>
        </w:rPr>
        <w:t>传动滚筒采用包胶滚筒，软启动，取动载荷系数Ka＝1.3</w:t>
      </w:r>
    </w:p>
    <w:p w14:paraId="7302B019">
      <w:pPr>
        <w:spacing w:line="360" w:lineRule="auto"/>
        <w:ind w:firstLine="480" w:firstLineChars="200"/>
        <w:rPr>
          <w:rFonts w:hint="eastAsia" w:ascii="宋体" w:hAnsi="宋体"/>
          <w:sz w:val="24"/>
        </w:rPr>
      </w:pPr>
      <w:r>
        <w:rPr>
          <w:rFonts w:hint="eastAsia" w:ascii="宋体" w:hAnsi="宋体"/>
          <w:sz w:val="24"/>
        </w:rPr>
        <w:t>输送带在传动滚筒松边的最小张力</w:t>
      </w:r>
    </w:p>
    <w:p w14:paraId="01EACA80">
      <w:pPr>
        <w:spacing w:line="360" w:lineRule="auto"/>
        <w:ind w:firstLine="480" w:firstLineChars="200"/>
        <w:rPr>
          <w:rFonts w:hint="eastAsia" w:ascii="宋体" w:hAnsi="宋体"/>
          <w:sz w:val="24"/>
        </w:rPr>
      </w:pPr>
      <w:r>
        <w:rPr>
          <w:rFonts w:hint="eastAsia" w:ascii="宋体" w:hAnsi="宋体"/>
          <w:sz w:val="24"/>
        </w:rPr>
        <w:t>Smin≥CF</w:t>
      </w:r>
      <w:r>
        <w:rPr>
          <w:rFonts w:hint="eastAsia" w:ascii="宋体" w:hAnsi="宋体"/>
          <w:sz w:val="24"/>
          <w:vertAlign w:val="subscript"/>
        </w:rPr>
        <w:t>max</w:t>
      </w:r>
    </w:p>
    <w:p w14:paraId="392E2282">
      <w:pPr>
        <w:spacing w:line="360" w:lineRule="auto"/>
        <w:ind w:firstLine="480" w:firstLineChars="200"/>
        <w:rPr>
          <w:rFonts w:hint="eastAsia" w:ascii="宋体" w:hAnsi="宋体"/>
          <w:sz w:val="24"/>
        </w:rPr>
      </w:pPr>
      <w:r>
        <w:rPr>
          <w:rFonts w:hint="eastAsia" w:ascii="宋体" w:hAnsi="宋体"/>
          <w:sz w:val="24"/>
        </w:rPr>
        <w:t>式中：C－传动系数，取传动滚筒围包角210°，查表取C＝0.667</w:t>
      </w:r>
    </w:p>
    <w:p w14:paraId="4506EDEA">
      <w:pPr>
        <w:spacing w:line="360" w:lineRule="auto"/>
        <w:ind w:firstLine="1200" w:firstLineChars="500"/>
        <w:rPr>
          <w:rFonts w:ascii="宋体" w:hAnsi="宋体"/>
          <w:sz w:val="24"/>
        </w:rPr>
      </w:pPr>
      <w:r>
        <w:rPr>
          <w:rFonts w:hint="eastAsia" w:ascii="宋体" w:hAnsi="宋体"/>
          <w:sz w:val="24"/>
        </w:rPr>
        <w:t>F</w:t>
      </w:r>
      <w:r>
        <w:rPr>
          <w:rFonts w:hint="eastAsia" w:ascii="宋体" w:hAnsi="宋体"/>
          <w:sz w:val="24"/>
          <w:vertAlign w:val="subscript"/>
        </w:rPr>
        <w:t>max</w:t>
      </w:r>
      <w:r>
        <w:rPr>
          <w:rFonts w:hint="eastAsia" w:ascii="宋体" w:hAnsi="宋体"/>
          <w:sz w:val="24"/>
        </w:rPr>
        <w:t>－传动滚筒传递的最大圆周力，F</w:t>
      </w:r>
      <w:r>
        <w:rPr>
          <w:rFonts w:hint="eastAsia" w:ascii="宋体" w:hAnsi="宋体"/>
          <w:sz w:val="24"/>
          <w:vertAlign w:val="subscript"/>
        </w:rPr>
        <w:t>max</w:t>
      </w:r>
      <w:r>
        <w:rPr>
          <w:rFonts w:hint="eastAsia" w:ascii="宋体" w:hAnsi="宋体"/>
          <w:sz w:val="24"/>
        </w:rPr>
        <w:t>＝KaFu＝1.3×64296</w:t>
      </w:r>
    </w:p>
    <w:p w14:paraId="7ACC5B6D">
      <w:pPr>
        <w:spacing w:line="360" w:lineRule="auto"/>
        <w:ind w:firstLine="480" w:firstLineChars="200"/>
        <w:rPr>
          <w:rFonts w:hint="eastAsia" w:ascii="宋体" w:hAnsi="宋体"/>
          <w:sz w:val="24"/>
        </w:rPr>
      </w:pPr>
      <w:r>
        <w:rPr>
          <w:rFonts w:hint="eastAsia" w:ascii="宋体" w:hAnsi="宋体"/>
          <w:sz w:val="24"/>
        </w:rPr>
        <w:t>计算得Smin≥0.667×1.3×64296＝55751N</w:t>
      </w:r>
    </w:p>
    <w:p w14:paraId="3014FEC7">
      <w:pPr>
        <w:spacing w:line="360" w:lineRule="auto"/>
        <w:ind w:firstLine="480" w:firstLineChars="200"/>
        <w:rPr>
          <w:rFonts w:hint="eastAsia" w:ascii="宋体" w:hAnsi="宋体"/>
          <w:sz w:val="24"/>
        </w:rPr>
      </w:pPr>
      <w:r>
        <w:rPr>
          <w:rFonts w:hint="eastAsia" w:ascii="宋体" w:hAnsi="宋体"/>
          <w:sz w:val="24"/>
        </w:rPr>
        <w:t>所以，按传动条件应满足Smin≥55751N</w:t>
      </w:r>
    </w:p>
    <w:p w14:paraId="4DD8053B">
      <w:pPr>
        <w:spacing w:line="360" w:lineRule="auto"/>
        <w:ind w:firstLine="480" w:firstLineChars="200"/>
        <w:rPr>
          <w:rFonts w:hint="eastAsia" w:ascii="宋体" w:hAnsi="宋体"/>
          <w:sz w:val="24"/>
        </w:rPr>
      </w:pPr>
      <w:r>
        <w:rPr>
          <w:rFonts w:hint="eastAsia" w:ascii="宋体" w:hAnsi="宋体"/>
          <w:sz w:val="24"/>
        </w:rPr>
        <w:t>②按垂度条件</w:t>
      </w:r>
    </w:p>
    <w:p w14:paraId="3E7775C2">
      <w:pPr>
        <w:spacing w:line="360" w:lineRule="auto"/>
        <w:ind w:firstLine="480" w:firstLineChars="200"/>
        <w:rPr>
          <w:rFonts w:hint="eastAsia" w:ascii="宋体" w:hAnsi="宋体"/>
          <w:sz w:val="24"/>
        </w:rPr>
      </w:pPr>
      <w:r>
        <w:rPr>
          <w:rFonts w:hint="eastAsia" w:ascii="宋体" w:hAnsi="宋体"/>
          <w:sz w:val="24"/>
        </w:rPr>
        <w:t>当胶带最小张力满足传动条件时，同时满足垂度条件，因此最小张力取Smin=55751N</w:t>
      </w:r>
    </w:p>
    <w:p w14:paraId="0E6C8CAA">
      <w:pPr>
        <w:spacing w:line="360" w:lineRule="auto"/>
        <w:ind w:firstLine="480" w:firstLineChars="200"/>
        <w:rPr>
          <w:rFonts w:hint="eastAsia" w:ascii="宋体" w:hAnsi="宋体"/>
          <w:sz w:val="24"/>
        </w:rPr>
      </w:pPr>
      <w:r>
        <w:rPr>
          <w:rFonts w:hint="eastAsia" w:ascii="宋体" w:hAnsi="宋体"/>
          <w:sz w:val="24"/>
        </w:rPr>
        <w:t>(2)最大张力确定</w:t>
      </w:r>
    </w:p>
    <w:p w14:paraId="3956B8F4">
      <w:pPr>
        <w:spacing w:line="360" w:lineRule="auto"/>
        <w:ind w:firstLine="480" w:firstLineChars="200"/>
        <w:rPr>
          <w:rFonts w:hint="eastAsia" w:ascii="宋体" w:hAnsi="宋体"/>
          <w:sz w:val="24"/>
        </w:rPr>
      </w:pPr>
      <w:r>
        <w:rPr>
          <w:rFonts w:hint="eastAsia" w:ascii="宋体" w:hAnsi="宋体"/>
          <w:sz w:val="24"/>
        </w:rPr>
        <w:t>S</w:t>
      </w:r>
      <w:r>
        <w:rPr>
          <w:rFonts w:hint="eastAsia" w:ascii="宋体" w:hAnsi="宋体"/>
          <w:sz w:val="24"/>
          <w:vertAlign w:val="subscript"/>
        </w:rPr>
        <w:t>max</w:t>
      </w:r>
      <w:r>
        <w:rPr>
          <w:rFonts w:hint="eastAsia" w:ascii="宋体" w:hAnsi="宋体"/>
          <w:sz w:val="24"/>
        </w:rPr>
        <w:t>＝Fs＋Fu</w:t>
      </w:r>
    </w:p>
    <w:p w14:paraId="75F72247">
      <w:pPr>
        <w:spacing w:line="360" w:lineRule="auto"/>
        <w:ind w:firstLine="480" w:firstLineChars="200"/>
        <w:rPr>
          <w:rFonts w:hint="eastAsia" w:ascii="宋体" w:hAnsi="宋体"/>
          <w:sz w:val="24"/>
        </w:rPr>
      </w:pPr>
      <w:r>
        <w:rPr>
          <w:rFonts w:hint="eastAsia" w:ascii="宋体" w:hAnsi="宋体"/>
          <w:sz w:val="24"/>
        </w:rPr>
        <w:t>Fumax=FuKa=64296×1.3=83584N</w:t>
      </w:r>
    </w:p>
    <w:p w14:paraId="6281EE57">
      <w:pPr>
        <w:spacing w:line="360" w:lineRule="auto"/>
        <w:ind w:firstLine="480" w:firstLineChars="200"/>
        <w:rPr>
          <w:rFonts w:hint="eastAsia" w:ascii="宋体" w:hAnsi="宋体"/>
          <w:sz w:val="24"/>
        </w:rPr>
      </w:pPr>
      <w:r>
        <w:rPr>
          <w:rFonts w:hint="eastAsia" w:ascii="宋体" w:hAnsi="宋体"/>
          <w:sz w:val="24"/>
        </w:rPr>
        <w:t>Fs=Fumax×(1/3.0-1)=83584×(1/3.0-1)=-55723N</w:t>
      </w:r>
    </w:p>
    <w:p w14:paraId="4189898E">
      <w:pPr>
        <w:spacing w:line="360" w:lineRule="auto"/>
        <w:ind w:firstLine="480" w:firstLineChars="200"/>
        <w:rPr>
          <w:rFonts w:hint="eastAsia" w:ascii="宋体" w:hAnsi="宋体"/>
          <w:sz w:val="24"/>
        </w:rPr>
      </w:pPr>
      <w:r>
        <w:rPr>
          <w:rFonts w:hint="eastAsia" w:ascii="宋体" w:hAnsi="宋体"/>
          <w:sz w:val="24"/>
        </w:rPr>
        <w:t>S</w:t>
      </w:r>
      <w:r>
        <w:rPr>
          <w:rFonts w:hint="eastAsia" w:ascii="宋体" w:hAnsi="宋体"/>
          <w:sz w:val="24"/>
          <w:vertAlign w:val="subscript"/>
        </w:rPr>
        <w:t>max</w:t>
      </w:r>
      <w:r>
        <w:rPr>
          <w:rFonts w:hint="eastAsia" w:ascii="宋体" w:hAnsi="宋体"/>
          <w:sz w:val="24"/>
        </w:rPr>
        <w:t>＝55723+64296=120019N</w:t>
      </w:r>
    </w:p>
    <w:p w14:paraId="350C5B74">
      <w:pPr>
        <w:spacing w:line="360" w:lineRule="auto"/>
        <w:ind w:firstLine="482" w:firstLineChars="200"/>
        <w:rPr>
          <w:rFonts w:hint="eastAsia" w:ascii="宋体" w:hAnsi="宋体"/>
          <w:b/>
          <w:sz w:val="24"/>
        </w:rPr>
      </w:pPr>
      <w:r>
        <w:rPr>
          <w:rFonts w:hint="eastAsia" w:ascii="宋体" w:hAnsi="宋体"/>
          <w:b/>
          <w:sz w:val="24"/>
        </w:rPr>
        <w:t>7．输送带强度校核</w:t>
      </w:r>
    </w:p>
    <w:p w14:paraId="6757A75E">
      <w:pPr>
        <w:spacing w:line="360" w:lineRule="auto"/>
        <w:ind w:firstLine="480" w:firstLineChars="200"/>
        <w:rPr>
          <w:rFonts w:ascii="宋体" w:hAnsi="宋体"/>
          <w:sz w:val="24"/>
        </w:rPr>
      </w:pPr>
      <w:r>
        <w:rPr>
          <w:rFonts w:hint="eastAsia" w:ascii="宋体" w:hAnsi="宋体"/>
          <w:sz w:val="24"/>
        </w:rPr>
        <w:t>带强为ST2000的钢绳芯阻燃输送带纵向拉伸强度为2000，N/</w:t>
      </w:r>
      <w:r>
        <w:rPr>
          <w:rFonts w:ascii="宋体" w:hAnsi="宋体"/>
          <w:sz w:val="24"/>
        </w:rPr>
        <w:t>mm</w:t>
      </w:r>
    </w:p>
    <w:p w14:paraId="45CC2DFB">
      <w:pPr>
        <w:spacing w:line="360" w:lineRule="auto"/>
        <w:ind w:firstLine="480" w:firstLineChars="200"/>
        <w:rPr>
          <w:rFonts w:hint="eastAsia" w:ascii="宋体" w:hAnsi="宋体"/>
          <w:sz w:val="24"/>
        </w:rPr>
      </w:pPr>
      <w:r>
        <w:rPr>
          <w:rFonts w:hint="eastAsia" w:ascii="宋体" w:hAnsi="宋体"/>
          <w:sz w:val="24"/>
        </w:rPr>
        <w:t>m=2000×800÷120019＝13.3</w:t>
      </w:r>
    </w:p>
    <w:p w14:paraId="32828127">
      <w:pPr>
        <w:spacing w:line="360" w:lineRule="auto"/>
        <w:ind w:firstLine="480" w:firstLineChars="200"/>
        <w:rPr>
          <w:rFonts w:hint="eastAsia" w:ascii="宋体" w:hAnsi="宋体"/>
          <w:sz w:val="24"/>
        </w:rPr>
      </w:pPr>
      <w:r>
        <w:rPr>
          <w:rFonts w:hint="eastAsia" w:ascii="宋体" w:hAnsi="宋体"/>
          <w:sz w:val="24"/>
        </w:rPr>
        <w:t>由此，选用ST2000的钢绳芯阻燃输送带可以满足强度要求。</w:t>
      </w:r>
    </w:p>
    <w:p w14:paraId="12053B1A">
      <w:pPr>
        <w:spacing w:line="360" w:lineRule="auto"/>
        <w:ind w:firstLine="482" w:firstLineChars="200"/>
        <w:rPr>
          <w:rFonts w:hint="eastAsia" w:ascii="宋体" w:hAnsi="宋体"/>
          <w:b/>
          <w:sz w:val="24"/>
        </w:rPr>
      </w:pPr>
      <w:r>
        <w:rPr>
          <w:rFonts w:hint="eastAsia" w:ascii="宋体" w:hAnsi="宋体"/>
          <w:b/>
          <w:sz w:val="24"/>
        </w:rPr>
        <w:t>8．拉紧行程</w:t>
      </w:r>
    </w:p>
    <w:p w14:paraId="7BD51484">
      <w:pPr>
        <w:spacing w:line="360" w:lineRule="auto"/>
        <w:ind w:firstLine="480" w:firstLineChars="200"/>
        <w:rPr>
          <w:rFonts w:hint="eastAsia" w:ascii="宋体" w:hAnsi="宋体"/>
          <w:sz w:val="24"/>
        </w:rPr>
      </w:pPr>
      <w:r>
        <w:rPr>
          <w:rFonts w:hint="eastAsia" w:ascii="宋体" w:hAnsi="宋体"/>
          <w:sz w:val="24"/>
        </w:rPr>
        <w:t>钢绳芯阻燃输送胶带机L=0.0035L+4≈5.79m</w:t>
      </w:r>
      <w:r>
        <w:rPr>
          <w:rFonts w:ascii="宋体" w:hAnsi="宋体"/>
          <w:sz w:val="24"/>
        </w:rPr>
        <w:t>,</w:t>
      </w:r>
      <w:r>
        <w:rPr>
          <w:rFonts w:hint="eastAsia" w:ascii="宋体" w:hAnsi="宋体"/>
          <w:sz w:val="24"/>
        </w:rPr>
        <w:t>取6m</w:t>
      </w:r>
    </w:p>
    <w:p w14:paraId="64B0DB94">
      <w:pPr>
        <w:spacing w:line="360" w:lineRule="auto"/>
        <w:ind w:firstLine="482" w:firstLineChars="200"/>
        <w:rPr>
          <w:rFonts w:hint="eastAsia" w:ascii="宋体" w:hAnsi="宋体"/>
          <w:b/>
          <w:sz w:val="24"/>
        </w:rPr>
      </w:pPr>
      <w:r>
        <w:rPr>
          <w:rFonts w:ascii="宋体" w:hAnsi="宋体"/>
          <w:b/>
          <w:sz w:val="24"/>
        </w:rPr>
        <w:t>9</w:t>
      </w:r>
      <w:r>
        <w:rPr>
          <w:rFonts w:hint="eastAsia" w:ascii="宋体" w:hAnsi="宋体"/>
          <w:b/>
          <w:sz w:val="24"/>
        </w:rPr>
        <w:t>.胶带机选型</w:t>
      </w:r>
    </w:p>
    <w:p w14:paraId="0E7292BC">
      <w:pPr>
        <w:spacing w:line="360" w:lineRule="auto"/>
        <w:ind w:firstLine="480" w:firstLineChars="200"/>
        <w:rPr>
          <w:rFonts w:hint="eastAsia" w:ascii="宋体" w:hAnsi="宋体"/>
          <w:sz w:val="24"/>
        </w:rPr>
      </w:pPr>
      <w:r>
        <w:rPr>
          <w:rFonts w:hint="eastAsia" w:ascii="宋体" w:hAnsi="宋体"/>
          <w:sz w:val="24"/>
        </w:rPr>
        <w:t>根据以上计算，主斜井选</w:t>
      </w:r>
      <w:r>
        <w:rPr>
          <w:rFonts w:ascii="宋体" w:hAnsi="宋体"/>
          <w:sz w:val="24"/>
        </w:rPr>
        <w:t>1</w:t>
      </w:r>
      <w:r>
        <w:rPr>
          <w:rFonts w:hint="eastAsia" w:ascii="宋体" w:hAnsi="宋体"/>
          <w:sz w:val="24"/>
        </w:rPr>
        <w:t>台</w:t>
      </w:r>
      <w:r>
        <w:rPr>
          <w:rFonts w:ascii="宋体" w:hAnsi="宋体"/>
          <w:sz w:val="24"/>
        </w:rPr>
        <w:t>DT</w:t>
      </w:r>
      <w:r>
        <w:rPr>
          <w:rFonts w:hint="eastAsia" w:ascii="宋体" w:hAnsi="宋体"/>
          <w:sz w:val="24"/>
        </w:rPr>
        <w:t>C80/20/200深槽型输送机</w:t>
      </w:r>
      <w:r>
        <w:rPr>
          <w:rFonts w:ascii="宋体" w:hAnsi="宋体"/>
          <w:sz w:val="24"/>
        </w:rPr>
        <w:t>,</w:t>
      </w:r>
      <w:r>
        <w:rPr>
          <w:rFonts w:hint="eastAsia" w:ascii="宋体" w:hAnsi="宋体"/>
          <w:sz w:val="24"/>
        </w:rPr>
        <w:t>参数如下：</w:t>
      </w:r>
    </w:p>
    <w:p w14:paraId="56E39F6E">
      <w:pPr>
        <w:spacing w:line="360" w:lineRule="auto"/>
        <w:ind w:firstLine="480" w:firstLineChars="200"/>
        <w:rPr>
          <w:rFonts w:hint="eastAsia" w:ascii="宋体" w:hAnsi="宋体"/>
          <w:sz w:val="24"/>
        </w:rPr>
      </w:pPr>
      <w:r>
        <w:rPr>
          <w:rFonts w:hint="eastAsia" w:ascii="宋体" w:hAnsi="宋体"/>
          <w:sz w:val="24"/>
        </w:rPr>
        <w:t>·输送距离L＝506m,提升高度H＝167m，倾角δ＝19</w:t>
      </w:r>
      <w:r>
        <w:rPr>
          <w:rFonts w:ascii="宋体" w:hAnsi="宋体"/>
          <w:sz w:val="24"/>
        </w:rPr>
        <w:t>º</w:t>
      </w:r>
    </w:p>
    <w:p w14:paraId="5C498181">
      <w:pPr>
        <w:spacing w:line="360" w:lineRule="auto"/>
        <w:ind w:firstLine="480" w:firstLineChars="200"/>
        <w:rPr>
          <w:rFonts w:hint="eastAsia" w:ascii="宋体" w:hAnsi="宋体"/>
          <w:sz w:val="24"/>
        </w:rPr>
      </w:pPr>
      <w:r>
        <w:rPr>
          <w:rFonts w:hint="eastAsia" w:ascii="宋体" w:hAnsi="宋体"/>
          <w:sz w:val="24"/>
        </w:rPr>
        <w:t>·带宽B=</w:t>
      </w:r>
      <w:r>
        <w:rPr>
          <w:rFonts w:ascii="宋体" w:hAnsi="宋体"/>
          <w:sz w:val="24"/>
        </w:rPr>
        <w:t>8</w:t>
      </w:r>
      <w:r>
        <w:rPr>
          <w:rFonts w:hint="eastAsia" w:ascii="宋体" w:hAnsi="宋体"/>
          <w:sz w:val="24"/>
        </w:rPr>
        <w:t>00mm,带速v=2m/s,输送量Q=2</w:t>
      </w:r>
      <w:r>
        <w:rPr>
          <w:rFonts w:ascii="宋体" w:hAnsi="宋体"/>
          <w:sz w:val="24"/>
        </w:rPr>
        <w:t>0</w:t>
      </w:r>
      <w:r>
        <w:rPr>
          <w:rFonts w:hint="eastAsia" w:ascii="宋体" w:hAnsi="宋体"/>
          <w:sz w:val="24"/>
        </w:rPr>
        <w:t>0t/h</w:t>
      </w:r>
    </w:p>
    <w:p w14:paraId="143C9314">
      <w:pPr>
        <w:spacing w:line="360" w:lineRule="auto"/>
        <w:ind w:firstLine="480" w:firstLineChars="200"/>
        <w:rPr>
          <w:rFonts w:hint="eastAsia" w:ascii="宋体" w:hAnsi="宋体"/>
          <w:sz w:val="24"/>
        </w:rPr>
      </w:pPr>
      <w:r>
        <w:rPr>
          <w:rFonts w:hint="eastAsia" w:ascii="宋体" w:hAnsi="宋体"/>
          <w:sz w:val="24"/>
        </w:rPr>
        <w:t>·输送带：钢绳芯阻燃输送带ST2000，安全系数13.3</w:t>
      </w:r>
    </w:p>
    <w:p w14:paraId="4545224F">
      <w:pPr>
        <w:spacing w:line="360" w:lineRule="auto"/>
        <w:ind w:firstLine="480" w:firstLineChars="200"/>
        <w:rPr>
          <w:rFonts w:hint="eastAsia" w:ascii="宋体" w:hAnsi="宋体"/>
          <w:sz w:val="24"/>
        </w:rPr>
      </w:pPr>
      <w:r>
        <w:rPr>
          <w:rFonts w:hint="eastAsia" w:ascii="宋体" w:hAnsi="宋体"/>
          <w:sz w:val="24"/>
        </w:rPr>
        <w:t>·电动机：200kW，10KV。</w:t>
      </w:r>
    </w:p>
    <w:p w14:paraId="1A16BB47">
      <w:pPr>
        <w:spacing w:line="360" w:lineRule="auto"/>
        <w:ind w:firstLine="480" w:firstLineChars="200"/>
        <w:rPr>
          <w:rFonts w:hint="eastAsia" w:ascii="宋体" w:hAnsi="宋体"/>
          <w:sz w:val="24"/>
        </w:rPr>
      </w:pPr>
      <w:r>
        <w:rPr>
          <w:rFonts w:hint="eastAsia" w:ascii="宋体" w:hAnsi="宋体"/>
          <w:sz w:val="24"/>
        </w:rPr>
        <w:t>·拉紧装置：自控液压拉紧装置SZYL</w:t>
      </w:r>
    </w:p>
    <w:p w14:paraId="1CA6A60D">
      <w:pPr>
        <w:spacing w:line="360" w:lineRule="auto"/>
        <w:ind w:firstLine="480" w:firstLineChars="200"/>
        <w:rPr>
          <w:rFonts w:hint="eastAsia" w:ascii="宋体" w:hAnsi="宋体"/>
          <w:color w:val="0000FF"/>
          <w:sz w:val="24"/>
        </w:rPr>
      </w:pPr>
      <w:r>
        <w:rPr>
          <w:rFonts w:hint="eastAsia" w:ascii="宋体" w:hAnsi="宋体"/>
          <w:color w:val="0000FF"/>
          <w:sz w:val="24"/>
        </w:rPr>
        <w:t>·电控装置：由厂家提供软起动装置一套(PLC控制的软启动方式)</w:t>
      </w:r>
    </w:p>
    <w:p w14:paraId="64BEBF04">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二、</w:t>
      </w:r>
      <w:bookmarkEnd w:id="472"/>
      <w:bookmarkEnd w:id="473"/>
      <w:bookmarkEnd w:id="474"/>
      <w:r>
        <w:rPr>
          <w:rFonts w:hint="eastAsia"/>
          <w:b/>
          <w:color w:val="000000"/>
          <w:szCs w:val="20"/>
        </w:rPr>
        <w:t>副斜井运输设备选型</w:t>
      </w:r>
    </w:p>
    <w:p w14:paraId="5CE2BD79">
      <w:pPr>
        <w:spacing w:before="100" w:line="360" w:lineRule="auto"/>
        <w:ind w:firstLine="480" w:firstLineChars="200"/>
        <w:rPr>
          <w:rFonts w:hint="eastAsia" w:ascii="宋体" w:hAnsi="宋体"/>
          <w:sz w:val="24"/>
        </w:rPr>
      </w:pPr>
      <w:r>
        <w:rPr>
          <w:rFonts w:ascii="宋体" w:hAnsi="宋体"/>
          <w:sz w:val="24"/>
        </w:rPr>
        <w:t>根据矿井</w:t>
      </w:r>
      <w:r>
        <w:rPr>
          <w:rFonts w:hint="eastAsia" w:ascii="宋体" w:hAnsi="宋体"/>
          <w:sz w:val="24"/>
        </w:rPr>
        <w:t>设计</w:t>
      </w:r>
      <w:r>
        <w:rPr>
          <w:rFonts w:ascii="宋体" w:hAnsi="宋体"/>
          <w:sz w:val="24"/>
        </w:rPr>
        <w:t>生产能力</w:t>
      </w:r>
      <w:r>
        <w:rPr>
          <w:rFonts w:hint="eastAsia" w:ascii="宋体" w:hAnsi="宋体"/>
          <w:sz w:val="24"/>
        </w:rPr>
        <w:t>（30万吨/年）及</w:t>
      </w:r>
      <w:r>
        <w:rPr>
          <w:rFonts w:ascii="宋体" w:hAnsi="宋体"/>
          <w:sz w:val="24"/>
        </w:rPr>
        <w:t>开拓方式</w:t>
      </w:r>
      <w:r>
        <w:rPr>
          <w:rFonts w:hint="eastAsia" w:ascii="宋体" w:hAnsi="宋体"/>
          <w:sz w:val="24"/>
        </w:rPr>
        <w:t>等</w:t>
      </w:r>
      <w:r>
        <w:rPr>
          <w:rFonts w:ascii="宋体" w:hAnsi="宋体"/>
          <w:sz w:val="24"/>
        </w:rPr>
        <w:t>，</w:t>
      </w:r>
      <w:r>
        <w:rPr>
          <w:rFonts w:hint="eastAsia" w:ascii="宋体" w:hAnsi="宋体"/>
          <w:sz w:val="24"/>
        </w:rPr>
        <w:t>在副斜井安装绞车提升</w:t>
      </w:r>
      <w:r>
        <w:rPr>
          <w:rFonts w:ascii="宋体" w:hAnsi="宋体"/>
          <w:sz w:val="24"/>
        </w:rPr>
        <w:t>承担</w:t>
      </w:r>
      <w:r>
        <w:rPr>
          <w:rFonts w:hint="eastAsia" w:ascii="宋体" w:hAnsi="宋体"/>
          <w:sz w:val="24"/>
        </w:rPr>
        <w:t>矸石、材料、设备、人员等辅助运输</w:t>
      </w:r>
      <w:r>
        <w:rPr>
          <w:rFonts w:ascii="宋体" w:hAnsi="宋体"/>
          <w:sz w:val="24"/>
        </w:rPr>
        <w:t>任务</w:t>
      </w:r>
      <w:r>
        <w:rPr>
          <w:rFonts w:hint="eastAsia" w:ascii="宋体" w:hAnsi="宋体"/>
          <w:sz w:val="24"/>
        </w:rPr>
        <w:t>。</w:t>
      </w:r>
    </w:p>
    <w:p w14:paraId="038B08E8">
      <w:pPr>
        <w:autoSpaceDE w:val="0"/>
        <w:autoSpaceDN w:val="0"/>
        <w:adjustRightInd w:val="0"/>
        <w:spacing w:line="360" w:lineRule="auto"/>
        <w:ind w:firstLine="480" w:firstLineChars="200"/>
        <w:jc w:val="left"/>
        <w:rPr>
          <w:rFonts w:hint="eastAsia" w:ascii="宋体" w:hAnsi="宋体"/>
          <w:kern w:val="0"/>
          <w:sz w:val="24"/>
        </w:rPr>
      </w:pPr>
      <w:r>
        <w:rPr>
          <w:rFonts w:hint="eastAsia" w:ascii="宋体" w:hAnsi="宋体"/>
          <w:kern w:val="0"/>
          <w:sz w:val="24"/>
        </w:rPr>
        <w:t>1、设计依据</w:t>
      </w:r>
    </w:p>
    <w:p w14:paraId="31597B43">
      <w:pPr>
        <w:spacing w:line="360" w:lineRule="auto"/>
        <w:ind w:firstLine="480" w:firstLineChars="200"/>
        <w:rPr>
          <w:rFonts w:ascii="宋体" w:hAnsi="宋体"/>
          <w:sz w:val="24"/>
        </w:rPr>
      </w:pPr>
      <w:r>
        <w:rPr>
          <w:rFonts w:hint="eastAsia" w:ascii="宋体" w:hAnsi="宋体"/>
          <w:sz w:val="24"/>
        </w:rPr>
        <w:t>⑴ 副斜井</w:t>
      </w:r>
      <w:r>
        <w:rPr>
          <w:rFonts w:ascii="宋体" w:hAnsi="宋体"/>
          <w:sz w:val="24"/>
        </w:rPr>
        <w:t>倾角</w:t>
      </w:r>
      <w:r>
        <w:rPr>
          <w:rFonts w:hint="eastAsia" w:ascii="宋体" w:hAnsi="宋体"/>
          <w:sz w:val="24"/>
        </w:rPr>
        <w:t>25°</w:t>
      </w:r>
      <w:r>
        <w:rPr>
          <w:rFonts w:ascii="宋体" w:hAnsi="宋体"/>
          <w:sz w:val="24"/>
        </w:rPr>
        <w:t>，斜长</w:t>
      </w:r>
      <w:r>
        <w:rPr>
          <w:rFonts w:hint="eastAsia" w:ascii="宋体" w:hAnsi="宋体"/>
          <w:sz w:val="24"/>
        </w:rPr>
        <w:t>327</w:t>
      </w:r>
      <w:r>
        <w:rPr>
          <w:rFonts w:ascii="宋体" w:hAnsi="宋体"/>
          <w:sz w:val="24"/>
        </w:rPr>
        <w:t>m；</w:t>
      </w:r>
    </w:p>
    <w:p w14:paraId="6AA21ED7">
      <w:pPr>
        <w:spacing w:line="360" w:lineRule="auto"/>
        <w:ind w:firstLine="480" w:firstLineChars="200"/>
        <w:rPr>
          <w:rFonts w:ascii="宋体" w:hAnsi="宋体"/>
          <w:sz w:val="24"/>
        </w:rPr>
      </w:pPr>
      <w:r>
        <w:rPr>
          <w:rFonts w:hint="eastAsia" w:ascii="宋体" w:hAnsi="宋体"/>
          <w:sz w:val="24"/>
        </w:rPr>
        <w:t xml:space="preserve">⑵ </w:t>
      </w:r>
      <w:r>
        <w:rPr>
          <w:rFonts w:ascii="宋体" w:hAnsi="宋体"/>
          <w:sz w:val="24"/>
        </w:rPr>
        <w:t>车场形式：上、下部为平车场；</w:t>
      </w:r>
    </w:p>
    <w:p w14:paraId="43E5EB0F">
      <w:pPr>
        <w:spacing w:line="360" w:lineRule="auto"/>
        <w:ind w:firstLine="480" w:firstLineChars="200"/>
        <w:rPr>
          <w:rFonts w:hint="eastAsia" w:ascii="宋体" w:hAnsi="宋体"/>
          <w:sz w:val="24"/>
        </w:rPr>
      </w:pPr>
      <w:r>
        <w:rPr>
          <w:rFonts w:hint="eastAsia" w:ascii="宋体" w:hAnsi="宋体"/>
          <w:sz w:val="24"/>
        </w:rPr>
        <w:t>⑶ 工作制度：每年工作330天，每天提升16小时；</w:t>
      </w:r>
    </w:p>
    <w:p w14:paraId="335572CA">
      <w:pPr>
        <w:spacing w:line="360" w:lineRule="auto"/>
        <w:ind w:firstLine="480" w:firstLineChars="200"/>
        <w:rPr>
          <w:rFonts w:hint="eastAsia" w:ascii="宋体" w:hAnsi="宋体"/>
          <w:sz w:val="24"/>
        </w:rPr>
      </w:pPr>
      <w:r>
        <w:rPr>
          <w:rFonts w:hint="eastAsia" w:ascii="宋体" w:hAnsi="宋体"/>
          <w:sz w:val="24"/>
        </w:rPr>
        <w:t>⑷ 提升量：①矸石量30.3t/班(矸石量按原煤产量的10%计算)；②设备3次/班、材料4次/班；③炸药、雷管各1次/班；④其它5次/班。</w:t>
      </w:r>
    </w:p>
    <w:p w14:paraId="67B406DC">
      <w:pPr>
        <w:spacing w:line="360" w:lineRule="auto"/>
        <w:ind w:firstLine="480" w:firstLineChars="200"/>
        <w:rPr>
          <w:rFonts w:hint="eastAsia" w:ascii="宋体" w:hAnsi="宋体"/>
          <w:sz w:val="24"/>
        </w:rPr>
      </w:pPr>
      <w:r>
        <w:rPr>
          <w:rFonts w:hint="eastAsia" w:ascii="宋体" w:hAnsi="宋体"/>
          <w:sz w:val="24"/>
        </w:rPr>
        <w:t>⑸ 提升容器：</w:t>
      </w:r>
      <w:r>
        <w:rPr>
          <w:rFonts w:ascii="宋体" w:hAnsi="宋体"/>
          <w:sz w:val="24"/>
        </w:rPr>
        <w:t>翻斗式矿车</w:t>
      </w:r>
      <w:r>
        <w:rPr>
          <w:rFonts w:hint="eastAsia" w:ascii="宋体" w:hAnsi="宋体"/>
          <w:sz w:val="24"/>
        </w:rPr>
        <w:t>MF1.1－6A（容积1.1m</w:t>
      </w:r>
      <w:r>
        <w:rPr>
          <w:rFonts w:hint="eastAsia" w:ascii="宋体" w:hAnsi="宋体"/>
          <w:sz w:val="24"/>
          <w:vertAlign w:val="superscript"/>
        </w:rPr>
        <w:t>3</w:t>
      </w:r>
      <w:r>
        <w:rPr>
          <w:rFonts w:hint="eastAsia" w:ascii="宋体" w:hAnsi="宋体"/>
          <w:sz w:val="24"/>
        </w:rPr>
        <w:t>，自重600kg，最大载货重量</w:t>
      </w:r>
      <w:r>
        <w:rPr>
          <w:rFonts w:hint="eastAsia" w:ascii="宋体" w:hAnsi="宋体" w:cs="宋体"/>
          <w:sz w:val="24"/>
        </w:rPr>
        <w:t>m</w:t>
      </w:r>
      <w:r>
        <w:rPr>
          <w:rFonts w:hint="eastAsia" w:ascii="宋体" w:hAnsi="宋体" w:cs="宋体"/>
          <w:sz w:val="24"/>
          <w:vertAlign w:val="subscript"/>
        </w:rPr>
        <w:t>矸</w:t>
      </w:r>
      <w:r>
        <w:rPr>
          <w:rFonts w:hint="eastAsia" w:ascii="宋体" w:hAnsi="宋体" w:cs="宋体"/>
          <w:sz w:val="24"/>
        </w:rPr>
        <w:t>＝ψρV＝(0.9×1.6×1.1)＝1.584t</w:t>
      </w:r>
      <w:r>
        <w:rPr>
          <w:rFonts w:hint="eastAsia" w:ascii="宋体" w:hAnsi="宋体"/>
          <w:sz w:val="24"/>
        </w:rPr>
        <w:t>），</w:t>
      </w:r>
      <w:r>
        <w:rPr>
          <w:rFonts w:ascii="宋体" w:hAnsi="宋体" w:cs="宋体"/>
          <w:sz w:val="24"/>
        </w:rPr>
        <w:t>人车XRB</w:t>
      </w:r>
      <w:r>
        <w:rPr>
          <w:rFonts w:hint="eastAsia" w:ascii="宋体" w:hAnsi="宋体" w:cs="宋体"/>
          <w:sz w:val="24"/>
        </w:rPr>
        <w:t>10</w:t>
      </w:r>
      <w:r>
        <w:rPr>
          <w:rFonts w:ascii="宋体" w:hAnsi="宋体" w:cs="宋体"/>
          <w:sz w:val="24"/>
        </w:rPr>
        <w:t>-6/</w:t>
      </w:r>
      <w:r>
        <w:rPr>
          <w:rFonts w:hint="eastAsia" w:ascii="宋体" w:hAnsi="宋体" w:cs="宋体"/>
          <w:sz w:val="24"/>
        </w:rPr>
        <w:t>6(一头车,一尾车组成列车组,一次提20人，加跟车1人21人，头车重1750kg,尾车重1750kg)；</w:t>
      </w:r>
      <w:r>
        <w:rPr>
          <w:rFonts w:ascii="宋体" w:hAnsi="宋体"/>
          <w:sz w:val="24"/>
        </w:rPr>
        <w:t>MP</w:t>
      </w:r>
      <w:r>
        <w:rPr>
          <w:rFonts w:hint="eastAsia" w:ascii="宋体" w:hAnsi="宋体"/>
          <w:sz w:val="24"/>
        </w:rPr>
        <w:t>13.5－</w:t>
      </w:r>
      <w:r>
        <w:rPr>
          <w:rFonts w:ascii="宋体" w:hAnsi="宋体"/>
          <w:sz w:val="24"/>
        </w:rPr>
        <w:t>6</w:t>
      </w:r>
      <w:r>
        <w:rPr>
          <w:rFonts w:hint="eastAsia" w:ascii="宋体" w:hAnsi="宋体"/>
          <w:sz w:val="24"/>
        </w:rPr>
        <w:t>型平板车（自重1050Kg，最大载重量10t)；</w:t>
      </w:r>
      <w:r>
        <w:rPr>
          <w:rFonts w:hint="eastAsia" w:ascii="宋体" w:hAnsi="宋体" w:cs="宋体"/>
          <w:sz w:val="24"/>
        </w:rPr>
        <w:t>MC1-6A型材料车，自重494kg,名义载重量</w:t>
      </w:r>
      <w:r>
        <w:rPr>
          <w:rFonts w:hint="eastAsia" w:ascii="宋体" w:hAnsi="宋体"/>
          <w:sz w:val="24"/>
        </w:rPr>
        <w:t>1t,最大载重量2t。最重大件5吨。</w:t>
      </w:r>
    </w:p>
    <w:p w14:paraId="074A236E">
      <w:pPr>
        <w:spacing w:line="360" w:lineRule="auto"/>
        <w:ind w:firstLine="480" w:firstLineChars="200"/>
        <w:rPr>
          <w:rFonts w:hint="eastAsia" w:ascii="宋体" w:hAnsi="宋体"/>
          <w:sz w:val="24"/>
        </w:rPr>
      </w:pPr>
      <w:r>
        <w:rPr>
          <w:rFonts w:hint="eastAsia" w:ascii="宋体" w:hAnsi="宋体"/>
          <w:sz w:val="24"/>
        </w:rPr>
        <w:t>(6)副斜井铺设30kg/m的轨道，采用水泥轨枕。</w:t>
      </w:r>
    </w:p>
    <w:p w14:paraId="3E956BA0">
      <w:pPr>
        <w:spacing w:before="120" w:beforeLines="50" w:after="120" w:afterLines="50" w:line="360" w:lineRule="auto"/>
        <w:ind w:firstLine="480" w:firstLineChars="200"/>
        <w:rPr>
          <w:rFonts w:hint="eastAsia" w:ascii="宋体" w:hAnsi="宋体"/>
          <w:sz w:val="24"/>
        </w:rPr>
      </w:pPr>
      <w:r>
        <w:rPr>
          <w:rFonts w:hint="eastAsia" w:ascii="宋体" w:hAnsi="宋体"/>
          <w:sz w:val="24"/>
        </w:rPr>
        <w:t>2、提升</w:t>
      </w:r>
      <w:r>
        <w:rPr>
          <w:rFonts w:ascii="宋体" w:hAnsi="宋体"/>
          <w:sz w:val="24"/>
        </w:rPr>
        <w:t>设备选型</w:t>
      </w:r>
      <w:r>
        <w:rPr>
          <w:rFonts w:hint="eastAsia" w:ascii="宋体" w:hAnsi="宋体"/>
          <w:sz w:val="24"/>
        </w:rPr>
        <w:t>计算</w:t>
      </w:r>
    </w:p>
    <w:p w14:paraId="4188AF3C">
      <w:pPr>
        <w:autoSpaceDE w:val="0"/>
        <w:autoSpaceDN w:val="0"/>
        <w:spacing w:before="50" w:after="50" w:line="360" w:lineRule="auto"/>
        <w:ind w:firstLine="480" w:firstLineChars="200"/>
        <w:rPr>
          <w:rFonts w:hint="eastAsia" w:ascii="宋体" w:hAnsi="宋体"/>
          <w:sz w:val="24"/>
        </w:rPr>
      </w:pPr>
      <w:r>
        <w:rPr>
          <w:rFonts w:hint="eastAsia" w:ascii="宋体" w:hAnsi="宋体"/>
          <w:sz w:val="24"/>
        </w:rPr>
        <w:t>⑴ 提升斜长(m)</w:t>
      </w:r>
    </w:p>
    <w:p w14:paraId="306A5384">
      <w:pPr>
        <w:autoSpaceDE w:val="0"/>
        <w:autoSpaceDN w:val="0"/>
        <w:spacing w:line="360" w:lineRule="auto"/>
        <w:ind w:firstLine="480" w:firstLineChars="200"/>
        <w:jc w:val="left"/>
        <w:rPr>
          <w:rFonts w:ascii="宋体" w:hAnsi="宋体"/>
          <w:sz w:val="24"/>
        </w:rPr>
      </w:pPr>
      <w:r>
        <w:rPr>
          <w:rFonts w:hint="eastAsia" w:ascii="宋体" w:hAnsi="宋体"/>
          <w:sz w:val="24"/>
        </w:rPr>
        <w:t>L＝L</w:t>
      </w:r>
      <w:r>
        <w:rPr>
          <w:rFonts w:ascii="宋体" w:hAnsi="宋体"/>
          <w:sz w:val="24"/>
          <w:vertAlign w:val="subscript"/>
        </w:rPr>
        <w:t>X</w:t>
      </w:r>
      <w:r>
        <w:rPr>
          <w:rFonts w:hint="eastAsia" w:ascii="宋体" w:hAnsi="宋体"/>
          <w:sz w:val="24"/>
        </w:rPr>
        <w:t>＋L</w:t>
      </w:r>
      <w:r>
        <w:rPr>
          <w:rFonts w:hint="eastAsia" w:ascii="宋体" w:hAnsi="宋体"/>
          <w:sz w:val="24"/>
          <w:vertAlign w:val="subscript"/>
        </w:rPr>
        <w:t>D</w:t>
      </w:r>
      <w:r>
        <w:rPr>
          <w:rFonts w:hint="eastAsia" w:ascii="宋体" w:hAnsi="宋体"/>
          <w:sz w:val="24"/>
        </w:rPr>
        <w:t>＋L</w:t>
      </w:r>
      <w:r>
        <w:rPr>
          <w:rFonts w:hint="eastAsia" w:ascii="宋体" w:hAnsi="宋体"/>
          <w:sz w:val="24"/>
          <w:vertAlign w:val="subscript"/>
        </w:rPr>
        <w:t>S</w:t>
      </w:r>
      <w:r>
        <w:rPr>
          <w:rFonts w:hint="eastAsia" w:ascii="宋体" w:hAnsi="宋体"/>
          <w:sz w:val="24"/>
        </w:rPr>
        <w:t>＝327＋50＝377(m)</w:t>
      </w:r>
    </w:p>
    <w:p w14:paraId="05E91C07">
      <w:pPr>
        <w:autoSpaceDE w:val="0"/>
        <w:autoSpaceDN w:val="0"/>
        <w:spacing w:line="360" w:lineRule="auto"/>
        <w:ind w:firstLine="480" w:firstLineChars="200"/>
        <w:jc w:val="left"/>
        <w:rPr>
          <w:rFonts w:ascii="宋体" w:hAnsi="宋体"/>
          <w:sz w:val="24"/>
        </w:rPr>
      </w:pPr>
      <w:r>
        <w:rPr>
          <w:rFonts w:hint="eastAsia" w:ascii="宋体" w:hAnsi="宋体"/>
          <w:sz w:val="24"/>
        </w:rPr>
        <w:t>式中：L</w:t>
      </w:r>
      <w:r>
        <w:rPr>
          <w:rFonts w:ascii="宋体" w:hAnsi="宋体"/>
          <w:sz w:val="24"/>
          <w:vertAlign w:val="subscript"/>
        </w:rPr>
        <w:t>X</w:t>
      </w:r>
      <w:r>
        <w:rPr>
          <w:rFonts w:hint="eastAsia" w:ascii="宋体" w:hAnsi="宋体"/>
          <w:sz w:val="24"/>
        </w:rPr>
        <w:t>——斜井长度(m)；</w:t>
      </w:r>
    </w:p>
    <w:p w14:paraId="35D432DC">
      <w:pPr>
        <w:autoSpaceDE w:val="0"/>
        <w:autoSpaceDN w:val="0"/>
        <w:spacing w:line="360" w:lineRule="auto"/>
        <w:ind w:firstLine="1200" w:firstLineChars="500"/>
        <w:jc w:val="left"/>
        <w:rPr>
          <w:rFonts w:hint="eastAsia" w:ascii="宋体" w:hAnsi="宋体"/>
          <w:sz w:val="24"/>
        </w:rPr>
      </w:pPr>
      <w:r>
        <w:rPr>
          <w:rFonts w:ascii="宋体" w:hAnsi="宋体"/>
          <w:sz w:val="24"/>
        </w:rPr>
        <w:t>L</w:t>
      </w:r>
      <w:r>
        <w:rPr>
          <w:rFonts w:hint="eastAsia" w:ascii="宋体" w:hAnsi="宋体"/>
          <w:sz w:val="24"/>
          <w:vertAlign w:val="subscript"/>
        </w:rPr>
        <w:t>D</w:t>
      </w:r>
      <w:r>
        <w:rPr>
          <w:rFonts w:hint="eastAsia" w:ascii="宋体" w:hAnsi="宋体"/>
          <w:sz w:val="24"/>
        </w:rPr>
        <w:t>——井底车场长度，取25m。</w:t>
      </w:r>
    </w:p>
    <w:p w14:paraId="034D0567">
      <w:pPr>
        <w:autoSpaceDE w:val="0"/>
        <w:autoSpaceDN w:val="0"/>
        <w:spacing w:line="360" w:lineRule="auto"/>
        <w:ind w:firstLine="1200" w:firstLineChars="500"/>
        <w:jc w:val="left"/>
        <w:rPr>
          <w:rFonts w:hint="eastAsia" w:ascii="宋体" w:hAnsi="宋体"/>
          <w:sz w:val="24"/>
        </w:rPr>
      </w:pPr>
      <w:r>
        <w:rPr>
          <w:rFonts w:ascii="宋体" w:hAnsi="宋体"/>
          <w:sz w:val="24"/>
        </w:rPr>
        <w:t>L</w:t>
      </w:r>
      <w:r>
        <w:rPr>
          <w:rFonts w:hint="eastAsia" w:ascii="宋体" w:hAnsi="宋体"/>
          <w:sz w:val="24"/>
          <w:vertAlign w:val="subscript"/>
        </w:rPr>
        <w:t>S</w:t>
      </w:r>
      <w:r>
        <w:rPr>
          <w:rFonts w:hint="eastAsia" w:ascii="宋体" w:hAnsi="宋体"/>
          <w:sz w:val="24"/>
        </w:rPr>
        <w:t>——井口车场长度，取25m。</w:t>
      </w:r>
    </w:p>
    <w:p w14:paraId="2CCBAECD">
      <w:pPr>
        <w:autoSpaceDE w:val="0"/>
        <w:autoSpaceDN w:val="0"/>
        <w:spacing w:before="50" w:after="50" w:line="360" w:lineRule="auto"/>
        <w:ind w:firstLine="480" w:firstLineChars="200"/>
        <w:rPr>
          <w:rFonts w:hint="eastAsia" w:ascii="宋体" w:hAnsi="宋体"/>
          <w:sz w:val="24"/>
        </w:rPr>
      </w:pPr>
      <w:r>
        <w:rPr>
          <w:rFonts w:hint="eastAsia" w:ascii="宋体" w:hAnsi="宋体"/>
          <w:sz w:val="24"/>
        </w:rPr>
        <w:t>⑵ 一次提升循环时间（s</w:t>
      </w:r>
      <w:r>
        <w:rPr>
          <w:rFonts w:ascii="宋体" w:hAnsi="宋体"/>
          <w:sz w:val="24"/>
        </w:rPr>
        <w:t>）</w:t>
      </w:r>
    </w:p>
    <w:p w14:paraId="2B339CBA">
      <w:pPr>
        <w:autoSpaceDE w:val="0"/>
        <w:autoSpaceDN w:val="0"/>
        <w:spacing w:line="360" w:lineRule="auto"/>
        <w:ind w:firstLine="480" w:firstLineChars="200"/>
        <w:rPr>
          <w:rFonts w:hint="eastAsia" w:ascii="宋体" w:hAnsi="宋体"/>
          <w:sz w:val="24"/>
        </w:rPr>
      </w:pPr>
      <w:r>
        <w:rPr>
          <w:rFonts w:hint="eastAsia" w:ascii="宋体" w:hAnsi="宋体"/>
          <w:sz w:val="24"/>
        </w:rPr>
        <w:t>初选提升速度，速度取2m/s,作提升速度图得如下图:</w:t>
      </w:r>
    </w:p>
    <w:p w14:paraId="1059EC50">
      <w:pPr>
        <w:autoSpaceDE w:val="0"/>
        <w:autoSpaceDN w:val="0"/>
        <w:spacing w:line="360" w:lineRule="auto"/>
        <w:ind w:firstLine="480" w:firstLineChars="200"/>
        <w:rPr>
          <w:rFonts w:hint="eastAsia" w:ascii="宋体" w:hAnsi="宋体"/>
          <w:sz w:val="24"/>
        </w:rPr>
      </w:pPr>
      <w:r>
        <w:rPr>
          <w:rFonts w:hint="eastAsia" w:ascii="宋体" w:hAnsi="宋体"/>
          <w:sz w:val="24"/>
        </w:rPr>
        <w:drawing>
          <wp:inline distT="0" distB="0" distL="114300" distR="114300">
            <wp:extent cx="5753735" cy="3084195"/>
            <wp:effectExtent l="0" t="0" r="18415" b="1905"/>
            <wp:docPr id="45"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0"/>
                    <pic:cNvPicPr>
                      <a:picLocks noChangeAspect="1"/>
                    </pic:cNvPicPr>
                  </pic:nvPicPr>
                  <pic:blipFill>
                    <a:blip r:embed="rId174"/>
                    <a:stretch>
                      <a:fillRect/>
                    </a:stretch>
                  </pic:blipFill>
                  <pic:spPr>
                    <a:xfrm>
                      <a:off x="0" y="0"/>
                      <a:ext cx="5753735" cy="3084195"/>
                    </a:xfrm>
                    <a:prstGeom prst="rect">
                      <a:avLst/>
                    </a:prstGeom>
                    <a:noFill/>
                    <a:ln>
                      <a:noFill/>
                    </a:ln>
                  </pic:spPr>
                </pic:pic>
              </a:graphicData>
            </a:graphic>
          </wp:inline>
        </w:drawing>
      </w:r>
    </w:p>
    <w:p w14:paraId="362198ED">
      <w:pPr>
        <w:autoSpaceDE w:val="0"/>
        <w:autoSpaceDN w:val="0"/>
        <w:spacing w:before="50" w:after="50" w:line="360" w:lineRule="auto"/>
        <w:ind w:firstLine="480" w:firstLineChars="200"/>
        <w:rPr>
          <w:rFonts w:hint="eastAsia" w:ascii="宋体" w:hAnsi="宋体"/>
          <w:sz w:val="24"/>
        </w:rPr>
      </w:pPr>
      <w:r>
        <w:rPr>
          <w:rFonts w:hint="eastAsia" w:ascii="宋体" w:hAnsi="宋体"/>
          <w:sz w:val="24"/>
        </w:rPr>
        <w:t>由图得：一次提升循环时间：T＝486（s）；</w:t>
      </w:r>
    </w:p>
    <w:p w14:paraId="4F0B4B67">
      <w:pPr>
        <w:autoSpaceDE w:val="0"/>
        <w:autoSpaceDN w:val="0"/>
        <w:spacing w:before="50" w:after="50" w:line="360" w:lineRule="auto"/>
        <w:ind w:firstLine="480" w:firstLineChars="200"/>
        <w:rPr>
          <w:rFonts w:hint="eastAsia" w:ascii="宋体" w:hAnsi="宋体"/>
          <w:sz w:val="24"/>
        </w:rPr>
      </w:pPr>
      <w:r>
        <w:rPr>
          <w:rFonts w:hint="eastAsia" w:ascii="宋体" w:hAnsi="宋体"/>
          <w:sz w:val="24"/>
        </w:rPr>
        <w:t>运输炸药和雷管时速度不超过1m/s,</w:t>
      </w:r>
    </w:p>
    <w:p w14:paraId="5D7AACF1">
      <w:pPr>
        <w:autoSpaceDE w:val="0"/>
        <w:autoSpaceDN w:val="0"/>
        <w:spacing w:line="360" w:lineRule="auto"/>
        <w:ind w:firstLine="480" w:firstLineChars="200"/>
        <w:rPr>
          <w:rFonts w:hint="eastAsia" w:ascii="宋体" w:hAnsi="宋体"/>
          <w:sz w:val="24"/>
        </w:rPr>
      </w:pPr>
      <w:r>
        <w:rPr>
          <w:rFonts w:hint="eastAsia" w:ascii="宋体" w:hAnsi="宋体"/>
          <w:sz w:val="24"/>
        </w:rPr>
        <w:t>T</w:t>
      </w:r>
      <w:r>
        <w:rPr>
          <w:rFonts w:hint="eastAsia" w:ascii="宋体" w:hAnsi="宋体"/>
          <w:sz w:val="24"/>
          <w:vertAlign w:val="subscript"/>
        </w:rPr>
        <w:t>雷</w:t>
      </w:r>
      <w:r>
        <w:rPr>
          <w:rFonts w:hint="eastAsia" w:ascii="宋体" w:hAnsi="宋体"/>
          <w:sz w:val="24"/>
        </w:rPr>
        <w:t>＝T</w:t>
      </w:r>
      <w:r>
        <w:rPr>
          <w:rFonts w:hint="eastAsia" w:ascii="宋体" w:hAnsi="宋体"/>
          <w:sz w:val="24"/>
          <w:vertAlign w:val="subscript"/>
        </w:rPr>
        <w:t>炸</w:t>
      </w:r>
      <w:r>
        <w:rPr>
          <w:rFonts w:hint="eastAsia" w:ascii="宋体" w:hAnsi="宋体"/>
          <w:sz w:val="24"/>
        </w:rPr>
        <w:t>= =434(s)</w:t>
      </w:r>
    </w:p>
    <w:p w14:paraId="1895DCE8">
      <w:pPr>
        <w:spacing w:line="360" w:lineRule="auto"/>
        <w:ind w:firstLine="480" w:firstLineChars="200"/>
        <w:rPr>
          <w:rFonts w:hint="eastAsia" w:ascii="宋体" w:hAnsi="宋体"/>
          <w:sz w:val="24"/>
        </w:rPr>
      </w:pPr>
      <w:r>
        <w:rPr>
          <w:rFonts w:hint="eastAsia" w:ascii="宋体" w:hAnsi="宋体"/>
          <w:sz w:val="24"/>
        </w:rPr>
        <w:t>⑶ 最大班提升时间平衡表详</w:t>
      </w:r>
      <w:r>
        <w:rPr>
          <w:rFonts w:hint="eastAsia" w:ascii="宋体" w:hAnsi="宋体"/>
          <w:b/>
          <w:sz w:val="24"/>
        </w:rPr>
        <w:t>表5－1－2</w:t>
      </w:r>
    </w:p>
    <w:p w14:paraId="15994DF8">
      <w:pPr>
        <w:spacing w:line="360" w:lineRule="auto"/>
        <w:jc w:val="center"/>
        <w:rPr>
          <w:rFonts w:hint="eastAsia" w:ascii="宋体" w:hAnsi="宋体"/>
          <w:b/>
          <w:bCs/>
          <w:sz w:val="24"/>
        </w:rPr>
      </w:pPr>
      <w:r>
        <w:rPr>
          <w:rFonts w:hint="eastAsia" w:ascii="宋体" w:hAnsi="宋体"/>
          <w:b/>
          <w:sz w:val="24"/>
        </w:rPr>
        <w:t>表5－1－2</w:t>
      </w:r>
      <w:r>
        <w:rPr>
          <w:rFonts w:ascii="宋体" w:hAnsi="宋体"/>
          <w:b/>
          <w:sz w:val="24"/>
        </w:rPr>
        <w:t xml:space="preserve">     </w:t>
      </w:r>
      <w:r>
        <w:rPr>
          <w:rFonts w:hint="eastAsia" w:ascii="宋体" w:hAnsi="宋体"/>
          <w:b/>
          <w:bCs/>
          <w:sz w:val="24"/>
        </w:rPr>
        <w:t>最大班提升时间平衡表</w:t>
      </w:r>
    </w:p>
    <w:p w14:paraId="6AA863F4">
      <w:pPr>
        <w:spacing w:line="440" w:lineRule="atLeast"/>
        <w:jc w:val="center"/>
        <w:rPr>
          <w:rFonts w:hint="eastAsia" w:ascii="宋体" w:hAnsi="宋体"/>
          <w:b/>
          <w:bCs/>
          <w:sz w:val="24"/>
        </w:rPr>
      </w:pPr>
      <w:bookmarkStart w:id="475" w:name="_1267363324"/>
      <w:bookmarkEnd w:id="475"/>
      <w:bookmarkStart w:id="476" w:name="_1267363345"/>
      <w:bookmarkEnd w:id="476"/>
      <w:bookmarkStart w:id="477" w:name="_1267362750"/>
      <w:bookmarkEnd w:id="477"/>
      <w:bookmarkStart w:id="478" w:name="_1267362774"/>
      <w:bookmarkEnd w:id="478"/>
      <w:bookmarkStart w:id="479" w:name="_1267363055"/>
      <w:bookmarkEnd w:id="479"/>
      <w:bookmarkStart w:id="480" w:name="_1267362875"/>
      <w:bookmarkEnd w:id="480"/>
      <w:bookmarkStart w:id="481" w:name="_1267363096"/>
      <w:bookmarkEnd w:id="481"/>
      <w:bookmarkStart w:id="482" w:name="_1267363232"/>
      <w:bookmarkEnd w:id="482"/>
      <w:bookmarkStart w:id="483" w:name="_1267363289"/>
      <w:bookmarkEnd w:id="483"/>
      <w:bookmarkStart w:id="484" w:name="_1267363819"/>
      <w:bookmarkEnd w:id="484"/>
      <w:bookmarkStart w:id="485" w:name="_1267363831"/>
      <w:bookmarkEnd w:id="485"/>
      <w:bookmarkStart w:id="486" w:name="_1267363841"/>
      <w:bookmarkEnd w:id="486"/>
      <w:bookmarkStart w:id="487" w:name="_1267363377"/>
      <w:bookmarkEnd w:id="487"/>
      <w:bookmarkStart w:id="488" w:name="_1267363852"/>
      <w:bookmarkEnd w:id="488"/>
      <w:bookmarkStart w:id="489" w:name="_1267363871"/>
      <w:bookmarkEnd w:id="489"/>
      <w:bookmarkStart w:id="490" w:name="_1267364006"/>
      <w:bookmarkEnd w:id="490"/>
      <w:bookmarkStart w:id="491" w:name="_1267364013"/>
      <w:bookmarkEnd w:id="491"/>
      <w:bookmarkStart w:id="492" w:name="_1267364109"/>
      <w:bookmarkEnd w:id="492"/>
      <w:bookmarkStart w:id="493" w:name="_1267364186"/>
      <w:bookmarkEnd w:id="493"/>
      <w:bookmarkStart w:id="494" w:name="_1267363927"/>
      <w:bookmarkEnd w:id="494"/>
      <w:bookmarkStart w:id="495" w:name="_1267363989"/>
      <w:bookmarkEnd w:id="495"/>
      <w:bookmarkStart w:id="496" w:name="_1267364033"/>
      <w:bookmarkEnd w:id="496"/>
      <w:bookmarkStart w:id="497" w:name="_1267363969"/>
      <w:bookmarkEnd w:id="497"/>
      <w:bookmarkStart w:id="498" w:name="_1267364063"/>
      <w:bookmarkEnd w:id="498"/>
      <w:bookmarkStart w:id="499" w:name="_1267364217"/>
      <w:bookmarkEnd w:id="499"/>
      <w:bookmarkStart w:id="500" w:name="_1267364285"/>
      <w:bookmarkEnd w:id="500"/>
      <w:bookmarkStart w:id="501" w:name="_1267363903"/>
      <w:bookmarkEnd w:id="501"/>
      <w:bookmarkStart w:id="502" w:name="_1267364273"/>
      <w:bookmarkEnd w:id="502"/>
      <w:bookmarkStart w:id="503" w:name="_1267363942"/>
      <w:bookmarkEnd w:id="503"/>
      <w:bookmarkStart w:id="504" w:name="_1267364114"/>
      <w:bookmarkEnd w:id="504"/>
      <w:bookmarkStart w:id="505" w:name="_1267364309"/>
      <w:bookmarkEnd w:id="505"/>
      <w:bookmarkStart w:id="506" w:name="_1267364551"/>
      <w:bookmarkEnd w:id="506"/>
      <w:bookmarkStart w:id="507" w:name="_1267364427"/>
      <w:bookmarkEnd w:id="507"/>
      <w:bookmarkStart w:id="508" w:name="_1267364581"/>
      <w:bookmarkEnd w:id="508"/>
      <w:bookmarkStart w:id="509" w:name="_1267365352"/>
      <w:bookmarkEnd w:id="509"/>
      <w:bookmarkStart w:id="510" w:name="_1267364597"/>
      <w:bookmarkEnd w:id="510"/>
      <w:bookmarkStart w:id="511" w:name="_1267364314"/>
      <w:bookmarkEnd w:id="511"/>
      <w:bookmarkStart w:id="512" w:name="_1267365364"/>
      <w:bookmarkEnd w:id="512"/>
      <w:bookmarkStart w:id="513" w:name="_1267364333"/>
      <w:bookmarkEnd w:id="513"/>
      <w:bookmarkStart w:id="514" w:name="_1267364347"/>
      <w:bookmarkEnd w:id="514"/>
      <w:bookmarkStart w:id="515" w:name="_1267364317"/>
      <w:bookmarkEnd w:id="515"/>
      <w:bookmarkStart w:id="516" w:name="_1267364594"/>
      <w:bookmarkEnd w:id="516"/>
      <w:bookmarkStart w:id="517" w:name="_1267364567"/>
      <w:bookmarkEnd w:id="517"/>
      <w:bookmarkStart w:id="518" w:name="_1267364605"/>
      <w:bookmarkEnd w:id="518"/>
      <w:bookmarkStart w:id="519" w:name="_1267365193"/>
      <w:bookmarkEnd w:id="519"/>
      <w:bookmarkStart w:id="520" w:name="_1267364537"/>
      <w:bookmarkEnd w:id="520"/>
      <w:bookmarkStart w:id="521" w:name="_1267364570"/>
      <w:bookmarkEnd w:id="521"/>
      <w:bookmarkStart w:id="522" w:name="_1270003969"/>
      <w:bookmarkEnd w:id="522"/>
      <w:bookmarkStart w:id="523" w:name="_1267365544"/>
      <w:bookmarkEnd w:id="523"/>
      <w:bookmarkStart w:id="524" w:name="_1267365495"/>
      <w:bookmarkEnd w:id="524"/>
      <w:bookmarkStart w:id="525" w:name="_1270003901"/>
      <w:bookmarkEnd w:id="525"/>
      <w:bookmarkStart w:id="526" w:name="_1267365436"/>
      <w:bookmarkEnd w:id="526"/>
      <w:bookmarkStart w:id="527" w:name="_1267365561"/>
      <w:bookmarkEnd w:id="527"/>
      <w:bookmarkStart w:id="528" w:name="_1267382868"/>
      <w:bookmarkEnd w:id="528"/>
      <w:bookmarkStart w:id="529" w:name="_1267365525"/>
      <w:bookmarkEnd w:id="529"/>
      <w:bookmarkStart w:id="530" w:name="_1267365552"/>
      <w:bookmarkEnd w:id="530"/>
      <w:bookmarkStart w:id="531" w:name="_1267365572"/>
      <w:bookmarkEnd w:id="531"/>
      <w:bookmarkStart w:id="532" w:name="_1267957891"/>
      <w:bookmarkEnd w:id="532"/>
      <w:bookmarkStart w:id="533" w:name="_1270003922"/>
      <w:bookmarkEnd w:id="533"/>
      <w:bookmarkStart w:id="534" w:name="_1270562534"/>
      <w:bookmarkEnd w:id="534"/>
      <w:bookmarkStart w:id="535" w:name="_1267958028"/>
      <w:bookmarkEnd w:id="535"/>
      <w:bookmarkStart w:id="536" w:name="_1267382881"/>
      <w:bookmarkEnd w:id="536"/>
      <w:bookmarkStart w:id="537" w:name="_1270003941"/>
      <w:bookmarkEnd w:id="537"/>
      <w:bookmarkStart w:id="538" w:name="_1271070622"/>
      <w:bookmarkEnd w:id="538"/>
      <w:bookmarkStart w:id="539" w:name="_1271060022"/>
      <w:bookmarkEnd w:id="539"/>
      <w:bookmarkStart w:id="540" w:name="_1271288070"/>
      <w:bookmarkEnd w:id="540"/>
      <w:bookmarkStart w:id="541" w:name="_1271288102"/>
      <w:bookmarkEnd w:id="541"/>
      <w:bookmarkStart w:id="542" w:name="_1271060073"/>
      <w:bookmarkEnd w:id="542"/>
      <w:bookmarkStart w:id="543" w:name="_1270575892"/>
      <w:bookmarkEnd w:id="543"/>
      <w:bookmarkStart w:id="544" w:name="_1271060110"/>
      <w:bookmarkEnd w:id="544"/>
      <w:bookmarkStart w:id="545" w:name="_1271058600"/>
      <w:bookmarkEnd w:id="545"/>
      <w:bookmarkStart w:id="546" w:name="_1271060156"/>
      <w:bookmarkEnd w:id="546"/>
      <w:bookmarkStart w:id="547" w:name="_1271060338"/>
      <w:bookmarkEnd w:id="547"/>
      <w:bookmarkStart w:id="548" w:name="_1271071344"/>
      <w:bookmarkEnd w:id="548"/>
      <w:bookmarkStart w:id="549" w:name="_1271060162"/>
      <w:bookmarkEnd w:id="549"/>
      <w:bookmarkStart w:id="550" w:name="_1271288043"/>
      <w:bookmarkEnd w:id="550"/>
      <w:bookmarkStart w:id="551" w:name="_1270582993"/>
      <w:bookmarkEnd w:id="551"/>
      <w:bookmarkStart w:id="552" w:name="_1271060179"/>
      <w:bookmarkEnd w:id="552"/>
      <w:bookmarkStart w:id="553" w:name="_1270582947"/>
      <w:bookmarkEnd w:id="553"/>
      <w:bookmarkStart w:id="554" w:name="_1280940672"/>
      <w:bookmarkEnd w:id="554"/>
      <w:bookmarkStart w:id="555" w:name="_1274552390"/>
      <w:bookmarkEnd w:id="555"/>
      <w:bookmarkStart w:id="556" w:name="_1274552906"/>
      <w:bookmarkEnd w:id="556"/>
      <w:bookmarkStart w:id="557" w:name="_1280941291"/>
      <w:bookmarkEnd w:id="557"/>
      <w:bookmarkStart w:id="558" w:name="_1280941309"/>
      <w:bookmarkEnd w:id="558"/>
      <w:bookmarkStart w:id="559" w:name="_1280943486"/>
      <w:bookmarkEnd w:id="559"/>
      <w:bookmarkStart w:id="560" w:name="_1280944374"/>
      <w:bookmarkEnd w:id="560"/>
      <w:bookmarkStart w:id="561" w:name="_1271687357"/>
      <w:bookmarkEnd w:id="561"/>
      <w:bookmarkStart w:id="562" w:name="_1280940905"/>
      <w:bookmarkEnd w:id="562"/>
      <w:bookmarkStart w:id="563" w:name="_1271313515"/>
      <w:bookmarkEnd w:id="563"/>
      <w:bookmarkStart w:id="564" w:name="_1280944462"/>
      <w:bookmarkEnd w:id="564"/>
      <w:bookmarkStart w:id="565" w:name="_1282095944"/>
      <w:bookmarkEnd w:id="565"/>
      <w:bookmarkStart w:id="566" w:name="_1280940814"/>
      <w:bookmarkEnd w:id="566"/>
      <w:bookmarkStart w:id="567" w:name="_1274552674"/>
      <w:bookmarkEnd w:id="567"/>
      <w:bookmarkStart w:id="568" w:name="_1274552919"/>
      <w:bookmarkEnd w:id="568"/>
      <w:bookmarkStart w:id="569" w:name="_1274552681"/>
      <w:bookmarkEnd w:id="569"/>
      <w:bookmarkStart w:id="570" w:name="_1332206677"/>
      <w:bookmarkEnd w:id="570"/>
      <w:bookmarkStart w:id="571" w:name="_1304227176"/>
      <w:bookmarkEnd w:id="571"/>
      <w:bookmarkStart w:id="572" w:name="_1332207861"/>
      <w:bookmarkEnd w:id="572"/>
      <w:bookmarkStart w:id="573" w:name="_1304227106"/>
      <w:bookmarkEnd w:id="573"/>
      <w:bookmarkStart w:id="574" w:name="_1332205830"/>
      <w:bookmarkEnd w:id="574"/>
      <w:bookmarkStart w:id="575" w:name="_1332206057"/>
      <w:bookmarkEnd w:id="575"/>
      <w:bookmarkStart w:id="576" w:name="_1332206536"/>
      <w:bookmarkEnd w:id="576"/>
      <w:bookmarkStart w:id="577" w:name="_1326197720"/>
      <w:bookmarkEnd w:id="577"/>
      <w:bookmarkStart w:id="578" w:name="_1319867093"/>
      <w:bookmarkEnd w:id="578"/>
      <w:bookmarkStart w:id="579" w:name="_1323429812"/>
      <w:bookmarkEnd w:id="579"/>
      <w:bookmarkStart w:id="580" w:name="_1332206168"/>
      <w:bookmarkEnd w:id="580"/>
      <w:bookmarkStart w:id="581" w:name="_1290030081"/>
      <w:bookmarkEnd w:id="581"/>
      <w:bookmarkStart w:id="582" w:name="_1332206100"/>
      <w:bookmarkEnd w:id="582"/>
      <w:bookmarkStart w:id="583" w:name="_1332206644"/>
      <w:bookmarkEnd w:id="583"/>
      <w:bookmarkStart w:id="584" w:name="_1304227623"/>
      <w:bookmarkEnd w:id="584"/>
      <w:bookmarkStart w:id="585" w:name="_1332205977"/>
      <w:bookmarkEnd w:id="585"/>
      <w:bookmarkStart w:id="586" w:name="_1333353198"/>
      <w:bookmarkEnd w:id="586"/>
      <w:bookmarkStart w:id="587" w:name="_1334627624"/>
      <w:bookmarkEnd w:id="587"/>
      <w:bookmarkStart w:id="588" w:name="_1333353173"/>
      <w:bookmarkEnd w:id="588"/>
      <w:bookmarkStart w:id="589" w:name="_1332973703"/>
      <w:bookmarkEnd w:id="589"/>
      <w:bookmarkStart w:id="590" w:name="_1333353109"/>
      <w:bookmarkEnd w:id="590"/>
      <w:bookmarkStart w:id="591" w:name="_1332973881"/>
      <w:bookmarkEnd w:id="591"/>
      <w:bookmarkStart w:id="592" w:name="_1334627587"/>
      <w:bookmarkEnd w:id="592"/>
      <w:r>
        <w:object>
          <v:shape id="_x0000_i1134" o:spt="75" type="#_x0000_t75" style="height:172.85pt;width:413.05pt;" o:ole="t" filled="f" o:preferrelative="t" stroked="f" coordsize="21600,21600">
            <v:path/>
            <v:fill on="f" alignshape="1" focussize="0,0"/>
            <v:stroke on="f"/>
            <v:imagedata r:id="rId176" o:title=""/>
            <o:lock v:ext="edit" aspectratio="t"/>
            <w10:wrap type="none"/>
            <w10:anchorlock/>
          </v:shape>
          <o:OLEObject Type="Embed" ProgID="Excel.Sheet.8" ShapeID="_x0000_i1134" DrawAspect="Content" ObjectID="_1468075800" r:id="rId175">
            <o:LockedField>false</o:LockedField>
          </o:OLEObject>
        </w:object>
      </w:r>
    </w:p>
    <w:p w14:paraId="41E9A6C2">
      <w:pPr>
        <w:spacing w:line="360" w:lineRule="auto"/>
        <w:ind w:firstLine="567"/>
        <w:rPr>
          <w:rFonts w:hint="eastAsia" w:ascii="宋体" w:hAnsi="宋体"/>
          <w:sz w:val="24"/>
        </w:rPr>
      </w:pPr>
      <w:r>
        <w:rPr>
          <w:rFonts w:hint="eastAsia" w:ascii="宋体" w:hAnsi="宋体"/>
          <w:sz w:val="24"/>
        </w:rPr>
        <w:t>根据上表，最大班净提升时间为3.83小时，全天净提升时间为11.49小时，满足规范要求。</w:t>
      </w:r>
    </w:p>
    <w:p w14:paraId="36BFA880">
      <w:pPr>
        <w:spacing w:line="360" w:lineRule="auto"/>
        <w:ind w:firstLine="567"/>
        <w:rPr>
          <w:rFonts w:hint="eastAsia" w:ascii="宋体" w:hAnsi="宋体"/>
          <w:sz w:val="24"/>
        </w:rPr>
      </w:pPr>
      <w:r>
        <w:rPr>
          <w:rFonts w:hint="eastAsia" w:ascii="宋体" w:hAnsi="宋体"/>
          <w:sz w:val="24"/>
        </w:rPr>
        <w:t>⑹ 一次提升情况</w:t>
      </w:r>
    </w:p>
    <w:p w14:paraId="27D768E1">
      <w:pPr>
        <w:spacing w:line="360" w:lineRule="auto"/>
        <w:ind w:firstLine="567"/>
        <w:rPr>
          <w:rFonts w:hint="eastAsia" w:ascii="宋体" w:hAnsi="宋体" w:cs="宋体"/>
          <w:sz w:val="24"/>
        </w:rPr>
      </w:pPr>
      <w:r>
        <w:rPr>
          <w:rFonts w:hint="eastAsia" w:ascii="宋体" w:hAnsi="宋体"/>
          <w:sz w:val="24"/>
        </w:rPr>
        <w:t>一次提2个矸石车,总载重3.168吨；提人时,</w:t>
      </w:r>
      <w:r>
        <w:rPr>
          <w:rFonts w:ascii="宋体" w:hAnsi="宋体" w:cs="宋体"/>
          <w:sz w:val="24"/>
        </w:rPr>
        <w:t>人车XRB</w:t>
      </w:r>
      <w:r>
        <w:rPr>
          <w:rFonts w:hint="eastAsia" w:ascii="宋体" w:hAnsi="宋体" w:cs="宋体"/>
          <w:sz w:val="24"/>
        </w:rPr>
        <w:t>10</w:t>
      </w:r>
      <w:r>
        <w:rPr>
          <w:rFonts w:ascii="宋体" w:hAnsi="宋体" w:cs="宋体"/>
          <w:sz w:val="24"/>
        </w:rPr>
        <w:t>-6/</w:t>
      </w:r>
      <w:r>
        <w:rPr>
          <w:rFonts w:hint="eastAsia" w:ascii="宋体" w:hAnsi="宋体" w:cs="宋体"/>
          <w:sz w:val="24"/>
        </w:rPr>
        <w:t>6(一头车,一尾车组成列车组,一次提20人，加跟车1人21人)。</w:t>
      </w:r>
    </w:p>
    <w:p w14:paraId="37D00C3B">
      <w:pPr>
        <w:spacing w:line="360" w:lineRule="auto"/>
        <w:ind w:firstLine="567"/>
        <w:rPr>
          <w:rFonts w:hint="eastAsia" w:ascii="宋体" w:hAnsi="宋体"/>
          <w:sz w:val="24"/>
        </w:rPr>
      </w:pPr>
      <w:r>
        <w:rPr>
          <w:rFonts w:hint="eastAsia" w:ascii="宋体" w:hAnsi="宋体"/>
          <w:sz w:val="24"/>
        </w:rPr>
        <w:t>⑺ 按连接器强度计算车数(按最大载荷)：</w:t>
      </w:r>
    </w:p>
    <w:p w14:paraId="1A9BE51C">
      <w:pPr>
        <w:spacing w:line="360" w:lineRule="auto"/>
        <w:ind w:firstLine="567"/>
        <w:rPr>
          <w:rFonts w:hint="eastAsia" w:ascii="宋体" w:hAnsi="宋体"/>
          <w:sz w:val="24"/>
        </w:rPr>
      </w:pPr>
      <w:r>
        <w:rPr>
          <w:rFonts w:hint="eastAsia" w:ascii="宋体" w:hAnsi="宋体"/>
          <w:kern w:val="36"/>
          <w:sz w:val="24"/>
        </w:rPr>
        <w:t>Z2≤</w:t>
      </w:r>
      <w:r>
        <w:rPr>
          <w:rFonts w:hint="eastAsia" w:ascii="宋体" w:hAnsi="宋体"/>
          <w:position w:val="-30"/>
          <w:sz w:val="24"/>
        </w:rPr>
        <w:object>
          <v:shape id="_x0000_i1135" o:spt="75" type="#_x0000_t75" style="height:33.75pt;width:134.25pt;" o:ole="t" filled="f" o:preferrelative="t" stroked="f" coordsize="21600,21600">
            <v:path/>
            <v:fill on="f" alignshape="1" focussize="0,0"/>
            <v:stroke on="f"/>
            <v:imagedata r:id="rId178" o:title=""/>
            <o:lock v:ext="edit" aspectratio="t"/>
            <w10:wrap type="none"/>
            <w10:anchorlock/>
          </v:shape>
          <o:OLEObject Type="Embed" ProgID="Equation.3" ShapeID="_x0000_i1135" DrawAspect="Content" ObjectID="_1468075801" r:id="rId177">
            <o:LockedField>false</o:LockedField>
          </o:OLEObject>
        </w:object>
      </w:r>
      <w:r>
        <w:rPr>
          <w:rFonts w:hint="eastAsia" w:ascii="宋体" w:hAnsi="宋体"/>
          <w:kern w:val="36"/>
          <w:sz w:val="24"/>
        </w:rPr>
        <w:t>=</w:t>
      </w:r>
      <w:r>
        <w:rPr>
          <w:rFonts w:hint="eastAsia" w:ascii="宋体" w:hAnsi="宋体"/>
          <w:position w:val="-28"/>
          <w:sz w:val="24"/>
        </w:rPr>
        <w:object>
          <v:shape id="_x0000_i1136" o:spt="75" type="#_x0000_t75" style="height:34.8pt;width:179pt;" o:ole="t" filled="f" o:preferrelative="t" stroked="f" coordsize="21600,21600">
            <v:path/>
            <v:fill on="f" alignshape="1" focussize="0,0"/>
            <v:stroke on="f"/>
            <v:imagedata r:id="rId180" o:title=""/>
            <o:lock v:ext="edit" aspectratio="t"/>
            <w10:wrap type="none"/>
            <w10:anchorlock/>
          </v:shape>
          <o:OLEObject Type="Embed" ProgID="Equation.3" ShapeID="_x0000_i1136" DrawAspect="Content" ObjectID="_1468075802" r:id="rId179">
            <o:LockedField>false</o:LockedField>
          </o:OLEObject>
        </w:object>
      </w:r>
      <w:r>
        <w:rPr>
          <w:rFonts w:hint="eastAsia" w:ascii="宋体" w:hAnsi="宋体"/>
          <w:sz w:val="24"/>
        </w:rPr>
        <w:t>=8.3(个)</w:t>
      </w:r>
    </w:p>
    <w:p w14:paraId="3F87C7F6">
      <w:pPr>
        <w:spacing w:line="360" w:lineRule="auto"/>
        <w:ind w:firstLine="480" w:firstLineChars="200"/>
        <w:rPr>
          <w:rFonts w:hint="eastAsia" w:ascii="宋体" w:hAnsi="宋体"/>
          <w:sz w:val="24"/>
        </w:rPr>
      </w:pPr>
      <w:r>
        <w:rPr>
          <w:rFonts w:hint="eastAsia" w:ascii="宋体" w:hAnsi="宋体"/>
          <w:sz w:val="24"/>
        </w:rPr>
        <w:t>式中：f1—提升容器运动时的阻力系数，f1取0.015；</w:t>
      </w:r>
    </w:p>
    <w:p w14:paraId="06501E2A">
      <w:pPr>
        <w:pStyle w:val="32"/>
        <w:tabs>
          <w:tab w:val="left" w:pos="2440"/>
        </w:tabs>
        <w:adjustRightInd w:val="0"/>
        <w:snapToGrid w:val="0"/>
        <w:jc w:val="left"/>
        <w:rPr>
          <w:rFonts w:hint="eastAsia"/>
        </w:rPr>
      </w:pPr>
      <w:r>
        <w:rPr>
          <w:rFonts w:hint="eastAsia" w:ascii="宋体" w:hAnsi="宋体"/>
        </w:rPr>
        <w:t>故确定每次提2个矿车合适。</w:t>
      </w:r>
    </w:p>
    <w:p w14:paraId="2BF379FF">
      <w:pPr>
        <w:pStyle w:val="230"/>
        <w:ind w:firstLine="480"/>
        <w:rPr>
          <w:rFonts w:hint="eastAsia" w:ascii="宋体" w:hAnsi="宋体"/>
          <w:szCs w:val="24"/>
        </w:rPr>
      </w:pPr>
      <w:r>
        <w:rPr>
          <w:rFonts w:hint="eastAsia" w:ascii="宋体" w:hAnsi="宋体"/>
          <w:szCs w:val="24"/>
        </w:rPr>
        <w:t>⑻ 绳端载荷</w:t>
      </w:r>
    </w:p>
    <w:p w14:paraId="26ED1A60">
      <w:pPr>
        <w:pStyle w:val="230"/>
        <w:ind w:firstLine="480"/>
        <w:rPr>
          <w:rFonts w:ascii="宋体" w:hAnsi="宋体"/>
          <w:szCs w:val="24"/>
        </w:rPr>
      </w:pPr>
      <w:r>
        <w:rPr>
          <w:rFonts w:hint="eastAsia" w:ascii="宋体" w:hAnsi="宋体"/>
          <w:szCs w:val="24"/>
        </w:rPr>
        <w:t>Q</w:t>
      </w:r>
      <w:r>
        <w:rPr>
          <w:rFonts w:hint="eastAsia" w:ascii="宋体" w:hAnsi="宋体"/>
          <w:szCs w:val="24"/>
          <w:vertAlign w:val="subscript"/>
        </w:rPr>
        <w:t>大件</w:t>
      </w:r>
      <w:r>
        <w:rPr>
          <w:rFonts w:hint="eastAsia" w:ascii="宋体" w:hAnsi="宋体"/>
          <w:szCs w:val="24"/>
        </w:rPr>
        <w:t>＝（1050+5000）×（sin25°+0.015×cos25°）×9.81÷1000＝25.889(KN)</w:t>
      </w:r>
    </w:p>
    <w:p w14:paraId="1B8C6067">
      <w:pPr>
        <w:pStyle w:val="230"/>
        <w:ind w:firstLine="480"/>
        <w:rPr>
          <w:rFonts w:ascii="宋体" w:hAnsi="宋体"/>
          <w:szCs w:val="24"/>
        </w:rPr>
      </w:pPr>
      <w:r>
        <w:rPr>
          <w:rFonts w:hint="eastAsia" w:ascii="宋体" w:hAnsi="宋体"/>
          <w:szCs w:val="24"/>
        </w:rPr>
        <w:t>Q</w:t>
      </w:r>
      <w:r>
        <w:rPr>
          <w:rFonts w:hint="eastAsia" w:ascii="宋体" w:hAnsi="宋体"/>
          <w:szCs w:val="24"/>
          <w:vertAlign w:val="subscript"/>
        </w:rPr>
        <w:t>端矸</w:t>
      </w:r>
      <w:r>
        <w:rPr>
          <w:rFonts w:hint="eastAsia" w:ascii="宋体" w:hAnsi="宋体"/>
          <w:szCs w:val="24"/>
        </w:rPr>
        <w:t>＝2×（1584+600）×（sin25°+0.015×cos25°）×9.81÷1000＝18.692(KN)</w:t>
      </w:r>
    </w:p>
    <w:p w14:paraId="299A031E">
      <w:pPr>
        <w:pStyle w:val="230"/>
        <w:ind w:firstLine="480"/>
        <w:rPr>
          <w:rFonts w:hint="eastAsia" w:ascii="宋体" w:hAnsi="宋体"/>
          <w:szCs w:val="24"/>
        </w:rPr>
      </w:pPr>
      <w:r>
        <w:rPr>
          <w:rFonts w:hint="eastAsia" w:ascii="宋体" w:hAnsi="宋体"/>
          <w:szCs w:val="24"/>
        </w:rPr>
        <w:t>Q</w:t>
      </w:r>
      <w:r>
        <w:rPr>
          <w:rFonts w:hint="eastAsia" w:ascii="宋体" w:hAnsi="宋体"/>
          <w:szCs w:val="24"/>
          <w:vertAlign w:val="subscript"/>
        </w:rPr>
        <w:t>端人</w:t>
      </w:r>
      <w:r>
        <w:rPr>
          <w:rFonts w:hint="eastAsia" w:ascii="宋体" w:hAnsi="宋体"/>
          <w:szCs w:val="24"/>
        </w:rPr>
        <w:t>＝（1750×2+21×70）×（sin</w:t>
      </w:r>
      <w:r>
        <w:rPr>
          <w:rFonts w:hint="eastAsia" w:ascii="宋体" w:hAnsi="宋体"/>
        </w:rPr>
        <w:t>25°</w:t>
      </w:r>
      <w:r>
        <w:rPr>
          <w:rFonts w:hint="eastAsia" w:ascii="宋体" w:hAnsi="宋体"/>
          <w:szCs w:val="24"/>
        </w:rPr>
        <w:t>+0.015×cos</w:t>
      </w:r>
      <w:r>
        <w:rPr>
          <w:rFonts w:hint="eastAsia" w:ascii="宋体" w:hAnsi="宋体"/>
        </w:rPr>
        <w:t>25°</w:t>
      </w:r>
      <w:r>
        <w:rPr>
          <w:rFonts w:hint="eastAsia" w:ascii="宋体" w:hAnsi="宋体"/>
          <w:szCs w:val="24"/>
        </w:rPr>
        <w:t>）×9.81÷1000＝21.268(kN)</w:t>
      </w:r>
    </w:p>
    <w:p w14:paraId="3515D549">
      <w:pPr>
        <w:spacing w:line="360" w:lineRule="auto"/>
        <w:ind w:firstLine="480" w:firstLineChars="200"/>
        <w:rPr>
          <w:rFonts w:hint="eastAsia" w:ascii="宋体" w:hAnsi="宋体"/>
          <w:sz w:val="24"/>
        </w:rPr>
      </w:pPr>
      <w:r>
        <w:rPr>
          <w:rFonts w:hint="eastAsia" w:ascii="宋体" w:hAnsi="宋体"/>
          <w:sz w:val="24"/>
        </w:rPr>
        <w:t>⑼ 钢丝绳单位长度的重量计算(按最大载荷)</w:t>
      </w:r>
    </w:p>
    <w:p w14:paraId="34F5E409">
      <w:pPr>
        <w:spacing w:line="360" w:lineRule="auto"/>
        <w:ind w:firstLine="567"/>
        <w:rPr>
          <w:rFonts w:hint="eastAsia" w:ascii="宋体" w:hAnsi="宋体"/>
          <w:sz w:val="24"/>
        </w:rPr>
      </w:pPr>
      <w:r>
        <w:rPr>
          <w:rFonts w:hint="eastAsia" w:ascii="宋体" w:hAnsi="宋体"/>
          <w:sz w:val="24"/>
        </w:rPr>
        <w:t>PK＝Q</w:t>
      </w:r>
      <w:r>
        <w:rPr>
          <w:rFonts w:hint="eastAsia" w:ascii="宋体" w:hAnsi="宋体"/>
          <w:sz w:val="24"/>
          <w:vertAlign w:val="subscript"/>
        </w:rPr>
        <w:t>端矸</w:t>
      </w:r>
      <w:r>
        <w:rPr>
          <w:rFonts w:hint="eastAsia" w:ascii="宋体" w:hAnsi="宋体"/>
          <w:sz w:val="24"/>
        </w:rPr>
        <w:t xml:space="preserve">/〔11σB/ma－LC（sinβ＋f2cosβ）〕 </w:t>
      </w:r>
    </w:p>
    <w:p w14:paraId="7F13C14B">
      <w:pPr>
        <w:spacing w:line="360" w:lineRule="auto"/>
        <w:ind w:firstLine="567"/>
        <w:rPr>
          <w:rFonts w:hint="eastAsia" w:ascii="宋体" w:hAnsi="宋体"/>
          <w:sz w:val="24"/>
        </w:rPr>
      </w:pPr>
      <w:r>
        <w:rPr>
          <w:rFonts w:hint="eastAsia" w:ascii="宋体" w:hAnsi="宋体"/>
          <w:sz w:val="24"/>
        </w:rPr>
        <w:t>＝25.889×1000/〔11×1670/7.5－377×（sin25°＋0.3cos25°）〕/9.81</w:t>
      </w:r>
    </w:p>
    <w:p w14:paraId="55299649">
      <w:pPr>
        <w:spacing w:line="360" w:lineRule="auto"/>
        <w:ind w:firstLine="567"/>
        <w:rPr>
          <w:rFonts w:hint="eastAsia" w:ascii="宋体" w:hAnsi="宋体"/>
          <w:sz w:val="24"/>
        </w:rPr>
      </w:pPr>
      <w:r>
        <w:rPr>
          <w:rFonts w:hint="eastAsia" w:ascii="宋体" w:hAnsi="宋体"/>
          <w:sz w:val="24"/>
        </w:rPr>
        <w:t>＝1.205(kg/m)</w:t>
      </w:r>
    </w:p>
    <w:p w14:paraId="5CDAD356">
      <w:pPr>
        <w:spacing w:line="360" w:lineRule="auto"/>
        <w:ind w:firstLine="567"/>
        <w:rPr>
          <w:rFonts w:hint="eastAsia" w:ascii="宋体" w:hAnsi="宋体"/>
          <w:sz w:val="24"/>
        </w:rPr>
      </w:pPr>
      <w:r>
        <w:rPr>
          <w:rFonts w:hint="eastAsia" w:ascii="宋体" w:hAnsi="宋体"/>
          <w:sz w:val="24"/>
        </w:rPr>
        <w:t>式中：σB——钢丝绳抗拉强度（Mpa），取1670</w:t>
      </w:r>
    </w:p>
    <w:p w14:paraId="64B269B6">
      <w:pPr>
        <w:spacing w:line="360" w:lineRule="auto"/>
        <w:ind w:firstLine="1404" w:firstLineChars="585"/>
        <w:rPr>
          <w:rFonts w:hint="eastAsia" w:ascii="宋体" w:hAnsi="宋体"/>
          <w:sz w:val="24"/>
        </w:rPr>
      </w:pPr>
      <w:r>
        <w:rPr>
          <w:rFonts w:hint="eastAsia" w:ascii="宋体" w:hAnsi="宋体"/>
          <w:sz w:val="24"/>
        </w:rPr>
        <w:t>ma——钢丝绳安全系数，取7.5</w:t>
      </w:r>
    </w:p>
    <w:p w14:paraId="5BF73FB8">
      <w:pPr>
        <w:spacing w:line="360" w:lineRule="auto"/>
        <w:ind w:firstLine="1404" w:firstLineChars="585"/>
        <w:rPr>
          <w:rFonts w:hint="eastAsia" w:ascii="宋体" w:hAnsi="宋体"/>
          <w:sz w:val="24"/>
        </w:rPr>
      </w:pPr>
      <w:r>
        <w:rPr>
          <w:rFonts w:hint="eastAsia" w:ascii="宋体" w:hAnsi="宋体"/>
          <w:sz w:val="24"/>
        </w:rPr>
        <w:t>f2——钢丝绳运动时的阻力系数，f2取0.3。</w:t>
      </w:r>
    </w:p>
    <w:p w14:paraId="3F5825EB">
      <w:pPr>
        <w:spacing w:line="360" w:lineRule="auto"/>
        <w:ind w:firstLine="567"/>
        <w:rPr>
          <w:rFonts w:hint="eastAsia" w:ascii="宋体" w:hAnsi="宋体" w:cs="宋体"/>
          <w:sz w:val="24"/>
        </w:rPr>
      </w:pPr>
      <w:r>
        <w:rPr>
          <w:rFonts w:hint="eastAsia" w:ascii="宋体" w:hAnsi="宋体" w:cs="宋体"/>
          <w:sz w:val="24"/>
        </w:rPr>
        <w:t>⑽ 选钢丝绳</w:t>
      </w:r>
    </w:p>
    <w:p w14:paraId="1D8CA294">
      <w:pPr>
        <w:tabs>
          <w:tab w:val="left" w:pos="180"/>
          <w:tab w:val="left" w:pos="720"/>
        </w:tabs>
        <w:spacing w:line="360" w:lineRule="auto"/>
        <w:ind w:firstLine="840" w:firstLineChars="350"/>
        <w:jc w:val="left"/>
        <w:rPr>
          <w:rFonts w:hint="eastAsia" w:ascii="宋体" w:hAnsi="宋体"/>
          <w:sz w:val="24"/>
        </w:rPr>
      </w:pPr>
      <w:r>
        <w:rPr>
          <w:rFonts w:hint="eastAsia" w:ascii="宋体" w:hAnsi="宋体"/>
          <w:kern w:val="36"/>
          <w:sz w:val="24"/>
        </w:rPr>
        <w:t>钢丝绳选用:</w:t>
      </w:r>
      <w:r>
        <w:rPr>
          <w:rStyle w:val="124"/>
          <w:rFonts w:hint="eastAsia" w:ascii="宋体" w:hAnsi="宋体"/>
        </w:rPr>
        <w:t xml:space="preserve"> </w:t>
      </w:r>
      <w:r>
        <w:rPr>
          <w:rFonts w:hint="eastAsia" w:ascii="宋体" w:hAnsi="宋体"/>
          <w:sz w:val="24"/>
        </w:rPr>
        <w:t>6V×7+FC－20－1670－特，d</w:t>
      </w:r>
      <w:r>
        <w:rPr>
          <w:rFonts w:hint="eastAsia" w:ascii="宋体" w:hAnsi="宋体"/>
          <w:sz w:val="24"/>
          <w:vertAlign w:val="subscript"/>
        </w:rPr>
        <w:t>k</w:t>
      </w:r>
      <w:r>
        <w:rPr>
          <w:rFonts w:hint="eastAsia" w:ascii="宋体" w:hAnsi="宋体"/>
          <w:sz w:val="24"/>
        </w:rPr>
        <w:t>＝20mm，P</w:t>
      </w:r>
      <w:r>
        <w:rPr>
          <w:rFonts w:hint="eastAsia" w:ascii="宋体" w:hAnsi="宋体"/>
          <w:sz w:val="24"/>
          <w:vertAlign w:val="subscript"/>
        </w:rPr>
        <w:t>k</w:t>
      </w:r>
      <w:r>
        <w:rPr>
          <w:rFonts w:hint="eastAsia" w:ascii="宋体" w:hAnsi="宋体"/>
          <w:sz w:val="24"/>
        </w:rPr>
        <w:t>＝1.38kg/m，Q</w:t>
      </w:r>
      <w:r>
        <w:rPr>
          <w:rFonts w:hint="eastAsia" w:ascii="宋体" w:hAnsi="宋体"/>
          <w:sz w:val="24"/>
          <w:vertAlign w:val="subscript"/>
        </w:rPr>
        <w:t>q</w:t>
      </w:r>
      <w:r>
        <w:rPr>
          <w:rFonts w:hint="eastAsia" w:ascii="宋体" w:hAnsi="宋体"/>
          <w:sz w:val="24"/>
        </w:rPr>
        <w:t>＝254kN；</w:t>
      </w:r>
    </w:p>
    <w:p w14:paraId="5A87D686">
      <w:pPr>
        <w:spacing w:line="360" w:lineRule="auto"/>
        <w:ind w:firstLine="480" w:firstLineChars="200"/>
        <w:rPr>
          <w:rFonts w:hint="eastAsia" w:ascii="宋体" w:hAnsi="宋体"/>
          <w:sz w:val="24"/>
        </w:rPr>
      </w:pPr>
      <w:r>
        <w:rPr>
          <w:rFonts w:hint="eastAsia" w:ascii="宋体" w:hAnsi="宋体"/>
          <w:sz w:val="24"/>
        </w:rPr>
        <w:t>⑾ 最大静张力：</w:t>
      </w:r>
    </w:p>
    <w:p w14:paraId="439BD357">
      <w:pPr>
        <w:spacing w:line="360" w:lineRule="auto"/>
        <w:ind w:firstLine="480" w:firstLineChars="200"/>
        <w:rPr>
          <w:rFonts w:hint="eastAsia" w:ascii="宋体" w:hAnsi="宋体"/>
          <w:sz w:val="24"/>
        </w:rPr>
      </w:pPr>
      <w:r>
        <w:rPr>
          <w:rFonts w:hint="eastAsia" w:ascii="宋体" w:hAnsi="宋体"/>
          <w:sz w:val="24"/>
        </w:rPr>
        <w:t>F</w:t>
      </w:r>
      <w:r>
        <w:rPr>
          <w:rFonts w:hint="eastAsia" w:ascii="宋体" w:hAnsi="宋体"/>
          <w:sz w:val="24"/>
          <w:vertAlign w:val="subscript"/>
        </w:rPr>
        <w:t>大件</w:t>
      </w:r>
      <w:r>
        <w:rPr>
          <w:rFonts w:hint="eastAsia" w:ascii="宋体" w:hAnsi="宋体"/>
          <w:sz w:val="24"/>
        </w:rPr>
        <w:t>=Q</w:t>
      </w:r>
      <w:r>
        <w:rPr>
          <w:rFonts w:hint="eastAsia" w:ascii="宋体" w:hAnsi="宋体"/>
          <w:sz w:val="24"/>
          <w:vertAlign w:val="subscript"/>
        </w:rPr>
        <w:t>大件</w:t>
      </w:r>
      <w:r>
        <w:rPr>
          <w:rFonts w:hint="eastAsia" w:ascii="宋体" w:hAnsi="宋体"/>
          <w:sz w:val="24"/>
        </w:rPr>
        <w:t>+PL</w:t>
      </w:r>
      <w:r>
        <w:rPr>
          <w:rFonts w:hint="eastAsia" w:ascii="宋体" w:hAnsi="宋体"/>
          <w:sz w:val="24"/>
          <w:vertAlign w:val="subscript"/>
        </w:rPr>
        <w:t>0</w:t>
      </w:r>
      <w:r>
        <w:rPr>
          <w:rFonts w:hint="eastAsia" w:ascii="宋体" w:hAnsi="宋体"/>
          <w:sz w:val="24"/>
        </w:rPr>
        <w:t>(sinβ+f2×cosβ)</w:t>
      </w:r>
    </w:p>
    <w:p w14:paraId="3E72B966">
      <w:pPr>
        <w:spacing w:line="360" w:lineRule="auto"/>
        <w:ind w:firstLine="480" w:firstLineChars="200"/>
        <w:rPr>
          <w:rFonts w:ascii="宋体" w:hAnsi="宋体"/>
          <w:sz w:val="24"/>
        </w:rPr>
      </w:pPr>
      <w:r>
        <w:rPr>
          <w:rFonts w:hint="eastAsia" w:ascii="宋体" w:hAnsi="宋体"/>
          <w:sz w:val="24"/>
        </w:rPr>
        <w:t>=25.889＋1.38×377×（sin25°+0.3×cos25°）×9.81÷1000=29.876(kN)</w:t>
      </w:r>
    </w:p>
    <w:p w14:paraId="044BC9E2">
      <w:pPr>
        <w:spacing w:line="360" w:lineRule="auto"/>
        <w:ind w:firstLine="480" w:firstLineChars="200"/>
        <w:rPr>
          <w:rFonts w:ascii="宋体" w:hAnsi="宋体"/>
          <w:sz w:val="24"/>
        </w:rPr>
      </w:pPr>
      <w:r>
        <w:rPr>
          <w:rFonts w:hint="eastAsia" w:ascii="宋体" w:hAnsi="宋体"/>
          <w:sz w:val="24"/>
        </w:rPr>
        <w:t>F</w:t>
      </w:r>
      <w:r>
        <w:rPr>
          <w:rFonts w:hint="eastAsia" w:ascii="宋体" w:hAnsi="宋体"/>
          <w:sz w:val="24"/>
          <w:vertAlign w:val="subscript"/>
        </w:rPr>
        <w:t>矸</w:t>
      </w:r>
      <w:r>
        <w:rPr>
          <w:rFonts w:hint="eastAsia" w:ascii="宋体" w:hAnsi="宋体"/>
          <w:sz w:val="24"/>
        </w:rPr>
        <w:t>=Q</w:t>
      </w:r>
      <w:r>
        <w:rPr>
          <w:rFonts w:hint="eastAsia" w:ascii="宋体" w:hAnsi="宋体"/>
          <w:sz w:val="24"/>
          <w:vertAlign w:val="subscript"/>
        </w:rPr>
        <w:t>端矸</w:t>
      </w:r>
      <w:r>
        <w:rPr>
          <w:rFonts w:hint="eastAsia" w:ascii="宋体" w:hAnsi="宋体"/>
          <w:sz w:val="24"/>
        </w:rPr>
        <w:t>+PL</w:t>
      </w:r>
      <w:r>
        <w:rPr>
          <w:rFonts w:hint="eastAsia" w:ascii="宋体" w:hAnsi="宋体"/>
          <w:sz w:val="24"/>
          <w:vertAlign w:val="subscript"/>
        </w:rPr>
        <w:t>0</w:t>
      </w:r>
      <w:r>
        <w:rPr>
          <w:rFonts w:hint="eastAsia" w:ascii="宋体" w:hAnsi="宋体"/>
          <w:sz w:val="24"/>
        </w:rPr>
        <w:t>(sinβ+f2×cosβ)</w:t>
      </w:r>
    </w:p>
    <w:p w14:paraId="3F14C932">
      <w:pPr>
        <w:spacing w:line="360" w:lineRule="auto"/>
        <w:ind w:firstLine="480" w:firstLineChars="200"/>
        <w:rPr>
          <w:rFonts w:ascii="宋体" w:hAnsi="宋体"/>
          <w:sz w:val="24"/>
        </w:rPr>
      </w:pPr>
      <w:r>
        <w:rPr>
          <w:rFonts w:hint="eastAsia" w:ascii="宋体" w:hAnsi="宋体"/>
          <w:sz w:val="24"/>
        </w:rPr>
        <w:t>=18.692＋1.3×377×（sin25°+0.3×cos25°）×9.81÷1000=22.678(kN)</w:t>
      </w:r>
    </w:p>
    <w:p w14:paraId="7C13B523">
      <w:pPr>
        <w:spacing w:line="360" w:lineRule="auto"/>
        <w:ind w:firstLine="480" w:firstLineChars="200"/>
        <w:rPr>
          <w:rFonts w:hint="eastAsia" w:ascii="宋体" w:hAnsi="宋体"/>
          <w:sz w:val="24"/>
        </w:rPr>
      </w:pPr>
      <w:r>
        <w:rPr>
          <w:rFonts w:hint="eastAsia" w:ascii="宋体" w:hAnsi="宋体"/>
          <w:sz w:val="24"/>
        </w:rPr>
        <w:t>F</w:t>
      </w:r>
      <w:r>
        <w:rPr>
          <w:rFonts w:hint="eastAsia" w:ascii="宋体" w:hAnsi="宋体"/>
          <w:sz w:val="24"/>
          <w:vertAlign w:val="subscript"/>
        </w:rPr>
        <w:t>人</w:t>
      </w:r>
      <w:r>
        <w:rPr>
          <w:rFonts w:hint="eastAsia" w:ascii="宋体" w:hAnsi="宋体"/>
          <w:sz w:val="24"/>
        </w:rPr>
        <w:t>=21.268＋1.38×377×（sin25°+0.3×cos25°）×9.81÷1000=25.254(kN)</w:t>
      </w:r>
    </w:p>
    <w:p w14:paraId="3D97552A">
      <w:pPr>
        <w:autoSpaceDE w:val="0"/>
        <w:autoSpaceDN w:val="0"/>
        <w:spacing w:line="360" w:lineRule="auto"/>
        <w:ind w:firstLine="480" w:firstLineChars="200"/>
        <w:jc w:val="left"/>
        <w:rPr>
          <w:rFonts w:hint="eastAsia" w:ascii="宋体" w:hAnsi="宋体"/>
          <w:sz w:val="24"/>
        </w:rPr>
      </w:pPr>
      <w:r>
        <w:rPr>
          <w:rFonts w:hint="eastAsia" w:ascii="宋体" w:hAnsi="宋体"/>
          <w:sz w:val="24"/>
        </w:rPr>
        <w:t>式中：L</w:t>
      </w:r>
      <w:r>
        <w:rPr>
          <w:rFonts w:hint="eastAsia" w:ascii="宋体" w:hAnsi="宋体"/>
          <w:sz w:val="24"/>
          <w:vertAlign w:val="subscript"/>
        </w:rPr>
        <w:t>0</w:t>
      </w:r>
      <w:r>
        <w:rPr>
          <w:rFonts w:hint="eastAsia" w:ascii="宋体" w:hAnsi="宋体"/>
          <w:sz w:val="24"/>
        </w:rPr>
        <w:t>----钢丝绳长，377(m)；</w:t>
      </w:r>
    </w:p>
    <w:p w14:paraId="05013467">
      <w:pPr>
        <w:autoSpaceDE w:val="0"/>
        <w:autoSpaceDN w:val="0"/>
        <w:spacing w:line="360" w:lineRule="auto"/>
        <w:ind w:firstLine="1200" w:firstLineChars="500"/>
        <w:jc w:val="left"/>
        <w:rPr>
          <w:rFonts w:hint="eastAsia" w:ascii="宋体" w:hAnsi="宋体"/>
          <w:sz w:val="24"/>
        </w:rPr>
      </w:pPr>
      <w:r>
        <w:rPr>
          <w:rFonts w:hint="eastAsia" w:ascii="宋体" w:hAnsi="宋体"/>
          <w:sz w:val="24"/>
        </w:rPr>
        <w:t>P-----钢丝绳1.38(kg/m)；</w:t>
      </w:r>
    </w:p>
    <w:p w14:paraId="452E34B1">
      <w:pPr>
        <w:autoSpaceDE w:val="0"/>
        <w:autoSpaceDN w:val="0"/>
        <w:spacing w:line="360" w:lineRule="auto"/>
        <w:ind w:firstLine="1200" w:firstLineChars="500"/>
        <w:jc w:val="left"/>
        <w:rPr>
          <w:rFonts w:hint="eastAsia" w:ascii="宋体" w:hAnsi="宋体"/>
          <w:sz w:val="24"/>
        </w:rPr>
      </w:pPr>
      <w:r>
        <w:rPr>
          <w:rFonts w:hint="eastAsia" w:ascii="宋体" w:hAnsi="宋体"/>
          <w:sz w:val="24"/>
        </w:rPr>
        <w:t>β----井筒顷角，25°；</w:t>
      </w:r>
    </w:p>
    <w:p w14:paraId="68D57563">
      <w:pPr>
        <w:autoSpaceDE w:val="0"/>
        <w:autoSpaceDN w:val="0"/>
        <w:spacing w:line="360" w:lineRule="auto"/>
        <w:ind w:firstLine="1200" w:firstLineChars="500"/>
        <w:jc w:val="left"/>
        <w:rPr>
          <w:rStyle w:val="124"/>
          <w:rFonts w:hint="eastAsia" w:ascii="宋体" w:hAnsi="宋体"/>
        </w:rPr>
      </w:pPr>
      <w:r>
        <w:rPr>
          <w:rStyle w:val="124"/>
          <w:rFonts w:hint="eastAsia" w:ascii="宋体" w:hAnsi="宋体"/>
        </w:rPr>
        <w:t>f2-----钢丝绳运动时的阻力系数0.3；</w:t>
      </w:r>
    </w:p>
    <w:p w14:paraId="0759599A">
      <w:pPr>
        <w:spacing w:line="360" w:lineRule="auto"/>
        <w:ind w:firstLine="480" w:firstLineChars="200"/>
        <w:rPr>
          <w:rFonts w:hint="eastAsia" w:ascii="宋体" w:hAnsi="宋体"/>
          <w:sz w:val="24"/>
        </w:rPr>
      </w:pPr>
      <w:r>
        <w:rPr>
          <w:rFonts w:hint="eastAsia" w:ascii="宋体" w:hAnsi="宋体"/>
          <w:sz w:val="24"/>
        </w:rPr>
        <w:t>⑿ 钢丝绳安全系数</w:t>
      </w:r>
    </w:p>
    <w:p w14:paraId="25C99A3A">
      <w:pPr>
        <w:spacing w:line="360" w:lineRule="auto"/>
        <w:ind w:firstLine="480" w:firstLineChars="200"/>
        <w:rPr>
          <w:rStyle w:val="124"/>
          <w:rFonts w:hint="eastAsia" w:ascii="宋体" w:hAnsi="宋体"/>
        </w:rPr>
      </w:pPr>
      <w:r>
        <w:rPr>
          <w:rStyle w:val="124"/>
          <w:rFonts w:hint="eastAsia" w:ascii="宋体" w:hAnsi="宋体"/>
        </w:rPr>
        <w:t>M</w:t>
      </w:r>
      <w:r>
        <w:rPr>
          <w:rStyle w:val="124"/>
          <w:rFonts w:hint="eastAsia" w:ascii="宋体" w:hAnsi="宋体"/>
          <w:vertAlign w:val="subscript"/>
        </w:rPr>
        <w:t>大件</w:t>
      </w:r>
      <w:r>
        <w:rPr>
          <w:rStyle w:val="124"/>
          <w:rFonts w:hint="eastAsia" w:ascii="宋体" w:hAnsi="宋体"/>
        </w:rPr>
        <w:t>=</w:t>
      </w:r>
      <w:r>
        <w:rPr>
          <w:rFonts w:hint="eastAsia" w:ascii="宋体" w:hAnsi="宋体"/>
          <w:sz w:val="24"/>
        </w:rPr>
        <w:t>254000</w:t>
      </w:r>
      <w:r>
        <w:rPr>
          <w:rStyle w:val="124"/>
          <w:rFonts w:hint="eastAsia" w:ascii="宋体" w:hAnsi="宋体"/>
        </w:rPr>
        <w:t>÷29876＝8.5＞7</w:t>
      </w:r>
      <w:r>
        <w:rPr>
          <w:rStyle w:val="124"/>
          <w:rFonts w:ascii="宋体" w:hAnsi="宋体"/>
        </w:rPr>
        <w:t>.5</w:t>
      </w:r>
      <w:r>
        <w:rPr>
          <w:rStyle w:val="124"/>
          <w:rFonts w:hint="eastAsia" w:ascii="宋体" w:hAnsi="宋体"/>
        </w:rPr>
        <w:t>；</w:t>
      </w:r>
    </w:p>
    <w:p w14:paraId="7BE45A4E">
      <w:pPr>
        <w:spacing w:line="360" w:lineRule="auto"/>
        <w:ind w:firstLine="480" w:firstLineChars="200"/>
        <w:rPr>
          <w:rStyle w:val="124"/>
          <w:rFonts w:hint="eastAsia" w:ascii="宋体" w:hAnsi="宋体"/>
        </w:rPr>
      </w:pPr>
      <w:r>
        <w:rPr>
          <w:rStyle w:val="124"/>
          <w:rFonts w:hint="eastAsia" w:ascii="宋体" w:hAnsi="宋体"/>
        </w:rPr>
        <w:t>M</w:t>
      </w:r>
      <w:r>
        <w:rPr>
          <w:rStyle w:val="124"/>
          <w:rFonts w:hint="eastAsia" w:ascii="宋体" w:hAnsi="宋体"/>
          <w:vertAlign w:val="subscript"/>
        </w:rPr>
        <w:t>矸</w:t>
      </w:r>
      <w:r>
        <w:rPr>
          <w:rStyle w:val="124"/>
          <w:rFonts w:hint="eastAsia" w:ascii="宋体" w:hAnsi="宋体"/>
        </w:rPr>
        <w:t>=</w:t>
      </w:r>
      <w:r>
        <w:rPr>
          <w:rFonts w:hint="eastAsia" w:ascii="宋体" w:hAnsi="宋体"/>
          <w:sz w:val="24"/>
        </w:rPr>
        <w:t>254000</w:t>
      </w:r>
      <w:r>
        <w:rPr>
          <w:rStyle w:val="124"/>
          <w:rFonts w:hint="eastAsia" w:ascii="宋体" w:hAnsi="宋体"/>
        </w:rPr>
        <w:t>÷22678＝11.2＞7</w:t>
      </w:r>
      <w:r>
        <w:rPr>
          <w:rStyle w:val="124"/>
          <w:rFonts w:ascii="宋体" w:hAnsi="宋体"/>
        </w:rPr>
        <w:t>.5</w:t>
      </w:r>
      <w:r>
        <w:rPr>
          <w:rStyle w:val="124"/>
          <w:rFonts w:hint="eastAsia" w:ascii="宋体" w:hAnsi="宋体"/>
        </w:rPr>
        <w:t>；</w:t>
      </w:r>
    </w:p>
    <w:p w14:paraId="6703C97F">
      <w:pPr>
        <w:spacing w:line="360" w:lineRule="auto"/>
        <w:ind w:firstLine="480" w:firstLineChars="200"/>
        <w:rPr>
          <w:rStyle w:val="124"/>
          <w:rFonts w:hint="eastAsia" w:ascii="宋体" w:hAnsi="宋体"/>
        </w:rPr>
      </w:pPr>
      <w:r>
        <w:rPr>
          <w:rStyle w:val="124"/>
          <w:rFonts w:hint="eastAsia" w:ascii="宋体" w:hAnsi="宋体"/>
        </w:rPr>
        <w:t>M</w:t>
      </w:r>
      <w:r>
        <w:rPr>
          <w:rStyle w:val="124"/>
          <w:rFonts w:hint="eastAsia" w:ascii="宋体" w:hAnsi="宋体"/>
          <w:vertAlign w:val="subscript"/>
        </w:rPr>
        <w:t>人</w:t>
      </w:r>
      <w:r>
        <w:rPr>
          <w:rStyle w:val="124"/>
          <w:rFonts w:hint="eastAsia" w:ascii="宋体" w:hAnsi="宋体"/>
        </w:rPr>
        <w:t>=</w:t>
      </w:r>
      <w:r>
        <w:rPr>
          <w:rFonts w:hint="eastAsia" w:ascii="宋体" w:hAnsi="宋体"/>
          <w:sz w:val="24"/>
        </w:rPr>
        <w:t>254000</w:t>
      </w:r>
      <w:r>
        <w:rPr>
          <w:rStyle w:val="124"/>
          <w:rFonts w:hint="eastAsia" w:ascii="宋体" w:hAnsi="宋体"/>
        </w:rPr>
        <w:t>÷25254＝10.1＞9；</w:t>
      </w:r>
    </w:p>
    <w:p w14:paraId="2E2379C3">
      <w:pPr>
        <w:spacing w:line="360" w:lineRule="auto"/>
        <w:ind w:firstLine="480" w:firstLineChars="200"/>
        <w:rPr>
          <w:rStyle w:val="124"/>
          <w:rFonts w:hint="eastAsia" w:ascii="宋体" w:hAnsi="宋体"/>
        </w:rPr>
      </w:pPr>
      <w:r>
        <w:rPr>
          <w:rStyle w:val="124"/>
          <w:rFonts w:hint="eastAsia" w:ascii="宋体" w:hAnsi="宋体"/>
        </w:rPr>
        <w:t>符合《煤矿安全规程》的规定。</w:t>
      </w:r>
    </w:p>
    <w:p w14:paraId="0713206A">
      <w:pPr>
        <w:pStyle w:val="32"/>
        <w:tabs>
          <w:tab w:val="left" w:pos="2440"/>
        </w:tabs>
        <w:adjustRightInd w:val="0"/>
        <w:snapToGrid w:val="0"/>
        <w:jc w:val="left"/>
        <w:rPr>
          <w:rStyle w:val="124"/>
          <w:rFonts w:hint="eastAsia" w:ascii="宋体" w:hAnsi="宋体"/>
        </w:rPr>
      </w:pPr>
      <w:r>
        <w:rPr>
          <w:rFonts w:hint="eastAsia" w:ascii="宋体" w:hAnsi="宋体"/>
          <w:bCs/>
        </w:rPr>
        <w:t xml:space="preserve">⒀ </w:t>
      </w:r>
      <w:r>
        <w:rPr>
          <w:rStyle w:val="124"/>
          <w:rFonts w:hint="eastAsia" w:ascii="宋体" w:hAnsi="宋体"/>
        </w:rPr>
        <w:t>滚筒直径和宽度（缠2层）</w:t>
      </w:r>
    </w:p>
    <w:p w14:paraId="1EA47CD0">
      <w:pPr>
        <w:spacing w:line="360" w:lineRule="auto"/>
        <w:ind w:firstLine="480" w:firstLineChars="200"/>
        <w:rPr>
          <w:rStyle w:val="124"/>
          <w:rFonts w:hint="eastAsia" w:ascii="宋体" w:hAnsi="宋体"/>
        </w:rPr>
      </w:pPr>
      <w:r>
        <w:rPr>
          <w:rStyle w:val="124"/>
          <w:rFonts w:hint="eastAsia" w:ascii="宋体" w:hAnsi="宋体"/>
        </w:rPr>
        <w:t>滚筒直径：D≥80×d=80×20=1600(mm)</w:t>
      </w:r>
    </w:p>
    <w:p w14:paraId="0DAF06E5">
      <w:pPr>
        <w:autoSpaceDE w:val="0"/>
        <w:autoSpaceDN w:val="0"/>
        <w:spacing w:line="360" w:lineRule="auto"/>
        <w:ind w:firstLine="480" w:firstLineChars="200"/>
        <w:jc w:val="left"/>
        <w:rPr>
          <w:rStyle w:val="124"/>
          <w:rFonts w:hint="eastAsia" w:ascii="宋体" w:hAnsi="宋体"/>
        </w:rPr>
      </w:pPr>
      <w:r>
        <w:rPr>
          <w:rStyle w:val="124"/>
          <w:rFonts w:hint="eastAsia" w:ascii="宋体" w:hAnsi="宋体"/>
        </w:rPr>
        <w:t>式中：d—为钢丝绳直径，mm；</w:t>
      </w:r>
    </w:p>
    <w:p w14:paraId="2F8B1BF4">
      <w:pPr>
        <w:spacing w:line="360" w:lineRule="auto"/>
        <w:ind w:firstLine="1200" w:firstLineChars="500"/>
        <w:rPr>
          <w:rStyle w:val="124"/>
          <w:rFonts w:hint="eastAsia" w:ascii="宋体" w:hAnsi="宋体"/>
        </w:rPr>
      </w:pPr>
      <w:r>
        <w:rPr>
          <w:rStyle w:val="124"/>
          <w:rFonts w:hint="eastAsia" w:ascii="宋体" w:hAnsi="宋体"/>
        </w:rPr>
        <w:t>δ—钢丝直径，mm。</w:t>
      </w:r>
    </w:p>
    <w:p w14:paraId="09C88280">
      <w:pPr>
        <w:pStyle w:val="32"/>
        <w:tabs>
          <w:tab w:val="left" w:pos="2440"/>
        </w:tabs>
        <w:adjustRightInd w:val="0"/>
        <w:snapToGrid w:val="0"/>
        <w:jc w:val="left"/>
        <w:rPr>
          <w:rStyle w:val="124"/>
          <w:rFonts w:hint="eastAsia" w:ascii="宋体" w:hAnsi="宋体"/>
        </w:rPr>
      </w:pPr>
      <w:r>
        <w:rPr>
          <w:rStyle w:val="124"/>
          <w:rFonts w:hint="eastAsia" w:ascii="宋体" w:hAnsi="宋体"/>
        </w:rPr>
        <w:t>平均缠绕直径：Dp=D+(K-1)÷2×</w:t>
      </w:r>
      <w:r>
        <w:rPr>
          <w:rStyle w:val="124"/>
          <w:rFonts w:hint="eastAsia" w:ascii="宋体" w:hAnsi="宋体"/>
          <w:position w:val="-18"/>
        </w:rPr>
        <w:object>
          <v:shape id="_x0000_i1137" o:spt="75" type="#_x0000_t75" style="height:21.75pt;width:81.7pt;" o:ole="t" filled="f" o:preferrelative="t" stroked="f" coordsize="21600,21600">
            <v:path/>
            <v:fill on="f" alignshape="1" focussize="0,0"/>
            <v:stroke on="f"/>
            <v:imagedata r:id="rId182" o:title=""/>
            <o:lock v:ext="edit" aspectratio="t"/>
            <w10:wrap type="none"/>
            <w10:anchorlock/>
          </v:shape>
          <o:OLEObject Type="Embed" ProgID="Equation.3" ShapeID="_x0000_i1137" DrawAspect="Content" ObjectID="_1468075803" r:id="rId181">
            <o:LockedField>false</o:LockedField>
          </o:OLEObject>
        </w:object>
      </w:r>
    </w:p>
    <w:p w14:paraId="34276BF4">
      <w:pPr>
        <w:pStyle w:val="32"/>
        <w:tabs>
          <w:tab w:val="left" w:pos="2440"/>
        </w:tabs>
        <w:adjustRightInd w:val="0"/>
        <w:snapToGrid w:val="0"/>
        <w:ind w:firstLine="2400" w:firstLineChars="1000"/>
        <w:jc w:val="left"/>
        <w:rPr>
          <w:rStyle w:val="124"/>
          <w:rFonts w:hint="eastAsia" w:ascii="宋体" w:hAnsi="宋体"/>
        </w:rPr>
      </w:pPr>
      <w:r>
        <w:rPr>
          <w:rStyle w:val="124"/>
          <w:rFonts w:hint="eastAsia" w:ascii="宋体" w:hAnsi="宋体"/>
        </w:rPr>
        <w:t>=1600+（2-1）÷2×</w:t>
      </w:r>
      <w:r>
        <w:rPr>
          <w:rStyle w:val="124"/>
          <w:rFonts w:hint="eastAsia" w:ascii="宋体" w:hAnsi="宋体"/>
          <w:position w:val="-18"/>
        </w:rPr>
        <w:object>
          <v:shape id="_x0000_i1138" o:spt="75" type="#_x0000_t75" style="height:21.75pt;width:103.1pt;" o:ole="t" filled="f" o:preferrelative="t" stroked="f" coordsize="21600,21600">
            <v:path/>
            <v:fill on="f" alignshape="1" focussize="0,0"/>
            <v:stroke on="f"/>
            <v:imagedata r:id="rId184" o:title=""/>
            <o:lock v:ext="edit" aspectratio="t"/>
            <w10:wrap type="none"/>
            <w10:anchorlock/>
          </v:shape>
          <o:OLEObject Type="Embed" ProgID="Equation.3" ShapeID="_x0000_i1138" DrawAspect="Content" ObjectID="_1468075804" r:id="rId183">
            <o:LockedField>false</o:LockedField>
          </o:OLEObject>
        </w:object>
      </w:r>
    </w:p>
    <w:p w14:paraId="5EE15EB0">
      <w:pPr>
        <w:pStyle w:val="32"/>
        <w:tabs>
          <w:tab w:val="left" w:pos="2440"/>
        </w:tabs>
        <w:adjustRightInd w:val="0"/>
        <w:snapToGrid w:val="0"/>
        <w:ind w:firstLine="2400" w:firstLineChars="1000"/>
        <w:jc w:val="left"/>
        <w:rPr>
          <w:rStyle w:val="124"/>
          <w:rFonts w:hint="eastAsia" w:ascii="宋体" w:hAnsi="宋体"/>
        </w:rPr>
      </w:pPr>
      <w:r>
        <w:rPr>
          <w:rStyle w:val="124"/>
          <w:rFonts w:hint="eastAsia" w:ascii="宋体" w:hAnsi="宋体"/>
        </w:rPr>
        <w:t>=1617（mm）</w:t>
      </w:r>
    </w:p>
    <w:p w14:paraId="3A2ECA92">
      <w:pPr>
        <w:pStyle w:val="32"/>
        <w:tabs>
          <w:tab w:val="left" w:pos="2440"/>
        </w:tabs>
        <w:adjustRightInd w:val="0"/>
        <w:snapToGrid w:val="0"/>
        <w:jc w:val="left"/>
        <w:rPr>
          <w:rStyle w:val="124"/>
          <w:rFonts w:hint="eastAsia" w:ascii="宋体" w:hAnsi="宋体"/>
        </w:rPr>
      </w:pPr>
      <w:r>
        <w:rPr>
          <w:rStyle w:val="124"/>
          <w:rFonts w:hint="eastAsia" w:ascii="宋体" w:hAnsi="宋体"/>
        </w:rPr>
        <w:t>式中：D—滚筒直径；D=1600mm</w:t>
      </w:r>
    </w:p>
    <w:p w14:paraId="5CDF68E8">
      <w:pPr>
        <w:pStyle w:val="32"/>
        <w:tabs>
          <w:tab w:val="left" w:pos="2440"/>
        </w:tabs>
        <w:adjustRightInd w:val="0"/>
        <w:snapToGrid w:val="0"/>
        <w:ind w:firstLine="1200" w:firstLineChars="500"/>
        <w:jc w:val="left"/>
        <w:rPr>
          <w:rStyle w:val="124"/>
          <w:rFonts w:hint="eastAsia" w:ascii="宋体" w:hAnsi="宋体"/>
        </w:rPr>
      </w:pPr>
      <w:r>
        <w:rPr>
          <w:rStyle w:val="124"/>
          <w:rFonts w:hint="eastAsia" w:ascii="宋体" w:hAnsi="宋体"/>
        </w:rPr>
        <w:t>K—缠绕层数，缠绕2层；</w:t>
      </w:r>
    </w:p>
    <w:p w14:paraId="0B87181F">
      <w:pPr>
        <w:pStyle w:val="32"/>
        <w:tabs>
          <w:tab w:val="left" w:pos="2440"/>
        </w:tabs>
        <w:adjustRightInd w:val="0"/>
        <w:snapToGrid w:val="0"/>
        <w:ind w:firstLine="1200" w:firstLineChars="500"/>
        <w:jc w:val="left"/>
        <w:rPr>
          <w:rStyle w:val="124"/>
          <w:rFonts w:hint="eastAsia" w:ascii="宋体" w:hAnsi="宋体"/>
        </w:rPr>
      </w:pPr>
      <w:r>
        <w:rPr>
          <w:rStyle w:val="124"/>
          <w:rFonts w:hint="eastAsia" w:ascii="宋体" w:hAnsi="宋体"/>
        </w:rPr>
        <w:t>d—钢丝绳直径，mm；</w:t>
      </w:r>
    </w:p>
    <w:p w14:paraId="7A3E6B3B">
      <w:pPr>
        <w:pStyle w:val="32"/>
        <w:tabs>
          <w:tab w:val="left" w:pos="2440"/>
        </w:tabs>
        <w:adjustRightInd w:val="0"/>
        <w:snapToGrid w:val="0"/>
        <w:ind w:firstLine="1200" w:firstLineChars="500"/>
        <w:jc w:val="left"/>
        <w:rPr>
          <w:rStyle w:val="124"/>
          <w:rFonts w:hint="eastAsia" w:ascii="宋体" w:hAnsi="宋体"/>
        </w:rPr>
      </w:pPr>
      <w:r>
        <w:rPr>
          <w:rStyle w:val="124"/>
          <w:rFonts w:hint="eastAsia" w:ascii="宋体" w:hAnsi="宋体"/>
        </w:rPr>
        <w:t>ε—两绳圈间隙宽度，ε=2～3mm.取2.5mm</w:t>
      </w:r>
    </w:p>
    <w:p w14:paraId="383299ED">
      <w:pPr>
        <w:pStyle w:val="32"/>
        <w:tabs>
          <w:tab w:val="left" w:pos="2440"/>
        </w:tabs>
        <w:adjustRightInd w:val="0"/>
        <w:snapToGrid w:val="0"/>
        <w:jc w:val="left"/>
        <w:rPr>
          <w:rStyle w:val="124"/>
          <w:rFonts w:hint="eastAsia" w:ascii="宋体" w:hAnsi="宋体"/>
        </w:rPr>
      </w:pPr>
      <w:r>
        <w:rPr>
          <w:rStyle w:val="124"/>
          <w:rFonts w:hint="eastAsia" w:ascii="宋体" w:hAnsi="宋体"/>
        </w:rPr>
        <w:t>B=（L+30+（4+3）×π×D（d+ε）÷(K×π×Dp）</w:t>
      </w:r>
    </w:p>
    <w:p w14:paraId="0F6EBFF8">
      <w:pPr>
        <w:spacing w:line="360" w:lineRule="auto"/>
        <w:ind w:firstLine="480" w:firstLineChars="200"/>
        <w:rPr>
          <w:rStyle w:val="124"/>
          <w:rFonts w:hint="eastAsia" w:ascii="宋体" w:hAnsi="宋体"/>
        </w:rPr>
      </w:pPr>
      <w:r>
        <w:rPr>
          <w:rStyle w:val="124"/>
          <w:rFonts w:hint="eastAsia" w:ascii="宋体" w:hAnsi="宋体"/>
        </w:rPr>
        <w:t>＝(407+7×π×1.6)×(20+2.5)÷（2×π×1.617）</w:t>
      </w:r>
    </w:p>
    <w:p w14:paraId="5633A717">
      <w:pPr>
        <w:spacing w:line="360" w:lineRule="auto"/>
        <w:ind w:firstLine="480" w:firstLineChars="200"/>
        <w:rPr>
          <w:rStyle w:val="124"/>
          <w:rFonts w:hint="eastAsia" w:ascii="宋体" w:hAnsi="宋体"/>
        </w:rPr>
      </w:pPr>
      <w:r>
        <w:rPr>
          <w:rStyle w:val="124"/>
          <w:rFonts w:hint="eastAsia" w:ascii="宋体" w:hAnsi="宋体"/>
        </w:rPr>
        <w:t>＝1084(mm)</w:t>
      </w:r>
    </w:p>
    <w:p w14:paraId="6B3385DF">
      <w:pPr>
        <w:spacing w:line="360" w:lineRule="auto"/>
        <w:ind w:firstLine="480" w:firstLineChars="200"/>
        <w:rPr>
          <w:rStyle w:val="124"/>
          <w:rFonts w:hint="eastAsia" w:ascii="宋体" w:hAnsi="宋体"/>
        </w:rPr>
      </w:pPr>
      <w:r>
        <w:rPr>
          <w:rStyle w:val="124"/>
          <w:rFonts w:hint="eastAsia" w:ascii="宋体" w:hAnsi="宋体"/>
        </w:rPr>
        <w:t>确定选绞车滚筒宽度为1200mm。</w:t>
      </w:r>
    </w:p>
    <w:p w14:paraId="647D2FC7">
      <w:pPr>
        <w:spacing w:line="360" w:lineRule="auto"/>
        <w:ind w:firstLine="480" w:firstLineChars="200"/>
        <w:rPr>
          <w:rStyle w:val="124"/>
          <w:rFonts w:hint="eastAsia" w:ascii="宋体" w:hAnsi="宋体"/>
        </w:rPr>
      </w:pPr>
      <w:r>
        <w:rPr>
          <w:rStyle w:val="124"/>
          <w:rFonts w:hint="eastAsia" w:ascii="宋体" w:hAnsi="宋体"/>
        </w:rPr>
        <w:t>⒁ 选提升机</w:t>
      </w:r>
    </w:p>
    <w:p w14:paraId="34F7BB86">
      <w:pPr>
        <w:spacing w:line="360" w:lineRule="auto"/>
        <w:ind w:firstLine="480" w:firstLineChars="200"/>
        <w:rPr>
          <w:rStyle w:val="124"/>
          <w:rFonts w:hint="eastAsia" w:ascii="宋体" w:hAnsi="宋体"/>
        </w:rPr>
      </w:pPr>
      <w:r>
        <w:rPr>
          <w:rStyle w:val="124"/>
          <w:rFonts w:hint="eastAsia" w:ascii="宋体" w:hAnsi="宋体"/>
        </w:rPr>
        <w:t>根据上述计算,副斜井选1台</w:t>
      </w:r>
      <w:r>
        <w:rPr>
          <w:rStyle w:val="124"/>
          <w:rFonts w:hint="eastAsia" w:ascii="宋体" w:hAnsi="宋体"/>
          <w:color w:val="FF0000"/>
        </w:rPr>
        <w:t>JTP-1.6×1.2P</w:t>
      </w:r>
      <w:r>
        <w:rPr>
          <w:rStyle w:val="124"/>
          <w:rFonts w:hint="eastAsia" w:ascii="宋体" w:hAnsi="宋体"/>
        </w:rPr>
        <w:t>型单筒提升绞车,参数如下:</w:t>
      </w:r>
    </w:p>
    <w:p w14:paraId="5E74CDD1">
      <w:pPr>
        <w:spacing w:line="360" w:lineRule="auto"/>
        <w:ind w:firstLine="480" w:firstLineChars="200"/>
        <w:rPr>
          <w:rStyle w:val="124"/>
          <w:rFonts w:hint="eastAsia" w:ascii="宋体"/>
        </w:rPr>
      </w:pPr>
      <w:r>
        <w:rPr>
          <w:rStyle w:val="124"/>
          <w:rFonts w:hint="eastAsia" w:ascii="宋体"/>
        </w:rPr>
        <w:t xml:space="preserve">               最大静拉力----45KN</w:t>
      </w:r>
    </w:p>
    <w:p w14:paraId="67F0304C">
      <w:pPr>
        <w:spacing w:line="360" w:lineRule="auto"/>
        <w:ind w:firstLine="480" w:firstLineChars="200"/>
        <w:rPr>
          <w:rStyle w:val="124"/>
          <w:rFonts w:hint="eastAsia" w:ascii="宋体"/>
        </w:rPr>
      </w:pPr>
      <w:r>
        <w:rPr>
          <w:rStyle w:val="124"/>
          <w:rFonts w:hint="eastAsia" w:ascii="宋体"/>
        </w:rPr>
        <w:t xml:space="preserve">               容绳量--------760m</w:t>
      </w:r>
    </w:p>
    <w:p w14:paraId="7C476A29">
      <w:pPr>
        <w:spacing w:line="360" w:lineRule="auto"/>
        <w:ind w:firstLine="480" w:firstLineChars="200"/>
        <w:rPr>
          <w:rStyle w:val="124"/>
          <w:rFonts w:hint="eastAsia" w:ascii="宋体"/>
        </w:rPr>
      </w:pPr>
      <w:r>
        <w:rPr>
          <w:rStyle w:val="124"/>
          <w:rFonts w:hint="eastAsia" w:ascii="宋体"/>
        </w:rPr>
        <w:t xml:space="preserve">               提升速度------2m/s</w:t>
      </w:r>
    </w:p>
    <w:p w14:paraId="72171746">
      <w:pPr>
        <w:spacing w:line="360" w:lineRule="auto"/>
        <w:ind w:firstLine="480" w:firstLineChars="200"/>
        <w:rPr>
          <w:rStyle w:val="124"/>
          <w:rFonts w:hint="eastAsia" w:ascii="宋体"/>
        </w:rPr>
      </w:pPr>
      <w:r>
        <w:rPr>
          <w:rStyle w:val="124"/>
          <w:rFonts w:hint="eastAsia" w:ascii="宋体"/>
        </w:rPr>
        <w:t xml:space="preserve">               滚筒----------1600×1500</w:t>
      </w:r>
    </w:p>
    <w:p w14:paraId="78AE69F5">
      <w:pPr>
        <w:spacing w:line="360" w:lineRule="auto"/>
        <w:ind w:firstLine="480" w:firstLineChars="200"/>
        <w:rPr>
          <w:rStyle w:val="124"/>
          <w:rFonts w:hint="eastAsia" w:ascii="宋体"/>
        </w:rPr>
      </w:pPr>
      <w:r>
        <w:rPr>
          <w:rStyle w:val="124"/>
          <w:rFonts w:hint="eastAsia" w:ascii="宋体"/>
        </w:rPr>
        <w:t xml:space="preserve">               电机功率------110KW</w:t>
      </w:r>
    </w:p>
    <w:p w14:paraId="236DABA2">
      <w:pPr>
        <w:spacing w:line="360" w:lineRule="auto"/>
        <w:ind w:firstLine="480" w:firstLineChars="200"/>
        <w:rPr>
          <w:rStyle w:val="124"/>
          <w:rFonts w:hint="eastAsia" w:ascii="宋体"/>
        </w:rPr>
      </w:pPr>
      <w:r>
        <w:rPr>
          <w:rStyle w:val="124"/>
          <w:rFonts w:hint="eastAsia" w:ascii="宋体"/>
        </w:rPr>
        <w:t xml:space="preserve">               电压----------380V</w:t>
      </w:r>
    </w:p>
    <w:p w14:paraId="5671054E">
      <w:pPr>
        <w:spacing w:line="360" w:lineRule="auto"/>
        <w:ind w:firstLine="480" w:firstLineChars="200"/>
        <w:rPr>
          <w:rStyle w:val="124"/>
          <w:rFonts w:hint="eastAsia" w:ascii="宋体" w:hAnsi="宋体"/>
        </w:rPr>
      </w:pPr>
      <w:r>
        <w:rPr>
          <w:rStyle w:val="124"/>
          <w:rFonts w:hint="eastAsia" w:ascii="宋体" w:hAnsi="宋体"/>
        </w:rPr>
        <w:t>绞车强度验算</w:t>
      </w:r>
    </w:p>
    <w:p w14:paraId="6C0F9F08">
      <w:pPr>
        <w:spacing w:line="360" w:lineRule="auto"/>
        <w:ind w:firstLine="480" w:firstLineChars="200"/>
        <w:rPr>
          <w:rStyle w:val="124"/>
          <w:rFonts w:hint="eastAsia" w:ascii="宋体" w:hAnsi="宋体"/>
        </w:rPr>
      </w:pPr>
      <w:r>
        <w:rPr>
          <w:rStyle w:val="124"/>
          <w:rFonts w:hint="eastAsia" w:ascii="宋体" w:hAnsi="宋体"/>
        </w:rPr>
        <w:t>Fe=</w:t>
      </w:r>
      <w:r>
        <w:rPr>
          <w:rFonts w:hint="eastAsia" w:ascii="宋体" w:hAnsi="宋体"/>
          <w:sz w:val="24"/>
        </w:rPr>
        <w:t>29.889</w:t>
      </w:r>
      <w:r>
        <w:rPr>
          <w:rStyle w:val="124"/>
          <w:rFonts w:hint="eastAsia" w:ascii="宋体" w:hAnsi="宋体"/>
        </w:rPr>
        <w:t>(KN)</w:t>
      </w:r>
    </w:p>
    <w:p w14:paraId="709B6710">
      <w:pPr>
        <w:spacing w:line="360" w:lineRule="auto"/>
        <w:ind w:firstLine="480" w:firstLineChars="200"/>
        <w:rPr>
          <w:rStyle w:val="124"/>
          <w:rFonts w:hint="eastAsia" w:ascii="宋体" w:hAnsi="宋体"/>
        </w:rPr>
      </w:pPr>
      <w:r>
        <w:rPr>
          <w:rStyle w:val="124"/>
          <w:rFonts w:hint="eastAsia" w:ascii="宋体" w:hAnsi="宋体"/>
        </w:rPr>
        <w:t>Fe＜Fmax，所以，所选绞车强度符合要求。</w:t>
      </w:r>
    </w:p>
    <w:p w14:paraId="4D82E177">
      <w:pPr>
        <w:spacing w:line="360" w:lineRule="auto"/>
        <w:ind w:firstLine="480" w:firstLineChars="200"/>
        <w:rPr>
          <w:rStyle w:val="124"/>
          <w:rFonts w:hint="eastAsia" w:ascii="宋体" w:hAnsi="宋体"/>
        </w:rPr>
      </w:pPr>
      <w:r>
        <w:rPr>
          <w:rStyle w:val="124"/>
          <w:rFonts w:hint="eastAsia" w:ascii="宋体" w:hAnsi="宋体" w:cs="宋体"/>
        </w:rPr>
        <w:t>⒂</w:t>
      </w:r>
      <w:r>
        <w:rPr>
          <w:rStyle w:val="124"/>
          <w:rFonts w:ascii="宋体" w:hAnsi="宋体" w:cs="宋体"/>
        </w:rPr>
        <w:t xml:space="preserve"> </w:t>
      </w:r>
      <w:r>
        <w:rPr>
          <w:rStyle w:val="124"/>
          <w:rFonts w:hint="eastAsia" w:ascii="宋体" w:hAnsi="宋体"/>
        </w:rPr>
        <w:t>选电机</w:t>
      </w:r>
    </w:p>
    <w:p w14:paraId="7755ABE4">
      <w:pPr>
        <w:spacing w:line="360" w:lineRule="auto"/>
        <w:ind w:firstLine="480" w:firstLineChars="200"/>
        <w:rPr>
          <w:rStyle w:val="124"/>
          <w:rFonts w:hint="eastAsia" w:ascii="宋体" w:hAnsi="宋体"/>
        </w:rPr>
      </w:pPr>
      <w:r>
        <w:rPr>
          <w:rStyle w:val="124"/>
          <w:rFonts w:hint="eastAsia" w:ascii="宋体" w:hAnsi="宋体"/>
        </w:rPr>
        <w:t>计算所需功率 P=kFjmax×v÷1000÷η</w:t>
      </w:r>
    </w:p>
    <w:p w14:paraId="25C0B848">
      <w:pPr>
        <w:spacing w:line="360" w:lineRule="auto"/>
        <w:ind w:firstLine="2160" w:firstLineChars="900"/>
        <w:rPr>
          <w:rStyle w:val="124"/>
          <w:rFonts w:hint="eastAsia" w:ascii="宋体" w:hAnsi="宋体"/>
        </w:rPr>
      </w:pPr>
      <w:r>
        <w:rPr>
          <w:rStyle w:val="124"/>
          <w:rFonts w:hint="eastAsia" w:ascii="宋体" w:hAnsi="宋体"/>
        </w:rPr>
        <w:t>=1.15×</w:t>
      </w:r>
      <w:r>
        <w:rPr>
          <w:rFonts w:hint="eastAsia" w:ascii="宋体" w:hAnsi="宋体"/>
          <w:sz w:val="24"/>
        </w:rPr>
        <w:t>29.889</w:t>
      </w:r>
      <w:r>
        <w:rPr>
          <w:rStyle w:val="124"/>
          <w:rFonts w:hint="eastAsia" w:ascii="宋体" w:hAnsi="宋体"/>
        </w:rPr>
        <w:t>×2÷0.85＝84(kW)</w:t>
      </w:r>
    </w:p>
    <w:p w14:paraId="3F21051F">
      <w:pPr>
        <w:spacing w:line="360" w:lineRule="auto"/>
        <w:ind w:firstLine="480" w:firstLineChars="200"/>
        <w:rPr>
          <w:rStyle w:val="124"/>
          <w:rFonts w:hint="eastAsia" w:ascii="宋体" w:hAnsi="宋体"/>
        </w:rPr>
      </w:pPr>
      <w:r>
        <w:rPr>
          <w:rStyle w:val="124"/>
          <w:rFonts w:hint="eastAsia" w:ascii="宋体" w:hAnsi="宋体"/>
        </w:rPr>
        <w:t>选配套电机110KW、38</w:t>
      </w:r>
      <w:r>
        <w:rPr>
          <w:rStyle w:val="124"/>
          <w:rFonts w:ascii="宋体" w:hAnsi="宋体"/>
        </w:rPr>
        <w:t>0</w:t>
      </w:r>
      <w:r>
        <w:rPr>
          <w:rStyle w:val="124"/>
          <w:rFonts w:hint="eastAsia" w:ascii="宋体" w:hAnsi="宋体"/>
        </w:rPr>
        <w:t>V一台。</w:t>
      </w:r>
    </w:p>
    <w:p w14:paraId="21E200F5">
      <w:pPr>
        <w:spacing w:line="360" w:lineRule="auto"/>
        <w:ind w:firstLine="480" w:firstLineChars="200"/>
        <w:rPr>
          <w:rStyle w:val="124"/>
          <w:rFonts w:hint="eastAsia" w:ascii="宋体" w:hAnsi="宋体"/>
        </w:rPr>
      </w:pPr>
      <w:r>
        <w:rPr>
          <w:rStyle w:val="124"/>
          <w:rFonts w:hint="eastAsia" w:ascii="宋体" w:hAnsi="宋体"/>
        </w:rPr>
        <w:t>⒃ 天轮选型计算</w:t>
      </w:r>
    </w:p>
    <w:p w14:paraId="10DC265E">
      <w:pPr>
        <w:spacing w:line="360" w:lineRule="auto"/>
        <w:ind w:firstLine="480" w:firstLineChars="200"/>
        <w:rPr>
          <w:rStyle w:val="124"/>
          <w:rFonts w:hint="eastAsia" w:ascii="宋体" w:hAnsi="宋体"/>
        </w:rPr>
      </w:pPr>
      <w:r>
        <w:rPr>
          <w:rStyle w:val="124"/>
          <w:rFonts w:hint="eastAsia" w:ascii="宋体" w:hAnsi="宋体"/>
        </w:rPr>
        <w:t>井下天轮，围包角大于90°:</w:t>
      </w:r>
    </w:p>
    <w:p w14:paraId="1A6ACDD7">
      <w:pPr>
        <w:spacing w:line="360" w:lineRule="auto"/>
        <w:ind w:firstLine="480" w:firstLineChars="200"/>
        <w:rPr>
          <w:rStyle w:val="124"/>
          <w:rFonts w:hint="eastAsia" w:ascii="宋体" w:hAnsi="宋体"/>
        </w:rPr>
      </w:pPr>
      <w:r>
        <w:rPr>
          <w:rStyle w:val="124"/>
          <w:rFonts w:hint="eastAsia" w:ascii="宋体" w:hAnsi="宋体"/>
        </w:rPr>
        <w:t>DT≥80d=80×20=1600(mm)</w:t>
      </w:r>
    </w:p>
    <w:p w14:paraId="21419E63">
      <w:pPr>
        <w:spacing w:line="360" w:lineRule="auto"/>
        <w:ind w:firstLine="480" w:firstLineChars="200"/>
        <w:rPr>
          <w:rStyle w:val="124"/>
          <w:rFonts w:hint="eastAsia" w:ascii="宋体" w:hAnsi="宋体"/>
        </w:rPr>
      </w:pPr>
      <w:r>
        <w:rPr>
          <w:rStyle w:val="124"/>
          <w:rFonts w:hint="eastAsia" w:ascii="宋体" w:hAnsi="宋体"/>
        </w:rPr>
        <w:t>天轮选用TLG1600/10-11，</w:t>
      </w:r>
      <w:r>
        <w:rPr>
          <w:rStyle w:val="124"/>
          <w:rFonts w:ascii="宋体" w:hAnsi="宋体"/>
        </w:rPr>
        <w:t>绳槽底圆直径D(mm)</w:t>
      </w:r>
      <w:r>
        <w:rPr>
          <w:rStyle w:val="124"/>
          <w:rFonts w:hint="eastAsia" w:ascii="宋体" w:hAnsi="宋体"/>
        </w:rPr>
        <w:t>：1600；</w:t>
      </w:r>
      <w:r>
        <w:rPr>
          <w:rStyle w:val="124"/>
          <w:rFonts w:ascii="宋体" w:hAnsi="宋体"/>
        </w:rPr>
        <w:t>绳槽半径R(mm)</w:t>
      </w:r>
      <w:r>
        <w:rPr>
          <w:rStyle w:val="124"/>
          <w:rFonts w:hint="eastAsia" w:ascii="宋体" w:hAnsi="宋体"/>
        </w:rPr>
        <w:t>：10、11；</w:t>
      </w:r>
      <w:r>
        <w:rPr>
          <w:rStyle w:val="124"/>
          <w:rFonts w:ascii="宋体" w:hAnsi="宋体"/>
        </w:rPr>
        <w:t>适用钢丝绳直径(mm)</w:t>
      </w:r>
      <w:r>
        <w:rPr>
          <w:rStyle w:val="124"/>
          <w:rFonts w:hint="eastAsia" w:ascii="宋体" w:hAnsi="宋体"/>
        </w:rPr>
        <w:t>：15～20；</w:t>
      </w:r>
      <w:r>
        <w:rPr>
          <w:rStyle w:val="124"/>
          <w:rFonts w:ascii="宋体" w:hAnsi="宋体"/>
        </w:rPr>
        <w:t>轴承座中心高(mm)</w:t>
      </w:r>
      <w:r>
        <w:rPr>
          <w:rStyle w:val="124"/>
          <w:rFonts w:hint="eastAsia" w:ascii="宋体" w:hAnsi="宋体"/>
        </w:rPr>
        <w:t>：140</w:t>
      </w:r>
    </w:p>
    <w:p w14:paraId="2D755A1F">
      <w:pPr>
        <w:tabs>
          <w:tab w:val="left" w:pos="180"/>
          <w:tab w:val="left" w:pos="720"/>
        </w:tabs>
        <w:spacing w:line="440" w:lineRule="exact"/>
        <w:ind w:firstLine="480" w:firstLineChars="200"/>
        <w:jc w:val="left"/>
        <w:rPr>
          <w:rFonts w:hint="eastAsia" w:ascii="宋体" w:hAnsi="宋体"/>
          <w:sz w:val="24"/>
        </w:rPr>
      </w:pPr>
      <w:r>
        <w:rPr>
          <w:rFonts w:hint="eastAsia" w:ascii="宋体" w:hAnsi="宋体"/>
          <w:sz w:val="24"/>
        </w:rPr>
        <w:t>⒄ 选提升机电控</w:t>
      </w:r>
    </w:p>
    <w:p w14:paraId="69835025">
      <w:pPr>
        <w:spacing w:line="440" w:lineRule="exact"/>
        <w:ind w:firstLine="460" w:firstLineChars="192"/>
        <w:rPr>
          <w:rFonts w:hint="eastAsia" w:ascii="宋体" w:hAnsi="宋体"/>
          <w:sz w:val="24"/>
        </w:rPr>
      </w:pPr>
      <w:r>
        <w:rPr>
          <w:rFonts w:hint="eastAsia" w:ascii="宋体" w:hAnsi="宋体"/>
          <w:sz w:val="24"/>
        </w:rPr>
        <w:t>选用全数字低压交流变频调速电控设备TKD－ZCB－33型一套；</w:t>
      </w:r>
    </w:p>
    <w:p w14:paraId="318624CF">
      <w:pPr>
        <w:tabs>
          <w:tab w:val="left" w:pos="180"/>
          <w:tab w:val="left" w:pos="720"/>
        </w:tabs>
        <w:spacing w:line="440" w:lineRule="exact"/>
        <w:ind w:firstLine="480" w:firstLineChars="200"/>
        <w:jc w:val="left"/>
        <w:rPr>
          <w:rFonts w:hint="eastAsia" w:ascii="宋体" w:hAnsi="宋体"/>
          <w:sz w:val="24"/>
        </w:rPr>
      </w:pPr>
      <w:r>
        <w:rPr>
          <w:rFonts w:hint="eastAsia" w:ascii="宋体" w:hAnsi="宋体"/>
          <w:sz w:val="24"/>
        </w:rPr>
        <w:t>⒅ 提升机安全制动</w:t>
      </w:r>
    </w:p>
    <w:p w14:paraId="2DFC4131">
      <w:pPr>
        <w:spacing w:line="360" w:lineRule="auto"/>
        <w:ind w:firstLine="480" w:firstLineChars="200"/>
        <w:jc w:val="left"/>
        <w:rPr>
          <w:rFonts w:hint="eastAsia"/>
          <w:sz w:val="24"/>
        </w:rPr>
      </w:pPr>
      <w:r>
        <w:rPr>
          <w:rFonts w:hint="eastAsia"/>
          <w:sz w:val="24"/>
        </w:rPr>
        <w:t>根据初设的计算结果，钢丝绳最大静张力</w:t>
      </w:r>
      <w:r>
        <w:rPr>
          <w:kern w:val="0"/>
          <w:sz w:val="24"/>
        </w:rPr>
        <w:t>Fj =</w:t>
      </w:r>
      <w:r>
        <w:rPr>
          <w:sz w:val="24"/>
        </w:rPr>
        <w:t xml:space="preserve"> </w:t>
      </w:r>
      <w:r>
        <w:rPr>
          <w:rFonts w:hint="eastAsia"/>
          <w:sz w:val="24"/>
        </w:rPr>
        <w:t>29.889</w:t>
      </w:r>
      <w:r>
        <w:rPr>
          <w:sz w:val="24"/>
        </w:rPr>
        <w:t xml:space="preserve"> kN</w:t>
      </w:r>
      <w:r>
        <w:rPr>
          <w:rFonts w:hint="eastAsia"/>
          <w:sz w:val="24"/>
        </w:rPr>
        <w:t>。所以本副井提升系统在安全制动终了时的全部盘形闸所提供的制动力矩</w:t>
      </w:r>
      <w:r>
        <w:rPr>
          <w:sz w:val="24"/>
        </w:rPr>
        <w:t>M</w:t>
      </w:r>
      <w:r>
        <w:rPr>
          <w:sz w:val="24"/>
          <w:vertAlign w:val="subscript"/>
        </w:rPr>
        <w:t>Z</w:t>
      </w:r>
      <w:r>
        <w:rPr>
          <w:sz w:val="24"/>
        </w:rPr>
        <w:t>≥3×</w:t>
      </w:r>
      <w:r>
        <w:rPr>
          <w:rFonts w:hint="eastAsia"/>
          <w:sz w:val="24"/>
        </w:rPr>
        <w:t>0.8</w:t>
      </w:r>
      <w:r>
        <w:rPr>
          <w:sz w:val="24"/>
        </w:rPr>
        <w:t>×</w:t>
      </w:r>
      <w:r>
        <w:rPr>
          <w:rFonts w:hint="eastAsia"/>
          <w:sz w:val="24"/>
        </w:rPr>
        <w:t>29.889</w:t>
      </w:r>
      <w:r>
        <w:rPr>
          <w:sz w:val="24"/>
        </w:rPr>
        <w:t xml:space="preserve"> = </w:t>
      </w:r>
      <w:r>
        <w:rPr>
          <w:rFonts w:hint="eastAsia"/>
          <w:sz w:val="24"/>
        </w:rPr>
        <w:t>71.734</w:t>
      </w:r>
      <w:r>
        <w:rPr>
          <w:sz w:val="24"/>
        </w:rPr>
        <w:t>kNm</w:t>
      </w:r>
      <w:r>
        <w:rPr>
          <w:rFonts w:hint="eastAsia"/>
          <w:sz w:val="24"/>
        </w:rPr>
        <w:t>。以此数据选择液压制动系统的最大油压值。考虑到倾斜井巷安全制动时的减速度不得大于自然减速度</w:t>
      </w:r>
      <w:r>
        <w:rPr>
          <w:sz w:val="24"/>
        </w:rPr>
        <w:t>A</w:t>
      </w:r>
      <w:r>
        <w:rPr>
          <w:sz w:val="24"/>
          <w:vertAlign w:val="subscript"/>
        </w:rPr>
        <w:t>C</w:t>
      </w:r>
      <w:r>
        <w:rPr>
          <w:rFonts w:hint="eastAsia"/>
          <w:sz w:val="24"/>
        </w:rPr>
        <w:t>，设计采取二级制动方式，以满足《煤矿安全规程》的要求。</w:t>
      </w:r>
    </w:p>
    <w:p w14:paraId="23702722">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三、11015采面运输顺槽胶带机选型</w:t>
      </w:r>
    </w:p>
    <w:p w14:paraId="56F2F7C2">
      <w:pPr>
        <w:spacing w:line="360" w:lineRule="auto"/>
        <w:ind w:firstLine="480" w:firstLineChars="200"/>
        <w:rPr>
          <w:rFonts w:hint="eastAsia" w:ascii="宋体" w:hAnsi="宋体"/>
          <w:sz w:val="24"/>
        </w:rPr>
      </w:pPr>
      <w:r>
        <w:rPr>
          <w:rFonts w:hint="eastAsia" w:ascii="宋体" w:hAnsi="宋体"/>
          <w:sz w:val="24"/>
        </w:rPr>
        <w:t>采面运输顺槽总长586m,倾角0°,计算和主斜井的基本一样。经计算，采面运输顺槽选1台</w:t>
      </w:r>
      <w:r>
        <w:rPr>
          <w:rFonts w:ascii="宋体" w:hAnsi="宋体"/>
          <w:sz w:val="24"/>
        </w:rPr>
        <w:t>D</w:t>
      </w:r>
      <w:r>
        <w:rPr>
          <w:rFonts w:hint="eastAsia" w:ascii="宋体" w:hAnsi="宋体"/>
          <w:sz w:val="24"/>
        </w:rPr>
        <w:t>SJ80/20/55可伸缩型胶带机</w:t>
      </w:r>
      <w:r>
        <w:rPr>
          <w:rFonts w:ascii="宋体" w:hAnsi="宋体"/>
          <w:sz w:val="24"/>
        </w:rPr>
        <w:t>,</w:t>
      </w:r>
      <w:r>
        <w:rPr>
          <w:rFonts w:hint="eastAsia" w:ascii="宋体" w:hAnsi="宋体"/>
          <w:sz w:val="24"/>
        </w:rPr>
        <w:t>参数如下：</w:t>
      </w:r>
    </w:p>
    <w:p w14:paraId="3B298D60">
      <w:pPr>
        <w:spacing w:line="360" w:lineRule="auto"/>
        <w:ind w:firstLine="480" w:firstLineChars="200"/>
        <w:rPr>
          <w:rFonts w:hint="eastAsia" w:ascii="宋体" w:hAnsi="宋体"/>
          <w:sz w:val="24"/>
        </w:rPr>
      </w:pPr>
      <w:r>
        <w:rPr>
          <w:rFonts w:hint="eastAsia" w:ascii="宋体" w:hAnsi="宋体"/>
          <w:sz w:val="24"/>
        </w:rPr>
        <w:t>·输送距离L＝586m</w:t>
      </w:r>
    </w:p>
    <w:p w14:paraId="21151340">
      <w:pPr>
        <w:spacing w:line="360" w:lineRule="auto"/>
        <w:ind w:firstLine="480" w:firstLineChars="200"/>
        <w:rPr>
          <w:rFonts w:hint="eastAsia" w:ascii="宋体" w:hAnsi="宋体"/>
          <w:sz w:val="24"/>
        </w:rPr>
      </w:pPr>
      <w:r>
        <w:rPr>
          <w:rFonts w:hint="eastAsia" w:ascii="宋体" w:hAnsi="宋体"/>
          <w:sz w:val="24"/>
        </w:rPr>
        <w:t>·带宽B=800mm,带速v=2m/s,输送量Q=2</w:t>
      </w:r>
      <w:r>
        <w:rPr>
          <w:rFonts w:ascii="宋体" w:hAnsi="宋体"/>
          <w:sz w:val="24"/>
        </w:rPr>
        <w:t>0</w:t>
      </w:r>
      <w:r>
        <w:rPr>
          <w:rFonts w:hint="eastAsia" w:ascii="宋体" w:hAnsi="宋体"/>
          <w:sz w:val="24"/>
        </w:rPr>
        <w:t>0t/h</w:t>
      </w:r>
    </w:p>
    <w:p w14:paraId="7BD88439">
      <w:pPr>
        <w:spacing w:line="360" w:lineRule="auto"/>
        <w:ind w:firstLine="480" w:firstLineChars="200"/>
        <w:rPr>
          <w:rFonts w:hint="eastAsia" w:ascii="宋体" w:hAnsi="宋体"/>
          <w:sz w:val="24"/>
        </w:rPr>
      </w:pPr>
      <w:r>
        <w:rPr>
          <w:rFonts w:hint="eastAsia" w:ascii="宋体" w:hAnsi="宋体"/>
          <w:sz w:val="24"/>
        </w:rPr>
        <w:t>·输送带：橡胶面整芯阻燃输送带500</w:t>
      </w:r>
      <w:r>
        <w:rPr>
          <w:rFonts w:ascii="宋体" w:hAnsi="宋体"/>
          <w:sz w:val="24"/>
        </w:rPr>
        <w:t>S</w:t>
      </w:r>
      <w:r>
        <w:rPr>
          <w:rFonts w:hint="eastAsia" w:ascii="宋体" w:hAnsi="宋体"/>
          <w:sz w:val="24"/>
        </w:rPr>
        <w:t>,安全系数15.6</w:t>
      </w:r>
    </w:p>
    <w:p w14:paraId="5733595C">
      <w:pPr>
        <w:spacing w:line="360" w:lineRule="auto"/>
        <w:ind w:firstLine="480" w:firstLineChars="200"/>
        <w:rPr>
          <w:rFonts w:hint="eastAsia" w:ascii="宋体" w:hAnsi="宋体"/>
          <w:sz w:val="24"/>
        </w:rPr>
      </w:pPr>
      <w:r>
        <w:rPr>
          <w:rFonts w:hint="eastAsia" w:ascii="宋体" w:hAnsi="宋体"/>
          <w:sz w:val="24"/>
        </w:rPr>
        <w:t>·电动机：55kW，</w:t>
      </w:r>
      <w:r>
        <w:rPr>
          <w:rFonts w:ascii="宋体" w:hAnsi="宋体"/>
          <w:sz w:val="24"/>
        </w:rPr>
        <w:t>660</w:t>
      </w:r>
      <w:r>
        <w:rPr>
          <w:rFonts w:hint="eastAsia" w:ascii="宋体" w:hAnsi="宋体"/>
          <w:sz w:val="24"/>
        </w:rPr>
        <w:t>V，1台</w:t>
      </w:r>
    </w:p>
    <w:p w14:paraId="228649CA">
      <w:pPr>
        <w:spacing w:line="360" w:lineRule="auto"/>
        <w:ind w:firstLine="480" w:firstLineChars="200"/>
        <w:rPr>
          <w:rFonts w:hint="eastAsia" w:ascii="宋体" w:hAnsi="宋体"/>
          <w:sz w:val="24"/>
        </w:rPr>
      </w:pPr>
      <w:r>
        <w:rPr>
          <w:rFonts w:hint="eastAsia" w:ascii="宋体" w:hAnsi="宋体"/>
          <w:sz w:val="24"/>
        </w:rPr>
        <w:t>·拉紧装置：自控液压拉紧装置SZYL</w:t>
      </w:r>
    </w:p>
    <w:p w14:paraId="0A9AE3D1">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四、131运输石门胶带机选型</w:t>
      </w:r>
    </w:p>
    <w:p w14:paraId="3366B031">
      <w:pPr>
        <w:spacing w:line="360" w:lineRule="auto"/>
        <w:ind w:firstLine="480" w:firstLineChars="200"/>
        <w:rPr>
          <w:rFonts w:hint="eastAsia" w:ascii="宋体" w:hAnsi="宋体"/>
          <w:sz w:val="24"/>
        </w:rPr>
      </w:pPr>
      <w:r>
        <w:rPr>
          <w:rFonts w:hint="eastAsia" w:ascii="宋体" w:hAnsi="宋体"/>
          <w:sz w:val="24"/>
        </w:rPr>
        <w:t>采面运输顺槽总长355m,倾角0°,计算和采面运输顺槽的基本一样。经计算，131运输石门选1台</w:t>
      </w:r>
      <w:r>
        <w:rPr>
          <w:rFonts w:ascii="宋体" w:hAnsi="宋体"/>
          <w:sz w:val="24"/>
        </w:rPr>
        <w:t>D</w:t>
      </w:r>
      <w:r>
        <w:rPr>
          <w:rFonts w:hint="eastAsia" w:ascii="宋体" w:hAnsi="宋体"/>
          <w:sz w:val="24"/>
        </w:rPr>
        <w:t>TL80/20/40型胶带机</w:t>
      </w:r>
      <w:r>
        <w:rPr>
          <w:rFonts w:ascii="宋体" w:hAnsi="宋体"/>
          <w:sz w:val="24"/>
        </w:rPr>
        <w:t>,</w:t>
      </w:r>
      <w:r>
        <w:rPr>
          <w:rFonts w:hint="eastAsia" w:ascii="宋体" w:hAnsi="宋体"/>
          <w:sz w:val="24"/>
        </w:rPr>
        <w:t>参数如下：</w:t>
      </w:r>
    </w:p>
    <w:p w14:paraId="76F15D1F">
      <w:pPr>
        <w:spacing w:line="360" w:lineRule="auto"/>
        <w:ind w:firstLine="480" w:firstLineChars="200"/>
        <w:rPr>
          <w:rFonts w:hint="eastAsia" w:ascii="宋体" w:hAnsi="宋体"/>
          <w:sz w:val="24"/>
        </w:rPr>
      </w:pPr>
      <w:r>
        <w:rPr>
          <w:rFonts w:hint="eastAsia" w:ascii="宋体" w:hAnsi="宋体"/>
          <w:sz w:val="24"/>
        </w:rPr>
        <w:t>·输送距离L＝355m</w:t>
      </w:r>
    </w:p>
    <w:p w14:paraId="005ACE4A">
      <w:pPr>
        <w:spacing w:line="360" w:lineRule="auto"/>
        <w:ind w:firstLine="480" w:firstLineChars="200"/>
        <w:rPr>
          <w:rFonts w:hint="eastAsia" w:ascii="宋体" w:hAnsi="宋体"/>
          <w:sz w:val="24"/>
        </w:rPr>
      </w:pPr>
      <w:r>
        <w:rPr>
          <w:rFonts w:hint="eastAsia" w:ascii="宋体" w:hAnsi="宋体"/>
          <w:sz w:val="24"/>
        </w:rPr>
        <w:t>·带宽B=800mm,带速v=2m/s,输送量Q=2</w:t>
      </w:r>
      <w:r>
        <w:rPr>
          <w:rFonts w:ascii="宋体" w:hAnsi="宋体"/>
          <w:sz w:val="24"/>
        </w:rPr>
        <w:t>0</w:t>
      </w:r>
      <w:r>
        <w:rPr>
          <w:rFonts w:hint="eastAsia" w:ascii="宋体" w:hAnsi="宋体"/>
          <w:sz w:val="24"/>
        </w:rPr>
        <w:t>0t/h</w:t>
      </w:r>
    </w:p>
    <w:p w14:paraId="288737B3">
      <w:pPr>
        <w:spacing w:line="360" w:lineRule="auto"/>
        <w:ind w:firstLine="480" w:firstLineChars="200"/>
        <w:rPr>
          <w:rFonts w:hint="eastAsia" w:ascii="宋体" w:hAnsi="宋体"/>
          <w:sz w:val="24"/>
        </w:rPr>
      </w:pPr>
      <w:r>
        <w:rPr>
          <w:rFonts w:hint="eastAsia" w:ascii="宋体" w:hAnsi="宋体"/>
          <w:sz w:val="24"/>
        </w:rPr>
        <w:t>·输送带：橡胶面整芯阻燃输送带500</w:t>
      </w:r>
      <w:r>
        <w:rPr>
          <w:rFonts w:ascii="宋体" w:hAnsi="宋体"/>
          <w:sz w:val="24"/>
        </w:rPr>
        <w:t>S</w:t>
      </w:r>
      <w:r>
        <w:rPr>
          <w:rFonts w:hint="eastAsia" w:ascii="宋体" w:hAnsi="宋体"/>
          <w:sz w:val="24"/>
        </w:rPr>
        <w:t>,安全系数18.6</w:t>
      </w:r>
    </w:p>
    <w:p w14:paraId="65335AC5">
      <w:pPr>
        <w:spacing w:line="360" w:lineRule="auto"/>
        <w:ind w:firstLine="480" w:firstLineChars="200"/>
        <w:rPr>
          <w:rFonts w:hint="eastAsia" w:ascii="宋体" w:hAnsi="宋体"/>
          <w:sz w:val="24"/>
        </w:rPr>
      </w:pPr>
      <w:r>
        <w:rPr>
          <w:rFonts w:hint="eastAsia" w:ascii="宋体" w:hAnsi="宋体"/>
          <w:sz w:val="24"/>
        </w:rPr>
        <w:t>·电动机：40kW，</w:t>
      </w:r>
      <w:r>
        <w:rPr>
          <w:rFonts w:ascii="宋体" w:hAnsi="宋体"/>
          <w:sz w:val="24"/>
        </w:rPr>
        <w:t>660</w:t>
      </w:r>
      <w:r>
        <w:rPr>
          <w:rFonts w:hint="eastAsia" w:ascii="宋体" w:hAnsi="宋体"/>
          <w:sz w:val="24"/>
        </w:rPr>
        <w:t>V，1台</w:t>
      </w:r>
    </w:p>
    <w:p w14:paraId="6D125B43">
      <w:pPr>
        <w:spacing w:line="360" w:lineRule="auto"/>
        <w:ind w:firstLine="480" w:firstLineChars="200"/>
        <w:rPr>
          <w:rFonts w:hint="eastAsia" w:ascii="宋体" w:hAnsi="宋体"/>
          <w:sz w:val="24"/>
        </w:rPr>
      </w:pPr>
      <w:r>
        <w:rPr>
          <w:rFonts w:hint="eastAsia" w:ascii="宋体" w:hAnsi="宋体"/>
          <w:sz w:val="24"/>
        </w:rPr>
        <w:t>·拉紧装置：自控液压拉紧装置SZYL</w:t>
      </w:r>
    </w:p>
    <w:p w14:paraId="36407046">
      <w:pPr>
        <w:pStyle w:val="3"/>
        <w:keepLines/>
        <w:spacing w:before="260" w:after="260" w:line="360" w:lineRule="auto"/>
        <w:ind w:firstLine="0" w:firstLineChars="0"/>
        <w:jc w:val="center"/>
        <w:rPr>
          <w:rFonts w:hint="eastAsia"/>
          <w:b/>
          <w:color w:val="000000"/>
          <w:sz w:val="32"/>
          <w:szCs w:val="32"/>
        </w:rPr>
      </w:pPr>
      <w:bookmarkStart w:id="593" w:name="_Toc259438263"/>
      <w:bookmarkStart w:id="594" w:name="_Toc260915270"/>
      <w:r>
        <w:rPr>
          <w:rFonts w:hint="eastAsia"/>
          <w:b/>
          <w:color w:val="000000"/>
          <w:sz w:val="32"/>
          <w:szCs w:val="32"/>
        </w:rPr>
        <w:t>第二节　　通风设备</w:t>
      </w:r>
      <w:bookmarkEnd w:id="593"/>
      <w:bookmarkEnd w:id="594"/>
    </w:p>
    <w:p w14:paraId="7BF7DD9D">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一、</w:t>
      </w:r>
      <w:r>
        <w:rPr>
          <w:b/>
          <w:color w:val="000000"/>
          <w:szCs w:val="20"/>
        </w:rPr>
        <w:t>设计依据</w:t>
      </w:r>
    </w:p>
    <w:p w14:paraId="5DD507A2">
      <w:pPr>
        <w:pStyle w:val="29"/>
        <w:spacing w:line="360" w:lineRule="auto"/>
        <w:ind w:firstLine="480"/>
        <w:jc w:val="center"/>
        <w:rPr>
          <w:rFonts w:hint="eastAsia" w:ascii="Times New Roman" w:hAnsi="Times New Roman"/>
          <w:sz w:val="24"/>
          <w:szCs w:val="24"/>
        </w:rPr>
      </w:pPr>
      <w:r>
        <w:rPr>
          <w:rFonts w:hint="eastAsia" w:ascii="Times New Roman" w:hAnsi="Times New Roman"/>
          <w:sz w:val="24"/>
          <w:szCs w:val="24"/>
        </w:rPr>
        <w:t>矿井通风参数表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3097"/>
        <w:gridCol w:w="2986"/>
      </w:tblGrid>
      <w:tr w14:paraId="0CD4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988" w:type="dxa"/>
            <w:noWrap w:val="0"/>
            <w:vAlign w:val="center"/>
          </w:tcPr>
          <w:p w14:paraId="7BBB6DFC">
            <w:pPr>
              <w:pStyle w:val="29"/>
              <w:spacing w:line="240" w:lineRule="exact"/>
              <w:ind w:firstLine="480"/>
              <w:rPr>
                <w:rFonts w:hint="eastAsia"/>
                <w:sz w:val="24"/>
                <w:szCs w:val="24"/>
              </w:rPr>
            </w:pPr>
            <w:r>
              <w:rPr>
                <w:rFonts w:hint="eastAsia"/>
                <w:sz w:val="24"/>
                <w:szCs w:val="24"/>
              </w:rPr>
              <w:t>名称</w:t>
            </w:r>
          </w:p>
        </w:tc>
        <w:tc>
          <w:tcPr>
            <w:tcW w:w="3097" w:type="dxa"/>
            <w:noWrap w:val="0"/>
            <w:vAlign w:val="center"/>
          </w:tcPr>
          <w:p w14:paraId="37519C2E">
            <w:pPr>
              <w:pStyle w:val="29"/>
              <w:spacing w:line="240" w:lineRule="exact"/>
              <w:ind w:firstLine="480"/>
              <w:rPr>
                <w:rFonts w:hint="eastAsia"/>
                <w:sz w:val="24"/>
                <w:szCs w:val="24"/>
              </w:rPr>
            </w:pPr>
            <w:r>
              <w:rPr>
                <w:rFonts w:hint="eastAsia"/>
                <w:sz w:val="24"/>
                <w:szCs w:val="24"/>
              </w:rPr>
              <w:t>风 量（m</w:t>
            </w:r>
            <w:r>
              <w:rPr>
                <w:rFonts w:hint="eastAsia"/>
                <w:sz w:val="24"/>
                <w:szCs w:val="24"/>
                <w:vertAlign w:val="superscript"/>
              </w:rPr>
              <w:t>3</w:t>
            </w:r>
            <w:r>
              <w:rPr>
                <w:rFonts w:hint="eastAsia"/>
                <w:sz w:val="24"/>
                <w:szCs w:val="24"/>
              </w:rPr>
              <w:t>/s）</w:t>
            </w:r>
          </w:p>
        </w:tc>
        <w:tc>
          <w:tcPr>
            <w:tcW w:w="2986" w:type="dxa"/>
            <w:noWrap w:val="0"/>
            <w:vAlign w:val="center"/>
          </w:tcPr>
          <w:p w14:paraId="69DF972D">
            <w:pPr>
              <w:pStyle w:val="29"/>
              <w:spacing w:line="240" w:lineRule="exact"/>
              <w:ind w:firstLine="480"/>
              <w:rPr>
                <w:rFonts w:hint="eastAsia"/>
                <w:sz w:val="24"/>
                <w:szCs w:val="24"/>
              </w:rPr>
            </w:pPr>
            <w:r>
              <w:rPr>
                <w:rFonts w:hint="eastAsia"/>
                <w:sz w:val="24"/>
                <w:szCs w:val="24"/>
              </w:rPr>
              <w:t>负 压(Pa)</w:t>
            </w:r>
          </w:p>
        </w:tc>
      </w:tr>
      <w:tr w14:paraId="148F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988" w:type="dxa"/>
            <w:noWrap w:val="0"/>
            <w:vAlign w:val="center"/>
          </w:tcPr>
          <w:p w14:paraId="5011D15D">
            <w:pPr>
              <w:pStyle w:val="29"/>
              <w:spacing w:line="240" w:lineRule="exact"/>
              <w:ind w:firstLine="480"/>
              <w:rPr>
                <w:rFonts w:hint="eastAsia"/>
                <w:sz w:val="24"/>
                <w:szCs w:val="24"/>
              </w:rPr>
            </w:pPr>
            <w:r>
              <w:rPr>
                <w:rFonts w:hint="eastAsia"/>
                <w:sz w:val="24"/>
                <w:szCs w:val="24"/>
              </w:rPr>
              <w:t>投产时期</w:t>
            </w:r>
          </w:p>
        </w:tc>
        <w:tc>
          <w:tcPr>
            <w:tcW w:w="3097" w:type="dxa"/>
            <w:noWrap w:val="0"/>
            <w:vAlign w:val="center"/>
          </w:tcPr>
          <w:p w14:paraId="0C0954B6">
            <w:pPr>
              <w:pStyle w:val="29"/>
              <w:spacing w:line="240" w:lineRule="exact"/>
              <w:ind w:firstLine="480"/>
              <w:jc w:val="center"/>
              <w:rPr>
                <w:rFonts w:hint="eastAsia"/>
                <w:sz w:val="24"/>
                <w:szCs w:val="24"/>
              </w:rPr>
            </w:pPr>
            <w:r>
              <w:rPr>
                <w:rFonts w:hint="eastAsia"/>
                <w:sz w:val="24"/>
                <w:szCs w:val="24"/>
              </w:rPr>
              <w:t>52</w:t>
            </w:r>
          </w:p>
        </w:tc>
        <w:tc>
          <w:tcPr>
            <w:tcW w:w="2986" w:type="dxa"/>
            <w:noWrap w:val="0"/>
            <w:vAlign w:val="center"/>
          </w:tcPr>
          <w:p w14:paraId="0FB6FAD1">
            <w:pPr>
              <w:pStyle w:val="29"/>
              <w:spacing w:line="240" w:lineRule="exact"/>
              <w:ind w:firstLine="480"/>
              <w:rPr>
                <w:rFonts w:hint="eastAsia"/>
                <w:sz w:val="24"/>
                <w:szCs w:val="24"/>
              </w:rPr>
            </w:pPr>
            <w:r>
              <w:rPr>
                <w:rFonts w:hint="eastAsia"/>
                <w:sz w:val="24"/>
                <w:szCs w:val="24"/>
              </w:rPr>
              <w:t>1006.6</w:t>
            </w:r>
          </w:p>
        </w:tc>
      </w:tr>
      <w:tr w14:paraId="5106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988" w:type="dxa"/>
            <w:noWrap w:val="0"/>
            <w:vAlign w:val="center"/>
          </w:tcPr>
          <w:p w14:paraId="528E83AA">
            <w:pPr>
              <w:pStyle w:val="29"/>
              <w:spacing w:line="240" w:lineRule="exact"/>
              <w:ind w:firstLine="480"/>
              <w:rPr>
                <w:rFonts w:hint="eastAsia"/>
                <w:sz w:val="24"/>
                <w:szCs w:val="24"/>
              </w:rPr>
            </w:pPr>
            <w:r>
              <w:rPr>
                <w:rFonts w:hint="eastAsia"/>
                <w:sz w:val="24"/>
                <w:szCs w:val="24"/>
              </w:rPr>
              <w:t>困难时期</w:t>
            </w:r>
          </w:p>
        </w:tc>
        <w:tc>
          <w:tcPr>
            <w:tcW w:w="3097" w:type="dxa"/>
            <w:noWrap w:val="0"/>
            <w:vAlign w:val="center"/>
          </w:tcPr>
          <w:p w14:paraId="7D67E4B4">
            <w:pPr>
              <w:pStyle w:val="29"/>
              <w:spacing w:line="240" w:lineRule="exact"/>
              <w:ind w:firstLine="480"/>
              <w:jc w:val="center"/>
              <w:rPr>
                <w:rFonts w:hint="eastAsia"/>
                <w:sz w:val="24"/>
                <w:szCs w:val="24"/>
              </w:rPr>
            </w:pPr>
            <w:r>
              <w:rPr>
                <w:rFonts w:hint="eastAsia"/>
                <w:sz w:val="24"/>
                <w:szCs w:val="24"/>
              </w:rPr>
              <w:t>57</w:t>
            </w:r>
          </w:p>
        </w:tc>
        <w:tc>
          <w:tcPr>
            <w:tcW w:w="2986" w:type="dxa"/>
            <w:noWrap w:val="0"/>
            <w:vAlign w:val="center"/>
          </w:tcPr>
          <w:p w14:paraId="33F57947">
            <w:pPr>
              <w:pStyle w:val="29"/>
              <w:spacing w:line="240" w:lineRule="exact"/>
              <w:ind w:firstLine="480"/>
              <w:rPr>
                <w:rFonts w:hint="eastAsia"/>
                <w:sz w:val="24"/>
                <w:szCs w:val="24"/>
              </w:rPr>
            </w:pPr>
            <w:r>
              <w:rPr>
                <w:rFonts w:hint="eastAsia"/>
                <w:sz w:val="24"/>
                <w:szCs w:val="24"/>
              </w:rPr>
              <w:t>1588.5</w:t>
            </w:r>
          </w:p>
        </w:tc>
      </w:tr>
    </w:tbl>
    <w:p w14:paraId="344698B4">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二．选型计算</w:t>
      </w:r>
    </w:p>
    <w:p w14:paraId="529FCF18">
      <w:pPr>
        <w:adjustRightInd w:val="0"/>
        <w:snapToGrid w:val="0"/>
        <w:spacing w:line="360" w:lineRule="auto"/>
        <w:ind w:firstLine="480" w:firstLineChars="200"/>
        <w:rPr>
          <w:rFonts w:hint="eastAsia" w:ascii="宋体" w:hAnsi="宋体"/>
          <w:sz w:val="24"/>
        </w:rPr>
      </w:pPr>
      <w:r>
        <w:rPr>
          <w:rFonts w:hint="eastAsia" w:ascii="宋体" w:hAnsi="宋体"/>
          <w:sz w:val="24"/>
        </w:rPr>
        <w:t>1、风机需要产生的风量</w:t>
      </w:r>
    </w:p>
    <w:p w14:paraId="7A2ACFDB">
      <w:pPr>
        <w:adjustRightInd w:val="0"/>
        <w:snapToGrid w:val="0"/>
        <w:spacing w:line="360" w:lineRule="auto"/>
        <w:ind w:firstLine="480" w:firstLineChars="200"/>
        <w:rPr>
          <w:rFonts w:hint="eastAsia" w:ascii="宋体" w:hAnsi="宋体"/>
          <w:sz w:val="24"/>
        </w:rPr>
      </w:pPr>
      <w:r>
        <w:rPr>
          <w:rFonts w:hint="eastAsia" w:ascii="宋体" w:hAnsi="宋体"/>
          <w:sz w:val="24"/>
        </w:rPr>
        <w:t>投产时期：Q=K</w:t>
      </w:r>
      <w:r>
        <w:rPr>
          <w:rFonts w:hint="eastAsia" w:ascii="宋体" w:hAnsi="宋体"/>
          <w:sz w:val="24"/>
          <w:vertAlign w:val="subscript"/>
        </w:rPr>
        <w:t>L</w:t>
      </w:r>
      <w:r>
        <w:rPr>
          <w:rFonts w:hint="eastAsia" w:ascii="宋体" w:hAnsi="宋体"/>
          <w:sz w:val="24"/>
        </w:rPr>
        <w:t>•Q</w:t>
      </w:r>
      <w:r>
        <w:rPr>
          <w:rFonts w:hint="eastAsia" w:ascii="宋体" w:hAnsi="宋体"/>
          <w:sz w:val="24"/>
          <w:vertAlign w:val="subscript"/>
        </w:rPr>
        <w:t>K</w:t>
      </w:r>
      <w:r>
        <w:rPr>
          <w:rFonts w:hint="eastAsia" w:ascii="宋体" w:hAnsi="宋体"/>
          <w:sz w:val="24"/>
        </w:rPr>
        <w:t>=52×1.05=54.6m</w:t>
      </w:r>
      <w:r>
        <w:rPr>
          <w:rFonts w:hint="eastAsia" w:ascii="宋体" w:hAnsi="宋体"/>
          <w:sz w:val="24"/>
          <w:vertAlign w:val="superscript"/>
        </w:rPr>
        <w:t>3</w:t>
      </w:r>
      <w:r>
        <w:rPr>
          <w:rFonts w:hint="eastAsia" w:ascii="宋体" w:hAnsi="宋体"/>
          <w:sz w:val="24"/>
        </w:rPr>
        <w:t>/s</w:t>
      </w:r>
    </w:p>
    <w:p w14:paraId="2D47AEB4">
      <w:pPr>
        <w:adjustRightInd w:val="0"/>
        <w:snapToGrid w:val="0"/>
        <w:spacing w:line="360" w:lineRule="auto"/>
        <w:ind w:firstLine="480" w:firstLineChars="200"/>
        <w:rPr>
          <w:rFonts w:hint="eastAsia" w:ascii="宋体" w:hAnsi="宋体"/>
          <w:sz w:val="24"/>
        </w:rPr>
      </w:pPr>
      <w:r>
        <w:rPr>
          <w:rFonts w:hint="eastAsia" w:ascii="宋体" w:hAnsi="宋体"/>
          <w:sz w:val="24"/>
        </w:rPr>
        <w:t>困难时期：Q=K</w:t>
      </w:r>
      <w:r>
        <w:rPr>
          <w:rFonts w:hint="eastAsia" w:ascii="宋体" w:hAnsi="宋体"/>
          <w:sz w:val="24"/>
          <w:vertAlign w:val="subscript"/>
        </w:rPr>
        <w:t>L</w:t>
      </w:r>
      <w:r>
        <w:rPr>
          <w:rFonts w:hint="eastAsia" w:ascii="宋体" w:hAnsi="宋体"/>
          <w:sz w:val="24"/>
        </w:rPr>
        <w:t>•Q</w:t>
      </w:r>
      <w:r>
        <w:rPr>
          <w:rFonts w:hint="eastAsia" w:ascii="宋体" w:hAnsi="宋体"/>
          <w:sz w:val="24"/>
          <w:vertAlign w:val="subscript"/>
        </w:rPr>
        <w:t>K</w:t>
      </w:r>
      <w:r>
        <w:rPr>
          <w:rFonts w:hint="eastAsia" w:ascii="宋体" w:hAnsi="宋体"/>
          <w:sz w:val="24"/>
        </w:rPr>
        <w:t>=57×1.05=60.0m</w:t>
      </w:r>
      <w:r>
        <w:rPr>
          <w:rFonts w:hint="eastAsia" w:ascii="宋体" w:hAnsi="宋体"/>
          <w:sz w:val="24"/>
          <w:vertAlign w:val="superscript"/>
        </w:rPr>
        <w:t>3</w:t>
      </w:r>
      <w:r>
        <w:rPr>
          <w:rFonts w:hint="eastAsia" w:ascii="宋体" w:hAnsi="宋体"/>
          <w:sz w:val="24"/>
        </w:rPr>
        <w:t>/s</w:t>
      </w:r>
    </w:p>
    <w:p w14:paraId="628BC44E">
      <w:pPr>
        <w:adjustRightInd w:val="0"/>
        <w:snapToGrid w:val="0"/>
        <w:spacing w:line="360" w:lineRule="auto"/>
        <w:ind w:firstLine="480" w:firstLineChars="200"/>
        <w:rPr>
          <w:rFonts w:hint="eastAsia" w:ascii="宋体" w:hAnsi="宋体"/>
          <w:sz w:val="24"/>
        </w:rPr>
      </w:pPr>
      <w:r>
        <w:rPr>
          <w:rFonts w:hint="eastAsia" w:ascii="宋体" w:hAnsi="宋体"/>
          <w:sz w:val="24"/>
        </w:rPr>
        <w:t>式中：K</w:t>
      </w:r>
      <w:r>
        <w:rPr>
          <w:rFonts w:hint="eastAsia" w:ascii="宋体" w:hAnsi="宋体"/>
          <w:sz w:val="24"/>
          <w:vertAlign w:val="subscript"/>
        </w:rPr>
        <w:t>L</w:t>
      </w:r>
      <w:r>
        <w:rPr>
          <w:rFonts w:hint="eastAsia" w:ascii="宋体" w:hAnsi="宋体"/>
          <w:sz w:val="24"/>
        </w:rPr>
        <w:t>—漏风备用系数，K</w:t>
      </w:r>
      <w:r>
        <w:rPr>
          <w:rFonts w:hint="eastAsia" w:ascii="宋体" w:hAnsi="宋体"/>
          <w:sz w:val="24"/>
          <w:vertAlign w:val="subscript"/>
        </w:rPr>
        <w:t>L</w:t>
      </w:r>
      <w:r>
        <w:rPr>
          <w:rFonts w:hint="eastAsia" w:ascii="宋体" w:hAnsi="宋体"/>
          <w:sz w:val="24"/>
        </w:rPr>
        <w:t>=1.05</w:t>
      </w:r>
    </w:p>
    <w:p w14:paraId="47682216">
      <w:pPr>
        <w:adjustRightInd w:val="0"/>
        <w:snapToGrid w:val="0"/>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K</w:t>
      </w:r>
      <w:r>
        <w:rPr>
          <w:rFonts w:hint="eastAsia" w:ascii="宋体" w:hAnsi="宋体"/>
          <w:sz w:val="24"/>
        </w:rPr>
        <w:t>—矿井要求的总风量，m</w:t>
      </w:r>
      <w:r>
        <w:rPr>
          <w:rFonts w:hint="eastAsia" w:ascii="宋体" w:hAnsi="宋体"/>
          <w:sz w:val="24"/>
          <w:vertAlign w:val="superscript"/>
        </w:rPr>
        <w:t>3</w:t>
      </w:r>
      <w:r>
        <w:rPr>
          <w:rFonts w:hint="eastAsia" w:ascii="宋体" w:hAnsi="宋体"/>
          <w:sz w:val="24"/>
        </w:rPr>
        <w:t>/s</w:t>
      </w:r>
    </w:p>
    <w:p w14:paraId="58D126EF">
      <w:pPr>
        <w:spacing w:line="360" w:lineRule="auto"/>
        <w:ind w:firstLine="480" w:firstLineChars="200"/>
        <w:rPr>
          <w:rFonts w:hint="eastAsia" w:ascii="宋体" w:hAnsi="宋体"/>
          <w:sz w:val="24"/>
        </w:rPr>
      </w:pPr>
      <w:r>
        <w:rPr>
          <w:rFonts w:hint="eastAsia" w:ascii="宋体" w:hAnsi="宋体"/>
          <w:sz w:val="24"/>
        </w:rPr>
        <w:t>2、通风机需要的静压：</w:t>
      </w:r>
    </w:p>
    <w:p w14:paraId="62B4AFE0">
      <w:pPr>
        <w:spacing w:line="360" w:lineRule="auto"/>
        <w:ind w:firstLine="480" w:firstLineChars="200"/>
        <w:rPr>
          <w:rFonts w:hint="eastAsia" w:ascii="宋体" w:hAnsi="宋体"/>
          <w:sz w:val="24"/>
        </w:rPr>
      </w:pPr>
      <w:r>
        <w:rPr>
          <w:rFonts w:hint="eastAsia" w:ascii="宋体" w:hAnsi="宋体"/>
          <w:sz w:val="24"/>
        </w:rPr>
        <w:t>①</w:t>
      </w:r>
      <w:r>
        <w:rPr>
          <w:rFonts w:ascii="宋体" w:hAnsi="宋体"/>
          <w:sz w:val="24"/>
        </w:rPr>
        <w:t xml:space="preserve"> </w:t>
      </w:r>
      <w:r>
        <w:rPr>
          <w:rFonts w:hint="eastAsia" w:ascii="宋体" w:hAnsi="宋体"/>
          <w:sz w:val="24"/>
        </w:rPr>
        <w:t>自然风压</w:t>
      </w:r>
    </w:p>
    <w:p w14:paraId="06B11ECB">
      <w:pPr>
        <w:spacing w:line="360" w:lineRule="auto"/>
        <w:ind w:firstLine="480" w:firstLineChars="200"/>
        <w:rPr>
          <w:rFonts w:hint="eastAsia" w:ascii="宋体" w:hAnsi="宋体"/>
          <w:sz w:val="24"/>
        </w:rPr>
      </w:pPr>
      <w:r>
        <w:rPr>
          <w:rFonts w:hint="eastAsia" w:ascii="宋体" w:hAnsi="宋体"/>
          <w:sz w:val="24"/>
        </w:rPr>
        <w:t>根据AQ1055-2008,本矿进、出风井井口高差小于150m且井深小于400m,所以自然风压对矿井通风的影响可忽略。</w:t>
      </w:r>
    </w:p>
    <w:p w14:paraId="41BDE5A6">
      <w:pPr>
        <w:spacing w:line="360" w:lineRule="auto"/>
        <w:ind w:firstLine="480" w:firstLineChars="200"/>
        <w:rPr>
          <w:rFonts w:hint="eastAsia" w:ascii="宋体" w:hAnsi="宋体"/>
          <w:sz w:val="24"/>
        </w:rPr>
      </w:pPr>
      <w:r>
        <w:rPr>
          <w:rFonts w:hint="eastAsia" w:ascii="宋体" w:hAnsi="宋体"/>
          <w:sz w:val="24"/>
        </w:rPr>
        <w:t>② 矿井主要通风机负压</w:t>
      </w:r>
    </w:p>
    <w:p w14:paraId="1A36AF54">
      <w:pPr>
        <w:adjustRightInd w:val="0"/>
        <w:spacing w:line="360" w:lineRule="auto"/>
        <w:ind w:firstLine="480" w:firstLineChars="200"/>
        <w:jc w:val="left"/>
        <w:rPr>
          <w:rFonts w:hint="eastAsia" w:ascii="宋体" w:hAnsi="宋体"/>
          <w:sz w:val="24"/>
        </w:rPr>
      </w:pPr>
      <w:r>
        <w:rPr>
          <w:rFonts w:hint="eastAsia" w:ascii="宋体" w:hAnsi="宋体"/>
          <w:sz w:val="24"/>
        </w:rPr>
        <w:t>通风投产时期：h扇=h易+Δh=1006.6+150=1156.6(Pa)</w:t>
      </w:r>
    </w:p>
    <w:p w14:paraId="78F04F6B">
      <w:pPr>
        <w:adjustRightInd w:val="0"/>
        <w:spacing w:line="360" w:lineRule="auto"/>
        <w:ind w:firstLine="480" w:firstLineChars="200"/>
        <w:jc w:val="left"/>
        <w:rPr>
          <w:rFonts w:hint="eastAsia" w:ascii="宋体" w:hAnsi="宋体"/>
          <w:sz w:val="24"/>
        </w:rPr>
      </w:pPr>
      <w:r>
        <w:rPr>
          <w:rFonts w:hint="eastAsia" w:ascii="宋体" w:hAnsi="宋体"/>
          <w:sz w:val="24"/>
        </w:rPr>
        <w:t>通风困难时期：h扇=h难+h自+Δh=1588.5+150=1738.5(Pa)</w:t>
      </w:r>
    </w:p>
    <w:p w14:paraId="0E3480BC">
      <w:pPr>
        <w:adjustRightInd w:val="0"/>
        <w:spacing w:line="360" w:lineRule="auto"/>
        <w:ind w:firstLine="480" w:firstLineChars="200"/>
        <w:jc w:val="left"/>
        <w:rPr>
          <w:rFonts w:hint="eastAsia" w:ascii="宋体" w:hAnsi="宋体"/>
          <w:sz w:val="24"/>
        </w:rPr>
      </w:pPr>
      <w:r>
        <w:rPr>
          <w:rFonts w:hint="eastAsia" w:ascii="宋体" w:hAnsi="宋体"/>
          <w:sz w:val="24"/>
        </w:rPr>
        <w:t>Δh</w:t>
      </w:r>
      <w:r>
        <w:rPr>
          <w:rFonts w:hint="eastAsia" w:ascii="宋体" w:hAnsi="宋体"/>
          <w:sz w:val="24"/>
        </w:rPr>
        <w:softHyphen/>
      </w:r>
      <w:r>
        <w:rPr>
          <w:rFonts w:hint="eastAsia" w:ascii="宋体" w:hAnsi="宋体"/>
          <w:sz w:val="24"/>
        </w:rPr>
        <w:t>通风机消音器等阻力之各，取150Pa</w:t>
      </w:r>
    </w:p>
    <w:p w14:paraId="2794110F">
      <w:pPr>
        <w:spacing w:line="360" w:lineRule="auto"/>
        <w:ind w:firstLine="480" w:firstLineChars="200"/>
        <w:rPr>
          <w:rFonts w:hint="eastAsia" w:ascii="宋体" w:hAnsi="宋体"/>
          <w:sz w:val="24"/>
        </w:rPr>
      </w:pPr>
      <w:r>
        <w:rPr>
          <w:rFonts w:hint="eastAsia" w:ascii="宋体" w:hAnsi="宋体"/>
          <w:sz w:val="24"/>
        </w:rPr>
        <w:t>③ 通风机的工况点</w:t>
      </w:r>
    </w:p>
    <w:p w14:paraId="7CB9760E">
      <w:pPr>
        <w:spacing w:line="360" w:lineRule="auto"/>
        <w:ind w:firstLine="480" w:firstLineChars="200"/>
        <w:rPr>
          <w:rFonts w:hint="eastAsia" w:ascii="宋体" w:hAnsi="宋体"/>
          <w:sz w:val="24"/>
        </w:rPr>
      </w:pPr>
      <w:r>
        <w:rPr>
          <w:rFonts w:hint="eastAsia" w:ascii="宋体" w:hAnsi="宋体"/>
          <w:sz w:val="24"/>
        </w:rPr>
        <w:t>风机运行工况点的参数，见表5-2-1，其通风机特性曲线如图所示，投产时期通风机工况点为Q1，困难时期通风机工况点为Q2。</w:t>
      </w:r>
    </w:p>
    <w:p w14:paraId="38C2828C">
      <w:pPr>
        <w:adjustRightInd w:val="0"/>
        <w:snapToGrid w:val="0"/>
        <w:spacing w:line="360" w:lineRule="auto"/>
        <w:jc w:val="center"/>
        <w:rPr>
          <w:rFonts w:hint="eastAsia" w:ascii="宋体" w:hAnsi="宋体"/>
          <w:sz w:val="24"/>
        </w:rPr>
      </w:pPr>
      <w:r>
        <w:rPr>
          <w:rFonts w:hint="eastAsia" w:ascii="宋体" w:hAnsi="宋体"/>
          <w:sz w:val="24"/>
        </w:rPr>
        <w:t>表5-2-1                 风机运行工况点参数表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858"/>
        <w:gridCol w:w="1595"/>
        <w:gridCol w:w="2387"/>
        <w:gridCol w:w="1185"/>
      </w:tblGrid>
      <w:tr w14:paraId="4C5E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046" w:type="dxa"/>
            <w:tcBorders>
              <w:top w:val="single" w:color="auto" w:sz="12" w:space="0"/>
              <w:left w:val="single" w:color="auto" w:sz="12" w:space="0"/>
            </w:tcBorders>
            <w:noWrap w:val="0"/>
            <w:vAlign w:val="center"/>
          </w:tcPr>
          <w:p w14:paraId="5FC169A1">
            <w:pPr>
              <w:adjustRightInd w:val="0"/>
              <w:snapToGrid w:val="0"/>
              <w:ind w:firstLine="480" w:firstLineChars="200"/>
              <w:rPr>
                <w:rFonts w:hint="eastAsia" w:ascii="宋体" w:hAnsi="宋体"/>
                <w:sz w:val="24"/>
              </w:rPr>
            </w:pPr>
            <w:r>
              <w:rPr>
                <w:rFonts w:hint="eastAsia" w:ascii="宋体" w:hAnsi="宋体"/>
                <w:sz w:val="24"/>
              </w:rPr>
              <w:t>名   称</w:t>
            </w:r>
          </w:p>
        </w:tc>
        <w:tc>
          <w:tcPr>
            <w:tcW w:w="1858" w:type="dxa"/>
            <w:tcBorders>
              <w:top w:val="single" w:color="auto" w:sz="12" w:space="0"/>
            </w:tcBorders>
            <w:noWrap w:val="0"/>
            <w:vAlign w:val="center"/>
          </w:tcPr>
          <w:p w14:paraId="0C2BF82B">
            <w:pPr>
              <w:adjustRightInd w:val="0"/>
              <w:snapToGrid w:val="0"/>
              <w:jc w:val="center"/>
              <w:rPr>
                <w:rFonts w:hint="eastAsia" w:ascii="宋体" w:hAnsi="宋体"/>
                <w:sz w:val="24"/>
              </w:rPr>
            </w:pPr>
            <w:r>
              <w:rPr>
                <w:rFonts w:hint="eastAsia" w:ascii="宋体" w:hAnsi="宋体"/>
                <w:sz w:val="24"/>
              </w:rPr>
              <w:t>风量(m</w:t>
            </w:r>
            <w:r>
              <w:rPr>
                <w:rFonts w:hint="eastAsia" w:ascii="宋体" w:hAnsi="宋体"/>
                <w:sz w:val="24"/>
                <w:vertAlign w:val="superscript"/>
              </w:rPr>
              <w:t>3</w:t>
            </w:r>
            <w:r>
              <w:rPr>
                <w:rFonts w:hint="eastAsia" w:ascii="宋体" w:hAnsi="宋体"/>
                <w:sz w:val="24"/>
              </w:rPr>
              <w:t>/s)</w:t>
            </w:r>
          </w:p>
        </w:tc>
        <w:tc>
          <w:tcPr>
            <w:tcW w:w="1595" w:type="dxa"/>
            <w:tcBorders>
              <w:top w:val="single" w:color="auto" w:sz="12" w:space="0"/>
            </w:tcBorders>
            <w:noWrap w:val="0"/>
            <w:vAlign w:val="center"/>
          </w:tcPr>
          <w:p w14:paraId="160FA907">
            <w:pPr>
              <w:adjustRightInd w:val="0"/>
              <w:snapToGrid w:val="0"/>
              <w:jc w:val="center"/>
              <w:rPr>
                <w:rFonts w:hint="eastAsia" w:ascii="宋体" w:hAnsi="宋体"/>
                <w:sz w:val="24"/>
              </w:rPr>
            </w:pPr>
            <w:r>
              <w:rPr>
                <w:rFonts w:hint="eastAsia" w:ascii="宋体" w:hAnsi="宋体"/>
                <w:sz w:val="24"/>
              </w:rPr>
              <w:t>负压(Pa)</w:t>
            </w:r>
          </w:p>
        </w:tc>
        <w:tc>
          <w:tcPr>
            <w:tcW w:w="2387" w:type="dxa"/>
            <w:tcBorders>
              <w:top w:val="single" w:color="auto" w:sz="12" w:space="0"/>
            </w:tcBorders>
            <w:noWrap w:val="0"/>
            <w:vAlign w:val="center"/>
          </w:tcPr>
          <w:p w14:paraId="4672E656">
            <w:pPr>
              <w:adjustRightInd w:val="0"/>
              <w:snapToGrid w:val="0"/>
              <w:jc w:val="center"/>
              <w:rPr>
                <w:rFonts w:hint="eastAsia" w:ascii="宋体" w:hAnsi="宋体"/>
                <w:sz w:val="24"/>
              </w:rPr>
            </w:pPr>
            <w:r>
              <w:rPr>
                <w:rFonts w:hint="eastAsia" w:ascii="宋体" w:hAnsi="宋体"/>
                <w:sz w:val="24"/>
              </w:rPr>
              <w:t>叶片安装角度</w:t>
            </w:r>
          </w:p>
        </w:tc>
        <w:tc>
          <w:tcPr>
            <w:tcW w:w="1185" w:type="dxa"/>
            <w:tcBorders>
              <w:top w:val="single" w:color="auto" w:sz="12" w:space="0"/>
              <w:right w:val="single" w:color="auto" w:sz="12" w:space="0"/>
            </w:tcBorders>
            <w:noWrap w:val="0"/>
            <w:vAlign w:val="center"/>
          </w:tcPr>
          <w:p w14:paraId="5BA3614C">
            <w:pPr>
              <w:adjustRightInd w:val="0"/>
              <w:snapToGrid w:val="0"/>
              <w:jc w:val="center"/>
              <w:rPr>
                <w:rFonts w:hint="eastAsia" w:ascii="宋体" w:hAnsi="宋体"/>
                <w:sz w:val="24"/>
              </w:rPr>
            </w:pPr>
            <w:r>
              <w:rPr>
                <w:rFonts w:hint="eastAsia" w:ascii="宋体" w:hAnsi="宋体"/>
                <w:sz w:val="24"/>
              </w:rPr>
              <w:t>效率η</w:t>
            </w:r>
          </w:p>
        </w:tc>
      </w:tr>
      <w:tr w14:paraId="23D5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046" w:type="dxa"/>
            <w:tcBorders>
              <w:left w:val="single" w:color="auto" w:sz="12" w:space="0"/>
            </w:tcBorders>
            <w:noWrap w:val="0"/>
            <w:vAlign w:val="center"/>
          </w:tcPr>
          <w:p w14:paraId="3711D951">
            <w:pPr>
              <w:adjustRightInd w:val="0"/>
              <w:snapToGrid w:val="0"/>
              <w:jc w:val="center"/>
              <w:rPr>
                <w:rFonts w:hint="eastAsia" w:ascii="宋体" w:hAnsi="宋体"/>
                <w:sz w:val="24"/>
              </w:rPr>
            </w:pPr>
            <w:r>
              <w:rPr>
                <w:rFonts w:hint="eastAsia" w:ascii="宋体" w:hAnsi="宋体"/>
                <w:sz w:val="24"/>
              </w:rPr>
              <w:t>投产时期Q1</w:t>
            </w:r>
          </w:p>
        </w:tc>
        <w:tc>
          <w:tcPr>
            <w:tcW w:w="1858" w:type="dxa"/>
            <w:noWrap w:val="0"/>
            <w:vAlign w:val="center"/>
          </w:tcPr>
          <w:p w14:paraId="6B2A9CB7">
            <w:pPr>
              <w:adjustRightInd w:val="0"/>
              <w:snapToGrid w:val="0"/>
              <w:jc w:val="center"/>
              <w:rPr>
                <w:rFonts w:hint="eastAsia" w:ascii="宋体" w:hAnsi="宋体"/>
                <w:sz w:val="24"/>
              </w:rPr>
            </w:pPr>
            <w:r>
              <w:rPr>
                <w:rFonts w:hint="eastAsia" w:ascii="宋体" w:hAnsi="宋体"/>
                <w:sz w:val="24"/>
              </w:rPr>
              <w:t>59</w:t>
            </w:r>
          </w:p>
        </w:tc>
        <w:tc>
          <w:tcPr>
            <w:tcW w:w="1595" w:type="dxa"/>
            <w:noWrap w:val="0"/>
            <w:vAlign w:val="center"/>
          </w:tcPr>
          <w:p w14:paraId="15A2D309">
            <w:pPr>
              <w:adjustRightInd w:val="0"/>
              <w:snapToGrid w:val="0"/>
              <w:jc w:val="center"/>
              <w:rPr>
                <w:rFonts w:hint="eastAsia" w:ascii="宋体" w:hAnsi="宋体"/>
                <w:sz w:val="24"/>
              </w:rPr>
            </w:pPr>
            <w:r>
              <w:rPr>
                <w:rFonts w:hint="eastAsia" w:ascii="宋体" w:hAnsi="宋体"/>
                <w:sz w:val="24"/>
              </w:rPr>
              <w:t>1200</w:t>
            </w:r>
          </w:p>
        </w:tc>
        <w:tc>
          <w:tcPr>
            <w:tcW w:w="2387" w:type="dxa"/>
            <w:noWrap w:val="0"/>
            <w:vAlign w:val="center"/>
          </w:tcPr>
          <w:p w14:paraId="0BB15ED5">
            <w:pPr>
              <w:adjustRightInd w:val="0"/>
              <w:snapToGrid w:val="0"/>
              <w:jc w:val="center"/>
              <w:rPr>
                <w:rFonts w:ascii="宋体" w:hAnsi="宋体"/>
                <w:sz w:val="24"/>
              </w:rPr>
            </w:pPr>
            <w:r>
              <w:rPr>
                <w:rFonts w:hint="eastAsia" w:ascii="宋体" w:hAnsi="宋体"/>
                <w:sz w:val="24"/>
              </w:rPr>
              <w:t>43°/35°</w:t>
            </w:r>
          </w:p>
        </w:tc>
        <w:tc>
          <w:tcPr>
            <w:tcW w:w="1185" w:type="dxa"/>
            <w:tcBorders>
              <w:right w:val="single" w:color="auto" w:sz="12" w:space="0"/>
            </w:tcBorders>
            <w:noWrap w:val="0"/>
            <w:vAlign w:val="center"/>
          </w:tcPr>
          <w:p w14:paraId="00C19ACB">
            <w:pPr>
              <w:adjustRightInd w:val="0"/>
              <w:snapToGrid w:val="0"/>
              <w:jc w:val="center"/>
              <w:rPr>
                <w:rFonts w:hint="eastAsia" w:ascii="宋体" w:hAnsi="宋体"/>
                <w:sz w:val="24"/>
              </w:rPr>
            </w:pPr>
            <w:r>
              <w:rPr>
                <w:rFonts w:hint="eastAsia" w:ascii="宋体" w:hAnsi="宋体"/>
                <w:sz w:val="24"/>
              </w:rPr>
              <w:t>78%</w:t>
            </w:r>
          </w:p>
        </w:tc>
      </w:tr>
      <w:tr w14:paraId="5364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trPr>
        <w:tc>
          <w:tcPr>
            <w:tcW w:w="2046" w:type="dxa"/>
            <w:tcBorders>
              <w:left w:val="single" w:color="auto" w:sz="12" w:space="0"/>
              <w:bottom w:val="single" w:color="auto" w:sz="12" w:space="0"/>
            </w:tcBorders>
            <w:noWrap w:val="0"/>
            <w:vAlign w:val="center"/>
          </w:tcPr>
          <w:p w14:paraId="34F9B672">
            <w:pPr>
              <w:adjustRightInd w:val="0"/>
              <w:snapToGrid w:val="0"/>
              <w:jc w:val="center"/>
              <w:rPr>
                <w:rFonts w:hint="eastAsia" w:ascii="宋体" w:hAnsi="宋体"/>
                <w:sz w:val="24"/>
              </w:rPr>
            </w:pPr>
            <w:r>
              <w:rPr>
                <w:rFonts w:hint="eastAsia" w:ascii="宋体" w:hAnsi="宋体"/>
                <w:sz w:val="24"/>
              </w:rPr>
              <w:t>困难时期Q2</w:t>
            </w:r>
          </w:p>
        </w:tc>
        <w:tc>
          <w:tcPr>
            <w:tcW w:w="1858" w:type="dxa"/>
            <w:tcBorders>
              <w:bottom w:val="single" w:color="auto" w:sz="12" w:space="0"/>
            </w:tcBorders>
            <w:noWrap w:val="0"/>
            <w:vAlign w:val="center"/>
          </w:tcPr>
          <w:p w14:paraId="53BFD54A">
            <w:pPr>
              <w:adjustRightInd w:val="0"/>
              <w:snapToGrid w:val="0"/>
              <w:jc w:val="center"/>
              <w:rPr>
                <w:rFonts w:hint="eastAsia" w:ascii="宋体" w:hAnsi="宋体"/>
                <w:sz w:val="24"/>
              </w:rPr>
            </w:pPr>
            <w:r>
              <w:rPr>
                <w:rFonts w:hint="eastAsia" w:ascii="宋体" w:hAnsi="宋体"/>
                <w:sz w:val="24"/>
              </w:rPr>
              <w:t>61</w:t>
            </w:r>
          </w:p>
        </w:tc>
        <w:tc>
          <w:tcPr>
            <w:tcW w:w="1595" w:type="dxa"/>
            <w:tcBorders>
              <w:bottom w:val="single" w:color="auto" w:sz="12" w:space="0"/>
            </w:tcBorders>
            <w:noWrap w:val="0"/>
            <w:vAlign w:val="center"/>
          </w:tcPr>
          <w:p w14:paraId="34790603">
            <w:pPr>
              <w:adjustRightInd w:val="0"/>
              <w:snapToGrid w:val="0"/>
              <w:jc w:val="center"/>
              <w:rPr>
                <w:rFonts w:hint="eastAsia" w:ascii="宋体" w:hAnsi="宋体"/>
                <w:sz w:val="24"/>
              </w:rPr>
            </w:pPr>
            <w:r>
              <w:rPr>
                <w:rFonts w:hint="eastAsia" w:ascii="宋体" w:hAnsi="宋体"/>
                <w:sz w:val="24"/>
              </w:rPr>
              <w:t>1790</w:t>
            </w:r>
          </w:p>
        </w:tc>
        <w:tc>
          <w:tcPr>
            <w:tcW w:w="2387" w:type="dxa"/>
            <w:tcBorders>
              <w:bottom w:val="single" w:color="auto" w:sz="12" w:space="0"/>
            </w:tcBorders>
            <w:noWrap w:val="0"/>
            <w:vAlign w:val="center"/>
          </w:tcPr>
          <w:p w14:paraId="2C552A3A">
            <w:pPr>
              <w:adjustRightInd w:val="0"/>
              <w:snapToGrid w:val="0"/>
              <w:jc w:val="center"/>
              <w:rPr>
                <w:rFonts w:ascii="宋体" w:hAnsi="宋体"/>
                <w:sz w:val="24"/>
              </w:rPr>
            </w:pPr>
            <w:r>
              <w:rPr>
                <w:rFonts w:hint="eastAsia" w:ascii="宋体" w:hAnsi="宋体"/>
                <w:sz w:val="24"/>
              </w:rPr>
              <w:t>49°/41°</w:t>
            </w:r>
          </w:p>
        </w:tc>
        <w:tc>
          <w:tcPr>
            <w:tcW w:w="1185" w:type="dxa"/>
            <w:tcBorders>
              <w:bottom w:val="single" w:color="auto" w:sz="12" w:space="0"/>
              <w:right w:val="single" w:color="auto" w:sz="12" w:space="0"/>
            </w:tcBorders>
            <w:noWrap w:val="0"/>
            <w:vAlign w:val="center"/>
          </w:tcPr>
          <w:p w14:paraId="660C82CA">
            <w:pPr>
              <w:adjustRightInd w:val="0"/>
              <w:snapToGrid w:val="0"/>
              <w:jc w:val="center"/>
              <w:rPr>
                <w:rFonts w:hint="eastAsia" w:ascii="宋体" w:hAnsi="宋体"/>
                <w:sz w:val="24"/>
              </w:rPr>
            </w:pPr>
            <w:r>
              <w:rPr>
                <w:rFonts w:hint="eastAsia" w:ascii="宋体" w:hAnsi="宋体"/>
                <w:sz w:val="24"/>
              </w:rPr>
              <w:t>90%</w:t>
            </w:r>
          </w:p>
        </w:tc>
      </w:tr>
    </w:tbl>
    <w:p w14:paraId="60A65C15">
      <w:pPr>
        <w:adjustRightInd w:val="0"/>
        <w:snapToGrid w:val="0"/>
        <w:spacing w:before="120" w:beforeLines="50" w:line="360" w:lineRule="auto"/>
        <w:ind w:firstLine="480" w:firstLineChars="200"/>
        <w:rPr>
          <w:rFonts w:hint="eastAsia" w:ascii="宋体" w:hAnsi="宋体"/>
          <w:sz w:val="24"/>
        </w:rPr>
      </w:pPr>
      <w:r>
        <w:rPr>
          <w:rFonts w:hint="eastAsia" w:ascii="宋体" w:hAnsi="宋体"/>
          <w:sz w:val="24"/>
        </w:rPr>
        <w:t>④ 电动机选型</w:t>
      </w:r>
    </w:p>
    <w:p w14:paraId="0773E41C">
      <w:pPr>
        <w:adjustRightInd w:val="0"/>
        <w:snapToGrid w:val="0"/>
        <w:spacing w:line="360" w:lineRule="auto"/>
        <w:ind w:firstLine="480" w:firstLineChars="200"/>
        <w:rPr>
          <w:rFonts w:hint="eastAsia" w:ascii="宋体" w:hAnsi="宋体"/>
          <w:sz w:val="24"/>
        </w:rPr>
      </w:pPr>
      <w:r>
        <w:rPr>
          <w:rFonts w:hint="eastAsia" w:ascii="宋体" w:hAnsi="宋体"/>
          <w:sz w:val="24"/>
        </w:rPr>
        <w:t>电动机功率计算</w:t>
      </w:r>
    </w:p>
    <w:p w14:paraId="2E9127A0">
      <w:pPr>
        <w:adjustRightInd w:val="0"/>
        <w:snapToGrid w:val="0"/>
        <w:spacing w:line="360" w:lineRule="auto"/>
        <w:ind w:firstLine="480" w:firstLineChars="200"/>
        <w:rPr>
          <w:rFonts w:hint="eastAsia" w:ascii="宋体" w:hAnsi="宋体"/>
          <w:sz w:val="24"/>
        </w:rPr>
      </w:pPr>
      <w:r>
        <w:rPr>
          <w:rFonts w:hint="eastAsia" w:ascii="宋体" w:hAnsi="宋体"/>
          <w:sz w:val="24"/>
        </w:rPr>
        <w:t>前期功率：NΦ1=</w:t>
      </w:r>
      <w:r>
        <w:rPr>
          <w:rFonts w:hint="eastAsia" w:ascii="宋体" w:hAnsi="宋体"/>
          <w:position w:val="-30"/>
          <w:sz w:val="24"/>
        </w:rPr>
        <w:object>
          <v:shape id="_x0000_i1139" o:spt="75" type="#_x0000_t75" style="height:42.75pt;width:74.2pt;" o:ole="t" filled="f" o:preferrelative="t" stroked="f" coordsize="21600,21600">
            <v:path/>
            <v:fill on="f" alignshape="1" focussize="0,0"/>
            <v:stroke on="f"/>
            <v:imagedata r:id="rId186" o:title=""/>
            <o:lock v:ext="edit" aspectratio="t"/>
            <w10:wrap type="none"/>
            <w10:anchorlock/>
          </v:shape>
          <o:OLEObject Type="Embed" ProgID="Equation.3" ShapeID="_x0000_i1139" DrawAspect="Content" ObjectID="_1468075805" r:id="rId185">
            <o:LockedField>false</o:LockedField>
          </o:OLEObject>
        </w:object>
      </w:r>
      <w:r>
        <w:rPr>
          <w:rFonts w:hint="eastAsia" w:ascii="宋体" w:hAnsi="宋体"/>
          <w:sz w:val="24"/>
        </w:rPr>
        <w:t>=</w:t>
      </w:r>
      <w:r>
        <w:rPr>
          <w:rFonts w:hint="eastAsia" w:ascii="宋体" w:hAnsi="宋体"/>
          <w:position w:val="-24"/>
          <w:sz w:val="24"/>
        </w:rPr>
        <w:object>
          <v:shape id="_x0000_i1140" o:spt="75" type="#_x0000_t75" style="height:33pt;width:110pt;" o:ole="t" filled="f" o:preferrelative="t" stroked="f" coordsize="21600,21600">
            <v:path/>
            <v:fill on="f" alignshape="1" focussize="0,0"/>
            <v:stroke on="f"/>
            <v:imagedata r:id="rId188" o:title=""/>
            <o:lock v:ext="edit" aspectratio="t"/>
            <w10:wrap type="none"/>
            <w10:anchorlock/>
          </v:shape>
          <o:OLEObject Type="Embed" ProgID="Equation.3" ShapeID="_x0000_i1140" DrawAspect="Content" ObjectID="_1468075806" r:id="rId187">
            <o:LockedField>false</o:LockedField>
          </o:OLEObject>
        </w:object>
      </w:r>
      <w:r>
        <w:rPr>
          <w:rFonts w:hint="eastAsia" w:ascii="宋体" w:hAnsi="宋体"/>
          <w:sz w:val="24"/>
        </w:rPr>
        <w:t>=116(kw)</w:t>
      </w:r>
    </w:p>
    <w:p w14:paraId="55CEB0DD">
      <w:pPr>
        <w:adjustRightInd w:val="0"/>
        <w:snapToGrid w:val="0"/>
        <w:spacing w:line="360" w:lineRule="auto"/>
        <w:ind w:firstLine="480" w:firstLineChars="200"/>
        <w:rPr>
          <w:rFonts w:hint="eastAsia" w:ascii="宋体" w:hAnsi="宋体"/>
          <w:sz w:val="24"/>
        </w:rPr>
      </w:pPr>
      <w:r>
        <w:rPr>
          <w:rFonts w:hint="eastAsia" w:ascii="宋体" w:hAnsi="宋体"/>
          <w:sz w:val="24"/>
        </w:rPr>
        <w:t>后期最大功率：NΦ2=</w:t>
      </w:r>
      <w:r>
        <w:rPr>
          <w:rFonts w:hint="eastAsia" w:ascii="宋体" w:hAnsi="宋体"/>
          <w:position w:val="-30"/>
          <w:sz w:val="24"/>
        </w:rPr>
        <w:object>
          <v:shape id="_x0000_i1141" o:spt="75" type="#_x0000_t75" style="height:36pt;width:63.75pt;" o:ole="t" filled="f" o:preferrelative="t" stroked="f" coordsize="21600,21600">
            <v:path/>
            <v:fill on="f" alignshape="1" focussize="0,0"/>
            <v:stroke on="f"/>
            <v:imagedata r:id="rId190" o:title=""/>
            <o:lock v:ext="edit" aspectratio="t"/>
            <w10:wrap type="none"/>
            <w10:anchorlock/>
          </v:shape>
          <o:OLEObject Type="Embed" ProgID="Equation.3" ShapeID="_x0000_i1141" DrawAspect="Content" ObjectID="_1468075807" r:id="rId189">
            <o:LockedField>false</o:LockedField>
          </o:OLEObject>
        </w:object>
      </w:r>
      <w:r>
        <w:rPr>
          <w:rFonts w:hint="eastAsia" w:ascii="宋体" w:hAnsi="宋体"/>
          <w:sz w:val="24"/>
        </w:rPr>
        <w:t>=</w:t>
      </w:r>
      <w:r>
        <w:rPr>
          <w:rFonts w:hint="eastAsia" w:ascii="宋体" w:hAnsi="宋体"/>
          <w:position w:val="-24"/>
          <w:sz w:val="24"/>
        </w:rPr>
        <w:object>
          <v:shape id="_x0000_i1142" o:spt="75" type="#_x0000_t75" style="height:33pt;width:110pt;" o:ole="t" filled="f" o:preferrelative="t" stroked="f" coordsize="21600,21600">
            <v:path/>
            <v:fill on="f" alignshape="1" focussize="0,0"/>
            <v:stroke on="f"/>
            <v:imagedata r:id="rId192" o:title=""/>
            <o:lock v:ext="edit" aspectratio="t"/>
            <w10:wrap type="none"/>
            <w10:anchorlock/>
          </v:shape>
          <o:OLEObject Type="Embed" ProgID="Equation.3" ShapeID="_x0000_i1142" DrawAspect="Content" ObjectID="_1468075808" r:id="rId191">
            <o:LockedField>false</o:LockedField>
          </o:OLEObject>
        </w:object>
      </w:r>
      <w:r>
        <w:rPr>
          <w:rFonts w:hint="eastAsia" w:ascii="宋体" w:hAnsi="宋体"/>
          <w:sz w:val="24"/>
        </w:rPr>
        <w:t>=194.7(kw)</w:t>
      </w:r>
    </w:p>
    <w:p w14:paraId="21D044F6">
      <w:pPr>
        <w:adjustRightInd w:val="0"/>
        <w:snapToGrid w:val="0"/>
        <w:spacing w:line="360" w:lineRule="auto"/>
        <w:ind w:firstLine="480" w:firstLineChars="200"/>
        <w:rPr>
          <w:rFonts w:hint="eastAsia" w:ascii="宋体" w:hAnsi="宋体"/>
          <w:sz w:val="24"/>
        </w:rPr>
      </w:pPr>
      <w:r>
        <w:rPr>
          <w:rFonts w:hint="eastAsia" w:ascii="宋体" w:hAnsi="宋体"/>
          <w:sz w:val="24"/>
        </w:rPr>
        <w:t>式中：K——电动机功率备用系数，一般取1.2--1.3,取1.25;</w:t>
      </w:r>
    </w:p>
    <w:p w14:paraId="1AA81E39">
      <w:pPr>
        <w:adjustRightInd w:val="0"/>
        <w:snapToGrid w:val="0"/>
        <w:spacing w:line="360" w:lineRule="auto"/>
        <w:ind w:firstLine="1200" w:firstLineChars="500"/>
        <w:rPr>
          <w:rFonts w:hint="eastAsia" w:ascii="宋体" w:hAnsi="宋体"/>
          <w:sz w:val="24"/>
        </w:rPr>
      </w:pPr>
      <w:r>
        <w:rPr>
          <w:rFonts w:hint="eastAsia" w:ascii="宋体" w:hAnsi="宋体"/>
          <w:sz w:val="24"/>
        </w:rPr>
        <w:t>Q——通风机工况点的风量，m</w:t>
      </w:r>
      <w:r>
        <w:rPr>
          <w:rFonts w:hint="eastAsia" w:ascii="宋体" w:hAnsi="宋体"/>
          <w:sz w:val="24"/>
          <w:vertAlign w:val="superscript"/>
        </w:rPr>
        <w:t>3</w:t>
      </w:r>
      <w:r>
        <w:rPr>
          <w:rFonts w:hint="eastAsia" w:ascii="宋体" w:hAnsi="宋体"/>
          <w:sz w:val="24"/>
        </w:rPr>
        <w:t>/s；</w:t>
      </w:r>
    </w:p>
    <w:p w14:paraId="3BFB3B87">
      <w:pPr>
        <w:adjustRightInd w:val="0"/>
        <w:snapToGrid w:val="0"/>
        <w:spacing w:line="360" w:lineRule="auto"/>
        <w:ind w:firstLine="1200" w:firstLineChars="500"/>
        <w:rPr>
          <w:rFonts w:hint="eastAsia" w:ascii="宋体" w:hAnsi="宋体"/>
          <w:sz w:val="24"/>
        </w:rPr>
      </w:pPr>
      <w:r>
        <w:rPr>
          <w:rFonts w:hint="eastAsia" w:ascii="宋体" w:hAnsi="宋体"/>
          <w:sz w:val="24"/>
        </w:rPr>
        <w:t>H——通风机工况点的风压，Pa；</w:t>
      </w:r>
    </w:p>
    <w:p w14:paraId="19BC5C70">
      <w:pPr>
        <w:adjustRightInd w:val="0"/>
        <w:snapToGrid w:val="0"/>
        <w:spacing w:line="360" w:lineRule="auto"/>
        <w:ind w:firstLine="1200" w:firstLineChars="500"/>
        <w:rPr>
          <w:rFonts w:hint="eastAsia" w:ascii="宋体" w:hAnsi="宋体"/>
          <w:sz w:val="24"/>
        </w:rPr>
      </w:pPr>
      <w:r>
        <w:rPr>
          <w:rFonts w:hint="eastAsia" w:ascii="宋体" w:hAnsi="宋体"/>
          <w:sz w:val="24"/>
        </w:rPr>
        <w:object>
          <v:shape id="_x0000_i1143" o:spt="75" type="#_x0000_t75" style="height:18pt;width:21.75pt;" o:ole="t" filled="f" o:preferrelative="t" stroked="f" coordsize="21600,21600">
            <v:path/>
            <v:fill on="f" focussize="0,0"/>
            <v:stroke on="f"/>
            <v:imagedata r:id="rId194" o:title=""/>
            <o:lock v:ext="edit" aspectratio="t"/>
            <w10:wrap type="none"/>
            <w10:anchorlock/>
          </v:shape>
          <o:OLEObject Type="Embed" ProgID="Equation.3" ShapeID="_x0000_i1143" DrawAspect="Content" ObjectID="_1468075809" r:id="rId193">
            <o:LockedField>false</o:LockedField>
          </o:OLEObject>
        </w:object>
      </w:r>
      <w:r>
        <w:rPr>
          <w:rFonts w:hint="eastAsia" w:ascii="宋体" w:hAnsi="宋体"/>
          <w:sz w:val="24"/>
        </w:rPr>
        <w:t>——由风机性能曲线查得的工况点效率；</w:t>
      </w:r>
    </w:p>
    <w:p w14:paraId="6F2AD47E">
      <w:pPr>
        <w:adjustRightInd w:val="0"/>
        <w:snapToGrid w:val="0"/>
        <w:spacing w:line="360" w:lineRule="auto"/>
        <w:ind w:firstLine="1200" w:firstLineChars="500"/>
        <w:rPr>
          <w:rFonts w:hint="eastAsia" w:ascii="宋体" w:hAnsi="宋体"/>
          <w:sz w:val="24"/>
        </w:rPr>
      </w:pPr>
      <w:r>
        <w:rPr>
          <w:rFonts w:hint="eastAsia" w:ascii="宋体" w:hAnsi="宋体"/>
          <w:sz w:val="24"/>
        </w:rPr>
        <w:object>
          <v:shape id="_x0000_i1144" o:spt="75" type="#_x0000_t75" style="height:18pt;width:12.75pt;" o:ole="t" filled="f" o:preferrelative="t" stroked="f" coordsize="21600,21600">
            <v:path/>
            <v:fill on="f" focussize="0,0"/>
            <v:stroke on="f"/>
            <v:imagedata r:id="rId196" o:title=""/>
            <o:lock v:ext="edit" aspectratio="t"/>
            <w10:wrap type="none"/>
            <w10:anchorlock/>
          </v:shape>
          <o:OLEObject Type="Embed" ProgID="Equation.3" ShapeID="_x0000_i1144" DrawAspect="Content" ObjectID="_1468075810" r:id="rId195">
            <o:LockedField>false</o:LockedField>
          </o:OLEObject>
        </w:object>
      </w:r>
      <w:r>
        <w:rPr>
          <w:rFonts w:hint="eastAsia" w:ascii="宋体" w:hAnsi="宋体"/>
          <w:sz w:val="24"/>
        </w:rPr>
        <w:t>——传动效率，联轴传动取0.98。</w:t>
      </w:r>
    </w:p>
    <w:p w14:paraId="138BF1AB">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三．主要通风机设备选择</w:t>
      </w:r>
    </w:p>
    <w:p w14:paraId="3F7627CF">
      <w:pPr>
        <w:spacing w:line="360" w:lineRule="auto"/>
        <w:ind w:firstLine="480" w:firstLineChars="200"/>
        <w:rPr>
          <w:rFonts w:hint="eastAsia" w:ascii="宋体" w:hAnsi="宋体"/>
          <w:sz w:val="24"/>
        </w:rPr>
      </w:pPr>
      <w:r>
        <w:rPr>
          <w:rFonts w:hint="eastAsia" w:ascii="宋体" w:hAnsi="宋体"/>
          <w:sz w:val="24"/>
        </w:rPr>
        <w:t>根据矿井通风资料，设计就目前国产的多种通风设备进行了选择比较，确定选用FBCDZ-8-N020B型防爆轴流式风机二台，一台工作，一台备用。配套电机：YBFe315L</w:t>
      </w:r>
      <w:r>
        <w:rPr>
          <w:rFonts w:hint="eastAsia" w:ascii="宋体" w:hAnsi="宋体"/>
          <w:sz w:val="24"/>
          <w:vertAlign w:val="subscript"/>
        </w:rPr>
        <w:t>2</w:t>
      </w:r>
      <w:r>
        <w:rPr>
          <w:rFonts w:hint="eastAsia" w:ascii="宋体" w:hAnsi="宋体"/>
          <w:sz w:val="24"/>
        </w:rPr>
        <w:t>-8,电机功率2×110KW（660V），风量范围42-93m³/S,风压范围625-2360Pa，转速740r/min。</w:t>
      </w:r>
    </w:p>
    <w:p w14:paraId="7F9D3B10">
      <w:pPr>
        <w:spacing w:line="360" w:lineRule="auto"/>
        <w:ind w:firstLine="480" w:firstLineChars="200"/>
        <w:rPr>
          <w:rFonts w:hint="eastAsia" w:ascii="宋体" w:hAnsi="宋体"/>
          <w:sz w:val="24"/>
        </w:rPr>
      </w:pPr>
      <w:r>
        <w:rPr>
          <w:rFonts w:hint="eastAsia" w:ascii="宋体" w:hAnsi="宋体"/>
          <w:sz w:val="24"/>
        </w:rPr>
        <w:t>风机生产厂家提供电控设备,采用变频调速装置,以提高风机工况效率;改变电源相序使风机反转反风，无需反风装置。</w:t>
      </w:r>
    </w:p>
    <w:p w14:paraId="257840C6">
      <w:pPr>
        <w:spacing w:line="360" w:lineRule="auto"/>
        <w:rPr>
          <w:rFonts w:ascii="宋体" w:hAnsi="宋体"/>
          <w:sz w:val="24"/>
        </w:rPr>
      </w:pPr>
      <w:r>
        <w:rPr>
          <w:rFonts w:hint="eastAsia" w:ascii="宋体" w:hAnsi="宋体"/>
          <w:sz w:val="24"/>
        </w:rPr>
        <w:drawing>
          <wp:inline distT="0" distB="0" distL="114300" distR="114300">
            <wp:extent cx="5747385" cy="6655435"/>
            <wp:effectExtent l="0" t="0" r="5715" b="12065"/>
            <wp:docPr id="46"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2"/>
                    <pic:cNvPicPr>
                      <a:picLocks noChangeAspect="1"/>
                    </pic:cNvPicPr>
                  </pic:nvPicPr>
                  <pic:blipFill>
                    <a:blip r:embed="rId197"/>
                    <a:srcRect l="2396" r="5243" b="861"/>
                    <a:stretch>
                      <a:fillRect/>
                    </a:stretch>
                  </pic:blipFill>
                  <pic:spPr>
                    <a:xfrm>
                      <a:off x="0" y="0"/>
                      <a:ext cx="5747385" cy="6655435"/>
                    </a:xfrm>
                    <a:prstGeom prst="rect">
                      <a:avLst/>
                    </a:prstGeom>
                    <a:noFill/>
                    <a:ln>
                      <a:noFill/>
                    </a:ln>
                  </pic:spPr>
                </pic:pic>
              </a:graphicData>
            </a:graphic>
          </wp:inline>
        </w:drawing>
      </w:r>
    </w:p>
    <w:p w14:paraId="0679679A">
      <w:pPr>
        <w:jc w:val="center"/>
        <w:rPr>
          <w:rFonts w:hint="eastAsia" w:ascii="宋体" w:hAnsi="宋体"/>
          <w:sz w:val="24"/>
        </w:rPr>
      </w:pPr>
      <w:r>
        <w:rPr>
          <w:rFonts w:hint="eastAsia" w:ascii="宋体" w:hAnsi="宋体"/>
          <w:sz w:val="24"/>
        </w:rPr>
        <w:t>图5-3-1   风机性能曲线图</w:t>
      </w:r>
    </w:p>
    <w:p w14:paraId="6FE30DC0">
      <w:pPr>
        <w:pStyle w:val="3"/>
        <w:keepLines/>
        <w:spacing w:before="260" w:after="260" w:line="360" w:lineRule="auto"/>
        <w:ind w:firstLine="0" w:firstLineChars="0"/>
        <w:jc w:val="center"/>
        <w:rPr>
          <w:rFonts w:hint="eastAsia"/>
          <w:b/>
          <w:color w:val="000000"/>
          <w:sz w:val="32"/>
          <w:szCs w:val="32"/>
        </w:rPr>
      </w:pPr>
      <w:bookmarkStart w:id="595" w:name="_Toc260915271"/>
      <w:bookmarkStart w:id="596" w:name="_Toc259438264"/>
      <w:bookmarkStart w:id="597" w:name="_Toc92630524"/>
      <w:bookmarkStart w:id="598" w:name="_Toc173869253"/>
      <w:r>
        <w:rPr>
          <w:rFonts w:hint="eastAsia"/>
          <w:b/>
          <w:color w:val="000000"/>
          <w:sz w:val="32"/>
          <w:szCs w:val="32"/>
        </w:rPr>
        <w:t>第三节　　排水设备</w:t>
      </w:r>
      <w:bookmarkEnd w:id="595"/>
      <w:bookmarkEnd w:id="596"/>
    </w:p>
    <w:bookmarkEnd w:id="597"/>
    <w:bookmarkEnd w:id="598"/>
    <w:p w14:paraId="10D1347A">
      <w:pPr>
        <w:spacing w:line="360" w:lineRule="auto"/>
        <w:ind w:firstLine="480" w:firstLineChars="200"/>
        <w:rPr>
          <w:rFonts w:hint="eastAsia" w:ascii="宋体" w:hAnsi="宋体" w:cs="Courier New"/>
          <w:sz w:val="24"/>
        </w:rPr>
      </w:pPr>
      <w:bookmarkStart w:id="599" w:name="_Toc173869257"/>
      <w:bookmarkStart w:id="600" w:name="_Toc92630525"/>
      <w:r>
        <w:rPr>
          <w:rFonts w:hint="eastAsia" w:ascii="宋体" w:hAnsi="宋体" w:cs="Courier New"/>
          <w:sz w:val="24"/>
        </w:rPr>
        <w:t>本矿设计在一采区底部布置水泵房，设排水设备，把污水抽到工业广场污水处理站。排水标高为+1988～+1835，垂高为153米。</w:t>
      </w:r>
    </w:p>
    <w:p w14:paraId="08873009">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一、设计依据</w:t>
      </w:r>
    </w:p>
    <w:p w14:paraId="614B06CC">
      <w:pPr>
        <w:pStyle w:val="29"/>
        <w:adjustRightInd w:val="0"/>
        <w:snapToGrid w:val="0"/>
        <w:spacing w:line="360" w:lineRule="auto"/>
        <w:ind w:firstLine="480" w:firstLineChars="200"/>
        <w:rPr>
          <w:rFonts w:hAnsi="宋体"/>
          <w:bCs/>
          <w:sz w:val="24"/>
          <w:szCs w:val="24"/>
        </w:rPr>
      </w:pPr>
      <w:r>
        <w:rPr>
          <w:rFonts w:hint="eastAsia" w:hAnsi="宋体"/>
          <w:bCs/>
          <w:sz w:val="24"/>
          <w:szCs w:val="24"/>
        </w:rPr>
        <w:t>1、</w:t>
      </w:r>
      <w:r>
        <w:rPr>
          <w:rFonts w:hint="eastAsia" w:hAnsi="宋体"/>
          <w:sz w:val="24"/>
          <w:szCs w:val="24"/>
        </w:rPr>
        <w:t>正常涌水量：</w:t>
      </w:r>
      <w:r>
        <w:rPr>
          <w:rFonts w:hAnsi="宋体"/>
          <w:sz w:val="24"/>
          <w:szCs w:val="24"/>
        </w:rPr>
        <w:t>Q</w:t>
      </w:r>
      <w:r>
        <w:rPr>
          <w:rFonts w:hint="eastAsia" w:hAnsi="宋体"/>
          <w:sz w:val="24"/>
          <w:szCs w:val="24"/>
          <w:vertAlign w:val="subscript"/>
        </w:rPr>
        <w:t>正</w:t>
      </w:r>
      <w:r>
        <w:rPr>
          <w:rFonts w:hint="eastAsia" w:hAnsi="宋体"/>
          <w:sz w:val="24"/>
          <w:szCs w:val="24"/>
        </w:rPr>
        <w:t>＝56.5</w:t>
      </w:r>
      <w:r>
        <w:rPr>
          <w:rFonts w:hAnsi="宋体"/>
          <w:sz w:val="24"/>
          <w:szCs w:val="24"/>
        </w:rPr>
        <w:t>m</w:t>
      </w:r>
      <w:r>
        <w:rPr>
          <w:rFonts w:hAnsi="宋体"/>
          <w:sz w:val="24"/>
          <w:szCs w:val="24"/>
          <w:vertAlign w:val="superscript"/>
        </w:rPr>
        <w:t>3</w:t>
      </w:r>
      <w:r>
        <w:rPr>
          <w:rFonts w:hAnsi="宋体"/>
          <w:sz w:val="24"/>
          <w:szCs w:val="24"/>
        </w:rPr>
        <w:t>/h</w:t>
      </w:r>
      <w:r>
        <w:rPr>
          <w:rFonts w:hint="eastAsia" w:hAnsi="宋体"/>
          <w:sz w:val="24"/>
          <w:szCs w:val="24"/>
        </w:rPr>
        <w:t>，最大涌水量：</w:t>
      </w:r>
      <w:r>
        <w:rPr>
          <w:rFonts w:hAnsi="宋体"/>
          <w:sz w:val="24"/>
          <w:szCs w:val="24"/>
        </w:rPr>
        <w:t>Q</w:t>
      </w:r>
      <w:r>
        <w:rPr>
          <w:rFonts w:hint="eastAsia" w:hAnsi="宋体"/>
          <w:sz w:val="24"/>
          <w:szCs w:val="24"/>
          <w:vertAlign w:val="subscript"/>
        </w:rPr>
        <w:t>大</w:t>
      </w:r>
      <w:r>
        <w:rPr>
          <w:rFonts w:hint="eastAsia" w:hAnsi="宋体"/>
          <w:sz w:val="24"/>
          <w:szCs w:val="24"/>
        </w:rPr>
        <w:t>＝164.38</w:t>
      </w:r>
      <w:r>
        <w:rPr>
          <w:rFonts w:hAnsi="宋体"/>
          <w:sz w:val="24"/>
          <w:szCs w:val="24"/>
        </w:rPr>
        <w:t>m</w:t>
      </w:r>
      <w:r>
        <w:rPr>
          <w:rFonts w:hAnsi="宋体"/>
          <w:sz w:val="24"/>
          <w:szCs w:val="24"/>
          <w:vertAlign w:val="superscript"/>
        </w:rPr>
        <w:t>3</w:t>
      </w:r>
      <w:r>
        <w:rPr>
          <w:rFonts w:hAnsi="宋体"/>
          <w:sz w:val="24"/>
          <w:szCs w:val="24"/>
        </w:rPr>
        <w:t>/h</w:t>
      </w:r>
    </w:p>
    <w:p w14:paraId="01CEE901">
      <w:pPr>
        <w:adjustRightInd w:val="0"/>
        <w:snapToGrid w:val="0"/>
        <w:spacing w:line="360" w:lineRule="auto"/>
        <w:ind w:firstLine="480" w:firstLineChars="200"/>
        <w:rPr>
          <w:rFonts w:hint="eastAsia" w:ascii="宋体" w:hAnsi="宋体"/>
          <w:sz w:val="24"/>
        </w:rPr>
      </w:pPr>
      <w:r>
        <w:rPr>
          <w:rFonts w:hint="eastAsia" w:ascii="宋体" w:hAnsi="宋体"/>
          <w:sz w:val="24"/>
        </w:rPr>
        <w:t>2、排水垂高：h=153m；</w:t>
      </w:r>
    </w:p>
    <w:p w14:paraId="28092F56">
      <w:pPr>
        <w:pStyle w:val="4"/>
        <w:keepLines/>
        <w:adjustRightInd w:val="0"/>
        <w:snapToGrid w:val="0"/>
        <w:spacing w:before="240" w:after="240" w:line="360" w:lineRule="auto"/>
        <w:ind w:left="2" w:firstLine="562" w:firstLineChars="200"/>
        <w:jc w:val="both"/>
        <w:rPr>
          <w:b/>
          <w:color w:val="000000"/>
          <w:szCs w:val="20"/>
        </w:rPr>
      </w:pPr>
      <w:r>
        <w:rPr>
          <w:rFonts w:hint="eastAsia"/>
          <w:b/>
          <w:color w:val="000000"/>
          <w:szCs w:val="20"/>
        </w:rPr>
        <w:t>二、选型计算</w:t>
      </w:r>
    </w:p>
    <w:p w14:paraId="4288A8AB">
      <w:pPr>
        <w:adjustRightInd w:val="0"/>
        <w:snapToGrid w:val="0"/>
        <w:spacing w:line="360" w:lineRule="auto"/>
        <w:ind w:firstLine="480" w:firstLineChars="200"/>
        <w:rPr>
          <w:rFonts w:hint="eastAsia" w:ascii="宋体" w:hAnsi="宋体"/>
          <w:sz w:val="24"/>
        </w:rPr>
      </w:pPr>
      <w:r>
        <w:rPr>
          <w:rFonts w:hint="eastAsia" w:ascii="宋体" w:hAnsi="宋体"/>
          <w:sz w:val="24"/>
        </w:rPr>
        <w:t>1、正常和最大涌水量时，工作水泵的最小排水能力：</w:t>
      </w:r>
    </w:p>
    <w:p w14:paraId="40004740">
      <w:pPr>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z w:val="24"/>
        </w:rPr>
        <w:t>所需水泵最小流量Q</w:t>
      </w:r>
      <w:r>
        <w:rPr>
          <w:rFonts w:hint="eastAsia" w:ascii="宋体" w:hAnsi="宋体"/>
          <w:sz w:val="24"/>
          <w:vertAlign w:val="subscript"/>
        </w:rPr>
        <w:t>B</w:t>
      </w:r>
      <w:r>
        <w:rPr>
          <w:rFonts w:hint="eastAsia" w:ascii="宋体" w:hAnsi="宋体"/>
          <w:sz w:val="24"/>
        </w:rPr>
        <w:t>：</w:t>
      </w:r>
    </w:p>
    <w:p w14:paraId="2332F142">
      <w:pPr>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z w:val="24"/>
        </w:rPr>
        <w:t>Q</w:t>
      </w:r>
      <w:r>
        <w:rPr>
          <w:rFonts w:hint="eastAsia" w:ascii="宋体" w:hAnsi="宋体"/>
          <w:sz w:val="24"/>
          <w:vertAlign w:val="subscript"/>
        </w:rPr>
        <w:t>B</w:t>
      </w:r>
      <w:r>
        <w:rPr>
          <w:rFonts w:hint="eastAsia" w:ascii="宋体" w:hAnsi="宋体"/>
          <w:sz w:val="24"/>
        </w:rPr>
        <w:t>=24Q</w:t>
      </w:r>
      <w:r>
        <w:rPr>
          <w:rFonts w:hint="eastAsia" w:ascii="宋体" w:hAnsi="宋体"/>
          <w:sz w:val="24"/>
          <w:vertAlign w:val="subscript"/>
        </w:rPr>
        <w:t>r</w:t>
      </w:r>
      <w:r>
        <w:rPr>
          <w:rFonts w:hint="eastAsia" w:ascii="宋体" w:hAnsi="宋体"/>
          <w:sz w:val="24"/>
        </w:rPr>
        <w:t>/20=1.2Q</w:t>
      </w:r>
      <w:r>
        <w:rPr>
          <w:rFonts w:hint="eastAsia" w:ascii="宋体" w:hAnsi="宋体"/>
          <w:sz w:val="24"/>
          <w:vertAlign w:val="subscript"/>
        </w:rPr>
        <w:t>r</w:t>
      </w:r>
      <w:r>
        <w:rPr>
          <w:rFonts w:hint="eastAsia" w:ascii="宋体" w:hAnsi="宋体"/>
          <w:sz w:val="24"/>
        </w:rPr>
        <w:t>=1.2×56.5=67.8m</w:t>
      </w:r>
      <w:r>
        <w:rPr>
          <w:rFonts w:hint="eastAsia" w:ascii="宋体" w:hAnsi="宋体"/>
          <w:sz w:val="24"/>
          <w:vertAlign w:val="superscript"/>
        </w:rPr>
        <w:t>3</w:t>
      </w:r>
      <w:r>
        <w:rPr>
          <w:rFonts w:hint="eastAsia" w:ascii="宋体" w:hAnsi="宋体"/>
          <w:sz w:val="24"/>
        </w:rPr>
        <w:t>/h</w:t>
      </w:r>
    </w:p>
    <w:p w14:paraId="40DCB4C4">
      <w:pPr>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z w:val="24"/>
        </w:rPr>
        <w:t>式中：Q</w:t>
      </w:r>
      <w:r>
        <w:rPr>
          <w:rFonts w:hint="eastAsia" w:ascii="宋体" w:hAnsi="宋体"/>
          <w:sz w:val="24"/>
          <w:vertAlign w:val="subscript"/>
        </w:rPr>
        <w:t>r</w:t>
      </w:r>
      <w:r>
        <w:rPr>
          <w:rFonts w:hint="eastAsia" w:ascii="宋体" w:hAnsi="宋体"/>
          <w:sz w:val="24"/>
        </w:rPr>
        <w:t>—矿井正常涌水量，56.5m</w:t>
      </w:r>
      <w:r>
        <w:rPr>
          <w:rFonts w:hint="eastAsia" w:ascii="宋体" w:hAnsi="宋体"/>
          <w:sz w:val="24"/>
          <w:vertAlign w:val="superscript"/>
        </w:rPr>
        <w:t>3</w:t>
      </w:r>
      <w:r>
        <w:rPr>
          <w:rFonts w:hint="eastAsia" w:ascii="宋体" w:hAnsi="宋体"/>
          <w:sz w:val="24"/>
        </w:rPr>
        <w:t>/h；</w:t>
      </w:r>
    </w:p>
    <w:p w14:paraId="4327B5CF">
      <w:pPr>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z w:val="24"/>
        </w:rPr>
        <w:t>所需水泵最大流量Q</w:t>
      </w:r>
      <w:r>
        <w:rPr>
          <w:rFonts w:hint="eastAsia" w:ascii="宋体" w:hAnsi="宋体"/>
          <w:sz w:val="24"/>
          <w:vertAlign w:val="subscript"/>
        </w:rPr>
        <w:t>Bm</w:t>
      </w:r>
      <w:r>
        <w:rPr>
          <w:rFonts w:hint="eastAsia" w:ascii="宋体" w:hAnsi="宋体"/>
          <w:sz w:val="24"/>
        </w:rPr>
        <w:t>：</w:t>
      </w:r>
    </w:p>
    <w:p w14:paraId="197EE002">
      <w:pPr>
        <w:autoSpaceDE w:val="0"/>
        <w:autoSpaceDN w:val="0"/>
        <w:adjustRightInd w:val="0"/>
        <w:snapToGrid w:val="0"/>
        <w:spacing w:line="360" w:lineRule="auto"/>
        <w:ind w:firstLine="480" w:firstLineChars="200"/>
        <w:jc w:val="left"/>
        <w:rPr>
          <w:rFonts w:hint="eastAsia" w:ascii="宋体" w:hAnsi="宋体"/>
          <w:sz w:val="24"/>
          <w:vertAlign w:val="subscript"/>
        </w:rPr>
      </w:pPr>
      <w:r>
        <w:rPr>
          <w:rFonts w:hint="eastAsia" w:ascii="宋体" w:hAnsi="宋体"/>
          <w:sz w:val="24"/>
        </w:rPr>
        <w:t>Q</w:t>
      </w:r>
      <w:r>
        <w:rPr>
          <w:rFonts w:hint="eastAsia" w:ascii="宋体" w:hAnsi="宋体"/>
          <w:sz w:val="24"/>
          <w:vertAlign w:val="subscript"/>
        </w:rPr>
        <w:t>Bm</w:t>
      </w:r>
      <w:r>
        <w:rPr>
          <w:rFonts w:hint="eastAsia" w:ascii="宋体" w:hAnsi="宋体"/>
          <w:sz w:val="24"/>
        </w:rPr>
        <w:t>=24Q</w:t>
      </w:r>
      <w:r>
        <w:rPr>
          <w:rFonts w:hint="eastAsia" w:ascii="宋体" w:hAnsi="宋体"/>
          <w:sz w:val="24"/>
          <w:vertAlign w:val="subscript"/>
        </w:rPr>
        <w:t>rm</w:t>
      </w:r>
      <w:r>
        <w:rPr>
          <w:rFonts w:hint="eastAsia" w:ascii="宋体" w:hAnsi="宋体"/>
          <w:sz w:val="24"/>
        </w:rPr>
        <w:t>/20=1.2Q</w:t>
      </w:r>
      <w:r>
        <w:rPr>
          <w:rFonts w:hint="eastAsia" w:ascii="宋体" w:hAnsi="宋体"/>
          <w:sz w:val="24"/>
          <w:vertAlign w:val="subscript"/>
        </w:rPr>
        <w:t>rm</w:t>
      </w:r>
      <w:r>
        <w:rPr>
          <w:rFonts w:hint="eastAsia" w:ascii="宋体" w:hAnsi="宋体"/>
          <w:sz w:val="24"/>
        </w:rPr>
        <w:t>=1.2×164.38=197.3m</w:t>
      </w:r>
      <w:r>
        <w:rPr>
          <w:rFonts w:hint="eastAsia" w:ascii="宋体" w:hAnsi="宋体"/>
          <w:sz w:val="24"/>
          <w:vertAlign w:val="superscript"/>
        </w:rPr>
        <w:t>3</w:t>
      </w:r>
      <w:r>
        <w:rPr>
          <w:rFonts w:hint="eastAsia" w:ascii="宋体" w:hAnsi="宋体"/>
          <w:sz w:val="24"/>
        </w:rPr>
        <w:t>/h</w:t>
      </w:r>
    </w:p>
    <w:p w14:paraId="5FFCC516">
      <w:pPr>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z w:val="24"/>
        </w:rPr>
        <w:t>式中：Q</w:t>
      </w:r>
      <w:r>
        <w:rPr>
          <w:rFonts w:hint="eastAsia" w:ascii="宋体" w:hAnsi="宋体"/>
          <w:sz w:val="24"/>
          <w:vertAlign w:val="subscript"/>
        </w:rPr>
        <w:t>rm</w:t>
      </w:r>
      <w:r>
        <w:rPr>
          <w:rFonts w:hint="eastAsia" w:ascii="宋体" w:hAnsi="宋体"/>
          <w:sz w:val="24"/>
        </w:rPr>
        <w:t>—矿井最大涌水量，164.38m</w:t>
      </w:r>
      <w:r>
        <w:rPr>
          <w:rFonts w:hint="eastAsia" w:ascii="宋体" w:hAnsi="宋体"/>
          <w:sz w:val="24"/>
          <w:vertAlign w:val="superscript"/>
        </w:rPr>
        <w:t>3</w:t>
      </w:r>
      <w:r>
        <w:rPr>
          <w:rFonts w:hint="eastAsia" w:ascii="宋体" w:hAnsi="宋体"/>
          <w:sz w:val="24"/>
        </w:rPr>
        <w:t>/h；</w:t>
      </w:r>
    </w:p>
    <w:p w14:paraId="68618C1C">
      <w:pPr>
        <w:adjustRightInd w:val="0"/>
        <w:snapToGrid w:val="0"/>
        <w:spacing w:line="360" w:lineRule="auto"/>
        <w:ind w:firstLine="480" w:firstLineChars="200"/>
        <w:rPr>
          <w:rFonts w:hint="eastAsia" w:ascii="宋体" w:hAnsi="宋体"/>
          <w:sz w:val="24"/>
        </w:rPr>
      </w:pPr>
      <w:r>
        <w:rPr>
          <w:rFonts w:hint="eastAsia" w:ascii="宋体" w:hAnsi="宋体"/>
          <w:sz w:val="24"/>
        </w:rPr>
        <w:t>2、计算水泵所需扬程为：</w:t>
      </w:r>
    </w:p>
    <w:p w14:paraId="672288CC">
      <w:pPr>
        <w:autoSpaceDE w:val="0"/>
        <w:autoSpaceDN w:val="0"/>
        <w:adjustRightInd w:val="0"/>
        <w:snapToGrid w:val="0"/>
        <w:spacing w:line="360" w:lineRule="auto"/>
        <w:ind w:firstLine="480" w:firstLineChars="200"/>
        <w:jc w:val="left"/>
        <w:rPr>
          <w:rFonts w:hint="eastAsia" w:ascii="宋体" w:hAnsi="宋体"/>
          <w:sz w:val="24"/>
        </w:rPr>
      </w:pPr>
      <w:r>
        <w:rPr>
          <w:rFonts w:hint="eastAsia" w:ascii="宋体" w:hAnsi="宋体"/>
          <w:sz w:val="24"/>
        </w:rPr>
        <w:t>H</w:t>
      </w:r>
      <w:r>
        <w:rPr>
          <w:rFonts w:hint="eastAsia" w:ascii="宋体" w:hAnsi="宋体"/>
          <w:sz w:val="24"/>
          <w:vertAlign w:val="subscript"/>
        </w:rPr>
        <w:t>B</w:t>
      </w:r>
      <w:r>
        <w:rPr>
          <w:rFonts w:hint="eastAsia" w:ascii="宋体" w:hAnsi="宋体"/>
          <w:sz w:val="24"/>
        </w:rPr>
        <w:t>=（H</w:t>
      </w:r>
      <w:r>
        <w:rPr>
          <w:rFonts w:hint="eastAsia" w:ascii="宋体" w:hAnsi="宋体"/>
          <w:sz w:val="24"/>
          <w:vertAlign w:val="subscript"/>
        </w:rPr>
        <w:t>p</w:t>
      </w:r>
      <w:r>
        <w:rPr>
          <w:rFonts w:hint="eastAsia" w:ascii="宋体" w:hAnsi="宋体"/>
          <w:sz w:val="24"/>
        </w:rPr>
        <w:t>+H</w:t>
      </w:r>
      <w:r>
        <w:rPr>
          <w:rFonts w:hint="eastAsia" w:ascii="宋体" w:hAnsi="宋体"/>
          <w:sz w:val="24"/>
          <w:vertAlign w:val="subscript"/>
        </w:rPr>
        <w:t>吸</w:t>
      </w:r>
      <w:r>
        <w:rPr>
          <w:rFonts w:hint="eastAsia" w:ascii="宋体" w:hAnsi="宋体"/>
          <w:sz w:val="24"/>
        </w:rPr>
        <w:t>）/ηg=(153+5)/0.8=199(m)</w:t>
      </w:r>
    </w:p>
    <w:p w14:paraId="1D89FAFF">
      <w:pPr>
        <w:adjustRightInd w:val="0"/>
        <w:snapToGrid w:val="0"/>
        <w:spacing w:line="360" w:lineRule="auto"/>
        <w:ind w:firstLine="480" w:firstLineChars="200"/>
        <w:rPr>
          <w:rFonts w:hint="eastAsia" w:ascii="宋体" w:hAnsi="宋体"/>
          <w:sz w:val="24"/>
        </w:rPr>
      </w:pPr>
      <w:r>
        <w:rPr>
          <w:rFonts w:hint="eastAsia" w:ascii="宋体" w:hAnsi="宋体"/>
          <w:sz w:val="24"/>
        </w:rPr>
        <w:t>式中：H</w:t>
      </w:r>
      <w:r>
        <w:rPr>
          <w:rFonts w:hint="eastAsia" w:ascii="宋体" w:hAnsi="宋体"/>
          <w:sz w:val="24"/>
          <w:vertAlign w:val="subscript"/>
        </w:rPr>
        <w:t>p</w:t>
      </w:r>
      <w:r>
        <w:rPr>
          <w:rFonts w:hint="eastAsia" w:ascii="宋体" w:hAnsi="宋体"/>
          <w:sz w:val="24"/>
        </w:rPr>
        <w:t>—排水高度；</w:t>
      </w:r>
    </w:p>
    <w:p w14:paraId="12673311">
      <w:pPr>
        <w:adjustRightInd w:val="0"/>
        <w:snapToGrid w:val="0"/>
        <w:spacing w:line="360" w:lineRule="auto"/>
        <w:ind w:firstLine="1200" w:firstLineChars="500"/>
        <w:rPr>
          <w:rFonts w:hint="eastAsia" w:ascii="宋体" w:hAnsi="宋体"/>
          <w:sz w:val="24"/>
        </w:rPr>
      </w:pPr>
      <w:r>
        <w:rPr>
          <w:rFonts w:hint="eastAsia" w:ascii="宋体" w:hAnsi="宋体"/>
          <w:sz w:val="24"/>
        </w:rPr>
        <w:t>H</w:t>
      </w:r>
      <w:r>
        <w:rPr>
          <w:rFonts w:hint="eastAsia" w:ascii="宋体" w:hAnsi="宋体"/>
          <w:sz w:val="24"/>
          <w:vertAlign w:val="subscript"/>
        </w:rPr>
        <w:t>吸</w:t>
      </w:r>
      <w:r>
        <w:rPr>
          <w:rFonts w:hint="eastAsia" w:ascii="宋体" w:hAnsi="宋体"/>
          <w:sz w:val="24"/>
        </w:rPr>
        <w:t>—吸水高度，5m；</w:t>
      </w:r>
    </w:p>
    <w:p w14:paraId="77A4C680">
      <w:pPr>
        <w:adjustRightInd w:val="0"/>
        <w:snapToGrid w:val="0"/>
        <w:spacing w:line="360" w:lineRule="auto"/>
        <w:ind w:firstLine="1200" w:firstLineChars="500"/>
        <w:rPr>
          <w:rFonts w:hint="eastAsia" w:ascii="宋体" w:hAnsi="宋体"/>
          <w:sz w:val="24"/>
        </w:rPr>
      </w:pPr>
      <w:r>
        <w:rPr>
          <w:rFonts w:hint="eastAsia" w:ascii="宋体" w:hAnsi="宋体"/>
          <w:sz w:val="24"/>
        </w:rPr>
        <w:t>ηg—管道效率，取0.8。</w:t>
      </w:r>
    </w:p>
    <w:p w14:paraId="14149C6A">
      <w:pPr>
        <w:spacing w:line="360" w:lineRule="auto"/>
        <w:ind w:firstLine="480" w:firstLineChars="200"/>
        <w:rPr>
          <w:rFonts w:hint="eastAsia" w:ascii="宋体" w:hAnsi="宋体"/>
          <w:color w:val="0000FF"/>
          <w:sz w:val="24"/>
        </w:rPr>
      </w:pPr>
      <w:r>
        <w:rPr>
          <w:rFonts w:hint="eastAsia" w:ascii="宋体" w:hAnsi="宋体"/>
          <w:color w:val="0000FF"/>
          <w:sz w:val="24"/>
        </w:rPr>
        <w:t>根据Q</w:t>
      </w:r>
      <w:r>
        <w:rPr>
          <w:rFonts w:hint="eastAsia" w:ascii="宋体" w:hAnsi="宋体"/>
          <w:color w:val="0000FF"/>
          <w:sz w:val="24"/>
          <w:vertAlign w:val="subscript"/>
        </w:rPr>
        <w:t>Bm</w:t>
      </w:r>
      <w:r>
        <w:rPr>
          <w:rFonts w:hint="eastAsia" w:ascii="宋体" w:hAnsi="宋体"/>
          <w:color w:val="0000FF"/>
          <w:sz w:val="24"/>
        </w:rPr>
        <w:t>和H</w:t>
      </w:r>
      <w:r>
        <w:rPr>
          <w:rFonts w:hint="eastAsia" w:ascii="宋体" w:hAnsi="宋体"/>
          <w:color w:val="0000FF"/>
          <w:sz w:val="24"/>
          <w:vertAlign w:val="subscript"/>
        </w:rPr>
        <w:t>B</w:t>
      </w:r>
      <w:r>
        <w:rPr>
          <w:rFonts w:hint="eastAsia" w:ascii="宋体" w:hAnsi="宋体"/>
          <w:color w:val="0000FF"/>
          <w:sz w:val="24"/>
        </w:rPr>
        <w:t>值，选用</w:t>
      </w:r>
      <w:r>
        <w:rPr>
          <w:rFonts w:hint="eastAsia" w:ascii="宋体" w:hAnsi="宋体"/>
          <w:color w:val="0000FF"/>
          <w:sz w:val="24"/>
          <w:u w:val="wave"/>
        </w:rPr>
        <w:t>矿上已有的</w:t>
      </w:r>
      <w:r>
        <w:rPr>
          <w:rFonts w:hint="eastAsia" w:ascii="宋体" w:hAnsi="宋体"/>
          <w:color w:val="0000FF"/>
          <w:sz w:val="24"/>
        </w:rPr>
        <w:t>DF155-67×4型离心水泵3台，其中：正常涌水量时，一台泵工作，一台泵备用,一台泵检修；最大涌水量时，二台泵工作，一台泵备用；水泵工况点参数为：流量Qm=155m</w:t>
      </w:r>
      <w:r>
        <w:rPr>
          <w:rFonts w:hint="eastAsia" w:ascii="宋体" w:hAnsi="宋体"/>
          <w:color w:val="0000FF"/>
          <w:sz w:val="24"/>
          <w:vertAlign w:val="superscript"/>
        </w:rPr>
        <w:t>3</w:t>
      </w:r>
      <w:r>
        <w:rPr>
          <w:rFonts w:hint="eastAsia" w:ascii="宋体" w:hAnsi="宋体"/>
          <w:color w:val="0000FF"/>
          <w:sz w:val="24"/>
        </w:rPr>
        <w:t>/h，扬程Hm=268m，电压10KV，功率185kw，效率ηm＝0.74。</w:t>
      </w:r>
    </w:p>
    <w:p w14:paraId="1576B450">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三、排水管</w:t>
      </w:r>
    </w:p>
    <w:p w14:paraId="75BED120">
      <w:pPr>
        <w:spacing w:line="360" w:lineRule="auto"/>
        <w:ind w:firstLine="480" w:firstLineChars="200"/>
        <w:rPr>
          <w:rFonts w:hint="eastAsia" w:ascii="宋体" w:hAnsi="宋体"/>
          <w:kern w:val="36"/>
          <w:sz w:val="24"/>
        </w:rPr>
      </w:pPr>
      <w:r>
        <w:rPr>
          <w:rFonts w:hint="eastAsia" w:ascii="宋体" w:hAnsi="宋体"/>
          <w:sz w:val="24"/>
        </w:rPr>
        <w:t>1、</w:t>
      </w:r>
      <w:r>
        <w:rPr>
          <w:rFonts w:hint="eastAsia" w:ascii="宋体" w:hAnsi="宋体"/>
          <w:kern w:val="36"/>
          <w:sz w:val="24"/>
        </w:rPr>
        <w:t>排水管趟数的确定</w:t>
      </w:r>
    </w:p>
    <w:p w14:paraId="58DFCBFF">
      <w:pPr>
        <w:spacing w:line="360" w:lineRule="auto"/>
        <w:ind w:firstLine="480" w:firstLineChars="200"/>
        <w:rPr>
          <w:rFonts w:hint="eastAsia" w:ascii="宋体" w:hAnsi="宋体" w:cs="宋体"/>
          <w:sz w:val="24"/>
          <w:lang w:val="zh-CN"/>
        </w:rPr>
      </w:pPr>
      <w:r>
        <w:rPr>
          <w:rFonts w:hint="eastAsia" w:ascii="宋体" w:hAnsi="宋体" w:cs="宋体"/>
          <w:sz w:val="24"/>
          <w:lang w:val="zh-CN"/>
        </w:rPr>
        <w:t>根据设计规范要求，排水都设置两趟管路，一趟工作，一趟备用。</w:t>
      </w:r>
    </w:p>
    <w:p w14:paraId="078D49A5">
      <w:pPr>
        <w:spacing w:line="360" w:lineRule="auto"/>
        <w:ind w:firstLine="480" w:firstLineChars="200"/>
        <w:rPr>
          <w:rFonts w:hint="eastAsia" w:ascii="宋体" w:hAnsi="宋体"/>
          <w:kern w:val="36"/>
          <w:sz w:val="24"/>
        </w:rPr>
      </w:pPr>
      <w:r>
        <w:rPr>
          <w:rFonts w:hint="eastAsia" w:ascii="宋体" w:hAnsi="宋体"/>
          <w:sz w:val="24"/>
        </w:rPr>
        <w:t>2、</w:t>
      </w:r>
      <w:r>
        <w:rPr>
          <w:rFonts w:hint="eastAsia" w:ascii="宋体" w:hAnsi="宋体"/>
          <w:kern w:val="36"/>
          <w:sz w:val="24"/>
        </w:rPr>
        <w:t>管径计算</w:t>
      </w:r>
    </w:p>
    <w:p w14:paraId="267FC155">
      <w:pPr>
        <w:tabs>
          <w:tab w:val="left" w:pos="993"/>
        </w:tabs>
        <w:snapToGrid w:val="0"/>
        <w:spacing w:line="360" w:lineRule="auto"/>
        <w:ind w:firstLine="480" w:firstLineChars="200"/>
        <w:rPr>
          <w:rFonts w:hint="eastAsia" w:ascii="宋体" w:hAnsi="宋体"/>
          <w:sz w:val="24"/>
        </w:rPr>
      </w:pPr>
      <w:r>
        <w:rPr>
          <w:rFonts w:hint="eastAsia" w:ascii="宋体" w:hAnsi="宋体"/>
          <w:sz w:val="24"/>
        </w:rPr>
        <w:t>d=[4Q/（3600πV）]</w:t>
      </w:r>
      <w:r>
        <w:rPr>
          <w:rFonts w:hint="eastAsia" w:ascii="宋体" w:hAnsi="宋体"/>
          <w:sz w:val="24"/>
          <w:vertAlign w:val="superscript"/>
        </w:rPr>
        <w:t>1/2</w:t>
      </w:r>
    </w:p>
    <w:p w14:paraId="5F0FA28E">
      <w:pPr>
        <w:tabs>
          <w:tab w:val="left" w:pos="993"/>
        </w:tabs>
        <w:snapToGrid w:val="0"/>
        <w:spacing w:line="360" w:lineRule="auto"/>
        <w:ind w:firstLine="480" w:firstLineChars="200"/>
        <w:rPr>
          <w:rFonts w:hint="eastAsia" w:ascii="宋体" w:hAnsi="宋体"/>
          <w:sz w:val="24"/>
        </w:rPr>
      </w:pPr>
      <w:r>
        <w:rPr>
          <w:rFonts w:hint="eastAsia" w:ascii="宋体" w:hAnsi="宋体"/>
          <w:sz w:val="24"/>
        </w:rPr>
        <w:t>=[4×155／(3600×3.14×1.9)]</w:t>
      </w:r>
      <w:r>
        <w:rPr>
          <w:rFonts w:hint="eastAsia" w:ascii="宋体" w:hAnsi="宋体"/>
          <w:sz w:val="24"/>
          <w:vertAlign w:val="superscript"/>
        </w:rPr>
        <w:t>1/2</w:t>
      </w:r>
    </w:p>
    <w:p w14:paraId="19D729B1">
      <w:pPr>
        <w:tabs>
          <w:tab w:val="left" w:pos="993"/>
        </w:tabs>
        <w:snapToGrid w:val="0"/>
        <w:spacing w:line="360" w:lineRule="auto"/>
        <w:ind w:firstLine="480" w:firstLineChars="200"/>
        <w:rPr>
          <w:rFonts w:hint="eastAsia" w:ascii="宋体" w:hAnsi="宋体"/>
          <w:sz w:val="24"/>
        </w:rPr>
      </w:pPr>
      <w:r>
        <w:rPr>
          <w:rFonts w:hint="eastAsia" w:ascii="宋体" w:hAnsi="宋体"/>
          <w:sz w:val="24"/>
        </w:rPr>
        <w:t>=0.1699(m)</w:t>
      </w:r>
    </w:p>
    <w:p w14:paraId="58BC63E3">
      <w:pPr>
        <w:tabs>
          <w:tab w:val="left" w:pos="993"/>
        </w:tabs>
        <w:snapToGrid w:val="0"/>
        <w:spacing w:line="360" w:lineRule="auto"/>
        <w:ind w:firstLine="480" w:firstLineChars="200"/>
        <w:rPr>
          <w:rFonts w:hint="eastAsia" w:ascii="宋体" w:hAnsi="宋体"/>
          <w:sz w:val="24"/>
        </w:rPr>
      </w:pPr>
      <w:r>
        <w:rPr>
          <w:rFonts w:hint="eastAsia" w:ascii="宋体" w:hAnsi="宋体"/>
          <w:sz w:val="24"/>
        </w:rPr>
        <w:t>式中：d——排水管内径（m）</w:t>
      </w:r>
    </w:p>
    <w:p w14:paraId="5FAEE217">
      <w:pPr>
        <w:tabs>
          <w:tab w:val="left" w:pos="993"/>
        </w:tabs>
        <w:snapToGrid w:val="0"/>
        <w:spacing w:line="360" w:lineRule="auto"/>
        <w:ind w:firstLine="1200" w:firstLineChars="500"/>
        <w:rPr>
          <w:rFonts w:hint="eastAsia" w:ascii="宋体" w:hAnsi="宋体"/>
          <w:sz w:val="24"/>
        </w:rPr>
      </w:pPr>
      <w:r>
        <w:rPr>
          <w:rFonts w:hint="eastAsia" w:ascii="宋体" w:hAnsi="宋体"/>
          <w:sz w:val="24"/>
        </w:rPr>
        <w:t>Q——通过管路的流量m</w:t>
      </w:r>
      <w:r>
        <w:rPr>
          <w:rFonts w:hint="eastAsia" w:ascii="宋体" w:hAnsi="宋体"/>
          <w:sz w:val="24"/>
          <w:vertAlign w:val="superscript"/>
        </w:rPr>
        <w:t>3</w:t>
      </w:r>
      <w:r>
        <w:rPr>
          <w:rFonts w:hint="eastAsia" w:ascii="宋体" w:hAnsi="宋体"/>
          <w:sz w:val="24"/>
        </w:rPr>
        <w:t>/h</w:t>
      </w:r>
    </w:p>
    <w:p w14:paraId="57B28D76">
      <w:pPr>
        <w:tabs>
          <w:tab w:val="left" w:pos="993"/>
        </w:tabs>
        <w:snapToGrid w:val="0"/>
        <w:spacing w:line="360" w:lineRule="auto"/>
        <w:ind w:firstLine="1200" w:firstLineChars="500"/>
        <w:rPr>
          <w:rFonts w:hint="eastAsia" w:ascii="宋体" w:hAnsi="宋体"/>
          <w:sz w:val="24"/>
        </w:rPr>
      </w:pPr>
      <w:r>
        <w:rPr>
          <w:rFonts w:hint="eastAsia" w:ascii="宋体" w:hAnsi="宋体"/>
          <w:sz w:val="24"/>
        </w:rPr>
        <w:t>V——管中流速，取经济流速1.9m/s</w:t>
      </w:r>
    </w:p>
    <w:p w14:paraId="4A569F16">
      <w:pPr>
        <w:spacing w:line="360" w:lineRule="auto"/>
        <w:ind w:firstLine="480" w:firstLineChars="200"/>
        <w:rPr>
          <w:rFonts w:hint="eastAsia" w:ascii="宋体" w:hAnsi="宋体"/>
          <w:sz w:val="24"/>
        </w:rPr>
      </w:pPr>
      <w:r>
        <w:rPr>
          <w:rFonts w:hint="eastAsia" w:ascii="宋体" w:hAnsi="宋体"/>
          <w:sz w:val="24"/>
        </w:rPr>
        <w:t>根据以上计算,选用DN200×6的无缝钢管作排水管。</w:t>
      </w:r>
    </w:p>
    <w:p w14:paraId="7F7C0525">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四、选电机</w:t>
      </w:r>
    </w:p>
    <w:p w14:paraId="1469B412">
      <w:pPr>
        <w:pStyle w:val="29"/>
        <w:adjustRightInd w:val="0"/>
        <w:snapToGrid w:val="0"/>
        <w:spacing w:line="360" w:lineRule="auto"/>
        <w:ind w:firstLine="480" w:firstLineChars="200"/>
        <w:rPr>
          <w:rFonts w:hint="eastAsia" w:hAnsi="宋体"/>
          <w:sz w:val="24"/>
          <w:szCs w:val="24"/>
        </w:rPr>
      </w:pPr>
      <w:r>
        <w:rPr>
          <w:rFonts w:hint="eastAsia" w:hAnsi="宋体"/>
          <w:sz w:val="24"/>
          <w:szCs w:val="24"/>
        </w:rPr>
        <w:t>电机功率按下式计算：</w:t>
      </w:r>
    </w:p>
    <w:p w14:paraId="601273A8">
      <w:pPr>
        <w:pStyle w:val="29"/>
        <w:adjustRightInd w:val="0"/>
        <w:snapToGrid w:val="0"/>
        <w:spacing w:line="360" w:lineRule="auto"/>
        <w:ind w:firstLine="482" w:firstLineChars="200"/>
        <w:rPr>
          <w:rFonts w:hint="eastAsia" w:hAnsi="宋体"/>
          <w:color w:val="0000FF"/>
          <w:sz w:val="24"/>
          <w:szCs w:val="24"/>
        </w:rPr>
      </w:pPr>
      <w:r>
        <w:rPr>
          <w:rFonts w:hint="eastAsia" w:hAnsi="宋体"/>
          <w:b/>
          <w:color w:val="0000FF"/>
          <w:position w:val="-28"/>
          <w:sz w:val="24"/>
          <w:szCs w:val="24"/>
        </w:rPr>
        <w:object>
          <v:shape id="_x0000_i1146" o:spt="75" type="#_x0000_t75" style="height:35.25pt;width:95pt;" o:ole="t" filled="f" o:preferrelative="t" stroked="f" coordsize="21600,21600">
            <v:path/>
            <v:fill on="f" alignshape="1" focussize="0,0"/>
            <v:stroke on="f"/>
            <v:imagedata r:id="rId199" o:title=""/>
            <o:lock v:ext="edit" aspectratio="t"/>
            <w10:wrap type="none"/>
            <w10:anchorlock/>
          </v:shape>
          <o:OLEObject Type="Embed" ProgID="Equation.3" ShapeID="_x0000_i1146" DrawAspect="Content" ObjectID="_1468075811" r:id="rId198">
            <o:LockedField>false</o:LockedField>
          </o:OLEObject>
        </w:object>
      </w:r>
      <w:r>
        <w:rPr>
          <w:rFonts w:hint="eastAsia" w:hAnsi="宋体"/>
          <w:b/>
          <w:color w:val="0000FF"/>
          <w:sz w:val="24"/>
          <w:szCs w:val="24"/>
        </w:rPr>
        <w:t>=</w:t>
      </w:r>
      <w:r>
        <w:rPr>
          <w:rFonts w:hint="eastAsia" w:hAnsi="宋体"/>
          <w:color w:val="0000FF"/>
          <w:sz w:val="24"/>
          <w:szCs w:val="24"/>
        </w:rPr>
        <w:t>1.15×</w:t>
      </w:r>
      <w:r>
        <w:rPr>
          <w:rFonts w:hint="eastAsia" w:hAnsi="宋体"/>
          <w:b/>
          <w:color w:val="0000FF"/>
          <w:position w:val="-24"/>
          <w:sz w:val="24"/>
          <w:szCs w:val="24"/>
        </w:rPr>
        <w:object>
          <v:shape id="_x0000_i1147" o:spt="75" type="#_x0000_t75" style="height:33pt;width:87pt;" o:ole="t" filled="f" o:preferrelative="t" stroked="f" coordsize="21600,21600">
            <v:path/>
            <v:fill on="f" alignshape="1" focussize="0,0"/>
            <v:stroke on="f"/>
            <v:imagedata r:id="rId201" o:title=""/>
            <o:lock v:ext="edit" aspectratio="t"/>
            <w10:wrap type="none"/>
            <w10:anchorlock/>
          </v:shape>
          <o:OLEObject Type="Embed" ProgID="Equation.3" ShapeID="_x0000_i1147" DrawAspect="Content" ObjectID="_1468075812" r:id="rId200">
            <o:LockedField>false</o:LockedField>
          </o:OLEObject>
        </w:object>
      </w:r>
      <w:r>
        <w:rPr>
          <w:rFonts w:hint="eastAsia" w:hAnsi="宋体"/>
          <w:b/>
          <w:color w:val="0000FF"/>
          <w:sz w:val="24"/>
          <w:szCs w:val="24"/>
        </w:rPr>
        <w:t>=</w:t>
      </w:r>
      <w:r>
        <w:rPr>
          <w:rFonts w:hint="eastAsia" w:hAnsi="宋体"/>
          <w:color w:val="0000FF"/>
          <w:sz w:val="24"/>
          <w:szCs w:val="24"/>
        </w:rPr>
        <w:t>179.39（KW）</w:t>
      </w:r>
    </w:p>
    <w:p w14:paraId="6332A55E">
      <w:pPr>
        <w:pStyle w:val="29"/>
        <w:adjustRightInd w:val="0"/>
        <w:snapToGrid w:val="0"/>
        <w:spacing w:line="360" w:lineRule="auto"/>
        <w:ind w:firstLine="480" w:firstLineChars="200"/>
        <w:rPr>
          <w:rFonts w:hint="eastAsia" w:hAnsi="宋体"/>
          <w:sz w:val="24"/>
          <w:szCs w:val="24"/>
        </w:rPr>
      </w:pPr>
      <w:r>
        <w:rPr>
          <w:rFonts w:hint="eastAsia" w:hAnsi="宋体"/>
          <w:sz w:val="24"/>
          <w:szCs w:val="24"/>
        </w:rPr>
        <w:t>式中：</w:t>
      </w:r>
      <w:r>
        <w:rPr>
          <w:rFonts w:hint="eastAsia" w:hAnsi="宋体"/>
          <w:position w:val="-4"/>
          <w:sz w:val="24"/>
          <w:szCs w:val="24"/>
        </w:rPr>
        <w:object>
          <v:shape id="_x0000_i1148" o:spt="75" type="#_x0000_t75" style="height:12.75pt;width:12pt;" o:ole="t" filled="f" o:preferrelative="t" stroked="f" coordsize="21600,21600">
            <v:path/>
            <v:fill on="f" focussize="0,0"/>
            <v:stroke on="f"/>
            <v:imagedata r:id="rId203" o:title=""/>
            <o:lock v:ext="edit" aspectratio="t"/>
            <w10:wrap type="none"/>
            <w10:anchorlock/>
          </v:shape>
          <o:OLEObject Type="Embed" ProgID="Equation.3" ShapeID="_x0000_i1148" DrawAspect="Content" ObjectID="_1468075813" r:id="rId202">
            <o:LockedField>false</o:LockedField>
          </o:OLEObject>
        </w:object>
      </w:r>
      <w:r>
        <w:rPr>
          <w:rFonts w:hint="eastAsia" w:hAnsi="宋体"/>
          <w:sz w:val="24"/>
          <w:szCs w:val="24"/>
        </w:rPr>
        <w:t>——电机功率，KW；</w:t>
      </w:r>
    </w:p>
    <w:p w14:paraId="402E077E">
      <w:pPr>
        <w:pStyle w:val="29"/>
        <w:adjustRightInd w:val="0"/>
        <w:snapToGrid w:val="0"/>
        <w:spacing w:line="360" w:lineRule="auto"/>
        <w:ind w:firstLine="1155" w:firstLineChars="550"/>
        <w:rPr>
          <w:rFonts w:hint="eastAsia" w:hAnsi="宋体"/>
          <w:sz w:val="24"/>
          <w:szCs w:val="24"/>
        </w:rPr>
      </w:pPr>
      <w:r>
        <w:rPr>
          <w:position w:val="-4"/>
        </w:rPr>
        <w:object>
          <v:shape id="_x0000_i1149" o:spt="75" type="#_x0000_t75" style="height:13pt;width:13pt;" o:ole="t" filled="f" stroked="f" coordsize="21600,21600">
            <v:path/>
            <v:fill on="f" focussize="0,0"/>
            <v:stroke on="f"/>
            <v:imagedata r:id="rId205" o:title=""/>
            <o:lock v:ext="edit" aspectratio="t"/>
            <w10:wrap type="none"/>
            <w10:anchorlock/>
          </v:shape>
          <o:OLEObject Type="Embed" ProgID="Equation.3" ShapeID="_x0000_i1149" DrawAspect="Content" ObjectID="_1468075814" r:id="rId204">
            <o:LockedField>false</o:LockedField>
          </o:OLEObject>
        </w:object>
      </w:r>
      <w:r>
        <w:rPr>
          <w:rFonts w:hint="eastAsia" w:hAnsi="宋体"/>
          <w:sz w:val="24"/>
          <w:szCs w:val="24"/>
        </w:rPr>
        <w:t>——备用系数；</w:t>
      </w:r>
    </w:p>
    <w:p w14:paraId="555AE4C4">
      <w:pPr>
        <w:pStyle w:val="29"/>
        <w:adjustRightInd w:val="0"/>
        <w:snapToGrid w:val="0"/>
        <w:spacing w:line="360" w:lineRule="auto"/>
        <w:ind w:firstLine="1320" w:firstLineChars="550"/>
        <w:rPr>
          <w:rFonts w:hint="eastAsia" w:hAnsi="宋体"/>
          <w:sz w:val="24"/>
          <w:szCs w:val="24"/>
        </w:rPr>
      </w:pPr>
      <w:r>
        <w:rPr>
          <w:rFonts w:hint="eastAsia" w:hAnsi="宋体"/>
          <w:sz w:val="24"/>
          <w:szCs w:val="24"/>
        </w:rPr>
        <w:object>
          <v:shape id="_x0000_i1150" o:spt="75" type="#_x0000_t75" style="height:15.75pt;width:12pt;" o:ole="t" filled="f" o:preferrelative="t" stroked="f" coordsize="21600,21600">
            <v:path/>
            <v:fill on="f" focussize="0,0"/>
            <v:stroke on="f"/>
            <v:imagedata r:id="rId207" o:title=""/>
            <o:lock v:ext="edit" aspectratio="t"/>
            <w10:wrap type="none"/>
            <w10:anchorlock/>
          </v:shape>
          <o:OLEObject Type="Embed" ProgID="Equation.3" ShapeID="_x0000_i1150" DrawAspect="Content" ObjectID="_1468075815" r:id="rId206">
            <o:LockedField>false</o:LockedField>
          </o:OLEObject>
        </w:object>
      </w:r>
      <w:r>
        <w:rPr>
          <w:rFonts w:hint="eastAsia" w:hAnsi="宋体"/>
          <w:sz w:val="24"/>
          <w:szCs w:val="24"/>
        </w:rPr>
        <w:t>——水泵流量，m</w:t>
      </w:r>
      <w:r>
        <w:rPr>
          <w:rFonts w:hint="eastAsia" w:hAnsi="宋体"/>
          <w:sz w:val="24"/>
          <w:szCs w:val="24"/>
          <w:vertAlign w:val="superscript"/>
        </w:rPr>
        <w:t>3</w:t>
      </w:r>
      <w:r>
        <w:rPr>
          <w:rFonts w:hint="eastAsia" w:hAnsi="宋体"/>
          <w:sz w:val="24"/>
          <w:szCs w:val="24"/>
        </w:rPr>
        <w:t>/h；</w:t>
      </w:r>
    </w:p>
    <w:p w14:paraId="70064D32">
      <w:pPr>
        <w:pStyle w:val="29"/>
        <w:adjustRightInd w:val="0"/>
        <w:snapToGrid w:val="0"/>
        <w:spacing w:line="360" w:lineRule="auto"/>
        <w:ind w:firstLine="1320" w:firstLineChars="550"/>
        <w:rPr>
          <w:rFonts w:hint="eastAsia" w:ascii="Times New Roman" w:hAnsi="宋体"/>
          <w:sz w:val="24"/>
          <w:szCs w:val="24"/>
        </w:rPr>
      </w:pPr>
      <w:r>
        <w:rPr>
          <w:rFonts w:hint="eastAsia" w:hAnsi="宋体"/>
          <w:sz w:val="24"/>
          <w:szCs w:val="24"/>
        </w:rPr>
        <w:object>
          <v:shape id="_x0000_i1151" o:spt="75" type="#_x0000_t75" style="height:12.75pt;width:14.25pt;" o:ole="t" filled="f" o:preferrelative="t" stroked="f" coordsize="21600,21600">
            <v:path/>
            <v:fill on="f" focussize="0,0"/>
            <v:stroke on="f"/>
            <v:imagedata r:id="rId209" o:title=""/>
            <o:lock v:ext="edit" aspectratio="t"/>
            <w10:wrap type="none"/>
            <w10:anchorlock/>
          </v:shape>
          <o:OLEObject Type="Embed" ProgID="Equation.3" ShapeID="_x0000_i1151" DrawAspect="Content" ObjectID="_1468075816" r:id="rId208">
            <o:LockedField>false</o:LockedField>
          </o:OLEObject>
        </w:object>
      </w:r>
      <w:r>
        <w:rPr>
          <w:rFonts w:hint="eastAsia" w:hAnsi="宋体"/>
          <w:sz w:val="24"/>
          <w:szCs w:val="24"/>
        </w:rPr>
        <w:t>——</w:t>
      </w:r>
      <w:r>
        <w:rPr>
          <w:rFonts w:hint="eastAsia" w:ascii="Times New Roman" w:hAnsi="宋体"/>
          <w:sz w:val="24"/>
          <w:szCs w:val="24"/>
        </w:rPr>
        <w:t>水泵总扬程，m（已记及管道阻力）；</w:t>
      </w:r>
    </w:p>
    <w:p w14:paraId="170779FC">
      <w:pPr>
        <w:pStyle w:val="29"/>
        <w:adjustRightInd w:val="0"/>
        <w:snapToGrid w:val="0"/>
        <w:spacing w:line="360" w:lineRule="auto"/>
        <w:ind w:firstLine="1320" w:firstLineChars="550"/>
        <w:rPr>
          <w:rFonts w:hint="eastAsia" w:hAnsi="宋体"/>
          <w:sz w:val="24"/>
          <w:szCs w:val="24"/>
        </w:rPr>
      </w:pPr>
      <w:r>
        <w:rPr>
          <w:rFonts w:hint="eastAsia" w:hAnsi="宋体"/>
          <w:sz w:val="24"/>
          <w:szCs w:val="24"/>
        </w:rPr>
        <w:object>
          <v:shape id="_x0000_i1152" o:spt="75" type="#_x0000_t75" style="height:12.75pt;width:9.75pt;" o:ole="t" filled="f" o:preferrelative="t" stroked="f" coordsize="21600,21600">
            <v:path/>
            <v:fill on="f" focussize="0,0"/>
            <v:stroke on="f"/>
            <v:imagedata r:id="rId211" o:title=""/>
            <o:lock v:ext="edit" aspectratio="t"/>
            <w10:wrap type="none"/>
            <w10:anchorlock/>
          </v:shape>
          <o:OLEObject Type="Embed" ProgID="Equation.3" ShapeID="_x0000_i1152" DrawAspect="Content" ObjectID="_1468075817" r:id="rId210">
            <o:LockedField>false</o:LockedField>
          </o:OLEObject>
        </w:object>
      </w:r>
      <w:r>
        <w:rPr>
          <w:rFonts w:hint="eastAsia" w:hAnsi="宋体"/>
          <w:sz w:val="24"/>
          <w:szCs w:val="24"/>
        </w:rPr>
        <w:t>——水泵效率。</w:t>
      </w:r>
    </w:p>
    <w:p w14:paraId="387FCDB9">
      <w:pPr>
        <w:spacing w:line="360" w:lineRule="auto"/>
        <w:ind w:firstLine="480" w:firstLineChars="200"/>
        <w:rPr>
          <w:rFonts w:ascii="宋体" w:hAnsi="宋体"/>
          <w:color w:val="0000FF"/>
          <w:sz w:val="24"/>
        </w:rPr>
      </w:pPr>
      <w:r>
        <w:rPr>
          <w:rFonts w:hint="eastAsia" w:ascii="宋体" w:hAnsi="宋体"/>
          <w:color w:val="0000FF"/>
          <w:sz w:val="24"/>
        </w:rPr>
        <w:t>排水泵都选用YB315M1-2(185KW)配套防爆电机,10KV供电。</w:t>
      </w:r>
    </w:p>
    <w:p w14:paraId="04983C02">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五、水仓容积及断面的确定</w:t>
      </w:r>
    </w:p>
    <w:p w14:paraId="62D8C2C8">
      <w:pPr>
        <w:tabs>
          <w:tab w:val="left" w:pos="1134"/>
        </w:tabs>
        <w:snapToGrid w:val="0"/>
        <w:spacing w:line="360" w:lineRule="auto"/>
        <w:ind w:firstLine="480" w:firstLineChars="200"/>
        <w:rPr>
          <w:rFonts w:hint="eastAsia" w:ascii="宋体" w:hAnsi="宋体"/>
          <w:sz w:val="24"/>
        </w:rPr>
      </w:pPr>
      <w:r>
        <w:rPr>
          <w:rFonts w:hint="eastAsia" w:ascii="宋体" w:hAnsi="宋体"/>
          <w:sz w:val="24"/>
        </w:rPr>
        <w:t>1、水仓容积</w:t>
      </w:r>
    </w:p>
    <w:p w14:paraId="66F230DE">
      <w:pPr>
        <w:tabs>
          <w:tab w:val="left" w:pos="1134"/>
        </w:tabs>
        <w:snapToGrid w:val="0"/>
        <w:spacing w:line="360" w:lineRule="auto"/>
        <w:ind w:firstLine="480" w:firstLineChars="200"/>
        <w:rPr>
          <w:rFonts w:hint="eastAsia" w:ascii="宋体" w:hAnsi="宋体"/>
          <w:sz w:val="24"/>
        </w:rPr>
      </w:pPr>
      <w:r>
        <w:rPr>
          <w:rFonts w:hint="eastAsia" w:ascii="宋体" w:hAnsi="宋体"/>
          <w:sz w:val="24"/>
        </w:rPr>
        <w:t>根据设计规范，水仓容积：</w:t>
      </w:r>
    </w:p>
    <w:p w14:paraId="25327030">
      <w:pPr>
        <w:tabs>
          <w:tab w:val="left" w:pos="1134"/>
        </w:tabs>
        <w:snapToGrid w:val="0"/>
        <w:spacing w:line="360" w:lineRule="auto"/>
        <w:ind w:firstLine="480" w:firstLineChars="200"/>
        <w:rPr>
          <w:rFonts w:ascii="宋体" w:hAnsi="宋体"/>
          <w:sz w:val="24"/>
        </w:rPr>
      </w:pPr>
      <w:r>
        <w:rPr>
          <w:rFonts w:hint="eastAsia" w:ascii="宋体" w:hAnsi="宋体"/>
          <w:sz w:val="24"/>
        </w:rPr>
        <w:t>V=8Q</w:t>
      </w:r>
      <w:r>
        <w:rPr>
          <w:rFonts w:ascii="宋体" w:hAnsi="宋体"/>
          <w:sz w:val="24"/>
          <w:vertAlign w:val="subscript"/>
        </w:rPr>
        <w:t>min</w:t>
      </w:r>
      <w:r>
        <w:rPr>
          <w:rFonts w:ascii="宋体" w:hAnsi="宋体"/>
          <w:sz w:val="24"/>
        </w:rPr>
        <w:t>=</w:t>
      </w:r>
      <w:r>
        <w:rPr>
          <w:rFonts w:hint="eastAsia" w:ascii="宋体" w:hAnsi="宋体"/>
          <w:sz w:val="24"/>
        </w:rPr>
        <w:t>8</w:t>
      </w:r>
      <w:r>
        <w:rPr>
          <w:rFonts w:hint="eastAsia" w:ascii="宋体" w:hAnsi="宋体"/>
          <w:sz w:val="24"/>
          <w:lang w:val="en-GB"/>
        </w:rPr>
        <w:t>×</w:t>
      </w:r>
      <w:r>
        <w:rPr>
          <w:rFonts w:hint="eastAsia" w:ascii="宋体" w:hAnsi="宋体"/>
          <w:sz w:val="24"/>
        </w:rPr>
        <w:t>56.5=452</w:t>
      </w:r>
      <w:r>
        <w:rPr>
          <w:rFonts w:ascii="宋体" w:hAnsi="宋体"/>
          <w:sz w:val="24"/>
        </w:rPr>
        <w:t>m</w:t>
      </w:r>
      <w:r>
        <w:rPr>
          <w:rFonts w:ascii="宋体" w:hAnsi="宋体"/>
          <w:sz w:val="24"/>
          <w:vertAlign w:val="superscript"/>
        </w:rPr>
        <w:t>3</w:t>
      </w:r>
    </w:p>
    <w:p w14:paraId="3B062A78">
      <w:pPr>
        <w:snapToGrid w:val="0"/>
        <w:spacing w:line="360" w:lineRule="auto"/>
        <w:ind w:firstLine="480" w:firstLineChars="200"/>
        <w:rPr>
          <w:rFonts w:hint="eastAsia" w:ascii="宋体" w:hAnsi="宋体"/>
          <w:sz w:val="24"/>
        </w:rPr>
      </w:pPr>
      <w:r>
        <w:rPr>
          <w:rFonts w:hint="eastAsia" w:ascii="宋体" w:hAnsi="宋体"/>
          <w:sz w:val="24"/>
        </w:rPr>
        <w:t>2、水仓断面及支护型式</w:t>
      </w:r>
    </w:p>
    <w:p w14:paraId="2BAF5A3C">
      <w:pPr>
        <w:tabs>
          <w:tab w:val="left" w:pos="1134"/>
        </w:tabs>
        <w:snapToGrid w:val="0"/>
        <w:spacing w:line="360" w:lineRule="auto"/>
        <w:ind w:firstLine="480" w:firstLineChars="200"/>
        <w:rPr>
          <w:rFonts w:hint="eastAsia" w:ascii="宋体" w:hAnsi="宋体"/>
          <w:sz w:val="24"/>
        </w:rPr>
      </w:pPr>
      <w:r>
        <w:rPr>
          <w:rFonts w:hint="eastAsia" w:ascii="宋体" w:hAnsi="宋体"/>
          <w:sz w:val="24"/>
        </w:rPr>
        <w:t>根据巷道围岩情况，水仓采用砌碹支护，掘进断面积10.1m</w:t>
      </w:r>
      <w:r>
        <w:rPr>
          <w:rFonts w:hint="eastAsia" w:ascii="宋体" w:hAnsi="宋体"/>
          <w:sz w:val="24"/>
          <w:vertAlign w:val="superscript"/>
        </w:rPr>
        <w:t>3</w:t>
      </w:r>
      <w:r>
        <w:rPr>
          <w:rFonts w:hint="eastAsia" w:ascii="宋体" w:hAnsi="宋体"/>
          <w:sz w:val="24"/>
        </w:rPr>
        <w:t>，净断面积7.2</w:t>
      </w:r>
      <w:r>
        <w:rPr>
          <w:rFonts w:ascii="宋体" w:hAnsi="宋体"/>
          <w:sz w:val="24"/>
        </w:rPr>
        <w:t>m</w:t>
      </w:r>
      <w:r>
        <w:rPr>
          <w:rFonts w:ascii="宋体" w:hAnsi="宋体"/>
          <w:sz w:val="24"/>
          <w:vertAlign w:val="superscript"/>
        </w:rPr>
        <w:t>2</w:t>
      </w:r>
      <w:r>
        <w:rPr>
          <w:rFonts w:hint="eastAsia" w:ascii="宋体" w:hAnsi="宋体"/>
          <w:sz w:val="24"/>
        </w:rPr>
        <w:t>。</w:t>
      </w:r>
    </w:p>
    <w:p w14:paraId="047EEDD3">
      <w:pPr>
        <w:tabs>
          <w:tab w:val="left" w:pos="2730"/>
        </w:tabs>
        <w:snapToGrid w:val="0"/>
        <w:spacing w:line="360" w:lineRule="auto"/>
        <w:ind w:firstLine="480" w:firstLineChars="200"/>
        <w:rPr>
          <w:rFonts w:hint="eastAsia" w:ascii="宋体" w:hAnsi="宋体"/>
          <w:sz w:val="24"/>
        </w:rPr>
      </w:pPr>
      <w:r>
        <w:rPr>
          <w:rFonts w:hint="eastAsia" w:ascii="宋体" w:hAnsi="宋体"/>
          <w:sz w:val="24"/>
        </w:rPr>
        <w:t>3、水仓长度</w:t>
      </w:r>
    </w:p>
    <w:p w14:paraId="2D0EAA12">
      <w:pPr>
        <w:tabs>
          <w:tab w:val="left" w:pos="1134"/>
        </w:tabs>
        <w:snapToGrid w:val="0"/>
        <w:spacing w:line="360" w:lineRule="auto"/>
        <w:ind w:firstLine="480" w:firstLineChars="200"/>
        <w:rPr>
          <w:rFonts w:hint="eastAsia" w:ascii="宋体" w:hAnsi="宋体"/>
          <w:sz w:val="24"/>
        </w:rPr>
      </w:pPr>
      <w:r>
        <w:rPr>
          <w:rFonts w:hint="eastAsia" w:ascii="宋体" w:hAnsi="宋体"/>
          <w:sz w:val="24"/>
        </w:rPr>
        <w:t>水仓长度：L=V/S=452/7.2=62.8m</w:t>
      </w:r>
    </w:p>
    <w:p w14:paraId="57609D4B">
      <w:pPr>
        <w:tabs>
          <w:tab w:val="left" w:pos="1134"/>
        </w:tabs>
        <w:snapToGrid w:val="0"/>
        <w:spacing w:line="360" w:lineRule="auto"/>
        <w:ind w:firstLine="480" w:firstLineChars="200"/>
        <w:rPr>
          <w:rFonts w:hint="eastAsia" w:ascii="宋体" w:hAnsi="宋体"/>
          <w:sz w:val="24"/>
        </w:rPr>
      </w:pPr>
      <w:r>
        <w:rPr>
          <w:rFonts w:hint="eastAsia" w:ascii="宋体" w:hAnsi="宋体"/>
          <w:sz w:val="24"/>
        </w:rPr>
        <w:t>设置两个水仓，一个主水仓，长度80m，容量576m</w:t>
      </w:r>
      <w:r>
        <w:rPr>
          <w:rFonts w:hint="eastAsia" w:ascii="宋体" w:hAnsi="宋体"/>
          <w:sz w:val="24"/>
          <w:vertAlign w:val="superscript"/>
        </w:rPr>
        <w:t>3</w:t>
      </w:r>
      <w:r>
        <w:rPr>
          <w:rFonts w:hint="eastAsia" w:ascii="宋体" w:hAnsi="宋体"/>
          <w:sz w:val="24"/>
        </w:rPr>
        <w:t>；一个副水仓，长度60m，容量432m</w:t>
      </w:r>
      <w:r>
        <w:rPr>
          <w:rFonts w:hint="eastAsia" w:ascii="宋体" w:hAnsi="宋体"/>
          <w:sz w:val="24"/>
          <w:vertAlign w:val="superscript"/>
        </w:rPr>
        <w:t>3</w:t>
      </w:r>
      <w:r>
        <w:rPr>
          <w:rFonts w:hint="eastAsia" w:ascii="宋体" w:hAnsi="宋体"/>
          <w:sz w:val="24"/>
        </w:rPr>
        <w:t>，以便一个水仓清理时，另一个水仓能正常使用，两个吸水小井及水仓清理斜巷合计30m。</w:t>
      </w:r>
    </w:p>
    <w:p w14:paraId="4CEB2C7E">
      <w:pPr>
        <w:spacing w:line="360" w:lineRule="auto"/>
        <w:ind w:firstLine="480" w:firstLineChars="200"/>
        <w:rPr>
          <w:rFonts w:hint="eastAsia" w:ascii="宋体" w:hAnsi="宋体"/>
          <w:sz w:val="24"/>
        </w:rPr>
      </w:pPr>
      <w:r>
        <w:rPr>
          <w:rFonts w:hint="eastAsia" w:ascii="宋体" w:hAnsi="宋体"/>
          <w:sz w:val="24"/>
        </w:rPr>
        <w:t>4、排水管路趟数及规格</w:t>
      </w:r>
    </w:p>
    <w:p w14:paraId="4BEE9F44">
      <w:pPr>
        <w:spacing w:line="360" w:lineRule="auto"/>
        <w:ind w:firstLine="480" w:firstLineChars="200"/>
        <w:rPr>
          <w:rFonts w:hint="eastAsia" w:ascii="宋体" w:hAnsi="宋体"/>
          <w:sz w:val="24"/>
        </w:rPr>
      </w:pPr>
      <w:r>
        <w:rPr>
          <w:rFonts w:hint="eastAsia" w:ascii="宋体" w:hAnsi="宋体"/>
          <w:sz w:val="24"/>
        </w:rPr>
        <w:t>根据矿井排水系统设计，井底水泵采用</w:t>
      </w:r>
      <w:r>
        <w:rPr>
          <w:rFonts w:ascii="宋体" w:hAnsi="宋体"/>
          <w:sz w:val="24"/>
        </w:rPr>
        <w:t>D</w:t>
      </w:r>
      <w:r>
        <w:rPr>
          <w:rFonts w:hint="eastAsia" w:ascii="宋体" w:hAnsi="宋体"/>
          <w:sz w:val="24"/>
        </w:rPr>
        <w:t>N150×5的无缝钢管作为排水管，采用两趟排水管路，正常涌水量时一趟工作，一趟备用；最大涌水量时二趟同时工作。两趟水管安设在副斜井中。</w:t>
      </w:r>
    </w:p>
    <w:p w14:paraId="4484DAFE">
      <w:pPr>
        <w:spacing w:line="360" w:lineRule="auto"/>
        <w:ind w:firstLine="480" w:firstLineChars="200"/>
        <w:rPr>
          <w:rFonts w:hint="eastAsia" w:ascii="宋体" w:hAnsi="宋体"/>
          <w:sz w:val="24"/>
        </w:rPr>
      </w:pPr>
      <w:r>
        <w:rPr>
          <w:rFonts w:hint="eastAsia" w:ascii="宋体" w:hAnsi="宋体"/>
          <w:sz w:val="24"/>
        </w:rPr>
        <w:t>5、管路安全措施</w:t>
      </w:r>
    </w:p>
    <w:p w14:paraId="21A59708">
      <w:pPr>
        <w:spacing w:line="360" w:lineRule="auto"/>
        <w:ind w:firstLine="480" w:firstLineChars="200"/>
        <w:rPr>
          <w:rFonts w:hint="eastAsia" w:ascii="宋体" w:hAnsi="宋体"/>
          <w:sz w:val="24"/>
        </w:rPr>
      </w:pPr>
      <w:r>
        <w:rPr>
          <w:rFonts w:hint="eastAsia" w:ascii="宋体" w:hAnsi="宋体"/>
          <w:sz w:val="24"/>
        </w:rPr>
        <w:t>煤矿井下条件复杂，如巷道变形、坡度变化和矿内空气湿度大、易腐蚀管路等，都不利于管路的敷设、安装和维护。为此，在敷设管路时，为保证敷设质量，应采取必要的措施。</w:t>
      </w:r>
    </w:p>
    <w:p w14:paraId="09235962">
      <w:pPr>
        <w:spacing w:line="360" w:lineRule="auto"/>
        <w:ind w:firstLine="480" w:firstLineChars="200"/>
        <w:rPr>
          <w:rFonts w:hint="eastAsia" w:ascii="宋体" w:hAnsi="宋体"/>
          <w:sz w:val="24"/>
        </w:rPr>
      </w:pPr>
      <w:r>
        <w:rPr>
          <w:rFonts w:hint="eastAsia" w:ascii="宋体" w:hAnsi="宋体"/>
          <w:sz w:val="24"/>
        </w:rPr>
        <w:t>（1）为了防止管路锈蚀，安装前应对管内外涂抹防腐剂。防腐材料可用经过热处理的沥青、油漆和红丹等。</w:t>
      </w:r>
    </w:p>
    <w:p w14:paraId="18E0ED28">
      <w:pPr>
        <w:spacing w:line="360" w:lineRule="auto"/>
        <w:ind w:firstLine="480" w:firstLineChars="200"/>
        <w:rPr>
          <w:rFonts w:hint="eastAsia" w:ascii="宋体" w:hAnsi="宋体"/>
          <w:sz w:val="24"/>
        </w:rPr>
      </w:pPr>
      <w:r>
        <w:rPr>
          <w:rFonts w:hint="eastAsia" w:ascii="宋体" w:hAnsi="宋体"/>
          <w:sz w:val="24"/>
        </w:rPr>
        <w:t>（2）在敷设倾斜管路时，为了防止管路下滑，应采用管卡将管路固定在巷道支架上。卡间距根据巷道倾角而定，一般α≤30°时，为15-20m。</w:t>
      </w:r>
    </w:p>
    <w:p w14:paraId="4D497A0F">
      <w:pPr>
        <w:spacing w:line="360" w:lineRule="auto"/>
        <w:ind w:firstLine="480" w:firstLineChars="200"/>
        <w:rPr>
          <w:rFonts w:hint="eastAsia" w:ascii="宋体" w:hAnsi="宋体"/>
          <w:sz w:val="24"/>
        </w:rPr>
      </w:pPr>
      <w:r>
        <w:rPr>
          <w:rFonts w:hint="eastAsia" w:ascii="宋体" w:hAnsi="宋体"/>
          <w:sz w:val="24"/>
        </w:rPr>
        <w:t>（3）管路敷设应尽量将管路敷设平直，坡度一致，尽量减少弯头等附属管件，避免急转弯。</w:t>
      </w:r>
    </w:p>
    <w:p w14:paraId="61B1EAB6">
      <w:pPr>
        <w:spacing w:line="360" w:lineRule="auto"/>
        <w:ind w:firstLine="480" w:firstLineChars="200"/>
        <w:rPr>
          <w:rFonts w:hint="eastAsia" w:ascii="宋体" w:hAnsi="宋体"/>
          <w:sz w:val="24"/>
        </w:rPr>
      </w:pPr>
      <w:r>
        <w:rPr>
          <w:rFonts w:hint="eastAsia" w:ascii="宋体" w:hAnsi="宋体"/>
          <w:sz w:val="24"/>
        </w:rPr>
        <w:t>（4）井下敷设管路，一般采用法兰盘或快速接头接合。法兰盘中间应夹有胶皮垫、且垫的厚度最好不小于5mm。</w:t>
      </w:r>
    </w:p>
    <w:p w14:paraId="1D517BF8">
      <w:pPr>
        <w:spacing w:line="360" w:lineRule="auto"/>
        <w:ind w:firstLine="480" w:firstLineChars="200"/>
        <w:rPr>
          <w:rFonts w:hint="eastAsia" w:ascii="宋体" w:hAnsi="宋体"/>
          <w:sz w:val="24"/>
        </w:rPr>
      </w:pPr>
      <w:r>
        <w:rPr>
          <w:rFonts w:hint="eastAsia" w:ascii="宋体" w:hAnsi="宋体"/>
          <w:sz w:val="24"/>
        </w:rPr>
        <w:t>6、主要水泵房和通道布置及安全出口</w:t>
      </w:r>
    </w:p>
    <w:p w14:paraId="6226F98B">
      <w:pPr>
        <w:tabs>
          <w:tab w:val="left" w:pos="1134"/>
        </w:tabs>
        <w:snapToGrid w:val="0"/>
        <w:spacing w:line="360" w:lineRule="auto"/>
        <w:ind w:firstLine="480" w:firstLineChars="200"/>
        <w:rPr>
          <w:rFonts w:hint="eastAsia" w:ascii="宋体" w:hAnsi="宋体"/>
          <w:sz w:val="24"/>
        </w:rPr>
      </w:pPr>
      <w:r>
        <w:rPr>
          <w:rFonts w:hint="eastAsia" w:ascii="宋体" w:hAnsi="宋体"/>
          <w:sz w:val="24"/>
        </w:rPr>
        <w:t>矿井井下水泵房布置按相关规程文件选用。三台水泵分别布置吸水井。水泵房设置2个出口，一个出口应高出泵房底板7m以上在轨道上山中，作为管子道，还需设栅栏门。另一出口在井底车场内，因此通道应设置既防水又防火的密闭门。水仓进口处应设置蓖子。根据巷道围岩情况，水泵房采用锚喷支护，拱形断面掘进断面积8.1m</w:t>
      </w:r>
      <w:r>
        <w:rPr>
          <w:rFonts w:hint="eastAsia" w:ascii="宋体" w:hAnsi="宋体"/>
          <w:sz w:val="24"/>
          <w:vertAlign w:val="superscript"/>
        </w:rPr>
        <w:t>2</w:t>
      </w:r>
      <w:r>
        <w:rPr>
          <w:rFonts w:hint="eastAsia" w:ascii="宋体" w:hAnsi="宋体"/>
          <w:sz w:val="24"/>
        </w:rPr>
        <w:t>，净断面积7.2</w:t>
      </w:r>
      <w:r>
        <w:rPr>
          <w:rFonts w:ascii="宋体" w:hAnsi="宋体"/>
          <w:sz w:val="24"/>
        </w:rPr>
        <w:t>m</w:t>
      </w:r>
      <w:r>
        <w:rPr>
          <w:rFonts w:ascii="宋体" w:hAnsi="宋体"/>
          <w:sz w:val="24"/>
          <w:vertAlign w:val="superscript"/>
        </w:rPr>
        <w:t>2</w:t>
      </w:r>
      <w:r>
        <w:rPr>
          <w:rFonts w:hint="eastAsia" w:ascii="宋体" w:hAnsi="宋体"/>
          <w:sz w:val="24"/>
        </w:rPr>
        <w:t>。水泵房长度25.0m。</w:t>
      </w:r>
    </w:p>
    <w:p w14:paraId="39359BCF">
      <w:pPr>
        <w:pStyle w:val="3"/>
        <w:keepLines/>
        <w:spacing w:before="260" w:after="260" w:line="360" w:lineRule="auto"/>
        <w:ind w:firstLine="0" w:firstLineChars="0"/>
        <w:jc w:val="center"/>
        <w:rPr>
          <w:rFonts w:hint="eastAsia"/>
          <w:b/>
          <w:color w:val="000000"/>
          <w:sz w:val="32"/>
          <w:szCs w:val="32"/>
        </w:rPr>
      </w:pPr>
      <w:bookmarkStart w:id="601" w:name="_Toc260915272"/>
      <w:bookmarkStart w:id="602" w:name="_Toc259438265"/>
      <w:r>
        <w:rPr>
          <w:rFonts w:hint="eastAsia"/>
          <w:b/>
          <w:color w:val="000000"/>
          <w:sz w:val="32"/>
          <w:szCs w:val="32"/>
        </w:rPr>
        <w:t>第四节　　空气压缩设备</w:t>
      </w:r>
      <w:bookmarkEnd w:id="601"/>
      <w:bookmarkEnd w:id="602"/>
    </w:p>
    <w:bookmarkEnd w:id="599"/>
    <w:bookmarkEnd w:id="600"/>
    <w:p w14:paraId="7FD92E4F">
      <w:pPr>
        <w:pStyle w:val="4"/>
        <w:keepLines/>
        <w:adjustRightInd w:val="0"/>
        <w:snapToGrid w:val="0"/>
        <w:spacing w:before="240" w:after="240" w:line="360" w:lineRule="auto"/>
        <w:ind w:left="2" w:firstLine="562" w:firstLineChars="200"/>
        <w:jc w:val="both"/>
        <w:rPr>
          <w:b/>
          <w:color w:val="000000"/>
          <w:szCs w:val="20"/>
        </w:rPr>
      </w:pPr>
      <w:bookmarkStart w:id="603" w:name="_Toc173893694"/>
      <w:bookmarkStart w:id="604" w:name="_Toc173918933"/>
      <w:bookmarkStart w:id="605" w:name="_Toc173869258"/>
      <w:r>
        <w:rPr>
          <w:rFonts w:hint="eastAsia"/>
          <w:b/>
          <w:color w:val="000000"/>
          <w:szCs w:val="20"/>
        </w:rPr>
        <w:t>一、供风方式</w:t>
      </w:r>
      <w:bookmarkEnd w:id="603"/>
      <w:bookmarkEnd w:id="604"/>
      <w:bookmarkEnd w:id="605"/>
    </w:p>
    <w:p w14:paraId="635FD646">
      <w:pPr>
        <w:spacing w:line="360" w:lineRule="auto"/>
        <w:ind w:firstLine="480" w:firstLineChars="200"/>
        <w:rPr>
          <w:rFonts w:hint="eastAsia" w:hAnsi="宋体"/>
          <w:sz w:val="24"/>
        </w:rPr>
      </w:pPr>
      <w:r>
        <w:rPr>
          <w:rFonts w:hint="eastAsia" w:ascii="宋体" w:hAnsi="宋体"/>
          <w:sz w:val="24"/>
        </w:rPr>
        <w:t>为确保矿井安全起见，矿井在完全做出煤与瓦斯突出鉴定之前，矿井按煤与瓦斯突出矿井进行设计和管理，揭煤后及时进行煤与瓦斯突出鉴定，</w:t>
      </w:r>
      <w:r>
        <w:rPr>
          <w:rFonts w:ascii="宋体" w:hAnsi="宋体"/>
          <w:sz w:val="24"/>
        </w:rPr>
        <w:t>采用在工业场地建空压机站集中向井下供风的供风方式</w:t>
      </w:r>
      <w:r>
        <w:rPr>
          <w:rFonts w:hint="eastAsia" w:ascii="宋体" w:hAnsi="宋体"/>
          <w:sz w:val="24"/>
        </w:rPr>
        <w:t>，根据要求煤与瓦斯突出矿井生产过程中，必须在采煤工作面进回风巷道及每个煤巷掘进工作面巷道中，按规定要求安装压风自救系统和施工避难硐室，</w:t>
      </w:r>
      <w:r>
        <w:rPr>
          <w:rFonts w:hint="eastAsia" w:hAnsi="宋体"/>
          <w:sz w:val="24"/>
        </w:rPr>
        <w:t>压风主要</w:t>
      </w:r>
      <w:r>
        <w:rPr>
          <w:rFonts w:hint="eastAsia" w:ascii="宋体" w:hAnsi="宋体"/>
          <w:sz w:val="24"/>
        </w:rPr>
        <w:t>①</w:t>
      </w:r>
      <w:r>
        <w:rPr>
          <w:rFonts w:hint="eastAsia" w:hAnsi="宋体"/>
          <w:sz w:val="24"/>
        </w:rPr>
        <w:t>供掘进时，风动设备使用；</w:t>
      </w:r>
      <w:r>
        <w:rPr>
          <w:rFonts w:hint="eastAsia" w:ascii="宋体" w:hAnsi="宋体"/>
          <w:sz w:val="24"/>
        </w:rPr>
        <w:t>②井下压风自救系统使用。</w:t>
      </w:r>
    </w:p>
    <w:p w14:paraId="19C2351D">
      <w:pPr>
        <w:pStyle w:val="4"/>
        <w:keepLines/>
        <w:adjustRightInd w:val="0"/>
        <w:snapToGrid w:val="0"/>
        <w:spacing w:before="240" w:after="240" w:line="360" w:lineRule="auto"/>
        <w:ind w:left="2" w:firstLine="562" w:firstLineChars="200"/>
        <w:jc w:val="both"/>
        <w:rPr>
          <w:rFonts w:hint="eastAsia"/>
          <w:b/>
          <w:color w:val="000000"/>
          <w:szCs w:val="20"/>
        </w:rPr>
      </w:pPr>
      <w:bookmarkStart w:id="606" w:name="_Toc173869259"/>
      <w:bookmarkStart w:id="607" w:name="_Toc173893695"/>
      <w:bookmarkStart w:id="608" w:name="_Toc173918934"/>
      <w:r>
        <w:rPr>
          <w:rFonts w:hint="eastAsia"/>
          <w:b/>
          <w:color w:val="000000"/>
          <w:szCs w:val="20"/>
        </w:rPr>
        <w:t>二、设计依据</w:t>
      </w:r>
      <w:bookmarkEnd w:id="606"/>
      <w:bookmarkEnd w:id="607"/>
      <w:bookmarkEnd w:id="608"/>
    </w:p>
    <w:p w14:paraId="3ADD33DA">
      <w:pPr>
        <w:pStyle w:val="29"/>
        <w:spacing w:line="360" w:lineRule="auto"/>
        <w:ind w:firstLine="480" w:firstLineChars="200"/>
        <w:rPr>
          <w:rFonts w:hint="eastAsia" w:hAnsi="宋体"/>
          <w:color w:val="000000"/>
          <w:sz w:val="24"/>
        </w:rPr>
      </w:pPr>
      <w:r>
        <w:rPr>
          <w:rFonts w:hAnsi="宋体"/>
          <w:color w:val="000000"/>
          <w:sz w:val="24"/>
        </w:rPr>
        <w:t>主要耗风设备见</w:t>
      </w:r>
      <w:r>
        <w:rPr>
          <w:rFonts w:hint="eastAsia" w:hAnsi="宋体"/>
          <w:color w:val="000000"/>
          <w:sz w:val="24"/>
        </w:rPr>
        <w:t>祥</w:t>
      </w:r>
      <w:r>
        <w:rPr>
          <w:rFonts w:hAnsi="宋体"/>
          <w:b/>
          <w:color w:val="000000"/>
          <w:sz w:val="24"/>
        </w:rPr>
        <w:t>表</w:t>
      </w:r>
      <w:r>
        <w:rPr>
          <w:rFonts w:hint="eastAsia" w:hAnsi="宋体"/>
          <w:b/>
          <w:color w:val="000000"/>
          <w:sz w:val="24"/>
        </w:rPr>
        <w:t>5－2－3</w:t>
      </w:r>
      <w:r>
        <w:rPr>
          <w:rFonts w:hAnsi="宋体"/>
          <w:color w:val="000000"/>
          <w:sz w:val="24"/>
        </w:rPr>
        <w:t>。</w:t>
      </w:r>
    </w:p>
    <w:p w14:paraId="353E1261">
      <w:pPr>
        <w:pStyle w:val="23"/>
        <w:tabs>
          <w:tab w:val="left" w:pos="540"/>
        </w:tabs>
        <w:spacing w:line="400" w:lineRule="exact"/>
        <w:ind w:firstLine="964" w:firstLineChars="400"/>
        <w:rPr>
          <w:b/>
          <w:bCs/>
        </w:rPr>
      </w:pPr>
      <w:bookmarkStart w:id="609" w:name="_Toc173918935"/>
      <w:bookmarkStart w:id="610" w:name="_Toc173893696"/>
      <w:bookmarkStart w:id="611" w:name="_Toc173869260"/>
      <w:r>
        <w:rPr>
          <w:rFonts w:hint="eastAsia"/>
          <w:b/>
        </w:rPr>
        <w:t xml:space="preserve">表5－2－3 </w:t>
      </w:r>
      <w:r>
        <w:rPr>
          <w:rFonts w:hint="eastAsia"/>
          <w:b/>
          <w:bCs/>
        </w:rPr>
        <w:t xml:space="preserve">           </w:t>
      </w:r>
      <w:r>
        <w:rPr>
          <w:rFonts w:hint="eastAsia"/>
          <w:b/>
          <w:sz w:val="28"/>
        </w:rPr>
        <w:t>主要耗风设备表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601"/>
        <w:gridCol w:w="1620"/>
        <w:gridCol w:w="2079"/>
      </w:tblGrid>
      <w:tr w14:paraId="43F6B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22" w:type="dxa"/>
            <w:noWrap w:val="0"/>
            <w:vAlign w:val="top"/>
          </w:tcPr>
          <w:p w14:paraId="76105F56">
            <w:pPr>
              <w:pStyle w:val="23"/>
              <w:tabs>
                <w:tab w:val="left" w:pos="540"/>
              </w:tabs>
              <w:spacing w:line="400" w:lineRule="exact"/>
              <w:rPr>
                <w:rFonts w:hint="eastAsia"/>
              </w:rPr>
            </w:pPr>
            <w:r>
              <w:rPr>
                <w:rFonts w:hint="eastAsia"/>
              </w:rPr>
              <w:t>名      称</w:t>
            </w:r>
          </w:p>
        </w:tc>
        <w:tc>
          <w:tcPr>
            <w:tcW w:w="1601" w:type="dxa"/>
            <w:noWrap w:val="0"/>
            <w:vAlign w:val="bottom"/>
          </w:tcPr>
          <w:p w14:paraId="16E61B41">
            <w:pPr>
              <w:pStyle w:val="23"/>
              <w:tabs>
                <w:tab w:val="left" w:pos="540"/>
              </w:tabs>
              <w:spacing w:line="400" w:lineRule="exact"/>
            </w:pPr>
            <w:r>
              <w:rPr>
                <w:rFonts w:hint="eastAsia"/>
              </w:rPr>
              <w:t>凿岩机</w:t>
            </w:r>
          </w:p>
        </w:tc>
        <w:tc>
          <w:tcPr>
            <w:tcW w:w="1620" w:type="dxa"/>
            <w:noWrap w:val="0"/>
            <w:vAlign w:val="top"/>
          </w:tcPr>
          <w:p w14:paraId="62E5F716">
            <w:pPr>
              <w:pStyle w:val="23"/>
              <w:tabs>
                <w:tab w:val="left" w:pos="540"/>
              </w:tabs>
              <w:spacing w:line="400" w:lineRule="exact"/>
              <w:ind w:firstLine="0" w:firstLineChars="0"/>
              <w:rPr>
                <w:rFonts w:hint="eastAsia"/>
              </w:rPr>
            </w:pPr>
            <w:r>
              <w:rPr>
                <w:rFonts w:hint="eastAsia"/>
              </w:rPr>
              <w:t>砼喷射机</w:t>
            </w:r>
          </w:p>
        </w:tc>
        <w:tc>
          <w:tcPr>
            <w:tcW w:w="2079" w:type="dxa"/>
            <w:noWrap w:val="0"/>
            <w:vAlign w:val="top"/>
          </w:tcPr>
          <w:p w14:paraId="7E901D22">
            <w:pPr>
              <w:pStyle w:val="23"/>
              <w:tabs>
                <w:tab w:val="left" w:pos="540"/>
              </w:tabs>
              <w:spacing w:line="400" w:lineRule="exact"/>
              <w:ind w:firstLine="0" w:firstLineChars="0"/>
              <w:rPr>
                <w:rFonts w:hint="eastAsia"/>
              </w:rPr>
            </w:pPr>
            <w:r>
              <w:rPr>
                <w:rFonts w:hint="eastAsia"/>
              </w:rPr>
              <w:t>气动锚杆钻机</w:t>
            </w:r>
          </w:p>
        </w:tc>
      </w:tr>
      <w:tr w14:paraId="40ED4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22" w:type="dxa"/>
            <w:noWrap w:val="0"/>
            <w:vAlign w:val="top"/>
          </w:tcPr>
          <w:p w14:paraId="510D8450">
            <w:pPr>
              <w:pStyle w:val="23"/>
              <w:tabs>
                <w:tab w:val="left" w:pos="540"/>
              </w:tabs>
              <w:spacing w:line="400" w:lineRule="exact"/>
              <w:ind w:firstLine="0" w:firstLineChars="0"/>
              <w:rPr>
                <w:rFonts w:hint="eastAsia"/>
              </w:rPr>
            </w:pPr>
            <w:r>
              <w:rPr>
                <w:rFonts w:hint="eastAsia"/>
              </w:rPr>
              <w:t>风动工具型号</w:t>
            </w:r>
          </w:p>
        </w:tc>
        <w:tc>
          <w:tcPr>
            <w:tcW w:w="1601" w:type="dxa"/>
            <w:noWrap w:val="0"/>
            <w:vAlign w:val="bottom"/>
          </w:tcPr>
          <w:p w14:paraId="01512009">
            <w:pPr>
              <w:pStyle w:val="23"/>
              <w:tabs>
                <w:tab w:val="left" w:pos="540"/>
              </w:tabs>
              <w:spacing w:line="400" w:lineRule="exact"/>
              <w:jc w:val="center"/>
            </w:pPr>
            <w:r>
              <w:t>Z</w:t>
            </w:r>
            <w:r>
              <w:rPr>
                <w:rFonts w:hint="eastAsia"/>
              </w:rPr>
              <w:t>Y－</w:t>
            </w:r>
            <w:r>
              <w:t>24</w:t>
            </w:r>
          </w:p>
        </w:tc>
        <w:tc>
          <w:tcPr>
            <w:tcW w:w="1620" w:type="dxa"/>
            <w:noWrap w:val="0"/>
            <w:vAlign w:val="bottom"/>
          </w:tcPr>
          <w:p w14:paraId="7EDB82D1">
            <w:pPr>
              <w:jc w:val="center"/>
              <w:rPr>
                <w:rFonts w:ascii="宋体" w:hAnsi="宋体"/>
                <w:sz w:val="24"/>
              </w:rPr>
            </w:pPr>
            <w:r>
              <w:rPr>
                <w:kern w:val="0"/>
                <w:sz w:val="24"/>
              </w:rPr>
              <w:t>HPC— V</w:t>
            </w:r>
          </w:p>
        </w:tc>
        <w:tc>
          <w:tcPr>
            <w:tcW w:w="2079" w:type="dxa"/>
            <w:noWrap w:val="0"/>
            <w:vAlign w:val="top"/>
          </w:tcPr>
          <w:p w14:paraId="0327B325">
            <w:pPr>
              <w:jc w:val="center"/>
              <w:rPr>
                <w:rFonts w:hint="eastAsia" w:ascii="宋体" w:hAnsi="宋体"/>
                <w:sz w:val="24"/>
              </w:rPr>
            </w:pPr>
            <w:r>
              <w:rPr>
                <w:kern w:val="0"/>
                <w:sz w:val="24"/>
              </w:rPr>
              <w:t>MQT—110C1</w:t>
            </w:r>
          </w:p>
        </w:tc>
      </w:tr>
      <w:tr w14:paraId="4A980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22" w:type="dxa"/>
            <w:noWrap w:val="0"/>
            <w:vAlign w:val="top"/>
          </w:tcPr>
          <w:p w14:paraId="3518C909">
            <w:pPr>
              <w:pStyle w:val="23"/>
              <w:tabs>
                <w:tab w:val="left" w:pos="540"/>
              </w:tabs>
              <w:spacing w:line="400" w:lineRule="exact"/>
              <w:ind w:firstLine="0" w:firstLineChars="0"/>
              <w:rPr>
                <w:rFonts w:hint="eastAsia"/>
              </w:rPr>
            </w:pPr>
            <w:r>
              <w:rPr>
                <w:rFonts w:hint="eastAsia"/>
                <w:szCs w:val="21"/>
              </w:rPr>
              <w:t>耗风量</w:t>
            </w:r>
            <w:r>
              <w:rPr>
                <w:rFonts w:hint="eastAsia"/>
              </w:rPr>
              <w:t>（m</w:t>
            </w:r>
            <w:r>
              <w:rPr>
                <w:rFonts w:hint="eastAsia"/>
                <w:vertAlign w:val="superscript"/>
              </w:rPr>
              <w:t>3</w:t>
            </w:r>
            <w:r>
              <w:rPr>
                <w:rFonts w:hint="eastAsia"/>
              </w:rPr>
              <w:t>/min）</w:t>
            </w:r>
          </w:p>
        </w:tc>
        <w:tc>
          <w:tcPr>
            <w:tcW w:w="1601" w:type="dxa"/>
            <w:noWrap w:val="0"/>
            <w:vAlign w:val="bottom"/>
          </w:tcPr>
          <w:p w14:paraId="491C7822">
            <w:pPr>
              <w:pStyle w:val="23"/>
              <w:tabs>
                <w:tab w:val="left" w:pos="540"/>
              </w:tabs>
              <w:spacing w:line="400" w:lineRule="exact"/>
              <w:jc w:val="center"/>
            </w:pPr>
            <w:r>
              <w:rPr>
                <w:rFonts w:hint="eastAsia"/>
              </w:rPr>
              <w:t>2.8</w:t>
            </w:r>
          </w:p>
        </w:tc>
        <w:tc>
          <w:tcPr>
            <w:tcW w:w="1620" w:type="dxa"/>
            <w:noWrap w:val="0"/>
            <w:vAlign w:val="bottom"/>
          </w:tcPr>
          <w:p w14:paraId="470FE112">
            <w:pPr>
              <w:jc w:val="center"/>
              <w:rPr>
                <w:rFonts w:hint="eastAsia" w:ascii="宋体" w:hAnsi="宋体"/>
                <w:sz w:val="24"/>
              </w:rPr>
            </w:pPr>
            <w:r>
              <w:rPr>
                <w:rFonts w:hint="eastAsia" w:ascii="宋体" w:hAnsi="宋体"/>
                <w:sz w:val="24"/>
              </w:rPr>
              <w:t>5</w:t>
            </w:r>
            <w:r>
              <w:rPr>
                <w:rFonts w:ascii="宋体" w:hAnsi="宋体"/>
                <w:sz w:val="24"/>
              </w:rPr>
              <w:t>～</w:t>
            </w:r>
            <w:r>
              <w:rPr>
                <w:rFonts w:hint="eastAsia" w:ascii="宋体" w:hAnsi="宋体"/>
                <w:sz w:val="24"/>
              </w:rPr>
              <w:t>8</w:t>
            </w:r>
          </w:p>
        </w:tc>
        <w:tc>
          <w:tcPr>
            <w:tcW w:w="2079" w:type="dxa"/>
            <w:noWrap w:val="0"/>
            <w:vAlign w:val="top"/>
          </w:tcPr>
          <w:p w14:paraId="658384B6">
            <w:pPr>
              <w:jc w:val="center"/>
              <w:rPr>
                <w:rFonts w:hint="eastAsia" w:ascii="宋体" w:hAnsi="宋体"/>
                <w:sz w:val="24"/>
              </w:rPr>
            </w:pPr>
            <w:r>
              <w:rPr>
                <w:rFonts w:hint="eastAsia" w:ascii="宋体" w:hAnsi="宋体"/>
                <w:sz w:val="24"/>
              </w:rPr>
              <w:t>3.6</w:t>
            </w:r>
          </w:p>
        </w:tc>
      </w:tr>
      <w:tr w14:paraId="64935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22" w:type="dxa"/>
            <w:noWrap w:val="0"/>
            <w:vAlign w:val="top"/>
          </w:tcPr>
          <w:p w14:paraId="227D1DAE">
            <w:pPr>
              <w:pStyle w:val="23"/>
              <w:tabs>
                <w:tab w:val="left" w:pos="540"/>
              </w:tabs>
              <w:spacing w:line="400" w:lineRule="exact"/>
              <w:rPr>
                <w:rFonts w:hint="eastAsia"/>
              </w:rPr>
            </w:pPr>
            <w:r>
              <w:rPr>
                <w:rFonts w:hint="eastAsia"/>
              </w:rPr>
              <w:t>使用台数</w:t>
            </w:r>
          </w:p>
        </w:tc>
        <w:tc>
          <w:tcPr>
            <w:tcW w:w="1601" w:type="dxa"/>
            <w:noWrap w:val="0"/>
            <w:vAlign w:val="bottom"/>
          </w:tcPr>
          <w:p w14:paraId="1C4807CB">
            <w:pPr>
              <w:pStyle w:val="23"/>
              <w:tabs>
                <w:tab w:val="left" w:pos="540"/>
              </w:tabs>
              <w:spacing w:line="400" w:lineRule="exact"/>
              <w:jc w:val="center"/>
            </w:pPr>
            <w:r>
              <w:rPr>
                <w:rFonts w:hint="eastAsia"/>
              </w:rPr>
              <w:t>2</w:t>
            </w:r>
          </w:p>
        </w:tc>
        <w:tc>
          <w:tcPr>
            <w:tcW w:w="1620" w:type="dxa"/>
            <w:noWrap w:val="0"/>
            <w:vAlign w:val="bottom"/>
          </w:tcPr>
          <w:p w14:paraId="0192660A">
            <w:pPr>
              <w:jc w:val="center"/>
              <w:rPr>
                <w:rFonts w:hint="eastAsia" w:ascii="宋体" w:hAnsi="宋体"/>
                <w:sz w:val="24"/>
              </w:rPr>
            </w:pPr>
            <w:r>
              <w:rPr>
                <w:rFonts w:hint="eastAsia" w:ascii="宋体" w:hAnsi="宋体"/>
                <w:sz w:val="24"/>
              </w:rPr>
              <w:t>1</w:t>
            </w:r>
          </w:p>
        </w:tc>
        <w:tc>
          <w:tcPr>
            <w:tcW w:w="2079" w:type="dxa"/>
            <w:noWrap w:val="0"/>
            <w:vAlign w:val="top"/>
          </w:tcPr>
          <w:p w14:paraId="5CA71195">
            <w:pPr>
              <w:jc w:val="center"/>
              <w:rPr>
                <w:rFonts w:hint="eastAsia" w:ascii="宋体" w:hAnsi="宋体"/>
                <w:sz w:val="24"/>
              </w:rPr>
            </w:pPr>
            <w:r>
              <w:rPr>
                <w:rFonts w:hint="eastAsia" w:ascii="宋体" w:hAnsi="宋体"/>
                <w:sz w:val="24"/>
              </w:rPr>
              <w:t>2</w:t>
            </w:r>
          </w:p>
        </w:tc>
      </w:tr>
      <w:tr w14:paraId="73157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922" w:type="dxa"/>
            <w:noWrap w:val="0"/>
            <w:vAlign w:val="top"/>
          </w:tcPr>
          <w:p w14:paraId="23E9C207">
            <w:pPr>
              <w:pStyle w:val="23"/>
              <w:tabs>
                <w:tab w:val="left" w:pos="540"/>
              </w:tabs>
              <w:spacing w:line="400" w:lineRule="exact"/>
              <w:ind w:firstLine="0" w:firstLineChars="0"/>
              <w:rPr>
                <w:rFonts w:hint="eastAsia"/>
              </w:rPr>
            </w:pPr>
            <w:r>
              <w:rPr>
                <w:rFonts w:hint="eastAsia"/>
              </w:rPr>
              <w:t>计算使用台数</w:t>
            </w:r>
          </w:p>
        </w:tc>
        <w:tc>
          <w:tcPr>
            <w:tcW w:w="1601" w:type="dxa"/>
            <w:noWrap w:val="0"/>
            <w:vAlign w:val="bottom"/>
          </w:tcPr>
          <w:p w14:paraId="62FDC431">
            <w:pPr>
              <w:pStyle w:val="23"/>
              <w:tabs>
                <w:tab w:val="left" w:pos="540"/>
              </w:tabs>
              <w:spacing w:line="400" w:lineRule="exact"/>
              <w:jc w:val="center"/>
              <w:rPr>
                <w:rFonts w:hint="eastAsia"/>
              </w:rPr>
            </w:pPr>
            <w:r>
              <w:rPr>
                <w:rFonts w:hint="eastAsia"/>
              </w:rPr>
              <w:t>2</w:t>
            </w:r>
          </w:p>
        </w:tc>
        <w:tc>
          <w:tcPr>
            <w:tcW w:w="1620" w:type="dxa"/>
            <w:noWrap w:val="0"/>
            <w:vAlign w:val="top"/>
          </w:tcPr>
          <w:p w14:paraId="714378D2">
            <w:pPr>
              <w:jc w:val="center"/>
              <w:rPr>
                <w:rFonts w:hint="eastAsia" w:ascii="宋体" w:hAnsi="宋体"/>
                <w:sz w:val="24"/>
              </w:rPr>
            </w:pPr>
            <w:r>
              <w:rPr>
                <w:rFonts w:hint="eastAsia" w:ascii="宋体" w:hAnsi="宋体"/>
                <w:sz w:val="24"/>
              </w:rPr>
              <w:t>1</w:t>
            </w:r>
          </w:p>
        </w:tc>
        <w:tc>
          <w:tcPr>
            <w:tcW w:w="2079" w:type="dxa"/>
            <w:noWrap w:val="0"/>
            <w:vAlign w:val="top"/>
          </w:tcPr>
          <w:p w14:paraId="770759BF">
            <w:pPr>
              <w:jc w:val="center"/>
              <w:rPr>
                <w:rFonts w:hint="eastAsia" w:ascii="宋体" w:hAnsi="宋体"/>
                <w:sz w:val="24"/>
              </w:rPr>
            </w:pPr>
            <w:r>
              <w:rPr>
                <w:rFonts w:hint="eastAsia" w:ascii="宋体" w:hAnsi="宋体"/>
                <w:sz w:val="24"/>
              </w:rPr>
              <w:t>2</w:t>
            </w:r>
          </w:p>
        </w:tc>
      </w:tr>
    </w:tbl>
    <w:p w14:paraId="6AD7DC2E">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三、选型计算</w:t>
      </w:r>
      <w:bookmarkEnd w:id="609"/>
      <w:bookmarkEnd w:id="610"/>
      <w:bookmarkEnd w:id="611"/>
    </w:p>
    <w:p w14:paraId="010DEBA9">
      <w:pPr>
        <w:pStyle w:val="23"/>
        <w:tabs>
          <w:tab w:val="left" w:pos="360"/>
        </w:tabs>
        <w:rPr>
          <w:rFonts w:hint="eastAsia"/>
        </w:rPr>
      </w:pPr>
      <w:r>
        <w:t>(1)</w:t>
      </w:r>
      <w:r>
        <w:rPr>
          <w:rFonts w:hint="eastAsia"/>
        </w:rPr>
        <w:t>所需的总风量：</w:t>
      </w:r>
    </w:p>
    <w:p w14:paraId="7F5C1378">
      <w:pPr>
        <w:pStyle w:val="29"/>
        <w:spacing w:line="360" w:lineRule="auto"/>
        <w:ind w:firstLine="480" w:firstLineChars="200"/>
        <w:rPr>
          <w:rFonts w:hint="eastAsia" w:hAnsi="宋体"/>
          <w:sz w:val="24"/>
          <w:szCs w:val="24"/>
        </w:rPr>
      </w:pPr>
      <w:r>
        <w:rPr>
          <w:rFonts w:hint="eastAsia" w:hAnsi="宋体"/>
          <w:sz w:val="24"/>
          <w:szCs w:val="24"/>
        </w:rPr>
        <w:t>由于压风自救系统在正常情况下不耗风,只在灾害情况下耗风。所以所需压风①满足正常情况下风动工具耗风，②满足灾害情况下压风自救系统耗风。根据本矿实际情况，风动工具需风大于灾害时压风自救系统耗风，所以计算风动工具满足时，压风自救完全可以满足。</w:t>
      </w:r>
    </w:p>
    <w:p w14:paraId="6C50EBB1">
      <w:pPr>
        <w:pStyle w:val="23"/>
        <w:tabs>
          <w:tab w:val="left" w:pos="360"/>
        </w:tabs>
        <w:rPr>
          <w:rFonts w:hint="eastAsia"/>
        </w:rPr>
      </w:pPr>
      <w:r>
        <w:rPr>
          <w:rFonts w:hint="eastAsia"/>
        </w:rPr>
        <w:t>风动工具所需的总风量</w:t>
      </w:r>
    </w:p>
    <w:p w14:paraId="3B99074B">
      <w:pPr>
        <w:pStyle w:val="23"/>
        <w:tabs>
          <w:tab w:val="left" w:pos="360"/>
        </w:tabs>
        <w:jc w:val="center"/>
        <w:rPr>
          <w:rFonts w:hint="eastAsia"/>
        </w:rPr>
      </w:pPr>
      <w:r>
        <w:rPr>
          <w:rFonts w:hint="eastAsia"/>
        </w:rPr>
        <w:t>Q＝α</w:t>
      </w:r>
      <w:r>
        <w:rPr>
          <w:rFonts w:hint="eastAsia"/>
          <w:vertAlign w:val="subscript"/>
        </w:rPr>
        <w:t>1</w:t>
      </w:r>
      <w:r>
        <w:rPr>
          <w:rFonts w:hint="eastAsia"/>
        </w:rPr>
        <w:t>α</w:t>
      </w:r>
      <w:r>
        <w:rPr>
          <w:rFonts w:hint="eastAsia"/>
          <w:vertAlign w:val="subscript"/>
        </w:rPr>
        <w:t>2</w:t>
      </w:r>
      <w:r>
        <w:rPr>
          <w:rFonts w:hint="eastAsia"/>
          <w:color w:val="000000"/>
        </w:rPr>
        <w:t>a</w:t>
      </w:r>
      <w:r>
        <w:rPr>
          <w:rFonts w:hint="eastAsia"/>
          <w:color w:val="000000"/>
          <w:vertAlign w:val="subscript"/>
        </w:rPr>
        <w:t>3</w:t>
      </w:r>
      <w:r>
        <w:rPr>
          <w:position w:val="-14"/>
        </w:rPr>
        <w:object>
          <v:shape id="_x0000_i1153" o:spt="75" type="#_x0000_t75" style="height:20pt;width:46pt;" o:ole="t" filled="f" o:preferrelative="t" stroked="f" coordsize="21600,21600">
            <v:path/>
            <v:fill on="f" alignshape="1" focussize="0,0"/>
            <v:stroke on="f"/>
            <v:imagedata r:id="rId213" o:title=""/>
            <o:lock v:ext="edit" aspectratio="t"/>
            <w10:wrap type="none"/>
            <w10:anchorlock/>
          </v:shape>
          <o:OLEObject Type="Embed" ProgID="Equation.3" ShapeID="_x0000_i1153" DrawAspect="Content" ObjectID="_1468075818" r:id="rId212">
            <o:LockedField>false</o:LockedField>
          </o:OLEObject>
        </w:object>
      </w:r>
      <w:r>
        <w:rPr>
          <w:rFonts w:hint="eastAsia"/>
        </w:rPr>
        <w:t>,m</w:t>
      </w:r>
      <w:r>
        <w:rPr>
          <w:rFonts w:hint="eastAsia"/>
          <w:vertAlign w:val="superscript"/>
        </w:rPr>
        <w:t>3</w:t>
      </w:r>
      <w:r>
        <w:rPr>
          <w:rFonts w:hint="eastAsia"/>
        </w:rPr>
        <w:t>/min</w:t>
      </w:r>
    </w:p>
    <w:p w14:paraId="2701AD5C">
      <w:pPr>
        <w:spacing w:line="360" w:lineRule="auto"/>
        <w:ind w:firstLine="480" w:firstLineChars="200"/>
        <w:rPr>
          <w:rFonts w:hint="eastAsia" w:ascii="宋体" w:hAnsi="宋体"/>
          <w:color w:val="000000"/>
          <w:sz w:val="24"/>
        </w:rPr>
      </w:pPr>
      <w:r>
        <w:rPr>
          <w:rFonts w:hint="eastAsia" w:ascii="宋体" w:hAnsi="宋体"/>
          <w:color w:val="000000"/>
          <w:sz w:val="24"/>
        </w:rPr>
        <w:t>式中：a</w:t>
      </w:r>
      <w:r>
        <w:rPr>
          <w:rFonts w:hint="eastAsia" w:ascii="宋体" w:hAnsi="宋体"/>
          <w:color w:val="000000"/>
          <w:sz w:val="24"/>
          <w:vertAlign w:val="subscript"/>
        </w:rPr>
        <w:t>1</w:t>
      </w:r>
      <w:r>
        <w:rPr>
          <w:rFonts w:ascii="宋体" w:hAnsi="宋体"/>
          <w:color w:val="000000"/>
          <w:sz w:val="24"/>
        </w:rPr>
        <w:t>—</w:t>
      </w:r>
      <w:r>
        <w:rPr>
          <w:rFonts w:hint="eastAsia" w:ascii="宋体" w:hAnsi="宋体"/>
          <w:color w:val="000000"/>
          <w:sz w:val="24"/>
        </w:rPr>
        <w:t>沿管路全长的漏风系数，取1.1～1.2，本设计取1.15；</w:t>
      </w:r>
    </w:p>
    <w:p w14:paraId="3C8F7CBC">
      <w:pPr>
        <w:snapToGrid w:val="0"/>
        <w:spacing w:line="360" w:lineRule="auto"/>
        <w:ind w:firstLine="1200" w:firstLineChars="500"/>
        <w:rPr>
          <w:rFonts w:hint="eastAsia" w:ascii="宋体" w:hAnsi="宋体"/>
          <w:color w:val="000000"/>
          <w:sz w:val="24"/>
        </w:rPr>
      </w:pPr>
      <w:r>
        <w:rPr>
          <w:rFonts w:hint="eastAsia" w:ascii="宋体" w:hAnsi="宋体"/>
          <w:color w:val="000000"/>
          <w:sz w:val="24"/>
        </w:rPr>
        <w:t>a</w:t>
      </w:r>
      <w:r>
        <w:rPr>
          <w:rFonts w:hint="eastAsia" w:ascii="宋体" w:hAnsi="宋体"/>
          <w:color w:val="000000"/>
          <w:sz w:val="24"/>
          <w:vertAlign w:val="subscript"/>
        </w:rPr>
        <w:t>2</w:t>
      </w:r>
      <w:r>
        <w:rPr>
          <w:rFonts w:ascii="宋体" w:hAnsi="宋体"/>
          <w:color w:val="000000"/>
          <w:sz w:val="24"/>
        </w:rPr>
        <w:t>—</w:t>
      </w:r>
      <w:r>
        <w:rPr>
          <w:rFonts w:hint="eastAsia" w:ascii="宋体" w:hAnsi="宋体"/>
          <w:color w:val="000000"/>
          <w:sz w:val="24"/>
        </w:rPr>
        <w:t>机械磨损使空气消耗量增加的系数，取1.1～1.15，本设计取1.1；</w:t>
      </w:r>
    </w:p>
    <w:p w14:paraId="2ACF4465">
      <w:pPr>
        <w:snapToGrid w:val="0"/>
        <w:spacing w:line="360" w:lineRule="auto"/>
        <w:ind w:firstLine="1200" w:firstLineChars="500"/>
        <w:rPr>
          <w:rFonts w:hint="eastAsia" w:ascii="宋体" w:hAnsi="宋体"/>
          <w:color w:val="000000"/>
          <w:sz w:val="24"/>
        </w:rPr>
      </w:pPr>
      <w:r>
        <w:rPr>
          <w:rFonts w:hint="eastAsia" w:ascii="宋体" w:hAnsi="宋体"/>
          <w:color w:val="000000"/>
          <w:sz w:val="24"/>
        </w:rPr>
        <w:t>a</w:t>
      </w:r>
      <w:r>
        <w:rPr>
          <w:rFonts w:hint="eastAsia" w:ascii="宋体" w:hAnsi="宋体"/>
          <w:color w:val="000000"/>
          <w:sz w:val="24"/>
          <w:vertAlign w:val="subscript"/>
        </w:rPr>
        <w:t>3</w:t>
      </w:r>
      <w:r>
        <w:rPr>
          <w:rFonts w:ascii="宋体" w:hAnsi="宋体"/>
          <w:color w:val="000000"/>
          <w:sz w:val="24"/>
        </w:rPr>
        <w:t>—</w:t>
      </w:r>
      <w:r>
        <w:rPr>
          <w:rFonts w:hint="eastAsia" w:ascii="宋体" w:hAnsi="宋体"/>
          <w:color w:val="000000"/>
          <w:sz w:val="24"/>
        </w:rPr>
        <w:t>海拔高度修正系数,当海拔高度不大于1000m时，取1，当海拔高度大于1000m时，每增高100m，系数增加1％。</w:t>
      </w:r>
    </w:p>
    <w:p w14:paraId="768370D0">
      <w:pPr>
        <w:snapToGrid w:val="0"/>
        <w:spacing w:line="360" w:lineRule="auto"/>
        <w:ind w:firstLine="1200" w:firstLineChars="500"/>
        <w:rPr>
          <w:rFonts w:hint="eastAsia" w:ascii="宋体" w:hAnsi="宋体"/>
          <w:color w:val="000000"/>
          <w:sz w:val="24"/>
        </w:rPr>
      </w:pPr>
      <w:r>
        <w:rPr>
          <w:rFonts w:hint="eastAsia" w:ascii="宋体" w:hAnsi="宋体"/>
          <w:color w:val="000000"/>
          <w:sz w:val="24"/>
        </w:rPr>
        <w:t>n</w:t>
      </w:r>
      <w:r>
        <w:rPr>
          <w:rFonts w:hint="eastAsia" w:ascii="宋体" w:hAnsi="宋体"/>
          <w:color w:val="000000"/>
          <w:sz w:val="24"/>
          <w:vertAlign w:val="subscript"/>
        </w:rPr>
        <w:t>i</w:t>
      </w:r>
      <w:r>
        <w:rPr>
          <w:rFonts w:ascii="宋体" w:hAnsi="宋体"/>
          <w:color w:val="000000"/>
          <w:sz w:val="24"/>
        </w:rPr>
        <w:t>—</w:t>
      </w:r>
      <w:r>
        <w:rPr>
          <w:rFonts w:hint="eastAsia" w:ascii="宋体" w:hAnsi="宋体"/>
          <w:color w:val="000000"/>
          <w:sz w:val="24"/>
        </w:rPr>
        <w:t>同型号风动工具同时使用的数量；</w:t>
      </w:r>
    </w:p>
    <w:p w14:paraId="07D5CE6D">
      <w:pPr>
        <w:snapToGrid w:val="0"/>
        <w:spacing w:line="360" w:lineRule="auto"/>
        <w:ind w:firstLine="1200" w:firstLineChars="500"/>
        <w:rPr>
          <w:rFonts w:hint="eastAsia" w:ascii="宋体" w:hAnsi="宋体"/>
          <w:color w:val="000000"/>
          <w:sz w:val="24"/>
        </w:rPr>
      </w:pPr>
      <w:r>
        <w:rPr>
          <w:rFonts w:hint="eastAsia" w:ascii="宋体" w:hAnsi="宋体"/>
          <w:color w:val="000000"/>
          <w:sz w:val="24"/>
        </w:rPr>
        <w:t>q</w:t>
      </w:r>
      <w:r>
        <w:rPr>
          <w:rFonts w:hint="eastAsia" w:ascii="宋体" w:hAnsi="宋体"/>
          <w:color w:val="000000"/>
          <w:sz w:val="24"/>
          <w:vertAlign w:val="subscript"/>
        </w:rPr>
        <w:t>i</w:t>
      </w:r>
      <w:r>
        <w:rPr>
          <w:rFonts w:ascii="宋体" w:hAnsi="宋体"/>
          <w:color w:val="000000"/>
          <w:sz w:val="24"/>
        </w:rPr>
        <w:t>—</w:t>
      </w:r>
      <w:r>
        <w:rPr>
          <w:rFonts w:hint="eastAsia" w:ascii="宋体" w:hAnsi="宋体"/>
          <w:color w:val="000000"/>
          <w:sz w:val="24"/>
        </w:rPr>
        <w:t>每台风动工具的耗气量；</w:t>
      </w:r>
    </w:p>
    <w:p w14:paraId="19A45774">
      <w:pPr>
        <w:snapToGrid w:val="0"/>
        <w:spacing w:line="360" w:lineRule="auto"/>
        <w:ind w:firstLine="1200" w:firstLineChars="500"/>
        <w:rPr>
          <w:rFonts w:hint="eastAsia" w:ascii="宋体" w:hAnsi="宋体"/>
          <w:color w:val="000000"/>
          <w:sz w:val="24"/>
        </w:rPr>
      </w:pPr>
      <w:r>
        <w:rPr>
          <w:rFonts w:hint="eastAsia" w:ascii="宋体" w:hAnsi="宋体"/>
          <w:color w:val="000000"/>
          <w:sz w:val="24"/>
        </w:rPr>
        <w:t>k</w:t>
      </w:r>
      <w:r>
        <w:rPr>
          <w:rFonts w:hint="eastAsia" w:ascii="宋体" w:hAnsi="宋体"/>
          <w:color w:val="000000"/>
          <w:sz w:val="24"/>
          <w:vertAlign w:val="subscript"/>
        </w:rPr>
        <w:t>i</w:t>
      </w:r>
      <w:r>
        <w:rPr>
          <w:rFonts w:ascii="宋体" w:hAnsi="宋体"/>
          <w:color w:val="000000"/>
          <w:sz w:val="24"/>
        </w:rPr>
        <w:t>—</w:t>
      </w:r>
      <w:r>
        <w:rPr>
          <w:rFonts w:hint="eastAsia" w:ascii="宋体" w:hAnsi="宋体"/>
          <w:color w:val="000000"/>
          <w:sz w:val="24"/>
        </w:rPr>
        <w:t>同型号风动工具的同时使用系数，混凝土喷射机使用台数≤2台时，同时使用台数取1；风钻、风镐使用台数≤5台时，同时使用台数取1.0～0.85。</w:t>
      </w:r>
    </w:p>
    <w:p w14:paraId="73DBB38F">
      <w:pPr>
        <w:pStyle w:val="29"/>
        <w:spacing w:line="360" w:lineRule="auto"/>
        <w:ind w:firstLine="480" w:firstLineChars="200"/>
        <w:rPr>
          <w:rFonts w:hint="eastAsia" w:ascii="Times New Roman" w:hAnsi="宋体"/>
          <w:color w:val="000000"/>
          <w:sz w:val="24"/>
          <w:szCs w:val="24"/>
        </w:rPr>
      </w:pPr>
      <w:r>
        <w:rPr>
          <w:rFonts w:hint="eastAsia" w:ascii="Times New Roman" w:hAnsi="宋体"/>
          <w:color w:val="000000"/>
          <w:sz w:val="24"/>
          <w:szCs w:val="24"/>
        </w:rPr>
        <w:t>所需的总风量：</w:t>
      </w:r>
    </w:p>
    <w:p w14:paraId="31FDE323">
      <w:pPr>
        <w:pStyle w:val="23"/>
        <w:tabs>
          <w:tab w:val="left" w:pos="360"/>
        </w:tabs>
        <w:spacing w:line="460" w:lineRule="exact"/>
        <w:rPr>
          <w:rFonts w:hint="eastAsia"/>
        </w:rPr>
      </w:pPr>
      <w:r>
        <w:rPr>
          <w:rFonts w:hint="eastAsia"/>
        </w:rPr>
        <w:t>Q＝</w:t>
      </w:r>
      <w:r>
        <w:t>1.</w:t>
      </w:r>
      <w:r>
        <w:rPr>
          <w:rFonts w:hint="eastAsia"/>
        </w:rPr>
        <w:t>1</w:t>
      </w:r>
      <w:r>
        <w:t>×1.15×1.</w:t>
      </w:r>
      <w:r>
        <w:rPr>
          <w:rFonts w:hint="eastAsia"/>
        </w:rPr>
        <w:t>10</w:t>
      </w:r>
      <w:r>
        <w:t>×</w:t>
      </w:r>
      <w:r>
        <w:rPr>
          <w:rFonts w:hint="eastAsia"/>
        </w:rPr>
        <w:t>（2×2.8×0.95＋1</w:t>
      </w:r>
      <w:r>
        <w:t>×</w:t>
      </w:r>
      <w:r>
        <w:rPr>
          <w:rFonts w:hint="eastAsia"/>
        </w:rPr>
        <w:t>6+2×3.6×0.95</w:t>
      </w:r>
      <w:r>
        <w:t>）</w:t>
      </w:r>
    </w:p>
    <w:p w14:paraId="03126063">
      <w:pPr>
        <w:pStyle w:val="23"/>
        <w:tabs>
          <w:tab w:val="left" w:pos="360"/>
        </w:tabs>
        <w:spacing w:line="460" w:lineRule="exact"/>
        <w:ind w:firstLine="600" w:firstLineChars="250"/>
        <w:rPr>
          <w:rFonts w:hint="eastAsia"/>
        </w:rPr>
      </w:pPr>
      <w:r>
        <w:rPr>
          <w:rFonts w:hint="eastAsia"/>
        </w:rPr>
        <w:t>＝25.26</w:t>
      </w:r>
      <w:r>
        <w:t>m</w:t>
      </w:r>
      <w:r>
        <w:rPr>
          <w:vertAlign w:val="superscript"/>
        </w:rPr>
        <w:t>3</w:t>
      </w:r>
      <w:r>
        <w:t>/min</w:t>
      </w:r>
    </w:p>
    <w:p w14:paraId="51F07D61">
      <w:pPr>
        <w:pStyle w:val="23"/>
        <w:tabs>
          <w:tab w:val="left" w:pos="360"/>
        </w:tabs>
        <w:rPr>
          <w:rFonts w:hint="eastAsia"/>
        </w:rPr>
      </w:pPr>
      <w:r>
        <w:t xml:space="preserve"> (</w:t>
      </w:r>
      <w:r>
        <w:rPr>
          <w:rFonts w:hint="eastAsia"/>
        </w:rPr>
        <w:t>2</w:t>
      </w:r>
      <w:r>
        <w:t>)</w:t>
      </w:r>
      <w:r>
        <w:rPr>
          <w:rFonts w:hint="eastAsia"/>
        </w:rPr>
        <w:t>压风自救系统需风量:</w:t>
      </w:r>
    </w:p>
    <w:p w14:paraId="63B56B3D">
      <w:pPr>
        <w:pStyle w:val="23"/>
        <w:tabs>
          <w:tab w:val="left" w:pos="360"/>
        </w:tabs>
        <w:spacing w:line="460" w:lineRule="exact"/>
        <w:rPr>
          <w:rFonts w:hint="eastAsia"/>
        </w:rPr>
      </w:pPr>
      <w:r>
        <w:rPr>
          <w:rFonts w:hint="eastAsia"/>
        </w:rPr>
        <w:t>Q</w:t>
      </w:r>
      <w:r>
        <w:rPr>
          <w:rFonts w:hint="eastAsia"/>
          <w:vertAlign w:val="subscript"/>
        </w:rPr>
        <w:t>自</w:t>
      </w:r>
      <w:r>
        <w:rPr>
          <w:rFonts w:hint="eastAsia"/>
        </w:rPr>
        <w:t>=1.1×1.15×1.10×（60×0.15）</w:t>
      </w:r>
    </w:p>
    <w:p w14:paraId="4C0FEDD3">
      <w:pPr>
        <w:pStyle w:val="23"/>
        <w:tabs>
          <w:tab w:val="left" w:pos="360"/>
        </w:tabs>
        <w:spacing w:line="460" w:lineRule="exact"/>
        <w:ind w:firstLine="720" w:firstLineChars="300"/>
        <w:rPr>
          <w:rFonts w:hint="eastAsia"/>
        </w:rPr>
      </w:pPr>
      <w:r>
        <w:rPr>
          <w:rFonts w:hint="eastAsia"/>
        </w:rPr>
        <w:t>＝9.60m</w:t>
      </w:r>
      <w:r>
        <w:rPr>
          <w:rFonts w:hint="eastAsia"/>
          <w:vertAlign w:val="superscript"/>
        </w:rPr>
        <w:t>3</w:t>
      </w:r>
      <w:r>
        <w:rPr>
          <w:rFonts w:hint="eastAsia"/>
        </w:rPr>
        <w:t>/min</w:t>
      </w:r>
    </w:p>
    <w:p w14:paraId="4BFD938D">
      <w:pPr>
        <w:pStyle w:val="23"/>
        <w:tabs>
          <w:tab w:val="left" w:pos="360"/>
        </w:tabs>
        <w:rPr>
          <w:rFonts w:hint="eastAsia"/>
        </w:rPr>
      </w:pPr>
      <w:r>
        <w:t xml:space="preserve"> (</w:t>
      </w:r>
      <w:r>
        <w:rPr>
          <w:rFonts w:hint="eastAsia"/>
        </w:rPr>
        <w:t>3</w:t>
      </w:r>
      <w:r>
        <w:t>)</w:t>
      </w:r>
      <w:r>
        <w:rPr>
          <w:rFonts w:hint="eastAsia"/>
        </w:rPr>
        <w:t>选择压风机</w:t>
      </w:r>
    </w:p>
    <w:p w14:paraId="6BCD4657">
      <w:pPr>
        <w:spacing w:line="460" w:lineRule="exact"/>
        <w:ind w:firstLine="480" w:firstLineChars="200"/>
        <w:rPr>
          <w:rFonts w:hint="eastAsia" w:ascii="宋体" w:hAnsi="宋体"/>
          <w:color w:val="0000FF"/>
          <w:sz w:val="24"/>
        </w:rPr>
      </w:pPr>
      <w:r>
        <w:rPr>
          <w:rFonts w:ascii="宋体" w:hAnsi="宋体"/>
          <w:color w:val="0000FF"/>
          <w:sz w:val="24"/>
        </w:rPr>
        <w:t>空压机选用：</w:t>
      </w:r>
      <w:r>
        <w:rPr>
          <w:rFonts w:hint="eastAsia"/>
          <w:color w:val="0000FF"/>
          <w:sz w:val="24"/>
        </w:rPr>
        <w:t>S</w:t>
      </w:r>
      <w:r>
        <w:rPr>
          <w:color w:val="0000FF"/>
          <w:sz w:val="24"/>
        </w:rPr>
        <w:t>A</w:t>
      </w:r>
      <w:r>
        <w:rPr>
          <w:rFonts w:hint="eastAsia"/>
          <w:color w:val="0000FF"/>
          <w:sz w:val="24"/>
        </w:rPr>
        <w:t>75</w:t>
      </w:r>
      <w:r>
        <w:rPr>
          <w:color w:val="0000FF"/>
          <w:sz w:val="24"/>
        </w:rPr>
        <w:t>（A）/7.5型（配带电机及电控）</w:t>
      </w:r>
      <w:r>
        <w:rPr>
          <w:rFonts w:hint="eastAsia"/>
          <w:color w:val="0000FF"/>
          <w:sz w:val="24"/>
        </w:rPr>
        <w:t>3</w:t>
      </w:r>
      <w:r>
        <w:rPr>
          <w:color w:val="0000FF"/>
          <w:sz w:val="24"/>
        </w:rPr>
        <w:t>台风冷式螺杆空压机，</w:t>
      </w:r>
      <w:r>
        <w:rPr>
          <w:rFonts w:hint="eastAsia" w:ascii="宋体" w:hAnsi="宋体"/>
          <w:color w:val="0000FF"/>
          <w:sz w:val="24"/>
        </w:rPr>
        <w:t>2</w:t>
      </w:r>
      <w:r>
        <w:rPr>
          <w:rFonts w:ascii="宋体" w:hAnsi="宋体"/>
          <w:color w:val="0000FF"/>
          <w:sz w:val="24"/>
        </w:rPr>
        <w:t>台工作，1台备用</w:t>
      </w:r>
      <w:r>
        <w:rPr>
          <w:rFonts w:hint="eastAsia" w:ascii="宋体" w:hAnsi="宋体"/>
          <w:color w:val="0000FF"/>
          <w:sz w:val="24"/>
        </w:rPr>
        <w:t>。每台</w:t>
      </w:r>
      <w:r>
        <w:rPr>
          <w:rFonts w:ascii="宋体" w:hAnsi="宋体"/>
          <w:color w:val="0000FF"/>
          <w:sz w:val="24"/>
        </w:rPr>
        <w:t>供风量</w:t>
      </w:r>
      <w:r>
        <w:rPr>
          <w:rFonts w:hint="eastAsia" w:ascii="宋体" w:hAnsi="宋体"/>
          <w:color w:val="0000FF"/>
          <w:sz w:val="24"/>
        </w:rPr>
        <w:t>14.1</w:t>
      </w:r>
      <w:r>
        <w:rPr>
          <w:rFonts w:ascii="宋体" w:hAnsi="宋体"/>
          <w:color w:val="0000FF"/>
          <w:sz w:val="24"/>
        </w:rPr>
        <w:t>m</w:t>
      </w:r>
      <w:r>
        <w:rPr>
          <w:rFonts w:ascii="宋体" w:hAnsi="宋体"/>
          <w:color w:val="0000FF"/>
          <w:sz w:val="24"/>
          <w:vertAlign w:val="superscript"/>
        </w:rPr>
        <w:t>3</w:t>
      </w:r>
      <w:r>
        <w:rPr>
          <w:rFonts w:ascii="宋体" w:hAnsi="宋体"/>
          <w:color w:val="0000FF"/>
          <w:sz w:val="24"/>
        </w:rPr>
        <w:t>/min</w:t>
      </w:r>
      <w:r>
        <w:rPr>
          <w:rFonts w:hint="eastAsia" w:ascii="宋体" w:hAnsi="宋体"/>
          <w:color w:val="0000FF"/>
          <w:sz w:val="24"/>
        </w:rPr>
        <w:t>，排气压力0.75MPa，每台</w:t>
      </w:r>
      <w:r>
        <w:rPr>
          <w:rFonts w:ascii="宋体" w:hAnsi="宋体"/>
          <w:color w:val="0000FF"/>
          <w:sz w:val="24"/>
        </w:rPr>
        <w:t>配套电机</w:t>
      </w:r>
      <w:r>
        <w:rPr>
          <w:rFonts w:hint="eastAsia" w:ascii="宋体" w:hAnsi="宋体"/>
          <w:color w:val="0000FF"/>
          <w:sz w:val="24"/>
        </w:rPr>
        <w:t>:</w:t>
      </w:r>
      <w:r>
        <w:rPr>
          <w:rFonts w:ascii="宋体" w:hAnsi="宋体"/>
          <w:color w:val="0000FF"/>
          <w:sz w:val="24"/>
        </w:rPr>
        <w:t>功率</w:t>
      </w:r>
      <w:r>
        <w:rPr>
          <w:rFonts w:hint="eastAsia" w:ascii="宋体" w:hAnsi="宋体"/>
          <w:color w:val="0000FF"/>
          <w:sz w:val="24"/>
        </w:rPr>
        <w:t>75</w:t>
      </w:r>
      <w:r>
        <w:rPr>
          <w:rFonts w:ascii="宋体" w:hAnsi="宋体"/>
          <w:color w:val="0000FF"/>
          <w:sz w:val="24"/>
        </w:rPr>
        <w:t>kW</w:t>
      </w:r>
      <w:r>
        <w:rPr>
          <w:rFonts w:hint="eastAsia" w:ascii="宋体" w:hAnsi="宋体"/>
          <w:color w:val="0000FF"/>
          <w:sz w:val="24"/>
        </w:rPr>
        <w:t>,电压</w:t>
      </w:r>
      <w:r>
        <w:rPr>
          <w:rFonts w:ascii="宋体" w:hAnsi="宋体"/>
          <w:color w:val="0000FF"/>
          <w:sz w:val="24"/>
        </w:rPr>
        <w:t>380V。</w:t>
      </w:r>
    </w:p>
    <w:p w14:paraId="2A082039">
      <w:pPr>
        <w:spacing w:line="360" w:lineRule="auto"/>
        <w:ind w:firstLine="480" w:firstLineChars="200"/>
        <w:rPr>
          <w:rFonts w:hint="eastAsia" w:ascii="宋体" w:hAnsi="宋体"/>
          <w:sz w:val="24"/>
        </w:rPr>
      </w:pPr>
      <w:r>
        <w:rPr>
          <w:rFonts w:hint="eastAsia" w:ascii="宋体" w:hAnsi="宋体"/>
          <w:sz w:val="24"/>
        </w:rPr>
        <w:t>（4）初步估算空压机必须的出口压力</w:t>
      </w:r>
    </w:p>
    <w:p w14:paraId="36BAD070">
      <w:pPr>
        <w:spacing w:line="360" w:lineRule="auto"/>
        <w:ind w:firstLine="480" w:firstLineChars="200"/>
        <w:rPr>
          <w:rFonts w:hint="eastAsia" w:ascii="宋体" w:hAnsi="宋体"/>
          <w:color w:val="000000"/>
          <w:sz w:val="24"/>
        </w:rPr>
      </w:pPr>
      <w:r>
        <w:rPr>
          <w:rFonts w:hint="eastAsia" w:ascii="宋体" w:hAnsi="宋体"/>
          <w:color w:val="000000"/>
          <w:sz w:val="24"/>
        </w:rPr>
        <w:t>p＝p</w:t>
      </w:r>
      <w:r>
        <w:rPr>
          <w:rFonts w:hint="eastAsia" w:ascii="宋体" w:hAnsi="宋体"/>
          <w:color w:val="000000"/>
          <w:sz w:val="24"/>
          <w:vertAlign w:val="subscript"/>
        </w:rPr>
        <w:t>g</w:t>
      </w:r>
      <w:r>
        <w:rPr>
          <w:rFonts w:hint="eastAsia" w:ascii="宋体" w:hAnsi="宋体"/>
          <w:color w:val="000000"/>
          <w:sz w:val="24"/>
        </w:rPr>
        <w:t>+∑Δp</w:t>
      </w:r>
      <w:r>
        <w:rPr>
          <w:rFonts w:hint="eastAsia" w:ascii="宋体" w:hAnsi="宋体"/>
          <w:color w:val="000000"/>
          <w:sz w:val="24"/>
          <w:vertAlign w:val="subscript"/>
        </w:rPr>
        <w:t>i</w:t>
      </w:r>
      <w:r>
        <w:rPr>
          <w:rFonts w:hint="eastAsia" w:ascii="宋体" w:hAnsi="宋体"/>
          <w:color w:val="000000"/>
          <w:sz w:val="24"/>
        </w:rPr>
        <w:t>+1（kgf/cm</w:t>
      </w:r>
      <w:r>
        <w:rPr>
          <w:rFonts w:hint="eastAsia" w:ascii="宋体" w:hAnsi="宋体"/>
          <w:color w:val="000000"/>
          <w:sz w:val="24"/>
          <w:vertAlign w:val="superscript"/>
        </w:rPr>
        <w:t>2</w:t>
      </w:r>
      <w:r>
        <w:rPr>
          <w:rFonts w:hint="eastAsia" w:ascii="宋体" w:hAnsi="宋体"/>
          <w:color w:val="000000"/>
          <w:sz w:val="24"/>
        </w:rPr>
        <w:t>）</w:t>
      </w:r>
    </w:p>
    <w:p w14:paraId="66A1F283">
      <w:pPr>
        <w:spacing w:line="360" w:lineRule="auto"/>
        <w:ind w:firstLine="480" w:firstLineChars="200"/>
        <w:rPr>
          <w:rFonts w:hint="eastAsia" w:ascii="宋体" w:hAnsi="宋体"/>
          <w:color w:val="000000"/>
          <w:sz w:val="24"/>
        </w:rPr>
      </w:pPr>
      <w:r>
        <w:rPr>
          <w:rFonts w:hint="eastAsia" w:ascii="宋体" w:hAnsi="宋体"/>
          <w:color w:val="000000"/>
          <w:sz w:val="24"/>
        </w:rPr>
        <w:t>式中：p</w:t>
      </w:r>
      <w:r>
        <w:rPr>
          <w:rFonts w:ascii="宋体" w:hAnsi="宋体"/>
          <w:color w:val="000000"/>
          <w:sz w:val="24"/>
        </w:rPr>
        <w:t>—</w:t>
      </w:r>
      <w:r>
        <w:rPr>
          <w:rFonts w:hint="eastAsia" w:ascii="宋体" w:hAnsi="宋体"/>
          <w:color w:val="000000"/>
          <w:sz w:val="24"/>
        </w:rPr>
        <w:t>空压机的出口压力，kgf/cm</w:t>
      </w:r>
      <w:r>
        <w:rPr>
          <w:rFonts w:hint="eastAsia" w:ascii="宋体" w:hAnsi="宋体"/>
          <w:color w:val="000000"/>
          <w:sz w:val="24"/>
          <w:vertAlign w:val="superscript"/>
        </w:rPr>
        <w:t>2</w:t>
      </w:r>
      <w:r>
        <w:rPr>
          <w:rFonts w:hint="eastAsia" w:ascii="宋体" w:hAnsi="宋体"/>
          <w:color w:val="000000"/>
          <w:sz w:val="24"/>
        </w:rPr>
        <w:t>；</w:t>
      </w:r>
    </w:p>
    <w:p w14:paraId="2E7BD987">
      <w:pPr>
        <w:spacing w:line="360" w:lineRule="auto"/>
        <w:ind w:firstLine="480" w:firstLineChars="200"/>
        <w:rPr>
          <w:rFonts w:hint="eastAsia" w:ascii="宋体" w:hAnsi="宋体"/>
          <w:color w:val="000000"/>
          <w:sz w:val="24"/>
        </w:rPr>
      </w:pPr>
      <w:r>
        <w:rPr>
          <w:rFonts w:hint="eastAsia" w:ascii="宋体" w:hAnsi="宋体"/>
          <w:color w:val="000000"/>
          <w:sz w:val="24"/>
        </w:rPr>
        <w:t xml:space="preserve">      p</w:t>
      </w:r>
      <w:r>
        <w:rPr>
          <w:rFonts w:hint="eastAsia" w:ascii="宋体" w:hAnsi="宋体"/>
          <w:color w:val="000000"/>
          <w:sz w:val="24"/>
          <w:vertAlign w:val="subscript"/>
        </w:rPr>
        <w:t>g</w:t>
      </w:r>
      <w:r>
        <w:rPr>
          <w:rFonts w:ascii="宋体" w:hAnsi="宋体"/>
          <w:color w:val="000000"/>
          <w:sz w:val="24"/>
        </w:rPr>
        <w:t>—</w:t>
      </w:r>
      <w:r>
        <w:rPr>
          <w:rFonts w:hint="eastAsia" w:ascii="宋体" w:hAnsi="宋体"/>
          <w:color w:val="000000"/>
          <w:sz w:val="24"/>
        </w:rPr>
        <w:t>风动工具的工作压力，kgf/cm</w:t>
      </w:r>
      <w:r>
        <w:rPr>
          <w:rFonts w:hint="eastAsia" w:ascii="宋体" w:hAnsi="宋体"/>
          <w:color w:val="000000"/>
          <w:sz w:val="24"/>
          <w:vertAlign w:val="superscript"/>
        </w:rPr>
        <w:t>2</w:t>
      </w:r>
    </w:p>
    <w:p w14:paraId="0494AC4D">
      <w:pPr>
        <w:spacing w:line="360" w:lineRule="auto"/>
        <w:ind w:firstLine="480" w:firstLineChars="200"/>
        <w:rPr>
          <w:rFonts w:hint="eastAsia" w:ascii="宋体" w:hAnsi="宋体"/>
          <w:color w:val="000000"/>
          <w:sz w:val="24"/>
        </w:rPr>
      </w:pPr>
      <w:r>
        <w:rPr>
          <w:rFonts w:hint="eastAsia" w:ascii="宋体" w:hAnsi="宋体"/>
          <w:color w:val="000000"/>
          <w:sz w:val="24"/>
        </w:rPr>
        <w:t xml:space="preserve">      ∑Δp</w:t>
      </w:r>
      <w:r>
        <w:rPr>
          <w:rFonts w:hint="eastAsia" w:ascii="宋体" w:hAnsi="宋体"/>
          <w:color w:val="000000"/>
          <w:sz w:val="24"/>
          <w:vertAlign w:val="subscript"/>
        </w:rPr>
        <w:t>i</w:t>
      </w:r>
      <w:r>
        <w:rPr>
          <w:rFonts w:ascii="宋体" w:hAnsi="宋体"/>
          <w:color w:val="000000"/>
          <w:sz w:val="24"/>
        </w:rPr>
        <w:t>—</w:t>
      </w:r>
      <w:r>
        <w:rPr>
          <w:rFonts w:hint="eastAsia" w:ascii="宋体" w:hAnsi="宋体"/>
          <w:color w:val="000000"/>
          <w:sz w:val="24"/>
        </w:rPr>
        <w:t>压气管路中最远一路管路压力损失之和，可按每km管路损失0.3～0.6大气压计算。</w:t>
      </w:r>
    </w:p>
    <w:p w14:paraId="202B4C13">
      <w:pPr>
        <w:spacing w:line="360" w:lineRule="auto"/>
        <w:ind w:firstLine="480" w:firstLineChars="200"/>
        <w:rPr>
          <w:rFonts w:hint="eastAsia" w:ascii="宋体" w:hAnsi="宋体"/>
          <w:color w:val="000000"/>
          <w:sz w:val="24"/>
        </w:rPr>
      </w:pPr>
      <w:r>
        <w:rPr>
          <w:rFonts w:hint="eastAsia" w:ascii="宋体" w:hAnsi="宋体"/>
          <w:color w:val="000000"/>
          <w:sz w:val="24"/>
        </w:rPr>
        <w:t>按单台最大设备使用计算：</w:t>
      </w:r>
    </w:p>
    <w:p w14:paraId="4FE7DAA0">
      <w:pPr>
        <w:spacing w:line="360" w:lineRule="auto"/>
        <w:ind w:firstLine="480" w:firstLineChars="200"/>
        <w:rPr>
          <w:rFonts w:hint="eastAsia" w:ascii="宋体" w:hAnsi="宋体"/>
          <w:color w:val="000000"/>
          <w:sz w:val="24"/>
        </w:rPr>
      </w:pPr>
      <w:r>
        <w:rPr>
          <w:rFonts w:hint="eastAsia" w:ascii="宋体" w:hAnsi="宋体"/>
          <w:color w:val="000000"/>
          <w:sz w:val="24"/>
        </w:rPr>
        <w:t>p＝pg+∑Δpi+1（kgf/cm</w:t>
      </w:r>
      <w:r>
        <w:rPr>
          <w:rFonts w:hint="eastAsia" w:ascii="宋体" w:hAnsi="宋体"/>
          <w:color w:val="000000"/>
          <w:sz w:val="24"/>
          <w:vertAlign w:val="superscript"/>
        </w:rPr>
        <w:t>2</w:t>
      </w:r>
      <w:r>
        <w:rPr>
          <w:rFonts w:hint="eastAsia" w:ascii="宋体" w:hAnsi="宋体"/>
          <w:color w:val="000000"/>
          <w:sz w:val="24"/>
        </w:rPr>
        <w:t>）＝5+0.6×2+1=7.2（kgf/cm</w:t>
      </w:r>
      <w:r>
        <w:rPr>
          <w:rFonts w:hint="eastAsia" w:ascii="宋体" w:hAnsi="宋体"/>
          <w:color w:val="000000"/>
          <w:sz w:val="24"/>
          <w:vertAlign w:val="superscript"/>
        </w:rPr>
        <w:t>2</w:t>
      </w:r>
      <w:r>
        <w:rPr>
          <w:rFonts w:hint="eastAsia" w:ascii="宋体" w:hAnsi="宋体"/>
          <w:color w:val="000000"/>
          <w:sz w:val="24"/>
        </w:rPr>
        <w:t>）=0.72MPa</w:t>
      </w:r>
    </w:p>
    <w:p w14:paraId="45A22657">
      <w:pPr>
        <w:spacing w:line="360" w:lineRule="auto"/>
        <w:ind w:firstLine="480" w:firstLineChars="200"/>
        <w:rPr>
          <w:rFonts w:hint="eastAsia" w:ascii="宋体" w:hAnsi="宋体"/>
          <w:color w:val="000000"/>
          <w:sz w:val="24"/>
        </w:rPr>
      </w:pPr>
      <w:r>
        <w:rPr>
          <w:rFonts w:hint="eastAsia" w:ascii="宋体" w:hAnsi="宋体"/>
          <w:color w:val="000000"/>
          <w:sz w:val="24"/>
        </w:rPr>
        <w:t>即空压机必须的出口压力为0.72M</w:t>
      </w:r>
      <w:r>
        <w:rPr>
          <w:rFonts w:ascii="宋体" w:hAnsi="宋体"/>
          <w:color w:val="000000"/>
          <w:sz w:val="24"/>
        </w:rPr>
        <w:t>p</w:t>
      </w:r>
      <w:r>
        <w:rPr>
          <w:rFonts w:hint="eastAsia" w:ascii="宋体" w:hAnsi="宋体"/>
          <w:color w:val="000000"/>
          <w:sz w:val="24"/>
        </w:rPr>
        <w:t>a。</w:t>
      </w:r>
    </w:p>
    <w:p w14:paraId="452B56DA">
      <w:pPr>
        <w:spacing w:line="360" w:lineRule="auto"/>
        <w:ind w:firstLine="480" w:firstLineChars="200"/>
        <w:rPr>
          <w:rFonts w:ascii="宋体" w:hAnsi="宋体"/>
          <w:sz w:val="24"/>
        </w:rPr>
      </w:pPr>
      <w:r>
        <w:rPr>
          <w:rFonts w:ascii="宋体" w:hAnsi="宋体"/>
          <w:sz w:val="24"/>
        </w:rPr>
        <w:t>(</w:t>
      </w:r>
      <w:r>
        <w:rPr>
          <w:rFonts w:hint="eastAsia" w:ascii="宋体" w:hAnsi="宋体"/>
          <w:sz w:val="24"/>
        </w:rPr>
        <w:t>5</w:t>
      </w:r>
      <w:r>
        <w:rPr>
          <w:rFonts w:ascii="宋体" w:hAnsi="宋体"/>
          <w:sz w:val="24"/>
        </w:rPr>
        <w:t>)压风主管直径dk＝20×（</w:t>
      </w:r>
      <w:r>
        <w:rPr>
          <w:rFonts w:hint="eastAsia" w:ascii="宋体" w:hAnsi="宋体"/>
          <w:sz w:val="24"/>
        </w:rPr>
        <w:t>16.2</w:t>
      </w:r>
      <w:r>
        <w:rPr>
          <w:rFonts w:ascii="宋体" w:hAnsi="宋体"/>
          <w:sz w:val="24"/>
        </w:rPr>
        <w:t>）</w:t>
      </w:r>
      <w:r>
        <w:rPr>
          <w:rFonts w:ascii="宋体" w:hAnsi="宋体"/>
          <w:sz w:val="24"/>
          <w:vertAlign w:val="superscript"/>
        </w:rPr>
        <w:t>1/2</w:t>
      </w:r>
      <w:r>
        <w:rPr>
          <w:rFonts w:ascii="宋体" w:hAnsi="宋体"/>
          <w:sz w:val="24"/>
        </w:rPr>
        <w:t>＝</w:t>
      </w:r>
      <w:r>
        <w:rPr>
          <w:rFonts w:hint="eastAsia" w:ascii="宋体" w:hAnsi="宋体"/>
          <w:sz w:val="24"/>
        </w:rPr>
        <w:t>79.1</w:t>
      </w:r>
      <w:r>
        <w:rPr>
          <w:rFonts w:ascii="宋体" w:hAnsi="宋体"/>
          <w:sz w:val="24"/>
        </w:rPr>
        <w:t>mm</w:t>
      </w:r>
    </w:p>
    <w:p w14:paraId="02EC4578">
      <w:pPr>
        <w:pStyle w:val="23"/>
        <w:tabs>
          <w:tab w:val="left" w:pos="360"/>
        </w:tabs>
        <w:rPr>
          <w:rFonts w:hint="eastAsia"/>
        </w:rPr>
      </w:pPr>
      <w:r>
        <w:t>主管选DN</w:t>
      </w:r>
      <w:r>
        <w:rPr>
          <w:rFonts w:hint="eastAsia"/>
        </w:rPr>
        <w:t>80，</w:t>
      </w:r>
      <w:r>
        <w:t>PN=0.8MPa</w:t>
      </w:r>
      <w:r>
        <w:rPr>
          <w:rFonts w:hint="eastAsia"/>
        </w:rPr>
        <w:t>无缝钢管,支管选用</w:t>
      </w:r>
      <w:r>
        <w:t>DN</w:t>
      </w:r>
      <w:r>
        <w:rPr>
          <w:rFonts w:hint="eastAsia"/>
        </w:rPr>
        <w:t>75，</w:t>
      </w:r>
      <w:r>
        <w:t>PN=0.8MPa</w:t>
      </w:r>
      <w:r>
        <w:rPr>
          <w:rFonts w:hint="eastAsia"/>
        </w:rPr>
        <w:t>无缝钢管，主管趟数为一趟,主管长度约600m,支管长度约1500m。</w:t>
      </w:r>
    </w:p>
    <w:p w14:paraId="506C826F">
      <w:pPr>
        <w:pStyle w:val="23"/>
        <w:tabs>
          <w:tab w:val="left" w:pos="360"/>
        </w:tabs>
        <w:rPr>
          <w:rFonts w:hint="eastAsia"/>
        </w:rPr>
      </w:pPr>
      <w:r>
        <w:t>(</w:t>
      </w:r>
      <w:r>
        <w:rPr>
          <w:rFonts w:hint="eastAsia"/>
        </w:rPr>
        <w:t>6</w:t>
      </w:r>
      <w:r>
        <w:t>)</w:t>
      </w:r>
      <w:r>
        <w:rPr>
          <w:rFonts w:hint="eastAsia"/>
        </w:rPr>
        <w:t>验算压风损失</w:t>
      </w:r>
    </w:p>
    <w:p w14:paraId="79B1C5FD">
      <w:pPr>
        <w:pStyle w:val="23"/>
        <w:tabs>
          <w:tab w:val="left" w:pos="360"/>
        </w:tabs>
        <w:rPr>
          <w:rFonts w:hint="eastAsia"/>
        </w:rPr>
      </w:pPr>
      <w:r>
        <w:rPr>
          <w:rFonts w:hint="eastAsia"/>
        </w:rPr>
        <w:t>ΔP=10</w:t>
      </w:r>
      <w:r>
        <w:rPr>
          <w:rFonts w:hint="eastAsia"/>
          <w:vertAlign w:val="superscript"/>
        </w:rPr>
        <w:t>-6</w:t>
      </w:r>
      <w:r>
        <w:rPr>
          <w:rFonts w:hint="eastAsia"/>
        </w:rPr>
        <w:t>LiQi</w:t>
      </w:r>
      <w:r>
        <w:rPr>
          <w:rFonts w:hint="eastAsia"/>
          <w:vertAlign w:val="superscript"/>
        </w:rPr>
        <w:t>1.85</w:t>
      </w:r>
      <w:r>
        <w:rPr>
          <w:rFonts w:hint="eastAsia"/>
        </w:rPr>
        <w:t>/di</w:t>
      </w:r>
      <w:r>
        <w:rPr>
          <w:rFonts w:hint="eastAsia"/>
          <w:vertAlign w:val="superscript"/>
        </w:rPr>
        <w:t>5</w:t>
      </w:r>
      <w:r>
        <w:rPr>
          <w:rFonts w:hint="eastAsia"/>
        </w:rPr>
        <w:t>，Pa</w:t>
      </w:r>
    </w:p>
    <w:p w14:paraId="15AE7B61">
      <w:pPr>
        <w:pStyle w:val="23"/>
        <w:tabs>
          <w:tab w:val="left" w:pos="360"/>
        </w:tabs>
        <w:rPr>
          <w:rFonts w:hint="eastAsia"/>
        </w:rPr>
      </w:pPr>
      <w:r>
        <w:rPr>
          <w:rFonts w:hint="eastAsia"/>
        </w:rPr>
        <w:t>式中：Li——某管段当量长度，Li=1.15Li</w:t>
      </w:r>
      <w:r>
        <w:t>’,</w:t>
      </w:r>
      <w:r>
        <w:rPr>
          <w:rFonts w:hint="eastAsia"/>
        </w:rPr>
        <w:t>m；</w:t>
      </w:r>
    </w:p>
    <w:p w14:paraId="0A907D2E">
      <w:pPr>
        <w:pStyle w:val="23"/>
        <w:tabs>
          <w:tab w:val="left" w:pos="360"/>
        </w:tabs>
        <w:ind w:firstLine="1200" w:firstLineChars="500"/>
        <w:rPr>
          <w:rFonts w:hint="eastAsia"/>
        </w:rPr>
      </w:pPr>
      <w:r>
        <w:rPr>
          <w:rFonts w:hint="eastAsia"/>
        </w:rPr>
        <w:t>Li</w:t>
      </w:r>
      <w:r>
        <w:t>’</w:t>
      </w:r>
      <w:r>
        <w:rPr>
          <w:rFonts w:hint="eastAsia"/>
        </w:rPr>
        <w:t>——某管段的实际长度</w:t>
      </w:r>
      <w:r>
        <w:t>,</w:t>
      </w:r>
      <w:r>
        <w:rPr>
          <w:rFonts w:hint="eastAsia"/>
        </w:rPr>
        <w:t>m；</w:t>
      </w:r>
    </w:p>
    <w:p w14:paraId="49AA3BA5">
      <w:pPr>
        <w:pStyle w:val="23"/>
        <w:tabs>
          <w:tab w:val="left" w:pos="360"/>
        </w:tabs>
        <w:ind w:firstLine="1200" w:firstLineChars="500"/>
        <w:rPr>
          <w:rFonts w:hint="eastAsia"/>
        </w:rPr>
      </w:pPr>
      <w:r>
        <w:rPr>
          <w:rFonts w:hint="eastAsia"/>
        </w:rPr>
        <w:t>Qi——通过某管段供气量；</w:t>
      </w:r>
    </w:p>
    <w:p w14:paraId="25553FFA">
      <w:pPr>
        <w:pStyle w:val="23"/>
        <w:tabs>
          <w:tab w:val="left" w:pos="360"/>
        </w:tabs>
        <w:ind w:firstLine="1200" w:firstLineChars="500"/>
        <w:rPr>
          <w:rFonts w:hint="eastAsia"/>
        </w:rPr>
      </w:pPr>
      <w:r>
        <w:rPr>
          <w:rFonts w:hint="eastAsia"/>
        </w:rPr>
        <w:t>di——某管段的标准内径，m。</w:t>
      </w:r>
    </w:p>
    <w:p w14:paraId="380068F4">
      <w:pPr>
        <w:pStyle w:val="23"/>
        <w:tabs>
          <w:tab w:val="left" w:pos="360"/>
        </w:tabs>
        <w:rPr>
          <w:rFonts w:hint="eastAsia"/>
        </w:rPr>
      </w:pPr>
      <w:r>
        <w:rPr>
          <w:rFonts w:hint="eastAsia"/>
        </w:rPr>
        <w:t>压风管压风损失</w:t>
      </w:r>
    </w:p>
    <w:p w14:paraId="585E334A">
      <w:pPr>
        <w:pStyle w:val="23"/>
        <w:tabs>
          <w:tab w:val="left" w:pos="360"/>
        </w:tabs>
        <w:rPr>
          <w:rFonts w:hint="eastAsia"/>
        </w:rPr>
      </w:pPr>
      <w:r>
        <w:rPr>
          <w:rFonts w:hint="eastAsia"/>
        </w:rPr>
        <w:t>ΔP=10</w:t>
      </w:r>
      <w:r>
        <w:rPr>
          <w:rFonts w:hint="eastAsia"/>
          <w:vertAlign w:val="superscript"/>
        </w:rPr>
        <w:t>-6</w:t>
      </w:r>
      <w:r>
        <w:rPr>
          <w:rFonts w:hint="eastAsia"/>
        </w:rPr>
        <w:t>×1500×1.15×13</w:t>
      </w:r>
      <w:r>
        <w:rPr>
          <w:rFonts w:hint="eastAsia"/>
          <w:vertAlign w:val="superscript"/>
        </w:rPr>
        <w:t>1.85</w:t>
      </w:r>
      <w:r>
        <w:rPr>
          <w:rFonts w:hint="eastAsia"/>
        </w:rPr>
        <w:t>/0.085=0.06M</w:t>
      </w:r>
      <w:r>
        <w:t>p</w:t>
      </w:r>
      <w:r>
        <w:rPr>
          <w:rFonts w:hint="eastAsia"/>
        </w:rPr>
        <w:t>a</w:t>
      </w:r>
    </w:p>
    <w:p w14:paraId="7D404CED">
      <w:pPr>
        <w:pStyle w:val="23"/>
        <w:tabs>
          <w:tab w:val="left" w:pos="360"/>
        </w:tabs>
        <w:rPr>
          <w:rFonts w:hint="eastAsia"/>
        </w:rPr>
      </w:pPr>
      <w:r>
        <w:rPr>
          <w:rFonts w:hint="eastAsia"/>
        </w:rPr>
        <w:t>压风能满足风动工具要求。</w:t>
      </w:r>
    </w:p>
    <w:p w14:paraId="4F19CB3B">
      <w:pPr>
        <w:pStyle w:val="3"/>
        <w:keepLines/>
        <w:spacing w:before="260" w:after="260" w:line="360" w:lineRule="auto"/>
        <w:ind w:firstLine="0" w:firstLineChars="0"/>
        <w:jc w:val="center"/>
        <w:rPr>
          <w:rFonts w:hint="eastAsia"/>
          <w:b/>
          <w:color w:val="000000"/>
          <w:sz w:val="32"/>
          <w:szCs w:val="32"/>
        </w:rPr>
      </w:pPr>
      <w:bookmarkStart w:id="612" w:name="_Toc259438266"/>
      <w:bookmarkStart w:id="613" w:name="_Toc260915273"/>
      <w:bookmarkStart w:id="614" w:name="_Toc171757184"/>
      <w:bookmarkStart w:id="615" w:name="_Toc173869261"/>
      <w:bookmarkStart w:id="616" w:name="_Toc92630526"/>
      <w:r>
        <w:rPr>
          <w:rFonts w:hint="eastAsia"/>
          <w:b/>
          <w:color w:val="000000"/>
          <w:sz w:val="32"/>
          <w:szCs w:val="32"/>
        </w:rPr>
        <w:t>第五节　　瓦斯抽放设备</w:t>
      </w:r>
      <w:bookmarkEnd w:id="612"/>
      <w:bookmarkEnd w:id="613"/>
    </w:p>
    <w:bookmarkEnd w:id="614"/>
    <w:bookmarkEnd w:id="615"/>
    <w:bookmarkEnd w:id="616"/>
    <w:p w14:paraId="793F99E7">
      <w:pPr>
        <w:spacing w:line="360" w:lineRule="auto"/>
        <w:ind w:firstLine="480" w:firstLineChars="200"/>
        <w:rPr>
          <w:rFonts w:hint="eastAsia" w:ascii="宋体" w:hAnsi="宋体"/>
          <w:sz w:val="24"/>
        </w:rPr>
      </w:pPr>
      <w:r>
        <w:rPr>
          <w:rFonts w:hint="eastAsia" w:ascii="宋体" w:hAnsi="宋体"/>
          <w:color w:val="000000"/>
          <w:sz w:val="24"/>
        </w:rPr>
        <w:t>按黔府办发[2008]83号文的规定：新采区投产前，必须完成抽采钻孔，抽采巷道和和有关设备安装等瓦斯治理工程，具备瓦斯治理的各项功能和条件，否则不准生产。</w:t>
      </w:r>
    </w:p>
    <w:p w14:paraId="1EA51EAC">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一、瓦斯来源分析</w:t>
      </w:r>
    </w:p>
    <w:p w14:paraId="644A610F">
      <w:pPr>
        <w:spacing w:line="360" w:lineRule="auto"/>
        <w:ind w:firstLine="480" w:firstLineChars="200"/>
        <w:rPr>
          <w:rFonts w:hint="eastAsia" w:ascii="宋体" w:hAnsi="宋体"/>
          <w:sz w:val="24"/>
        </w:rPr>
      </w:pPr>
      <w:r>
        <w:rPr>
          <w:rFonts w:hint="eastAsia" w:ascii="宋体" w:hAnsi="宋体"/>
          <w:sz w:val="24"/>
        </w:rPr>
        <w:t>井下瓦斯来源主要是开采层回采巷道及工作面煤层释压、落煤解释瓦斯、采空区浮煤解释瓦斯和临近层涌入瓦斯。由于本矿以前没有瓦斯抽放系统，因此，参照水城矿区（井）瓦斯来源统计分析资料，结合所在井田矿区的开采实践资料：开采层巷道及工作面煤层释压、落煤解释瓦斯一般占工作面瓦斯涌出量的40～46%，采空区浮煤解释瓦斯和临近层涌入瓦斯一般占工作面瓦斯涌出量的54～60%。考虑到本矿开采深度浅，开发强度相对较低等因素预计本矿深部水平瓦斯来源比例是：开采层巷道及工作面煤层释压、落煤解释瓦斯一般占工作面瓦斯涌出量的45%，采空区浮煤解释瓦斯和临近层涌入瓦斯占工作面瓦斯涌出量55%。</w:t>
      </w:r>
    </w:p>
    <w:p w14:paraId="346A7450">
      <w:pPr>
        <w:spacing w:line="360" w:lineRule="auto"/>
        <w:ind w:firstLine="482" w:firstLineChars="200"/>
        <w:rPr>
          <w:rFonts w:ascii="楷体_GB2312" w:eastAsia="楷体_GB2312"/>
          <w:b/>
          <w:color w:val="000000"/>
          <w:sz w:val="24"/>
        </w:rPr>
      </w:pPr>
      <w:r>
        <w:rPr>
          <w:rFonts w:hint="eastAsia" w:ascii="楷体_GB2312" w:eastAsia="楷体_GB2312"/>
          <w:b/>
          <w:color w:val="000000"/>
          <w:sz w:val="24"/>
        </w:rPr>
        <w:t>㈠、</w:t>
      </w:r>
      <w:r>
        <w:rPr>
          <w:rFonts w:ascii="楷体_GB2312" w:eastAsia="楷体_GB2312"/>
          <w:b/>
          <w:color w:val="000000"/>
          <w:sz w:val="24"/>
        </w:rPr>
        <w:t>矿井瓦斯储量及可抽量</w:t>
      </w:r>
    </w:p>
    <w:p w14:paraId="785F8EE2">
      <w:pPr>
        <w:spacing w:line="360" w:lineRule="auto"/>
        <w:ind w:firstLine="480" w:firstLineChars="200"/>
        <w:rPr>
          <w:rFonts w:ascii="宋体" w:hAnsi="宋体"/>
          <w:color w:val="000000"/>
          <w:sz w:val="24"/>
        </w:rPr>
      </w:pPr>
      <w:r>
        <w:rPr>
          <w:rFonts w:ascii="宋体" w:hAnsi="宋体"/>
          <w:color w:val="000000"/>
          <w:sz w:val="24"/>
        </w:rPr>
        <w:t>1、矿井煤层平均瓦斯含量</w:t>
      </w:r>
    </w:p>
    <w:p w14:paraId="5B286FC2">
      <w:pPr>
        <w:spacing w:line="360" w:lineRule="auto"/>
        <w:ind w:firstLine="464" w:firstLineChars="200"/>
        <w:rPr>
          <w:rFonts w:hint="eastAsia" w:ascii="宋体" w:hAnsi="宋体"/>
          <w:b/>
          <w:color w:val="000000"/>
          <w:spacing w:val="-4"/>
          <w:sz w:val="24"/>
        </w:rPr>
      </w:pPr>
      <w:r>
        <w:rPr>
          <w:color w:val="000000"/>
          <w:spacing w:val="-4"/>
          <w:sz w:val="24"/>
        </w:rPr>
        <w:t>根据地质报告提供的资料，</w:t>
      </w:r>
      <w:r>
        <w:rPr>
          <w:rFonts w:hint="eastAsia"/>
          <w:color w:val="000000"/>
          <w:spacing w:val="-4"/>
          <w:sz w:val="24"/>
        </w:rPr>
        <w:t>按</w:t>
      </w:r>
      <w:r>
        <w:rPr>
          <w:rFonts w:hint="eastAsia" w:ascii="宋体" w:hAnsi="宋体"/>
          <w:color w:val="000000"/>
          <w:spacing w:val="-4"/>
          <w:sz w:val="24"/>
        </w:rPr>
        <w:t>经验公式计算矿井煤层的瓦斯含量</w:t>
      </w:r>
      <w:r>
        <w:rPr>
          <w:color w:val="000000"/>
          <w:spacing w:val="-4"/>
          <w:sz w:val="24"/>
        </w:rPr>
        <w:t>如</w:t>
      </w:r>
      <w:r>
        <w:rPr>
          <w:b/>
          <w:color w:val="000000"/>
          <w:spacing w:val="-4"/>
          <w:sz w:val="24"/>
        </w:rPr>
        <w:t>表</w:t>
      </w:r>
      <w:r>
        <w:rPr>
          <w:rFonts w:hint="eastAsia"/>
          <w:b/>
          <w:color w:val="000000"/>
          <w:spacing w:val="-4"/>
          <w:sz w:val="24"/>
        </w:rPr>
        <w:t>5－</w:t>
      </w:r>
      <w:r>
        <w:rPr>
          <w:b/>
          <w:color w:val="000000"/>
          <w:spacing w:val="-4"/>
          <w:sz w:val="24"/>
        </w:rPr>
        <w:t>5－1</w:t>
      </w:r>
      <w:r>
        <w:rPr>
          <w:color w:val="000000"/>
          <w:spacing w:val="-4"/>
          <w:sz w:val="24"/>
        </w:rPr>
        <w:t>。</w:t>
      </w:r>
    </w:p>
    <w:p w14:paraId="345DDEA6">
      <w:pPr>
        <w:spacing w:after="50" w:line="360" w:lineRule="auto"/>
        <w:ind w:firstLine="482" w:firstLineChars="200"/>
        <w:jc w:val="center"/>
        <w:rPr>
          <w:rFonts w:hint="eastAsia"/>
          <w:b/>
          <w:color w:val="000000"/>
          <w:sz w:val="24"/>
        </w:rPr>
      </w:pPr>
      <w:r>
        <w:rPr>
          <w:rFonts w:hint="eastAsia" w:ascii="宋体" w:hAnsi="宋体"/>
          <w:b/>
          <w:color w:val="000000"/>
          <w:sz w:val="24"/>
        </w:rPr>
        <w:t>表5－5－1    各煤层</w:t>
      </w:r>
      <w:r>
        <w:rPr>
          <w:b/>
          <w:color w:val="000000"/>
          <w:sz w:val="24"/>
        </w:rPr>
        <w:t>瓦斯含量表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631"/>
        <w:gridCol w:w="678"/>
        <w:gridCol w:w="689"/>
        <w:gridCol w:w="666"/>
        <w:gridCol w:w="758"/>
        <w:gridCol w:w="666"/>
        <w:gridCol w:w="666"/>
        <w:gridCol w:w="758"/>
        <w:gridCol w:w="756"/>
        <w:gridCol w:w="756"/>
        <w:gridCol w:w="827"/>
      </w:tblGrid>
      <w:tr w14:paraId="3B84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116" w:type="dxa"/>
            <w:noWrap w:val="0"/>
            <w:vAlign w:val="center"/>
          </w:tcPr>
          <w:p w14:paraId="34B91028">
            <w:pPr>
              <w:jc w:val="center"/>
              <w:rPr>
                <w:rFonts w:hint="eastAsia" w:ascii="宋体" w:hAnsi="宋体"/>
                <w:color w:val="000000"/>
                <w:sz w:val="18"/>
                <w:szCs w:val="18"/>
              </w:rPr>
            </w:pPr>
            <w:r>
              <w:rPr>
                <w:rFonts w:hint="eastAsia" w:ascii="宋体" w:hAnsi="宋体"/>
                <w:color w:val="000000"/>
                <w:spacing w:val="8"/>
                <w:kern w:val="10"/>
                <w:sz w:val="18"/>
                <w:szCs w:val="18"/>
              </w:rPr>
              <w:t>煤层</w:t>
            </w:r>
          </w:p>
        </w:tc>
        <w:tc>
          <w:tcPr>
            <w:tcW w:w="631" w:type="dxa"/>
            <w:noWrap w:val="0"/>
            <w:vAlign w:val="center"/>
          </w:tcPr>
          <w:p w14:paraId="0E51DF3D">
            <w:pPr>
              <w:jc w:val="center"/>
              <w:rPr>
                <w:rFonts w:hint="eastAsia" w:ascii="宋体" w:hAnsi="宋体"/>
                <w:color w:val="000000"/>
                <w:sz w:val="18"/>
                <w:szCs w:val="18"/>
              </w:rPr>
            </w:pPr>
            <w:r>
              <w:rPr>
                <w:rFonts w:hint="eastAsia" w:ascii="宋体" w:hAnsi="宋体" w:cs="宋体"/>
                <w:kern w:val="0"/>
                <w:sz w:val="18"/>
                <w:szCs w:val="18"/>
              </w:rPr>
              <w:t>K1-b</w:t>
            </w:r>
          </w:p>
        </w:tc>
        <w:tc>
          <w:tcPr>
            <w:tcW w:w="678" w:type="dxa"/>
            <w:noWrap w:val="0"/>
            <w:vAlign w:val="center"/>
          </w:tcPr>
          <w:p w14:paraId="60EDE81A">
            <w:pPr>
              <w:jc w:val="center"/>
              <w:rPr>
                <w:rFonts w:hint="eastAsia" w:ascii="宋体" w:hAnsi="宋体"/>
                <w:color w:val="000000"/>
                <w:sz w:val="18"/>
                <w:szCs w:val="18"/>
              </w:rPr>
            </w:pPr>
            <w:r>
              <w:rPr>
                <w:rFonts w:hint="eastAsia" w:ascii="宋体" w:hAnsi="宋体" w:cs="宋体"/>
                <w:kern w:val="0"/>
                <w:sz w:val="18"/>
                <w:szCs w:val="18"/>
              </w:rPr>
              <w:t>K3</w:t>
            </w:r>
          </w:p>
        </w:tc>
        <w:tc>
          <w:tcPr>
            <w:tcW w:w="689" w:type="dxa"/>
            <w:noWrap w:val="0"/>
            <w:vAlign w:val="center"/>
          </w:tcPr>
          <w:p w14:paraId="7A0C7E3E">
            <w:pPr>
              <w:jc w:val="center"/>
              <w:rPr>
                <w:rFonts w:hint="eastAsia" w:ascii="宋体" w:hAnsi="宋体"/>
                <w:color w:val="000000"/>
                <w:sz w:val="18"/>
                <w:szCs w:val="18"/>
              </w:rPr>
            </w:pPr>
            <w:r>
              <w:rPr>
                <w:rFonts w:hint="eastAsia" w:ascii="宋体" w:hAnsi="宋体" w:cs="宋体"/>
                <w:kern w:val="0"/>
                <w:sz w:val="18"/>
                <w:szCs w:val="18"/>
              </w:rPr>
              <w:t>K9</w:t>
            </w:r>
          </w:p>
        </w:tc>
        <w:tc>
          <w:tcPr>
            <w:tcW w:w="666" w:type="dxa"/>
            <w:noWrap w:val="0"/>
            <w:vAlign w:val="center"/>
          </w:tcPr>
          <w:p w14:paraId="3D38AD0B">
            <w:pPr>
              <w:jc w:val="center"/>
              <w:rPr>
                <w:rFonts w:hint="eastAsia" w:ascii="宋体" w:hAnsi="宋体"/>
                <w:color w:val="000000"/>
                <w:sz w:val="18"/>
                <w:szCs w:val="18"/>
              </w:rPr>
            </w:pPr>
            <w:r>
              <w:rPr>
                <w:rFonts w:hint="eastAsia" w:ascii="宋体" w:hAnsi="宋体" w:cs="宋体"/>
                <w:kern w:val="0"/>
                <w:sz w:val="18"/>
                <w:szCs w:val="18"/>
              </w:rPr>
              <w:t>K10</w:t>
            </w:r>
          </w:p>
        </w:tc>
        <w:tc>
          <w:tcPr>
            <w:tcW w:w="758" w:type="dxa"/>
            <w:noWrap w:val="0"/>
            <w:vAlign w:val="center"/>
          </w:tcPr>
          <w:p w14:paraId="4D915010">
            <w:pPr>
              <w:jc w:val="center"/>
              <w:rPr>
                <w:rFonts w:hint="eastAsia" w:ascii="宋体" w:hAnsi="宋体"/>
                <w:color w:val="000000"/>
                <w:sz w:val="18"/>
                <w:szCs w:val="18"/>
              </w:rPr>
            </w:pPr>
            <w:r>
              <w:rPr>
                <w:rFonts w:hint="eastAsia" w:ascii="宋体" w:hAnsi="宋体" w:cs="宋体"/>
                <w:kern w:val="0"/>
                <w:sz w:val="18"/>
                <w:szCs w:val="18"/>
              </w:rPr>
              <w:t>K13</w:t>
            </w:r>
          </w:p>
        </w:tc>
        <w:tc>
          <w:tcPr>
            <w:tcW w:w="666" w:type="dxa"/>
            <w:noWrap w:val="0"/>
            <w:vAlign w:val="center"/>
          </w:tcPr>
          <w:p w14:paraId="1D137C12">
            <w:pPr>
              <w:jc w:val="center"/>
              <w:rPr>
                <w:rFonts w:hint="eastAsia" w:ascii="宋体" w:hAnsi="宋体"/>
                <w:color w:val="000000"/>
                <w:sz w:val="18"/>
                <w:szCs w:val="18"/>
              </w:rPr>
            </w:pPr>
            <w:r>
              <w:rPr>
                <w:rFonts w:hint="eastAsia" w:ascii="宋体" w:hAnsi="宋体" w:cs="宋体"/>
                <w:kern w:val="0"/>
                <w:sz w:val="18"/>
                <w:szCs w:val="18"/>
              </w:rPr>
              <w:t>K18</w:t>
            </w:r>
          </w:p>
        </w:tc>
        <w:tc>
          <w:tcPr>
            <w:tcW w:w="666" w:type="dxa"/>
            <w:noWrap w:val="0"/>
            <w:vAlign w:val="center"/>
          </w:tcPr>
          <w:p w14:paraId="41E23AA2">
            <w:pPr>
              <w:jc w:val="center"/>
              <w:rPr>
                <w:rFonts w:hint="eastAsia" w:ascii="宋体" w:hAnsi="宋体" w:cs="宋体"/>
                <w:kern w:val="0"/>
                <w:sz w:val="18"/>
                <w:szCs w:val="18"/>
              </w:rPr>
            </w:pPr>
            <w:r>
              <w:rPr>
                <w:rFonts w:hint="eastAsia" w:ascii="宋体" w:hAnsi="宋体" w:cs="宋体"/>
                <w:kern w:val="0"/>
                <w:sz w:val="18"/>
                <w:szCs w:val="18"/>
              </w:rPr>
              <w:t>K26</w:t>
            </w:r>
          </w:p>
        </w:tc>
        <w:tc>
          <w:tcPr>
            <w:tcW w:w="758" w:type="dxa"/>
            <w:noWrap w:val="0"/>
            <w:vAlign w:val="center"/>
          </w:tcPr>
          <w:p w14:paraId="7982E941">
            <w:pPr>
              <w:jc w:val="center"/>
              <w:rPr>
                <w:rFonts w:hint="eastAsia" w:ascii="宋体" w:hAnsi="宋体" w:cs="宋体"/>
                <w:kern w:val="0"/>
                <w:sz w:val="18"/>
                <w:szCs w:val="18"/>
              </w:rPr>
            </w:pPr>
            <w:r>
              <w:rPr>
                <w:rFonts w:hint="eastAsia" w:ascii="宋体" w:hAnsi="宋体" w:cs="宋体"/>
                <w:kern w:val="0"/>
                <w:sz w:val="18"/>
                <w:szCs w:val="18"/>
              </w:rPr>
              <w:t>K35-b</w:t>
            </w:r>
          </w:p>
        </w:tc>
        <w:tc>
          <w:tcPr>
            <w:tcW w:w="756" w:type="dxa"/>
            <w:noWrap w:val="0"/>
            <w:vAlign w:val="center"/>
          </w:tcPr>
          <w:p w14:paraId="00B86A3F">
            <w:pPr>
              <w:jc w:val="center"/>
              <w:rPr>
                <w:rFonts w:hint="eastAsia" w:ascii="宋体" w:hAnsi="宋体" w:cs="宋体"/>
                <w:kern w:val="0"/>
                <w:sz w:val="18"/>
                <w:szCs w:val="18"/>
              </w:rPr>
            </w:pPr>
            <w:r>
              <w:rPr>
                <w:rFonts w:hint="eastAsia" w:ascii="宋体" w:hAnsi="宋体" w:cs="宋体"/>
                <w:kern w:val="0"/>
                <w:sz w:val="18"/>
                <w:szCs w:val="18"/>
              </w:rPr>
              <w:t>K106-b</w:t>
            </w:r>
          </w:p>
        </w:tc>
        <w:tc>
          <w:tcPr>
            <w:tcW w:w="756" w:type="dxa"/>
            <w:noWrap w:val="0"/>
            <w:vAlign w:val="center"/>
          </w:tcPr>
          <w:p w14:paraId="5295A1C0">
            <w:pPr>
              <w:jc w:val="center"/>
              <w:rPr>
                <w:rFonts w:hint="eastAsia" w:ascii="宋体" w:hAnsi="宋体" w:cs="宋体"/>
                <w:kern w:val="0"/>
                <w:sz w:val="18"/>
                <w:szCs w:val="18"/>
              </w:rPr>
            </w:pPr>
            <w:r>
              <w:rPr>
                <w:rFonts w:hint="eastAsia" w:ascii="宋体" w:hAnsi="宋体" w:cs="宋体"/>
                <w:kern w:val="0"/>
                <w:sz w:val="18"/>
                <w:szCs w:val="18"/>
              </w:rPr>
              <w:t>K109-b</w:t>
            </w:r>
          </w:p>
        </w:tc>
        <w:tc>
          <w:tcPr>
            <w:tcW w:w="827" w:type="dxa"/>
            <w:noWrap w:val="0"/>
            <w:vAlign w:val="center"/>
          </w:tcPr>
          <w:p w14:paraId="792D569F">
            <w:pPr>
              <w:jc w:val="center"/>
              <w:rPr>
                <w:rFonts w:hint="eastAsia" w:ascii="宋体" w:hAnsi="宋体" w:cs="宋体"/>
                <w:kern w:val="0"/>
                <w:sz w:val="18"/>
                <w:szCs w:val="18"/>
              </w:rPr>
            </w:pPr>
            <w:r>
              <w:rPr>
                <w:rFonts w:hint="eastAsia" w:ascii="宋体" w:hAnsi="宋体" w:cs="宋体"/>
                <w:kern w:val="0"/>
                <w:sz w:val="18"/>
                <w:szCs w:val="18"/>
              </w:rPr>
              <w:t>K110-b</w:t>
            </w:r>
          </w:p>
        </w:tc>
      </w:tr>
      <w:tr w14:paraId="2D5C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1116" w:type="dxa"/>
            <w:noWrap w:val="0"/>
            <w:vAlign w:val="center"/>
          </w:tcPr>
          <w:p w14:paraId="21110FE3">
            <w:pPr>
              <w:rPr>
                <w:rFonts w:hint="eastAsia" w:ascii="宋体" w:hAnsi="宋体"/>
                <w:color w:val="000000"/>
                <w:sz w:val="18"/>
                <w:szCs w:val="18"/>
              </w:rPr>
            </w:pPr>
            <w:r>
              <w:rPr>
                <w:rFonts w:hint="eastAsia" w:ascii="宋体" w:hAnsi="宋体"/>
                <w:color w:val="000000"/>
                <w:spacing w:val="8"/>
                <w:kern w:val="10"/>
                <w:sz w:val="18"/>
                <w:szCs w:val="18"/>
              </w:rPr>
              <w:t>瓦斯含量（m</w:t>
            </w:r>
            <w:r>
              <w:rPr>
                <w:rFonts w:hint="eastAsia" w:ascii="宋体" w:hAnsi="宋体"/>
                <w:color w:val="000000"/>
                <w:spacing w:val="8"/>
                <w:kern w:val="10"/>
                <w:sz w:val="18"/>
                <w:szCs w:val="18"/>
                <w:vertAlign w:val="superscript"/>
              </w:rPr>
              <w:t>3</w:t>
            </w:r>
            <w:r>
              <w:rPr>
                <w:rFonts w:hint="eastAsia" w:ascii="宋体" w:hAnsi="宋体"/>
                <w:color w:val="000000"/>
                <w:spacing w:val="8"/>
                <w:kern w:val="10"/>
                <w:sz w:val="18"/>
                <w:szCs w:val="18"/>
              </w:rPr>
              <w:t>/t）</w:t>
            </w:r>
          </w:p>
        </w:tc>
        <w:tc>
          <w:tcPr>
            <w:tcW w:w="631" w:type="dxa"/>
            <w:noWrap w:val="0"/>
            <w:vAlign w:val="center"/>
          </w:tcPr>
          <w:p w14:paraId="00424A3D">
            <w:pPr>
              <w:jc w:val="center"/>
              <w:rPr>
                <w:rFonts w:hint="eastAsia" w:ascii="宋体" w:hAnsi="宋体"/>
                <w:color w:val="000000"/>
                <w:sz w:val="18"/>
                <w:szCs w:val="18"/>
              </w:rPr>
            </w:pPr>
            <w:r>
              <w:rPr>
                <w:rFonts w:hint="eastAsia" w:ascii="宋体" w:hAnsi="宋体"/>
                <w:color w:val="000000"/>
                <w:sz w:val="18"/>
                <w:szCs w:val="18"/>
              </w:rPr>
              <w:t>14.6</w:t>
            </w:r>
          </w:p>
        </w:tc>
        <w:tc>
          <w:tcPr>
            <w:tcW w:w="678" w:type="dxa"/>
            <w:noWrap w:val="0"/>
            <w:vAlign w:val="center"/>
          </w:tcPr>
          <w:p w14:paraId="723E2CEB">
            <w:pPr>
              <w:jc w:val="center"/>
              <w:rPr>
                <w:rFonts w:hint="eastAsia" w:ascii="宋体" w:hAnsi="宋体"/>
                <w:color w:val="000000"/>
                <w:sz w:val="18"/>
                <w:szCs w:val="18"/>
              </w:rPr>
            </w:pPr>
            <w:r>
              <w:rPr>
                <w:rFonts w:hint="eastAsia" w:ascii="宋体" w:hAnsi="宋体"/>
                <w:color w:val="000000"/>
                <w:sz w:val="18"/>
                <w:szCs w:val="18"/>
              </w:rPr>
              <w:t>12.7</w:t>
            </w:r>
          </w:p>
        </w:tc>
        <w:tc>
          <w:tcPr>
            <w:tcW w:w="689" w:type="dxa"/>
            <w:noWrap w:val="0"/>
            <w:vAlign w:val="center"/>
          </w:tcPr>
          <w:p w14:paraId="16A8BA96">
            <w:pPr>
              <w:jc w:val="center"/>
              <w:rPr>
                <w:rFonts w:hint="eastAsia" w:ascii="宋体" w:hAnsi="宋体"/>
                <w:color w:val="000000"/>
                <w:sz w:val="18"/>
                <w:szCs w:val="18"/>
              </w:rPr>
            </w:pPr>
            <w:r>
              <w:rPr>
                <w:rFonts w:hint="eastAsia" w:ascii="宋体" w:hAnsi="宋体"/>
                <w:color w:val="000000"/>
                <w:sz w:val="18"/>
                <w:szCs w:val="18"/>
              </w:rPr>
              <w:t>14.31</w:t>
            </w:r>
          </w:p>
        </w:tc>
        <w:tc>
          <w:tcPr>
            <w:tcW w:w="666" w:type="dxa"/>
            <w:noWrap w:val="0"/>
            <w:vAlign w:val="center"/>
          </w:tcPr>
          <w:p w14:paraId="2FD08756">
            <w:pPr>
              <w:jc w:val="center"/>
              <w:rPr>
                <w:rFonts w:hint="eastAsia" w:ascii="宋体" w:hAnsi="宋体"/>
                <w:color w:val="000000"/>
                <w:sz w:val="18"/>
                <w:szCs w:val="18"/>
              </w:rPr>
            </w:pPr>
            <w:r>
              <w:rPr>
                <w:rFonts w:hint="eastAsia" w:ascii="宋体" w:hAnsi="宋体"/>
                <w:color w:val="000000"/>
                <w:sz w:val="18"/>
                <w:szCs w:val="18"/>
              </w:rPr>
              <w:t>14.66</w:t>
            </w:r>
          </w:p>
        </w:tc>
        <w:tc>
          <w:tcPr>
            <w:tcW w:w="758" w:type="dxa"/>
            <w:noWrap w:val="0"/>
            <w:vAlign w:val="center"/>
          </w:tcPr>
          <w:p w14:paraId="292C3A05">
            <w:pPr>
              <w:jc w:val="center"/>
              <w:rPr>
                <w:rFonts w:hint="eastAsia" w:ascii="宋体" w:hAnsi="宋体"/>
                <w:color w:val="000000"/>
                <w:sz w:val="18"/>
                <w:szCs w:val="18"/>
              </w:rPr>
            </w:pPr>
            <w:r>
              <w:rPr>
                <w:rFonts w:hint="eastAsia" w:ascii="宋体" w:hAnsi="宋体"/>
                <w:color w:val="000000"/>
                <w:sz w:val="18"/>
                <w:szCs w:val="18"/>
              </w:rPr>
              <w:t>15.92</w:t>
            </w:r>
          </w:p>
        </w:tc>
        <w:tc>
          <w:tcPr>
            <w:tcW w:w="666" w:type="dxa"/>
            <w:noWrap w:val="0"/>
            <w:vAlign w:val="center"/>
          </w:tcPr>
          <w:p w14:paraId="0FFC1338">
            <w:pPr>
              <w:jc w:val="center"/>
              <w:rPr>
                <w:rFonts w:hint="eastAsia" w:ascii="宋体" w:hAnsi="宋体"/>
                <w:color w:val="000000"/>
                <w:sz w:val="18"/>
                <w:szCs w:val="18"/>
              </w:rPr>
            </w:pPr>
            <w:r>
              <w:rPr>
                <w:rFonts w:hint="eastAsia" w:ascii="宋体" w:hAnsi="宋体"/>
                <w:color w:val="000000"/>
                <w:sz w:val="18"/>
                <w:szCs w:val="18"/>
              </w:rPr>
              <w:t>16.04</w:t>
            </w:r>
          </w:p>
        </w:tc>
        <w:tc>
          <w:tcPr>
            <w:tcW w:w="666" w:type="dxa"/>
            <w:noWrap w:val="0"/>
            <w:vAlign w:val="center"/>
          </w:tcPr>
          <w:p w14:paraId="7D986D0E">
            <w:pPr>
              <w:jc w:val="center"/>
              <w:rPr>
                <w:rFonts w:hint="eastAsia" w:ascii="宋体" w:hAnsi="宋体"/>
                <w:color w:val="000000"/>
                <w:sz w:val="18"/>
                <w:szCs w:val="18"/>
              </w:rPr>
            </w:pPr>
            <w:r>
              <w:rPr>
                <w:rFonts w:hint="eastAsia" w:ascii="宋体" w:hAnsi="宋体"/>
                <w:color w:val="000000"/>
                <w:sz w:val="18"/>
                <w:szCs w:val="18"/>
              </w:rPr>
              <w:t>15.95</w:t>
            </w:r>
          </w:p>
        </w:tc>
        <w:tc>
          <w:tcPr>
            <w:tcW w:w="758" w:type="dxa"/>
            <w:noWrap w:val="0"/>
            <w:vAlign w:val="center"/>
          </w:tcPr>
          <w:p w14:paraId="5D25D8CA">
            <w:pPr>
              <w:jc w:val="center"/>
              <w:rPr>
                <w:rFonts w:hint="eastAsia" w:ascii="宋体" w:hAnsi="宋体"/>
                <w:color w:val="000000"/>
                <w:sz w:val="18"/>
                <w:szCs w:val="18"/>
              </w:rPr>
            </w:pPr>
            <w:r>
              <w:rPr>
                <w:rFonts w:hint="eastAsia" w:ascii="宋体" w:hAnsi="宋体"/>
                <w:color w:val="000000"/>
                <w:sz w:val="18"/>
                <w:szCs w:val="18"/>
              </w:rPr>
              <w:t>14.92</w:t>
            </w:r>
          </w:p>
        </w:tc>
        <w:tc>
          <w:tcPr>
            <w:tcW w:w="756" w:type="dxa"/>
            <w:noWrap w:val="0"/>
            <w:vAlign w:val="center"/>
          </w:tcPr>
          <w:p w14:paraId="41E29C1B">
            <w:pPr>
              <w:jc w:val="center"/>
              <w:rPr>
                <w:rFonts w:hint="eastAsia" w:ascii="宋体" w:hAnsi="宋体"/>
                <w:color w:val="000000"/>
                <w:sz w:val="18"/>
                <w:szCs w:val="18"/>
              </w:rPr>
            </w:pPr>
            <w:r>
              <w:rPr>
                <w:rFonts w:hint="eastAsia" w:ascii="宋体" w:hAnsi="宋体"/>
                <w:color w:val="000000"/>
                <w:sz w:val="18"/>
                <w:szCs w:val="18"/>
              </w:rPr>
              <w:t>15.44</w:t>
            </w:r>
          </w:p>
        </w:tc>
        <w:tc>
          <w:tcPr>
            <w:tcW w:w="756" w:type="dxa"/>
            <w:noWrap w:val="0"/>
            <w:vAlign w:val="center"/>
          </w:tcPr>
          <w:p w14:paraId="08DAD084">
            <w:pPr>
              <w:jc w:val="center"/>
              <w:rPr>
                <w:rFonts w:hint="eastAsia" w:ascii="宋体" w:hAnsi="宋体" w:cs="宋体"/>
                <w:kern w:val="0"/>
                <w:sz w:val="18"/>
                <w:szCs w:val="18"/>
              </w:rPr>
            </w:pPr>
            <w:r>
              <w:rPr>
                <w:rFonts w:hint="eastAsia" w:ascii="宋体" w:hAnsi="宋体" w:cs="宋体"/>
                <w:kern w:val="0"/>
                <w:sz w:val="18"/>
                <w:szCs w:val="18"/>
              </w:rPr>
              <w:t>17.24</w:t>
            </w:r>
          </w:p>
        </w:tc>
        <w:tc>
          <w:tcPr>
            <w:tcW w:w="827" w:type="dxa"/>
            <w:noWrap w:val="0"/>
            <w:vAlign w:val="center"/>
          </w:tcPr>
          <w:p w14:paraId="5C66839B">
            <w:pPr>
              <w:jc w:val="center"/>
              <w:rPr>
                <w:rFonts w:hint="eastAsia" w:ascii="宋体" w:hAnsi="宋体" w:cs="宋体"/>
                <w:kern w:val="0"/>
                <w:sz w:val="18"/>
                <w:szCs w:val="18"/>
              </w:rPr>
            </w:pPr>
            <w:r>
              <w:rPr>
                <w:rFonts w:hint="eastAsia" w:ascii="宋体" w:hAnsi="宋体" w:cs="宋体"/>
                <w:kern w:val="0"/>
                <w:sz w:val="18"/>
                <w:szCs w:val="18"/>
              </w:rPr>
              <w:t>16.47</w:t>
            </w:r>
          </w:p>
        </w:tc>
      </w:tr>
    </w:tbl>
    <w:p w14:paraId="2E90FBDD">
      <w:pPr>
        <w:spacing w:line="360" w:lineRule="auto"/>
        <w:ind w:firstLine="480" w:firstLineChars="200"/>
        <w:rPr>
          <w:rFonts w:ascii="宋体" w:hAnsi="宋体"/>
          <w:color w:val="000000"/>
          <w:sz w:val="24"/>
        </w:rPr>
      </w:pPr>
      <w:r>
        <w:rPr>
          <w:rFonts w:ascii="宋体" w:hAnsi="宋体"/>
          <w:color w:val="000000"/>
          <w:sz w:val="24"/>
        </w:rPr>
        <w:t>2、矿井瓦斯储量及可抽量</w:t>
      </w:r>
    </w:p>
    <w:p w14:paraId="7DF08D57">
      <w:pPr>
        <w:spacing w:line="360" w:lineRule="auto"/>
        <w:ind w:firstLine="480" w:firstLineChars="200"/>
        <w:rPr>
          <w:rFonts w:hint="eastAsia" w:ascii="宋体" w:hAnsi="宋体"/>
          <w:color w:val="000000"/>
          <w:sz w:val="24"/>
        </w:rPr>
      </w:pPr>
      <w:r>
        <w:rPr>
          <w:rFonts w:ascii="宋体" w:hAnsi="宋体"/>
          <w:color w:val="000000"/>
          <w:sz w:val="24"/>
        </w:rPr>
        <w:t>矿井瓦斯储量是指在煤田开发过程中能够向矿井排放瓦斯的煤层及围岩所赋存的瓦斯总量</w:t>
      </w:r>
      <w:r>
        <w:rPr>
          <w:rFonts w:hint="eastAsia" w:ascii="宋体" w:hAnsi="宋体"/>
          <w:color w:val="000000"/>
          <w:sz w:val="24"/>
        </w:rPr>
        <w:t>，</w:t>
      </w:r>
      <w:r>
        <w:rPr>
          <w:rFonts w:ascii="宋体" w:hAnsi="宋体"/>
          <w:color w:val="000000"/>
          <w:sz w:val="24"/>
        </w:rPr>
        <w:t>瓦斯储量可按下式计算：</w:t>
      </w:r>
    </w:p>
    <w:p w14:paraId="210AFC26">
      <w:pPr>
        <w:spacing w:line="360" w:lineRule="auto"/>
        <w:ind w:firstLine="480" w:firstLineChars="200"/>
        <w:rPr>
          <w:rFonts w:ascii="宋体" w:hAnsi="宋体"/>
          <w:color w:val="000000"/>
          <w:sz w:val="24"/>
        </w:rPr>
      </w:pPr>
      <w:r>
        <w:rPr>
          <w:rFonts w:ascii="宋体" w:hAnsi="宋体"/>
          <w:color w:val="000000"/>
          <w:sz w:val="24"/>
        </w:rPr>
        <w:t>Wc=( K 1·K 2)∑Ai·W0</w:t>
      </w:r>
    </w:p>
    <w:p w14:paraId="216D903F">
      <w:pPr>
        <w:spacing w:line="360" w:lineRule="auto"/>
        <w:ind w:firstLine="480" w:firstLineChars="200"/>
        <w:rPr>
          <w:rFonts w:ascii="宋体" w:hAnsi="宋体"/>
          <w:color w:val="000000"/>
          <w:sz w:val="24"/>
        </w:rPr>
      </w:pPr>
      <w:r>
        <w:rPr>
          <w:rFonts w:ascii="宋体" w:hAnsi="宋体"/>
          <w:color w:val="000000"/>
          <w:sz w:val="24"/>
        </w:rPr>
        <w:t>式中：Wc — 矿井瓦斯储量，万m</w:t>
      </w:r>
      <w:r>
        <w:rPr>
          <w:rFonts w:ascii="宋体" w:hAnsi="宋体"/>
          <w:color w:val="000000"/>
          <w:sz w:val="24"/>
          <w:vertAlign w:val="superscript"/>
        </w:rPr>
        <w:t>3</w:t>
      </w:r>
      <w:r>
        <w:rPr>
          <w:rFonts w:ascii="宋体" w:hAnsi="宋体"/>
          <w:color w:val="000000"/>
          <w:sz w:val="24"/>
        </w:rPr>
        <w:t>；</w:t>
      </w:r>
    </w:p>
    <w:p w14:paraId="09982AF4">
      <w:pPr>
        <w:spacing w:line="360" w:lineRule="auto"/>
        <w:ind w:firstLine="480" w:firstLineChars="200"/>
        <w:rPr>
          <w:rFonts w:ascii="宋体" w:hAnsi="宋体"/>
          <w:color w:val="000000"/>
          <w:sz w:val="24"/>
        </w:rPr>
      </w:pPr>
      <w:r>
        <w:rPr>
          <w:rFonts w:ascii="宋体" w:hAnsi="宋体"/>
          <w:color w:val="000000"/>
          <w:sz w:val="24"/>
        </w:rPr>
        <w:t xml:space="preserve">      </w:t>
      </w:r>
      <w:r>
        <w:rPr>
          <w:rFonts w:hint="eastAsia" w:ascii="宋体" w:hAnsi="宋体"/>
          <w:color w:val="000000"/>
          <w:sz w:val="24"/>
        </w:rPr>
        <w:t>K1</w:t>
      </w:r>
      <w:r>
        <w:rPr>
          <w:rFonts w:ascii="宋体" w:hAnsi="宋体"/>
          <w:color w:val="000000"/>
          <w:sz w:val="24"/>
        </w:rPr>
        <w:t xml:space="preserve"> — 围岩瓦斯储量系数；</w:t>
      </w:r>
    </w:p>
    <w:p w14:paraId="7B65FB28">
      <w:pPr>
        <w:spacing w:line="360" w:lineRule="auto"/>
        <w:ind w:firstLine="1200" w:firstLineChars="500"/>
        <w:rPr>
          <w:rFonts w:ascii="宋体" w:hAnsi="宋体"/>
          <w:color w:val="000000"/>
          <w:sz w:val="24"/>
        </w:rPr>
      </w:pPr>
      <w:r>
        <w:rPr>
          <w:rFonts w:hint="eastAsia" w:ascii="宋体" w:hAnsi="宋体"/>
          <w:color w:val="000000"/>
          <w:sz w:val="24"/>
        </w:rPr>
        <w:t>K2</w:t>
      </w:r>
      <w:r>
        <w:rPr>
          <w:rFonts w:ascii="宋体" w:hAnsi="宋体"/>
          <w:color w:val="000000"/>
          <w:sz w:val="24"/>
        </w:rPr>
        <w:t>— 不可采邻近层瓦斯储量系数；</w:t>
      </w:r>
    </w:p>
    <w:p w14:paraId="1A35EC90">
      <w:pPr>
        <w:spacing w:line="360" w:lineRule="auto"/>
        <w:ind w:firstLine="480" w:firstLineChars="200"/>
        <w:rPr>
          <w:rFonts w:ascii="宋体" w:hAnsi="宋体"/>
          <w:color w:val="000000"/>
          <w:sz w:val="24"/>
        </w:rPr>
      </w:pPr>
      <w:r>
        <w:rPr>
          <w:rFonts w:ascii="宋体" w:hAnsi="宋体"/>
          <w:color w:val="000000"/>
          <w:sz w:val="24"/>
        </w:rPr>
        <w:t xml:space="preserve">      A i — 第i个可采煤层地质储量，万吨；</w:t>
      </w:r>
    </w:p>
    <w:p w14:paraId="3012DD83">
      <w:pPr>
        <w:spacing w:line="360" w:lineRule="auto"/>
        <w:ind w:firstLine="480" w:firstLineChars="200"/>
        <w:rPr>
          <w:rFonts w:hint="eastAsia" w:ascii="宋体" w:hAnsi="宋体"/>
          <w:color w:val="000000"/>
          <w:sz w:val="24"/>
        </w:rPr>
      </w:pPr>
      <w:r>
        <w:rPr>
          <w:rFonts w:ascii="宋体" w:hAnsi="宋体"/>
          <w:color w:val="000000"/>
          <w:sz w:val="24"/>
        </w:rPr>
        <w:t xml:space="preserve">      W0 — 第i个可采煤层平均瓦斯含量，m</w:t>
      </w:r>
      <w:r>
        <w:rPr>
          <w:rFonts w:ascii="宋体" w:hAnsi="宋体"/>
          <w:color w:val="000000"/>
          <w:sz w:val="24"/>
          <w:vertAlign w:val="superscript"/>
        </w:rPr>
        <w:t>3</w:t>
      </w:r>
      <w:r>
        <w:rPr>
          <w:rFonts w:ascii="宋体" w:hAnsi="宋体"/>
          <w:color w:val="000000"/>
          <w:sz w:val="24"/>
        </w:rPr>
        <w:t>/t；</w:t>
      </w:r>
    </w:p>
    <w:p w14:paraId="680C1705">
      <w:pPr>
        <w:spacing w:line="360" w:lineRule="auto"/>
        <w:ind w:firstLine="480" w:firstLineChars="200"/>
        <w:rPr>
          <w:rFonts w:ascii="宋体" w:hAnsi="宋体"/>
          <w:color w:val="000000"/>
          <w:kern w:val="0"/>
          <w:sz w:val="24"/>
        </w:rPr>
      </w:pPr>
      <w:r>
        <w:rPr>
          <w:rFonts w:ascii="宋体" w:hAnsi="宋体"/>
          <w:color w:val="000000"/>
          <w:kern w:val="0"/>
          <w:sz w:val="24"/>
        </w:rPr>
        <w:t>瓦斯可抽量是指在瓦斯储量中能被抽出的最大瓦斯量，其计算公式为：</w:t>
      </w:r>
    </w:p>
    <w:p w14:paraId="53051C67">
      <w:pPr>
        <w:spacing w:line="360" w:lineRule="auto"/>
        <w:ind w:firstLine="480" w:firstLineChars="200"/>
        <w:rPr>
          <w:rFonts w:ascii="宋体" w:hAnsi="宋体"/>
          <w:color w:val="000000"/>
          <w:kern w:val="0"/>
          <w:sz w:val="24"/>
        </w:rPr>
      </w:pPr>
      <w:r>
        <w:rPr>
          <w:rFonts w:ascii="宋体" w:hAnsi="宋体"/>
          <w:color w:val="000000"/>
          <w:kern w:val="0"/>
          <w:sz w:val="24"/>
        </w:rPr>
        <w:t>W</w:t>
      </w:r>
      <w:r>
        <w:rPr>
          <w:rFonts w:ascii="宋体" w:hAnsi="宋体"/>
          <w:color w:val="000000"/>
          <w:kern w:val="0"/>
          <w:sz w:val="24"/>
          <w:vertAlign w:val="subscript"/>
        </w:rPr>
        <w:t>抽</w:t>
      </w:r>
      <w:r>
        <w:rPr>
          <w:rFonts w:ascii="宋体" w:hAnsi="宋体"/>
          <w:color w:val="000000"/>
          <w:kern w:val="0"/>
          <w:sz w:val="24"/>
        </w:rPr>
        <w:t>=W</w:t>
      </w:r>
      <w:r>
        <w:rPr>
          <w:rFonts w:ascii="宋体" w:hAnsi="宋体"/>
          <w:color w:val="000000"/>
          <w:kern w:val="0"/>
          <w:sz w:val="24"/>
          <w:vertAlign w:val="subscript"/>
        </w:rPr>
        <w:t>c</w:t>
      </w:r>
      <w:r>
        <w:rPr>
          <w:rFonts w:ascii="宋体" w:hAnsi="宋体"/>
          <w:color w:val="000000"/>
          <w:kern w:val="0"/>
          <w:sz w:val="24"/>
        </w:rPr>
        <w:t>·K</w:t>
      </w:r>
      <w:r>
        <w:rPr>
          <w:rFonts w:ascii="宋体" w:hAnsi="宋体"/>
          <w:color w:val="000000"/>
          <w:kern w:val="0"/>
          <w:sz w:val="24"/>
          <w:vertAlign w:val="subscript"/>
        </w:rPr>
        <w:t>可</w:t>
      </w:r>
    </w:p>
    <w:p w14:paraId="73C5303C">
      <w:pPr>
        <w:spacing w:line="360" w:lineRule="auto"/>
        <w:ind w:firstLine="480" w:firstLineChars="200"/>
        <w:rPr>
          <w:rFonts w:ascii="宋体" w:hAnsi="宋体"/>
          <w:color w:val="000000"/>
          <w:kern w:val="0"/>
          <w:sz w:val="24"/>
        </w:rPr>
      </w:pPr>
      <w:r>
        <w:rPr>
          <w:rFonts w:ascii="宋体" w:hAnsi="宋体"/>
          <w:color w:val="000000"/>
          <w:kern w:val="0"/>
          <w:sz w:val="24"/>
        </w:rPr>
        <w:t>式中：W</w:t>
      </w:r>
      <w:r>
        <w:rPr>
          <w:rFonts w:ascii="宋体" w:hAnsi="宋体"/>
          <w:color w:val="000000"/>
          <w:kern w:val="0"/>
          <w:sz w:val="24"/>
          <w:vertAlign w:val="subscript"/>
        </w:rPr>
        <w:t>抽</w:t>
      </w:r>
      <w:r>
        <w:rPr>
          <w:rFonts w:ascii="宋体" w:hAnsi="宋体"/>
          <w:color w:val="000000"/>
          <w:kern w:val="0"/>
          <w:sz w:val="24"/>
        </w:rPr>
        <w:t xml:space="preserve"> — 可抽瓦斯量，万m</w:t>
      </w:r>
      <w:r>
        <w:rPr>
          <w:rFonts w:ascii="宋体" w:hAnsi="宋体"/>
          <w:color w:val="000000"/>
          <w:kern w:val="0"/>
          <w:sz w:val="24"/>
          <w:vertAlign w:val="superscript"/>
        </w:rPr>
        <w:t>3</w:t>
      </w:r>
      <w:r>
        <w:rPr>
          <w:rFonts w:ascii="宋体" w:hAnsi="宋体"/>
          <w:color w:val="000000"/>
          <w:kern w:val="0"/>
          <w:sz w:val="24"/>
        </w:rPr>
        <w:t>；</w:t>
      </w:r>
    </w:p>
    <w:p w14:paraId="2713E906">
      <w:pPr>
        <w:spacing w:line="360" w:lineRule="auto"/>
        <w:ind w:firstLine="480" w:firstLineChars="200"/>
        <w:rPr>
          <w:rFonts w:ascii="宋体" w:hAnsi="宋体"/>
          <w:color w:val="000000"/>
          <w:kern w:val="0"/>
          <w:sz w:val="24"/>
        </w:rPr>
      </w:pPr>
      <w:r>
        <w:rPr>
          <w:rFonts w:ascii="宋体" w:hAnsi="宋体"/>
          <w:color w:val="000000"/>
          <w:kern w:val="0"/>
          <w:sz w:val="24"/>
        </w:rPr>
        <w:t xml:space="preserve">      K</w:t>
      </w:r>
      <w:r>
        <w:rPr>
          <w:rFonts w:ascii="宋体" w:hAnsi="宋体"/>
          <w:color w:val="000000"/>
          <w:kern w:val="0"/>
          <w:sz w:val="24"/>
          <w:vertAlign w:val="subscript"/>
        </w:rPr>
        <w:t>可</w:t>
      </w:r>
      <w:r>
        <w:rPr>
          <w:rFonts w:ascii="宋体" w:hAnsi="宋体"/>
          <w:color w:val="000000"/>
          <w:kern w:val="0"/>
          <w:sz w:val="24"/>
        </w:rPr>
        <w:t xml:space="preserve"> — 可抽放系数；K</w:t>
      </w:r>
      <w:r>
        <w:rPr>
          <w:rFonts w:ascii="宋体" w:hAnsi="宋体"/>
          <w:color w:val="000000"/>
          <w:kern w:val="0"/>
          <w:sz w:val="24"/>
          <w:vertAlign w:val="subscript"/>
        </w:rPr>
        <w:t>可</w:t>
      </w:r>
      <w:r>
        <w:rPr>
          <w:rFonts w:ascii="宋体" w:hAnsi="宋体"/>
          <w:color w:val="000000"/>
          <w:kern w:val="0"/>
          <w:sz w:val="24"/>
        </w:rPr>
        <w:t>= K</w:t>
      </w:r>
      <w:r>
        <w:rPr>
          <w:rFonts w:ascii="宋体" w:hAnsi="宋体"/>
          <w:color w:val="000000"/>
          <w:kern w:val="0"/>
          <w:sz w:val="24"/>
          <w:vertAlign w:val="subscript"/>
        </w:rPr>
        <w:t xml:space="preserve"> 3</w:t>
      </w:r>
      <w:r>
        <w:rPr>
          <w:rFonts w:ascii="宋体" w:hAnsi="宋体"/>
          <w:color w:val="000000"/>
          <w:kern w:val="0"/>
          <w:sz w:val="24"/>
        </w:rPr>
        <w:t>·K</w:t>
      </w:r>
      <w:r>
        <w:rPr>
          <w:rFonts w:ascii="宋体" w:hAnsi="宋体"/>
          <w:color w:val="000000"/>
          <w:kern w:val="0"/>
          <w:sz w:val="24"/>
          <w:vertAlign w:val="subscript"/>
        </w:rPr>
        <w:t xml:space="preserve"> 4</w:t>
      </w:r>
      <w:r>
        <w:rPr>
          <w:rFonts w:ascii="宋体" w:hAnsi="宋体"/>
          <w:color w:val="000000"/>
          <w:kern w:val="0"/>
          <w:sz w:val="24"/>
        </w:rPr>
        <w:t>·K</w:t>
      </w:r>
      <w:r>
        <w:rPr>
          <w:rFonts w:ascii="宋体" w:hAnsi="宋体"/>
          <w:color w:val="000000"/>
          <w:kern w:val="0"/>
          <w:sz w:val="24"/>
          <w:vertAlign w:val="subscript"/>
        </w:rPr>
        <w:t xml:space="preserve"> 5</w:t>
      </w:r>
      <w:r>
        <w:rPr>
          <w:rFonts w:ascii="宋体" w:hAnsi="宋体"/>
          <w:color w:val="000000"/>
          <w:kern w:val="0"/>
          <w:sz w:val="24"/>
        </w:rPr>
        <w:t>；</w:t>
      </w:r>
    </w:p>
    <w:p w14:paraId="27A356A0">
      <w:pPr>
        <w:spacing w:line="360" w:lineRule="auto"/>
        <w:ind w:firstLine="480" w:firstLineChars="200"/>
        <w:rPr>
          <w:rFonts w:ascii="宋体" w:hAnsi="宋体"/>
          <w:color w:val="000000"/>
          <w:kern w:val="0"/>
          <w:sz w:val="24"/>
        </w:rPr>
      </w:pPr>
      <w:r>
        <w:rPr>
          <w:rFonts w:ascii="宋体" w:hAnsi="宋体"/>
          <w:color w:val="000000"/>
          <w:kern w:val="0"/>
          <w:sz w:val="24"/>
        </w:rPr>
        <w:t xml:space="preserve">      K</w:t>
      </w:r>
      <w:r>
        <w:rPr>
          <w:rFonts w:ascii="宋体" w:hAnsi="宋体"/>
          <w:color w:val="000000"/>
          <w:kern w:val="0"/>
          <w:sz w:val="24"/>
          <w:vertAlign w:val="subscript"/>
        </w:rPr>
        <w:t xml:space="preserve"> 3</w:t>
      </w:r>
      <w:r>
        <w:rPr>
          <w:rFonts w:ascii="宋体" w:hAnsi="宋体"/>
          <w:color w:val="000000"/>
          <w:kern w:val="0"/>
          <w:sz w:val="24"/>
        </w:rPr>
        <w:t xml:space="preserve"> — 煤层的瓦斯排放系数；M11= K</w:t>
      </w:r>
      <w:r>
        <w:rPr>
          <w:rFonts w:ascii="宋体" w:hAnsi="宋体"/>
          <w:color w:val="000000"/>
          <w:kern w:val="0"/>
          <w:sz w:val="24"/>
          <w:vertAlign w:val="subscript"/>
        </w:rPr>
        <w:t xml:space="preserve"> 5</w:t>
      </w:r>
      <w:r>
        <w:rPr>
          <w:rFonts w:ascii="宋体" w:hAnsi="宋体"/>
          <w:color w:val="000000"/>
          <w:kern w:val="0"/>
          <w:sz w:val="24"/>
        </w:rPr>
        <w:t>（W</w:t>
      </w:r>
      <w:r>
        <w:rPr>
          <w:rFonts w:ascii="宋体" w:hAnsi="宋体"/>
          <w:color w:val="000000"/>
          <w:kern w:val="0"/>
          <w:sz w:val="24"/>
          <w:vertAlign w:val="subscript"/>
        </w:rPr>
        <w:t>0</w:t>
      </w:r>
      <w:r>
        <w:rPr>
          <w:rFonts w:ascii="宋体" w:hAnsi="宋体"/>
          <w:color w:val="000000"/>
          <w:kern w:val="0"/>
          <w:sz w:val="24"/>
        </w:rPr>
        <w:t>－W</w:t>
      </w:r>
      <w:r>
        <w:rPr>
          <w:rFonts w:ascii="宋体" w:hAnsi="宋体"/>
          <w:color w:val="000000"/>
          <w:kern w:val="0"/>
          <w:sz w:val="24"/>
          <w:vertAlign w:val="subscript"/>
        </w:rPr>
        <w:t>残</w:t>
      </w:r>
      <w:r>
        <w:rPr>
          <w:rFonts w:ascii="宋体" w:hAnsi="宋体"/>
          <w:color w:val="000000"/>
          <w:kern w:val="0"/>
          <w:sz w:val="24"/>
        </w:rPr>
        <w:t>）/W</w:t>
      </w:r>
      <w:r>
        <w:rPr>
          <w:rFonts w:ascii="宋体" w:hAnsi="宋体"/>
          <w:color w:val="000000"/>
          <w:kern w:val="0"/>
          <w:sz w:val="24"/>
          <w:vertAlign w:val="subscript"/>
        </w:rPr>
        <w:t xml:space="preserve">0 </w:t>
      </w:r>
      <w:r>
        <w:rPr>
          <w:rFonts w:ascii="宋体" w:hAnsi="宋体"/>
          <w:color w:val="000000"/>
          <w:kern w:val="0"/>
          <w:sz w:val="24"/>
        </w:rPr>
        <w:t>；</w:t>
      </w:r>
    </w:p>
    <w:p w14:paraId="5D885087">
      <w:pPr>
        <w:spacing w:line="360" w:lineRule="auto"/>
        <w:ind w:firstLine="480" w:firstLineChars="200"/>
        <w:rPr>
          <w:rFonts w:ascii="宋体" w:hAnsi="宋体"/>
          <w:color w:val="000000"/>
          <w:kern w:val="0"/>
          <w:sz w:val="24"/>
        </w:rPr>
      </w:pPr>
      <w:r>
        <w:rPr>
          <w:rFonts w:ascii="宋体" w:hAnsi="宋体"/>
          <w:color w:val="000000"/>
          <w:kern w:val="0"/>
          <w:sz w:val="24"/>
        </w:rPr>
        <w:t xml:space="preserve">      K</w:t>
      </w:r>
      <w:r>
        <w:rPr>
          <w:rFonts w:ascii="宋体" w:hAnsi="宋体"/>
          <w:color w:val="000000"/>
          <w:kern w:val="0"/>
          <w:sz w:val="24"/>
          <w:vertAlign w:val="subscript"/>
        </w:rPr>
        <w:t xml:space="preserve"> 4</w:t>
      </w:r>
      <w:r>
        <w:rPr>
          <w:rFonts w:ascii="宋体" w:hAnsi="宋体"/>
          <w:color w:val="000000"/>
          <w:kern w:val="0"/>
          <w:sz w:val="24"/>
        </w:rPr>
        <w:t xml:space="preserve"> — 负压抽放时的抽放作用系数，K</w:t>
      </w:r>
      <w:r>
        <w:rPr>
          <w:rFonts w:ascii="宋体" w:hAnsi="宋体"/>
          <w:color w:val="000000"/>
          <w:kern w:val="0"/>
          <w:sz w:val="24"/>
          <w:vertAlign w:val="subscript"/>
        </w:rPr>
        <w:t xml:space="preserve"> 4</w:t>
      </w:r>
      <w:r>
        <w:rPr>
          <w:rFonts w:ascii="宋体" w:hAnsi="宋体"/>
          <w:color w:val="000000"/>
          <w:kern w:val="0"/>
          <w:sz w:val="24"/>
        </w:rPr>
        <w:t>=1.2；</w:t>
      </w:r>
    </w:p>
    <w:p w14:paraId="602D2120">
      <w:pPr>
        <w:spacing w:line="360" w:lineRule="auto"/>
        <w:ind w:firstLine="480" w:firstLineChars="200"/>
        <w:rPr>
          <w:rFonts w:ascii="宋体" w:hAnsi="宋体"/>
          <w:color w:val="000000"/>
          <w:kern w:val="0"/>
          <w:sz w:val="24"/>
        </w:rPr>
      </w:pPr>
      <w:r>
        <w:rPr>
          <w:rFonts w:ascii="宋体" w:hAnsi="宋体"/>
          <w:color w:val="000000"/>
          <w:kern w:val="0"/>
          <w:sz w:val="24"/>
        </w:rPr>
        <w:t xml:space="preserve">      K</w:t>
      </w:r>
      <w:r>
        <w:rPr>
          <w:rFonts w:ascii="宋体" w:hAnsi="宋体"/>
          <w:color w:val="000000"/>
          <w:kern w:val="0"/>
          <w:sz w:val="24"/>
          <w:vertAlign w:val="subscript"/>
        </w:rPr>
        <w:t>5</w:t>
      </w:r>
      <w:r>
        <w:rPr>
          <w:rFonts w:ascii="宋体" w:hAnsi="宋体"/>
          <w:color w:val="000000"/>
          <w:kern w:val="0"/>
          <w:sz w:val="24"/>
        </w:rPr>
        <w:t xml:space="preserve"> — 瓦斯涌出程度系数；</w:t>
      </w:r>
    </w:p>
    <w:p w14:paraId="27726355">
      <w:pPr>
        <w:spacing w:line="360" w:lineRule="auto"/>
        <w:ind w:firstLine="480" w:firstLineChars="200"/>
        <w:rPr>
          <w:rFonts w:ascii="宋体" w:hAnsi="宋体"/>
          <w:color w:val="000000"/>
          <w:kern w:val="0"/>
          <w:sz w:val="24"/>
        </w:rPr>
      </w:pPr>
      <w:r>
        <w:rPr>
          <w:rFonts w:ascii="宋体" w:hAnsi="宋体"/>
          <w:color w:val="000000"/>
          <w:kern w:val="0"/>
          <w:sz w:val="24"/>
        </w:rPr>
        <w:t xml:space="preserve">      W</w:t>
      </w:r>
      <w:r>
        <w:rPr>
          <w:rFonts w:ascii="宋体" w:hAnsi="宋体"/>
          <w:color w:val="000000"/>
          <w:kern w:val="0"/>
          <w:sz w:val="24"/>
          <w:vertAlign w:val="subscript"/>
        </w:rPr>
        <w:t>残</w:t>
      </w:r>
      <w:r>
        <w:rPr>
          <w:rFonts w:ascii="宋体" w:hAnsi="宋体"/>
          <w:color w:val="000000"/>
          <w:kern w:val="0"/>
          <w:sz w:val="24"/>
        </w:rPr>
        <w:t xml:space="preserve"> — 运到地表煤的残余瓦斯含量，m</w:t>
      </w:r>
      <w:r>
        <w:rPr>
          <w:rFonts w:ascii="宋体" w:hAnsi="宋体"/>
          <w:color w:val="000000"/>
          <w:kern w:val="0"/>
          <w:sz w:val="24"/>
          <w:vertAlign w:val="superscript"/>
        </w:rPr>
        <w:t>3</w:t>
      </w:r>
      <w:r>
        <w:rPr>
          <w:rFonts w:ascii="宋体" w:hAnsi="宋体"/>
          <w:color w:val="000000"/>
          <w:kern w:val="0"/>
          <w:sz w:val="24"/>
        </w:rPr>
        <w:t>/t；</w:t>
      </w:r>
    </w:p>
    <w:p w14:paraId="74C4223F">
      <w:pPr>
        <w:spacing w:line="360" w:lineRule="auto"/>
        <w:ind w:firstLine="232" w:firstLineChars="100"/>
        <w:rPr>
          <w:rFonts w:hint="eastAsia" w:ascii="宋体" w:hAnsi="宋体"/>
          <w:color w:val="000000"/>
          <w:spacing w:val="-4"/>
          <w:kern w:val="0"/>
          <w:sz w:val="24"/>
        </w:rPr>
      </w:pPr>
      <w:r>
        <w:rPr>
          <w:rFonts w:ascii="宋体" w:hAnsi="宋体"/>
          <w:color w:val="000000"/>
          <w:spacing w:val="-4"/>
          <w:kern w:val="0"/>
          <w:sz w:val="24"/>
        </w:rPr>
        <w:t>根据煤层的瓦斯含量、煤炭储量及可抽系数计算煤层的可抽瓦斯量见</w:t>
      </w:r>
      <w:r>
        <w:rPr>
          <w:rFonts w:ascii="宋体" w:hAnsi="宋体"/>
          <w:b/>
          <w:color w:val="000000"/>
          <w:spacing w:val="-4"/>
          <w:kern w:val="0"/>
          <w:sz w:val="24"/>
        </w:rPr>
        <w:t>表</w:t>
      </w:r>
      <w:r>
        <w:rPr>
          <w:rFonts w:hint="eastAsia" w:ascii="宋体" w:hAnsi="宋体"/>
          <w:b/>
          <w:color w:val="000000"/>
          <w:spacing w:val="-4"/>
          <w:kern w:val="0"/>
          <w:sz w:val="24"/>
        </w:rPr>
        <w:t>5－</w:t>
      </w:r>
      <w:r>
        <w:rPr>
          <w:rFonts w:ascii="宋体" w:hAnsi="宋体"/>
          <w:b/>
          <w:color w:val="000000"/>
          <w:spacing w:val="-4"/>
          <w:kern w:val="0"/>
          <w:sz w:val="24"/>
        </w:rPr>
        <w:t>5</w:t>
      </w:r>
      <w:r>
        <w:rPr>
          <w:rFonts w:hint="eastAsia" w:ascii="宋体" w:hAnsi="宋体"/>
          <w:b/>
          <w:color w:val="000000"/>
          <w:spacing w:val="-4"/>
          <w:kern w:val="0"/>
          <w:sz w:val="24"/>
        </w:rPr>
        <w:t>－</w:t>
      </w:r>
      <w:r>
        <w:rPr>
          <w:rFonts w:ascii="宋体" w:hAnsi="宋体"/>
          <w:b/>
          <w:color w:val="000000"/>
          <w:spacing w:val="-4"/>
          <w:kern w:val="0"/>
          <w:sz w:val="24"/>
        </w:rPr>
        <w:t>2</w:t>
      </w:r>
      <w:r>
        <w:rPr>
          <w:rFonts w:ascii="宋体" w:hAnsi="宋体"/>
          <w:color w:val="000000"/>
          <w:spacing w:val="-4"/>
          <w:kern w:val="0"/>
          <w:sz w:val="24"/>
        </w:rPr>
        <w:t>。</w:t>
      </w:r>
    </w:p>
    <w:p w14:paraId="3081A45F">
      <w:pPr>
        <w:spacing w:line="360" w:lineRule="auto"/>
        <w:ind w:firstLine="482" w:firstLineChars="200"/>
        <w:jc w:val="center"/>
        <w:rPr>
          <w:rFonts w:hint="eastAsia" w:ascii="宋体" w:hAnsi="宋体"/>
          <w:b/>
          <w:color w:val="000000"/>
          <w:sz w:val="24"/>
        </w:rPr>
      </w:pPr>
      <w:r>
        <w:rPr>
          <w:rFonts w:ascii="宋体" w:hAnsi="宋体"/>
          <w:b/>
          <w:color w:val="000000"/>
          <w:sz w:val="24"/>
        </w:rPr>
        <w:t>表</w:t>
      </w:r>
      <w:r>
        <w:rPr>
          <w:rFonts w:hint="eastAsia" w:ascii="宋体" w:hAnsi="宋体"/>
          <w:b/>
          <w:color w:val="000000"/>
          <w:sz w:val="24"/>
        </w:rPr>
        <w:t>5－</w:t>
      </w:r>
      <w:r>
        <w:rPr>
          <w:rFonts w:ascii="宋体" w:hAnsi="宋体"/>
          <w:b/>
          <w:color w:val="000000"/>
          <w:sz w:val="24"/>
        </w:rPr>
        <w:t>5</w:t>
      </w:r>
      <w:r>
        <w:rPr>
          <w:rFonts w:hint="eastAsia" w:ascii="宋体" w:hAnsi="宋体"/>
          <w:b/>
          <w:color w:val="000000"/>
          <w:sz w:val="24"/>
        </w:rPr>
        <w:t>－</w:t>
      </w:r>
      <w:r>
        <w:rPr>
          <w:rFonts w:ascii="宋体" w:hAnsi="宋体"/>
          <w:b/>
          <w:color w:val="000000"/>
          <w:sz w:val="24"/>
        </w:rPr>
        <w:t xml:space="preserve">2  </w:t>
      </w:r>
      <w:r>
        <w:rPr>
          <w:rFonts w:hint="eastAsia" w:ascii="宋体" w:hAnsi="宋体"/>
          <w:b/>
          <w:color w:val="000000"/>
          <w:sz w:val="24"/>
        </w:rPr>
        <w:t>　　</w:t>
      </w:r>
      <w:r>
        <w:rPr>
          <w:rFonts w:ascii="宋体" w:hAnsi="宋体"/>
          <w:b/>
          <w:color w:val="000000"/>
          <w:sz w:val="24"/>
        </w:rPr>
        <w:t xml:space="preserve"> 矿井瓦斯储量及可开发量表</w:t>
      </w:r>
    </w:p>
    <w:p w14:paraId="12F6980F">
      <w:pPr>
        <w:spacing w:line="360" w:lineRule="auto"/>
        <w:jc w:val="center"/>
        <w:rPr>
          <w:rFonts w:hint="eastAsia" w:ascii="宋体" w:hAnsi="宋体"/>
          <w:b/>
          <w:color w:val="000000"/>
          <w:sz w:val="24"/>
        </w:rPr>
      </w:pPr>
      <w:bookmarkStart w:id="617" w:name="_1275571989"/>
      <w:bookmarkEnd w:id="617"/>
      <w:bookmarkStart w:id="618" w:name="_1275567228"/>
      <w:bookmarkEnd w:id="618"/>
      <w:bookmarkStart w:id="619" w:name="_1275566976"/>
      <w:bookmarkEnd w:id="619"/>
      <w:bookmarkStart w:id="620" w:name="_1281932399"/>
      <w:bookmarkEnd w:id="620"/>
      <w:bookmarkStart w:id="621" w:name="_1275566857"/>
      <w:bookmarkEnd w:id="621"/>
      <w:bookmarkStart w:id="622" w:name="_1275566885"/>
      <w:bookmarkEnd w:id="622"/>
      <w:bookmarkStart w:id="623" w:name="_1275566948"/>
      <w:bookmarkEnd w:id="623"/>
      <w:bookmarkStart w:id="624" w:name="_1275567118"/>
      <w:bookmarkEnd w:id="624"/>
      <w:bookmarkStart w:id="625" w:name="_1275567144"/>
      <w:bookmarkEnd w:id="625"/>
      <w:bookmarkStart w:id="626" w:name="_1275567149"/>
      <w:bookmarkEnd w:id="626"/>
      <w:bookmarkStart w:id="627" w:name="_1275567036"/>
      <w:bookmarkEnd w:id="627"/>
      <w:bookmarkStart w:id="628" w:name="_1275567124"/>
      <w:bookmarkEnd w:id="628"/>
      <w:bookmarkStart w:id="629" w:name="_1275572952"/>
      <w:bookmarkEnd w:id="629"/>
      <w:bookmarkStart w:id="630" w:name="_1275567170"/>
      <w:bookmarkEnd w:id="630"/>
      <w:bookmarkStart w:id="631" w:name="_1281932518"/>
      <w:bookmarkEnd w:id="631"/>
      <w:bookmarkStart w:id="632" w:name="_1275567173"/>
      <w:bookmarkEnd w:id="632"/>
      <w:bookmarkStart w:id="633" w:name="_1304195275"/>
      <w:bookmarkEnd w:id="633"/>
      <w:bookmarkStart w:id="634" w:name="_1332214177"/>
      <w:bookmarkEnd w:id="634"/>
      <w:bookmarkStart w:id="635" w:name="_1323433465"/>
      <w:bookmarkEnd w:id="635"/>
      <w:bookmarkStart w:id="636" w:name="_1333365425"/>
      <w:bookmarkEnd w:id="636"/>
      <w:bookmarkStart w:id="637" w:name="_1321303047"/>
      <w:bookmarkEnd w:id="637"/>
      <w:bookmarkStart w:id="638" w:name="_1332213995"/>
      <w:bookmarkEnd w:id="638"/>
      <w:bookmarkStart w:id="639" w:name="_1333365457"/>
      <w:bookmarkEnd w:id="639"/>
      <w:bookmarkStart w:id="640" w:name="_1303635116"/>
      <w:bookmarkEnd w:id="640"/>
      <w:bookmarkStart w:id="641" w:name="_1304195208"/>
      <w:bookmarkEnd w:id="641"/>
      <w:bookmarkStart w:id="642" w:name="_1319875267"/>
      <w:bookmarkEnd w:id="642"/>
      <w:bookmarkStart w:id="643" w:name="_1332214342"/>
      <w:bookmarkEnd w:id="643"/>
      <w:bookmarkStart w:id="644" w:name="_1333361313"/>
      <w:bookmarkEnd w:id="644"/>
      <w:bookmarkStart w:id="645" w:name="_1333365371"/>
      <w:bookmarkEnd w:id="645"/>
      <w:bookmarkStart w:id="646" w:name="_1299050723"/>
      <w:bookmarkEnd w:id="646"/>
      <w:bookmarkStart w:id="647" w:name="_1304195314"/>
      <w:bookmarkEnd w:id="647"/>
      <w:r>
        <w:rPr>
          <w:color w:val="000000"/>
          <w:sz w:val="24"/>
        </w:rPr>
        <w:object>
          <v:shape id="_x0000_i1154" o:spt="75" type="#_x0000_t75" style="height:257.55pt;width:449.65pt;" o:ole="t" filled="f" o:preferrelative="t" stroked="f" coordsize="21600,21600">
            <v:path/>
            <v:fill on="f" alignshape="1" focussize="0,0"/>
            <v:stroke on="f"/>
            <v:imagedata r:id="rId215" o:title=""/>
            <o:lock v:ext="edit" aspectratio="t"/>
            <w10:wrap type="none"/>
            <w10:anchorlock/>
          </v:shape>
          <o:OLEObject Type="Embed" ProgID="Excel.Sheet.8" ShapeID="_x0000_i1154" DrawAspect="Content" ObjectID="_1468075819" r:id="rId214">
            <o:LockedField>false</o:LockedField>
          </o:OLEObject>
        </w:object>
      </w:r>
    </w:p>
    <w:p w14:paraId="181BF6F6">
      <w:pPr>
        <w:spacing w:line="360" w:lineRule="auto"/>
        <w:ind w:firstLine="480" w:firstLineChars="200"/>
        <w:rPr>
          <w:rFonts w:hint="eastAsia" w:ascii="宋体" w:hAnsi="宋体"/>
          <w:color w:val="000000"/>
          <w:sz w:val="24"/>
        </w:rPr>
      </w:pPr>
      <w:r>
        <w:rPr>
          <w:rFonts w:ascii="宋体" w:hAnsi="宋体"/>
          <w:color w:val="000000"/>
          <w:sz w:val="24"/>
        </w:rPr>
        <w:t>从计算结果看，矿井瓦斯可抽量为</w:t>
      </w:r>
      <w:r>
        <w:rPr>
          <w:rFonts w:hint="eastAsia" w:ascii="宋体" w:hAnsi="宋体"/>
          <w:color w:val="000000"/>
          <w:sz w:val="24"/>
        </w:rPr>
        <w:t>9042.03万</w:t>
      </w:r>
      <w:r>
        <w:rPr>
          <w:rFonts w:ascii="宋体" w:hAnsi="宋体"/>
          <w:color w:val="000000"/>
          <w:sz w:val="24"/>
        </w:rPr>
        <w:t>m</w:t>
      </w:r>
      <w:r>
        <w:rPr>
          <w:rFonts w:ascii="宋体" w:hAnsi="宋体"/>
          <w:color w:val="000000"/>
          <w:sz w:val="24"/>
          <w:vertAlign w:val="superscript"/>
        </w:rPr>
        <w:t>3</w:t>
      </w:r>
      <w:r>
        <w:rPr>
          <w:rFonts w:ascii="宋体" w:hAnsi="宋体"/>
          <w:color w:val="000000"/>
          <w:sz w:val="24"/>
        </w:rPr>
        <w:t>，（含不可采煤层及围岩的瓦斯储量），这为矿井瓦斯开发利用提供了充足的资源条件。</w:t>
      </w:r>
    </w:p>
    <w:p w14:paraId="4234E44A">
      <w:pPr>
        <w:spacing w:line="360" w:lineRule="auto"/>
        <w:ind w:firstLine="482" w:firstLineChars="200"/>
        <w:rPr>
          <w:rFonts w:ascii="宋体" w:hAnsi="宋体"/>
          <w:b/>
          <w:color w:val="000000"/>
          <w:sz w:val="24"/>
        </w:rPr>
      </w:pPr>
      <w:r>
        <w:rPr>
          <w:rFonts w:hint="eastAsia" w:ascii="宋体" w:hAnsi="宋体"/>
          <w:b/>
          <w:color w:val="000000"/>
          <w:sz w:val="24"/>
        </w:rPr>
        <w:t>㈡、</w:t>
      </w:r>
      <w:r>
        <w:rPr>
          <w:rFonts w:ascii="宋体" w:hAnsi="宋体"/>
          <w:b/>
          <w:color w:val="000000"/>
          <w:sz w:val="24"/>
        </w:rPr>
        <w:t>瓦斯涌出量</w:t>
      </w:r>
      <w:r>
        <w:rPr>
          <w:rFonts w:hint="eastAsia" w:ascii="宋体" w:hAnsi="宋体"/>
          <w:b/>
          <w:color w:val="000000"/>
          <w:sz w:val="24"/>
        </w:rPr>
        <w:t>的预测</w:t>
      </w:r>
      <w:r>
        <w:rPr>
          <w:rFonts w:ascii="宋体" w:hAnsi="宋体"/>
          <w:b/>
          <w:color w:val="000000"/>
          <w:sz w:val="24"/>
        </w:rPr>
        <w:t>计算</w:t>
      </w:r>
    </w:p>
    <w:p w14:paraId="4601A248">
      <w:pPr>
        <w:spacing w:line="360" w:lineRule="auto"/>
        <w:ind w:firstLine="480" w:firstLineChars="200"/>
        <w:rPr>
          <w:rFonts w:hint="eastAsia" w:ascii="宋体" w:hAnsi="宋体"/>
          <w:color w:val="000000"/>
          <w:sz w:val="24"/>
        </w:rPr>
      </w:pPr>
      <w:r>
        <w:rPr>
          <w:rFonts w:ascii="宋体" w:hAnsi="宋体"/>
          <w:color w:val="000000"/>
          <w:sz w:val="24"/>
        </w:rPr>
        <w:t>矿井瓦斯涌出主要来源于采煤、掘进和采空</w:t>
      </w:r>
      <w:r>
        <w:rPr>
          <w:rFonts w:hint="eastAsia" w:ascii="宋体" w:hAnsi="宋体"/>
          <w:color w:val="000000"/>
          <w:sz w:val="24"/>
        </w:rPr>
        <w:t>区</w:t>
      </w:r>
      <w:r>
        <w:rPr>
          <w:rFonts w:ascii="宋体" w:hAnsi="宋体"/>
          <w:color w:val="000000"/>
          <w:sz w:val="24"/>
        </w:rPr>
        <w:t>三大部分，而采煤的瓦斯涌出主要来源于本煤层、围岩、煤线。</w:t>
      </w:r>
    </w:p>
    <w:p w14:paraId="775480EC">
      <w:pPr>
        <w:spacing w:line="360" w:lineRule="auto"/>
        <w:ind w:firstLine="480" w:firstLineChars="200"/>
        <w:rPr>
          <w:rFonts w:hint="eastAsia" w:ascii="宋体" w:hAnsi="宋体"/>
          <w:color w:val="000000"/>
          <w:sz w:val="24"/>
        </w:rPr>
      </w:pPr>
      <w:r>
        <w:rPr>
          <w:rFonts w:hint="eastAsia" w:ascii="宋体" w:hAnsi="宋体"/>
          <w:color w:val="000000"/>
          <w:sz w:val="24"/>
        </w:rPr>
        <w:t>1、回采工作面瓦斯涌出量计算</w:t>
      </w:r>
    </w:p>
    <w:p w14:paraId="596AA7A9">
      <w:pPr>
        <w:spacing w:line="360" w:lineRule="auto"/>
        <w:ind w:firstLine="480" w:firstLineChars="200"/>
        <w:rPr>
          <w:rFonts w:ascii="宋体" w:hAnsi="宋体"/>
          <w:color w:val="000000"/>
          <w:sz w:val="24"/>
        </w:rPr>
      </w:pPr>
      <w:r>
        <w:rPr>
          <w:rFonts w:ascii="宋体" w:hAnsi="宋体"/>
          <w:color w:val="000000"/>
          <w:sz w:val="24"/>
        </w:rPr>
        <w:t>采煤瓦斯涌出是根据煤层瓦斯含量、煤层厚度、采高、工作面产量等参数，考虑采场丢煤、</w:t>
      </w:r>
      <w:r>
        <w:rPr>
          <w:rFonts w:hint="eastAsia" w:ascii="宋体" w:hAnsi="宋体"/>
          <w:color w:val="000000"/>
          <w:sz w:val="24"/>
        </w:rPr>
        <w:t>斜巷</w:t>
      </w:r>
      <w:r>
        <w:rPr>
          <w:rFonts w:ascii="宋体" w:hAnsi="宋体"/>
          <w:color w:val="000000"/>
          <w:sz w:val="24"/>
        </w:rPr>
        <w:t>掘进预排瓦斯带、围岩和临近的煤层、煤线瓦斯涌出等因素综合计算。</w:t>
      </w:r>
    </w:p>
    <w:p w14:paraId="7EAC940E">
      <w:pPr>
        <w:spacing w:line="360" w:lineRule="auto"/>
        <w:ind w:firstLine="480" w:firstLineChars="200"/>
        <w:rPr>
          <w:rFonts w:hint="eastAsia" w:ascii="宋体" w:hAnsi="宋体"/>
          <w:color w:val="000000"/>
          <w:sz w:val="24"/>
        </w:rPr>
      </w:pPr>
      <w:r>
        <w:rPr>
          <w:rFonts w:hint="eastAsia" w:ascii="宋体" w:hAnsi="宋体"/>
          <w:color w:val="000000"/>
          <w:sz w:val="24"/>
        </w:rPr>
        <w:t>煤层</w:t>
      </w:r>
      <w:r>
        <w:rPr>
          <w:rFonts w:ascii="宋体" w:hAnsi="宋体"/>
          <w:color w:val="000000"/>
          <w:sz w:val="24"/>
        </w:rPr>
        <w:t>开采期间，</w:t>
      </w:r>
      <w:r>
        <w:rPr>
          <w:rFonts w:hint="eastAsia" w:ascii="宋体" w:hAnsi="宋体"/>
          <w:color w:val="000000"/>
          <w:sz w:val="24"/>
        </w:rPr>
        <w:t>回</w:t>
      </w:r>
      <w:r>
        <w:rPr>
          <w:rFonts w:ascii="宋体" w:hAnsi="宋体"/>
          <w:color w:val="000000"/>
          <w:sz w:val="24"/>
        </w:rPr>
        <w:t>采工作面瓦斯涌出量，经计算为：</w:t>
      </w:r>
      <w:r>
        <w:rPr>
          <w:rFonts w:hint="eastAsia" w:ascii="宋体" w:hAnsi="宋体"/>
          <w:color w:val="FF0000"/>
          <w:sz w:val="24"/>
        </w:rPr>
        <w:t>18.48m</w:t>
      </w:r>
      <w:r>
        <w:rPr>
          <w:rFonts w:ascii="宋体" w:hAnsi="宋体"/>
          <w:color w:val="000000"/>
          <w:sz w:val="24"/>
          <w:vertAlign w:val="superscript"/>
        </w:rPr>
        <w:t>3</w:t>
      </w:r>
      <w:r>
        <w:rPr>
          <w:rFonts w:ascii="宋体" w:hAnsi="宋体"/>
          <w:color w:val="000000"/>
          <w:sz w:val="24"/>
        </w:rPr>
        <w:t>/t</w:t>
      </w:r>
      <w:r>
        <w:rPr>
          <w:rFonts w:hint="eastAsia" w:ascii="宋体" w:hAnsi="宋体"/>
          <w:color w:val="000000"/>
          <w:sz w:val="24"/>
        </w:rPr>
        <w:t>。</w:t>
      </w:r>
    </w:p>
    <w:p w14:paraId="789DEE40">
      <w:pPr>
        <w:spacing w:line="360" w:lineRule="auto"/>
        <w:ind w:firstLine="480" w:firstLineChars="200"/>
        <w:rPr>
          <w:rFonts w:hint="eastAsia" w:ascii="宋体" w:hAnsi="宋体"/>
          <w:color w:val="000000"/>
          <w:sz w:val="24"/>
        </w:rPr>
      </w:pPr>
      <w:r>
        <w:rPr>
          <w:rFonts w:hint="eastAsia" w:ascii="宋体" w:hAnsi="宋体"/>
          <w:color w:val="000000"/>
          <w:sz w:val="24"/>
        </w:rPr>
        <w:t>2、</w:t>
      </w:r>
      <w:r>
        <w:rPr>
          <w:rFonts w:ascii="宋体" w:hAnsi="宋体"/>
          <w:color w:val="000000"/>
          <w:sz w:val="24"/>
        </w:rPr>
        <w:t>掘</w:t>
      </w:r>
      <w:r>
        <w:rPr>
          <w:rFonts w:hint="eastAsia" w:ascii="宋体" w:hAnsi="宋体"/>
          <w:color w:val="000000"/>
          <w:sz w:val="24"/>
        </w:rPr>
        <w:t>工作面瓦斯涌出量计算</w:t>
      </w:r>
    </w:p>
    <w:p w14:paraId="5F0C88FC">
      <w:pPr>
        <w:spacing w:line="360" w:lineRule="auto"/>
        <w:ind w:firstLine="480" w:firstLineChars="200"/>
        <w:rPr>
          <w:rFonts w:ascii="宋体" w:hAnsi="宋体"/>
          <w:color w:val="000000"/>
          <w:sz w:val="24"/>
        </w:rPr>
      </w:pPr>
      <w:r>
        <w:rPr>
          <w:rFonts w:ascii="宋体" w:hAnsi="宋体"/>
          <w:color w:val="000000"/>
          <w:sz w:val="24"/>
        </w:rPr>
        <w:t>掘进瓦斯涌出分为掘进落煤和巷道煤壁两部分，主要根据煤层瓦斯含量、掘进速度、煤层厚度、掘进断面等影响因素进行综合计算。</w:t>
      </w:r>
    </w:p>
    <w:p w14:paraId="7D7CB6CE">
      <w:pPr>
        <w:spacing w:line="360" w:lineRule="auto"/>
        <w:ind w:firstLine="480" w:firstLineChars="200"/>
        <w:rPr>
          <w:rFonts w:ascii="宋体" w:hAnsi="宋体"/>
          <w:color w:val="000000"/>
          <w:sz w:val="24"/>
        </w:rPr>
      </w:pPr>
      <w:r>
        <w:rPr>
          <w:rFonts w:hint="eastAsia" w:ascii="宋体" w:hAnsi="宋体"/>
          <w:color w:val="000000"/>
          <w:sz w:val="24"/>
        </w:rPr>
        <w:t>煤层</w:t>
      </w:r>
      <w:r>
        <w:rPr>
          <w:rFonts w:ascii="宋体" w:hAnsi="宋体"/>
          <w:color w:val="000000"/>
          <w:sz w:val="24"/>
        </w:rPr>
        <w:t>开采期间，各区段</w:t>
      </w:r>
      <w:r>
        <w:rPr>
          <w:rFonts w:hint="eastAsia" w:ascii="宋体" w:hAnsi="宋体"/>
          <w:color w:val="000000"/>
          <w:sz w:val="24"/>
        </w:rPr>
        <w:t>掘进</w:t>
      </w:r>
      <w:r>
        <w:rPr>
          <w:rFonts w:ascii="宋体" w:hAnsi="宋体"/>
          <w:color w:val="000000"/>
          <w:sz w:val="24"/>
        </w:rPr>
        <w:t>工作面瓦斯涌出量，经计算为：</w:t>
      </w:r>
      <w:r>
        <w:rPr>
          <w:rFonts w:hint="eastAsia" w:ascii="宋体" w:hAnsi="宋体"/>
          <w:color w:val="FF0000"/>
          <w:sz w:val="24"/>
        </w:rPr>
        <w:t>1.005m</w:t>
      </w:r>
      <w:r>
        <w:rPr>
          <w:rFonts w:ascii="宋体" w:hAnsi="宋体"/>
          <w:color w:val="000000"/>
          <w:sz w:val="24"/>
          <w:vertAlign w:val="superscript"/>
        </w:rPr>
        <w:t>3</w:t>
      </w:r>
      <w:r>
        <w:rPr>
          <w:rFonts w:ascii="宋体" w:hAnsi="宋体"/>
          <w:color w:val="000000"/>
          <w:sz w:val="24"/>
        </w:rPr>
        <w:t>/min。</w:t>
      </w:r>
    </w:p>
    <w:p w14:paraId="59B5FC6D">
      <w:pPr>
        <w:spacing w:line="360" w:lineRule="auto"/>
        <w:ind w:firstLine="480" w:firstLineChars="200"/>
        <w:rPr>
          <w:rFonts w:hint="eastAsia" w:ascii="宋体" w:hAnsi="宋体"/>
          <w:color w:val="000000"/>
          <w:sz w:val="24"/>
        </w:rPr>
      </w:pPr>
      <w:r>
        <w:rPr>
          <w:rFonts w:hint="eastAsia" w:ascii="宋体" w:hAnsi="宋体"/>
          <w:color w:val="000000"/>
          <w:sz w:val="24"/>
        </w:rPr>
        <w:t>3、矿井瓦斯涌出量计算</w:t>
      </w:r>
    </w:p>
    <w:p w14:paraId="43C3A16D">
      <w:pPr>
        <w:spacing w:line="360" w:lineRule="auto"/>
        <w:ind w:firstLine="480" w:firstLineChars="200"/>
        <w:rPr>
          <w:rFonts w:ascii="宋体" w:hAnsi="宋体"/>
          <w:color w:val="000000"/>
          <w:sz w:val="24"/>
        </w:rPr>
      </w:pPr>
      <w:r>
        <w:rPr>
          <w:rFonts w:ascii="宋体" w:hAnsi="宋体"/>
          <w:color w:val="000000"/>
          <w:sz w:val="24"/>
        </w:rPr>
        <w:t>矿井瓦斯涌出主要来源于采煤、掘进和采空</w:t>
      </w:r>
      <w:r>
        <w:rPr>
          <w:rFonts w:hint="eastAsia" w:ascii="宋体" w:hAnsi="宋体"/>
          <w:color w:val="000000"/>
          <w:sz w:val="24"/>
        </w:rPr>
        <w:t>区</w:t>
      </w:r>
      <w:r>
        <w:rPr>
          <w:rFonts w:ascii="宋体" w:hAnsi="宋体"/>
          <w:color w:val="000000"/>
          <w:sz w:val="24"/>
        </w:rPr>
        <w:t>三大部分，采空瓦斯涌出包括采、掘面涌出以外的老塘及其它涌出量。根据</w:t>
      </w:r>
      <w:r>
        <w:rPr>
          <w:rFonts w:hint="eastAsia" w:ascii="宋体" w:hAnsi="宋体"/>
          <w:color w:val="000000"/>
          <w:sz w:val="24"/>
        </w:rPr>
        <w:t>本矿</w:t>
      </w:r>
      <w:r>
        <w:rPr>
          <w:rFonts w:ascii="宋体" w:hAnsi="宋体"/>
          <w:color w:val="000000"/>
          <w:sz w:val="24"/>
        </w:rPr>
        <w:t>井煤层赋存情况，设计初期按采、掘涌出量之和的2</w:t>
      </w:r>
      <w:r>
        <w:rPr>
          <w:rFonts w:hint="eastAsia" w:ascii="宋体" w:hAnsi="宋体"/>
          <w:color w:val="000000"/>
          <w:sz w:val="24"/>
        </w:rPr>
        <w:t>5</w:t>
      </w:r>
      <w:r>
        <w:rPr>
          <w:rFonts w:ascii="宋体" w:hAnsi="宋体"/>
          <w:color w:val="000000"/>
          <w:sz w:val="24"/>
        </w:rPr>
        <w:t>%计。</w:t>
      </w:r>
    </w:p>
    <w:p w14:paraId="7B7E6419">
      <w:pPr>
        <w:spacing w:line="360" w:lineRule="auto"/>
        <w:ind w:firstLine="480" w:firstLineChars="200"/>
        <w:rPr>
          <w:rFonts w:ascii="宋体" w:hAnsi="宋体"/>
          <w:color w:val="000000"/>
          <w:sz w:val="24"/>
        </w:rPr>
      </w:pPr>
      <w:r>
        <w:rPr>
          <w:rFonts w:ascii="宋体" w:hAnsi="宋体"/>
          <w:color w:val="000000"/>
          <w:sz w:val="24"/>
        </w:rPr>
        <w:t>矿井瓦斯涌出量的大小，随煤层开发强度、配采关系、开采顺序的不同而变化。</w:t>
      </w:r>
    </w:p>
    <w:p w14:paraId="2F0D1F21">
      <w:pPr>
        <w:spacing w:line="360" w:lineRule="auto"/>
        <w:ind w:firstLine="482" w:firstLineChars="200"/>
        <w:rPr>
          <w:rFonts w:ascii="宋体" w:hAnsi="宋体"/>
          <w:b/>
          <w:color w:val="000000"/>
          <w:sz w:val="24"/>
        </w:rPr>
      </w:pPr>
      <w:r>
        <w:rPr>
          <w:rFonts w:hint="eastAsia" w:ascii="宋体" w:hAnsi="宋体"/>
          <w:b/>
          <w:color w:val="000000"/>
          <w:sz w:val="24"/>
        </w:rPr>
        <w:t>㈢</w:t>
      </w:r>
      <w:r>
        <w:rPr>
          <w:rFonts w:ascii="宋体" w:hAnsi="宋体"/>
          <w:b/>
          <w:color w:val="000000"/>
          <w:sz w:val="24"/>
        </w:rPr>
        <w:t>抽放瓦斯的必要性和可能性</w:t>
      </w:r>
    </w:p>
    <w:p w14:paraId="43C16388">
      <w:pPr>
        <w:spacing w:line="360" w:lineRule="auto"/>
        <w:ind w:firstLine="480" w:firstLineChars="200"/>
        <w:rPr>
          <w:rFonts w:ascii="宋体" w:hAnsi="宋体"/>
          <w:color w:val="000000"/>
          <w:sz w:val="24"/>
        </w:rPr>
      </w:pPr>
      <w:r>
        <w:rPr>
          <w:rFonts w:ascii="宋体" w:hAnsi="宋体"/>
          <w:color w:val="000000"/>
          <w:sz w:val="24"/>
        </w:rPr>
        <w:t>1、抽放瓦斯的必要性</w:t>
      </w:r>
    </w:p>
    <w:p w14:paraId="0A44D0CB">
      <w:pPr>
        <w:spacing w:line="360" w:lineRule="auto"/>
        <w:ind w:firstLine="480" w:firstLineChars="200"/>
        <w:rPr>
          <w:rFonts w:hint="eastAsia" w:ascii="宋体" w:hAnsi="宋体"/>
          <w:color w:val="000000"/>
          <w:kern w:val="0"/>
          <w:sz w:val="24"/>
        </w:rPr>
      </w:pPr>
      <w:r>
        <w:rPr>
          <w:rFonts w:hint="eastAsia" w:ascii="宋体" w:hAnsi="宋体"/>
          <w:color w:val="000000"/>
          <w:sz w:val="24"/>
        </w:rPr>
        <w:t>根据国家安全生产监督管理局和国家煤矿安全监察局第5号令第十条，高瓦斯和煤与瓦斯突出矿井应有瓦斯抽放措施，并装备安全监控系统。</w:t>
      </w:r>
    </w:p>
    <w:p w14:paraId="62C97E6E">
      <w:pPr>
        <w:spacing w:line="360" w:lineRule="auto"/>
        <w:ind w:firstLine="480" w:firstLineChars="200"/>
        <w:rPr>
          <w:rFonts w:hint="eastAsia" w:ascii="宋体" w:hAnsi="宋体"/>
          <w:color w:val="000000"/>
          <w:sz w:val="24"/>
        </w:rPr>
      </w:pPr>
      <w:r>
        <w:rPr>
          <w:rFonts w:hint="eastAsia" w:ascii="宋体" w:hAnsi="宋体"/>
          <w:color w:val="000000"/>
          <w:kern w:val="0"/>
          <w:sz w:val="24"/>
        </w:rPr>
        <w:t>2</w:t>
      </w:r>
      <w:r>
        <w:rPr>
          <w:rFonts w:hint="eastAsia" w:ascii="宋体" w:hAnsi="宋体"/>
          <w:color w:val="000000"/>
          <w:sz w:val="24"/>
        </w:rPr>
        <w:t>、抽放瓦斯的可能性</w:t>
      </w:r>
    </w:p>
    <w:p w14:paraId="063CB530">
      <w:pPr>
        <w:spacing w:line="360" w:lineRule="auto"/>
        <w:ind w:firstLine="480" w:firstLineChars="200"/>
        <w:rPr>
          <w:rFonts w:hint="eastAsia" w:ascii="宋体" w:hAnsi="宋体"/>
          <w:color w:val="000000"/>
          <w:sz w:val="24"/>
        </w:rPr>
      </w:pPr>
      <w:r>
        <w:rPr>
          <w:rFonts w:hint="eastAsia" w:ascii="宋体" w:hAnsi="宋体"/>
          <w:color w:val="000000"/>
          <w:sz w:val="24"/>
        </w:rPr>
        <w:t>衡量未卸压原始煤层可抽性的指标主要有下列三项。</w:t>
      </w:r>
    </w:p>
    <w:p w14:paraId="717B30DB">
      <w:pPr>
        <w:spacing w:line="360" w:lineRule="auto"/>
        <w:ind w:firstLine="480" w:firstLineChars="200"/>
        <w:rPr>
          <w:rFonts w:hint="eastAsia" w:ascii="宋体" w:hAnsi="宋体"/>
          <w:color w:val="000000"/>
          <w:sz w:val="24"/>
        </w:rPr>
      </w:pPr>
      <w:r>
        <w:rPr>
          <w:rFonts w:hint="eastAsia" w:ascii="宋体" w:hAnsi="宋体"/>
          <w:color w:val="000000"/>
          <w:sz w:val="24"/>
        </w:rPr>
        <w:t>a、煤层的透气性系数(λ)</w:t>
      </w:r>
    </w:p>
    <w:p w14:paraId="49196DC0">
      <w:pPr>
        <w:spacing w:line="360" w:lineRule="auto"/>
        <w:ind w:firstLine="480" w:firstLineChars="200"/>
        <w:rPr>
          <w:rFonts w:hint="eastAsia" w:ascii="宋体" w:hAnsi="宋体"/>
          <w:color w:val="000000"/>
          <w:sz w:val="24"/>
        </w:rPr>
      </w:pPr>
      <w:r>
        <w:rPr>
          <w:rFonts w:hint="eastAsia" w:ascii="宋体" w:hAnsi="宋体"/>
          <w:color w:val="000000"/>
          <w:sz w:val="24"/>
        </w:rPr>
        <w:t>b、钻孔瓦斯流量衰减系数(p)</w:t>
      </w:r>
    </w:p>
    <w:p w14:paraId="2F0E18E5">
      <w:pPr>
        <w:spacing w:line="360" w:lineRule="auto"/>
        <w:ind w:firstLine="480" w:firstLineChars="200"/>
        <w:rPr>
          <w:rFonts w:hint="eastAsia" w:ascii="宋体" w:hAnsi="宋体"/>
          <w:color w:val="000000"/>
          <w:sz w:val="24"/>
        </w:rPr>
      </w:pPr>
      <w:r>
        <w:rPr>
          <w:rFonts w:hint="eastAsia" w:ascii="宋体" w:hAnsi="宋体"/>
          <w:color w:val="000000"/>
          <w:sz w:val="24"/>
        </w:rPr>
        <w:t>c、百米钻孔瓦斯极限抽放量(Q</w:t>
      </w:r>
      <w:r>
        <w:rPr>
          <w:rFonts w:hint="eastAsia" w:ascii="宋体" w:hAnsi="宋体"/>
          <w:color w:val="000000"/>
          <w:sz w:val="24"/>
          <w:vertAlign w:val="subscript"/>
        </w:rPr>
        <w:t>j</w:t>
      </w:r>
      <w:r>
        <w:rPr>
          <w:rFonts w:hint="eastAsia" w:ascii="宋体" w:hAnsi="宋体"/>
          <w:color w:val="000000"/>
          <w:sz w:val="24"/>
        </w:rPr>
        <w:t>)</w:t>
      </w:r>
    </w:p>
    <w:p w14:paraId="012EFBCD">
      <w:pPr>
        <w:spacing w:line="360" w:lineRule="auto"/>
        <w:ind w:firstLine="480" w:firstLineChars="200"/>
        <w:rPr>
          <w:rFonts w:hint="eastAsia" w:ascii="宋体" w:hAnsi="宋体"/>
          <w:color w:val="000000"/>
          <w:sz w:val="24"/>
        </w:rPr>
      </w:pPr>
      <w:r>
        <w:rPr>
          <w:rFonts w:hint="eastAsia" w:ascii="宋体" w:hAnsi="宋体"/>
          <w:color w:val="000000"/>
          <w:sz w:val="24"/>
        </w:rPr>
        <w:t>煤层抽放瓦斯难易程度分类，抽放难易程度分类详见</w:t>
      </w:r>
      <w:r>
        <w:rPr>
          <w:rFonts w:hint="eastAsia" w:ascii="宋体" w:hAnsi="宋体"/>
          <w:b/>
          <w:color w:val="000000"/>
          <w:sz w:val="24"/>
        </w:rPr>
        <w:t>表5－5－3。</w:t>
      </w:r>
    </w:p>
    <w:p w14:paraId="79CEA558">
      <w:pPr>
        <w:spacing w:line="360" w:lineRule="auto"/>
        <w:ind w:firstLine="482" w:firstLineChars="200"/>
        <w:jc w:val="center"/>
        <w:rPr>
          <w:rFonts w:hint="eastAsia" w:ascii="宋体" w:hAnsi="宋体"/>
          <w:b/>
          <w:color w:val="000000"/>
          <w:sz w:val="24"/>
        </w:rPr>
      </w:pPr>
      <w:r>
        <w:rPr>
          <w:rFonts w:hint="eastAsia" w:ascii="宋体" w:hAnsi="宋体"/>
          <w:b/>
          <w:color w:val="000000"/>
          <w:sz w:val="24"/>
        </w:rPr>
        <w:t>表5－5－3　　　煤层预抽瓦斯难易程度分类表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2147"/>
        <w:gridCol w:w="2117"/>
        <w:gridCol w:w="2301"/>
      </w:tblGrid>
      <w:tr w14:paraId="5686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436"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036356DC">
            <w:pPr>
              <w:spacing w:line="320" w:lineRule="exact"/>
              <w:ind w:left="1200" w:hanging="1200" w:hangingChars="500"/>
              <w:jc w:val="left"/>
              <w:rPr>
                <w:rFonts w:ascii="宋体" w:hAnsi="宋体"/>
                <w:color w:val="000000"/>
                <w:sz w:val="24"/>
              </w:rPr>
            </w:pPr>
            <w:r>
              <w:rPr>
                <w:rFonts w:hint="eastAsia" w:ascii="宋体" w:hAnsi="宋体"/>
                <w:color w:val="000000"/>
                <w:sz w:val="24"/>
              </w:rPr>
              <w:t xml:space="preserve">        　指标</w:t>
            </w:r>
          </w:p>
          <w:p w14:paraId="0D6CA7D0">
            <w:pPr>
              <w:spacing w:line="320" w:lineRule="exact"/>
              <w:jc w:val="left"/>
              <w:rPr>
                <w:rFonts w:ascii="宋体" w:hAnsi="宋体"/>
                <w:color w:val="000000"/>
                <w:sz w:val="24"/>
              </w:rPr>
            </w:pPr>
            <w:r>
              <w:rPr>
                <w:rFonts w:hint="eastAsia" w:ascii="宋体" w:hAnsi="宋体"/>
                <w:color w:val="000000"/>
                <w:sz w:val="24"/>
              </w:rPr>
              <w:t>难易程度</w:t>
            </w:r>
          </w:p>
        </w:tc>
        <w:tc>
          <w:tcPr>
            <w:tcW w:w="2147" w:type="dxa"/>
            <w:tcBorders>
              <w:top w:val="single" w:color="auto" w:sz="4" w:space="0"/>
              <w:left w:val="single" w:color="auto" w:sz="4" w:space="0"/>
              <w:bottom w:val="single" w:color="auto" w:sz="4" w:space="0"/>
              <w:right w:val="single" w:color="auto" w:sz="4" w:space="0"/>
            </w:tcBorders>
            <w:noWrap w:val="0"/>
            <w:vAlign w:val="center"/>
          </w:tcPr>
          <w:p w14:paraId="504E9268">
            <w:pPr>
              <w:spacing w:line="320" w:lineRule="exact"/>
              <w:jc w:val="center"/>
              <w:rPr>
                <w:rFonts w:ascii="宋体" w:hAnsi="宋体"/>
                <w:color w:val="000000"/>
                <w:sz w:val="24"/>
              </w:rPr>
            </w:pPr>
            <w:r>
              <w:rPr>
                <w:rFonts w:hint="eastAsia" w:ascii="宋体" w:hAnsi="宋体"/>
                <w:color w:val="000000"/>
                <w:sz w:val="24"/>
              </w:rPr>
              <w:t>Β（d</w:t>
            </w:r>
            <w:r>
              <w:rPr>
                <w:rFonts w:hint="eastAsia" w:ascii="宋体" w:hAnsi="宋体"/>
                <w:color w:val="000000"/>
                <w:sz w:val="24"/>
                <w:vertAlign w:val="superscript"/>
              </w:rPr>
              <w:t>-1</w:t>
            </w:r>
            <w:r>
              <w:rPr>
                <w:rFonts w:hint="eastAsia" w:ascii="宋体" w:hAnsi="宋体"/>
                <w:color w:val="000000"/>
                <w:sz w:val="24"/>
              </w:rPr>
              <w:t>）</w:t>
            </w:r>
          </w:p>
        </w:tc>
        <w:tc>
          <w:tcPr>
            <w:tcW w:w="2117" w:type="dxa"/>
            <w:tcBorders>
              <w:top w:val="single" w:color="auto" w:sz="4" w:space="0"/>
              <w:left w:val="single" w:color="auto" w:sz="4" w:space="0"/>
              <w:bottom w:val="single" w:color="auto" w:sz="4" w:space="0"/>
              <w:right w:val="single" w:color="auto" w:sz="4" w:space="0"/>
            </w:tcBorders>
            <w:noWrap w:val="0"/>
            <w:vAlign w:val="center"/>
          </w:tcPr>
          <w:p w14:paraId="2AA1CF9C">
            <w:pPr>
              <w:spacing w:line="320" w:lineRule="exact"/>
              <w:jc w:val="center"/>
              <w:rPr>
                <w:rFonts w:ascii="宋体" w:hAnsi="宋体"/>
                <w:color w:val="000000"/>
                <w:sz w:val="24"/>
              </w:rPr>
            </w:pPr>
            <w:r>
              <w:rPr>
                <w:rFonts w:hint="eastAsia" w:ascii="宋体" w:hAnsi="宋体"/>
                <w:color w:val="000000"/>
                <w:sz w:val="24"/>
              </w:rPr>
              <w:t>Q</w:t>
            </w:r>
            <w:r>
              <w:rPr>
                <w:rFonts w:hint="eastAsia" w:ascii="宋体" w:hAnsi="宋体"/>
                <w:color w:val="000000"/>
                <w:sz w:val="24"/>
                <w:vertAlign w:val="subscript"/>
              </w:rPr>
              <w:t>j</w:t>
            </w:r>
            <w:r>
              <w:rPr>
                <w:rFonts w:hint="eastAsia" w:ascii="宋体" w:hAnsi="宋体"/>
                <w:color w:val="000000"/>
                <w:sz w:val="24"/>
              </w:rPr>
              <w:t>（m</w:t>
            </w:r>
            <w:r>
              <w:rPr>
                <w:rFonts w:hint="eastAsia" w:ascii="宋体" w:hAnsi="宋体"/>
                <w:color w:val="000000"/>
                <w:sz w:val="24"/>
                <w:vertAlign w:val="superscript"/>
              </w:rPr>
              <w:t>3</w:t>
            </w:r>
            <w:r>
              <w:rPr>
                <w:rFonts w:hint="eastAsia" w:ascii="宋体" w:hAnsi="宋体"/>
                <w:color w:val="000000"/>
                <w:sz w:val="24"/>
              </w:rPr>
              <w:t>）</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9F7B9CE">
            <w:pPr>
              <w:spacing w:line="320" w:lineRule="exact"/>
              <w:jc w:val="center"/>
              <w:rPr>
                <w:rFonts w:ascii="宋体" w:hAnsi="宋体"/>
                <w:color w:val="000000"/>
                <w:sz w:val="24"/>
              </w:rPr>
            </w:pPr>
            <w:r>
              <w:rPr>
                <w:rFonts w:hint="eastAsia" w:ascii="宋体" w:hAnsi="宋体"/>
                <w:color w:val="000000"/>
                <w:sz w:val="24"/>
              </w:rPr>
              <w:t>λ（m</w:t>
            </w:r>
            <w:r>
              <w:rPr>
                <w:rFonts w:hint="eastAsia" w:ascii="宋体" w:hAnsi="宋体"/>
                <w:color w:val="000000"/>
                <w:sz w:val="24"/>
                <w:vertAlign w:val="superscript"/>
              </w:rPr>
              <w:t>2</w:t>
            </w:r>
            <w:r>
              <w:rPr>
                <w:rFonts w:hint="eastAsia" w:ascii="宋体" w:hAnsi="宋体"/>
                <w:color w:val="000000"/>
                <w:sz w:val="24"/>
              </w:rPr>
              <w:t>/Mpa</w:t>
            </w:r>
            <w:r>
              <w:rPr>
                <w:rFonts w:hint="eastAsia" w:ascii="宋体" w:hAnsi="宋体"/>
                <w:color w:val="000000"/>
                <w:sz w:val="24"/>
                <w:vertAlign w:val="superscript"/>
              </w:rPr>
              <w:t>2</w:t>
            </w:r>
            <w:r>
              <w:rPr>
                <w:rFonts w:hint="eastAsia" w:ascii="宋体" w:hAnsi="宋体"/>
                <w:color w:val="000000"/>
                <w:sz w:val="24"/>
              </w:rPr>
              <w:t>.d）</w:t>
            </w:r>
          </w:p>
        </w:tc>
      </w:tr>
      <w:tr w14:paraId="08DF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57001A1B">
            <w:pPr>
              <w:spacing w:line="320" w:lineRule="exact"/>
              <w:jc w:val="left"/>
              <w:rPr>
                <w:rFonts w:ascii="宋体" w:hAnsi="宋体"/>
                <w:color w:val="000000"/>
                <w:sz w:val="24"/>
              </w:rPr>
            </w:pPr>
            <w:r>
              <w:rPr>
                <w:rFonts w:hint="eastAsia" w:ascii="宋体" w:hAnsi="宋体"/>
                <w:color w:val="000000"/>
                <w:sz w:val="24"/>
              </w:rPr>
              <w:t>容易抽放</w:t>
            </w:r>
          </w:p>
        </w:tc>
        <w:tc>
          <w:tcPr>
            <w:tcW w:w="2147" w:type="dxa"/>
            <w:tcBorders>
              <w:top w:val="single" w:color="auto" w:sz="4" w:space="0"/>
              <w:left w:val="single" w:color="auto" w:sz="4" w:space="0"/>
              <w:bottom w:val="single" w:color="auto" w:sz="4" w:space="0"/>
              <w:right w:val="single" w:color="auto" w:sz="4" w:space="0"/>
            </w:tcBorders>
            <w:noWrap w:val="0"/>
            <w:vAlign w:val="center"/>
          </w:tcPr>
          <w:p w14:paraId="251EA9AF">
            <w:pPr>
              <w:spacing w:line="320" w:lineRule="exact"/>
              <w:jc w:val="center"/>
              <w:rPr>
                <w:rFonts w:ascii="宋体" w:hAnsi="宋体"/>
                <w:color w:val="000000"/>
                <w:sz w:val="24"/>
              </w:rPr>
            </w:pPr>
            <w:r>
              <w:rPr>
                <w:rFonts w:hint="eastAsia" w:ascii="宋体" w:hAnsi="宋体"/>
                <w:color w:val="000000"/>
                <w:sz w:val="24"/>
              </w:rPr>
              <w:t>＜0.005</w:t>
            </w:r>
          </w:p>
        </w:tc>
        <w:tc>
          <w:tcPr>
            <w:tcW w:w="2117" w:type="dxa"/>
            <w:tcBorders>
              <w:top w:val="single" w:color="auto" w:sz="4" w:space="0"/>
              <w:left w:val="single" w:color="auto" w:sz="4" w:space="0"/>
              <w:bottom w:val="single" w:color="auto" w:sz="4" w:space="0"/>
              <w:right w:val="single" w:color="auto" w:sz="4" w:space="0"/>
            </w:tcBorders>
            <w:noWrap w:val="0"/>
            <w:vAlign w:val="center"/>
          </w:tcPr>
          <w:p w14:paraId="62107AA0">
            <w:pPr>
              <w:spacing w:line="320" w:lineRule="exact"/>
              <w:jc w:val="center"/>
              <w:rPr>
                <w:rFonts w:ascii="宋体" w:hAnsi="宋体"/>
                <w:color w:val="000000"/>
                <w:sz w:val="24"/>
              </w:rPr>
            </w:pPr>
            <w:r>
              <w:rPr>
                <w:rFonts w:hint="eastAsia" w:ascii="宋体" w:hAnsi="宋体"/>
                <w:color w:val="000000"/>
                <w:sz w:val="24"/>
              </w:rPr>
              <w:t>＞14400</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B37C726">
            <w:pPr>
              <w:spacing w:line="320" w:lineRule="exact"/>
              <w:jc w:val="center"/>
              <w:rPr>
                <w:rFonts w:ascii="宋体" w:hAnsi="宋体"/>
                <w:color w:val="000000"/>
                <w:sz w:val="24"/>
              </w:rPr>
            </w:pPr>
            <w:r>
              <w:rPr>
                <w:rFonts w:hint="eastAsia" w:ascii="宋体" w:hAnsi="宋体"/>
                <w:color w:val="000000"/>
                <w:sz w:val="24"/>
              </w:rPr>
              <w:t>＞10</w:t>
            </w:r>
          </w:p>
        </w:tc>
      </w:tr>
      <w:tr w14:paraId="1B6A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3295845B">
            <w:pPr>
              <w:spacing w:line="320" w:lineRule="exact"/>
              <w:jc w:val="left"/>
              <w:rPr>
                <w:rFonts w:ascii="宋体" w:hAnsi="宋体"/>
                <w:color w:val="000000"/>
                <w:sz w:val="24"/>
              </w:rPr>
            </w:pPr>
            <w:r>
              <w:rPr>
                <w:rFonts w:hint="eastAsia" w:ascii="宋体" w:hAnsi="宋体"/>
                <w:color w:val="000000"/>
                <w:sz w:val="24"/>
              </w:rPr>
              <w:t>可以抽放</w:t>
            </w:r>
          </w:p>
        </w:tc>
        <w:tc>
          <w:tcPr>
            <w:tcW w:w="2147" w:type="dxa"/>
            <w:tcBorders>
              <w:top w:val="single" w:color="auto" w:sz="4" w:space="0"/>
              <w:left w:val="single" w:color="auto" w:sz="4" w:space="0"/>
              <w:bottom w:val="single" w:color="auto" w:sz="4" w:space="0"/>
              <w:right w:val="single" w:color="auto" w:sz="4" w:space="0"/>
            </w:tcBorders>
            <w:noWrap w:val="0"/>
            <w:vAlign w:val="center"/>
          </w:tcPr>
          <w:p w14:paraId="02EB677D">
            <w:pPr>
              <w:spacing w:line="320" w:lineRule="exact"/>
              <w:jc w:val="center"/>
              <w:rPr>
                <w:rFonts w:ascii="宋体" w:hAnsi="宋体"/>
                <w:color w:val="000000"/>
                <w:sz w:val="24"/>
              </w:rPr>
            </w:pPr>
            <w:r>
              <w:rPr>
                <w:rFonts w:hint="eastAsia" w:ascii="宋体" w:hAnsi="宋体"/>
                <w:color w:val="000000"/>
                <w:sz w:val="24"/>
              </w:rPr>
              <w:t>0.005～0.05</w:t>
            </w:r>
          </w:p>
        </w:tc>
        <w:tc>
          <w:tcPr>
            <w:tcW w:w="2117" w:type="dxa"/>
            <w:tcBorders>
              <w:top w:val="single" w:color="auto" w:sz="4" w:space="0"/>
              <w:left w:val="single" w:color="auto" w:sz="4" w:space="0"/>
              <w:bottom w:val="single" w:color="auto" w:sz="4" w:space="0"/>
              <w:right w:val="single" w:color="auto" w:sz="4" w:space="0"/>
            </w:tcBorders>
            <w:noWrap w:val="0"/>
            <w:vAlign w:val="center"/>
          </w:tcPr>
          <w:p w14:paraId="4A84BB62">
            <w:pPr>
              <w:spacing w:line="320" w:lineRule="exact"/>
              <w:jc w:val="center"/>
              <w:rPr>
                <w:rFonts w:ascii="宋体" w:hAnsi="宋体"/>
                <w:color w:val="000000"/>
                <w:sz w:val="24"/>
              </w:rPr>
            </w:pPr>
            <w:r>
              <w:rPr>
                <w:rFonts w:hint="eastAsia" w:ascii="宋体" w:hAnsi="宋体"/>
                <w:color w:val="000000"/>
                <w:sz w:val="24"/>
              </w:rPr>
              <w:t>14400～2800</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6B974907">
            <w:pPr>
              <w:spacing w:line="320" w:lineRule="exact"/>
              <w:jc w:val="center"/>
              <w:rPr>
                <w:rFonts w:ascii="宋体" w:hAnsi="宋体"/>
                <w:color w:val="000000"/>
                <w:sz w:val="24"/>
              </w:rPr>
            </w:pPr>
            <w:r>
              <w:rPr>
                <w:rFonts w:hint="eastAsia" w:ascii="宋体" w:hAnsi="宋体"/>
                <w:color w:val="000000"/>
                <w:sz w:val="24"/>
              </w:rPr>
              <w:t>10～0.1</w:t>
            </w:r>
          </w:p>
        </w:tc>
      </w:tr>
      <w:tr w14:paraId="2B48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1E63340C">
            <w:pPr>
              <w:spacing w:line="320" w:lineRule="exact"/>
              <w:jc w:val="left"/>
              <w:rPr>
                <w:rFonts w:ascii="宋体" w:hAnsi="宋体"/>
                <w:color w:val="000000"/>
                <w:sz w:val="24"/>
              </w:rPr>
            </w:pPr>
            <w:r>
              <w:rPr>
                <w:rFonts w:hint="eastAsia" w:ascii="宋体" w:hAnsi="宋体"/>
                <w:color w:val="000000"/>
                <w:sz w:val="24"/>
              </w:rPr>
              <w:t>较难抽放</w:t>
            </w:r>
          </w:p>
        </w:tc>
        <w:tc>
          <w:tcPr>
            <w:tcW w:w="2147" w:type="dxa"/>
            <w:tcBorders>
              <w:top w:val="single" w:color="auto" w:sz="4" w:space="0"/>
              <w:left w:val="single" w:color="auto" w:sz="4" w:space="0"/>
              <w:bottom w:val="single" w:color="auto" w:sz="4" w:space="0"/>
              <w:right w:val="single" w:color="auto" w:sz="4" w:space="0"/>
            </w:tcBorders>
            <w:noWrap w:val="0"/>
            <w:vAlign w:val="center"/>
          </w:tcPr>
          <w:p w14:paraId="3ED9CFB6">
            <w:pPr>
              <w:spacing w:line="320" w:lineRule="exact"/>
              <w:jc w:val="center"/>
              <w:rPr>
                <w:rFonts w:ascii="宋体" w:hAnsi="宋体"/>
                <w:color w:val="000000"/>
                <w:sz w:val="24"/>
              </w:rPr>
            </w:pPr>
            <w:r>
              <w:rPr>
                <w:rFonts w:hint="eastAsia" w:ascii="宋体" w:hAnsi="宋体"/>
                <w:color w:val="000000"/>
                <w:sz w:val="24"/>
              </w:rPr>
              <w:t>＞0.05</w:t>
            </w:r>
          </w:p>
        </w:tc>
        <w:tc>
          <w:tcPr>
            <w:tcW w:w="2117" w:type="dxa"/>
            <w:tcBorders>
              <w:top w:val="single" w:color="auto" w:sz="4" w:space="0"/>
              <w:left w:val="single" w:color="auto" w:sz="4" w:space="0"/>
              <w:bottom w:val="single" w:color="auto" w:sz="4" w:space="0"/>
              <w:right w:val="single" w:color="auto" w:sz="4" w:space="0"/>
            </w:tcBorders>
            <w:noWrap w:val="0"/>
            <w:vAlign w:val="center"/>
          </w:tcPr>
          <w:p w14:paraId="08DBC72E">
            <w:pPr>
              <w:spacing w:line="320" w:lineRule="exact"/>
              <w:jc w:val="center"/>
              <w:rPr>
                <w:rFonts w:ascii="宋体" w:hAnsi="宋体"/>
                <w:color w:val="000000"/>
                <w:sz w:val="24"/>
              </w:rPr>
            </w:pPr>
            <w:r>
              <w:rPr>
                <w:rFonts w:hint="eastAsia" w:ascii="宋体" w:hAnsi="宋体"/>
                <w:color w:val="000000"/>
                <w:sz w:val="24"/>
              </w:rPr>
              <w:t>＜2880</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13A5905B">
            <w:pPr>
              <w:spacing w:line="320" w:lineRule="exact"/>
              <w:jc w:val="center"/>
              <w:rPr>
                <w:rFonts w:ascii="宋体" w:hAnsi="宋体"/>
                <w:color w:val="000000"/>
                <w:sz w:val="24"/>
              </w:rPr>
            </w:pPr>
            <w:r>
              <w:rPr>
                <w:rFonts w:hint="eastAsia" w:ascii="宋体" w:hAnsi="宋体"/>
                <w:color w:val="000000"/>
                <w:sz w:val="24"/>
              </w:rPr>
              <w:t>＜0.1</w:t>
            </w:r>
          </w:p>
        </w:tc>
      </w:tr>
    </w:tbl>
    <w:p w14:paraId="49AD195D">
      <w:pPr>
        <w:spacing w:line="360" w:lineRule="auto"/>
        <w:ind w:firstLine="480" w:firstLineChars="200"/>
        <w:rPr>
          <w:rFonts w:hint="eastAsia" w:ascii="宋体" w:hAnsi="宋体"/>
          <w:color w:val="000000"/>
          <w:sz w:val="24"/>
        </w:rPr>
      </w:pPr>
      <w:r>
        <w:rPr>
          <w:rFonts w:hint="eastAsia" w:ascii="宋体" w:hAnsi="宋体"/>
          <w:color w:val="000000"/>
          <w:sz w:val="24"/>
        </w:rPr>
        <w:t>由于本矿在地质勘查阶段未做相应的工作，故建议在今后开采过程中必须进行这项工作，以确定煤层进行预抽的可能性。</w:t>
      </w:r>
    </w:p>
    <w:p w14:paraId="392FB87B">
      <w:pPr>
        <w:spacing w:line="360" w:lineRule="auto"/>
        <w:ind w:firstLine="480" w:firstLineChars="200"/>
        <w:rPr>
          <w:rFonts w:hint="eastAsia" w:ascii="宋体" w:hAnsi="宋体"/>
          <w:color w:val="000000"/>
          <w:sz w:val="24"/>
        </w:rPr>
      </w:pPr>
      <w:r>
        <w:rPr>
          <w:rFonts w:hint="eastAsia" w:ascii="宋体" w:hAnsi="宋体"/>
          <w:color w:val="000000"/>
          <w:sz w:val="24"/>
        </w:rPr>
        <w:t>瓦斯抽放的可行性应以抽出瓦斯效果和经济性、可操作性来评价。鉴于本矿未作抽放可抽性的几项指标鉴定,仅参照临近矿井预抽的情况进行。为尽早地发挥瓦斯抽放优势,确保本矿在安全上有把握的进行瓦斯抽放，服务于矿井安全生产。本次设计采用成熟且见效的打钻预抽放技术；对准备采煤工作面采用打钻预抽放瓦斯。</w:t>
      </w:r>
    </w:p>
    <w:p w14:paraId="7D03D714">
      <w:pPr>
        <w:spacing w:line="360" w:lineRule="auto"/>
        <w:ind w:firstLine="480" w:firstLineChars="200"/>
        <w:rPr>
          <w:color w:val="000000"/>
          <w:kern w:val="0"/>
          <w:sz w:val="24"/>
        </w:rPr>
      </w:pPr>
      <w:r>
        <w:rPr>
          <w:rFonts w:hint="eastAsia" w:ascii="宋体" w:hAnsi="宋体"/>
          <w:color w:val="000000"/>
          <w:sz w:val="24"/>
        </w:rPr>
        <w:t>3</w:t>
      </w:r>
      <w:r>
        <w:rPr>
          <w:rFonts w:ascii="宋体" w:hAnsi="宋体"/>
          <w:color w:val="000000"/>
          <w:sz w:val="24"/>
        </w:rPr>
        <w:t>、抽放瓦斯效果预计</w:t>
      </w:r>
    </w:p>
    <w:p w14:paraId="03E62488">
      <w:pPr>
        <w:spacing w:line="360" w:lineRule="auto"/>
        <w:ind w:firstLine="480" w:firstLineChars="200"/>
        <w:rPr>
          <w:rFonts w:hint="eastAsia"/>
          <w:color w:val="000000"/>
          <w:sz w:val="24"/>
        </w:rPr>
      </w:pPr>
      <w:r>
        <w:rPr>
          <w:rFonts w:hint="eastAsia"/>
          <w:color w:val="000000"/>
          <w:sz w:val="24"/>
        </w:rPr>
        <w:t>⑴ 工作面</w:t>
      </w:r>
      <w:r>
        <w:rPr>
          <w:color w:val="000000"/>
          <w:sz w:val="24"/>
        </w:rPr>
        <w:t>瓦斯抽出率</w:t>
      </w:r>
      <w:r>
        <w:rPr>
          <w:rFonts w:hint="eastAsia"/>
          <w:color w:val="000000"/>
          <w:sz w:val="24"/>
        </w:rPr>
        <w:t>及抽出量</w:t>
      </w:r>
    </w:p>
    <w:p w14:paraId="2C945383">
      <w:pPr>
        <w:spacing w:line="360" w:lineRule="auto"/>
        <w:ind w:firstLine="480" w:firstLineChars="200"/>
        <w:rPr>
          <w:rFonts w:hint="eastAsia" w:ascii="宋体" w:hAnsi="宋体"/>
          <w:sz w:val="24"/>
        </w:rPr>
      </w:pPr>
      <w:r>
        <w:rPr>
          <w:rFonts w:hint="eastAsia" w:ascii="宋体" w:hAnsi="宋体"/>
          <w:sz w:val="24"/>
        </w:rPr>
        <w:t>煤层采煤工作面开采期间，工作面绝对瓦斯涌出量为18.48m</w:t>
      </w:r>
      <w:r>
        <w:rPr>
          <w:rFonts w:hint="eastAsia" w:ascii="宋体" w:hAnsi="宋体"/>
          <w:sz w:val="24"/>
          <w:vertAlign w:val="superscript"/>
        </w:rPr>
        <w:t>3</w:t>
      </w:r>
      <w:r>
        <w:rPr>
          <w:rFonts w:hint="eastAsia" w:ascii="宋体" w:hAnsi="宋体"/>
          <w:sz w:val="24"/>
        </w:rPr>
        <w:t>/min；工作面配风量23m</w:t>
      </w:r>
      <w:r>
        <w:rPr>
          <w:rFonts w:hint="eastAsia" w:ascii="宋体" w:hAnsi="宋体"/>
          <w:sz w:val="24"/>
          <w:vertAlign w:val="superscript"/>
        </w:rPr>
        <w:t>3</w:t>
      </w:r>
      <w:r>
        <w:rPr>
          <w:rFonts w:hint="eastAsia" w:ascii="宋体" w:hAnsi="宋体"/>
          <w:sz w:val="24"/>
        </w:rPr>
        <w:t>/s，风排瓦斯量10.164m</w:t>
      </w:r>
      <w:r>
        <w:rPr>
          <w:rFonts w:hint="eastAsia" w:ascii="宋体" w:hAnsi="宋体"/>
          <w:sz w:val="24"/>
          <w:vertAlign w:val="superscript"/>
        </w:rPr>
        <w:t>3</w:t>
      </w:r>
      <w:r>
        <w:rPr>
          <w:rFonts w:hint="eastAsia" w:ascii="宋体" w:hAnsi="宋体"/>
          <w:sz w:val="24"/>
        </w:rPr>
        <w:t>/min，其他需要通过瓦斯抽放解决,需要抽放的瓦斯量为8.316m</w:t>
      </w:r>
      <w:r>
        <w:rPr>
          <w:rFonts w:hint="eastAsia" w:ascii="宋体" w:hAnsi="宋体"/>
          <w:sz w:val="24"/>
          <w:vertAlign w:val="superscript"/>
        </w:rPr>
        <w:t>3</w:t>
      </w:r>
      <w:r>
        <w:rPr>
          <w:rFonts w:hint="eastAsia" w:ascii="宋体" w:hAnsi="宋体"/>
          <w:sz w:val="24"/>
        </w:rPr>
        <w:t>/min。</w:t>
      </w:r>
    </w:p>
    <w:p w14:paraId="5F5BE0E1">
      <w:pPr>
        <w:spacing w:line="360" w:lineRule="auto"/>
        <w:ind w:firstLine="480" w:firstLineChars="200"/>
        <w:rPr>
          <w:rFonts w:hint="eastAsia" w:ascii="宋体" w:hAnsi="宋体"/>
          <w:sz w:val="24"/>
        </w:rPr>
      </w:pPr>
      <w:r>
        <w:rPr>
          <w:rFonts w:hint="eastAsia" w:ascii="宋体" w:hAnsi="宋体"/>
          <w:sz w:val="24"/>
        </w:rPr>
        <w:t>掘进工作面预抽：当瓦斯涌出量＞3m</w:t>
      </w:r>
      <w:r>
        <w:rPr>
          <w:rFonts w:hint="eastAsia" w:ascii="宋体" w:hAnsi="宋体"/>
          <w:sz w:val="24"/>
          <w:vertAlign w:val="superscript"/>
        </w:rPr>
        <w:t>3</w:t>
      </w:r>
      <w:r>
        <w:rPr>
          <w:rFonts w:hint="eastAsia" w:ascii="宋体" w:hAnsi="宋体"/>
          <w:sz w:val="24"/>
        </w:rPr>
        <w:t>/min或者防突需要时，要进行瓦斯抽放，</w:t>
      </w:r>
      <w:r>
        <w:rPr>
          <w:rFonts w:ascii="宋体" w:hAnsi="宋体"/>
          <w:sz w:val="24"/>
        </w:rPr>
        <w:t>设计预计工作面瓦斯涌出量为</w:t>
      </w:r>
      <w:r>
        <w:rPr>
          <w:rFonts w:hint="eastAsia" w:ascii="宋体" w:hAnsi="宋体"/>
          <w:sz w:val="24"/>
        </w:rPr>
        <w:t>1.005m</w:t>
      </w:r>
      <w:r>
        <w:rPr>
          <w:rFonts w:ascii="宋体" w:hAnsi="宋体"/>
          <w:sz w:val="24"/>
          <w:vertAlign w:val="superscript"/>
        </w:rPr>
        <w:t>3</w:t>
      </w:r>
      <w:r>
        <w:rPr>
          <w:rFonts w:ascii="宋体" w:hAnsi="宋体"/>
          <w:sz w:val="24"/>
        </w:rPr>
        <w:t>/min，</w:t>
      </w:r>
      <w:r>
        <w:rPr>
          <w:rFonts w:hint="eastAsia" w:ascii="宋体" w:hAnsi="宋体"/>
          <w:sz w:val="24"/>
        </w:rPr>
        <w:t>设计配风10m</w:t>
      </w:r>
      <w:r>
        <w:rPr>
          <w:rFonts w:hint="eastAsia" w:ascii="宋体" w:hAnsi="宋体"/>
          <w:sz w:val="24"/>
          <w:vertAlign w:val="superscript"/>
        </w:rPr>
        <w:t>3</w:t>
      </w:r>
      <w:r>
        <w:rPr>
          <w:rFonts w:hint="eastAsia" w:ascii="宋体" w:hAnsi="宋体"/>
          <w:sz w:val="24"/>
        </w:rPr>
        <w:t>/s，为了防突，掘进工作面设预抽。</w:t>
      </w:r>
    </w:p>
    <w:p w14:paraId="491E5797">
      <w:pPr>
        <w:spacing w:line="360" w:lineRule="auto"/>
        <w:ind w:firstLine="480" w:firstLineChars="200"/>
        <w:rPr>
          <w:rFonts w:hint="eastAsia" w:ascii="宋体" w:hAnsi="宋体"/>
          <w:sz w:val="24"/>
        </w:rPr>
      </w:pPr>
      <w:r>
        <w:rPr>
          <w:rFonts w:hint="eastAsia" w:ascii="宋体" w:hAnsi="宋体"/>
          <w:sz w:val="24"/>
        </w:rPr>
        <w:t xml:space="preserve">⑵ </w:t>
      </w:r>
      <w:r>
        <w:rPr>
          <w:rFonts w:ascii="宋体" w:hAnsi="宋体"/>
          <w:sz w:val="24"/>
        </w:rPr>
        <w:t>矿井瓦斯抽放量</w:t>
      </w:r>
    </w:p>
    <w:p w14:paraId="547219F7">
      <w:pPr>
        <w:spacing w:line="360" w:lineRule="auto"/>
        <w:ind w:firstLine="480" w:firstLineChars="200"/>
        <w:rPr>
          <w:rFonts w:hint="eastAsia" w:ascii="宋体" w:hAnsi="宋体"/>
          <w:bCs/>
          <w:sz w:val="24"/>
          <w:szCs w:val="28"/>
        </w:rPr>
      </w:pPr>
      <w:r>
        <w:rPr>
          <w:rFonts w:hint="eastAsia" w:ascii="宋体" w:hAnsi="宋体"/>
          <w:bCs/>
          <w:sz w:val="24"/>
          <w:szCs w:val="28"/>
        </w:rPr>
        <w:t>矿井瓦斯抽出量：按矿井绝对瓦斯涌出量的45％计算，并考虑1.2富余系数：</w:t>
      </w:r>
    </w:p>
    <w:p w14:paraId="5A5A6260">
      <w:pPr>
        <w:spacing w:line="360" w:lineRule="auto"/>
        <w:ind w:firstLine="480" w:firstLineChars="200"/>
        <w:rPr>
          <w:rFonts w:hint="eastAsia" w:ascii="宋体" w:hAnsi="宋体"/>
          <w:bCs/>
          <w:sz w:val="24"/>
          <w:szCs w:val="28"/>
        </w:rPr>
      </w:pPr>
      <w:r>
        <w:rPr>
          <w:rFonts w:hint="eastAsia" w:ascii="宋体" w:hAnsi="宋体"/>
          <w:bCs/>
          <w:sz w:val="24"/>
          <w:szCs w:val="28"/>
        </w:rPr>
        <w:t>则矿井瓦斯抽出量Q</w:t>
      </w:r>
      <w:r>
        <w:rPr>
          <w:rFonts w:hint="eastAsia" w:ascii="宋体" w:hAnsi="宋体"/>
          <w:bCs/>
          <w:sz w:val="24"/>
          <w:vertAlign w:val="subscript"/>
        </w:rPr>
        <w:t>矿井抽出量</w:t>
      </w:r>
      <w:r>
        <w:rPr>
          <w:rFonts w:hint="eastAsia" w:ascii="宋体" w:hAnsi="宋体"/>
          <w:bCs/>
          <w:sz w:val="24"/>
          <w:szCs w:val="28"/>
        </w:rPr>
        <w:t>＝32.97×45％×1.2＝17.8（</w:t>
      </w:r>
      <w:r>
        <w:rPr>
          <w:rFonts w:ascii="宋体" w:hAnsi="宋体"/>
          <w:sz w:val="24"/>
          <w:szCs w:val="28"/>
        </w:rPr>
        <w:t>m</w:t>
      </w:r>
      <w:r>
        <w:rPr>
          <w:rFonts w:ascii="宋体" w:hAnsi="宋体"/>
          <w:sz w:val="24"/>
          <w:szCs w:val="28"/>
          <w:vertAlign w:val="superscript"/>
        </w:rPr>
        <w:t>3</w:t>
      </w:r>
      <w:r>
        <w:rPr>
          <w:rFonts w:ascii="宋体" w:hAnsi="宋体"/>
          <w:sz w:val="24"/>
          <w:szCs w:val="28"/>
        </w:rPr>
        <w:t>/min</w:t>
      </w:r>
      <w:r>
        <w:rPr>
          <w:rFonts w:hint="eastAsia" w:ascii="宋体" w:hAnsi="宋体"/>
          <w:bCs/>
          <w:sz w:val="24"/>
          <w:szCs w:val="28"/>
        </w:rPr>
        <w:t>）</w:t>
      </w:r>
    </w:p>
    <w:p w14:paraId="68A13E5F">
      <w:pPr>
        <w:spacing w:line="360" w:lineRule="auto"/>
        <w:ind w:firstLine="480" w:firstLineChars="200"/>
        <w:rPr>
          <w:rFonts w:hint="eastAsia" w:ascii="宋体" w:hAnsi="宋体"/>
          <w:bCs/>
          <w:sz w:val="24"/>
        </w:rPr>
      </w:pPr>
      <w:r>
        <w:rPr>
          <w:rFonts w:hint="eastAsia" w:ascii="宋体" w:hAnsi="宋体"/>
          <w:bCs/>
          <w:sz w:val="24"/>
        </w:rPr>
        <w:t>本矿设计高、低负压抽放系统：</w:t>
      </w:r>
    </w:p>
    <w:p w14:paraId="0B86B0DD">
      <w:pPr>
        <w:spacing w:line="360" w:lineRule="auto"/>
        <w:ind w:firstLine="480" w:firstLineChars="200"/>
        <w:rPr>
          <w:rFonts w:hint="eastAsia" w:ascii="宋体" w:hAnsi="宋体"/>
          <w:sz w:val="24"/>
        </w:rPr>
      </w:pPr>
      <w:r>
        <w:rPr>
          <w:rFonts w:hint="eastAsia" w:ascii="宋体" w:hAnsi="宋体"/>
          <w:sz w:val="24"/>
        </w:rPr>
        <w:t>高负压系统：抽放瓦斯纯量按10m</w:t>
      </w:r>
      <w:r>
        <w:rPr>
          <w:rFonts w:hint="eastAsia" w:ascii="宋体" w:hAnsi="宋体"/>
          <w:sz w:val="24"/>
          <w:vertAlign w:val="superscript"/>
        </w:rPr>
        <w:t>3</w:t>
      </w:r>
      <w:r>
        <w:rPr>
          <w:rFonts w:hint="eastAsia" w:ascii="宋体" w:hAnsi="宋体"/>
          <w:sz w:val="24"/>
        </w:rPr>
        <w:t>/min，瓦斯浓度按30％计，则混合量约为33.3m</w:t>
      </w:r>
      <w:r>
        <w:rPr>
          <w:rFonts w:hint="eastAsia" w:ascii="宋体" w:hAnsi="宋体"/>
          <w:sz w:val="24"/>
          <w:vertAlign w:val="superscript"/>
        </w:rPr>
        <w:t>3</w:t>
      </w:r>
      <w:r>
        <w:rPr>
          <w:rFonts w:hint="eastAsia" w:ascii="宋体" w:hAnsi="宋体"/>
          <w:sz w:val="24"/>
        </w:rPr>
        <w:t>/min；孔口负压为15kPa，出口压力4kPa。</w:t>
      </w:r>
    </w:p>
    <w:p w14:paraId="3DBE1FBE">
      <w:pPr>
        <w:spacing w:line="360" w:lineRule="auto"/>
        <w:ind w:firstLine="480" w:firstLineChars="200"/>
        <w:rPr>
          <w:rFonts w:hint="eastAsia" w:ascii="宋体" w:hAnsi="宋体"/>
          <w:sz w:val="24"/>
        </w:rPr>
      </w:pPr>
      <w:r>
        <w:rPr>
          <w:rFonts w:hint="eastAsia" w:ascii="宋体" w:hAnsi="宋体"/>
          <w:sz w:val="24"/>
        </w:rPr>
        <w:t>低负压系统：抽放瓦斯纯量为7.8m</w:t>
      </w:r>
      <w:r>
        <w:rPr>
          <w:rFonts w:hint="eastAsia" w:ascii="宋体" w:hAnsi="宋体"/>
          <w:sz w:val="24"/>
          <w:vertAlign w:val="superscript"/>
        </w:rPr>
        <w:t>3</w:t>
      </w:r>
      <w:r>
        <w:rPr>
          <w:rFonts w:hint="eastAsia" w:ascii="宋体" w:hAnsi="宋体"/>
          <w:sz w:val="24"/>
        </w:rPr>
        <w:t>/min，瓦斯浓度按20％计，则混合量约为39m</w:t>
      </w:r>
      <w:r>
        <w:rPr>
          <w:rFonts w:hint="eastAsia" w:ascii="宋体" w:hAnsi="宋体"/>
          <w:sz w:val="24"/>
          <w:vertAlign w:val="superscript"/>
        </w:rPr>
        <w:t>3</w:t>
      </w:r>
      <w:r>
        <w:rPr>
          <w:rFonts w:hint="eastAsia" w:ascii="宋体" w:hAnsi="宋体"/>
          <w:sz w:val="24"/>
        </w:rPr>
        <w:t>/min；孔口负压为5kPa，出口压力4kPa。</w:t>
      </w:r>
    </w:p>
    <w:p w14:paraId="668D3764">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二、瓦斯抽放</w:t>
      </w:r>
    </w:p>
    <w:p w14:paraId="078209AE">
      <w:pPr>
        <w:spacing w:line="360" w:lineRule="auto"/>
        <w:ind w:firstLine="480" w:firstLineChars="200"/>
        <w:rPr>
          <w:rFonts w:ascii="宋体" w:hAnsi="宋体"/>
          <w:sz w:val="24"/>
        </w:rPr>
      </w:pPr>
      <w:r>
        <w:rPr>
          <w:rFonts w:hint="eastAsia" w:ascii="宋体" w:hAnsi="宋体"/>
          <w:color w:val="000000"/>
          <w:sz w:val="24"/>
        </w:rPr>
        <w:t>1、采煤工作面</w:t>
      </w:r>
      <w:r>
        <w:rPr>
          <w:rFonts w:ascii="宋体" w:hAnsi="宋体"/>
          <w:sz w:val="24"/>
        </w:rPr>
        <w:t>瓦斯抽放方法</w:t>
      </w:r>
    </w:p>
    <w:p w14:paraId="15E02C61">
      <w:pPr>
        <w:spacing w:line="360" w:lineRule="auto"/>
        <w:ind w:firstLine="480" w:firstLineChars="200"/>
        <w:rPr>
          <w:rFonts w:hint="eastAsia" w:ascii="宋体" w:hAnsi="宋体"/>
          <w:bCs/>
          <w:sz w:val="24"/>
        </w:rPr>
      </w:pPr>
      <w:r>
        <w:rPr>
          <w:rFonts w:hint="eastAsia"/>
          <w:sz w:val="24"/>
        </w:rPr>
        <w:t>在本煤层中布置瓦斯预抽钻孔，在本煤层布置顺层钻孔或交叉网格钻孔预抽本煤层瓦斯。</w:t>
      </w:r>
    </w:p>
    <w:p w14:paraId="06904837">
      <w:pPr>
        <w:spacing w:line="360" w:lineRule="auto"/>
        <w:ind w:firstLine="480" w:firstLineChars="200"/>
        <w:rPr>
          <w:rFonts w:hint="eastAsia" w:ascii="宋体" w:hAnsi="宋体"/>
          <w:b/>
          <w:sz w:val="24"/>
        </w:rPr>
      </w:pPr>
      <w:r>
        <w:rPr>
          <w:rFonts w:hint="eastAsia" w:ascii="宋体" w:hAnsi="宋体"/>
          <w:sz w:val="24"/>
        </w:rPr>
        <w:t>该方法钻孔揭露煤层的面积大，在煤层中打钻速度较快、成本低。在采取底板预抽后的回采工作面若瓦斯涌出量还较大或经底板预抽后煤层瓦斯含量仍然较大时，可采取沿煤层布置本煤层钻孔进行预抽，或是开采瓦斯含量小且采用未卸压抽放方法抽放薄及薄及中厚煤层瓦斯时，优先考虑沿层布孔方式，</w:t>
      </w:r>
      <w:r>
        <w:rPr>
          <w:rFonts w:hint="eastAsia" w:ascii="宋体" w:hAnsi="宋体"/>
          <w:b/>
          <w:sz w:val="24"/>
        </w:rPr>
        <w:t>见图5－5－1。</w:t>
      </w:r>
    </w:p>
    <w:p w14:paraId="0470BB20">
      <w:pPr>
        <w:spacing w:line="360" w:lineRule="auto"/>
        <w:jc w:val="center"/>
        <w:rPr>
          <w:rFonts w:hint="eastAsia" w:ascii="宋体" w:hAnsi="宋体"/>
          <w:b/>
          <w:sz w:val="24"/>
        </w:rPr>
      </w:pPr>
      <w:r>
        <w:drawing>
          <wp:inline distT="0" distB="0" distL="114300" distR="114300">
            <wp:extent cx="5503545" cy="2970530"/>
            <wp:effectExtent l="0" t="0" r="1905" b="1270"/>
            <wp:docPr id="4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0"/>
                    <pic:cNvPicPr>
                      <a:picLocks noChangeAspect="1"/>
                    </pic:cNvPicPr>
                  </pic:nvPicPr>
                  <pic:blipFill>
                    <a:blip r:embed="rId158"/>
                    <a:srcRect l="21906" t="7803" r="13818" b="20255"/>
                    <a:stretch>
                      <a:fillRect/>
                    </a:stretch>
                  </pic:blipFill>
                  <pic:spPr>
                    <a:xfrm>
                      <a:off x="0" y="0"/>
                      <a:ext cx="5503545" cy="2970530"/>
                    </a:xfrm>
                    <a:prstGeom prst="rect">
                      <a:avLst/>
                    </a:prstGeom>
                    <a:noFill/>
                    <a:ln>
                      <a:noFill/>
                    </a:ln>
                  </pic:spPr>
                </pic:pic>
              </a:graphicData>
            </a:graphic>
          </wp:inline>
        </w:drawing>
      </w:r>
    </w:p>
    <w:p w14:paraId="2F6D7E50">
      <w:pPr>
        <w:spacing w:line="360" w:lineRule="auto"/>
        <w:ind w:firstLine="567"/>
        <w:jc w:val="center"/>
        <w:rPr>
          <w:rFonts w:hint="eastAsia" w:ascii="宋体" w:hAnsi="宋体"/>
          <w:b/>
          <w:sz w:val="24"/>
        </w:rPr>
      </w:pPr>
      <w:r>
        <w:rPr>
          <w:rFonts w:hint="eastAsia" w:ascii="宋体" w:hAnsi="宋体"/>
          <w:b/>
          <w:sz w:val="24"/>
        </w:rPr>
        <w:t>图5－5－1    　开采层沿层钻孔抽放瓦斯示意图</w:t>
      </w:r>
    </w:p>
    <w:p w14:paraId="1F37C9BF">
      <w:pPr>
        <w:spacing w:line="360" w:lineRule="auto"/>
        <w:ind w:firstLine="480" w:firstLineChars="200"/>
        <w:rPr>
          <w:rFonts w:hint="eastAsia" w:ascii="宋体" w:hAnsi="宋体"/>
          <w:sz w:val="24"/>
        </w:rPr>
      </w:pPr>
      <w:r>
        <w:rPr>
          <w:rFonts w:hint="eastAsia" w:ascii="宋体" w:hAnsi="宋体"/>
          <w:sz w:val="24"/>
          <w:lang/>
        </w:rPr>
        <w:t>由于该矿井未作煤与瓦斯突出鉴定，</w:t>
      </w:r>
      <w:r>
        <w:rPr>
          <w:rFonts w:hint="eastAsia" w:ascii="宋体" w:hAnsi="宋体"/>
          <w:sz w:val="24"/>
        </w:rPr>
        <w:t>因此，本矿井在作出煤与瓦斯突出鉴定之前，按有煤与瓦斯突出设计和管理，揭煤后及时进行煤与瓦斯突出鉴定，因此，本矿只选用本煤层顺层钻孔进行预抽，矿井可根据实际情况而定，可采取底板预抽。设计采用高、低负压抽放系统。</w:t>
      </w:r>
    </w:p>
    <w:p w14:paraId="6BFF700B">
      <w:pPr>
        <w:spacing w:line="360" w:lineRule="auto"/>
        <w:ind w:firstLine="480" w:firstLineChars="200"/>
        <w:rPr>
          <w:rFonts w:hint="eastAsia" w:ascii="宋体" w:hAnsi="宋体"/>
          <w:color w:val="000000"/>
          <w:sz w:val="24"/>
        </w:rPr>
      </w:pPr>
      <w:r>
        <w:rPr>
          <w:rFonts w:hint="eastAsia" w:ascii="宋体" w:hAnsi="宋体"/>
          <w:color w:val="000000"/>
          <w:sz w:val="24"/>
        </w:rPr>
        <w:t>2、掘进工作面瓦斯抽放</w:t>
      </w:r>
    </w:p>
    <w:p w14:paraId="62826A74">
      <w:pPr>
        <w:adjustRightInd w:val="0"/>
        <w:snapToGrid w:val="0"/>
        <w:spacing w:line="360" w:lineRule="auto"/>
        <w:ind w:firstLine="480" w:firstLineChars="200"/>
        <w:rPr>
          <w:rFonts w:hint="eastAsia" w:ascii="宋体" w:hAnsi="宋体"/>
          <w:sz w:val="24"/>
        </w:rPr>
      </w:pPr>
      <w:r>
        <w:rPr>
          <w:rFonts w:hint="eastAsia" w:ascii="宋体" w:hAnsi="宋体"/>
          <w:sz w:val="24"/>
        </w:rPr>
        <w:t>1）实现先抽后掘、先抽后采的一般要求</w:t>
      </w:r>
    </w:p>
    <w:p w14:paraId="2BDB0BD3">
      <w:pPr>
        <w:snapToGrid w:val="0"/>
        <w:spacing w:line="360" w:lineRule="auto"/>
        <w:ind w:firstLine="480" w:firstLineChars="200"/>
        <w:rPr>
          <w:rFonts w:hint="eastAsia" w:ascii="宋体" w:hAnsi="宋体"/>
          <w:sz w:val="24"/>
        </w:rPr>
      </w:pPr>
      <w:r>
        <w:rPr>
          <w:rFonts w:hint="eastAsia" w:ascii="宋体" w:hAnsi="宋体"/>
          <w:sz w:val="24"/>
        </w:rPr>
        <w:t>（1）为使矿井在采、掘、抽三者顺序上的合理安排，矿井开拓系统形成后掘进石门，根据水城地区煤矿瓦斯较大的特点，在石门揭煤前必须采取打钻孔预抽瓦斯，释放煤层瓦斯压力，减少煤与瓦斯突出的可能性，预抽时间可根据煤层瓦斯含量、煤层透气性、抽放效果决定。在煤层瓦斯抽放指标达到要求且经鉴定无突出可能性后方可实施揭煤。</w:t>
      </w:r>
    </w:p>
    <w:p w14:paraId="1BF92789">
      <w:pPr>
        <w:snapToGrid w:val="0"/>
        <w:spacing w:line="360" w:lineRule="auto"/>
        <w:ind w:firstLine="480" w:firstLineChars="200"/>
        <w:rPr>
          <w:rFonts w:hint="eastAsia" w:ascii="宋体" w:hAnsi="宋体"/>
          <w:sz w:val="24"/>
        </w:rPr>
      </w:pPr>
      <w:r>
        <w:rPr>
          <w:rFonts w:hint="eastAsia" w:ascii="宋体" w:hAnsi="宋体"/>
          <w:sz w:val="24"/>
        </w:rPr>
        <w:t>（2）在石门揭煤后首采工作面回风巷和运输巷掘进前先打钻孔预抽煤层瓦斯，同时采取防突措施掘进，释放煤层瓦斯压力。</w:t>
      </w:r>
      <w:r>
        <w:rPr>
          <w:rFonts w:hint="eastAsia" w:ascii="宋体" w:hAnsi="宋体"/>
          <w:color w:val="000000"/>
          <w:sz w:val="24"/>
        </w:rPr>
        <w:t>预抽时间可根据煤层瓦斯含量、</w:t>
      </w:r>
      <w:r>
        <w:rPr>
          <w:rFonts w:hint="eastAsia" w:ascii="宋体" w:hAnsi="宋体"/>
          <w:sz w:val="24"/>
        </w:rPr>
        <w:t>煤层透气性、抽放效果决定。在煤层瓦斯抽放指标达到要求且经鉴定无突出可能性后方可往前掘进。</w:t>
      </w:r>
    </w:p>
    <w:p w14:paraId="181B4CB6">
      <w:pPr>
        <w:snapToGrid w:val="0"/>
        <w:spacing w:line="360" w:lineRule="auto"/>
        <w:ind w:firstLine="480" w:firstLineChars="200"/>
        <w:rPr>
          <w:rFonts w:hint="eastAsia" w:ascii="宋体" w:hAnsi="宋体"/>
          <w:sz w:val="24"/>
        </w:rPr>
      </w:pPr>
      <w:r>
        <w:rPr>
          <w:rFonts w:hint="eastAsia" w:ascii="宋体" w:hAnsi="宋体"/>
          <w:sz w:val="24"/>
        </w:rPr>
        <w:t>（3）掘进工作面往前掘进10m后根据煤层瓦斯含量大小、瓦斯涌出量大小、掘进施工速度等选择掘进工作面先抽后掘方法，先抽后掘方法有在掘进工作面后方布置钻场实现先抽后掘和直接在掘进迎头打钻孔抽放瓦斯实现先抽后掘两种，具体实现方法见本节后面介绍。</w:t>
      </w:r>
    </w:p>
    <w:p w14:paraId="7B9D54C9">
      <w:pPr>
        <w:snapToGrid w:val="0"/>
        <w:spacing w:line="360" w:lineRule="auto"/>
        <w:ind w:firstLine="480" w:firstLineChars="200"/>
        <w:rPr>
          <w:rFonts w:hint="eastAsia" w:ascii="宋体" w:hAnsi="宋体"/>
          <w:sz w:val="24"/>
        </w:rPr>
      </w:pPr>
      <w:r>
        <w:rPr>
          <w:rFonts w:hint="eastAsia" w:ascii="宋体" w:hAnsi="宋体"/>
          <w:sz w:val="24"/>
        </w:rPr>
        <w:t>（4）首采工作面回风巷和运输巷在施工的同时可滞后掘进工作面施工本层抽放钻孔进行预抽，待构成回采工作面，本层钻孔达到预抽指标后即可组织回采工作面的生产。</w:t>
      </w:r>
    </w:p>
    <w:p w14:paraId="31301CD1">
      <w:pPr>
        <w:snapToGrid w:val="0"/>
        <w:spacing w:line="360" w:lineRule="auto"/>
        <w:ind w:firstLine="480" w:firstLineChars="200"/>
        <w:rPr>
          <w:rFonts w:hint="eastAsia" w:ascii="宋体" w:hAnsi="宋体"/>
          <w:sz w:val="24"/>
        </w:rPr>
      </w:pPr>
      <w:r>
        <w:rPr>
          <w:rFonts w:hint="eastAsia" w:ascii="宋体" w:hAnsi="宋体"/>
          <w:sz w:val="24"/>
        </w:rPr>
        <w:t>（5）回采工作面施工及回采过程中，接续工作面回风巷和运输巷掘进的同时抽放工作也同时进行，这样就可保证采、掘、抽三者在时间、空间上得到合理安排和接替。</w:t>
      </w:r>
    </w:p>
    <w:p w14:paraId="0820C885">
      <w:pPr>
        <w:snapToGrid w:val="0"/>
        <w:spacing w:line="360" w:lineRule="auto"/>
        <w:ind w:firstLine="480" w:firstLineChars="200"/>
        <w:rPr>
          <w:rFonts w:hint="eastAsia" w:ascii="宋体" w:hAnsi="宋体"/>
          <w:sz w:val="24"/>
        </w:rPr>
      </w:pPr>
      <w:r>
        <w:rPr>
          <w:rFonts w:hint="eastAsia" w:ascii="宋体" w:hAnsi="宋体"/>
          <w:sz w:val="24"/>
        </w:rPr>
        <w:t>（6）矿井在编制年度采掘计划时一并考虑瓦斯抽放工程和资金计划，并要保证防突和抽放工作先行。</w:t>
      </w:r>
    </w:p>
    <w:p w14:paraId="74E6E75B">
      <w:pPr>
        <w:adjustRightInd w:val="0"/>
        <w:snapToGrid w:val="0"/>
        <w:spacing w:line="360" w:lineRule="auto"/>
        <w:ind w:firstLine="480" w:firstLineChars="200"/>
        <w:rPr>
          <w:rFonts w:hint="eastAsia" w:ascii="宋体" w:hAnsi="宋体"/>
          <w:sz w:val="24"/>
        </w:rPr>
      </w:pPr>
      <w:r>
        <w:rPr>
          <w:rFonts w:hint="eastAsia" w:ascii="宋体" w:hAnsi="宋体"/>
          <w:sz w:val="24"/>
        </w:rPr>
        <w:t>煤矿每年在编制年度采掘计划时应一并考虑瓦斯抽放工程，提前制定瓦斯抽采规划，在编制年度采掘时要根据实际的地质构造特点、煤层赋存条件、瓦斯涌出量大小、瓦斯抽放难易程度、采掘工作面进度和采掘劳动熟练程度等考虑年度掘进计划、采煤计划和瓦斯抽放工程计划和瓦斯抽放量计划。</w:t>
      </w:r>
    </w:p>
    <w:p w14:paraId="75606FEE">
      <w:pPr>
        <w:adjustRightInd w:val="0"/>
        <w:snapToGrid w:val="0"/>
        <w:spacing w:line="360" w:lineRule="auto"/>
        <w:ind w:firstLine="480" w:firstLineChars="200"/>
        <w:rPr>
          <w:rFonts w:hint="eastAsia" w:ascii="宋体" w:hAnsi="宋体"/>
          <w:sz w:val="24"/>
        </w:rPr>
      </w:pPr>
      <w:r>
        <w:rPr>
          <w:rFonts w:hint="eastAsia" w:ascii="宋体" w:hAnsi="宋体"/>
          <w:sz w:val="24"/>
        </w:rPr>
        <w:t>每年年底前编制下年度瓦斯抽采计划，以确保抽采瓦斯工作面的正常衔接，做到“抽、采、掘”平衡。</w:t>
      </w:r>
    </w:p>
    <w:p w14:paraId="2FD9C0F3">
      <w:pPr>
        <w:adjustRightInd w:val="0"/>
        <w:snapToGrid w:val="0"/>
        <w:spacing w:line="360" w:lineRule="auto"/>
        <w:ind w:firstLine="480" w:firstLineChars="200"/>
        <w:rPr>
          <w:rFonts w:hint="eastAsia" w:ascii="宋体" w:hAnsi="宋体"/>
          <w:sz w:val="24"/>
        </w:rPr>
      </w:pPr>
      <w:r>
        <w:rPr>
          <w:rFonts w:hint="eastAsia" w:ascii="宋体" w:hAnsi="宋体"/>
          <w:sz w:val="24"/>
        </w:rPr>
        <w:t>矿井新水平、新采区应测定煤层原始瓦斯含量和压力，每个采区垂深每增加50m应测定煤层原始瓦斯含量和压力。</w:t>
      </w:r>
    </w:p>
    <w:p w14:paraId="49B53B64">
      <w:pPr>
        <w:adjustRightInd w:val="0"/>
        <w:snapToGrid w:val="0"/>
        <w:spacing w:line="360" w:lineRule="auto"/>
        <w:ind w:firstLine="480" w:firstLineChars="200"/>
        <w:rPr>
          <w:rFonts w:hint="eastAsia" w:ascii="宋体" w:hAnsi="宋体"/>
          <w:sz w:val="24"/>
        </w:rPr>
      </w:pPr>
      <w:r>
        <w:rPr>
          <w:rFonts w:hint="eastAsia" w:ascii="宋体" w:hAnsi="宋体"/>
          <w:sz w:val="24"/>
        </w:rPr>
        <w:t>（7）</w:t>
      </w:r>
      <w:r>
        <w:rPr>
          <w:rFonts w:ascii="宋体" w:hAnsi="宋体"/>
          <w:sz w:val="24"/>
        </w:rPr>
        <w:t>生产</w:t>
      </w:r>
      <w:r>
        <w:rPr>
          <w:rFonts w:hint="eastAsia" w:ascii="宋体" w:hAnsi="宋体"/>
          <w:sz w:val="24"/>
        </w:rPr>
        <w:t>矿长</w:t>
      </w:r>
      <w:r>
        <w:rPr>
          <w:rFonts w:ascii="宋体" w:hAnsi="宋体"/>
          <w:sz w:val="24"/>
        </w:rPr>
        <w:t>、</w:t>
      </w:r>
      <w:r>
        <w:rPr>
          <w:rFonts w:hint="eastAsia" w:ascii="宋体" w:hAnsi="宋体"/>
          <w:sz w:val="24"/>
        </w:rPr>
        <w:t>总工程师负责</w:t>
      </w:r>
      <w:r>
        <w:rPr>
          <w:rFonts w:ascii="宋体" w:hAnsi="宋体"/>
          <w:sz w:val="24"/>
        </w:rPr>
        <w:t>抽放工作</w:t>
      </w:r>
      <w:r>
        <w:rPr>
          <w:rFonts w:hint="eastAsia" w:ascii="宋体" w:hAnsi="宋体"/>
          <w:sz w:val="24"/>
        </w:rPr>
        <w:t>、</w:t>
      </w:r>
      <w:r>
        <w:rPr>
          <w:rFonts w:ascii="宋体" w:hAnsi="宋体"/>
          <w:sz w:val="24"/>
        </w:rPr>
        <w:t>生产计划、采掘工程</w:t>
      </w:r>
      <w:r>
        <w:rPr>
          <w:rFonts w:hint="eastAsia" w:ascii="宋体" w:hAnsi="宋体"/>
          <w:sz w:val="24"/>
        </w:rPr>
        <w:t>的谐调和</w:t>
      </w:r>
      <w:r>
        <w:rPr>
          <w:rFonts w:ascii="宋体" w:hAnsi="宋体"/>
          <w:sz w:val="24"/>
        </w:rPr>
        <w:t>安排</w:t>
      </w:r>
      <w:r>
        <w:rPr>
          <w:rFonts w:hint="eastAsia" w:ascii="宋体" w:hAnsi="宋体"/>
          <w:sz w:val="24"/>
        </w:rPr>
        <w:t>，</w:t>
      </w:r>
      <w:r>
        <w:rPr>
          <w:rFonts w:ascii="宋体" w:hAnsi="宋体"/>
          <w:sz w:val="24"/>
        </w:rPr>
        <w:t>负责把抽放工作纳入采掘生产管理，领导和督促抽放巷道的施工和抽放管路的铺设，平衡采、掘、抽工作。</w:t>
      </w:r>
    </w:p>
    <w:p w14:paraId="6FFB8DEE">
      <w:pPr>
        <w:adjustRightInd w:val="0"/>
        <w:snapToGrid w:val="0"/>
        <w:spacing w:line="360" w:lineRule="auto"/>
        <w:ind w:firstLine="480" w:firstLineChars="200"/>
        <w:rPr>
          <w:rFonts w:hint="eastAsia" w:ascii="宋体" w:hAnsi="宋体"/>
          <w:sz w:val="24"/>
        </w:rPr>
      </w:pPr>
      <w:r>
        <w:rPr>
          <w:rFonts w:hint="eastAsia" w:ascii="宋体" w:hAnsi="宋体"/>
          <w:color w:val="000000"/>
          <w:sz w:val="24"/>
        </w:rPr>
        <w:t>（8）煤层工作面采掘作业前通过高负压系统抽放后必须将</w:t>
      </w:r>
      <w:r>
        <w:rPr>
          <w:rFonts w:hint="eastAsia" w:ascii="宋体" w:hAnsi="宋体"/>
          <w:sz w:val="24"/>
        </w:rPr>
        <w:t>控制范围内煤层的瓦斯含量降到8m</w:t>
      </w:r>
      <w:r>
        <w:rPr>
          <w:rFonts w:hint="eastAsia" w:ascii="宋体" w:hAnsi="宋体"/>
          <w:sz w:val="24"/>
          <w:vertAlign w:val="superscript"/>
        </w:rPr>
        <w:t>3</w:t>
      </w:r>
      <w:r>
        <w:rPr>
          <w:rFonts w:hint="eastAsia" w:ascii="宋体" w:hAnsi="宋体"/>
          <w:sz w:val="24"/>
        </w:rPr>
        <w:t>/t以下，或将煤层瓦斯压力降到0.74MPA以下。控制范围如下:</w:t>
      </w:r>
    </w:p>
    <w:p w14:paraId="3BFC26F1">
      <w:pPr>
        <w:adjustRightInd w:val="0"/>
        <w:snapToGrid w:val="0"/>
        <w:spacing w:line="360" w:lineRule="auto"/>
        <w:ind w:firstLine="480" w:firstLineChars="200"/>
        <w:rPr>
          <w:rFonts w:hint="eastAsia" w:ascii="宋体" w:hAnsi="宋体"/>
          <w:sz w:val="24"/>
        </w:rPr>
      </w:pPr>
      <w:r>
        <w:rPr>
          <w:rFonts w:ascii="宋体" w:hAnsi="宋体"/>
          <w:sz w:val="24"/>
        </w:rPr>
        <w:t>A</w:t>
      </w:r>
      <w:r>
        <w:rPr>
          <w:rFonts w:hint="eastAsia" w:ascii="宋体" w:hAnsi="宋体"/>
          <w:sz w:val="24"/>
        </w:rPr>
        <w:t>）、石门（井筒）揭煤工作面控制范围应根据煤层的实际突出危险程度确定，但必须控制到巷道轮廓线外8米以上（煤层倾角大于8度时，底部或下帮5米）。钻孔必须穿透煤层顶（底）板0.5米以上，若不能穿透煤层的全厚，必须控制到工作面前方15米以上。</w:t>
      </w:r>
    </w:p>
    <w:p w14:paraId="5CD93B23">
      <w:pPr>
        <w:adjustRightInd w:val="0"/>
        <w:snapToGrid w:val="0"/>
        <w:spacing w:line="360" w:lineRule="auto"/>
        <w:ind w:firstLine="480" w:firstLineChars="200"/>
        <w:rPr>
          <w:rFonts w:hint="eastAsia" w:ascii="宋体" w:hAnsi="宋体"/>
          <w:sz w:val="24"/>
        </w:rPr>
      </w:pPr>
      <w:r>
        <w:rPr>
          <w:rFonts w:hint="eastAsia" w:ascii="宋体" w:hAnsi="宋体"/>
          <w:sz w:val="24"/>
        </w:rPr>
        <w:t>B）、煤巷掘进工作面控制范围为：巷道轮廓线8米以上（煤层倾角大于8度时，底部或下帮5米）及工作面前方10米以上。</w:t>
      </w:r>
    </w:p>
    <w:p w14:paraId="58B07A54">
      <w:pPr>
        <w:adjustRightInd w:val="0"/>
        <w:snapToGrid w:val="0"/>
        <w:spacing w:line="360" w:lineRule="auto"/>
        <w:ind w:firstLine="480" w:firstLineChars="200"/>
        <w:rPr>
          <w:rFonts w:hint="eastAsia" w:ascii="宋体" w:hAnsi="宋体"/>
          <w:sz w:val="24"/>
        </w:rPr>
      </w:pPr>
      <w:r>
        <w:rPr>
          <w:rFonts w:hint="eastAsia" w:ascii="宋体" w:hAnsi="宋体"/>
          <w:sz w:val="24"/>
        </w:rPr>
        <w:t>C）、采煤工作面瓦斯抽放控制范围为：工作面前方20米以上。</w:t>
      </w:r>
    </w:p>
    <w:p w14:paraId="660D3A6D">
      <w:pPr>
        <w:adjustRightInd w:val="0"/>
        <w:snapToGrid w:val="0"/>
        <w:spacing w:line="360" w:lineRule="auto"/>
        <w:ind w:firstLine="480" w:firstLineChars="200"/>
        <w:rPr>
          <w:rFonts w:hint="eastAsia" w:ascii="宋体" w:hAnsi="宋体"/>
          <w:sz w:val="24"/>
        </w:rPr>
      </w:pPr>
      <w:r>
        <w:rPr>
          <w:rFonts w:hint="eastAsia" w:ascii="宋体" w:hAnsi="宋体"/>
          <w:sz w:val="24"/>
        </w:rPr>
        <w:t>D）、矿井瓦斯抽采率应达到的要求见下表</w:t>
      </w:r>
    </w:p>
    <w:p w14:paraId="543C7720">
      <w:pPr>
        <w:adjustRightInd w:val="0"/>
        <w:snapToGrid w:val="0"/>
        <w:spacing w:line="360" w:lineRule="auto"/>
        <w:jc w:val="center"/>
        <w:rPr>
          <w:rFonts w:hint="eastAsia" w:ascii="宋体" w:hAnsi="宋体"/>
          <w:b/>
          <w:sz w:val="24"/>
        </w:rPr>
      </w:pPr>
      <w:r>
        <w:rPr>
          <w:rFonts w:hint="eastAsia" w:ascii="宋体" w:hAnsi="宋体"/>
          <w:b/>
          <w:sz w:val="24"/>
        </w:rPr>
        <w:t>表5-5-4          矿井瓦斯抽采率应达到的指标</w:t>
      </w:r>
    </w:p>
    <w:p w14:paraId="25E14880">
      <w:pPr>
        <w:pStyle w:val="130"/>
        <w:snapToGrid w:val="0"/>
        <w:spacing w:line="360" w:lineRule="auto"/>
        <w:jc w:val="center"/>
        <w:rPr>
          <w:rFonts w:hint="eastAsia"/>
          <w:b/>
        </w:rPr>
      </w:pPr>
      <w:r>
        <w:rPr>
          <w:rFonts w:hint="eastAsia"/>
          <w:b/>
        </w:rPr>
        <w:drawing>
          <wp:inline distT="0" distB="0" distL="114300" distR="114300">
            <wp:extent cx="5752465" cy="2248535"/>
            <wp:effectExtent l="0" t="0" r="635" b="18415"/>
            <wp:docPr id="48"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1"/>
                    <pic:cNvPicPr>
                      <a:picLocks noChangeAspect="1"/>
                    </pic:cNvPicPr>
                  </pic:nvPicPr>
                  <pic:blipFill>
                    <a:blip r:embed="rId216"/>
                    <a:srcRect t="8145"/>
                    <a:stretch>
                      <a:fillRect/>
                    </a:stretch>
                  </pic:blipFill>
                  <pic:spPr>
                    <a:xfrm>
                      <a:off x="0" y="0"/>
                      <a:ext cx="5752465" cy="2248535"/>
                    </a:xfrm>
                    <a:prstGeom prst="rect">
                      <a:avLst/>
                    </a:prstGeom>
                    <a:noFill/>
                    <a:ln>
                      <a:noFill/>
                    </a:ln>
                  </pic:spPr>
                </pic:pic>
              </a:graphicData>
            </a:graphic>
          </wp:inline>
        </w:drawing>
      </w:r>
    </w:p>
    <w:p w14:paraId="6824E337">
      <w:pPr>
        <w:adjustRightInd w:val="0"/>
        <w:snapToGrid w:val="0"/>
        <w:spacing w:line="500" w:lineRule="exact"/>
        <w:ind w:firstLine="480" w:firstLineChars="200"/>
        <w:rPr>
          <w:rFonts w:hint="eastAsia" w:ascii="宋体" w:hAnsi="宋体"/>
          <w:sz w:val="24"/>
        </w:rPr>
      </w:pPr>
      <w:r>
        <w:rPr>
          <w:rFonts w:hint="eastAsia" w:ascii="宋体" w:hAnsi="宋体"/>
          <w:sz w:val="24"/>
        </w:rPr>
        <w:t>（9）在布置抽放钻孔时，抽放钻孔的抽放范围应超前采掘工作面一定距离，采掘工作面的推进速度和抽放钻孔的施工、管路安装和抽放速度应根据实际情况及时调整，矿井在每年的生产规划中应一并考虑瓦斯抽放工程、采掘工作面的布置。</w:t>
      </w:r>
    </w:p>
    <w:p w14:paraId="0BA5E75C">
      <w:pPr>
        <w:adjustRightInd w:val="0"/>
        <w:snapToGrid w:val="0"/>
        <w:spacing w:line="500" w:lineRule="exact"/>
        <w:ind w:firstLine="480" w:firstLineChars="200"/>
        <w:rPr>
          <w:rFonts w:hint="eastAsia" w:ascii="宋体" w:hAnsi="宋体"/>
          <w:sz w:val="24"/>
        </w:rPr>
      </w:pPr>
      <w:r>
        <w:rPr>
          <w:rFonts w:hint="eastAsia" w:ascii="宋体" w:hAnsi="宋体"/>
          <w:sz w:val="24"/>
        </w:rPr>
        <w:t>（10）一般情况下，先抽放瓦斯，待抽放指标达到要求后再进行掘进，然后工作面构成后进行回采，在回采的过程中在采面运输巷和回风巷超前一定距离抽放瓦斯，并随瓦斯抽放情况和回采工作面的推进速度及时调整。</w:t>
      </w:r>
    </w:p>
    <w:p w14:paraId="55AEA7D8">
      <w:pPr>
        <w:adjustRightInd w:val="0"/>
        <w:snapToGrid w:val="0"/>
        <w:spacing w:line="500" w:lineRule="exact"/>
        <w:ind w:right="2" w:rightChars="1" w:firstLine="523" w:firstLineChars="218"/>
        <w:rPr>
          <w:rFonts w:hint="eastAsia" w:ascii="宋体" w:hAnsi="宋体"/>
          <w:sz w:val="24"/>
        </w:rPr>
      </w:pPr>
      <w:r>
        <w:rPr>
          <w:rFonts w:hint="eastAsia" w:ascii="宋体" w:hAnsi="宋体"/>
          <w:sz w:val="24"/>
        </w:rPr>
        <w:t>2）掘进工作面先抽后掘</w:t>
      </w:r>
    </w:p>
    <w:p w14:paraId="5D3A0C46">
      <w:pPr>
        <w:adjustRightInd w:val="0"/>
        <w:snapToGrid w:val="0"/>
        <w:spacing w:line="500" w:lineRule="exact"/>
        <w:ind w:firstLine="480" w:firstLineChars="200"/>
        <w:rPr>
          <w:rFonts w:ascii="宋体" w:hAnsi="宋体"/>
          <w:sz w:val="24"/>
        </w:rPr>
      </w:pPr>
      <w:r>
        <w:rPr>
          <w:rFonts w:hint="eastAsia" w:ascii="宋体" w:hAnsi="宋体"/>
          <w:sz w:val="24"/>
        </w:rPr>
        <w:t>（1）掘进头先抽后掘</w:t>
      </w:r>
    </w:p>
    <w:p w14:paraId="776716BA">
      <w:pPr>
        <w:spacing w:line="500" w:lineRule="exact"/>
        <w:ind w:right="2" w:rightChars="1" w:firstLine="480" w:firstLineChars="200"/>
        <w:rPr>
          <w:rFonts w:hint="eastAsia" w:ascii="宋体" w:hAnsi="宋体"/>
          <w:color w:val="000000"/>
          <w:sz w:val="24"/>
        </w:rPr>
      </w:pPr>
      <w:r>
        <w:rPr>
          <w:rFonts w:hint="eastAsia" w:ascii="宋体" w:hAnsi="宋体"/>
          <w:color w:val="000000"/>
          <w:sz w:val="24"/>
        </w:rPr>
        <w:t>矿井掘进工作面设计采用边掘边抽的超前钻孔预抽方法，抽放钻孔始终保持超前掘进头15米。</w:t>
      </w:r>
    </w:p>
    <w:p w14:paraId="045A5352">
      <w:pPr>
        <w:autoSpaceDE w:val="0"/>
        <w:autoSpaceDN w:val="0"/>
        <w:adjustRightInd w:val="0"/>
        <w:spacing w:line="500" w:lineRule="exact"/>
        <w:ind w:firstLine="480" w:firstLineChars="200"/>
        <w:jc w:val="left"/>
        <w:rPr>
          <w:rFonts w:ascii="宋体" w:hAnsi="宋体"/>
          <w:color w:val="0000FF"/>
          <w:sz w:val="24"/>
        </w:rPr>
      </w:pPr>
      <w:r>
        <w:rPr>
          <w:rFonts w:hint="eastAsia" w:ascii="宋体" w:hAnsi="宋体"/>
          <w:color w:val="0000FF"/>
          <w:sz w:val="24"/>
        </w:rPr>
        <w:t>煤巷掘进</w:t>
      </w:r>
      <w:r>
        <w:rPr>
          <w:rFonts w:ascii="宋体" w:hAnsi="宋体"/>
          <w:color w:val="0000FF"/>
          <w:sz w:val="24"/>
        </w:rPr>
        <w:t>顺层钻孔预抽煤巷条带煤层瓦斯区域防突措施的钻孔应控制的条带长度不小于60m，穿层钻孔或顺层钻孔预抽区段煤层瓦斯区域防突措施的钻孔应当控制区段内的整个开采块段、两侧回采巷道及其外侧一定范围内的煤层。要求钻孔控制回采巷道外侧的范围是：倾斜、急倾斜煤层巷道上帮轮廓线外至少20m，下帮至少10m；其他为巷道两侧轮廓线外至少各15m</w:t>
      </w:r>
      <w:r>
        <w:rPr>
          <w:rFonts w:hint="eastAsia" w:ascii="宋体" w:hAnsi="宋体"/>
          <w:color w:val="0000FF"/>
          <w:sz w:val="24"/>
        </w:rPr>
        <w:t>，</w:t>
      </w:r>
      <w:r>
        <w:rPr>
          <w:rFonts w:ascii="宋体" w:hAnsi="宋体"/>
          <w:color w:val="0000FF"/>
          <w:sz w:val="24"/>
        </w:rPr>
        <w:t>以上所述的钻孔控制范围均为沿层面的距离</w:t>
      </w:r>
      <w:r>
        <w:rPr>
          <w:rFonts w:hint="eastAsia" w:ascii="宋体" w:hAnsi="宋体"/>
          <w:color w:val="0000FF"/>
          <w:sz w:val="24"/>
        </w:rPr>
        <w:t>。</w:t>
      </w:r>
    </w:p>
    <w:p w14:paraId="27715A4C">
      <w:pPr>
        <w:spacing w:line="500" w:lineRule="exact"/>
        <w:ind w:firstLine="480" w:firstLineChars="200"/>
        <w:rPr>
          <w:rFonts w:hint="eastAsia" w:ascii="宋体" w:hAnsi="宋体"/>
          <w:sz w:val="24"/>
        </w:rPr>
      </w:pPr>
      <w:r>
        <w:rPr>
          <w:rFonts w:hint="eastAsia" w:ascii="宋体" w:hAnsi="宋体"/>
          <w:sz w:val="24"/>
        </w:rPr>
        <w:t>①钻场布置</w:t>
      </w:r>
    </w:p>
    <w:p w14:paraId="1D8B5B1F">
      <w:pPr>
        <w:spacing w:line="500" w:lineRule="exact"/>
        <w:ind w:firstLine="480" w:firstLineChars="200"/>
        <w:rPr>
          <w:rFonts w:ascii="宋体" w:hAnsi="宋体"/>
          <w:sz w:val="24"/>
        </w:rPr>
      </w:pPr>
      <w:r>
        <w:rPr>
          <w:rFonts w:hint="eastAsia" w:ascii="宋体" w:hAnsi="宋体"/>
          <w:sz w:val="24"/>
        </w:rPr>
        <w:t>在煤巷掘进工作面巷道两帮施工钻场，其优点是不影响掘进速度，且抽放效果较好，缺点是需掘钻场，增加工程量。</w:t>
      </w:r>
      <w:r>
        <w:rPr>
          <w:rFonts w:hint="eastAsia" w:ascii="宋体" w:hAnsi="宋体"/>
          <w:color w:val="0000FF"/>
          <w:sz w:val="24"/>
        </w:rPr>
        <w:t>钻场尺寸根据巷帮瓦斯抽放钻孔的布置要求，以及使用的钻机外形尺寸及钻杆的长度确定。控制范围为巷道轮廓线外20.5m，钻孔必须超前于掘进工作面31.5m，煤巷掘进抽放钻场和钻孔布置见图5-5-2。</w:t>
      </w:r>
    </w:p>
    <w:p w14:paraId="4FEE9288">
      <w:pPr>
        <w:spacing w:line="360" w:lineRule="auto"/>
        <w:rPr>
          <w:color w:val="000000"/>
          <w:sz w:val="24"/>
        </w:rPr>
      </w:pPr>
      <w:r>
        <w:drawing>
          <wp:inline distT="0" distB="0" distL="114300" distR="114300">
            <wp:extent cx="5723255" cy="2368550"/>
            <wp:effectExtent l="0" t="0" r="0" b="0"/>
            <wp:docPr id="4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2"/>
                    <pic:cNvPicPr>
                      <a:picLocks noChangeAspect="1"/>
                    </pic:cNvPicPr>
                  </pic:nvPicPr>
                  <pic:blipFill>
                    <a:blip r:embed="rId162"/>
                    <a:srcRect l="8939" t="10098" r="9155" b="19258"/>
                    <a:stretch>
                      <a:fillRect/>
                    </a:stretch>
                  </pic:blipFill>
                  <pic:spPr>
                    <a:xfrm>
                      <a:off x="0" y="0"/>
                      <a:ext cx="5723255" cy="2368550"/>
                    </a:xfrm>
                    <a:prstGeom prst="rect">
                      <a:avLst/>
                    </a:prstGeom>
                    <a:noFill/>
                    <a:ln>
                      <a:noFill/>
                    </a:ln>
                  </pic:spPr>
                </pic:pic>
              </a:graphicData>
            </a:graphic>
          </wp:inline>
        </w:drawing>
      </w:r>
    </w:p>
    <w:p w14:paraId="48BDCF47">
      <w:pPr>
        <w:spacing w:line="360" w:lineRule="auto"/>
        <w:jc w:val="center"/>
        <w:rPr>
          <w:rFonts w:hint="eastAsia" w:ascii="宋体" w:hAnsi="宋体"/>
          <w:color w:val="000000"/>
          <w:sz w:val="24"/>
        </w:rPr>
      </w:pPr>
      <w:r>
        <w:rPr>
          <w:rFonts w:hint="eastAsia" w:ascii="宋体" w:hAnsi="宋体"/>
          <w:color w:val="000000"/>
          <w:sz w:val="24"/>
        </w:rPr>
        <w:t>图5-5-2        煤巷掘进工作面抽放钻场和钻孔布置图</w:t>
      </w:r>
    </w:p>
    <w:p w14:paraId="325FCD20">
      <w:pPr>
        <w:spacing w:line="360" w:lineRule="auto"/>
        <w:ind w:firstLine="480" w:firstLineChars="200"/>
        <w:rPr>
          <w:rFonts w:hint="eastAsia"/>
          <w:color w:val="000000"/>
          <w:sz w:val="24"/>
        </w:rPr>
      </w:pPr>
      <w:r>
        <w:rPr>
          <w:rFonts w:hint="eastAsia"/>
          <w:color w:val="000000"/>
          <w:sz w:val="24"/>
        </w:rPr>
        <w:t>②钻孔布置</w:t>
      </w:r>
    </w:p>
    <w:p w14:paraId="650E75AD">
      <w:pPr>
        <w:spacing w:line="360" w:lineRule="auto"/>
        <w:ind w:firstLine="480" w:firstLineChars="200"/>
        <w:rPr>
          <w:rFonts w:hint="eastAsia" w:ascii="宋体" w:hAnsi="宋体"/>
          <w:color w:val="000000"/>
          <w:sz w:val="24"/>
        </w:rPr>
      </w:pPr>
      <w:r>
        <w:rPr>
          <w:rFonts w:hint="eastAsia" w:ascii="宋体" w:hAnsi="宋体"/>
          <w:color w:val="0000FF"/>
          <w:sz w:val="24"/>
        </w:rPr>
        <w:t>每个钻场内，沿走向布置12个抽放钻孔，即在左、右钻场各布置6个，钻孔编号为1#～12#，孔深分别为1#（63.04m）、2#（61.93m）、3#（61.06m）、4#（60.45m）、5#（60.09m）、6#（60.0m），6#～12#钻孔深与1#～6#钻孔相同，其中，右边钻场为1#～6#钻孔，终孔位置在工作面前方煤层中部，距巷道掘进中心线的距离分别为2m、6m、10m、14m、18m、22m，开孔位置距巷道中心线距离为3.2m；左边钻场为6#～12#钻孔，终孔位置、开孔位置同右边钻场的要求一样。该钻孔布置参数在矿井抽放过程中对抽放量、抽放浓度、防突效果等考察后，可根据实际情况进行调整。</w:t>
      </w:r>
      <w:r>
        <w:rPr>
          <w:rFonts w:hint="eastAsia" w:ascii="宋体" w:hAnsi="宋体"/>
          <w:color w:val="000000"/>
          <w:sz w:val="24"/>
        </w:rPr>
        <w:t>钻孔参数见</w:t>
      </w:r>
      <w:r>
        <w:rPr>
          <w:rFonts w:hint="eastAsia" w:ascii="宋体" w:hAnsi="宋体"/>
          <w:b/>
          <w:color w:val="000000"/>
          <w:sz w:val="24"/>
        </w:rPr>
        <w:t>表5-5-5</w:t>
      </w:r>
      <w:r>
        <w:rPr>
          <w:rFonts w:hint="eastAsia" w:ascii="宋体" w:hAnsi="宋体"/>
          <w:color w:val="000000"/>
          <w:sz w:val="24"/>
        </w:rPr>
        <w:t>。</w:t>
      </w:r>
    </w:p>
    <w:p w14:paraId="2BA066FA">
      <w:pPr>
        <w:spacing w:line="360" w:lineRule="auto"/>
        <w:jc w:val="center"/>
        <w:rPr>
          <w:rFonts w:hint="eastAsia" w:ascii="宋体" w:hAnsi="宋体"/>
          <w:color w:val="000000"/>
          <w:sz w:val="24"/>
        </w:rPr>
      </w:pPr>
      <w:r>
        <w:rPr>
          <w:rFonts w:hint="eastAsia" w:ascii="宋体" w:hAnsi="宋体"/>
          <w:color w:val="000000"/>
          <w:sz w:val="24"/>
        </w:rPr>
        <w:t>表5-5-5      煤巷掘进抽放钻孔参数表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87"/>
        <w:gridCol w:w="1270"/>
        <w:gridCol w:w="1702"/>
        <w:gridCol w:w="885"/>
        <w:gridCol w:w="1433"/>
        <w:gridCol w:w="1408"/>
        <w:gridCol w:w="1527"/>
      </w:tblGrid>
      <w:tr w14:paraId="37B6F2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vMerge w:val="restart"/>
            <w:noWrap w:val="0"/>
            <w:vAlign w:val="center"/>
          </w:tcPr>
          <w:p w14:paraId="64153E55">
            <w:pPr>
              <w:widowControl/>
              <w:jc w:val="center"/>
              <w:rPr>
                <w:rFonts w:cs="宋体"/>
                <w:color w:val="0000FF"/>
              </w:rPr>
            </w:pPr>
            <w:r>
              <w:rPr>
                <w:rFonts w:hint="eastAsia" w:cs="宋体"/>
                <w:color w:val="0000FF"/>
              </w:rPr>
              <w:t>孔号</w:t>
            </w:r>
          </w:p>
        </w:tc>
        <w:tc>
          <w:tcPr>
            <w:tcW w:w="1270" w:type="dxa"/>
            <w:vMerge w:val="restart"/>
            <w:noWrap w:val="0"/>
            <w:vAlign w:val="center"/>
          </w:tcPr>
          <w:p w14:paraId="3810434F">
            <w:pPr>
              <w:widowControl/>
              <w:jc w:val="center"/>
              <w:rPr>
                <w:rFonts w:cs="宋体"/>
                <w:color w:val="0000FF"/>
              </w:rPr>
            </w:pPr>
            <w:r>
              <w:rPr>
                <w:rFonts w:hint="eastAsia" w:cs="宋体"/>
                <w:color w:val="0000FF"/>
              </w:rPr>
              <w:t>每组钻场个数</w:t>
            </w:r>
            <w:r>
              <w:rPr>
                <w:color w:val="0000FF"/>
              </w:rPr>
              <w:t>(</w:t>
            </w:r>
            <w:r>
              <w:rPr>
                <w:rFonts w:hint="eastAsia" w:cs="宋体"/>
                <w:color w:val="0000FF"/>
              </w:rPr>
              <w:t>个</w:t>
            </w:r>
            <w:r>
              <w:rPr>
                <w:color w:val="0000FF"/>
              </w:rPr>
              <w:t>)</w:t>
            </w:r>
          </w:p>
        </w:tc>
        <w:tc>
          <w:tcPr>
            <w:tcW w:w="1702" w:type="dxa"/>
            <w:vMerge w:val="restart"/>
            <w:noWrap w:val="0"/>
            <w:vAlign w:val="center"/>
          </w:tcPr>
          <w:p w14:paraId="44E0E981">
            <w:pPr>
              <w:widowControl/>
              <w:jc w:val="center"/>
              <w:rPr>
                <w:rFonts w:hint="eastAsia" w:cs="宋体"/>
                <w:color w:val="0000FF"/>
              </w:rPr>
            </w:pPr>
            <w:r>
              <w:rPr>
                <w:rFonts w:hint="eastAsia" w:cs="宋体"/>
                <w:color w:val="0000FF"/>
              </w:rPr>
              <w:t>钻场规格</w:t>
            </w:r>
          </w:p>
          <w:p w14:paraId="137C31B0">
            <w:pPr>
              <w:widowControl/>
              <w:jc w:val="center"/>
              <w:rPr>
                <w:rFonts w:cs="宋体"/>
                <w:color w:val="0000FF"/>
              </w:rPr>
            </w:pPr>
            <w:r>
              <w:rPr>
                <w:rFonts w:hint="eastAsia" w:cs="宋体"/>
                <w:color w:val="0000FF"/>
              </w:rPr>
              <w:t>长×宽×高（m）</w:t>
            </w:r>
          </w:p>
        </w:tc>
        <w:tc>
          <w:tcPr>
            <w:tcW w:w="885" w:type="dxa"/>
            <w:vMerge w:val="restart"/>
            <w:noWrap w:val="0"/>
            <w:vAlign w:val="center"/>
          </w:tcPr>
          <w:p w14:paraId="16F2B0AB">
            <w:pPr>
              <w:widowControl/>
              <w:jc w:val="center"/>
              <w:rPr>
                <w:rFonts w:cs="宋体"/>
                <w:color w:val="0000FF"/>
              </w:rPr>
            </w:pPr>
            <w:r>
              <w:rPr>
                <w:rFonts w:hint="eastAsia" w:cs="宋体"/>
                <w:color w:val="0000FF"/>
              </w:rPr>
              <w:t>钻孔长度（m）</w:t>
            </w:r>
          </w:p>
        </w:tc>
        <w:tc>
          <w:tcPr>
            <w:tcW w:w="1433" w:type="dxa"/>
            <w:vMerge w:val="restart"/>
            <w:noWrap w:val="0"/>
            <w:vAlign w:val="center"/>
          </w:tcPr>
          <w:p w14:paraId="4AE20846">
            <w:pPr>
              <w:widowControl/>
              <w:jc w:val="center"/>
              <w:rPr>
                <w:rFonts w:cs="宋体"/>
                <w:color w:val="0000FF"/>
              </w:rPr>
            </w:pPr>
            <w:r>
              <w:rPr>
                <w:rFonts w:hint="eastAsia" w:cs="宋体"/>
                <w:color w:val="0000FF"/>
              </w:rPr>
              <w:t>孔口与巷道中线距离</w:t>
            </w:r>
            <w:r>
              <w:rPr>
                <w:color w:val="0000FF"/>
              </w:rPr>
              <w:t>(m)</w:t>
            </w:r>
          </w:p>
        </w:tc>
        <w:tc>
          <w:tcPr>
            <w:tcW w:w="1408" w:type="dxa"/>
            <w:vMerge w:val="restart"/>
            <w:noWrap w:val="0"/>
            <w:vAlign w:val="center"/>
          </w:tcPr>
          <w:p w14:paraId="443D1F5C">
            <w:pPr>
              <w:widowControl/>
              <w:jc w:val="center"/>
              <w:rPr>
                <w:rFonts w:cs="宋体"/>
                <w:color w:val="0000FF"/>
              </w:rPr>
            </w:pPr>
            <w:r>
              <w:rPr>
                <w:rFonts w:hint="eastAsia" w:cs="宋体"/>
                <w:color w:val="0000FF"/>
              </w:rPr>
              <w:t>终孔与巷道中线距离</w:t>
            </w:r>
            <w:r>
              <w:rPr>
                <w:color w:val="0000FF"/>
              </w:rPr>
              <w:t>(m)</w:t>
            </w:r>
          </w:p>
        </w:tc>
        <w:tc>
          <w:tcPr>
            <w:tcW w:w="1527" w:type="dxa"/>
            <w:vMerge w:val="restart"/>
            <w:noWrap w:val="0"/>
            <w:vAlign w:val="center"/>
          </w:tcPr>
          <w:p w14:paraId="3018A360">
            <w:pPr>
              <w:widowControl/>
              <w:jc w:val="center"/>
              <w:rPr>
                <w:rFonts w:cs="宋体"/>
                <w:color w:val="0000FF"/>
              </w:rPr>
            </w:pPr>
            <w:r>
              <w:rPr>
                <w:rFonts w:hint="eastAsia" w:cs="宋体"/>
                <w:color w:val="0000FF"/>
              </w:rPr>
              <w:t>孔与巷道掘进中线方位偏角</w:t>
            </w:r>
            <w:r>
              <w:rPr>
                <w:color w:val="0000FF"/>
              </w:rPr>
              <w:t>(</w:t>
            </w:r>
            <w:r>
              <w:rPr>
                <w:rFonts w:hint="eastAsia"/>
                <w:color w:val="0000FF"/>
              </w:rPr>
              <w:t>°′″</w:t>
            </w:r>
            <w:r>
              <w:rPr>
                <w:color w:val="0000FF"/>
              </w:rPr>
              <w:t>)</w:t>
            </w:r>
          </w:p>
        </w:tc>
      </w:tr>
      <w:tr w14:paraId="42BBA5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vMerge w:val="continue"/>
            <w:noWrap w:val="0"/>
            <w:vAlign w:val="center"/>
          </w:tcPr>
          <w:p w14:paraId="09F5E8B6">
            <w:pPr>
              <w:widowControl/>
              <w:jc w:val="center"/>
              <w:rPr>
                <w:rFonts w:cs="宋体"/>
                <w:color w:val="0000FF"/>
              </w:rPr>
            </w:pPr>
          </w:p>
        </w:tc>
        <w:tc>
          <w:tcPr>
            <w:tcW w:w="1270" w:type="dxa"/>
            <w:vMerge w:val="continue"/>
            <w:noWrap w:val="0"/>
            <w:vAlign w:val="center"/>
          </w:tcPr>
          <w:p w14:paraId="6AC28AF2">
            <w:pPr>
              <w:widowControl/>
              <w:jc w:val="center"/>
              <w:rPr>
                <w:rFonts w:cs="宋体"/>
                <w:color w:val="0000FF"/>
              </w:rPr>
            </w:pPr>
          </w:p>
        </w:tc>
        <w:tc>
          <w:tcPr>
            <w:tcW w:w="1702" w:type="dxa"/>
            <w:vMerge w:val="continue"/>
            <w:noWrap w:val="0"/>
            <w:vAlign w:val="center"/>
          </w:tcPr>
          <w:p w14:paraId="61019A01">
            <w:pPr>
              <w:widowControl/>
              <w:jc w:val="center"/>
              <w:rPr>
                <w:rFonts w:cs="宋体"/>
                <w:color w:val="0000FF"/>
              </w:rPr>
            </w:pPr>
          </w:p>
        </w:tc>
        <w:tc>
          <w:tcPr>
            <w:tcW w:w="885" w:type="dxa"/>
            <w:vMerge w:val="continue"/>
            <w:noWrap w:val="0"/>
            <w:vAlign w:val="center"/>
          </w:tcPr>
          <w:p w14:paraId="41A4D10B">
            <w:pPr>
              <w:widowControl/>
              <w:jc w:val="center"/>
              <w:rPr>
                <w:rFonts w:cs="宋体"/>
                <w:color w:val="0000FF"/>
              </w:rPr>
            </w:pPr>
          </w:p>
        </w:tc>
        <w:tc>
          <w:tcPr>
            <w:tcW w:w="1433" w:type="dxa"/>
            <w:vMerge w:val="continue"/>
            <w:noWrap w:val="0"/>
            <w:vAlign w:val="center"/>
          </w:tcPr>
          <w:p w14:paraId="084979E3">
            <w:pPr>
              <w:widowControl/>
              <w:jc w:val="center"/>
              <w:rPr>
                <w:rFonts w:cs="宋体"/>
                <w:color w:val="0000FF"/>
              </w:rPr>
            </w:pPr>
          </w:p>
        </w:tc>
        <w:tc>
          <w:tcPr>
            <w:tcW w:w="1408" w:type="dxa"/>
            <w:vMerge w:val="continue"/>
            <w:noWrap w:val="0"/>
            <w:vAlign w:val="center"/>
          </w:tcPr>
          <w:p w14:paraId="5C542565">
            <w:pPr>
              <w:widowControl/>
              <w:jc w:val="center"/>
              <w:rPr>
                <w:rFonts w:cs="宋体"/>
                <w:color w:val="0000FF"/>
              </w:rPr>
            </w:pPr>
          </w:p>
        </w:tc>
        <w:tc>
          <w:tcPr>
            <w:tcW w:w="1527" w:type="dxa"/>
            <w:vMerge w:val="continue"/>
            <w:noWrap w:val="0"/>
            <w:vAlign w:val="center"/>
          </w:tcPr>
          <w:p w14:paraId="2C14EA3D">
            <w:pPr>
              <w:widowControl/>
              <w:jc w:val="center"/>
              <w:rPr>
                <w:rFonts w:cs="宋体"/>
                <w:color w:val="0000FF"/>
              </w:rPr>
            </w:pPr>
          </w:p>
        </w:tc>
      </w:tr>
      <w:tr w14:paraId="5BF3B3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vMerge w:val="continue"/>
            <w:noWrap w:val="0"/>
            <w:vAlign w:val="center"/>
          </w:tcPr>
          <w:p w14:paraId="3FC5E916">
            <w:pPr>
              <w:widowControl/>
              <w:jc w:val="center"/>
              <w:rPr>
                <w:rFonts w:cs="宋体"/>
                <w:color w:val="0000FF"/>
              </w:rPr>
            </w:pPr>
          </w:p>
        </w:tc>
        <w:tc>
          <w:tcPr>
            <w:tcW w:w="1270" w:type="dxa"/>
            <w:vMerge w:val="continue"/>
            <w:noWrap w:val="0"/>
            <w:vAlign w:val="center"/>
          </w:tcPr>
          <w:p w14:paraId="76A2D7F5">
            <w:pPr>
              <w:widowControl/>
              <w:jc w:val="center"/>
              <w:rPr>
                <w:rFonts w:cs="宋体"/>
                <w:color w:val="0000FF"/>
              </w:rPr>
            </w:pPr>
          </w:p>
        </w:tc>
        <w:tc>
          <w:tcPr>
            <w:tcW w:w="1702" w:type="dxa"/>
            <w:vMerge w:val="continue"/>
            <w:noWrap w:val="0"/>
            <w:vAlign w:val="center"/>
          </w:tcPr>
          <w:p w14:paraId="4F987F18">
            <w:pPr>
              <w:widowControl/>
              <w:jc w:val="center"/>
              <w:rPr>
                <w:rFonts w:cs="宋体"/>
                <w:color w:val="0000FF"/>
              </w:rPr>
            </w:pPr>
          </w:p>
        </w:tc>
        <w:tc>
          <w:tcPr>
            <w:tcW w:w="885" w:type="dxa"/>
            <w:vMerge w:val="continue"/>
            <w:noWrap w:val="0"/>
            <w:vAlign w:val="center"/>
          </w:tcPr>
          <w:p w14:paraId="313F74E1">
            <w:pPr>
              <w:widowControl/>
              <w:jc w:val="center"/>
              <w:rPr>
                <w:rFonts w:cs="宋体"/>
                <w:color w:val="0000FF"/>
              </w:rPr>
            </w:pPr>
          </w:p>
        </w:tc>
        <w:tc>
          <w:tcPr>
            <w:tcW w:w="1433" w:type="dxa"/>
            <w:vMerge w:val="continue"/>
            <w:noWrap w:val="0"/>
            <w:vAlign w:val="center"/>
          </w:tcPr>
          <w:p w14:paraId="1A00362D">
            <w:pPr>
              <w:widowControl/>
              <w:jc w:val="center"/>
              <w:rPr>
                <w:rFonts w:cs="宋体"/>
                <w:color w:val="0000FF"/>
              </w:rPr>
            </w:pPr>
          </w:p>
        </w:tc>
        <w:tc>
          <w:tcPr>
            <w:tcW w:w="1408" w:type="dxa"/>
            <w:vMerge w:val="continue"/>
            <w:noWrap w:val="0"/>
            <w:vAlign w:val="center"/>
          </w:tcPr>
          <w:p w14:paraId="51934008">
            <w:pPr>
              <w:widowControl/>
              <w:jc w:val="center"/>
              <w:rPr>
                <w:rFonts w:cs="宋体"/>
                <w:color w:val="0000FF"/>
              </w:rPr>
            </w:pPr>
          </w:p>
        </w:tc>
        <w:tc>
          <w:tcPr>
            <w:tcW w:w="1527" w:type="dxa"/>
            <w:vMerge w:val="continue"/>
            <w:noWrap w:val="0"/>
            <w:vAlign w:val="center"/>
          </w:tcPr>
          <w:p w14:paraId="568E15A8">
            <w:pPr>
              <w:widowControl/>
              <w:jc w:val="center"/>
              <w:rPr>
                <w:rFonts w:cs="宋体"/>
                <w:color w:val="0000FF"/>
              </w:rPr>
            </w:pPr>
          </w:p>
        </w:tc>
      </w:tr>
      <w:tr w14:paraId="079426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6D4F00E0">
            <w:pPr>
              <w:widowControl/>
              <w:jc w:val="center"/>
              <w:rPr>
                <w:rFonts w:cs="宋体"/>
                <w:color w:val="0000FF"/>
              </w:rPr>
            </w:pPr>
            <w:r>
              <w:rPr>
                <w:rFonts w:cs="宋体"/>
                <w:color w:val="0000FF"/>
              </w:rPr>
              <w:t>1#</w:t>
            </w:r>
          </w:p>
        </w:tc>
        <w:tc>
          <w:tcPr>
            <w:tcW w:w="1270" w:type="dxa"/>
            <w:vMerge w:val="restart"/>
            <w:noWrap w:val="0"/>
            <w:vAlign w:val="center"/>
          </w:tcPr>
          <w:p w14:paraId="19221DB4">
            <w:pPr>
              <w:widowControl/>
              <w:jc w:val="center"/>
              <w:rPr>
                <w:color w:val="0000FF"/>
              </w:rPr>
            </w:pPr>
            <w:r>
              <w:rPr>
                <w:color w:val="0000FF"/>
              </w:rPr>
              <w:t>2</w:t>
            </w:r>
            <w:r>
              <w:rPr>
                <w:rFonts w:hint="eastAsia"/>
                <w:color w:val="0000FF"/>
              </w:rPr>
              <w:t>个</w:t>
            </w:r>
            <w:r>
              <w:rPr>
                <w:color w:val="0000FF"/>
              </w:rPr>
              <w:t>(</w:t>
            </w:r>
            <w:r>
              <w:rPr>
                <w:rFonts w:hint="eastAsia"/>
                <w:color w:val="0000FF"/>
              </w:rPr>
              <w:t>巷道两帮各一个）</w:t>
            </w:r>
          </w:p>
        </w:tc>
        <w:tc>
          <w:tcPr>
            <w:tcW w:w="1702" w:type="dxa"/>
            <w:vMerge w:val="restart"/>
            <w:noWrap w:val="0"/>
            <w:vAlign w:val="center"/>
          </w:tcPr>
          <w:p w14:paraId="53D6DE62">
            <w:pPr>
              <w:widowControl/>
              <w:jc w:val="center"/>
              <w:rPr>
                <w:rFonts w:hint="eastAsia"/>
                <w:color w:val="0000FF"/>
              </w:rPr>
            </w:pPr>
            <w:r>
              <w:rPr>
                <w:color w:val="0000FF"/>
              </w:rPr>
              <w:t>3.0</w:t>
            </w:r>
            <w:r>
              <w:rPr>
                <w:rFonts w:hint="eastAsia"/>
                <w:color w:val="0000FF"/>
              </w:rPr>
              <w:t>×</w:t>
            </w:r>
            <w:r>
              <w:rPr>
                <w:color w:val="0000FF"/>
              </w:rPr>
              <w:t>3.0</w:t>
            </w:r>
            <w:r>
              <w:rPr>
                <w:rFonts w:hint="eastAsia"/>
                <w:color w:val="0000FF"/>
              </w:rPr>
              <w:t>×</w:t>
            </w:r>
            <w:r>
              <w:rPr>
                <w:color w:val="0000FF"/>
              </w:rPr>
              <w:t>2.</w:t>
            </w:r>
            <w:r>
              <w:rPr>
                <w:rFonts w:hint="eastAsia"/>
                <w:color w:val="0000FF"/>
              </w:rPr>
              <w:t>2</w:t>
            </w:r>
          </w:p>
        </w:tc>
        <w:tc>
          <w:tcPr>
            <w:tcW w:w="885" w:type="dxa"/>
            <w:noWrap w:val="0"/>
            <w:vAlign w:val="center"/>
          </w:tcPr>
          <w:p w14:paraId="165B0FA0">
            <w:pPr>
              <w:widowControl/>
              <w:jc w:val="center"/>
              <w:rPr>
                <w:rFonts w:hint="eastAsia"/>
                <w:color w:val="0000FF"/>
              </w:rPr>
            </w:pPr>
            <w:r>
              <w:rPr>
                <w:rFonts w:hint="eastAsia"/>
                <w:color w:val="0000FF"/>
              </w:rPr>
              <w:t>63.04</w:t>
            </w:r>
          </w:p>
        </w:tc>
        <w:tc>
          <w:tcPr>
            <w:tcW w:w="1433" w:type="dxa"/>
            <w:noWrap w:val="0"/>
            <w:vAlign w:val="center"/>
          </w:tcPr>
          <w:p w14:paraId="76BA6817">
            <w:pPr>
              <w:widowControl/>
              <w:jc w:val="center"/>
              <w:rPr>
                <w:color w:val="0000FF"/>
              </w:rPr>
            </w:pPr>
            <w:r>
              <w:rPr>
                <w:color w:val="0000FF"/>
              </w:rPr>
              <w:t>3.2</w:t>
            </w:r>
          </w:p>
        </w:tc>
        <w:tc>
          <w:tcPr>
            <w:tcW w:w="1408" w:type="dxa"/>
            <w:noWrap w:val="0"/>
            <w:vAlign w:val="center"/>
          </w:tcPr>
          <w:p w14:paraId="40F8A4DC">
            <w:pPr>
              <w:widowControl/>
              <w:jc w:val="center"/>
              <w:rPr>
                <w:rFonts w:hint="eastAsia"/>
                <w:color w:val="0000FF"/>
              </w:rPr>
            </w:pPr>
            <w:r>
              <w:rPr>
                <w:rFonts w:hint="eastAsia"/>
                <w:color w:val="0000FF"/>
              </w:rPr>
              <w:t>22</w:t>
            </w:r>
          </w:p>
        </w:tc>
        <w:tc>
          <w:tcPr>
            <w:tcW w:w="1527" w:type="dxa"/>
            <w:noWrap w:val="0"/>
            <w:vAlign w:val="center"/>
          </w:tcPr>
          <w:p w14:paraId="040C0D4C">
            <w:pPr>
              <w:widowControl/>
              <w:jc w:val="center"/>
              <w:rPr>
                <w:color w:val="0000FF"/>
              </w:rPr>
            </w:pPr>
            <w:r>
              <w:rPr>
                <w:rFonts w:hint="eastAsia"/>
                <w:color w:val="0000FF"/>
              </w:rPr>
              <w:t>17°52′28″</w:t>
            </w:r>
          </w:p>
        </w:tc>
      </w:tr>
      <w:tr w14:paraId="0379CD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59474839">
            <w:pPr>
              <w:widowControl/>
              <w:jc w:val="center"/>
              <w:rPr>
                <w:rFonts w:cs="宋体"/>
                <w:color w:val="0000FF"/>
              </w:rPr>
            </w:pPr>
            <w:r>
              <w:rPr>
                <w:rFonts w:cs="宋体"/>
                <w:color w:val="0000FF"/>
              </w:rPr>
              <w:t>2#</w:t>
            </w:r>
          </w:p>
        </w:tc>
        <w:tc>
          <w:tcPr>
            <w:tcW w:w="1270" w:type="dxa"/>
            <w:vMerge w:val="continue"/>
            <w:noWrap w:val="0"/>
            <w:vAlign w:val="center"/>
          </w:tcPr>
          <w:p w14:paraId="598B34D0">
            <w:pPr>
              <w:widowControl/>
              <w:jc w:val="center"/>
              <w:rPr>
                <w:color w:val="0000FF"/>
              </w:rPr>
            </w:pPr>
          </w:p>
        </w:tc>
        <w:tc>
          <w:tcPr>
            <w:tcW w:w="1702" w:type="dxa"/>
            <w:vMerge w:val="continue"/>
            <w:noWrap w:val="0"/>
            <w:vAlign w:val="center"/>
          </w:tcPr>
          <w:p w14:paraId="4319B2F7">
            <w:pPr>
              <w:widowControl/>
              <w:jc w:val="center"/>
              <w:rPr>
                <w:color w:val="0000FF"/>
              </w:rPr>
            </w:pPr>
          </w:p>
        </w:tc>
        <w:tc>
          <w:tcPr>
            <w:tcW w:w="885" w:type="dxa"/>
            <w:noWrap w:val="0"/>
            <w:vAlign w:val="center"/>
          </w:tcPr>
          <w:p w14:paraId="52AFE3E7">
            <w:pPr>
              <w:widowControl/>
              <w:jc w:val="center"/>
              <w:rPr>
                <w:rFonts w:hint="eastAsia"/>
                <w:color w:val="0000FF"/>
              </w:rPr>
            </w:pPr>
            <w:r>
              <w:rPr>
                <w:rFonts w:hint="eastAsia"/>
                <w:color w:val="0000FF"/>
              </w:rPr>
              <w:t>61.93</w:t>
            </w:r>
          </w:p>
        </w:tc>
        <w:tc>
          <w:tcPr>
            <w:tcW w:w="1433" w:type="dxa"/>
            <w:noWrap w:val="0"/>
            <w:vAlign w:val="center"/>
          </w:tcPr>
          <w:p w14:paraId="0979C414">
            <w:pPr>
              <w:widowControl/>
              <w:jc w:val="center"/>
              <w:rPr>
                <w:color w:val="0000FF"/>
              </w:rPr>
            </w:pPr>
            <w:r>
              <w:rPr>
                <w:color w:val="0000FF"/>
              </w:rPr>
              <w:t>3.2</w:t>
            </w:r>
          </w:p>
        </w:tc>
        <w:tc>
          <w:tcPr>
            <w:tcW w:w="1408" w:type="dxa"/>
            <w:noWrap w:val="0"/>
            <w:vAlign w:val="center"/>
          </w:tcPr>
          <w:p w14:paraId="28519761">
            <w:pPr>
              <w:widowControl/>
              <w:jc w:val="center"/>
              <w:rPr>
                <w:rFonts w:hint="eastAsia"/>
                <w:color w:val="0000FF"/>
              </w:rPr>
            </w:pPr>
            <w:r>
              <w:rPr>
                <w:rFonts w:hint="eastAsia"/>
                <w:color w:val="0000FF"/>
              </w:rPr>
              <w:t>18</w:t>
            </w:r>
          </w:p>
        </w:tc>
        <w:tc>
          <w:tcPr>
            <w:tcW w:w="1527" w:type="dxa"/>
            <w:noWrap w:val="0"/>
            <w:vAlign w:val="center"/>
          </w:tcPr>
          <w:p w14:paraId="1E3ABE69">
            <w:pPr>
              <w:widowControl/>
              <w:jc w:val="center"/>
              <w:rPr>
                <w:rFonts w:cs="宋体"/>
                <w:color w:val="0000FF"/>
              </w:rPr>
            </w:pPr>
            <w:r>
              <w:rPr>
                <w:rFonts w:hint="eastAsia"/>
                <w:color w:val="0000FF"/>
              </w:rPr>
              <w:t>14°21′1″</w:t>
            </w:r>
          </w:p>
        </w:tc>
      </w:tr>
      <w:tr w14:paraId="402237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242182D3">
            <w:pPr>
              <w:widowControl/>
              <w:jc w:val="center"/>
              <w:rPr>
                <w:rFonts w:cs="宋体"/>
                <w:color w:val="0000FF"/>
              </w:rPr>
            </w:pPr>
            <w:r>
              <w:rPr>
                <w:rFonts w:cs="宋体"/>
                <w:color w:val="0000FF"/>
              </w:rPr>
              <w:t>3#</w:t>
            </w:r>
          </w:p>
        </w:tc>
        <w:tc>
          <w:tcPr>
            <w:tcW w:w="1270" w:type="dxa"/>
            <w:vMerge w:val="continue"/>
            <w:noWrap w:val="0"/>
            <w:vAlign w:val="center"/>
          </w:tcPr>
          <w:p w14:paraId="0220F90E">
            <w:pPr>
              <w:widowControl/>
              <w:jc w:val="center"/>
              <w:rPr>
                <w:color w:val="0000FF"/>
              </w:rPr>
            </w:pPr>
          </w:p>
        </w:tc>
        <w:tc>
          <w:tcPr>
            <w:tcW w:w="1702" w:type="dxa"/>
            <w:vMerge w:val="continue"/>
            <w:noWrap w:val="0"/>
            <w:vAlign w:val="center"/>
          </w:tcPr>
          <w:p w14:paraId="6CCEC3BE">
            <w:pPr>
              <w:widowControl/>
              <w:jc w:val="center"/>
              <w:rPr>
                <w:color w:val="0000FF"/>
              </w:rPr>
            </w:pPr>
          </w:p>
        </w:tc>
        <w:tc>
          <w:tcPr>
            <w:tcW w:w="885" w:type="dxa"/>
            <w:noWrap w:val="0"/>
            <w:vAlign w:val="center"/>
          </w:tcPr>
          <w:p w14:paraId="0A9B8707">
            <w:pPr>
              <w:widowControl/>
              <w:jc w:val="center"/>
              <w:rPr>
                <w:rFonts w:hint="eastAsia"/>
                <w:color w:val="0000FF"/>
              </w:rPr>
            </w:pPr>
            <w:r>
              <w:rPr>
                <w:rFonts w:hint="eastAsia"/>
                <w:color w:val="0000FF"/>
              </w:rPr>
              <w:t>61.06</w:t>
            </w:r>
          </w:p>
        </w:tc>
        <w:tc>
          <w:tcPr>
            <w:tcW w:w="1433" w:type="dxa"/>
            <w:noWrap w:val="0"/>
            <w:vAlign w:val="center"/>
          </w:tcPr>
          <w:p w14:paraId="18F57F43">
            <w:pPr>
              <w:widowControl/>
              <w:jc w:val="center"/>
              <w:rPr>
                <w:color w:val="0000FF"/>
              </w:rPr>
            </w:pPr>
            <w:r>
              <w:rPr>
                <w:color w:val="0000FF"/>
              </w:rPr>
              <w:t>3.2</w:t>
            </w:r>
          </w:p>
        </w:tc>
        <w:tc>
          <w:tcPr>
            <w:tcW w:w="1408" w:type="dxa"/>
            <w:noWrap w:val="0"/>
            <w:vAlign w:val="center"/>
          </w:tcPr>
          <w:p w14:paraId="273C61F5">
            <w:pPr>
              <w:widowControl/>
              <w:jc w:val="center"/>
              <w:rPr>
                <w:rFonts w:hint="eastAsia"/>
                <w:color w:val="0000FF"/>
              </w:rPr>
            </w:pPr>
            <w:r>
              <w:rPr>
                <w:rFonts w:hint="eastAsia"/>
                <w:color w:val="0000FF"/>
              </w:rPr>
              <w:t>14</w:t>
            </w:r>
          </w:p>
        </w:tc>
        <w:tc>
          <w:tcPr>
            <w:tcW w:w="1527" w:type="dxa"/>
            <w:noWrap w:val="0"/>
            <w:vAlign w:val="center"/>
          </w:tcPr>
          <w:p w14:paraId="14ABBFAD">
            <w:pPr>
              <w:widowControl/>
              <w:jc w:val="center"/>
              <w:rPr>
                <w:color w:val="0000FF"/>
              </w:rPr>
            </w:pPr>
            <w:r>
              <w:rPr>
                <w:rFonts w:hint="eastAsia"/>
                <w:color w:val="0000FF"/>
              </w:rPr>
              <w:t>10°42′43″</w:t>
            </w:r>
          </w:p>
        </w:tc>
      </w:tr>
      <w:tr w14:paraId="3D7B36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11268BF4">
            <w:pPr>
              <w:widowControl/>
              <w:jc w:val="center"/>
              <w:rPr>
                <w:rFonts w:cs="宋体"/>
                <w:color w:val="0000FF"/>
              </w:rPr>
            </w:pPr>
            <w:r>
              <w:rPr>
                <w:rFonts w:cs="宋体"/>
                <w:color w:val="0000FF"/>
              </w:rPr>
              <w:t>4#</w:t>
            </w:r>
          </w:p>
        </w:tc>
        <w:tc>
          <w:tcPr>
            <w:tcW w:w="1270" w:type="dxa"/>
            <w:vMerge w:val="continue"/>
            <w:noWrap w:val="0"/>
            <w:vAlign w:val="center"/>
          </w:tcPr>
          <w:p w14:paraId="16451F5C">
            <w:pPr>
              <w:widowControl/>
              <w:jc w:val="center"/>
              <w:rPr>
                <w:color w:val="0000FF"/>
              </w:rPr>
            </w:pPr>
          </w:p>
        </w:tc>
        <w:tc>
          <w:tcPr>
            <w:tcW w:w="1702" w:type="dxa"/>
            <w:vMerge w:val="continue"/>
            <w:noWrap w:val="0"/>
            <w:vAlign w:val="center"/>
          </w:tcPr>
          <w:p w14:paraId="30EE368B">
            <w:pPr>
              <w:widowControl/>
              <w:jc w:val="center"/>
              <w:rPr>
                <w:color w:val="0000FF"/>
              </w:rPr>
            </w:pPr>
          </w:p>
        </w:tc>
        <w:tc>
          <w:tcPr>
            <w:tcW w:w="885" w:type="dxa"/>
            <w:noWrap w:val="0"/>
            <w:vAlign w:val="center"/>
          </w:tcPr>
          <w:p w14:paraId="4C563811">
            <w:pPr>
              <w:widowControl/>
              <w:jc w:val="center"/>
              <w:rPr>
                <w:rFonts w:hint="eastAsia"/>
                <w:color w:val="0000FF"/>
              </w:rPr>
            </w:pPr>
            <w:r>
              <w:rPr>
                <w:rFonts w:hint="eastAsia"/>
                <w:color w:val="0000FF"/>
              </w:rPr>
              <w:t>60.45</w:t>
            </w:r>
          </w:p>
        </w:tc>
        <w:tc>
          <w:tcPr>
            <w:tcW w:w="1433" w:type="dxa"/>
            <w:noWrap w:val="0"/>
            <w:vAlign w:val="center"/>
          </w:tcPr>
          <w:p w14:paraId="3D736D4F">
            <w:pPr>
              <w:widowControl/>
              <w:jc w:val="center"/>
              <w:rPr>
                <w:color w:val="0000FF"/>
              </w:rPr>
            </w:pPr>
            <w:r>
              <w:rPr>
                <w:color w:val="0000FF"/>
              </w:rPr>
              <w:t>3.2</w:t>
            </w:r>
          </w:p>
        </w:tc>
        <w:tc>
          <w:tcPr>
            <w:tcW w:w="1408" w:type="dxa"/>
            <w:noWrap w:val="0"/>
            <w:vAlign w:val="center"/>
          </w:tcPr>
          <w:p w14:paraId="159CAFE9">
            <w:pPr>
              <w:widowControl/>
              <w:jc w:val="center"/>
              <w:rPr>
                <w:rFonts w:hint="eastAsia"/>
                <w:color w:val="0000FF"/>
              </w:rPr>
            </w:pPr>
            <w:r>
              <w:rPr>
                <w:rFonts w:hint="eastAsia"/>
                <w:color w:val="0000FF"/>
              </w:rPr>
              <w:t>10</w:t>
            </w:r>
          </w:p>
        </w:tc>
        <w:tc>
          <w:tcPr>
            <w:tcW w:w="1527" w:type="dxa"/>
            <w:noWrap w:val="0"/>
            <w:vAlign w:val="center"/>
          </w:tcPr>
          <w:p w14:paraId="0A5DBECC">
            <w:pPr>
              <w:widowControl/>
              <w:jc w:val="center"/>
              <w:rPr>
                <w:rFonts w:cs="宋体"/>
                <w:color w:val="0000FF"/>
              </w:rPr>
            </w:pPr>
            <w:r>
              <w:rPr>
                <w:rFonts w:hint="eastAsia"/>
                <w:color w:val="0000FF"/>
              </w:rPr>
              <w:t>6°59′2″</w:t>
            </w:r>
          </w:p>
        </w:tc>
      </w:tr>
      <w:tr w14:paraId="612E35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529E06DC">
            <w:pPr>
              <w:widowControl/>
              <w:jc w:val="center"/>
              <w:rPr>
                <w:rFonts w:cs="宋体"/>
                <w:color w:val="0000FF"/>
              </w:rPr>
            </w:pPr>
            <w:r>
              <w:rPr>
                <w:rFonts w:cs="宋体"/>
                <w:color w:val="0000FF"/>
              </w:rPr>
              <w:t>5#</w:t>
            </w:r>
          </w:p>
        </w:tc>
        <w:tc>
          <w:tcPr>
            <w:tcW w:w="1270" w:type="dxa"/>
            <w:vMerge w:val="continue"/>
            <w:noWrap w:val="0"/>
            <w:vAlign w:val="center"/>
          </w:tcPr>
          <w:p w14:paraId="1DBFACC4">
            <w:pPr>
              <w:widowControl/>
              <w:jc w:val="center"/>
              <w:rPr>
                <w:color w:val="0000FF"/>
              </w:rPr>
            </w:pPr>
          </w:p>
        </w:tc>
        <w:tc>
          <w:tcPr>
            <w:tcW w:w="1702" w:type="dxa"/>
            <w:vMerge w:val="continue"/>
            <w:noWrap w:val="0"/>
            <w:vAlign w:val="center"/>
          </w:tcPr>
          <w:p w14:paraId="44EF274F">
            <w:pPr>
              <w:widowControl/>
              <w:jc w:val="center"/>
              <w:rPr>
                <w:color w:val="0000FF"/>
              </w:rPr>
            </w:pPr>
          </w:p>
        </w:tc>
        <w:tc>
          <w:tcPr>
            <w:tcW w:w="885" w:type="dxa"/>
            <w:noWrap w:val="0"/>
            <w:vAlign w:val="center"/>
          </w:tcPr>
          <w:p w14:paraId="1F603FA0">
            <w:pPr>
              <w:widowControl/>
              <w:jc w:val="center"/>
              <w:rPr>
                <w:rFonts w:hint="eastAsia"/>
                <w:color w:val="0000FF"/>
              </w:rPr>
            </w:pPr>
            <w:r>
              <w:rPr>
                <w:rFonts w:hint="eastAsia"/>
                <w:color w:val="0000FF"/>
              </w:rPr>
              <w:t>60.09</w:t>
            </w:r>
          </w:p>
        </w:tc>
        <w:tc>
          <w:tcPr>
            <w:tcW w:w="1433" w:type="dxa"/>
            <w:noWrap w:val="0"/>
            <w:vAlign w:val="center"/>
          </w:tcPr>
          <w:p w14:paraId="23471543">
            <w:pPr>
              <w:widowControl/>
              <w:jc w:val="center"/>
              <w:rPr>
                <w:color w:val="0000FF"/>
              </w:rPr>
            </w:pPr>
            <w:r>
              <w:rPr>
                <w:color w:val="0000FF"/>
              </w:rPr>
              <w:t>3.2</w:t>
            </w:r>
          </w:p>
        </w:tc>
        <w:tc>
          <w:tcPr>
            <w:tcW w:w="1408" w:type="dxa"/>
            <w:noWrap w:val="0"/>
            <w:vAlign w:val="center"/>
          </w:tcPr>
          <w:p w14:paraId="3675769D">
            <w:pPr>
              <w:widowControl/>
              <w:jc w:val="center"/>
              <w:rPr>
                <w:rFonts w:hint="eastAsia"/>
                <w:color w:val="0000FF"/>
              </w:rPr>
            </w:pPr>
            <w:r>
              <w:rPr>
                <w:rFonts w:hint="eastAsia"/>
                <w:color w:val="0000FF"/>
              </w:rPr>
              <w:t>6</w:t>
            </w:r>
          </w:p>
        </w:tc>
        <w:tc>
          <w:tcPr>
            <w:tcW w:w="1527" w:type="dxa"/>
            <w:noWrap w:val="0"/>
            <w:vAlign w:val="center"/>
          </w:tcPr>
          <w:p w14:paraId="685B2208">
            <w:pPr>
              <w:widowControl/>
              <w:jc w:val="center"/>
              <w:rPr>
                <w:color w:val="0000FF"/>
              </w:rPr>
            </w:pPr>
            <w:r>
              <w:rPr>
                <w:rFonts w:hint="eastAsia"/>
                <w:color w:val="0000FF"/>
              </w:rPr>
              <w:t>3°11′45″</w:t>
            </w:r>
          </w:p>
        </w:tc>
      </w:tr>
      <w:tr w14:paraId="336929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16CE581F">
            <w:pPr>
              <w:widowControl/>
              <w:jc w:val="center"/>
              <w:rPr>
                <w:rFonts w:cs="宋体"/>
                <w:color w:val="0000FF"/>
              </w:rPr>
            </w:pPr>
            <w:r>
              <w:rPr>
                <w:rFonts w:cs="宋体"/>
                <w:color w:val="0000FF"/>
              </w:rPr>
              <w:t>6#</w:t>
            </w:r>
          </w:p>
        </w:tc>
        <w:tc>
          <w:tcPr>
            <w:tcW w:w="1270" w:type="dxa"/>
            <w:vMerge w:val="continue"/>
            <w:noWrap w:val="0"/>
            <w:vAlign w:val="center"/>
          </w:tcPr>
          <w:p w14:paraId="5895E1A4">
            <w:pPr>
              <w:widowControl/>
              <w:jc w:val="center"/>
              <w:rPr>
                <w:color w:val="0000FF"/>
              </w:rPr>
            </w:pPr>
          </w:p>
        </w:tc>
        <w:tc>
          <w:tcPr>
            <w:tcW w:w="1702" w:type="dxa"/>
            <w:vMerge w:val="continue"/>
            <w:noWrap w:val="0"/>
            <w:vAlign w:val="center"/>
          </w:tcPr>
          <w:p w14:paraId="5DEEBF43">
            <w:pPr>
              <w:widowControl/>
              <w:jc w:val="center"/>
              <w:rPr>
                <w:color w:val="0000FF"/>
              </w:rPr>
            </w:pPr>
          </w:p>
        </w:tc>
        <w:tc>
          <w:tcPr>
            <w:tcW w:w="885" w:type="dxa"/>
            <w:noWrap w:val="0"/>
            <w:vAlign w:val="center"/>
          </w:tcPr>
          <w:p w14:paraId="4127C7CD">
            <w:pPr>
              <w:widowControl/>
              <w:jc w:val="center"/>
              <w:rPr>
                <w:rFonts w:hint="eastAsia"/>
                <w:color w:val="0000FF"/>
              </w:rPr>
            </w:pPr>
            <w:r>
              <w:rPr>
                <w:rFonts w:hint="eastAsia"/>
                <w:color w:val="0000FF"/>
              </w:rPr>
              <w:t>60.0</w:t>
            </w:r>
          </w:p>
        </w:tc>
        <w:tc>
          <w:tcPr>
            <w:tcW w:w="1433" w:type="dxa"/>
            <w:noWrap w:val="0"/>
            <w:vAlign w:val="center"/>
          </w:tcPr>
          <w:p w14:paraId="41732C41">
            <w:pPr>
              <w:widowControl/>
              <w:jc w:val="center"/>
              <w:rPr>
                <w:color w:val="0000FF"/>
              </w:rPr>
            </w:pPr>
            <w:r>
              <w:rPr>
                <w:color w:val="0000FF"/>
              </w:rPr>
              <w:t>3.2</w:t>
            </w:r>
          </w:p>
        </w:tc>
        <w:tc>
          <w:tcPr>
            <w:tcW w:w="1408" w:type="dxa"/>
            <w:noWrap w:val="0"/>
            <w:vAlign w:val="center"/>
          </w:tcPr>
          <w:p w14:paraId="0F1AF024">
            <w:pPr>
              <w:widowControl/>
              <w:jc w:val="center"/>
              <w:rPr>
                <w:color w:val="0000FF"/>
              </w:rPr>
            </w:pPr>
            <w:r>
              <w:rPr>
                <w:color w:val="0000FF"/>
              </w:rPr>
              <w:t>2</w:t>
            </w:r>
          </w:p>
        </w:tc>
        <w:tc>
          <w:tcPr>
            <w:tcW w:w="1527" w:type="dxa"/>
            <w:noWrap w:val="0"/>
            <w:vAlign w:val="center"/>
          </w:tcPr>
          <w:p w14:paraId="46AF8492">
            <w:pPr>
              <w:widowControl/>
              <w:jc w:val="center"/>
              <w:rPr>
                <w:color w:val="0000FF"/>
              </w:rPr>
            </w:pPr>
            <w:r>
              <w:rPr>
                <w:rFonts w:hint="eastAsia"/>
                <w:color w:val="0000FF"/>
              </w:rPr>
              <w:t>-0°37′14″</w:t>
            </w:r>
          </w:p>
        </w:tc>
      </w:tr>
      <w:tr w14:paraId="3AE27E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05DB8C31">
            <w:pPr>
              <w:widowControl/>
              <w:jc w:val="center"/>
              <w:rPr>
                <w:rFonts w:cs="宋体"/>
                <w:color w:val="0000FF"/>
              </w:rPr>
            </w:pPr>
            <w:r>
              <w:rPr>
                <w:rFonts w:hint="eastAsia" w:cs="宋体"/>
                <w:color w:val="0000FF"/>
              </w:rPr>
              <w:t>7</w:t>
            </w:r>
            <w:r>
              <w:rPr>
                <w:rFonts w:cs="宋体"/>
                <w:color w:val="0000FF"/>
              </w:rPr>
              <w:t>#</w:t>
            </w:r>
          </w:p>
        </w:tc>
        <w:tc>
          <w:tcPr>
            <w:tcW w:w="1270" w:type="dxa"/>
            <w:vMerge w:val="continue"/>
            <w:noWrap w:val="0"/>
            <w:vAlign w:val="center"/>
          </w:tcPr>
          <w:p w14:paraId="3420CD78">
            <w:pPr>
              <w:widowControl/>
              <w:jc w:val="center"/>
              <w:rPr>
                <w:color w:val="0000FF"/>
              </w:rPr>
            </w:pPr>
          </w:p>
        </w:tc>
        <w:tc>
          <w:tcPr>
            <w:tcW w:w="1702" w:type="dxa"/>
            <w:vMerge w:val="continue"/>
            <w:noWrap w:val="0"/>
            <w:vAlign w:val="center"/>
          </w:tcPr>
          <w:p w14:paraId="30615A7C">
            <w:pPr>
              <w:widowControl/>
              <w:jc w:val="center"/>
              <w:rPr>
                <w:color w:val="0000FF"/>
              </w:rPr>
            </w:pPr>
          </w:p>
        </w:tc>
        <w:tc>
          <w:tcPr>
            <w:tcW w:w="885" w:type="dxa"/>
            <w:noWrap w:val="0"/>
            <w:vAlign w:val="center"/>
          </w:tcPr>
          <w:p w14:paraId="4F0EC7F3">
            <w:pPr>
              <w:widowControl/>
              <w:jc w:val="center"/>
              <w:rPr>
                <w:rFonts w:hint="eastAsia"/>
                <w:color w:val="0000FF"/>
              </w:rPr>
            </w:pPr>
            <w:r>
              <w:rPr>
                <w:rFonts w:hint="eastAsia"/>
                <w:color w:val="0000FF"/>
              </w:rPr>
              <w:t>60.0</w:t>
            </w:r>
          </w:p>
        </w:tc>
        <w:tc>
          <w:tcPr>
            <w:tcW w:w="1433" w:type="dxa"/>
            <w:noWrap w:val="0"/>
            <w:vAlign w:val="center"/>
          </w:tcPr>
          <w:p w14:paraId="064C6ADB">
            <w:pPr>
              <w:widowControl/>
              <w:jc w:val="center"/>
              <w:rPr>
                <w:color w:val="0000FF"/>
              </w:rPr>
            </w:pPr>
            <w:r>
              <w:rPr>
                <w:color w:val="0000FF"/>
              </w:rPr>
              <w:t>3.2</w:t>
            </w:r>
          </w:p>
        </w:tc>
        <w:tc>
          <w:tcPr>
            <w:tcW w:w="1408" w:type="dxa"/>
            <w:noWrap w:val="0"/>
            <w:vAlign w:val="center"/>
          </w:tcPr>
          <w:p w14:paraId="0CA8D1BB">
            <w:pPr>
              <w:widowControl/>
              <w:jc w:val="center"/>
              <w:rPr>
                <w:rFonts w:hint="eastAsia"/>
                <w:color w:val="0000FF"/>
              </w:rPr>
            </w:pPr>
            <w:r>
              <w:rPr>
                <w:rFonts w:hint="eastAsia"/>
                <w:color w:val="0000FF"/>
              </w:rPr>
              <w:t>2</w:t>
            </w:r>
          </w:p>
        </w:tc>
        <w:tc>
          <w:tcPr>
            <w:tcW w:w="1527" w:type="dxa"/>
            <w:noWrap w:val="0"/>
            <w:vAlign w:val="center"/>
          </w:tcPr>
          <w:p w14:paraId="367667A2">
            <w:pPr>
              <w:widowControl/>
              <w:jc w:val="center"/>
              <w:rPr>
                <w:rFonts w:cs="宋体"/>
                <w:color w:val="0000FF"/>
              </w:rPr>
            </w:pPr>
            <w:r>
              <w:rPr>
                <w:rFonts w:hint="eastAsia"/>
                <w:color w:val="0000FF"/>
              </w:rPr>
              <w:t>-0°37′14″</w:t>
            </w:r>
          </w:p>
        </w:tc>
      </w:tr>
      <w:tr w14:paraId="0E56A3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6534CFD0">
            <w:pPr>
              <w:widowControl/>
              <w:jc w:val="center"/>
              <w:rPr>
                <w:rFonts w:cs="宋体"/>
                <w:color w:val="0000FF"/>
              </w:rPr>
            </w:pPr>
            <w:r>
              <w:rPr>
                <w:rFonts w:hint="eastAsia" w:cs="宋体"/>
                <w:color w:val="0000FF"/>
              </w:rPr>
              <w:t>8</w:t>
            </w:r>
            <w:r>
              <w:rPr>
                <w:rFonts w:cs="宋体"/>
                <w:color w:val="0000FF"/>
              </w:rPr>
              <w:t>#</w:t>
            </w:r>
          </w:p>
        </w:tc>
        <w:tc>
          <w:tcPr>
            <w:tcW w:w="1270" w:type="dxa"/>
            <w:vMerge w:val="continue"/>
            <w:noWrap w:val="0"/>
            <w:vAlign w:val="center"/>
          </w:tcPr>
          <w:p w14:paraId="2D36C269">
            <w:pPr>
              <w:widowControl/>
              <w:jc w:val="center"/>
              <w:rPr>
                <w:color w:val="0000FF"/>
              </w:rPr>
            </w:pPr>
          </w:p>
        </w:tc>
        <w:tc>
          <w:tcPr>
            <w:tcW w:w="1702" w:type="dxa"/>
            <w:vMerge w:val="continue"/>
            <w:noWrap w:val="0"/>
            <w:vAlign w:val="center"/>
          </w:tcPr>
          <w:p w14:paraId="67AD9E9F">
            <w:pPr>
              <w:widowControl/>
              <w:jc w:val="center"/>
              <w:rPr>
                <w:color w:val="0000FF"/>
              </w:rPr>
            </w:pPr>
          </w:p>
        </w:tc>
        <w:tc>
          <w:tcPr>
            <w:tcW w:w="885" w:type="dxa"/>
            <w:noWrap w:val="0"/>
            <w:vAlign w:val="center"/>
          </w:tcPr>
          <w:p w14:paraId="23F3A404">
            <w:pPr>
              <w:widowControl/>
              <w:jc w:val="center"/>
              <w:rPr>
                <w:rFonts w:hint="eastAsia"/>
                <w:color w:val="0000FF"/>
              </w:rPr>
            </w:pPr>
            <w:r>
              <w:rPr>
                <w:rFonts w:hint="eastAsia"/>
                <w:color w:val="0000FF"/>
              </w:rPr>
              <w:t>60.09</w:t>
            </w:r>
          </w:p>
        </w:tc>
        <w:tc>
          <w:tcPr>
            <w:tcW w:w="1433" w:type="dxa"/>
            <w:noWrap w:val="0"/>
            <w:vAlign w:val="center"/>
          </w:tcPr>
          <w:p w14:paraId="2582B9F9">
            <w:pPr>
              <w:widowControl/>
              <w:jc w:val="center"/>
              <w:rPr>
                <w:color w:val="0000FF"/>
              </w:rPr>
            </w:pPr>
            <w:r>
              <w:rPr>
                <w:color w:val="0000FF"/>
              </w:rPr>
              <w:t>3.2</w:t>
            </w:r>
          </w:p>
        </w:tc>
        <w:tc>
          <w:tcPr>
            <w:tcW w:w="1408" w:type="dxa"/>
            <w:noWrap w:val="0"/>
            <w:vAlign w:val="center"/>
          </w:tcPr>
          <w:p w14:paraId="29B0DC22">
            <w:pPr>
              <w:widowControl/>
              <w:jc w:val="center"/>
              <w:rPr>
                <w:rFonts w:hint="eastAsia"/>
                <w:color w:val="0000FF"/>
              </w:rPr>
            </w:pPr>
            <w:r>
              <w:rPr>
                <w:rFonts w:hint="eastAsia"/>
                <w:color w:val="0000FF"/>
              </w:rPr>
              <w:t>6</w:t>
            </w:r>
          </w:p>
        </w:tc>
        <w:tc>
          <w:tcPr>
            <w:tcW w:w="1527" w:type="dxa"/>
            <w:noWrap w:val="0"/>
            <w:vAlign w:val="center"/>
          </w:tcPr>
          <w:p w14:paraId="419F0E19">
            <w:pPr>
              <w:widowControl/>
              <w:jc w:val="center"/>
              <w:rPr>
                <w:color w:val="0000FF"/>
              </w:rPr>
            </w:pPr>
            <w:r>
              <w:rPr>
                <w:rFonts w:hint="eastAsia"/>
                <w:color w:val="0000FF"/>
              </w:rPr>
              <w:t>3°11′45″</w:t>
            </w:r>
          </w:p>
        </w:tc>
      </w:tr>
      <w:tr w14:paraId="70FB15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2B5E3C21">
            <w:pPr>
              <w:widowControl/>
              <w:jc w:val="center"/>
              <w:rPr>
                <w:rFonts w:cs="宋体"/>
                <w:color w:val="0000FF"/>
              </w:rPr>
            </w:pPr>
            <w:r>
              <w:rPr>
                <w:rFonts w:hint="eastAsia" w:cs="宋体"/>
                <w:color w:val="0000FF"/>
              </w:rPr>
              <w:t>9</w:t>
            </w:r>
            <w:r>
              <w:rPr>
                <w:rFonts w:cs="宋体"/>
                <w:color w:val="0000FF"/>
              </w:rPr>
              <w:t>#</w:t>
            </w:r>
          </w:p>
        </w:tc>
        <w:tc>
          <w:tcPr>
            <w:tcW w:w="1270" w:type="dxa"/>
            <w:vMerge w:val="continue"/>
            <w:noWrap w:val="0"/>
            <w:vAlign w:val="center"/>
          </w:tcPr>
          <w:p w14:paraId="4A759FD3">
            <w:pPr>
              <w:widowControl/>
              <w:jc w:val="center"/>
              <w:rPr>
                <w:color w:val="0000FF"/>
              </w:rPr>
            </w:pPr>
          </w:p>
        </w:tc>
        <w:tc>
          <w:tcPr>
            <w:tcW w:w="1702" w:type="dxa"/>
            <w:vMerge w:val="continue"/>
            <w:noWrap w:val="0"/>
            <w:vAlign w:val="center"/>
          </w:tcPr>
          <w:p w14:paraId="20CC16B4">
            <w:pPr>
              <w:widowControl/>
              <w:jc w:val="center"/>
              <w:rPr>
                <w:color w:val="0000FF"/>
              </w:rPr>
            </w:pPr>
          </w:p>
        </w:tc>
        <w:tc>
          <w:tcPr>
            <w:tcW w:w="885" w:type="dxa"/>
            <w:noWrap w:val="0"/>
            <w:vAlign w:val="center"/>
          </w:tcPr>
          <w:p w14:paraId="0B297590">
            <w:pPr>
              <w:widowControl/>
              <w:jc w:val="center"/>
              <w:rPr>
                <w:rFonts w:hint="eastAsia"/>
                <w:color w:val="0000FF"/>
              </w:rPr>
            </w:pPr>
            <w:r>
              <w:rPr>
                <w:rFonts w:hint="eastAsia"/>
                <w:color w:val="0000FF"/>
              </w:rPr>
              <w:t>60.45</w:t>
            </w:r>
          </w:p>
        </w:tc>
        <w:tc>
          <w:tcPr>
            <w:tcW w:w="1433" w:type="dxa"/>
            <w:noWrap w:val="0"/>
            <w:vAlign w:val="center"/>
          </w:tcPr>
          <w:p w14:paraId="4C901669">
            <w:pPr>
              <w:widowControl/>
              <w:jc w:val="center"/>
              <w:rPr>
                <w:rFonts w:hint="eastAsia"/>
                <w:color w:val="0000FF"/>
              </w:rPr>
            </w:pPr>
            <w:r>
              <w:rPr>
                <w:rFonts w:hint="eastAsia"/>
                <w:color w:val="0000FF"/>
              </w:rPr>
              <w:t>3.2</w:t>
            </w:r>
          </w:p>
        </w:tc>
        <w:tc>
          <w:tcPr>
            <w:tcW w:w="1408" w:type="dxa"/>
            <w:noWrap w:val="0"/>
            <w:vAlign w:val="center"/>
          </w:tcPr>
          <w:p w14:paraId="77CBC869">
            <w:pPr>
              <w:widowControl/>
              <w:jc w:val="center"/>
              <w:rPr>
                <w:rFonts w:hint="eastAsia"/>
                <w:color w:val="0000FF"/>
              </w:rPr>
            </w:pPr>
            <w:r>
              <w:rPr>
                <w:rFonts w:hint="eastAsia"/>
                <w:color w:val="0000FF"/>
              </w:rPr>
              <w:t>10</w:t>
            </w:r>
          </w:p>
        </w:tc>
        <w:tc>
          <w:tcPr>
            <w:tcW w:w="1527" w:type="dxa"/>
            <w:noWrap w:val="0"/>
            <w:vAlign w:val="center"/>
          </w:tcPr>
          <w:p w14:paraId="17F332A1">
            <w:pPr>
              <w:widowControl/>
              <w:jc w:val="center"/>
              <w:rPr>
                <w:color w:val="0000FF"/>
              </w:rPr>
            </w:pPr>
            <w:r>
              <w:rPr>
                <w:rFonts w:hint="eastAsia"/>
                <w:color w:val="0000FF"/>
              </w:rPr>
              <w:t>6°59′2″</w:t>
            </w:r>
          </w:p>
        </w:tc>
      </w:tr>
      <w:tr w14:paraId="4341C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47B3F791">
            <w:pPr>
              <w:widowControl/>
              <w:jc w:val="center"/>
              <w:rPr>
                <w:rFonts w:cs="宋体"/>
                <w:color w:val="0000FF"/>
              </w:rPr>
            </w:pPr>
            <w:r>
              <w:rPr>
                <w:rFonts w:hint="eastAsia" w:cs="宋体"/>
                <w:color w:val="0000FF"/>
              </w:rPr>
              <w:t>10</w:t>
            </w:r>
            <w:r>
              <w:rPr>
                <w:rFonts w:cs="宋体"/>
                <w:color w:val="0000FF"/>
              </w:rPr>
              <w:t>#</w:t>
            </w:r>
          </w:p>
        </w:tc>
        <w:tc>
          <w:tcPr>
            <w:tcW w:w="1270" w:type="dxa"/>
            <w:vMerge w:val="continue"/>
            <w:noWrap w:val="0"/>
            <w:vAlign w:val="center"/>
          </w:tcPr>
          <w:p w14:paraId="0FD683EB">
            <w:pPr>
              <w:widowControl/>
              <w:jc w:val="center"/>
              <w:rPr>
                <w:color w:val="0000FF"/>
              </w:rPr>
            </w:pPr>
          </w:p>
        </w:tc>
        <w:tc>
          <w:tcPr>
            <w:tcW w:w="1702" w:type="dxa"/>
            <w:vMerge w:val="continue"/>
            <w:noWrap w:val="0"/>
            <w:vAlign w:val="center"/>
          </w:tcPr>
          <w:p w14:paraId="2FD88041">
            <w:pPr>
              <w:widowControl/>
              <w:jc w:val="center"/>
              <w:rPr>
                <w:color w:val="0000FF"/>
              </w:rPr>
            </w:pPr>
          </w:p>
        </w:tc>
        <w:tc>
          <w:tcPr>
            <w:tcW w:w="885" w:type="dxa"/>
            <w:noWrap w:val="0"/>
            <w:vAlign w:val="center"/>
          </w:tcPr>
          <w:p w14:paraId="4FF3C610">
            <w:pPr>
              <w:widowControl/>
              <w:jc w:val="center"/>
              <w:rPr>
                <w:rFonts w:hint="eastAsia"/>
                <w:color w:val="0000FF"/>
              </w:rPr>
            </w:pPr>
            <w:r>
              <w:rPr>
                <w:rFonts w:hint="eastAsia"/>
                <w:color w:val="0000FF"/>
              </w:rPr>
              <w:t>61.06</w:t>
            </w:r>
          </w:p>
        </w:tc>
        <w:tc>
          <w:tcPr>
            <w:tcW w:w="1433" w:type="dxa"/>
            <w:noWrap w:val="0"/>
            <w:vAlign w:val="center"/>
          </w:tcPr>
          <w:p w14:paraId="3B52CD9A">
            <w:pPr>
              <w:widowControl/>
              <w:jc w:val="center"/>
              <w:rPr>
                <w:rFonts w:hint="eastAsia"/>
                <w:color w:val="0000FF"/>
              </w:rPr>
            </w:pPr>
            <w:r>
              <w:rPr>
                <w:rFonts w:hint="eastAsia"/>
                <w:color w:val="0000FF"/>
              </w:rPr>
              <w:t>3.2</w:t>
            </w:r>
          </w:p>
        </w:tc>
        <w:tc>
          <w:tcPr>
            <w:tcW w:w="1408" w:type="dxa"/>
            <w:noWrap w:val="0"/>
            <w:vAlign w:val="center"/>
          </w:tcPr>
          <w:p w14:paraId="324EE511">
            <w:pPr>
              <w:widowControl/>
              <w:jc w:val="center"/>
              <w:rPr>
                <w:rFonts w:hint="eastAsia"/>
                <w:color w:val="0000FF"/>
              </w:rPr>
            </w:pPr>
            <w:r>
              <w:rPr>
                <w:rFonts w:hint="eastAsia"/>
                <w:color w:val="0000FF"/>
              </w:rPr>
              <w:t>14</w:t>
            </w:r>
          </w:p>
        </w:tc>
        <w:tc>
          <w:tcPr>
            <w:tcW w:w="1527" w:type="dxa"/>
            <w:noWrap w:val="0"/>
            <w:vAlign w:val="center"/>
          </w:tcPr>
          <w:p w14:paraId="2F13E14F">
            <w:pPr>
              <w:widowControl/>
              <w:jc w:val="center"/>
              <w:rPr>
                <w:rFonts w:hint="eastAsia"/>
                <w:color w:val="0000FF"/>
              </w:rPr>
            </w:pPr>
            <w:r>
              <w:rPr>
                <w:rFonts w:hint="eastAsia"/>
                <w:color w:val="0000FF"/>
              </w:rPr>
              <w:t>10°42′43″</w:t>
            </w:r>
          </w:p>
        </w:tc>
      </w:tr>
      <w:tr w14:paraId="37CB6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700E37AE">
            <w:pPr>
              <w:widowControl/>
              <w:jc w:val="center"/>
              <w:rPr>
                <w:rFonts w:cs="宋体"/>
                <w:color w:val="0000FF"/>
              </w:rPr>
            </w:pPr>
            <w:r>
              <w:rPr>
                <w:rFonts w:hint="eastAsia" w:cs="宋体"/>
                <w:color w:val="0000FF"/>
              </w:rPr>
              <w:t>11</w:t>
            </w:r>
            <w:r>
              <w:rPr>
                <w:rFonts w:cs="宋体"/>
                <w:color w:val="0000FF"/>
              </w:rPr>
              <w:t>#</w:t>
            </w:r>
          </w:p>
        </w:tc>
        <w:tc>
          <w:tcPr>
            <w:tcW w:w="1270" w:type="dxa"/>
            <w:vMerge w:val="continue"/>
            <w:noWrap w:val="0"/>
            <w:vAlign w:val="center"/>
          </w:tcPr>
          <w:p w14:paraId="144B65A0">
            <w:pPr>
              <w:widowControl/>
              <w:jc w:val="center"/>
              <w:rPr>
                <w:color w:val="0000FF"/>
              </w:rPr>
            </w:pPr>
          </w:p>
        </w:tc>
        <w:tc>
          <w:tcPr>
            <w:tcW w:w="1702" w:type="dxa"/>
            <w:vMerge w:val="continue"/>
            <w:noWrap w:val="0"/>
            <w:vAlign w:val="center"/>
          </w:tcPr>
          <w:p w14:paraId="413295A5">
            <w:pPr>
              <w:widowControl/>
              <w:jc w:val="center"/>
              <w:rPr>
                <w:color w:val="0000FF"/>
              </w:rPr>
            </w:pPr>
          </w:p>
        </w:tc>
        <w:tc>
          <w:tcPr>
            <w:tcW w:w="885" w:type="dxa"/>
            <w:noWrap w:val="0"/>
            <w:vAlign w:val="center"/>
          </w:tcPr>
          <w:p w14:paraId="3EBDCBF5">
            <w:pPr>
              <w:widowControl/>
              <w:jc w:val="center"/>
              <w:rPr>
                <w:rFonts w:hint="eastAsia"/>
                <w:color w:val="0000FF"/>
              </w:rPr>
            </w:pPr>
            <w:r>
              <w:rPr>
                <w:rFonts w:hint="eastAsia"/>
                <w:color w:val="0000FF"/>
              </w:rPr>
              <w:t>61.93</w:t>
            </w:r>
          </w:p>
        </w:tc>
        <w:tc>
          <w:tcPr>
            <w:tcW w:w="1433" w:type="dxa"/>
            <w:noWrap w:val="0"/>
            <w:vAlign w:val="center"/>
          </w:tcPr>
          <w:p w14:paraId="037EFA65">
            <w:pPr>
              <w:widowControl/>
              <w:jc w:val="center"/>
              <w:rPr>
                <w:rFonts w:hint="eastAsia"/>
                <w:color w:val="0000FF"/>
              </w:rPr>
            </w:pPr>
            <w:r>
              <w:rPr>
                <w:rFonts w:hint="eastAsia"/>
                <w:color w:val="0000FF"/>
              </w:rPr>
              <w:t>3.2</w:t>
            </w:r>
          </w:p>
        </w:tc>
        <w:tc>
          <w:tcPr>
            <w:tcW w:w="1408" w:type="dxa"/>
            <w:noWrap w:val="0"/>
            <w:vAlign w:val="center"/>
          </w:tcPr>
          <w:p w14:paraId="39D7DFCD">
            <w:pPr>
              <w:widowControl/>
              <w:jc w:val="center"/>
              <w:rPr>
                <w:rFonts w:hint="eastAsia"/>
                <w:color w:val="0000FF"/>
              </w:rPr>
            </w:pPr>
            <w:r>
              <w:rPr>
                <w:rFonts w:hint="eastAsia"/>
                <w:color w:val="0000FF"/>
              </w:rPr>
              <w:t>18</w:t>
            </w:r>
          </w:p>
        </w:tc>
        <w:tc>
          <w:tcPr>
            <w:tcW w:w="1527" w:type="dxa"/>
            <w:noWrap w:val="0"/>
            <w:vAlign w:val="center"/>
          </w:tcPr>
          <w:p w14:paraId="1C149376">
            <w:pPr>
              <w:widowControl/>
              <w:jc w:val="center"/>
              <w:rPr>
                <w:rFonts w:cs="宋体"/>
                <w:color w:val="0000FF"/>
              </w:rPr>
            </w:pPr>
            <w:r>
              <w:rPr>
                <w:rFonts w:hint="eastAsia"/>
                <w:color w:val="0000FF"/>
              </w:rPr>
              <w:t>14°21′1″</w:t>
            </w:r>
          </w:p>
        </w:tc>
      </w:tr>
      <w:tr w14:paraId="02F9D0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787" w:type="dxa"/>
            <w:noWrap w:val="0"/>
            <w:vAlign w:val="center"/>
          </w:tcPr>
          <w:p w14:paraId="6428726C">
            <w:pPr>
              <w:widowControl/>
              <w:jc w:val="center"/>
              <w:rPr>
                <w:rFonts w:hint="eastAsia" w:cs="宋体"/>
                <w:color w:val="0000FF"/>
              </w:rPr>
            </w:pPr>
            <w:r>
              <w:rPr>
                <w:rFonts w:hint="eastAsia" w:cs="宋体"/>
                <w:color w:val="0000FF"/>
              </w:rPr>
              <w:t>12</w:t>
            </w:r>
            <w:r>
              <w:rPr>
                <w:rFonts w:cs="宋体"/>
                <w:color w:val="0000FF"/>
              </w:rPr>
              <w:t>#</w:t>
            </w:r>
          </w:p>
        </w:tc>
        <w:tc>
          <w:tcPr>
            <w:tcW w:w="1270" w:type="dxa"/>
            <w:vMerge w:val="continue"/>
            <w:noWrap w:val="0"/>
            <w:vAlign w:val="center"/>
          </w:tcPr>
          <w:p w14:paraId="40F705AE">
            <w:pPr>
              <w:widowControl/>
              <w:jc w:val="center"/>
              <w:rPr>
                <w:color w:val="0000FF"/>
              </w:rPr>
            </w:pPr>
          </w:p>
        </w:tc>
        <w:tc>
          <w:tcPr>
            <w:tcW w:w="1702" w:type="dxa"/>
            <w:vMerge w:val="continue"/>
            <w:noWrap w:val="0"/>
            <w:vAlign w:val="center"/>
          </w:tcPr>
          <w:p w14:paraId="0D727A45">
            <w:pPr>
              <w:widowControl/>
              <w:jc w:val="center"/>
              <w:rPr>
                <w:color w:val="0000FF"/>
              </w:rPr>
            </w:pPr>
          </w:p>
        </w:tc>
        <w:tc>
          <w:tcPr>
            <w:tcW w:w="885" w:type="dxa"/>
            <w:noWrap w:val="0"/>
            <w:vAlign w:val="center"/>
          </w:tcPr>
          <w:p w14:paraId="7D0D9CC6">
            <w:pPr>
              <w:widowControl/>
              <w:jc w:val="center"/>
              <w:rPr>
                <w:rFonts w:hint="eastAsia"/>
                <w:color w:val="0000FF"/>
              </w:rPr>
            </w:pPr>
            <w:r>
              <w:rPr>
                <w:rFonts w:hint="eastAsia"/>
                <w:color w:val="0000FF"/>
              </w:rPr>
              <w:t>63.04</w:t>
            </w:r>
          </w:p>
        </w:tc>
        <w:tc>
          <w:tcPr>
            <w:tcW w:w="1433" w:type="dxa"/>
            <w:noWrap w:val="0"/>
            <w:vAlign w:val="center"/>
          </w:tcPr>
          <w:p w14:paraId="728C7C24">
            <w:pPr>
              <w:widowControl/>
              <w:jc w:val="center"/>
              <w:rPr>
                <w:rFonts w:hint="eastAsia"/>
                <w:color w:val="0000FF"/>
              </w:rPr>
            </w:pPr>
            <w:r>
              <w:rPr>
                <w:rFonts w:hint="eastAsia"/>
                <w:color w:val="0000FF"/>
              </w:rPr>
              <w:t>3.2</w:t>
            </w:r>
          </w:p>
        </w:tc>
        <w:tc>
          <w:tcPr>
            <w:tcW w:w="1408" w:type="dxa"/>
            <w:noWrap w:val="0"/>
            <w:vAlign w:val="center"/>
          </w:tcPr>
          <w:p w14:paraId="45AABE84">
            <w:pPr>
              <w:widowControl/>
              <w:jc w:val="center"/>
              <w:rPr>
                <w:rFonts w:hint="eastAsia"/>
                <w:color w:val="0000FF"/>
              </w:rPr>
            </w:pPr>
            <w:r>
              <w:rPr>
                <w:rFonts w:hint="eastAsia"/>
                <w:color w:val="0000FF"/>
              </w:rPr>
              <w:t>22</w:t>
            </w:r>
          </w:p>
        </w:tc>
        <w:tc>
          <w:tcPr>
            <w:tcW w:w="1527" w:type="dxa"/>
            <w:noWrap w:val="0"/>
            <w:vAlign w:val="center"/>
          </w:tcPr>
          <w:p w14:paraId="37A8C107">
            <w:pPr>
              <w:widowControl/>
              <w:jc w:val="center"/>
              <w:rPr>
                <w:color w:val="0000FF"/>
              </w:rPr>
            </w:pPr>
            <w:r>
              <w:rPr>
                <w:rFonts w:hint="eastAsia"/>
                <w:color w:val="0000FF"/>
              </w:rPr>
              <w:t>17°52′28″</w:t>
            </w:r>
          </w:p>
        </w:tc>
      </w:tr>
    </w:tbl>
    <w:p w14:paraId="7A5FCB14">
      <w:pPr>
        <w:spacing w:line="360" w:lineRule="auto"/>
        <w:ind w:firstLine="480" w:firstLineChars="200"/>
        <w:rPr>
          <w:rFonts w:hint="eastAsia" w:ascii="宋体" w:hAnsi="宋体"/>
          <w:color w:val="0000FF"/>
          <w:sz w:val="24"/>
        </w:rPr>
      </w:pPr>
      <w:r>
        <w:rPr>
          <w:rFonts w:hint="eastAsia" w:ascii="宋体" w:hAnsi="宋体"/>
          <w:color w:val="0000FF"/>
          <w:sz w:val="24"/>
        </w:rPr>
        <w:t>另可采取在掘进迎头，直接打钻抽放，见图5-5-3此方法可减少掘进工程量，但掘进头必须等待瓦斯抽放，影响掘进进度。</w:t>
      </w:r>
    </w:p>
    <w:p w14:paraId="5952A0F9">
      <w:pPr>
        <w:spacing w:line="336" w:lineRule="auto"/>
        <w:rPr>
          <w:rFonts w:hint="eastAsia"/>
          <w:color w:val="000000"/>
        </w:rPr>
      </w:pPr>
      <w:r>
        <w:drawing>
          <wp:inline distT="0" distB="0" distL="114300" distR="114300">
            <wp:extent cx="5701665" cy="2637790"/>
            <wp:effectExtent l="0" t="0" r="0" b="0"/>
            <wp:docPr id="50"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3"/>
                    <pic:cNvPicPr>
                      <a:picLocks noChangeAspect="1"/>
                    </pic:cNvPicPr>
                  </pic:nvPicPr>
                  <pic:blipFill>
                    <a:blip r:embed="rId217"/>
                    <a:srcRect l="30115" t="34546" r="24687" b="21617"/>
                    <a:stretch>
                      <a:fillRect/>
                    </a:stretch>
                  </pic:blipFill>
                  <pic:spPr>
                    <a:xfrm>
                      <a:off x="0" y="0"/>
                      <a:ext cx="5701665" cy="2637790"/>
                    </a:xfrm>
                    <a:prstGeom prst="rect">
                      <a:avLst/>
                    </a:prstGeom>
                    <a:noFill/>
                    <a:ln>
                      <a:noFill/>
                    </a:ln>
                  </pic:spPr>
                </pic:pic>
              </a:graphicData>
            </a:graphic>
          </wp:inline>
        </w:drawing>
      </w:r>
    </w:p>
    <w:p w14:paraId="78C16850">
      <w:pPr>
        <w:spacing w:line="480" w:lineRule="exact"/>
        <w:jc w:val="center"/>
        <w:rPr>
          <w:rFonts w:hint="eastAsia" w:ascii="宋体" w:hAnsi="宋体"/>
          <w:color w:val="000000"/>
          <w:sz w:val="24"/>
        </w:rPr>
      </w:pPr>
      <w:r>
        <w:rPr>
          <w:rFonts w:hint="eastAsia" w:ascii="宋体" w:hAnsi="宋体"/>
          <w:color w:val="000000"/>
          <w:sz w:val="24"/>
        </w:rPr>
        <w:t>图5-5-3       掘进工作面钻孔布置示意图</w:t>
      </w:r>
    </w:p>
    <w:p w14:paraId="2DBDA099">
      <w:pPr>
        <w:spacing w:line="480" w:lineRule="exact"/>
        <w:ind w:firstLine="480" w:firstLineChars="200"/>
        <w:rPr>
          <w:rFonts w:hint="eastAsia" w:ascii="宋体" w:hAnsi="宋体"/>
          <w:color w:val="000000"/>
          <w:sz w:val="24"/>
        </w:rPr>
      </w:pPr>
      <w:r>
        <w:rPr>
          <w:rFonts w:hint="eastAsia" w:ascii="宋体" w:hAnsi="宋体"/>
          <w:color w:val="000000"/>
          <w:sz w:val="24"/>
        </w:rPr>
        <w:t>注：上图仅供参考，钻孔开孔位置应避开破碎处，钻孔的个数可以根据瓦斯及断面情况布置12-30个孔左右，可根据抽放情况增减。</w:t>
      </w:r>
    </w:p>
    <w:p w14:paraId="5B3BCE94">
      <w:pPr>
        <w:spacing w:line="480" w:lineRule="exact"/>
        <w:ind w:firstLine="480" w:firstLineChars="200"/>
        <w:rPr>
          <w:rFonts w:hint="eastAsia" w:ascii="宋体" w:hAnsi="宋体"/>
          <w:color w:val="000000"/>
          <w:sz w:val="24"/>
        </w:rPr>
      </w:pPr>
      <w:r>
        <w:rPr>
          <w:rFonts w:hint="eastAsia" w:ascii="宋体" w:hAnsi="宋体"/>
          <w:color w:val="000000"/>
          <w:sz w:val="24"/>
        </w:rPr>
        <w:t>3）</w:t>
      </w:r>
      <w:r>
        <w:rPr>
          <w:rFonts w:hint="eastAsia" w:ascii="宋体" w:hAnsi="宋体"/>
          <w:sz w:val="24"/>
        </w:rPr>
        <w:t>封孔工艺</w:t>
      </w:r>
    </w:p>
    <w:p w14:paraId="1A24F8FF">
      <w:pPr>
        <w:adjustRightInd w:val="0"/>
        <w:snapToGrid w:val="0"/>
        <w:spacing w:line="480" w:lineRule="exact"/>
        <w:ind w:firstLine="480" w:firstLineChars="200"/>
        <w:rPr>
          <w:rFonts w:hint="eastAsia" w:ascii="宋体" w:hAnsi="宋体"/>
          <w:sz w:val="24"/>
        </w:rPr>
      </w:pPr>
      <w:r>
        <w:rPr>
          <w:rFonts w:hint="eastAsia" w:ascii="宋体" w:hAnsi="宋体"/>
          <w:sz w:val="24"/>
        </w:rPr>
        <w:t>封孔工艺：钻孔采用聚氨酯封孔，对于井下封孔而言，主要要求聚氨酯在发泡后，其内所形成的孔为封闭孔，另外对发泡时间、发泡倍数、固化后的强度，可塑性等均有一定的要求。可选用聚氨酯封孔材料，在钻孔内6.4～7.5m深度封孔，钻孔密封段长度仅1m，既能保证密封严密，又可节省封孔材料。该聚氨酯封孔材料膨胀倍数20倍以上，聚氨酯发泡均匀、细小，孔隙又不联通，还有可塑性，适于动压区封孔；在抽放瓦斯负压60～80KPa、正压2MPa下，钻孔密封严实不漏气。</w:t>
      </w:r>
    </w:p>
    <w:p w14:paraId="674A0040">
      <w:pPr>
        <w:adjustRightInd w:val="0"/>
        <w:snapToGrid w:val="0"/>
        <w:spacing w:line="480" w:lineRule="exact"/>
        <w:ind w:firstLine="480" w:firstLineChars="200"/>
        <w:rPr>
          <w:rFonts w:hint="eastAsia" w:ascii="宋体" w:hAnsi="宋体"/>
          <w:sz w:val="24"/>
        </w:rPr>
      </w:pPr>
      <w:r>
        <w:rPr>
          <w:rFonts w:hint="eastAsia" w:ascii="宋体" w:hAnsi="宋体"/>
          <w:sz w:val="24"/>
        </w:rPr>
        <w:t>聚氨酯封孔采用卷缠药液法,缠药方法及钻孔内封孔管结构如图3-2所示。抽放管为内径50</w:t>
      </w:r>
      <w:r>
        <w:rPr>
          <w:rFonts w:ascii="宋体" w:hAnsi="宋体"/>
          <w:sz w:val="24"/>
        </w:rPr>
        <w:t>mm</w:t>
      </w:r>
      <w:r>
        <w:rPr>
          <w:rFonts w:hint="eastAsia" w:ascii="宋体" w:hAnsi="宋体"/>
          <w:sz w:val="24"/>
        </w:rPr>
        <w:t>的焊缝钢管，长为8</w:t>
      </w:r>
      <w:r>
        <w:rPr>
          <w:rFonts w:ascii="宋体" w:hAnsi="宋体"/>
          <w:sz w:val="24"/>
        </w:rPr>
        <w:t>m</w:t>
      </w:r>
      <w:r>
        <w:rPr>
          <w:rFonts w:hint="eastAsia" w:ascii="宋体" w:hAnsi="宋体"/>
          <w:sz w:val="24"/>
        </w:rPr>
        <w:t>，在管前端焊上铁档板，套上木塞和橡胶垫圈，距前端橡胶垫圈1</w:t>
      </w:r>
      <w:r>
        <w:rPr>
          <w:rFonts w:ascii="宋体" w:hAnsi="宋体"/>
          <w:sz w:val="24"/>
        </w:rPr>
        <w:t>m</w:t>
      </w:r>
      <w:r>
        <w:rPr>
          <w:rFonts w:hint="eastAsia" w:ascii="宋体" w:hAnsi="宋体"/>
          <w:sz w:val="24"/>
        </w:rPr>
        <w:t>处，再套上木塞和橡胶垫圈，并用铁线缠紧固定，在1</w:t>
      </w:r>
      <w:r>
        <w:rPr>
          <w:rFonts w:ascii="宋体" w:hAnsi="宋体"/>
          <w:sz w:val="24"/>
        </w:rPr>
        <w:t>m</w:t>
      </w:r>
      <w:r>
        <w:rPr>
          <w:rFonts w:hint="eastAsia" w:ascii="宋体" w:hAnsi="宋体"/>
          <w:sz w:val="24"/>
        </w:rPr>
        <w:t>间距内的抽放管上固定一块毛巾布（1</w:t>
      </w:r>
      <w:r>
        <w:rPr>
          <w:rFonts w:ascii="宋体" w:hAnsi="宋体"/>
          <w:sz w:val="24"/>
        </w:rPr>
        <w:t>m</w:t>
      </w:r>
      <w:r>
        <w:rPr>
          <w:rFonts w:hint="eastAsia" w:ascii="宋体" w:hAnsi="宋体"/>
          <w:sz w:val="24"/>
        </w:rPr>
        <w:t>×</w:t>
      </w:r>
      <w:r>
        <w:rPr>
          <w:rFonts w:ascii="宋体" w:hAnsi="宋体"/>
          <w:sz w:val="24"/>
        </w:rPr>
        <w:t>0.7m</w:t>
      </w:r>
      <w:r>
        <w:rPr>
          <w:rFonts w:hint="eastAsia" w:ascii="宋体" w:hAnsi="宋体"/>
          <w:sz w:val="24"/>
        </w:rPr>
        <w:t>）。封孔操作程序为：先称出封一个孔的甲、乙组成药液，分别装入两个容器，再将药液同时倒入混合桶，立即用棒快速搅拌均匀，当药液由黄褐色变为乳白色时，停止搅拌，将药液均匀倒在毛巾布上，边倒药液边向抽放管上卷缠毛巾布，并把卷缠好药液的封孔管迅速插入钻孔，大约5分钟后，药液开始发泡膨胀，20分钟后停止发泡，逐渐硬化固结。为了避免封孔管晃动影响封孔质量，孔口处用木塞楔紧。封一个钻孔的聚氨酯用量约为1Kg左右。</w:t>
      </w:r>
    </w:p>
    <w:p w14:paraId="4235F4AC">
      <w:pPr>
        <w:adjustRightInd w:val="0"/>
        <w:snapToGrid w:val="0"/>
        <w:spacing w:line="480" w:lineRule="exact"/>
        <w:ind w:firstLine="480" w:firstLineChars="200"/>
        <w:rPr>
          <w:rFonts w:hint="eastAsia" w:ascii="宋体" w:hAnsi="宋体"/>
          <w:sz w:val="24"/>
        </w:rPr>
      </w:pPr>
      <w:r>
        <w:rPr>
          <w:rFonts w:hint="eastAsia" w:ascii="宋体" w:hAnsi="宋体"/>
          <w:sz w:val="24"/>
        </w:rPr>
        <w:t>钻孔与管路的连接：聚氨酯封孔1小时后，便可与抽放管路连接（水泥砂浆封孔不但麻烦，还需经25小时后才可与抽放管路连接）。钻孔与管路连接处应设置流量计和阀门。钻孔封孔器与抽放管路的连接如图3-3所示。连接管采用胶管。预抽一定时间后，根据抽放量的大小决定停止抽放的时间，继续向前掘进，掘进到距钻底5m左右的超前距时，停止掘进，重新打钻孔抽放瓦斯，如此反复循环。</w:t>
      </w:r>
    </w:p>
    <w:p w14:paraId="125733DF">
      <w:pPr>
        <w:adjustRightInd w:val="0"/>
        <w:snapToGrid w:val="0"/>
        <w:spacing w:line="360" w:lineRule="auto"/>
        <w:rPr>
          <w:rFonts w:hint="eastAsia" w:ascii="宋体" w:hAnsi="宋体"/>
          <w:sz w:val="24"/>
        </w:rPr>
      </w:pPr>
      <w:r>
        <w:drawing>
          <wp:inline distT="0" distB="0" distL="114300" distR="114300">
            <wp:extent cx="5722620" cy="3367405"/>
            <wp:effectExtent l="0" t="0" r="0" b="4445"/>
            <wp:docPr id="51" name="图片 25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4" descr="未命名"/>
                    <pic:cNvPicPr>
                      <a:picLocks noChangeAspect="1"/>
                    </pic:cNvPicPr>
                  </pic:nvPicPr>
                  <pic:blipFill>
                    <a:blip r:embed="rId218"/>
                    <a:srcRect l="-7314" t="-822" r="-7166" b="29"/>
                    <a:stretch>
                      <a:fillRect/>
                    </a:stretch>
                  </pic:blipFill>
                  <pic:spPr>
                    <a:xfrm>
                      <a:off x="0" y="0"/>
                      <a:ext cx="5722620" cy="3367405"/>
                    </a:xfrm>
                    <a:prstGeom prst="rect">
                      <a:avLst/>
                    </a:prstGeom>
                    <a:noFill/>
                    <a:ln>
                      <a:noFill/>
                    </a:ln>
                  </pic:spPr>
                </pic:pic>
              </a:graphicData>
            </a:graphic>
          </wp:inline>
        </w:drawing>
      </w:r>
    </w:p>
    <w:p w14:paraId="58482A2D">
      <w:pPr>
        <w:adjustRightInd w:val="0"/>
        <w:snapToGrid w:val="0"/>
        <w:spacing w:line="360" w:lineRule="auto"/>
        <w:jc w:val="center"/>
        <w:rPr>
          <w:rFonts w:hint="eastAsia"/>
        </w:rPr>
      </w:pPr>
      <w:r>
        <w:object>
          <v:shape id="_x0000_i1160" o:spt="75" type="#_x0000_t75" style="height:336.5pt;width:402.9pt;" o:ole="t" filled="f" o:preferrelative="t" stroked="f" coordsize="21600,21600">
            <v:path/>
            <v:fill on="f" alignshape="1" focussize="0,0"/>
            <v:stroke on="f"/>
            <v:imagedata r:id="rId220" cropleft="13150f" croptop="19134f" cropright="44357f" cropbottom="32091f" o:title=""/>
            <o:lock v:ext="edit" aspectratio="t"/>
            <w10:wrap type="none"/>
            <w10:anchorlock/>
          </v:shape>
          <o:OLEObject Type="Embed" ProgID="AutoCAD.Drawing.16" ShapeID="_x0000_i1160" DrawAspect="Content" ObjectID="_1468075820" r:id="rId219">
            <o:LockedField>false</o:LockedField>
          </o:OLEObject>
        </w:object>
      </w:r>
    </w:p>
    <w:p w14:paraId="39A74C48">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 采煤工作面采用预抽实现先抽后采</w:t>
      </w:r>
    </w:p>
    <w:p w14:paraId="73C1C18D">
      <w:pPr>
        <w:spacing w:line="360" w:lineRule="auto"/>
        <w:ind w:firstLine="480" w:firstLineChars="200"/>
        <w:rPr>
          <w:rFonts w:hint="eastAsia" w:ascii="宋体" w:hAnsi="宋体"/>
          <w:b/>
          <w:sz w:val="24"/>
        </w:rPr>
      </w:pPr>
      <w:r>
        <w:rPr>
          <w:rFonts w:hint="eastAsia" w:ascii="宋体" w:hAnsi="宋体"/>
          <w:sz w:val="24"/>
        </w:rPr>
        <w:t>该方法钻孔揭露煤层的面积大，在煤层中打钻速度较快、成本低。在采取底板预抽后的回采工作面若瓦斯涌出量还较大或经底板预抽后煤层瓦斯含量仍然较大时，可采取沿煤层布置本煤层钻孔进行预抽，或是开采瓦斯含量小且采用未卸压抽放方法抽放薄及薄及中厚煤层瓦斯时，优先考虑沿层布孔方式，</w:t>
      </w:r>
      <w:r>
        <w:rPr>
          <w:rFonts w:hint="eastAsia" w:ascii="宋体" w:hAnsi="宋体"/>
          <w:b/>
          <w:sz w:val="24"/>
        </w:rPr>
        <w:t>见图5－5－4。</w:t>
      </w:r>
    </w:p>
    <w:p w14:paraId="56551B24">
      <w:pPr>
        <w:jc w:val="center"/>
        <w:rPr>
          <w:rFonts w:hint="eastAsia"/>
        </w:rPr>
      </w:pPr>
      <w:r>
        <w:drawing>
          <wp:inline distT="0" distB="0" distL="114300" distR="114300">
            <wp:extent cx="5503545" cy="2970530"/>
            <wp:effectExtent l="0" t="0" r="1905" b="1270"/>
            <wp:docPr id="52"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6"/>
                    <pic:cNvPicPr>
                      <a:picLocks noChangeAspect="1"/>
                    </pic:cNvPicPr>
                  </pic:nvPicPr>
                  <pic:blipFill>
                    <a:blip r:embed="rId158"/>
                    <a:srcRect l="21906" t="7803" r="13818" b="20255"/>
                    <a:stretch>
                      <a:fillRect/>
                    </a:stretch>
                  </pic:blipFill>
                  <pic:spPr>
                    <a:xfrm>
                      <a:off x="0" y="0"/>
                      <a:ext cx="5503545" cy="2970530"/>
                    </a:xfrm>
                    <a:prstGeom prst="rect">
                      <a:avLst/>
                    </a:prstGeom>
                    <a:noFill/>
                    <a:ln>
                      <a:noFill/>
                    </a:ln>
                  </pic:spPr>
                </pic:pic>
              </a:graphicData>
            </a:graphic>
          </wp:inline>
        </w:drawing>
      </w:r>
    </w:p>
    <w:p w14:paraId="6BEE3108">
      <w:pPr>
        <w:spacing w:before="120" w:beforeLines="50" w:line="360" w:lineRule="auto"/>
        <w:ind w:firstLine="567"/>
        <w:jc w:val="center"/>
        <w:rPr>
          <w:rFonts w:hint="eastAsia" w:ascii="宋体" w:hAnsi="宋体"/>
          <w:sz w:val="24"/>
        </w:rPr>
      </w:pPr>
      <w:r>
        <w:rPr>
          <w:rFonts w:hint="eastAsia" w:ascii="宋体" w:hAnsi="宋体"/>
          <w:sz w:val="24"/>
        </w:rPr>
        <w:t>图5－5－4    　开采层沿层钻孔抽放瓦斯示意图</w:t>
      </w:r>
    </w:p>
    <w:p w14:paraId="5BEF2E5D">
      <w:pPr>
        <w:adjustRightInd w:val="0"/>
        <w:snapToGrid w:val="0"/>
        <w:spacing w:line="360" w:lineRule="auto"/>
        <w:ind w:firstLine="480" w:firstLineChars="200"/>
        <w:rPr>
          <w:rFonts w:hint="eastAsia" w:ascii="宋体" w:hAnsi="宋体"/>
          <w:sz w:val="24"/>
        </w:rPr>
      </w:pPr>
      <w:r>
        <w:rPr>
          <w:rFonts w:hint="eastAsia" w:ascii="宋体" w:hAnsi="宋体"/>
          <w:color w:val="000000"/>
          <w:sz w:val="24"/>
        </w:rPr>
        <w:t>设计采煤工作面长度80m左右，为降低煤层开采时的瓦斯涌出量，在采煤工作面运输巷道每隔2-3m打钻孔进行煤层瓦斯预抽。钻孔深55-65m左右，钻孔角度75</w:t>
      </w:r>
      <w:r>
        <w:rPr>
          <w:rFonts w:ascii="宋体" w:hAnsi="宋体"/>
          <w:color w:val="000000"/>
          <w:sz w:val="24"/>
        </w:rPr>
        <w:t>—</w:t>
      </w:r>
      <w:r>
        <w:rPr>
          <w:rFonts w:hint="eastAsia" w:ascii="宋体" w:hAnsi="宋体"/>
          <w:color w:val="000000"/>
          <w:sz w:val="24"/>
        </w:rPr>
        <w:t>80度。</w:t>
      </w:r>
    </w:p>
    <w:p w14:paraId="6AC1ECE2">
      <w:pPr>
        <w:adjustRightInd w:val="0"/>
        <w:snapToGrid w:val="0"/>
        <w:spacing w:line="360" w:lineRule="auto"/>
        <w:ind w:firstLine="480" w:firstLineChars="200"/>
        <w:rPr>
          <w:rFonts w:ascii="宋体" w:hAnsi="宋体"/>
          <w:sz w:val="24"/>
        </w:rPr>
      </w:pPr>
      <w:r>
        <w:rPr>
          <w:rFonts w:hint="eastAsia" w:ascii="宋体" w:hAnsi="宋体"/>
          <w:sz w:val="24"/>
        </w:rPr>
        <w:t>4）留管抽放</w:t>
      </w:r>
    </w:p>
    <w:p w14:paraId="56C38BCD">
      <w:pPr>
        <w:adjustRightInd w:val="0"/>
        <w:snapToGrid w:val="0"/>
        <w:spacing w:line="360" w:lineRule="auto"/>
        <w:ind w:firstLine="480" w:firstLineChars="200"/>
        <w:rPr>
          <w:rFonts w:hint="eastAsia" w:ascii="宋体" w:hAnsi="宋体"/>
          <w:sz w:val="24"/>
        </w:rPr>
      </w:pPr>
      <w:r>
        <w:rPr>
          <w:rFonts w:ascii="宋体" w:hAnsi="宋体"/>
          <w:sz w:val="24"/>
        </w:rPr>
        <w:t xml:space="preserve"> </w:t>
      </w:r>
      <w:r>
        <w:rPr>
          <w:rFonts w:hint="eastAsia" w:ascii="宋体" w:hAnsi="宋体"/>
          <w:sz w:val="24"/>
        </w:rPr>
        <w:t>留管抽放：指采煤工作面在回采前，提前在回风巷安设瓦斯管路至采面上隅角附近，并由里向外每间隔</w:t>
      </w:r>
      <w:r>
        <w:rPr>
          <w:rFonts w:ascii="宋体" w:hAnsi="宋体"/>
          <w:sz w:val="24"/>
        </w:rPr>
        <w:t>25-30m</w:t>
      </w:r>
      <w:r>
        <w:rPr>
          <w:rFonts w:hint="eastAsia" w:ascii="宋体" w:hAnsi="宋体"/>
          <w:sz w:val="24"/>
        </w:rPr>
        <w:t>安装一个三通，以便工作面上隅角推进到三通位置时安装条形抽放咀，当工作面上隅角推进到三通位置时，便打开三通堵板，利用抽放咀抽放工作面上隅角和采空区的瓦斯。针对本矿井下实际情况，当采煤工作面构成通风系统准备回采之前，将瓦斯管路经采面回风巷铺设到采面上隅角附近，并由里向外每间隔30m安装一个三通，当工作面上隅角推进到三通位置时，便打开三通堵板安装条形抽放咀，利用抽放咀抽放工作面上隅角和采空区的瓦斯。</w:t>
      </w:r>
    </w:p>
    <w:p w14:paraId="0315AC97">
      <w:pPr>
        <w:adjustRightInd w:val="0"/>
        <w:snapToGrid w:val="0"/>
        <w:spacing w:line="360" w:lineRule="auto"/>
        <w:ind w:firstLine="480" w:firstLineChars="200"/>
        <w:rPr>
          <w:rFonts w:hint="eastAsia" w:ascii="宋体" w:hAnsi="宋体"/>
          <w:sz w:val="24"/>
        </w:rPr>
      </w:pPr>
      <w:r>
        <w:rPr>
          <w:rFonts w:hint="eastAsia" w:ascii="宋体" w:hAnsi="宋体"/>
          <w:sz w:val="24"/>
        </w:rPr>
        <w:t>此种抽放方法在回采工作面瓦斯涌出量不大，但该回采工作面上隅角瓦斯又经常超限时使用，能够取得较好的效果，其布置方式如附图所示。</w:t>
      </w:r>
    </w:p>
    <w:p w14:paraId="09DF46DB">
      <w:pPr>
        <w:adjustRightInd w:val="0"/>
        <w:snapToGrid w:val="0"/>
        <w:spacing w:line="360" w:lineRule="auto"/>
        <w:jc w:val="center"/>
        <w:rPr>
          <w:rFonts w:hint="eastAsia"/>
        </w:rPr>
      </w:pPr>
      <w:r>
        <w:object>
          <v:shape id="_x0000_i1162" o:spt="75" type="#_x0000_t75" style="height:303.6pt;width:380.5pt;" o:ole="t" filled="f" o:preferrelative="t" stroked="f" coordsize="21600,21600">
            <v:path/>
            <v:fill on="f" alignshape="1" focussize="0,0"/>
            <v:stroke on="f"/>
            <v:imagedata r:id="rId222" cropleft="24553f" croptop="10617f" cropright="24893f" cropbottom="13082f" o:title=""/>
            <o:lock v:ext="edit" aspectratio="t"/>
            <w10:wrap type="none"/>
            <w10:anchorlock/>
          </v:shape>
          <o:OLEObject Type="Embed" ProgID="AutoCAD.Drawing.16" ShapeID="_x0000_i1162" DrawAspect="Content" ObjectID="_1468075821" r:id="rId221">
            <o:LockedField>false</o:LockedField>
          </o:OLEObject>
        </w:object>
      </w:r>
    </w:p>
    <w:p w14:paraId="493491AE">
      <w:pPr>
        <w:adjustRightInd w:val="0"/>
        <w:snapToGrid w:val="0"/>
        <w:spacing w:line="360" w:lineRule="auto"/>
        <w:jc w:val="center"/>
        <w:rPr>
          <w:rFonts w:hint="eastAsia" w:ascii="宋体" w:hAnsi="宋体"/>
          <w:sz w:val="24"/>
        </w:rPr>
      </w:pPr>
      <w:r>
        <w:rPr>
          <w:rFonts w:hint="eastAsia" w:ascii="宋体" w:hAnsi="宋体"/>
          <w:b/>
          <w:sz w:val="24"/>
        </w:rPr>
        <w:t>图5－5－5</w:t>
      </w:r>
      <w:r>
        <w:rPr>
          <w:rFonts w:ascii="宋体" w:hAnsi="宋体"/>
          <w:b/>
          <w:sz w:val="24"/>
        </w:rPr>
        <w:t xml:space="preserve"> </w:t>
      </w:r>
      <w:r>
        <w:rPr>
          <w:rFonts w:hint="eastAsia" w:ascii="宋体" w:hAnsi="宋体"/>
          <w:b/>
          <w:sz w:val="24"/>
        </w:rPr>
        <w:t>　　留管抽放安装示意图</w:t>
      </w:r>
    </w:p>
    <w:p w14:paraId="75595D38">
      <w:pPr>
        <w:spacing w:line="360" w:lineRule="auto"/>
        <w:ind w:firstLine="480" w:firstLineChars="200"/>
        <w:rPr>
          <w:rFonts w:hint="eastAsia" w:ascii="宋体" w:hAnsi="宋体"/>
          <w:sz w:val="24"/>
        </w:rPr>
      </w:pPr>
      <w:r>
        <w:rPr>
          <w:rFonts w:hint="eastAsia" w:ascii="宋体" w:hAnsi="宋体"/>
          <w:sz w:val="24"/>
        </w:rPr>
        <w:t>采取采空区留管抽放，必须经常检测抽放管路中CO和气体温度等有关参数的变化，发现有自燃发火征兆时，必须采取防止煤自燃的措施。</w:t>
      </w:r>
    </w:p>
    <w:p w14:paraId="55BFAAC4">
      <w:pPr>
        <w:spacing w:line="360" w:lineRule="auto"/>
        <w:ind w:firstLine="480" w:firstLineChars="200"/>
        <w:rPr>
          <w:rFonts w:ascii="宋体" w:hAnsi="宋体"/>
          <w:sz w:val="24"/>
        </w:rPr>
      </w:pPr>
      <w:r>
        <w:rPr>
          <w:rFonts w:hint="eastAsia" w:ascii="宋体" w:hAnsi="宋体"/>
          <w:color w:val="000000"/>
          <w:sz w:val="24"/>
        </w:rPr>
        <w:t>3．</w:t>
      </w:r>
      <w:r>
        <w:rPr>
          <w:rFonts w:ascii="宋体" w:hAnsi="宋体"/>
          <w:sz w:val="24"/>
        </w:rPr>
        <w:t>瓦斯抽放效果检验</w:t>
      </w:r>
    </w:p>
    <w:p w14:paraId="6D58EADF">
      <w:pPr>
        <w:spacing w:line="360" w:lineRule="auto"/>
        <w:ind w:firstLine="480" w:firstLineChars="200"/>
        <w:rPr>
          <w:rFonts w:hint="eastAsia" w:ascii="宋体" w:hAnsi="宋体"/>
          <w:sz w:val="24"/>
        </w:rPr>
      </w:pPr>
      <w:r>
        <w:rPr>
          <w:rFonts w:hint="eastAsia" w:ascii="宋体" w:hAnsi="宋体"/>
          <w:sz w:val="24"/>
        </w:rPr>
        <w:t>1）突出煤层工作面采掘作业前必须将控制范围内煤层的瓦斯含量降到煤层始突深度的瓦斯含量以下或瓦斯压力降到煤层始突深度的煤层瓦斯压力以下。若没能考察出煤层始突深度的煤层瓦斯含量或压力，则必须将煤层瓦斯含量降到8m</w:t>
      </w:r>
      <w:r>
        <w:rPr>
          <w:rFonts w:hint="eastAsia" w:ascii="宋体" w:hAnsi="宋体"/>
          <w:sz w:val="24"/>
          <w:vertAlign w:val="superscript"/>
        </w:rPr>
        <w:t>3</w:t>
      </w:r>
      <w:r>
        <w:rPr>
          <w:rFonts w:hint="eastAsia" w:ascii="宋体" w:hAnsi="宋体"/>
          <w:sz w:val="24"/>
        </w:rPr>
        <w:t>/t以下，或将煤层瓦斯压力降到0.74MPa（表压）以下。控制范围如下：</w:t>
      </w:r>
    </w:p>
    <w:p w14:paraId="38659222">
      <w:pPr>
        <w:spacing w:line="360" w:lineRule="auto"/>
        <w:ind w:firstLine="480" w:firstLineChars="200"/>
        <w:rPr>
          <w:rFonts w:hint="eastAsia" w:ascii="宋体" w:hAnsi="宋体"/>
          <w:sz w:val="24"/>
        </w:rPr>
      </w:pPr>
      <w:r>
        <w:rPr>
          <w:rFonts w:hint="eastAsia" w:ascii="宋体" w:hAnsi="宋体"/>
          <w:sz w:val="24"/>
        </w:rPr>
        <w:t>①石门（井筒）揭煤工作面控制范围应根据煤层的实际突出危险程度确定，但必须控制到巷道轮廓线外8m以上（煤层倾角&gt;8º时，底部或下帮5m）。钻孔必须穿透煤层的顶（底）板0.5m以上。若不能穿透煤层全厚，必须控制到工作面前方15m以上。</w:t>
      </w:r>
    </w:p>
    <w:p w14:paraId="4B2F457C">
      <w:pPr>
        <w:spacing w:line="360" w:lineRule="auto"/>
        <w:ind w:firstLine="480" w:firstLineChars="200"/>
        <w:rPr>
          <w:rFonts w:hint="eastAsia" w:ascii="宋体" w:hAnsi="宋体"/>
          <w:sz w:val="24"/>
        </w:rPr>
      </w:pPr>
      <w:r>
        <w:rPr>
          <w:rFonts w:hint="eastAsia" w:ascii="宋体" w:hAnsi="宋体"/>
          <w:sz w:val="24"/>
        </w:rPr>
        <w:t>②煤巷掘进工作面控制范围为：巷道轮廓线外8m以上（煤层倾角&gt;8º时，底部或下帮5m）及工作面前方10m以上。</w:t>
      </w:r>
    </w:p>
    <w:p w14:paraId="525C1E15">
      <w:pPr>
        <w:spacing w:line="360" w:lineRule="auto"/>
        <w:ind w:firstLine="480" w:firstLineChars="200"/>
        <w:rPr>
          <w:rFonts w:hint="eastAsia" w:ascii="宋体" w:hAnsi="宋体"/>
          <w:sz w:val="24"/>
        </w:rPr>
      </w:pPr>
      <w:r>
        <w:rPr>
          <w:rFonts w:hint="eastAsia" w:ascii="宋体" w:hAnsi="宋体"/>
          <w:sz w:val="24"/>
        </w:rPr>
        <w:t>③采煤工作面控制范围为：工作面前方20m以上。</w:t>
      </w:r>
    </w:p>
    <w:p w14:paraId="347E0CB1">
      <w:pPr>
        <w:spacing w:line="360" w:lineRule="auto"/>
        <w:ind w:firstLine="480" w:firstLineChars="200"/>
        <w:rPr>
          <w:rFonts w:ascii="宋体" w:hAnsi="宋体"/>
          <w:color w:val="000000"/>
          <w:sz w:val="24"/>
        </w:rPr>
      </w:pPr>
      <w:r>
        <w:rPr>
          <w:rFonts w:hint="eastAsia" w:ascii="宋体" w:hAnsi="宋体"/>
          <w:color w:val="000000"/>
          <w:sz w:val="24"/>
        </w:rPr>
        <w:t xml:space="preserve">4 </w:t>
      </w:r>
      <w:r>
        <w:rPr>
          <w:rFonts w:ascii="宋体" w:hAnsi="宋体"/>
          <w:color w:val="000000"/>
          <w:sz w:val="24"/>
        </w:rPr>
        <w:t>设备选型及主要检测仪表</w:t>
      </w:r>
    </w:p>
    <w:p w14:paraId="2F701C42">
      <w:pPr>
        <w:spacing w:line="360" w:lineRule="auto"/>
        <w:ind w:firstLine="480" w:firstLineChars="200"/>
        <w:jc w:val="left"/>
        <w:rPr>
          <w:rFonts w:ascii="宋体" w:hAnsi="宋体"/>
          <w:kern w:val="0"/>
          <w:sz w:val="24"/>
        </w:rPr>
      </w:pPr>
      <w:r>
        <w:rPr>
          <w:rFonts w:hint="eastAsia" w:ascii="宋体" w:hAnsi="宋体"/>
          <w:kern w:val="0"/>
          <w:sz w:val="24"/>
        </w:rPr>
        <w:t>①</w:t>
      </w:r>
      <w:r>
        <w:rPr>
          <w:rFonts w:ascii="宋体" w:hAnsi="宋体"/>
          <w:kern w:val="0"/>
          <w:sz w:val="24"/>
        </w:rPr>
        <w:t xml:space="preserve"> 钻机</w:t>
      </w:r>
    </w:p>
    <w:p w14:paraId="10EF3C17">
      <w:pPr>
        <w:spacing w:line="360" w:lineRule="auto"/>
        <w:ind w:firstLine="480" w:firstLineChars="200"/>
        <w:jc w:val="left"/>
        <w:rPr>
          <w:rFonts w:ascii="宋体" w:hAnsi="宋体"/>
          <w:kern w:val="0"/>
          <w:sz w:val="24"/>
        </w:rPr>
      </w:pPr>
      <w:r>
        <w:rPr>
          <w:rFonts w:ascii="宋体" w:hAnsi="宋体"/>
          <w:kern w:val="0"/>
          <w:sz w:val="24"/>
        </w:rPr>
        <w:t>选用ZYG-150G钻机</w:t>
      </w:r>
      <w:r>
        <w:rPr>
          <w:rFonts w:hint="eastAsia" w:ascii="宋体" w:hAnsi="宋体"/>
          <w:kern w:val="0"/>
          <w:sz w:val="24"/>
        </w:rPr>
        <w:t>4</w:t>
      </w:r>
      <w:r>
        <w:rPr>
          <w:rFonts w:ascii="宋体" w:hAnsi="宋体"/>
          <w:kern w:val="0"/>
          <w:sz w:val="24"/>
        </w:rPr>
        <w:t>台，钻进深度150m，开孔直径φ87、φ115mm，终孔直径φ65mm，电机功率15kw，外形尺寸2107×380×355mm。</w:t>
      </w:r>
    </w:p>
    <w:p w14:paraId="157F3165">
      <w:pPr>
        <w:spacing w:line="360" w:lineRule="auto"/>
        <w:ind w:firstLine="480" w:firstLineChars="200"/>
        <w:jc w:val="left"/>
        <w:rPr>
          <w:rFonts w:hint="eastAsia" w:ascii="宋体" w:hAnsi="宋体"/>
          <w:kern w:val="0"/>
          <w:sz w:val="24"/>
        </w:rPr>
      </w:pPr>
      <w:r>
        <w:rPr>
          <w:rFonts w:hint="eastAsia" w:ascii="宋体" w:hAnsi="宋体"/>
          <w:kern w:val="0"/>
          <w:sz w:val="24"/>
        </w:rPr>
        <w:t>②</w:t>
      </w:r>
      <w:r>
        <w:rPr>
          <w:rFonts w:ascii="宋体" w:hAnsi="宋体"/>
          <w:kern w:val="0"/>
          <w:sz w:val="24"/>
        </w:rPr>
        <w:t xml:space="preserve"> 主要检测仪表 （见</w:t>
      </w:r>
      <w:r>
        <w:rPr>
          <w:rFonts w:ascii="宋体" w:hAnsi="宋体"/>
          <w:b/>
          <w:kern w:val="0"/>
          <w:sz w:val="24"/>
        </w:rPr>
        <w:t>表</w:t>
      </w:r>
      <w:r>
        <w:rPr>
          <w:rFonts w:hint="eastAsia" w:ascii="宋体" w:hAnsi="宋体"/>
          <w:b/>
          <w:kern w:val="0"/>
          <w:sz w:val="24"/>
        </w:rPr>
        <w:t>5－</w:t>
      </w:r>
      <w:r>
        <w:rPr>
          <w:rFonts w:ascii="宋体" w:hAnsi="宋体"/>
          <w:b/>
          <w:kern w:val="0"/>
          <w:sz w:val="24"/>
        </w:rPr>
        <w:t>5</w:t>
      </w:r>
      <w:r>
        <w:rPr>
          <w:rFonts w:hint="eastAsia" w:ascii="宋体" w:hAnsi="宋体"/>
          <w:b/>
          <w:kern w:val="0"/>
          <w:sz w:val="24"/>
        </w:rPr>
        <w:t>－6</w:t>
      </w:r>
      <w:r>
        <w:rPr>
          <w:rFonts w:ascii="宋体" w:hAnsi="宋体"/>
          <w:kern w:val="0"/>
          <w:sz w:val="24"/>
        </w:rPr>
        <w:t>）。</w:t>
      </w:r>
    </w:p>
    <w:p w14:paraId="152411F3">
      <w:pPr>
        <w:spacing w:line="360" w:lineRule="auto"/>
        <w:ind w:firstLine="480" w:firstLineChars="200"/>
        <w:jc w:val="center"/>
        <w:rPr>
          <w:rFonts w:hint="eastAsia" w:ascii="宋体" w:hAnsi="宋体"/>
          <w:kern w:val="0"/>
          <w:sz w:val="24"/>
        </w:rPr>
      </w:pPr>
      <w:r>
        <w:rPr>
          <w:rFonts w:ascii="宋体" w:hAnsi="宋体"/>
          <w:kern w:val="0"/>
          <w:sz w:val="24"/>
        </w:rPr>
        <w:t>表</w:t>
      </w:r>
      <w:r>
        <w:rPr>
          <w:rFonts w:hint="eastAsia" w:ascii="宋体" w:hAnsi="宋体"/>
          <w:kern w:val="0"/>
          <w:sz w:val="24"/>
        </w:rPr>
        <w:t>5－</w:t>
      </w:r>
      <w:r>
        <w:rPr>
          <w:rFonts w:ascii="宋体" w:hAnsi="宋体"/>
          <w:kern w:val="0"/>
          <w:sz w:val="24"/>
        </w:rPr>
        <w:t>5</w:t>
      </w:r>
      <w:r>
        <w:rPr>
          <w:rFonts w:hint="eastAsia" w:ascii="宋体" w:hAnsi="宋体"/>
          <w:kern w:val="0"/>
          <w:sz w:val="24"/>
        </w:rPr>
        <w:t>－6　　　　　　　</w:t>
      </w:r>
      <w:r>
        <w:rPr>
          <w:rFonts w:ascii="宋体" w:hAnsi="宋体"/>
          <w:kern w:val="0"/>
          <w:sz w:val="24"/>
        </w:rPr>
        <w:t>矿井主要检测仪表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2"/>
        <w:gridCol w:w="3594"/>
        <w:gridCol w:w="1949"/>
        <w:gridCol w:w="816"/>
        <w:gridCol w:w="743"/>
        <w:gridCol w:w="1213"/>
      </w:tblGrid>
      <w:tr w14:paraId="20301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6CDC7694">
            <w:pPr>
              <w:jc w:val="center"/>
              <w:rPr>
                <w:rFonts w:hint="eastAsia" w:ascii="宋体" w:hAnsi="宋体"/>
                <w:color w:val="000000"/>
              </w:rPr>
            </w:pPr>
            <w:r>
              <w:rPr>
                <w:rFonts w:ascii="宋体" w:hAnsi="宋体"/>
                <w:color w:val="000000"/>
              </w:rPr>
              <w:t>序</w:t>
            </w:r>
            <w:r>
              <w:rPr>
                <w:rFonts w:hint="eastAsia" w:ascii="宋体" w:hAnsi="宋体"/>
                <w:color w:val="000000"/>
              </w:rPr>
              <w:t>号</w:t>
            </w:r>
          </w:p>
        </w:tc>
        <w:tc>
          <w:tcPr>
            <w:tcW w:w="3594" w:type="dxa"/>
            <w:noWrap w:val="0"/>
            <w:vAlign w:val="center"/>
          </w:tcPr>
          <w:p w14:paraId="63184672">
            <w:pPr>
              <w:jc w:val="center"/>
              <w:rPr>
                <w:rFonts w:ascii="宋体" w:hAnsi="宋体"/>
                <w:color w:val="000000"/>
              </w:rPr>
            </w:pPr>
            <w:r>
              <w:rPr>
                <w:rFonts w:ascii="宋体" w:hAnsi="宋体"/>
                <w:color w:val="000000"/>
              </w:rPr>
              <w:t>设备及材料名称</w:t>
            </w:r>
          </w:p>
        </w:tc>
        <w:tc>
          <w:tcPr>
            <w:tcW w:w="1949" w:type="dxa"/>
            <w:noWrap w:val="0"/>
            <w:vAlign w:val="center"/>
          </w:tcPr>
          <w:p w14:paraId="247AFE4C">
            <w:pPr>
              <w:jc w:val="center"/>
              <w:rPr>
                <w:rFonts w:ascii="宋体" w:hAnsi="宋体"/>
                <w:color w:val="000000"/>
              </w:rPr>
            </w:pPr>
            <w:r>
              <w:rPr>
                <w:rFonts w:ascii="宋体" w:hAnsi="宋体"/>
                <w:color w:val="000000"/>
              </w:rPr>
              <w:t>型号及规格</w:t>
            </w:r>
          </w:p>
        </w:tc>
        <w:tc>
          <w:tcPr>
            <w:tcW w:w="816" w:type="dxa"/>
            <w:noWrap w:val="0"/>
            <w:vAlign w:val="center"/>
          </w:tcPr>
          <w:p w14:paraId="0C33481C">
            <w:pPr>
              <w:jc w:val="center"/>
              <w:rPr>
                <w:rFonts w:ascii="宋体" w:hAnsi="宋体"/>
                <w:color w:val="000000"/>
              </w:rPr>
            </w:pPr>
            <w:r>
              <w:rPr>
                <w:rFonts w:ascii="宋体" w:hAnsi="宋体"/>
                <w:color w:val="000000"/>
              </w:rPr>
              <w:t>单位</w:t>
            </w:r>
          </w:p>
        </w:tc>
        <w:tc>
          <w:tcPr>
            <w:tcW w:w="743" w:type="dxa"/>
            <w:noWrap w:val="0"/>
            <w:vAlign w:val="center"/>
          </w:tcPr>
          <w:p w14:paraId="6A7E92FD">
            <w:pPr>
              <w:jc w:val="center"/>
              <w:rPr>
                <w:rFonts w:ascii="宋体" w:hAnsi="宋体"/>
                <w:color w:val="000000"/>
              </w:rPr>
            </w:pPr>
            <w:r>
              <w:rPr>
                <w:rFonts w:ascii="宋体" w:hAnsi="宋体"/>
                <w:color w:val="000000"/>
              </w:rPr>
              <w:t>数量</w:t>
            </w:r>
          </w:p>
        </w:tc>
        <w:tc>
          <w:tcPr>
            <w:tcW w:w="1213" w:type="dxa"/>
            <w:noWrap w:val="0"/>
            <w:vAlign w:val="center"/>
          </w:tcPr>
          <w:p w14:paraId="2811A258">
            <w:pPr>
              <w:jc w:val="center"/>
              <w:rPr>
                <w:rFonts w:ascii="宋体" w:hAnsi="宋体"/>
                <w:color w:val="000000"/>
              </w:rPr>
            </w:pPr>
            <w:r>
              <w:rPr>
                <w:rFonts w:ascii="宋体" w:hAnsi="宋体"/>
                <w:color w:val="000000"/>
              </w:rPr>
              <w:t>备 注</w:t>
            </w:r>
          </w:p>
        </w:tc>
      </w:tr>
      <w:tr w14:paraId="53AAE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3B791688">
            <w:pPr>
              <w:jc w:val="center"/>
              <w:rPr>
                <w:rFonts w:ascii="宋体" w:hAnsi="宋体"/>
                <w:color w:val="000000"/>
              </w:rPr>
            </w:pPr>
            <w:r>
              <w:rPr>
                <w:rFonts w:ascii="宋体" w:hAnsi="宋体"/>
                <w:color w:val="000000"/>
              </w:rPr>
              <w:t>1</w:t>
            </w:r>
          </w:p>
        </w:tc>
        <w:tc>
          <w:tcPr>
            <w:tcW w:w="3594" w:type="dxa"/>
            <w:noWrap w:val="0"/>
            <w:vAlign w:val="center"/>
          </w:tcPr>
          <w:p w14:paraId="4FEC0BBF">
            <w:pPr>
              <w:rPr>
                <w:rFonts w:ascii="宋体" w:hAnsi="宋体"/>
              </w:rPr>
            </w:pPr>
            <w:r>
              <w:rPr>
                <w:rFonts w:ascii="宋体" w:hAnsi="宋体"/>
              </w:rPr>
              <w:t>瓦斯压力测定仪</w:t>
            </w:r>
          </w:p>
        </w:tc>
        <w:tc>
          <w:tcPr>
            <w:tcW w:w="1949" w:type="dxa"/>
            <w:noWrap w:val="0"/>
            <w:vAlign w:val="center"/>
          </w:tcPr>
          <w:p w14:paraId="02F68C6B">
            <w:pPr>
              <w:rPr>
                <w:rFonts w:ascii="宋体" w:hAnsi="宋体"/>
              </w:rPr>
            </w:pPr>
            <w:r>
              <w:rPr>
                <w:rFonts w:ascii="宋体" w:hAnsi="宋体"/>
              </w:rPr>
              <w:t>ACW-1</w:t>
            </w:r>
          </w:p>
        </w:tc>
        <w:tc>
          <w:tcPr>
            <w:tcW w:w="816" w:type="dxa"/>
            <w:noWrap w:val="0"/>
            <w:vAlign w:val="center"/>
          </w:tcPr>
          <w:p w14:paraId="6AD4BFD5">
            <w:pPr>
              <w:jc w:val="center"/>
              <w:rPr>
                <w:rFonts w:ascii="宋体" w:hAnsi="宋体"/>
              </w:rPr>
            </w:pPr>
            <w:r>
              <w:rPr>
                <w:rFonts w:ascii="宋体" w:hAnsi="宋体"/>
              </w:rPr>
              <w:t>台</w:t>
            </w:r>
          </w:p>
        </w:tc>
        <w:tc>
          <w:tcPr>
            <w:tcW w:w="743" w:type="dxa"/>
            <w:noWrap w:val="0"/>
            <w:vAlign w:val="center"/>
          </w:tcPr>
          <w:p w14:paraId="70A0F1BC">
            <w:pPr>
              <w:jc w:val="center"/>
              <w:rPr>
                <w:rFonts w:ascii="宋体" w:hAnsi="宋体"/>
              </w:rPr>
            </w:pPr>
            <w:r>
              <w:rPr>
                <w:rFonts w:ascii="宋体" w:hAnsi="宋体"/>
              </w:rPr>
              <w:t>4</w:t>
            </w:r>
          </w:p>
        </w:tc>
        <w:tc>
          <w:tcPr>
            <w:tcW w:w="1213" w:type="dxa"/>
            <w:noWrap w:val="0"/>
            <w:vAlign w:val="center"/>
          </w:tcPr>
          <w:p w14:paraId="53B95F28">
            <w:pPr>
              <w:jc w:val="center"/>
              <w:rPr>
                <w:rFonts w:ascii="宋体" w:hAnsi="宋体"/>
                <w:color w:val="000000"/>
              </w:rPr>
            </w:pPr>
          </w:p>
        </w:tc>
      </w:tr>
      <w:tr w14:paraId="2DCA0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3593B349">
            <w:pPr>
              <w:jc w:val="center"/>
              <w:rPr>
                <w:rFonts w:ascii="宋体" w:hAnsi="宋体"/>
                <w:color w:val="000000"/>
              </w:rPr>
            </w:pPr>
            <w:r>
              <w:rPr>
                <w:rFonts w:ascii="宋体" w:hAnsi="宋体"/>
                <w:color w:val="000000"/>
              </w:rPr>
              <w:t>2</w:t>
            </w:r>
          </w:p>
        </w:tc>
        <w:tc>
          <w:tcPr>
            <w:tcW w:w="3594" w:type="dxa"/>
            <w:noWrap w:val="0"/>
            <w:vAlign w:val="center"/>
          </w:tcPr>
          <w:p w14:paraId="307C853A">
            <w:pPr>
              <w:rPr>
                <w:rFonts w:ascii="宋体" w:hAnsi="宋体"/>
              </w:rPr>
            </w:pPr>
            <w:r>
              <w:rPr>
                <w:rFonts w:ascii="宋体" w:hAnsi="宋体"/>
              </w:rPr>
              <w:t>瓦斯解吸仪及取样装备</w:t>
            </w:r>
          </w:p>
        </w:tc>
        <w:tc>
          <w:tcPr>
            <w:tcW w:w="1949" w:type="dxa"/>
            <w:noWrap w:val="0"/>
            <w:vAlign w:val="center"/>
          </w:tcPr>
          <w:p w14:paraId="001A60B3">
            <w:pPr>
              <w:rPr>
                <w:rFonts w:ascii="宋体" w:hAnsi="宋体"/>
              </w:rPr>
            </w:pPr>
            <w:r>
              <w:rPr>
                <w:rFonts w:ascii="宋体" w:hAnsi="宋体"/>
              </w:rPr>
              <w:t>GWRVK-2</w:t>
            </w:r>
          </w:p>
        </w:tc>
        <w:tc>
          <w:tcPr>
            <w:tcW w:w="816" w:type="dxa"/>
            <w:noWrap w:val="0"/>
            <w:vAlign w:val="center"/>
          </w:tcPr>
          <w:p w14:paraId="49463C1E">
            <w:pPr>
              <w:jc w:val="center"/>
              <w:rPr>
                <w:rFonts w:ascii="宋体" w:hAnsi="宋体"/>
              </w:rPr>
            </w:pPr>
            <w:r>
              <w:rPr>
                <w:rFonts w:ascii="宋体" w:hAnsi="宋体"/>
              </w:rPr>
              <w:t>套</w:t>
            </w:r>
          </w:p>
        </w:tc>
        <w:tc>
          <w:tcPr>
            <w:tcW w:w="743" w:type="dxa"/>
            <w:noWrap w:val="0"/>
            <w:vAlign w:val="center"/>
          </w:tcPr>
          <w:p w14:paraId="5DB97330">
            <w:pPr>
              <w:jc w:val="center"/>
              <w:rPr>
                <w:rFonts w:ascii="宋体" w:hAnsi="宋体"/>
              </w:rPr>
            </w:pPr>
            <w:r>
              <w:rPr>
                <w:rFonts w:ascii="宋体" w:hAnsi="宋体"/>
              </w:rPr>
              <w:t>4</w:t>
            </w:r>
          </w:p>
        </w:tc>
        <w:tc>
          <w:tcPr>
            <w:tcW w:w="1213" w:type="dxa"/>
            <w:noWrap w:val="0"/>
            <w:vAlign w:val="center"/>
          </w:tcPr>
          <w:p w14:paraId="5D96CFD1">
            <w:pPr>
              <w:jc w:val="center"/>
              <w:rPr>
                <w:rFonts w:ascii="宋体" w:hAnsi="宋体"/>
                <w:color w:val="000000"/>
              </w:rPr>
            </w:pPr>
          </w:p>
        </w:tc>
      </w:tr>
      <w:tr w14:paraId="47514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7F321BC6">
            <w:pPr>
              <w:jc w:val="center"/>
              <w:rPr>
                <w:rFonts w:ascii="宋体" w:hAnsi="宋体"/>
                <w:color w:val="000000"/>
              </w:rPr>
            </w:pPr>
            <w:r>
              <w:rPr>
                <w:rFonts w:ascii="宋体" w:hAnsi="宋体"/>
                <w:color w:val="000000"/>
              </w:rPr>
              <w:t>3</w:t>
            </w:r>
          </w:p>
        </w:tc>
        <w:tc>
          <w:tcPr>
            <w:tcW w:w="3594" w:type="dxa"/>
            <w:noWrap w:val="0"/>
            <w:vAlign w:val="center"/>
          </w:tcPr>
          <w:p w14:paraId="3AB0E46D">
            <w:pPr>
              <w:rPr>
                <w:rFonts w:ascii="宋体" w:hAnsi="宋体"/>
              </w:rPr>
            </w:pPr>
            <w:r>
              <w:rPr>
                <w:rFonts w:ascii="宋体" w:hAnsi="宋体"/>
              </w:rPr>
              <w:t>瓦斯放散初速度测定仪</w:t>
            </w:r>
          </w:p>
        </w:tc>
        <w:tc>
          <w:tcPr>
            <w:tcW w:w="1949" w:type="dxa"/>
            <w:noWrap w:val="0"/>
            <w:vAlign w:val="center"/>
          </w:tcPr>
          <w:p w14:paraId="6ECAED4D">
            <w:pPr>
              <w:rPr>
                <w:rFonts w:ascii="宋体" w:hAnsi="宋体"/>
              </w:rPr>
            </w:pPr>
            <w:r>
              <w:rPr>
                <w:rFonts w:ascii="宋体" w:hAnsi="宋体"/>
              </w:rPr>
              <w:t>WFC-2</w:t>
            </w:r>
          </w:p>
        </w:tc>
        <w:tc>
          <w:tcPr>
            <w:tcW w:w="816" w:type="dxa"/>
            <w:noWrap w:val="0"/>
            <w:vAlign w:val="center"/>
          </w:tcPr>
          <w:p w14:paraId="193216A1">
            <w:pPr>
              <w:jc w:val="center"/>
              <w:rPr>
                <w:rFonts w:ascii="宋体" w:hAnsi="宋体"/>
              </w:rPr>
            </w:pPr>
            <w:r>
              <w:rPr>
                <w:rFonts w:ascii="宋体" w:hAnsi="宋体"/>
              </w:rPr>
              <w:t>套</w:t>
            </w:r>
          </w:p>
        </w:tc>
        <w:tc>
          <w:tcPr>
            <w:tcW w:w="743" w:type="dxa"/>
            <w:noWrap w:val="0"/>
            <w:vAlign w:val="center"/>
          </w:tcPr>
          <w:p w14:paraId="49AEE93F">
            <w:pPr>
              <w:jc w:val="center"/>
              <w:rPr>
                <w:rFonts w:ascii="宋体" w:hAnsi="宋体"/>
              </w:rPr>
            </w:pPr>
            <w:r>
              <w:rPr>
                <w:rFonts w:ascii="宋体" w:hAnsi="宋体"/>
              </w:rPr>
              <w:t>4</w:t>
            </w:r>
          </w:p>
        </w:tc>
        <w:tc>
          <w:tcPr>
            <w:tcW w:w="1213" w:type="dxa"/>
            <w:noWrap w:val="0"/>
            <w:vAlign w:val="center"/>
          </w:tcPr>
          <w:p w14:paraId="3F1298C5">
            <w:pPr>
              <w:jc w:val="center"/>
              <w:rPr>
                <w:rFonts w:ascii="宋体" w:hAnsi="宋体"/>
                <w:color w:val="000000"/>
              </w:rPr>
            </w:pPr>
          </w:p>
        </w:tc>
      </w:tr>
      <w:tr w14:paraId="14620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68685101">
            <w:pPr>
              <w:jc w:val="center"/>
              <w:rPr>
                <w:rFonts w:ascii="宋体" w:hAnsi="宋体"/>
                <w:color w:val="000000"/>
              </w:rPr>
            </w:pPr>
            <w:r>
              <w:rPr>
                <w:rFonts w:ascii="宋体" w:hAnsi="宋体"/>
                <w:color w:val="000000"/>
              </w:rPr>
              <w:t>4</w:t>
            </w:r>
          </w:p>
        </w:tc>
        <w:tc>
          <w:tcPr>
            <w:tcW w:w="3594" w:type="dxa"/>
            <w:noWrap w:val="0"/>
            <w:vAlign w:val="center"/>
          </w:tcPr>
          <w:p w14:paraId="0324316A">
            <w:pPr>
              <w:rPr>
                <w:rFonts w:ascii="宋体" w:hAnsi="宋体"/>
              </w:rPr>
            </w:pPr>
            <w:r>
              <w:rPr>
                <w:rFonts w:ascii="宋体" w:hAnsi="宋体"/>
              </w:rPr>
              <w:t>抽瓦斯多参数监测控制系统</w:t>
            </w:r>
          </w:p>
        </w:tc>
        <w:tc>
          <w:tcPr>
            <w:tcW w:w="1949" w:type="dxa"/>
            <w:noWrap w:val="0"/>
            <w:vAlign w:val="center"/>
          </w:tcPr>
          <w:p w14:paraId="1A7D59DC">
            <w:pPr>
              <w:rPr>
                <w:rFonts w:ascii="宋体" w:hAnsi="宋体"/>
              </w:rPr>
            </w:pPr>
            <w:r>
              <w:rPr>
                <w:rFonts w:ascii="宋体" w:hAnsi="宋体"/>
              </w:rPr>
              <w:t>WCP-85</w:t>
            </w:r>
          </w:p>
        </w:tc>
        <w:tc>
          <w:tcPr>
            <w:tcW w:w="816" w:type="dxa"/>
            <w:noWrap w:val="0"/>
            <w:vAlign w:val="center"/>
          </w:tcPr>
          <w:p w14:paraId="01AF81F5">
            <w:pPr>
              <w:jc w:val="center"/>
              <w:rPr>
                <w:rFonts w:ascii="宋体" w:hAnsi="宋体"/>
              </w:rPr>
            </w:pPr>
            <w:r>
              <w:rPr>
                <w:rFonts w:ascii="宋体" w:hAnsi="宋体"/>
              </w:rPr>
              <w:t>套</w:t>
            </w:r>
          </w:p>
        </w:tc>
        <w:tc>
          <w:tcPr>
            <w:tcW w:w="743" w:type="dxa"/>
            <w:noWrap w:val="0"/>
            <w:vAlign w:val="center"/>
          </w:tcPr>
          <w:p w14:paraId="4CC457D1">
            <w:pPr>
              <w:jc w:val="center"/>
              <w:rPr>
                <w:rFonts w:ascii="宋体" w:hAnsi="宋体"/>
              </w:rPr>
            </w:pPr>
            <w:r>
              <w:rPr>
                <w:rFonts w:ascii="宋体" w:hAnsi="宋体"/>
              </w:rPr>
              <w:t>2</w:t>
            </w:r>
          </w:p>
        </w:tc>
        <w:tc>
          <w:tcPr>
            <w:tcW w:w="1213" w:type="dxa"/>
            <w:noWrap w:val="0"/>
            <w:vAlign w:val="center"/>
          </w:tcPr>
          <w:p w14:paraId="4E8AC13F">
            <w:pPr>
              <w:jc w:val="center"/>
              <w:rPr>
                <w:rFonts w:ascii="宋体" w:hAnsi="宋体"/>
                <w:color w:val="000000"/>
              </w:rPr>
            </w:pPr>
          </w:p>
        </w:tc>
      </w:tr>
      <w:tr w14:paraId="712E2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625072B9">
            <w:pPr>
              <w:jc w:val="center"/>
              <w:rPr>
                <w:rFonts w:ascii="宋体" w:hAnsi="宋体"/>
                <w:color w:val="000000"/>
              </w:rPr>
            </w:pPr>
            <w:r>
              <w:rPr>
                <w:rFonts w:ascii="宋体" w:hAnsi="宋体"/>
                <w:color w:val="000000"/>
              </w:rPr>
              <w:t>5</w:t>
            </w:r>
          </w:p>
        </w:tc>
        <w:tc>
          <w:tcPr>
            <w:tcW w:w="3594" w:type="dxa"/>
            <w:noWrap w:val="0"/>
            <w:vAlign w:val="center"/>
          </w:tcPr>
          <w:p w14:paraId="2F939E76">
            <w:pPr>
              <w:rPr>
                <w:rFonts w:ascii="宋体" w:hAnsi="宋体"/>
              </w:rPr>
            </w:pPr>
            <w:r>
              <w:rPr>
                <w:rFonts w:ascii="宋体" w:hAnsi="宋体"/>
              </w:rPr>
              <w:t>瓦斯抽放管道参数测定仪</w:t>
            </w:r>
          </w:p>
        </w:tc>
        <w:tc>
          <w:tcPr>
            <w:tcW w:w="1949" w:type="dxa"/>
            <w:noWrap w:val="0"/>
            <w:vAlign w:val="center"/>
          </w:tcPr>
          <w:p w14:paraId="7AE64E33">
            <w:pPr>
              <w:rPr>
                <w:rFonts w:ascii="宋体" w:hAnsi="宋体"/>
              </w:rPr>
            </w:pPr>
            <w:r>
              <w:rPr>
                <w:rFonts w:ascii="宋体" w:hAnsi="宋体"/>
              </w:rPr>
              <w:t>WGC</w:t>
            </w:r>
          </w:p>
        </w:tc>
        <w:tc>
          <w:tcPr>
            <w:tcW w:w="816" w:type="dxa"/>
            <w:noWrap w:val="0"/>
            <w:vAlign w:val="center"/>
          </w:tcPr>
          <w:p w14:paraId="4953F55D">
            <w:pPr>
              <w:jc w:val="center"/>
              <w:rPr>
                <w:rFonts w:ascii="宋体" w:hAnsi="宋体"/>
              </w:rPr>
            </w:pPr>
            <w:r>
              <w:rPr>
                <w:rFonts w:ascii="宋体" w:hAnsi="宋体"/>
              </w:rPr>
              <w:t>套</w:t>
            </w:r>
          </w:p>
        </w:tc>
        <w:tc>
          <w:tcPr>
            <w:tcW w:w="743" w:type="dxa"/>
            <w:noWrap w:val="0"/>
            <w:vAlign w:val="center"/>
          </w:tcPr>
          <w:p w14:paraId="1E7AEAC5">
            <w:pPr>
              <w:jc w:val="center"/>
              <w:rPr>
                <w:rFonts w:ascii="宋体" w:hAnsi="宋体"/>
              </w:rPr>
            </w:pPr>
            <w:r>
              <w:rPr>
                <w:rFonts w:ascii="宋体" w:hAnsi="宋体"/>
              </w:rPr>
              <w:t>2</w:t>
            </w:r>
          </w:p>
        </w:tc>
        <w:tc>
          <w:tcPr>
            <w:tcW w:w="1213" w:type="dxa"/>
            <w:noWrap w:val="0"/>
            <w:vAlign w:val="center"/>
          </w:tcPr>
          <w:p w14:paraId="603BBAA0">
            <w:pPr>
              <w:jc w:val="center"/>
              <w:rPr>
                <w:rFonts w:ascii="宋体" w:hAnsi="宋体"/>
                <w:color w:val="000000"/>
              </w:rPr>
            </w:pPr>
          </w:p>
        </w:tc>
      </w:tr>
      <w:tr w14:paraId="00474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258D4E1A">
            <w:pPr>
              <w:jc w:val="center"/>
              <w:rPr>
                <w:rFonts w:ascii="宋体" w:hAnsi="宋体"/>
                <w:color w:val="000000"/>
              </w:rPr>
            </w:pPr>
            <w:r>
              <w:rPr>
                <w:rFonts w:ascii="宋体" w:hAnsi="宋体"/>
                <w:color w:val="000000"/>
              </w:rPr>
              <w:t>6</w:t>
            </w:r>
          </w:p>
        </w:tc>
        <w:tc>
          <w:tcPr>
            <w:tcW w:w="3594" w:type="dxa"/>
            <w:noWrap w:val="0"/>
            <w:vAlign w:val="center"/>
          </w:tcPr>
          <w:p w14:paraId="3241121B">
            <w:pPr>
              <w:rPr>
                <w:rFonts w:ascii="宋体" w:hAnsi="宋体"/>
              </w:rPr>
            </w:pPr>
            <w:r>
              <w:rPr>
                <w:rFonts w:ascii="宋体" w:hAnsi="宋体"/>
              </w:rPr>
              <w:t>孔板流量计</w:t>
            </w:r>
          </w:p>
        </w:tc>
        <w:tc>
          <w:tcPr>
            <w:tcW w:w="1949" w:type="dxa"/>
            <w:noWrap w:val="0"/>
            <w:vAlign w:val="center"/>
          </w:tcPr>
          <w:p w14:paraId="6C1212FD">
            <w:pPr>
              <w:rPr>
                <w:rFonts w:ascii="宋体" w:hAnsi="宋体"/>
              </w:rPr>
            </w:pPr>
            <w:r>
              <w:rPr>
                <w:rFonts w:ascii="宋体" w:hAnsi="宋体"/>
              </w:rPr>
              <w:t>FKL</w:t>
            </w:r>
          </w:p>
        </w:tc>
        <w:tc>
          <w:tcPr>
            <w:tcW w:w="816" w:type="dxa"/>
            <w:noWrap w:val="0"/>
            <w:vAlign w:val="center"/>
          </w:tcPr>
          <w:p w14:paraId="5FCD2629">
            <w:pPr>
              <w:jc w:val="center"/>
              <w:rPr>
                <w:rFonts w:ascii="宋体" w:hAnsi="宋体"/>
              </w:rPr>
            </w:pPr>
            <w:r>
              <w:rPr>
                <w:rFonts w:ascii="宋体" w:hAnsi="宋体"/>
              </w:rPr>
              <w:t>套</w:t>
            </w:r>
          </w:p>
        </w:tc>
        <w:tc>
          <w:tcPr>
            <w:tcW w:w="743" w:type="dxa"/>
            <w:noWrap w:val="0"/>
            <w:vAlign w:val="center"/>
          </w:tcPr>
          <w:p w14:paraId="65A7F133">
            <w:pPr>
              <w:jc w:val="center"/>
              <w:rPr>
                <w:rFonts w:ascii="宋体" w:hAnsi="宋体"/>
              </w:rPr>
            </w:pPr>
            <w:r>
              <w:rPr>
                <w:rFonts w:ascii="宋体" w:hAnsi="宋体"/>
              </w:rPr>
              <w:t>2</w:t>
            </w:r>
          </w:p>
        </w:tc>
        <w:tc>
          <w:tcPr>
            <w:tcW w:w="1213" w:type="dxa"/>
            <w:noWrap w:val="0"/>
            <w:vAlign w:val="center"/>
          </w:tcPr>
          <w:p w14:paraId="50EF898B">
            <w:pPr>
              <w:jc w:val="center"/>
              <w:rPr>
                <w:rFonts w:ascii="宋体" w:hAnsi="宋体"/>
                <w:color w:val="000000"/>
              </w:rPr>
            </w:pPr>
          </w:p>
        </w:tc>
      </w:tr>
      <w:tr w14:paraId="59B60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7EEC18E9">
            <w:pPr>
              <w:jc w:val="center"/>
              <w:rPr>
                <w:rFonts w:ascii="宋体" w:hAnsi="宋体"/>
                <w:color w:val="000000"/>
              </w:rPr>
            </w:pPr>
            <w:r>
              <w:rPr>
                <w:rFonts w:ascii="宋体" w:hAnsi="宋体"/>
                <w:color w:val="000000"/>
              </w:rPr>
              <w:t>7</w:t>
            </w:r>
          </w:p>
        </w:tc>
        <w:tc>
          <w:tcPr>
            <w:tcW w:w="3594" w:type="dxa"/>
            <w:noWrap w:val="0"/>
            <w:vAlign w:val="center"/>
          </w:tcPr>
          <w:p w14:paraId="650B0C84">
            <w:pPr>
              <w:rPr>
                <w:rFonts w:ascii="宋体" w:hAnsi="宋体"/>
              </w:rPr>
            </w:pPr>
            <w:r>
              <w:rPr>
                <w:rFonts w:ascii="宋体" w:hAnsi="宋体"/>
              </w:rPr>
              <w:t>四通阀两用压差计</w:t>
            </w:r>
          </w:p>
        </w:tc>
        <w:tc>
          <w:tcPr>
            <w:tcW w:w="1949" w:type="dxa"/>
            <w:noWrap w:val="0"/>
            <w:vAlign w:val="center"/>
          </w:tcPr>
          <w:p w14:paraId="6C4D4F48">
            <w:pPr>
              <w:rPr>
                <w:rFonts w:ascii="宋体" w:hAnsi="宋体"/>
              </w:rPr>
            </w:pPr>
            <w:r>
              <w:rPr>
                <w:rFonts w:ascii="宋体" w:hAnsi="宋体"/>
              </w:rPr>
              <w:t>UP-2</w:t>
            </w:r>
          </w:p>
        </w:tc>
        <w:tc>
          <w:tcPr>
            <w:tcW w:w="816" w:type="dxa"/>
            <w:noWrap w:val="0"/>
            <w:vAlign w:val="center"/>
          </w:tcPr>
          <w:p w14:paraId="3BC0AB0C">
            <w:pPr>
              <w:jc w:val="center"/>
              <w:rPr>
                <w:rFonts w:ascii="宋体" w:hAnsi="宋体"/>
              </w:rPr>
            </w:pPr>
            <w:r>
              <w:rPr>
                <w:rFonts w:ascii="宋体" w:hAnsi="宋体"/>
              </w:rPr>
              <w:t>套</w:t>
            </w:r>
          </w:p>
        </w:tc>
        <w:tc>
          <w:tcPr>
            <w:tcW w:w="743" w:type="dxa"/>
            <w:noWrap w:val="0"/>
            <w:vAlign w:val="center"/>
          </w:tcPr>
          <w:p w14:paraId="47F50DBF">
            <w:pPr>
              <w:jc w:val="center"/>
              <w:rPr>
                <w:rFonts w:hint="eastAsia" w:ascii="宋体" w:hAnsi="宋体"/>
              </w:rPr>
            </w:pPr>
            <w:r>
              <w:rPr>
                <w:rFonts w:hint="eastAsia" w:ascii="宋体" w:hAnsi="宋体"/>
              </w:rPr>
              <w:t>5</w:t>
            </w:r>
          </w:p>
        </w:tc>
        <w:tc>
          <w:tcPr>
            <w:tcW w:w="1213" w:type="dxa"/>
            <w:noWrap w:val="0"/>
            <w:vAlign w:val="center"/>
          </w:tcPr>
          <w:p w14:paraId="0AD85BA4">
            <w:pPr>
              <w:jc w:val="center"/>
              <w:rPr>
                <w:rFonts w:ascii="宋体" w:hAnsi="宋体"/>
                <w:color w:val="000000"/>
              </w:rPr>
            </w:pPr>
          </w:p>
        </w:tc>
      </w:tr>
      <w:tr w14:paraId="741E6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382E0FF2">
            <w:pPr>
              <w:jc w:val="center"/>
              <w:rPr>
                <w:rFonts w:ascii="宋体" w:hAnsi="宋体"/>
                <w:color w:val="000000"/>
              </w:rPr>
            </w:pPr>
            <w:r>
              <w:rPr>
                <w:rFonts w:ascii="宋体" w:hAnsi="宋体"/>
                <w:color w:val="000000"/>
              </w:rPr>
              <w:t>8</w:t>
            </w:r>
          </w:p>
        </w:tc>
        <w:tc>
          <w:tcPr>
            <w:tcW w:w="3594" w:type="dxa"/>
            <w:noWrap w:val="0"/>
            <w:vAlign w:val="center"/>
          </w:tcPr>
          <w:p w14:paraId="5E608F56">
            <w:pPr>
              <w:rPr>
                <w:rFonts w:ascii="宋体" w:hAnsi="宋体"/>
              </w:rPr>
            </w:pPr>
            <w:r>
              <w:rPr>
                <w:rFonts w:ascii="宋体" w:hAnsi="宋体"/>
              </w:rPr>
              <w:t>高负压瓦斯采样器</w:t>
            </w:r>
          </w:p>
        </w:tc>
        <w:tc>
          <w:tcPr>
            <w:tcW w:w="1949" w:type="dxa"/>
            <w:noWrap w:val="0"/>
            <w:vAlign w:val="center"/>
          </w:tcPr>
          <w:p w14:paraId="538CB72A">
            <w:pPr>
              <w:rPr>
                <w:rFonts w:ascii="宋体" w:hAnsi="宋体"/>
              </w:rPr>
            </w:pPr>
            <w:r>
              <w:rPr>
                <w:rFonts w:ascii="宋体" w:hAnsi="宋体"/>
              </w:rPr>
              <w:t>FW-1</w:t>
            </w:r>
          </w:p>
        </w:tc>
        <w:tc>
          <w:tcPr>
            <w:tcW w:w="816" w:type="dxa"/>
            <w:noWrap w:val="0"/>
            <w:vAlign w:val="center"/>
          </w:tcPr>
          <w:p w14:paraId="0D0FC702">
            <w:pPr>
              <w:jc w:val="center"/>
              <w:rPr>
                <w:rFonts w:ascii="宋体" w:hAnsi="宋体"/>
              </w:rPr>
            </w:pPr>
            <w:r>
              <w:rPr>
                <w:rFonts w:ascii="宋体" w:hAnsi="宋体"/>
              </w:rPr>
              <w:t>只</w:t>
            </w:r>
          </w:p>
        </w:tc>
        <w:tc>
          <w:tcPr>
            <w:tcW w:w="743" w:type="dxa"/>
            <w:noWrap w:val="0"/>
            <w:vAlign w:val="center"/>
          </w:tcPr>
          <w:p w14:paraId="0E20F623">
            <w:pPr>
              <w:jc w:val="center"/>
              <w:rPr>
                <w:rFonts w:ascii="宋体" w:hAnsi="宋体"/>
              </w:rPr>
            </w:pPr>
            <w:r>
              <w:rPr>
                <w:rFonts w:ascii="宋体" w:hAnsi="宋体"/>
              </w:rPr>
              <w:t>5</w:t>
            </w:r>
          </w:p>
        </w:tc>
        <w:tc>
          <w:tcPr>
            <w:tcW w:w="1213" w:type="dxa"/>
            <w:noWrap w:val="0"/>
            <w:vAlign w:val="center"/>
          </w:tcPr>
          <w:p w14:paraId="47A6DADF">
            <w:pPr>
              <w:jc w:val="center"/>
              <w:rPr>
                <w:rFonts w:ascii="宋体" w:hAnsi="宋体"/>
                <w:color w:val="000000"/>
              </w:rPr>
            </w:pPr>
          </w:p>
        </w:tc>
      </w:tr>
      <w:tr w14:paraId="53E38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exact"/>
          <w:jc w:val="center"/>
        </w:trPr>
        <w:tc>
          <w:tcPr>
            <w:tcW w:w="752" w:type="dxa"/>
            <w:noWrap w:val="0"/>
            <w:vAlign w:val="center"/>
          </w:tcPr>
          <w:p w14:paraId="52957694">
            <w:pPr>
              <w:jc w:val="center"/>
              <w:rPr>
                <w:rFonts w:ascii="宋体" w:hAnsi="宋体"/>
                <w:color w:val="000000"/>
              </w:rPr>
            </w:pPr>
            <w:r>
              <w:rPr>
                <w:rFonts w:ascii="宋体" w:hAnsi="宋体"/>
                <w:color w:val="000000"/>
              </w:rPr>
              <w:t>9</w:t>
            </w:r>
          </w:p>
        </w:tc>
        <w:tc>
          <w:tcPr>
            <w:tcW w:w="3594" w:type="dxa"/>
            <w:noWrap w:val="0"/>
            <w:vAlign w:val="center"/>
          </w:tcPr>
          <w:p w14:paraId="76713795">
            <w:pPr>
              <w:rPr>
                <w:rFonts w:ascii="宋体" w:hAnsi="宋体"/>
              </w:rPr>
            </w:pPr>
            <w:r>
              <w:rPr>
                <w:rFonts w:ascii="宋体" w:hAnsi="宋体"/>
              </w:rPr>
              <w:t>地勘用煤层瓦斯含量和成分测定仪</w:t>
            </w:r>
          </w:p>
        </w:tc>
        <w:tc>
          <w:tcPr>
            <w:tcW w:w="1949" w:type="dxa"/>
            <w:noWrap w:val="0"/>
            <w:vAlign w:val="center"/>
          </w:tcPr>
          <w:p w14:paraId="7EE3A3E4">
            <w:pPr>
              <w:rPr>
                <w:rFonts w:ascii="宋体" w:hAnsi="宋体"/>
              </w:rPr>
            </w:pPr>
            <w:r>
              <w:rPr>
                <w:rFonts w:ascii="宋体" w:hAnsi="宋体"/>
              </w:rPr>
              <w:t>AMG</w:t>
            </w:r>
          </w:p>
        </w:tc>
        <w:tc>
          <w:tcPr>
            <w:tcW w:w="816" w:type="dxa"/>
            <w:noWrap w:val="0"/>
            <w:vAlign w:val="center"/>
          </w:tcPr>
          <w:p w14:paraId="5DE57011">
            <w:pPr>
              <w:jc w:val="center"/>
              <w:rPr>
                <w:rFonts w:ascii="宋体" w:hAnsi="宋体"/>
              </w:rPr>
            </w:pPr>
            <w:r>
              <w:rPr>
                <w:rFonts w:ascii="宋体" w:hAnsi="宋体"/>
              </w:rPr>
              <w:t>套</w:t>
            </w:r>
          </w:p>
        </w:tc>
        <w:tc>
          <w:tcPr>
            <w:tcW w:w="743" w:type="dxa"/>
            <w:noWrap w:val="0"/>
            <w:vAlign w:val="center"/>
          </w:tcPr>
          <w:p w14:paraId="28C91776">
            <w:pPr>
              <w:jc w:val="center"/>
              <w:rPr>
                <w:rFonts w:ascii="宋体" w:hAnsi="宋体"/>
              </w:rPr>
            </w:pPr>
            <w:r>
              <w:rPr>
                <w:rFonts w:ascii="宋体" w:hAnsi="宋体"/>
              </w:rPr>
              <w:t>2</w:t>
            </w:r>
          </w:p>
        </w:tc>
        <w:tc>
          <w:tcPr>
            <w:tcW w:w="1213" w:type="dxa"/>
            <w:noWrap w:val="0"/>
            <w:vAlign w:val="center"/>
          </w:tcPr>
          <w:p w14:paraId="52DA3350">
            <w:pPr>
              <w:jc w:val="center"/>
              <w:rPr>
                <w:rFonts w:ascii="宋体" w:hAnsi="宋体"/>
                <w:color w:val="000000"/>
              </w:rPr>
            </w:pPr>
          </w:p>
        </w:tc>
      </w:tr>
    </w:tbl>
    <w:p w14:paraId="3649F924">
      <w:pPr>
        <w:pStyle w:val="4"/>
        <w:keepLines/>
        <w:adjustRightInd w:val="0"/>
        <w:snapToGrid w:val="0"/>
        <w:spacing w:before="240" w:after="240" w:line="360" w:lineRule="auto"/>
        <w:ind w:left="2" w:firstLine="562" w:firstLineChars="200"/>
        <w:jc w:val="both"/>
        <w:rPr>
          <w:b/>
          <w:color w:val="000000"/>
          <w:szCs w:val="20"/>
        </w:rPr>
      </w:pPr>
      <w:r>
        <w:rPr>
          <w:b/>
          <w:color w:val="000000"/>
          <w:szCs w:val="20"/>
        </w:rPr>
        <w:t>三、瓦斯抽放</w:t>
      </w:r>
      <w:r>
        <w:rPr>
          <w:rFonts w:hint="eastAsia"/>
          <w:b/>
          <w:color w:val="000000"/>
          <w:szCs w:val="20"/>
        </w:rPr>
        <w:t>管路系统及抽放</w:t>
      </w:r>
      <w:r>
        <w:rPr>
          <w:b/>
          <w:color w:val="000000"/>
          <w:szCs w:val="20"/>
        </w:rPr>
        <w:t>设备选型</w:t>
      </w:r>
    </w:p>
    <w:p w14:paraId="5BF1C073">
      <w:pPr>
        <w:spacing w:line="360" w:lineRule="auto"/>
        <w:ind w:firstLine="482" w:firstLineChars="200"/>
        <w:rPr>
          <w:rFonts w:hint="eastAsia" w:ascii="楷体_GB2312" w:eastAsia="楷体_GB2312"/>
          <w:b/>
          <w:color w:val="000000"/>
          <w:sz w:val="24"/>
        </w:rPr>
      </w:pPr>
      <w:r>
        <w:rPr>
          <w:rFonts w:hint="eastAsia" w:ascii="楷体_GB2312" w:eastAsia="楷体_GB2312"/>
          <w:b/>
          <w:color w:val="000000"/>
          <w:sz w:val="24"/>
        </w:rPr>
        <w:t>1、</w:t>
      </w:r>
      <w:r>
        <w:rPr>
          <w:rFonts w:ascii="楷体_GB2312" w:eastAsia="楷体_GB2312"/>
          <w:b/>
          <w:color w:val="000000"/>
          <w:sz w:val="24"/>
        </w:rPr>
        <w:t>抽放管路系统</w:t>
      </w:r>
      <w:r>
        <w:rPr>
          <w:rFonts w:hint="eastAsia" w:ascii="楷体_GB2312" w:eastAsia="楷体_GB2312"/>
          <w:b/>
          <w:color w:val="000000"/>
          <w:sz w:val="24"/>
        </w:rPr>
        <w:t>的选择</w:t>
      </w:r>
    </w:p>
    <w:p w14:paraId="4E19674B">
      <w:pPr>
        <w:spacing w:line="360" w:lineRule="auto"/>
        <w:ind w:firstLine="480" w:firstLineChars="200"/>
        <w:rPr>
          <w:rFonts w:hint="eastAsia"/>
          <w:color w:val="000000"/>
          <w:kern w:val="0"/>
          <w:sz w:val="24"/>
        </w:rPr>
      </w:pPr>
      <w:r>
        <w:rPr>
          <w:rFonts w:hint="eastAsia"/>
          <w:color w:val="000000"/>
          <w:kern w:val="0"/>
          <w:sz w:val="24"/>
        </w:rPr>
        <w:t>根据地形及矿井巷道布置情况，瓦斯抽放管路路线采区最下区段：</w:t>
      </w:r>
    </w:p>
    <w:p w14:paraId="25FC33D4">
      <w:pPr>
        <w:spacing w:line="360" w:lineRule="auto"/>
        <w:ind w:firstLine="480" w:firstLineChars="200"/>
        <w:rPr>
          <w:rFonts w:hint="eastAsia"/>
          <w:color w:val="000000"/>
          <w:kern w:val="0"/>
          <w:sz w:val="24"/>
        </w:rPr>
      </w:pPr>
      <w:r>
        <w:rPr>
          <w:rFonts w:hint="eastAsia"/>
          <w:color w:val="000000"/>
          <w:kern w:val="0"/>
          <w:sz w:val="24"/>
        </w:rPr>
        <w:t>回采工作面→回风顺槽→回风石门→回风斜井→地面瓦斯抽放泵房</w:t>
      </w:r>
    </w:p>
    <w:p w14:paraId="71D54E9E">
      <w:pPr>
        <w:spacing w:line="360" w:lineRule="auto"/>
        <w:ind w:firstLine="480" w:firstLineChars="200"/>
        <w:rPr>
          <w:rFonts w:hint="eastAsia"/>
          <w:color w:val="000000"/>
          <w:kern w:val="0"/>
          <w:sz w:val="24"/>
        </w:rPr>
      </w:pPr>
      <w:r>
        <w:rPr>
          <w:rFonts w:hint="eastAsia"/>
          <w:color w:val="000000"/>
          <w:kern w:val="0"/>
          <w:sz w:val="24"/>
        </w:rPr>
        <w:t>掘进工作面→回风斜巷→回风斜井→地面瓦斯抽放泵房</w:t>
      </w:r>
    </w:p>
    <w:p w14:paraId="6F6D0AB7">
      <w:pPr>
        <w:spacing w:line="360" w:lineRule="auto"/>
        <w:ind w:firstLine="480" w:firstLineChars="200"/>
        <w:rPr>
          <w:rFonts w:hint="eastAsia"/>
          <w:color w:val="000000"/>
          <w:kern w:val="0"/>
          <w:sz w:val="24"/>
        </w:rPr>
      </w:pPr>
      <w:r>
        <w:rPr>
          <w:rFonts w:hint="eastAsia"/>
          <w:color w:val="000000"/>
          <w:kern w:val="0"/>
          <w:sz w:val="24"/>
        </w:rPr>
        <w:t>本矿井地面设置高负压、低负压联合瓦斯抽放站。井下预抽和工作面抽放瓦斯分别通过各自抽放管路集中排送至地面。地面及回风斜井内布置瓦斯主管两趟，采区回风巷道内布置瓦斯支干管，瓦斯主管敷设在回风斜井中，不会因矿车等设备通过造成机械损坏而泄漏，主管管径按后期最大流量考虑，矿井服务期间无需对其进行改动。</w:t>
      </w:r>
    </w:p>
    <w:p w14:paraId="67CB395B">
      <w:pPr>
        <w:spacing w:line="360" w:lineRule="auto"/>
        <w:ind w:firstLine="482" w:firstLineChars="200"/>
        <w:rPr>
          <w:rFonts w:hint="eastAsia" w:ascii="楷体_GB2312" w:eastAsia="楷体_GB2312"/>
          <w:b/>
          <w:color w:val="000000"/>
          <w:sz w:val="24"/>
        </w:rPr>
      </w:pPr>
      <w:r>
        <w:rPr>
          <w:rFonts w:hint="eastAsia" w:ascii="楷体_GB2312" w:eastAsia="楷体_GB2312"/>
          <w:b/>
          <w:color w:val="000000"/>
          <w:sz w:val="24"/>
        </w:rPr>
        <w:t>2、瓦斯抽放量</w:t>
      </w:r>
    </w:p>
    <w:p w14:paraId="46881AD5">
      <w:pPr>
        <w:spacing w:line="360" w:lineRule="auto"/>
        <w:ind w:left="480" w:firstLine="480" w:firstLineChars="200"/>
        <w:rPr>
          <w:rFonts w:hint="eastAsia" w:ascii="宋体" w:hAnsi="宋体"/>
          <w:color w:val="000000"/>
          <w:sz w:val="24"/>
        </w:rPr>
      </w:pPr>
      <w:r>
        <w:rPr>
          <w:rFonts w:hint="eastAsia" w:ascii="宋体" w:hAnsi="宋体"/>
          <w:color w:val="000000"/>
          <w:kern w:val="0"/>
          <w:sz w:val="24"/>
        </w:rPr>
        <w:t>根据以上计算矿井瓦斯抽放量及参数</w:t>
      </w:r>
      <w:r>
        <w:rPr>
          <w:rFonts w:hint="eastAsia" w:ascii="宋体" w:hAnsi="宋体"/>
          <w:color w:val="000000"/>
          <w:sz w:val="24"/>
        </w:rPr>
        <w:t>见</w:t>
      </w:r>
      <w:r>
        <w:rPr>
          <w:rFonts w:hint="eastAsia" w:ascii="宋体" w:hAnsi="宋体"/>
          <w:b/>
          <w:color w:val="000000"/>
          <w:sz w:val="24"/>
        </w:rPr>
        <w:t>表5－5－7</w:t>
      </w:r>
      <w:r>
        <w:rPr>
          <w:rFonts w:hint="eastAsia" w:ascii="宋体" w:hAnsi="宋体"/>
          <w:color w:val="000000"/>
          <w:sz w:val="24"/>
        </w:rPr>
        <w:t>。</w:t>
      </w:r>
    </w:p>
    <w:p w14:paraId="0D2C2ACA">
      <w:pPr>
        <w:spacing w:line="360" w:lineRule="auto"/>
        <w:ind w:firstLine="480" w:firstLineChars="200"/>
        <w:jc w:val="center"/>
        <w:rPr>
          <w:rFonts w:hint="eastAsia" w:ascii="宋体" w:hAnsi="宋体"/>
          <w:color w:val="000000"/>
          <w:kern w:val="0"/>
          <w:sz w:val="24"/>
        </w:rPr>
      </w:pPr>
      <w:r>
        <w:rPr>
          <w:rFonts w:hint="eastAsia" w:ascii="宋体" w:hAnsi="宋体"/>
          <w:color w:val="000000"/>
          <w:kern w:val="0"/>
          <w:sz w:val="24"/>
        </w:rPr>
        <w:t>表5－5－7　　　矿井瓦斯抽出量</w:t>
      </w:r>
      <w:r>
        <w:rPr>
          <w:rFonts w:ascii="宋体" w:hAnsi="宋体"/>
          <w:color w:val="000000"/>
          <w:kern w:val="0"/>
          <w:sz w:val="24"/>
        </w:rPr>
        <w:t>资料</w:t>
      </w:r>
      <w:r>
        <w:rPr>
          <w:rFonts w:hint="eastAsia" w:ascii="宋体" w:hAnsi="宋体"/>
          <w:color w:val="000000"/>
          <w:kern w:val="0"/>
          <w:sz w:val="24"/>
        </w:rPr>
        <w:t>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3290"/>
        <w:gridCol w:w="3494"/>
      </w:tblGrid>
      <w:tr w14:paraId="49DBA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2122" w:type="dxa"/>
            <w:noWrap w:val="0"/>
            <w:vAlign w:val="center"/>
          </w:tcPr>
          <w:p w14:paraId="3DE066D6">
            <w:pPr>
              <w:jc w:val="center"/>
              <w:rPr>
                <w:rFonts w:hint="eastAsia" w:ascii="宋体" w:hAnsi="宋体"/>
                <w:color w:val="000000"/>
                <w:kern w:val="0"/>
                <w:sz w:val="24"/>
              </w:rPr>
            </w:pPr>
          </w:p>
        </w:tc>
        <w:tc>
          <w:tcPr>
            <w:tcW w:w="3290" w:type="dxa"/>
            <w:noWrap w:val="0"/>
            <w:vAlign w:val="center"/>
          </w:tcPr>
          <w:p w14:paraId="2C04673D">
            <w:pPr>
              <w:jc w:val="center"/>
              <w:rPr>
                <w:rFonts w:hint="eastAsia" w:ascii="宋体" w:hAnsi="宋体"/>
                <w:color w:val="000000"/>
                <w:kern w:val="0"/>
                <w:sz w:val="24"/>
              </w:rPr>
            </w:pPr>
            <w:r>
              <w:rPr>
                <w:rFonts w:ascii="宋体" w:hAnsi="宋体"/>
                <w:color w:val="000000"/>
                <w:kern w:val="0"/>
                <w:sz w:val="24"/>
              </w:rPr>
              <w:t>高负压（瓦斯浓度</w:t>
            </w:r>
            <w:r>
              <w:rPr>
                <w:rFonts w:ascii="宋体" w:hAnsi="宋体"/>
                <w:color w:val="000000"/>
                <w:sz w:val="24"/>
              </w:rPr>
              <w:t>X</w:t>
            </w:r>
            <w:r>
              <w:rPr>
                <w:rFonts w:ascii="宋体" w:hAnsi="宋体"/>
                <w:color w:val="000000"/>
                <w:sz w:val="24"/>
                <w:vertAlign w:val="subscript"/>
              </w:rPr>
              <w:t>1</w:t>
            </w:r>
            <w:r>
              <w:rPr>
                <w:rFonts w:hint="eastAsia" w:ascii="宋体" w:hAnsi="宋体"/>
                <w:color w:val="000000"/>
                <w:sz w:val="24"/>
              </w:rPr>
              <w:t>=</w:t>
            </w:r>
            <w:r>
              <w:rPr>
                <w:rFonts w:hint="eastAsia" w:ascii="宋体" w:hAnsi="宋体"/>
                <w:color w:val="000000"/>
                <w:kern w:val="0"/>
                <w:sz w:val="24"/>
              </w:rPr>
              <w:t>30</w:t>
            </w:r>
            <w:r>
              <w:rPr>
                <w:rFonts w:ascii="宋体" w:hAnsi="宋体"/>
                <w:color w:val="000000"/>
                <w:kern w:val="0"/>
                <w:sz w:val="24"/>
              </w:rPr>
              <w:t>%）</w:t>
            </w:r>
          </w:p>
        </w:tc>
        <w:tc>
          <w:tcPr>
            <w:tcW w:w="3494" w:type="dxa"/>
            <w:noWrap w:val="0"/>
            <w:vAlign w:val="center"/>
          </w:tcPr>
          <w:p w14:paraId="78B39A8E">
            <w:pPr>
              <w:jc w:val="center"/>
              <w:rPr>
                <w:rFonts w:hint="eastAsia" w:ascii="宋体" w:hAnsi="宋体"/>
                <w:color w:val="000000"/>
                <w:kern w:val="0"/>
                <w:sz w:val="24"/>
              </w:rPr>
            </w:pPr>
            <w:r>
              <w:rPr>
                <w:rFonts w:ascii="宋体" w:hAnsi="宋体"/>
                <w:color w:val="000000"/>
                <w:kern w:val="0"/>
                <w:sz w:val="24"/>
              </w:rPr>
              <w:t>低负压（瓦斯浓度</w:t>
            </w:r>
            <w:r>
              <w:rPr>
                <w:rFonts w:ascii="宋体" w:hAnsi="宋体"/>
                <w:color w:val="000000"/>
                <w:sz w:val="24"/>
              </w:rPr>
              <w:t>X</w:t>
            </w:r>
            <w:r>
              <w:rPr>
                <w:rFonts w:hint="eastAsia" w:ascii="宋体" w:hAnsi="宋体"/>
                <w:color w:val="000000"/>
                <w:sz w:val="24"/>
                <w:vertAlign w:val="subscript"/>
              </w:rPr>
              <w:t>2</w:t>
            </w:r>
            <w:r>
              <w:rPr>
                <w:rFonts w:hint="eastAsia" w:ascii="宋体" w:hAnsi="宋体"/>
                <w:color w:val="000000"/>
                <w:sz w:val="24"/>
              </w:rPr>
              <w:t>=</w:t>
            </w:r>
            <w:r>
              <w:rPr>
                <w:rFonts w:hint="eastAsia" w:ascii="宋体" w:hAnsi="宋体"/>
                <w:color w:val="000000"/>
                <w:kern w:val="0"/>
                <w:sz w:val="24"/>
              </w:rPr>
              <w:t>20</w:t>
            </w:r>
            <w:r>
              <w:rPr>
                <w:rFonts w:ascii="宋体" w:hAnsi="宋体"/>
                <w:color w:val="000000"/>
                <w:kern w:val="0"/>
                <w:sz w:val="24"/>
              </w:rPr>
              <w:t>%）</w:t>
            </w:r>
          </w:p>
        </w:tc>
      </w:tr>
      <w:tr w14:paraId="65B42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2122" w:type="dxa"/>
            <w:noWrap w:val="0"/>
            <w:vAlign w:val="center"/>
          </w:tcPr>
          <w:p w14:paraId="57A3FABB">
            <w:pPr>
              <w:rPr>
                <w:rFonts w:hint="eastAsia" w:ascii="宋体" w:hAnsi="宋体"/>
                <w:color w:val="000000"/>
                <w:kern w:val="0"/>
                <w:sz w:val="24"/>
              </w:rPr>
            </w:pPr>
            <w:r>
              <w:rPr>
                <w:rFonts w:hint="eastAsia" w:ascii="宋体" w:hAnsi="宋体"/>
                <w:color w:val="000000"/>
                <w:kern w:val="0"/>
                <w:sz w:val="24"/>
              </w:rPr>
              <w:t>纯瓦斯(m</w:t>
            </w:r>
            <w:r>
              <w:rPr>
                <w:rFonts w:hint="eastAsia" w:ascii="宋体" w:hAnsi="宋体"/>
                <w:color w:val="000000"/>
                <w:kern w:val="0"/>
                <w:sz w:val="24"/>
                <w:vertAlign w:val="superscript"/>
              </w:rPr>
              <w:t>3</w:t>
            </w:r>
            <w:r>
              <w:rPr>
                <w:rFonts w:hint="eastAsia" w:ascii="宋体" w:hAnsi="宋体"/>
                <w:color w:val="000000"/>
                <w:kern w:val="0"/>
                <w:sz w:val="24"/>
              </w:rPr>
              <w:t>/min)</w:t>
            </w:r>
          </w:p>
        </w:tc>
        <w:tc>
          <w:tcPr>
            <w:tcW w:w="3290" w:type="dxa"/>
            <w:noWrap w:val="0"/>
            <w:vAlign w:val="center"/>
          </w:tcPr>
          <w:p w14:paraId="133E185D">
            <w:pPr>
              <w:jc w:val="center"/>
              <w:rPr>
                <w:rFonts w:hint="eastAsia" w:ascii="宋体" w:hAnsi="宋体"/>
                <w:color w:val="000000"/>
                <w:kern w:val="0"/>
                <w:sz w:val="24"/>
              </w:rPr>
            </w:pPr>
            <w:r>
              <w:rPr>
                <w:rFonts w:hint="eastAsia" w:ascii="宋体" w:hAnsi="宋体"/>
                <w:color w:val="000000"/>
                <w:kern w:val="0"/>
                <w:sz w:val="24"/>
              </w:rPr>
              <w:t>10</w:t>
            </w:r>
          </w:p>
        </w:tc>
        <w:tc>
          <w:tcPr>
            <w:tcW w:w="3494" w:type="dxa"/>
            <w:noWrap w:val="0"/>
            <w:vAlign w:val="center"/>
          </w:tcPr>
          <w:p w14:paraId="0BA6CA97">
            <w:pPr>
              <w:jc w:val="center"/>
              <w:rPr>
                <w:rFonts w:hint="eastAsia" w:ascii="宋体" w:hAnsi="宋体"/>
                <w:color w:val="000000"/>
                <w:kern w:val="0"/>
                <w:sz w:val="24"/>
              </w:rPr>
            </w:pPr>
            <w:r>
              <w:rPr>
                <w:rFonts w:hint="eastAsia" w:ascii="宋体" w:hAnsi="宋体"/>
                <w:color w:val="000000"/>
                <w:kern w:val="0"/>
                <w:sz w:val="24"/>
              </w:rPr>
              <w:t>7.8</w:t>
            </w:r>
          </w:p>
        </w:tc>
      </w:tr>
      <w:tr w14:paraId="2A3F9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2122" w:type="dxa"/>
            <w:noWrap w:val="0"/>
            <w:vAlign w:val="center"/>
          </w:tcPr>
          <w:p w14:paraId="0738A04F">
            <w:pPr>
              <w:rPr>
                <w:rFonts w:hint="eastAsia" w:ascii="宋体" w:hAnsi="宋体"/>
                <w:color w:val="000000"/>
                <w:kern w:val="0"/>
                <w:sz w:val="24"/>
              </w:rPr>
            </w:pPr>
            <w:r>
              <w:rPr>
                <w:rFonts w:hint="eastAsia" w:ascii="宋体" w:hAnsi="宋体"/>
                <w:color w:val="000000"/>
                <w:kern w:val="0"/>
                <w:sz w:val="24"/>
              </w:rPr>
              <w:t>瓦斯浓度</w:t>
            </w:r>
          </w:p>
        </w:tc>
        <w:tc>
          <w:tcPr>
            <w:tcW w:w="3290" w:type="dxa"/>
            <w:noWrap w:val="0"/>
            <w:vAlign w:val="center"/>
          </w:tcPr>
          <w:p w14:paraId="4E5DDCD4">
            <w:pPr>
              <w:jc w:val="center"/>
              <w:rPr>
                <w:rFonts w:hint="eastAsia" w:ascii="宋体" w:hAnsi="宋体"/>
                <w:color w:val="000000"/>
                <w:kern w:val="0"/>
                <w:sz w:val="24"/>
              </w:rPr>
            </w:pPr>
            <w:r>
              <w:rPr>
                <w:rFonts w:hint="eastAsia" w:ascii="宋体" w:hAnsi="宋体"/>
                <w:color w:val="000000"/>
                <w:kern w:val="0"/>
                <w:sz w:val="24"/>
              </w:rPr>
              <w:t>30</w:t>
            </w:r>
            <w:r>
              <w:rPr>
                <w:rFonts w:ascii="宋体" w:hAnsi="宋体"/>
                <w:color w:val="000000"/>
                <w:kern w:val="0"/>
                <w:sz w:val="24"/>
              </w:rPr>
              <w:t>%</w:t>
            </w:r>
          </w:p>
        </w:tc>
        <w:tc>
          <w:tcPr>
            <w:tcW w:w="3494" w:type="dxa"/>
            <w:noWrap w:val="0"/>
            <w:vAlign w:val="center"/>
          </w:tcPr>
          <w:p w14:paraId="04F64A01">
            <w:pPr>
              <w:jc w:val="center"/>
              <w:rPr>
                <w:rFonts w:hint="eastAsia" w:ascii="宋体" w:hAnsi="宋体"/>
                <w:color w:val="000000"/>
                <w:kern w:val="0"/>
                <w:sz w:val="24"/>
              </w:rPr>
            </w:pPr>
            <w:r>
              <w:rPr>
                <w:rFonts w:hint="eastAsia" w:ascii="宋体" w:hAnsi="宋体"/>
                <w:color w:val="000000"/>
                <w:kern w:val="0"/>
                <w:sz w:val="24"/>
              </w:rPr>
              <w:t>20</w:t>
            </w:r>
            <w:r>
              <w:rPr>
                <w:rFonts w:ascii="宋体" w:hAnsi="宋体"/>
                <w:color w:val="000000"/>
                <w:kern w:val="0"/>
                <w:sz w:val="24"/>
              </w:rPr>
              <w:t>%</w:t>
            </w:r>
          </w:p>
        </w:tc>
      </w:tr>
      <w:tr w14:paraId="2DECF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2122" w:type="dxa"/>
            <w:noWrap w:val="0"/>
            <w:vAlign w:val="center"/>
          </w:tcPr>
          <w:p w14:paraId="4A64E3DB">
            <w:pPr>
              <w:rPr>
                <w:rFonts w:hint="eastAsia" w:ascii="宋体" w:hAnsi="宋体"/>
                <w:color w:val="000000"/>
                <w:kern w:val="0"/>
                <w:sz w:val="24"/>
              </w:rPr>
            </w:pPr>
            <w:r>
              <w:rPr>
                <w:rFonts w:hint="eastAsia" w:ascii="宋体" w:hAnsi="宋体"/>
                <w:color w:val="000000"/>
                <w:kern w:val="0"/>
                <w:sz w:val="24"/>
              </w:rPr>
              <w:t>混合量(m</w:t>
            </w:r>
            <w:r>
              <w:rPr>
                <w:rFonts w:hint="eastAsia" w:ascii="宋体" w:hAnsi="宋体"/>
                <w:color w:val="000000"/>
                <w:kern w:val="0"/>
                <w:sz w:val="24"/>
                <w:vertAlign w:val="superscript"/>
              </w:rPr>
              <w:t>3</w:t>
            </w:r>
            <w:r>
              <w:rPr>
                <w:rFonts w:hint="eastAsia" w:ascii="宋体" w:hAnsi="宋体"/>
                <w:color w:val="000000"/>
                <w:kern w:val="0"/>
                <w:sz w:val="24"/>
              </w:rPr>
              <w:t>/min)</w:t>
            </w:r>
          </w:p>
        </w:tc>
        <w:tc>
          <w:tcPr>
            <w:tcW w:w="3290" w:type="dxa"/>
            <w:noWrap w:val="0"/>
            <w:vAlign w:val="center"/>
          </w:tcPr>
          <w:p w14:paraId="5F013F2D">
            <w:pPr>
              <w:jc w:val="center"/>
              <w:rPr>
                <w:rFonts w:hint="eastAsia" w:ascii="宋体" w:hAnsi="宋体"/>
                <w:color w:val="000000"/>
                <w:kern w:val="0"/>
                <w:sz w:val="24"/>
              </w:rPr>
            </w:pPr>
            <w:r>
              <w:rPr>
                <w:rFonts w:hint="eastAsia" w:ascii="宋体" w:hAnsi="宋体"/>
                <w:color w:val="000000"/>
                <w:kern w:val="0"/>
                <w:sz w:val="24"/>
              </w:rPr>
              <w:t>33.3</w:t>
            </w:r>
          </w:p>
        </w:tc>
        <w:tc>
          <w:tcPr>
            <w:tcW w:w="3494" w:type="dxa"/>
            <w:noWrap w:val="0"/>
            <w:vAlign w:val="center"/>
          </w:tcPr>
          <w:p w14:paraId="69BDFFA9">
            <w:pPr>
              <w:jc w:val="center"/>
              <w:rPr>
                <w:rFonts w:hint="eastAsia" w:ascii="宋体" w:hAnsi="宋体"/>
                <w:color w:val="000000"/>
                <w:kern w:val="0"/>
                <w:sz w:val="24"/>
              </w:rPr>
            </w:pPr>
            <w:r>
              <w:rPr>
                <w:rFonts w:hint="eastAsia" w:ascii="宋体" w:hAnsi="宋体"/>
                <w:color w:val="000000"/>
                <w:kern w:val="0"/>
                <w:sz w:val="24"/>
              </w:rPr>
              <w:t>39</w:t>
            </w:r>
          </w:p>
        </w:tc>
      </w:tr>
      <w:tr w14:paraId="1F679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2122" w:type="dxa"/>
            <w:noWrap w:val="0"/>
            <w:vAlign w:val="center"/>
          </w:tcPr>
          <w:p w14:paraId="5FC3B434">
            <w:pPr>
              <w:rPr>
                <w:rFonts w:hint="eastAsia" w:ascii="宋体" w:hAnsi="宋体"/>
                <w:color w:val="000000"/>
                <w:kern w:val="0"/>
                <w:sz w:val="24"/>
              </w:rPr>
            </w:pPr>
            <w:r>
              <w:rPr>
                <w:rFonts w:hint="eastAsia" w:ascii="宋体" w:hAnsi="宋体"/>
                <w:color w:val="000000"/>
                <w:kern w:val="0"/>
                <w:sz w:val="24"/>
              </w:rPr>
              <w:t>孔口负压(kPa)</w:t>
            </w:r>
          </w:p>
        </w:tc>
        <w:tc>
          <w:tcPr>
            <w:tcW w:w="3290" w:type="dxa"/>
            <w:noWrap w:val="0"/>
            <w:vAlign w:val="center"/>
          </w:tcPr>
          <w:p w14:paraId="79BD6DF9">
            <w:pPr>
              <w:jc w:val="center"/>
              <w:rPr>
                <w:rFonts w:hint="eastAsia" w:ascii="宋体" w:hAnsi="宋体"/>
                <w:color w:val="000000"/>
                <w:kern w:val="0"/>
                <w:sz w:val="24"/>
              </w:rPr>
            </w:pPr>
            <w:r>
              <w:rPr>
                <w:rFonts w:hint="eastAsia" w:ascii="宋体" w:hAnsi="宋体"/>
                <w:color w:val="000000"/>
                <w:kern w:val="0"/>
                <w:sz w:val="24"/>
              </w:rPr>
              <w:t>15</w:t>
            </w:r>
          </w:p>
        </w:tc>
        <w:tc>
          <w:tcPr>
            <w:tcW w:w="3494" w:type="dxa"/>
            <w:noWrap w:val="0"/>
            <w:vAlign w:val="center"/>
          </w:tcPr>
          <w:p w14:paraId="01420FAA">
            <w:pPr>
              <w:jc w:val="center"/>
              <w:rPr>
                <w:rFonts w:hint="eastAsia" w:ascii="宋体" w:hAnsi="宋体"/>
                <w:color w:val="000000"/>
                <w:kern w:val="0"/>
                <w:sz w:val="24"/>
              </w:rPr>
            </w:pPr>
            <w:r>
              <w:rPr>
                <w:rFonts w:hint="eastAsia" w:ascii="宋体" w:hAnsi="宋体"/>
                <w:color w:val="000000"/>
                <w:kern w:val="0"/>
                <w:sz w:val="24"/>
              </w:rPr>
              <w:t>5</w:t>
            </w:r>
          </w:p>
        </w:tc>
      </w:tr>
    </w:tbl>
    <w:p w14:paraId="27C8CADC">
      <w:pPr>
        <w:spacing w:line="360" w:lineRule="auto"/>
        <w:ind w:firstLine="480" w:firstLineChars="200"/>
        <w:rPr>
          <w:rFonts w:hint="eastAsia"/>
          <w:color w:val="000000"/>
          <w:kern w:val="0"/>
          <w:sz w:val="24"/>
        </w:rPr>
      </w:pPr>
      <w:r>
        <w:rPr>
          <w:color w:val="000000"/>
          <w:kern w:val="0"/>
          <w:sz w:val="24"/>
        </w:rPr>
        <w:t>抽放</w:t>
      </w:r>
      <w:r>
        <w:rPr>
          <w:rFonts w:hint="eastAsia"/>
          <w:color w:val="000000"/>
          <w:kern w:val="0"/>
          <w:sz w:val="24"/>
        </w:rPr>
        <w:t>瓦斯</w:t>
      </w:r>
      <w:r>
        <w:rPr>
          <w:color w:val="000000"/>
          <w:kern w:val="0"/>
          <w:sz w:val="24"/>
        </w:rPr>
        <w:t>管路系统</w:t>
      </w:r>
      <w:r>
        <w:rPr>
          <w:rFonts w:hint="eastAsia"/>
          <w:color w:val="000000"/>
          <w:kern w:val="0"/>
          <w:sz w:val="24"/>
        </w:rPr>
        <w:t>见</w:t>
      </w:r>
      <w:r>
        <w:rPr>
          <w:rFonts w:hint="eastAsia"/>
          <w:b/>
          <w:color w:val="000000"/>
          <w:kern w:val="0"/>
          <w:sz w:val="24"/>
        </w:rPr>
        <w:t>（附图9）</w:t>
      </w:r>
      <w:r>
        <w:rPr>
          <w:rFonts w:hint="eastAsia"/>
          <w:color w:val="000000"/>
          <w:kern w:val="0"/>
          <w:sz w:val="24"/>
        </w:rPr>
        <w:t>。</w:t>
      </w:r>
    </w:p>
    <w:p w14:paraId="13EE687C">
      <w:pPr>
        <w:spacing w:line="360" w:lineRule="auto"/>
        <w:ind w:firstLine="482" w:firstLineChars="200"/>
        <w:rPr>
          <w:rFonts w:hint="eastAsia" w:ascii="楷体_GB2312" w:eastAsia="楷体_GB2312"/>
          <w:b/>
          <w:color w:val="000000"/>
          <w:sz w:val="24"/>
        </w:rPr>
      </w:pPr>
      <w:r>
        <w:rPr>
          <w:rFonts w:hint="eastAsia" w:ascii="楷体_GB2312" w:eastAsia="楷体_GB2312"/>
          <w:b/>
          <w:color w:val="000000"/>
          <w:sz w:val="24"/>
        </w:rPr>
        <w:t>3、选型计算结果</w:t>
      </w:r>
    </w:p>
    <w:p w14:paraId="1489A4DC">
      <w:pPr>
        <w:spacing w:line="360" w:lineRule="auto"/>
        <w:ind w:firstLine="480" w:firstLineChars="200"/>
        <w:rPr>
          <w:rFonts w:hint="eastAsia" w:ascii="宋体" w:hAnsi="宋体"/>
          <w:color w:val="000000"/>
          <w:sz w:val="24"/>
        </w:rPr>
      </w:pPr>
      <w:r>
        <w:rPr>
          <w:rFonts w:hint="eastAsia" w:ascii="宋体" w:hAnsi="宋体"/>
          <w:color w:val="000000"/>
          <w:sz w:val="24"/>
        </w:rPr>
        <w:t>（1）高负压抽放设备</w:t>
      </w:r>
    </w:p>
    <w:p w14:paraId="590090DB">
      <w:pPr>
        <w:spacing w:line="360" w:lineRule="auto"/>
        <w:ind w:firstLine="480" w:firstLineChars="200"/>
        <w:rPr>
          <w:rFonts w:hint="eastAsia" w:ascii="宋体" w:hAnsi="宋体"/>
          <w:color w:val="000000"/>
          <w:sz w:val="24"/>
        </w:rPr>
      </w:pPr>
      <w:r>
        <w:rPr>
          <w:rFonts w:hint="eastAsia" w:ascii="宋体" w:hAnsi="宋体"/>
          <w:color w:val="000000"/>
          <w:sz w:val="24"/>
        </w:rPr>
        <w:t>A、设计依据</w:t>
      </w:r>
    </w:p>
    <w:p w14:paraId="20905BF7">
      <w:pPr>
        <w:spacing w:line="360" w:lineRule="auto"/>
        <w:ind w:firstLine="480" w:firstLineChars="200"/>
        <w:rPr>
          <w:rFonts w:hint="eastAsia" w:ascii="宋体" w:hAnsi="宋体"/>
          <w:sz w:val="24"/>
        </w:rPr>
      </w:pPr>
      <w:r>
        <w:rPr>
          <w:rFonts w:hint="eastAsia" w:ascii="宋体" w:hAnsi="宋体"/>
          <w:sz w:val="24"/>
        </w:rPr>
        <w:t>1、抽放瓦斯纯量：Q＝10m</w:t>
      </w:r>
      <w:r>
        <w:rPr>
          <w:rFonts w:hint="eastAsia" w:ascii="宋体" w:hAnsi="宋体"/>
          <w:sz w:val="24"/>
          <w:vertAlign w:val="superscript"/>
        </w:rPr>
        <w:t>3</w:t>
      </w:r>
      <w:r>
        <w:rPr>
          <w:rFonts w:hint="eastAsia" w:ascii="宋体" w:hAnsi="宋体"/>
          <w:sz w:val="24"/>
        </w:rPr>
        <w:t>/min；</w:t>
      </w:r>
    </w:p>
    <w:p w14:paraId="15901C8F">
      <w:pPr>
        <w:spacing w:line="360" w:lineRule="auto"/>
        <w:ind w:firstLine="480" w:firstLineChars="200"/>
        <w:rPr>
          <w:rFonts w:hint="eastAsia" w:ascii="宋体" w:hAnsi="宋体"/>
          <w:sz w:val="24"/>
        </w:rPr>
      </w:pPr>
      <w:r>
        <w:rPr>
          <w:rFonts w:hint="eastAsia" w:ascii="宋体" w:hAnsi="宋体"/>
          <w:sz w:val="24"/>
        </w:rPr>
        <w:t>2、抽放瓦斯浓度：30％；</w:t>
      </w:r>
    </w:p>
    <w:p w14:paraId="006C0BE8">
      <w:pPr>
        <w:spacing w:line="360" w:lineRule="auto"/>
        <w:ind w:firstLine="480" w:firstLineChars="200"/>
        <w:rPr>
          <w:rFonts w:hint="eastAsia" w:ascii="宋体" w:hAnsi="宋体"/>
          <w:sz w:val="24"/>
        </w:rPr>
      </w:pPr>
      <w:r>
        <w:rPr>
          <w:rFonts w:hint="eastAsia" w:ascii="宋体" w:hAnsi="宋体"/>
          <w:sz w:val="24"/>
        </w:rPr>
        <w:t>3、抽采瓦斯混合量：10/30％=33.3m</w:t>
      </w:r>
      <w:r>
        <w:rPr>
          <w:rFonts w:hint="eastAsia" w:ascii="宋体" w:hAnsi="宋体"/>
          <w:sz w:val="24"/>
          <w:vertAlign w:val="superscript"/>
        </w:rPr>
        <w:t>3</w:t>
      </w:r>
      <w:r>
        <w:rPr>
          <w:rFonts w:hint="eastAsia" w:ascii="宋体" w:hAnsi="宋体"/>
          <w:sz w:val="24"/>
        </w:rPr>
        <w:t>/min；</w:t>
      </w:r>
    </w:p>
    <w:p w14:paraId="744A9207">
      <w:pPr>
        <w:spacing w:line="360" w:lineRule="auto"/>
        <w:ind w:firstLine="480" w:firstLineChars="200"/>
        <w:rPr>
          <w:rFonts w:hint="eastAsia" w:ascii="宋体" w:hAnsi="宋体"/>
          <w:sz w:val="24"/>
        </w:rPr>
      </w:pPr>
      <w:r>
        <w:rPr>
          <w:rFonts w:hint="eastAsia" w:ascii="宋体" w:hAnsi="宋体"/>
          <w:sz w:val="24"/>
        </w:rPr>
        <w:t>4、孔口负压：15kPa；</w:t>
      </w:r>
    </w:p>
    <w:p w14:paraId="795801EA">
      <w:pPr>
        <w:spacing w:line="360" w:lineRule="auto"/>
        <w:ind w:firstLine="480" w:firstLineChars="200"/>
        <w:rPr>
          <w:rFonts w:hint="eastAsia" w:ascii="宋体" w:hAnsi="宋体"/>
          <w:sz w:val="24"/>
        </w:rPr>
      </w:pPr>
      <w:r>
        <w:rPr>
          <w:rFonts w:hint="eastAsia" w:ascii="宋体" w:hAnsi="宋体"/>
          <w:sz w:val="24"/>
        </w:rPr>
        <w:t>5、泵出口正压：4kPa；</w:t>
      </w:r>
    </w:p>
    <w:p w14:paraId="1DA21D2A">
      <w:pPr>
        <w:spacing w:line="360" w:lineRule="auto"/>
        <w:ind w:firstLine="480" w:firstLineChars="200"/>
        <w:rPr>
          <w:rFonts w:hint="eastAsia" w:ascii="宋体" w:hAnsi="宋体"/>
          <w:color w:val="000000"/>
          <w:sz w:val="24"/>
        </w:rPr>
      </w:pPr>
      <w:r>
        <w:rPr>
          <w:rFonts w:hint="eastAsia" w:ascii="宋体" w:hAnsi="宋体"/>
          <w:color w:val="000000"/>
          <w:sz w:val="24"/>
        </w:rPr>
        <w:t>B、选型计算</w:t>
      </w:r>
    </w:p>
    <w:p w14:paraId="3649CDE0">
      <w:pPr>
        <w:spacing w:line="360" w:lineRule="auto"/>
        <w:ind w:firstLine="480" w:firstLineChars="200"/>
        <w:rPr>
          <w:rFonts w:hint="eastAsia" w:ascii="宋体" w:hAnsi="宋体"/>
          <w:color w:val="000000"/>
          <w:sz w:val="24"/>
        </w:rPr>
      </w:pPr>
      <w:r>
        <w:rPr>
          <w:rFonts w:hint="eastAsia" w:ascii="宋体" w:hAnsi="宋体"/>
          <w:color w:val="000000"/>
          <w:sz w:val="24"/>
        </w:rPr>
        <w:t>1）抽放管径计算：</w:t>
      </w:r>
    </w:p>
    <w:p w14:paraId="0894D6C0">
      <w:pPr>
        <w:spacing w:line="360" w:lineRule="auto"/>
        <w:ind w:firstLine="480" w:firstLineChars="200"/>
        <w:rPr>
          <w:rFonts w:hint="eastAsia" w:ascii="宋体" w:hAnsi="宋体"/>
          <w:sz w:val="24"/>
        </w:rPr>
      </w:pPr>
      <w:r>
        <w:rPr>
          <w:rFonts w:hint="eastAsia" w:ascii="宋体" w:hAnsi="宋体"/>
          <w:sz w:val="24"/>
        </w:rPr>
        <w:t>根据瓦斯抽放管路服务的范围和所负担抽放混合量的大小，其管径按下式计算：</w:t>
      </w:r>
    </w:p>
    <w:p w14:paraId="2A50A323">
      <w:pPr>
        <w:spacing w:line="360" w:lineRule="auto"/>
        <w:ind w:firstLine="480" w:firstLineChars="200"/>
        <w:rPr>
          <w:rFonts w:hint="eastAsia" w:ascii="宋体" w:hAnsi="宋体"/>
          <w:sz w:val="24"/>
          <w:vertAlign w:val="superscript"/>
        </w:rPr>
      </w:pPr>
      <w:r>
        <w:rPr>
          <w:rFonts w:hint="eastAsia" w:ascii="宋体" w:hAnsi="宋体"/>
          <w:sz w:val="24"/>
        </w:rPr>
        <w:t>D=0.1457（Q</w:t>
      </w:r>
      <w:r>
        <w:rPr>
          <w:rFonts w:hint="eastAsia" w:ascii="宋体" w:hAnsi="宋体"/>
          <w:sz w:val="24"/>
          <w:vertAlign w:val="subscript"/>
        </w:rPr>
        <w:t>混</w:t>
      </w:r>
      <w:r>
        <w:rPr>
          <w:rFonts w:hint="eastAsia" w:ascii="宋体" w:hAnsi="宋体"/>
          <w:sz w:val="24"/>
        </w:rPr>
        <w:t>/V）</w:t>
      </w:r>
      <w:r>
        <w:rPr>
          <w:rFonts w:hint="eastAsia" w:ascii="宋体" w:hAnsi="宋体"/>
          <w:sz w:val="24"/>
          <w:vertAlign w:val="superscript"/>
        </w:rPr>
        <w:t>1/2</w:t>
      </w:r>
    </w:p>
    <w:p w14:paraId="10D397EE">
      <w:pPr>
        <w:spacing w:line="360" w:lineRule="auto"/>
        <w:ind w:firstLine="480" w:firstLineChars="200"/>
        <w:rPr>
          <w:rFonts w:hint="eastAsia" w:ascii="宋体" w:hAnsi="宋体"/>
          <w:sz w:val="24"/>
        </w:rPr>
      </w:pPr>
      <w:r>
        <w:rPr>
          <w:rFonts w:hint="eastAsia" w:ascii="宋体" w:hAnsi="宋体"/>
          <w:sz w:val="24"/>
        </w:rPr>
        <w:t>式中：D——瓦斯抽放管内径，m</w:t>
      </w:r>
    </w:p>
    <w:p w14:paraId="23A19273">
      <w:pPr>
        <w:spacing w:line="360" w:lineRule="auto"/>
        <w:ind w:firstLine="1200" w:firstLineChars="500"/>
        <w:rPr>
          <w:rFonts w:hint="eastAsia" w:ascii="宋体" w:hAnsi="宋体"/>
          <w:sz w:val="24"/>
        </w:rPr>
      </w:pPr>
      <w:r>
        <w:rPr>
          <w:rFonts w:hint="eastAsia" w:ascii="宋体" w:hAnsi="宋体"/>
          <w:sz w:val="24"/>
        </w:rPr>
        <w:t>V——管道中混合气体的经济流速，m/s，一般取V=10～15m/s（AQ 1027-2006）</w:t>
      </w:r>
    </w:p>
    <w:p w14:paraId="1B26FD91">
      <w:pPr>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混</w:t>
      </w:r>
      <w:r>
        <w:rPr>
          <w:rFonts w:hint="eastAsia" w:ascii="宋体" w:hAnsi="宋体"/>
          <w:sz w:val="24"/>
        </w:rPr>
        <w:t>——管内混合气体流量，m</w:t>
      </w:r>
      <w:r>
        <w:rPr>
          <w:rFonts w:hint="eastAsia" w:ascii="宋体" w:hAnsi="宋体"/>
          <w:sz w:val="24"/>
          <w:vertAlign w:val="superscript"/>
        </w:rPr>
        <w:t>3</w:t>
      </w:r>
      <w:r>
        <w:rPr>
          <w:rFonts w:hint="eastAsia" w:ascii="宋体" w:hAnsi="宋体"/>
          <w:sz w:val="24"/>
        </w:rPr>
        <w:t>/min</w:t>
      </w:r>
    </w:p>
    <w:p w14:paraId="5095A4DB">
      <w:pPr>
        <w:spacing w:line="360" w:lineRule="auto"/>
        <w:ind w:firstLine="480" w:firstLineChars="200"/>
        <w:rPr>
          <w:rFonts w:hint="eastAsia" w:ascii="宋体" w:hAnsi="宋体"/>
          <w:sz w:val="24"/>
        </w:rPr>
      </w:pPr>
      <w:r>
        <w:rPr>
          <w:rFonts w:hint="eastAsia" w:ascii="宋体" w:hAnsi="宋体"/>
          <w:sz w:val="24"/>
        </w:rPr>
        <w:t>①主管路管径计算</w:t>
      </w:r>
    </w:p>
    <w:p w14:paraId="626440BB">
      <w:pPr>
        <w:spacing w:line="360" w:lineRule="auto"/>
        <w:ind w:firstLine="480" w:firstLineChars="200"/>
        <w:rPr>
          <w:rFonts w:hint="eastAsia" w:ascii="宋体" w:hAnsi="宋体"/>
          <w:sz w:val="24"/>
        </w:rPr>
      </w:pPr>
      <w:r>
        <w:rPr>
          <w:rFonts w:hint="eastAsia" w:ascii="宋体" w:hAnsi="宋体"/>
          <w:sz w:val="24"/>
        </w:rPr>
        <w:t>根据巷道的布置，主管从抽放泵站至回风斜巷，按总流量计算。</w:t>
      </w:r>
    </w:p>
    <w:p w14:paraId="48AC8EEC">
      <w:pPr>
        <w:spacing w:line="360" w:lineRule="auto"/>
        <w:ind w:firstLine="480" w:firstLineChars="200"/>
        <w:rPr>
          <w:rFonts w:hint="eastAsia" w:ascii="宋体" w:hAnsi="宋体"/>
          <w:sz w:val="24"/>
        </w:rPr>
      </w:pPr>
      <w:r>
        <w:rPr>
          <w:rFonts w:hint="eastAsia" w:ascii="宋体" w:hAnsi="宋体"/>
          <w:sz w:val="24"/>
        </w:rPr>
        <w:t>D</w:t>
      </w:r>
      <w:r>
        <w:rPr>
          <w:rFonts w:hint="eastAsia" w:ascii="宋体" w:hAnsi="宋体"/>
          <w:sz w:val="24"/>
          <w:vertAlign w:val="subscript"/>
        </w:rPr>
        <w:t>主</w:t>
      </w:r>
      <w:r>
        <w:rPr>
          <w:rFonts w:hint="eastAsia" w:ascii="宋体" w:hAnsi="宋体"/>
          <w:sz w:val="24"/>
        </w:rPr>
        <w:t>=0.1475（Q</w:t>
      </w:r>
      <w:r>
        <w:rPr>
          <w:rFonts w:hint="eastAsia" w:ascii="宋体" w:hAnsi="宋体"/>
          <w:sz w:val="24"/>
          <w:vertAlign w:val="subscript"/>
        </w:rPr>
        <w:t>混</w:t>
      </w:r>
      <w:r>
        <w:rPr>
          <w:rFonts w:hint="eastAsia" w:ascii="宋体" w:hAnsi="宋体"/>
          <w:sz w:val="24"/>
        </w:rPr>
        <w:t>/V）</w:t>
      </w:r>
      <w:r>
        <w:rPr>
          <w:rFonts w:hint="eastAsia" w:ascii="宋体" w:hAnsi="宋体"/>
          <w:sz w:val="24"/>
          <w:vertAlign w:val="superscript"/>
        </w:rPr>
        <w:t>1/2</w:t>
      </w:r>
      <w:r>
        <w:rPr>
          <w:rFonts w:hint="eastAsia" w:ascii="宋体" w:hAnsi="宋体"/>
          <w:sz w:val="24"/>
        </w:rPr>
        <w:t>=0.1475×（33.3/10）</w:t>
      </w:r>
      <w:r>
        <w:rPr>
          <w:rFonts w:hint="eastAsia" w:ascii="宋体" w:hAnsi="宋体"/>
          <w:sz w:val="24"/>
          <w:vertAlign w:val="superscript"/>
        </w:rPr>
        <w:t>1/2</w:t>
      </w:r>
      <w:r>
        <w:rPr>
          <w:rFonts w:hint="eastAsia" w:ascii="宋体" w:hAnsi="宋体"/>
          <w:sz w:val="24"/>
        </w:rPr>
        <w:t>=0.266m</w:t>
      </w:r>
    </w:p>
    <w:p w14:paraId="0C70ADDE">
      <w:pPr>
        <w:spacing w:line="360" w:lineRule="auto"/>
        <w:ind w:firstLine="480" w:firstLineChars="200"/>
        <w:rPr>
          <w:rFonts w:hint="eastAsia" w:ascii="宋体" w:hAnsi="宋体"/>
          <w:sz w:val="24"/>
        </w:rPr>
      </w:pPr>
      <w:r>
        <w:rPr>
          <w:rFonts w:hint="eastAsia" w:ascii="宋体" w:hAnsi="宋体"/>
          <w:sz w:val="24"/>
        </w:rPr>
        <w:t>式中：D</w:t>
      </w:r>
      <w:r>
        <w:rPr>
          <w:rFonts w:hint="eastAsia" w:ascii="宋体" w:hAnsi="宋体"/>
          <w:sz w:val="24"/>
          <w:vertAlign w:val="subscript"/>
        </w:rPr>
        <w:t>主</w:t>
      </w:r>
      <w:r>
        <w:rPr>
          <w:rFonts w:hint="eastAsia" w:ascii="宋体" w:hAnsi="宋体"/>
          <w:sz w:val="24"/>
        </w:rPr>
        <w:t>——瓦斯管内径m</w:t>
      </w:r>
    </w:p>
    <w:p w14:paraId="716A3D39">
      <w:pPr>
        <w:pStyle w:val="29"/>
        <w:spacing w:line="360" w:lineRule="auto"/>
        <w:ind w:firstLine="480" w:firstLineChars="200"/>
        <w:rPr>
          <w:rFonts w:hint="eastAsia" w:hAnsi="宋体"/>
          <w:sz w:val="24"/>
          <w:szCs w:val="24"/>
        </w:rPr>
      </w:pPr>
      <w:r>
        <w:rPr>
          <w:rFonts w:hint="eastAsia" w:hAnsi="宋体"/>
          <w:sz w:val="24"/>
          <w:szCs w:val="24"/>
        </w:rPr>
        <w:t xml:space="preserve">      Q</w:t>
      </w:r>
      <w:r>
        <w:rPr>
          <w:rFonts w:hint="eastAsia" w:hAnsi="宋体"/>
          <w:sz w:val="24"/>
          <w:szCs w:val="24"/>
          <w:vertAlign w:val="subscript"/>
        </w:rPr>
        <w:t>混</w:t>
      </w:r>
      <w:r>
        <w:rPr>
          <w:rFonts w:hint="eastAsia" w:hAnsi="宋体"/>
          <w:sz w:val="24"/>
          <w:szCs w:val="24"/>
        </w:rPr>
        <w:t>——瓦斯管内的混合气体流量33.3m</w:t>
      </w:r>
      <w:r>
        <w:rPr>
          <w:rFonts w:hint="eastAsia" w:hAnsi="宋体"/>
          <w:sz w:val="24"/>
          <w:szCs w:val="24"/>
          <w:vertAlign w:val="superscript"/>
        </w:rPr>
        <w:t>3</w:t>
      </w:r>
      <w:r>
        <w:rPr>
          <w:rFonts w:hint="eastAsia" w:hAnsi="宋体"/>
          <w:sz w:val="24"/>
          <w:szCs w:val="24"/>
        </w:rPr>
        <w:t>/min。</w:t>
      </w:r>
    </w:p>
    <w:p w14:paraId="1FA89F8D">
      <w:pPr>
        <w:pStyle w:val="29"/>
        <w:spacing w:line="360" w:lineRule="auto"/>
        <w:ind w:left="-65" w:leftChars="-31" w:firstLine="480" w:firstLineChars="200"/>
        <w:rPr>
          <w:rFonts w:hint="eastAsia" w:hAnsi="宋体"/>
          <w:sz w:val="24"/>
          <w:szCs w:val="24"/>
        </w:rPr>
      </w:pPr>
      <w:r>
        <w:rPr>
          <w:rFonts w:hint="eastAsia" w:hAnsi="宋体"/>
          <w:sz w:val="24"/>
          <w:szCs w:val="24"/>
        </w:rPr>
        <w:t xml:space="preserve">       V ——管道中混合气体的经济流速，取10.0m/s。</w:t>
      </w:r>
    </w:p>
    <w:p w14:paraId="6E986CEE">
      <w:pPr>
        <w:pStyle w:val="29"/>
        <w:spacing w:line="360" w:lineRule="auto"/>
        <w:ind w:firstLine="480" w:firstLineChars="200"/>
        <w:rPr>
          <w:rFonts w:hint="eastAsia" w:hAnsi="宋体"/>
          <w:sz w:val="24"/>
          <w:szCs w:val="24"/>
        </w:rPr>
      </w:pPr>
      <w:r>
        <w:rPr>
          <w:rFonts w:hint="eastAsia" w:hAnsi="宋体"/>
          <w:sz w:val="24"/>
          <w:szCs w:val="24"/>
        </w:rPr>
        <w:t>②支管路管径计算</w:t>
      </w:r>
    </w:p>
    <w:p w14:paraId="40C4AB6D">
      <w:pPr>
        <w:pStyle w:val="29"/>
        <w:spacing w:line="360" w:lineRule="auto"/>
        <w:ind w:firstLine="480" w:firstLineChars="200"/>
        <w:rPr>
          <w:rFonts w:hint="eastAsia" w:hAnsi="宋体"/>
          <w:sz w:val="24"/>
          <w:szCs w:val="24"/>
        </w:rPr>
      </w:pPr>
      <w:r>
        <w:rPr>
          <w:rFonts w:hint="eastAsia" w:hAnsi="宋体"/>
          <w:sz w:val="24"/>
          <w:szCs w:val="24"/>
        </w:rPr>
        <w:t>根据开采方案设计，矿井达产时布置1个回采工作面和2个掘进工作面。</w:t>
      </w:r>
    </w:p>
    <w:p w14:paraId="6380EB4B">
      <w:pPr>
        <w:pStyle w:val="29"/>
        <w:spacing w:line="360" w:lineRule="auto"/>
        <w:ind w:firstLine="480" w:firstLineChars="200"/>
        <w:rPr>
          <w:rFonts w:hint="eastAsia" w:hAnsi="宋体"/>
          <w:sz w:val="24"/>
          <w:szCs w:val="24"/>
        </w:rPr>
      </w:pPr>
      <w:r>
        <w:rPr>
          <w:rFonts w:hint="eastAsia" w:hAnsi="宋体"/>
          <w:sz w:val="24"/>
          <w:szCs w:val="24"/>
        </w:rPr>
        <w:t>按抽放回采工作面的瓦斯流量计算：</w:t>
      </w:r>
    </w:p>
    <w:p w14:paraId="16958394">
      <w:pPr>
        <w:pStyle w:val="29"/>
        <w:spacing w:line="360" w:lineRule="auto"/>
        <w:ind w:firstLine="480" w:firstLineChars="200"/>
        <w:rPr>
          <w:rFonts w:hint="eastAsia" w:hAnsi="宋体"/>
          <w:sz w:val="24"/>
          <w:szCs w:val="24"/>
        </w:rPr>
      </w:pPr>
      <w:r>
        <w:rPr>
          <w:rFonts w:hint="eastAsia" w:hAnsi="宋体"/>
          <w:sz w:val="24"/>
          <w:szCs w:val="24"/>
        </w:rPr>
        <w:t>D</w:t>
      </w:r>
      <w:r>
        <w:rPr>
          <w:rFonts w:hint="eastAsia" w:hAnsi="宋体"/>
          <w:sz w:val="24"/>
          <w:szCs w:val="24"/>
          <w:vertAlign w:val="subscript"/>
        </w:rPr>
        <w:t>支采</w:t>
      </w:r>
      <w:r>
        <w:rPr>
          <w:rFonts w:hint="eastAsia" w:hAnsi="宋体"/>
          <w:sz w:val="24"/>
          <w:szCs w:val="24"/>
        </w:rPr>
        <w:t>=0.1475（Q</w:t>
      </w:r>
      <w:r>
        <w:rPr>
          <w:rFonts w:hint="eastAsia" w:hAnsi="宋体"/>
          <w:sz w:val="24"/>
          <w:szCs w:val="24"/>
          <w:vertAlign w:val="subscript"/>
        </w:rPr>
        <w:t>混</w:t>
      </w:r>
      <w:r>
        <w:rPr>
          <w:rFonts w:hint="eastAsia" w:hAnsi="宋体"/>
          <w:sz w:val="24"/>
          <w:szCs w:val="24"/>
        </w:rPr>
        <w:t>/V）</w:t>
      </w:r>
      <w:r>
        <w:rPr>
          <w:rFonts w:hint="eastAsia" w:hAnsi="宋体"/>
          <w:sz w:val="24"/>
          <w:szCs w:val="24"/>
          <w:vertAlign w:val="superscript"/>
        </w:rPr>
        <w:t>1/2</w:t>
      </w:r>
      <w:r>
        <w:rPr>
          <w:rFonts w:hint="eastAsia" w:hAnsi="宋体"/>
          <w:sz w:val="24"/>
          <w:szCs w:val="24"/>
        </w:rPr>
        <w:t>=0.1475×(20/10)</w:t>
      </w:r>
      <w:r>
        <w:rPr>
          <w:rFonts w:hint="eastAsia" w:hAnsi="宋体"/>
          <w:sz w:val="24"/>
          <w:szCs w:val="24"/>
          <w:vertAlign w:val="superscript"/>
        </w:rPr>
        <w:t>1/2</w:t>
      </w:r>
      <w:r>
        <w:rPr>
          <w:rFonts w:hint="eastAsia" w:hAnsi="宋体"/>
          <w:sz w:val="24"/>
          <w:szCs w:val="24"/>
        </w:rPr>
        <w:t>=0.206m</w:t>
      </w:r>
    </w:p>
    <w:p w14:paraId="21B4A56B">
      <w:pPr>
        <w:pStyle w:val="29"/>
        <w:spacing w:line="360" w:lineRule="auto"/>
        <w:ind w:firstLine="480" w:firstLineChars="200"/>
        <w:rPr>
          <w:rFonts w:hint="eastAsia" w:hAnsi="宋体"/>
          <w:sz w:val="24"/>
          <w:szCs w:val="24"/>
        </w:rPr>
      </w:pPr>
      <w:r>
        <w:rPr>
          <w:rFonts w:hint="eastAsia" w:hAnsi="宋体"/>
          <w:sz w:val="24"/>
          <w:szCs w:val="24"/>
        </w:rPr>
        <w:t>式中：D</w:t>
      </w:r>
      <w:r>
        <w:rPr>
          <w:rFonts w:hint="eastAsia" w:hAnsi="宋体"/>
          <w:sz w:val="24"/>
          <w:szCs w:val="24"/>
          <w:vertAlign w:val="subscript"/>
        </w:rPr>
        <w:t>支</w:t>
      </w:r>
      <w:r>
        <w:rPr>
          <w:rFonts w:hint="eastAsia" w:hAnsi="宋体"/>
          <w:sz w:val="24"/>
          <w:szCs w:val="24"/>
        </w:rPr>
        <w:t>——瓦斯管内径m</w:t>
      </w:r>
    </w:p>
    <w:p w14:paraId="1896E5D8">
      <w:pPr>
        <w:pStyle w:val="29"/>
        <w:spacing w:line="360" w:lineRule="auto"/>
        <w:ind w:firstLine="480" w:firstLineChars="200"/>
        <w:rPr>
          <w:rFonts w:hint="eastAsia" w:hAnsi="宋体"/>
          <w:sz w:val="24"/>
          <w:szCs w:val="24"/>
        </w:rPr>
      </w:pPr>
      <w:r>
        <w:rPr>
          <w:rFonts w:hint="eastAsia" w:hAnsi="宋体"/>
          <w:sz w:val="24"/>
          <w:szCs w:val="24"/>
        </w:rPr>
        <w:t xml:space="preserve">      Q</w:t>
      </w:r>
      <w:r>
        <w:rPr>
          <w:rFonts w:hint="eastAsia" w:hAnsi="宋体"/>
          <w:sz w:val="24"/>
          <w:szCs w:val="24"/>
          <w:vertAlign w:val="subscript"/>
        </w:rPr>
        <w:t>混</w:t>
      </w:r>
      <w:r>
        <w:rPr>
          <w:rFonts w:hint="eastAsia" w:hAnsi="宋体"/>
          <w:sz w:val="24"/>
          <w:szCs w:val="24"/>
        </w:rPr>
        <w:t>——瓦斯管内的混合气体流量20m</w:t>
      </w:r>
      <w:r>
        <w:rPr>
          <w:rFonts w:hint="eastAsia" w:hAnsi="宋体"/>
          <w:sz w:val="24"/>
          <w:szCs w:val="24"/>
          <w:vertAlign w:val="superscript"/>
        </w:rPr>
        <w:t>3</w:t>
      </w:r>
      <w:r>
        <w:rPr>
          <w:rFonts w:hint="eastAsia" w:hAnsi="宋体"/>
          <w:sz w:val="24"/>
          <w:szCs w:val="24"/>
        </w:rPr>
        <w:t>/min。</w:t>
      </w:r>
    </w:p>
    <w:p w14:paraId="5E11D429">
      <w:pPr>
        <w:pStyle w:val="29"/>
        <w:spacing w:line="360" w:lineRule="auto"/>
        <w:ind w:firstLine="480" w:firstLineChars="200"/>
        <w:rPr>
          <w:rFonts w:hint="eastAsia" w:hAnsi="宋体"/>
          <w:sz w:val="24"/>
          <w:szCs w:val="24"/>
        </w:rPr>
      </w:pPr>
      <w:r>
        <w:rPr>
          <w:rFonts w:hint="eastAsia" w:hAnsi="宋体"/>
          <w:sz w:val="24"/>
          <w:szCs w:val="24"/>
        </w:rPr>
        <w:t xml:space="preserve">      V——管道中混合气体的经济流速，取10m/s。</w:t>
      </w:r>
    </w:p>
    <w:p w14:paraId="3CEFA8CF">
      <w:pPr>
        <w:pStyle w:val="29"/>
        <w:spacing w:line="360" w:lineRule="auto"/>
        <w:ind w:firstLine="480" w:firstLineChars="200"/>
        <w:rPr>
          <w:rFonts w:hint="eastAsia" w:hAnsi="宋体"/>
          <w:sz w:val="24"/>
          <w:szCs w:val="24"/>
        </w:rPr>
      </w:pPr>
      <w:r>
        <w:rPr>
          <w:rFonts w:hint="eastAsia" w:hAnsi="宋体"/>
          <w:sz w:val="24"/>
          <w:szCs w:val="24"/>
        </w:rPr>
        <w:t>D</w:t>
      </w:r>
      <w:r>
        <w:rPr>
          <w:rFonts w:hint="eastAsia" w:hAnsi="宋体"/>
          <w:sz w:val="24"/>
          <w:szCs w:val="24"/>
          <w:vertAlign w:val="subscript"/>
        </w:rPr>
        <w:t>支掘</w:t>
      </w:r>
      <w:r>
        <w:rPr>
          <w:rFonts w:hint="eastAsia" w:hAnsi="宋体"/>
          <w:sz w:val="24"/>
          <w:szCs w:val="24"/>
        </w:rPr>
        <w:t>=0.1475（Q</w:t>
      </w:r>
      <w:r>
        <w:rPr>
          <w:rFonts w:hint="eastAsia" w:hAnsi="宋体"/>
          <w:sz w:val="24"/>
          <w:szCs w:val="24"/>
          <w:vertAlign w:val="subscript"/>
        </w:rPr>
        <w:t>混</w:t>
      </w:r>
      <w:r>
        <w:rPr>
          <w:rFonts w:hint="eastAsia" w:hAnsi="宋体"/>
          <w:sz w:val="24"/>
          <w:szCs w:val="24"/>
        </w:rPr>
        <w:t>/V）</w:t>
      </w:r>
      <w:r>
        <w:rPr>
          <w:rFonts w:hint="eastAsia" w:hAnsi="宋体"/>
          <w:sz w:val="24"/>
          <w:szCs w:val="24"/>
          <w:vertAlign w:val="superscript"/>
        </w:rPr>
        <w:t>1/2</w:t>
      </w:r>
      <w:r>
        <w:rPr>
          <w:rFonts w:hint="eastAsia" w:hAnsi="宋体"/>
          <w:sz w:val="24"/>
          <w:szCs w:val="24"/>
        </w:rPr>
        <w:t>=0.1475×(13.3/10)</w:t>
      </w:r>
      <w:r>
        <w:rPr>
          <w:rFonts w:hint="eastAsia" w:hAnsi="宋体"/>
          <w:sz w:val="24"/>
          <w:szCs w:val="24"/>
          <w:vertAlign w:val="superscript"/>
        </w:rPr>
        <w:t>1/2</w:t>
      </w:r>
      <w:r>
        <w:rPr>
          <w:rFonts w:hint="eastAsia" w:hAnsi="宋体"/>
          <w:sz w:val="24"/>
          <w:szCs w:val="24"/>
        </w:rPr>
        <w:t>=0.168m</w:t>
      </w:r>
    </w:p>
    <w:p w14:paraId="24694177">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注:回风斜井排到地面的瓦斯抽放管为干管1；回采工作面运输顺槽为支管1；掘进工作面1瓦斯管为支管2，掘进工作面2瓦斯管为支管3。</w:t>
      </w:r>
    </w:p>
    <w:p w14:paraId="5F646551">
      <w:pPr>
        <w:pStyle w:val="29"/>
        <w:spacing w:line="360" w:lineRule="auto"/>
        <w:ind w:firstLine="480" w:firstLineChars="200"/>
        <w:rPr>
          <w:rFonts w:hint="eastAsia" w:hAnsi="宋体"/>
          <w:sz w:val="24"/>
          <w:szCs w:val="24"/>
        </w:rPr>
      </w:pPr>
      <w:r>
        <w:rPr>
          <w:rFonts w:hint="eastAsia" w:hAnsi="宋体"/>
          <w:sz w:val="24"/>
          <w:szCs w:val="24"/>
        </w:rPr>
        <w:t>2)抽放管材的选择和管径的确定</w:t>
      </w:r>
    </w:p>
    <w:p w14:paraId="2E58DB41">
      <w:pPr>
        <w:pStyle w:val="29"/>
        <w:spacing w:line="360" w:lineRule="auto"/>
        <w:ind w:firstLine="480" w:firstLineChars="200"/>
        <w:rPr>
          <w:rFonts w:hint="eastAsia" w:hAnsi="宋体"/>
          <w:sz w:val="24"/>
          <w:szCs w:val="24"/>
        </w:rPr>
      </w:pPr>
      <w:r>
        <w:rPr>
          <w:rFonts w:hint="eastAsia" w:hAnsi="宋体"/>
          <w:sz w:val="24"/>
          <w:szCs w:val="24"/>
        </w:rPr>
        <w:t>抽放管材均选择无缝钢管。经计算得主管直径D=0.266m，回采工作面支管直径D=0.206m，掘进工作面支管直径D=0.168。</w:t>
      </w:r>
    </w:p>
    <w:p w14:paraId="5BB296A3">
      <w:pPr>
        <w:pStyle w:val="29"/>
        <w:spacing w:line="360" w:lineRule="auto"/>
        <w:ind w:firstLine="480" w:firstLineChars="200"/>
        <w:rPr>
          <w:rFonts w:hint="eastAsia" w:hAnsi="宋体"/>
          <w:color w:val="0000FF"/>
          <w:sz w:val="24"/>
          <w:szCs w:val="24"/>
        </w:rPr>
      </w:pPr>
      <w:r>
        <w:rPr>
          <w:rFonts w:hint="eastAsia" w:hAnsi="宋体"/>
          <w:color w:val="0000FF"/>
          <w:sz w:val="24"/>
          <w:szCs w:val="24"/>
        </w:rPr>
        <w:t>故主管可选择DN300无缝钢管，回采工作面支管可选择DN250无缝钢管，掘进工作支管可选择DN200无缝钢管。</w:t>
      </w:r>
    </w:p>
    <w:p w14:paraId="07DFB636">
      <w:pPr>
        <w:pStyle w:val="29"/>
        <w:spacing w:line="360" w:lineRule="auto"/>
        <w:ind w:firstLine="480" w:firstLineChars="200"/>
        <w:rPr>
          <w:rFonts w:hint="eastAsia" w:hAnsi="宋体"/>
          <w:sz w:val="24"/>
          <w:szCs w:val="24"/>
        </w:rPr>
      </w:pPr>
      <w:r>
        <w:rPr>
          <w:rFonts w:hint="eastAsia" w:hAnsi="宋体"/>
          <w:sz w:val="24"/>
          <w:szCs w:val="24"/>
        </w:rPr>
        <w:t>3）管道阻力损失计算：</w:t>
      </w:r>
    </w:p>
    <w:p w14:paraId="1E25FE88">
      <w:pPr>
        <w:pStyle w:val="29"/>
        <w:spacing w:line="360" w:lineRule="auto"/>
        <w:ind w:firstLine="480" w:firstLineChars="200"/>
        <w:rPr>
          <w:rFonts w:hint="eastAsia" w:hAnsi="宋体"/>
          <w:sz w:val="24"/>
          <w:szCs w:val="24"/>
        </w:rPr>
      </w:pPr>
      <w:r>
        <w:rPr>
          <w:rFonts w:hint="eastAsia" w:hAnsi="宋体"/>
          <w:sz w:val="24"/>
          <w:szCs w:val="24"/>
        </w:rPr>
        <w:t>①管道阻力损失按下式计算：</w:t>
      </w:r>
    </w:p>
    <w:p w14:paraId="61865AE2">
      <w:pPr>
        <w:pStyle w:val="29"/>
        <w:spacing w:line="360" w:lineRule="auto"/>
        <w:ind w:firstLine="480" w:firstLineChars="200"/>
        <w:rPr>
          <w:rFonts w:hint="eastAsia" w:hAnsi="宋体"/>
          <w:sz w:val="24"/>
          <w:szCs w:val="24"/>
        </w:rPr>
      </w:pPr>
      <w:r>
        <w:rPr>
          <w:rFonts w:hint="eastAsia" w:hAnsi="宋体"/>
          <w:sz w:val="24"/>
          <w:szCs w:val="24"/>
        </w:rPr>
        <w:t>Hm=9.81（LQ</w:t>
      </w:r>
      <w:r>
        <w:rPr>
          <w:rFonts w:hint="eastAsia" w:hAnsi="宋体"/>
          <w:sz w:val="24"/>
          <w:szCs w:val="24"/>
          <w:vertAlign w:val="superscript"/>
        </w:rPr>
        <w:t>2</w:t>
      </w:r>
      <w:r>
        <w:rPr>
          <w:rFonts w:hint="eastAsia" w:hAnsi="宋体"/>
          <w:sz w:val="24"/>
          <w:szCs w:val="24"/>
        </w:rPr>
        <w:t>△/K</w:t>
      </w:r>
      <w:r>
        <w:rPr>
          <w:rFonts w:hint="eastAsia" w:hAnsi="宋体"/>
          <w:sz w:val="24"/>
          <w:szCs w:val="24"/>
          <w:vertAlign w:val="subscript"/>
        </w:rPr>
        <w:t>0</w:t>
      </w:r>
      <w:r>
        <w:rPr>
          <w:rFonts w:hint="eastAsia" w:hAnsi="宋体"/>
          <w:sz w:val="24"/>
          <w:szCs w:val="24"/>
        </w:rPr>
        <w:t>D</w:t>
      </w:r>
      <w:r>
        <w:rPr>
          <w:rFonts w:hint="eastAsia" w:hAnsi="宋体"/>
          <w:sz w:val="24"/>
          <w:szCs w:val="24"/>
          <w:vertAlign w:val="superscript"/>
        </w:rPr>
        <w:t>5</w:t>
      </w:r>
      <w:r>
        <w:rPr>
          <w:rFonts w:hint="eastAsia" w:hAnsi="宋体"/>
          <w:sz w:val="24"/>
          <w:szCs w:val="24"/>
        </w:rPr>
        <w:t>）</w:t>
      </w:r>
    </w:p>
    <w:p w14:paraId="1BE0EEC6">
      <w:pPr>
        <w:pStyle w:val="29"/>
        <w:spacing w:line="360" w:lineRule="auto"/>
        <w:ind w:firstLine="480" w:firstLineChars="200"/>
        <w:rPr>
          <w:rFonts w:hint="eastAsia" w:hAnsi="宋体"/>
          <w:sz w:val="24"/>
          <w:szCs w:val="24"/>
        </w:rPr>
      </w:pPr>
      <w:r>
        <w:rPr>
          <w:rFonts w:hint="eastAsia" w:hAnsi="宋体"/>
          <w:sz w:val="24"/>
          <w:szCs w:val="24"/>
        </w:rPr>
        <w:t>式中：H——阻力损失Pa</w:t>
      </w:r>
    </w:p>
    <w:p w14:paraId="1314075E">
      <w:pPr>
        <w:pStyle w:val="29"/>
        <w:spacing w:line="360" w:lineRule="auto"/>
        <w:ind w:firstLine="480" w:firstLineChars="200"/>
        <w:rPr>
          <w:rFonts w:hint="eastAsia" w:hAnsi="宋体"/>
          <w:sz w:val="24"/>
          <w:szCs w:val="24"/>
        </w:rPr>
      </w:pPr>
      <w:r>
        <w:rPr>
          <w:rFonts w:hint="eastAsia" w:hAnsi="宋体"/>
          <w:sz w:val="24"/>
          <w:szCs w:val="24"/>
        </w:rPr>
        <w:t xml:space="preserve">     L——管道长度m</w:t>
      </w:r>
    </w:p>
    <w:p w14:paraId="7BF49217">
      <w:pPr>
        <w:pStyle w:val="29"/>
        <w:spacing w:line="360" w:lineRule="auto"/>
        <w:ind w:firstLine="480" w:firstLineChars="200"/>
        <w:rPr>
          <w:rFonts w:hint="eastAsia" w:hAnsi="宋体"/>
          <w:sz w:val="24"/>
          <w:szCs w:val="24"/>
        </w:rPr>
      </w:pPr>
      <w:r>
        <w:rPr>
          <w:rFonts w:hint="eastAsia" w:hAnsi="宋体"/>
          <w:sz w:val="24"/>
          <w:szCs w:val="24"/>
        </w:rPr>
        <w:t xml:space="preserve">     Q——混合气体流量m</w:t>
      </w:r>
      <w:r>
        <w:rPr>
          <w:rFonts w:hint="eastAsia" w:hAnsi="宋体"/>
          <w:sz w:val="24"/>
          <w:szCs w:val="24"/>
          <w:vertAlign w:val="superscript"/>
        </w:rPr>
        <w:t>3</w:t>
      </w:r>
      <w:r>
        <w:rPr>
          <w:rFonts w:hint="eastAsia" w:hAnsi="宋体"/>
          <w:sz w:val="24"/>
          <w:szCs w:val="24"/>
        </w:rPr>
        <w:t>/h</w:t>
      </w:r>
    </w:p>
    <w:p w14:paraId="3E803620">
      <w:pPr>
        <w:pStyle w:val="29"/>
        <w:spacing w:line="360" w:lineRule="auto"/>
        <w:ind w:firstLine="480" w:firstLineChars="200"/>
        <w:rPr>
          <w:rFonts w:hint="eastAsia" w:hAnsi="宋体"/>
          <w:sz w:val="24"/>
          <w:szCs w:val="24"/>
        </w:rPr>
      </w:pPr>
      <w:r>
        <w:rPr>
          <w:rFonts w:hint="eastAsia" w:hAnsi="宋体"/>
          <w:sz w:val="24"/>
          <w:szCs w:val="24"/>
        </w:rPr>
        <w:t xml:space="preserve">     D——管道有效直径cm</w:t>
      </w:r>
    </w:p>
    <w:p w14:paraId="6AC8D8D0">
      <w:pPr>
        <w:pStyle w:val="29"/>
        <w:spacing w:line="360" w:lineRule="auto"/>
        <w:ind w:firstLine="480" w:firstLineChars="200"/>
        <w:rPr>
          <w:rFonts w:hint="eastAsia" w:hAnsi="宋体"/>
          <w:sz w:val="24"/>
          <w:szCs w:val="24"/>
        </w:rPr>
      </w:pPr>
      <w:r>
        <w:rPr>
          <w:rFonts w:hint="eastAsia" w:hAnsi="宋体"/>
          <w:sz w:val="24"/>
          <w:szCs w:val="24"/>
        </w:rPr>
        <w:t xml:space="preserve">     K</w:t>
      </w:r>
      <w:r>
        <w:rPr>
          <w:rFonts w:hint="eastAsia" w:hAnsi="宋体"/>
          <w:sz w:val="24"/>
          <w:szCs w:val="24"/>
          <w:vertAlign w:val="subscript"/>
        </w:rPr>
        <w:t>0</w:t>
      </w:r>
      <w:r>
        <w:rPr>
          <w:rFonts w:hint="eastAsia" w:hAnsi="宋体"/>
          <w:sz w:val="24"/>
          <w:szCs w:val="24"/>
        </w:rPr>
        <w:t>——阻力系数（查表）</w:t>
      </w:r>
    </w:p>
    <w:p w14:paraId="3766F235">
      <w:pPr>
        <w:pStyle w:val="29"/>
        <w:spacing w:line="360" w:lineRule="auto"/>
        <w:ind w:firstLine="480" w:firstLineChars="200"/>
        <w:rPr>
          <w:rFonts w:hint="eastAsia" w:hAnsi="宋体"/>
          <w:sz w:val="24"/>
          <w:szCs w:val="24"/>
        </w:rPr>
      </w:pPr>
      <w:r>
        <w:rPr>
          <w:rFonts w:hint="eastAsia" w:hAnsi="宋体"/>
          <w:sz w:val="24"/>
          <w:szCs w:val="24"/>
        </w:rPr>
        <w:t xml:space="preserve">     △——混合瓦斯对空气的相对密度。</w:t>
      </w:r>
    </w:p>
    <w:p w14:paraId="079C4A4B">
      <w:pPr>
        <w:pStyle w:val="29"/>
        <w:spacing w:line="360" w:lineRule="auto"/>
        <w:ind w:firstLine="480" w:firstLineChars="200"/>
        <w:rPr>
          <w:rFonts w:hint="eastAsia" w:hAnsi="宋体"/>
          <w:sz w:val="24"/>
          <w:szCs w:val="24"/>
        </w:rPr>
      </w:pPr>
      <w:r>
        <w:rPr>
          <w:rFonts w:hint="eastAsia" w:hAnsi="宋体"/>
          <w:sz w:val="24"/>
          <w:szCs w:val="24"/>
        </w:rPr>
        <w:t>△=</w:t>
      </w:r>
      <w:r>
        <w:rPr>
          <w:rFonts w:hAnsi="宋体"/>
          <w:position w:val="-30"/>
          <w:sz w:val="24"/>
          <w:szCs w:val="24"/>
        </w:rPr>
        <w:object>
          <v:shape id="_x0000_i1163" o:spt="75" type="#_x0000_t75" style="height:34pt;width:62pt;" o:ole="t" filled="f" o:preferrelative="t" stroked="f" coordsize="21600,21600">
            <v:path/>
            <v:fill on="f" alignshape="1" focussize="0,0"/>
            <v:stroke on="f"/>
            <v:imagedata r:id="rId224" o:title=""/>
            <o:lock v:ext="edit" aspectratio="t"/>
            <w10:wrap type="none"/>
            <w10:anchorlock/>
          </v:shape>
          <o:OLEObject Type="Embed" ProgID="Equation.3" ShapeID="_x0000_i1163" DrawAspect="Content" ObjectID="_1468075822" r:id="rId223">
            <o:LockedField>false</o:LockedField>
          </o:OLEObject>
        </w:object>
      </w:r>
      <w:r>
        <w:rPr>
          <w:rFonts w:hint="eastAsia" w:hAnsi="宋体"/>
          <w:sz w:val="24"/>
          <w:szCs w:val="24"/>
        </w:rPr>
        <w:t>=</w:t>
      </w:r>
      <w:r>
        <w:rPr>
          <w:rFonts w:hAnsi="宋体"/>
          <w:position w:val="-24"/>
          <w:sz w:val="24"/>
          <w:szCs w:val="24"/>
        </w:rPr>
        <w:object>
          <v:shape id="_x0000_i1164" o:spt="75" type="#_x0000_t75" style="height:31pt;width:131pt;" o:ole="t" filled="f" o:preferrelative="t" stroked="f" coordsize="21600,21600">
            <v:path/>
            <v:fill on="f" alignshape="1" focussize="0,0"/>
            <v:stroke on="f"/>
            <v:imagedata r:id="rId226" o:title=""/>
            <o:lock v:ext="edit" aspectratio="t"/>
            <w10:wrap type="none"/>
            <w10:anchorlock/>
          </v:shape>
          <o:OLEObject Type="Embed" ProgID="Equation.3" ShapeID="_x0000_i1164" DrawAspect="Content" ObjectID="_1468075823" r:id="rId225">
            <o:LockedField>false</o:LockedField>
          </o:OLEObject>
        </w:object>
      </w:r>
      <w:r>
        <w:rPr>
          <w:rFonts w:hint="eastAsia" w:hAnsi="宋体"/>
          <w:sz w:val="24"/>
          <w:szCs w:val="24"/>
        </w:rPr>
        <w:t>=0.866</w:t>
      </w:r>
    </w:p>
    <w:p w14:paraId="11ACA34E">
      <w:pPr>
        <w:pStyle w:val="29"/>
        <w:spacing w:line="360" w:lineRule="auto"/>
        <w:ind w:firstLine="480" w:firstLineChars="200"/>
        <w:jc w:val="center"/>
        <w:rPr>
          <w:rFonts w:hint="eastAsia"/>
          <w:sz w:val="24"/>
          <w:szCs w:val="24"/>
        </w:rPr>
      </w:pPr>
      <w:r>
        <w:rPr>
          <w:rFonts w:hint="eastAsia"/>
          <w:sz w:val="24"/>
          <w:szCs w:val="24"/>
        </w:rPr>
        <w:t>表5-5-8                 不同管径的系数K</w:t>
      </w:r>
      <w:r>
        <w:rPr>
          <w:rFonts w:hint="eastAsia"/>
          <w:sz w:val="24"/>
          <w:szCs w:val="24"/>
          <w:vertAlign w:val="subscript"/>
        </w:rPr>
        <w:t>0</w:t>
      </w:r>
      <w:r>
        <w:rPr>
          <w:rFonts w:hint="eastAsia"/>
          <w:sz w:val="24"/>
          <w:szCs w:val="24"/>
        </w:rPr>
        <w:t>值</w:t>
      </w:r>
    </w:p>
    <w:p w14:paraId="176CA793">
      <w:pPr>
        <w:pStyle w:val="29"/>
        <w:spacing w:line="360" w:lineRule="auto"/>
        <w:jc w:val="center"/>
        <w:rPr>
          <w:rFonts w:hint="eastAsia" w:hAnsi="宋体"/>
          <w:sz w:val="24"/>
          <w:szCs w:val="24"/>
        </w:rPr>
      </w:pPr>
      <w:r>
        <w:rPr>
          <w:szCs w:val="24"/>
        </w:rPr>
        <w:drawing>
          <wp:inline distT="0" distB="0" distL="114300" distR="114300">
            <wp:extent cx="5758815" cy="1444625"/>
            <wp:effectExtent l="0" t="0" r="13335" b="3175"/>
            <wp:docPr id="53"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9"/>
                    <pic:cNvPicPr>
                      <a:picLocks noChangeAspect="1"/>
                    </pic:cNvPicPr>
                  </pic:nvPicPr>
                  <pic:blipFill>
                    <a:blip r:embed="rId227"/>
                    <a:srcRect t="5687"/>
                    <a:stretch>
                      <a:fillRect/>
                    </a:stretch>
                  </pic:blipFill>
                  <pic:spPr>
                    <a:xfrm>
                      <a:off x="0" y="0"/>
                      <a:ext cx="5758815" cy="1444625"/>
                    </a:xfrm>
                    <a:prstGeom prst="rect">
                      <a:avLst/>
                    </a:prstGeom>
                    <a:noFill/>
                    <a:ln>
                      <a:noFill/>
                    </a:ln>
                  </pic:spPr>
                </pic:pic>
              </a:graphicData>
            </a:graphic>
          </wp:inline>
        </w:drawing>
      </w:r>
    </w:p>
    <w:p w14:paraId="08D5025D">
      <w:pPr>
        <w:pStyle w:val="29"/>
        <w:spacing w:line="360" w:lineRule="auto"/>
        <w:ind w:firstLine="480" w:firstLineChars="200"/>
        <w:rPr>
          <w:rFonts w:hint="eastAsia" w:hAnsi="宋体"/>
          <w:sz w:val="24"/>
          <w:szCs w:val="24"/>
        </w:rPr>
      </w:pPr>
      <w:r>
        <w:rPr>
          <w:rFonts w:hint="eastAsia" w:hAnsi="宋体"/>
          <w:sz w:val="24"/>
          <w:szCs w:val="24"/>
        </w:rPr>
        <w:t>瓦斯管道阻力损失计算应选择抽放系统服务年限内阻力最大的一条抽放管路进行计算。根据本矿开拓布置，到矿井+1658m水平深部边界的瓦斯管路最长，因此按从地面泵站到井下+1658m水平深部边界的瓦斯抽放主管路长1500m，支管路长1200m计算抽放管道阻力损失。</w:t>
      </w:r>
    </w:p>
    <w:p w14:paraId="03D6C4CC">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最困难抽放管线阻力计算结果如表5-5-9所示。</w:t>
      </w:r>
    </w:p>
    <w:p w14:paraId="26091FB7">
      <w:pPr>
        <w:autoSpaceDE w:val="0"/>
        <w:autoSpaceDN w:val="0"/>
        <w:adjustRightInd w:val="0"/>
        <w:spacing w:line="360" w:lineRule="auto"/>
        <w:jc w:val="center"/>
        <w:rPr>
          <w:rFonts w:hint="eastAsia" w:ascii="宋体" w:hAnsi="宋体"/>
          <w:sz w:val="24"/>
          <w:lang/>
        </w:rPr>
      </w:pPr>
      <w:r>
        <w:rPr>
          <w:rFonts w:hint="eastAsia" w:ascii="宋体" w:hAnsi="宋体"/>
          <w:sz w:val="24"/>
          <w:lang/>
        </w:rPr>
        <w:t>表5-5-9        瓦斯抽放系统最困难管网阻力计算结果</w:t>
      </w:r>
    </w:p>
    <w:tbl>
      <w:tblPr>
        <w:tblStyle w:val="62"/>
        <w:tblW w:w="0" w:type="auto"/>
        <w:tblInd w:w="103" w:type="dxa"/>
        <w:tblLayout w:type="fixed"/>
        <w:tblCellMar>
          <w:top w:w="0" w:type="dxa"/>
          <w:left w:w="108" w:type="dxa"/>
          <w:bottom w:w="0" w:type="dxa"/>
          <w:right w:w="108" w:type="dxa"/>
        </w:tblCellMar>
      </w:tblPr>
      <w:tblGrid>
        <w:gridCol w:w="929"/>
        <w:gridCol w:w="950"/>
        <w:gridCol w:w="1309"/>
        <w:gridCol w:w="1077"/>
        <w:gridCol w:w="1077"/>
        <w:gridCol w:w="1140"/>
        <w:gridCol w:w="1140"/>
        <w:gridCol w:w="1436"/>
      </w:tblGrid>
      <w:tr w14:paraId="20F8124D">
        <w:tblPrEx>
          <w:tblCellMar>
            <w:top w:w="0" w:type="dxa"/>
            <w:left w:w="108" w:type="dxa"/>
            <w:bottom w:w="0" w:type="dxa"/>
            <w:right w:w="108" w:type="dxa"/>
          </w:tblCellMar>
        </w:tblPrEx>
        <w:trPr>
          <w:wBefore w:w="0" w:type="dxa"/>
          <w:wAfter w:w="0" w:type="dxa"/>
          <w:trHeight w:val="369" w:hRule="atLeast"/>
        </w:trPr>
        <w:tc>
          <w:tcPr>
            <w:tcW w:w="929" w:type="dxa"/>
            <w:tcBorders>
              <w:top w:val="single" w:color="auto" w:sz="4" w:space="0"/>
              <w:left w:val="single" w:color="auto" w:sz="4" w:space="0"/>
              <w:bottom w:val="single" w:color="auto" w:sz="4" w:space="0"/>
              <w:right w:val="single" w:color="auto" w:sz="4" w:space="0"/>
            </w:tcBorders>
            <w:noWrap w:val="0"/>
            <w:vAlign w:val="center"/>
          </w:tcPr>
          <w:p w14:paraId="5F81C389">
            <w:pPr>
              <w:widowControl/>
              <w:jc w:val="center"/>
              <w:rPr>
                <w:rFonts w:ascii="宋体" w:hAnsi="宋体" w:cs="宋体"/>
                <w:color w:val="000000"/>
                <w:kern w:val="0"/>
                <w:szCs w:val="21"/>
              </w:rPr>
            </w:pPr>
            <w:r>
              <w:rPr>
                <w:rFonts w:hint="eastAsia" w:ascii="宋体" w:hAnsi="宋体" w:cs="宋体"/>
                <w:color w:val="000000"/>
                <w:kern w:val="0"/>
                <w:szCs w:val="21"/>
              </w:rPr>
              <w:t>类型</w:t>
            </w:r>
          </w:p>
        </w:tc>
        <w:tc>
          <w:tcPr>
            <w:tcW w:w="950" w:type="dxa"/>
            <w:tcBorders>
              <w:top w:val="single" w:color="auto" w:sz="4" w:space="0"/>
              <w:left w:val="nil"/>
              <w:bottom w:val="single" w:color="auto" w:sz="4" w:space="0"/>
              <w:right w:val="single" w:color="auto" w:sz="4" w:space="0"/>
            </w:tcBorders>
            <w:noWrap w:val="0"/>
            <w:vAlign w:val="center"/>
          </w:tcPr>
          <w:p w14:paraId="152AA359">
            <w:pPr>
              <w:widowControl/>
              <w:jc w:val="center"/>
              <w:rPr>
                <w:rFonts w:ascii="宋体" w:hAnsi="宋体" w:cs="宋体"/>
                <w:color w:val="000000"/>
                <w:kern w:val="0"/>
                <w:szCs w:val="21"/>
              </w:rPr>
            </w:pPr>
            <w:r>
              <w:rPr>
                <w:rFonts w:hint="eastAsia" w:ascii="宋体" w:hAnsi="宋体" w:cs="宋体"/>
                <w:color w:val="000000"/>
                <w:kern w:val="0"/>
                <w:szCs w:val="21"/>
              </w:rPr>
              <w:t>抽放管类别</w:t>
            </w:r>
          </w:p>
        </w:tc>
        <w:tc>
          <w:tcPr>
            <w:tcW w:w="1309" w:type="dxa"/>
            <w:tcBorders>
              <w:top w:val="single" w:color="auto" w:sz="4" w:space="0"/>
              <w:left w:val="nil"/>
              <w:bottom w:val="single" w:color="auto" w:sz="4" w:space="0"/>
              <w:right w:val="single" w:color="auto" w:sz="4" w:space="0"/>
            </w:tcBorders>
            <w:noWrap w:val="0"/>
            <w:vAlign w:val="center"/>
          </w:tcPr>
          <w:p w14:paraId="606CD0DE">
            <w:pPr>
              <w:widowControl/>
              <w:jc w:val="center"/>
              <w:rPr>
                <w:rFonts w:ascii="宋体" w:hAnsi="宋体" w:cs="宋体"/>
                <w:color w:val="000000"/>
                <w:kern w:val="0"/>
                <w:szCs w:val="21"/>
              </w:rPr>
            </w:pPr>
            <w:r>
              <w:rPr>
                <w:rFonts w:hint="eastAsia" w:ascii="宋体" w:hAnsi="宋体" w:cs="宋体"/>
                <w:color w:val="000000"/>
                <w:kern w:val="0"/>
                <w:szCs w:val="21"/>
              </w:rPr>
              <w:t>Q（m</w:t>
            </w:r>
            <w:r>
              <w:rPr>
                <w:rFonts w:hint="eastAsia" w:ascii="宋体" w:hAnsi="宋体" w:cs="宋体"/>
                <w:color w:val="000000"/>
                <w:kern w:val="0"/>
                <w:szCs w:val="21"/>
                <w:vertAlign w:val="superscript"/>
              </w:rPr>
              <w:t>3</w:t>
            </w:r>
            <w:r>
              <w:rPr>
                <w:rFonts w:hint="eastAsia" w:ascii="宋体" w:hAnsi="宋体" w:cs="宋体"/>
                <w:color w:val="000000"/>
                <w:kern w:val="0"/>
                <w:szCs w:val="21"/>
              </w:rPr>
              <w:t>/min）</w:t>
            </w:r>
          </w:p>
        </w:tc>
        <w:tc>
          <w:tcPr>
            <w:tcW w:w="1077" w:type="dxa"/>
            <w:tcBorders>
              <w:top w:val="single" w:color="auto" w:sz="4" w:space="0"/>
              <w:left w:val="nil"/>
              <w:bottom w:val="single" w:color="auto" w:sz="4" w:space="0"/>
              <w:right w:val="single" w:color="auto" w:sz="4" w:space="0"/>
            </w:tcBorders>
            <w:noWrap w:val="0"/>
            <w:vAlign w:val="center"/>
          </w:tcPr>
          <w:p w14:paraId="50C08371">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077" w:type="dxa"/>
            <w:tcBorders>
              <w:top w:val="single" w:color="auto" w:sz="4" w:space="0"/>
              <w:left w:val="nil"/>
              <w:bottom w:val="single" w:color="auto" w:sz="4" w:space="0"/>
              <w:right w:val="single" w:color="auto" w:sz="4" w:space="0"/>
            </w:tcBorders>
            <w:noWrap w:val="0"/>
            <w:vAlign w:val="center"/>
          </w:tcPr>
          <w:p w14:paraId="0B542BD4">
            <w:pPr>
              <w:widowControl/>
              <w:jc w:val="center"/>
              <w:rPr>
                <w:rFonts w:ascii="宋体" w:hAnsi="宋体" w:cs="宋体"/>
                <w:color w:val="000000"/>
                <w:kern w:val="0"/>
                <w:szCs w:val="21"/>
              </w:rPr>
            </w:pPr>
            <w:r>
              <w:rPr>
                <w:rFonts w:hint="eastAsia" w:ascii="宋体" w:hAnsi="宋体" w:cs="宋体"/>
                <w:color w:val="000000"/>
                <w:kern w:val="0"/>
                <w:szCs w:val="21"/>
              </w:rPr>
              <w:t>L(m)</w:t>
            </w:r>
          </w:p>
        </w:tc>
        <w:tc>
          <w:tcPr>
            <w:tcW w:w="1140" w:type="dxa"/>
            <w:tcBorders>
              <w:top w:val="single" w:color="auto" w:sz="4" w:space="0"/>
              <w:left w:val="nil"/>
              <w:bottom w:val="single" w:color="auto" w:sz="4" w:space="0"/>
              <w:right w:val="single" w:color="auto" w:sz="4" w:space="0"/>
            </w:tcBorders>
            <w:noWrap w:val="0"/>
            <w:vAlign w:val="center"/>
          </w:tcPr>
          <w:p w14:paraId="2470FC50">
            <w:pPr>
              <w:widowControl/>
              <w:jc w:val="center"/>
              <w:rPr>
                <w:rFonts w:ascii="宋体" w:hAnsi="宋体" w:cs="宋体"/>
                <w:color w:val="000000"/>
                <w:kern w:val="0"/>
                <w:szCs w:val="21"/>
              </w:rPr>
            </w:pPr>
            <w:r>
              <w:rPr>
                <w:rFonts w:hint="eastAsia" w:ascii="宋体" w:hAnsi="宋体" w:cs="宋体"/>
                <w:color w:val="000000"/>
                <w:kern w:val="0"/>
                <w:szCs w:val="21"/>
              </w:rPr>
              <w:t>K</w:t>
            </w:r>
          </w:p>
        </w:tc>
        <w:tc>
          <w:tcPr>
            <w:tcW w:w="1140" w:type="dxa"/>
            <w:tcBorders>
              <w:top w:val="single" w:color="auto" w:sz="4" w:space="0"/>
              <w:left w:val="nil"/>
              <w:bottom w:val="single" w:color="auto" w:sz="4" w:space="0"/>
              <w:right w:val="single" w:color="auto" w:sz="4" w:space="0"/>
            </w:tcBorders>
            <w:noWrap w:val="0"/>
            <w:vAlign w:val="center"/>
          </w:tcPr>
          <w:p w14:paraId="1C2D56C8">
            <w:pPr>
              <w:widowControl/>
              <w:jc w:val="center"/>
              <w:rPr>
                <w:rFonts w:ascii="宋体" w:hAnsi="宋体" w:cs="宋体"/>
                <w:color w:val="000000"/>
                <w:kern w:val="0"/>
                <w:szCs w:val="21"/>
              </w:rPr>
            </w:pPr>
            <w:r>
              <w:rPr>
                <w:rFonts w:hint="eastAsia" w:ascii="宋体" w:hAnsi="宋体" w:cs="宋体"/>
                <w:color w:val="000000"/>
                <w:kern w:val="0"/>
                <w:szCs w:val="21"/>
              </w:rPr>
              <w:t>D(cm)</w:t>
            </w:r>
          </w:p>
        </w:tc>
        <w:tc>
          <w:tcPr>
            <w:tcW w:w="1436" w:type="dxa"/>
            <w:tcBorders>
              <w:top w:val="single" w:color="auto" w:sz="4" w:space="0"/>
              <w:left w:val="nil"/>
              <w:bottom w:val="single" w:color="auto" w:sz="4" w:space="0"/>
              <w:right w:val="single" w:color="auto" w:sz="4" w:space="0"/>
            </w:tcBorders>
            <w:noWrap w:val="0"/>
            <w:vAlign w:val="center"/>
          </w:tcPr>
          <w:p w14:paraId="5CB82639">
            <w:pPr>
              <w:widowControl/>
              <w:jc w:val="center"/>
              <w:rPr>
                <w:rFonts w:ascii="宋体" w:hAnsi="宋体" w:cs="宋体"/>
                <w:color w:val="000000"/>
                <w:kern w:val="0"/>
                <w:szCs w:val="21"/>
              </w:rPr>
            </w:pPr>
            <w:r>
              <w:rPr>
                <w:rFonts w:hint="eastAsia" w:ascii="宋体" w:hAnsi="宋体" w:cs="宋体"/>
                <w:color w:val="000000"/>
                <w:kern w:val="0"/>
                <w:szCs w:val="21"/>
              </w:rPr>
              <w:t>H</w:t>
            </w:r>
            <w:r>
              <w:rPr>
                <w:rFonts w:hint="eastAsia" w:ascii="宋体" w:hAnsi="宋体" w:cs="宋体"/>
                <w:color w:val="000000"/>
                <w:kern w:val="0"/>
                <w:szCs w:val="21"/>
                <w:vertAlign w:val="subscript"/>
              </w:rPr>
              <w:t>m</w:t>
            </w:r>
            <w:r>
              <w:rPr>
                <w:rFonts w:hint="eastAsia" w:ascii="宋体" w:hAnsi="宋体" w:cs="宋体"/>
                <w:color w:val="000000"/>
                <w:kern w:val="0"/>
                <w:szCs w:val="21"/>
              </w:rPr>
              <w:t>(Pa)</w:t>
            </w:r>
          </w:p>
        </w:tc>
      </w:tr>
      <w:tr w14:paraId="59E76123">
        <w:tblPrEx>
          <w:tblCellMar>
            <w:top w:w="0" w:type="dxa"/>
            <w:left w:w="108" w:type="dxa"/>
            <w:bottom w:w="0" w:type="dxa"/>
            <w:right w:w="108" w:type="dxa"/>
          </w:tblCellMar>
        </w:tblPrEx>
        <w:trPr>
          <w:wBefore w:w="0" w:type="dxa"/>
          <w:wAfter w:w="0" w:type="dxa"/>
          <w:trHeight w:val="369" w:hRule="atLeast"/>
        </w:trPr>
        <w:tc>
          <w:tcPr>
            <w:tcW w:w="929" w:type="dxa"/>
            <w:vMerge w:val="restart"/>
            <w:tcBorders>
              <w:top w:val="nil"/>
              <w:left w:val="single" w:color="auto" w:sz="4" w:space="0"/>
              <w:bottom w:val="single" w:color="auto" w:sz="4" w:space="0"/>
              <w:right w:val="single" w:color="auto" w:sz="4" w:space="0"/>
            </w:tcBorders>
            <w:noWrap w:val="0"/>
            <w:vAlign w:val="center"/>
          </w:tcPr>
          <w:p w14:paraId="3CA3898A">
            <w:pPr>
              <w:widowControl/>
              <w:jc w:val="center"/>
              <w:rPr>
                <w:rFonts w:ascii="宋体" w:hAnsi="宋体" w:cs="宋体"/>
                <w:color w:val="000000"/>
                <w:kern w:val="0"/>
                <w:szCs w:val="21"/>
              </w:rPr>
            </w:pPr>
            <w:r>
              <w:rPr>
                <w:rFonts w:hint="eastAsia" w:ascii="宋体" w:hAnsi="宋体" w:cs="宋体"/>
                <w:color w:val="000000"/>
                <w:kern w:val="0"/>
                <w:szCs w:val="21"/>
              </w:rPr>
              <w:t>高负压</w:t>
            </w:r>
          </w:p>
        </w:tc>
        <w:tc>
          <w:tcPr>
            <w:tcW w:w="950" w:type="dxa"/>
            <w:tcBorders>
              <w:top w:val="nil"/>
              <w:left w:val="nil"/>
              <w:bottom w:val="single" w:color="auto" w:sz="4" w:space="0"/>
              <w:right w:val="single" w:color="auto" w:sz="4" w:space="0"/>
            </w:tcBorders>
            <w:noWrap w:val="0"/>
            <w:vAlign w:val="center"/>
          </w:tcPr>
          <w:p w14:paraId="79E6C021">
            <w:pPr>
              <w:widowControl/>
              <w:jc w:val="center"/>
              <w:rPr>
                <w:rFonts w:ascii="宋体" w:hAnsi="宋体" w:cs="宋体"/>
                <w:color w:val="000000"/>
                <w:kern w:val="0"/>
                <w:szCs w:val="21"/>
              </w:rPr>
            </w:pPr>
            <w:r>
              <w:rPr>
                <w:rFonts w:hint="eastAsia" w:ascii="宋体" w:hAnsi="宋体" w:cs="宋体"/>
                <w:color w:val="000000"/>
                <w:kern w:val="0"/>
                <w:szCs w:val="21"/>
              </w:rPr>
              <w:t>干管1</w:t>
            </w:r>
          </w:p>
        </w:tc>
        <w:tc>
          <w:tcPr>
            <w:tcW w:w="1309" w:type="dxa"/>
            <w:tcBorders>
              <w:top w:val="nil"/>
              <w:left w:val="nil"/>
              <w:bottom w:val="single" w:color="auto" w:sz="4" w:space="0"/>
              <w:right w:val="single" w:color="auto" w:sz="4" w:space="0"/>
            </w:tcBorders>
            <w:noWrap w:val="0"/>
            <w:vAlign w:val="center"/>
          </w:tcPr>
          <w:p w14:paraId="1573762A">
            <w:pPr>
              <w:widowControl/>
              <w:jc w:val="center"/>
              <w:rPr>
                <w:rFonts w:ascii="宋体" w:hAnsi="宋体" w:cs="宋体"/>
                <w:color w:val="000000"/>
                <w:kern w:val="0"/>
                <w:szCs w:val="21"/>
              </w:rPr>
            </w:pPr>
            <w:r>
              <w:rPr>
                <w:rFonts w:hint="eastAsia" w:ascii="宋体" w:hAnsi="宋体" w:cs="宋体"/>
                <w:color w:val="000000"/>
                <w:kern w:val="0"/>
                <w:szCs w:val="21"/>
              </w:rPr>
              <w:t xml:space="preserve">33.3 </w:t>
            </w:r>
          </w:p>
        </w:tc>
        <w:tc>
          <w:tcPr>
            <w:tcW w:w="1077" w:type="dxa"/>
            <w:tcBorders>
              <w:top w:val="nil"/>
              <w:left w:val="nil"/>
              <w:bottom w:val="single" w:color="auto" w:sz="4" w:space="0"/>
              <w:right w:val="single" w:color="auto" w:sz="4" w:space="0"/>
            </w:tcBorders>
            <w:noWrap w:val="0"/>
            <w:vAlign w:val="center"/>
          </w:tcPr>
          <w:p w14:paraId="5C4EBD2C">
            <w:pPr>
              <w:widowControl/>
              <w:jc w:val="center"/>
              <w:rPr>
                <w:rFonts w:ascii="宋体" w:hAnsi="宋体" w:cs="宋体"/>
                <w:color w:val="000000"/>
                <w:kern w:val="0"/>
                <w:szCs w:val="21"/>
              </w:rPr>
            </w:pPr>
            <w:r>
              <w:rPr>
                <w:rFonts w:hint="eastAsia" w:ascii="宋体" w:hAnsi="宋体" w:cs="宋体"/>
                <w:color w:val="000000"/>
                <w:kern w:val="0"/>
                <w:szCs w:val="21"/>
              </w:rPr>
              <w:t>0.866</w:t>
            </w:r>
          </w:p>
        </w:tc>
        <w:tc>
          <w:tcPr>
            <w:tcW w:w="1077" w:type="dxa"/>
            <w:tcBorders>
              <w:top w:val="nil"/>
              <w:left w:val="nil"/>
              <w:bottom w:val="single" w:color="auto" w:sz="4" w:space="0"/>
              <w:right w:val="single" w:color="auto" w:sz="4" w:space="0"/>
            </w:tcBorders>
            <w:noWrap w:val="0"/>
            <w:vAlign w:val="center"/>
          </w:tcPr>
          <w:p w14:paraId="14B1A0A5">
            <w:pPr>
              <w:widowControl/>
              <w:jc w:val="center"/>
              <w:rPr>
                <w:rFonts w:ascii="宋体" w:hAnsi="宋体" w:cs="宋体"/>
                <w:color w:val="000000"/>
                <w:kern w:val="0"/>
                <w:szCs w:val="21"/>
              </w:rPr>
            </w:pPr>
            <w:r>
              <w:rPr>
                <w:rFonts w:hint="eastAsia" w:ascii="宋体" w:hAnsi="宋体" w:cs="宋体"/>
                <w:color w:val="000000"/>
                <w:kern w:val="0"/>
                <w:szCs w:val="21"/>
              </w:rPr>
              <w:t>1500</w:t>
            </w:r>
          </w:p>
        </w:tc>
        <w:tc>
          <w:tcPr>
            <w:tcW w:w="1140" w:type="dxa"/>
            <w:tcBorders>
              <w:top w:val="nil"/>
              <w:left w:val="nil"/>
              <w:bottom w:val="single" w:color="auto" w:sz="4" w:space="0"/>
              <w:right w:val="single" w:color="auto" w:sz="4" w:space="0"/>
            </w:tcBorders>
            <w:noWrap w:val="0"/>
            <w:vAlign w:val="center"/>
          </w:tcPr>
          <w:p w14:paraId="6FCD824B">
            <w:pPr>
              <w:widowControl/>
              <w:jc w:val="center"/>
              <w:rPr>
                <w:rFonts w:ascii="宋体" w:hAnsi="宋体" w:cs="宋体"/>
                <w:color w:val="000000"/>
                <w:kern w:val="0"/>
                <w:szCs w:val="21"/>
              </w:rPr>
            </w:pPr>
            <w:r>
              <w:rPr>
                <w:rFonts w:hint="eastAsia" w:ascii="宋体" w:hAnsi="宋体" w:cs="宋体"/>
                <w:color w:val="000000"/>
                <w:kern w:val="0"/>
                <w:szCs w:val="21"/>
              </w:rPr>
              <w:t>0.71</w:t>
            </w:r>
          </w:p>
        </w:tc>
        <w:tc>
          <w:tcPr>
            <w:tcW w:w="1140" w:type="dxa"/>
            <w:tcBorders>
              <w:top w:val="nil"/>
              <w:left w:val="nil"/>
              <w:bottom w:val="single" w:color="auto" w:sz="4" w:space="0"/>
              <w:right w:val="single" w:color="auto" w:sz="4" w:space="0"/>
            </w:tcBorders>
            <w:noWrap w:val="0"/>
            <w:vAlign w:val="center"/>
          </w:tcPr>
          <w:p w14:paraId="7791737A">
            <w:pPr>
              <w:widowControl/>
              <w:jc w:val="center"/>
              <w:rPr>
                <w:rFonts w:ascii="宋体" w:hAnsi="宋体" w:cs="宋体"/>
                <w:color w:val="000000"/>
                <w:kern w:val="0"/>
                <w:szCs w:val="21"/>
              </w:rPr>
            </w:pPr>
            <w:r>
              <w:rPr>
                <w:rFonts w:hint="eastAsia" w:ascii="宋体" w:hAnsi="宋体" w:cs="宋体"/>
                <w:color w:val="000000"/>
                <w:kern w:val="0"/>
                <w:szCs w:val="21"/>
              </w:rPr>
              <w:t>30</w:t>
            </w:r>
          </w:p>
        </w:tc>
        <w:tc>
          <w:tcPr>
            <w:tcW w:w="1436" w:type="dxa"/>
            <w:tcBorders>
              <w:top w:val="nil"/>
              <w:left w:val="nil"/>
              <w:bottom w:val="single" w:color="auto" w:sz="4" w:space="0"/>
              <w:right w:val="single" w:color="auto" w:sz="4" w:space="0"/>
            </w:tcBorders>
            <w:noWrap w:val="0"/>
            <w:vAlign w:val="center"/>
          </w:tcPr>
          <w:p w14:paraId="6A0A6EB8">
            <w:pPr>
              <w:widowControl/>
              <w:jc w:val="center"/>
              <w:rPr>
                <w:rFonts w:ascii="宋体" w:hAnsi="宋体" w:cs="宋体"/>
                <w:color w:val="000000"/>
                <w:kern w:val="0"/>
                <w:szCs w:val="21"/>
              </w:rPr>
            </w:pPr>
            <w:r>
              <w:rPr>
                <w:rFonts w:hint="eastAsia" w:ascii="宋体" w:hAnsi="宋体" w:cs="宋体"/>
                <w:color w:val="000000"/>
                <w:kern w:val="0"/>
                <w:szCs w:val="21"/>
              </w:rPr>
              <w:t>2948</w:t>
            </w:r>
          </w:p>
        </w:tc>
      </w:tr>
      <w:tr w14:paraId="3A2FDC34">
        <w:tblPrEx>
          <w:tblCellMar>
            <w:top w:w="0" w:type="dxa"/>
            <w:left w:w="108" w:type="dxa"/>
            <w:bottom w:w="0" w:type="dxa"/>
            <w:right w:w="108" w:type="dxa"/>
          </w:tblCellMar>
        </w:tblPrEx>
        <w:trPr>
          <w:wBefore w:w="0" w:type="dxa"/>
          <w:wAfter w:w="0" w:type="dxa"/>
          <w:trHeight w:val="369" w:hRule="atLeast"/>
        </w:trPr>
        <w:tc>
          <w:tcPr>
            <w:tcW w:w="929" w:type="dxa"/>
            <w:vMerge w:val="continue"/>
            <w:tcBorders>
              <w:top w:val="nil"/>
              <w:left w:val="single" w:color="auto" w:sz="4" w:space="0"/>
              <w:bottom w:val="single" w:color="auto" w:sz="4" w:space="0"/>
              <w:right w:val="single" w:color="auto" w:sz="4" w:space="0"/>
            </w:tcBorders>
            <w:noWrap w:val="0"/>
            <w:vAlign w:val="center"/>
          </w:tcPr>
          <w:p w14:paraId="787C926E">
            <w:pPr>
              <w:widowControl/>
              <w:jc w:val="left"/>
              <w:rPr>
                <w:rFonts w:ascii="宋体" w:hAnsi="宋体" w:cs="宋体"/>
                <w:color w:val="000000"/>
                <w:kern w:val="0"/>
                <w:szCs w:val="21"/>
              </w:rPr>
            </w:pPr>
          </w:p>
        </w:tc>
        <w:tc>
          <w:tcPr>
            <w:tcW w:w="950" w:type="dxa"/>
            <w:tcBorders>
              <w:top w:val="nil"/>
              <w:left w:val="nil"/>
              <w:bottom w:val="single" w:color="auto" w:sz="4" w:space="0"/>
              <w:right w:val="single" w:color="auto" w:sz="4" w:space="0"/>
            </w:tcBorders>
            <w:noWrap w:val="0"/>
            <w:vAlign w:val="center"/>
          </w:tcPr>
          <w:p w14:paraId="025E37B0">
            <w:pPr>
              <w:widowControl/>
              <w:jc w:val="center"/>
              <w:rPr>
                <w:rFonts w:ascii="宋体" w:hAnsi="宋体" w:cs="宋体"/>
                <w:color w:val="000000"/>
                <w:kern w:val="0"/>
                <w:szCs w:val="21"/>
              </w:rPr>
            </w:pPr>
            <w:r>
              <w:rPr>
                <w:rFonts w:hint="eastAsia" w:ascii="宋体" w:hAnsi="宋体" w:cs="宋体"/>
                <w:color w:val="000000"/>
                <w:kern w:val="0"/>
                <w:szCs w:val="21"/>
              </w:rPr>
              <w:t>支管1</w:t>
            </w:r>
          </w:p>
        </w:tc>
        <w:tc>
          <w:tcPr>
            <w:tcW w:w="1309" w:type="dxa"/>
            <w:tcBorders>
              <w:top w:val="nil"/>
              <w:left w:val="nil"/>
              <w:bottom w:val="single" w:color="auto" w:sz="4" w:space="0"/>
              <w:right w:val="single" w:color="auto" w:sz="4" w:space="0"/>
            </w:tcBorders>
            <w:noWrap w:val="0"/>
            <w:vAlign w:val="center"/>
          </w:tcPr>
          <w:p w14:paraId="07EA3810">
            <w:pPr>
              <w:widowControl/>
              <w:jc w:val="center"/>
              <w:rPr>
                <w:rFonts w:ascii="宋体" w:hAnsi="宋体" w:cs="宋体"/>
                <w:color w:val="000000"/>
                <w:kern w:val="0"/>
                <w:szCs w:val="21"/>
              </w:rPr>
            </w:pPr>
            <w:r>
              <w:rPr>
                <w:rFonts w:hint="eastAsia" w:ascii="宋体" w:hAnsi="宋体" w:cs="宋体"/>
                <w:color w:val="000000"/>
                <w:kern w:val="0"/>
                <w:szCs w:val="21"/>
              </w:rPr>
              <w:t xml:space="preserve">20.0 </w:t>
            </w:r>
          </w:p>
        </w:tc>
        <w:tc>
          <w:tcPr>
            <w:tcW w:w="1077" w:type="dxa"/>
            <w:tcBorders>
              <w:top w:val="nil"/>
              <w:left w:val="nil"/>
              <w:bottom w:val="single" w:color="auto" w:sz="4" w:space="0"/>
              <w:right w:val="single" w:color="auto" w:sz="4" w:space="0"/>
            </w:tcBorders>
            <w:noWrap w:val="0"/>
            <w:vAlign w:val="center"/>
          </w:tcPr>
          <w:p w14:paraId="773A1490">
            <w:pPr>
              <w:widowControl/>
              <w:jc w:val="center"/>
              <w:rPr>
                <w:rFonts w:ascii="宋体" w:hAnsi="宋体" w:cs="宋体"/>
                <w:color w:val="000000"/>
                <w:kern w:val="0"/>
                <w:szCs w:val="21"/>
              </w:rPr>
            </w:pPr>
            <w:r>
              <w:rPr>
                <w:rFonts w:hint="eastAsia" w:ascii="宋体" w:hAnsi="宋体" w:cs="宋体"/>
                <w:color w:val="000000"/>
                <w:kern w:val="0"/>
                <w:szCs w:val="21"/>
              </w:rPr>
              <w:t>0.866</w:t>
            </w:r>
          </w:p>
        </w:tc>
        <w:tc>
          <w:tcPr>
            <w:tcW w:w="1077" w:type="dxa"/>
            <w:tcBorders>
              <w:top w:val="nil"/>
              <w:left w:val="nil"/>
              <w:bottom w:val="single" w:color="auto" w:sz="4" w:space="0"/>
              <w:right w:val="single" w:color="auto" w:sz="4" w:space="0"/>
            </w:tcBorders>
            <w:noWrap w:val="0"/>
            <w:vAlign w:val="center"/>
          </w:tcPr>
          <w:p w14:paraId="0FF7EBB2">
            <w:pPr>
              <w:widowControl/>
              <w:jc w:val="center"/>
              <w:rPr>
                <w:rFonts w:ascii="宋体" w:hAnsi="宋体" w:cs="宋体"/>
                <w:color w:val="000000"/>
                <w:kern w:val="0"/>
                <w:szCs w:val="21"/>
              </w:rPr>
            </w:pPr>
            <w:r>
              <w:rPr>
                <w:rFonts w:hint="eastAsia" w:ascii="宋体" w:hAnsi="宋体" w:cs="宋体"/>
                <w:color w:val="000000"/>
                <w:kern w:val="0"/>
                <w:szCs w:val="21"/>
              </w:rPr>
              <w:t>1200</w:t>
            </w:r>
          </w:p>
        </w:tc>
        <w:tc>
          <w:tcPr>
            <w:tcW w:w="1140" w:type="dxa"/>
            <w:tcBorders>
              <w:top w:val="nil"/>
              <w:left w:val="nil"/>
              <w:bottom w:val="single" w:color="auto" w:sz="4" w:space="0"/>
              <w:right w:val="single" w:color="auto" w:sz="4" w:space="0"/>
            </w:tcBorders>
            <w:noWrap w:val="0"/>
            <w:vAlign w:val="center"/>
          </w:tcPr>
          <w:p w14:paraId="28FBDB24">
            <w:pPr>
              <w:widowControl/>
              <w:jc w:val="center"/>
              <w:rPr>
                <w:rFonts w:ascii="宋体" w:hAnsi="宋体" w:cs="宋体"/>
                <w:color w:val="000000"/>
                <w:kern w:val="0"/>
                <w:szCs w:val="21"/>
              </w:rPr>
            </w:pPr>
            <w:r>
              <w:rPr>
                <w:rFonts w:hint="eastAsia" w:ascii="宋体" w:hAnsi="宋体" w:cs="宋体"/>
                <w:color w:val="000000"/>
                <w:kern w:val="0"/>
                <w:szCs w:val="21"/>
              </w:rPr>
              <w:t>0.71</w:t>
            </w:r>
          </w:p>
        </w:tc>
        <w:tc>
          <w:tcPr>
            <w:tcW w:w="1140" w:type="dxa"/>
            <w:tcBorders>
              <w:top w:val="nil"/>
              <w:left w:val="nil"/>
              <w:bottom w:val="single" w:color="auto" w:sz="4" w:space="0"/>
              <w:right w:val="single" w:color="auto" w:sz="4" w:space="0"/>
            </w:tcBorders>
            <w:noWrap w:val="0"/>
            <w:vAlign w:val="center"/>
          </w:tcPr>
          <w:p w14:paraId="69674C8E">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1436" w:type="dxa"/>
            <w:tcBorders>
              <w:top w:val="nil"/>
              <w:left w:val="nil"/>
              <w:bottom w:val="single" w:color="auto" w:sz="4" w:space="0"/>
              <w:right w:val="single" w:color="auto" w:sz="4" w:space="0"/>
            </w:tcBorders>
            <w:noWrap w:val="0"/>
            <w:vAlign w:val="center"/>
          </w:tcPr>
          <w:p w14:paraId="025FB665">
            <w:pPr>
              <w:widowControl/>
              <w:jc w:val="center"/>
              <w:rPr>
                <w:rFonts w:ascii="宋体" w:hAnsi="宋体" w:cs="宋体"/>
                <w:color w:val="000000"/>
                <w:kern w:val="0"/>
                <w:szCs w:val="21"/>
              </w:rPr>
            </w:pPr>
            <w:r>
              <w:rPr>
                <w:rFonts w:hint="eastAsia" w:ascii="宋体" w:hAnsi="宋体" w:cs="宋体"/>
                <w:color w:val="000000"/>
                <w:kern w:val="0"/>
                <w:szCs w:val="21"/>
              </w:rPr>
              <w:t>2117</w:t>
            </w:r>
          </w:p>
        </w:tc>
      </w:tr>
      <w:tr w14:paraId="29FAC841">
        <w:tblPrEx>
          <w:tblCellMar>
            <w:top w:w="0" w:type="dxa"/>
            <w:left w:w="108" w:type="dxa"/>
            <w:bottom w:w="0" w:type="dxa"/>
            <w:right w:w="108" w:type="dxa"/>
          </w:tblCellMar>
        </w:tblPrEx>
        <w:trPr>
          <w:wBefore w:w="0" w:type="dxa"/>
          <w:wAfter w:w="0" w:type="dxa"/>
          <w:trHeight w:val="369" w:hRule="atLeast"/>
        </w:trPr>
        <w:tc>
          <w:tcPr>
            <w:tcW w:w="929" w:type="dxa"/>
            <w:vMerge w:val="continue"/>
            <w:tcBorders>
              <w:top w:val="nil"/>
              <w:left w:val="single" w:color="auto" w:sz="4" w:space="0"/>
              <w:bottom w:val="single" w:color="auto" w:sz="4" w:space="0"/>
              <w:right w:val="single" w:color="auto" w:sz="4" w:space="0"/>
            </w:tcBorders>
            <w:noWrap w:val="0"/>
            <w:vAlign w:val="center"/>
          </w:tcPr>
          <w:p w14:paraId="46B6BC26">
            <w:pPr>
              <w:widowControl/>
              <w:jc w:val="left"/>
              <w:rPr>
                <w:rFonts w:ascii="宋体" w:hAnsi="宋体" w:cs="宋体"/>
                <w:color w:val="000000"/>
                <w:kern w:val="0"/>
                <w:szCs w:val="21"/>
              </w:rPr>
            </w:pPr>
          </w:p>
        </w:tc>
        <w:tc>
          <w:tcPr>
            <w:tcW w:w="950" w:type="dxa"/>
            <w:tcBorders>
              <w:top w:val="nil"/>
              <w:left w:val="nil"/>
              <w:bottom w:val="single" w:color="auto" w:sz="4" w:space="0"/>
              <w:right w:val="single" w:color="auto" w:sz="4" w:space="0"/>
            </w:tcBorders>
            <w:noWrap w:val="0"/>
            <w:vAlign w:val="center"/>
          </w:tcPr>
          <w:p w14:paraId="345D1B5F">
            <w:pPr>
              <w:widowControl/>
              <w:jc w:val="center"/>
              <w:rPr>
                <w:rFonts w:ascii="宋体" w:hAnsi="宋体" w:cs="宋体"/>
                <w:color w:val="000000"/>
                <w:kern w:val="0"/>
                <w:szCs w:val="21"/>
              </w:rPr>
            </w:pPr>
            <w:r>
              <w:rPr>
                <w:rFonts w:hint="eastAsia" w:ascii="宋体" w:hAnsi="宋体" w:cs="宋体"/>
                <w:color w:val="000000"/>
                <w:kern w:val="0"/>
                <w:szCs w:val="21"/>
              </w:rPr>
              <w:t>支管2</w:t>
            </w:r>
          </w:p>
        </w:tc>
        <w:tc>
          <w:tcPr>
            <w:tcW w:w="1309" w:type="dxa"/>
            <w:tcBorders>
              <w:top w:val="nil"/>
              <w:left w:val="nil"/>
              <w:bottom w:val="single" w:color="auto" w:sz="4" w:space="0"/>
              <w:right w:val="single" w:color="auto" w:sz="4" w:space="0"/>
            </w:tcBorders>
            <w:noWrap w:val="0"/>
            <w:vAlign w:val="center"/>
          </w:tcPr>
          <w:p w14:paraId="743B4312">
            <w:pPr>
              <w:widowControl/>
              <w:jc w:val="center"/>
              <w:rPr>
                <w:rFonts w:ascii="宋体" w:hAnsi="宋体" w:cs="宋体"/>
                <w:color w:val="000000"/>
                <w:kern w:val="0"/>
                <w:szCs w:val="21"/>
              </w:rPr>
            </w:pPr>
            <w:r>
              <w:rPr>
                <w:rFonts w:hint="eastAsia" w:ascii="宋体" w:hAnsi="宋体" w:cs="宋体"/>
                <w:color w:val="000000"/>
                <w:kern w:val="0"/>
                <w:szCs w:val="21"/>
              </w:rPr>
              <w:t xml:space="preserve">7.8 </w:t>
            </w:r>
          </w:p>
        </w:tc>
        <w:tc>
          <w:tcPr>
            <w:tcW w:w="1077" w:type="dxa"/>
            <w:tcBorders>
              <w:top w:val="nil"/>
              <w:left w:val="nil"/>
              <w:bottom w:val="single" w:color="auto" w:sz="4" w:space="0"/>
              <w:right w:val="single" w:color="auto" w:sz="4" w:space="0"/>
            </w:tcBorders>
            <w:noWrap w:val="0"/>
            <w:vAlign w:val="center"/>
          </w:tcPr>
          <w:p w14:paraId="659121B8">
            <w:pPr>
              <w:widowControl/>
              <w:jc w:val="center"/>
              <w:rPr>
                <w:rFonts w:ascii="宋体" w:hAnsi="宋体" w:cs="宋体"/>
                <w:color w:val="000000"/>
                <w:kern w:val="0"/>
                <w:szCs w:val="21"/>
              </w:rPr>
            </w:pPr>
            <w:r>
              <w:rPr>
                <w:rFonts w:hint="eastAsia" w:ascii="宋体" w:hAnsi="宋体" w:cs="宋体"/>
                <w:color w:val="000000"/>
                <w:kern w:val="0"/>
                <w:szCs w:val="21"/>
              </w:rPr>
              <w:t>0.866</w:t>
            </w:r>
          </w:p>
        </w:tc>
        <w:tc>
          <w:tcPr>
            <w:tcW w:w="1077" w:type="dxa"/>
            <w:tcBorders>
              <w:top w:val="nil"/>
              <w:left w:val="nil"/>
              <w:bottom w:val="single" w:color="auto" w:sz="4" w:space="0"/>
              <w:right w:val="single" w:color="auto" w:sz="4" w:space="0"/>
            </w:tcBorders>
            <w:noWrap w:val="0"/>
            <w:vAlign w:val="center"/>
          </w:tcPr>
          <w:p w14:paraId="2E6B99AA">
            <w:pPr>
              <w:widowControl/>
              <w:jc w:val="center"/>
              <w:rPr>
                <w:rFonts w:ascii="宋体" w:hAnsi="宋体" w:cs="宋体"/>
                <w:color w:val="000000"/>
                <w:kern w:val="0"/>
                <w:szCs w:val="21"/>
              </w:rPr>
            </w:pPr>
            <w:r>
              <w:rPr>
                <w:rFonts w:hint="eastAsia" w:ascii="宋体" w:hAnsi="宋体" w:cs="宋体"/>
                <w:color w:val="000000"/>
                <w:kern w:val="0"/>
                <w:szCs w:val="21"/>
              </w:rPr>
              <w:t>800</w:t>
            </w:r>
          </w:p>
        </w:tc>
        <w:tc>
          <w:tcPr>
            <w:tcW w:w="1140" w:type="dxa"/>
            <w:tcBorders>
              <w:top w:val="nil"/>
              <w:left w:val="nil"/>
              <w:bottom w:val="single" w:color="auto" w:sz="4" w:space="0"/>
              <w:right w:val="single" w:color="auto" w:sz="4" w:space="0"/>
            </w:tcBorders>
            <w:noWrap w:val="0"/>
            <w:vAlign w:val="center"/>
          </w:tcPr>
          <w:p w14:paraId="12A381E3">
            <w:pPr>
              <w:widowControl/>
              <w:jc w:val="center"/>
              <w:rPr>
                <w:rFonts w:ascii="宋体" w:hAnsi="宋体" w:cs="宋体"/>
                <w:color w:val="000000"/>
                <w:kern w:val="0"/>
                <w:szCs w:val="21"/>
              </w:rPr>
            </w:pPr>
            <w:r>
              <w:rPr>
                <w:rFonts w:hint="eastAsia" w:ascii="宋体" w:hAnsi="宋体" w:cs="宋体"/>
                <w:color w:val="000000"/>
                <w:kern w:val="0"/>
                <w:szCs w:val="21"/>
              </w:rPr>
              <w:t>0.71</w:t>
            </w:r>
          </w:p>
        </w:tc>
        <w:tc>
          <w:tcPr>
            <w:tcW w:w="1140" w:type="dxa"/>
            <w:tcBorders>
              <w:top w:val="nil"/>
              <w:left w:val="nil"/>
              <w:bottom w:val="single" w:color="auto" w:sz="4" w:space="0"/>
              <w:right w:val="single" w:color="auto" w:sz="4" w:space="0"/>
            </w:tcBorders>
            <w:noWrap w:val="0"/>
            <w:vAlign w:val="center"/>
          </w:tcPr>
          <w:p w14:paraId="7FB33494">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436" w:type="dxa"/>
            <w:tcBorders>
              <w:top w:val="nil"/>
              <w:left w:val="nil"/>
              <w:bottom w:val="single" w:color="auto" w:sz="4" w:space="0"/>
              <w:right w:val="single" w:color="auto" w:sz="4" w:space="0"/>
            </w:tcBorders>
            <w:noWrap w:val="0"/>
            <w:vAlign w:val="center"/>
          </w:tcPr>
          <w:p w14:paraId="38FD5279">
            <w:pPr>
              <w:widowControl/>
              <w:jc w:val="center"/>
              <w:rPr>
                <w:rFonts w:ascii="宋体" w:hAnsi="宋体" w:cs="宋体"/>
                <w:color w:val="000000"/>
                <w:kern w:val="0"/>
                <w:szCs w:val="21"/>
              </w:rPr>
            </w:pPr>
            <w:r>
              <w:rPr>
                <w:rFonts w:hint="eastAsia" w:ascii="宋体" w:hAnsi="宋体" w:cs="宋体"/>
                <w:color w:val="000000"/>
                <w:kern w:val="0"/>
                <w:szCs w:val="21"/>
              </w:rPr>
              <w:t>4307</w:t>
            </w:r>
          </w:p>
        </w:tc>
      </w:tr>
      <w:tr w14:paraId="70195E81">
        <w:tblPrEx>
          <w:tblCellMar>
            <w:top w:w="0" w:type="dxa"/>
            <w:left w:w="108" w:type="dxa"/>
            <w:bottom w:w="0" w:type="dxa"/>
            <w:right w:w="108" w:type="dxa"/>
          </w:tblCellMar>
        </w:tblPrEx>
        <w:trPr>
          <w:wBefore w:w="0" w:type="dxa"/>
          <w:wAfter w:w="0" w:type="dxa"/>
          <w:trHeight w:val="369" w:hRule="atLeast"/>
        </w:trPr>
        <w:tc>
          <w:tcPr>
            <w:tcW w:w="929" w:type="dxa"/>
            <w:vMerge w:val="continue"/>
            <w:tcBorders>
              <w:top w:val="nil"/>
              <w:left w:val="single" w:color="auto" w:sz="4" w:space="0"/>
              <w:bottom w:val="single" w:color="auto" w:sz="4" w:space="0"/>
              <w:right w:val="single" w:color="auto" w:sz="4" w:space="0"/>
            </w:tcBorders>
            <w:noWrap w:val="0"/>
            <w:vAlign w:val="center"/>
          </w:tcPr>
          <w:p w14:paraId="063DFB05">
            <w:pPr>
              <w:widowControl/>
              <w:jc w:val="left"/>
              <w:rPr>
                <w:rFonts w:ascii="宋体" w:hAnsi="宋体" w:cs="宋体"/>
                <w:color w:val="000000"/>
                <w:kern w:val="0"/>
                <w:szCs w:val="21"/>
              </w:rPr>
            </w:pPr>
          </w:p>
        </w:tc>
        <w:tc>
          <w:tcPr>
            <w:tcW w:w="950" w:type="dxa"/>
            <w:tcBorders>
              <w:top w:val="nil"/>
              <w:left w:val="nil"/>
              <w:bottom w:val="single" w:color="auto" w:sz="4" w:space="0"/>
              <w:right w:val="single" w:color="auto" w:sz="4" w:space="0"/>
            </w:tcBorders>
            <w:noWrap w:val="0"/>
            <w:vAlign w:val="center"/>
          </w:tcPr>
          <w:p w14:paraId="5311F736">
            <w:pPr>
              <w:widowControl/>
              <w:jc w:val="center"/>
              <w:rPr>
                <w:rFonts w:ascii="宋体" w:hAnsi="宋体" w:cs="宋体"/>
                <w:color w:val="000000"/>
                <w:kern w:val="0"/>
                <w:szCs w:val="21"/>
              </w:rPr>
            </w:pPr>
            <w:r>
              <w:rPr>
                <w:rFonts w:hint="eastAsia" w:ascii="宋体" w:hAnsi="宋体" w:cs="宋体"/>
                <w:color w:val="000000"/>
                <w:kern w:val="0"/>
                <w:szCs w:val="21"/>
              </w:rPr>
              <w:t>支管3</w:t>
            </w:r>
          </w:p>
        </w:tc>
        <w:tc>
          <w:tcPr>
            <w:tcW w:w="1309" w:type="dxa"/>
            <w:tcBorders>
              <w:top w:val="nil"/>
              <w:left w:val="nil"/>
              <w:bottom w:val="single" w:color="auto" w:sz="4" w:space="0"/>
              <w:right w:val="single" w:color="auto" w:sz="4" w:space="0"/>
            </w:tcBorders>
            <w:noWrap w:val="0"/>
            <w:vAlign w:val="center"/>
          </w:tcPr>
          <w:p w14:paraId="4485CD2C">
            <w:pPr>
              <w:widowControl/>
              <w:jc w:val="center"/>
              <w:rPr>
                <w:rFonts w:ascii="宋体" w:hAnsi="宋体" w:cs="宋体"/>
                <w:color w:val="000000"/>
                <w:kern w:val="0"/>
                <w:szCs w:val="21"/>
              </w:rPr>
            </w:pPr>
            <w:r>
              <w:rPr>
                <w:rFonts w:hint="eastAsia" w:ascii="宋体" w:hAnsi="宋体" w:cs="宋体"/>
                <w:color w:val="000000"/>
                <w:kern w:val="0"/>
                <w:szCs w:val="21"/>
              </w:rPr>
              <w:t>7.8</w:t>
            </w:r>
          </w:p>
        </w:tc>
        <w:tc>
          <w:tcPr>
            <w:tcW w:w="1077" w:type="dxa"/>
            <w:tcBorders>
              <w:top w:val="nil"/>
              <w:left w:val="nil"/>
              <w:bottom w:val="single" w:color="auto" w:sz="4" w:space="0"/>
              <w:right w:val="single" w:color="auto" w:sz="4" w:space="0"/>
            </w:tcBorders>
            <w:noWrap w:val="0"/>
            <w:vAlign w:val="center"/>
          </w:tcPr>
          <w:p w14:paraId="53EA6D51">
            <w:pPr>
              <w:widowControl/>
              <w:jc w:val="center"/>
              <w:rPr>
                <w:rFonts w:ascii="宋体" w:hAnsi="宋体" w:cs="宋体"/>
                <w:color w:val="000000"/>
                <w:kern w:val="0"/>
                <w:szCs w:val="21"/>
              </w:rPr>
            </w:pPr>
            <w:r>
              <w:rPr>
                <w:rFonts w:hint="eastAsia" w:ascii="宋体" w:hAnsi="宋体" w:cs="宋体"/>
                <w:color w:val="000000"/>
                <w:kern w:val="0"/>
                <w:szCs w:val="21"/>
              </w:rPr>
              <w:t>0.866</w:t>
            </w:r>
          </w:p>
        </w:tc>
        <w:tc>
          <w:tcPr>
            <w:tcW w:w="1077" w:type="dxa"/>
            <w:tcBorders>
              <w:top w:val="nil"/>
              <w:left w:val="nil"/>
              <w:bottom w:val="single" w:color="auto" w:sz="4" w:space="0"/>
              <w:right w:val="single" w:color="auto" w:sz="4" w:space="0"/>
            </w:tcBorders>
            <w:noWrap w:val="0"/>
            <w:vAlign w:val="center"/>
          </w:tcPr>
          <w:p w14:paraId="1C0CDC95">
            <w:pPr>
              <w:widowControl/>
              <w:jc w:val="center"/>
              <w:rPr>
                <w:rFonts w:ascii="宋体" w:hAnsi="宋体" w:cs="宋体"/>
                <w:color w:val="000000"/>
                <w:kern w:val="0"/>
                <w:szCs w:val="21"/>
              </w:rPr>
            </w:pPr>
            <w:r>
              <w:rPr>
                <w:rFonts w:hint="eastAsia" w:ascii="宋体" w:hAnsi="宋体" w:cs="宋体"/>
                <w:color w:val="000000"/>
                <w:kern w:val="0"/>
                <w:szCs w:val="21"/>
              </w:rPr>
              <w:t>800</w:t>
            </w:r>
          </w:p>
        </w:tc>
        <w:tc>
          <w:tcPr>
            <w:tcW w:w="1140" w:type="dxa"/>
            <w:tcBorders>
              <w:top w:val="nil"/>
              <w:left w:val="nil"/>
              <w:bottom w:val="single" w:color="auto" w:sz="4" w:space="0"/>
              <w:right w:val="single" w:color="auto" w:sz="4" w:space="0"/>
            </w:tcBorders>
            <w:noWrap w:val="0"/>
            <w:vAlign w:val="center"/>
          </w:tcPr>
          <w:p w14:paraId="72B3A030">
            <w:pPr>
              <w:widowControl/>
              <w:jc w:val="center"/>
              <w:rPr>
                <w:rFonts w:ascii="宋体" w:hAnsi="宋体" w:cs="宋体"/>
                <w:color w:val="000000"/>
                <w:kern w:val="0"/>
                <w:szCs w:val="21"/>
              </w:rPr>
            </w:pPr>
            <w:r>
              <w:rPr>
                <w:rFonts w:hint="eastAsia" w:ascii="宋体" w:hAnsi="宋体" w:cs="宋体"/>
                <w:color w:val="000000"/>
                <w:kern w:val="0"/>
                <w:szCs w:val="21"/>
              </w:rPr>
              <w:t>0.71</w:t>
            </w:r>
          </w:p>
        </w:tc>
        <w:tc>
          <w:tcPr>
            <w:tcW w:w="1140" w:type="dxa"/>
            <w:tcBorders>
              <w:top w:val="nil"/>
              <w:left w:val="nil"/>
              <w:bottom w:val="single" w:color="auto" w:sz="4" w:space="0"/>
              <w:right w:val="single" w:color="auto" w:sz="4" w:space="0"/>
            </w:tcBorders>
            <w:noWrap w:val="0"/>
            <w:vAlign w:val="center"/>
          </w:tcPr>
          <w:p w14:paraId="4472F103">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436" w:type="dxa"/>
            <w:tcBorders>
              <w:top w:val="nil"/>
              <w:left w:val="nil"/>
              <w:bottom w:val="single" w:color="auto" w:sz="4" w:space="0"/>
              <w:right w:val="single" w:color="auto" w:sz="4" w:space="0"/>
            </w:tcBorders>
            <w:noWrap w:val="0"/>
            <w:vAlign w:val="center"/>
          </w:tcPr>
          <w:p w14:paraId="35B051A4">
            <w:pPr>
              <w:widowControl/>
              <w:jc w:val="center"/>
              <w:rPr>
                <w:rFonts w:ascii="宋体" w:hAnsi="宋体" w:cs="宋体"/>
                <w:color w:val="000000"/>
                <w:kern w:val="0"/>
                <w:szCs w:val="21"/>
              </w:rPr>
            </w:pPr>
            <w:r>
              <w:rPr>
                <w:rFonts w:hint="eastAsia" w:ascii="宋体" w:hAnsi="宋体" w:cs="宋体"/>
                <w:color w:val="000000"/>
                <w:kern w:val="0"/>
                <w:szCs w:val="21"/>
              </w:rPr>
              <w:t>4307</w:t>
            </w:r>
          </w:p>
        </w:tc>
      </w:tr>
      <w:tr w14:paraId="62553401">
        <w:tblPrEx>
          <w:tblCellMar>
            <w:top w:w="0" w:type="dxa"/>
            <w:left w:w="108" w:type="dxa"/>
            <w:bottom w:w="0" w:type="dxa"/>
            <w:right w:w="108" w:type="dxa"/>
          </w:tblCellMar>
        </w:tblPrEx>
        <w:trPr>
          <w:wBefore w:w="0" w:type="dxa"/>
          <w:wAfter w:w="0" w:type="dxa"/>
          <w:trHeight w:val="369" w:hRule="atLeast"/>
        </w:trPr>
        <w:tc>
          <w:tcPr>
            <w:tcW w:w="929" w:type="dxa"/>
            <w:tcBorders>
              <w:top w:val="nil"/>
              <w:left w:val="single" w:color="auto" w:sz="4" w:space="0"/>
              <w:bottom w:val="single" w:color="auto" w:sz="4" w:space="0"/>
              <w:right w:val="single" w:color="auto" w:sz="4" w:space="0"/>
            </w:tcBorders>
            <w:noWrap w:val="0"/>
            <w:vAlign w:val="center"/>
          </w:tcPr>
          <w:p w14:paraId="0B0EAD7F">
            <w:pPr>
              <w:widowControl/>
              <w:jc w:val="center"/>
              <w:rPr>
                <w:rFonts w:ascii="宋体" w:hAnsi="宋体" w:cs="宋体"/>
                <w:color w:val="000000"/>
                <w:kern w:val="0"/>
                <w:szCs w:val="21"/>
              </w:rPr>
            </w:pPr>
            <w:r>
              <w:rPr>
                <w:rFonts w:hint="eastAsia" w:ascii="宋体" w:hAnsi="宋体" w:cs="宋体"/>
                <w:color w:val="000000"/>
                <w:kern w:val="0"/>
                <w:szCs w:val="21"/>
              </w:rPr>
              <w:t>合 计</w:t>
            </w:r>
          </w:p>
        </w:tc>
        <w:tc>
          <w:tcPr>
            <w:tcW w:w="6693" w:type="dxa"/>
            <w:gridSpan w:val="6"/>
            <w:tcBorders>
              <w:top w:val="single" w:color="auto" w:sz="4" w:space="0"/>
              <w:left w:val="nil"/>
              <w:bottom w:val="single" w:color="auto" w:sz="4" w:space="0"/>
              <w:right w:val="single" w:color="000000" w:sz="4" w:space="0"/>
            </w:tcBorders>
            <w:noWrap w:val="0"/>
            <w:vAlign w:val="center"/>
          </w:tcPr>
          <w:p w14:paraId="67412797">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36" w:type="dxa"/>
            <w:tcBorders>
              <w:top w:val="nil"/>
              <w:left w:val="nil"/>
              <w:bottom w:val="single" w:color="auto" w:sz="4" w:space="0"/>
              <w:right w:val="single" w:color="auto" w:sz="4" w:space="0"/>
            </w:tcBorders>
            <w:noWrap w:val="0"/>
            <w:vAlign w:val="center"/>
          </w:tcPr>
          <w:p w14:paraId="0ECCB84D">
            <w:pPr>
              <w:widowControl/>
              <w:jc w:val="center"/>
              <w:rPr>
                <w:rFonts w:ascii="宋体" w:hAnsi="宋体" w:cs="宋体"/>
                <w:color w:val="000000"/>
                <w:kern w:val="0"/>
                <w:szCs w:val="21"/>
              </w:rPr>
            </w:pP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hint="eastAsia" w:ascii="宋体" w:hAnsi="宋体" w:cs="宋体"/>
                <w:color w:val="000000"/>
                <w:kern w:val="0"/>
                <w:szCs w:val="21"/>
              </w:rPr>
              <w:instrText xml:space="preserve">=SUM(ABOVE)</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color w:val="000000"/>
                <w:kern w:val="0"/>
                <w:szCs w:val="21"/>
                <w:lang/>
              </w:rPr>
              <w:t>13679</w:t>
            </w:r>
            <w:r>
              <w:rPr>
                <w:rFonts w:ascii="宋体" w:hAnsi="宋体" w:cs="宋体"/>
                <w:color w:val="000000"/>
                <w:kern w:val="0"/>
                <w:szCs w:val="21"/>
              </w:rPr>
              <w:fldChar w:fldCharType="end"/>
            </w:r>
          </w:p>
        </w:tc>
      </w:tr>
    </w:tbl>
    <w:p w14:paraId="1F0D5856">
      <w:pPr>
        <w:pStyle w:val="29"/>
        <w:spacing w:line="360" w:lineRule="auto"/>
        <w:ind w:firstLine="480" w:firstLineChars="200"/>
        <w:rPr>
          <w:rFonts w:hint="eastAsia" w:hAnsi="宋体"/>
          <w:sz w:val="24"/>
          <w:szCs w:val="24"/>
        </w:rPr>
      </w:pPr>
      <w:r>
        <w:rPr>
          <w:rFonts w:hint="eastAsia" w:hAnsi="宋体"/>
          <w:sz w:val="24"/>
          <w:szCs w:val="24"/>
        </w:rPr>
        <w:t>②局部阻力损失计算</w:t>
      </w:r>
    </w:p>
    <w:p w14:paraId="2A0127AA">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根据以往工作经验，管路局部阻力按磨擦阻力的10%～20%考虑即可，取0.15。则抽放管路系统的局部阻力损失为：</w:t>
      </w:r>
    </w:p>
    <w:p w14:paraId="2234AE30">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高负压：H</w:t>
      </w:r>
      <w:r>
        <w:rPr>
          <w:rFonts w:hint="eastAsia" w:ascii="宋体" w:hAnsi="宋体"/>
          <w:sz w:val="24"/>
          <w:vertAlign w:val="subscript"/>
          <w:lang/>
        </w:rPr>
        <w:t>j</w:t>
      </w:r>
      <w:r>
        <w:rPr>
          <w:rFonts w:hint="eastAsia" w:ascii="宋体" w:hAnsi="宋体"/>
          <w:sz w:val="24"/>
          <w:lang/>
        </w:rPr>
        <w:t>=0.15×Hm=0.15×13679＝2052Pa</w:t>
      </w:r>
    </w:p>
    <w:p w14:paraId="220B4CEC">
      <w:pPr>
        <w:pStyle w:val="29"/>
        <w:spacing w:line="360" w:lineRule="auto"/>
        <w:ind w:firstLine="480" w:firstLineChars="200"/>
        <w:rPr>
          <w:rFonts w:hint="eastAsia" w:hAnsi="宋体"/>
          <w:sz w:val="24"/>
          <w:szCs w:val="24"/>
        </w:rPr>
      </w:pPr>
      <w:r>
        <w:rPr>
          <w:rFonts w:hint="eastAsia" w:hAnsi="宋体"/>
          <w:sz w:val="24"/>
          <w:szCs w:val="24"/>
        </w:rPr>
        <w:t>③总阻力损失计算</w:t>
      </w:r>
    </w:p>
    <w:p w14:paraId="1E0CA2AC">
      <w:pPr>
        <w:spacing w:line="360" w:lineRule="auto"/>
        <w:ind w:firstLine="480" w:firstLineChars="200"/>
        <w:rPr>
          <w:rFonts w:hint="eastAsia" w:ascii="宋体" w:hAnsi="宋体"/>
          <w:sz w:val="24"/>
        </w:rPr>
      </w:pPr>
      <w:r>
        <w:rPr>
          <w:rFonts w:hint="eastAsia" w:ascii="宋体" w:hAnsi="宋体"/>
          <w:sz w:val="24"/>
        </w:rPr>
        <w:t>H</w:t>
      </w:r>
      <w:r>
        <w:rPr>
          <w:rFonts w:hint="eastAsia" w:ascii="宋体" w:hAnsi="宋体"/>
          <w:sz w:val="24"/>
          <w:vertAlign w:val="subscript"/>
        </w:rPr>
        <w:t>总</w:t>
      </w:r>
      <w:r>
        <w:rPr>
          <w:rFonts w:hint="eastAsia" w:ascii="宋体" w:hAnsi="宋体"/>
          <w:sz w:val="24"/>
        </w:rPr>
        <w:t>=Hm+</w:t>
      </w:r>
      <w:r>
        <w:rPr>
          <w:rFonts w:hint="eastAsia" w:ascii="宋体" w:hAnsi="宋体"/>
          <w:sz w:val="24"/>
          <w:lang/>
        </w:rPr>
        <w:t xml:space="preserve"> H</w:t>
      </w:r>
      <w:r>
        <w:rPr>
          <w:rFonts w:hint="eastAsia" w:ascii="宋体" w:hAnsi="宋体"/>
          <w:sz w:val="24"/>
          <w:vertAlign w:val="subscript"/>
          <w:lang/>
        </w:rPr>
        <w:t>j</w:t>
      </w:r>
      <w:r>
        <w:rPr>
          <w:rFonts w:hint="eastAsia" w:ascii="宋体" w:hAnsi="宋体"/>
          <w:sz w:val="24"/>
        </w:rPr>
        <w:t xml:space="preserve"> =15731Pa=15.731kPa</w:t>
      </w:r>
    </w:p>
    <w:p w14:paraId="73EEB127">
      <w:pPr>
        <w:spacing w:line="360" w:lineRule="auto"/>
        <w:ind w:firstLine="480" w:firstLineChars="200"/>
        <w:rPr>
          <w:rFonts w:hint="eastAsia" w:ascii="宋体" w:hAnsi="宋体"/>
          <w:sz w:val="24"/>
        </w:rPr>
      </w:pPr>
      <w:r>
        <w:rPr>
          <w:rFonts w:hint="eastAsia" w:ascii="宋体" w:hAnsi="宋体"/>
          <w:bCs/>
          <w:sz w:val="24"/>
        </w:rPr>
        <w:t>4)瓦斯抽放泵选择</w:t>
      </w:r>
    </w:p>
    <w:p w14:paraId="7E8B75E6">
      <w:pPr>
        <w:pStyle w:val="29"/>
        <w:spacing w:line="360" w:lineRule="auto"/>
        <w:ind w:firstLine="480" w:firstLineChars="200"/>
        <w:rPr>
          <w:rFonts w:hint="eastAsia" w:hAnsi="宋体"/>
          <w:color w:val="0000FF"/>
          <w:sz w:val="24"/>
          <w:szCs w:val="24"/>
        </w:rPr>
      </w:pPr>
      <w:r>
        <w:rPr>
          <w:rFonts w:hint="eastAsia" w:hAnsi="宋体"/>
          <w:color w:val="0000FF"/>
          <w:sz w:val="24"/>
          <w:szCs w:val="24"/>
        </w:rPr>
        <w:t>⑴ 瓦斯抽放泵压力计算</w:t>
      </w:r>
    </w:p>
    <w:p w14:paraId="66503352">
      <w:pPr>
        <w:pStyle w:val="29"/>
        <w:spacing w:line="360" w:lineRule="auto"/>
        <w:ind w:firstLine="480" w:firstLineChars="200"/>
        <w:rPr>
          <w:rFonts w:hint="eastAsia" w:hAnsi="宋体"/>
          <w:color w:val="0000FF"/>
          <w:sz w:val="24"/>
          <w:szCs w:val="24"/>
        </w:rPr>
      </w:pPr>
      <w:r>
        <w:rPr>
          <w:rFonts w:hint="eastAsia" w:hAnsi="宋体"/>
          <w:color w:val="0000FF"/>
          <w:sz w:val="24"/>
          <w:szCs w:val="24"/>
        </w:rPr>
        <w:t>瓦斯抽放泵压力，必须能克服抽放管道总阻力损失和保证钻孔有足够的负压，以及能满足泵出口正压的需求。</w:t>
      </w:r>
    </w:p>
    <w:p w14:paraId="7AC1AE90">
      <w:pPr>
        <w:pStyle w:val="29"/>
        <w:spacing w:line="360" w:lineRule="auto"/>
        <w:ind w:firstLine="480" w:firstLineChars="200"/>
        <w:rPr>
          <w:rFonts w:hint="eastAsia" w:hAnsi="宋体"/>
          <w:color w:val="0000FF"/>
          <w:sz w:val="24"/>
          <w:szCs w:val="24"/>
        </w:rPr>
      </w:pPr>
      <w:r>
        <w:rPr>
          <w:rFonts w:hint="eastAsia" w:hAnsi="宋体"/>
          <w:color w:val="0000FF"/>
          <w:sz w:val="24"/>
          <w:szCs w:val="24"/>
        </w:rPr>
        <w:t>计算公式：H</w:t>
      </w:r>
      <w:r>
        <w:rPr>
          <w:rFonts w:hint="eastAsia" w:hAnsi="宋体"/>
          <w:color w:val="0000FF"/>
          <w:sz w:val="24"/>
          <w:szCs w:val="24"/>
          <w:vertAlign w:val="subscript"/>
        </w:rPr>
        <w:t>泵</w:t>
      </w:r>
      <w:r>
        <w:rPr>
          <w:rFonts w:hint="eastAsia" w:hAnsi="宋体"/>
          <w:color w:val="0000FF"/>
          <w:sz w:val="24"/>
          <w:szCs w:val="24"/>
        </w:rPr>
        <w:t>=(H</w:t>
      </w:r>
      <w:r>
        <w:rPr>
          <w:rFonts w:hint="eastAsia" w:hAnsi="宋体"/>
          <w:color w:val="0000FF"/>
          <w:sz w:val="24"/>
          <w:szCs w:val="24"/>
          <w:vertAlign w:val="subscript"/>
        </w:rPr>
        <w:t>总</w:t>
      </w:r>
      <w:r>
        <w:rPr>
          <w:rFonts w:hint="eastAsia" w:hAnsi="宋体"/>
          <w:color w:val="0000FF"/>
          <w:sz w:val="24"/>
          <w:szCs w:val="24"/>
        </w:rPr>
        <w:t>+H</w:t>
      </w:r>
      <w:r>
        <w:rPr>
          <w:rFonts w:hint="eastAsia" w:hAnsi="宋体"/>
          <w:color w:val="0000FF"/>
          <w:sz w:val="24"/>
          <w:szCs w:val="24"/>
          <w:vertAlign w:val="subscript"/>
        </w:rPr>
        <w:t>孔</w:t>
      </w:r>
      <w:r>
        <w:rPr>
          <w:rFonts w:hint="eastAsia" w:hAnsi="宋体"/>
          <w:color w:val="0000FF"/>
          <w:sz w:val="24"/>
          <w:szCs w:val="24"/>
        </w:rPr>
        <w:t>+H</w:t>
      </w:r>
      <w:r>
        <w:rPr>
          <w:rFonts w:hint="eastAsia" w:hAnsi="宋体"/>
          <w:color w:val="0000FF"/>
          <w:sz w:val="24"/>
          <w:szCs w:val="24"/>
          <w:vertAlign w:val="subscript"/>
        </w:rPr>
        <w:t>正</w:t>
      </w:r>
      <w:r>
        <w:rPr>
          <w:rFonts w:hint="eastAsia" w:hAnsi="宋体"/>
          <w:color w:val="0000FF"/>
          <w:sz w:val="24"/>
          <w:szCs w:val="24"/>
        </w:rPr>
        <w:t>)K</w:t>
      </w:r>
    </w:p>
    <w:p w14:paraId="41208418">
      <w:pPr>
        <w:pStyle w:val="29"/>
        <w:spacing w:line="360" w:lineRule="auto"/>
        <w:ind w:firstLine="480" w:firstLineChars="200"/>
        <w:rPr>
          <w:rFonts w:hint="eastAsia" w:hAnsi="宋体"/>
          <w:color w:val="0000FF"/>
          <w:sz w:val="24"/>
          <w:szCs w:val="24"/>
        </w:rPr>
      </w:pPr>
      <w:r>
        <w:rPr>
          <w:rFonts w:hint="eastAsia" w:hAnsi="宋体"/>
          <w:color w:val="0000FF"/>
          <w:sz w:val="24"/>
          <w:szCs w:val="24"/>
        </w:rPr>
        <w:t>式中：H</w:t>
      </w:r>
      <w:r>
        <w:rPr>
          <w:rFonts w:hint="eastAsia" w:hAnsi="宋体"/>
          <w:color w:val="0000FF"/>
          <w:sz w:val="24"/>
          <w:szCs w:val="24"/>
          <w:vertAlign w:val="subscript"/>
        </w:rPr>
        <w:t>泵</w:t>
      </w:r>
      <w:r>
        <w:rPr>
          <w:rFonts w:hint="eastAsia" w:hAnsi="宋体"/>
          <w:color w:val="0000FF"/>
          <w:sz w:val="24"/>
          <w:szCs w:val="24"/>
        </w:rPr>
        <w:t>——瓦斯抽放泵的压力 kPa</w:t>
      </w:r>
    </w:p>
    <w:p w14:paraId="188D04B9">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H</w:t>
      </w:r>
      <w:r>
        <w:rPr>
          <w:rFonts w:hint="eastAsia" w:hAnsi="宋体"/>
          <w:color w:val="0000FF"/>
          <w:sz w:val="24"/>
          <w:szCs w:val="24"/>
          <w:vertAlign w:val="subscript"/>
        </w:rPr>
        <w:t>总</w:t>
      </w:r>
      <w:r>
        <w:rPr>
          <w:rFonts w:hint="eastAsia" w:hAnsi="宋体"/>
          <w:color w:val="0000FF"/>
          <w:sz w:val="24"/>
          <w:szCs w:val="24"/>
        </w:rPr>
        <w:t>——抽放管道总阻力损失15.731kPa</w:t>
      </w:r>
    </w:p>
    <w:p w14:paraId="6870A16C">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H</w:t>
      </w:r>
      <w:r>
        <w:rPr>
          <w:rFonts w:hint="eastAsia" w:hAnsi="宋体"/>
          <w:color w:val="0000FF"/>
          <w:sz w:val="24"/>
          <w:szCs w:val="24"/>
          <w:vertAlign w:val="subscript"/>
        </w:rPr>
        <w:t>孔</w:t>
      </w:r>
      <w:r>
        <w:rPr>
          <w:rFonts w:hint="eastAsia" w:hAnsi="宋体"/>
          <w:color w:val="0000FF"/>
          <w:sz w:val="24"/>
          <w:szCs w:val="24"/>
        </w:rPr>
        <w:t>——抽放钻孔所需负压，取15kPa</w:t>
      </w:r>
    </w:p>
    <w:p w14:paraId="02BE9A7D">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H</w:t>
      </w:r>
      <w:r>
        <w:rPr>
          <w:rFonts w:hint="eastAsia" w:hAnsi="宋体"/>
          <w:color w:val="0000FF"/>
          <w:sz w:val="24"/>
          <w:szCs w:val="24"/>
          <w:vertAlign w:val="subscript"/>
        </w:rPr>
        <w:t>正</w:t>
      </w:r>
      <w:r>
        <w:rPr>
          <w:rFonts w:hint="eastAsia" w:hAnsi="宋体"/>
          <w:color w:val="0000FF"/>
          <w:sz w:val="24"/>
          <w:szCs w:val="24"/>
        </w:rPr>
        <w:t>——抽放泵出口正压，取4kPa</w:t>
      </w:r>
    </w:p>
    <w:p w14:paraId="63B7A2EC">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K——备用系数</w:t>
      </w:r>
    </w:p>
    <w:p w14:paraId="2396C51B">
      <w:pPr>
        <w:pStyle w:val="29"/>
        <w:spacing w:line="360" w:lineRule="auto"/>
        <w:ind w:firstLine="480" w:firstLineChars="200"/>
        <w:rPr>
          <w:rFonts w:hint="eastAsia" w:hAnsi="宋体"/>
          <w:color w:val="0000FF"/>
          <w:sz w:val="24"/>
          <w:szCs w:val="24"/>
        </w:rPr>
      </w:pPr>
      <w:r>
        <w:rPr>
          <w:rFonts w:hint="eastAsia" w:hAnsi="宋体"/>
          <w:color w:val="0000FF"/>
          <w:sz w:val="24"/>
          <w:szCs w:val="24"/>
        </w:rPr>
        <w:t>则：H</w:t>
      </w:r>
      <w:r>
        <w:rPr>
          <w:rFonts w:hint="eastAsia" w:hAnsi="宋体"/>
          <w:color w:val="0000FF"/>
          <w:sz w:val="24"/>
          <w:szCs w:val="24"/>
          <w:vertAlign w:val="subscript"/>
        </w:rPr>
        <w:t>泵</w:t>
      </w:r>
      <w:r>
        <w:rPr>
          <w:rFonts w:hint="eastAsia" w:hAnsi="宋体"/>
          <w:color w:val="0000FF"/>
          <w:sz w:val="24"/>
          <w:szCs w:val="24"/>
        </w:rPr>
        <w:t>=(15.731+15+4)×1.5=52.1kPa</w:t>
      </w:r>
    </w:p>
    <w:p w14:paraId="5255E2A2">
      <w:pPr>
        <w:pStyle w:val="29"/>
        <w:spacing w:line="360" w:lineRule="auto"/>
        <w:ind w:firstLine="480" w:firstLineChars="200"/>
        <w:rPr>
          <w:rFonts w:hint="eastAsia" w:hAnsi="宋体"/>
          <w:color w:val="0000FF"/>
          <w:sz w:val="24"/>
          <w:szCs w:val="24"/>
        </w:rPr>
      </w:pPr>
      <w:r>
        <w:rPr>
          <w:rFonts w:hint="eastAsia" w:hAnsi="宋体"/>
          <w:color w:val="0000FF"/>
          <w:sz w:val="24"/>
          <w:szCs w:val="24"/>
        </w:rPr>
        <w:t>⑵ 瓦斯抽放泵流量计算</w:t>
      </w:r>
    </w:p>
    <w:p w14:paraId="1D2ACAA8">
      <w:pPr>
        <w:pStyle w:val="29"/>
        <w:spacing w:line="360" w:lineRule="auto"/>
        <w:ind w:firstLine="480" w:firstLineChars="200"/>
        <w:rPr>
          <w:rFonts w:hint="eastAsia" w:hAnsi="宋体"/>
          <w:color w:val="0000FF"/>
          <w:sz w:val="24"/>
          <w:szCs w:val="24"/>
        </w:rPr>
      </w:pPr>
      <w:r>
        <w:rPr>
          <w:rFonts w:hint="eastAsia" w:hAnsi="宋体"/>
          <w:color w:val="0000FF"/>
          <w:sz w:val="24"/>
          <w:szCs w:val="24"/>
        </w:rPr>
        <w:t>瓦斯抽放泵流量应满足抽放瓦斯系统服务年限内最大抽放量的需要。</w:t>
      </w:r>
    </w:p>
    <w:p w14:paraId="461F0E2E">
      <w:pPr>
        <w:pStyle w:val="29"/>
        <w:spacing w:line="360" w:lineRule="auto"/>
        <w:ind w:firstLine="480" w:firstLineChars="200"/>
        <w:rPr>
          <w:rFonts w:hint="eastAsia" w:hAnsi="宋体"/>
          <w:color w:val="0000FF"/>
          <w:sz w:val="24"/>
          <w:szCs w:val="24"/>
        </w:rPr>
      </w:pPr>
      <w:r>
        <w:rPr>
          <w:rFonts w:hint="eastAsia" w:hAnsi="宋体"/>
          <w:color w:val="0000FF"/>
          <w:sz w:val="24"/>
          <w:szCs w:val="24"/>
        </w:rPr>
        <w:t>计算公式：Q</w:t>
      </w:r>
      <w:r>
        <w:rPr>
          <w:rFonts w:hint="eastAsia" w:hAnsi="宋体"/>
          <w:color w:val="0000FF"/>
          <w:sz w:val="24"/>
          <w:szCs w:val="24"/>
          <w:vertAlign w:val="subscript"/>
        </w:rPr>
        <w:t>泵</w:t>
      </w:r>
      <w:r>
        <w:rPr>
          <w:rFonts w:hint="eastAsia" w:hAnsi="宋体"/>
          <w:color w:val="0000FF"/>
          <w:sz w:val="24"/>
          <w:szCs w:val="24"/>
        </w:rPr>
        <w:t>=Q</w:t>
      </w:r>
      <w:r>
        <w:rPr>
          <w:rFonts w:hint="eastAsia" w:hAnsi="宋体"/>
          <w:color w:val="0000FF"/>
          <w:sz w:val="24"/>
          <w:szCs w:val="24"/>
          <w:vertAlign w:val="subscript"/>
        </w:rPr>
        <w:t>纯</w:t>
      </w:r>
      <w:r>
        <w:rPr>
          <w:rFonts w:hint="eastAsia" w:hAnsi="宋体"/>
          <w:color w:val="0000FF"/>
          <w:sz w:val="24"/>
          <w:szCs w:val="24"/>
        </w:rPr>
        <w:t>K/Xη</w:t>
      </w:r>
    </w:p>
    <w:p w14:paraId="2753E770">
      <w:pPr>
        <w:pStyle w:val="29"/>
        <w:spacing w:line="360" w:lineRule="auto"/>
        <w:ind w:firstLine="480" w:firstLineChars="200"/>
        <w:rPr>
          <w:rFonts w:hint="eastAsia" w:hAnsi="宋体"/>
          <w:color w:val="0000FF"/>
          <w:sz w:val="24"/>
          <w:szCs w:val="24"/>
        </w:rPr>
      </w:pPr>
      <w:r>
        <w:rPr>
          <w:rFonts w:hint="eastAsia" w:hAnsi="宋体"/>
          <w:color w:val="0000FF"/>
          <w:sz w:val="24"/>
          <w:szCs w:val="24"/>
        </w:rPr>
        <w:t>式中：Q</w:t>
      </w:r>
      <w:r>
        <w:rPr>
          <w:rFonts w:hint="eastAsia" w:hAnsi="宋体"/>
          <w:color w:val="0000FF"/>
          <w:sz w:val="24"/>
          <w:szCs w:val="24"/>
          <w:vertAlign w:val="subscript"/>
        </w:rPr>
        <w:t>泵</w:t>
      </w:r>
      <w:r>
        <w:rPr>
          <w:rFonts w:hint="eastAsia" w:hAnsi="宋体"/>
          <w:color w:val="0000FF"/>
          <w:sz w:val="24"/>
          <w:szCs w:val="24"/>
        </w:rPr>
        <w:t>——瓦斯泵的额定流量 m</w:t>
      </w:r>
      <w:r>
        <w:rPr>
          <w:rFonts w:hint="eastAsia" w:hAnsi="宋体"/>
          <w:color w:val="0000FF"/>
          <w:sz w:val="24"/>
          <w:szCs w:val="24"/>
          <w:vertAlign w:val="superscript"/>
        </w:rPr>
        <w:t>3</w:t>
      </w:r>
      <w:r>
        <w:rPr>
          <w:rFonts w:hint="eastAsia" w:hAnsi="宋体"/>
          <w:color w:val="0000FF"/>
          <w:sz w:val="24"/>
          <w:szCs w:val="24"/>
        </w:rPr>
        <w:t>/min</w:t>
      </w:r>
    </w:p>
    <w:p w14:paraId="4B9DB44F">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Q</w:t>
      </w:r>
      <w:r>
        <w:rPr>
          <w:rFonts w:hint="eastAsia" w:hAnsi="宋体"/>
          <w:color w:val="0000FF"/>
          <w:sz w:val="24"/>
          <w:szCs w:val="24"/>
          <w:vertAlign w:val="subscript"/>
        </w:rPr>
        <w:t>纯</w:t>
      </w:r>
      <w:r>
        <w:rPr>
          <w:rFonts w:hint="eastAsia" w:hAnsi="宋体"/>
          <w:color w:val="0000FF"/>
          <w:sz w:val="24"/>
          <w:szCs w:val="24"/>
        </w:rPr>
        <w:t>——最大抽放瓦斯纯量 m</w:t>
      </w:r>
      <w:r>
        <w:rPr>
          <w:rFonts w:hint="eastAsia" w:hAnsi="宋体"/>
          <w:color w:val="0000FF"/>
          <w:sz w:val="24"/>
          <w:szCs w:val="24"/>
          <w:vertAlign w:val="superscript"/>
        </w:rPr>
        <w:t>3</w:t>
      </w:r>
      <w:r>
        <w:rPr>
          <w:rFonts w:hint="eastAsia" w:hAnsi="宋体"/>
          <w:color w:val="0000FF"/>
          <w:sz w:val="24"/>
          <w:szCs w:val="24"/>
        </w:rPr>
        <w:t>/min</w:t>
      </w:r>
    </w:p>
    <w:p w14:paraId="2718D5C6">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K——瓦斯抽放备用系数，取1.5</w:t>
      </w:r>
    </w:p>
    <w:p w14:paraId="680F9B2A">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X——瓦斯泵入口处的瓦斯浓度，取30%</w:t>
      </w:r>
    </w:p>
    <w:p w14:paraId="3A458415">
      <w:pPr>
        <w:pStyle w:val="29"/>
        <w:spacing w:line="360" w:lineRule="auto"/>
        <w:ind w:firstLine="480" w:firstLineChars="200"/>
        <w:rPr>
          <w:rFonts w:hint="eastAsia" w:hAnsi="宋体"/>
          <w:color w:val="0000FF"/>
          <w:sz w:val="24"/>
          <w:szCs w:val="24"/>
          <w:lang w:val="el-GR"/>
        </w:rPr>
      </w:pPr>
      <w:r>
        <w:rPr>
          <w:rFonts w:hint="eastAsia" w:hAnsi="宋体"/>
          <w:color w:val="0000FF"/>
          <w:sz w:val="24"/>
          <w:szCs w:val="24"/>
          <w:lang w:val="el-GR"/>
        </w:rPr>
        <w:t>η——</w:t>
      </w:r>
      <w:r>
        <w:rPr>
          <w:rFonts w:hint="eastAsia" w:hAnsi="宋体"/>
          <w:color w:val="0000FF"/>
          <w:sz w:val="24"/>
          <w:szCs w:val="24"/>
        </w:rPr>
        <w:t>瓦斯泵的机械效率</w:t>
      </w:r>
      <w:r>
        <w:rPr>
          <w:rFonts w:hint="eastAsia" w:hAnsi="宋体"/>
          <w:color w:val="0000FF"/>
          <w:sz w:val="24"/>
          <w:szCs w:val="24"/>
          <w:lang w:val="el-GR"/>
        </w:rPr>
        <w:t>，80%</w:t>
      </w:r>
    </w:p>
    <w:p w14:paraId="4350C35E">
      <w:pPr>
        <w:pStyle w:val="29"/>
        <w:spacing w:line="360" w:lineRule="auto"/>
        <w:ind w:firstLine="480" w:firstLineChars="200"/>
        <w:rPr>
          <w:rFonts w:hint="eastAsia" w:hAnsi="宋体"/>
          <w:color w:val="0000FF"/>
          <w:sz w:val="24"/>
          <w:szCs w:val="24"/>
        </w:rPr>
      </w:pPr>
      <w:r>
        <w:rPr>
          <w:rFonts w:hint="eastAsia" w:hAnsi="宋体"/>
          <w:color w:val="0000FF"/>
          <w:sz w:val="24"/>
          <w:szCs w:val="24"/>
        </w:rPr>
        <w:t>则瓦斯抽放泵流量：</w:t>
      </w:r>
    </w:p>
    <w:p w14:paraId="2E21346D">
      <w:pPr>
        <w:pStyle w:val="29"/>
        <w:spacing w:line="360" w:lineRule="auto"/>
        <w:ind w:firstLine="480" w:firstLineChars="200"/>
        <w:rPr>
          <w:rFonts w:hint="eastAsia" w:hAnsi="宋体"/>
          <w:color w:val="0000FF"/>
          <w:sz w:val="24"/>
          <w:szCs w:val="24"/>
        </w:rPr>
      </w:pPr>
      <w:r>
        <w:rPr>
          <w:rFonts w:hint="eastAsia" w:hAnsi="宋体"/>
          <w:color w:val="0000FF"/>
          <w:sz w:val="24"/>
          <w:szCs w:val="24"/>
        </w:rPr>
        <w:t>Q</w:t>
      </w:r>
      <w:r>
        <w:rPr>
          <w:rFonts w:hint="eastAsia" w:hAnsi="宋体"/>
          <w:color w:val="0000FF"/>
          <w:sz w:val="24"/>
          <w:szCs w:val="24"/>
          <w:vertAlign w:val="subscript"/>
        </w:rPr>
        <w:t>泵</w:t>
      </w:r>
      <w:r>
        <w:rPr>
          <w:rFonts w:hint="eastAsia" w:hAnsi="宋体"/>
          <w:color w:val="0000FF"/>
          <w:sz w:val="24"/>
          <w:szCs w:val="24"/>
        </w:rPr>
        <w:t>=10×1.5/(0.30×0.8)=62.5m</w:t>
      </w:r>
      <w:r>
        <w:rPr>
          <w:rFonts w:hint="eastAsia" w:hAnsi="宋体"/>
          <w:color w:val="0000FF"/>
          <w:sz w:val="24"/>
          <w:szCs w:val="24"/>
          <w:vertAlign w:val="superscript"/>
        </w:rPr>
        <w:t>3</w:t>
      </w:r>
      <w:r>
        <w:rPr>
          <w:rFonts w:hint="eastAsia" w:hAnsi="宋体"/>
          <w:color w:val="0000FF"/>
          <w:sz w:val="24"/>
          <w:szCs w:val="24"/>
        </w:rPr>
        <w:t>/min</w:t>
      </w:r>
    </w:p>
    <w:p w14:paraId="09C3AC9F">
      <w:pPr>
        <w:pStyle w:val="29"/>
        <w:spacing w:line="360" w:lineRule="auto"/>
        <w:ind w:firstLine="480" w:firstLineChars="200"/>
        <w:rPr>
          <w:rFonts w:hint="eastAsia" w:hAnsi="宋体"/>
          <w:sz w:val="24"/>
          <w:szCs w:val="24"/>
        </w:rPr>
      </w:pPr>
      <w:r>
        <w:rPr>
          <w:rFonts w:hint="eastAsia" w:hAnsi="宋体"/>
          <w:sz w:val="24"/>
          <w:szCs w:val="24"/>
        </w:rPr>
        <w:t>⑶ 瓦斯泵选型</w:t>
      </w:r>
    </w:p>
    <w:p w14:paraId="669E0405">
      <w:pPr>
        <w:pStyle w:val="29"/>
        <w:spacing w:line="360" w:lineRule="auto"/>
        <w:ind w:firstLine="480" w:firstLineChars="200"/>
        <w:rPr>
          <w:rFonts w:hint="eastAsia" w:hAnsi="宋体"/>
          <w:color w:val="0000FF"/>
          <w:sz w:val="24"/>
          <w:szCs w:val="24"/>
        </w:rPr>
      </w:pPr>
      <w:r>
        <w:rPr>
          <w:rFonts w:hint="eastAsia" w:hAnsi="宋体"/>
          <w:color w:val="0000FF"/>
          <w:sz w:val="24"/>
          <w:szCs w:val="24"/>
        </w:rPr>
        <w:t>根据上述计算数据，选用高效节能的水环式真空泵：2BEP40型（n=390rpm）二台，其中：一台工作、一台备用；其额定参数为：Q=84.2m</w:t>
      </w:r>
      <w:r>
        <w:rPr>
          <w:rFonts w:hint="eastAsia" w:hAnsi="宋体"/>
          <w:color w:val="0000FF"/>
          <w:sz w:val="24"/>
          <w:szCs w:val="24"/>
          <w:vertAlign w:val="superscript"/>
        </w:rPr>
        <w:t>3</w:t>
      </w:r>
      <w:r>
        <w:rPr>
          <w:rFonts w:hint="eastAsia" w:hAnsi="宋体"/>
          <w:color w:val="0000FF"/>
          <w:sz w:val="24"/>
          <w:szCs w:val="24"/>
        </w:rPr>
        <w:t>/min，H=60kPa，轴功率97kW，耗水量3m</w:t>
      </w:r>
      <w:r>
        <w:rPr>
          <w:rFonts w:hint="eastAsia" w:hAnsi="宋体"/>
          <w:color w:val="0000FF"/>
          <w:sz w:val="24"/>
          <w:szCs w:val="24"/>
          <w:vertAlign w:val="superscript"/>
        </w:rPr>
        <w:t>3</w:t>
      </w:r>
      <w:r>
        <w:rPr>
          <w:rFonts w:hint="eastAsia" w:hAnsi="宋体"/>
          <w:color w:val="0000FF"/>
          <w:sz w:val="24"/>
          <w:szCs w:val="24"/>
        </w:rPr>
        <w:t>/h台；选配防爆电动机YB315L1—6、110kW、660V二台；</w:t>
      </w:r>
    </w:p>
    <w:p w14:paraId="777C071D">
      <w:pPr>
        <w:pStyle w:val="29"/>
        <w:spacing w:line="360" w:lineRule="auto"/>
        <w:ind w:firstLine="482" w:firstLineChars="200"/>
        <w:rPr>
          <w:rFonts w:hint="eastAsia" w:hAnsi="宋体"/>
          <w:b/>
          <w:bCs/>
          <w:sz w:val="24"/>
          <w:szCs w:val="24"/>
        </w:rPr>
      </w:pPr>
      <w:r>
        <w:rPr>
          <w:rFonts w:hint="eastAsia" w:hAnsi="宋体"/>
          <w:b/>
          <w:bCs/>
          <w:sz w:val="24"/>
          <w:szCs w:val="24"/>
        </w:rPr>
        <w:t>低负压抽放系统</w:t>
      </w:r>
    </w:p>
    <w:p w14:paraId="3A9B70AD">
      <w:pPr>
        <w:spacing w:line="360" w:lineRule="auto"/>
        <w:ind w:firstLine="480" w:firstLineChars="200"/>
        <w:rPr>
          <w:rFonts w:hint="eastAsia" w:ascii="宋体" w:hAnsi="宋体"/>
          <w:color w:val="000000"/>
          <w:sz w:val="24"/>
        </w:rPr>
      </w:pPr>
      <w:r>
        <w:rPr>
          <w:rFonts w:hint="eastAsia" w:ascii="宋体" w:hAnsi="宋体"/>
          <w:color w:val="000000"/>
          <w:sz w:val="24"/>
        </w:rPr>
        <w:t>（1）抽放设备选型</w:t>
      </w:r>
    </w:p>
    <w:p w14:paraId="4DDCDADF">
      <w:pPr>
        <w:spacing w:line="360" w:lineRule="auto"/>
        <w:ind w:firstLine="480" w:firstLineChars="200"/>
        <w:rPr>
          <w:rFonts w:hint="eastAsia" w:ascii="宋体" w:hAnsi="宋体"/>
          <w:color w:val="000000"/>
          <w:sz w:val="24"/>
        </w:rPr>
      </w:pPr>
      <w:r>
        <w:rPr>
          <w:rFonts w:hint="eastAsia" w:ascii="宋体" w:hAnsi="宋体"/>
          <w:color w:val="000000"/>
          <w:sz w:val="24"/>
        </w:rPr>
        <w:t>A、设计依据</w:t>
      </w:r>
    </w:p>
    <w:p w14:paraId="0FE0D9A3">
      <w:pPr>
        <w:spacing w:line="360" w:lineRule="auto"/>
        <w:ind w:firstLine="480" w:firstLineChars="200"/>
        <w:rPr>
          <w:rFonts w:hint="eastAsia" w:ascii="宋体" w:hAnsi="宋体"/>
          <w:sz w:val="24"/>
        </w:rPr>
      </w:pPr>
      <w:r>
        <w:rPr>
          <w:rFonts w:hint="eastAsia" w:ascii="宋体" w:hAnsi="宋体"/>
          <w:sz w:val="24"/>
        </w:rPr>
        <w:t>1、抽放瓦斯纯量：Q＝7.8m</w:t>
      </w:r>
      <w:r>
        <w:rPr>
          <w:rFonts w:hint="eastAsia" w:ascii="宋体" w:hAnsi="宋体"/>
          <w:sz w:val="24"/>
          <w:vertAlign w:val="superscript"/>
        </w:rPr>
        <w:t>3</w:t>
      </w:r>
      <w:r>
        <w:rPr>
          <w:rFonts w:hint="eastAsia" w:ascii="宋体" w:hAnsi="宋体"/>
          <w:sz w:val="24"/>
        </w:rPr>
        <w:t>/min；</w:t>
      </w:r>
    </w:p>
    <w:p w14:paraId="7CC9919E">
      <w:pPr>
        <w:spacing w:line="360" w:lineRule="auto"/>
        <w:ind w:firstLine="480" w:firstLineChars="200"/>
        <w:rPr>
          <w:rFonts w:hint="eastAsia" w:ascii="宋体" w:hAnsi="宋体"/>
          <w:sz w:val="24"/>
        </w:rPr>
      </w:pPr>
      <w:r>
        <w:rPr>
          <w:rFonts w:hint="eastAsia" w:ascii="宋体" w:hAnsi="宋体"/>
          <w:sz w:val="24"/>
        </w:rPr>
        <w:t>2、抽放瓦斯浓度：20％；</w:t>
      </w:r>
    </w:p>
    <w:p w14:paraId="3E54E9C7">
      <w:pPr>
        <w:spacing w:line="360" w:lineRule="auto"/>
        <w:ind w:firstLine="480" w:firstLineChars="200"/>
        <w:rPr>
          <w:rFonts w:hint="eastAsia" w:ascii="宋体" w:hAnsi="宋体"/>
          <w:sz w:val="24"/>
        </w:rPr>
      </w:pPr>
      <w:r>
        <w:rPr>
          <w:rFonts w:hint="eastAsia" w:ascii="宋体" w:hAnsi="宋体"/>
          <w:sz w:val="24"/>
        </w:rPr>
        <w:t>3、抽采瓦斯混合量：7.8/20％=39m</w:t>
      </w:r>
      <w:r>
        <w:rPr>
          <w:rFonts w:hint="eastAsia" w:ascii="宋体" w:hAnsi="宋体"/>
          <w:sz w:val="24"/>
          <w:vertAlign w:val="superscript"/>
        </w:rPr>
        <w:t>3</w:t>
      </w:r>
      <w:r>
        <w:rPr>
          <w:rFonts w:hint="eastAsia" w:ascii="宋体" w:hAnsi="宋体"/>
          <w:sz w:val="24"/>
        </w:rPr>
        <w:t>/min；</w:t>
      </w:r>
    </w:p>
    <w:p w14:paraId="3CF79652">
      <w:pPr>
        <w:spacing w:line="360" w:lineRule="auto"/>
        <w:ind w:firstLine="480" w:firstLineChars="200"/>
        <w:rPr>
          <w:rFonts w:hint="eastAsia" w:ascii="宋体" w:hAnsi="宋体"/>
          <w:sz w:val="24"/>
        </w:rPr>
      </w:pPr>
      <w:r>
        <w:rPr>
          <w:rFonts w:hint="eastAsia" w:ascii="宋体" w:hAnsi="宋体"/>
          <w:sz w:val="24"/>
        </w:rPr>
        <w:t>4、孔口负压：5kPa；</w:t>
      </w:r>
    </w:p>
    <w:p w14:paraId="2351D71D">
      <w:pPr>
        <w:spacing w:line="360" w:lineRule="auto"/>
        <w:ind w:firstLine="480" w:firstLineChars="200"/>
        <w:rPr>
          <w:rFonts w:hint="eastAsia" w:ascii="宋体" w:hAnsi="宋体"/>
          <w:sz w:val="24"/>
        </w:rPr>
      </w:pPr>
      <w:r>
        <w:rPr>
          <w:rFonts w:hint="eastAsia" w:ascii="宋体" w:hAnsi="宋体"/>
          <w:sz w:val="24"/>
        </w:rPr>
        <w:t>5、泵出口正压：4kPa；</w:t>
      </w:r>
    </w:p>
    <w:p w14:paraId="32E27671">
      <w:pPr>
        <w:spacing w:line="360" w:lineRule="auto"/>
        <w:ind w:firstLine="480" w:firstLineChars="200"/>
        <w:rPr>
          <w:rFonts w:hint="eastAsia" w:ascii="宋体" w:hAnsi="宋体"/>
          <w:sz w:val="24"/>
        </w:rPr>
      </w:pPr>
      <w:r>
        <w:rPr>
          <w:rFonts w:hint="eastAsia" w:ascii="宋体" w:hAnsi="宋体"/>
          <w:sz w:val="24"/>
        </w:rPr>
        <w:t>B、选型计算</w:t>
      </w:r>
    </w:p>
    <w:p w14:paraId="5E0877E1">
      <w:pPr>
        <w:spacing w:line="360" w:lineRule="auto"/>
        <w:ind w:firstLine="480" w:firstLineChars="200"/>
        <w:rPr>
          <w:rFonts w:hint="eastAsia" w:ascii="宋体" w:hAnsi="宋体"/>
          <w:sz w:val="24"/>
        </w:rPr>
      </w:pPr>
      <w:r>
        <w:rPr>
          <w:rFonts w:hint="eastAsia" w:ascii="宋体" w:hAnsi="宋体"/>
          <w:sz w:val="24"/>
        </w:rPr>
        <w:t>1）抽放管径计算：</w:t>
      </w:r>
    </w:p>
    <w:p w14:paraId="7A19B063">
      <w:pPr>
        <w:spacing w:line="360" w:lineRule="auto"/>
        <w:ind w:firstLine="480" w:firstLineChars="200"/>
        <w:rPr>
          <w:rFonts w:hint="eastAsia" w:ascii="宋体" w:hAnsi="宋体"/>
          <w:sz w:val="24"/>
        </w:rPr>
      </w:pPr>
      <w:r>
        <w:rPr>
          <w:rFonts w:hint="eastAsia" w:ascii="宋体" w:hAnsi="宋体"/>
          <w:sz w:val="24"/>
        </w:rPr>
        <w:t>根据瓦斯抽放管路服务的范围和所负担抽放混合量的大小，其管径按下式计算：</w:t>
      </w:r>
    </w:p>
    <w:p w14:paraId="0DF82387">
      <w:pPr>
        <w:spacing w:line="360" w:lineRule="auto"/>
        <w:ind w:firstLine="480" w:firstLineChars="200"/>
        <w:rPr>
          <w:rFonts w:hint="eastAsia" w:ascii="宋体" w:hAnsi="宋体"/>
          <w:sz w:val="24"/>
          <w:vertAlign w:val="superscript"/>
        </w:rPr>
      </w:pPr>
      <w:r>
        <w:rPr>
          <w:rFonts w:hint="eastAsia" w:ascii="宋体" w:hAnsi="宋体"/>
          <w:sz w:val="24"/>
        </w:rPr>
        <w:t>D=0.1457（Q</w:t>
      </w:r>
      <w:r>
        <w:rPr>
          <w:rFonts w:hint="eastAsia" w:ascii="宋体" w:hAnsi="宋体"/>
          <w:sz w:val="24"/>
          <w:vertAlign w:val="subscript"/>
        </w:rPr>
        <w:t>混</w:t>
      </w:r>
      <w:r>
        <w:rPr>
          <w:rFonts w:hint="eastAsia" w:ascii="宋体" w:hAnsi="宋体"/>
          <w:sz w:val="24"/>
        </w:rPr>
        <w:t>/V）</w:t>
      </w:r>
      <w:r>
        <w:rPr>
          <w:rFonts w:hint="eastAsia" w:ascii="宋体" w:hAnsi="宋体"/>
          <w:sz w:val="24"/>
          <w:vertAlign w:val="superscript"/>
        </w:rPr>
        <w:t>1/2</w:t>
      </w:r>
    </w:p>
    <w:p w14:paraId="3B003967">
      <w:pPr>
        <w:spacing w:line="360" w:lineRule="auto"/>
        <w:ind w:firstLine="480" w:firstLineChars="200"/>
        <w:rPr>
          <w:rFonts w:hint="eastAsia" w:ascii="宋体" w:hAnsi="宋体"/>
          <w:sz w:val="24"/>
        </w:rPr>
      </w:pPr>
      <w:r>
        <w:rPr>
          <w:rFonts w:hint="eastAsia" w:ascii="宋体" w:hAnsi="宋体"/>
          <w:sz w:val="24"/>
        </w:rPr>
        <w:t>式中：D——瓦斯抽放管内径，m</w:t>
      </w:r>
    </w:p>
    <w:p w14:paraId="06E0E35F">
      <w:pPr>
        <w:spacing w:line="360" w:lineRule="auto"/>
        <w:ind w:firstLine="1200" w:firstLineChars="500"/>
        <w:rPr>
          <w:rFonts w:hint="eastAsia" w:ascii="宋体" w:hAnsi="宋体"/>
          <w:sz w:val="24"/>
        </w:rPr>
      </w:pPr>
      <w:r>
        <w:rPr>
          <w:rFonts w:hint="eastAsia" w:ascii="宋体" w:hAnsi="宋体"/>
          <w:sz w:val="24"/>
        </w:rPr>
        <w:t>V——管道中混合气体的经济流速，m/s，一般取V=10～15m/s（AQ 1027-2006）</w:t>
      </w:r>
    </w:p>
    <w:p w14:paraId="1F9CF5A7">
      <w:pPr>
        <w:spacing w:line="360" w:lineRule="auto"/>
        <w:ind w:firstLine="1200" w:firstLineChars="500"/>
        <w:rPr>
          <w:rFonts w:hint="eastAsia" w:ascii="宋体" w:hAnsi="宋体"/>
          <w:sz w:val="24"/>
        </w:rPr>
      </w:pPr>
      <w:r>
        <w:rPr>
          <w:rFonts w:hint="eastAsia" w:ascii="宋体" w:hAnsi="宋体"/>
          <w:sz w:val="24"/>
        </w:rPr>
        <w:t>Q</w:t>
      </w:r>
      <w:r>
        <w:rPr>
          <w:rFonts w:hint="eastAsia" w:ascii="宋体" w:hAnsi="宋体"/>
          <w:sz w:val="24"/>
          <w:vertAlign w:val="subscript"/>
        </w:rPr>
        <w:t>混</w:t>
      </w:r>
      <w:r>
        <w:rPr>
          <w:rFonts w:hint="eastAsia" w:ascii="宋体" w:hAnsi="宋体"/>
          <w:sz w:val="24"/>
        </w:rPr>
        <w:t>——管内混合气体流量，m</w:t>
      </w:r>
      <w:r>
        <w:rPr>
          <w:rFonts w:hint="eastAsia" w:ascii="宋体" w:hAnsi="宋体"/>
          <w:sz w:val="24"/>
          <w:vertAlign w:val="superscript"/>
        </w:rPr>
        <w:t>3</w:t>
      </w:r>
      <w:r>
        <w:rPr>
          <w:rFonts w:hint="eastAsia" w:ascii="宋体" w:hAnsi="宋体"/>
          <w:sz w:val="24"/>
        </w:rPr>
        <w:t>/min</w:t>
      </w:r>
    </w:p>
    <w:p w14:paraId="10AA07E8">
      <w:pPr>
        <w:spacing w:line="360" w:lineRule="auto"/>
        <w:ind w:firstLine="480" w:firstLineChars="200"/>
        <w:rPr>
          <w:rFonts w:hint="eastAsia" w:ascii="宋体" w:hAnsi="宋体"/>
          <w:sz w:val="24"/>
        </w:rPr>
      </w:pPr>
      <w:r>
        <w:rPr>
          <w:rFonts w:hint="eastAsia" w:ascii="宋体" w:hAnsi="宋体"/>
          <w:sz w:val="24"/>
        </w:rPr>
        <w:t>①主管管径计算</w:t>
      </w:r>
    </w:p>
    <w:p w14:paraId="78453D32">
      <w:pPr>
        <w:spacing w:line="360" w:lineRule="auto"/>
        <w:ind w:firstLine="480" w:firstLineChars="200"/>
        <w:rPr>
          <w:rFonts w:hint="eastAsia" w:ascii="宋体" w:hAnsi="宋体"/>
          <w:sz w:val="24"/>
        </w:rPr>
      </w:pPr>
      <w:r>
        <w:rPr>
          <w:rFonts w:hint="eastAsia" w:ascii="宋体" w:hAnsi="宋体"/>
          <w:sz w:val="24"/>
        </w:rPr>
        <w:t>根据巷道的布置，主管从抽放泵站至回风石门，按总流量计算。</w:t>
      </w:r>
    </w:p>
    <w:p w14:paraId="14EC894E">
      <w:pPr>
        <w:spacing w:line="360" w:lineRule="auto"/>
        <w:ind w:firstLine="480" w:firstLineChars="200"/>
        <w:rPr>
          <w:rFonts w:hint="eastAsia" w:ascii="宋体" w:hAnsi="宋体"/>
          <w:sz w:val="24"/>
        </w:rPr>
      </w:pPr>
      <w:r>
        <w:rPr>
          <w:rFonts w:hint="eastAsia" w:ascii="宋体" w:hAnsi="宋体"/>
          <w:sz w:val="24"/>
        </w:rPr>
        <w:t>D</w:t>
      </w:r>
      <w:r>
        <w:rPr>
          <w:rFonts w:hint="eastAsia" w:ascii="宋体" w:hAnsi="宋体"/>
          <w:sz w:val="24"/>
          <w:vertAlign w:val="subscript"/>
        </w:rPr>
        <w:t>主</w:t>
      </w:r>
      <w:r>
        <w:rPr>
          <w:rFonts w:hint="eastAsia" w:ascii="宋体" w:hAnsi="宋体"/>
          <w:sz w:val="24"/>
        </w:rPr>
        <w:t>=0.1475（Q</w:t>
      </w:r>
      <w:r>
        <w:rPr>
          <w:rFonts w:hint="eastAsia" w:ascii="宋体" w:hAnsi="宋体"/>
          <w:sz w:val="24"/>
          <w:vertAlign w:val="subscript"/>
        </w:rPr>
        <w:t>混</w:t>
      </w:r>
      <w:r>
        <w:rPr>
          <w:rFonts w:hint="eastAsia" w:ascii="宋体" w:hAnsi="宋体"/>
          <w:sz w:val="24"/>
        </w:rPr>
        <w:t>/V）</w:t>
      </w:r>
      <w:r>
        <w:rPr>
          <w:rFonts w:hint="eastAsia" w:ascii="宋体" w:hAnsi="宋体"/>
          <w:sz w:val="24"/>
          <w:vertAlign w:val="superscript"/>
        </w:rPr>
        <w:t>1/2</w:t>
      </w:r>
      <w:r>
        <w:rPr>
          <w:rFonts w:hint="eastAsia" w:ascii="宋体" w:hAnsi="宋体"/>
          <w:sz w:val="24"/>
        </w:rPr>
        <w:t>=0.1475×（39/10）</w:t>
      </w:r>
      <w:r>
        <w:rPr>
          <w:rFonts w:hint="eastAsia" w:ascii="宋体" w:hAnsi="宋体"/>
          <w:sz w:val="24"/>
          <w:vertAlign w:val="superscript"/>
        </w:rPr>
        <w:t>1/2</w:t>
      </w:r>
      <w:r>
        <w:rPr>
          <w:rFonts w:hint="eastAsia" w:ascii="宋体" w:hAnsi="宋体"/>
          <w:sz w:val="24"/>
        </w:rPr>
        <w:t>=0.288m</w:t>
      </w:r>
    </w:p>
    <w:p w14:paraId="402CE70D">
      <w:pPr>
        <w:spacing w:line="360" w:lineRule="auto"/>
        <w:ind w:firstLine="480" w:firstLineChars="200"/>
        <w:rPr>
          <w:rFonts w:hint="eastAsia" w:ascii="宋体" w:hAnsi="宋体"/>
          <w:sz w:val="24"/>
        </w:rPr>
      </w:pPr>
      <w:r>
        <w:rPr>
          <w:rFonts w:hint="eastAsia" w:ascii="宋体" w:hAnsi="宋体"/>
          <w:sz w:val="24"/>
        </w:rPr>
        <w:t>式中：D</w:t>
      </w:r>
      <w:r>
        <w:rPr>
          <w:rFonts w:hint="eastAsia" w:ascii="宋体" w:hAnsi="宋体"/>
          <w:sz w:val="24"/>
          <w:vertAlign w:val="subscript"/>
        </w:rPr>
        <w:t>主</w:t>
      </w:r>
      <w:r>
        <w:rPr>
          <w:rFonts w:hint="eastAsia" w:ascii="宋体" w:hAnsi="宋体"/>
          <w:sz w:val="24"/>
        </w:rPr>
        <w:t>——瓦斯管内径m</w:t>
      </w:r>
    </w:p>
    <w:p w14:paraId="54B02722">
      <w:pPr>
        <w:pStyle w:val="29"/>
        <w:spacing w:line="360" w:lineRule="auto"/>
        <w:ind w:firstLine="480" w:firstLineChars="200"/>
        <w:rPr>
          <w:rFonts w:hint="eastAsia" w:hAnsi="宋体"/>
          <w:sz w:val="24"/>
          <w:szCs w:val="24"/>
        </w:rPr>
      </w:pPr>
      <w:r>
        <w:rPr>
          <w:rFonts w:hint="eastAsia" w:hAnsi="宋体"/>
          <w:sz w:val="24"/>
          <w:szCs w:val="24"/>
        </w:rPr>
        <w:t xml:space="preserve">      Q</w:t>
      </w:r>
      <w:r>
        <w:rPr>
          <w:rFonts w:hint="eastAsia" w:hAnsi="宋体"/>
          <w:sz w:val="24"/>
          <w:szCs w:val="24"/>
          <w:vertAlign w:val="subscript"/>
        </w:rPr>
        <w:t>混</w:t>
      </w:r>
      <w:r>
        <w:rPr>
          <w:rFonts w:hint="eastAsia" w:hAnsi="宋体"/>
          <w:sz w:val="24"/>
          <w:szCs w:val="24"/>
        </w:rPr>
        <w:t>——瓦斯管内的混合气体流量39.0m</w:t>
      </w:r>
      <w:r>
        <w:rPr>
          <w:rFonts w:hint="eastAsia" w:hAnsi="宋体"/>
          <w:sz w:val="24"/>
          <w:szCs w:val="24"/>
          <w:vertAlign w:val="superscript"/>
        </w:rPr>
        <w:t>3</w:t>
      </w:r>
      <w:r>
        <w:rPr>
          <w:rFonts w:hint="eastAsia" w:hAnsi="宋体"/>
          <w:sz w:val="24"/>
          <w:szCs w:val="24"/>
        </w:rPr>
        <w:t>/min。</w:t>
      </w:r>
    </w:p>
    <w:p w14:paraId="2FF09BEA">
      <w:pPr>
        <w:spacing w:line="360" w:lineRule="auto"/>
        <w:ind w:firstLine="480" w:firstLineChars="200"/>
        <w:rPr>
          <w:rFonts w:hint="eastAsia" w:ascii="宋体" w:hAnsi="宋体"/>
          <w:sz w:val="24"/>
        </w:rPr>
      </w:pPr>
      <w:r>
        <w:rPr>
          <w:rFonts w:hint="eastAsia" w:ascii="宋体" w:hAnsi="宋体"/>
          <w:sz w:val="24"/>
        </w:rPr>
        <w:t xml:space="preserve">      V——管道中混合气体的经济流速，取10m/s。</w:t>
      </w:r>
    </w:p>
    <w:p w14:paraId="73B3A905">
      <w:pPr>
        <w:pStyle w:val="29"/>
        <w:spacing w:line="360" w:lineRule="auto"/>
        <w:ind w:firstLine="480" w:firstLineChars="200"/>
        <w:rPr>
          <w:rFonts w:hint="eastAsia" w:hAnsi="宋体"/>
          <w:sz w:val="24"/>
          <w:szCs w:val="24"/>
        </w:rPr>
      </w:pPr>
      <w:r>
        <w:rPr>
          <w:rFonts w:hint="eastAsia" w:hAnsi="宋体"/>
          <w:sz w:val="24"/>
          <w:szCs w:val="24"/>
        </w:rPr>
        <w:t>②支管路管径计算</w:t>
      </w:r>
    </w:p>
    <w:p w14:paraId="54335A1C">
      <w:pPr>
        <w:pStyle w:val="29"/>
        <w:spacing w:line="360" w:lineRule="auto"/>
        <w:ind w:firstLine="480" w:firstLineChars="200"/>
        <w:rPr>
          <w:rFonts w:hint="eastAsia" w:hAnsi="宋体"/>
          <w:sz w:val="24"/>
          <w:szCs w:val="24"/>
        </w:rPr>
      </w:pPr>
      <w:r>
        <w:rPr>
          <w:rFonts w:hint="eastAsia" w:hAnsi="宋体"/>
          <w:sz w:val="24"/>
          <w:szCs w:val="24"/>
        </w:rPr>
        <w:t>D</w:t>
      </w:r>
      <w:r>
        <w:rPr>
          <w:rFonts w:hint="eastAsia" w:hAnsi="宋体"/>
          <w:sz w:val="24"/>
          <w:szCs w:val="24"/>
          <w:vertAlign w:val="subscript"/>
        </w:rPr>
        <w:t>支</w:t>
      </w:r>
      <w:r>
        <w:rPr>
          <w:rFonts w:hint="eastAsia" w:hAnsi="宋体"/>
          <w:sz w:val="24"/>
          <w:szCs w:val="24"/>
        </w:rPr>
        <w:t>=0.1475（Q</w:t>
      </w:r>
      <w:r>
        <w:rPr>
          <w:rFonts w:hint="eastAsia" w:hAnsi="宋体"/>
          <w:sz w:val="24"/>
          <w:szCs w:val="24"/>
          <w:vertAlign w:val="subscript"/>
        </w:rPr>
        <w:t>混</w:t>
      </w:r>
      <w:r>
        <w:rPr>
          <w:rFonts w:hint="eastAsia" w:hAnsi="宋体"/>
          <w:sz w:val="24"/>
          <w:szCs w:val="24"/>
        </w:rPr>
        <w:t>/V）</w:t>
      </w:r>
      <w:r>
        <w:rPr>
          <w:rFonts w:hint="eastAsia" w:hAnsi="宋体"/>
          <w:sz w:val="24"/>
          <w:szCs w:val="24"/>
          <w:vertAlign w:val="superscript"/>
        </w:rPr>
        <w:t>1/2</w:t>
      </w:r>
      <w:r>
        <w:rPr>
          <w:rFonts w:hint="eastAsia" w:hAnsi="宋体"/>
          <w:sz w:val="24"/>
          <w:szCs w:val="24"/>
        </w:rPr>
        <w:t>=0.1475×(25/10)</w:t>
      </w:r>
      <w:r>
        <w:rPr>
          <w:rFonts w:hint="eastAsia" w:hAnsi="宋体"/>
          <w:sz w:val="24"/>
          <w:szCs w:val="24"/>
          <w:vertAlign w:val="superscript"/>
        </w:rPr>
        <w:t>1/2</w:t>
      </w:r>
      <w:r>
        <w:rPr>
          <w:rFonts w:hint="eastAsia" w:hAnsi="宋体"/>
          <w:sz w:val="24"/>
          <w:szCs w:val="24"/>
        </w:rPr>
        <w:t>=0.230m</w:t>
      </w:r>
    </w:p>
    <w:p w14:paraId="41634447">
      <w:pPr>
        <w:pStyle w:val="29"/>
        <w:spacing w:line="360" w:lineRule="auto"/>
        <w:ind w:firstLine="480" w:firstLineChars="200"/>
        <w:rPr>
          <w:rFonts w:hint="eastAsia" w:hAnsi="宋体"/>
          <w:sz w:val="24"/>
          <w:szCs w:val="24"/>
        </w:rPr>
      </w:pPr>
      <w:r>
        <w:rPr>
          <w:rFonts w:hint="eastAsia" w:hAnsi="宋体"/>
          <w:sz w:val="24"/>
          <w:szCs w:val="24"/>
        </w:rPr>
        <w:t>式中：D</w:t>
      </w:r>
      <w:r>
        <w:rPr>
          <w:rFonts w:hint="eastAsia" w:hAnsi="宋体"/>
          <w:sz w:val="24"/>
          <w:szCs w:val="24"/>
          <w:vertAlign w:val="subscript"/>
        </w:rPr>
        <w:t>支</w:t>
      </w:r>
      <w:r>
        <w:rPr>
          <w:rFonts w:hint="eastAsia" w:hAnsi="宋体"/>
          <w:sz w:val="24"/>
          <w:szCs w:val="24"/>
        </w:rPr>
        <w:t>——瓦斯管内径m</w:t>
      </w:r>
    </w:p>
    <w:p w14:paraId="2A72F0BE">
      <w:pPr>
        <w:pStyle w:val="29"/>
        <w:spacing w:line="360" w:lineRule="auto"/>
        <w:ind w:firstLine="480" w:firstLineChars="200"/>
        <w:rPr>
          <w:rFonts w:hint="eastAsia" w:hAnsi="宋体"/>
          <w:sz w:val="24"/>
          <w:szCs w:val="24"/>
        </w:rPr>
      </w:pPr>
      <w:r>
        <w:rPr>
          <w:rFonts w:hint="eastAsia" w:hAnsi="宋体"/>
          <w:sz w:val="24"/>
          <w:szCs w:val="24"/>
        </w:rPr>
        <w:t xml:space="preserve">      Q</w:t>
      </w:r>
      <w:r>
        <w:rPr>
          <w:rFonts w:hint="eastAsia" w:hAnsi="宋体"/>
          <w:sz w:val="24"/>
          <w:szCs w:val="24"/>
          <w:vertAlign w:val="subscript"/>
        </w:rPr>
        <w:t>混</w:t>
      </w:r>
      <w:r>
        <w:rPr>
          <w:rFonts w:hint="eastAsia" w:hAnsi="宋体"/>
          <w:sz w:val="24"/>
          <w:szCs w:val="24"/>
        </w:rPr>
        <w:t>——瓦斯管内的混合气体流量25.0m</w:t>
      </w:r>
      <w:r>
        <w:rPr>
          <w:rFonts w:hint="eastAsia" w:hAnsi="宋体"/>
          <w:sz w:val="24"/>
          <w:szCs w:val="24"/>
          <w:vertAlign w:val="superscript"/>
        </w:rPr>
        <w:t>3</w:t>
      </w:r>
      <w:r>
        <w:rPr>
          <w:rFonts w:hint="eastAsia" w:hAnsi="宋体"/>
          <w:sz w:val="24"/>
          <w:szCs w:val="24"/>
        </w:rPr>
        <w:t>/min。</w:t>
      </w:r>
    </w:p>
    <w:p w14:paraId="5C796A67">
      <w:pPr>
        <w:pStyle w:val="29"/>
        <w:spacing w:line="360" w:lineRule="auto"/>
        <w:ind w:firstLine="480" w:firstLineChars="200"/>
        <w:rPr>
          <w:rFonts w:hint="eastAsia" w:hAnsi="宋体"/>
          <w:sz w:val="24"/>
          <w:szCs w:val="24"/>
        </w:rPr>
      </w:pPr>
      <w:r>
        <w:rPr>
          <w:rFonts w:hint="eastAsia" w:hAnsi="宋体"/>
          <w:sz w:val="24"/>
          <w:szCs w:val="24"/>
        </w:rPr>
        <w:t xml:space="preserve">      V——管道中混合气体的经济流速，取10m/s。</w:t>
      </w:r>
    </w:p>
    <w:p w14:paraId="05812C35">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注:回风斜井排到地面的瓦斯抽放管为干管1；回采工作面回风顺槽为支管1。</w:t>
      </w:r>
    </w:p>
    <w:p w14:paraId="42C3E2A2">
      <w:pPr>
        <w:pStyle w:val="29"/>
        <w:spacing w:line="360" w:lineRule="auto"/>
        <w:ind w:firstLine="480" w:firstLineChars="200"/>
        <w:rPr>
          <w:rFonts w:hint="eastAsia" w:hAnsi="宋体"/>
          <w:sz w:val="24"/>
          <w:szCs w:val="24"/>
        </w:rPr>
      </w:pPr>
      <w:r>
        <w:rPr>
          <w:rFonts w:hint="eastAsia" w:hAnsi="宋体"/>
          <w:sz w:val="24"/>
          <w:szCs w:val="24"/>
        </w:rPr>
        <w:t>2)抽放管材的选择和管径的确定</w:t>
      </w:r>
    </w:p>
    <w:p w14:paraId="2D67CCBD">
      <w:pPr>
        <w:pStyle w:val="29"/>
        <w:spacing w:line="360" w:lineRule="auto"/>
        <w:ind w:firstLine="480" w:firstLineChars="200"/>
        <w:rPr>
          <w:rFonts w:hint="eastAsia" w:hAnsi="宋体"/>
          <w:color w:val="0000FF"/>
          <w:sz w:val="24"/>
          <w:szCs w:val="24"/>
        </w:rPr>
      </w:pPr>
      <w:r>
        <w:rPr>
          <w:rFonts w:hint="eastAsia" w:hAnsi="宋体"/>
          <w:color w:val="0000FF"/>
          <w:sz w:val="24"/>
          <w:szCs w:val="24"/>
        </w:rPr>
        <w:t>抽放管材均选择无缝钢管。经计算得主管直径D=0.288m，支管直径D=0.230m。故主管可选择DN325无缝钢管，支管可选择DN250无缝钢管。</w:t>
      </w:r>
    </w:p>
    <w:p w14:paraId="2014CC07">
      <w:pPr>
        <w:pStyle w:val="29"/>
        <w:spacing w:line="360" w:lineRule="auto"/>
        <w:ind w:firstLine="480" w:firstLineChars="200"/>
        <w:rPr>
          <w:rFonts w:hint="eastAsia" w:hAnsi="宋体"/>
          <w:sz w:val="24"/>
          <w:szCs w:val="24"/>
        </w:rPr>
      </w:pPr>
      <w:r>
        <w:rPr>
          <w:rFonts w:hint="eastAsia" w:hAnsi="宋体"/>
          <w:sz w:val="24"/>
          <w:szCs w:val="24"/>
        </w:rPr>
        <w:t>3）管道阻力损失计算：</w:t>
      </w:r>
    </w:p>
    <w:p w14:paraId="04B6F33F">
      <w:pPr>
        <w:pStyle w:val="29"/>
        <w:spacing w:line="360" w:lineRule="auto"/>
        <w:ind w:firstLine="480" w:firstLineChars="200"/>
        <w:rPr>
          <w:rFonts w:hint="eastAsia" w:hAnsi="宋体"/>
          <w:sz w:val="24"/>
          <w:szCs w:val="24"/>
        </w:rPr>
      </w:pPr>
      <w:r>
        <w:rPr>
          <w:rFonts w:hint="eastAsia" w:hAnsi="宋体"/>
          <w:sz w:val="24"/>
          <w:szCs w:val="24"/>
        </w:rPr>
        <w:t>①管道阻力损失按下式计算：</w:t>
      </w:r>
    </w:p>
    <w:p w14:paraId="1D3CC8C6">
      <w:pPr>
        <w:pStyle w:val="29"/>
        <w:spacing w:line="360" w:lineRule="auto"/>
        <w:ind w:firstLine="480" w:firstLineChars="200"/>
        <w:rPr>
          <w:rFonts w:hint="eastAsia" w:hAnsi="宋体"/>
          <w:sz w:val="24"/>
          <w:szCs w:val="24"/>
        </w:rPr>
      </w:pPr>
      <w:r>
        <w:rPr>
          <w:rFonts w:hint="eastAsia" w:hAnsi="宋体"/>
          <w:sz w:val="24"/>
          <w:szCs w:val="24"/>
        </w:rPr>
        <w:t>H=9.81（LQ</w:t>
      </w:r>
      <w:r>
        <w:rPr>
          <w:rFonts w:hint="eastAsia" w:hAnsi="宋体"/>
          <w:sz w:val="24"/>
          <w:szCs w:val="24"/>
          <w:vertAlign w:val="superscript"/>
        </w:rPr>
        <w:t>2</w:t>
      </w:r>
      <w:r>
        <w:rPr>
          <w:rFonts w:hint="eastAsia" w:hAnsi="宋体"/>
          <w:sz w:val="24"/>
          <w:szCs w:val="24"/>
        </w:rPr>
        <w:t>△/K</w:t>
      </w:r>
      <w:r>
        <w:rPr>
          <w:rFonts w:hint="eastAsia" w:hAnsi="宋体"/>
          <w:sz w:val="24"/>
          <w:szCs w:val="24"/>
          <w:vertAlign w:val="subscript"/>
        </w:rPr>
        <w:t>0</w:t>
      </w:r>
      <w:r>
        <w:rPr>
          <w:rFonts w:hint="eastAsia" w:hAnsi="宋体"/>
          <w:sz w:val="24"/>
          <w:szCs w:val="24"/>
        </w:rPr>
        <w:t>D</w:t>
      </w:r>
      <w:r>
        <w:rPr>
          <w:rFonts w:hint="eastAsia" w:hAnsi="宋体"/>
          <w:sz w:val="24"/>
          <w:szCs w:val="24"/>
          <w:vertAlign w:val="superscript"/>
        </w:rPr>
        <w:t>5</w:t>
      </w:r>
      <w:r>
        <w:rPr>
          <w:rFonts w:hint="eastAsia" w:hAnsi="宋体"/>
          <w:sz w:val="24"/>
          <w:szCs w:val="24"/>
        </w:rPr>
        <w:t>）</w:t>
      </w:r>
    </w:p>
    <w:p w14:paraId="2C63D816">
      <w:pPr>
        <w:pStyle w:val="29"/>
        <w:spacing w:line="360" w:lineRule="auto"/>
        <w:ind w:firstLine="480" w:firstLineChars="200"/>
        <w:rPr>
          <w:rFonts w:hint="eastAsia" w:hAnsi="宋体"/>
          <w:sz w:val="24"/>
          <w:szCs w:val="24"/>
        </w:rPr>
      </w:pPr>
      <w:r>
        <w:rPr>
          <w:rFonts w:hint="eastAsia" w:hAnsi="宋体"/>
          <w:sz w:val="24"/>
          <w:szCs w:val="24"/>
        </w:rPr>
        <w:t>式中：H——阻力损失Pa</w:t>
      </w:r>
    </w:p>
    <w:p w14:paraId="1013765F">
      <w:pPr>
        <w:pStyle w:val="29"/>
        <w:spacing w:line="360" w:lineRule="auto"/>
        <w:ind w:firstLine="480" w:firstLineChars="200"/>
        <w:rPr>
          <w:rFonts w:hint="eastAsia" w:hAnsi="宋体"/>
          <w:sz w:val="24"/>
          <w:szCs w:val="24"/>
        </w:rPr>
      </w:pPr>
      <w:r>
        <w:rPr>
          <w:rFonts w:hint="eastAsia" w:hAnsi="宋体"/>
          <w:sz w:val="24"/>
          <w:szCs w:val="24"/>
        </w:rPr>
        <w:t xml:space="preserve">      L——管道长度m</w:t>
      </w:r>
    </w:p>
    <w:p w14:paraId="14890D44">
      <w:pPr>
        <w:pStyle w:val="29"/>
        <w:spacing w:line="360" w:lineRule="auto"/>
        <w:ind w:firstLine="480" w:firstLineChars="200"/>
        <w:rPr>
          <w:rFonts w:hint="eastAsia" w:hAnsi="宋体"/>
          <w:sz w:val="24"/>
          <w:szCs w:val="24"/>
        </w:rPr>
      </w:pPr>
      <w:r>
        <w:rPr>
          <w:rFonts w:hint="eastAsia" w:hAnsi="宋体"/>
          <w:sz w:val="24"/>
          <w:szCs w:val="24"/>
        </w:rPr>
        <w:t xml:space="preserve">      Q——混合气体流量m</w:t>
      </w:r>
      <w:r>
        <w:rPr>
          <w:rFonts w:hint="eastAsia" w:hAnsi="宋体"/>
          <w:sz w:val="24"/>
          <w:szCs w:val="24"/>
          <w:vertAlign w:val="superscript"/>
        </w:rPr>
        <w:t>3</w:t>
      </w:r>
      <w:r>
        <w:rPr>
          <w:rFonts w:hint="eastAsia" w:hAnsi="宋体"/>
          <w:sz w:val="24"/>
          <w:szCs w:val="24"/>
        </w:rPr>
        <w:t>/h</w:t>
      </w:r>
    </w:p>
    <w:p w14:paraId="337E49CA">
      <w:pPr>
        <w:pStyle w:val="29"/>
        <w:spacing w:line="360" w:lineRule="auto"/>
        <w:ind w:firstLine="480" w:firstLineChars="200"/>
        <w:rPr>
          <w:rFonts w:hint="eastAsia" w:hAnsi="宋体"/>
          <w:sz w:val="24"/>
          <w:szCs w:val="24"/>
        </w:rPr>
      </w:pPr>
      <w:r>
        <w:rPr>
          <w:rFonts w:hint="eastAsia" w:hAnsi="宋体"/>
          <w:sz w:val="24"/>
          <w:szCs w:val="24"/>
        </w:rPr>
        <w:t xml:space="preserve">      D——管道有效直径cm</w:t>
      </w:r>
    </w:p>
    <w:p w14:paraId="70AFEC34">
      <w:pPr>
        <w:pStyle w:val="29"/>
        <w:spacing w:line="360" w:lineRule="auto"/>
        <w:ind w:firstLine="480" w:firstLineChars="200"/>
        <w:rPr>
          <w:rFonts w:hint="eastAsia" w:hAnsi="宋体"/>
          <w:sz w:val="24"/>
          <w:szCs w:val="24"/>
        </w:rPr>
      </w:pPr>
      <w:r>
        <w:rPr>
          <w:rFonts w:hint="eastAsia" w:hAnsi="宋体"/>
          <w:sz w:val="24"/>
          <w:szCs w:val="24"/>
        </w:rPr>
        <w:t xml:space="preserve">      K</w:t>
      </w:r>
      <w:r>
        <w:rPr>
          <w:rFonts w:hint="eastAsia" w:hAnsi="宋体"/>
          <w:sz w:val="24"/>
          <w:szCs w:val="24"/>
          <w:vertAlign w:val="subscript"/>
        </w:rPr>
        <w:t>0</w:t>
      </w:r>
      <w:r>
        <w:rPr>
          <w:rFonts w:hint="eastAsia" w:hAnsi="宋体"/>
          <w:sz w:val="24"/>
          <w:szCs w:val="24"/>
        </w:rPr>
        <w:t>——阻力系数（查表）</w:t>
      </w:r>
    </w:p>
    <w:p w14:paraId="6BF7688F">
      <w:pPr>
        <w:pStyle w:val="29"/>
        <w:spacing w:line="360" w:lineRule="auto"/>
        <w:ind w:firstLine="480" w:firstLineChars="200"/>
        <w:rPr>
          <w:rFonts w:hint="eastAsia" w:hAnsi="宋体"/>
          <w:sz w:val="24"/>
          <w:szCs w:val="24"/>
        </w:rPr>
      </w:pPr>
      <w:r>
        <w:rPr>
          <w:rFonts w:hint="eastAsia" w:hAnsi="宋体"/>
          <w:sz w:val="24"/>
          <w:szCs w:val="24"/>
        </w:rPr>
        <w:t xml:space="preserve">      △——混合瓦斯对空气的相对密度。</w:t>
      </w:r>
    </w:p>
    <w:p w14:paraId="639A3EA2">
      <w:pPr>
        <w:pStyle w:val="29"/>
        <w:spacing w:line="360" w:lineRule="auto"/>
        <w:ind w:firstLine="480" w:firstLineChars="200"/>
        <w:rPr>
          <w:rFonts w:hint="eastAsia" w:hAnsi="宋体"/>
          <w:sz w:val="24"/>
          <w:szCs w:val="24"/>
        </w:rPr>
      </w:pPr>
      <w:r>
        <w:rPr>
          <w:rFonts w:hint="eastAsia" w:hAnsi="宋体"/>
          <w:sz w:val="24"/>
          <w:szCs w:val="24"/>
        </w:rPr>
        <w:t>△=</w:t>
      </w:r>
      <w:r>
        <w:rPr>
          <w:rFonts w:hAnsi="宋体"/>
          <w:position w:val="-30"/>
          <w:sz w:val="24"/>
          <w:szCs w:val="24"/>
        </w:rPr>
        <w:object>
          <v:shape id="_x0000_i1166" o:spt="75" type="#_x0000_t75" style="height:34pt;width:62pt;" o:ole="t" filled="f" o:preferrelative="t" stroked="f" coordsize="21600,21600">
            <v:path/>
            <v:fill on="f" alignshape="1" focussize="0,0"/>
            <v:stroke on="f"/>
            <v:imagedata r:id="rId224" o:title=""/>
            <o:lock v:ext="edit" aspectratio="t"/>
            <w10:wrap type="none"/>
            <w10:anchorlock/>
          </v:shape>
          <o:OLEObject Type="Embed" ProgID="Equation.3" ShapeID="_x0000_i1166" DrawAspect="Content" ObjectID="_1468075824" r:id="rId228">
            <o:LockedField>false</o:LockedField>
          </o:OLEObject>
        </w:object>
      </w:r>
      <w:r>
        <w:rPr>
          <w:rFonts w:hint="eastAsia" w:hAnsi="宋体"/>
          <w:sz w:val="24"/>
          <w:szCs w:val="24"/>
        </w:rPr>
        <w:t>=</w:t>
      </w:r>
      <w:r>
        <w:rPr>
          <w:rFonts w:hAnsi="宋体"/>
          <w:position w:val="-24"/>
          <w:sz w:val="24"/>
          <w:szCs w:val="24"/>
        </w:rPr>
        <w:object>
          <v:shape id="_x0000_i1167" o:spt="75" type="#_x0000_t75" style="height:31pt;width:125pt;" o:ole="t" filled="f" o:preferrelative="t" stroked="f" coordsize="21600,21600">
            <v:path/>
            <v:fill on="f" alignshape="1" focussize="0,0"/>
            <v:stroke on="f"/>
            <v:imagedata r:id="rId230" o:title=""/>
            <o:lock v:ext="edit" aspectratio="t"/>
            <w10:wrap type="none"/>
            <w10:anchorlock/>
          </v:shape>
          <o:OLEObject Type="Embed" ProgID="Equation.3" ShapeID="_x0000_i1167" DrawAspect="Content" ObjectID="_1468075825" r:id="rId229">
            <o:LockedField>false</o:LockedField>
          </o:OLEObject>
        </w:object>
      </w:r>
      <w:r>
        <w:rPr>
          <w:rFonts w:hint="eastAsia" w:hAnsi="宋体"/>
          <w:sz w:val="24"/>
          <w:szCs w:val="24"/>
        </w:rPr>
        <w:t xml:space="preserve">=0.911 </w:t>
      </w:r>
    </w:p>
    <w:p w14:paraId="2405320E">
      <w:pPr>
        <w:pStyle w:val="29"/>
        <w:spacing w:line="360" w:lineRule="auto"/>
        <w:ind w:firstLine="480" w:firstLineChars="200"/>
        <w:jc w:val="center"/>
        <w:rPr>
          <w:rFonts w:hint="eastAsia" w:hAnsi="宋体"/>
          <w:sz w:val="24"/>
          <w:szCs w:val="24"/>
        </w:rPr>
      </w:pPr>
      <w:r>
        <w:rPr>
          <w:rFonts w:hint="eastAsia" w:hAnsi="宋体"/>
          <w:sz w:val="24"/>
          <w:szCs w:val="24"/>
        </w:rPr>
        <w:t>表5-5-10                不同管径的系数K</w:t>
      </w:r>
      <w:r>
        <w:rPr>
          <w:rFonts w:hint="eastAsia" w:hAnsi="宋体"/>
          <w:sz w:val="24"/>
          <w:szCs w:val="24"/>
          <w:vertAlign w:val="subscript"/>
        </w:rPr>
        <w:t>0</w:t>
      </w:r>
      <w:r>
        <w:rPr>
          <w:rFonts w:hint="eastAsia" w:hAnsi="宋体"/>
          <w:sz w:val="24"/>
          <w:szCs w:val="24"/>
        </w:rPr>
        <w:t>值</w:t>
      </w:r>
    </w:p>
    <w:p w14:paraId="20FB7D93">
      <w:pPr>
        <w:pStyle w:val="29"/>
        <w:spacing w:line="360" w:lineRule="auto"/>
        <w:jc w:val="center"/>
        <w:rPr>
          <w:rFonts w:hint="eastAsia"/>
          <w:szCs w:val="24"/>
        </w:rPr>
      </w:pPr>
      <w:r>
        <w:rPr>
          <w:szCs w:val="24"/>
        </w:rPr>
        <w:drawing>
          <wp:inline distT="0" distB="0" distL="114300" distR="114300">
            <wp:extent cx="5758815" cy="1221105"/>
            <wp:effectExtent l="0" t="0" r="13335" b="17145"/>
            <wp:docPr id="54"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2"/>
                    <pic:cNvPicPr>
                      <a:picLocks noChangeAspect="1"/>
                    </pic:cNvPicPr>
                  </pic:nvPicPr>
                  <pic:blipFill>
                    <a:blip r:embed="rId227"/>
                    <a:srcRect t="1338"/>
                    <a:stretch>
                      <a:fillRect/>
                    </a:stretch>
                  </pic:blipFill>
                  <pic:spPr>
                    <a:xfrm>
                      <a:off x="0" y="0"/>
                      <a:ext cx="5758815" cy="1221105"/>
                    </a:xfrm>
                    <a:prstGeom prst="rect">
                      <a:avLst/>
                    </a:prstGeom>
                    <a:noFill/>
                    <a:ln>
                      <a:noFill/>
                    </a:ln>
                  </pic:spPr>
                </pic:pic>
              </a:graphicData>
            </a:graphic>
          </wp:inline>
        </w:drawing>
      </w:r>
    </w:p>
    <w:p w14:paraId="77AC0C9A">
      <w:pPr>
        <w:pStyle w:val="29"/>
        <w:spacing w:line="360" w:lineRule="auto"/>
        <w:ind w:firstLine="480" w:firstLineChars="200"/>
        <w:rPr>
          <w:rFonts w:hint="eastAsia" w:hAnsi="宋体"/>
          <w:sz w:val="24"/>
          <w:szCs w:val="24"/>
        </w:rPr>
      </w:pPr>
      <w:r>
        <w:rPr>
          <w:rFonts w:hint="eastAsia" w:hAnsi="宋体"/>
          <w:sz w:val="24"/>
          <w:szCs w:val="24"/>
        </w:rPr>
        <w:t>瓦斯管道阻力损失计算应选择抽放系统服务年限内阻力最大的一条抽放管路进行计算。根据本矿开拓布置，到矿井+1658m水平深部边界的瓦斯管路最长，因此按从地面泵站到井下+1658m水平深部边界的瓦斯抽放主管路长1500m，支管路长1200m计算抽放管道阻力损失。</w:t>
      </w:r>
    </w:p>
    <w:p w14:paraId="330389B7">
      <w:pPr>
        <w:autoSpaceDE w:val="0"/>
        <w:autoSpaceDN w:val="0"/>
        <w:adjustRightInd w:val="0"/>
        <w:spacing w:line="360" w:lineRule="auto"/>
        <w:jc w:val="center"/>
        <w:rPr>
          <w:rFonts w:hint="eastAsia" w:ascii="宋体" w:hAnsi="宋体"/>
          <w:sz w:val="24"/>
          <w:lang/>
        </w:rPr>
      </w:pPr>
      <w:r>
        <w:rPr>
          <w:rFonts w:hint="eastAsia" w:ascii="宋体" w:hAnsi="宋体"/>
          <w:sz w:val="24"/>
          <w:lang/>
        </w:rPr>
        <w:t>表5-5-11        瓦斯抽放系统最困难管网阻力计算结果</w:t>
      </w:r>
    </w:p>
    <w:tbl>
      <w:tblPr>
        <w:tblStyle w:val="62"/>
        <w:tblW w:w="0" w:type="auto"/>
        <w:tblInd w:w="103" w:type="dxa"/>
        <w:tblLayout w:type="fixed"/>
        <w:tblCellMar>
          <w:top w:w="0" w:type="dxa"/>
          <w:left w:w="108" w:type="dxa"/>
          <w:bottom w:w="0" w:type="dxa"/>
          <w:right w:w="108" w:type="dxa"/>
        </w:tblCellMar>
      </w:tblPr>
      <w:tblGrid>
        <w:gridCol w:w="929"/>
        <w:gridCol w:w="950"/>
        <w:gridCol w:w="1309"/>
        <w:gridCol w:w="1077"/>
        <w:gridCol w:w="1077"/>
        <w:gridCol w:w="1140"/>
        <w:gridCol w:w="1140"/>
        <w:gridCol w:w="1436"/>
      </w:tblGrid>
      <w:tr w14:paraId="7A2F0B35">
        <w:tblPrEx>
          <w:tblCellMar>
            <w:top w:w="0" w:type="dxa"/>
            <w:left w:w="108" w:type="dxa"/>
            <w:bottom w:w="0" w:type="dxa"/>
            <w:right w:w="108" w:type="dxa"/>
          </w:tblCellMar>
        </w:tblPrEx>
        <w:trPr>
          <w:wBefore w:w="0" w:type="dxa"/>
          <w:wAfter w:w="0" w:type="dxa"/>
          <w:trHeight w:val="312" w:hRule="atLeast"/>
        </w:trPr>
        <w:tc>
          <w:tcPr>
            <w:tcW w:w="929" w:type="dxa"/>
            <w:tcBorders>
              <w:top w:val="single" w:color="auto" w:sz="4" w:space="0"/>
              <w:left w:val="single" w:color="auto" w:sz="4" w:space="0"/>
              <w:bottom w:val="single" w:color="auto" w:sz="4" w:space="0"/>
              <w:right w:val="single" w:color="auto" w:sz="4" w:space="0"/>
            </w:tcBorders>
            <w:noWrap w:val="0"/>
            <w:vAlign w:val="center"/>
          </w:tcPr>
          <w:p w14:paraId="04EB3EDF">
            <w:pPr>
              <w:widowControl/>
              <w:jc w:val="center"/>
              <w:rPr>
                <w:rFonts w:ascii="宋体" w:hAnsi="宋体" w:cs="宋体"/>
                <w:color w:val="000000"/>
                <w:kern w:val="0"/>
                <w:szCs w:val="21"/>
              </w:rPr>
            </w:pPr>
            <w:r>
              <w:rPr>
                <w:rFonts w:hint="eastAsia" w:ascii="宋体" w:hAnsi="宋体" w:cs="宋体"/>
                <w:color w:val="000000"/>
                <w:kern w:val="0"/>
                <w:szCs w:val="21"/>
              </w:rPr>
              <w:t>类型</w:t>
            </w:r>
          </w:p>
        </w:tc>
        <w:tc>
          <w:tcPr>
            <w:tcW w:w="950" w:type="dxa"/>
            <w:tcBorders>
              <w:top w:val="single" w:color="auto" w:sz="4" w:space="0"/>
              <w:left w:val="nil"/>
              <w:bottom w:val="single" w:color="auto" w:sz="4" w:space="0"/>
              <w:right w:val="single" w:color="auto" w:sz="4" w:space="0"/>
            </w:tcBorders>
            <w:noWrap w:val="0"/>
            <w:vAlign w:val="center"/>
          </w:tcPr>
          <w:p w14:paraId="1EE0783E">
            <w:pPr>
              <w:widowControl/>
              <w:jc w:val="center"/>
              <w:rPr>
                <w:rFonts w:ascii="宋体" w:hAnsi="宋体" w:cs="宋体"/>
                <w:color w:val="000000"/>
                <w:kern w:val="0"/>
                <w:szCs w:val="21"/>
              </w:rPr>
            </w:pPr>
            <w:r>
              <w:rPr>
                <w:rFonts w:hint="eastAsia" w:ascii="宋体" w:hAnsi="宋体" w:cs="宋体"/>
                <w:color w:val="000000"/>
                <w:kern w:val="0"/>
                <w:szCs w:val="21"/>
              </w:rPr>
              <w:t>抽放管类别</w:t>
            </w:r>
          </w:p>
        </w:tc>
        <w:tc>
          <w:tcPr>
            <w:tcW w:w="1309" w:type="dxa"/>
            <w:tcBorders>
              <w:top w:val="single" w:color="auto" w:sz="4" w:space="0"/>
              <w:left w:val="nil"/>
              <w:bottom w:val="single" w:color="auto" w:sz="4" w:space="0"/>
              <w:right w:val="single" w:color="auto" w:sz="4" w:space="0"/>
            </w:tcBorders>
            <w:noWrap w:val="0"/>
            <w:vAlign w:val="center"/>
          </w:tcPr>
          <w:p w14:paraId="4A1CD2FD">
            <w:pPr>
              <w:widowControl/>
              <w:jc w:val="center"/>
              <w:rPr>
                <w:rFonts w:ascii="宋体" w:hAnsi="宋体" w:cs="宋体"/>
                <w:color w:val="000000"/>
                <w:kern w:val="0"/>
                <w:szCs w:val="21"/>
              </w:rPr>
            </w:pPr>
            <w:r>
              <w:rPr>
                <w:rFonts w:hint="eastAsia" w:ascii="宋体" w:hAnsi="宋体" w:cs="宋体"/>
                <w:color w:val="000000"/>
                <w:kern w:val="0"/>
                <w:szCs w:val="21"/>
              </w:rPr>
              <w:t>Q（m</w:t>
            </w:r>
            <w:r>
              <w:rPr>
                <w:rFonts w:hint="eastAsia" w:ascii="宋体" w:hAnsi="宋体" w:cs="宋体"/>
                <w:color w:val="000000"/>
                <w:kern w:val="0"/>
                <w:szCs w:val="21"/>
                <w:vertAlign w:val="superscript"/>
              </w:rPr>
              <w:t>3</w:t>
            </w:r>
            <w:r>
              <w:rPr>
                <w:rFonts w:hint="eastAsia" w:ascii="宋体" w:hAnsi="宋体" w:cs="宋体"/>
                <w:color w:val="000000"/>
                <w:kern w:val="0"/>
                <w:szCs w:val="21"/>
              </w:rPr>
              <w:t>/min）</w:t>
            </w:r>
          </w:p>
        </w:tc>
        <w:tc>
          <w:tcPr>
            <w:tcW w:w="1077" w:type="dxa"/>
            <w:tcBorders>
              <w:top w:val="single" w:color="auto" w:sz="4" w:space="0"/>
              <w:left w:val="nil"/>
              <w:bottom w:val="single" w:color="auto" w:sz="4" w:space="0"/>
              <w:right w:val="single" w:color="auto" w:sz="4" w:space="0"/>
            </w:tcBorders>
            <w:noWrap w:val="0"/>
            <w:vAlign w:val="center"/>
          </w:tcPr>
          <w:p w14:paraId="7FBFCF85">
            <w:pPr>
              <w:widowControl/>
              <w:jc w:val="center"/>
              <w:rPr>
                <w:rFonts w:ascii="宋体" w:hAnsi="宋体" w:cs="宋体"/>
                <w:color w:val="000000"/>
                <w:kern w:val="0"/>
                <w:szCs w:val="21"/>
              </w:rPr>
            </w:pPr>
            <w:r>
              <w:rPr>
                <w:rFonts w:hint="eastAsia" w:ascii="宋体" w:hAnsi="宋体" w:cs="宋体"/>
                <w:color w:val="000000"/>
                <w:kern w:val="0"/>
                <w:szCs w:val="21"/>
              </w:rPr>
              <w:t>△</w:t>
            </w:r>
          </w:p>
        </w:tc>
        <w:tc>
          <w:tcPr>
            <w:tcW w:w="1077" w:type="dxa"/>
            <w:tcBorders>
              <w:top w:val="single" w:color="auto" w:sz="4" w:space="0"/>
              <w:left w:val="nil"/>
              <w:bottom w:val="single" w:color="auto" w:sz="4" w:space="0"/>
              <w:right w:val="single" w:color="auto" w:sz="4" w:space="0"/>
            </w:tcBorders>
            <w:noWrap w:val="0"/>
            <w:vAlign w:val="center"/>
          </w:tcPr>
          <w:p w14:paraId="52A695FA">
            <w:pPr>
              <w:widowControl/>
              <w:jc w:val="center"/>
              <w:rPr>
                <w:rFonts w:ascii="宋体" w:hAnsi="宋体" w:cs="宋体"/>
                <w:color w:val="000000"/>
                <w:kern w:val="0"/>
                <w:szCs w:val="21"/>
              </w:rPr>
            </w:pPr>
            <w:r>
              <w:rPr>
                <w:rFonts w:hint="eastAsia" w:ascii="宋体" w:hAnsi="宋体" w:cs="宋体"/>
                <w:color w:val="000000"/>
                <w:kern w:val="0"/>
                <w:szCs w:val="21"/>
              </w:rPr>
              <w:t>L(m)</w:t>
            </w:r>
          </w:p>
        </w:tc>
        <w:tc>
          <w:tcPr>
            <w:tcW w:w="1140" w:type="dxa"/>
            <w:tcBorders>
              <w:top w:val="single" w:color="auto" w:sz="4" w:space="0"/>
              <w:left w:val="nil"/>
              <w:bottom w:val="single" w:color="auto" w:sz="4" w:space="0"/>
              <w:right w:val="single" w:color="auto" w:sz="4" w:space="0"/>
            </w:tcBorders>
            <w:noWrap w:val="0"/>
            <w:vAlign w:val="center"/>
          </w:tcPr>
          <w:p w14:paraId="2BD2120E">
            <w:pPr>
              <w:widowControl/>
              <w:jc w:val="center"/>
              <w:rPr>
                <w:rFonts w:ascii="宋体" w:hAnsi="宋体" w:cs="宋体"/>
                <w:color w:val="000000"/>
                <w:kern w:val="0"/>
                <w:szCs w:val="21"/>
              </w:rPr>
            </w:pPr>
            <w:r>
              <w:rPr>
                <w:rFonts w:hint="eastAsia" w:ascii="宋体" w:hAnsi="宋体" w:cs="宋体"/>
                <w:color w:val="000000"/>
                <w:kern w:val="0"/>
                <w:szCs w:val="21"/>
              </w:rPr>
              <w:t>K</w:t>
            </w:r>
          </w:p>
        </w:tc>
        <w:tc>
          <w:tcPr>
            <w:tcW w:w="1140" w:type="dxa"/>
            <w:tcBorders>
              <w:top w:val="single" w:color="auto" w:sz="4" w:space="0"/>
              <w:left w:val="nil"/>
              <w:bottom w:val="single" w:color="auto" w:sz="4" w:space="0"/>
              <w:right w:val="single" w:color="auto" w:sz="4" w:space="0"/>
            </w:tcBorders>
            <w:noWrap w:val="0"/>
            <w:vAlign w:val="center"/>
          </w:tcPr>
          <w:p w14:paraId="1F3F38CF">
            <w:pPr>
              <w:widowControl/>
              <w:jc w:val="center"/>
              <w:rPr>
                <w:rFonts w:ascii="宋体" w:hAnsi="宋体" w:cs="宋体"/>
                <w:color w:val="000000"/>
                <w:kern w:val="0"/>
                <w:szCs w:val="21"/>
              </w:rPr>
            </w:pPr>
            <w:r>
              <w:rPr>
                <w:rFonts w:hint="eastAsia" w:ascii="宋体" w:hAnsi="宋体" w:cs="宋体"/>
                <w:color w:val="000000"/>
                <w:kern w:val="0"/>
                <w:szCs w:val="21"/>
              </w:rPr>
              <w:t>D(cm)</w:t>
            </w:r>
          </w:p>
        </w:tc>
        <w:tc>
          <w:tcPr>
            <w:tcW w:w="1436" w:type="dxa"/>
            <w:tcBorders>
              <w:top w:val="single" w:color="auto" w:sz="4" w:space="0"/>
              <w:left w:val="nil"/>
              <w:bottom w:val="single" w:color="auto" w:sz="4" w:space="0"/>
              <w:right w:val="single" w:color="auto" w:sz="4" w:space="0"/>
            </w:tcBorders>
            <w:noWrap w:val="0"/>
            <w:vAlign w:val="center"/>
          </w:tcPr>
          <w:p w14:paraId="06877108">
            <w:pPr>
              <w:widowControl/>
              <w:jc w:val="center"/>
              <w:rPr>
                <w:rFonts w:ascii="宋体" w:hAnsi="宋体" w:cs="宋体"/>
                <w:color w:val="000000"/>
                <w:kern w:val="0"/>
                <w:szCs w:val="21"/>
              </w:rPr>
            </w:pPr>
            <w:r>
              <w:rPr>
                <w:rFonts w:hint="eastAsia" w:ascii="宋体" w:hAnsi="宋体" w:cs="宋体"/>
                <w:color w:val="000000"/>
                <w:kern w:val="0"/>
                <w:szCs w:val="21"/>
              </w:rPr>
              <w:t>H</w:t>
            </w:r>
            <w:r>
              <w:rPr>
                <w:rFonts w:hint="eastAsia" w:ascii="宋体" w:hAnsi="宋体" w:cs="宋体"/>
                <w:color w:val="000000"/>
                <w:kern w:val="0"/>
                <w:szCs w:val="21"/>
                <w:vertAlign w:val="subscript"/>
              </w:rPr>
              <w:t>m</w:t>
            </w:r>
            <w:r>
              <w:rPr>
                <w:rFonts w:hint="eastAsia" w:ascii="宋体" w:hAnsi="宋体" w:cs="宋体"/>
                <w:color w:val="000000"/>
                <w:kern w:val="0"/>
                <w:szCs w:val="21"/>
              </w:rPr>
              <w:t>(Pa)</w:t>
            </w:r>
          </w:p>
        </w:tc>
      </w:tr>
      <w:tr w14:paraId="4889C917">
        <w:tblPrEx>
          <w:tblCellMar>
            <w:top w:w="0" w:type="dxa"/>
            <w:left w:w="108" w:type="dxa"/>
            <w:bottom w:w="0" w:type="dxa"/>
            <w:right w:w="108" w:type="dxa"/>
          </w:tblCellMar>
        </w:tblPrEx>
        <w:trPr>
          <w:wBefore w:w="0" w:type="dxa"/>
          <w:wAfter w:w="0" w:type="dxa"/>
          <w:trHeight w:val="312" w:hRule="atLeast"/>
        </w:trPr>
        <w:tc>
          <w:tcPr>
            <w:tcW w:w="929" w:type="dxa"/>
            <w:vMerge w:val="restart"/>
            <w:tcBorders>
              <w:top w:val="nil"/>
              <w:left w:val="single" w:color="auto" w:sz="4" w:space="0"/>
              <w:bottom w:val="single" w:color="auto" w:sz="4" w:space="0"/>
              <w:right w:val="single" w:color="auto" w:sz="4" w:space="0"/>
            </w:tcBorders>
            <w:noWrap w:val="0"/>
            <w:vAlign w:val="center"/>
          </w:tcPr>
          <w:p w14:paraId="52F9AA0C">
            <w:pPr>
              <w:widowControl/>
              <w:jc w:val="center"/>
              <w:rPr>
                <w:rFonts w:ascii="宋体" w:hAnsi="宋体" w:cs="宋体"/>
                <w:color w:val="000000"/>
                <w:kern w:val="0"/>
                <w:szCs w:val="21"/>
              </w:rPr>
            </w:pPr>
            <w:r>
              <w:rPr>
                <w:rFonts w:hint="eastAsia" w:ascii="宋体" w:hAnsi="宋体" w:cs="宋体"/>
                <w:color w:val="000000"/>
                <w:kern w:val="0"/>
                <w:szCs w:val="21"/>
              </w:rPr>
              <w:t>低负压</w:t>
            </w:r>
          </w:p>
        </w:tc>
        <w:tc>
          <w:tcPr>
            <w:tcW w:w="950" w:type="dxa"/>
            <w:tcBorders>
              <w:top w:val="nil"/>
              <w:left w:val="nil"/>
              <w:bottom w:val="single" w:color="auto" w:sz="4" w:space="0"/>
              <w:right w:val="single" w:color="auto" w:sz="4" w:space="0"/>
            </w:tcBorders>
            <w:noWrap w:val="0"/>
            <w:vAlign w:val="center"/>
          </w:tcPr>
          <w:p w14:paraId="05FAFD82">
            <w:pPr>
              <w:widowControl/>
              <w:jc w:val="center"/>
              <w:rPr>
                <w:rFonts w:ascii="宋体" w:hAnsi="宋体" w:cs="宋体"/>
                <w:color w:val="000000"/>
                <w:kern w:val="0"/>
                <w:szCs w:val="21"/>
              </w:rPr>
            </w:pPr>
            <w:r>
              <w:rPr>
                <w:rFonts w:hint="eastAsia" w:ascii="宋体" w:hAnsi="宋体" w:cs="宋体"/>
                <w:color w:val="000000"/>
                <w:kern w:val="0"/>
                <w:szCs w:val="21"/>
              </w:rPr>
              <w:t>干管1</w:t>
            </w:r>
          </w:p>
        </w:tc>
        <w:tc>
          <w:tcPr>
            <w:tcW w:w="1309" w:type="dxa"/>
            <w:tcBorders>
              <w:top w:val="nil"/>
              <w:left w:val="nil"/>
              <w:bottom w:val="single" w:color="auto" w:sz="4" w:space="0"/>
              <w:right w:val="single" w:color="auto" w:sz="4" w:space="0"/>
            </w:tcBorders>
            <w:noWrap w:val="0"/>
            <w:vAlign w:val="center"/>
          </w:tcPr>
          <w:p w14:paraId="7CBD6AAC">
            <w:pPr>
              <w:widowControl/>
              <w:jc w:val="center"/>
              <w:rPr>
                <w:rFonts w:ascii="宋体" w:hAnsi="宋体" w:cs="宋体"/>
                <w:color w:val="000000"/>
                <w:kern w:val="0"/>
                <w:szCs w:val="21"/>
              </w:rPr>
            </w:pPr>
            <w:r>
              <w:rPr>
                <w:rFonts w:hint="eastAsia" w:ascii="宋体" w:hAnsi="宋体" w:cs="宋体"/>
                <w:color w:val="000000"/>
                <w:kern w:val="0"/>
                <w:szCs w:val="21"/>
              </w:rPr>
              <w:t xml:space="preserve">39.000 </w:t>
            </w:r>
          </w:p>
        </w:tc>
        <w:tc>
          <w:tcPr>
            <w:tcW w:w="1077" w:type="dxa"/>
            <w:tcBorders>
              <w:top w:val="nil"/>
              <w:left w:val="nil"/>
              <w:bottom w:val="single" w:color="auto" w:sz="4" w:space="0"/>
              <w:right w:val="single" w:color="auto" w:sz="4" w:space="0"/>
            </w:tcBorders>
            <w:noWrap w:val="0"/>
            <w:vAlign w:val="center"/>
          </w:tcPr>
          <w:p w14:paraId="72CD41DB">
            <w:pPr>
              <w:widowControl/>
              <w:jc w:val="center"/>
              <w:rPr>
                <w:rFonts w:ascii="宋体" w:hAnsi="宋体" w:cs="宋体"/>
                <w:color w:val="000000"/>
                <w:kern w:val="0"/>
                <w:szCs w:val="21"/>
              </w:rPr>
            </w:pPr>
            <w:r>
              <w:rPr>
                <w:rFonts w:hint="eastAsia" w:ascii="宋体" w:hAnsi="宋体" w:cs="宋体"/>
                <w:color w:val="000000"/>
                <w:kern w:val="0"/>
                <w:szCs w:val="21"/>
              </w:rPr>
              <w:t>0.911</w:t>
            </w:r>
          </w:p>
        </w:tc>
        <w:tc>
          <w:tcPr>
            <w:tcW w:w="1077" w:type="dxa"/>
            <w:tcBorders>
              <w:top w:val="nil"/>
              <w:left w:val="nil"/>
              <w:bottom w:val="single" w:color="auto" w:sz="4" w:space="0"/>
              <w:right w:val="single" w:color="auto" w:sz="4" w:space="0"/>
            </w:tcBorders>
            <w:noWrap w:val="0"/>
            <w:vAlign w:val="center"/>
          </w:tcPr>
          <w:p w14:paraId="5C2258EC">
            <w:pPr>
              <w:widowControl/>
              <w:jc w:val="center"/>
              <w:rPr>
                <w:rFonts w:ascii="宋体" w:hAnsi="宋体" w:cs="宋体"/>
                <w:color w:val="000000"/>
                <w:kern w:val="0"/>
                <w:szCs w:val="21"/>
              </w:rPr>
            </w:pPr>
            <w:r>
              <w:rPr>
                <w:rFonts w:hint="eastAsia" w:ascii="宋体" w:hAnsi="宋体" w:cs="宋体"/>
                <w:color w:val="000000"/>
                <w:kern w:val="0"/>
                <w:szCs w:val="21"/>
              </w:rPr>
              <w:t>1500</w:t>
            </w:r>
          </w:p>
        </w:tc>
        <w:tc>
          <w:tcPr>
            <w:tcW w:w="1140" w:type="dxa"/>
            <w:tcBorders>
              <w:top w:val="nil"/>
              <w:left w:val="nil"/>
              <w:bottom w:val="single" w:color="auto" w:sz="4" w:space="0"/>
              <w:right w:val="single" w:color="auto" w:sz="4" w:space="0"/>
            </w:tcBorders>
            <w:noWrap w:val="0"/>
            <w:vAlign w:val="center"/>
          </w:tcPr>
          <w:p w14:paraId="49863DA2">
            <w:pPr>
              <w:widowControl/>
              <w:jc w:val="center"/>
              <w:rPr>
                <w:rFonts w:ascii="宋体" w:hAnsi="宋体" w:cs="宋体"/>
                <w:color w:val="000000"/>
                <w:kern w:val="0"/>
                <w:szCs w:val="21"/>
              </w:rPr>
            </w:pPr>
            <w:r>
              <w:rPr>
                <w:rFonts w:hint="eastAsia" w:ascii="宋体" w:hAnsi="宋体" w:cs="宋体"/>
                <w:color w:val="000000"/>
                <w:kern w:val="0"/>
                <w:szCs w:val="21"/>
              </w:rPr>
              <w:t>0.71</w:t>
            </w:r>
          </w:p>
        </w:tc>
        <w:tc>
          <w:tcPr>
            <w:tcW w:w="1140" w:type="dxa"/>
            <w:tcBorders>
              <w:top w:val="nil"/>
              <w:left w:val="nil"/>
              <w:bottom w:val="single" w:color="auto" w:sz="4" w:space="0"/>
              <w:right w:val="single" w:color="auto" w:sz="4" w:space="0"/>
            </w:tcBorders>
            <w:noWrap w:val="0"/>
            <w:vAlign w:val="center"/>
          </w:tcPr>
          <w:p w14:paraId="4D6A7DF1">
            <w:pPr>
              <w:widowControl/>
              <w:jc w:val="center"/>
              <w:rPr>
                <w:rFonts w:ascii="宋体" w:hAnsi="宋体" w:cs="宋体"/>
                <w:color w:val="000000"/>
                <w:kern w:val="0"/>
                <w:szCs w:val="21"/>
              </w:rPr>
            </w:pPr>
            <w:r>
              <w:rPr>
                <w:rFonts w:hint="eastAsia" w:ascii="宋体" w:hAnsi="宋体" w:cs="宋体"/>
                <w:color w:val="000000"/>
                <w:kern w:val="0"/>
                <w:szCs w:val="21"/>
              </w:rPr>
              <w:t>32.5</w:t>
            </w:r>
          </w:p>
        </w:tc>
        <w:tc>
          <w:tcPr>
            <w:tcW w:w="1436" w:type="dxa"/>
            <w:tcBorders>
              <w:top w:val="nil"/>
              <w:left w:val="nil"/>
              <w:bottom w:val="single" w:color="auto" w:sz="4" w:space="0"/>
              <w:right w:val="single" w:color="auto" w:sz="4" w:space="0"/>
            </w:tcBorders>
            <w:noWrap w:val="0"/>
            <w:vAlign w:val="center"/>
          </w:tcPr>
          <w:p w14:paraId="327AE719">
            <w:pPr>
              <w:widowControl/>
              <w:jc w:val="center"/>
              <w:rPr>
                <w:rFonts w:ascii="宋体" w:hAnsi="宋体" w:cs="宋体"/>
                <w:color w:val="000000"/>
                <w:kern w:val="0"/>
                <w:szCs w:val="21"/>
              </w:rPr>
            </w:pPr>
            <w:r>
              <w:rPr>
                <w:rFonts w:hint="eastAsia" w:ascii="宋体" w:hAnsi="宋体" w:cs="宋体"/>
                <w:color w:val="000000"/>
                <w:kern w:val="0"/>
                <w:szCs w:val="21"/>
              </w:rPr>
              <w:t>2850</w:t>
            </w:r>
          </w:p>
        </w:tc>
      </w:tr>
      <w:tr w14:paraId="2BBCE644">
        <w:tblPrEx>
          <w:tblCellMar>
            <w:top w:w="0" w:type="dxa"/>
            <w:left w:w="108" w:type="dxa"/>
            <w:bottom w:w="0" w:type="dxa"/>
            <w:right w:w="108" w:type="dxa"/>
          </w:tblCellMar>
        </w:tblPrEx>
        <w:trPr>
          <w:wBefore w:w="0" w:type="dxa"/>
          <w:wAfter w:w="0" w:type="dxa"/>
          <w:trHeight w:val="312" w:hRule="atLeast"/>
        </w:trPr>
        <w:tc>
          <w:tcPr>
            <w:tcW w:w="929" w:type="dxa"/>
            <w:vMerge w:val="continue"/>
            <w:tcBorders>
              <w:top w:val="nil"/>
              <w:left w:val="single" w:color="auto" w:sz="4" w:space="0"/>
              <w:bottom w:val="single" w:color="auto" w:sz="4" w:space="0"/>
              <w:right w:val="single" w:color="auto" w:sz="4" w:space="0"/>
            </w:tcBorders>
            <w:noWrap w:val="0"/>
            <w:vAlign w:val="center"/>
          </w:tcPr>
          <w:p w14:paraId="5343C260">
            <w:pPr>
              <w:widowControl/>
              <w:jc w:val="left"/>
              <w:rPr>
                <w:rFonts w:ascii="宋体" w:hAnsi="宋体" w:cs="宋体"/>
                <w:color w:val="000000"/>
                <w:kern w:val="0"/>
                <w:szCs w:val="21"/>
              </w:rPr>
            </w:pPr>
          </w:p>
        </w:tc>
        <w:tc>
          <w:tcPr>
            <w:tcW w:w="950" w:type="dxa"/>
            <w:tcBorders>
              <w:top w:val="nil"/>
              <w:left w:val="nil"/>
              <w:bottom w:val="single" w:color="auto" w:sz="4" w:space="0"/>
              <w:right w:val="single" w:color="auto" w:sz="4" w:space="0"/>
            </w:tcBorders>
            <w:noWrap w:val="0"/>
            <w:vAlign w:val="center"/>
          </w:tcPr>
          <w:p w14:paraId="676B42AD">
            <w:pPr>
              <w:widowControl/>
              <w:jc w:val="center"/>
              <w:rPr>
                <w:rFonts w:ascii="宋体" w:hAnsi="宋体" w:cs="宋体"/>
                <w:color w:val="000000"/>
                <w:kern w:val="0"/>
                <w:szCs w:val="21"/>
              </w:rPr>
            </w:pPr>
            <w:r>
              <w:rPr>
                <w:rFonts w:hint="eastAsia" w:ascii="宋体" w:hAnsi="宋体" w:cs="宋体"/>
                <w:color w:val="000000"/>
                <w:kern w:val="0"/>
                <w:szCs w:val="21"/>
              </w:rPr>
              <w:t>支管1</w:t>
            </w:r>
          </w:p>
        </w:tc>
        <w:tc>
          <w:tcPr>
            <w:tcW w:w="1309" w:type="dxa"/>
            <w:tcBorders>
              <w:top w:val="nil"/>
              <w:left w:val="nil"/>
              <w:bottom w:val="single" w:color="auto" w:sz="4" w:space="0"/>
              <w:right w:val="single" w:color="auto" w:sz="4" w:space="0"/>
            </w:tcBorders>
            <w:noWrap w:val="0"/>
            <w:vAlign w:val="center"/>
          </w:tcPr>
          <w:p w14:paraId="04627724">
            <w:pPr>
              <w:widowControl/>
              <w:jc w:val="center"/>
              <w:rPr>
                <w:rFonts w:ascii="宋体" w:hAnsi="宋体" w:cs="宋体"/>
                <w:color w:val="000000"/>
                <w:kern w:val="0"/>
                <w:szCs w:val="21"/>
              </w:rPr>
            </w:pPr>
            <w:r>
              <w:rPr>
                <w:rFonts w:hint="eastAsia" w:ascii="宋体" w:hAnsi="宋体" w:cs="宋体"/>
                <w:color w:val="000000"/>
                <w:kern w:val="0"/>
                <w:szCs w:val="21"/>
              </w:rPr>
              <w:t xml:space="preserve">25.000 </w:t>
            </w:r>
          </w:p>
        </w:tc>
        <w:tc>
          <w:tcPr>
            <w:tcW w:w="1077" w:type="dxa"/>
            <w:tcBorders>
              <w:top w:val="nil"/>
              <w:left w:val="nil"/>
              <w:bottom w:val="single" w:color="auto" w:sz="4" w:space="0"/>
              <w:right w:val="single" w:color="auto" w:sz="4" w:space="0"/>
            </w:tcBorders>
            <w:noWrap w:val="0"/>
            <w:vAlign w:val="center"/>
          </w:tcPr>
          <w:p w14:paraId="66369CBF">
            <w:pPr>
              <w:widowControl/>
              <w:jc w:val="center"/>
              <w:rPr>
                <w:rFonts w:ascii="宋体" w:hAnsi="宋体" w:cs="宋体"/>
                <w:color w:val="000000"/>
                <w:kern w:val="0"/>
                <w:szCs w:val="21"/>
              </w:rPr>
            </w:pPr>
            <w:r>
              <w:rPr>
                <w:rFonts w:hint="eastAsia" w:ascii="宋体" w:hAnsi="宋体" w:cs="宋体"/>
                <w:color w:val="000000"/>
                <w:kern w:val="0"/>
                <w:szCs w:val="21"/>
              </w:rPr>
              <w:t>0.911</w:t>
            </w:r>
          </w:p>
        </w:tc>
        <w:tc>
          <w:tcPr>
            <w:tcW w:w="1077" w:type="dxa"/>
            <w:tcBorders>
              <w:top w:val="nil"/>
              <w:left w:val="nil"/>
              <w:bottom w:val="single" w:color="auto" w:sz="4" w:space="0"/>
              <w:right w:val="single" w:color="auto" w:sz="4" w:space="0"/>
            </w:tcBorders>
            <w:noWrap w:val="0"/>
            <w:vAlign w:val="center"/>
          </w:tcPr>
          <w:p w14:paraId="35945552">
            <w:pPr>
              <w:widowControl/>
              <w:jc w:val="center"/>
              <w:rPr>
                <w:rFonts w:ascii="宋体" w:hAnsi="宋体" w:cs="宋体"/>
                <w:color w:val="000000"/>
                <w:kern w:val="0"/>
                <w:szCs w:val="21"/>
              </w:rPr>
            </w:pPr>
            <w:r>
              <w:rPr>
                <w:rFonts w:hint="eastAsia" w:ascii="宋体" w:hAnsi="宋体" w:cs="宋体"/>
                <w:color w:val="000000"/>
                <w:kern w:val="0"/>
                <w:szCs w:val="21"/>
              </w:rPr>
              <w:t>1200</w:t>
            </w:r>
          </w:p>
        </w:tc>
        <w:tc>
          <w:tcPr>
            <w:tcW w:w="1140" w:type="dxa"/>
            <w:tcBorders>
              <w:top w:val="nil"/>
              <w:left w:val="nil"/>
              <w:bottom w:val="single" w:color="auto" w:sz="4" w:space="0"/>
              <w:right w:val="single" w:color="auto" w:sz="4" w:space="0"/>
            </w:tcBorders>
            <w:noWrap w:val="0"/>
            <w:vAlign w:val="center"/>
          </w:tcPr>
          <w:p w14:paraId="4EEA807F">
            <w:pPr>
              <w:widowControl/>
              <w:jc w:val="center"/>
              <w:rPr>
                <w:rFonts w:ascii="宋体" w:hAnsi="宋体" w:cs="宋体"/>
                <w:color w:val="000000"/>
                <w:kern w:val="0"/>
                <w:szCs w:val="21"/>
              </w:rPr>
            </w:pPr>
            <w:r>
              <w:rPr>
                <w:rFonts w:hint="eastAsia" w:ascii="宋体" w:hAnsi="宋体" w:cs="宋体"/>
                <w:color w:val="000000"/>
                <w:kern w:val="0"/>
                <w:szCs w:val="21"/>
              </w:rPr>
              <w:t>0.71</w:t>
            </w:r>
          </w:p>
        </w:tc>
        <w:tc>
          <w:tcPr>
            <w:tcW w:w="1140" w:type="dxa"/>
            <w:tcBorders>
              <w:top w:val="nil"/>
              <w:left w:val="nil"/>
              <w:bottom w:val="single" w:color="auto" w:sz="4" w:space="0"/>
              <w:right w:val="single" w:color="auto" w:sz="4" w:space="0"/>
            </w:tcBorders>
            <w:noWrap w:val="0"/>
            <w:vAlign w:val="center"/>
          </w:tcPr>
          <w:p w14:paraId="3C492396">
            <w:pPr>
              <w:widowControl/>
              <w:jc w:val="center"/>
              <w:rPr>
                <w:rFonts w:ascii="宋体" w:hAnsi="宋体" w:cs="宋体"/>
                <w:color w:val="000000"/>
                <w:kern w:val="0"/>
                <w:szCs w:val="21"/>
              </w:rPr>
            </w:pPr>
            <w:r>
              <w:rPr>
                <w:rFonts w:hint="eastAsia" w:ascii="宋体" w:hAnsi="宋体" w:cs="宋体"/>
                <w:color w:val="000000"/>
                <w:kern w:val="0"/>
                <w:szCs w:val="21"/>
              </w:rPr>
              <w:t>25</w:t>
            </w:r>
          </w:p>
        </w:tc>
        <w:tc>
          <w:tcPr>
            <w:tcW w:w="1436" w:type="dxa"/>
            <w:tcBorders>
              <w:top w:val="nil"/>
              <w:left w:val="nil"/>
              <w:bottom w:val="single" w:color="auto" w:sz="4" w:space="0"/>
              <w:right w:val="single" w:color="auto" w:sz="4" w:space="0"/>
            </w:tcBorders>
            <w:noWrap w:val="0"/>
            <w:vAlign w:val="center"/>
          </w:tcPr>
          <w:p w14:paraId="0B6C9A27">
            <w:pPr>
              <w:widowControl/>
              <w:jc w:val="center"/>
              <w:rPr>
                <w:rFonts w:ascii="宋体" w:hAnsi="宋体" w:cs="宋体"/>
                <w:color w:val="000000"/>
                <w:kern w:val="0"/>
                <w:szCs w:val="21"/>
              </w:rPr>
            </w:pPr>
            <w:r>
              <w:rPr>
                <w:rFonts w:hint="eastAsia" w:ascii="宋体" w:hAnsi="宋体" w:cs="宋体"/>
                <w:color w:val="000000"/>
                <w:kern w:val="0"/>
                <w:szCs w:val="21"/>
              </w:rPr>
              <w:t>3479</w:t>
            </w:r>
          </w:p>
        </w:tc>
      </w:tr>
      <w:tr w14:paraId="03F5F935">
        <w:tblPrEx>
          <w:tblCellMar>
            <w:top w:w="0" w:type="dxa"/>
            <w:left w:w="108" w:type="dxa"/>
            <w:bottom w:w="0" w:type="dxa"/>
            <w:right w:w="108" w:type="dxa"/>
          </w:tblCellMar>
        </w:tblPrEx>
        <w:trPr>
          <w:wBefore w:w="0" w:type="dxa"/>
          <w:wAfter w:w="0" w:type="dxa"/>
          <w:trHeight w:val="312" w:hRule="atLeast"/>
        </w:trPr>
        <w:tc>
          <w:tcPr>
            <w:tcW w:w="929" w:type="dxa"/>
            <w:tcBorders>
              <w:top w:val="nil"/>
              <w:left w:val="single" w:color="auto" w:sz="4" w:space="0"/>
              <w:bottom w:val="single" w:color="auto" w:sz="4" w:space="0"/>
              <w:right w:val="single" w:color="auto" w:sz="4" w:space="0"/>
            </w:tcBorders>
            <w:noWrap w:val="0"/>
            <w:vAlign w:val="center"/>
          </w:tcPr>
          <w:p w14:paraId="2128C1AE">
            <w:pPr>
              <w:widowControl/>
              <w:jc w:val="center"/>
              <w:rPr>
                <w:rFonts w:ascii="宋体" w:hAnsi="宋体" w:cs="宋体"/>
                <w:color w:val="000000"/>
                <w:kern w:val="0"/>
                <w:szCs w:val="21"/>
              </w:rPr>
            </w:pPr>
            <w:r>
              <w:rPr>
                <w:rFonts w:hint="eastAsia" w:ascii="宋体" w:hAnsi="宋体" w:cs="宋体"/>
                <w:color w:val="000000"/>
                <w:kern w:val="0"/>
                <w:szCs w:val="21"/>
              </w:rPr>
              <w:t>合 计</w:t>
            </w:r>
          </w:p>
        </w:tc>
        <w:tc>
          <w:tcPr>
            <w:tcW w:w="6693" w:type="dxa"/>
            <w:gridSpan w:val="6"/>
            <w:tcBorders>
              <w:top w:val="single" w:color="auto" w:sz="4" w:space="0"/>
              <w:left w:val="nil"/>
              <w:bottom w:val="single" w:color="auto" w:sz="4" w:space="0"/>
              <w:right w:val="single" w:color="000000" w:sz="4" w:space="0"/>
            </w:tcBorders>
            <w:noWrap w:val="0"/>
            <w:vAlign w:val="center"/>
          </w:tcPr>
          <w:p w14:paraId="1D760DDD">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436" w:type="dxa"/>
            <w:tcBorders>
              <w:top w:val="nil"/>
              <w:left w:val="nil"/>
              <w:bottom w:val="single" w:color="auto" w:sz="4" w:space="0"/>
              <w:right w:val="single" w:color="auto" w:sz="4" w:space="0"/>
            </w:tcBorders>
            <w:noWrap w:val="0"/>
            <w:vAlign w:val="center"/>
          </w:tcPr>
          <w:p w14:paraId="1D7928C1">
            <w:pPr>
              <w:widowControl/>
              <w:jc w:val="center"/>
              <w:rPr>
                <w:rFonts w:ascii="宋体" w:hAnsi="宋体" w:cs="宋体"/>
                <w:color w:val="000000"/>
                <w:kern w:val="0"/>
                <w:szCs w:val="21"/>
              </w:rPr>
            </w:pPr>
            <w:r>
              <w:rPr>
                <w:rFonts w:ascii="宋体" w:hAnsi="宋体" w:cs="宋体"/>
                <w:color w:val="000000"/>
                <w:kern w:val="0"/>
                <w:szCs w:val="21"/>
              </w:rPr>
              <w:fldChar w:fldCharType="begin"/>
            </w:r>
            <w:r>
              <w:rPr>
                <w:rFonts w:ascii="宋体" w:hAnsi="宋体" w:cs="宋体"/>
                <w:color w:val="000000"/>
                <w:kern w:val="0"/>
                <w:szCs w:val="21"/>
              </w:rPr>
              <w:instrText xml:space="preserve"> </w:instrText>
            </w:r>
            <w:r>
              <w:rPr>
                <w:rFonts w:hint="eastAsia" w:ascii="宋体" w:hAnsi="宋体" w:cs="宋体"/>
                <w:color w:val="000000"/>
                <w:kern w:val="0"/>
                <w:szCs w:val="21"/>
              </w:rPr>
              <w:instrText xml:space="preserve">=SUM(ABOVE)</w:instrText>
            </w:r>
            <w:r>
              <w:rPr>
                <w:rFonts w:ascii="宋体" w:hAnsi="宋体" w:cs="宋体"/>
                <w:color w:val="000000"/>
                <w:kern w:val="0"/>
                <w:szCs w:val="21"/>
              </w:rPr>
              <w:instrText xml:space="preserve"> </w:instrText>
            </w:r>
            <w:r>
              <w:rPr>
                <w:rFonts w:ascii="宋体" w:hAnsi="宋体" w:cs="宋体"/>
                <w:color w:val="000000"/>
                <w:kern w:val="0"/>
                <w:szCs w:val="21"/>
              </w:rPr>
              <w:fldChar w:fldCharType="separate"/>
            </w:r>
            <w:r>
              <w:rPr>
                <w:rFonts w:ascii="宋体" w:hAnsi="宋体" w:cs="宋体"/>
                <w:color w:val="000000"/>
                <w:kern w:val="0"/>
                <w:szCs w:val="21"/>
                <w:lang/>
              </w:rPr>
              <w:t>6329</w:t>
            </w:r>
            <w:r>
              <w:rPr>
                <w:rFonts w:ascii="宋体" w:hAnsi="宋体" w:cs="宋体"/>
                <w:color w:val="000000"/>
                <w:kern w:val="0"/>
                <w:szCs w:val="21"/>
              </w:rPr>
              <w:fldChar w:fldCharType="end"/>
            </w:r>
          </w:p>
        </w:tc>
      </w:tr>
    </w:tbl>
    <w:p w14:paraId="51F55E64">
      <w:pPr>
        <w:pStyle w:val="29"/>
        <w:spacing w:line="360" w:lineRule="auto"/>
        <w:ind w:firstLine="480" w:firstLineChars="200"/>
        <w:rPr>
          <w:rFonts w:hint="eastAsia" w:hAnsi="宋体"/>
          <w:sz w:val="24"/>
          <w:szCs w:val="24"/>
        </w:rPr>
      </w:pPr>
      <w:r>
        <w:rPr>
          <w:rFonts w:hint="eastAsia" w:hAnsi="宋体"/>
          <w:sz w:val="24"/>
          <w:szCs w:val="24"/>
        </w:rPr>
        <w:t>②局部阻力损失计算</w:t>
      </w:r>
    </w:p>
    <w:p w14:paraId="26CA0489">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根据以往工作经验，管路局部阻力按磨擦阻力的10%～20%考虑即可，取0.15。则抽放管路系统的局部阻力损失为：</w:t>
      </w:r>
    </w:p>
    <w:p w14:paraId="7FABCE31">
      <w:pPr>
        <w:autoSpaceDE w:val="0"/>
        <w:autoSpaceDN w:val="0"/>
        <w:adjustRightInd w:val="0"/>
        <w:spacing w:line="360" w:lineRule="auto"/>
        <w:ind w:firstLine="480" w:firstLineChars="200"/>
        <w:jc w:val="left"/>
        <w:rPr>
          <w:rFonts w:hint="eastAsia" w:ascii="宋体" w:hAnsi="宋体"/>
          <w:sz w:val="24"/>
          <w:lang/>
        </w:rPr>
      </w:pPr>
      <w:r>
        <w:rPr>
          <w:rFonts w:hint="eastAsia" w:ascii="宋体" w:hAnsi="宋体"/>
          <w:sz w:val="24"/>
          <w:lang/>
        </w:rPr>
        <w:t>低负压：H</w:t>
      </w:r>
      <w:r>
        <w:rPr>
          <w:rFonts w:hint="eastAsia" w:ascii="宋体" w:hAnsi="宋体"/>
          <w:sz w:val="24"/>
          <w:vertAlign w:val="subscript"/>
          <w:lang/>
        </w:rPr>
        <w:t>j</w:t>
      </w:r>
      <w:r>
        <w:rPr>
          <w:rFonts w:hint="eastAsia" w:ascii="宋体" w:hAnsi="宋体"/>
          <w:sz w:val="24"/>
          <w:lang/>
        </w:rPr>
        <w:t>=0.15×Hm=0.15×6329＝950Pa</w:t>
      </w:r>
    </w:p>
    <w:p w14:paraId="4E9B09BC">
      <w:pPr>
        <w:pStyle w:val="29"/>
        <w:spacing w:line="360" w:lineRule="auto"/>
        <w:ind w:firstLine="480" w:firstLineChars="200"/>
        <w:rPr>
          <w:rFonts w:hint="eastAsia" w:hAnsi="宋体"/>
          <w:sz w:val="24"/>
          <w:szCs w:val="24"/>
        </w:rPr>
      </w:pPr>
      <w:r>
        <w:rPr>
          <w:rFonts w:hint="eastAsia" w:hAnsi="宋体"/>
          <w:sz w:val="24"/>
          <w:szCs w:val="24"/>
        </w:rPr>
        <w:t>③总阻力损失计算</w:t>
      </w:r>
    </w:p>
    <w:p w14:paraId="5F2A916E">
      <w:pPr>
        <w:spacing w:line="360" w:lineRule="auto"/>
        <w:ind w:firstLine="480" w:firstLineChars="200"/>
        <w:rPr>
          <w:rFonts w:hint="eastAsia" w:ascii="宋体" w:hAnsi="宋体"/>
          <w:sz w:val="24"/>
        </w:rPr>
      </w:pPr>
      <w:r>
        <w:rPr>
          <w:rFonts w:hint="eastAsia" w:ascii="宋体" w:hAnsi="宋体"/>
          <w:sz w:val="24"/>
        </w:rPr>
        <w:t>H</w:t>
      </w:r>
      <w:r>
        <w:rPr>
          <w:rFonts w:hint="eastAsia" w:ascii="宋体" w:hAnsi="宋体"/>
          <w:sz w:val="24"/>
          <w:vertAlign w:val="subscript"/>
        </w:rPr>
        <w:t>总</w:t>
      </w:r>
      <w:r>
        <w:rPr>
          <w:rFonts w:hint="eastAsia" w:ascii="宋体" w:hAnsi="宋体"/>
          <w:sz w:val="24"/>
        </w:rPr>
        <w:t>=Hm+</w:t>
      </w:r>
      <w:r>
        <w:rPr>
          <w:rFonts w:hint="eastAsia" w:ascii="宋体" w:hAnsi="宋体"/>
          <w:sz w:val="24"/>
          <w:lang/>
        </w:rPr>
        <w:t xml:space="preserve"> H</w:t>
      </w:r>
      <w:r>
        <w:rPr>
          <w:rFonts w:hint="eastAsia" w:ascii="宋体" w:hAnsi="宋体"/>
          <w:sz w:val="24"/>
          <w:vertAlign w:val="subscript"/>
          <w:lang/>
        </w:rPr>
        <w:t>j</w:t>
      </w:r>
      <w:r>
        <w:rPr>
          <w:rFonts w:hint="eastAsia" w:ascii="宋体" w:hAnsi="宋体"/>
          <w:sz w:val="24"/>
        </w:rPr>
        <w:t xml:space="preserve"> =7279Pa=7.279kPa</w:t>
      </w:r>
    </w:p>
    <w:p w14:paraId="0336473B">
      <w:pPr>
        <w:spacing w:line="360" w:lineRule="auto"/>
        <w:ind w:firstLine="480" w:firstLineChars="200"/>
        <w:rPr>
          <w:rFonts w:hint="eastAsia" w:ascii="宋体" w:hAnsi="宋体"/>
          <w:sz w:val="24"/>
        </w:rPr>
      </w:pPr>
      <w:r>
        <w:rPr>
          <w:rFonts w:hint="eastAsia" w:ascii="宋体" w:hAnsi="宋体"/>
          <w:bCs/>
          <w:sz w:val="24"/>
        </w:rPr>
        <w:t>4)瓦斯抽放泵选择</w:t>
      </w:r>
    </w:p>
    <w:p w14:paraId="108CB98B">
      <w:pPr>
        <w:pStyle w:val="29"/>
        <w:spacing w:line="360" w:lineRule="auto"/>
        <w:ind w:firstLine="480" w:firstLineChars="200"/>
        <w:rPr>
          <w:rFonts w:hint="eastAsia" w:hAnsi="宋体"/>
          <w:color w:val="0000FF"/>
          <w:sz w:val="24"/>
          <w:szCs w:val="24"/>
        </w:rPr>
      </w:pPr>
      <w:r>
        <w:rPr>
          <w:rFonts w:hint="eastAsia" w:hAnsi="宋体"/>
          <w:color w:val="0000FF"/>
          <w:sz w:val="24"/>
          <w:szCs w:val="24"/>
        </w:rPr>
        <w:t>（1）瓦斯抽放泵压力计算</w:t>
      </w:r>
    </w:p>
    <w:p w14:paraId="475011D6">
      <w:pPr>
        <w:pStyle w:val="29"/>
        <w:spacing w:line="360" w:lineRule="auto"/>
        <w:ind w:firstLine="480" w:firstLineChars="200"/>
        <w:rPr>
          <w:rFonts w:hint="eastAsia" w:hAnsi="宋体"/>
          <w:color w:val="0000FF"/>
          <w:sz w:val="24"/>
          <w:szCs w:val="24"/>
        </w:rPr>
      </w:pPr>
      <w:r>
        <w:rPr>
          <w:rFonts w:hint="eastAsia" w:hAnsi="宋体"/>
          <w:color w:val="0000FF"/>
          <w:sz w:val="24"/>
          <w:szCs w:val="24"/>
        </w:rPr>
        <w:t>瓦斯抽放泵压力，必须能克服抽放管道总阻力损失和保证钻孔有足够的负压，以及能满足泵出口正压的需求。</w:t>
      </w:r>
    </w:p>
    <w:p w14:paraId="767D5D62">
      <w:pPr>
        <w:pStyle w:val="29"/>
        <w:spacing w:line="360" w:lineRule="auto"/>
        <w:ind w:firstLine="480" w:firstLineChars="200"/>
        <w:rPr>
          <w:rFonts w:hint="eastAsia" w:hAnsi="宋体"/>
          <w:color w:val="0000FF"/>
          <w:sz w:val="24"/>
          <w:szCs w:val="24"/>
        </w:rPr>
      </w:pPr>
      <w:r>
        <w:rPr>
          <w:rFonts w:hint="eastAsia" w:hAnsi="宋体"/>
          <w:color w:val="0000FF"/>
          <w:sz w:val="24"/>
          <w:szCs w:val="24"/>
        </w:rPr>
        <w:t>计算公式：H</w:t>
      </w:r>
      <w:r>
        <w:rPr>
          <w:rFonts w:hint="eastAsia" w:hAnsi="宋体"/>
          <w:color w:val="0000FF"/>
          <w:sz w:val="24"/>
          <w:szCs w:val="24"/>
          <w:vertAlign w:val="subscript"/>
        </w:rPr>
        <w:t>泵</w:t>
      </w:r>
      <w:r>
        <w:rPr>
          <w:rFonts w:hint="eastAsia" w:hAnsi="宋体"/>
          <w:color w:val="0000FF"/>
          <w:sz w:val="24"/>
          <w:szCs w:val="24"/>
        </w:rPr>
        <w:t>=(H</w:t>
      </w:r>
      <w:r>
        <w:rPr>
          <w:rFonts w:hint="eastAsia" w:hAnsi="宋体"/>
          <w:color w:val="0000FF"/>
          <w:sz w:val="24"/>
          <w:szCs w:val="24"/>
          <w:vertAlign w:val="subscript"/>
        </w:rPr>
        <w:t>总</w:t>
      </w:r>
      <w:r>
        <w:rPr>
          <w:rFonts w:hint="eastAsia" w:hAnsi="宋体"/>
          <w:color w:val="0000FF"/>
          <w:sz w:val="24"/>
          <w:szCs w:val="24"/>
        </w:rPr>
        <w:t>+H</w:t>
      </w:r>
      <w:r>
        <w:rPr>
          <w:rFonts w:hint="eastAsia" w:hAnsi="宋体"/>
          <w:color w:val="0000FF"/>
          <w:sz w:val="24"/>
          <w:szCs w:val="24"/>
          <w:vertAlign w:val="subscript"/>
        </w:rPr>
        <w:t>孔</w:t>
      </w:r>
      <w:r>
        <w:rPr>
          <w:rFonts w:hint="eastAsia" w:hAnsi="宋体"/>
          <w:color w:val="0000FF"/>
          <w:sz w:val="24"/>
          <w:szCs w:val="24"/>
        </w:rPr>
        <w:t>+H</w:t>
      </w:r>
      <w:r>
        <w:rPr>
          <w:rFonts w:hint="eastAsia" w:hAnsi="宋体"/>
          <w:color w:val="0000FF"/>
          <w:sz w:val="24"/>
          <w:szCs w:val="24"/>
          <w:vertAlign w:val="subscript"/>
        </w:rPr>
        <w:t>正</w:t>
      </w:r>
      <w:r>
        <w:rPr>
          <w:rFonts w:hint="eastAsia" w:hAnsi="宋体"/>
          <w:color w:val="0000FF"/>
          <w:sz w:val="24"/>
          <w:szCs w:val="24"/>
        </w:rPr>
        <w:t>)K</w:t>
      </w:r>
    </w:p>
    <w:p w14:paraId="170EB3AA">
      <w:pPr>
        <w:pStyle w:val="29"/>
        <w:spacing w:line="360" w:lineRule="auto"/>
        <w:ind w:firstLine="480" w:firstLineChars="200"/>
        <w:rPr>
          <w:rFonts w:hint="eastAsia" w:hAnsi="宋体"/>
          <w:color w:val="0000FF"/>
          <w:sz w:val="24"/>
          <w:szCs w:val="24"/>
        </w:rPr>
      </w:pPr>
      <w:r>
        <w:rPr>
          <w:rFonts w:hint="eastAsia" w:hAnsi="宋体"/>
          <w:color w:val="0000FF"/>
          <w:sz w:val="24"/>
          <w:szCs w:val="24"/>
        </w:rPr>
        <w:t>式中：H</w:t>
      </w:r>
      <w:r>
        <w:rPr>
          <w:rFonts w:hint="eastAsia" w:hAnsi="宋体"/>
          <w:color w:val="0000FF"/>
          <w:sz w:val="24"/>
          <w:szCs w:val="24"/>
          <w:vertAlign w:val="subscript"/>
        </w:rPr>
        <w:t>泵</w:t>
      </w:r>
      <w:r>
        <w:rPr>
          <w:rFonts w:hint="eastAsia" w:hAnsi="宋体"/>
          <w:color w:val="0000FF"/>
          <w:sz w:val="24"/>
          <w:szCs w:val="24"/>
        </w:rPr>
        <w:t>——瓦斯抽放泵的压力 kPa</w:t>
      </w:r>
    </w:p>
    <w:p w14:paraId="44FB68E1">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H</w:t>
      </w:r>
      <w:r>
        <w:rPr>
          <w:rFonts w:hint="eastAsia" w:hAnsi="宋体"/>
          <w:color w:val="0000FF"/>
          <w:sz w:val="24"/>
          <w:szCs w:val="24"/>
          <w:vertAlign w:val="subscript"/>
        </w:rPr>
        <w:t>总</w:t>
      </w:r>
      <w:r>
        <w:rPr>
          <w:rFonts w:hint="eastAsia" w:hAnsi="宋体"/>
          <w:color w:val="0000FF"/>
          <w:sz w:val="24"/>
          <w:szCs w:val="24"/>
        </w:rPr>
        <w:t>——抽放管道总阻力损失7.279kPa</w:t>
      </w:r>
    </w:p>
    <w:p w14:paraId="1144D32B">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H</w:t>
      </w:r>
      <w:r>
        <w:rPr>
          <w:rFonts w:hint="eastAsia" w:hAnsi="宋体"/>
          <w:color w:val="0000FF"/>
          <w:sz w:val="24"/>
          <w:szCs w:val="24"/>
          <w:vertAlign w:val="subscript"/>
        </w:rPr>
        <w:t>孔</w:t>
      </w:r>
      <w:r>
        <w:rPr>
          <w:rFonts w:hint="eastAsia" w:hAnsi="宋体"/>
          <w:color w:val="0000FF"/>
          <w:sz w:val="24"/>
          <w:szCs w:val="24"/>
        </w:rPr>
        <w:t>——抽放钻孔所需负压，取5kPa</w:t>
      </w:r>
    </w:p>
    <w:p w14:paraId="7F404072">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H</w:t>
      </w:r>
      <w:r>
        <w:rPr>
          <w:rFonts w:hint="eastAsia" w:hAnsi="宋体"/>
          <w:color w:val="0000FF"/>
          <w:sz w:val="24"/>
          <w:szCs w:val="24"/>
          <w:vertAlign w:val="subscript"/>
        </w:rPr>
        <w:t>正</w:t>
      </w:r>
      <w:r>
        <w:rPr>
          <w:rFonts w:hint="eastAsia" w:hAnsi="宋体"/>
          <w:color w:val="0000FF"/>
          <w:sz w:val="24"/>
          <w:szCs w:val="24"/>
        </w:rPr>
        <w:t>——抽放泵出口正压，取4kPa</w:t>
      </w:r>
    </w:p>
    <w:p w14:paraId="2CEDD654">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K——备用系数</w:t>
      </w:r>
    </w:p>
    <w:p w14:paraId="23A226BF">
      <w:pPr>
        <w:pStyle w:val="29"/>
        <w:spacing w:line="360" w:lineRule="auto"/>
        <w:ind w:firstLine="480" w:firstLineChars="200"/>
        <w:rPr>
          <w:rFonts w:hint="eastAsia" w:hAnsi="宋体"/>
          <w:color w:val="0000FF"/>
          <w:sz w:val="24"/>
          <w:szCs w:val="24"/>
        </w:rPr>
      </w:pPr>
      <w:r>
        <w:rPr>
          <w:rFonts w:hint="eastAsia" w:hAnsi="宋体"/>
          <w:color w:val="0000FF"/>
          <w:sz w:val="24"/>
          <w:szCs w:val="24"/>
        </w:rPr>
        <w:t>则：H</w:t>
      </w:r>
      <w:r>
        <w:rPr>
          <w:rFonts w:hint="eastAsia" w:hAnsi="宋体"/>
          <w:color w:val="0000FF"/>
          <w:sz w:val="24"/>
          <w:szCs w:val="24"/>
          <w:vertAlign w:val="subscript"/>
        </w:rPr>
        <w:t>泵</w:t>
      </w:r>
      <w:r>
        <w:rPr>
          <w:rFonts w:hint="eastAsia" w:hAnsi="宋体"/>
          <w:color w:val="0000FF"/>
          <w:sz w:val="24"/>
          <w:szCs w:val="24"/>
        </w:rPr>
        <w:t>=(7.279+5+4)×1.5=24.4kPa</w:t>
      </w:r>
    </w:p>
    <w:p w14:paraId="33D4EAF4">
      <w:pPr>
        <w:pStyle w:val="29"/>
        <w:spacing w:line="360" w:lineRule="auto"/>
        <w:ind w:firstLine="480" w:firstLineChars="200"/>
        <w:rPr>
          <w:rFonts w:hint="eastAsia" w:hAnsi="宋体"/>
          <w:color w:val="0000FF"/>
          <w:sz w:val="24"/>
          <w:szCs w:val="24"/>
        </w:rPr>
      </w:pPr>
      <w:r>
        <w:rPr>
          <w:rFonts w:hint="eastAsia" w:hAnsi="宋体"/>
          <w:color w:val="0000FF"/>
          <w:sz w:val="24"/>
          <w:szCs w:val="24"/>
        </w:rPr>
        <w:t>（2）瓦斯抽放泵流量计算</w:t>
      </w:r>
    </w:p>
    <w:p w14:paraId="16774C97">
      <w:pPr>
        <w:pStyle w:val="29"/>
        <w:spacing w:line="360" w:lineRule="auto"/>
        <w:ind w:firstLine="480" w:firstLineChars="200"/>
        <w:rPr>
          <w:rFonts w:hint="eastAsia" w:hAnsi="宋体"/>
          <w:color w:val="0000FF"/>
          <w:sz w:val="24"/>
          <w:szCs w:val="24"/>
        </w:rPr>
      </w:pPr>
      <w:r>
        <w:rPr>
          <w:rFonts w:hint="eastAsia" w:hAnsi="宋体"/>
          <w:color w:val="0000FF"/>
          <w:sz w:val="24"/>
          <w:szCs w:val="24"/>
        </w:rPr>
        <w:t>瓦斯抽放泵流量应满足抽放瓦斯系统服务年限内最大抽放量的需要。</w:t>
      </w:r>
    </w:p>
    <w:p w14:paraId="556D50DF">
      <w:pPr>
        <w:pStyle w:val="29"/>
        <w:spacing w:line="360" w:lineRule="auto"/>
        <w:ind w:firstLine="480" w:firstLineChars="200"/>
        <w:rPr>
          <w:rFonts w:hint="eastAsia" w:hAnsi="宋体"/>
          <w:color w:val="0000FF"/>
          <w:sz w:val="24"/>
          <w:szCs w:val="24"/>
        </w:rPr>
      </w:pPr>
      <w:r>
        <w:rPr>
          <w:rFonts w:hint="eastAsia" w:hAnsi="宋体"/>
          <w:color w:val="0000FF"/>
          <w:sz w:val="24"/>
          <w:szCs w:val="24"/>
        </w:rPr>
        <w:t>计算公式：Q</w:t>
      </w:r>
      <w:r>
        <w:rPr>
          <w:rFonts w:hint="eastAsia" w:hAnsi="宋体"/>
          <w:color w:val="0000FF"/>
          <w:sz w:val="24"/>
          <w:szCs w:val="24"/>
          <w:vertAlign w:val="subscript"/>
        </w:rPr>
        <w:t>泵</w:t>
      </w:r>
      <w:r>
        <w:rPr>
          <w:rFonts w:hint="eastAsia" w:hAnsi="宋体"/>
          <w:color w:val="0000FF"/>
          <w:sz w:val="24"/>
          <w:szCs w:val="24"/>
        </w:rPr>
        <w:t>=Q</w:t>
      </w:r>
      <w:r>
        <w:rPr>
          <w:rFonts w:hint="eastAsia" w:hAnsi="宋体"/>
          <w:color w:val="0000FF"/>
          <w:sz w:val="24"/>
          <w:szCs w:val="24"/>
          <w:vertAlign w:val="subscript"/>
        </w:rPr>
        <w:t>纯</w:t>
      </w:r>
      <w:r>
        <w:rPr>
          <w:rFonts w:hint="eastAsia" w:hAnsi="宋体"/>
          <w:color w:val="0000FF"/>
          <w:sz w:val="24"/>
          <w:szCs w:val="24"/>
        </w:rPr>
        <w:t>K/Xη</w:t>
      </w:r>
    </w:p>
    <w:p w14:paraId="17D17F65">
      <w:pPr>
        <w:pStyle w:val="29"/>
        <w:spacing w:line="360" w:lineRule="auto"/>
        <w:ind w:firstLine="480" w:firstLineChars="200"/>
        <w:rPr>
          <w:rFonts w:hint="eastAsia" w:hAnsi="宋体"/>
          <w:color w:val="0000FF"/>
          <w:sz w:val="24"/>
          <w:szCs w:val="24"/>
        </w:rPr>
      </w:pPr>
      <w:r>
        <w:rPr>
          <w:rFonts w:hint="eastAsia" w:hAnsi="宋体"/>
          <w:color w:val="0000FF"/>
          <w:sz w:val="24"/>
          <w:szCs w:val="24"/>
        </w:rPr>
        <w:t>式中：Q</w:t>
      </w:r>
      <w:r>
        <w:rPr>
          <w:rFonts w:hint="eastAsia" w:hAnsi="宋体"/>
          <w:color w:val="0000FF"/>
          <w:sz w:val="24"/>
          <w:szCs w:val="24"/>
          <w:vertAlign w:val="subscript"/>
        </w:rPr>
        <w:t>泵</w:t>
      </w:r>
      <w:r>
        <w:rPr>
          <w:rFonts w:hint="eastAsia" w:hAnsi="宋体"/>
          <w:color w:val="0000FF"/>
          <w:sz w:val="24"/>
          <w:szCs w:val="24"/>
        </w:rPr>
        <w:t>——瓦斯泵的额定流量 m</w:t>
      </w:r>
      <w:r>
        <w:rPr>
          <w:rFonts w:hint="eastAsia" w:hAnsi="宋体"/>
          <w:color w:val="0000FF"/>
          <w:sz w:val="24"/>
          <w:szCs w:val="24"/>
          <w:vertAlign w:val="superscript"/>
        </w:rPr>
        <w:t>3</w:t>
      </w:r>
      <w:r>
        <w:rPr>
          <w:rFonts w:hint="eastAsia" w:hAnsi="宋体"/>
          <w:color w:val="0000FF"/>
          <w:sz w:val="24"/>
          <w:szCs w:val="24"/>
        </w:rPr>
        <w:t>/min</w:t>
      </w:r>
    </w:p>
    <w:p w14:paraId="218406FE">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Q</w:t>
      </w:r>
      <w:r>
        <w:rPr>
          <w:rFonts w:hint="eastAsia" w:hAnsi="宋体"/>
          <w:color w:val="0000FF"/>
          <w:sz w:val="24"/>
          <w:szCs w:val="24"/>
          <w:vertAlign w:val="subscript"/>
        </w:rPr>
        <w:t>纯</w:t>
      </w:r>
      <w:r>
        <w:rPr>
          <w:rFonts w:hint="eastAsia" w:hAnsi="宋体"/>
          <w:color w:val="0000FF"/>
          <w:sz w:val="24"/>
          <w:szCs w:val="24"/>
        </w:rPr>
        <w:t>——最大抽放瓦斯纯量 m</w:t>
      </w:r>
      <w:r>
        <w:rPr>
          <w:rFonts w:hint="eastAsia" w:hAnsi="宋体"/>
          <w:color w:val="0000FF"/>
          <w:sz w:val="24"/>
          <w:szCs w:val="24"/>
          <w:vertAlign w:val="superscript"/>
        </w:rPr>
        <w:t>3</w:t>
      </w:r>
      <w:r>
        <w:rPr>
          <w:rFonts w:hint="eastAsia" w:hAnsi="宋体"/>
          <w:color w:val="0000FF"/>
          <w:sz w:val="24"/>
          <w:szCs w:val="24"/>
        </w:rPr>
        <w:t>/min</w:t>
      </w:r>
    </w:p>
    <w:p w14:paraId="795E89BF">
      <w:pPr>
        <w:pStyle w:val="29"/>
        <w:spacing w:line="360" w:lineRule="auto"/>
        <w:ind w:firstLine="480" w:firstLineChars="200"/>
        <w:rPr>
          <w:rFonts w:hint="eastAsia" w:hAnsi="宋体"/>
          <w:color w:val="FF0000"/>
          <w:sz w:val="24"/>
          <w:szCs w:val="24"/>
        </w:rPr>
      </w:pPr>
      <w:r>
        <w:rPr>
          <w:rFonts w:hint="eastAsia" w:hAnsi="宋体"/>
          <w:color w:val="0000FF"/>
          <w:sz w:val="24"/>
          <w:szCs w:val="24"/>
        </w:rPr>
        <w:t xml:space="preserve">      K——瓦斯抽放备用系数，取</w:t>
      </w:r>
      <w:r>
        <w:rPr>
          <w:rFonts w:hint="eastAsia" w:hAnsi="宋体"/>
          <w:color w:val="FF0000"/>
          <w:sz w:val="24"/>
          <w:szCs w:val="24"/>
        </w:rPr>
        <w:t>1.5</w:t>
      </w:r>
    </w:p>
    <w:p w14:paraId="66BED229">
      <w:pPr>
        <w:pStyle w:val="29"/>
        <w:spacing w:line="360" w:lineRule="auto"/>
        <w:ind w:firstLine="480" w:firstLineChars="200"/>
        <w:rPr>
          <w:rFonts w:hint="eastAsia" w:hAnsi="宋体"/>
          <w:color w:val="0000FF"/>
          <w:sz w:val="24"/>
          <w:szCs w:val="24"/>
        </w:rPr>
      </w:pPr>
      <w:r>
        <w:rPr>
          <w:rFonts w:hint="eastAsia" w:hAnsi="宋体"/>
          <w:color w:val="0000FF"/>
          <w:sz w:val="24"/>
          <w:szCs w:val="24"/>
        </w:rPr>
        <w:t xml:space="preserve">      X——瓦斯泵入口处的瓦斯浓度，取20%</w:t>
      </w:r>
    </w:p>
    <w:p w14:paraId="31069B10">
      <w:pPr>
        <w:pStyle w:val="29"/>
        <w:spacing w:line="360" w:lineRule="auto"/>
        <w:ind w:firstLine="480" w:firstLineChars="200"/>
        <w:rPr>
          <w:rFonts w:hint="eastAsia" w:hAnsi="宋体"/>
          <w:color w:val="0000FF"/>
          <w:sz w:val="24"/>
          <w:szCs w:val="24"/>
          <w:lang w:val="el-GR"/>
        </w:rPr>
      </w:pPr>
      <w:r>
        <w:rPr>
          <w:rFonts w:hint="eastAsia" w:hAnsi="宋体"/>
          <w:color w:val="0000FF"/>
          <w:sz w:val="24"/>
          <w:szCs w:val="24"/>
        </w:rPr>
        <w:t xml:space="preserve">      </w:t>
      </w:r>
      <w:r>
        <w:rPr>
          <w:rFonts w:hint="eastAsia" w:hAnsi="宋体"/>
          <w:color w:val="0000FF"/>
          <w:sz w:val="24"/>
          <w:szCs w:val="24"/>
          <w:lang w:val="el-GR"/>
        </w:rPr>
        <w:t>η——</w:t>
      </w:r>
      <w:r>
        <w:rPr>
          <w:rFonts w:hint="eastAsia" w:hAnsi="宋体"/>
          <w:color w:val="0000FF"/>
          <w:sz w:val="24"/>
          <w:szCs w:val="24"/>
        </w:rPr>
        <w:t>瓦斯泵的机械效率</w:t>
      </w:r>
      <w:r>
        <w:rPr>
          <w:rFonts w:hint="eastAsia" w:hAnsi="宋体"/>
          <w:color w:val="0000FF"/>
          <w:sz w:val="24"/>
          <w:szCs w:val="24"/>
          <w:lang w:val="el-GR"/>
        </w:rPr>
        <w:t>，80%</w:t>
      </w:r>
    </w:p>
    <w:p w14:paraId="264DEF4B">
      <w:pPr>
        <w:pStyle w:val="29"/>
        <w:spacing w:line="360" w:lineRule="auto"/>
        <w:ind w:firstLine="480" w:firstLineChars="200"/>
        <w:rPr>
          <w:rFonts w:hint="eastAsia" w:hAnsi="宋体"/>
          <w:color w:val="0000FF"/>
          <w:sz w:val="24"/>
          <w:szCs w:val="24"/>
        </w:rPr>
      </w:pPr>
      <w:r>
        <w:rPr>
          <w:rFonts w:hint="eastAsia" w:hAnsi="宋体"/>
          <w:color w:val="0000FF"/>
          <w:sz w:val="24"/>
          <w:szCs w:val="24"/>
        </w:rPr>
        <w:t>则瓦斯抽放泵流量：</w:t>
      </w:r>
    </w:p>
    <w:p w14:paraId="4C465FCA">
      <w:pPr>
        <w:pStyle w:val="29"/>
        <w:spacing w:line="360" w:lineRule="auto"/>
        <w:ind w:firstLine="480" w:firstLineChars="200"/>
        <w:rPr>
          <w:rFonts w:hint="eastAsia" w:hAnsi="宋体"/>
          <w:color w:val="0000FF"/>
          <w:sz w:val="24"/>
          <w:szCs w:val="24"/>
        </w:rPr>
      </w:pPr>
      <w:r>
        <w:rPr>
          <w:rFonts w:hint="eastAsia" w:hAnsi="宋体"/>
          <w:color w:val="0000FF"/>
          <w:sz w:val="24"/>
          <w:szCs w:val="24"/>
        </w:rPr>
        <w:t>Q</w:t>
      </w:r>
      <w:r>
        <w:rPr>
          <w:rFonts w:hint="eastAsia" w:hAnsi="宋体"/>
          <w:color w:val="0000FF"/>
          <w:sz w:val="24"/>
          <w:szCs w:val="24"/>
          <w:vertAlign w:val="subscript"/>
        </w:rPr>
        <w:t>泵</w:t>
      </w:r>
      <w:r>
        <w:rPr>
          <w:rFonts w:hint="eastAsia" w:hAnsi="宋体"/>
          <w:color w:val="0000FF"/>
          <w:sz w:val="24"/>
          <w:szCs w:val="24"/>
        </w:rPr>
        <w:t>=7.8×</w:t>
      </w:r>
      <w:r>
        <w:rPr>
          <w:rFonts w:hint="eastAsia" w:hAnsi="宋体"/>
          <w:color w:val="FF0000"/>
          <w:sz w:val="24"/>
          <w:szCs w:val="24"/>
        </w:rPr>
        <w:t>1.5</w:t>
      </w:r>
      <w:r>
        <w:rPr>
          <w:rFonts w:hint="eastAsia" w:hAnsi="宋体"/>
          <w:color w:val="0000FF"/>
          <w:sz w:val="24"/>
          <w:szCs w:val="24"/>
        </w:rPr>
        <w:t>/(0.20×0.8)=73.1m</w:t>
      </w:r>
      <w:r>
        <w:rPr>
          <w:rFonts w:hint="eastAsia" w:hAnsi="宋体"/>
          <w:color w:val="0000FF"/>
          <w:sz w:val="24"/>
          <w:szCs w:val="24"/>
          <w:vertAlign w:val="superscript"/>
        </w:rPr>
        <w:t>3</w:t>
      </w:r>
      <w:r>
        <w:rPr>
          <w:rFonts w:hint="eastAsia" w:hAnsi="宋体"/>
          <w:color w:val="0000FF"/>
          <w:sz w:val="24"/>
          <w:szCs w:val="24"/>
        </w:rPr>
        <w:t>/min</w:t>
      </w:r>
    </w:p>
    <w:p w14:paraId="08B9920C">
      <w:pPr>
        <w:pStyle w:val="29"/>
        <w:spacing w:line="360" w:lineRule="auto"/>
        <w:ind w:firstLine="480" w:firstLineChars="200"/>
        <w:rPr>
          <w:rFonts w:hint="eastAsia" w:hAnsi="宋体"/>
          <w:sz w:val="24"/>
          <w:szCs w:val="24"/>
        </w:rPr>
      </w:pPr>
      <w:r>
        <w:rPr>
          <w:rFonts w:hint="eastAsia" w:hAnsi="宋体"/>
          <w:sz w:val="24"/>
          <w:szCs w:val="24"/>
        </w:rPr>
        <w:t>(3）瓦斯泵选型</w:t>
      </w:r>
    </w:p>
    <w:p w14:paraId="68F94464">
      <w:pPr>
        <w:pStyle w:val="29"/>
        <w:spacing w:line="360" w:lineRule="auto"/>
        <w:ind w:firstLine="480" w:firstLineChars="200"/>
        <w:rPr>
          <w:rFonts w:hint="eastAsia" w:hAnsi="宋体"/>
          <w:color w:val="0000FF"/>
          <w:sz w:val="24"/>
          <w:szCs w:val="24"/>
        </w:rPr>
      </w:pPr>
      <w:r>
        <w:rPr>
          <w:rFonts w:hint="eastAsia" w:hAnsi="宋体"/>
          <w:color w:val="0000FF"/>
          <w:sz w:val="24"/>
          <w:szCs w:val="24"/>
        </w:rPr>
        <w:t>根据上述计算数据，选用高效节能的水环式真空泵：2BEP40型（n=440rpm）二台，其中：一台工作、一台备用；其额定参数为：Q=92.5m</w:t>
      </w:r>
      <w:r>
        <w:rPr>
          <w:rFonts w:hint="eastAsia" w:hAnsi="宋体"/>
          <w:color w:val="0000FF"/>
          <w:sz w:val="24"/>
          <w:szCs w:val="24"/>
          <w:vertAlign w:val="superscript"/>
        </w:rPr>
        <w:t>3</w:t>
      </w:r>
      <w:r>
        <w:rPr>
          <w:rFonts w:hint="eastAsia" w:hAnsi="宋体"/>
          <w:color w:val="0000FF"/>
          <w:sz w:val="24"/>
          <w:szCs w:val="24"/>
        </w:rPr>
        <w:t>/min，H=40kPa，轴功率115kW，耗水量3m</w:t>
      </w:r>
      <w:r>
        <w:rPr>
          <w:rFonts w:hint="eastAsia" w:hAnsi="宋体"/>
          <w:color w:val="0000FF"/>
          <w:sz w:val="24"/>
          <w:szCs w:val="24"/>
          <w:vertAlign w:val="superscript"/>
        </w:rPr>
        <w:t>3</w:t>
      </w:r>
      <w:r>
        <w:rPr>
          <w:rFonts w:hint="eastAsia" w:hAnsi="宋体"/>
          <w:color w:val="0000FF"/>
          <w:sz w:val="24"/>
          <w:szCs w:val="24"/>
        </w:rPr>
        <w:t>/h台；选配防爆电动机YB315L2—6、132kW、660V二台；</w:t>
      </w:r>
    </w:p>
    <w:p w14:paraId="7D796C52">
      <w:pPr>
        <w:pStyle w:val="29"/>
        <w:spacing w:line="360" w:lineRule="auto"/>
        <w:ind w:firstLine="480" w:firstLineChars="200"/>
        <w:rPr>
          <w:rFonts w:hint="eastAsia" w:hAnsi="宋体"/>
          <w:sz w:val="24"/>
          <w:szCs w:val="24"/>
        </w:rPr>
      </w:pPr>
      <w:r>
        <w:rPr>
          <w:rFonts w:hint="eastAsia" w:hAnsi="宋体"/>
          <w:sz w:val="24"/>
          <w:szCs w:val="24"/>
        </w:rPr>
        <w:t>（4）瓦斯抽放设备冷却</w:t>
      </w:r>
    </w:p>
    <w:p w14:paraId="60631A7E">
      <w:pPr>
        <w:spacing w:line="360" w:lineRule="auto"/>
        <w:ind w:firstLine="480" w:firstLineChars="200"/>
        <w:rPr>
          <w:rFonts w:hint="eastAsia" w:ascii="宋体" w:hAnsi="宋体"/>
          <w:color w:val="000000"/>
          <w:sz w:val="24"/>
        </w:rPr>
      </w:pPr>
      <w:r>
        <w:rPr>
          <w:rFonts w:hint="eastAsia" w:ascii="宋体" w:hAnsi="宋体"/>
          <w:color w:val="000000"/>
          <w:sz w:val="24"/>
        </w:rPr>
        <w:t>采用循环水冷却方式，选用冷却水泵：IS50－32－125型2台（一台工作，一台备用），配套防爆电动机YB90L-2，2.2kW，380V。</w:t>
      </w:r>
    </w:p>
    <w:p w14:paraId="0674A5A4">
      <w:pPr>
        <w:spacing w:line="360" w:lineRule="auto"/>
        <w:ind w:firstLine="480" w:firstLineChars="200"/>
        <w:rPr>
          <w:rFonts w:hint="eastAsia" w:ascii="宋体" w:hAnsi="宋体"/>
          <w:color w:val="000000"/>
          <w:sz w:val="24"/>
        </w:rPr>
      </w:pPr>
      <w:r>
        <w:rPr>
          <w:rFonts w:hint="eastAsia" w:ascii="宋体" w:hAnsi="宋体"/>
          <w:color w:val="000000"/>
          <w:sz w:val="24"/>
        </w:rPr>
        <w:t>（5）其它瓦斯防治措施</w:t>
      </w:r>
    </w:p>
    <w:p w14:paraId="4D5A60E2">
      <w:pPr>
        <w:spacing w:line="360" w:lineRule="auto"/>
        <w:ind w:firstLine="480" w:firstLineChars="200"/>
        <w:rPr>
          <w:rFonts w:hint="eastAsia" w:ascii="宋体" w:hAnsi="宋体"/>
          <w:color w:val="000000"/>
          <w:sz w:val="24"/>
        </w:rPr>
      </w:pPr>
      <w:r>
        <w:rPr>
          <w:rFonts w:hint="eastAsia" w:ascii="宋体" w:hAnsi="宋体"/>
          <w:color w:val="000000"/>
          <w:sz w:val="24"/>
        </w:rPr>
        <w:t>本设计除建立完善的通风系统和可靠的瓦斯抽放系统外，还考虑采取如下措施综合防治瓦斯：</w:t>
      </w:r>
    </w:p>
    <w:p w14:paraId="70E34C67">
      <w:pPr>
        <w:spacing w:line="360" w:lineRule="auto"/>
        <w:ind w:firstLine="480" w:firstLineChars="200"/>
        <w:rPr>
          <w:rFonts w:hint="eastAsia" w:ascii="宋体" w:hAnsi="宋体"/>
          <w:color w:val="000000"/>
          <w:sz w:val="24"/>
        </w:rPr>
      </w:pPr>
      <w:r>
        <w:rPr>
          <w:rFonts w:hint="eastAsia" w:ascii="宋体" w:hAnsi="宋体"/>
          <w:color w:val="000000"/>
          <w:sz w:val="24"/>
        </w:rPr>
        <w:t>A 建立先进的安全生产监控系统，对矿井瓦斯、风速等进行连续自  动监测，及时、准确地掌握和了解井下通风、瓦斯等情况。</w:t>
      </w:r>
    </w:p>
    <w:p w14:paraId="7512516A">
      <w:pPr>
        <w:spacing w:line="360" w:lineRule="auto"/>
        <w:ind w:firstLine="480" w:firstLineChars="200"/>
        <w:rPr>
          <w:rFonts w:hint="eastAsia" w:ascii="宋体" w:hAnsi="宋体"/>
          <w:color w:val="000000"/>
          <w:sz w:val="24"/>
        </w:rPr>
      </w:pPr>
      <w:r>
        <w:rPr>
          <w:rFonts w:hint="eastAsia" w:ascii="宋体" w:hAnsi="宋体"/>
          <w:color w:val="000000"/>
          <w:sz w:val="24"/>
        </w:rPr>
        <w:t>B 配备个体巡回检测设备等安全仪表，通过巡回检测，随时了解井下瓦斯隐患情况，防患于未然。</w:t>
      </w:r>
    </w:p>
    <w:p w14:paraId="6E685011">
      <w:pPr>
        <w:spacing w:line="360" w:lineRule="auto"/>
        <w:ind w:firstLine="480" w:firstLineChars="200"/>
        <w:rPr>
          <w:rFonts w:hint="eastAsia" w:ascii="宋体" w:hAnsi="宋体"/>
          <w:color w:val="000000"/>
          <w:sz w:val="24"/>
        </w:rPr>
      </w:pPr>
      <w:r>
        <w:rPr>
          <w:rFonts w:hint="eastAsia" w:ascii="宋体" w:hAnsi="宋体"/>
          <w:color w:val="000000"/>
          <w:sz w:val="24"/>
        </w:rPr>
        <w:t>C 在生产过程中，严格执行《煤矿安全规程》中的有关规定，加强通风瓦斯检查、管理工作。并加强矿井瓦斯地质等基础工作，为矿井通风瓦斯科学管理提供可靠的依据。</w:t>
      </w:r>
    </w:p>
    <w:p w14:paraId="31CD3CBA">
      <w:pPr>
        <w:spacing w:line="360" w:lineRule="auto"/>
        <w:ind w:firstLine="480" w:firstLineChars="200"/>
        <w:rPr>
          <w:rFonts w:hint="eastAsia" w:ascii="宋体" w:hAnsi="宋体"/>
          <w:color w:val="000000"/>
          <w:sz w:val="24"/>
        </w:rPr>
      </w:pPr>
      <w:r>
        <w:rPr>
          <w:rFonts w:hint="eastAsia" w:ascii="宋体" w:hAnsi="宋体"/>
          <w:color w:val="000000"/>
          <w:sz w:val="24"/>
        </w:rPr>
        <w:t>（6）抽放巷道选择</w:t>
      </w:r>
    </w:p>
    <w:p w14:paraId="35B8E762">
      <w:pPr>
        <w:spacing w:line="360" w:lineRule="auto"/>
        <w:ind w:firstLine="480" w:firstLineChars="200"/>
        <w:rPr>
          <w:rFonts w:hint="eastAsia" w:ascii="宋体" w:hAnsi="宋体"/>
          <w:color w:val="000000"/>
          <w:sz w:val="24"/>
        </w:rPr>
      </w:pPr>
      <w:r>
        <w:rPr>
          <w:rFonts w:hint="eastAsia" w:ascii="宋体" w:hAnsi="宋体"/>
          <w:color w:val="000000"/>
          <w:sz w:val="24"/>
        </w:rPr>
        <w:t>瓦斯抽放巷道，选择在工作面回风顺槽；</w:t>
      </w:r>
    </w:p>
    <w:p w14:paraId="12F2196A">
      <w:pPr>
        <w:spacing w:line="360" w:lineRule="auto"/>
        <w:ind w:firstLine="480" w:firstLineChars="200"/>
        <w:rPr>
          <w:rFonts w:ascii="宋体" w:hAnsi="宋体"/>
          <w:color w:val="000000"/>
          <w:sz w:val="24"/>
        </w:rPr>
      </w:pPr>
      <w:r>
        <w:rPr>
          <w:rFonts w:hint="eastAsia" w:ascii="宋体" w:hAnsi="宋体"/>
          <w:color w:val="000000"/>
          <w:sz w:val="24"/>
        </w:rPr>
        <w:t>（7）</w:t>
      </w:r>
      <w:r>
        <w:rPr>
          <w:rFonts w:ascii="宋体" w:hAnsi="宋体"/>
          <w:color w:val="000000"/>
          <w:sz w:val="24"/>
        </w:rPr>
        <w:t>抽放泵房主要附属设备电气防爆措施</w:t>
      </w:r>
    </w:p>
    <w:p w14:paraId="5C406723">
      <w:pPr>
        <w:spacing w:line="360" w:lineRule="auto"/>
        <w:ind w:firstLine="480" w:firstLineChars="200"/>
        <w:rPr>
          <w:rFonts w:hint="eastAsia" w:ascii="宋体" w:hAnsi="宋体"/>
          <w:color w:val="000000"/>
          <w:sz w:val="24"/>
        </w:rPr>
      </w:pPr>
      <w:r>
        <w:rPr>
          <w:rFonts w:ascii="宋体" w:hAnsi="宋体"/>
          <w:color w:val="000000"/>
          <w:sz w:val="24"/>
        </w:rPr>
        <w:t>瓦斯抽放泵站及管路</w:t>
      </w:r>
      <w:r>
        <w:rPr>
          <w:rFonts w:hint="eastAsia" w:ascii="宋体" w:hAnsi="宋体"/>
          <w:color w:val="000000"/>
          <w:sz w:val="24"/>
        </w:rPr>
        <w:t>必须设置</w:t>
      </w:r>
      <w:r>
        <w:rPr>
          <w:rFonts w:ascii="宋体" w:hAnsi="宋体"/>
          <w:color w:val="000000"/>
          <w:sz w:val="24"/>
        </w:rPr>
        <w:t>防雷</w:t>
      </w:r>
      <w:r>
        <w:rPr>
          <w:rFonts w:hint="eastAsia" w:ascii="宋体" w:hAnsi="宋体"/>
          <w:color w:val="000000"/>
          <w:sz w:val="24"/>
        </w:rPr>
        <w:t>击</w:t>
      </w:r>
      <w:r>
        <w:rPr>
          <w:rFonts w:ascii="宋体" w:hAnsi="宋体"/>
          <w:color w:val="000000"/>
          <w:sz w:val="24"/>
        </w:rPr>
        <w:t>、防静电、防爆</w:t>
      </w:r>
      <w:r>
        <w:rPr>
          <w:rFonts w:hint="eastAsia" w:ascii="宋体" w:hAnsi="宋体"/>
          <w:color w:val="000000"/>
          <w:sz w:val="24"/>
        </w:rPr>
        <w:t>炸、</w:t>
      </w:r>
      <w:r>
        <w:rPr>
          <w:rFonts w:ascii="宋体" w:hAnsi="宋体"/>
          <w:color w:val="000000"/>
          <w:sz w:val="24"/>
        </w:rPr>
        <w:t>防回火装置</w:t>
      </w:r>
      <w:r>
        <w:rPr>
          <w:rFonts w:hint="eastAsia" w:ascii="宋体" w:hAnsi="宋体"/>
          <w:color w:val="000000"/>
          <w:sz w:val="24"/>
        </w:rPr>
        <w:t>，并制订严格的定期检查制度，保持性能良好。</w:t>
      </w:r>
      <w:r>
        <w:rPr>
          <w:rFonts w:ascii="宋体" w:hAnsi="宋体"/>
          <w:color w:val="000000"/>
          <w:sz w:val="24"/>
        </w:rPr>
        <w:t>泵的进出口必须设放空管</w:t>
      </w:r>
      <w:r>
        <w:rPr>
          <w:rFonts w:hint="eastAsia" w:ascii="宋体" w:hAnsi="宋体"/>
          <w:color w:val="000000"/>
          <w:sz w:val="24"/>
        </w:rPr>
        <w:t>，其高度应超过泵房房顶3m以上</w:t>
      </w:r>
      <w:r>
        <w:rPr>
          <w:rFonts w:ascii="宋体" w:hAnsi="宋体"/>
          <w:color w:val="000000"/>
          <w:sz w:val="24"/>
        </w:rPr>
        <w:t>。所有电气设备</w:t>
      </w:r>
      <w:r>
        <w:rPr>
          <w:rFonts w:hint="eastAsia" w:ascii="宋体" w:hAnsi="宋体"/>
          <w:color w:val="000000"/>
          <w:sz w:val="24"/>
        </w:rPr>
        <w:t>、仪器仪表</w:t>
      </w:r>
      <w:r>
        <w:rPr>
          <w:rFonts w:ascii="宋体" w:hAnsi="宋体"/>
          <w:color w:val="000000"/>
          <w:sz w:val="24"/>
        </w:rPr>
        <w:t>均采用隔爆型。</w:t>
      </w:r>
    </w:p>
    <w:p w14:paraId="3A58A557">
      <w:pPr>
        <w:spacing w:line="360" w:lineRule="auto"/>
        <w:ind w:firstLine="480" w:firstLineChars="200"/>
        <w:rPr>
          <w:rFonts w:hint="eastAsia" w:ascii="宋体" w:hAnsi="宋体"/>
          <w:color w:val="000000"/>
          <w:sz w:val="24"/>
        </w:rPr>
      </w:pPr>
      <w:r>
        <w:rPr>
          <w:rFonts w:hint="eastAsia" w:ascii="宋体" w:hAnsi="宋体"/>
          <w:color w:val="000000"/>
          <w:sz w:val="24"/>
        </w:rPr>
        <w:t>① 井下瓦斯管路的敷设要求</w:t>
      </w:r>
    </w:p>
    <w:p w14:paraId="3E06F8E8">
      <w:pPr>
        <w:spacing w:line="360" w:lineRule="auto"/>
        <w:ind w:firstLine="480" w:firstLineChars="200"/>
        <w:rPr>
          <w:rFonts w:hint="eastAsia" w:ascii="宋体" w:hAnsi="宋体"/>
          <w:color w:val="000000"/>
          <w:sz w:val="24"/>
        </w:rPr>
      </w:pPr>
      <w:r>
        <w:rPr>
          <w:rFonts w:ascii="宋体" w:hAnsi="宋体"/>
          <w:color w:val="000000"/>
          <w:sz w:val="24"/>
        </w:rPr>
        <w:t>A</w:t>
      </w:r>
      <w:r>
        <w:rPr>
          <w:rFonts w:hint="eastAsia" w:ascii="宋体" w:hAnsi="宋体"/>
          <w:color w:val="000000"/>
          <w:sz w:val="24"/>
        </w:rPr>
        <w:t xml:space="preserve"> 瓦斯管路需涂防腐剂，以防锈蚀。 </w:t>
      </w:r>
    </w:p>
    <w:p w14:paraId="3D0E9AD6">
      <w:pPr>
        <w:spacing w:line="360" w:lineRule="auto"/>
        <w:ind w:firstLine="480" w:firstLineChars="200"/>
        <w:rPr>
          <w:rFonts w:hint="eastAsia" w:ascii="宋体" w:hAnsi="宋体"/>
          <w:color w:val="000000"/>
          <w:sz w:val="24"/>
        </w:rPr>
      </w:pPr>
      <w:r>
        <w:rPr>
          <w:rFonts w:ascii="宋体" w:hAnsi="宋体"/>
          <w:color w:val="000000"/>
          <w:sz w:val="24"/>
        </w:rPr>
        <w:t>B</w:t>
      </w:r>
      <w:r>
        <w:rPr>
          <w:rFonts w:hint="eastAsia" w:ascii="宋体" w:hAnsi="宋体"/>
          <w:color w:val="000000"/>
          <w:sz w:val="24"/>
        </w:rPr>
        <w:t xml:space="preserve"> 管路底部应垫木垫，垫起高度不低于30cm 。</w:t>
      </w:r>
    </w:p>
    <w:p w14:paraId="21BD0721">
      <w:pPr>
        <w:spacing w:line="360" w:lineRule="auto"/>
        <w:ind w:firstLine="480" w:firstLineChars="200"/>
        <w:rPr>
          <w:rFonts w:hint="eastAsia" w:ascii="宋体" w:hAnsi="宋体"/>
          <w:color w:val="000000"/>
          <w:sz w:val="24"/>
        </w:rPr>
      </w:pPr>
      <w:r>
        <w:rPr>
          <w:rFonts w:ascii="宋体" w:hAnsi="宋体"/>
          <w:color w:val="000000"/>
          <w:sz w:val="24"/>
        </w:rPr>
        <w:t>C</w:t>
      </w:r>
      <w:r>
        <w:rPr>
          <w:rFonts w:hint="eastAsia" w:ascii="宋体" w:hAnsi="宋体"/>
          <w:color w:val="000000"/>
          <w:sz w:val="24"/>
        </w:rPr>
        <w:t xml:space="preserve"> 倾斜巷道的管路，应用卡子将管路固定在巷道支护上，以免下滑。</w:t>
      </w:r>
    </w:p>
    <w:p w14:paraId="0AA279B5">
      <w:pPr>
        <w:spacing w:line="360" w:lineRule="auto"/>
        <w:ind w:firstLine="480" w:firstLineChars="200"/>
        <w:rPr>
          <w:rFonts w:hint="eastAsia" w:ascii="宋体" w:hAnsi="宋体"/>
          <w:color w:val="000000"/>
          <w:sz w:val="24"/>
        </w:rPr>
      </w:pPr>
      <w:r>
        <w:rPr>
          <w:rFonts w:ascii="宋体" w:hAnsi="宋体"/>
          <w:color w:val="000000"/>
          <w:sz w:val="24"/>
        </w:rPr>
        <w:t>D</w:t>
      </w:r>
      <w:r>
        <w:rPr>
          <w:rFonts w:hint="eastAsia" w:ascii="宋体" w:hAnsi="宋体"/>
          <w:color w:val="000000"/>
          <w:sz w:val="24"/>
        </w:rPr>
        <w:t xml:space="preserve"> 管路敷设要求平直，避免急弯。</w:t>
      </w:r>
    </w:p>
    <w:p w14:paraId="63C20695">
      <w:pPr>
        <w:spacing w:line="360" w:lineRule="auto"/>
        <w:ind w:firstLine="480" w:firstLineChars="200"/>
        <w:rPr>
          <w:rFonts w:hint="eastAsia" w:ascii="宋体" w:hAnsi="宋体"/>
          <w:color w:val="000000"/>
          <w:sz w:val="24"/>
        </w:rPr>
      </w:pPr>
      <w:r>
        <w:rPr>
          <w:rFonts w:ascii="宋体" w:hAnsi="宋体"/>
          <w:color w:val="000000"/>
          <w:sz w:val="24"/>
        </w:rPr>
        <w:t>E</w:t>
      </w:r>
      <w:r>
        <w:rPr>
          <w:rFonts w:hint="eastAsia" w:ascii="宋体" w:hAnsi="宋体"/>
          <w:color w:val="000000"/>
          <w:sz w:val="24"/>
        </w:rPr>
        <w:t xml:space="preserve"> 主要运输顺槽道中的瓦斯管路架设不得小于1.8m。</w:t>
      </w:r>
    </w:p>
    <w:p w14:paraId="356CAD3C">
      <w:pPr>
        <w:spacing w:line="360" w:lineRule="auto"/>
        <w:ind w:firstLine="480" w:firstLineChars="200"/>
        <w:rPr>
          <w:rFonts w:hint="eastAsia" w:ascii="宋体" w:hAnsi="宋体"/>
          <w:color w:val="000000"/>
          <w:sz w:val="24"/>
        </w:rPr>
      </w:pPr>
      <w:r>
        <w:rPr>
          <w:rFonts w:ascii="宋体" w:hAnsi="宋体"/>
          <w:color w:val="000000"/>
          <w:sz w:val="24"/>
        </w:rPr>
        <w:t>F</w:t>
      </w:r>
      <w:r>
        <w:rPr>
          <w:rFonts w:hint="eastAsia" w:ascii="宋体" w:hAnsi="宋体"/>
          <w:color w:val="000000"/>
          <w:sz w:val="24"/>
        </w:rPr>
        <w:t xml:space="preserve"> 管路敷设时，要求坡度尽量一致，避免高低起伏，低洼处需安装放水器。</w:t>
      </w:r>
    </w:p>
    <w:p w14:paraId="5183A04A">
      <w:pPr>
        <w:spacing w:line="360" w:lineRule="auto"/>
        <w:ind w:firstLine="480" w:firstLineChars="200"/>
        <w:rPr>
          <w:rFonts w:hint="eastAsia" w:ascii="宋体" w:hAnsi="宋体"/>
          <w:color w:val="000000"/>
          <w:sz w:val="24"/>
        </w:rPr>
      </w:pPr>
      <w:r>
        <w:rPr>
          <w:rFonts w:ascii="宋体" w:hAnsi="宋体"/>
          <w:color w:val="000000"/>
          <w:sz w:val="24"/>
        </w:rPr>
        <w:t>G</w:t>
      </w:r>
      <w:r>
        <w:rPr>
          <w:rFonts w:hint="eastAsia" w:ascii="宋体" w:hAnsi="宋体"/>
          <w:color w:val="000000"/>
          <w:sz w:val="24"/>
        </w:rPr>
        <w:t xml:space="preserve"> 敷设的管路要求进行气密性检查。</w:t>
      </w:r>
    </w:p>
    <w:p w14:paraId="426C5EA8">
      <w:pPr>
        <w:spacing w:line="360" w:lineRule="auto"/>
        <w:ind w:firstLine="480" w:firstLineChars="200"/>
        <w:rPr>
          <w:rFonts w:hint="eastAsia" w:ascii="宋体" w:hAnsi="宋体"/>
          <w:color w:val="000000"/>
          <w:sz w:val="24"/>
        </w:rPr>
      </w:pPr>
      <w:r>
        <w:rPr>
          <w:rFonts w:hint="eastAsia" w:ascii="宋体" w:hAnsi="宋体"/>
          <w:color w:val="000000"/>
          <w:sz w:val="24"/>
        </w:rPr>
        <w:t>② 附属装置</w:t>
      </w:r>
    </w:p>
    <w:p w14:paraId="2A9761A0">
      <w:pPr>
        <w:spacing w:line="360" w:lineRule="auto"/>
        <w:ind w:firstLine="480" w:firstLineChars="200"/>
        <w:rPr>
          <w:rFonts w:hint="eastAsia" w:ascii="宋体" w:hAnsi="宋体"/>
          <w:color w:val="000000"/>
          <w:sz w:val="24"/>
        </w:rPr>
      </w:pPr>
      <w:r>
        <w:rPr>
          <w:rFonts w:hint="eastAsia" w:ascii="宋体" w:hAnsi="宋体"/>
          <w:color w:val="000000"/>
          <w:sz w:val="24"/>
        </w:rPr>
        <w:t>管路系统的附属装置有各类阀门、测压嘴、计量装置、钻孔(场)连接装置、放水器、防爆阻火器等。</w:t>
      </w:r>
    </w:p>
    <w:p w14:paraId="3FC8A369">
      <w:pPr>
        <w:spacing w:line="360" w:lineRule="auto"/>
        <w:ind w:firstLine="480" w:firstLineChars="200"/>
        <w:rPr>
          <w:rFonts w:hint="eastAsia" w:ascii="宋体" w:hAnsi="宋体"/>
          <w:color w:val="000000"/>
          <w:sz w:val="24"/>
        </w:rPr>
      </w:pPr>
      <w:r>
        <w:rPr>
          <w:rFonts w:ascii="宋体" w:hAnsi="宋体"/>
          <w:color w:val="000000"/>
          <w:sz w:val="24"/>
        </w:rPr>
        <w:t>A</w:t>
      </w:r>
      <w:r>
        <w:rPr>
          <w:rFonts w:hint="eastAsia" w:ascii="宋体" w:hAnsi="宋体"/>
          <w:color w:val="000000"/>
          <w:sz w:val="24"/>
        </w:rPr>
        <w:t xml:space="preserve"> 瓦斯泵出入口阀门，每台瓦斯泵的入口和出口各一个。要求阻力小，最好使用闸板式阀门。</w:t>
      </w:r>
    </w:p>
    <w:p w14:paraId="443D3E86">
      <w:pPr>
        <w:spacing w:line="360" w:lineRule="auto"/>
        <w:ind w:firstLine="480" w:firstLineChars="200"/>
        <w:rPr>
          <w:rFonts w:hint="eastAsia" w:ascii="宋体" w:hAnsi="宋体"/>
          <w:color w:val="000000"/>
          <w:kern w:val="0"/>
          <w:sz w:val="24"/>
        </w:rPr>
      </w:pPr>
      <w:r>
        <w:rPr>
          <w:rFonts w:ascii="宋体" w:hAnsi="宋体"/>
          <w:color w:val="000000"/>
          <w:kern w:val="0"/>
          <w:sz w:val="24"/>
        </w:rPr>
        <w:t>B</w:t>
      </w:r>
      <w:r>
        <w:rPr>
          <w:rFonts w:hint="eastAsia" w:ascii="宋体" w:hAnsi="宋体"/>
          <w:color w:val="000000"/>
          <w:kern w:val="0"/>
          <w:sz w:val="24"/>
        </w:rPr>
        <w:t xml:space="preserve"> 入口负压测量装置—静压管。</w:t>
      </w:r>
    </w:p>
    <w:p w14:paraId="7ACC5BEE">
      <w:pPr>
        <w:spacing w:line="360" w:lineRule="auto"/>
        <w:ind w:firstLine="480" w:firstLineChars="200"/>
        <w:rPr>
          <w:rFonts w:hint="eastAsia" w:ascii="宋体" w:hAnsi="宋体"/>
          <w:color w:val="000000"/>
          <w:kern w:val="0"/>
          <w:sz w:val="24"/>
        </w:rPr>
      </w:pPr>
      <w:r>
        <w:rPr>
          <w:rFonts w:ascii="宋体" w:hAnsi="宋体"/>
          <w:color w:val="000000"/>
          <w:kern w:val="0"/>
          <w:sz w:val="24"/>
        </w:rPr>
        <w:t>C</w:t>
      </w:r>
      <w:r>
        <w:rPr>
          <w:rFonts w:hint="eastAsia" w:ascii="宋体" w:hAnsi="宋体"/>
          <w:color w:val="000000"/>
          <w:kern w:val="0"/>
          <w:sz w:val="24"/>
        </w:rPr>
        <w:t xml:space="preserve"> 出口正压测量装置—静压管。</w:t>
      </w:r>
    </w:p>
    <w:p w14:paraId="69479C2C">
      <w:pPr>
        <w:spacing w:line="360" w:lineRule="auto"/>
        <w:ind w:firstLine="480" w:firstLineChars="200"/>
        <w:rPr>
          <w:rFonts w:hint="eastAsia" w:ascii="宋体" w:hAnsi="宋体"/>
          <w:color w:val="000000"/>
          <w:kern w:val="0"/>
          <w:sz w:val="24"/>
        </w:rPr>
      </w:pPr>
      <w:r>
        <w:rPr>
          <w:rFonts w:ascii="宋体" w:hAnsi="宋体"/>
          <w:color w:val="000000"/>
          <w:kern w:val="0"/>
          <w:sz w:val="24"/>
        </w:rPr>
        <w:t>D</w:t>
      </w:r>
      <w:r>
        <w:rPr>
          <w:rFonts w:hint="eastAsia" w:ascii="宋体" w:hAnsi="宋体"/>
          <w:color w:val="000000"/>
          <w:kern w:val="0"/>
          <w:sz w:val="24"/>
        </w:rPr>
        <w:t xml:space="preserve"> 测量测定装置—流量、压力、浓度测量计等。</w:t>
      </w:r>
    </w:p>
    <w:p w14:paraId="7F1FA6F3">
      <w:pPr>
        <w:spacing w:line="360" w:lineRule="auto"/>
        <w:ind w:firstLine="480" w:firstLineChars="200"/>
        <w:rPr>
          <w:rFonts w:hint="eastAsia" w:ascii="宋体" w:hAnsi="宋体"/>
          <w:color w:val="000000"/>
          <w:kern w:val="0"/>
          <w:sz w:val="24"/>
        </w:rPr>
      </w:pPr>
      <w:r>
        <w:rPr>
          <w:rFonts w:ascii="宋体" w:hAnsi="宋体"/>
          <w:color w:val="000000"/>
          <w:kern w:val="0"/>
          <w:sz w:val="24"/>
        </w:rPr>
        <w:t>E</w:t>
      </w:r>
      <w:r>
        <w:rPr>
          <w:rFonts w:hint="eastAsia" w:ascii="宋体" w:hAnsi="宋体"/>
          <w:color w:val="000000"/>
          <w:kern w:val="0"/>
          <w:sz w:val="24"/>
        </w:rPr>
        <w:t xml:space="preserve"> 瓦斯泵要有独立的供电系统，由地变电所引两回独立线路至瓦斯抽放泵。</w:t>
      </w:r>
    </w:p>
    <w:p w14:paraId="24057B18">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四、抽放瓦斯站</w:t>
      </w:r>
    </w:p>
    <w:p w14:paraId="585A70FC">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㈠ 抽放瓦斯泵房及附属设备布置</w:t>
      </w:r>
    </w:p>
    <w:p w14:paraId="46FD58D0">
      <w:pPr>
        <w:spacing w:line="360" w:lineRule="auto"/>
        <w:ind w:firstLine="480" w:firstLineChars="200"/>
        <w:rPr>
          <w:rFonts w:hint="eastAsia" w:ascii="宋体" w:hAnsi="宋体"/>
          <w:color w:val="000000"/>
          <w:kern w:val="0"/>
          <w:sz w:val="24"/>
        </w:rPr>
      </w:pPr>
      <w:r>
        <w:rPr>
          <w:rFonts w:ascii="宋体" w:hAnsi="宋体"/>
          <w:color w:val="000000"/>
          <w:kern w:val="0"/>
          <w:sz w:val="24"/>
        </w:rPr>
        <w:t>瓦斯抽放泵、</w:t>
      </w:r>
      <w:r>
        <w:rPr>
          <w:rFonts w:hint="eastAsia" w:ascii="宋体" w:hAnsi="宋体"/>
          <w:color w:val="000000"/>
          <w:kern w:val="0"/>
          <w:sz w:val="24"/>
        </w:rPr>
        <w:t>电控设备、补水泵等布置在机房内，</w:t>
      </w:r>
      <w:r>
        <w:rPr>
          <w:rFonts w:ascii="宋体" w:hAnsi="宋体"/>
          <w:color w:val="000000"/>
          <w:kern w:val="0"/>
          <w:sz w:val="24"/>
        </w:rPr>
        <w:t>防爆</w:t>
      </w:r>
      <w:r>
        <w:rPr>
          <w:rFonts w:hint="eastAsia" w:ascii="宋体" w:hAnsi="宋体"/>
          <w:color w:val="000000"/>
          <w:kern w:val="0"/>
          <w:sz w:val="24"/>
        </w:rPr>
        <w:t>炸、</w:t>
      </w:r>
      <w:r>
        <w:rPr>
          <w:rFonts w:ascii="宋体" w:hAnsi="宋体"/>
          <w:color w:val="000000"/>
          <w:kern w:val="0"/>
          <w:sz w:val="24"/>
        </w:rPr>
        <w:t>防回火装置</w:t>
      </w:r>
      <w:r>
        <w:rPr>
          <w:rFonts w:hint="eastAsia" w:ascii="宋体" w:hAnsi="宋体"/>
          <w:color w:val="000000"/>
          <w:kern w:val="0"/>
          <w:sz w:val="24"/>
        </w:rPr>
        <w:t>、</w:t>
      </w:r>
      <w:r>
        <w:rPr>
          <w:rFonts w:ascii="宋体" w:hAnsi="宋体"/>
          <w:color w:val="000000"/>
          <w:kern w:val="0"/>
          <w:sz w:val="24"/>
        </w:rPr>
        <w:t>放空管</w:t>
      </w:r>
      <w:r>
        <w:rPr>
          <w:rFonts w:hint="eastAsia" w:ascii="宋体" w:hAnsi="宋体"/>
          <w:color w:val="000000"/>
          <w:kern w:val="0"/>
          <w:sz w:val="24"/>
        </w:rPr>
        <w:t>等布置在室外。机房条形布局，要考虑防冻设施。供水系统要考虑消防容量。</w:t>
      </w:r>
    </w:p>
    <w:p w14:paraId="36235225">
      <w:pPr>
        <w:spacing w:line="360" w:lineRule="auto"/>
        <w:ind w:firstLine="480" w:firstLineChars="200"/>
        <w:rPr>
          <w:rFonts w:hint="eastAsia" w:ascii="宋体" w:hAnsi="宋体"/>
          <w:color w:val="000000"/>
          <w:sz w:val="24"/>
        </w:rPr>
      </w:pPr>
      <w:r>
        <w:rPr>
          <w:rFonts w:hint="eastAsia" w:ascii="宋体" w:hAnsi="宋体"/>
          <w:color w:val="000000"/>
          <w:sz w:val="24"/>
        </w:rPr>
        <w:t>抽放瓦斯泵房及附属设备布置见</w:t>
      </w:r>
      <w:r>
        <w:rPr>
          <w:rFonts w:hint="eastAsia" w:ascii="宋体" w:hAnsi="宋体"/>
          <w:b/>
          <w:color w:val="000000"/>
          <w:sz w:val="24"/>
        </w:rPr>
        <w:t>图5—5—6</w:t>
      </w:r>
      <w:r>
        <w:rPr>
          <w:rFonts w:hint="eastAsia" w:ascii="宋体" w:hAnsi="宋体"/>
          <w:color w:val="000000"/>
          <w:sz w:val="24"/>
        </w:rPr>
        <w:t>。</w:t>
      </w:r>
    </w:p>
    <w:p w14:paraId="696E694F">
      <w:pPr>
        <w:spacing w:before="50" w:after="50" w:line="360" w:lineRule="auto"/>
        <w:jc w:val="center"/>
        <w:rPr>
          <w:rFonts w:hint="eastAsia" w:ascii="宋体" w:hAnsi="宋体"/>
          <w:color w:val="000000"/>
          <w:sz w:val="24"/>
        </w:rPr>
      </w:pPr>
      <w:r>
        <w:drawing>
          <wp:inline distT="0" distB="0" distL="114300" distR="114300">
            <wp:extent cx="4142740" cy="2219325"/>
            <wp:effectExtent l="0" t="0" r="10160" b="9525"/>
            <wp:docPr id="55"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3"/>
                    <pic:cNvPicPr>
                      <a:picLocks noChangeAspect="1"/>
                    </pic:cNvPicPr>
                  </pic:nvPicPr>
                  <pic:blipFill>
                    <a:blip r:embed="rId231"/>
                    <a:stretch>
                      <a:fillRect/>
                    </a:stretch>
                  </pic:blipFill>
                  <pic:spPr>
                    <a:xfrm>
                      <a:off x="0" y="0"/>
                      <a:ext cx="4142740" cy="2219325"/>
                    </a:xfrm>
                    <a:prstGeom prst="rect">
                      <a:avLst/>
                    </a:prstGeom>
                    <a:noFill/>
                    <a:ln>
                      <a:noFill/>
                    </a:ln>
                  </pic:spPr>
                </pic:pic>
              </a:graphicData>
            </a:graphic>
          </wp:inline>
        </w:drawing>
      </w:r>
    </w:p>
    <w:p w14:paraId="40016418">
      <w:pPr>
        <w:spacing w:before="120" w:beforeLines="50" w:after="120" w:afterLines="50"/>
        <w:jc w:val="center"/>
        <w:rPr>
          <w:rFonts w:hint="eastAsia" w:ascii="宋体" w:hAnsi="宋体"/>
          <w:b/>
          <w:color w:val="FF0000"/>
          <w:sz w:val="24"/>
        </w:rPr>
      </w:pPr>
      <w:r>
        <w:rPr>
          <w:rFonts w:hint="eastAsia" w:ascii="宋体" w:hAnsi="宋体"/>
          <w:b/>
          <w:color w:val="FF0000"/>
          <w:sz w:val="24"/>
        </w:rPr>
        <w:drawing>
          <wp:inline distT="0" distB="0" distL="114300" distR="114300">
            <wp:extent cx="4101465" cy="5624830"/>
            <wp:effectExtent l="0" t="0" r="13335" b="13970"/>
            <wp:docPr id="56" name="图片 46" descr="抽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 descr="抽7"/>
                    <pic:cNvPicPr>
                      <a:picLocks noChangeAspect="1"/>
                    </pic:cNvPicPr>
                  </pic:nvPicPr>
                  <pic:blipFill>
                    <a:blip r:embed="rId232"/>
                    <a:srcRect l="35417" t="28653" r="49498" b="28275"/>
                    <a:stretch>
                      <a:fillRect/>
                    </a:stretch>
                  </pic:blipFill>
                  <pic:spPr>
                    <a:xfrm>
                      <a:off x="0" y="0"/>
                      <a:ext cx="4101465" cy="5624830"/>
                    </a:xfrm>
                    <a:prstGeom prst="rect">
                      <a:avLst/>
                    </a:prstGeom>
                    <a:noFill/>
                    <a:ln>
                      <a:noFill/>
                    </a:ln>
                  </pic:spPr>
                </pic:pic>
              </a:graphicData>
            </a:graphic>
          </wp:inline>
        </w:drawing>
      </w:r>
    </w:p>
    <w:p w14:paraId="0F4F0AD5">
      <w:pPr>
        <w:spacing w:before="50" w:after="50" w:line="360" w:lineRule="auto"/>
        <w:jc w:val="center"/>
        <w:rPr>
          <w:rFonts w:hint="eastAsia" w:ascii="宋体" w:hAnsi="宋体"/>
          <w:color w:val="000000"/>
          <w:sz w:val="24"/>
        </w:rPr>
      </w:pPr>
      <w:r>
        <w:rPr>
          <w:rFonts w:hint="eastAsia" w:ascii="宋体" w:hAnsi="宋体"/>
          <w:sz w:val="24"/>
        </w:rPr>
        <w:t>抽放瓦斯泵房及附属设备布置平面图       图5—5—6</w:t>
      </w:r>
    </w:p>
    <w:p w14:paraId="12ABB5F6">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㈡ 抽放瓦斯站场地平面布置</w:t>
      </w:r>
    </w:p>
    <w:p w14:paraId="3B180402">
      <w:pPr>
        <w:spacing w:line="360" w:lineRule="auto"/>
        <w:ind w:firstLine="480" w:firstLineChars="200"/>
        <w:rPr>
          <w:rFonts w:hint="eastAsia" w:ascii="宋体" w:hAnsi="宋体"/>
          <w:color w:val="000000"/>
          <w:sz w:val="24"/>
        </w:rPr>
      </w:pPr>
      <w:r>
        <w:rPr>
          <w:rFonts w:ascii="宋体" w:hAnsi="宋体"/>
          <w:color w:val="000000"/>
          <w:sz w:val="24"/>
        </w:rPr>
        <w:t>瓦斯抽放站</w:t>
      </w:r>
      <w:r>
        <w:rPr>
          <w:rFonts w:hint="eastAsia" w:ascii="宋体" w:hAnsi="宋体"/>
          <w:color w:val="000000"/>
          <w:sz w:val="24"/>
        </w:rPr>
        <w:t>必须采用不燃性材料建筑，耐火等级二级。</w:t>
      </w:r>
      <w:r>
        <w:rPr>
          <w:rFonts w:ascii="宋体" w:hAnsi="宋体"/>
          <w:color w:val="000000"/>
          <w:sz w:val="24"/>
        </w:rPr>
        <w:t>瓦斯抽放站</w:t>
      </w:r>
      <w:r>
        <w:rPr>
          <w:rFonts w:hint="eastAsia" w:ascii="宋体" w:hAnsi="宋体"/>
          <w:color w:val="000000"/>
          <w:sz w:val="24"/>
        </w:rPr>
        <w:t>距进风井口和主要建筑物不得小于50m，用围墙保护，并且围墙外20m范围内禁止堆积易燃物，禁止有明火。泵房周围用实体围墙保护。</w:t>
      </w:r>
    </w:p>
    <w:p w14:paraId="2DDA8E46">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㈢ 供电与通讯</w:t>
      </w:r>
    </w:p>
    <w:p w14:paraId="30350A10">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1、供电电源</w:t>
      </w:r>
    </w:p>
    <w:p w14:paraId="5DF46A83">
      <w:pPr>
        <w:spacing w:line="360" w:lineRule="auto"/>
        <w:ind w:firstLine="480" w:firstLineChars="200"/>
        <w:rPr>
          <w:rFonts w:hint="eastAsia"/>
          <w:color w:val="000000"/>
        </w:rPr>
      </w:pPr>
      <w:r>
        <w:rPr>
          <w:rFonts w:ascii="宋体" w:hAnsi="宋体"/>
          <w:color w:val="000000"/>
          <w:kern w:val="0"/>
          <w:sz w:val="24"/>
        </w:rPr>
        <w:t>瓦斯抽放站二回</w:t>
      </w:r>
      <w:r>
        <w:rPr>
          <w:rFonts w:hint="eastAsia" w:ascii="宋体" w:hAnsi="宋体"/>
          <w:color w:val="000000"/>
          <w:kern w:val="0"/>
          <w:sz w:val="24"/>
        </w:rPr>
        <w:t>专用低压</w:t>
      </w:r>
      <w:r>
        <w:rPr>
          <w:rFonts w:ascii="宋体" w:hAnsi="宋体"/>
          <w:color w:val="000000"/>
          <w:kern w:val="0"/>
          <w:sz w:val="24"/>
        </w:rPr>
        <w:t>电源引自矿井地面10k变电所不同母线段，一回工作，一回备用。</w:t>
      </w:r>
      <w:r>
        <w:rPr>
          <w:rFonts w:hint="eastAsia" w:ascii="宋体" w:hAnsi="宋体"/>
          <w:color w:val="000000"/>
          <w:kern w:val="0"/>
          <w:sz w:val="24"/>
        </w:rPr>
        <w:t>均以电力电缆埋地敷设引进瓦斯抽放泵站，构成单母线分段系统。</w:t>
      </w:r>
    </w:p>
    <w:p w14:paraId="5C733084">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2、电力负荷</w:t>
      </w:r>
    </w:p>
    <w:tbl>
      <w:tblPr>
        <w:tblStyle w:val="62"/>
        <w:tblW w:w="0" w:type="auto"/>
        <w:jc w:val="center"/>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369"/>
        <w:gridCol w:w="2753"/>
        <w:gridCol w:w="2309"/>
        <w:gridCol w:w="1443"/>
      </w:tblGrid>
      <w:tr w14:paraId="2C93F46D">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2369" w:type="dxa"/>
            <w:noWrap w:val="0"/>
            <w:vAlign w:val="center"/>
          </w:tcPr>
          <w:p w14:paraId="10C8602D">
            <w:pPr>
              <w:ind w:left="-1535" w:leftChars="-731"/>
              <w:jc w:val="center"/>
              <w:rPr>
                <w:rFonts w:hint="eastAsia" w:ascii="宋体" w:hAnsi="宋体"/>
                <w:color w:val="000000"/>
              </w:rPr>
            </w:pPr>
          </w:p>
        </w:tc>
        <w:tc>
          <w:tcPr>
            <w:tcW w:w="2753" w:type="dxa"/>
            <w:noWrap w:val="0"/>
            <w:vAlign w:val="center"/>
          </w:tcPr>
          <w:p w14:paraId="614DD5E9">
            <w:pPr>
              <w:jc w:val="center"/>
              <w:rPr>
                <w:rFonts w:hint="eastAsia" w:ascii="宋体" w:hAnsi="宋体"/>
                <w:color w:val="000000"/>
              </w:rPr>
            </w:pPr>
            <w:r>
              <w:rPr>
                <w:rFonts w:hint="eastAsia" w:ascii="宋体" w:hAnsi="宋体"/>
                <w:color w:val="000000"/>
              </w:rPr>
              <w:t>工作台数</w:t>
            </w:r>
          </w:p>
        </w:tc>
        <w:tc>
          <w:tcPr>
            <w:tcW w:w="2309" w:type="dxa"/>
            <w:noWrap w:val="0"/>
            <w:vAlign w:val="center"/>
          </w:tcPr>
          <w:p w14:paraId="1641D7CE">
            <w:pPr>
              <w:jc w:val="center"/>
              <w:rPr>
                <w:rFonts w:hint="eastAsia" w:ascii="宋体" w:hAnsi="宋体"/>
                <w:color w:val="000000"/>
              </w:rPr>
            </w:pPr>
            <w:r>
              <w:rPr>
                <w:rFonts w:hint="eastAsia" w:ascii="宋体" w:hAnsi="宋体"/>
                <w:color w:val="000000"/>
              </w:rPr>
              <w:t>负荷</w:t>
            </w:r>
          </w:p>
        </w:tc>
        <w:tc>
          <w:tcPr>
            <w:tcW w:w="1443" w:type="dxa"/>
            <w:noWrap w:val="0"/>
            <w:vAlign w:val="center"/>
          </w:tcPr>
          <w:p w14:paraId="320D0055">
            <w:pPr>
              <w:jc w:val="center"/>
              <w:rPr>
                <w:rFonts w:hint="eastAsia" w:ascii="宋体" w:hAnsi="宋体"/>
                <w:color w:val="000000"/>
              </w:rPr>
            </w:pPr>
            <w:r>
              <w:rPr>
                <w:rFonts w:hint="eastAsia" w:ascii="宋体" w:hAnsi="宋体"/>
                <w:color w:val="000000"/>
              </w:rPr>
              <w:t>电压等级</w:t>
            </w:r>
          </w:p>
        </w:tc>
      </w:tr>
      <w:tr w14:paraId="4ACFF802">
        <w:tblPrEx>
          <w:tblBorders>
            <w:top w:val="thinThickSmallGap" w:color="auto" w:sz="18" w:space="0"/>
            <w:left w:val="thinThickSmallGap" w:color="auto" w:sz="18" w:space="0"/>
            <w:bottom w:val="thickThinSmallGap" w:color="auto" w:sz="18" w:space="0"/>
            <w:right w:val="thickThinSmallGap"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97" w:hRule="atLeast"/>
          <w:jc w:val="center"/>
        </w:trPr>
        <w:tc>
          <w:tcPr>
            <w:tcW w:w="2369" w:type="dxa"/>
            <w:noWrap w:val="0"/>
            <w:vAlign w:val="center"/>
          </w:tcPr>
          <w:p w14:paraId="55E891ED">
            <w:pPr>
              <w:rPr>
                <w:rFonts w:hint="eastAsia" w:ascii="宋体" w:hAnsi="宋体"/>
                <w:color w:val="000000"/>
              </w:rPr>
            </w:pPr>
            <w:r>
              <w:rPr>
                <w:rFonts w:hint="eastAsia" w:ascii="宋体" w:hAnsi="宋体"/>
                <w:color w:val="000000"/>
              </w:rPr>
              <w:t>高低</w:t>
            </w:r>
            <w:r>
              <w:rPr>
                <w:rFonts w:hint="eastAsia" w:ascii="宋体" w:hAnsi="宋体"/>
                <w:color w:val="000000"/>
                <w:kern w:val="0"/>
              </w:rPr>
              <w:t>负压</w:t>
            </w:r>
            <w:r>
              <w:rPr>
                <w:rFonts w:ascii="宋体" w:hAnsi="宋体"/>
                <w:color w:val="000000"/>
              </w:rPr>
              <w:t>瓦斯抽放</w:t>
            </w:r>
            <w:r>
              <w:rPr>
                <w:rFonts w:hint="eastAsia" w:ascii="宋体" w:hAnsi="宋体"/>
                <w:color w:val="000000"/>
              </w:rPr>
              <w:t>泵</w:t>
            </w:r>
          </w:p>
        </w:tc>
        <w:tc>
          <w:tcPr>
            <w:tcW w:w="2753" w:type="dxa"/>
            <w:noWrap w:val="0"/>
            <w:vAlign w:val="center"/>
          </w:tcPr>
          <w:p w14:paraId="0386A527">
            <w:pPr>
              <w:jc w:val="center"/>
              <w:rPr>
                <w:rFonts w:hint="eastAsia" w:ascii="宋体" w:hAnsi="宋体"/>
                <w:color w:val="000000"/>
              </w:rPr>
            </w:pPr>
            <w:r>
              <w:rPr>
                <w:rFonts w:hint="eastAsia" w:ascii="宋体" w:hAnsi="宋体"/>
                <w:color w:val="000000"/>
              </w:rPr>
              <w:t>2</w:t>
            </w:r>
          </w:p>
        </w:tc>
        <w:tc>
          <w:tcPr>
            <w:tcW w:w="2309" w:type="dxa"/>
            <w:noWrap w:val="0"/>
            <w:vAlign w:val="center"/>
          </w:tcPr>
          <w:p w14:paraId="32CB8B8E">
            <w:pPr>
              <w:jc w:val="center"/>
              <w:rPr>
                <w:rFonts w:hint="eastAsia" w:ascii="宋体" w:hAnsi="宋体"/>
                <w:color w:val="000000"/>
              </w:rPr>
            </w:pPr>
            <w:r>
              <w:rPr>
                <w:rFonts w:hint="eastAsia" w:ascii="宋体" w:hAnsi="宋体"/>
                <w:color w:val="000000"/>
              </w:rPr>
              <w:t>165kW</w:t>
            </w:r>
          </w:p>
        </w:tc>
        <w:tc>
          <w:tcPr>
            <w:tcW w:w="1443" w:type="dxa"/>
            <w:noWrap w:val="0"/>
            <w:vAlign w:val="center"/>
          </w:tcPr>
          <w:p w14:paraId="5F1DC402">
            <w:pPr>
              <w:jc w:val="center"/>
              <w:rPr>
                <w:rFonts w:hint="eastAsia" w:ascii="宋体" w:hAnsi="宋体"/>
                <w:color w:val="000000"/>
              </w:rPr>
            </w:pPr>
            <w:r>
              <w:rPr>
                <w:rFonts w:hint="eastAsia" w:ascii="宋体" w:hAnsi="宋体"/>
                <w:color w:val="000000"/>
              </w:rPr>
              <w:t>660V</w:t>
            </w:r>
          </w:p>
        </w:tc>
      </w:tr>
    </w:tbl>
    <w:p w14:paraId="4465B65B">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3、防雷</w:t>
      </w:r>
    </w:p>
    <w:p w14:paraId="571E87BE">
      <w:pPr>
        <w:spacing w:line="360" w:lineRule="auto"/>
        <w:ind w:firstLine="480" w:firstLineChars="200"/>
        <w:rPr>
          <w:rFonts w:hint="eastAsia" w:ascii="宋体" w:hAnsi="宋体"/>
          <w:color w:val="000000"/>
          <w:kern w:val="0"/>
          <w:sz w:val="24"/>
        </w:rPr>
      </w:pPr>
      <w:r>
        <w:rPr>
          <w:rFonts w:ascii="宋体" w:hAnsi="宋体"/>
          <w:color w:val="000000"/>
          <w:sz w:val="24"/>
        </w:rPr>
        <w:t>瓦斯抽放站</w:t>
      </w:r>
      <w:r>
        <w:rPr>
          <w:rFonts w:hint="eastAsia" w:ascii="宋体" w:hAnsi="宋体"/>
          <w:color w:val="000000"/>
          <w:sz w:val="24"/>
        </w:rPr>
        <w:t>及其管路、瓦斯储气罐均要按GB50057《建筑物防雷设计规范》的第一类建筑物防雷要求，设置避雷装置（避雷针、避雷带、接地系统等），防止雷击并防止雷电波侵入井下。</w:t>
      </w:r>
    </w:p>
    <w:p w14:paraId="28AEC0F3">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4、通讯</w:t>
      </w:r>
    </w:p>
    <w:p w14:paraId="5D491900">
      <w:pPr>
        <w:spacing w:line="360" w:lineRule="auto"/>
        <w:ind w:firstLine="480" w:firstLineChars="200"/>
        <w:rPr>
          <w:rFonts w:hint="eastAsia" w:ascii="宋体" w:hAnsi="宋体"/>
          <w:color w:val="000000"/>
          <w:kern w:val="0"/>
          <w:sz w:val="24"/>
        </w:rPr>
      </w:pPr>
      <w:r>
        <w:rPr>
          <w:rFonts w:hint="eastAsia" w:ascii="宋体" w:hAnsi="宋体"/>
          <w:color w:val="000000"/>
          <w:sz w:val="24"/>
        </w:rPr>
        <w:t>抽放瓦斯站设有直通矿井调度室的矿用防爆型电话。</w:t>
      </w:r>
    </w:p>
    <w:p w14:paraId="077501A3">
      <w:pPr>
        <w:spacing w:line="360" w:lineRule="auto"/>
        <w:ind w:firstLine="480" w:firstLineChars="200"/>
        <w:rPr>
          <w:rFonts w:hint="eastAsia" w:ascii="宋体" w:hAnsi="宋体"/>
          <w:color w:val="000000"/>
          <w:sz w:val="24"/>
        </w:rPr>
      </w:pPr>
      <w:r>
        <w:rPr>
          <w:rFonts w:hint="eastAsia" w:ascii="宋体" w:hAnsi="宋体"/>
          <w:color w:val="000000"/>
          <w:sz w:val="24"/>
        </w:rPr>
        <w:t>㈣ 抽放瓦斯站场地建筑</w:t>
      </w:r>
    </w:p>
    <w:p w14:paraId="6DC347DB">
      <w:pPr>
        <w:spacing w:line="360" w:lineRule="auto"/>
        <w:ind w:firstLine="480" w:firstLineChars="200"/>
        <w:rPr>
          <w:rFonts w:hint="eastAsia" w:ascii="宋体" w:hAnsi="宋体"/>
          <w:color w:val="000000"/>
          <w:sz w:val="24"/>
        </w:rPr>
      </w:pPr>
      <w:r>
        <w:rPr>
          <w:rFonts w:hint="eastAsia" w:ascii="宋体" w:hAnsi="宋体"/>
          <w:color w:val="000000"/>
          <w:sz w:val="24"/>
        </w:rPr>
        <w:t>抽放瓦斯站包括瓦斯泵房建筑面积117.65m</w:t>
      </w:r>
      <w:r>
        <w:rPr>
          <w:rFonts w:hint="eastAsia" w:ascii="宋体" w:hAnsi="宋体"/>
          <w:color w:val="000000"/>
          <w:sz w:val="24"/>
          <w:vertAlign w:val="superscript"/>
        </w:rPr>
        <w:t>2</w:t>
      </w:r>
      <w:r>
        <w:rPr>
          <w:rFonts w:hint="eastAsia" w:ascii="宋体" w:hAnsi="宋体"/>
          <w:color w:val="000000"/>
          <w:sz w:val="24"/>
        </w:rPr>
        <w:t>。</w:t>
      </w:r>
    </w:p>
    <w:p w14:paraId="4870C8A8">
      <w:pPr>
        <w:spacing w:line="360" w:lineRule="auto"/>
        <w:ind w:firstLine="480" w:firstLineChars="200"/>
        <w:rPr>
          <w:rFonts w:hint="eastAsia" w:ascii="宋体" w:hAnsi="宋体"/>
          <w:color w:val="000000"/>
          <w:sz w:val="24"/>
        </w:rPr>
      </w:pPr>
      <w:r>
        <w:rPr>
          <w:rFonts w:hint="eastAsia" w:ascii="宋体" w:hAnsi="宋体"/>
          <w:color w:val="000000"/>
          <w:sz w:val="24"/>
        </w:rPr>
        <w:t>㈤ 瓦斯泵站给水排水：</w:t>
      </w:r>
    </w:p>
    <w:p w14:paraId="165C42AF">
      <w:pPr>
        <w:spacing w:line="360" w:lineRule="auto"/>
        <w:ind w:firstLine="480" w:firstLineChars="200"/>
        <w:rPr>
          <w:rFonts w:hint="eastAsia" w:ascii="宋体" w:hAnsi="宋体"/>
          <w:color w:val="000000"/>
          <w:sz w:val="24"/>
        </w:rPr>
      </w:pPr>
      <w:r>
        <w:rPr>
          <w:rFonts w:hint="eastAsia" w:ascii="宋体" w:hAnsi="宋体"/>
          <w:color w:val="000000"/>
          <w:sz w:val="24"/>
        </w:rPr>
        <w:t xml:space="preserve">采用循环水冷却方式。 </w:t>
      </w:r>
    </w:p>
    <w:p w14:paraId="613B2F69">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五、安全</w:t>
      </w:r>
    </w:p>
    <w:p w14:paraId="4826E983">
      <w:pPr>
        <w:spacing w:line="360" w:lineRule="auto"/>
        <w:ind w:firstLine="480" w:firstLineChars="200"/>
        <w:rPr>
          <w:rFonts w:hint="eastAsia" w:ascii="宋体" w:hAnsi="宋体"/>
          <w:color w:val="000000"/>
          <w:sz w:val="24"/>
        </w:rPr>
      </w:pPr>
      <w:r>
        <w:rPr>
          <w:rFonts w:hint="eastAsia" w:ascii="宋体" w:hAnsi="宋体"/>
          <w:color w:val="000000"/>
          <w:sz w:val="24"/>
        </w:rPr>
        <w:t>根据矿井瓦斯涌出量大小，不同时间，不同地点，应选择切实可行的抽放方法。</w:t>
      </w:r>
    </w:p>
    <w:p w14:paraId="3E05CD3D">
      <w:pPr>
        <w:spacing w:line="360" w:lineRule="auto"/>
        <w:ind w:firstLine="480" w:firstLineChars="200"/>
        <w:rPr>
          <w:rFonts w:hint="eastAsia" w:ascii="宋体" w:hAnsi="宋体"/>
          <w:b/>
          <w:color w:val="000000"/>
          <w:sz w:val="24"/>
        </w:rPr>
      </w:pPr>
      <w:r>
        <w:rPr>
          <w:rFonts w:hint="eastAsia" w:ascii="宋体" w:hAnsi="宋体"/>
          <w:color w:val="000000"/>
          <w:sz w:val="24"/>
        </w:rPr>
        <w:t>1、根据不同的抽放方法，应制定相应的针对性强的安全措施。</w:t>
      </w:r>
    </w:p>
    <w:p w14:paraId="0A34E7A1">
      <w:pPr>
        <w:spacing w:line="360" w:lineRule="auto"/>
        <w:ind w:firstLine="480" w:firstLineChars="200"/>
        <w:rPr>
          <w:rFonts w:hint="eastAsia" w:ascii="宋体" w:hAnsi="宋体"/>
          <w:color w:val="000000"/>
          <w:sz w:val="24"/>
        </w:rPr>
      </w:pPr>
      <w:r>
        <w:rPr>
          <w:rFonts w:hint="eastAsia" w:ascii="宋体" w:hAnsi="宋体"/>
          <w:color w:val="000000"/>
          <w:sz w:val="24"/>
        </w:rPr>
        <w:t>（1）如果要采面上隅角留管抽放（利用支管上加三通安旁抽管抽放），应当将管留下，以免因拔管有可能引起火花而造成瓦斯爆炸。</w:t>
      </w:r>
    </w:p>
    <w:p w14:paraId="472AEF0E">
      <w:pPr>
        <w:spacing w:line="360" w:lineRule="auto"/>
        <w:ind w:firstLine="480" w:firstLineChars="200"/>
        <w:rPr>
          <w:rFonts w:hint="eastAsia" w:ascii="宋体" w:hAnsi="宋体"/>
          <w:color w:val="000000"/>
          <w:sz w:val="24"/>
        </w:rPr>
      </w:pPr>
      <w:r>
        <w:rPr>
          <w:rFonts w:hint="eastAsia" w:ascii="宋体" w:hAnsi="宋体"/>
          <w:color w:val="000000"/>
          <w:sz w:val="24"/>
        </w:rPr>
        <w:t>（2）如果在本矿有自燃发火危险煤层的采空区抽放瓦斯时，必须经常检查CO浓度和气体温度等有关参数的变化，并采用自动监控装置。发现有自燃发火征兆时，应及时采取措施处理。</w:t>
      </w:r>
    </w:p>
    <w:p w14:paraId="2467E839">
      <w:pPr>
        <w:spacing w:line="360" w:lineRule="auto"/>
        <w:ind w:firstLine="480" w:firstLineChars="200"/>
        <w:rPr>
          <w:rFonts w:hint="eastAsia" w:ascii="宋体" w:hAnsi="宋体"/>
          <w:color w:val="000000"/>
          <w:sz w:val="24"/>
        </w:rPr>
      </w:pPr>
      <w:r>
        <w:rPr>
          <w:rFonts w:hint="eastAsia" w:ascii="宋体" w:hAnsi="宋体"/>
          <w:color w:val="000000"/>
          <w:sz w:val="24"/>
        </w:rPr>
        <w:t>（3）采用钻孔抽放瓦斯或者密闭内插管抽放瓦斯，应做到封闭严密，以提高抽放效果。</w:t>
      </w:r>
    </w:p>
    <w:p w14:paraId="7EABD752">
      <w:pPr>
        <w:spacing w:line="360" w:lineRule="auto"/>
        <w:ind w:firstLine="480" w:firstLineChars="200"/>
        <w:rPr>
          <w:rFonts w:hint="eastAsia" w:ascii="宋体" w:hAnsi="宋体"/>
          <w:color w:val="000000"/>
          <w:sz w:val="24"/>
        </w:rPr>
      </w:pPr>
      <w:r>
        <w:rPr>
          <w:rFonts w:hint="eastAsia" w:ascii="宋体" w:hAnsi="宋体"/>
          <w:color w:val="000000"/>
          <w:sz w:val="24"/>
        </w:rPr>
        <w:t>(二)、对瓦斯抽放管路的安全要求：</w:t>
      </w:r>
    </w:p>
    <w:p w14:paraId="3B7AE57B">
      <w:pPr>
        <w:spacing w:line="360" w:lineRule="auto"/>
        <w:ind w:firstLine="480" w:firstLineChars="200"/>
        <w:rPr>
          <w:rFonts w:hint="eastAsia" w:ascii="宋体" w:hAnsi="宋体"/>
          <w:color w:val="000000"/>
          <w:sz w:val="24"/>
        </w:rPr>
      </w:pPr>
      <w:r>
        <w:rPr>
          <w:rFonts w:hint="eastAsia" w:ascii="宋体" w:hAnsi="宋体"/>
          <w:color w:val="000000"/>
          <w:sz w:val="24"/>
        </w:rPr>
        <w:t>1、抽放管必须采用阻燃、抗静电的材料。具有良好的气密性，足够的机械强度，并应满足防冻、防腐蚀的要求。</w:t>
      </w:r>
    </w:p>
    <w:p w14:paraId="669B26DD">
      <w:pPr>
        <w:spacing w:line="360" w:lineRule="auto"/>
        <w:ind w:firstLine="480" w:firstLineChars="200"/>
        <w:rPr>
          <w:rFonts w:hint="eastAsia" w:ascii="宋体" w:hAnsi="宋体"/>
          <w:color w:val="000000"/>
          <w:sz w:val="24"/>
        </w:rPr>
      </w:pPr>
      <w:r>
        <w:rPr>
          <w:rFonts w:hint="eastAsia" w:ascii="宋体" w:hAnsi="宋体"/>
          <w:color w:val="000000"/>
          <w:sz w:val="24"/>
        </w:rPr>
        <w:t>2、抽放管路宜沿回风顺槽道或矿车不经常通过的巷道布置。特殊情况抽放管布置在轨道井中，必须制定防跑车撞坏管路的防范措施。</w:t>
      </w:r>
    </w:p>
    <w:p w14:paraId="2DD8E7AE">
      <w:pPr>
        <w:spacing w:line="360" w:lineRule="auto"/>
        <w:ind w:firstLine="480" w:firstLineChars="200"/>
        <w:rPr>
          <w:rFonts w:hint="eastAsia" w:ascii="宋体" w:hAnsi="宋体"/>
          <w:color w:val="000000"/>
          <w:sz w:val="24"/>
        </w:rPr>
      </w:pPr>
      <w:r>
        <w:rPr>
          <w:rFonts w:hint="eastAsia" w:ascii="宋体" w:hAnsi="宋体"/>
          <w:color w:val="000000"/>
          <w:sz w:val="24"/>
        </w:rPr>
        <w:t>3、抽放管需进行防腐处理，外涂红色以示区别。</w:t>
      </w:r>
    </w:p>
    <w:p w14:paraId="1168F52E">
      <w:pPr>
        <w:spacing w:line="360" w:lineRule="auto"/>
        <w:ind w:firstLine="480" w:firstLineChars="200"/>
        <w:rPr>
          <w:rFonts w:hint="eastAsia" w:ascii="宋体" w:hAnsi="宋体"/>
          <w:color w:val="000000"/>
          <w:sz w:val="24"/>
        </w:rPr>
      </w:pPr>
      <w:r>
        <w:rPr>
          <w:rFonts w:hint="eastAsia" w:ascii="宋体" w:hAnsi="宋体"/>
          <w:color w:val="000000"/>
          <w:sz w:val="24"/>
        </w:rPr>
        <w:t>4、当抽放管设备或管路发生故障时，管路内的瓦斯不得留入采掘工作面及机电硐室内或机房内。</w:t>
      </w:r>
    </w:p>
    <w:p w14:paraId="53A254BA">
      <w:pPr>
        <w:spacing w:line="360" w:lineRule="auto"/>
        <w:ind w:firstLine="480" w:firstLineChars="200"/>
        <w:rPr>
          <w:rFonts w:hint="eastAsia" w:ascii="宋体" w:hAnsi="宋体"/>
          <w:color w:val="000000"/>
          <w:sz w:val="24"/>
        </w:rPr>
      </w:pPr>
      <w:r>
        <w:rPr>
          <w:rFonts w:hint="eastAsia" w:ascii="宋体" w:hAnsi="宋体"/>
          <w:color w:val="000000"/>
          <w:sz w:val="24"/>
        </w:rPr>
        <w:t>5、抽放管路不得和带电体接触，不能和电缆布置在同侧，抽放管路必须在入井前进行接地处理。井下要有被砸坏的保护措施。</w:t>
      </w:r>
    </w:p>
    <w:p w14:paraId="44B5530E">
      <w:pPr>
        <w:spacing w:line="360" w:lineRule="auto"/>
        <w:ind w:firstLine="480" w:firstLineChars="200"/>
        <w:rPr>
          <w:rFonts w:hint="eastAsia" w:ascii="宋体" w:hAnsi="宋体"/>
          <w:color w:val="000000"/>
          <w:sz w:val="24"/>
        </w:rPr>
      </w:pPr>
      <w:r>
        <w:rPr>
          <w:rFonts w:hint="eastAsia" w:ascii="宋体" w:hAnsi="宋体"/>
          <w:color w:val="000000"/>
          <w:sz w:val="24"/>
        </w:rPr>
        <w:t>6、井下抽放管路应垫不低于30</w:t>
      </w:r>
      <w:r>
        <w:rPr>
          <w:rFonts w:ascii="宋体" w:hAnsi="宋体"/>
          <w:color w:val="000000"/>
          <w:sz w:val="24"/>
        </w:rPr>
        <w:t>cm</w:t>
      </w:r>
      <w:r>
        <w:rPr>
          <w:rFonts w:hint="eastAsia" w:ascii="宋体" w:hAnsi="宋体"/>
          <w:color w:val="000000"/>
          <w:sz w:val="24"/>
        </w:rPr>
        <w:t>的木垫，以防底鼓损坏管路。</w:t>
      </w:r>
    </w:p>
    <w:p w14:paraId="722E8C2C">
      <w:pPr>
        <w:spacing w:line="360" w:lineRule="auto"/>
        <w:ind w:firstLine="480" w:firstLineChars="200"/>
        <w:rPr>
          <w:rFonts w:hint="eastAsia" w:ascii="宋体" w:hAnsi="宋体"/>
          <w:color w:val="000000"/>
          <w:sz w:val="24"/>
        </w:rPr>
      </w:pPr>
      <w:r>
        <w:rPr>
          <w:rFonts w:hint="eastAsia" w:ascii="宋体" w:hAnsi="宋体"/>
          <w:color w:val="000000"/>
          <w:sz w:val="24"/>
        </w:rPr>
        <w:t>7、倾斜巷道内的抽放管路，应用卡子将管子固定在巷道支护上，以免下滑。在倾角28°以下的巷道中，一般每隔15～20米设一个卡子固定。</w:t>
      </w:r>
    </w:p>
    <w:p w14:paraId="13322C6C">
      <w:pPr>
        <w:spacing w:line="360" w:lineRule="auto"/>
        <w:ind w:firstLine="480" w:firstLineChars="200"/>
        <w:rPr>
          <w:rFonts w:hint="eastAsia" w:ascii="宋体" w:hAnsi="宋体"/>
          <w:color w:val="000000"/>
          <w:sz w:val="24"/>
        </w:rPr>
      </w:pPr>
      <w:r>
        <w:rPr>
          <w:rFonts w:hint="eastAsia" w:ascii="宋体" w:hAnsi="宋体"/>
          <w:color w:val="000000"/>
          <w:sz w:val="24"/>
        </w:rPr>
        <w:t>8、地面抽放管路布置要求：</w:t>
      </w:r>
    </w:p>
    <w:p w14:paraId="458716E0">
      <w:pPr>
        <w:numPr>
          <w:ilvl w:val="2"/>
          <w:numId w:val="4"/>
        </w:numPr>
        <w:tabs>
          <w:tab w:val="left" w:pos="0"/>
          <w:tab w:val="clear" w:pos="1200"/>
        </w:tabs>
        <w:spacing w:line="360" w:lineRule="auto"/>
        <w:ind w:left="0" w:firstLine="480" w:firstLineChars="200"/>
        <w:rPr>
          <w:rFonts w:hint="eastAsia" w:ascii="宋体" w:hAnsi="宋体"/>
          <w:color w:val="000000"/>
          <w:sz w:val="24"/>
        </w:rPr>
      </w:pPr>
      <w:r>
        <w:rPr>
          <w:rFonts w:hint="eastAsia" w:ascii="宋体" w:hAnsi="宋体"/>
          <w:color w:val="000000"/>
          <w:sz w:val="24"/>
        </w:rPr>
        <w:t>尽可能避免布置在车辆通行频繁的主干道旁。</w:t>
      </w:r>
    </w:p>
    <w:p w14:paraId="6E0F474A">
      <w:pPr>
        <w:numPr>
          <w:ilvl w:val="2"/>
          <w:numId w:val="4"/>
        </w:numPr>
        <w:tabs>
          <w:tab w:val="left" w:pos="0"/>
          <w:tab w:val="clear" w:pos="1200"/>
        </w:tabs>
        <w:spacing w:line="360" w:lineRule="auto"/>
        <w:ind w:left="0" w:firstLine="480" w:firstLineChars="200"/>
        <w:rPr>
          <w:rFonts w:hint="eastAsia" w:ascii="宋体" w:hAnsi="宋体"/>
          <w:color w:val="000000"/>
          <w:sz w:val="24"/>
        </w:rPr>
      </w:pPr>
      <w:r>
        <w:rPr>
          <w:rFonts w:hint="eastAsia" w:ascii="宋体" w:hAnsi="宋体"/>
          <w:color w:val="000000"/>
          <w:sz w:val="24"/>
        </w:rPr>
        <w:t>不得将抽放管路和自来水管、暖气管、下水道管道、动力电缆、照明电缆及通讯电缆敷设在同一条地沟内。</w:t>
      </w:r>
    </w:p>
    <w:p w14:paraId="37FD8B97">
      <w:pPr>
        <w:numPr>
          <w:ilvl w:val="2"/>
          <w:numId w:val="4"/>
        </w:numPr>
        <w:tabs>
          <w:tab w:val="left" w:pos="0"/>
          <w:tab w:val="clear" w:pos="1200"/>
        </w:tabs>
        <w:spacing w:line="360" w:lineRule="auto"/>
        <w:ind w:left="0" w:firstLine="480" w:firstLineChars="200"/>
        <w:rPr>
          <w:rFonts w:hint="eastAsia" w:ascii="宋体" w:hAnsi="宋体"/>
          <w:color w:val="000000"/>
          <w:sz w:val="24"/>
        </w:rPr>
      </w:pPr>
      <w:r>
        <w:rPr>
          <w:rFonts w:hint="eastAsia" w:ascii="宋体" w:hAnsi="宋体"/>
          <w:color w:val="000000"/>
          <w:sz w:val="24"/>
        </w:rPr>
        <w:t>抽放主管路距有关物体的距离要求：</w:t>
      </w:r>
    </w:p>
    <w:p w14:paraId="6772F68A">
      <w:pPr>
        <w:numPr>
          <w:ilvl w:val="3"/>
          <w:numId w:val="4"/>
        </w:numPr>
        <w:tabs>
          <w:tab w:val="left" w:pos="0"/>
          <w:tab w:val="clear" w:pos="1980"/>
        </w:tabs>
        <w:spacing w:line="360" w:lineRule="auto"/>
        <w:ind w:left="0" w:firstLine="480" w:firstLineChars="200"/>
        <w:rPr>
          <w:rFonts w:hint="eastAsia" w:ascii="宋体" w:hAnsi="宋体"/>
          <w:color w:val="000000"/>
          <w:sz w:val="24"/>
        </w:rPr>
      </w:pPr>
      <w:r>
        <w:rPr>
          <w:rFonts w:hint="eastAsia" w:ascii="宋体" w:hAnsi="宋体"/>
          <w:color w:val="000000"/>
          <w:sz w:val="24"/>
        </w:rPr>
        <w:t>距离建筑物＞5</w:t>
      </w:r>
      <w:r>
        <w:rPr>
          <w:rFonts w:ascii="宋体" w:hAnsi="宋体"/>
          <w:color w:val="000000"/>
          <w:sz w:val="24"/>
        </w:rPr>
        <w:t>m</w:t>
      </w:r>
      <w:r>
        <w:rPr>
          <w:rFonts w:hint="eastAsia" w:ascii="宋体" w:hAnsi="宋体"/>
          <w:color w:val="000000"/>
          <w:sz w:val="24"/>
        </w:rPr>
        <w:t>；</w:t>
      </w:r>
    </w:p>
    <w:p w14:paraId="0974BC62">
      <w:pPr>
        <w:numPr>
          <w:ilvl w:val="3"/>
          <w:numId w:val="4"/>
        </w:numPr>
        <w:tabs>
          <w:tab w:val="left" w:pos="0"/>
          <w:tab w:val="clear" w:pos="1980"/>
        </w:tabs>
        <w:spacing w:line="360" w:lineRule="auto"/>
        <w:ind w:left="0" w:firstLine="480" w:firstLineChars="200"/>
        <w:rPr>
          <w:rFonts w:hint="eastAsia" w:ascii="宋体" w:hAnsi="宋体"/>
          <w:color w:val="000000"/>
          <w:sz w:val="24"/>
        </w:rPr>
      </w:pPr>
      <w:r>
        <w:rPr>
          <w:rFonts w:hint="eastAsia" w:ascii="宋体" w:hAnsi="宋体"/>
          <w:color w:val="000000"/>
          <w:sz w:val="24"/>
        </w:rPr>
        <w:t>距离动力电缆＞1m。</w:t>
      </w:r>
    </w:p>
    <w:p w14:paraId="60357286">
      <w:pPr>
        <w:numPr>
          <w:ilvl w:val="3"/>
          <w:numId w:val="4"/>
        </w:numPr>
        <w:tabs>
          <w:tab w:val="left" w:pos="0"/>
          <w:tab w:val="clear" w:pos="1980"/>
        </w:tabs>
        <w:spacing w:line="360" w:lineRule="auto"/>
        <w:ind w:left="0" w:firstLine="480" w:firstLineChars="200"/>
        <w:rPr>
          <w:rFonts w:hint="eastAsia" w:ascii="宋体" w:hAnsi="宋体"/>
          <w:color w:val="000000"/>
          <w:sz w:val="24"/>
        </w:rPr>
      </w:pPr>
      <w:r>
        <w:rPr>
          <w:rFonts w:hint="eastAsia" w:ascii="宋体" w:hAnsi="宋体"/>
          <w:color w:val="000000"/>
          <w:sz w:val="24"/>
        </w:rPr>
        <w:t>距离水管和排水沟＞1.5</w:t>
      </w:r>
      <w:r>
        <w:rPr>
          <w:rFonts w:ascii="宋体" w:hAnsi="宋体"/>
          <w:color w:val="000000"/>
          <w:sz w:val="24"/>
        </w:rPr>
        <w:t>m</w:t>
      </w:r>
      <w:r>
        <w:rPr>
          <w:rFonts w:hint="eastAsia" w:ascii="宋体" w:hAnsi="宋体"/>
          <w:color w:val="000000"/>
          <w:sz w:val="24"/>
        </w:rPr>
        <w:t>；</w:t>
      </w:r>
    </w:p>
    <w:p w14:paraId="494612D5">
      <w:pPr>
        <w:numPr>
          <w:ilvl w:val="3"/>
          <w:numId w:val="4"/>
        </w:numPr>
        <w:tabs>
          <w:tab w:val="left" w:pos="0"/>
          <w:tab w:val="clear" w:pos="1980"/>
        </w:tabs>
        <w:spacing w:line="360" w:lineRule="auto"/>
        <w:ind w:left="0" w:firstLine="480" w:firstLineChars="200"/>
        <w:rPr>
          <w:rFonts w:hint="eastAsia" w:ascii="宋体" w:hAnsi="宋体"/>
          <w:color w:val="000000"/>
          <w:sz w:val="24"/>
        </w:rPr>
      </w:pPr>
      <w:r>
        <w:rPr>
          <w:rFonts w:hint="eastAsia" w:ascii="宋体" w:hAnsi="宋体"/>
          <w:color w:val="000000"/>
          <w:sz w:val="24"/>
        </w:rPr>
        <w:t>距离木电线杆＞2</w:t>
      </w:r>
      <w:r>
        <w:rPr>
          <w:rFonts w:ascii="宋体" w:hAnsi="宋体"/>
          <w:color w:val="000000"/>
          <w:sz w:val="24"/>
        </w:rPr>
        <w:t>m</w:t>
      </w:r>
    </w:p>
    <w:p w14:paraId="5D58A015">
      <w:pPr>
        <w:numPr>
          <w:ilvl w:val="2"/>
          <w:numId w:val="4"/>
        </w:numPr>
        <w:tabs>
          <w:tab w:val="left" w:pos="0"/>
          <w:tab w:val="clear" w:pos="1200"/>
        </w:tabs>
        <w:spacing w:line="360" w:lineRule="auto"/>
        <w:ind w:left="0" w:firstLine="480" w:firstLineChars="200"/>
        <w:rPr>
          <w:rFonts w:hint="eastAsia" w:ascii="宋体" w:hAnsi="宋体"/>
          <w:color w:val="000000"/>
          <w:sz w:val="24"/>
        </w:rPr>
      </w:pPr>
      <w:r>
        <w:rPr>
          <w:rFonts w:hint="eastAsia" w:ascii="宋体" w:hAnsi="宋体"/>
          <w:color w:val="000000"/>
          <w:sz w:val="24"/>
        </w:rPr>
        <w:t>抽放管路不得从地下穿过房屋或其他建（构）筑物，一般情况下也不得穿过其他管网。当必须穿过其他管网时，应按有关规定采取措施。</w:t>
      </w:r>
    </w:p>
    <w:p w14:paraId="54432CCE">
      <w:pPr>
        <w:spacing w:line="360" w:lineRule="auto"/>
        <w:ind w:firstLine="480" w:firstLineChars="200"/>
        <w:rPr>
          <w:rFonts w:hint="eastAsia" w:ascii="宋体" w:hAnsi="宋体"/>
          <w:color w:val="000000"/>
          <w:sz w:val="24"/>
        </w:rPr>
      </w:pPr>
      <w:r>
        <w:rPr>
          <w:rFonts w:hint="eastAsia" w:ascii="宋体" w:hAnsi="宋体"/>
          <w:color w:val="000000"/>
          <w:sz w:val="24"/>
        </w:rPr>
        <w:t>9、抽放管路敷设要平直，不要拐急弯。</w:t>
      </w:r>
    </w:p>
    <w:p w14:paraId="448A1E3B">
      <w:pPr>
        <w:spacing w:line="360" w:lineRule="auto"/>
        <w:ind w:firstLine="480" w:firstLineChars="200"/>
        <w:rPr>
          <w:rFonts w:hint="eastAsia" w:ascii="宋体" w:hAnsi="宋体"/>
          <w:color w:val="000000"/>
          <w:sz w:val="24"/>
        </w:rPr>
      </w:pPr>
      <w:r>
        <w:rPr>
          <w:rFonts w:hint="eastAsia" w:ascii="宋体" w:hAnsi="宋体"/>
          <w:color w:val="000000"/>
          <w:sz w:val="24"/>
        </w:rPr>
        <w:t>10、主管、分管、支管及其与钻场连接处均要安设阀门及观测孔。</w:t>
      </w:r>
    </w:p>
    <w:p w14:paraId="5A4D0A51">
      <w:pPr>
        <w:spacing w:line="360" w:lineRule="auto"/>
        <w:ind w:firstLine="480" w:firstLineChars="200"/>
        <w:rPr>
          <w:rFonts w:hint="eastAsia" w:ascii="宋体" w:hAnsi="宋体"/>
          <w:color w:val="000000"/>
          <w:sz w:val="24"/>
        </w:rPr>
      </w:pPr>
      <w:r>
        <w:rPr>
          <w:rFonts w:hint="eastAsia" w:ascii="宋体" w:hAnsi="宋体"/>
          <w:color w:val="000000"/>
          <w:sz w:val="24"/>
        </w:rPr>
        <w:t>11、在抽放管路的适当位置应安设除渣装置和测压装置。</w:t>
      </w:r>
    </w:p>
    <w:p w14:paraId="636F7726">
      <w:pPr>
        <w:spacing w:line="360" w:lineRule="auto"/>
        <w:ind w:firstLine="480" w:firstLineChars="200"/>
        <w:rPr>
          <w:rFonts w:hint="eastAsia" w:ascii="宋体" w:hAnsi="宋体"/>
          <w:color w:val="000000"/>
          <w:sz w:val="24"/>
        </w:rPr>
      </w:pPr>
      <w:r>
        <w:rPr>
          <w:rFonts w:hint="eastAsia" w:ascii="宋体" w:hAnsi="宋体"/>
          <w:color w:val="000000"/>
          <w:sz w:val="24"/>
        </w:rPr>
        <w:t>12、抽放管路分岔处应设置控制阀门，阀门规格应与安装地点的管径相匹配。</w:t>
      </w:r>
    </w:p>
    <w:p w14:paraId="33D723A8">
      <w:pPr>
        <w:spacing w:line="360" w:lineRule="auto"/>
        <w:ind w:firstLine="480" w:firstLineChars="200"/>
        <w:rPr>
          <w:rFonts w:hint="eastAsia" w:ascii="宋体" w:hAnsi="宋体"/>
          <w:color w:val="000000"/>
          <w:sz w:val="24"/>
        </w:rPr>
      </w:pPr>
      <w:r>
        <w:rPr>
          <w:rFonts w:hint="eastAsia" w:ascii="宋体" w:hAnsi="宋体"/>
          <w:color w:val="000000"/>
          <w:sz w:val="24"/>
        </w:rPr>
        <w:t>13、在抽放钻场、管路拐弯、低洼、温度差异大的地方及沿管路适当距离（间距一般为200～300</w:t>
      </w:r>
      <w:r>
        <w:rPr>
          <w:rFonts w:ascii="宋体" w:hAnsi="宋体"/>
          <w:color w:val="000000"/>
          <w:sz w:val="24"/>
        </w:rPr>
        <w:t>m</w:t>
      </w:r>
      <w:r>
        <w:rPr>
          <w:rFonts w:hint="eastAsia" w:ascii="宋体" w:hAnsi="宋体"/>
          <w:color w:val="000000"/>
          <w:sz w:val="24"/>
        </w:rPr>
        <w:t>，最大不超过500</w:t>
      </w:r>
      <w:r>
        <w:rPr>
          <w:rFonts w:ascii="宋体" w:hAnsi="宋体"/>
          <w:color w:val="000000"/>
          <w:sz w:val="24"/>
        </w:rPr>
        <w:t>m</w:t>
      </w:r>
      <w:r>
        <w:rPr>
          <w:rFonts w:hint="eastAsia" w:ascii="宋体" w:hAnsi="宋体"/>
          <w:color w:val="000000"/>
          <w:sz w:val="24"/>
        </w:rPr>
        <w:t>）应设置放水器。放水器要保证在放水时，不影响抽放。</w:t>
      </w:r>
    </w:p>
    <w:p w14:paraId="62E6311E">
      <w:pPr>
        <w:spacing w:line="360" w:lineRule="auto"/>
        <w:ind w:firstLine="480" w:firstLineChars="200"/>
        <w:rPr>
          <w:rFonts w:hint="eastAsia" w:ascii="宋体" w:hAnsi="宋体"/>
          <w:color w:val="000000"/>
          <w:sz w:val="24"/>
        </w:rPr>
      </w:pPr>
      <w:r>
        <w:rPr>
          <w:rFonts w:hint="eastAsia" w:ascii="宋体" w:hAnsi="宋体"/>
          <w:color w:val="000000"/>
          <w:sz w:val="24"/>
        </w:rPr>
        <w:t>14、使用钢板卷管，壁厚需</w:t>
      </w:r>
      <w:r>
        <w:rPr>
          <w:rFonts w:ascii="宋体" w:hAnsi="宋体"/>
          <w:color w:val="000000"/>
          <w:sz w:val="24"/>
        </w:rPr>
        <w:t>3</w:t>
      </w:r>
      <w:r>
        <w:rPr>
          <w:rFonts w:hint="eastAsia" w:ascii="宋体" w:hAnsi="宋体"/>
          <w:color w:val="000000"/>
          <w:sz w:val="24"/>
        </w:rPr>
        <w:t>～</w:t>
      </w:r>
      <w:r>
        <w:rPr>
          <w:rFonts w:ascii="宋体" w:hAnsi="宋体"/>
          <w:color w:val="000000"/>
          <w:sz w:val="24"/>
        </w:rPr>
        <w:t>6mm</w:t>
      </w:r>
      <w:r>
        <w:rPr>
          <w:rFonts w:hint="eastAsia" w:ascii="宋体" w:hAnsi="宋体"/>
          <w:color w:val="000000"/>
          <w:sz w:val="24"/>
        </w:rPr>
        <w:t>，并需进行</w:t>
      </w:r>
      <w:r>
        <w:rPr>
          <w:rFonts w:ascii="宋体" w:hAnsi="宋体"/>
          <w:color w:val="000000"/>
          <w:sz w:val="24"/>
        </w:rPr>
        <w:t>0.2</w:t>
      </w:r>
      <w:r>
        <w:rPr>
          <w:rFonts w:hint="eastAsia" w:ascii="宋体" w:hAnsi="宋体"/>
          <w:color w:val="000000"/>
          <w:sz w:val="24"/>
        </w:rPr>
        <w:t>～</w:t>
      </w:r>
      <w:r>
        <w:rPr>
          <w:rFonts w:ascii="宋体" w:hAnsi="宋体"/>
          <w:color w:val="000000"/>
          <w:sz w:val="24"/>
        </w:rPr>
        <w:t>0.5M</w:t>
      </w:r>
      <w:r>
        <w:rPr>
          <w:rFonts w:hint="eastAsia" w:ascii="宋体" w:hAnsi="宋体"/>
          <w:color w:val="000000"/>
          <w:sz w:val="24"/>
        </w:rPr>
        <w:t>P</w:t>
      </w:r>
      <w:r>
        <w:rPr>
          <w:rFonts w:ascii="宋体" w:hAnsi="宋体"/>
          <w:color w:val="000000"/>
          <w:sz w:val="24"/>
        </w:rPr>
        <w:t>a</w:t>
      </w:r>
      <w:r>
        <w:rPr>
          <w:rFonts w:hint="eastAsia" w:ascii="宋体" w:hAnsi="宋体"/>
          <w:color w:val="000000"/>
          <w:sz w:val="24"/>
        </w:rPr>
        <w:t>的水压试验或1Mpa以上的气压试验。合格后才可以使用。</w:t>
      </w:r>
    </w:p>
    <w:p w14:paraId="5735158F">
      <w:pPr>
        <w:spacing w:line="360" w:lineRule="auto"/>
        <w:ind w:firstLine="480" w:firstLineChars="200"/>
        <w:rPr>
          <w:rFonts w:hint="eastAsia" w:ascii="宋体" w:hAnsi="宋体"/>
          <w:color w:val="000000"/>
          <w:sz w:val="24"/>
        </w:rPr>
      </w:pPr>
      <w:r>
        <w:rPr>
          <w:rFonts w:hint="eastAsia" w:ascii="宋体" w:hAnsi="宋体"/>
          <w:color w:val="000000"/>
          <w:sz w:val="24"/>
        </w:rPr>
        <w:t>15、通往井下的抽放管路应采取防雷措施。</w:t>
      </w:r>
    </w:p>
    <w:p w14:paraId="373481B4">
      <w:pPr>
        <w:spacing w:line="360" w:lineRule="auto"/>
        <w:ind w:firstLine="480" w:firstLineChars="200"/>
        <w:rPr>
          <w:rFonts w:hint="eastAsia" w:ascii="宋体" w:hAnsi="宋体"/>
          <w:color w:val="000000"/>
          <w:sz w:val="24"/>
        </w:rPr>
      </w:pPr>
      <w:r>
        <w:rPr>
          <w:rFonts w:hint="eastAsia" w:ascii="宋体" w:hAnsi="宋体"/>
          <w:color w:val="000000"/>
          <w:sz w:val="24"/>
        </w:rPr>
        <w:t>（三）、对抽放站的安全要求：</w:t>
      </w:r>
    </w:p>
    <w:p w14:paraId="3AE4FDD9">
      <w:pPr>
        <w:tabs>
          <w:tab w:val="left" w:pos="2400"/>
        </w:tabs>
        <w:spacing w:line="360" w:lineRule="auto"/>
        <w:ind w:firstLine="480" w:firstLineChars="200"/>
        <w:rPr>
          <w:rFonts w:hint="eastAsia" w:ascii="宋体" w:hAnsi="宋体"/>
          <w:color w:val="000000"/>
          <w:sz w:val="24"/>
        </w:rPr>
      </w:pPr>
      <w:r>
        <w:rPr>
          <w:rFonts w:hint="eastAsia" w:ascii="宋体" w:hAnsi="宋体"/>
          <w:color w:val="000000"/>
          <w:sz w:val="24"/>
        </w:rPr>
        <w:t>地面固定地式抽放站</w:t>
      </w:r>
    </w:p>
    <w:p w14:paraId="7AD1065A">
      <w:pPr>
        <w:spacing w:line="360" w:lineRule="auto"/>
        <w:ind w:firstLine="480" w:firstLineChars="200"/>
        <w:rPr>
          <w:rFonts w:hint="eastAsia" w:ascii="宋体" w:hAnsi="宋体"/>
          <w:color w:val="000000"/>
          <w:sz w:val="24"/>
        </w:rPr>
      </w:pPr>
      <w:r>
        <w:rPr>
          <w:rFonts w:hint="eastAsia" w:ascii="宋体" w:hAnsi="宋体"/>
          <w:color w:val="000000"/>
          <w:sz w:val="24"/>
        </w:rPr>
        <w:t>1、抽放站站址应选择不受洪涝威胁且工程地质条件可靠的地点，无滑坡、溶洞、断层及塌陷等灾害。</w:t>
      </w:r>
    </w:p>
    <w:p w14:paraId="6EC6F5DB">
      <w:pPr>
        <w:spacing w:line="360" w:lineRule="auto"/>
        <w:ind w:firstLine="480" w:firstLineChars="200"/>
        <w:rPr>
          <w:rFonts w:hint="eastAsia" w:ascii="宋体" w:hAnsi="宋体"/>
          <w:color w:val="000000"/>
          <w:sz w:val="24"/>
        </w:rPr>
      </w:pPr>
      <w:r>
        <w:rPr>
          <w:rFonts w:hint="eastAsia" w:ascii="宋体" w:hAnsi="宋体"/>
          <w:color w:val="000000"/>
          <w:sz w:val="24"/>
        </w:rPr>
        <w:t>2、抽放站宜设在回风井工业场地内，泵房距井口和主要建筑物及居住区不得小于</w:t>
      </w:r>
      <w:r>
        <w:rPr>
          <w:rFonts w:ascii="宋体" w:hAnsi="宋体"/>
          <w:color w:val="000000"/>
          <w:sz w:val="24"/>
        </w:rPr>
        <w:t>50m</w:t>
      </w:r>
      <w:r>
        <w:rPr>
          <w:rFonts w:hint="eastAsia" w:ascii="宋体" w:hAnsi="宋体"/>
          <w:color w:val="000000"/>
          <w:sz w:val="24"/>
        </w:rPr>
        <w:t>。</w:t>
      </w:r>
    </w:p>
    <w:p w14:paraId="46EEFEA4">
      <w:pPr>
        <w:spacing w:line="360" w:lineRule="auto"/>
        <w:ind w:firstLine="480" w:firstLineChars="200"/>
        <w:rPr>
          <w:rFonts w:hint="eastAsia" w:ascii="宋体" w:hAnsi="宋体"/>
          <w:color w:val="000000"/>
          <w:sz w:val="24"/>
        </w:rPr>
      </w:pPr>
      <w:r>
        <w:rPr>
          <w:rFonts w:hint="eastAsia" w:ascii="宋体" w:hAnsi="宋体"/>
          <w:color w:val="000000"/>
          <w:sz w:val="24"/>
        </w:rPr>
        <w:t>3、泵房内及泵房周围</w:t>
      </w:r>
      <w:r>
        <w:rPr>
          <w:rFonts w:ascii="宋体" w:hAnsi="宋体"/>
          <w:color w:val="000000"/>
          <w:sz w:val="24"/>
        </w:rPr>
        <w:t>20m</w:t>
      </w:r>
      <w:r>
        <w:rPr>
          <w:rFonts w:hint="eastAsia" w:ascii="宋体" w:hAnsi="宋体"/>
          <w:color w:val="000000"/>
          <w:sz w:val="24"/>
        </w:rPr>
        <w:t>范围内严禁有明火。</w:t>
      </w:r>
    </w:p>
    <w:p w14:paraId="0804CD24">
      <w:pPr>
        <w:spacing w:line="360" w:lineRule="auto"/>
        <w:ind w:firstLine="480" w:firstLineChars="200"/>
        <w:rPr>
          <w:rFonts w:hint="eastAsia" w:ascii="宋体" w:hAnsi="宋体"/>
          <w:color w:val="000000"/>
          <w:sz w:val="24"/>
        </w:rPr>
      </w:pPr>
      <w:r>
        <w:rPr>
          <w:rFonts w:hint="eastAsia" w:ascii="宋体" w:hAnsi="宋体"/>
          <w:color w:val="000000"/>
          <w:sz w:val="24"/>
        </w:rPr>
        <w:t>4、泵房建筑必须采用不燃性材料，耐火等级为二级。</w:t>
      </w:r>
    </w:p>
    <w:p w14:paraId="30C68A19">
      <w:pPr>
        <w:spacing w:line="360" w:lineRule="auto"/>
        <w:ind w:firstLine="480" w:firstLineChars="200"/>
        <w:rPr>
          <w:rFonts w:hint="eastAsia" w:ascii="宋体" w:hAnsi="宋体"/>
          <w:color w:val="000000"/>
          <w:sz w:val="24"/>
        </w:rPr>
      </w:pPr>
      <w:r>
        <w:rPr>
          <w:rFonts w:hint="eastAsia" w:ascii="宋体" w:hAnsi="宋体"/>
          <w:color w:val="000000"/>
          <w:sz w:val="24"/>
        </w:rPr>
        <w:t>5、泵房周围必须设栅栏或围墙保护。</w:t>
      </w:r>
    </w:p>
    <w:p w14:paraId="161C3D92">
      <w:pPr>
        <w:spacing w:line="360" w:lineRule="auto"/>
        <w:ind w:firstLine="480" w:firstLineChars="200"/>
        <w:rPr>
          <w:rFonts w:hint="eastAsia" w:ascii="宋体" w:hAnsi="宋体"/>
          <w:color w:val="000000"/>
          <w:sz w:val="24"/>
        </w:rPr>
      </w:pPr>
      <w:r>
        <w:rPr>
          <w:rFonts w:hint="eastAsia" w:ascii="宋体" w:hAnsi="宋体"/>
          <w:color w:val="000000"/>
          <w:sz w:val="24"/>
        </w:rPr>
        <w:t>6、泵房内及泵房周围 20</w:t>
      </w:r>
      <w:r>
        <w:rPr>
          <w:rFonts w:ascii="宋体" w:hAnsi="宋体"/>
          <w:color w:val="000000"/>
          <w:sz w:val="24"/>
        </w:rPr>
        <w:t>m</w:t>
      </w:r>
      <w:r>
        <w:rPr>
          <w:rFonts w:hint="eastAsia" w:ascii="宋体" w:hAnsi="宋体"/>
          <w:color w:val="000000"/>
          <w:sz w:val="24"/>
        </w:rPr>
        <w:t>范围内的电器设备（含电话），仪表及照明等都必须采用矿用防爆型的，并按井下防爆电器管理规定进行管理，消灭失爆。泵房应采用双回路供电，电器设备一套使用，一套备用。泵房必须装有直通矿调度室的电话。</w:t>
      </w:r>
    </w:p>
    <w:p w14:paraId="053BFE43">
      <w:pPr>
        <w:spacing w:line="360" w:lineRule="auto"/>
        <w:ind w:firstLine="480" w:firstLineChars="200"/>
        <w:rPr>
          <w:rFonts w:hint="eastAsia" w:ascii="宋体" w:hAnsi="宋体"/>
          <w:color w:val="000000"/>
          <w:sz w:val="24"/>
        </w:rPr>
      </w:pPr>
      <w:r>
        <w:rPr>
          <w:rFonts w:hint="eastAsia" w:ascii="宋体" w:hAnsi="宋体"/>
          <w:color w:val="000000"/>
          <w:sz w:val="24"/>
        </w:rPr>
        <w:t>7、泵房内的电器设备，值班室应与泵房隔离分开，分成泵房、配电间、值班室，避免相互干扰。</w:t>
      </w:r>
    </w:p>
    <w:p w14:paraId="7F777502">
      <w:pPr>
        <w:tabs>
          <w:tab w:val="left" w:pos="1440"/>
        </w:tabs>
        <w:spacing w:line="360" w:lineRule="auto"/>
        <w:ind w:firstLine="480" w:firstLineChars="200"/>
        <w:rPr>
          <w:rFonts w:hint="eastAsia" w:ascii="宋体" w:hAnsi="宋体"/>
          <w:color w:val="000000"/>
          <w:sz w:val="24"/>
        </w:rPr>
      </w:pPr>
      <w:r>
        <w:rPr>
          <w:rFonts w:hint="eastAsia" w:ascii="宋体" w:hAnsi="宋体"/>
          <w:color w:val="000000"/>
          <w:sz w:val="24"/>
        </w:rPr>
        <w:t>8、泵房内要保证通风良好，房顶应设天窗，防止瓦斯积聚，并安设瓦斯报警装置。瓦斯探头设在泵房中上部瓦斯易积聚的位置，并保证灵敏可靠，报警浓度</w:t>
      </w:r>
      <w:r>
        <w:rPr>
          <w:rFonts w:ascii="宋体" w:hAnsi="宋体"/>
          <w:color w:val="000000"/>
          <w:sz w:val="24"/>
        </w:rPr>
        <w:t>0.5</w:t>
      </w:r>
      <w:r>
        <w:rPr>
          <w:rFonts w:hint="eastAsia" w:ascii="宋体" w:hAnsi="宋体"/>
          <w:color w:val="000000"/>
          <w:sz w:val="24"/>
        </w:rPr>
        <w:t>%。</w:t>
      </w:r>
    </w:p>
    <w:p w14:paraId="325E2D7D">
      <w:pPr>
        <w:spacing w:line="360" w:lineRule="auto"/>
        <w:ind w:firstLine="480" w:firstLineChars="200"/>
        <w:rPr>
          <w:rFonts w:hint="eastAsia" w:ascii="宋体" w:hAnsi="宋体"/>
          <w:color w:val="000000"/>
          <w:sz w:val="24"/>
        </w:rPr>
      </w:pPr>
      <w:r>
        <w:rPr>
          <w:rFonts w:hint="eastAsia" w:ascii="宋体" w:hAnsi="宋体"/>
          <w:color w:val="000000"/>
          <w:sz w:val="24"/>
        </w:rPr>
        <w:t>9、泵房内必须安设安全监测系统，对泵的开停，抽放管内瓦斯浓度，流量、抽放负压，温度和CO以及泵房内的瓦斯浓度等实施自动监测监控。当出现异常时能自动报警断电等。泵房内必须配备有测量负压、流量、温度及瓦斯浓度等的仪表，并制定泵房内定时人工检查的制度。</w:t>
      </w:r>
    </w:p>
    <w:p w14:paraId="5E1BFE1F">
      <w:pPr>
        <w:spacing w:line="360" w:lineRule="auto"/>
        <w:ind w:firstLine="480" w:firstLineChars="200"/>
        <w:rPr>
          <w:rFonts w:hint="eastAsia" w:ascii="宋体" w:hAnsi="宋体"/>
          <w:color w:val="000000"/>
          <w:sz w:val="24"/>
        </w:rPr>
      </w:pPr>
      <w:r>
        <w:rPr>
          <w:rFonts w:hint="eastAsia" w:ascii="宋体" w:hAnsi="宋体"/>
          <w:color w:val="000000"/>
          <w:sz w:val="24"/>
        </w:rPr>
        <w:t>10、抽放站应设避雷装置，避雷装置应高于瓦斯放空管。避雷的覆盖面应能保护整个抽放站。</w:t>
      </w:r>
    </w:p>
    <w:p w14:paraId="20B83DD8">
      <w:pPr>
        <w:spacing w:line="360" w:lineRule="auto"/>
        <w:ind w:firstLine="480" w:firstLineChars="200"/>
        <w:rPr>
          <w:rFonts w:hint="eastAsia" w:ascii="宋体" w:hAnsi="宋体"/>
          <w:color w:val="000000"/>
          <w:sz w:val="24"/>
        </w:rPr>
      </w:pPr>
      <w:r>
        <w:rPr>
          <w:rFonts w:hint="eastAsia" w:ascii="宋体" w:hAnsi="宋体"/>
          <w:color w:val="000000"/>
          <w:sz w:val="24"/>
        </w:rPr>
        <w:t>11、抽放站应有防火措施，应有供水系统。泵房设备冷却水一般采用闭路循环。给水管路及水池容积应满足消防用水量。</w:t>
      </w:r>
    </w:p>
    <w:p w14:paraId="033F4D08">
      <w:pPr>
        <w:spacing w:line="360" w:lineRule="auto"/>
        <w:ind w:firstLine="480" w:firstLineChars="200"/>
        <w:rPr>
          <w:rFonts w:hint="eastAsia" w:ascii="宋体" w:hAnsi="宋体"/>
          <w:color w:val="000000"/>
          <w:sz w:val="24"/>
        </w:rPr>
      </w:pPr>
      <w:r>
        <w:rPr>
          <w:rFonts w:hint="eastAsia" w:ascii="宋体" w:hAnsi="宋体"/>
          <w:color w:val="000000"/>
          <w:sz w:val="24"/>
        </w:rPr>
        <w:t>12、泵房附近的管路应设置放水器及防爆、防回火、除渣装置和压力、流量、浓度测定装置，还应设置采样孔、阀门等附属装置。</w:t>
      </w:r>
    </w:p>
    <w:p w14:paraId="70487F6A">
      <w:pPr>
        <w:spacing w:line="360" w:lineRule="auto"/>
        <w:ind w:firstLine="480" w:firstLineChars="200"/>
        <w:rPr>
          <w:rFonts w:hint="eastAsia" w:ascii="宋体" w:hAnsi="宋体"/>
          <w:color w:val="000000"/>
          <w:sz w:val="24"/>
        </w:rPr>
      </w:pPr>
      <w:r>
        <w:rPr>
          <w:rFonts w:hint="eastAsia" w:ascii="宋体" w:hAnsi="宋体"/>
          <w:color w:val="000000"/>
          <w:sz w:val="24"/>
        </w:rPr>
        <w:t>13、抽放站在吸排气两端应设置瓦斯放空管。放空管直径不得小于吸排气两侧的主管直径，高度至少超过泵房屋顶5米以上。为防杂物和雨水进入放空管内，其上端管口要设置保护盖帽。</w:t>
      </w:r>
    </w:p>
    <w:p w14:paraId="2E77DBA6">
      <w:pPr>
        <w:spacing w:line="360" w:lineRule="auto"/>
        <w:ind w:firstLine="480" w:firstLineChars="200"/>
        <w:rPr>
          <w:rFonts w:hint="eastAsia" w:ascii="宋体" w:hAnsi="宋体"/>
          <w:color w:val="000000"/>
          <w:sz w:val="24"/>
        </w:rPr>
      </w:pPr>
      <w:r>
        <w:rPr>
          <w:rFonts w:hint="eastAsia" w:ascii="宋体" w:hAnsi="宋体"/>
          <w:color w:val="000000"/>
          <w:sz w:val="24"/>
        </w:rPr>
        <w:t>14、使用水环式真空泵的循环水系统必须正常，供水可靠，严禁泵内缺水或无水。高低位水池位置要合适，池容要够，保证供水压力和水量。水质要好。泵房冷却低位水池严禁密封，要采取防止瓦斯积聚的措施。</w:t>
      </w:r>
    </w:p>
    <w:p w14:paraId="47D4D70E">
      <w:pPr>
        <w:spacing w:before="50" w:after="50" w:line="360" w:lineRule="auto"/>
        <w:ind w:firstLine="480" w:firstLineChars="200"/>
        <w:rPr>
          <w:rFonts w:hint="eastAsia" w:ascii="宋体" w:hAnsi="宋体"/>
          <w:color w:val="000000"/>
          <w:sz w:val="24"/>
        </w:rPr>
      </w:pPr>
      <w:r>
        <w:rPr>
          <w:rFonts w:hint="eastAsia" w:ascii="宋体" w:hAnsi="宋体"/>
          <w:color w:val="000000"/>
          <w:sz w:val="24"/>
        </w:rPr>
        <w:t>2、抽放系统安全措施</w:t>
      </w:r>
    </w:p>
    <w:p w14:paraId="1D279560">
      <w:pPr>
        <w:spacing w:before="50" w:after="50" w:line="360" w:lineRule="auto"/>
        <w:ind w:firstLine="480" w:firstLineChars="200"/>
        <w:rPr>
          <w:rFonts w:hint="eastAsia" w:ascii="宋体" w:hAnsi="宋体"/>
          <w:color w:val="000000"/>
          <w:sz w:val="24"/>
        </w:rPr>
      </w:pPr>
      <w:r>
        <w:rPr>
          <w:rFonts w:hint="eastAsia" w:ascii="宋体" w:hAnsi="宋体"/>
          <w:color w:val="000000"/>
          <w:sz w:val="24"/>
        </w:rPr>
        <w:t>(1) 抽放钻场、钻孔施工防治瓦斯措施。</w:t>
      </w:r>
    </w:p>
    <w:p w14:paraId="274A1F0C">
      <w:pPr>
        <w:spacing w:before="50" w:after="50" w:line="360" w:lineRule="auto"/>
        <w:ind w:firstLine="480" w:firstLineChars="200"/>
        <w:rPr>
          <w:rFonts w:hint="eastAsia" w:ascii="宋体" w:hAnsi="宋体"/>
          <w:color w:val="000000"/>
          <w:sz w:val="24"/>
        </w:rPr>
      </w:pPr>
      <w:r>
        <w:rPr>
          <w:rFonts w:hint="eastAsia" w:ascii="宋体" w:hAnsi="宋体"/>
          <w:color w:val="000000"/>
          <w:sz w:val="24"/>
        </w:rPr>
        <w:t>在钻孔施工中碰防止瓦斯涌出事故及机械伤人事故。具体有：</w:t>
      </w:r>
    </w:p>
    <w:p w14:paraId="54DD5249">
      <w:pPr>
        <w:spacing w:before="50" w:after="50" w:line="360" w:lineRule="auto"/>
        <w:ind w:firstLine="480" w:firstLineChars="200"/>
        <w:rPr>
          <w:rFonts w:hint="eastAsia" w:ascii="宋体" w:hAnsi="宋体"/>
          <w:color w:val="000000"/>
          <w:sz w:val="24"/>
        </w:rPr>
      </w:pPr>
      <w:r>
        <w:rPr>
          <w:rFonts w:hint="eastAsia" w:ascii="宋体" w:hAnsi="宋体"/>
          <w:color w:val="000000"/>
          <w:sz w:val="24"/>
        </w:rPr>
        <w:t>1) 边钻进边抽放瓦斯；</w:t>
      </w:r>
    </w:p>
    <w:p w14:paraId="1F533106">
      <w:pPr>
        <w:spacing w:before="50" w:after="50" w:line="360" w:lineRule="auto"/>
        <w:ind w:firstLine="480" w:firstLineChars="200"/>
        <w:rPr>
          <w:rFonts w:hint="eastAsia" w:ascii="宋体" w:hAnsi="宋体"/>
          <w:color w:val="000000"/>
          <w:sz w:val="24"/>
        </w:rPr>
      </w:pPr>
      <w:r>
        <w:rPr>
          <w:rFonts w:hint="eastAsia" w:ascii="宋体" w:hAnsi="宋体"/>
          <w:color w:val="000000"/>
          <w:sz w:val="24"/>
        </w:rPr>
        <w:t>2) 钻机配备的电动机及附属电气设备必须是防爆型的；</w:t>
      </w:r>
    </w:p>
    <w:p w14:paraId="2EF0626C">
      <w:pPr>
        <w:spacing w:before="50" w:after="50" w:line="360" w:lineRule="auto"/>
        <w:ind w:firstLine="480" w:firstLineChars="200"/>
        <w:rPr>
          <w:rFonts w:hint="eastAsia" w:ascii="宋体" w:hAnsi="宋体"/>
          <w:color w:val="000000"/>
          <w:sz w:val="24"/>
        </w:rPr>
      </w:pPr>
      <w:r>
        <w:rPr>
          <w:rFonts w:hint="eastAsia" w:ascii="宋体" w:hAnsi="宋体"/>
          <w:color w:val="000000"/>
          <w:sz w:val="24"/>
        </w:rPr>
        <w:t>3) 劝配备瓦斯检测器及警报器，定期检查瓦斯浓度，一旦瓦斯超限，必须立即停钻处理：</w:t>
      </w:r>
    </w:p>
    <w:p w14:paraId="403216BB">
      <w:pPr>
        <w:spacing w:before="50" w:after="50" w:line="360" w:lineRule="auto"/>
        <w:ind w:firstLine="480" w:firstLineChars="200"/>
        <w:rPr>
          <w:rFonts w:hint="eastAsia" w:ascii="宋体" w:hAnsi="宋体"/>
          <w:color w:val="000000"/>
          <w:sz w:val="24"/>
        </w:rPr>
      </w:pPr>
      <w:r>
        <w:rPr>
          <w:rFonts w:hint="eastAsia" w:ascii="宋体" w:hAnsi="宋体"/>
          <w:color w:val="000000"/>
          <w:sz w:val="24"/>
        </w:rPr>
        <w:t>4) 钻场内使用的敲击工具必须用铜制造;</w:t>
      </w:r>
    </w:p>
    <w:p w14:paraId="1FE296E9">
      <w:pPr>
        <w:spacing w:before="50" w:after="50" w:line="360" w:lineRule="auto"/>
        <w:ind w:firstLine="480" w:firstLineChars="200"/>
        <w:rPr>
          <w:rFonts w:hint="eastAsia" w:ascii="宋体" w:hAnsi="宋体"/>
          <w:color w:val="000000"/>
          <w:sz w:val="24"/>
        </w:rPr>
      </w:pPr>
      <w:r>
        <w:rPr>
          <w:rFonts w:hint="eastAsia" w:ascii="宋体" w:hAnsi="宋体"/>
          <w:color w:val="000000"/>
          <w:sz w:val="24"/>
        </w:rPr>
        <w:t>5) 钻工必须衣着整齐利索，以免被机械绞伤；</w:t>
      </w:r>
    </w:p>
    <w:p w14:paraId="60D1D8B0">
      <w:pPr>
        <w:spacing w:before="50" w:after="50" w:line="360" w:lineRule="auto"/>
        <w:ind w:firstLine="480" w:firstLineChars="200"/>
        <w:rPr>
          <w:rFonts w:hint="eastAsia" w:ascii="宋体" w:hAnsi="宋体"/>
          <w:color w:val="000000"/>
          <w:sz w:val="24"/>
        </w:rPr>
      </w:pPr>
      <w:r>
        <w:rPr>
          <w:rFonts w:hint="eastAsia" w:ascii="宋体" w:hAnsi="宋体"/>
          <w:color w:val="000000"/>
          <w:sz w:val="24"/>
        </w:rPr>
        <w:t xml:space="preserve">6) 钻机转动部件的防护装置及保护外罩必须完整无缺；    </w:t>
      </w:r>
    </w:p>
    <w:p w14:paraId="37CF4D79">
      <w:pPr>
        <w:spacing w:before="50" w:after="50" w:line="360" w:lineRule="auto"/>
        <w:ind w:firstLine="480" w:firstLineChars="200"/>
        <w:rPr>
          <w:rFonts w:hint="eastAsia" w:ascii="宋体" w:hAnsi="宋体"/>
          <w:color w:val="000000"/>
          <w:sz w:val="24"/>
        </w:rPr>
      </w:pPr>
      <w:r>
        <w:rPr>
          <w:rFonts w:hint="eastAsia" w:ascii="宋体" w:hAnsi="宋体"/>
          <w:color w:val="000000"/>
          <w:sz w:val="24"/>
        </w:rPr>
        <w:t>7) 扶“给进把”时，身体与“给进把”不能成一直线，应离开一定距离，以免孔内发生故障，“给进把”打伤人；</w:t>
      </w:r>
    </w:p>
    <w:p w14:paraId="4259905A">
      <w:pPr>
        <w:spacing w:before="50" w:after="50" w:line="360" w:lineRule="auto"/>
        <w:ind w:firstLine="480" w:firstLineChars="200"/>
        <w:rPr>
          <w:rFonts w:hint="eastAsia" w:ascii="宋体" w:hAnsi="宋体"/>
          <w:sz w:val="24"/>
        </w:rPr>
      </w:pPr>
      <w:r>
        <w:rPr>
          <w:rFonts w:hint="eastAsia" w:ascii="宋体" w:hAnsi="宋体"/>
          <w:sz w:val="24"/>
        </w:rPr>
        <w:t>8) 开动钻机前应做好准备工作，分式要明确，操纵钻机应动作协调，达到准确无误，勿用手脚拉蹋滚筒上的钢丝绳，以防止被钢丝绳绞伤。</w:t>
      </w:r>
    </w:p>
    <w:p w14:paraId="1EB1DAEF">
      <w:pPr>
        <w:spacing w:before="50" w:after="50" w:line="360" w:lineRule="auto"/>
        <w:ind w:firstLine="480" w:firstLineChars="200"/>
        <w:rPr>
          <w:rFonts w:hint="eastAsia" w:ascii="宋体" w:hAnsi="宋体"/>
          <w:sz w:val="24"/>
        </w:rPr>
      </w:pPr>
      <w:r>
        <w:rPr>
          <w:rFonts w:hint="eastAsia" w:ascii="宋体" w:hAnsi="宋体"/>
          <w:sz w:val="24"/>
        </w:rPr>
        <w:t>(2) 管路防腐蚀、防漏气、防砸坏、电气防爆、防静电，防带电、防底鼓措施；</w:t>
      </w:r>
    </w:p>
    <w:p w14:paraId="2F3DD143">
      <w:pPr>
        <w:spacing w:before="50" w:after="50" w:line="360" w:lineRule="auto"/>
        <w:ind w:firstLine="480" w:firstLineChars="200"/>
        <w:rPr>
          <w:rFonts w:hint="eastAsia" w:ascii="宋体" w:hAnsi="宋体"/>
          <w:sz w:val="24"/>
        </w:rPr>
      </w:pPr>
      <w:r>
        <w:rPr>
          <w:rFonts w:hint="eastAsia" w:ascii="宋体" w:hAnsi="宋体"/>
          <w:sz w:val="24"/>
        </w:rPr>
        <w:t>1) 瓦斯管路需涂防腐剂，以防锈蚀；</w:t>
      </w:r>
    </w:p>
    <w:p w14:paraId="6EB1759F">
      <w:pPr>
        <w:spacing w:before="50" w:after="50" w:line="360" w:lineRule="auto"/>
        <w:ind w:firstLine="480" w:firstLineChars="200"/>
        <w:rPr>
          <w:rFonts w:hint="eastAsia" w:ascii="宋体" w:hAnsi="宋体"/>
          <w:sz w:val="24"/>
        </w:rPr>
      </w:pPr>
      <w:r>
        <w:rPr>
          <w:rFonts w:hint="eastAsia" w:ascii="宋体" w:hAnsi="宋体"/>
          <w:sz w:val="24"/>
        </w:rPr>
        <w:t>2) 管路底部应垫木垫，垫起高度不低于30cm，以防底鼓损坏管路；</w:t>
      </w:r>
    </w:p>
    <w:p w14:paraId="7BE466AE">
      <w:pPr>
        <w:spacing w:before="50" w:after="50" w:line="360" w:lineRule="auto"/>
        <w:ind w:firstLine="480" w:firstLineChars="200"/>
        <w:rPr>
          <w:rFonts w:hint="eastAsia" w:ascii="宋体" w:hAnsi="宋体"/>
          <w:sz w:val="24"/>
        </w:rPr>
      </w:pPr>
      <w:r>
        <w:rPr>
          <w:rFonts w:hint="eastAsia" w:ascii="宋体" w:hAnsi="宋体"/>
          <w:sz w:val="24"/>
        </w:rPr>
        <w:t>3) 主要运输顺槽道中瓦斯管路架设高度应大于1.8m，以免被砸损坏；</w:t>
      </w:r>
    </w:p>
    <w:p w14:paraId="77419E1B">
      <w:pPr>
        <w:spacing w:before="50" w:after="50" w:line="360" w:lineRule="auto"/>
        <w:ind w:firstLine="480" w:firstLineChars="200"/>
        <w:rPr>
          <w:rFonts w:hint="eastAsia" w:ascii="宋体" w:hAnsi="宋体"/>
          <w:sz w:val="24"/>
        </w:rPr>
      </w:pPr>
      <w:r>
        <w:rPr>
          <w:rFonts w:hint="eastAsia" w:ascii="宋体" w:hAnsi="宋体"/>
          <w:sz w:val="24"/>
        </w:rPr>
        <w:t>4) 管路需进行气密性检查以免漏气。</w:t>
      </w:r>
    </w:p>
    <w:p w14:paraId="36AD5B43">
      <w:pPr>
        <w:spacing w:before="50" w:after="50" w:line="360" w:lineRule="auto"/>
        <w:ind w:firstLine="480" w:firstLineChars="200"/>
        <w:rPr>
          <w:rFonts w:hint="eastAsia" w:ascii="宋体" w:hAnsi="宋体"/>
          <w:sz w:val="24"/>
        </w:rPr>
      </w:pPr>
      <w:r>
        <w:rPr>
          <w:rFonts w:hint="eastAsia" w:ascii="宋体" w:hAnsi="宋体"/>
          <w:sz w:val="24"/>
        </w:rPr>
        <w:t>(3) 斜井管路的防滑措施</w:t>
      </w:r>
    </w:p>
    <w:p w14:paraId="54EE0FC5">
      <w:pPr>
        <w:spacing w:before="50" w:after="50" w:line="360" w:lineRule="auto"/>
        <w:ind w:firstLine="480" w:firstLineChars="200"/>
        <w:rPr>
          <w:rFonts w:hint="eastAsia" w:ascii="宋体" w:hAnsi="宋体"/>
          <w:sz w:val="24"/>
        </w:rPr>
      </w:pPr>
      <w:r>
        <w:rPr>
          <w:rFonts w:hint="eastAsia" w:ascii="宋体" w:hAnsi="宋体"/>
          <w:sz w:val="24"/>
        </w:rPr>
        <w:t>倾斜巷道中的瓦斯管路，应用卡子固定在巷道的支护上，以免下滑损坏。</w:t>
      </w:r>
    </w:p>
    <w:p w14:paraId="19C34A63">
      <w:pPr>
        <w:spacing w:before="50" w:after="50" w:line="360" w:lineRule="auto"/>
        <w:ind w:firstLine="480" w:firstLineChars="200"/>
        <w:rPr>
          <w:rFonts w:hint="eastAsia" w:ascii="宋体" w:hAnsi="宋体"/>
          <w:sz w:val="24"/>
        </w:rPr>
      </w:pPr>
      <w:r>
        <w:rPr>
          <w:rFonts w:hint="eastAsia" w:ascii="宋体" w:hAnsi="宋体"/>
          <w:sz w:val="24"/>
        </w:rPr>
        <w:t>瓦斯抽放系统必须进行专门的《瓦斯抽放设计》；故本设施未进行全面的设计，其它不足部分由专门的《瓦斯抽放设计》完善。</w:t>
      </w:r>
    </w:p>
    <w:p w14:paraId="56D81C8B">
      <w:pPr>
        <w:spacing w:line="360" w:lineRule="auto"/>
        <w:ind w:firstLine="480" w:firstLineChars="200"/>
        <w:rPr>
          <w:rFonts w:hint="eastAsia" w:ascii="宋体" w:hAnsi="宋体"/>
          <w:sz w:val="24"/>
        </w:rPr>
      </w:pPr>
      <w:r>
        <w:rPr>
          <w:rFonts w:hint="eastAsia" w:ascii="宋体" w:hAnsi="宋体"/>
          <w:sz w:val="24"/>
        </w:rPr>
        <w:t>4、监测监控系统</w:t>
      </w:r>
    </w:p>
    <w:p w14:paraId="2CEFA8CF">
      <w:pPr>
        <w:snapToGrid w:val="0"/>
        <w:spacing w:line="360" w:lineRule="auto"/>
        <w:ind w:firstLine="480" w:firstLineChars="200"/>
        <w:rPr>
          <w:rFonts w:hint="eastAsia" w:ascii="宋体" w:hAnsi="宋体"/>
          <w:sz w:val="24"/>
        </w:rPr>
      </w:pPr>
      <w:r>
        <w:rPr>
          <w:rFonts w:hint="eastAsia" w:ascii="宋体" w:hAnsi="宋体"/>
          <w:sz w:val="24"/>
        </w:rPr>
        <w:t>（1）监测监控参数的确定及设置地点</w:t>
      </w:r>
    </w:p>
    <w:p w14:paraId="09EA3070">
      <w:pPr>
        <w:snapToGrid w:val="0"/>
        <w:spacing w:line="360" w:lineRule="auto"/>
        <w:ind w:firstLine="480" w:firstLineChars="200"/>
        <w:rPr>
          <w:rFonts w:hint="eastAsia" w:ascii="宋体" w:hAnsi="宋体"/>
          <w:sz w:val="24"/>
        </w:rPr>
      </w:pPr>
      <w:r>
        <w:rPr>
          <w:rFonts w:hint="eastAsia" w:ascii="宋体" w:hAnsi="宋体"/>
          <w:sz w:val="24"/>
        </w:rPr>
        <w:t>抽放瓦斯监测：监测整个抽放网络各个部位的瓦斯流量、浓度、抽放负压、瓦斯温度等参数，同时监测水位和抽放站内瓦斯泄露等。其目的一是当出现瓦斯浓度过低、瓦斯泄露超限等情况时，应能报警并对抽放泵主电源断电，二是根据监测数据可以研究瓦斯涌出规律和分析效果、指导投放网络的投产使用，管道的延长与钻孔的衔接、调节钻孔的抽放负压、查明漏气和水堵部位。监测地点设置在抽放站进出管道，以及井下各主干管道和支管上。</w:t>
      </w:r>
    </w:p>
    <w:p w14:paraId="1D6B9470">
      <w:pPr>
        <w:snapToGrid w:val="0"/>
        <w:spacing w:line="360" w:lineRule="auto"/>
        <w:ind w:firstLine="480" w:firstLineChars="200"/>
        <w:rPr>
          <w:rFonts w:hint="eastAsia" w:ascii="宋体" w:hAnsi="宋体"/>
          <w:sz w:val="24"/>
        </w:rPr>
      </w:pPr>
      <w:r>
        <w:rPr>
          <w:rFonts w:hint="eastAsia" w:ascii="宋体" w:hAnsi="宋体"/>
          <w:sz w:val="24"/>
        </w:rPr>
        <w:t>（2）监测监控系统的自动化程度及设备选型</w:t>
      </w:r>
    </w:p>
    <w:p w14:paraId="54271DD6">
      <w:pPr>
        <w:snapToGrid w:val="0"/>
        <w:spacing w:line="360" w:lineRule="auto"/>
        <w:ind w:firstLine="480" w:firstLineChars="200"/>
        <w:rPr>
          <w:rFonts w:hint="eastAsia" w:ascii="宋体" w:hAnsi="宋体"/>
          <w:sz w:val="24"/>
        </w:rPr>
      </w:pPr>
      <w:r>
        <w:rPr>
          <w:rFonts w:hint="eastAsia" w:ascii="宋体" w:hAnsi="宋体"/>
          <w:sz w:val="24"/>
        </w:rPr>
        <w:t>矿井选用KJ90NA监测监控系统进行实时抽放监控，在抽放站内选择自动化程度较高的AK-3A多参数监控仪，该仪器可按设在抽放泵站的控制室内。它能连续监测系统中的浓度、流量、正压、负压、泵房内泄露瓦斯浓度、泵机的轴承温度等参数。由微机完成测量显示、打印等功能。当任一参数超限时，可发出声光报警信号，并按给定的程序停止或启动泵机。此外，还能累计纯瓦斯量，并以数字方式显示出来，还设有模拟量直流</w:t>
      </w:r>
      <w:r>
        <w:rPr>
          <w:rFonts w:ascii="宋体" w:hAnsi="宋体"/>
          <w:sz w:val="24"/>
        </w:rPr>
        <w:t>1</w:t>
      </w:r>
      <w:r>
        <w:rPr>
          <w:rFonts w:hint="eastAsia" w:ascii="宋体" w:hAnsi="宋体"/>
          <w:sz w:val="24"/>
        </w:rPr>
        <w:t>～5V和数字量BCD代码输出，可与遥控系统相接和供打印用。该监测仪设有接口可与矿井安全监测监控系统连接。</w:t>
      </w:r>
    </w:p>
    <w:p w14:paraId="0ACBB868">
      <w:pPr>
        <w:snapToGrid w:val="0"/>
        <w:spacing w:line="360" w:lineRule="auto"/>
        <w:ind w:firstLine="480" w:firstLineChars="200"/>
        <w:rPr>
          <w:rFonts w:hint="eastAsia" w:ascii="宋体" w:hAnsi="宋体"/>
          <w:sz w:val="24"/>
        </w:rPr>
      </w:pPr>
      <w:r>
        <w:rPr>
          <w:rFonts w:hint="eastAsia" w:ascii="宋体" w:hAnsi="宋体"/>
          <w:sz w:val="24"/>
        </w:rPr>
        <w:t>（3）检测仪器仪表的配备</w:t>
      </w:r>
    </w:p>
    <w:p w14:paraId="2F51CB55">
      <w:pPr>
        <w:snapToGrid w:val="0"/>
        <w:spacing w:line="360" w:lineRule="auto"/>
        <w:ind w:firstLine="480" w:firstLineChars="200"/>
        <w:rPr>
          <w:rFonts w:hint="eastAsia" w:ascii="宋体" w:hAnsi="宋体"/>
          <w:sz w:val="24"/>
        </w:rPr>
      </w:pPr>
      <w:r>
        <w:rPr>
          <w:rFonts w:hint="eastAsia" w:ascii="宋体" w:hAnsi="宋体"/>
          <w:sz w:val="24"/>
        </w:rPr>
        <w:t>1）瓦斯流量测定仪</w:t>
      </w:r>
    </w:p>
    <w:p w14:paraId="6DC2AD3E">
      <w:pPr>
        <w:snapToGrid w:val="0"/>
        <w:spacing w:line="360" w:lineRule="auto"/>
        <w:ind w:firstLine="480" w:firstLineChars="200"/>
        <w:rPr>
          <w:rFonts w:hint="eastAsia" w:ascii="宋体" w:hAnsi="宋体"/>
          <w:sz w:val="24"/>
        </w:rPr>
      </w:pPr>
      <w:r>
        <w:rPr>
          <w:rFonts w:hint="eastAsia" w:ascii="宋体" w:hAnsi="宋体"/>
          <w:sz w:val="24"/>
        </w:rPr>
        <w:t>管道流量测量采用孔板流量计；</w:t>
      </w:r>
    </w:p>
    <w:p w14:paraId="6D943550">
      <w:pPr>
        <w:snapToGrid w:val="0"/>
        <w:spacing w:line="360" w:lineRule="auto"/>
        <w:ind w:firstLine="480" w:firstLineChars="200"/>
        <w:rPr>
          <w:rFonts w:hint="eastAsia" w:ascii="宋体" w:hAnsi="宋体"/>
          <w:sz w:val="24"/>
        </w:rPr>
      </w:pPr>
      <w:r>
        <w:rPr>
          <w:rFonts w:hint="eastAsia" w:ascii="宋体" w:hAnsi="宋体"/>
          <w:sz w:val="24"/>
        </w:rPr>
        <w:t>测量钻孔瓦斯涌出量采用：U型玻璃管流量计、容积式气体流量计。</w:t>
      </w:r>
    </w:p>
    <w:p w14:paraId="3BBB58B1">
      <w:pPr>
        <w:snapToGrid w:val="0"/>
        <w:spacing w:line="360" w:lineRule="auto"/>
        <w:ind w:firstLine="480" w:firstLineChars="200"/>
        <w:rPr>
          <w:rFonts w:hint="eastAsia" w:ascii="宋体" w:hAnsi="宋体"/>
          <w:sz w:val="24"/>
        </w:rPr>
      </w:pPr>
      <w:r>
        <w:rPr>
          <w:rFonts w:hint="eastAsia" w:ascii="宋体" w:hAnsi="宋体"/>
          <w:sz w:val="24"/>
        </w:rPr>
        <w:t>2）抽放管路压力测定仪器</w:t>
      </w:r>
    </w:p>
    <w:p w14:paraId="6644567C">
      <w:pPr>
        <w:snapToGrid w:val="0"/>
        <w:spacing w:line="360" w:lineRule="auto"/>
        <w:ind w:firstLine="480" w:firstLineChars="200"/>
        <w:rPr>
          <w:rFonts w:hint="eastAsia" w:ascii="宋体" w:hAnsi="宋体"/>
          <w:sz w:val="24"/>
        </w:rPr>
      </w:pPr>
      <w:r>
        <w:rPr>
          <w:rFonts w:hint="eastAsia" w:ascii="宋体" w:hAnsi="宋体"/>
          <w:sz w:val="24"/>
        </w:rPr>
        <w:t>采用U型管压差计和气压计。</w:t>
      </w:r>
    </w:p>
    <w:p w14:paraId="1D979B78">
      <w:pPr>
        <w:snapToGrid w:val="0"/>
        <w:spacing w:line="360" w:lineRule="auto"/>
        <w:ind w:firstLine="480" w:firstLineChars="200"/>
        <w:rPr>
          <w:rFonts w:hint="eastAsia" w:ascii="宋体" w:hAnsi="宋体"/>
          <w:sz w:val="24"/>
        </w:rPr>
      </w:pPr>
      <w:r>
        <w:rPr>
          <w:rFonts w:hint="eastAsia" w:ascii="宋体" w:hAnsi="宋体"/>
          <w:sz w:val="24"/>
        </w:rPr>
        <w:t>3）瓦斯浓度检测仪器</w:t>
      </w:r>
    </w:p>
    <w:p w14:paraId="238CFC2A">
      <w:pPr>
        <w:spacing w:before="50" w:after="50" w:line="360" w:lineRule="auto"/>
        <w:ind w:firstLine="480" w:firstLineChars="200"/>
        <w:rPr>
          <w:rFonts w:hint="eastAsia" w:ascii="宋体" w:hAnsi="宋体"/>
          <w:color w:val="000000"/>
          <w:sz w:val="24"/>
        </w:rPr>
      </w:pPr>
      <w:r>
        <w:rPr>
          <w:rFonts w:hint="eastAsia" w:ascii="宋体" w:hAnsi="宋体"/>
          <w:sz w:val="24"/>
        </w:rPr>
        <w:t>光学瓦斯检定器、热导式检测定器、国产瓦斯检定器及校正仪、瓦斯采取器等。</w:t>
      </w:r>
    </w:p>
    <w:p w14:paraId="6E1B4F4E">
      <w:pPr>
        <w:pStyle w:val="4"/>
        <w:keepLines/>
        <w:adjustRightInd w:val="0"/>
        <w:snapToGrid w:val="0"/>
        <w:spacing w:before="240" w:after="240" w:line="360" w:lineRule="auto"/>
        <w:ind w:left="2" w:firstLine="562" w:firstLineChars="200"/>
        <w:jc w:val="both"/>
        <w:rPr>
          <w:rFonts w:hint="eastAsia"/>
          <w:b/>
          <w:color w:val="000000"/>
          <w:szCs w:val="20"/>
        </w:rPr>
      </w:pPr>
      <w:r>
        <w:rPr>
          <w:rFonts w:hint="eastAsia"/>
          <w:b/>
          <w:color w:val="000000"/>
          <w:szCs w:val="20"/>
        </w:rPr>
        <w:t>六、抽放瓦斯的综合利用及评价</w:t>
      </w:r>
    </w:p>
    <w:p w14:paraId="14C48C18">
      <w:pPr>
        <w:spacing w:line="360" w:lineRule="auto"/>
        <w:ind w:firstLine="480" w:firstLineChars="200"/>
        <w:rPr>
          <w:rFonts w:hint="eastAsia"/>
          <w:color w:val="000000"/>
          <w:kern w:val="0"/>
          <w:sz w:val="24"/>
        </w:rPr>
      </w:pPr>
      <w:r>
        <w:rPr>
          <w:rFonts w:hint="eastAsia"/>
          <w:color w:val="000000"/>
          <w:sz w:val="24"/>
        </w:rPr>
        <w:t>为方便瓦斯的综合利用，瓦斯抽放站设置瓦斯储气罐</w:t>
      </w:r>
      <w:r>
        <w:rPr>
          <w:rFonts w:hint="eastAsia"/>
          <w:color w:val="000000"/>
          <w:kern w:val="0"/>
          <w:sz w:val="24"/>
        </w:rPr>
        <w:t>。</w:t>
      </w:r>
    </w:p>
    <w:p w14:paraId="0ACDFCC6">
      <w:pPr>
        <w:spacing w:line="360" w:lineRule="auto"/>
        <w:ind w:firstLine="480" w:firstLineChars="200"/>
        <w:rPr>
          <w:rFonts w:hint="eastAsia"/>
          <w:color w:val="000000"/>
          <w:sz w:val="24"/>
        </w:rPr>
      </w:pPr>
      <w:r>
        <w:rPr>
          <w:rFonts w:hint="eastAsia"/>
          <w:color w:val="000000"/>
          <w:sz w:val="24"/>
        </w:rPr>
        <w:t>瓦斯抽放利用可以带来多重效益，既可以作为居民家庭用气、发电和用作汽车燃料，又能生产甲醛、甲醇、乙酸、甲基氯化物、碳黑等一系列重要化工产品。另外，作为瓦斯主要成分的甲烷是一种温室气体，被利用以后可以避免对大气臭氧层的破坏。只有有效地利用瓦斯，才能充分体现瓦斯抽放的经济效益，支持煤层气产业的持续发展。根据调研，矿区的各矿井当地居住较分散、工业基础较薄弱，矿井抽放出来的瓦斯利用较少。</w:t>
      </w:r>
    </w:p>
    <w:p w14:paraId="3EF98386">
      <w:pPr>
        <w:adjustRightInd w:val="0"/>
        <w:snapToGrid w:val="0"/>
        <w:spacing w:line="360" w:lineRule="auto"/>
        <w:ind w:firstLine="480" w:firstLineChars="200"/>
        <w:rPr>
          <w:rFonts w:hint="eastAsia"/>
          <w:color w:val="000000"/>
          <w:sz w:val="24"/>
        </w:rPr>
      </w:pPr>
      <w:r>
        <w:rPr>
          <w:rFonts w:hint="eastAsia"/>
          <w:color w:val="000000"/>
          <w:sz w:val="24"/>
        </w:rPr>
        <w:t>本矿井的瓦斯利用问题，需结合矿区的瓦斯利用总体规划一并考虑。</w:t>
      </w:r>
    </w:p>
    <w:p w14:paraId="7350E8A7">
      <w:pPr>
        <w:adjustRightInd w:val="0"/>
        <w:snapToGrid w:val="0"/>
        <w:spacing w:line="360" w:lineRule="auto"/>
        <w:ind w:firstLine="480" w:firstLineChars="200"/>
        <w:rPr>
          <w:rFonts w:hint="eastAsia"/>
          <w:color w:val="000000"/>
          <w:sz w:val="24"/>
        </w:rPr>
      </w:pPr>
    </w:p>
    <w:p w14:paraId="233AE4A0">
      <w:pPr>
        <w:adjustRightInd w:val="0"/>
        <w:snapToGrid w:val="0"/>
        <w:spacing w:line="360" w:lineRule="auto"/>
        <w:ind w:firstLine="480" w:firstLineChars="200"/>
        <w:rPr>
          <w:rFonts w:hint="eastAsia"/>
          <w:color w:val="000000"/>
          <w:sz w:val="24"/>
        </w:rPr>
      </w:pPr>
    </w:p>
    <w:p w14:paraId="2678AC92">
      <w:pPr>
        <w:adjustRightInd w:val="0"/>
        <w:snapToGrid w:val="0"/>
        <w:spacing w:line="360" w:lineRule="auto"/>
        <w:ind w:firstLine="480" w:firstLineChars="200"/>
        <w:rPr>
          <w:rFonts w:hint="eastAsia"/>
          <w:color w:val="000000"/>
          <w:sz w:val="24"/>
        </w:rPr>
      </w:pPr>
    </w:p>
    <w:p w14:paraId="381C1A2B">
      <w:pPr>
        <w:adjustRightInd w:val="0"/>
        <w:snapToGrid w:val="0"/>
        <w:spacing w:line="360" w:lineRule="auto"/>
        <w:ind w:firstLine="480" w:firstLineChars="200"/>
        <w:rPr>
          <w:rFonts w:hint="eastAsia"/>
          <w:color w:val="000000"/>
          <w:sz w:val="24"/>
        </w:rPr>
      </w:pPr>
    </w:p>
    <w:p w14:paraId="02187BB6">
      <w:pPr>
        <w:adjustRightInd w:val="0"/>
        <w:snapToGrid w:val="0"/>
        <w:spacing w:line="360" w:lineRule="auto"/>
        <w:ind w:firstLine="480" w:firstLineChars="200"/>
        <w:rPr>
          <w:rFonts w:hint="eastAsia"/>
          <w:color w:val="000000"/>
          <w:sz w:val="24"/>
        </w:rPr>
      </w:pPr>
    </w:p>
    <w:p w14:paraId="31A928A2">
      <w:pPr>
        <w:adjustRightInd w:val="0"/>
        <w:snapToGrid w:val="0"/>
        <w:spacing w:line="360" w:lineRule="auto"/>
        <w:ind w:firstLine="480" w:firstLineChars="200"/>
        <w:rPr>
          <w:rFonts w:hint="eastAsia"/>
          <w:color w:val="000000"/>
          <w:sz w:val="24"/>
        </w:rPr>
      </w:pPr>
    </w:p>
    <w:p w14:paraId="77D47D65">
      <w:pPr>
        <w:adjustRightInd w:val="0"/>
        <w:snapToGrid w:val="0"/>
        <w:spacing w:line="360" w:lineRule="auto"/>
        <w:ind w:firstLine="480" w:firstLineChars="200"/>
        <w:rPr>
          <w:rFonts w:hint="eastAsia"/>
          <w:color w:val="000000"/>
          <w:sz w:val="24"/>
        </w:rPr>
      </w:pPr>
    </w:p>
    <w:p w14:paraId="6B7E9E0A">
      <w:pPr>
        <w:adjustRightInd w:val="0"/>
        <w:snapToGrid w:val="0"/>
        <w:spacing w:line="360" w:lineRule="auto"/>
        <w:ind w:firstLine="480" w:firstLineChars="200"/>
        <w:rPr>
          <w:rFonts w:hint="eastAsia"/>
          <w:color w:val="000000"/>
          <w:sz w:val="24"/>
        </w:rPr>
      </w:pPr>
    </w:p>
    <w:p w14:paraId="5FE7FD48">
      <w:pPr>
        <w:adjustRightInd w:val="0"/>
        <w:snapToGrid w:val="0"/>
        <w:spacing w:line="360" w:lineRule="auto"/>
        <w:ind w:firstLine="480" w:firstLineChars="200"/>
        <w:rPr>
          <w:rFonts w:hint="eastAsia"/>
          <w:color w:val="000000"/>
          <w:sz w:val="24"/>
        </w:rPr>
      </w:pPr>
    </w:p>
    <w:p w14:paraId="13B9D115">
      <w:pPr>
        <w:adjustRightInd w:val="0"/>
        <w:snapToGrid w:val="0"/>
        <w:spacing w:line="360" w:lineRule="auto"/>
        <w:ind w:firstLine="480" w:firstLineChars="200"/>
        <w:rPr>
          <w:rFonts w:hint="eastAsia"/>
          <w:color w:val="000000"/>
          <w:sz w:val="24"/>
        </w:rPr>
      </w:pPr>
    </w:p>
    <w:p w14:paraId="39D2EBC1">
      <w:pPr>
        <w:adjustRightInd w:val="0"/>
        <w:snapToGrid w:val="0"/>
        <w:spacing w:line="360" w:lineRule="auto"/>
        <w:ind w:firstLine="480" w:firstLineChars="200"/>
        <w:rPr>
          <w:rFonts w:hint="eastAsia"/>
          <w:color w:val="000000"/>
          <w:sz w:val="24"/>
        </w:rPr>
      </w:pPr>
    </w:p>
    <w:p w14:paraId="497E9C30">
      <w:pPr>
        <w:adjustRightInd w:val="0"/>
        <w:snapToGrid w:val="0"/>
        <w:spacing w:line="360" w:lineRule="auto"/>
        <w:ind w:firstLine="480" w:firstLineChars="200"/>
        <w:rPr>
          <w:rFonts w:hint="eastAsia"/>
          <w:color w:val="000000"/>
          <w:sz w:val="24"/>
        </w:rPr>
      </w:pPr>
    </w:p>
    <w:p w14:paraId="132C9A67">
      <w:pPr>
        <w:adjustRightInd w:val="0"/>
        <w:snapToGrid w:val="0"/>
        <w:spacing w:line="360" w:lineRule="auto"/>
        <w:ind w:firstLine="480" w:firstLineChars="200"/>
        <w:rPr>
          <w:rFonts w:hint="eastAsia"/>
          <w:color w:val="000000"/>
          <w:sz w:val="24"/>
        </w:rPr>
      </w:pPr>
    </w:p>
    <w:p w14:paraId="23BBA506">
      <w:pPr>
        <w:adjustRightInd w:val="0"/>
        <w:snapToGrid w:val="0"/>
        <w:spacing w:line="360" w:lineRule="auto"/>
        <w:ind w:firstLine="480" w:firstLineChars="200"/>
        <w:rPr>
          <w:rFonts w:hint="eastAsia"/>
          <w:color w:val="000000"/>
          <w:sz w:val="24"/>
        </w:rPr>
      </w:pPr>
    </w:p>
    <w:p w14:paraId="75824CC3">
      <w:pPr>
        <w:adjustRightInd w:val="0"/>
        <w:snapToGrid w:val="0"/>
        <w:spacing w:line="360" w:lineRule="auto"/>
        <w:ind w:firstLine="480" w:firstLineChars="200"/>
        <w:rPr>
          <w:rFonts w:hint="eastAsia"/>
          <w:color w:val="000000"/>
          <w:sz w:val="24"/>
        </w:rPr>
      </w:pPr>
    </w:p>
    <w:p w14:paraId="28EAEF11">
      <w:pPr>
        <w:adjustRightInd w:val="0"/>
        <w:snapToGrid w:val="0"/>
        <w:spacing w:line="360" w:lineRule="auto"/>
        <w:ind w:firstLine="480" w:firstLineChars="200"/>
        <w:rPr>
          <w:rFonts w:hint="eastAsia"/>
          <w:color w:val="000000"/>
          <w:sz w:val="24"/>
        </w:rPr>
      </w:pPr>
    </w:p>
    <w:p w14:paraId="68D0E1D6">
      <w:pPr>
        <w:adjustRightInd w:val="0"/>
        <w:snapToGrid w:val="0"/>
        <w:spacing w:line="360" w:lineRule="auto"/>
        <w:ind w:firstLine="480" w:firstLineChars="200"/>
        <w:rPr>
          <w:rFonts w:hint="eastAsia"/>
          <w:color w:val="000000"/>
          <w:sz w:val="24"/>
        </w:rPr>
      </w:pPr>
    </w:p>
    <w:p w14:paraId="30A180EB">
      <w:pPr>
        <w:adjustRightInd w:val="0"/>
        <w:snapToGrid w:val="0"/>
        <w:spacing w:line="360" w:lineRule="auto"/>
        <w:ind w:firstLine="480" w:firstLineChars="200"/>
        <w:rPr>
          <w:rFonts w:hint="eastAsia"/>
          <w:color w:val="000000"/>
          <w:sz w:val="24"/>
        </w:rPr>
      </w:pPr>
    </w:p>
    <w:p w14:paraId="765E4F5C">
      <w:pPr>
        <w:adjustRightInd w:val="0"/>
        <w:snapToGrid w:val="0"/>
        <w:spacing w:line="360" w:lineRule="auto"/>
        <w:ind w:firstLine="480" w:firstLineChars="200"/>
        <w:rPr>
          <w:rFonts w:hint="eastAsia"/>
          <w:color w:val="000000"/>
          <w:sz w:val="24"/>
        </w:rPr>
      </w:pPr>
    </w:p>
    <w:p w14:paraId="7B978BF5">
      <w:pPr>
        <w:adjustRightInd w:val="0"/>
        <w:snapToGrid w:val="0"/>
        <w:spacing w:line="360" w:lineRule="auto"/>
        <w:ind w:firstLine="480" w:firstLineChars="200"/>
        <w:rPr>
          <w:rFonts w:hint="eastAsia"/>
          <w:color w:val="000000"/>
          <w:sz w:val="24"/>
        </w:rPr>
      </w:pPr>
    </w:p>
    <w:p w14:paraId="3A7CA9B7">
      <w:pPr>
        <w:adjustRightInd w:val="0"/>
        <w:snapToGrid w:val="0"/>
        <w:spacing w:line="360" w:lineRule="auto"/>
        <w:ind w:firstLine="480" w:firstLineChars="200"/>
        <w:rPr>
          <w:rFonts w:hint="eastAsia"/>
          <w:color w:val="000000"/>
          <w:sz w:val="24"/>
        </w:rPr>
      </w:pPr>
    </w:p>
    <w:p w14:paraId="39CD862D">
      <w:pPr>
        <w:adjustRightInd w:val="0"/>
        <w:snapToGrid w:val="0"/>
        <w:spacing w:line="360" w:lineRule="auto"/>
        <w:ind w:firstLine="480" w:firstLineChars="200"/>
        <w:rPr>
          <w:rFonts w:hint="eastAsia"/>
          <w:color w:val="000000"/>
          <w:sz w:val="24"/>
        </w:rPr>
      </w:pPr>
    </w:p>
    <w:p w14:paraId="26865886">
      <w:pPr>
        <w:adjustRightInd w:val="0"/>
        <w:snapToGrid w:val="0"/>
        <w:spacing w:line="360" w:lineRule="auto"/>
        <w:ind w:firstLine="480" w:firstLineChars="200"/>
        <w:rPr>
          <w:color w:val="000000"/>
          <w:sz w:val="24"/>
        </w:rPr>
        <w:sectPr>
          <w:pgSz w:w="11906" w:h="16838"/>
          <w:pgMar w:top="1304" w:right="1418" w:bottom="1304" w:left="1418" w:header="1134" w:footer="992" w:gutter="0"/>
          <w:cols w:space="720" w:num="1"/>
          <w:docGrid w:linePitch="312" w:charSpace="0"/>
        </w:sectPr>
      </w:pPr>
    </w:p>
    <w:p w14:paraId="657D7D8D">
      <w:pPr>
        <w:pStyle w:val="2"/>
        <w:keepLines/>
        <w:spacing w:before="240" w:after="120" w:line="360" w:lineRule="auto"/>
        <w:ind w:firstLine="0" w:firstLineChars="0"/>
        <w:rPr>
          <w:rFonts w:hint="eastAsia" w:ascii="黑体" w:eastAsia="黑体"/>
          <w:b/>
          <w:color w:val="000000"/>
          <w:kern w:val="44"/>
          <w:sz w:val="36"/>
          <w:szCs w:val="36"/>
        </w:rPr>
      </w:pPr>
      <w:bookmarkStart w:id="648" w:name="_Toc260915274"/>
      <w:bookmarkStart w:id="649" w:name="_Toc259438191"/>
      <w:bookmarkStart w:id="650" w:name="_Toc173869266"/>
      <w:bookmarkStart w:id="651" w:name="_Toc92630527"/>
      <w:r>
        <w:rPr>
          <w:rFonts w:hint="eastAsia" w:ascii="黑体" w:eastAsia="黑体"/>
          <w:b/>
          <w:color w:val="000000"/>
          <w:kern w:val="44"/>
          <w:sz w:val="36"/>
          <w:szCs w:val="36"/>
        </w:rPr>
        <w:t>第六章　　地面设施</w:t>
      </w:r>
      <w:bookmarkEnd w:id="648"/>
      <w:bookmarkEnd w:id="649"/>
    </w:p>
    <w:bookmarkEnd w:id="650"/>
    <w:bookmarkEnd w:id="651"/>
    <w:p w14:paraId="6DECD46A">
      <w:pPr>
        <w:spacing w:line="360" w:lineRule="auto"/>
        <w:ind w:firstLine="480" w:firstLineChars="200"/>
        <w:rPr>
          <w:rFonts w:hint="eastAsia" w:ascii="宋体" w:hAnsi="宋体"/>
          <w:color w:val="000000"/>
          <w:sz w:val="24"/>
        </w:rPr>
      </w:pPr>
      <w:bookmarkStart w:id="652" w:name="_Toc158715685"/>
      <w:bookmarkStart w:id="653" w:name="_Toc92630528"/>
      <w:bookmarkStart w:id="654" w:name="_Toc173869267"/>
      <w:r>
        <w:rPr>
          <w:rFonts w:hint="eastAsia" w:ascii="宋体" w:hAnsi="宋体"/>
          <w:color w:val="000000"/>
          <w:sz w:val="24"/>
        </w:rPr>
        <w:t>本章主要变更内容：本章未进行变更。</w:t>
      </w:r>
    </w:p>
    <w:p w14:paraId="3C8A89F8">
      <w:pPr>
        <w:pStyle w:val="3"/>
        <w:keepLines/>
        <w:spacing w:before="240" w:after="240" w:line="360" w:lineRule="auto"/>
        <w:ind w:firstLine="0" w:firstLineChars="0"/>
        <w:jc w:val="center"/>
        <w:rPr>
          <w:rFonts w:hint="eastAsia"/>
          <w:b/>
          <w:color w:val="000000"/>
          <w:sz w:val="32"/>
          <w:szCs w:val="32"/>
        </w:rPr>
      </w:pPr>
      <w:bookmarkStart w:id="655" w:name="_Toc260915275"/>
      <w:r>
        <w:rPr>
          <w:rFonts w:hint="eastAsia"/>
          <w:b/>
          <w:color w:val="000000"/>
          <w:sz w:val="32"/>
          <w:szCs w:val="32"/>
        </w:rPr>
        <w:t>第一节　　地面生产系统</w:t>
      </w:r>
      <w:bookmarkEnd w:id="655"/>
    </w:p>
    <w:bookmarkEnd w:id="652"/>
    <w:bookmarkEnd w:id="653"/>
    <w:bookmarkEnd w:id="654"/>
    <w:p w14:paraId="25211349">
      <w:pPr>
        <w:pStyle w:val="4"/>
        <w:keepLines/>
        <w:adjustRightInd w:val="0"/>
        <w:snapToGrid w:val="0"/>
        <w:spacing w:before="240" w:after="240" w:line="360" w:lineRule="auto"/>
        <w:ind w:firstLine="562" w:firstLineChars="200"/>
        <w:jc w:val="both"/>
        <w:rPr>
          <w:rFonts w:hint="eastAsia"/>
          <w:b/>
          <w:color w:val="000000"/>
          <w:kern w:val="0"/>
          <w:szCs w:val="20"/>
        </w:rPr>
      </w:pPr>
      <w:bookmarkStart w:id="656" w:name="_Toc173918943"/>
      <w:bookmarkStart w:id="657" w:name="_Toc173893704"/>
      <w:bookmarkStart w:id="658" w:name="_Toc173869268"/>
      <w:r>
        <w:rPr>
          <w:rFonts w:hint="eastAsia"/>
          <w:b/>
          <w:color w:val="000000"/>
          <w:kern w:val="0"/>
          <w:szCs w:val="20"/>
        </w:rPr>
        <w:t>一</w:t>
      </w:r>
      <w:r>
        <w:rPr>
          <w:b/>
          <w:color w:val="000000"/>
          <w:kern w:val="0"/>
          <w:szCs w:val="20"/>
        </w:rPr>
        <w:t>、煤质分析</w:t>
      </w:r>
      <w:r>
        <w:rPr>
          <w:rFonts w:hint="eastAsia"/>
          <w:b/>
          <w:color w:val="000000"/>
          <w:kern w:val="0"/>
          <w:szCs w:val="20"/>
        </w:rPr>
        <w:t>及产品方案</w:t>
      </w:r>
      <w:bookmarkEnd w:id="656"/>
      <w:bookmarkEnd w:id="657"/>
      <w:bookmarkEnd w:id="658"/>
    </w:p>
    <w:p w14:paraId="7B59AFF7">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ascii="宋体" w:hAnsi="宋体"/>
          <w:color w:val="000000"/>
          <w:sz w:val="24"/>
        </w:rPr>
        <w:t>煤质分析</w:t>
      </w:r>
    </w:p>
    <w:p w14:paraId="504BC082">
      <w:pPr>
        <w:spacing w:line="360" w:lineRule="auto"/>
        <w:ind w:firstLine="480" w:firstLineChars="200"/>
        <w:rPr>
          <w:rFonts w:hint="eastAsia" w:ascii="宋体" w:hAnsi="宋体"/>
          <w:bCs/>
          <w:sz w:val="24"/>
        </w:rPr>
      </w:pPr>
      <w:r>
        <w:rPr>
          <w:rFonts w:ascii="宋体" w:hAnsi="宋体" w:cs="宋体"/>
          <w:kern w:val="0"/>
          <w:sz w:val="24"/>
        </w:rPr>
        <w:t>矿区内可采及局部可采煤层为</w:t>
      </w:r>
      <w:r>
        <w:rPr>
          <w:rFonts w:hint="eastAsia" w:ascii="宋体" w:hAnsi="宋体" w:cs="宋体"/>
          <w:kern w:val="0"/>
          <w:sz w:val="24"/>
        </w:rPr>
        <w:t>K1-b</w:t>
      </w:r>
      <w:r>
        <w:rPr>
          <w:rFonts w:ascii="宋体" w:hAnsi="宋体" w:cs="宋体"/>
          <w:kern w:val="0"/>
          <w:sz w:val="24"/>
        </w:rPr>
        <w:t>、</w:t>
      </w:r>
      <w:r>
        <w:rPr>
          <w:rFonts w:hint="eastAsia" w:ascii="宋体" w:hAnsi="宋体" w:cs="宋体"/>
          <w:kern w:val="0"/>
          <w:sz w:val="24"/>
        </w:rPr>
        <w:t>K</w:t>
      </w:r>
      <w:r>
        <w:rPr>
          <w:rFonts w:ascii="宋体" w:hAnsi="宋体" w:cs="宋体"/>
          <w:kern w:val="0"/>
          <w:sz w:val="24"/>
        </w:rPr>
        <w:t>3、</w:t>
      </w:r>
      <w:r>
        <w:rPr>
          <w:rFonts w:hint="eastAsia" w:ascii="宋体" w:hAnsi="宋体" w:cs="宋体"/>
          <w:kern w:val="0"/>
          <w:sz w:val="24"/>
        </w:rPr>
        <w:t>K9</w:t>
      </w:r>
      <w:r>
        <w:rPr>
          <w:rFonts w:ascii="宋体" w:hAnsi="宋体" w:cs="宋体"/>
          <w:kern w:val="0"/>
          <w:sz w:val="24"/>
        </w:rPr>
        <w:t>、</w:t>
      </w:r>
      <w:r>
        <w:rPr>
          <w:rFonts w:hint="eastAsia" w:ascii="宋体" w:hAnsi="宋体" w:cs="宋体"/>
          <w:kern w:val="0"/>
          <w:sz w:val="24"/>
        </w:rPr>
        <w:t>K10</w:t>
      </w:r>
      <w:r>
        <w:rPr>
          <w:rFonts w:ascii="宋体" w:hAnsi="宋体" w:cs="宋体"/>
          <w:kern w:val="0"/>
          <w:sz w:val="24"/>
        </w:rPr>
        <w:t>、</w:t>
      </w:r>
      <w:r>
        <w:rPr>
          <w:rFonts w:hint="eastAsia" w:ascii="宋体" w:hAnsi="宋体" w:cs="宋体"/>
          <w:kern w:val="0"/>
          <w:sz w:val="24"/>
        </w:rPr>
        <w:t>K13</w:t>
      </w:r>
      <w:r>
        <w:rPr>
          <w:rFonts w:ascii="宋体" w:hAnsi="宋体" w:cs="宋体"/>
          <w:kern w:val="0"/>
          <w:sz w:val="24"/>
        </w:rPr>
        <w:t>、</w:t>
      </w:r>
      <w:r>
        <w:rPr>
          <w:rFonts w:hint="eastAsia" w:ascii="宋体" w:hAnsi="宋体" w:cs="宋体"/>
          <w:kern w:val="0"/>
          <w:sz w:val="24"/>
        </w:rPr>
        <w:t>K18</w:t>
      </w:r>
      <w:r>
        <w:rPr>
          <w:rFonts w:ascii="宋体" w:hAnsi="宋体" w:cs="宋体"/>
          <w:kern w:val="0"/>
          <w:sz w:val="24"/>
        </w:rPr>
        <w:t>、</w:t>
      </w:r>
      <w:r>
        <w:rPr>
          <w:rFonts w:hint="eastAsia" w:ascii="宋体" w:hAnsi="宋体" w:cs="宋体"/>
          <w:kern w:val="0"/>
          <w:sz w:val="24"/>
        </w:rPr>
        <w:t>K26</w:t>
      </w:r>
      <w:r>
        <w:rPr>
          <w:rFonts w:ascii="宋体" w:hAnsi="宋体" w:cs="宋体"/>
          <w:kern w:val="0"/>
          <w:sz w:val="24"/>
        </w:rPr>
        <w:t>、</w:t>
      </w:r>
      <w:r>
        <w:rPr>
          <w:rFonts w:hint="eastAsia" w:ascii="宋体" w:hAnsi="宋体" w:cs="宋体"/>
          <w:kern w:val="0"/>
          <w:sz w:val="24"/>
        </w:rPr>
        <w:t>K35-b</w:t>
      </w:r>
      <w:r>
        <w:rPr>
          <w:rFonts w:ascii="宋体" w:hAnsi="宋体" w:cs="宋体"/>
          <w:kern w:val="0"/>
          <w:sz w:val="24"/>
        </w:rPr>
        <w:t>、</w:t>
      </w:r>
      <w:r>
        <w:rPr>
          <w:rFonts w:hint="eastAsia" w:ascii="宋体" w:hAnsi="宋体" w:cs="宋体"/>
          <w:kern w:val="0"/>
          <w:sz w:val="24"/>
        </w:rPr>
        <w:t>K106-b</w:t>
      </w:r>
      <w:r>
        <w:rPr>
          <w:rFonts w:ascii="宋体" w:hAnsi="宋体" w:cs="宋体"/>
          <w:kern w:val="0"/>
          <w:sz w:val="24"/>
        </w:rPr>
        <w:t>、</w:t>
      </w:r>
      <w:r>
        <w:rPr>
          <w:rFonts w:hint="eastAsia" w:ascii="宋体" w:hAnsi="宋体" w:cs="宋体"/>
          <w:kern w:val="0"/>
          <w:sz w:val="24"/>
        </w:rPr>
        <w:t>K109-b和K111-a</w:t>
      </w:r>
      <w:r>
        <w:rPr>
          <w:rFonts w:ascii="宋体" w:hAnsi="宋体" w:cs="宋体"/>
          <w:kern w:val="0"/>
          <w:sz w:val="24"/>
        </w:rPr>
        <w:t>共11层煤。</w:t>
      </w:r>
      <w:r>
        <w:rPr>
          <w:rFonts w:hint="eastAsia" w:ascii="宋体" w:hAnsi="宋体" w:cs="宋体"/>
          <w:kern w:val="0"/>
          <w:sz w:val="24"/>
        </w:rPr>
        <w:t>其煤质特征</w:t>
      </w:r>
      <w:r>
        <w:rPr>
          <w:rFonts w:ascii="宋体" w:hAnsi="宋体" w:cs="宋体"/>
          <w:kern w:val="0"/>
          <w:sz w:val="24"/>
        </w:rPr>
        <w:t>详见</w:t>
      </w:r>
      <w:r>
        <w:rPr>
          <w:rFonts w:hint="eastAsia" w:ascii="宋体" w:hAnsi="宋体" w:cs="宋体"/>
          <w:kern w:val="0"/>
          <w:sz w:val="24"/>
        </w:rPr>
        <w:t xml:space="preserve"> </w:t>
      </w:r>
      <w:r>
        <w:rPr>
          <w:rFonts w:hint="eastAsia" w:ascii="宋体" w:hAnsi="宋体"/>
          <w:b/>
          <w:bCs/>
          <w:color w:val="000000"/>
          <w:sz w:val="24"/>
        </w:rPr>
        <w:t>表6－1－1</w:t>
      </w:r>
      <w:r>
        <w:rPr>
          <w:rFonts w:hint="eastAsia" w:ascii="宋体" w:hAnsi="宋体"/>
          <w:bCs/>
          <w:color w:val="000000"/>
          <w:sz w:val="24"/>
        </w:rPr>
        <w:t>。</w:t>
      </w:r>
    </w:p>
    <w:p w14:paraId="60BC4145">
      <w:pPr>
        <w:spacing w:line="360" w:lineRule="auto"/>
        <w:ind w:firstLine="480" w:firstLineChars="200"/>
        <w:rPr>
          <w:rFonts w:hint="eastAsia" w:ascii="宋体" w:hAnsi="宋体"/>
          <w:bCs/>
          <w:sz w:val="24"/>
        </w:rPr>
      </w:pPr>
      <w:r>
        <w:rPr>
          <w:rFonts w:hint="eastAsia" w:ascii="宋体" w:hAnsi="宋体"/>
          <w:bCs/>
          <w:sz w:val="24"/>
        </w:rPr>
        <w:t>（1）物理性质及煤岩特征</w:t>
      </w:r>
    </w:p>
    <w:p w14:paraId="691B1C51">
      <w:pPr>
        <w:spacing w:line="360" w:lineRule="auto"/>
        <w:ind w:firstLine="480" w:firstLineChars="200"/>
        <w:rPr>
          <w:rFonts w:hint="eastAsia" w:ascii="宋体" w:hAnsi="宋体" w:cs="宋体"/>
          <w:kern w:val="0"/>
          <w:sz w:val="24"/>
        </w:rPr>
      </w:pPr>
      <w:r>
        <w:rPr>
          <w:rFonts w:ascii="宋体" w:hAnsi="宋体" w:cs="宋体"/>
          <w:kern w:val="0"/>
          <w:sz w:val="24"/>
        </w:rPr>
        <w:t>井田内煤层物理性质较一致，颜色、条痕均为黑色，玻璃光泽，镜煤上的断口为贝壳状，而由多种煤岩组分组成的煤，则多为参差状断口，仅K18煤层偶见贝壳状断口。</w:t>
      </w:r>
    </w:p>
    <w:p w14:paraId="7C5BF567">
      <w:pPr>
        <w:spacing w:line="360" w:lineRule="auto"/>
        <w:ind w:firstLine="480" w:firstLineChars="200"/>
        <w:rPr>
          <w:rFonts w:ascii="宋体" w:hAnsi="宋体" w:cs="宋体"/>
          <w:kern w:val="0"/>
          <w:sz w:val="24"/>
        </w:rPr>
      </w:pPr>
      <w:r>
        <w:rPr>
          <w:rFonts w:ascii="宋体" w:hAnsi="宋体" w:cs="宋体"/>
          <w:kern w:val="0"/>
          <w:sz w:val="24"/>
        </w:rPr>
        <w:t>各煤层主要由镜煤、亮煤、丝炭、暗煤四个煤岩组分组成，含少量均匀分布的矿物质颗粒。由于以上煤岩组分在各煤层中的比例不同而构成了不同的煤岩类型。</w:t>
      </w:r>
    </w:p>
    <w:p w14:paraId="64DD9DB1">
      <w:pPr>
        <w:spacing w:line="360" w:lineRule="auto"/>
        <w:ind w:firstLine="480" w:firstLineChars="200"/>
        <w:rPr>
          <w:rFonts w:ascii="宋体" w:hAnsi="宋体" w:cs="宋体"/>
          <w:kern w:val="0"/>
          <w:sz w:val="24"/>
        </w:rPr>
      </w:pPr>
      <w:r>
        <w:rPr>
          <w:rFonts w:ascii="宋体" w:hAnsi="宋体" w:cs="宋体"/>
          <w:kern w:val="0"/>
          <w:sz w:val="24"/>
        </w:rPr>
        <w:t>光亮型煤：以镜煤、亮煤为主，为中～宽条带状结构，仅K18煤层局部出现均一状结构，暗煤含量较少，丝炭则呈透镜状及线理状出现。该类型主要分布在K1-b、K18、K26等厚度大含硫量低的煤层中。</w:t>
      </w:r>
    </w:p>
    <w:p w14:paraId="009DEA45">
      <w:pPr>
        <w:spacing w:line="360" w:lineRule="auto"/>
        <w:ind w:firstLine="480" w:firstLineChars="200"/>
        <w:rPr>
          <w:rFonts w:ascii="宋体" w:hAnsi="宋体" w:cs="宋体"/>
          <w:kern w:val="0"/>
          <w:sz w:val="24"/>
        </w:rPr>
      </w:pPr>
      <w:r>
        <w:rPr>
          <w:rFonts w:ascii="宋体" w:hAnsi="宋体" w:cs="宋体"/>
          <w:kern w:val="0"/>
          <w:sz w:val="24"/>
        </w:rPr>
        <w:t>半亮型煤：以亮煤为主，呈中宽条带状结构；镜煤含量较少，主要呈细、中条带状出现，少数呈线理状，暗煤较多，丝炭在暗煤中以块状或透镜状出现。该类型主要分布在K3、K10、K13、K35-b等厚度较大，结构较简单的煤层中。</w:t>
      </w:r>
    </w:p>
    <w:p w14:paraId="56909462">
      <w:pPr>
        <w:spacing w:line="360" w:lineRule="auto"/>
        <w:ind w:firstLine="480" w:firstLineChars="200"/>
        <w:rPr>
          <w:rFonts w:hint="eastAsia" w:ascii="宋体" w:hAnsi="宋体" w:cs="宋体"/>
          <w:kern w:val="0"/>
          <w:sz w:val="24"/>
        </w:rPr>
      </w:pPr>
      <w:r>
        <w:rPr>
          <w:rFonts w:ascii="宋体" w:hAnsi="宋体" w:cs="宋体"/>
          <w:kern w:val="0"/>
          <w:sz w:val="24"/>
        </w:rPr>
        <w:t>半暗型煤：以亮煤、暗煤为主。亮煤呈细到中宽条带状出现；镜煤含量很少，常呈线理状，少数为细条带状出现，丝炭含量较多，常呈透镜状出现。该类型主要分布在K9、K106-b～K110-a等结构较复杂，厚度薄，灰、硫含量较高的煤层中。</w:t>
      </w:r>
    </w:p>
    <w:p w14:paraId="7EC0F384">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煤的有害组份及可选性</w:t>
      </w:r>
    </w:p>
    <w:p w14:paraId="05094A32">
      <w:pPr>
        <w:spacing w:line="360" w:lineRule="auto"/>
        <w:ind w:firstLine="480" w:firstLineChars="200"/>
        <w:rPr>
          <w:rFonts w:ascii="宋体" w:hAnsi="宋体"/>
          <w:snapToGrid w:val="0"/>
          <w:kern w:val="0"/>
          <w:sz w:val="24"/>
        </w:rPr>
      </w:pPr>
      <w:r>
        <w:rPr>
          <w:rFonts w:hint="eastAsia" w:ascii="宋体" w:hAnsi="宋体"/>
          <w:snapToGrid w:val="0"/>
          <w:kern w:val="0"/>
          <w:sz w:val="24"/>
        </w:rPr>
        <w:t>1）</w:t>
      </w:r>
      <w:r>
        <w:rPr>
          <w:rFonts w:ascii="宋体" w:hAnsi="宋体"/>
          <w:snapToGrid w:val="0"/>
          <w:kern w:val="0"/>
          <w:sz w:val="24"/>
        </w:rPr>
        <w:t>有害组份</w:t>
      </w:r>
    </w:p>
    <w:p w14:paraId="42A04689">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 xml:space="preserve">⑴ </w:t>
      </w:r>
      <w:r>
        <w:rPr>
          <w:rFonts w:ascii="宋体" w:hAnsi="宋体"/>
          <w:snapToGrid w:val="0"/>
          <w:kern w:val="0"/>
          <w:sz w:val="24"/>
        </w:rPr>
        <w:t>灰份（Ad）：区内原煤灰份一般为20～25%，在同一煤层横向上有一定的变化，在纵向上由上部煤层至下部煤层则出现高—低—高的变化规律。K1-b～K10煤层灰份较高，一般为22～24%，其中以K9煤层最高，平均值达26.62%；K13～K26煤层灰份变低，一般小于20%，其中以K18煤层最低，平均值仅为17.04%；K35-b～K110-a煤层灰份又</w:t>
      </w:r>
    </w:p>
    <w:p w14:paraId="414DB2B0">
      <w:pPr>
        <w:spacing w:line="360" w:lineRule="auto"/>
        <w:ind w:firstLine="482" w:firstLineChars="200"/>
        <w:jc w:val="center"/>
        <w:rPr>
          <w:rFonts w:hint="eastAsia" w:ascii="宋体" w:hAnsi="宋体"/>
          <w:b/>
          <w:sz w:val="24"/>
        </w:rPr>
      </w:pPr>
      <w:r>
        <w:rPr>
          <w:rFonts w:hint="eastAsia" w:ascii="宋体" w:hAnsi="宋体"/>
          <w:b/>
          <w:sz w:val="24"/>
        </w:rPr>
        <w:t>表6-1-1              可采煤层煤质特征表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23"/>
        <w:gridCol w:w="1260"/>
        <w:gridCol w:w="1357"/>
        <w:gridCol w:w="1357"/>
        <w:gridCol w:w="1258"/>
        <w:gridCol w:w="1617"/>
        <w:gridCol w:w="801"/>
      </w:tblGrid>
      <w:tr w14:paraId="166B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84" w:hRule="exact"/>
          <w:tblHeader/>
        </w:trPr>
        <w:tc>
          <w:tcPr>
            <w:tcW w:w="800" w:type="dxa"/>
            <w:vMerge w:val="restart"/>
            <w:noWrap w:val="0"/>
            <w:vAlign w:val="center"/>
          </w:tcPr>
          <w:p w14:paraId="610A880C">
            <w:pPr>
              <w:jc w:val="center"/>
              <w:rPr>
                <w:rFonts w:ascii="宋体" w:hAnsi="宋体"/>
                <w:sz w:val="18"/>
                <w:szCs w:val="18"/>
              </w:rPr>
            </w:pPr>
            <w:r>
              <w:rPr>
                <w:rFonts w:ascii="宋体" w:hAnsi="宋体"/>
                <w:sz w:val="18"/>
                <w:szCs w:val="18"/>
              </w:rPr>
              <w:t>煤层</w:t>
            </w:r>
          </w:p>
          <w:p w14:paraId="27237BF4">
            <w:pPr>
              <w:jc w:val="center"/>
              <w:rPr>
                <w:rFonts w:ascii="宋体" w:hAnsi="宋体"/>
                <w:sz w:val="18"/>
                <w:szCs w:val="18"/>
              </w:rPr>
            </w:pPr>
            <w:r>
              <w:rPr>
                <w:rFonts w:ascii="宋体" w:hAnsi="宋体"/>
                <w:sz w:val="18"/>
                <w:szCs w:val="18"/>
              </w:rPr>
              <w:t>编号</w:t>
            </w:r>
          </w:p>
        </w:tc>
        <w:tc>
          <w:tcPr>
            <w:tcW w:w="623" w:type="dxa"/>
            <w:vMerge w:val="restart"/>
            <w:noWrap w:val="0"/>
            <w:vAlign w:val="center"/>
          </w:tcPr>
          <w:p w14:paraId="17032288">
            <w:pPr>
              <w:jc w:val="center"/>
              <w:rPr>
                <w:rFonts w:ascii="宋体" w:hAnsi="宋体"/>
                <w:sz w:val="18"/>
                <w:szCs w:val="18"/>
              </w:rPr>
            </w:pPr>
            <w:r>
              <w:rPr>
                <w:rFonts w:ascii="宋体" w:hAnsi="宋体"/>
                <w:sz w:val="18"/>
                <w:szCs w:val="18"/>
              </w:rPr>
              <w:t>煤样类别</w:t>
            </w:r>
          </w:p>
        </w:tc>
        <w:tc>
          <w:tcPr>
            <w:tcW w:w="7650" w:type="dxa"/>
            <w:gridSpan w:val="6"/>
            <w:tcBorders>
              <w:bottom w:val="single" w:color="auto" w:sz="4" w:space="0"/>
            </w:tcBorders>
            <w:noWrap w:val="0"/>
            <w:vAlign w:val="center"/>
          </w:tcPr>
          <w:p w14:paraId="496FA4A2">
            <w:pPr>
              <w:jc w:val="center"/>
              <w:rPr>
                <w:rFonts w:ascii="宋体" w:hAnsi="宋体"/>
                <w:sz w:val="18"/>
                <w:szCs w:val="18"/>
              </w:rPr>
            </w:pPr>
            <w:r>
              <w:rPr>
                <w:rFonts w:ascii="宋体" w:hAnsi="宋体"/>
                <w:sz w:val="18"/>
                <w:szCs w:val="18"/>
              </w:rPr>
              <w:t>工业指标及可选性质</w:t>
            </w:r>
          </w:p>
        </w:tc>
      </w:tr>
      <w:tr w14:paraId="0E3D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2A3CABF9">
            <w:pPr>
              <w:jc w:val="center"/>
              <w:rPr>
                <w:rFonts w:ascii="宋体" w:hAnsi="宋体"/>
                <w:sz w:val="18"/>
                <w:szCs w:val="18"/>
              </w:rPr>
            </w:pPr>
          </w:p>
        </w:tc>
        <w:tc>
          <w:tcPr>
            <w:tcW w:w="623" w:type="dxa"/>
            <w:vMerge w:val="continue"/>
            <w:noWrap w:val="0"/>
            <w:vAlign w:val="center"/>
          </w:tcPr>
          <w:p w14:paraId="2DFA75BB">
            <w:pPr>
              <w:jc w:val="center"/>
              <w:rPr>
                <w:rFonts w:ascii="宋体" w:hAnsi="宋体"/>
                <w:sz w:val="18"/>
                <w:szCs w:val="18"/>
              </w:rPr>
            </w:pPr>
          </w:p>
        </w:tc>
        <w:tc>
          <w:tcPr>
            <w:tcW w:w="1260" w:type="dxa"/>
            <w:noWrap w:val="0"/>
            <w:vAlign w:val="center"/>
          </w:tcPr>
          <w:p w14:paraId="77C9FBE8">
            <w:pPr>
              <w:jc w:val="center"/>
              <w:rPr>
                <w:rFonts w:hint="eastAsia" w:ascii="宋体" w:hAnsi="宋体"/>
                <w:sz w:val="18"/>
                <w:szCs w:val="18"/>
                <w:vertAlign w:val="superscript"/>
              </w:rPr>
            </w:pPr>
            <w:r>
              <w:rPr>
                <w:rFonts w:ascii="宋体" w:hAnsi="宋体"/>
                <w:sz w:val="18"/>
                <w:szCs w:val="18"/>
              </w:rPr>
              <w:t>水份W</w:t>
            </w:r>
            <w:r>
              <w:rPr>
                <w:rFonts w:ascii="宋体" w:hAnsi="宋体"/>
                <w:sz w:val="18"/>
                <w:szCs w:val="18"/>
                <w:vertAlign w:val="superscript"/>
              </w:rPr>
              <w:t>f</w:t>
            </w:r>
          </w:p>
          <w:p w14:paraId="38990B4D">
            <w:pPr>
              <w:jc w:val="center"/>
              <w:rPr>
                <w:rFonts w:ascii="宋体" w:hAnsi="宋体"/>
                <w:sz w:val="18"/>
                <w:szCs w:val="18"/>
              </w:rPr>
            </w:pPr>
            <w:r>
              <w:rPr>
                <w:rFonts w:ascii="宋体" w:hAnsi="宋体"/>
                <w:sz w:val="18"/>
                <w:szCs w:val="18"/>
              </w:rPr>
              <w:t>（%）</w:t>
            </w:r>
          </w:p>
        </w:tc>
        <w:tc>
          <w:tcPr>
            <w:tcW w:w="1357" w:type="dxa"/>
            <w:noWrap w:val="0"/>
            <w:vAlign w:val="center"/>
          </w:tcPr>
          <w:p w14:paraId="38DEF044">
            <w:pPr>
              <w:ind w:firstLine="180" w:firstLineChars="100"/>
              <w:jc w:val="center"/>
              <w:rPr>
                <w:rFonts w:hint="eastAsia" w:ascii="宋体" w:hAnsi="宋体"/>
                <w:sz w:val="18"/>
                <w:szCs w:val="18"/>
              </w:rPr>
            </w:pPr>
            <w:r>
              <w:rPr>
                <w:rFonts w:ascii="宋体" w:hAnsi="宋体"/>
                <w:sz w:val="18"/>
                <w:szCs w:val="18"/>
              </w:rPr>
              <w:t>灰份Ad</w:t>
            </w:r>
          </w:p>
          <w:p w14:paraId="25C02CC7">
            <w:pPr>
              <w:ind w:firstLine="180" w:firstLineChars="100"/>
              <w:jc w:val="center"/>
              <w:rPr>
                <w:rFonts w:ascii="宋体" w:hAnsi="宋体"/>
                <w:sz w:val="18"/>
                <w:szCs w:val="18"/>
              </w:rPr>
            </w:pPr>
            <w:r>
              <w:rPr>
                <w:rFonts w:ascii="宋体" w:hAnsi="宋体"/>
                <w:sz w:val="18"/>
                <w:szCs w:val="18"/>
              </w:rPr>
              <w:t>（%）</w:t>
            </w:r>
          </w:p>
        </w:tc>
        <w:tc>
          <w:tcPr>
            <w:tcW w:w="1357" w:type="dxa"/>
            <w:noWrap w:val="0"/>
            <w:vAlign w:val="center"/>
          </w:tcPr>
          <w:p w14:paraId="48F274A8">
            <w:pPr>
              <w:ind w:firstLine="180" w:firstLineChars="100"/>
              <w:jc w:val="center"/>
              <w:rPr>
                <w:rFonts w:ascii="宋体" w:hAnsi="宋体"/>
                <w:sz w:val="18"/>
                <w:szCs w:val="18"/>
              </w:rPr>
            </w:pPr>
            <w:r>
              <w:rPr>
                <w:rFonts w:ascii="宋体" w:hAnsi="宋体"/>
                <w:sz w:val="18"/>
                <w:szCs w:val="18"/>
              </w:rPr>
              <w:t>挥发分Vdaf (%)</w:t>
            </w:r>
          </w:p>
        </w:tc>
        <w:tc>
          <w:tcPr>
            <w:tcW w:w="1258" w:type="dxa"/>
            <w:noWrap w:val="0"/>
            <w:vAlign w:val="center"/>
          </w:tcPr>
          <w:p w14:paraId="1F6314D4">
            <w:pPr>
              <w:ind w:firstLine="180" w:firstLineChars="100"/>
              <w:jc w:val="center"/>
              <w:rPr>
                <w:rFonts w:ascii="宋体" w:hAnsi="宋体"/>
                <w:sz w:val="18"/>
                <w:szCs w:val="18"/>
              </w:rPr>
            </w:pPr>
            <w:r>
              <w:rPr>
                <w:rFonts w:ascii="宋体" w:hAnsi="宋体"/>
                <w:sz w:val="18"/>
                <w:szCs w:val="18"/>
              </w:rPr>
              <w:t>硫份St,d (%)</w:t>
            </w:r>
          </w:p>
        </w:tc>
        <w:tc>
          <w:tcPr>
            <w:tcW w:w="1617" w:type="dxa"/>
            <w:tcBorders>
              <w:top w:val="nil"/>
            </w:tcBorders>
            <w:noWrap w:val="0"/>
            <w:vAlign w:val="center"/>
          </w:tcPr>
          <w:p w14:paraId="1111766D">
            <w:pPr>
              <w:jc w:val="center"/>
              <w:rPr>
                <w:rFonts w:ascii="宋体" w:hAnsi="宋体"/>
                <w:sz w:val="18"/>
                <w:szCs w:val="18"/>
              </w:rPr>
            </w:pPr>
            <w:r>
              <w:rPr>
                <w:rFonts w:ascii="宋体" w:hAnsi="宋体"/>
                <w:sz w:val="18"/>
                <w:szCs w:val="18"/>
              </w:rPr>
              <w:t>发热量</w:t>
            </w:r>
          </w:p>
          <w:p w14:paraId="2FCABF3E">
            <w:pPr>
              <w:jc w:val="center"/>
              <w:rPr>
                <w:rFonts w:ascii="宋体" w:hAnsi="宋体"/>
                <w:sz w:val="18"/>
                <w:szCs w:val="18"/>
              </w:rPr>
            </w:pPr>
            <w:r>
              <w:rPr>
                <w:rFonts w:ascii="宋体" w:hAnsi="宋体"/>
                <w:snapToGrid w:val="0"/>
                <w:kern w:val="0"/>
                <w:sz w:val="18"/>
                <w:szCs w:val="18"/>
              </w:rPr>
              <w:t>Qnet.d (MJ/kg)</w:t>
            </w:r>
          </w:p>
        </w:tc>
        <w:tc>
          <w:tcPr>
            <w:tcW w:w="801" w:type="dxa"/>
            <w:tcBorders>
              <w:top w:val="nil"/>
            </w:tcBorders>
            <w:noWrap w:val="0"/>
            <w:vAlign w:val="center"/>
          </w:tcPr>
          <w:p w14:paraId="536227F2">
            <w:pPr>
              <w:jc w:val="center"/>
              <w:rPr>
                <w:rFonts w:ascii="宋体" w:hAnsi="宋体"/>
                <w:sz w:val="18"/>
                <w:szCs w:val="18"/>
              </w:rPr>
            </w:pPr>
            <w:r>
              <w:rPr>
                <w:rFonts w:ascii="宋体" w:hAnsi="宋体"/>
                <w:sz w:val="18"/>
                <w:szCs w:val="18"/>
              </w:rPr>
              <w:t>煤类</w:t>
            </w:r>
          </w:p>
        </w:tc>
      </w:tr>
      <w:tr w14:paraId="109E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4BADB572">
            <w:pPr>
              <w:jc w:val="center"/>
              <w:rPr>
                <w:rFonts w:ascii="宋体" w:hAnsi="宋体"/>
                <w:sz w:val="18"/>
                <w:szCs w:val="18"/>
              </w:rPr>
            </w:pPr>
            <w:r>
              <w:rPr>
                <w:rFonts w:ascii="宋体" w:hAnsi="宋体"/>
                <w:sz w:val="18"/>
                <w:szCs w:val="18"/>
              </w:rPr>
              <w:t>K1-b</w:t>
            </w:r>
          </w:p>
        </w:tc>
        <w:tc>
          <w:tcPr>
            <w:tcW w:w="623" w:type="dxa"/>
            <w:vMerge w:val="restart"/>
            <w:noWrap w:val="0"/>
            <w:vAlign w:val="center"/>
          </w:tcPr>
          <w:p w14:paraId="69F7AFCB">
            <w:pPr>
              <w:jc w:val="center"/>
              <w:rPr>
                <w:rFonts w:ascii="宋体" w:hAnsi="宋体"/>
                <w:sz w:val="18"/>
                <w:szCs w:val="18"/>
              </w:rPr>
            </w:pPr>
            <w:r>
              <w:rPr>
                <w:rFonts w:ascii="宋体" w:hAnsi="宋体"/>
                <w:sz w:val="18"/>
                <w:szCs w:val="18"/>
              </w:rPr>
              <w:t>原煤</w:t>
            </w:r>
          </w:p>
        </w:tc>
        <w:tc>
          <w:tcPr>
            <w:tcW w:w="1260" w:type="dxa"/>
            <w:noWrap w:val="0"/>
            <w:vAlign w:val="center"/>
          </w:tcPr>
          <w:p w14:paraId="41112A7E">
            <w:pPr>
              <w:jc w:val="center"/>
              <w:rPr>
                <w:rFonts w:ascii="宋体" w:hAnsi="宋体"/>
                <w:sz w:val="18"/>
                <w:szCs w:val="18"/>
              </w:rPr>
            </w:pPr>
            <w:r>
              <w:rPr>
                <w:rFonts w:ascii="宋体" w:hAnsi="宋体"/>
                <w:sz w:val="18"/>
                <w:szCs w:val="18"/>
              </w:rPr>
              <w:t>0.72～1.25</w:t>
            </w:r>
          </w:p>
        </w:tc>
        <w:tc>
          <w:tcPr>
            <w:tcW w:w="1357" w:type="dxa"/>
            <w:noWrap w:val="0"/>
            <w:vAlign w:val="center"/>
          </w:tcPr>
          <w:p w14:paraId="573FDD30">
            <w:pPr>
              <w:rPr>
                <w:rFonts w:ascii="宋体" w:hAnsi="宋体"/>
                <w:sz w:val="18"/>
                <w:szCs w:val="18"/>
              </w:rPr>
            </w:pPr>
            <w:r>
              <w:rPr>
                <w:rFonts w:ascii="宋体" w:hAnsi="宋体"/>
                <w:sz w:val="18"/>
                <w:szCs w:val="18"/>
              </w:rPr>
              <w:t>13.35～37.06</w:t>
            </w:r>
          </w:p>
        </w:tc>
        <w:tc>
          <w:tcPr>
            <w:tcW w:w="1357" w:type="dxa"/>
            <w:noWrap w:val="0"/>
            <w:vAlign w:val="center"/>
          </w:tcPr>
          <w:p w14:paraId="6BC2ED1A">
            <w:pPr>
              <w:jc w:val="center"/>
              <w:rPr>
                <w:rFonts w:ascii="宋体" w:hAnsi="宋体"/>
                <w:sz w:val="18"/>
                <w:szCs w:val="18"/>
              </w:rPr>
            </w:pPr>
            <w:r>
              <w:rPr>
                <w:rFonts w:ascii="宋体" w:hAnsi="宋体"/>
                <w:sz w:val="18"/>
                <w:szCs w:val="18"/>
              </w:rPr>
              <w:t>10.34～19.88</w:t>
            </w:r>
          </w:p>
        </w:tc>
        <w:tc>
          <w:tcPr>
            <w:tcW w:w="1258" w:type="dxa"/>
            <w:noWrap w:val="0"/>
            <w:vAlign w:val="center"/>
          </w:tcPr>
          <w:p w14:paraId="6AEA192A">
            <w:pPr>
              <w:jc w:val="center"/>
              <w:rPr>
                <w:rFonts w:ascii="宋体" w:hAnsi="宋体"/>
                <w:sz w:val="18"/>
                <w:szCs w:val="18"/>
              </w:rPr>
            </w:pPr>
            <w:r>
              <w:rPr>
                <w:rFonts w:ascii="宋体" w:hAnsi="宋体"/>
                <w:sz w:val="18"/>
                <w:szCs w:val="18"/>
              </w:rPr>
              <w:t>0.21～1.98</w:t>
            </w:r>
          </w:p>
        </w:tc>
        <w:tc>
          <w:tcPr>
            <w:tcW w:w="1617" w:type="dxa"/>
            <w:noWrap w:val="0"/>
            <w:vAlign w:val="center"/>
          </w:tcPr>
          <w:p w14:paraId="5DA38B1E">
            <w:pPr>
              <w:jc w:val="center"/>
              <w:rPr>
                <w:rFonts w:hint="eastAsia" w:ascii="宋体" w:hAnsi="宋体"/>
                <w:sz w:val="18"/>
                <w:szCs w:val="18"/>
              </w:rPr>
            </w:pPr>
            <w:r>
              <w:rPr>
                <w:rFonts w:ascii="宋体" w:hAnsi="宋体"/>
                <w:sz w:val="18"/>
                <w:szCs w:val="18"/>
              </w:rPr>
              <w:t>21.0</w:t>
            </w:r>
            <w:r>
              <w:rPr>
                <w:rFonts w:hint="eastAsia" w:ascii="宋体" w:hAnsi="宋体"/>
                <w:sz w:val="18"/>
                <w:szCs w:val="18"/>
              </w:rPr>
              <w:t>0</w:t>
            </w:r>
            <w:r>
              <w:rPr>
                <w:rFonts w:ascii="宋体" w:hAnsi="宋体"/>
                <w:sz w:val="18"/>
                <w:szCs w:val="18"/>
              </w:rPr>
              <w:t>～39.7</w:t>
            </w:r>
            <w:r>
              <w:rPr>
                <w:rFonts w:hint="eastAsia" w:ascii="宋体" w:hAnsi="宋体"/>
                <w:sz w:val="18"/>
                <w:szCs w:val="18"/>
              </w:rPr>
              <w:t>5</w:t>
            </w:r>
          </w:p>
        </w:tc>
        <w:tc>
          <w:tcPr>
            <w:tcW w:w="801" w:type="dxa"/>
            <w:vMerge w:val="restart"/>
            <w:noWrap w:val="0"/>
            <w:vAlign w:val="center"/>
          </w:tcPr>
          <w:p w14:paraId="6BE7297D">
            <w:pPr>
              <w:jc w:val="center"/>
              <w:rPr>
                <w:rFonts w:hint="eastAsia" w:ascii="宋体" w:hAnsi="宋体"/>
                <w:sz w:val="18"/>
                <w:szCs w:val="18"/>
              </w:rPr>
            </w:pPr>
            <w:r>
              <w:rPr>
                <w:rFonts w:hint="eastAsia" w:ascii="宋体" w:hAnsi="宋体"/>
                <w:sz w:val="18"/>
                <w:szCs w:val="18"/>
              </w:rPr>
              <w:t>贫煤</w:t>
            </w:r>
          </w:p>
        </w:tc>
      </w:tr>
      <w:tr w14:paraId="1EF3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61C958CE">
            <w:pPr>
              <w:jc w:val="center"/>
              <w:rPr>
                <w:rFonts w:ascii="宋体" w:hAnsi="宋体"/>
                <w:sz w:val="18"/>
                <w:szCs w:val="18"/>
              </w:rPr>
            </w:pPr>
          </w:p>
        </w:tc>
        <w:tc>
          <w:tcPr>
            <w:tcW w:w="623" w:type="dxa"/>
            <w:vMerge w:val="continue"/>
            <w:noWrap w:val="0"/>
            <w:vAlign w:val="center"/>
          </w:tcPr>
          <w:p w14:paraId="72AF9280">
            <w:pPr>
              <w:jc w:val="center"/>
              <w:rPr>
                <w:rFonts w:ascii="宋体" w:hAnsi="宋体"/>
                <w:sz w:val="18"/>
                <w:szCs w:val="18"/>
              </w:rPr>
            </w:pPr>
          </w:p>
        </w:tc>
        <w:tc>
          <w:tcPr>
            <w:tcW w:w="1260" w:type="dxa"/>
            <w:noWrap w:val="0"/>
            <w:vAlign w:val="center"/>
          </w:tcPr>
          <w:p w14:paraId="041C611F">
            <w:pPr>
              <w:jc w:val="center"/>
              <w:rPr>
                <w:rFonts w:ascii="宋体" w:hAnsi="宋体"/>
                <w:sz w:val="18"/>
                <w:szCs w:val="18"/>
              </w:rPr>
            </w:pPr>
            <w:r>
              <w:rPr>
                <w:rFonts w:ascii="宋体" w:hAnsi="宋体"/>
                <w:sz w:val="18"/>
                <w:szCs w:val="18"/>
              </w:rPr>
              <w:t>1.02</w:t>
            </w:r>
          </w:p>
        </w:tc>
        <w:tc>
          <w:tcPr>
            <w:tcW w:w="1357" w:type="dxa"/>
            <w:noWrap w:val="0"/>
            <w:vAlign w:val="center"/>
          </w:tcPr>
          <w:p w14:paraId="66831E47">
            <w:pPr>
              <w:jc w:val="center"/>
              <w:rPr>
                <w:rFonts w:ascii="宋体" w:hAnsi="宋体"/>
                <w:sz w:val="18"/>
                <w:szCs w:val="18"/>
              </w:rPr>
            </w:pPr>
            <w:r>
              <w:rPr>
                <w:rFonts w:ascii="宋体" w:hAnsi="宋体"/>
                <w:sz w:val="18"/>
                <w:szCs w:val="18"/>
              </w:rPr>
              <w:t>22.09</w:t>
            </w:r>
          </w:p>
        </w:tc>
        <w:tc>
          <w:tcPr>
            <w:tcW w:w="1357" w:type="dxa"/>
            <w:noWrap w:val="0"/>
            <w:vAlign w:val="center"/>
          </w:tcPr>
          <w:p w14:paraId="72BFD739">
            <w:pPr>
              <w:jc w:val="center"/>
              <w:rPr>
                <w:rFonts w:ascii="宋体" w:hAnsi="宋体"/>
                <w:sz w:val="18"/>
                <w:szCs w:val="18"/>
              </w:rPr>
            </w:pPr>
            <w:r>
              <w:rPr>
                <w:rFonts w:ascii="宋体" w:hAnsi="宋体"/>
                <w:sz w:val="18"/>
                <w:szCs w:val="18"/>
              </w:rPr>
              <w:t>14.43</w:t>
            </w:r>
          </w:p>
        </w:tc>
        <w:tc>
          <w:tcPr>
            <w:tcW w:w="1258" w:type="dxa"/>
            <w:noWrap w:val="0"/>
            <w:vAlign w:val="center"/>
          </w:tcPr>
          <w:p w14:paraId="63EBD123">
            <w:pPr>
              <w:jc w:val="center"/>
              <w:rPr>
                <w:rFonts w:ascii="宋体" w:hAnsi="宋体"/>
                <w:sz w:val="18"/>
                <w:szCs w:val="18"/>
              </w:rPr>
            </w:pPr>
            <w:r>
              <w:rPr>
                <w:rFonts w:ascii="宋体" w:hAnsi="宋体"/>
                <w:sz w:val="18"/>
                <w:szCs w:val="18"/>
              </w:rPr>
              <w:t>0.60</w:t>
            </w:r>
          </w:p>
        </w:tc>
        <w:tc>
          <w:tcPr>
            <w:tcW w:w="1617" w:type="dxa"/>
            <w:noWrap w:val="0"/>
            <w:vAlign w:val="center"/>
          </w:tcPr>
          <w:p w14:paraId="245997F6">
            <w:pPr>
              <w:jc w:val="center"/>
              <w:rPr>
                <w:rFonts w:hint="eastAsia" w:ascii="宋体" w:hAnsi="宋体"/>
                <w:sz w:val="18"/>
                <w:szCs w:val="18"/>
              </w:rPr>
            </w:pPr>
            <w:r>
              <w:rPr>
                <w:rFonts w:ascii="宋体" w:hAnsi="宋体"/>
                <w:sz w:val="18"/>
                <w:szCs w:val="18"/>
              </w:rPr>
              <w:t>27.</w:t>
            </w:r>
            <w:r>
              <w:rPr>
                <w:rFonts w:hint="eastAsia" w:ascii="宋体" w:hAnsi="宋体"/>
                <w:sz w:val="18"/>
                <w:szCs w:val="18"/>
              </w:rPr>
              <w:t>39</w:t>
            </w:r>
          </w:p>
        </w:tc>
        <w:tc>
          <w:tcPr>
            <w:tcW w:w="801" w:type="dxa"/>
            <w:vMerge w:val="continue"/>
            <w:noWrap w:val="0"/>
            <w:vAlign w:val="center"/>
          </w:tcPr>
          <w:p w14:paraId="0855F8B5">
            <w:pPr>
              <w:jc w:val="center"/>
              <w:rPr>
                <w:rFonts w:ascii="宋体" w:hAnsi="宋体"/>
                <w:sz w:val="18"/>
                <w:szCs w:val="18"/>
              </w:rPr>
            </w:pPr>
          </w:p>
        </w:tc>
      </w:tr>
      <w:tr w14:paraId="3493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4656690">
            <w:pPr>
              <w:jc w:val="center"/>
              <w:rPr>
                <w:rFonts w:ascii="宋体" w:hAnsi="宋体"/>
                <w:sz w:val="18"/>
                <w:szCs w:val="18"/>
              </w:rPr>
            </w:pPr>
          </w:p>
        </w:tc>
        <w:tc>
          <w:tcPr>
            <w:tcW w:w="623" w:type="dxa"/>
            <w:vMerge w:val="restart"/>
            <w:noWrap w:val="0"/>
            <w:vAlign w:val="center"/>
          </w:tcPr>
          <w:p w14:paraId="180FF83A">
            <w:pPr>
              <w:jc w:val="center"/>
              <w:rPr>
                <w:rFonts w:ascii="宋体" w:hAnsi="宋体"/>
                <w:sz w:val="18"/>
                <w:szCs w:val="18"/>
              </w:rPr>
            </w:pPr>
            <w:r>
              <w:rPr>
                <w:rFonts w:ascii="宋体" w:hAnsi="宋体"/>
                <w:sz w:val="18"/>
                <w:szCs w:val="18"/>
              </w:rPr>
              <w:t>洗煤</w:t>
            </w:r>
          </w:p>
        </w:tc>
        <w:tc>
          <w:tcPr>
            <w:tcW w:w="1260" w:type="dxa"/>
            <w:noWrap w:val="0"/>
            <w:vAlign w:val="center"/>
          </w:tcPr>
          <w:p w14:paraId="48B16480">
            <w:pPr>
              <w:jc w:val="center"/>
              <w:rPr>
                <w:rFonts w:ascii="宋体" w:hAnsi="宋体"/>
                <w:sz w:val="18"/>
                <w:szCs w:val="18"/>
              </w:rPr>
            </w:pPr>
            <w:r>
              <w:rPr>
                <w:rFonts w:ascii="宋体" w:hAnsi="宋体"/>
                <w:sz w:val="18"/>
                <w:szCs w:val="18"/>
              </w:rPr>
              <w:t>0.41～1.37</w:t>
            </w:r>
          </w:p>
        </w:tc>
        <w:tc>
          <w:tcPr>
            <w:tcW w:w="1357" w:type="dxa"/>
            <w:noWrap w:val="0"/>
            <w:vAlign w:val="center"/>
          </w:tcPr>
          <w:p w14:paraId="049FD27C">
            <w:pPr>
              <w:jc w:val="center"/>
              <w:rPr>
                <w:rFonts w:ascii="宋体" w:hAnsi="宋体"/>
                <w:sz w:val="18"/>
                <w:szCs w:val="18"/>
              </w:rPr>
            </w:pPr>
            <w:r>
              <w:rPr>
                <w:rFonts w:ascii="宋体" w:hAnsi="宋体"/>
                <w:sz w:val="18"/>
                <w:szCs w:val="18"/>
              </w:rPr>
              <w:t>6.41～13.46</w:t>
            </w:r>
          </w:p>
        </w:tc>
        <w:tc>
          <w:tcPr>
            <w:tcW w:w="1357" w:type="dxa"/>
            <w:noWrap w:val="0"/>
            <w:vAlign w:val="center"/>
          </w:tcPr>
          <w:p w14:paraId="60CDD20D">
            <w:pPr>
              <w:jc w:val="center"/>
              <w:rPr>
                <w:rFonts w:ascii="宋体" w:hAnsi="宋体"/>
                <w:sz w:val="18"/>
                <w:szCs w:val="18"/>
              </w:rPr>
            </w:pPr>
            <w:r>
              <w:rPr>
                <w:rFonts w:ascii="宋体" w:hAnsi="宋体"/>
                <w:sz w:val="18"/>
                <w:szCs w:val="18"/>
              </w:rPr>
              <w:t>10.89～16.22</w:t>
            </w:r>
          </w:p>
        </w:tc>
        <w:tc>
          <w:tcPr>
            <w:tcW w:w="1258" w:type="dxa"/>
            <w:noWrap w:val="0"/>
            <w:vAlign w:val="center"/>
          </w:tcPr>
          <w:p w14:paraId="7CC95533">
            <w:pPr>
              <w:jc w:val="center"/>
              <w:rPr>
                <w:rFonts w:ascii="宋体" w:hAnsi="宋体"/>
                <w:sz w:val="18"/>
                <w:szCs w:val="18"/>
              </w:rPr>
            </w:pPr>
            <w:r>
              <w:rPr>
                <w:rFonts w:ascii="宋体" w:hAnsi="宋体"/>
                <w:sz w:val="18"/>
                <w:szCs w:val="18"/>
              </w:rPr>
              <w:t>0.28～1.40</w:t>
            </w:r>
          </w:p>
        </w:tc>
        <w:tc>
          <w:tcPr>
            <w:tcW w:w="1617" w:type="dxa"/>
            <w:noWrap w:val="0"/>
            <w:vAlign w:val="center"/>
          </w:tcPr>
          <w:p w14:paraId="6512F93A">
            <w:pPr>
              <w:rPr>
                <w:rFonts w:hint="eastAsia" w:ascii="宋体" w:hAnsi="宋体"/>
                <w:sz w:val="18"/>
                <w:szCs w:val="18"/>
              </w:rPr>
            </w:pPr>
            <w:r>
              <w:rPr>
                <w:rFonts w:ascii="宋体" w:hAnsi="宋体"/>
                <w:sz w:val="18"/>
                <w:szCs w:val="18"/>
              </w:rPr>
              <w:t>32.9</w:t>
            </w:r>
            <w:r>
              <w:rPr>
                <w:rFonts w:hint="eastAsia" w:ascii="宋体" w:hAnsi="宋体"/>
                <w:sz w:val="18"/>
                <w:szCs w:val="18"/>
              </w:rPr>
              <w:t>2</w:t>
            </w:r>
            <w:r>
              <w:rPr>
                <w:rFonts w:ascii="宋体" w:hAnsi="宋体"/>
                <w:sz w:val="18"/>
                <w:szCs w:val="18"/>
              </w:rPr>
              <w:t>～34.1</w:t>
            </w:r>
            <w:r>
              <w:rPr>
                <w:rFonts w:hint="eastAsia" w:ascii="宋体" w:hAnsi="宋体"/>
                <w:sz w:val="18"/>
                <w:szCs w:val="18"/>
              </w:rPr>
              <w:t>4</w:t>
            </w:r>
          </w:p>
        </w:tc>
        <w:tc>
          <w:tcPr>
            <w:tcW w:w="801" w:type="dxa"/>
            <w:vMerge w:val="continue"/>
            <w:noWrap w:val="0"/>
            <w:vAlign w:val="center"/>
          </w:tcPr>
          <w:p w14:paraId="2B2AA285">
            <w:pPr>
              <w:jc w:val="center"/>
              <w:rPr>
                <w:rFonts w:ascii="宋体" w:hAnsi="宋体"/>
                <w:sz w:val="18"/>
                <w:szCs w:val="18"/>
              </w:rPr>
            </w:pPr>
          </w:p>
        </w:tc>
      </w:tr>
      <w:tr w14:paraId="548B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14E389D7">
            <w:pPr>
              <w:jc w:val="center"/>
              <w:rPr>
                <w:rFonts w:ascii="宋体" w:hAnsi="宋体"/>
                <w:sz w:val="18"/>
                <w:szCs w:val="18"/>
              </w:rPr>
            </w:pPr>
          </w:p>
        </w:tc>
        <w:tc>
          <w:tcPr>
            <w:tcW w:w="623" w:type="dxa"/>
            <w:vMerge w:val="continue"/>
            <w:noWrap w:val="0"/>
            <w:vAlign w:val="center"/>
          </w:tcPr>
          <w:p w14:paraId="746DF348">
            <w:pPr>
              <w:jc w:val="center"/>
              <w:rPr>
                <w:rFonts w:ascii="宋体" w:hAnsi="宋体"/>
                <w:sz w:val="18"/>
                <w:szCs w:val="18"/>
              </w:rPr>
            </w:pPr>
          </w:p>
        </w:tc>
        <w:tc>
          <w:tcPr>
            <w:tcW w:w="1260" w:type="dxa"/>
            <w:noWrap w:val="0"/>
            <w:vAlign w:val="center"/>
          </w:tcPr>
          <w:p w14:paraId="6AB24680">
            <w:pPr>
              <w:jc w:val="center"/>
              <w:rPr>
                <w:rFonts w:ascii="宋体" w:hAnsi="宋体"/>
                <w:sz w:val="18"/>
                <w:szCs w:val="18"/>
              </w:rPr>
            </w:pPr>
            <w:r>
              <w:rPr>
                <w:rFonts w:ascii="宋体" w:hAnsi="宋体"/>
                <w:sz w:val="18"/>
                <w:szCs w:val="18"/>
              </w:rPr>
              <w:t>1.03</w:t>
            </w:r>
          </w:p>
        </w:tc>
        <w:tc>
          <w:tcPr>
            <w:tcW w:w="1357" w:type="dxa"/>
            <w:noWrap w:val="0"/>
            <w:vAlign w:val="center"/>
          </w:tcPr>
          <w:p w14:paraId="769EE986">
            <w:pPr>
              <w:jc w:val="center"/>
              <w:rPr>
                <w:rFonts w:ascii="宋体" w:hAnsi="宋体"/>
                <w:sz w:val="18"/>
                <w:szCs w:val="18"/>
              </w:rPr>
            </w:pPr>
            <w:r>
              <w:rPr>
                <w:rFonts w:ascii="宋体" w:hAnsi="宋体"/>
                <w:sz w:val="18"/>
                <w:szCs w:val="18"/>
              </w:rPr>
              <w:t>7.84</w:t>
            </w:r>
          </w:p>
        </w:tc>
        <w:tc>
          <w:tcPr>
            <w:tcW w:w="1357" w:type="dxa"/>
            <w:noWrap w:val="0"/>
            <w:vAlign w:val="center"/>
          </w:tcPr>
          <w:p w14:paraId="4C069C89">
            <w:pPr>
              <w:jc w:val="center"/>
              <w:rPr>
                <w:rFonts w:ascii="宋体" w:hAnsi="宋体"/>
                <w:sz w:val="18"/>
                <w:szCs w:val="18"/>
              </w:rPr>
            </w:pPr>
            <w:r>
              <w:rPr>
                <w:rFonts w:ascii="宋体" w:hAnsi="宋体"/>
                <w:sz w:val="18"/>
                <w:szCs w:val="18"/>
              </w:rPr>
              <w:t>13.12</w:t>
            </w:r>
          </w:p>
        </w:tc>
        <w:tc>
          <w:tcPr>
            <w:tcW w:w="1258" w:type="dxa"/>
            <w:noWrap w:val="0"/>
            <w:vAlign w:val="center"/>
          </w:tcPr>
          <w:p w14:paraId="632911AB">
            <w:pPr>
              <w:jc w:val="center"/>
              <w:rPr>
                <w:rFonts w:ascii="宋体" w:hAnsi="宋体"/>
                <w:sz w:val="18"/>
                <w:szCs w:val="18"/>
              </w:rPr>
            </w:pPr>
            <w:r>
              <w:rPr>
                <w:rFonts w:ascii="宋体" w:hAnsi="宋体"/>
                <w:sz w:val="18"/>
                <w:szCs w:val="18"/>
              </w:rPr>
              <w:t>0.52</w:t>
            </w:r>
          </w:p>
        </w:tc>
        <w:tc>
          <w:tcPr>
            <w:tcW w:w="1617" w:type="dxa"/>
            <w:noWrap w:val="0"/>
            <w:vAlign w:val="center"/>
          </w:tcPr>
          <w:p w14:paraId="1CDF045A">
            <w:pPr>
              <w:jc w:val="center"/>
              <w:rPr>
                <w:rFonts w:hint="eastAsia" w:ascii="宋体" w:hAnsi="宋体"/>
                <w:sz w:val="18"/>
                <w:szCs w:val="18"/>
              </w:rPr>
            </w:pPr>
            <w:r>
              <w:rPr>
                <w:rFonts w:ascii="宋体" w:hAnsi="宋体"/>
                <w:sz w:val="18"/>
                <w:szCs w:val="18"/>
              </w:rPr>
              <w:t>33.3</w:t>
            </w:r>
            <w:r>
              <w:rPr>
                <w:rFonts w:hint="eastAsia" w:ascii="宋体" w:hAnsi="宋体"/>
                <w:sz w:val="18"/>
                <w:szCs w:val="18"/>
              </w:rPr>
              <w:t>0</w:t>
            </w:r>
          </w:p>
        </w:tc>
        <w:tc>
          <w:tcPr>
            <w:tcW w:w="801" w:type="dxa"/>
            <w:vMerge w:val="continue"/>
            <w:noWrap w:val="0"/>
            <w:vAlign w:val="center"/>
          </w:tcPr>
          <w:p w14:paraId="62E2A2C1">
            <w:pPr>
              <w:jc w:val="center"/>
              <w:rPr>
                <w:rFonts w:ascii="宋体" w:hAnsi="宋体"/>
                <w:sz w:val="18"/>
                <w:szCs w:val="18"/>
              </w:rPr>
            </w:pPr>
          </w:p>
        </w:tc>
      </w:tr>
      <w:tr w14:paraId="1F54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125C76A7">
            <w:pPr>
              <w:jc w:val="center"/>
              <w:rPr>
                <w:rFonts w:hint="eastAsia" w:ascii="宋体" w:hAnsi="宋体"/>
                <w:sz w:val="18"/>
                <w:szCs w:val="18"/>
              </w:rPr>
            </w:pPr>
            <w:r>
              <w:rPr>
                <w:rFonts w:hint="eastAsia" w:ascii="宋体" w:hAnsi="宋体"/>
                <w:sz w:val="18"/>
                <w:szCs w:val="18"/>
              </w:rPr>
              <w:t>K3</w:t>
            </w:r>
          </w:p>
        </w:tc>
        <w:tc>
          <w:tcPr>
            <w:tcW w:w="623" w:type="dxa"/>
            <w:vMerge w:val="restart"/>
            <w:noWrap w:val="0"/>
            <w:vAlign w:val="center"/>
          </w:tcPr>
          <w:p w14:paraId="20386710">
            <w:pPr>
              <w:jc w:val="center"/>
              <w:rPr>
                <w:rFonts w:ascii="宋体" w:hAnsi="宋体"/>
                <w:sz w:val="18"/>
                <w:szCs w:val="18"/>
              </w:rPr>
            </w:pPr>
            <w:r>
              <w:rPr>
                <w:rFonts w:ascii="宋体" w:hAnsi="宋体"/>
                <w:sz w:val="18"/>
                <w:szCs w:val="18"/>
              </w:rPr>
              <w:t>原煤</w:t>
            </w:r>
          </w:p>
        </w:tc>
        <w:tc>
          <w:tcPr>
            <w:tcW w:w="1260" w:type="dxa"/>
            <w:noWrap w:val="0"/>
            <w:vAlign w:val="center"/>
          </w:tcPr>
          <w:p w14:paraId="08F5CA6B">
            <w:pPr>
              <w:jc w:val="center"/>
              <w:rPr>
                <w:rFonts w:ascii="宋体" w:hAnsi="宋体"/>
                <w:sz w:val="18"/>
                <w:szCs w:val="18"/>
              </w:rPr>
            </w:pPr>
            <w:r>
              <w:rPr>
                <w:rFonts w:ascii="宋体" w:hAnsi="宋体"/>
                <w:sz w:val="18"/>
                <w:szCs w:val="18"/>
              </w:rPr>
              <w:t>0.34～7.00</w:t>
            </w:r>
          </w:p>
        </w:tc>
        <w:tc>
          <w:tcPr>
            <w:tcW w:w="1357" w:type="dxa"/>
            <w:noWrap w:val="0"/>
            <w:vAlign w:val="center"/>
          </w:tcPr>
          <w:p w14:paraId="12F88776">
            <w:pPr>
              <w:jc w:val="center"/>
              <w:rPr>
                <w:rFonts w:ascii="宋体" w:hAnsi="宋体"/>
                <w:sz w:val="18"/>
                <w:szCs w:val="18"/>
              </w:rPr>
            </w:pPr>
            <w:r>
              <w:rPr>
                <w:rFonts w:ascii="宋体" w:hAnsi="宋体"/>
                <w:sz w:val="18"/>
                <w:szCs w:val="18"/>
              </w:rPr>
              <w:t>18.71～30.22</w:t>
            </w:r>
          </w:p>
        </w:tc>
        <w:tc>
          <w:tcPr>
            <w:tcW w:w="1357" w:type="dxa"/>
            <w:noWrap w:val="0"/>
            <w:vAlign w:val="center"/>
          </w:tcPr>
          <w:p w14:paraId="62C4DCC4">
            <w:pPr>
              <w:jc w:val="center"/>
              <w:rPr>
                <w:rFonts w:ascii="宋体" w:hAnsi="宋体"/>
                <w:sz w:val="18"/>
                <w:szCs w:val="18"/>
              </w:rPr>
            </w:pPr>
            <w:r>
              <w:rPr>
                <w:rFonts w:ascii="宋体" w:hAnsi="宋体"/>
                <w:sz w:val="18"/>
                <w:szCs w:val="18"/>
              </w:rPr>
              <w:t>11.40～17.75</w:t>
            </w:r>
          </w:p>
        </w:tc>
        <w:tc>
          <w:tcPr>
            <w:tcW w:w="1258" w:type="dxa"/>
            <w:noWrap w:val="0"/>
            <w:vAlign w:val="center"/>
          </w:tcPr>
          <w:p w14:paraId="740698B7">
            <w:pPr>
              <w:jc w:val="center"/>
              <w:rPr>
                <w:rFonts w:ascii="宋体" w:hAnsi="宋体"/>
                <w:sz w:val="18"/>
                <w:szCs w:val="18"/>
              </w:rPr>
            </w:pPr>
            <w:r>
              <w:rPr>
                <w:rFonts w:ascii="宋体" w:hAnsi="宋体"/>
                <w:sz w:val="18"/>
                <w:szCs w:val="18"/>
              </w:rPr>
              <w:t>0.23～4.99</w:t>
            </w:r>
          </w:p>
        </w:tc>
        <w:tc>
          <w:tcPr>
            <w:tcW w:w="1617" w:type="dxa"/>
            <w:noWrap w:val="0"/>
            <w:vAlign w:val="center"/>
          </w:tcPr>
          <w:p w14:paraId="0A607DAD">
            <w:pPr>
              <w:jc w:val="center"/>
              <w:rPr>
                <w:rFonts w:hint="eastAsia" w:ascii="宋体" w:hAnsi="宋体"/>
                <w:sz w:val="18"/>
                <w:szCs w:val="18"/>
              </w:rPr>
            </w:pPr>
            <w:r>
              <w:rPr>
                <w:rFonts w:ascii="宋体" w:hAnsi="宋体"/>
                <w:sz w:val="18"/>
                <w:szCs w:val="18"/>
              </w:rPr>
              <w:t>24.</w:t>
            </w:r>
            <w:r>
              <w:rPr>
                <w:rFonts w:hint="eastAsia" w:ascii="宋体" w:hAnsi="宋体"/>
                <w:sz w:val="18"/>
                <w:szCs w:val="18"/>
              </w:rPr>
              <w:t>19</w:t>
            </w:r>
            <w:r>
              <w:rPr>
                <w:rFonts w:ascii="宋体" w:hAnsi="宋体"/>
                <w:sz w:val="18"/>
                <w:szCs w:val="18"/>
              </w:rPr>
              <w:t>～29.1</w:t>
            </w:r>
            <w:r>
              <w:rPr>
                <w:rFonts w:hint="eastAsia" w:ascii="宋体" w:hAnsi="宋体"/>
                <w:sz w:val="18"/>
                <w:szCs w:val="18"/>
              </w:rPr>
              <w:t>4</w:t>
            </w:r>
          </w:p>
        </w:tc>
        <w:tc>
          <w:tcPr>
            <w:tcW w:w="801" w:type="dxa"/>
            <w:vMerge w:val="restart"/>
            <w:noWrap w:val="0"/>
            <w:vAlign w:val="center"/>
          </w:tcPr>
          <w:p w14:paraId="7EE38465">
            <w:pPr>
              <w:jc w:val="center"/>
              <w:rPr>
                <w:rFonts w:ascii="宋体" w:hAnsi="宋体"/>
                <w:sz w:val="18"/>
                <w:szCs w:val="18"/>
              </w:rPr>
            </w:pPr>
            <w:r>
              <w:rPr>
                <w:rFonts w:hint="eastAsia" w:ascii="宋体" w:hAnsi="宋体"/>
                <w:sz w:val="18"/>
                <w:szCs w:val="18"/>
              </w:rPr>
              <w:t>贫煤</w:t>
            </w:r>
          </w:p>
        </w:tc>
      </w:tr>
      <w:tr w14:paraId="3B7E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6547BE96">
            <w:pPr>
              <w:jc w:val="center"/>
              <w:rPr>
                <w:rFonts w:ascii="宋体" w:hAnsi="宋体"/>
                <w:sz w:val="18"/>
                <w:szCs w:val="18"/>
              </w:rPr>
            </w:pPr>
          </w:p>
        </w:tc>
        <w:tc>
          <w:tcPr>
            <w:tcW w:w="623" w:type="dxa"/>
            <w:vMerge w:val="continue"/>
            <w:noWrap w:val="0"/>
            <w:vAlign w:val="center"/>
          </w:tcPr>
          <w:p w14:paraId="09E2BD27">
            <w:pPr>
              <w:jc w:val="center"/>
              <w:rPr>
                <w:rFonts w:ascii="宋体" w:hAnsi="宋体"/>
                <w:sz w:val="18"/>
                <w:szCs w:val="18"/>
              </w:rPr>
            </w:pPr>
          </w:p>
        </w:tc>
        <w:tc>
          <w:tcPr>
            <w:tcW w:w="1260" w:type="dxa"/>
            <w:noWrap w:val="0"/>
            <w:vAlign w:val="center"/>
          </w:tcPr>
          <w:p w14:paraId="6FE9744B">
            <w:pPr>
              <w:jc w:val="center"/>
              <w:rPr>
                <w:rFonts w:ascii="宋体" w:hAnsi="宋体"/>
                <w:sz w:val="18"/>
                <w:szCs w:val="18"/>
              </w:rPr>
            </w:pPr>
            <w:r>
              <w:rPr>
                <w:rFonts w:ascii="宋体" w:hAnsi="宋体"/>
                <w:sz w:val="18"/>
                <w:szCs w:val="18"/>
              </w:rPr>
              <w:t>1.53</w:t>
            </w:r>
          </w:p>
        </w:tc>
        <w:tc>
          <w:tcPr>
            <w:tcW w:w="1357" w:type="dxa"/>
            <w:noWrap w:val="0"/>
            <w:vAlign w:val="center"/>
          </w:tcPr>
          <w:p w14:paraId="06009442">
            <w:pPr>
              <w:jc w:val="center"/>
              <w:rPr>
                <w:rFonts w:ascii="宋体" w:hAnsi="宋体"/>
                <w:sz w:val="18"/>
                <w:szCs w:val="18"/>
              </w:rPr>
            </w:pPr>
            <w:r>
              <w:rPr>
                <w:rFonts w:ascii="宋体" w:hAnsi="宋体"/>
                <w:sz w:val="18"/>
                <w:szCs w:val="18"/>
              </w:rPr>
              <w:t>24.48</w:t>
            </w:r>
          </w:p>
        </w:tc>
        <w:tc>
          <w:tcPr>
            <w:tcW w:w="1357" w:type="dxa"/>
            <w:noWrap w:val="0"/>
            <w:vAlign w:val="center"/>
          </w:tcPr>
          <w:p w14:paraId="114B8034">
            <w:pPr>
              <w:jc w:val="center"/>
              <w:rPr>
                <w:rFonts w:ascii="宋体" w:hAnsi="宋体"/>
                <w:sz w:val="18"/>
                <w:szCs w:val="18"/>
              </w:rPr>
            </w:pPr>
            <w:r>
              <w:rPr>
                <w:rFonts w:ascii="宋体" w:hAnsi="宋体"/>
                <w:sz w:val="18"/>
                <w:szCs w:val="18"/>
              </w:rPr>
              <w:t>14.31</w:t>
            </w:r>
          </w:p>
        </w:tc>
        <w:tc>
          <w:tcPr>
            <w:tcW w:w="1258" w:type="dxa"/>
            <w:noWrap w:val="0"/>
            <w:vAlign w:val="center"/>
          </w:tcPr>
          <w:p w14:paraId="213957F7">
            <w:pPr>
              <w:jc w:val="center"/>
              <w:rPr>
                <w:rFonts w:ascii="宋体" w:hAnsi="宋体"/>
                <w:sz w:val="18"/>
                <w:szCs w:val="18"/>
              </w:rPr>
            </w:pPr>
            <w:r>
              <w:rPr>
                <w:rFonts w:ascii="宋体" w:hAnsi="宋体"/>
                <w:sz w:val="18"/>
                <w:szCs w:val="18"/>
              </w:rPr>
              <w:t>2.23</w:t>
            </w:r>
          </w:p>
        </w:tc>
        <w:tc>
          <w:tcPr>
            <w:tcW w:w="1617" w:type="dxa"/>
            <w:noWrap w:val="0"/>
            <w:vAlign w:val="center"/>
          </w:tcPr>
          <w:p w14:paraId="02DE30CB">
            <w:pPr>
              <w:jc w:val="center"/>
              <w:rPr>
                <w:rFonts w:hint="eastAsia" w:ascii="宋体" w:hAnsi="宋体"/>
                <w:sz w:val="18"/>
                <w:szCs w:val="18"/>
              </w:rPr>
            </w:pPr>
            <w:r>
              <w:rPr>
                <w:rFonts w:ascii="宋体" w:hAnsi="宋体"/>
                <w:sz w:val="18"/>
                <w:szCs w:val="18"/>
              </w:rPr>
              <w:t>26.6</w:t>
            </w:r>
            <w:r>
              <w:rPr>
                <w:rFonts w:hint="eastAsia" w:ascii="宋体" w:hAnsi="宋体"/>
                <w:sz w:val="18"/>
                <w:szCs w:val="18"/>
              </w:rPr>
              <w:t>4</w:t>
            </w:r>
          </w:p>
        </w:tc>
        <w:tc>
          <w:tcPr>
            <w:tcW w:w="801" w:type="dxa"/>
            <w:vMerge w:val="continue"/>
            <w:noWrap w:val="0"/>
            <w:vAlign w:val="center"/>
          </w:tcPr>
          <w:p w14:paraId="3BDE4B0F">
            <w:pPr>
              <w:jc w:val="center"/>
              <w:rPr>
                <w:rFonts w:ascii="宋体" w:hAnsi="宋体"/>
                <w:sz w:val="18"/>
                <w:szCs w:val="18"/>
              </w:rPr>
            </w:pPr>
          </w:p>
        </w:tc>
      </w:tr>
      <w:tr w14:paraId="6029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2B50385C">
            <w:pPr>
              <w:jc w:val="center"/>
              <w:rPr>
                <w:rFonts w:ascii="宋体" w:hAnsi="宋体"/>
                <w:color w:val="FF0000"/>
                <w:sz w:val="18"/>
                <w:szCs w:val="18"/>
              </w:rPr>
            </w:pPr>
          </w:p>
        </w:tc>
        <w:tc>
          <w:tcPr>
            <w:tcW w:w="623" w:type="dxa"/>
            <w:vMerge w:val="restart"/>
            <w:noWrap w:val="0"/>
            <w:vAlign w:val="center"/>
          </w:tcPr>
          <w:p w14:paraId="71D01D1D">
            <w:pPr>
              <w:jc w:val="center"/>
              <w:rPr>
                <w:rFonts w:ascii="宋体" w:hAnsi="宋体"/>
                <w:sz w:val="18"/>
                <w:szCs w:val="18"/>
              </w:rPr>
            </w:pPr>
            <w:r>
              <w:rPr>
                <w:rFonts w:ascii="宋体" w:hAnsi="宋体"/>
                <w:sz w:val="18"/>
                <w:szCs w:val="18"/>
              </w:rPr>
              <w:t>洗煤</w:t>
            </w:r>
          </w:p>
        </w:tc>
        <w:tc>
          <w:tcPr>
            <w:tcW w:w="1260" w:type="dxa"/>
            <w:noWrap w:val="0"/>
            <w:vAlign w:val="center"/>
          </w:tcPr>
          <w:p w14:paraId="2F62028A">
            <w:pPr>
              <w:jc w:val="center"/>
              <w:rPr>
                <w:rFonts w:ascii="宋体" w:hAnsi="宋体"/>
                <w:sz w:val="18"/>
                <w:szCs w:val="18"/>
              </w:rPr>
            </w:pPr>
            <w:r>
              <w:rPr>
                <w:rFonts w:ascii="宋体" w:hAnsi="宋体"/>
                <w:sz w:val="18"/>
                <w:szCs w:val="18"/>
              </w:rPr>
              <w:t>0.32～1.13</w:t>
            </w:r>
          </w:p>
        </w:tc>
        <w:tc>
          <w:tcPr>
            <w:tcW w:w="1357" w:type="dxa"/>
            <w:noWrap w:val="0"/>
            <w:vAlign w:val="center"/>
          </w:tcPr>
          <w:p w14:paraId="130411FE">
            <w:pPr>
              <w:jc w:val="center"/>
              <w:rPr>
                <w:rFonts w:ascii="宋体" w:hAnsi="宋体"/>
                <w:sz w:val="18"/>
                <w:szCs w:val="18"/>
              </w:rPr>
            </w:pPr>
            <w:r>
              <w:rPr>
                <w:rFonts w:ascii="宋体" w:hAnsi="宋体"/>
                <w:sz w:val="18"/>
                <w:szCs w:val="18"/>
              </w:rPr>
              <w:t>8.67～20.27</w:t>
            </w:r>
          </w:p>
        </w:tc>
        <w:tc>
          <w:tcPr>
            <w:tcW w:w="1357" w:type="dxa"/>
            <w:noWrap w:val="0"/>
            <w:vAlign w:val="center"/>
          </w:tcPr>
          <w:p w14:paraId="40F7E9B5">
            <w:pPr>
              <w:jc w:val="center"/>
              <w:rPr>
                <w:rFonts w:ascii="宋体" w:hAnsi="宋体"/>
                <w:sz w:val="18"/>
                <w:szCs w:val="18"/>
              </w:rPr>
            </w:pPr>
            <w:r>
              <w:rPr>
                <w:rFonts w:ascii="宋体" w:hAnsi="宋体"/>
                <w:sz w:val="18"/>
                <w:szCs w:val="18"/>
              </w:rPr>
              <w:t>10.68～15.63</w:t>
            </w:r>
          </w:p>
        </w:tc>
        <w:tc>
          <w:tcPr>
            <w:tcW w:w="1258" w:type="dxa"/>
            <w:noWrap w:val="0"/>
            <w:vAlign w:val="center"/>
          </w:tcPr>
          <w:p w14:paraId="3A30AE67">
            <w:pPr>
              <w:jc w:val="center"/>
              <w:rPr>
                <w:rFonts w:ascii="宋体" w:hAnsi="宋体"/>
                <w:sz w:val="18"/>
                <w:szCs w:val="18"/>
              </w:rPr>
            </w:pPr>
            <w:r>
              <w:rPr>
                <w:rFonts w:ascii="宋体" w:hAnsi="宋体"/>
                <w:sz w:val="18"/>
                <w:szCs w:val="18"/>
              </w:rPr>
              <w:t>0.20～1.80</w:t>
            </w:r>
          </w:p>
        </w:tc>
        <w:tc>
          <w:tcPr>
            <w:tcW w:w="1617" w:type="dxa"/>
            <w:noWrap w:val="0"/>
            <w:vAlign w:val="center"/>
          </w:tcPr>
          <w:p w14:paraId="79BE3E96">
            <w:pPr>
              <w:jc w:val="center"/>
              <w:rPr>
                <w:rFonts w:hint="eastAsia" w:ascii="宋体" w:hAnsi="宋体"/>
                <w:sz w:val="18"/>
                <w:szCs w:val="18"/>
              </w:rPr>
            </w:pPr>
            <w:r>
              <w:rPr>
                <w:rFonts w:ascii="宋体" w:hAnsi="宋体"/>
                <w:sz w:val="18"/>
                <w:szCs w:val="18"/>
              </w:rPr>
              <w:t>31.2</w:t>
            </w:r>
            <w:r>
              <w:rPr>
                <w:rFonts w:hint="eastAsia" w:ascii="宋体" w:hAnsi="宋体"/>
                <w:sz w:val="18"/>
                <w:szCs w:val="18"/>
              </w:rPr>
              <w:t>5</w:t>
            </w:r>
            <w:r>
              <w:rPr>
                <w:rFonts w:ascii="宋体" w:hAnsi="宋体"/>
                <w:sz w:val="18"/>
                <w:szCs w:val="18"/>
              </w:rPr>
              <w:t>～33.</w:t>
            </w:r>
            <w:r>
              <w:rPr>
                <w:rFonts w:hint="eastAsia" w:ascii="宋体" w:hAnsi="宋体"/>
                <w:sz w:val="18"/>
                <w:szCs w:val="18"/>
              </w:rPr>
              <w:t>17</w:t>
            </w:r>
          </w:p>
        </w:tc>
        <w:tc>
          <w:tcPr>
            <w:tcW w:w="801" w:type="dxa"/>
            <w:vMerge w:val="continue"/>
            <w:noWrap w:val="0"/>
            <w:vAlign w:val="center"/>
          </w:tcPr>
          <w:p w14:paraId="07108656">
            <w:pPr>
              <w:jc w:val="center"/>
              <w:rPr>
                <w:rFonts w:ascii="宋体" w:hAnsi="宋体"/>
                <w:sz w:val="18"/>
                <w:szCs w:val="18"/>
              </w:rPr>
            </w:pPr>
          </w:p>
        </w:tc>
      </w:tr>
      <w:tr w14:paraId="6129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B322537">
            <w:pPr>
              <w:jc w:val="center"/>
              <w:rPr>
                <w:rFonts w:ascii="宋体" w:hAnsi="宋体"/>
                <w:color w:val="FF0000"/>
                <w:sz w:val="18"/>
                <w:szCs w:val="18"/>
              </w:rPr>
            </w:pPr>
          </w:p>
        </w:tc>
        <w:tc>
          <w:tcPr>
            <w:tcW w:w="623" w:type="dxa"/>
            <w:vMerge w:val="continue"/>
            <w:noWrap w:val="0"/>
            <w:vAlign w:val="center"/>
          </w:tcPr>
          <w:p w14:paraId="6F7F6667">
            <w:pPr>
              <w:jc w:val="center"/>
              <w:rPr>
                <w:rFonts w:ascii="宋体" w:hAnsi="宋体"/>
                <w:sz w:val="18"/>
                <w:szCs w:val="18"/>
              </w:rPr>
            </w:pPr>
          </w:p>
        </w:tc>
        <w:tc>
          <w:tcPr>
            <w:tcW w:w="1260" w:type="dxa"/>
            <w:noWrap w:val="0"/>
            <w:vAlign w:val="center"/>
          </w:tcPr>
          <w:p w14:paraId="22322A9F">
            <w:pPr>
              <w:jc w:val="center"/>
              <w:rPr>
                <w:rFonts w:ascii="宋体" w:hAnsi="宋体"/>
                <w:sz w:val="18"/>
                <w:szCs w:val="18"/>
              </w:rPr>
            </w:pPr>
            <w:r>
              <w:rPr>
                <w:rFonts w:ascii="宋体" w:hAnsi="宋体"/>
                <w:sz w:val="18"/>
                <w:szCs w:val="18"/>
              </w:rPr>
              <w:t>0.92</w:t>
            </w:r>
          </w:p>
        </w:tc>
        <w:tc>
          <w:tcPr>
            <w:tcW w:w="1357" w:type="dxa"/>
            <w:noWrap w:val="0"/>
            <w:vAlign w:val="center"/>
          </w:tcPr>
          <w:p w14:paraId="207F6551">
            <w:pPr>
              <w:jc w:val="center"/>
              <w:rPr>
                <w:rFonts w:ascii="宋体" w:hAnsi="宋体"/>
                <w:sz w:val="18"/>
                <w:szCs w:val="18"/>
              </w:rPr>
            </w:pPr>
            <w:r>
              <w:rPr>
                <w:rFonts w:ascii="宋体" w:hAnsi="宋体"/>
                <w:sz w:val="18"/>
                <w:szCs w:val="18"/>
              </w:rPr>
              <w:t>11.47</w:t>
            </w:r>
          </w:p>
        </w:tc>
        <w:tc>
          <w:tcPr>
            <w:tcW w:w="1357" w:type="dxa"/>
            <w:noWrap w:val="0"/>
            <w:vAlign w:val="center"/>
          </w:tcPr>
          <w:p w14:paraId="2DFEA7BD">
            <w:pPr>
              <w:jc w:val="center"/>
              <w:rPr>
                <w:rFonts w:ascii="宋体" w:hAnsi="宋体"/>
                <w:sz w:val="18"/>
                <w:szCs w:val="18"/>
              </w:rPr>
            </w:pPr>
            <w:r>
              <w:rPr>
                <w:rFonts w:ascii="宋体" w:hAnsi="宋体"/>
                <w:sz w:val="18"/>
                <w:szCs w:val="18"/>
              </w:rPr>
              <w:t>12.89</w:t>
            </w:r>
          </w:p>
        </w:tc>
        <w:tc>
          <w:tcPr>
            <w:tcW w:w="1258" w:type="dxa"/>
            <w:noWrap w:val="0"/>
            <w:vAlign w:val="center"/>
          </w:tcPr>
          <w:p w14:paraId="38F95428">
            <w:pPr>
              <w:jc w:val="center"/>
              <w:rPr>
                <w:rFonts w:ascii="宋体" w:hAnsi="宋体"/>
                <w:sz w:val="18"/>
                <w:szCs w:val="18"/>
              </w:rPr>
            </w:pPr>
            <w:r>
              <w:rPr>
                <w:rFonts w:ascii="宋体" w:hAnsi="宋体"/>
                <w:sz w:val="18"/>
                <w:szCs w:val="18"/>
              </w:rPr>
              <w:t>1.05</w:t>
            </w:r>
          </w:p>
        </w:tc>
        <w:tc>
          <w:tcPr>
            <w:tcW w:w="1617" w:type="dxa"/>
            <w:noWrap w:val="0"/>
            <w:vAlign w:val="center"/>
          </w:tcPr>
          <w:p w14:paraId="2C34B8FD">
            <w:pPr>
              <w:jc w:val="center"/>
              <w:rPr>
                <w:rFonts w:hint="eastAsia" w:ascii="宋体" w:hAnsi="宋体"/>
                <w:sz w:val="18"/>
                <w:szCs w:val="18"/>
              </w:rPr>
            </w:pPr>
            <w:r>
              <w:rPr>
                <w:rFonts w:ascii="宋体" w:hAnsi="宋体"/>
                <w:sz w:val="18"/>
                <w:szCs w:val="18"/>
              </w:rPr>
              <w:t>32.2</w:t>
            </w:r>
            <w:r>
              <w:rPr>
                <w:rFonts w:hint="eastAsia" w:ascii="宋体" w:hAnsi="宋体"/>
                <w:sz w:val="18"/>
                <w:szCs w:val="18"/>
              </w:rPr>
              <w:t>1</w:t>
            </w:r>
          </w:p>
        </w:tc>
        <w:tc>
          <w:tcPr>
            <w:tcW w:w="801" w:type="dxa"/>
            <w:vMerge w:val="continue"/>
            <w:noWrap w:val="0"/>
            <w:vAlign w:val="center"/>
          </w:tcPr>
          <w:p w14:paraId="361C30B8">
            <w:pPr>
              <w:jc w:val="center"/>
              <w:rPr>
                <w:rFonts w:ascii="宋体" w:hAnsi="宋体"/>
                <w:sz w:val="18"/>
                <w:szCs w:val="18"/>
              </w:rPr>
            </w:pPr>
          </w:p>
        </w:tc>
      </w:tr>
      <w:tr w14:paraId="63DA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4362A4CF">
            <w:pPr>
              <w:jc w:val="center"/>
              <w:rPr>
                <w:rFonts w:ascii="宋体" w:hAnsi="宋体"/>
                <w:sz w:val="18"/>
                <w:szCs w:val="18"/>
              </w:rPr>
            </w:pPr>
            <w:r>
              <w:rPr>
                <w:rFonts w:ascii="宋体" w:hAnsi="宋体"/>
                <w:sz w:val="18"/>
                <w:szCs w:val="18"/>
              </w:rPr>
              <w:t>K9</w:t>
            </w:r>
          </w:p>
        </w:tc>
        <w:tc>
          <w:tcPr>
            <w:tcW w:w="623" w:type="dxa"/>
            <w:vMerge w:val="restart"/>
            <w:noWrap w:val="0"/>
            <w:vAlign w:val="center"/>
          </w:tcPr>
          <w:p w14:paraId="64F78E4F">
            <w:pPr>
              <w:jc w:val="center"/>
              <w:rPr>
                <w:rFonts w:ascii="宋体" w:hAnsi="宋体"/>
                <w:sz w:val="18"/>
                <w:szCs w:val="18"/>
              </w:rPr>
            </w:pPr>
            <w:r>
              <w:rPr>
                <w:rFonts w:ascii="宋体" w:hAnsi="宋体"/>
                <w:sz w:val="18"/>
                <w:szCs w:val="18"/>
              </w:rPr>
              <w:t>原煤</w:t>
            </w:r>
          </w:p>
        </w:tc>
        <w:tc>
          <w:tcPr>
            <w:tcW w:w="1260" w:type="dxa"/>
            <w:noWrap w:val="0"/>
            <w:vAlign w:val="center"/>
          </w:tcPr>
          <w:p w14:paraId="040E3352">
            <w:pPr>
              <w:jc w:val="center"/>
              <w:rPr>
                <w:rFonts w:ascii="宋体" w:hAnsi="宋体"/>
                <w:sz w:val="18"/>
                <w:szCs w:val="18"/>
              </w:rPr>
            </w:pPr>
            <w:r>
              <w:rPr>
                <w:rFonts w:ascii="宋体" w:hAnsi="宋体"/>
                <w:sz w:val="18"/>
                <w:szCs w:val="18"/>
              </w:rPr>
              <w:t>0.46～1.83</w:t>
            </w:r>
          </w:p>
        </w:tc>
        <w:tc>
          <w:tcPr>
            <w:tcW w:w="1357" w:type="dxa"/>
            <w:noWrap w:val="0"/>
            <w:vAlign w:val="center"/>
          </w:tcPr>
          <w:p w14:paraId="2DE971B8">
            <w:pPr>
              <w:jc w:val="center"/>
              <w:rPr>
                <w:rFonts w:ascii="宋体" w:hAnsi="宋体"/>
                <w:sz w:val="18"/>
                <w:szCs w:val="18"/>
              </w:rPr>
            </w:pPr>
            <w:r>
              <w:rPr>
                <w:rFonts w:ascii="宋体" w:hAnsi="宋体"/>
                <w:sz w:val="18"/>
                <w:szCs w:val="18"/>
              </w:rPr>
              <w:t>11.88～33.64</w:t>
            </w:r>
          </w:p>
        </w:tc>
        <w:tc>
          <w:tcPr>
            <w:tcW w:w="1357" w:type="dxa"/>
            <w:noWrap w:val="0"/>
            <w:vAlign w:val="center"/>
          </w:tcPr>
          <w:p w14:paraId="2CF71E70">
            <w:pPr>
              <w:jc w:val="center"/>
              <w:rPr>
                <w:rFonts w:ascii="宋体" w:hAnsi="宋体"/>
                <w:sz w:val="18"/>
                <w:szCs w:val="18"/>
              </w:rPr>
            </w:pPr>
            <w:r>
              <w:rPr>
                <w:rFonts w:ascii="宋体" w:hAnsi="宋体"/>
                <w:sz w:val="18"/>
                <w:szCs w:val="18"/>
              </w:rPr>
              <w:t>10.29～19.48</w:t>
            </w:r>
          </w:p>
        </w:tc>
        <w:tc>
          <w:tcPr>
            <w:tcW w:w="1258" w:type="dxa"/>
            <w:noWrap w:val="0"/>
            <w:vAlign w:val="center"/>
          </w:tcPr>
          <w:p w14:paraId="5045B816">
            <w:pPr>
              <w:jc w:val="center"/>
              <w:rPr>
                <w:rFonts w:ascii="宋体" w:hAnsi="宋体"/>
                <w:sz w:val="18"/>
                <w:szCs w:val="18"/>
              </w:rPr>
            </w:pPr>
            <w:r>
              <w:rPr>
                <w:rFonts w:ascii="宋体" w:hAnsi="宋体"/>
                <w:sz w:val="18"/>
                <w:szCs w:val="18"/>
              </w:rPr>
              <w:t>0.38～3.71</w:t>
            </w:r>
          </w:p>
        </w:tc>
        <w:tc>
          <w:tcPr>
            <w:tcW w:w="1617" w:type="dxa"/>
            <w:noWrap w:val="0"/>
            <w:vAlign w:val="center"/>
          </w:tcPr>
          <w:p w14:paraId="736F4800">
            <w:pPr>
              <w:jc w:val="center"/>
              <w:rPr>
                <w:rFonts w:ascii="宋体" w:hAnsi="宋体"/>
                <w:sz w:val="18"/>
                <w:szCs w:val="18"/>
              </w:rPr>
            </w:pPr>
            <w:r>
              <w:rPr>
                <w:rFonts w:ascii="宋体" w:hAnsi="宋体"/>
                <w:sz w:val="18"/>
                <w:szCs w:val="18"/>
              </w:rPr>
              <w:t>22.26～35.87</w:t>
            </w:r>
          </w:p>
        </w:tc>
        <w:tc>
          <w:tcPr>
            <w:tcW w:w="801" w:type="dxa"/>
            <w:vMerge w:val="restart"/>
            <w:noWrap w:val="0"/>
            <w:vAlign w:val="center"/>
          </w:tcPr>
          <w:p w14:paraId="51A8B83A">
            <w:pPr>
              <w:jc w:val="center"/>
              <w:rPr>
                <w:rFonts w:ascii="宋体" w:hAnsi="宋体"/>
                <w:sz w:val="18"/>
                <w:szCs w:val="18"/>
              </w:rPr>
            </w:pPr>
            <w:r>
              <w:rPr>
                <w:rFonts w:hint="eastAsia" w:ascii="宋体" w:hAnsi="宋体"/>
                <w:sz w:val="18"/>
                <w:szCs w:val="18"/>
              </w:rPr>
              <w:t>贫煤</w:t>
            </w:r>
          </w:p>
        </w:tc>
      </w:tr>
      <w:tr w14:paraId="615D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48C1E66">
            <w:pPr>
              <w:jc w:val="center"/>
              <w:rPr>
                <w:rFonts w:ascii="宋体" w:hAnsi="宋体"/>
                <w:sz w:val="18"/>
                <w:szCs w:val="18"/>
              </w:rPr>
            </w:pPr>
          </w:p>
        </w:tc>
        <w:tc>
          <w:tcPr>
            <w:tcW w:w="623" w:type="dxa"/>
            <w:vMerge w:val="continue"/>
            <w:noWrap w:val="0"/>
            <w:vAlign w:val="center"/>
          </w:tcPr>
          <w:p w14:paraId="7E057166">
            <w:pPr>
              <w:jc w:val="center"/>
              <w:rPr>
                <w:rFonts w:ascii="宋体" w:hAnsi="宋体"/>
                <w:sz w:val="18"/>
                <w:szCs w:val="18"/>
              </w:rPr>
            </w:pPr>
          </w:p>
        </w:tc>
        <w:tc>
          <w:tcPr>
            <w:tcW w:w="1260" w:type="dxa"/>
            <w:noWrap w:val="0"/>
            <w:vAlign w:val="center"/>
          </w:tcPr>
          <w:p w14:paraId="4C026FAD">
            <w:pPr>
              <w:jc w:val="center"/>
              <w:rPr>
                <w:rFonts w:ascii="宋体" w:hAnsi="宋体"/>
                <w:sz w:val="18"/>
                <w:szCs w:val="18"/>
              </w:rPr>
            </w:pPr>
            <w:r>
              <w:rPr>
                <w:rFonts w:ascii="宋体" w:hAnsi="宋体"/>
                <w:sz w:val="18"/>
                <w:szCs w:val="18"/>
              </w:rPr>
              <w:t>1.01</w:t>
            </w:r>
          </w:p>
        </w:tc>
        <w:tc>
          <w:tcPr>
            <w:tcW w:w="1357" w:type="dxa"/>
            <w:noWrap w:val="0"/>
            <w:vAlign w:val="center"/>
          </w:tcPr>
          <w:p w14:paraId="558120ED">
            <w:pPr>
              <w:jc w:val="center"/>
              <w:rPr>
                <w:rFonts w:ascii="宋体" w:hAnsi="宋体"/>
                <w:sz w:val="18"/>
                <w:szCs w:val="18"/>
              </w:rPr>
            </w:pPr>
            <w:r>
              <w:rPr>
                <w:rFonts w:ascii="宋体" w:hAnsi="宋体"/>
                <w:sz w:val="18"/>
                <w:szCs w:val="18"/>
              </w:rPr>
              <w:t>26.67</w:t>
            </w:r>
          </w:p>
        </w:tc>
        <w:tc>
          <w:tcPr>
            <w:tcW w:w="1357" w:type="dxa"/>
            <w:noWrap w:val="0"/>
            <w:vAlign w:val="center"/>
          </w:tcPr>
          <w:p w14:paraId="684971A7">
            <w:pPr>
              <w:jc w:val="center"/>
              <w:rPr>
                <w:rFonts w:ascii="宋体" w:hAnsi="宋体"/>
                <w:sz w:val="18"/>
                <w:szCs w:val="18"/>
              </w:rPr>
            </w:pPr>
            <w:r>
              <w:rPr>
                <w:rFonts w:ascii="宋体" w:hAnsi="宋体"/>
                <w:sz w:val="18"/>
                <w:szCs w:val="18"/>
              </w:rPr>
              <w:t>13.66</w:t>
            </w:r>
          </w:p>
        </w:tc>
        <w:tc>
          <w:tcPr>
            <w:tcW w:w="1258" w:type="dxa"/>
            <w:noWrap w:val="0"/>
            <w:vAlign w:val="center"/>
          </w:tcPr>
          <w:p w14:paraId="745449E5">
            <w:pPr>
              <w:jc w:val="center"/>
              <w:rPr>
                <w:rFonts w:ascii="宋体" w:hAnsi="宋体"/>
                <w:sz w:val="18"/>
                <w:szCs w:val="18"/>
              </w:rPr>
            </w:pPr>
            <w:r>
              <w:rPr>
                <w:rFonts w:ascii="宋体" w:hAnsi="宋体"/>
                <w:sz w:val="18"/>
                <w:szCs w:val="18"/>
              </w:rPr>
              <w:t>1.76</w:t>
            </w:r>
          </w:p>
        </w:tc>
        <w:tc>
          <w:tcPr>
            <w:tcW w:w="1617" w:type="dxa"/>
            <w:noWrap w:val="0"/>
            <w:vAlign w:val="center"/>
          </w:tcPr>
          <w:p w14:paraId="5B6421BD">
            <w:pPr>
              <w:jc w:val="center"/>
              <w:rPr>
                <w:rFonts w:ascii="宋体" w:hAnsi="宋体"/>
                <w:sz w:val="18"/>
                <w:szCs w:val="18"/>
              </w:rPr>
            </w:pPr>
            <w:r>
              <w:rPr>
                <w:rFonts w:ascii="宋体" w:hAnsi="宋体"/>
                <w:sz w:val="18"/>
                <w:szCs w:val="18"/>
              </w:rPr>
              <w:t>26.27</w:t>
            </w:r>
          </w:p>
        </w:tc>
        <w:tc>
          <w:tcPr>
            <w:tcW w:w="801" w:type="dxa"/>
            <w:vMerge w:val="continue"/>
            <w:noWrap w:val="0"/>
            <w:vAlign w:val="center"/>
          </w:tcPr>
          <w:p w14:paraId="0B68618E">
            <w:pPr>
              <w:jc w:val="center"/>
              <w:rPr>
                <w:rFonts w:ascii="宋体" w:hAnsi="宋体"/>
                <w:sz w:val="18"/>
                <w:szCs w:val="18"/>
              </w:rPr>
            </w:pPr>
          </w:p>
        </w:tc>
      </w:tr>
      <w:tr w14:paraId="4C57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089DEB9F">
            <w:pPr>
              <w:jc w:val="center"/>
              <w:rPr>
                <w:rFonts w:ascii="宋体" w:hAnsi="宋体"/>
                <w:sz w:val="18"/>
                <w:szCs w:val="18"/>
              </w:rPr>
            </w:pPr>
          </w:p>
        </w:tc>
        <w:tc>
          <w:tcPr>
            <w:tcW w:w="623" w:type="dxa"/>
            <w:vMerge w:val="restart"/>
            <w:noWrap w:val="0"/>
            <w:vAlign w:val="center"/>
          </w:tcPr>
          <w:p w14:paraId="130F45A1">
            <w:pPr>
              <w:jc w:val="center"/>
              <w:rPr>
                <w:rFonts w:ascii="宋体" w:hAnsi="宋体"/>
                <w:sz w:val="18"/>
                <w:szCs w:val="18"/>
              </w:rPr>
            </w:pPr>
            <w:r>
              <w:rPr>
                <w:rFonts w:ascii="宋体" w:hAnsi="宋体"/>
                <w:sz w:val="18"/>
                <w:szCs w:val="18"/>
              </w:rPr>
              <w:t>洗煤</w:t>
            </w:r>
          </w:p>
        </w:tc>
        <w:tc>
          <w:tcPr>
            <w:tcW w:w="1260" w:type="dxa"/>
            <w:noWrap w:val="0"/>
            <w:vAlign w:val="center"/>
          </w:tcPr>
          <w:p w14:paraId="6C7C926C">
            <w:pPr>
              <w:jc w:val="center"/>
              <w:rPr>
                <w:rFonts w:ascii="宋体" w:hAnsi="宋体"/>
                <w:sz w:val="18"/>
                <w:szCs w:val="18"/>
              </w:rPr>
            </w:pPr>
            <w:r>
              <w:rPr>
                <w:rFonts w:ascii="宋体" w:hAnsi="宋体"/>
                <w:sz w:val="18"/>
                <w:szCs w:val="18"/>
              </w:rPr>
              <w:t>0.34～1.57</w:t>
            </w:r>
          </w:p>
        </w:tc>
        <w:tc>
          <w:tcPr>
            <w:tcW w:w="1357" w:type="dxa"/>
            <w:noWrap w:val="0"/>
            <w:vAlign w:val="center"/>
          </w:tcPr>
          <w:p w14:paraId="314F8878">
            <w:pPr>
              <w:jc w:val="center"/>
              <w:rPr>
                <w:rFonts w:ascii="宋体" w:hAnsi="宋体"/>
                <w:sz w:val="18"/>
                <w:szCs w:val="18"/>
              </w:rPr>
            </w:pPr>
            <w:r>
              <w:rPr>
                <w:rFonts w:ascii="宋体" w:hAnsi="宋体"/>
                <w:sz w:val="18"/>
                <w:szCs w:val="18"/>
              </w:rPr>
              <w:t>5.95～17.48</w:t>
            </w:r>
          </w:p>
        </w:tc>
        <w:tc>
          <w:tcPr>
            <w:tcW w:w="1357" w:type="dxa"/>
            <w:noWrap w:val="0"/>
            <w:vAlign w:val="center"/>
          </w:tcPr>
          <w:p w14:paraId="5E9CBA11">
            <w:pPr>
              <w:jc w:val="center"/>
              <w:rPr>
                <w:rFonts w:ascii="宋体" w:hAnsi="宋体"/>
                <w:sz w:val="18"/>
                <w:szCs w:val="18"/>
              </w:rPr>
            </w:pPr>
            <w:r>
              <w:rPr>
                <w:rFonts w:ascii="宋体" w:hAnsi="宋体"/>
                <w:sz w:val="18"/>
                <w:szCs w:val="18"/>
              </w:rPr>
              <w:t>10.87～14.19</w:t>
            </w:r>
          </w:p>
        </w:tc>
        <w:tc>
          <w:tcPr>
            <w:tcW w:w="1258" w:type="dxa"/>
            <w:noWrap w:val="0"/>
            <w:vAlign w:val="center"/>
          </w:tcPr>
          <w:p w14:paraId="46B13A32">
            <w:pPr>
              <w:jc w:val="center"/>
              <w:rPr>
                <w:rFonts w:ascii="宋体" w:hAnsi="宋体"/>
                <w:sz w:val="18"/>
                <w:szCs w:val="18"/>
              </w:rPr>
            </w:pPr>
            <w:r>
              <w:rPr>
                <w:rFonts w:ascii="宋体" w:hAnsi="宋体"/>
                <w:sz w:val="18"/>
                <w:szCs w:val="18"/>
              </w:rPr>
              <w:t>0.74～1.67</w:t>
            </w:r>
          </w:p>
        </w:tc>
        <w:tc>
          <w:tcPr>
            <w:tcW w:w="1617" w:type="dxa"/>
            <w:noWrap w:val="0"/>
            <w:vAlign w:val="center"/>
          </w:tcPr>
          <w:p w14:paraId="72616940">
            <w:pPr>
              <w:jc w:val="center"/>
              <w:rPr>
                <w:rFonts w:ascii="宋体" w:hAnsi="宋体"/>
                <w:sz w:val="18"/>
                <w:szCs w:val="18"/>
              </w:rPr>
            </w:pPr>
            <w:r>
              <w:rPr>
                <w:rFonts w:ascii="宋体" w:hAnsi="宋体"/>
                <w:sz w:val="18"/>
                <w:szCs w:val="18"/>
              </w:rPr>
              <w:t>31.22～33.36</w:t>
            </w:r>
          </w:p>
        </w:tc>
        <w:tc>
          <w:tcPr>
            <w:tcW w:w="801" w:type="dxa"/>
            <w:vMerge w:val="continue"/>
            <w:noWrap w:val="0"/>
            <w:vAlign w:val="center"/>
          </w:tcPr>
          <w:p w14:paraId="4DF9258A">
            <w:pPr>
              <w:jc w:val="center"/>
              <w:rPr>
                <w:rFonts w:ascii="宋体" w:hAnsi="宋体"/>
                <w:sz w:val="18"/>
                <w:szCs w:val="18"/>
              </w:rPr>
            </w:pPr>
          </w:p>
        </w:tc>
      </w:tr>
      <w:tr w14:paraId="67F3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6F5816CB">
            <w:pPr>
              <w:jc w:val="center"/>
              <w:rPr>
                <w:rFonts w:ascii="宋体" w:hAnsi="宋体"/>
                <w:sz w:val="18"/>
                <w:szCs w:val="18"/>
              </w:rPr>
            </w:pPr>
          </w:p>
        </w:tc>
        <w:tc>
          <w:tcPr>
            <w:tcW w:w="623" w:type="dxa"/>
            <w:vMerge w:val="continue"/>
            <w:noWrap w:val="0"/>
            <w:vAlign w:val="center"/>
          </w:tcPr>
          <w:p w14:paraId="38F1223C">
            <w:pPr>
              <w:jc w:val="center"/>
              <w:rPr>
                <w:rFonts w:ascii="宋体" w:hAnsi="宋体"/>
                <w:sz w:val="18"/>
                <w:szCs w:val="18"/>
              </w:rPr>
            </w:pPr>
          </w:p>
        </w:tc>
        <w:tc>
          <w:tcPr>
            <w:tcW w:w="1260" w:type="dxa"/>
            <w:noWrap w:val="0"/>
            <w:vAlign w:val="center"/>
          </w:tcPr>
          <w:p w14:paraId="722108D0">
            <w:pPr>
              <w:jc w:val="center"/>
              <w:rPr>
                <w:rFonts w:ascii="宋体" w:hAnsi="宋体"/>
                <w:sz w:val="18"/>
                <w:szCs w:val="18"/>
              </w:rPr>
            </w:pPr>
            <w:r>
              <w:rPr>
                <w:rFonts w:ascii="宋体" w:hAnsi="宋体"/>
                <w:sz w:val="18"/>
                <w:szCs w:val="18"/>
              </w:rPr>
              <w:t>1.03</w:t>
            </w:r>
          </w:p>
        </w:tc>
        <w:tc>
          <w:tcPr>
            <w:tcW w:w="1357" w:type="dxa"/>
            <w:noWrap w:val="0"/>
            <w:vAlign w:val="center"/>
          </w:tcPr>
          <w:p w14:paraId="333418B5">
            <w:pPr>
              <w:jc w:val="center"/>
              <w:rPr>
                <w:rFonts w:ascii="宋体" w:hAnsi="宋体"/>
                <w:sz w:val="18"/>
                <w:szCs w:val="18"/>
              </w:rPr>
            </w:pPr>
            <w:r>
              <w:rPr>
                <w:rFonts w:ascii="宋体" w:hAnsi="宋体"/>
                <w:sz w:val="18"/>
                <w:szCs w:val="18"/>
              </w:rPr>
              <w:t>10.58</w:t>
            </w:r>
          </w:p>
        </w:tc>
        <w:tc>
          <w:tcPr>
            <w:tcW w:w="1357" w:type="dxa"/>
            <w:noWrap w:val="0"/>
            <w:vAlign w:val="center"/>
          </w:tcPr>
          <w:p w14:paraId="5EE70CEA">
            <w:pPr>
              <w:jc w:val="center"/>
              <w:rPr>
                <w:rFonts w:ascii="宋体" w:hAnsi="宋体"/>
                <w:sz w:val="18"/>
                <w:szCs w:val="18"/>
              </w:rPr>
            </w:pPr>
            <w:r>
              <w:rPr>
                <w:rFonts w:ascii="宋体" w:hAnsi="宋体"/>
                <w:sz w:val="18"/>
                <w:szCs w:val="18"/>
              </w:rPr>
              <w:t>12.55</w:t>
            </w:r>
          </w:p>
        </w:tc>
        <w:tc>
          <w:tcPr>
            <w:tcW w:w="1258" w:type="dxa"/>
            <w:noWrap w:val="0"/>
            <w:vAlign w:val="center"/>
          </w:tcPr>
          <w:p w14:paraId="58404300">
            <w:pPr>
              <w:jc w:val="center"/>
              <w:rPr>
                <w:rFonts w:ascii="宋体" w:hAnsi="宋体"/>
                <w:sz w:val="18"/>
                <w:szCs w:val="18"/>
              </w:rPr>
            </w:pPr>
            <w:r>
              <w:rPr>
                <w:rFonts w:ascii="宋体" w:hAnsi="宋体"/>
                <w:sz w:val="18"/>
                <w:szCs w:val="18"/>
              </w:rPr>
              <w:t>1.18</w:t>
            </w:r>
          </w:p>
        </w:tc>
        <w:tc>
          <w:tcPr>
            <w:tcW w:w="1617" w:type="dxa"/>
            <w:noWrap w:val="0"/>
            <w:vAlign w:val="center"/>
          </w:tcPr>
          <w:p w14:paraId="1BE06584">
            <w:pPr>
              <w:jc w:val="center"/>
              <w:rPr>
                <w:rFonts w:ascii="宋体" w:hAnsi="宋体"/>
                <w:sz w:val="18"/>
                <w:szCs w:val="18"/>
              </w:rPr>
            </w:pPr>
            <w:r>
              <w:rPr>
                <w:rFonts w:ascii="宋体" w:hAnsi="宋体"/>
                <w:sz w:val="18"/>
                <w:szCs w:val="18"/>
              </w:rPr>
              <w:t>32.46</w:t>
            </w:r>
          </w:p>
        </w:tc>
        <w:tc>
          <w:tcPr>
            <w:tcW w:w="801" w:type="dxa"/>
            <w:vMerge w:val="continue"/>
            <w:noWrap w:val="0"/>
            <w:vAlign w:val="center"/>
          </w:tcPr>
          <w:p w14:paraId="38C5191E">
            <w:pPr>
              <w:jc w:val="center"/>
              <w:rPr>
                <w:rFonts w:ascii="宋体" w:hAnsi="宋体"/>
                <w:sz w:val="18"/>
                <w:szCs w:val="18"/>
              </w:rPr>
            </w:pPr>
          </w:p>
        </w:tc>
      </w:tr>
      <w:tr w14:paraId="224E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09698BE9">
            <w:pPr>
              <w:jc w:val="center"/>
              <w:rPr>
                <w:rFonts w:ascii="宋体" w:hAnsi="宋体"/>
                <w:sz w:val="18"/>
                <w:szCs w:val="18"/>
              </w:rPr>
            </w:pPr>
            <w:r>
              <w:rPr>
                <w:rFonts w:ascii="宋体" w:hAnsi="宋体"/>
                <w:sz w:val="18"/>
                <w:szCs w:val="18"/>
              </w:rPr>
              <w:t>K10</w:t>
            </w:r>
          </w:p>
        </w:tc>
        <w:tc>
          <w:tcPr>
            <w:tcW w:w="623" w:type="dxa"/>
            <w:vMerge w:val="restart"/>
            <w:noWrap w:val="0"/>
            <w:vAlign w:val="center"/>
          </w:tcPr>
          <w:p w14:paraId="7ADF6A6C">
            <w:pPr>
              <w:jc w:val="center"/>
              <w:rPr>
                <w:rFonts w:ascii="宋体" w:hAnsi="宋体"/>
                <w:sz w:val="18"/>
                <w:szCs w:val="18"/>
              </w:rPr>
            </w:pPr>
            <w:r>
              <w:rPr>
                <w:rFonts w:ascii="宋体" w:hAnsi="宋体"/>
                <w:sz w:val="18"/>
                <w:szCs w:val="18"/>
              </w:rPr>
              <w:t>原煤</w:t>
            </w:r>
          </w:p>
        </w:tc>
        <w:tc>
          <w:tcPr>
            <w:tcW w:w="1260" w:type="dxa"/>
            <w:noWrap w:val="0"/>
            <w:vAlign w:val="center"/>
          </w:tcPr>
          <w:p w14:paraId="6AE5DD7B">
            <w:pPr>
              <w:jc w:val="center"/>
              <w:rPr>
                <w:rFonts w:ascii="宋体" w:hAnsi="宋体"/>
                <w:sz w:val="18"/>
                <w:szCs w:val="18"/>
              </w:rPr>
            </w:pPr>
            <w:r>
              <w:rPr>
                <w:rFonts w:ascii="宋体" w:hAnsi="宋体"/>
                <w:sz w:val="18"/>
                <w:szCs w:val="18"/>
              </w:rPr>
              <w:t>0.18～1.93</w:t>
            </w:r>
          </w:p>
        </w:tc>
        <w:tc>
          <w:tcPr>
            <w:tcW w:w="1357" w:type="dxa"/>
            <w:noWrap w:val="0"/>
            <w:vAlign w:val="center"/>
          </w:tcPr>
          <w:p w14:paraId="56D08651">
            <w:pPr>
              <w:jc w:val="center"/>
              <w:rPr>
                <w:rFonts w:ascii="宋体" w:hAnsi="宋体"/>
                <w:sz w:val="18"/>
                <w:szCs w:val="18"/>
              </w:rPr>
            </w:pPr>
            <w:r>
              <w:rPr>
                <w:rFonts w:ascii="宋体" w:hAnsi="宋体"/>
                <w:sz w:val="18"/>
                <w:szCs w:val="18"/>
              </w:rPr>
              <w:t>18.03～33.64</w:t>
            </w:r>
          </w:p>
        </w:tc>
        <w:tc>
          <w:tcPr>
            <w:tcW w:w="1357" w:type="dxa"/>
            <w:noWrap w:val="0"/>
            <w:vAlign w:val="center"/>
          </w:tcPr>
          <w:p w14:paraId="58489037">
            <w:pPr>
              <w:jc w:val="center"/>
              <w:rPr>
                <w:rFonts w:ascii="宋体" w:hAnsi="宋体"/>
                <w:sz w:val="18"/>
                <w:szCs w:val="18"/>
              </w:rPr>
            </w:pPr>
            <w:r>
              <w:rPr>
                <w:rFonts w:ascii="宋体" w:hAnsi="宋体"/>
                <w:sz w:val="18"/>
                <w:szCs w:val="18"/>
              </w:rPr>
              <w:t>10.67～16.45</w:t>
            </w:r>
          </w:p>
        </w:tc>
        <w:tc>
          <w:tcPr>
            <w:tcW w:w="1258" w:type="dxa"/>
            <w:noWrap w:val="0"/>
            <w:vAlign w:val="center"/>
          </w:tcPr>
          <w:p w14:paraId="66FACBD2">
            <w:pPr>
              <w:jc w:val="center"/>
              <w:rPr>
                <w:rFonts w:ascii="宋体" w:hAnsi="宋体"/>
                <w:sz w:val="18"/>
                <w:szCs w:val="18"/>
              </w:rPr>
            </w:pPr>
            <w:r>
              <w:rPr>
                <w:rFonts w:ascii="宋体" w:hAnsi="宋体"/>
                <w:sz w:val="18"/>
                <w:szCs w:val="18"/>
              </w:rPr>
              <w:t>0.15～4.93</w:t>
            </w:r>
          </w:p>
        </w:tc>
        <w:tc>
          <w:tcPr>
            <w:tcW w:w="1617" w:type="dxa"/>
            <w:noWrap w:val="0"/>
            <w:vAlign w:val="center"/>
          </w:tcPr>
          <w:p w14:paraId="5E8424E2">
            <w:pPr>
              <w:jc w:val="center"/>
              <w:rPr>
                <w:rFonts w:ascii="宋体" w:hAnsi="宋体"/>
                <w:sz w:val="18"/>
                <w:szCs w:val="18"/>
              </w:rPr>
            </w:pPr>
            <w:r>
              <w:rPr>
                <w:rFonts w:ascii="宋体" w:hAnsi="宋体"/>
                <w:sz w:val="18"/>
                <w:szCs w:val="18"/>
              </w:rPr>
              <w:t>22.75～29.26</w:t>
            </w:r>
          </w:p>
        </w:tc>
        <w:tc>
          <w:tcPr>
            <w:tcW w:w="801" w:type="dxa"/>
            <w:vMerge w:val="restart"/>
            <w:noWrap w:val="0"/>
            <w:vAlign w:val="center"/>
          </w:tcPr>
          <w:p w14:paraId="5F86982D">
            <w:pPr>
              <w:jc w:val="center"/>
              <w:rPr>
                <w:rFonts w:ascii="宋体" w:hAnsi="宋体"/>
                <w:sz w:val="18"/>
                <w:szCs w:val="18"/>
              </w:rPr>
            </w:pPr>
            <w:r>
              <w:rPr>
                <w:rFonts w:hint="eastAsia" w:ascii="宋体" w:hAnsi="宋体"/>
                <w:sz w:val="18"/>
                <w:szCs w:val="18"/>
              </w:rPr>
              <w:t>贫煤</w:t>
            </w:r>
          </w:p>
        </w:tc>
      </w:tr>
      <w:tr w14:paraId="005B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1814205E">
            <w:pPr>
              <w:jc w:val="center"/>
              <w:rPr>
                <w:rFonts w:ascii="宋体" w:hAnsi="宋体"/>
                <w:sz w:val="18"/>
                <w:szCs w:val="18"/>
              </w:rPr>
            </w:pPr>
          </w:p>
        </w:tc>
        <w:tc>
          <w:tcPr>
            <w:tcW w:w="623" w:type="dxa"/>
            <w:vMerge w:val="continue"/>
            <w:noWrap w:val="0"/>
            <w:vAlign w:val="center"/>
          </w:tcPr>
          <w:p w14:paraId="1B6AC06E">
            <w:pPr>
              <w:jc w:val="center"/>
              <w:rPr>
                <w:rFonts w:ascii="宋体" w:hAnsi="宋体"/>
                <w:sz w:val="18"/>
                <w:szCs w:val="18"/>
              </w:rPr>
            </w:pPr>
          </w:p>
        </w:tc>
        <w:tc>
          <w:tcPr>
            <w:tcW w:w="1260" w:type="dxa"/>
            <w:noWrap w:val="0"/>
            <w:vAlign w:val="center"/>
          </w:tcPr>
          <w:p w14:paraId="5D3D89B3">
            <w:pPr>
              <w:jc w:val="center"/>
              <w:rPr>
                <w:rFonts w:ascii="宋体" w:hAnsi="宋体"/>
                <w:sz w:val="18"/>
                <w:szCs w:val="18"/>
              </w:rPr>
            </w:pPr>
            <w:r>
              <w:rPr>
                <w:rFonts w:ascii="宋体" w:hAnsi="宋体"/>
                <w:sz w:val="18"/>
                <w:szCs w:val="18"/>
              </w:rPr>
              <w:t>1.10</w:t>
            </w:r>
          </w:p>
        </w:tc>
        <w:tc>
          <w:tcPr>
            <w:tcW w:w="1357" w:type="dxa"/>
            <w:noWrap w:val="0"/>
            <w:vAlign w:val="center"/>
          </w:tcPr>
          <w:p w14:paraId="6DF4FAA9">
            <w:pPr>
              <w:jc w:val="center"/>
              <w:rPr>
                <w:rFonts w:ascii="宋体" w:hAnsi="宋体"/>
                <w:sz w:val="18"/>
                <w:szCs w:val="18"/>
              </w:rPr>
            </w:pPr>
            <w:r>
              <w:rPr>
                <w:rFonts w:ascii="宋体" w:hAnsi="宋体"/>
                <w:sz w:val="18"/>
                <w:szCs w:val="18"/>
              </w:rPr>
              <w:t>23.73</w:t>
            </w:r>
          </w:p>
        </w:tc>
        <w:tc>
          <w:tcPr>
            <w:tcW w:w="1357" w:type="dxa"/>
            <w:noWrap w:val="0"/>
            <w:vAlign w:val="center"/>
          </w:tcPr>
          <w:p w14:paraId="7336B2AF">
            <w:pPr>
              <w:jc w:val="center"/>
              <w:rPr>
                <w:rFonts w:ascii="宋体" w:hAnsi="宋体"/>
                <w:sz w:val="18"/>
                <w:szCs w:val="18"/>
              </w:rPr>
            </w:pPr>
            <w:r>
              <w:rPr>
                <w:rFonts w:ascii="宋体" w:hAnsi="宋体"/>
                <w:sz w:val="18"/>
                <w:szCs w:val="18"/>
              </w:rPr>
              <w:t>13.65</w:t>
            </w:r>
          </w:p>
        </w:tc>
        <w:tc>
          <w:tcPr>
            <w:tcW w:w="1258" w:type="dxa"/>
            <w:noWrap w:val="0"/>
            <w:vAlign w:val="center"/>
          </w:tcPr>
          <w:p w14:paraId="2898126C">
            <w:pPr>
              <w:jc w:val="center"/>
              <w:rPr>
                <w:rFonts w:ascii="宋体" w:hAnsi="宋体"/>
                <w:sz w:val="18"/>
                <w:szCs w:val="18"/>
              </w:rPr>
            </w:pPr>
            <w:r>
              <w:rPr>
                <w:rFonts w:ascii="宋体" w:hAnsi="宋体"/>
                <w:sz w:val="18"/>
                <w:szCs w:val="18"/>
              </w:rPr>
              <w:t>2.81</w:t>
            </w:r>
          </w:p>
        </w:tc>
        <w:tc>
          <w:tcPr>
            <w:tcW w:w="1617" w:type="dxa"/>
            <w:noWrap w:val="0"/>
            <w:vAlign w:val="center"/>
          </w:tcPr>
          <w:p w14:paraId="4639139D">
            <w:pPr>
              <w:jc w:val="center"/>
              <w:rPr>
                <w:rFonts w:ascii="宋体" w:hAnsi="宋体"/>
                <w:sz w:val="18"/>
                <w:szCs w:val="18"/>
              </w:rPr>
            </w:pPr>
            <w:r>
              <w:rPr>
                <w:rFonts w:ascii="宋体" w:hAnsi="宋体"/>
                <w:sz w:val="18"/>
                <w:szCs w:val="18"/>
              </w:rPr>
              <w:t>26.67</w:t>
            </w:r>
          </w:p>
        </w:tc>
        <w:tc>
          <w:tcPr>
            <w:tcW w:w="801" w:type="dxa"/>
            <w:vMerge w:val="continue"/>
            <w:noWrap w:val="0"/>
            <w:vAlign w:val="center"/>
          </w:tcPr>
          <w:p w14:paraId="3069B178">
            <w:pPr>
              <w:jc w:val="center"/>
              <w:rPr>
                <w:rFonts w:ascii="宋体" w:hAnsi="宋体"/>
                <w:sz w:val="18"/>
                <w:szCs w:val="18"/>
              </w:rPr>
            </w:pPr>
          </w:p>
        </w:tc>
      </w:tr>
      <w:tr w14:paraId="664C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59DEFF3B">
            <w:pPr>
              <w:jc w:val="center"/>
              <w:rPr>
                <w:rFonts w:ascii="宋体" w:hAnsi="宋体"/>
                <w:sz w:val="18"/>
                <w:szCs w:val="18"/>
              </w:rPr>
            </w:pPr>
          </w:p>
        </w:tc>
        <w:tc>
          <w:tcPr>
            <w:tcW w:w="623" w:type="dxa"/>
            <w:vMerge w:val="restart"/>
            <w:noWrap w:val="0"/>
            <w:vAlign w:val="center"/>
          </w:tcPr>
          <w:p w14:paraId="42745423">
            <w:pPr>
              <w:jc w:val="center"/>
              <w:rPr>
                <w:rFonts w:ascii="宋体" w:hAnsi="宋体"/>
                <w:sz w:val="18"/>
                <w:szCs w:val="18"/>
              </w:rPr>
            </w:pPr>
            <w:r>
              <w:rPr>
                <w:rFonts w:ascii="宋体" w:hAnsi="宋体"/>
                <w:sz w:val="18"/>
                <w:szCs w:val="18"/>
              </w:rPr>
              <w:t>洗煤</w:t>
            </w:r>
          </w:p>
        </w:tc>
        <w:tc>
          <w:tcPr>
            <w:tcW w:w="1260" w:type="dxa"/>
            <w:noWrap w:val="0"/>
            <w:vAlign w:val="center"/>
          </w:tcPr>
          <w:p w14:paraId="5831A009">
            <w:pPr>
              <w:jc w:val="center"/>
              <w:rPr>
                <w:rFonts w:ascii="宋体" w:hAnsi="宋体"/>
                <w:sz w:val="18"/>
                <w:szCs w:val="18"/>
              </w:rPr>
            </w:pPr>
            <w:r>
              <w:rPr>
                <w:rFonts w:ascii="宋体" w:hAnsi="宋体"/>
                <w:sz w:val="18"/>
                <w:szCs w:val="18"/>
              </w:rPr>
              <w:t>0.27～1.89</w:t>
            </w:r>
          </w:p>
        </w:tc>
        <w:tc>
          <w:tcPr>
            <w:tcW w:w="1357" w:type="dxa"/>
            <w:noWrap w:val="0"/>
            <w:vAlign w:val="center"/>
          </w:tcPr>
          <w:p w14:paraId="6EDACE03">
            <w:pPr>
              <w:jc w:val="center"/>
              <w:rPr>
                <w:rFonts w:ascii="宋体" w:hAnsi="宋体"/>
                <w:sz w:val="18"/>
                <w:szCs w:val="18"/>
              </w:rPr>
            </w:pPr>
            <w:r>
              <w:rPr>
                <w:rFonts w:ascii="宋体" w:hAnsi="宋体"/>
                <w:sz w:val="18"/>
                <w:szCs w:val="18"/>
              </w:rPr>
              <w:t>5.99～15.21</w:t>
            </w:r>
          </w:p>
        </w:tc>
        <w:tc>
          <w:tcPr>
            <w:tcW w:w="1357" w:type="dxa"/>
            <w:noWrap w:val="0"/>
            <w:vAlign w:val="center"/>
          </w:tcPr>
          <w:p w14:paraId="377C5699">
            <w:pPr>
              <w:jc w:val="center"/>
              <w:rPr>
                <w:rFonts w:ascii="宋体" w:hAnsi="宋体"/>
                <w:sz w:val="18"/>
                <w:szCs w:val="18"/>
              </w:rPr>
            </w:pPr>
            <w:r>
              <w:rPr>
                <w:rFonts w:ascii="宋体" w:hAnsi="宋体"/>
                <w:sz w:val="18"/>
                <w:szCs w:val="18"/>
              </w:rPr>
              <w:t>10.49～13.47</w:t>
            </w:r>
          </w:p>
        </w:tc>
        <w:tc>
          <w:tcPr>
            <w:tcW w:w="1258" w:type="dxa"/>
            <w:noWrap w:val="0"/>
            <w:vAlign w:val="center"/>
          </w:tcPr>
          <w:p w14:paraId="61F6D9B6">
            <w:pPr>
              <w:jc w:val="center"/>
              <w:rPr>
                <w:rFonts w:ascii="宋体" w:hAnsi="宋体"/>
                <w:sz w:val="18"/>
                <w:szCs w:val="18"/>
              </w:rPr>
            </w:pPr>
            <w:r>
              <w:rPr>
                <w:rFonts w:ascii="宋体" w:hAnsi="宋体"/>
                <w:sz w:val="18"/>
                <w:szCs w:val="18"/>
              </w:rPr>
              <w:t>0.54～6.88</w:t>
            </w:r>
          </w:p>
        </w:tc>
        <w:tc>
          <w:tcPr>
            <w:tcW w:w="1617" w:type="dxa"/>
            <w:noWrap w:val="0"/>
            <w:vAlign w:val="center"/>
          </w:tcPr>
          <w:p w14:paraId="5E858BBE">
            <w:pPr>
              <w:jc w:val="center"/>
              <w:rPr>
                <w:rFonts w:ascii="宋体" w:hAnsi="宋体"/>
                <w:sz w:val="18"/>
                <w:szCs w:val="18"/>
              </w:rPr>
            </w:pPr>
            <w:r>
              <w:rPr>
                <w:rFonts w:ascii="宋体" w:hAnsi="宋体"/>
                <w:sz w:val="18"/>
                <w:szCs w:val="18"/>
              </w:rPr>
              <w:t>30.52～33.82</w:t>
            </w:r>
          </w:p>
        </w:tc>
        <w:tc>
          <w:tcPr>
            <w:tcW w:w="801" w:type="dxa"/>
            <w:vMerge w:val="continue"/>
            <w:noWrap w:val="0"/>
            <w:vAlign w:val="center"/>
          </w:tcPr>
          <w:p w14:paraId="07B3CF7D">
            <w:pPr>
              <w:jc w:val="center"/>
              <w:rPr>
                <w:rFonts w:hint="eastAsia" w:ascii="宋体" w:hAnsi="宋体"/>
                <w:sz w:val="18"/>
                <w:szCs w:val="18"/>
              </w:rPr>
            </w:pPr>
          </w:p>
        </w:tc>
      </w:tr>
      <w:tr w14:paraId="39A0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10670A83">
            <w:pPr>
              <w:jc w:val="center"/>
              <w:rPr>
                <w:rFonts w:ascii="宋体" w:hAnsi="宋体"/>
                <w:sz w:val="18"/>
                <w:szCs w:val="18"/>
              </w:rPr>
            </w:pPr>
          </w:p>
        </w:tc>
        <w:tc>
          <w:tcPr>
            <w:tcW w:w="623" w:type="dxa"/>
            <w:vMerge w:val="continue"/>
            <w:noWrap w:val="0"/>
            <w:vAlign w:val="center"/>
          </w:tcPr>
          <w:p w14:paraId="1845ADF4">
            <w:pPr>
              <w:jc w:val="center"/>
              <w:rPr>
                <w:rFonts w:ascii="宋体" w:hAnsi="宋体"/>
                <w:sz w:val="18"/>
                <w:szCs w:val="18"/>
              </w:rPr>
            </w:pPr>
          </w:p>
        </w:tc>
        <w:tc>
          <w:tcPr>
            <w:tcW w:w="1260" w:type="dxa"/>
            <w:noWrap w:val="0"/>
            <w:vAlign w:val="center"/>
          </w:tcPr>
          <w:p w14:paraId="7AA046C2">
            <w:pPr>
              <w:jc w:val="center"/>
              <w:rPr>
                <w:rFonts w:ascii="宋体" w:hAnsi="宋体"/>
                <w:sz w:val="18"/>
                <w:szCs w:val="18"/>
              </w:rPr>
            </w:pPr>
            <w:r>
              <w:rPr>
                <w:rFonts w:ascii="宋体" w:hAnsi="宋体"/>
                <w:sz w:val="18"/>
                <w:szCs w:val="18"/>
              </w:rPr>
              <w:t>1.02</w:t>
            </w:r>
          </w:p>
        </w:tc>
        <w:tc>
          <w:tcPr>
            <w:tcW w:w="1357" w:type="dxa"/>
            <w:noWrap w:val="0"/>
            <w:vAlign w:val="center"/>
          </w:tcPr>
          <w:p w14:paraId="5BE71804">
            <w:pPr>
              <w:jc w:val="center"/>
              <w:rPr>
                <w:rFonts w:ascii="宋体" w:hAnsi="宋体"/>
                <w:sz w:val="18"/>
                <w:szCs w:val="18"/>
              </w:rPr>
            </w:pPr>
            <w:r>
              <w:rPr>
                <w:rFonts w:ascii="宋体" w:hAnsi="宋体"/>
                <w:sz w:val="18"/>
                <w:szCs w:val="18"/>
              </w:rPr>
              <w:t>9.03</w:t>
            </w:r>
          </w:p>
        </w:tc>
        <w:tc>
          <w:tcPr>
            <w:tcW w:w="1357" w:type="dxa"/>
            <w:noWrap w:val="0"/>
            <w:vAlign w:val="center"/>
          </w:tcPr>
          <w:p w14:paraId="2667AE8D">
            <w:pPr>
              <w:jc w:val="center"/>
              <w:rPr>
                <w:rFonts w:ascii="宋体" w:hAnsi="宋体"/>
                <w:sz w:val="18"/>
                <w:szCs w:val="18"/>
              </w:rPr>
            </w:pPr>
            <w:r>
              <w:rPr>
                <w:rFonts w:ascii="宋体" w:hAnsi="宋体"/>
                <w:sz w:val="18"/>
                <w:szCs w:val="18"/>
              </w:rPr>
              <w:t>12.31</w:t>
            </w:r>
          </w:p>
        </w:tc>
        <w:tc>
          <w:tcPr>
            <w:tcW w:w="1258" w:type="dxa"/>
            <w:noWrap w:val="0"/>
            <w:vAlign w:val="center"/>
          </w:tcPr>
          <w:p w14:paraId="1DB08CB5">
            <w:pPr>
              <w:jc w:val="center"/>
              <w:rPr>
                <w:rFonts w:ascii="宋体" w:hAnsi="宋体"/>
                <w:sz w:val="18"/>
                <w:szCs w:val="18"/>
              </w:rPr>
            </w:pPr>
            <w:r>
              <w:rPr>
                <w:rFonts w:ascii="宋体" w:hAnsi="宋体"/>
                <w:sz w:val="18"/>
                <w:szCs w:val="18"/>
              </w:rPr>
              <w:t>1.13</w:t>
            </w:r>
          </w:p>
        </w:tc>
        <w:tc>
          <w:tcPr>
            <w:tcW w:w="1617" w:type="dxa"/>
            <w:noWrap w:val="0"/>
            <w:vAlign w:val="center"/>
          </w:tcPr>
          <w:p w14:paraId="4AE96661">
            <w:pPr>
              <w:jc w:val="center"/>
              <w:rPr>
                <w:rFonts w:ascii="宋体" w:hAnsi="宋体"/>
                <w:sz w:val="18"/>
                <w:szCs w:val="18"/>
              </w:rPr>
            </w:pPr>
            <w:r>
              <w:rPr>
                <w:rFonts w:ascii="宋体" w:hAnsi="宋体"/>
                <w:sz w:val="18"/>
                <w:szCs w:val="18"/>
              </w:rPr>
              <w:t>32.25</w:t>
            </w:r>
          </w:p>
        </w:tc>
        <w:tc>
          <w:tcPr>
            <w:tcW w:w="801" w:type="dxa"/>
            <w:vMerge w:val="continue"/>
            <w:noWrap w:val="0"/>
            <w:vAlign w:val="center"/>
          </w:tcPr>
          <w:p w14:paraId="7FD6634D">
            <w:pPr>
              <w:jc w:val="center"/>
              <w:rPr>
                <w:rFonts w:ascii="宋体" w:hAnsi="宋体"/>
                <w:sz w:val="18"/>
                <w:szCs w:val="18"/>
              </w:rPr>
            </w:pPr>
          </w:p>
        </w:tc>
      </w:tr>
      <w:tr w14:paraId="0DFF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70FD09CD">
            <w:pPr>
              <w:jc w:val="center"/>
              <w:rPr>
                <w:rFonts w:ascii="宋体" w:hAnsi="宋体"/>
                <w:sz w:val="18"/>
                <w:szCs w:val="18"/>
              </w:rPr>
            </w:pPr>
            <w:r>
              <w:rPr>
                <w:rFonts w:ascii="宋体" w:hAnsi="宋体"/>
                <w:sz w:val="18"/>
                <w:szCs w:val="18"/>
              </w:rPr>
              <w:t>K13</w:t>
            </w:r>
          </w:p>
        </w:tc>
        <w:tc>
          <w:tcPr>
            <w:tcW w:w="623" w:type="dxa"/>
            <w:vMerge w:val="restart"/>
            <w:noWrap w:val="0"/>
            <w:vAlign w:val="center"/>
          </w:tcPr>
          <w:p w14:paraId="7280FD62">
            <w:pPr>
              <w:jc w:val="center"/>
              <w:rPr>
                <w:rFonts w:ascii="宋体" w:hAnsi="宋体"/>
                <w:sz w:val="18"/>
                <w:szCs w:val="18"/>
              </w:rPr>
            </w:pPr>
            <w:r>
              <w:rPr>
                <w:rFonts w:ascii="宋体" w:hAnsi="宋体"/>
                <w:sz w:val="18"/>
                <w:szCs w:val="18"/>
              </w:rPr>
              <w:t>原煤</w:t>
            </w:r>
          </w:p>
        </w:tc>
        <w:tc>
          <w:tcPr>
            <w:tcW w:w="1260" w:type="dxa"/>
            <w:noWrap w:val="0"/>
            <w:vAlign w:val="center"/>
          </w:tcPr>
          <w:p w14:paraId="49EB2507">
            <w:pPr>
              <w:jc w:val="center"/>
              <w:rPr>
                <w:rFonts w:ascii="宋体" w:hAnsi="宋体"/>
                <w:sz w:val="18"/>
                <w:szCs w:val="18"/>
              </w:rPr>
            </w:pPr>
            <w:r>
              <w:rPr>
                <w:rFonts w:ascii="宋体" w:hAnsi="宋体"/>
                <w:sz w:val="18"/>
                <w:szCs w:val="18"/>
              </w:rPr>
              <w:t>0.53～1.45</w:t>
            </w:r>
          </w:p>
        </w:tc>
        <w:tc>
          <w:tcPr>
            <w:tcW w:w="1357" w:type="dxa"/>
            <w:noWrap w:val="0"/>
            <w:vAlign w:val="center"/>
          </w:tcPr>
          <w:p w14:paraId="28196B27">
            <w:pPr>
              <w:jc w:val="center"/>
              <w:rPr>
                <w:rFonts w:ascii="宋体" w:hAnsi="宋体"/>
                <w:sz w:val="18"/>
                <w:szCs w:val="18"/>
              </w:rPr>
            </w:pPr>
            <w:r>
              <w:rPr>
                <w:rFonts w:ascii="宋体" w:hAnsi="宋体"/>
                <w:sz w:val="18"/>
                <w:szCs w:val="18"/>
              </w:rPr>
              <w:t>7.48～28.87</w:t>
            </w:r>
          </w:p>
        </w:tc>
        <w:tc>
          <w:tcPr>
            <w:tcW w:w="1357" w:type="dxa"/>
            <w:noWrap w:val="0"/>
            <w:vAlign w:val="center"/>
          </w:tcPr>
          <w:p w14:paraId="13D11ADE">
            <w:pPr>
              <w:jc w:val="center"/>
              <w:rPr>
                <w:rFonts w:ascii="宋体" w:hAnsi="宋体"/>
                <w:sz w:val="18"/>
                <w:szCs w:val="18"/>
              </w:rPr>
            </w:pPr>
            <w:r>
              <w:rPr>
                <w:rFonts w:ascii="宋体" w:hAnsi="宋体"/>
                <w:sz w:val="18"/>
                <w:szCs w:val="18"/>
              </w:rPr>
              <w:t>11.01～15.25</w:t>
            </w:r>
          </w:p>
        </w:tc>
        <w:tc>
          <w:tcPr>
            <w:tcW w:w="1258" w:type="dxa"/>
            <w:noWrap w:val="0"/>
            <w:vAlign w:val="center"/>
          </w:tcPr>
          <w:p w14:paraId="29CF5301">
            <w:pPr>
              <w:jc w:val="center"/>
              <w:rPr>
                <w:rFonts w:ascii="宋体" w:hAnsi="宋体"/>
                <w:sz w:val="18"/>
                <w:szCs w:val="18"/>
              </w:rPr>
            </w:pPr>
            <w:r>
              <w:rPr>
                <w:rFonts w:ascii="宋体" w:hAnsi="宋体"/>
                <w:sz w:val="18"/>
                <w:szCs w:val="18"/>
              </w:rPr>
              <w:t>0.37～4.93</w:t>
            </w:r>
          </w:p>
        </w:tc>
        <w:tc>
          <w:tcPr>
            <w:tcW w:w="1617" w:type="dxa"/>
            <w:noWrap w:val="0"/>
            <w:vAlign w:val="center"/>
          </w:tcPr>
          <w:p w14:paraId="1C0D7AFE">
            <w:pPr>
              <w:jc w:val="center"/>
              <w:rPr>
                <w:rFonts w:ascii="宋体" w:hAnsi="宋体"/>
                <w:sz w:val="18"/>
                <w:szCs w:val="18"/>
              </w:rPr>
            </w:pPr>
            <w:r>
              <w:rPr>
                <w:rFonts w:ascii="宋体" w:hAnsi="宋体"/>
                <w:sz w:val="18"/>
                <w:szCs w:val="18"/>
              </w:rPr>
              <w:t>25.33～33.56</w:t>
            </w:r>
          </w:p>
        </w:tc>
        <w:tc>
          <w:tcPr>
            <w:tcW w:w="801" w:type="dxa"/>
            <w:vMerge w:val="restart"/>
            <w:noWrap w:val="0"/>
            <w:vAlign w:val="center"/>
          </w:tcPr>
          <w:p w14:paraId="264E3B09">
            <w:pPr>
              <w:jc w:val="center"/>
              <w:rPr>
                <w:rFonts w:ascii="宋体" w:hAnsi="宋体"/>
                <w:sz w:val="18"/>
                <w:szCs w:val="18"/>
              </w:rPr>
            </w:pPr>
            <w:r>
              <w:rPr>
                <w:rFonts w:hint="eastAsia" w:ascii="宋体" w:hAnsi="宋体"/>
                <w:sz w:val="18"/>
                <w:szCs w:val="18"/>
              </w:rPr>
              <w:t>贫煤</w:t>
            </w:r>
          </w:p>
        </w:tc>
      </w:tr>
      <w:tr w14:paraId="7096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58CBC7D7">
            <w:pPr>
              <w:jc w:val="center"/>
              <w:rPr>
                <w:rFonts w:ascii="宋体" w:hAnsi="宋体"/>
                <w:sz w:val="18"/>
                <w:szCs w:val="18"/>
              </w:rPr>
            </w:pPr>
          </w:p>
        </w:tc>
        <w:tc>
          <w:tcPr>
            <w:tcW w:w="623" w:type="dxa"/>
            <w:vMerge w:val="continue"/>
            <w:noWrap w:val="0"/>
            <w:vAlign w:val="center"/>
          </w:tcPr>
          <w:p w14:paraId="3B386692">
            <w:pPr>
              <w:jc w:val="center"/>
              <w:rPr>
                <w:rFonts w:ascii="宋体" w:hAnsi="宋体"/>
                <w:sz w:val="18"/>
                <w:szCs w:val="18"/>
              </w:rPr>
            </w:pPr>
          </w:p>
        </w:tc>
        <w:tc>
          <w:tcPr>
            <w:tcW w:w="1260" w:type="dxa"/>
            <w:noWrap w:val="0"/>
            <w:vAlign w:val="center"/>
          </w:tcPr>
          <w:p w14:paraId="56B33752">
            <w:pPr>
              <w:jc w:val="center"/>
              <w:rPr>
                <w:rFonts w:ascii="宋体" w:hAnsi="宋体"/>
                <w:sz w:val="18"/>
                <w:szCs w:val="18"/>
              </w:rPr>
            </w:pPr>
            <w:r>
              <w:rPr>
                <w:rFonts w:ascii="宋体" w:hAnsi="宋体"/>
                <w:sz w:val="18"/>
                <w:szCs w:val="18"/>
              </w:rPr>
              <w:t>1.06</w:t>
            </w:r>
          </w:p>
        </w:tc>
        <w:tc>
          <w:tcPr>
            <w:tcW w:w="1357" w:type="dxa"/>
            <w:noWrap w:val="0"/>
            <w:vAlign w:val="center"/>
          </w:tcPr>
          <w:p w14:paraId="49F89BDD">
            <w:pPr>
              <w:jc w:val="center"/>
              <w:rPr>
                <w:rFonts w:ascii="宋体" w:hAnsi="宋体"/>
                <w:sz w:val="18"/>
                <w:szCs w:val="18"/>
              </w:rPr>
            </w:pPr>
            <w:r>
              <w:rPr>
                <w:rFonts w:ascii="宋体" w:hAnsi="宋体"/>
                <w:sz w:val="18"/>
                <w:szCs w:val="18"/>
              </w:rPr>
              <w:t>19.49</w:t>
            </w:r>
          </w:p>
        </w:tc>
        <w:tc>
          <w:tcPr>
            <w:tcW w:w="1357" w:type="dxa"/>
            <w:noWrap w:val="0"/>
            <w:vAlign w:val="center"/>
          </w:tcPr>
          <w:p w14:paraId="2121B0C3">
            <w:pPr>
              <w:jc w:val="center"/>
              <w:rPr>
                <w:rFonts w:ascii="宋体" w:hAnsi="宋体"/>
                <w:sz w:val="18"/>
                <w:szCs w:val="18"/>
              </w:rPr>
            </w:pPr>
            <w:r>
              <w:rPr>
                <w:rFonts w:ascii="宋体" w:hAnsi="宋体"/>
                <w:sz w:val="18"/>
                <w:szCs w:val="18"/>
              </w:rPr>
              <w:t>13.00</w:t>
            </w:r>
          </w:p>
        </w:tc>
        <w:tc>
          <w:tcPr>
            <w:tcW w:w="1258" w:type="dxa"/>
            <w:noWrap w:val="0"/>
            <w:vAlign w:val="center"/>
          </w:tcPr>
          <w:p w14:paraId="6A1F4251">
            <w:pPr>
              <w:jc w:val="center"/>
              <w:rPr>
                <w:rFonts w:ascii="宋体" w:hAnsi="宋体"/>
                <w:sz w:val="18"/>
                <w:szCs w:val="18"/>
              </w:rPr>
            </w:pPr>
            <w:r>
              <w:rPr>
                <w:rFonts w:ascii="宋体" w:hAnsi="宋体"/>
                <w:sz w:val="18"/>
                <w:szCs w:val="18"/>
              </w:rPr>
              <w:t>2.22</w:t>
            </w:r>
          </w:p>
        </w:tc>
        <w:tc>
          <w:tcPr>
            <w:tcW w:w="1617" w:type="dxa"/>
            <w:noWrap w:val="0"/>
            <w:vAlign w:val="center"/>
          </w:tcPr>
          <w:p w14:paraId="4CE33973">
            <w:pPr>
              <w:jc w:val="center"/>
              <w:rPr>
                <w:rFonts w:ascii="宋体" w:hAnsi="宋体"/>
                <w:sz w:val="18"/>
                <w:szCs w:val="18"/>
              </w:rPr>
            </w:pPr>
            <w:r>
              <w:rPr>
                <w:rFonts w:ascii="宋体" w:hAnsi="宋体"/>
                <w:sz w:val="18"/>
                <w:szCs w:val="18"/>
              </w:rPr>
              <w:t>28.61</w:t>
            </w:r>
          </w:p>
        </w:tc>
        <w:tc>
          <w:tcPr>
            <w:tcW w:w="801" w:type="dxa"/>
            <w:vMerge w:val="continue"/>
            <w:noWrap w:val="0"/>
            <w:vAlign w:val="center"/>
          </w:tcPr>
          <w:p w14:paraId="26790666">
            <w:pPr>
              <w:jc w:val="center"/>
              <w:rPr>
                <w:rFonts w:ascii="宋体" w:hAnsi="宋体"/>
                <w:sz w:val="18"/>
                <w:szCs w:val="18"/>
              </w:rPr>
            </w:pPr>
          </w:p>
        </w:tc>
      </w:tr>
      <w:tr w14:paraId="3D23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21F3C28B">
            <w:pPr>
              <w:jc w:val="center"/>
              <w:rPr>
                <w:rFonts w:ascii="宋体" w:hAnsi="宋体"/>
                <w:sz w:val="18"/>
                <w:szCs w:val="18"/>
              </w:rPr>
            </w:pPr>
          </w:p>
        </w:tc>
        <w:tc>
          <w:tcPr>
            <w:tcW w:w="623" w:type="dxa"/>
            <w:vMerge w:val="restart"/>
            <w:noWrap w:val="0"/>
            <w:vAlign w:val="center"/>
          </w:tcPr>
          <w:p w14:paraId="2C7F5706">
            <w:pPr>
              <w:jc w:val="center"/>
              <w:rPr>
                <w:rFonts w:ascii="宋体" w:hAnsi="宋体"/>
                <w:sz w:val="18"/>
                <w:szCs w:val="18"/>
              </w:rPr>
            </w:pPr>
            <w:r>
              <w:rPr>
                <w:rFonts w:ascii="宋体" w:hAnsi="宋体"/>
                <w:sz w:val="18"/>
                <w:szCs w:val="18"/>
              </w:rPr>
              <w:t>洗煤</w:t>
            </w:r>
          </w:p>
        </w:tc>
        <w:tc>
          <w:tcPr>
            <w:tcW w:w="1260" w:type="dxa"/>
            <w:noWrap w:val="0"/>
            <w:vAlign w:val="center"/>
          </w:tcPr>
          <w:p w14:paraId="259F0CA2">
            <w:pPr>
              <w:jc w:val="center"/>
              <w:rPr>
                <w:rFonts w:ascii="宋体" w:hAnsi="宋体"/>
                <w:sz w:val="18"/>
                <w:szCs w:val="18"/>
              </w:rPr>
            </w:pPr>
            <w:r>
              <w:rPr>
                <w:rFonts w:ascii="宋体" w:hAnsi="宋体"/>
                <w:sz w:val="18"/>
                <w:szCs w:val="18"/>
              </w:rPr>
              <w:t>0.53～1.89</w:t>
            </w:r>
          </w:p>
        </w:tc>
        <w:tc>
          <w:tcPr>
            <w:tcW w:w="1357" w:type="dxa"/>
            <w:noWrap w:val="0"/>
            <w:vAlign w:val="center"/>
          </w:tcPr>
          <w:p w14:paraId="508E34DD">
            <w:pPr>
              <w:jc w:val="center"/>
              <w:rPr>
                <w:rFonts w:ascii="宋体" w:hAnsi="宋体"/>
                <w:sz w:val="18"/>
                <w:szCs w:val="18"/>
              </w:rPr>
            </w:pPr>
            <w:r>
              <w:rPr>
                <w:rFonts w:ascii="宋体" w:hAnsi="宋体"/>
                <w:sz w:val="18"/>
                <w:szCs w:val="18"/>
              </w:rPr>
              <w:t>6.16～12.75</w:t>
            </w:r>
          </w:p>
        </w:tc>
        <w:tc>
          <w:tcPr>
            <w:tcW w:w="1357" w:type="dxa"/>
            <w:noWrap w:val="0"/>
            <w:vAlign w:val="center"/>
          </w:tcPr>
          <w:p w14:paraId="07A36852">
            <w:pPr>
              <w:jc w:val="center"/>
              <w:rPr>
                <w:rFonts w:ascii="宋体" w:hAnsi="宋体"/>
                <w:sz w:val="18"/>
                <w:szCs w:val="18"/>
              </w:rPr>
            </w:pPr>
            <w:r>
              <w:rPr>
                <w:rFonts w:ascii="宋体" w:hAnsi="宋体"/>
                <w:sz w:val="18"/>
                <w:szCs w:val="18"/>
              </w:rPr>
              <w:t>10.55～14.13</w:t>
            </w:r>
          </w:p>
        </w:tc>
        <w:tc>
          <w:tcPr>
            <w:tcW w:w="1258" w:type="dxa"/>
            <w:noWrap w:val="0"/>
            <w:vAlign w:val="center"/>
          </w:tcPr>
          <w:p w14:paraId="0D8B28DC">
            <w:pPr>
              <w:jc w:val="center"/>
              <w:rPr>
                <w:rFonts w:ascii="宋体" w:hAnsi="宋体"/>
                <w:sz w:val="18"/>
                <w:szCs w:val="18"/>
              </w:rPr>
            </w:pPr>
            <w:r>
              <w:rPr>
                <w:rFonts w:ascii="宋体" w:hAnsi="宋体"/>
                <w:sz w:val="18"/>
                <w:szCs w:val="18"/>
              </w:rPr>
              <w:t>0.31～2.21</w:t>
            </w:r>
          </w:p>
        </w:tc>
        <w:tc>
          <w:tcPr>
            <w:tcW w:w="1617" w:type="dxa"/>
            <w:noWrap w:val="0"/>
            <w:vAlign w:val="center"/>
          </w:tcPr>
          <w:p w14:paraId="40860711">
            <w:pPr>
              <w:jc w:val="center"/>
              <w:rPr>
                <w:rFonts w:ascii="宋体" w:hAnsi="宋体"/>
                <w:sz w:val="18"/>
                <w:szCs w:val="18"/>
              </w:rPr>
            </w:pPr>
            <w:r>
              <w:rPr>
                <w:rFonts w:ascii="宋体" w:hAnsi="宋体"/>
                <w:sz w:val="18"/>
                <w:szCs w:val="18"/>
              </w:rPr>
              <w:t>31.79～33.68</w:t>
            </w:r>
          </w:p>
        </w:tc>
        <w:tc>
          <w:tcPr>
            <w:tcW w:w="801" w:type="dxa"/>
            <w:vMerge w:val="continue"/>
            <w:noWrap w:val="0"/>
            <w:vAlign w:val="center"/>
          </w:tcPr>
          <w:p w14:paraId="106EE16E">
            <w:pPr>
              <w:jc w:val="center"/>
              <w:rPr>
                <w:rFonts w:ascii="宋体" w:hAnsi="宋体"/>
                <w:sz w:val="18"/>
                <w:szCs w:val="18"/>
              </w:rPr>
            </w:pPr>
          </w:p>
        </w:tc>
      </w:tr>
      <w:tr w14:paraId="4E4E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0607A1B5">
            <w:pPr>
              <w:jc w:val="center"/>
              <w:rPr>
                <w:rFonts w:ascii="宋体" w:hAnsi="宋体"/>
                <w:sz w:val="18"/>
                <w:szCs w:val="18"/>
              </w:rPr>
            </w:pPr>
          </w:p>
        </w:tc>
        <w:tc>
          <w:tcPr>
            <w:tcW w:w="623" w:type="dxa"/>
            <w:vMerge w:val="continue"/>
            <w:noWrap w:val="0"/>
            <w:vAlign w:val="center"/>
          </w:tcPr>
          <w:p w14:paraId="3595BE2A">
            <w:pPr>
              <w:jc w:val="center"/>
              <w:rPr>
                <w:rFonts w:ascii="宋体" w:hAnsi="宋体"/>
                <w:sz w:val="18"/>
                <w:szCs w:val="18"/>
              </w:rPr>
            </w:pPr>
          </w:p>
        </w:tc>
        <w:tc>
          <w:tcPr>
            <w:tcW w:w="1260" w:type="dxa"/>
            <w:noWrap w:val="0"/>
            <w:vAlign w:val="center"/>
          </w:tcPr>
          <w:p w14:paraId="508C3D0A">
            <w:pPr>
              <w:jc w:val="center"/>
              <w:rPr>
                <w:rFonts w:ascii="宋体" w:hAnsi="宋体"/>
                <w:sz w:val="18"/>
                <w:szCs w:val="18"/>
              </w:rPr>
            </w:pPr>
            <w:r>
              <w:rPr>
                <w:rFonts w:ascii="宋体" w:hAnsi="宋体"/>
                <w:sz w:val="18"/>
                <w:szCs w:val="18"/>
              </w:rPr>
              <w:t>1.15</w:t>
            </w:r>
          </w:p>
        </w:tc>
        <w:tc>
          <w:tcPr>
            <w:tcW w:w="1357" w:type="dxa"/>
            <w:noWrap w:val="0"/>
            <w:vAlign w:val="center"/>
          </w:tcPr>
          <w:p w14:paraId="2AFAA770">
            <w:pPr>
              <w:jc w:val="center"/>
              <w:rPr>
                <w:rFonts w:ascii="宋体" w:hAnsi="宋体"/>
                <w:sz w:val="18"/>
                <w:szCs w:val="18"/>
              </w:rPr>
            </w:pPr>
            <w:r>
              <w:rPr>
                <w:rFonts w:ascii="宋体" w:hAnsi="宋体"/>
                <w:sz w:val="18"/>
                <w:szCs w:val="18"/>
              </w:rPr>
              <w:t>8.59</w:t>
            </w:r>
          </w:p>
        </w:tc>
        <w:tc>
          <w:tcPr>
            <w:tcW w:w="1357" w:type="dxa"/>
            <w:noWrap w:val="0"/>
            <w:vAlign w:val="center"/>
          </w:tcPr>
          <w:p w14:paraId="786FAA74">
            <w:pPr>
              <w:jc w:val="center"/>
              <w:rPr>
                <w:rFonts w:ascii="宋体" w:hAnsi="宋体"/>
                <w:sz w:val="18"/>
                <w:szCs w:val="18"/>
              </w:rPr>
            </w:pPr>
            <w:r>
              <w:rPr>
                <w:rFonts w:ascii="宋体" w:hAnsi="宋体"/>
                <w:sz w:val="18"/>
                <w:szCs w:val="18"/>
              </w:rPr>
              <w:t>12.04</w:t>
            </w:r>
          </w:p>
        </w:tc>
        <w:tc>
          <w:tcPr>
            <w:tcW w:w="1258" w:type="dxa"/>
            <w:noWrap w:val="0"/>
            <w:vAlign w:val="center"/>
          </w:tcPr>
          <w:p w14:paraId="17A654EA">
            <w:pPr>
              <w:jc w:val="center"/>
              <w:rPr>
                <w:rFonts w:ascii="宋体" w:hAnsi="宋体"/>
                <w:sz w:val="18"/>
                <w:szCs w:val="18"/>
              </w:rPr>
            </w:pPr>
            <w:r>
              <w:rPr>
                <w:rFonts w:ascii="宋体" w:hAnsi="宋体"/>
                <w:sz w:val="18"/>
                <w:szCs w:val="18"/>
              </w:rPr>
              <w:t>1.23</w:t>
            </w:r>
          </w:p>
        </w:tc>
        <w:tc>
          <w:tcPr>
            <w:tcW w:w="1617" w:type="dxa"/>
            <w:noWrap w:val="0"/>
            <w:vAlign w:val="center"/>
          </w:tcPr>
          <w:p w14:paraId="632477DC">
            <w:pPr>
              <w:jc w:val="center"/>
              <w:rPr>
                <w:rFonts w:ascii="宋体" w:hAnsi="宋体"/>
                <w:sz w:val="18"/>
                <w:szCs w:val="18"/>
              </w:rPr>
            </w:pPr>
            <w:r>
              <w:rPr>
                <w:rFonts w:ascii="宋体" w:hAnsi="宋体"/>
                <w:sz w:val="18"/>
                <w:szCs w:val="18"/>
              </w:rPr>
              <w:t>33.15</w:t>
            </w:r>
          </w:p>
        </w:tc>
        <w:tc>
          <w:tcPr>
            <w:tcW w:w="801" w:type="dxa"/>
            <w:vMerge w:val="continue"/>
            <w:noWrap w:val="0"/>
            <w:vAlign w:val="center"/>
          </w:tcPr>
          <w:p w14:paraId="5CE2B41E">
            <w:pPr>
              <w:jc w:val="center"/>
              <w:rPr>
                <w:rFonts w:ascii="宋体" w:hAnsi="宋体"/>
                <w:sz w:val="18"/>
                <w:szCs w:val="18"/>
              </w:rPr>
            </w:pPr>
          </w:p>
        </w:tc>
      </w:tr>
      <w:tr w14:paraId="7D7D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4C03580D">
            <w:pPr>
              <w:jc w:val="center"/>
              <w:rPr>
                <w:rFonts w:ascii="宋体" w:hAnsi="宋体"/>
                <w:sz w:val="18"/>
                <w:szCs w:val="18"/>
              </w:rPr>
            </w:pPr>
            <w:r>
              <w:rPr>
                <w:rFonts w:ascii="宋体" w:hAnsi="宋体"/>
                <w:sz w:val="18"/>
                <w:szCs w:val="18"/>
              </w:rPr>
              <w:t>K18</w:t>
            </w:r>
          </w:p>
        </w:tc>
        <w:tc>
          <w:tcPr>
            <w:tcW w:w="623" w:type="dxa"/>
            <w:vMerge w:val="restart"/>
            <w:noWrap w:val="0"/>
            <w:vAlign w:val="center"/>
          </w:tcPr>
          <w:p w14:paraId="0FC8DF6B">
            <w:pPr>
              <w:jc w:val="center"/>
              <w:rPr>
                <w:rFonts w:ascii="宋体" w:hAnsi="宋体"/>
                <w:sz w:val="18"/>
                <w:szCs w:val="18"/>
              </w:rPr>
            </w:pPr>
            <w:r>
              <w:rPr>
                <w:rFonts w:ascii="宋体" w:hAnsi="宋体"/>
                <w:sz w:val="18"/>
                <w:szCs w:val="18"/>
              </w:rPr>
              <w:t>原煤</w:t>
            </w:r>
          </w:p>
        </w:tc>
        <w:tc>
          <w:tcPr>
            <w:tcW w:w="1260" w:type="dxa"/>
            <w:noWrap w:val="0"/>
            <w:vAlign w:val="center"/>
          </w:tcPr>
          <w:p w14:paraId="3F038550">
            <w:pPr>
              <w:jc w:val="center"/>
              <w:rPr>
                <w:rFonts w:ascii="宋体" w:hAnsi="宋体"/>
                <w:sz w:val="18"/>
                <w:szCs w:val="18"/>
              </w:rPr>
            </w:pPr>
            <w:r>
              <w:rPr>
                <w:rFonts w:ascii="宋体" w:hAnsi="宋体"/>
                <w:sz w:val="18"/>
                <w:szCs w:val="18"/>
              </w:rPr>
              <w:t>0.65～1.68</w:t>
            </w:r>
          </w:p>
        </w:tc>
        <w:tc>
          <w:tcPr>
            <w:tcW w:w="1357" w:type="dxa"/>
            <w:noWrap w:val="0"/>
            <w:vAlign w:val="center"/>
          </w:tcPr>
          <w:p w14:paraId="02F01F76">
            <w:pPr>
              <w:jc w:val="center"/>
              <w:rPr>
                <w:rFonts w:ascii="宋体" w:hAnsi="宋体"/>
                <w:sz w:val="18"/>
                <w:szCs w:val="18"/>
              </w:rPr>
            </w:pPr>
            <w:r>
              <w:rPr>
                <w:rFonts w:ascii="宋体" w:hAnsi="宋体"/>
                <w:sz w:val="18"/>
                <w:szCs w:val="18"/>
              </w:rPr>
              <w:t>9.71～34.26</w:t>
            </w:r>
          </w:p>
        </w:tc>
        <w:tc>
          <w:tcPr>
            <w:tcW w:w="1357" w:type="dxa"/>
            <w:noWrap w:val="0"/>
            <w:vAlign w:val="center"/>
          </w:tcPr>
          <w:p w14:paraId="78D4EEA9">
            <w:pPr>
              <w:jc w:val="center"/>
              <w:rPr>
                <w:rFonts w:ascii="宋体" w:hAnsi="宋体"/>
                <w:sz w:val="18"/>
                <w:szCs w:val="18"/>
              </w:rPr>
            </w:pPr>
            <w:r>
              <w:rPr>
                <w:rFonts w:ascii="宋体" w:hAnsi="宋体"/>
                <w:sz w:val="18"/>
                <w:szCs w:val="18"/>
              </w:rPr>
              <w:t>10.73～14.92</w:t>
            </w:r>
          </w:p>
        </w:tc>
        <w:tc>
          <w:tcPr>
            <w:tcW w:w="1258" w:type="dxa"/>
            <w:noWrap w:val="0"/>
            <w:vAlign w:val="center"/>
          </w:tcPr>
          <w:p w14:paraId="3A5B0AFE">
            <w:pPr>
              <w:jc w:val="center"/>
              <w:rPr>
                <w:rFonts w:ascii="宋体" w:hAnsi="宋体"/>
                <w:sz w:val="18"/>
                <w:szCs w:val="18"/>
              </w:rPr>
            </w:pPr>
            <w:r>
              <w:rPr>
                <w:rFonts w:ascii="宋体" w:hAnsi="宋体"/>
                <w:sz w:val="18"/>
                <w:szCs w:val="18"/>
              </w:rPr>
              <w:t>0.10～2.28</w:t>
            </w:r>
          </w:p>
          <w:p w14:paraId="43198B04">
            <w:pPr>
              <w:jc w:val="center"/>
              <w:rPr>
                <w:rFonts w:ascii="宋体" w:hAnsi="宋体"/>
                <w:sz w:val="18"/>
                <w:szCs w:val="18"/>
              </w:rPr>
            </w:pPr>
            <w:r>
              <w:rPr>
                <w:rFonts w:ascii="宋体" w:hAnsi="宋体"/>
                <w:sz w:val="18"/>
                <w:szCs w:val="18"/>
              </w:rPr>
              <w:t>1.14</w:t>
            </w:r>
          </w:p>
        </w:tc>
        <w:tc>
          <w:tcPr>
            <w:tcW w:w="1617" w:type="dxa"/>
            <w:noWrap w:val="0"/>
            <w:vAlign w:val="center"/>
          </w:tcPr>
          <w:p w14:paraId="160A36D3">
            <w:pPr>
              <w:jc w:val="center"/>
              <w:rPr>
                <w:rFonts w:ascii="宋体" w:hAnsi="宋体"/>
                <w:sz w:val="18"/>
                <w:szCs w:val="18"/>
              </w:rPr>
            </w:pPr>
            <w:r>
              <w:rPr>
                <w:rFonts w:ascii="宋体" w:hAnsi="宋体"/>
                <w:sz w:val="18"/>
                <w:szCs w:val="18"/>
              </w:rPr>
              <w:t>22.67～32.53</w:t>
            </w:r>
          </w:p>
        </w:tc>
        <w:tc>
          <w:tcPr>
            <w:tcW w:w="801" w:type="dxa"/>
            <w:vMerge w:val="restart"/>
            <w:noWrap w:val="0"/>
            <w:vAlign w:val="center"/>
          </w:tcPr>
          <w:p w14:paraId="2F6D716B">
            <w:pPr>
              <w:jc w:val="center"/>
              <w:rPr>
                <w:rFonts w:ascii="宋体" w:hAnsi="宋体"/>
                <w:sz w:val="18"/>
                <w:szCs w:val="18"/>
              </w:rPr>
            </w:pPr>
            <w:r>
              <w:rPr>
                <w:rFonts w:hint="eastAsia" w:ascii="宋体" w:hAnsi="宋体"/>
                <w:sz w:val="18"/>
                <w:szCs w:val="18"/>
              </w:rPr>
              <w:t>贫煤</w:t>
            </w:r>
          </w:p>
        </w:tc>
      </w:tr>
      <w:tr w14:paraId="11E1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03FEE987">
            <w:pPr>
              <w:jc w:val="center"/>
              <w:rPr>
                <w:rFonts w:ascii="宋体" w:hAnsi="宋体"/>
                <w:sz w:val="18"/>
                <w:szCs w:val="18"/>
              </w:rPr>
            </w:pPr>
          </w:p>
        </w:tc>
        <w:tc>
          <w:tcPr>
            <w:tcW w:w="623" w:type="dxa"/>
            <w:vMerge w:val="continue"/>
            <w:noWrap w:val="0"/>
            <w:vAlign w:val="center"/>
          </w:tcPr>
          <w:p w14:paraId="24E61DE8">
            <w:pPr>
              <w:jc w:val="center"/>
              <w:rPr>
                <w:rFonts w:ascii="宋体" w:hAnsi="宋体"/>
                <w:sz w:val="18"/>
                <w:szCs w:val="18"/>
              </w:rPr>
            </w:pPr>
          </w:p>
        </w:tc>
        <w:tc>
          <w:tcPr>
            <w:tcW w:w="1260" w:type="dxa"/>
            <w:noWrap w:val="0"/>
            <w:vAlign w:val="center"/>
          </w:tcPr>
          <w:p w14:paraId="0F98F472">
            <w:pPr>
              <w:jc w:val="center"/>
              <w:rPr>
                <w:rFonts w:ascii="宋体" w:hAnsi="宋体"/>
                <w:sz w:val="18"/>
                <w:szCs w:val="18"/>
              </w:rPr>
            </w:pPr>
            <w:r>
              <w:rPr>
                <w:rFonts w:ascii="宋体" w:hAnsi="宋体"/>
                <w:sz w:val="18"/>
                <w:szCs w:val="18"/>
              </w:rPr>
              <w:t>1.22</w:t>
            </w:r>
          </w:p>
        </w:tc>
        <w:tc>
          <w:tcPr>
            <w:tcW w:w="1357" w:type="dxa"/>
            <w:noWrap w:val="0"/>
            <w:vAlign w:val="center"/>
          </w:tcPr>
          <w:p w14:paraId="770F4896">
            <w:pPr>
              <w:jc w:val="center"/>
              <w:rPr>
                <w:rFonts w:ascii="宋体" w:hAnsi="宋体"/>
                <w:sz w:val="18"/>
                <w:szCs w:val="18"/>
              </w:rPr>
            </w:pPr>
            <w:r>
              <w:rPr>
                <w:rFonts w:ascii="宋体" w:hAnsi="宋体"/>
                <w:sz w:val="18"/>
                <w:szCs w:val="18"/>
              </w:rPr>
              <w:t>17.04</w:t>
            </w:r>
          </w:p>
        </w:tc>
        <w:tc>
          <w:tcPr>
            <w:tcW w:w="1357" w:type="dxa"/>
            <w:noWrap w:val="0"/>
            <w:vAlign w:val="center"/>
          </w:tcPr>
          <w:p w14:paraId="0087F0E2">
            <w:pPr>
              <w:jc w:val="center"/>
              <w:rPr>
                <w:rFonts w:ascii="宋体" w:hAnsi="宋体"/>
                <w:sz w:val="18"/>
                <w:szCs w:val="18"/>
              </w:rPr>
            </w:pPr>
            <w:r>
              <w:rPr>
                <w:rFonts w:ascii="宋体" w:hAnsi="宋体"/>
                <w:sz w:val="18"/>
                <w:szCs w:val="18"/>
              </w:rPr>
              <w:t>13.08</w:t>
            </w:r>
          </w:p>
        </w:tc>
        <w:tc>
          <w:tcPr>
            <w:tcW w:w="1258" w:type="dxa"/>
            <w:noWrap w:val="0"/>
            <w:vAlign w:val="center"/>
          </w:tcPr>
          <w:p w14:paraId="143103B9">
            <w:pPr>
              <w:jc w:val="center"/>
              <w:rPr>
                <w:rFonts w:ascii="宋体" w:hAnsi="宋体"/>
                <w:sz w:val="18"/>
                <w:szCs w:val="18"/>
              </w:rPr>
            </w:pPr>
            <w:r>
              <w:rPr>
                <w:rFonts w:ascii="宋体" w:hAnsi="宋体"/>
                <w:sz w:val="18"/>
                <w:szCs w:val="18"/>
              </w:rPr>
              <w:t>0.53</w:t>
            </w:r>
          </w:p>
        </w:tc>
        <w:tc>
          <w:tcPr>
            <w:tcW w:w="1617" w:type="dxa"/>
            <w:noWrap w:val="0"/>
            <w:vAlign w:val="center"/>
          </w:tcPr>
          <w:p w14:paraId="6170B9D4">
            <w:pPr>
              <w:jc w:val="center"/>
              <w:rPr>
                <w:rFonts w:ascii="宋体" w:hAnsi="宋体"/>
                <w:sz w:val="18"/>
                <w:szCs w:val="18"/>
              </w:rPr>
            </w:pPr>
            <w:r>
              <w:rPr>
                <w:rFonts w:ascii="宋体" w:hAnsi="宋体"/>
                <w:sz w:val="18"/>
                <w:szCs w:val="18"/>
              </w:rPr>
              <w:t>28.50</w:t>
            </w:r>
          </w:p>
        </w:tc>
        <w:tc>
          <w:tcPr>
            <w:tcW w:w="801" w:type="dxa"/>
            <w:vMerge w:val="continue"/>
            <w:noWrap w:val="0"/>
            <w:vAlign w:val="center"/>
          </w:tcPr>
          <w:p w14:paraId="3CAF6532">
            <w:pPr>
              <w:jc w:val="center"/>
              <w:rPr>
                <w:rFonts w:ascii="宋体" w:hAnsi="宋体"/>
                <w:sz w:val="18"/>
                <w:szCs w:val="18"/>
              </w:rPr>
            </w:pPr>
          </w:p>
        </w:tc>
      </w:tr>
      <w:tr w14:paraId="41EE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40756EBF">
            <w:pPr>
              <w:jc w:val="center"/>
              <w:rPr>
                <w:rFonts w:ascii="宋体" w:hAnsi="宋体"/>
                <w:sz w:val="18"/>
                <w:szCs w:val="18"/>
              </w:rPr>
            </w:pPr>
          </w:p>
        </w:tc>
        <w:tc>
          <w:tcPr>
            <w:tcW w:w="623" w:type="dxa"/>
            <w:vMerge w:val="restart"/>
            <w:noWrap w:val="0"/>
            <w:vAlign w:val="center"/>
          </w:tcPr>
          <w:p w14:paraId="5DB25D47">
            <w:pPr>
              <w:jc w:val="center"/>
              <w:rPr>
                <w:rFonts w:ascii="宋体" w:hAnsi="宋体"/>
                <w:sz w:val="18"/>
                <w:szCs w:val="18"/>
              </w:rPr>
            </w:pPr>
            <w:r>
              <w:rPr>
                <w:rFonts w:ascii="宋体" w:hAnsi="宋体"/>
                <w:sz w:val="18"/>
                <w:szCs w:val="18"/>
              </w:rPr>
              <w:t>洗煤</w:t>
            </w:r>
          </w:p>
        </w:tc>
        <w:tc>
          <w:tcPr>
            <w:tcW w:w="1260" w:type="dxa"/>
            <w:noWrap w:val="0"/>
            <w:vAlign w:val="center"/>
          </w:tcPr>
          <w:p w14:paraId="301D2014">
            <w:pPr>
              <w:jc w:val="center"/>
              <w:rPr>
                <w:rFonts w:ascii="宋体" w:hAnsi="宋体"/>
                <w:sz w:val="18"/>
                <w:szCs w:val="18"/>
              </w:rPr>
            </w:pPr>
            <w:r>
              <w:rPr>
                <w:rFonts w:ascii="宋体" w:hAnsi="宋体"/>
                <w:sz w:val="18"/>
                <w:szCs w:val="18"/>
              </w:rPr>
              <w:t>0.53～1.57</w:t>
            </w:r>
          </w:p>
        </w:tc>
        <w:tc>
          <w:tcPr>
            <w:tcW w:w="1357" w:type="dxa"/>
            <w:noWrap w:val="0"/>
            <w:vAlign w:val="center"/>
          </w:tcPr>
          <w:p w14:paraId="3153C2B2">
            <w:pPr>
              <w:jc w:val="center"/>
              <w:rPr>
                <w:rFonts w:ascii="宋体" w:hAnsi="宋体"/>
                <w:sz w:val="18"/>
                <w:szCs w:val="18"/>
              </w:rPr>
            </w:pPr>
            <w:r>
              <w:rPr>
                <w:rFonts w:ascii="宋体" w:hAnsi="宋体"/>
                <w:sz w:val="18"/>
                <w:szCs w:val="18"/>
              </w:rPr>
              <w:t>4.62～12.57</w:t>
            </w:r>
          </w:p>
        </w:tc>
        <w:tc>
          <w:tcPr>
            <w:tcW w:w="1357" w:type="dxa"/>
            <w:noWrap w:val="0"/>
            <w:vAlign w:val="center"/>
          </w:tcPr>
          <w:p w14:paraId="39A2881B">
            <w:pPr>
              <w:jc w:val="center"/>
              <w:rPr>
                <w:rFonts w:ascii="宋体" w:hAnsi="宋体"/>
                <w:sz w:val="18"/>
                <w:szCs w:val="18"/>
              </w:rPr>
            </w:pPr>
            <w:r>
              <w:rPr>
                <w:rFonts w:ascii="宋体" w:hAnsi="宋体"/>
                <w:sz w:val="18"/>
                <w:szCs w:val="18"/>
              </w:rPr>
              <w:t>10.17～13.59</w:t>
            </w:r>
          </w:p>
        </w:tc>
        <w:tc>
          <w:tcPr>
            <w:tcW w:w="1258" w:type="dxa"/>
            <w:noWrap w:val="0"/>
            <w:vAlign w:val="center"/>
          </w:tcPr>
          <w:p w14:paraId="74ACE8AF">
            <w:pPr>
              <w:jc w:val="center"/>
              <w:rPr>
                <w:rFonts w:ascii="宋体" w:hAnsi="宋体"/>
                <w:sz w:val="18"/>
                <w:szCs w:val="18"/>
              </w:rPr>
            </w:pPr>
            <w:r>
              <w:rPr>
                <w:rFonts w:ascii="宋体" w:hAnsi="宋体"/>
                <w:sz w:val="18"/>
                <w:szCs w:val="18"/>
              </w:rPr>
              <w:t>0.11～1.63</w:t>
            </w:r>
          </w:p>
        </w:tc>
        <w:tc>
          <w:tcPr>
            <w:tcW w:w="1617" w:type="dxa"/>
            <w:noWrap w:val="0"/>
            <w:vAlign w:val="center"/>
          </w:tcPr>
          <w:p w14:paraId="2F40308E">
            <w:pPr>
              <w:jc w:val="center"/>
              <w:rPr>
                <w:rFonts w:ascii="宋体" w:hAnsi="宋体"/>
                <w:sz w:val="18"/>
                <w:szCs w:val="18"/>
              </w:rPr>
            </w:pPr>
            <w:r>
              <w:rPr>
                <w:rFonts w:ascii="宋体" w:hAnsi="宋体"/>
                <w:sz w:val="18"/>
                <w:szCs w:val="18"/>
              </w:rPr>
              <w:t>31.71～34.56</w:t>
            </w:r>
          </w:p>
        </w:tc>
        <w:tc>
          <w:tcPr>
            <w:tcW w:w="801" w:type="dxa"/>
            <w:vMerge w:val="continue"/>
            <w:noWrap w:val="0"/>
            <w:vAlign w:val="center"/>
          </w:tcPr>
          <w:p w14:paraId="2ABA376C">
            <w:pPr>
              <w:jc w:val="center"/>
              <w:rPr>
                <w:rFonts w:ascii="宋体" w:hAnsi="宋体"/>
                <w:sz w:val="18"/>
                <w:szCs w:val="18"/>
              </w:rPr>
            </w:pPr>
          </w:p>
        </w:tc>
      </w:tr>
      <w:tr w14:paraId="123C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53AEE7FE">
            <w:pPr>
              <w:jc w:val="center"/>
              <w:rPr>
                <w:rFonts w:ascii="宋体" w:hAnsi="宋体"/>
                <w:sz w:val="18"/>
                <w:szCs w:val="18"/>
              </w:rPr>
            </w:pPr>
          </w:p>
        </w:tc>
        <w:tc>
          <w:tcPr>
            <w:tcW w:w="623" w:type="dxa"/>
            <w:vMerge w:val="continue"/>
            <w:noWrap w:val="0"/>
            <w:vAlign w:val="center"/>
          </w:tcPr>
          <w:p w14:paraId="20B648CE">
            <w:pPr>
              <w:jc w:val="center"/>
              <w:rPr>
                <w:rFonts w:ascii="宋体" w:hAnsi="宋体"/>
                <w:sz w:val="18"/>
                <w:szCs w:val="18"/>
              </w:rPr>
            </w:pPr>
          </w:p>
        </w:tc>
        <w:tc>
          <w:tcPr>
            <w:tcW w:w="1260" w:type="dxa"/>
            <w:noWrap w:val="0"/>
            <w:vAlign w:val="center"/>
          </w:tcPr>
          <w:p w14:paraId="58F555D3">
            <w:pPr>
              <w:jc w:val="center"/>
              <w:rPr>
                <w:rFonts w:ascii="宋体" w:hAnsi="宋体"/>
                <w:sz w:val="18"/>
                <w:szCs w:val="18"/>
              </w:rPr>
            </w:pPr>
            <w:r>
              <w:rPr>
                <w:rFonts w:ascii="宋体" w:hAnsi="宋体"/>
                <w:sz w:val="18"/>
                <w:szCs w:val="18"/>
              </w:rPr>
              <w:t>1.09</w:t>
            </w:r>
          </w:p>
        </w:tc>
        <w:tc>
          <w:tcPr>
            <w:tcW w:w="1357" w:type="dxa"/>
            <w:noWrap w:val="0"/>
            <w:vAlign w:val="center"/>
          </w:tcPr>
          <w:p w14:paraId="78B3D02E">
            <w:pPr>
              <w:jc w:val="center"/>
              <w:rPr>
                <w:rFonts w:ascii="宋体" w:hAnsi="宋体"/>
                <w:sz w:val="18"/>
                <w:szCs w:val="18"/>
              </w:rPr>
            </w:pPr>
            <w:r>
              <w:rPr>
                <w:rFonts w:ascii="宋体" w:hAnsi="宋体"/>
                <w:sz w:val="18"/>
                <w:szCs w:val="18"/>
              </w:rPr>
              <w:t>6.70</w:t>
            </w:r>
          </w:p>
        </w:tc>
        <w:tc>
          <w:tcPr>
            <w:tcW w:w="1357" w:type="dxa"/>
            <w:noWrap w:val="0"/>
            <w:vAlign w:val="center"/>
          </w:tcPr>
          <w:p w14:paraId="649BF9FD">
            <w:pPr>
              <w:jc w:val="center"/>
              <w:rPr>
                <w:rFonts w:ascii="宋体" w:hAnsi="宋体"/>
                <w:sz w:val="18"/>
                <w:szCs w:val="18"/>
              </w:rPr>
            </w:pPr>
            <w:r>
              <w:rPr>
                <w:rFonts w:ascii="宋体" w:hAnsi="宋体"/>
                <w:sz w:val="18"/>
                <w:szCs w:val="18"/>
              </w:rPr>
              <w:t>12.23</w:t>
            </w:r>
          </w:p>
        </w:tc>
        <w:tc>
          <w:tcPr>
            <w:tcW w:w="1258" w:type="dxa"/>
            <w:noWrap w:val="0"/>
            <w:vAlign w:val="center"/>
          </w:tcPr>
          <w:p w14:paraId="7A9AF4E8">
            <w:pPr>
              <w:jc w:val="center"/>
              <w:rPr>
                <w:rFonts w:ascii="宋体" w:hAnsi="宋体"/>
                <w:sz w:val="18"/>
                <w:szCs w:val="18"/>
              </w:rPr>
            </w:pPr>
            <w:r>
              <w:rPr>
                <w:rFonts w:ascii="宋体" w:hAnsi="宋体"/>
                <w:sz w:val="18"/>
                <w:szCs w:val="18"/>
              </w:rPr>
              <w:t>0.40</w:t>
            </w:r>
          </w:p>
        </w:tc>
        <w:tc>
          <w:tcPr>
            <w:tcW w:w="1617" w:type="dxa"/>
            <w:noWrap w:val="0"/>
            <w:vAlign w:val="center"/>
          </w:tcPr>
          <w:p w14:paraId="4D6380F5">
            <w:pPr>
              <w:jc w:val="center"/>
              <w:rPr>
                <w:rFonts w:ascii="宋体" w:hAnsi="宋体"/>
                <w:sz w:val="18"/>
                <w:szCs w:val="18"/>
              </w:rPr>
            </w:pPr>
            <w:r>
              <w:rPr>
                <w:rFonts w:ascii="宋体" w:hAnsi="宋体"/>
                <w:sz w:val="18"/>
                <w:szCs w:val="18"/>
              </w:rPr>
              <w:t>33.60</w:t>
            </w:r>
          </w:p>
        </w:tc>
        <w:tc>
          <w:tcPr>
            <w:tcW w:w="801" w:type="dxa"/>
            <w:vMerge w:val="continue"/>
            <w:noWrap w:val="0"/>
            <w:vAlign w:val="center"/>
          </w:tcPr>
          <w:p w14:paraId="22D271AE">
            <w:pPr>
              <w:jc w:val="center"/>
              <w:rPr>
                <w:rFonts w:ascii="宋体" w:hAnsi="宋体"/>
                <w:sz w:val="18"/>
                <w:szCs w:val="18"/>
              </w:rPr>
            </w:pPr>
          </w:p>
        </w:tc>
      </w:tr>
      <w:tr w14:paraId="7502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3D31876F">
            <w:pPr>
              <w:jc w:val="center"/>
              <w:rPr>
                <w:rFonts w:ascii="宋体" w:hAnsi="宋体"/>
                <w:sz w:val="18"/>
                <w:szCs w:val="18"/>
              </w:rPr>
            </w:pPr>
            <w:r>
              <w:rPr>
                <w:rFonts w:ascii="宋体" w:hAnsi="宋体"/>
                <w:sz w:val="18"/>
                <w:szCs w:val="18"/>
              </w:rPr>
              <w:t>K26</w:t>
            </w:r>
          </w:p>
        </w:tc>
        <w:tc>
          <w:tcPr>
            <w:tcW w:w="623" w:type="dxa"/>
            <w:vMerge w:val="restart"/>
            <w:noWrap w:val="0"/>
            <w:vAlign w:val="center"/>
          </w:tcPr>
          <w:p w14:paraId="1FFD093E">
            <w:pPr>
              <w:jc w:val="center"/>
              <w:rPr>
                <w:rFonts w:ascii="宋体" w:hAnsi="宋体"/>
                <w:sz w:val="18"/>
                <w:szCs w:val="18"/>
              </w:rPr>
            </w:pPr>
            <w:r>
              <w:rPr>
                <w:rFonts w:ascii="宋体" w:hAnsi="宋体"/>
                <w:sz w:val="18"/>
                <w:szCs w:val="18"/>
              </w:rPr>
              <w:t>原煤</w:t>
            </w:r>
          </w:p>
        </w:tc>
        <w:tc>
          <w:tcPr>
            <w:tcW w:w="1260" w:type="dxa"/>
            <w:noWrap w:val="0"/>
            <w:vAlign w:val="center"/>
          </w:tcPr>
          <w:p w14:paraId="00C9B44E">
            <w:pPr>
              <w:jc w:val="center"/>
              <w:rPr>
                <w:rFonts w:ascii="宋体" w:hAnsi="宋体"/>
                <w:sz w:val="18"/>
                <w:szCs w:val="18"/>
              </w:rPr>
            </w:pPr>
            <w:r>
              <w:rPr>
                <w:rFonts w:ascii="宋体" w:hAnsi="宋体"/>
                <w:sz w:val="18"/>
                <w:szCs w:val="18"/>
              </w:rPr>
              <w:t>0.73～1.61</w:t>
            </w:r>
          </w:p>
        </w:tc>
        <w:tc>
          <w:tcPr>
            <w:tcW w:w="1357" w:type="dxa"/>
            <w:noWrap w:val="0"/>
            <w:vAlign w:val="center"/>
          </w:tcPr>
          <w:p w14:paraId="25F52674">
            <w:pPr>
              <w:jc w:val="center"/>
              <w:rPr>
                <w:rFonts w:ascii="宋体" w:hAnsi="宋体"/>
                <w:sz w:val="18"/>
                <w:szCs w:val="18"/>
              </w:rPr>
            </w:pPr>
            <w:r>
              <w:rPr>
                <w:rFonts w:ascii="宋体" w:hAnsi="宋体"/>
                <w:sz w:val="18"/>
                <w:szCs w:val="18"/>
              </w:rPr>
              <w:t>10.76～39.80</w:t>
            </w:r>
          </w:p>
        </w:tc>
        <w:tc>
          <w:tcPr>
            <w:tcW w:w="1357" w:type="dxa"/>
            <w:noWrap w:val="0"/>
            <w:vAlign w:val="center"/>
          </w:tcPr>
          <w:p w14:paraId="0C2AD155">
            <w:pPr>
              <w:jc w:val="center"/>
              <w:rPr>
                <w:rFonts w:ascii="宋体" w:hAnsi="宋体"/>
                <w:sz w:val="18"/>
                <w:szCs w:val="18"/>
              </w:rPr>
            </w:pPr>
            <w:r>
              <w:rPr>
                <w:rFonts w:ascii="宋体" w:hAnsi="宋体"/>
                <w:sz w:val="18"/>
                <w:szCs w:val="18"/>
              </w:rPr>
              <w:t>11.72～17.67</w:t>
            </w:r>
          </w:p>
        </w:tc>
        <w:tc>
          <w:tcPr>
            <w:tcW w:w="1258" w:type="dxa"/>
            <w:noWrap w:val="0"/>
            <w:vAlign w:val="center"/>
          </w:tcPr>
          <w:p w14:paraId="5703717F">
            <w:pPr>
              <w:jc w:val="center"/>
              <w:rPr>
                <w:rFonts w:ascii="宋体" w:hAnsi="宋体"/>
                <w:sz w:val="18"/>
                <w:szCs w:val="18"/>
              </w:rPr>
            </w:pPr>
            <w:r>
              <w:rPr>
                <w:rFonts w:ascii="宋体" w:hAnsi="宋体"/>
                <w:sz w:val="18"/>
                <w:szCs w:val="18"/>
              </w:rPr>
              <w:t>0.10～0.48</w:t>
            </w:r>
          </w:p>
        </w:tc>
        <w:tc>
          <w:tcPr>
            <w:tcW w:w="1617" w:type="dxa"/>
            <w:noWrap w:val="0"/>
            <w:vAlign w:val="center"/>
          </w:tcPr>
          <w:p w14:paraId="649FCF47">
            <w:pPr>
              <w:jc w:val="center"/>
              <w:rPr>
                <w:rFonts w:ascii="宋体" w:hAnsi="宋体"/>
                <w:sz w:val="18"/>
                <w:szCs w:val="18"/>
              </w:rPr>
            </w:pPr>
            <w:r>
              <w:rPr>
                <w:rFonts w:ascii="宋体" w:hAnsi="宋体"/>
                <w:sz w:val="18"/>
                <w:szCs w:val="18"/>
              </w:rPr>
              <w:t>24.72～32.05</w:t>
            </w:r>
          </w:p>
        </w:tc>
        <w:tc>
          <w:tcPr>
            <w:tcW w:w="801" w:type="dxa"/>
            <w:vMerge w:val="restart"/>
            <w:noWrap w:val="0"/>
            <w:vAlign w:val="center"/>
          </w:tcPr>
          <w:p w14:paraId="5C4C4650">
            <w:pPr>
              <w:jc w:val="center"/>
              <w:rPr>
                <w:rFonts w:ascii="宋体" w:hAnsi="宋体"/>
                <w:sz w:val="18"/>
                <w:szCs w:val="18"/>
              </w:rPr>
            </w:pPr>
            <w:r>
              <w:rPr>
                <w:rFonts w:hint="eastAsia" w:ascii="宋体" w:hAnsi="宋体"/>
                <w:sz w:val="18"/>
                <w:szCs w:val="18"/>
              </w:rPr>
              <w:t>贫煤</w:t>
            </w:r>
          </w:p>
        </w:tc>
      </w:tr>
      <w:tr w14:paraId="046E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0874CC62">
            <w:pPr>
              <w:jc w:val="center"/>
              <w:rPr>
                <w:rFonts w:ascii="宋体" w:hAnsi="宋体"/>
                <w:sz w:val="18"/>
                <w:szCs w:val="18"/>
              </w:rPr>
            </w:pPr>
          </w:p>
        </w:tc>
        <w:tc>
          <w:tcPr>
            <w:tcW w:w="623" w:type="dxa"/>
            <w:vMerge w:val="continue"/>
            <w:noWrap w:val="0"/>
            <w:vAlign w:val="center"/>
          </w:tcPr>
          <w:p w14:paraId="187A27EA">
            <w:pPr>
              <w:jc w:val="center"/>
              <w:rPr>
                <w:rFonts w:ascii="宋体" w:hAnsi="宋体"/>
                <w:sz w:val="18"/>
                <w:szCs w:val="18"/>
              </w:rPr>
            </w:pPr>
          </w:p>
        </w:tc>
        <w:tc>
          <w:tcPr>
            <w:tcW w:w="1260" w:type="dxa"/>
            <w:noWrap w:val="0"/>
            <w:vAlign w:val="center"/>
          </w:tcPr>
          <w:p w14:paraId="25F94B8E">
            <w:pPr>
              <w:jc w:val="center"/>
              <w:rPr>
                <w:rFonts w:ascii="宋体" w:hAnsi="宋体"/>
                <w:sz w:val="18"/>
                <w:szCs w:val="18"/>
              </w:rPr>
            </w:pPr>
            <w:r>
              <w:rPr>
                <w:rFonts w:ascii="宋体" w:hAnsi="宋体"/>
                <w:sz w:val="18"/>
                <w:szCs w:val="18"/>
              </w:rPr>
              <w:t>1.14</w:t>
            </w:r>
          </w:p>
        </w:tc>
        <w:tc>
          <w:tcPr>
            <w:tcW w:w="1357" w:type="dxa"/>
            <w:noWrap w:val="0"/>
            <w:vAlign w:val="center"/>
          </w:tcPr>
          <w:p w14:paraId="23599C37">
            <w:pPr>
              <w:jc w:val="center"/>
              <w:rPr>
                <w:rFonts w:ascii="宋体" w:hAnsi="宋体"/>
                <w:sz w:val="18"/>
                <w:szCs w:val="18"/>
              </w:rPr>
            </w:pPr>
            <w:r>
              <w:rPr>
                <w:rFonts w:ascii="宋体" w:hAnsi="宋体"/>
                <w:sz w:val="18"/>
                <w:szCs w:val="18"/>
              </w:rPr>
              <w:t>21.21</w:t>
            </w:r>
          </w:p>
        </w:tc>
        <w:tc>
          <w:tcPr>
            <w:tcW w:w="1357" w:type="dxa"/>
            <w:noWrap w:val="0"/>
            <w:vAlign w:val="center"/>
          </w:tcPr>
          <w:p w14:paraId="057D5A3E">
            <w:pPr>
              <w:jc w:val="center"/>
              <w:rPr>
                <w:rFonts w:ascii="宋体" w:hAnsi="宋体"/>
                <w:sz w:val="18"/>
                <w:szCs w:val="18"/>
              </w:rPr>
            </w:pPr>
            <w:r>
              <w:rPr>
                <w:rFonts w:ascii="宋体" w:hAnsi="宋体"/>
                <w:sz w:val="18"/>
                <w:szCs w:val="18"/>
              </w:rPr>
              <w:t>12.99</w:t>
            </w:r>
          </w:p>
        </w:tc>
        <w:tc>
          <w:tcPr>
            <w:tcW w:w="1258" w:type="dxa"/>
            <w:noWrap w:val="0"/>
            <w:vAlign w:val="center"/>
          </w:tcPr>
          <w:p w14:paraId="5968A936">
            <w:pPr>
              <w:jc w:val="center"/>
              <w:rPr>
                <w:rFonts w:ascii="宋体" w:hAnsi="宋体"/>
                <w:sz w:val="18"/>
                <w:szCs w:val="18"/>
              </w:rPr>
            </w:pPr>
            <w:r>
              <w:rPr>
                <w:rFonts w:ascii="宋体" w:hAnsi="宋体"/>
                <w:sz w:val="18"/>
                <w:szCs w:val="18"/>
              </w:rPr>
              <w:t>0.19</w:t>
            </w:r>
          </w:p>
        </w:tc>
        <w:tc>
          <w:tcPr>
            <w:tcW w:w="1617" w:type="dxa"/>
            <w:noWrap w:val="0"/>
            <w:vAlign w:val="center"/>
          </w:tcPr>
          <w:p w14:paraId="069BB5EB">
            <w:pPr>
              <w:jc w:val="center"/>
              <w:rPr>
                <w:rFonts w:ascii="宋体" w:hAnsi="宋体"/>
                <w:sz w:val="18"/>
                <w:szCs w:val="18"/>
              </w:rPr>
            </w:pPr>
            <w:r>
              <w:rPr>
                <w:rFonts w:ascii="宋体" w:hAnsi="宋体"/>
                <w:sz w:val="18"/>
                <w:szCs w:val="18"/>
              </w:rPr>
              <w:t>27.72</w:t>
            </w:r>
          </w:p>
        </w:tc>
        <w:tc>
          <w:tcPr>
            <w:tcW w:w="801" w:type="dxa"/>
            <w:vMerge w:val="continue"/>
            <w:noWrap w:val="0"/>
            <w:vAlign w:val="center"/>
          </w:tcPr>
          <w:p w14:paraId="70A67E04">
            <w:pPr>
              <w:jc w:val="center"/>
              <w:rPr>
                <w:rFonts w:ascii="宋体" w:hAnsi="宋体"/>
                <w:sz w:val="18"/>
                <w:szCs w:val="18"/>
              </w:rPr>
            </w:pPr>
          </w:p>
        </w:tc>
      </w:tr>
      <w:tr w14:paraId="27E8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5BDCD431">
            <w:pPr>
              <w:jc w:val="center"/>
              <w:rPr>
                <w:rFonts w:ascii="宋体" w:hAnsi="宋体"/>
                <w:sz w:val="18"/>
                <w:szCs w:val="18"/>
              </w:rPr>
            </w:pPr>
          </w:p>
        </w:tc>
        <w:tc>
          <w:tcPr>
            <w:tcW w:w="623" w:type="dxa"/>
            <w:vMerge w:val="restart"/>
            <w:noWrap w:val="0"/>
            <w:vAlign w:val="center"/>
          </w:tcPr>
          <w:p w14:paraId="55EBA206">
            <w:pPr>
              <w:jc w:val="center"/>
              <w:rPr>
                <w:rFonts w:ascii="宋体" w:hAnsi="宋体"/>
                <w:sz w:val="18"/>
                <w:szCs w:val="18"/>
              </w:rPr>
            </w:pPr>
            <w:r>
              <w:rPr>
                <w:rFonts w:ascii="宋体" w:hAnsi="宋体"/>
                <w:sz w:val="18"/>
                <w:szCs w:val="18"/>
              </w:rPr>
              <w:t>洗煤</w:t>
            </w:r>
          </w:p>
        </w:tc>
        <w:tc>
          <w:tcPr>
            <w:tcW w:w="1260" w:type="dxa"/>
            <w:noWrap w:val="0"/>
            <w:vAlign w:val="center"/>
          </w:tcPr>
          <w:p w14:paraId="0C21C089">
            <w:pPr>
              <w:jc w:val="center"/>
              <w:rPr>
                <w:rFonts w:ascii="宋体" w:hAnsi="宋体"/>
                <w:sz w:val="18"/>
                <w:szCs w:val="18"/>
              </w:rPr>
            </w:pPr>
            <w:r>
              <w:rPr>
                <w:rFonts w:ascii="宋体" w:hAnsi="宋体"/>
                <w:sz w:val="18"/>
                <w:szCs w:val="18"/>
              </w:rPr>
              <w:t>0.74～1.64</w:t>
            </w:r>
          </w:p>
        </w:tc>
        <w:tc>
          <w:tcPr>
            <w:tcW w:w="1357" w:type="dxa"/>
            <w:noWrap w:val="0"/>
            <w:vAlign w:val="center"/>
          </w:tcPr>
          <w:p w14:paraId="31178CD1">
            <w:pPr>
              <w:jc w:val="center"/>
              <w:rPr>
                <w:rFonts w:ascii="宋体" w:hAnsi="宋体"/>
                <w:sz w:val="18"/>
                <w:szCs w:val="18"/>
              </w:rPr>
            </w:pPr>
            <w:r>
              <w:rPr>
                <w:rFonts w:ascii="宋体" w:hAnsi="宋体"/>
                <w:sz w:val="18"/>
                <w:szCs w:val="18"/>
              </w:rPr>
              <w:t>5.46～11.20</w:t>
            </w:r>
          </w:p>
        </w:tc>
        <w:tc>
          <w:tcPr>
            <w:tcW w:w="1357" w:type="dxa"/>
            <w:noWrap w:val="0"/>
            <w:vAlign w:val="center"/>
          </w:tcPr>
          <w:p w14:paraId="06156426">
            <w:pPr>
              <w:jc w:val="center"/>
              <w:rPr>
                <w:rFonts w:ascii="宋体" w:hAnsi="宋体"/>
                <w:sz w:val="18"/>
                <w:szCs w:val="18"/>
              </w:rPr>
            </w:pPr>
            <w:r>
              <w:rPr>
                <w:rFonts w:ascii="宋体" w:hAnsi="宋体"/>
                <w:sz w:val="18"/>
                <w:szCs w:val="18"/>
              </w:rPr>
              <w:t>10.11～12.47</w:t>
            </w:r>
          </w:p>
        </w:tc>
        <w:tc>
          <w:tcPr>
            <w:tcW w:w="1258" w:type="dxa"/>
            <w:noWrap w:val="0"/>
            <w:vAlign w:val="center"/>
          </w:tcPr>
          <w:p w14:paraId="6B6650D8">
            <w:pPr>
              <w:jc w:val="center"/>
              <w:rPr>
                <w:rFonts w:ascii="宋体" w:hAnsi="宋体"/>
                <w:sz w:val="18"/>
                <w:szCs w:val="18"/>
              </w:rPr>
            </w:pPr>
            <w:r>
              <w:rPr>
                <w:rFonts w:ascii="宋体" w:hAnsi="宋体"/>
                <w:sz w:val="18"/>
                <w:szCs w:val="18"/>
              </w:rPr>
              <w:t>0.14～0.32</w:t>
            </w:r>
          </w:p>
        </w:tc>
        <w:tc>
          <w:tcPr>
            <w:tcW w:w="1617" w:type="dxa"/>
            <w:noWrap w:val="0"/>
            <w:vAlign w:val="center"/>
          </w:tcPr>
          <w:p w14:paraId="6C08AA76">
            <w:pPr>
              <w:jc w:val="center"/>
              <w:rPr>
                <w:rFonts w:ascii="宋体" w:hAnsi="宋体"/>
                <w:sz w:val="18"/>
                <w:szCs w:val="18"/>
              </w:rPr>
            </w:pPr>
            <w:r>
              <w:rPr>
                <w:rFonts w:ascii="宋体" w:hAnsi="宋体"/>
                <w:sz w:val="18"/>
                <w:szCs w:val="18"/>
              </w:rPr>
              <w:t>32.46～33.96</w:t>
            </w:r>
          </w:p>
        </w:tc>
        <w:tc>
          <w:tcPr>
            <w:tcW w:w="801" w:type="dxa"/>
            <w:vMerge w:val="continue"/>
            <w:noWrap w:val="0"/>
            <w:vAlign w:val="center"/>
          </w:tcPr>
          <w:p w14:paraId="1C45601A">
            <w:pPr>
              <w:jc w:val="center"/>
              <w:rPr>
                <w:rFonts w:ascii="宋体" w:hAnsi="宋体"/>
                <w:sz w:val="18"/>
                <w:szCs w:val="18"/>
              </w:rPr>
            </w:pPr>
          </w:p>
        </w:tc>
      </w:tr>
      <w:tr w14:paraId="2B4F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17B168DB">
            <w:pPr>
              <w:jc w:val="center"/>
              <w:rPr>
                <w:rFonts w:ascii="宋体" w:hAnsi="宋体"/>
                <w:sz w:val="18"/>
                <w:szCs w:val="18"/>
              </w:rPr>
            </w:pPr>
          </w:p>
        </w:tc>
        <w:tc>
          <w:tcPr>
            <w:tcW w:w="623" w:type="dxa"/>
            <w:vMerge w:val="continue"/>
            <w:noWrap w:val="0"/>
            <w:vAlign w:val="center"/>
          </w:tcPr>
          <w:p w14:paraId="5493D99D">
            <w:pPr>
              <w:jc w:val="center"/>
              <w:rPr>
                <w:rFonts w:ascii="宋体" w:hAnsi="宋体"/>
                <w:sz w:val="18"/>
                <w:szCs w:val="18"/>
              </w:rPr>
            </w:pPr>
          </w:p>
        </w:tc>
        <w:tc>
          <w:tcPr>
            <w:tcW w:w="1260" w:type="dxa"/>
            <w:noWrap w:val="0"/>
            <w:vAlign w:val="center"/>
          </w:tcPr>
          <w:p w14:paraId="3FFEBD6C">
            <w:pPr>
              <w:jc w:val="center"/>
              <w:rPr>
                <w:rFonts w:ascii="宋体" w:hAnsi="宋体"/>
                <w:sz w:val="18"/>
                <w:szCs w:val="18"/>
              </w:rPr>
            </w:pPr>
            <w:r>
              <w:rPr>
                <w:rFonts w:ascii="宋体" w:hAnsi="宋体"/>
                <w:sz w:val="18"/>
                <w:szCs w:val="18"/>
              </w:rPr>
              <w:t>1.16</w:t>
            </w:r>
          </w:p>
        </w:tc>
        <w:tc>
          <w:tcPr>
            <w:tcW w:w="1357" w:type="dxa"/>
            <w:noWrap w:val="0"/>
            <w:vAlign w:val="center"/>
          </w:tcPr>
          <w:p w14:paraId="06E71E36">
            <w:pPr>
              <w:jc w:val="center"/>
              <w:rPr>
                <w:rFonts w:ascii="宋体" w:hAnsi="宋体"/>
                <w:sz w:val="18"/>
                <w:szCs w:val="18"/>
              </w:rPr>
            </w:pPr>
            <w:r>
              <w:rPr>
                <w:rFonts w:ascii="宋体" w:hAnsi="宋体"/>
                <w:sz w:val="18"/>
                <w:szCs w:val="18"/>
              </w:rPr>
              <w:t>8.07</w:t>
            </w:r>
          </w:p>
        </w:tc>
        <w:tc>
          <w:tcPr>
            <w:tcW w:w="1357" w:type="dxa"/>
            <w:noWrap w:val="0"/>
            <w:vAlign w:val="center"/>
          </w:tcPr>
          <w:p w14:paraId="75319D34">
            <w:pPr>
              <w:jc w:val="center"/>
              <w:rPr>
                <w:rFonts w:ascii="宋体" w:hAnsi="宋体"/>
                <w:sz w:val="18"/>
                <w:szCs w:val="18"/>
              </w:rPr>
            </w:pPr>
            <w:r>
              <w:rPr>
                <w:rFonts w:ascii="宋体" w:hAnsi="宋体"/>
                <w:sz w:val="18"/>
                <w:szCs w:val="18"/>
              </w:rPr>
              <w:t>11.62</w:t>
            </w:r>
          </w:p>
        </w:tc>
        <w:tc>
          <w:tcPr>
            <w:tcW w:w="1258" w:type="dxa"/>
            <w:noWrap w:val="0"/>
            <w:vAlign w:val="center"/>
          </w:tcPr>
          <w:p w14:paraId="37C4832E">
            <w:pPr>
              <w:jc w:val="center"/>
              <w:rPr>
                <w:rFonts w:ascii="宋体" w:hAnsi="宋体"/>
                <w:sz w:val="18"/>
                <w:szCs w:val="18"/>
              </w:rPr>
            </w:pPr>
            <w:r>
              <w:rPr>
                <w:rFonts w:ascii="宋体" w:hAnsi="宋体"/>
                <w:sz w:val="18"/>
                <w:szCs w:val="18"/>
              </w:rPr>
              <w:t>0.28</w:t>
            </w:r>
          </w:p>
        </w:tc>
        <w:tc>
          <w:tcPr>
            <w:tcW w:w="1617" w:type="dxa"/>
            <w:noWrap w:val="0"/>
            <w:vAlign w:val="center"/>
          </w:tcPr>
          <w:p w14:paraId="0B4F1D74">
            <w:pPr>
              <w:jc w:val="center"/>
              <w:rPr>
                <w:rFonts w:ascii="宋体" w:hAnsi="宋体"/>
                <w:sz w:val="18"/>
                <w:szCs w:val="18"/>
              </w:rPr>
            </w:pPr>
            <w:r>
              <w:rPr>
                <w:rFonts w:ascii="宋体" w:hAnsi="宋体"/>
                <w:sz w:val="18"/>
                <w:szCs w:val="18"/>
              </w:rPr>
              <w:t>33.25</w:t>
            </w:r>
          </w:p>
        </w:tc>
        <w:tc>
          <w:tcPr>
            <w:tcW w:w="801" w:type="dxa"/>
            <w:vMerge w:val="continue"/>
            <w:noWrap w:val="0"/>
            <w:vAlign w:val="center"/>
          </w:tcPr>
          <w:p w14:paraId="062AC7E6">
            <w:pPr>
              <w:jc w:val="center"/>
              <w:rPr>
                <w:rFonts w:ascii="宋体" w:hAnsi="宋体"/>
                <w:sz w:val="18"/>
                <w:szCs w:val="18"/>
              </w:rPr>
            </w:pPr>
          </w:p>
        </w:tc>
      </w:tr>
      <w:tr w14:paraId="467A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246C78F4">
            <w:pPr>
              <w:jc w:val="center"/>
              <w:rPr>
                <w:rFonts w:ascii="宋体" w:hAnsi="宋体"/>
                <w:sz w:val="18"/>
                <w:szCs w:val="18"/>
              </w:rPr>
            </w:pPr>
            <w:r>
              <w:rPr>
                <w:rFonts w:ascii="宋体" w:hAnsi="宋体"/>
                <w:sz w:val="18"/>
                <w:szCs w:val="18"/>
              </w:rPr>
              <w:t>K35-b</w:t>
            </w:r>
          </w:p>
        </w:tc>
        <w:tc>
          <w:tcPr>
            <w:tcW w:w="623" w:type="dxa"/>
            <w:vMerge w:val="restart"/>
            <w:noWrap w:val="0"/>
            <w:vAlign w:val="center"/>
          </w:tcPr>
          <w:p w14:paraId="783284F4">
            <w:pPr>
              <w:jc w:val="center"/>
              <w:rPr>
                <w:rFonts w:ascii="宋体" w:hAnsi="宋体"/>
                <w:sz w:val="18"/>
                <w:szCs w:val="18"/>
              </w:rPr>
            </w:pPr>
            <w:r>
              <w:rPr>
                <w:rFonts w:ascii="宋体" w:hAnsi="宋体"/>
                <w:sz w:val="18"/>
                <w:szCs w:val="18"/>
              </w:rPr>
              <w:t>原煤</w:t>
            </w:r>
          </w:p>
        </w:tc>
        <w:tc>
          <w:tcPr>
            <w:tcW w:w="1260" w:type="dxa"/>
            <w:noWrap w:val="0"/>
            <w:vAlign w:val="center"/>
          </w:tcPr>
          <w:p w14:paraId="148E0EE1">
            <w:pPr>
              <w:jc w:val="center"/>
              <w:rPr>
                <w:rFonts w:ascii="宋体" w:hAnsi="宋体"/>
                <w:sz w:val="18"/>
                <w:szCs w:val="18"/>
              </w:rPr>
            </w:pPr>
            <w:r>
              <w:rPr>
                <w:rFonts w:ascii="宋体" w:hAnsi="宋体"/>
                <w:sz w:val="18"/>
                <w:szCs w:val="18"/>
              </w:rPr>
              <w:t>0.74～1.31</w:t>
            </w:r>
          </w:p>
        </w:tc>
        <w:tc>
          <w:tcPr>
            <w:tcW w:w="1357" w:type="dxa"/>
            <w:noWrap w:val="0"/>
            <w:vAlign w:val="center"/>
          </w:tcPr>
          <w:p w14:paraId="5C6383C1">
            <w:pPr>
              <w:jc w:val="center"/>
              <w:rPr>
                <w:rFonts w:ascii="宋体" w:hAnsi="宋体"/>
                <w:sz w:val="18"/>
                <w:szCs w:val="18"/>
              </w:rPr>
            </w:pPr>
            <w:r>
              <w:rPr>
                <w:rFonts w:ascii="宋体" w:hAnsi="宋体"/>
                <w:sz w:val="18"/>
                <w:szCs w:val="18"/>
              </w:rPr>
              <w:t>17.48～39.23</w:t>
            </w:r>
          </w:p>
        </w:tc>
        <w:tc>
          <w:tcPr>
            <w:tcW w:w="1357" w:type="dxa"/>
            <w:noWrap w:val="0"/>
            <w:vAlign w:val="center"/>
          </w:tcPr>
          <w:p w14:paraId="3D2955E4">
            <w:pPr>
              <w:jc w:val="center"/>
              <w:rPr>
                <w:rFonts w:ascii="宋体" w:hAnsi="宋体"/>
                <w:sz w:val="18"/>
                <w:szCs w:val="18"/>
              </w:rPr>
            </w:pPr>
            <w:r>
              <w:rPr>
                <w:rFonts w:ascii="宋体" w:hAnsi="宋体"/>
                <w:sz w:val="18"/>
                <w:szCs w:val="18"/>
              </w:rPr>
              <w:t>11.61～12.28</w:t>
            </w:r>
          </w:p>
        </w:tc>
        <w:tc>
          <w:tcPr>
            <w:tcW w:w="1258" w:type="dxa"/>
            <w:noWrap w:val="0"/>
            <w:vAlign w:val="center"/>
          </w:tcPr>
          <w:p w14:paraId="66784108">
            <w:pPr>
              <w:jc w:val="center"/>
              <w:rPr>
                <w:rFonts w:ascii="宋体" w:hAnsi="宋体"/>
                <w:sz w:val="18"/>
                <w:szCs w:val="18"/>
              </w:rPr>
            </w:pPr>
            <w:r>
              <w:rPr>
                <w:rFonts w:ascii="宋体" w:hAnsi="宋体"/>
                <w:sz w:val="18"/>
                <w:szCs w:val="18"/>
              </w:rPr>
              <w:t>0.12～0.24</w:t>
            </w:r>
          </w:p>
        </w:tc>
        <w:tc>
          <w:tcPr>
            <w:tcW w:w="1617" w:type="dxa"/>
            <w:noWrap w:val="0"/>
            <w:vAlign w:val="center"/>
          </w:tcPr>
          <w:p w14:paraId="186C0064">
            <w:pPr>
              <w:jc w:val="center"/>
              <w:rPr>
                <w:rFonts w:ascii="宋体" w:hAnsi="宋体"/>
                <w:sz w:val="18"/>
                <w:szCs w:val="18"/>
              </w:rPr>
            </w:pPr>
            <w:r>
              <w:rPr>
                <w:rFonts w:ascii="宋体" w:hAnsi="宋体"/>
                <w:sz w:val="18"/>
                <w:szCs w:val="18"/>
              </w:rPr>
              <w:t>20.64～29.77</w:t>
            </w:r>
          </w:p>
        </w:tc>
        <w:tc>
          <w:tcPr>
            <w:tcW w:w="801" w:type="dxa"/>
            <w:vMerge w:val="restart"/>
            <w:noWrap w:val="0"/>
            <w:vAlign w:val="center"/>
          </w:tcPr>
          <w:p w14:paraId="25E29CC0">
            <w:pPr>
              <w:jc w:val="center"/>
              <w:rPr>
                <w:rFonts w:ascii="宋体" w:hAnsi="宋体"/>
                <w:sz w:val="18"/>
                <w:szCs w:val="18"/>
              </w:rPr>
            </w:pPr>
            <w:r>
              <w:rPr>
                <w:rFonts w:hint="eastAsia" w:ascii="宋体" w:hAnsi="宋体"/>
                <w:sz w:val="18"/>
                <w:szCs w:val="18"/>
              </w:rPr>
              <w:t>贫煤</w:t>
            </w:r>
          </w:p>
        </w:tc>
      </w:tr>
      <w:tr w14:paraId="0EC1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46E4696E">
            <w:pPr>
              <w:jc w:val="center"/>
              <w:rPr>
                <w:rFonts w:ascii="宋体" w:hAnsi="宋体"/>
                <w:sz w:val="18"/>
                <w:szCs w:val="18"/>
              </w:rPr>
            </w:pPr>
          </w:p>
        </w:tc>
        <w:tc>
          <w:tcPr>
            <w:tcW w:w="623" w:type="dxa"/>
            <w:vMerge w:val="continue"/>
            <w:noWrap w:val="0"/>
            <w:vAlign w:val="center"/>
          </w:tcPr>
          <w:p w14:paraId="0B91B64A">
            <w:pPr>
              <w:jc w:val="center"/>
              <w:rPr>
                <w:rFonts w:ascii="宋体" w:hAnsi="宋体"/>
                <w:sz w:val="18"/>
                <w:szCs w:val="18"/>
              </w:rPr>
            </w:pPr>
          </w:p>
        </w:tc>
        <w:tc>
          <w:tcPr>
            <w:tcW w:w="1260" w:type="dxa"/>
            <w:noWrap w:val="0"/>
            <w:vAlign w:val="center"/>
          </w:tcPr>
          <w:p w14:paraId="353AECE3">
            <w:pPr>
              <w:jc w:val="center"/>
              <w:rPr>
                <w:rFonts w:ascii="宋体" w:hAnsi="宋体"/>
                <w:sz w:val="18"/>
                <w:szCs w:val="18"/>
              </w:rPr>
            </w:pPr>
            <w:r>
              <w:rPr>
                <w:rFonts w:ascii="宋体" w:hAnsi="宋体"/>
                <w:sz w:val="18"/>
                <w:szCs w:val="18"/>
              </w:rPr>
              <w:t>1.04</w:t>
            </w:r>
          </w:p>
        </w:tc>
        <w:tc>
          <w:tcPr>
            <w:tcW w:w="1357" w:type="dxa"/>
            <w:noWrap w:val="0"/>
            <w:vAlign w:val="center"/>
          </w:tcPr>
          <w:p w14:paraId="2BBEB101">
            <w:pPr>
              <w:jc w:val="center"/>
              <w:rPr>
                <w:rFonts w:ascii="宋体" w:hAnsi="宋体"/>
                <w:sz w:val="18"/>
                <w:szCs w:val="18"/>
              </w:rPr>
            </w:pPr>
            <w:r>
              <w:rPr>
                <w:rFonts w:ascii="宋体" w:hAnsi="宋体"/>
                <w:sz w:val="18"/>
                <w:szCs w:val="18"/>
              </w:rPr>
              <w:t>29.71</w:t>
            </w:r>
          </w:p>
        </w:tc>
        <w:tc>
          <w:tcPr>
            <w:tcW w:w="1357" w:type="dxa"/>
            <w:noWrap w:val="0"/>
            <w:vAlign w:val="center"/>
          </w:tcPr>
          <w:p w14:paraId="55CFF040">
            <w:pPr>
              <w:jc w:val="center"/>
              <w:rPr>
                <w:rFonts w:ascii="宋体" w:hAnsi="宋体"/>
                <w:sz w:val="18"/>
                <w:szCs w:val="18"/>
              </w:rPr>
            </w:pPr>
            <w:r>
              <w:rPr>
                <w:rFonts w:ascii="宋体" w:hAnsi="宋体"/>
                <w:sz w:val="18"/>
                <w:szCs w:val="18"/>
              </w:rPr>
              <w:t>11.91</w:t>
            </w:r>
          </w:p>
        </w:tc>
        <w:tc>
          <w:tcPr>
            <w:tcW w:w="1258" w:type="dxa"/>
            <w:noWrap w:val="0"/>
            <w:vAlign w:val="center"/>
          </w:tcPr>
          <w:p w14:paraId="1F2A61D3">
            <w:pPr>
              <w:jc w:val="center"/>
              <w:rPr>
                <w:rFonts w:ascii="宋体" w:hAnsi="宋体"/>
                <w:sz w:val="18"/>
                <w:szCs w:val="18"/>
              </w:rPr>
            </w:pPr>
            <w:r>
              <w:rPr>
                <w:rFonts w:ascii="宋体" w:hAnsi="宋体"/>
                <w:sz w:val="18"/>
                <w:szCs w:val="18"/>
              </w:rPr>
              <w:t>0.18</w:t>
            </w:r>
          </w:p>
        </w:tc>
        <w:tc>
          <w:tcPr>
            <w:tcW w:w="1617" w:type="dxa"/>
            <w:noWrap w:val="0"/>
            <w:vAlign w:val="center"/>
          </w:tcPr>
          <w:p w14:paraId="788A5889">
            <w:pPr>
              <w:jc w:val="center"/>
              <w:rPr>
                <w:rFonts w:ascii="宋体" w:hAnsi="宋体"/>
                <w:sz w:val="18"/>
                <w:szCs w:val="18"/>
              </w:rPr>
            </w:pPr>
            <w:r>
              <w:rPr>
                <w:rFonts w:ascii="宋体" w:hAnsi="宋体"/>
                <w:sz w:val="18"/>
                <w:szCs w:val="18"/>
              </w:rPr>
              <w:t>26.53</w:t>
            </w:r>
          </w:p>
        </w:tc>
        <w:tc>
          <w:tcPr>
            <w:tcW w:w="801" w:type="dxa"/>
            <w:vMerge w:val="continue"/>
            <w:noWrap w:val="0"/>
            <w:vAlign w:val="center"/>
          </w:tcPr>
          <w:p w14:paraId="7B717D86">
            <w:pPr>
              <w:jc w:val="center"/>
              <w:rPr>
                <w:rFonts w:ascii="宋体" w:hAnsi="宋体"/>
                <w:color w:val="FF0000"/>
                <w:sz w:val="18"/>
                <w:szCs w:val="18"/>
              </w:rPr>
            </w:pPr>
          </w:p>
        </w:tc>
      </w:tr>
      <w:tr w14:paraId="7F7C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1387EE1D">
            <w:pPr>
              <w:jc w:val="center"/>
              <w:rPr>
                <w:rFonts w:ascii="宋体" w:hAnsi="宋体"/>
                <w:sz w:val="18"/>
                <w:szCs w:val="18"/>
              </w:rPr>
            </w:pPr>
          </w:p>
        </w:tc>
        <w:tc>
          <w:tcPr>
            <w:tcW w:w="623" w:type="dxa"/>
            <w:vMerge w:val="restart"/>
            <w:noWrap w:val="0"/>
            <w:vAlign w:val="center"/>
          </w:tcPr>
          <w:p w14:paraId="148FFBB3">
            <w:pPr>
              <w:jc w:val="center"/>
              <w:rPr>
                <w:rFonts w:ascii="宋体" w:hAnsi="宋体"/>
                <w:sz w:val="18"/>
                <w:szCs w:val="18"/>
              </w:rPr>
            </w:pPr>
            <w:r>
              <w:rPr>
                <w:rFonts w:ascii="宋体" w:hAnsi="宋体"/>
                <w:sz w:val="18"/>
                <w:szCs w:val="18"/>
              </w:rPr>
              <w:t>洗煤</w:t>
            </w:r>
          </w:p>
        </w:tc>
        <w:tc>
          <w:tcPr>
            <w:tcW w:w="1260" w:type="dxa"/>
            <w:noWrap w:val="0"/>
            <w:vAlign w:val="center"/>
          </w:tcPr>
          <w:p w14:paraId="2DA3849B">
            <w:pPr>
              <w:jc w:val="center"/>
              <w:rPr>
                <w:rFonts w:ascii="宋体" w:hAnsi="宋体"/>
                <w:sz w:val="18"/>
                <w:szCs w:val="18"/>
              </w:rPr>
            </w:pPr>
            <w:r>
              <w:rPr>
                <w:rFonts w:ascii="宋体" w:hAnsi="宋体"/>
                <w:sz w:val="18"/>
                <w:szCs w:val="18"/>
              </w:rPr>
              <w:t>0.69～1.35</w:t>
            </w:r>
          </w:p>
        </w:tc>
        <w:tc>
          <w:tcPr>
            <w:tcW w:w="1357" w:type="dxa"/>
            <w:noWrap w:val="0"/>
            <w:vAlign w:val="center"/>
          </w:tcPr>
          <w:p w14:paraId="6559936E">
            <w:pPr>
              <w:jc w:val="center"/>
              <w:rPr>
                <w:rFonts w:ascii="宋体" w:hAnsi="宋体"/>
                <w:sz w:val="18"/>
                <w:szCs w:val="18"/>
              </w:rPr>
            </w:pPr>
            <w:r>
              <w:rPr>
                <w:rFonts w:ascii="宋体" w:hAnsi="宋体"/>
                <w:sz w:val="18"/>
                <w:szCs w:val="18"/>
              </w:rPr>
              <w:t>6.74～11.20</w:t>
            </w:r>
          </w:p>
        </w:tc>
        <w:tc>
          <w:tcPr>
            <w:tcW w:w="1357" w:type="dxa"/>
            <w:noWrap w:val="0"/>
            <w:vAlign w:val="center"/>
          </w:tcPr>
          <w:p w14:paraId="332D28A8">
            <w:pPr>
              <w:jc w:val="center"/>
              <w:rPr>
                <w:rFonts w:ascii="宋体" w:hAnsi="宋体"/>
                <w:sz w:val="18"/>
                <w:szCs w:val="18"/>
              </w:rPr>
            </w:pPr>
            <w:r>
              <w:rPr>
                <w:rFonts w:ascii="宋体" w:hAnsi="宋体"/>
                <w:sz w:val="18"/>
                <w:szCs w:val="18"/>
              </w:rPr>
              <w:t>10.58～11.50</w:t>
            </w:r>
          </w:p>
        </w:tc>
        <w:tc>
          <w:tcPr>
            <w:tcW w:w="1258" w:type="dxa"/>
            <w:noWrap w:val="0"/>
            <w:vAlign w:val="center"/>
          </w:tcPr>
          <w:p w14:paraId="4E6C44F0">
            <w:pPr>
              <w:jc w:val="center"/>
              <w:rPr>
                <w:rFonts w:ascii="宋体" w:hAnsi="宋体"/>
                <w:sz w:val="18"/>
                <w:szCs w:val="18"/>
              </w:rPr>
            </w:pPr>
            <w:r>
              <w:rPr>
                <w:rFonts w:ascii="宋体" w:hAnsi="宋体"/>
                <w:sz w:val="18"/>
                <w:szCs w:val="18"/>
              </w:rPr>
              <w:t>0.18～0.29</w:t>
            </w:r>
          </w:p>
        </w:tc>
        <w:tc>
          <w:tcPr>
            <w:tcW w:w="1617" w:type="dxa"/>
            <w:noWrap w:val="0"/>
            <w:vAlign w:val="center"/>
          </w:tcPr>
          <w:p w14:paraId="437560FE">
            <w:pPr>
              <w:jc w:val="center"/>
              <w:rPr>
                <w:rFonts w:ascii="宋体" w:hAnsi="宋体"/>
                <w:sz w:val="18"/>
                <w:szCs w:val="18"/>
              </w:rPr>
            </w:pPr>
            <w:r>
              <w:rPr>
                <w:rFonts w:ascii="宋体" w:hAnsi="宋体"/>
                <w:sz w:val="18"/>
                <w:szCs w:val="18"/>
              </w:rPr>
              <w:t>32.14～34.16</w:t>
            </w:r>
          </w:p>
        </w:tc>
        <w:tc>
          <w:tcPr>
            <w:tcW w:w="801" w:type="dxa"/>
            <w:vMerge w:val="continue"/>
            <w:noWrap w:val="0"/>
            <w:vAlign w:val="center"/>
          </w:tcPr>
          <w:p w14:paraId="55FDF21A">
            <w:pPr>
              <w:jc w:val="center"/>
              <w:rPr>
                <w:rFonts w:ascii="宋体" w:hAnsi="宋体"/>
                <w:color w:val="FF0000"/>
                <w:sz w:val="18"/>
                <w:szCs w:val="18"/>
              </w:rPr>
            </w:pPr>
          </w:p>
        </w:tc>
      </w:tr>
      <w:tr w14:paraId="66AC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2D39DEA8">
            <w:pPr>
              <w:jc w:val="center"/>
              <w:rPr>
                <w:rFonts w:ascii="宋体" w:hAnsi="宋体"/>
                <w:sz w:val="18"/>
                <w:szCs w:val="18"/>
              </w:rPr>
            </w:pPr>
          </w:p>
        </w:tc>
        <w:tc>
          <w:tcPr>
            <w:tcW w:w="623" w:type="dxa"/>
            <w:vMerge w:val="continue"/>
            <w:noWrap w:val="0"/>
            <w:vAlign w:val="center"/>
          </w:tcPr>
          <w:p w14:paraId="1FEFD5DA">
            <w:pPr>
              <w:jc w:val="center"/>
              <w:rPr>
                <w:rFonts w:ascii="宋体" w:hAnsi="宋体"/>
                <w:sz w:val="18"/>
                <w:szCs w:val="18"/>
              </w:rPr>
            </w:pPr>
          </w:p>
        </w:tc>
        <w:tc>
          <w:tcPr>
            <w:tcW w:w="1260" w:type="dxa"/>
            <w:noWrap w:val="0"/>
            <w:vAlign w:val="center"/>
          </w:tcPr>
          <w:p w14:paraId="657E03F8">
            <w:pPr>
              <w:jc w:val="center"/>
              <w:rPr>
                <w:rFonts w:ascii="宋体" w:hAnsi="宋体"/>
                <w:sz w:val="18"/>
                <w:szCs w:val="18"/>
              </w:rPr>
            </w:pPr>
            <w:r>
              <w:rPr>
                <w:rFonts w:ascii="宋体" w:hAnsi="宋体"/>
                <w:sz w:val="18"/>
                <w:szCs w:val="18"/>
              </w:rPr>
              <w:t>1.09</w:t>
            </w:r>
          </w:p>
        </w:tc>
        <w:tc>
          <w:tcPr>
            <w:tcW w:w="1357" w:type="dxa"/>
            <w:noWrap w:val="0"/>
            <w:vAlign w:val="center"/>
          </w:tcPr>
          <w:p w14:paraId="789C70A7">
            <w:pPr>
              <w:jc w:val="center"/>
              <w:rPr>
                <w:rFonts w:ascii="宋体" w:hAnsi="宋体"/>
                <w:sz w:val="18"/>
                <w:szCs w:val="18"/>
              </w:rPr>
            </w:pPr>
            <w:r>
              <w:rPr>
                <w:rFonts w:ascii="宋体" w:hAnsi="宋体"/>
                <w:sz w:val="18"/>
                <w:szCs w:val="18"/>
              </w:rPr>
              <w:t>9.12</w:t>
            </w:r>
          </w:p>
        </w:tc>
        <w:tc>
          <w:tcPr>
            <w:tcW w:w="1357" w:type="dxa"/>
            <w:noWrap w:val="0"/>
            <w:vAlign w:val="center"/>
          </w:tcPr>
          <w:p w14:paraId="07179E03">
            <w:pPr>
              <w:jc w:val="center"/>
              <w:rPr>
                <w:rFonts w:ascii="宋体" w:hAnsi="宋体"/>
                <w:sz w:val="18"/>
                <w:szCs w:val="18"/>
              </w:rPr>
            </w:pPr>
            <w:r>
              <w:rPr>
                <w:rFonts w:ascii="宋体" w:hAnsi="宋体"/>
                <w:sz w:val="18"/>
                <w:szCs w:val="18"/>
              </w:rPr>
              <w:t>10.92</w:t>
            </w:r>
          </w:p>
        </w:tc>
        <w:tc>
          <w:tcPr>
            <w:tcW w:w="1258" w:type="dxa"/>
            <w:noWrap w:val="0"/>
            <w:vAlign w:val="center"/>
          </w:tcPr>
          <w:p w14:paraId="49C6170A">
            <w:pPr>
              <w:jc w:val="center"/>
              <w:rPr>
                <w:rFonts w:ascii="宋体" w:hAnsi="宋体"/>
                <w:sz w:val="18"/>
                <w:szCs w:val="18"/>
              </w:rPr>
            </w:pPr>
            <w:r>
              <w:rPr>
                <w:rFonts w:ascii="宋体" w:hAnsi="宋体"/>
                <w:sz w:val="18"/>
                <w:szCs w:val="18"/>
              </w:rPr>
              <w:t>0.24</w:t>
            </w:r>
          </w:p>
        </w:tc>
        <w:tc>
          <w:tcPr>
            <w:tcW w:w="1617" w:type="dxa"/>
            <w:noWrap w:val="0"/>
            <w:vAlign w:val="center"/>
          </w:tcPr>
          <w:p w14:paraId="522B8477">
            <w:pPr>
              <w:jc w:val="center"/>
              <w:rPr>
                <w:rFonts w:ascii="宋体" w:hAnsi="宋体"/>
                <w:sz w:val="18"/>
                <w:szCs w:val="18"/>
              </w:rPr>
            </w:pPr>
            <w:r>
              <w:rPr>
                <w:rFonts w:ascii="宋体" w:hAnsi="宋体"/>
                <w:sz w:val="18"/>
                <w:szCs w:val="18"/>
              </w:rPr>
              <w:t>33.15</w:t>
            </w:r>
          </w:p>
        </w:tc>
        <w:tc>
          <w:tcPr>
            <w:tcW w:w="801" w:type="dxa"/>
            <w:vMerge w:val="continue"/>
            <w:noWrap w:val="0"/>
            <w:vAlign w:val="center"/>
          </w:tcPr>
          <w:p w14:paraId="3324CAEC">
            <w:pPr>
              <w:jc w:val="center"/>
              <w:rPr>
                <w:rFonts w:ascii="宋体" w:hAnsi="宋体"/>
                <w:color w:val="FF0000"/>
                <w:sz w:val="18"/>
                <w:szCs w:val="18"/>
              </w:rPr>
            </w:pPr>
          </w:p>
        </w:tc>
      </w:tr>
      <w:tr w14:paraId="6204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12C7B859">
            <w:pPr>
              <w:jc w:val="center"/>
              <w:rPr>
                <w:rFonts w:ascii="宋体" w:hAnsi="宋体"/>
                <w:sz w:val="18"/>
                <w:szCs w:val="18"/>
              </w:rPr>
            </w:pPr>
            <w:r>
              <w:rPr>
                <w:rFonts w:ascii="宋体" w:hAnsi="宋体"/>
                <w:sz w:val="18"/>
                <w:szCs w:val="18"/>
              </w:rPr>
              <w:t>K106-b</w:t>
            </w:r>
          </w:p>
        </w:tc>
        <w:tc>
          <w:tcPr>
            <w:tcW w:w="623" w:type="dxa"/>
            <w:vMerge w:val="restart"/>
            <w:noWrap w:val="0"/>
            <w:vAlign w:val="center"/>
          </w:tcPr>
          <w:p w14:paraId="5AB7CA87">
            <w:pPr>
              <w:jc w:val="center"/>
              <w:rPr>
                <w:rFonts w:ascii="宋体" w:hAnsi="宋体"/>
                <w:sz w:val="18"/>
                <w:szCs w:val="18"/>
              </w:rPr>
            </w:pPr>
            <w:r>
              <w:rPr>
                <w:rFonts w:ascii="宋体" w:hAnsi="宋体"/>
                <w:sz w:val="18"/>
                <w:szCs w:val="18"/>
              </w:rPr>
              <w:t>原煤</w:t>
            </w:r>
          </w:p>
        </w:tc>
        <w:tc>
          <w:tcPr>
            <w:tcW w:w="1260" w:type="dxa"/>
            <w:noWrap w:val="0"/>
            <w:vAlign w:val="center"/>
          </w:tcPr>
          <w:p w14:paraId="4F52E7B2">
            <w:pPr>
              <w:jc w:val="center"/>
              <w:rPr>
                <w:rFonts w:ascii="宋体" w:hAnsi="宋体"/>
                <w:sz w:val="18"/>
                <w:szCs w:val="18"/>
              </w:rPr>
            </w:pPr>
            <w:r>
              <w:rPr>
                <w:rFonts w:ascii="宋体" w:hAnsi="宋体"/>
                <w:sz w:val="18"/>
                <w:szCs w:val="18"/>
              </w:rPr>
              <w:t>0.62～1.53</w:t>
            </w:r>
          </w:p>
        </w:tc>
        <w:tc>
          <w:tcPr>
            <w:tcW w:w="1357" w:type="dxa"/>
            <w:noWrap w:val="0"/>
            <w:vAlign w:val="center"/>
          </w:tcPr>
          <w:p w14:paraId="58A9C865">
            <w:pPr>
              <w:jc w:val="center"/>
              <w:rPr>
                <w:rFonts w:ascii="宋体" w:hAnsi="宋体"/>
                <w:sz w:val="18"/>
                <w:szCs w:val="18"/>
              </w:rPr>
            </w:pPr>
            <w:r>
              <w:rPr>
                <w:rFonts w:ascii="宋体" w:hAnsi="宋体"/>
                <w:sz w:val="18"/>
                <w:szCs w:val="18"/>
              </w:rPr>
              <w:t>15.97～36.86</w:t>
            </w:r>
          </w:p>
        </w:tc>
        <w:tc>
          <w:tcPr>
            <w:tcW w:w="1357" w:type="dxa"/>
            <w:noWrap w:val="0"/>
            <w:vAlign w:val="center"/>
          </w:tcPr>
          <w:p w14:paraId="23E91BA3">
            <w:pPr>
              <w:jc w:val="center"/>
              <w:rPr>
                <w:rFonts w:ascii="宋体" w:hAnsi="宋体"/>
                <w:sz w:val="18"/>
                <w:szCs w:val="18"/>
              </w:rPr>
            </w:pPr>
            <w:r>
              <w:rPr>
                <w:rFonts w:ascii="宋体" w:hAnsi="宋体"/>
                <w:sz w:val="18"/>
                <w:szCs w:val="18"/>
              </w:rPr>
              <w:t>8.00～13.12</w:t>
            </w:r>
          </w:p>
        </w:tc>
        <w:tc>
          <w:tcPr>
            <w:tcW w:w="1258" w:type="dxa"/>
            <w:noWrap w:val="0"/>
            <w:vAlign w:val="center"/>
          </w:tcPr>
          <w:p w14:paraId="42D56DDA">
            <w:pPr>
              <w:jc w:val="center"/>
              <w:rPr>
                <w:rFonts w:ascii="宋体" w:hAnsi="宋体"/>
                <w:sz w:val="18"/>
                <w:szCs w:val="18"/>
              </w:rPr>
            </w:pPr>
            <w:r>
              <w:rPr>
                <w:rFonts w:ascii="宋体" w:hAnsi="宋体"/>
                <w:sz w:val="18"/>
                <w:szCs w:val="18"/>
              </w:rPr>
              <w:t>0.08～3.34</w:t>
            </w:r>
          </w:p>
        </w:tc>
        <w:tc>
          <w:tcPr>
            <w:tcW w:w="1617" w:type="dxa"/>
            <w:noWrap w:val="0"/>
            <w:vAlign w:val="center"/>
          </w:tcPr>
          <w:p w14:paraId="32FEFA10">
            <w:pPr>
              <w:jc w:val="center"/>
              <w:rPr>
                <w:rFonts w:ascii="宋体" w:hAnsi="宋体"/>
                <w:sz w:val="18"/>
                <w:szCs w:val="18"/>
              </w:rPr>
            </w:pPr>
            <w:r>
              <w:rPr>
                <w:rFonts w:ascii="宋体" w:hAnsi="宋体"/>
                <w:sz w:val="18"/>
                <w:szCs w:val="18"/>
              </w:rPr>
              <w:t>21.52～29.38</w:t>
            </w:r>
          </w:p>
        </w:tc>
        <w:tc>
          <w:tcPr>
            <w:tcW w:w="801" w:type="dxa"/>
            <w:vMerge w:val="restart"/>
            <w:noWrap w:val="0"/>
            <w:vAlign w:val="center"/>
          </w:tcPr>
          <w:p w14:paraId="55F58CB6">
            <w:pPr>
              <w:rPr>
                <w:rFonts w:ascii="宋体" w:hAnsi="宋体"/>
                <w:sz w:val="18"/>
                <w:szCs w:val="18"/>
              </w:rPr>
            </w:pPr>
            <w:r>
              <w:rPr>
                <w:rFonts w:hint="eastAsia" w:ascii="宋体" w:hAnsi="宋体"/>
                <w:sz w:val="18"/>
                <w:szCs w:val="18"/>
              </w:rPr>
              <w:t>无烟煤</w:t>
            </w:r>
          </w:p>
        </w:tc>
      </w:tr>
      <w:tr w14:paraId="633B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4B86C56">
            <w:pPr>
              <w:jc w:val="center"/>
              <w:rPr>
                <w:rFonts w:ascii="宋体" w:hAnsi="宋体"/>
                <w:sz w:val="18"/>
                <w:szCs w:val="18"/>
              </w:rPr>
            </w:pPr>
          </w:p>
        </w:tc>
        <w:tc>
          <w:tcPr>
            <w:tcW w:w="623" w:type="dxa"/>
            <w:vMerge w:val="continue"/>
            <w:noWrap w:val="0"/>
            <w:vAlign w:val="center"/>
          </w:tcPr>
          <w:p w14:paraId="24D3181E">
            <w:pPr>
              <w:jc w:val="center"/>
              <w:rPr>
                <w:rFonts w:ascii="宋体" w:hAnsi="宋体"/>
                <w:sz w:val="18"/>
                <w:szCs w:val="18"/>
              </w:rPr>
            </w:pPr>
          </w:p>
        </w:tc>
        <w:tc>
          <w:tcPr>
            <w:tcW w:w="1260" w:type="dxa"/>
            <w:noWrap w:val="0"/>
            <w:vAlign w:val="center"/>
          </w:tcPr>
          <w:p w14:paraId="40C86CEF">
            <w:pPr>
              <w:jc w:val="center"/>
              <w:rPr>
                <w:rFonts w:ascii="宋体" w:hAnsi="宋体"/>
                <w:sz w:val="18"/>
                <w:szCs w:val="18"/>
              </w:rPr>
            </w:pPr>
            <w:r>
              <w:rPr>
                <w:rFonts w:ascii="宋体" w:hAnsi="宋体"/>
                <w:sz w:val="18"/>
                <w:szCs w:val="18"/>
              </w:rPr>
              <w:t>1.10</w:t>
            </w:r>
          </w:p>
        </w:tc>
        <w:tc>
          <w:tcPr>
            <w:tcW w:w="1357" w:type="dxa"/>
            <w:noWrap w:val="0"/>
            <w:vAlign w:val="center"/>
          </w:tcPr>
          <w:p w14:paraId="3BAE5752">
            <w:pPr>
              <w:jc w:val="center"/>
              <w:rPr>
                <w:rFonts w:ascii="宋体" w:hAnsi="宋体"/>
                <w:sz w:val="18"/>
                <w:szCs w:val="18"/>
              </w:rPr>
            </w:pPr>
            <w:r>
              <w:rPr>
                <w:rFonts w:ascii="宋体" w:hAnsi="宋体"/>
                <w:sz w:val="18"/>
                <w:szCs w:val="18"/>
              </w:rPr>
              <w:t>29.50</w:t>
            </w:r>
          </w:p>
        </w:tc>
        <w:tc>
          <w:tcPr>
            <w:tcW w:w="1357" w:type="dxa"/>
            <w:noWrap w:val="0"/>
            <w:vAlign w:val="center"/>
          </w:tcPr>
          <w:p w14:paraId="1424AFD7">
            <w:pPr>
              <w:jc w:val="center"/>
              <w:rPr>
                <w:rFonts w:ascii="宋体" w:hAnsi="宋体"/>
                <w:sz w:val="18"/>
                <w:szCs w:val="18"/>
              </w:rPr>
            </w:pPr>
            <w:r>
              <w:rPr>
                <w:rFonts w:ascii="宋体" w:hAnsi="宋体"/>
                <w:sz w:val="18"/>
                <w:szCs w:val="18"/>
              </w:rPr>
              <w:t>10.75</w:t>
            </w:r>
          </w:p>
        </w:tc>
        <w:tc>
          <w:tcPr>
            <w:tcW w:w="1258" w:type="dxa"/>
            <w:noWrap w:val="0"/>
            <w:vAlign w:val="center"/>
          </w:tcPr>
          <w:p w14:paraId="2158B064">
            <w:pPr>
              <w:jc w:val="center"/>
              <w:rPr>
                <w:rFonts w:ascii="宋体" w:hAnsi="宋体"/>
                <w:sz w:val="18"/>
                <w:szCs w:val="18"/>
              </w:rPr>
            </w:pPr>
            <w:r>
              <w:rPr>
                <w:rFonts w:ascii="宋体" w:hAnsi="宋体"/>
                <w:sz w:val="18"/>
                <w:szCs w:val="18"/>
              </w:rPr>
              <w:t>1.80</w:t>
            </w:r>
          </w:p>
        </w:tc>
        <w:tc>
          <w:tcPr>
            <w:tcW w:w="1617" w:type="dxa"/>
            <w:noWrap w:val="0"/>
            <w:vAlign w:val="center"/>
          </w:tcPr>
          <w:p w14:paraId="7E2AD442">
            <w:pPr>
              <w:jc w:val="center"/>
              <w:rPr>
                <w:rFonts w:ascii="宋体" w:hAnsi="宋体"/>
                <w:sz w:val="18"/>
                <w:szCs w:val="18"/>
              </w:rPr>
            </w:pPr>
            <w:r>
              <w:rPr>
                <w:rFonts w:ascii="宋体" w:hAnsi="宋体"/>
                <w:sz w:val="18"/>
                <w:szCs w:val="18"/>
              </w:rPr>
              <w:t>24.95</w:t>
            </w:r>
          </w:p>
        </w:tc>
        <w:tc>
          <w:tcPr>
            <w:tcW w:w="801" w:type="dxa"/>
            <w:vMerge w:val="continue"/>
            <w:noWrap w:val="0"/>
            <w:vAlign w:val="center"/>
          </w:tcPr>
          <w:p w14:paraId="7E78B0D4">
            <w:pPr>
              <w:jc w:val="center"/>
              <w:rPr>
                <w:rFonts w:ascii="宋体" w:hAnsi="宋体"/>
                <w:sz w:val="18"/>
                <w:szCs w:val="18"/>
              </w:rPr>
            </w:pPr>
          </w:p>
        </w:tc>
      </w:tr>
      <w:tr w14:paraId="626A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3C6630F">
            <w:pPr>
              <w:jc w:val="center"/>
              <w:rPr>
                <w:rFonts w:ascii="宋体" w:hAnsi="宋体"/>
                <w:sz w:val="18"/>
                <w:szCs w:val="18"/>
              </w:rPr>
            </w:pPr>
          </w:p>
        </w:tc>
        <w:tc>
          <w:tcPr>
            <w:tcW w:w="623" w:type="dxa"/>
            <w:vMerge w:val="restart"/>
            <w:noWrap w:val="0"/>
            <w:vAlign w:val="center"/>
          </w:tcPr>
          <w:p w14:paraId="0D9EEB4E">
            <w:pPr>
              <w:jc w:val="center"/>
              <w:rPr>
                <w:rFonts w:ascii="宋体" w:hAnsi="宋体"/>
                <w:sz w:val="18"/>
                <w:szCs w:val="18"/>
              </w:rPr>
            </w:pPr>
            <w:r>
              <w:rPr>
                <w:rFonts w:ascii="宋体" w:hAnsi="宋体"/>
                <w:sz w:val="18"/>
                <w:szCs w:val="18"/>
              </w:rPr>
              <w:t>洗煤</w:t>
            </w:r>
          </w:p>
        </w:tc>
        <w:tc>
          <w:tcPr>
            <w:tcW w:w="1260" w:type="dxa"/>
            <w:noWrap w:val="0"/>
            <w:vAlign w:val="center"/>
          </w:tcPr>
          <w:p w14:paraId="0B74A7F2">
            <w:pPr>
              <w:jc w:val="center"/>
              <w:rPr>
                <w:rFonts w:ascii="宋体" w:hAnsi="宋体"/>
                <w:sz w:val="18"/>
                <w:szCs w:val="18"/>
              </w:rPr>
            </w:pPr>
            <w:r>
              <w:rPr>
                <w:rFonts w:ascii="宋体" w:hAnsi="宋体"/>
                <w:sz w:val="18"/>
                <w:szCs w:val="18"/>
              </w:rPr>
              <w:t>0.59～1.67</w:t>
            </w:r>
          </w:p>
        </w:tc>
        <w:tc>
          <w:tcPr>
            <w:tcW w:w="1357" w:type="dxa"/>
            <w:noWrap w:val="0"/>
            <w:vAlign w:val="center"/>
          </w:tcPr>
          <w:p w14:paraId="0893FC6C">
            <w:pPr>
              <w:jc w:val="center"/>
              <w:rPr>
                <w:rFonts w:ascii="宋体" w:hAnsi="宋体"/>
                <w:sz w:val="18"/>
                <w:szCs w:val="18"/>
              </w:rPr>
            </w:pPr>
            <w:r>
              <w:rPr>
                <w:rFonts w:ascii="宋体" w:hAnsi="宋体"/>
                <w:sz w:val="18"/>
                <w:szCs w:val="18"/>
              </w:rPr>
              <w:t>3.18～12.42</w:t>
            </w:r>
          </w:p>
        </w:tc>
        <w:tc>
          <w:tcPr>
            <w:tcW w:w="1357" w:type="dxa"/>
            <w:noWrap w:val="0"/>
            <w:vAlign w:val="center"/>
          </w:tcPr>
          <w:p w14:paraId="6DB4A40D">
            <w:pPr>
              <w:jc w:val="center"/>
              <w:rPr>
                <w:rFonts w:ascii="宋体" w:hAnsi="宋体"/>
                <w:sz w:val="18"/>
                <w:szCs w:val="18"/>
              </w:rPr>
            </w:pPr>
            <w:r>
              <w:rPr>
                <w:rFonts w:ascii="宋体" w:hAnsi="宋体"/>
                <w:sz w:val="18"/>
                <w:szCs w:val="18"/>
              </w:rPr>
              <w:t>7.44～11.08</w:t>
            </w:r>
          </w:p>
        </w:tc>
        <w:tc>
          <w:tcPr>
            <w:tcW w:w="1258" w:type="dxa"/>
            <w:noWrap w:val="0"/>
            <w:vAlign w:val="center"/>
          </w:tcPr>
          <w:p w14:paraId="2FA6B8B4">
            <w:pPr>
              <w:jc w:val="center"/>
              <w:rPr>
                <w:rFonts w:ascii="宋体" w:hAnsi="宋体"/>
                <w:sz w:val="18"/>
                <w:szCs w:val="18"/>
              </w:rPr>
            </w:pPr>
            <w:r>
              <w:rPr>
                <w:rFonts w:ascii="宋体" w:hAnsi="宋体"/>
                <w:sz w:val="18"/>
                <w:szCs w:val="18"/>
              </w:rPr>
              <w:t>0.25～2.07</w:t>
            </w:r>
          </w:p>
        </w:tc>
        <w:tc>
          <w:tcPr>
            <w:tcW w:w="1617" w:type="dxa"/>
            <w:noWrap w:val="0"/>
            <w:vAlign w:val="center"/>
          </w:tcPr>
          <w:p w14:paraId="151A8A95">
            <w:pPr>
              <w:jc w:val="center"/>
              <w:rPr>
                <w:rFonts w:ascii="宋体" w:hAnsi="宋体"/>
                <w:sz w:val="18"/>
                <w:szCs w:val="18"/>
              </w:rPr>
            </w:pPr>
            <w:r>
              <w:rPr>
                <w:rFonts w:ascii="宋体" w:hAnsi="宋体"/>
                <w:sz w:val="18"/>
                <w:szCs w:val="18"/>
              </w:rPr>
              <w:t>32.07～35.18</w:t>
            </w:r>
          </w:p>
        </w:tc>
        <w:tc>
          <w:tcPr>
            <w:tcW w:w="801" w:type="dxa"/>
            <w:vMerge w:val="continue"/>
            <w:noWrap w:val="0"/>
            <w:vAlign w:val="center"/>
          </w:tcPr>
          <w:p w14:paraId="5DDF2F30">
            <w:pPr>
              <w:jc w:val="center"/>
              <w:rPr>
                <w:rFonts w:ascii="宋体" w:hAnsi="宋体"/>
                <w:sz w:val="18"/>
                <w:szCs w:val="18"/>
              </w:rPr>
            </w:pPr>
          </w:p>
        </w:tc>
      </w:tr>
      <w:tr w14:paraId="6217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6F5CA52A">
            <w:pPr>
              <w:jc w:val="center"/>
              <w:rPr>
                <w:rFonts w:ascii="宋体" w:hAnsi="宋体"/>
                <w:sz w:val="18"/>
                <w:szCs w:val="18"/>
              </w:rPr>
            </w:pPr>
          </w:p>
        </w:tc>
        <w:tc>
          <w:tcPr>
            <w:tcW w:w="623" w:type="dxa"/>
            <w:vMerge w:val="continue"/>
            <w:noWrap w:val="0"/>
            <w:vAlign w:val="center"/>
          </w:tcPr>
          <w:p w14:paraId="58EF83DA">
            <w:pPr>
              <w:jc w:val="center"/>
              <w:rPr>
                <w:rFonts w:ascii="宋体" w:hAnsi="宋体"/>
                <w:sz w:val="18"/>
                <w:szCs w:val="18"/>
              </w:rPr>
            </w:pPr>
          </w:p>
        </w:tc>
        <w:tc>
          <w:tcPr>
            <w:tcW w:w="1260" w:type="dxa"/>
            <w:noWrap w:val="0"/>
            <w:vAlign w:val="center"/>
          </w:tcPr>
          <w:p w14:paraId="4C325A40">
            <w:pPr>
              <w:jc w:val="center"/>
              <w:rPr>
                <w:rFonts w:ascii="宋体" w:hAnsi="宋体"/>
                <w:sz w:val="18"/>
                <w:szCs w:val="18"/>
              </w:rPr>
            </w:pPr>
            <w:r>
              <w:rPr>
                <w:rFonts w:ascii="宋体" w:hAnsi="宋体"/>
                <w:sz w:val="18"/>
                <w:szCs w:val="18"/>
              </w:rPr>
              <w:t>1.22</w:t>
            </w:r>
          </w:p>
        </w:tc>
        <w:tc>
          <w:tcPr>
            <w:tcW w:w="1357" w:type="dxa"/>
            <w:noWrap w:val="0"/>
            <w:vAlign w:val="center"/>
          </w:tcPr>
          <w:p w14:paraId="2AFCDE02">
            <w:pPr>
              <w:jc w:val="center"/>
              <w:rPr>
                <w:rFonts w:ascii="宋体" w:hAnsi="宋体"/>
                <w:sz w:val="18"/>
                <w:szCs w:val="18"/>
              </w:rPr>
            </w:pPr>
            <w:r>
              <w:rPr>
                <w:rFonts w:ascii="宋体" w:hAnsi="宋体"/>
                <w:sz w:val="18"/>
                <w:szCs w:val="18"/>
              </w:rPr>
              <w:t>7.19</w:t>
            </w:r>
          </w:p>
        </w:tc>
        <w:tc>
          <w:tcPr>
            <w:tcW w:w="1357" w:type="dxa"/>
            <w:noWrap w:val="0"/>
            <w:vAlign w:val="center"/>
          </w:tcPr>
          <w:p w14:paraId="765F9DE3">
            <w:pPr>
              <w:jc w:val="center"/>
              <w:rPr>
                <w:rFonts w:ascii="宋体" w:hAnsi="宋体"/>
                <w:sz w:val="18"/>
                <w:szCs w:val="18"/>
              </w:rPr>
            </w:pPr>
            <w:r>
              <w:rPr>
                <w:rFonts w:ascii="宋体" w:hAnsi="宋体"/>
                <w:sz w:val="18"/>
                <w:szCs w:val="18"/>
              </w:rPr>
              <w:t>9.16</w:t>
            </w:r>
          </w:p>
        </w:tc>
        <w:tc>
          <w:tcPr>
            <w:tcW w:w="1258" w:type="dxa"/>
            <w:noWrap w:val="0"/>
            <w:vAlign w:val="center"/>
          </w:tcPr>
          <w:p w14:paraId="7D7626F3">
            <w:pPr>
              <w:jc w:val="center"/>
              <w:rPr>
                <w:rFonts w:ascii="宋体" w:hAnsi="宋体"/>
                <w:sz w:val="18"/>
                <w:szCs w:val="18"/>
              </w:rPr>
            </w:pPr>
            <w:r>
              <w:rPr>
                <w:rFonts w:ascii="宋体" w:hAnsi="宋体"/>
                <w:sz w:val="18"/>
                <w:szCs w:val="18"/>
              </w:rPr>
              <w:t>1.48</w:t>
            </w:r>
          </w:p>
        </w:tc>
        <w:tc>
          <w:tcPr>
            <w:tcW w:w="1617" w:type="dxa"/>
            <w:noWrap w:val="0"/>
            <w:vAlign w:val="center"/>
          </w:tcPr>
          <w:p w14:paraId="034A60AA">
            <w:pPr>
              <w:jc w:val="center"/>
              <w:rPr>
                <w:rFonts w:ascii="宋体" w:hAnsi="宋体"/>
                <w:sz w:val="18"/>
                <w:szCs w:val="18"/>
              </w:rPr>
            </w:pPr>
            <w:r>
              <w:rPr>
                <w:rFonts w:ascii="宋体" w:hAnsi="宋体"/>
                <w:sz w:val="18"/>
                <w:szCs w:val="18"/>
              </w:rPr>
              <w:t>33.68</w:t>
            </w:r>
          </w:p>
        </w:tc>
        <w:tc>
          <w:tcPr>
            <w:tcW w:w="801" w:type="dxa"/>
            <w:vMerge w:val="continue"/>
            <w:noWrap w:val="0"/>
            <w:vAlign w:val="center"/>
          </w:tcPr>
          <w:p w14:paraId="425B28DC">
            <w:pPr>
              <w:jc w:val="center"/>
              <w:rPr>
                <w:rFonts w:ascii="宋体" w:hAnsi="宋体"/>
                <w:sz w:val="18"/>
                <w:szCs w:val="18"/>
              </w:rPr>
            </w:pPr>
          </w:p>
        </w:tc>
      </w:tr>
      <w:tr w14:paraId="2C31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5BD0B137">
            <w:pPr>
              <w:jc w:val="center"/>
              <w:rPr>
                <w:rFonts w:ascii="宋体" w:hAnsi="宋体"/>
                <w:sz w:val="18"/>
                <w:szCs w:val="18"/>
              </w:rPr>
            </w:pPr>
            <w:r>
              <w:rPr>
                <w:rFonts w:ascii="宋体" w:hAnsi="宋体"/>
                <w:sz w:val="18"/>
                <w:szCs w:val="18"/>
              </w:rPr>
              <w:t>K109-b</w:t>
            </w:r>
          </w:p>
        </w:tc>
        <w:tc>
          <w:tcPr>
            <w:tcW w:w="623" w:type="dxa"/>
            <w:vMerge w:val="restart"/>
            <w:noWrap w:val="0"/>
            <w:vAlign w:val="center"/>
          </w:tcPr>
          <w:p w14:paraId="36E3FF0D">
            <w:pPr>
              <w:jc w:val="center"/>
              <w:rPr>
                <w:rFonts w:ascii="宋体" w:hAnsi="宋体"/>
                <w:sz w:val="18"/>
                <w:szCs w:val="18"/>
              </w:rPr>
            </w:pPr>
            <w:r>
              <w:rPr>
                <w:rFonts w:ascii="宋体" w:hAnsi="宋体"/>
                <w:sz w:val="18"/>
                <w:szCs w:val="18"/>
              </w:rPr>
              <w:t>原煤</w:t>
            </w:r>
          </w:p>
        </w:tc>
        <w:tc>
          <w:tcPr>
            <w:tcW w:w="1260" w:type="dxa"/>
            <w:noWrap w:val="0"/>
            <w:vAlign w:val="center"/>
          </w:tcPr>
          <w:p w14:paraId="168A5482">
            <w:pPr>
              <w:jc w:val="center"/>
              <w:rPr>
                <w:rFonts w:ascii="宋体" w:hAnsi="宋体"/>
                <w:sz w:val="18"/>
                <w:szCs w:val="18"/>
              </w:rPr>
            </w:pPr>
            <w:r>
              <w:rPr>
                <w:rFonts w:ascii="宋体" w:hAnsi="宋体"/>
                <w:sz w:val="18"/>
                <w:szCs w:val="18"/>
              </w:rPr>
              <w:t>0.74～1.44</w:t>
            </w:r>
          </w:p>
        </w:tc>
        <w:tc>
          <w:tcPr>
            <w:tcW w:w="1357" w:type="dxa"/>
            <w:noWrap w:val="0"/>
            <w:vAlign w:val="center"/>
          </w:tcPr>
          <w:p w14:paraId="40ABE4FC">
            <w:pPr>
              <w:jc w:val="center"/>
              <w:rPr>
                <w:rFonts w:ascii="宋体" w:hAnsi="宋体"/>
                <w:sz w:val="18"/>
                <w:szCs w:val="18"/>
              </w:rPr>
            </w:pPr>
            <w:r>
              <w:rPr>
                <w:rFonts w:ascii="宋体" w:hAnsi="宋体"/>
                <w:sz w:val="18"/>
                <w:szCs w:val="18"/>
              </w:rPr>
              <w:t>16.02～37.12</w:t>
            </w:r>
          </w:p>
        </w:tc>
        <w:tc>
          <w:tcPr>
            <w:tcW w:w="1357" w:type="dxa"/>
            <w:noWrap w:val="0"/>
            <w:vAlign w:val="center"/>
          </w:tcPr>
          <w:p w14:paraId="15D31B2A">
            <w:pPr>
              <w:jc w:val="center"/>
              <w:rPr>
                <w:rFonts w:ascii="宋体" w:hAnsi="宋体"/>
                <w:sz w:val="18"/>
                <w:szCs w:val="18"/>
              </w:rPr>
            </w:pPr>
            <w:r>
              <w:rPr>
                <w:rFonts w:ascii="宋体" w:hAnsi="宋体"/>
                <w:sz w:val="18"/>
                <w:szCs w:val="18"/>
              </w:rPr>
              <w:t>7.53～14.45</w:t>
            </w:r>
          </w:p>
        </w:tc>
        <w:tc>
          <w:tcPr>
            <w:tcW w:w="1258" w:type="dxa"/>
            <w:noWrap w:val="0"/>
            <w:vAlign w:val="center"/>
          </w:tcPr>
          <w:p w14:paraId="1DBF54C6">
            <w:pPr>
              <w:jc w:val="center"/>
              <w:rPr>
                <w:rFonts w:ascii="宋体" w:hAnsi="宋体"/>
                <w:sz w:val="18"/>
                <w:szCs w:val="18"/>
              </w:rPr>
            </w:pPr>
            <w:r>
              <w:rPr>
                <w:rFonts w:ascii="宋体" w:hAnsi="宋体"/>
                <w:sz w:val="18"/>
                <w:szCs w:val="18"/>
              </w:rPr>
              <w:t>0.51～4.52</w:t>
            </w:r>
          </w:p>
        </w:tc>
        <w:tc>
          <w:tcPr>
            <w:tcW w:w="1617" w:type="dxa"/>
            <w:noWrap w:val="0"/>
            <w:vAlign w:val="center"/>
          </w:tcPr>
          <w:p w14:paraId="1D7DC280">
            <w:pPr>
              <w:jc w:val="center"/>
              <w:rPr>
                <w:rFonts w:ascii="宋体" w:hAnsi="宋体"/>
                <w:sz w:val="18"/>
                <w:szCs w:val="18"/>
              </w:rPr>
            </w:pPr>
            <w:r>
              <w:rPr>
                <w:rFonts w:ascii="宋体" w:hAnsi="宋体"/>
                <w:sz w:val="18"/>
                <w:szCs w:val="18"/>
              </w:rPr>
              <w:t>21.28～30.15</w:t>
            </w:r>
          </w:p>
        </w:tc>
        <w:tc>
          <w:tcPr>
            <w:tcW w:w="801" w:type="dxa"/>
            <w:vMerge w:val="restart"/>
            <w:noWrap w:val="0"/>
            <w:vAlign w:val="center"/>
          </w:tcPr>
          <w:p w14:paraId="76A47316">
            <w:pPr>
              <w:rPr>
                <w:rFonts w:ascii="宋体" w:hAnsi="宋体"/>
                <w:sz w:val="18"/>
                <w:szCs w:val="18"/>
              </w:rPr>
            </w:pPr>
            <w:r>
              <w:rPr>
                <w:rFonts w:hint="eastAsia" w:ascii="宋体" w:hAnsi="宋体"/>
                <w:sz w:val="18"/>
                <w:szCs w:val="18"/>
              </w:rPr>
              <w:t>无烟煤</w:t>
            </w:r>
          </w:p>
        </w:tc>
      </w:tr>
      <w:tr w14:paraId="30DF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5655A5BB">
            <w:pPr>
              <w:jc w:val="center"/>
              <w:rPr>
                <w:rFonts w:ascii="宋体" w:hAnsi="宋体"/>
                <w:sz w:val="18"/>
                <w:szCs w:val="18"/>
              </w:rPr>
            </w:pPr>
          </w:p>
        </w:tc>
        <w:tc>
          <w:tcPr>
            <w:tcW w:w="623" w:type="dxa"/>
            <w:vMerge w:val="continue"/>
            <w:noWrap w:val="0"/>
            <w:vAlign w:val="center"/>
          </w:tcPr>
          <w:p w14:paraId="4D070718">
            <w:pPr>
              <w:jc w:val="center"/>
              <w:rPr>
                <w:rFonts w:ascii="宋体" w:hAnsi="宋体"/>
                <w:sz w:val="18"/>
                <w:szCs w:val="18"/>
              </w:rPr>
            </w:pPr>
          </w:p>
        </w:tc>
        <w:tc>
          <w:tcPr>
            <w:tcW w:w="1260" w:type="dxa"/>
            <w:noWrap w:val="0"/>
            <w:vAlign w:val="center"/>
          </w:tcPr>
          <w:p w14:paraId="02241760">
            <w:pPr>
              <w:jc w:val="center"/>
              <w:rPr>
                <w:rFonts w:ascii="宋体" w:hAnsi="宋体"/>
                <w:sz w:val="18"/>
                <w:szCs w:val="18"/>
              </w:rPr>
            </w:pPr>
            <w:r>
              <w:rPr>
                <w:rFonts w:ascii="宋体" w:hAnsi="宋体"/>
                <w:sz w:val="18"/>
                <w:szCs w:val="18"/>
              </w:rPr>
              <w:t>1.09</w:t>
            </w:r>
          </w:p>
        </w:tc>
        <w:tc>
          <w:tcPr>
            <w:tcW w:w="1357" w:type="dxa"/>
            <w:noWrap w:val="0"/>
            <w:vAlign w:val="center"/>
          </w:tcPr>
          <w:p w14:paraId="63BE5522">
            <w:pPr>
              <w:jc w:val="center"/>
              <w:rPr>
                <w:rFonts w:ascii="宋体" w:hAnsi="宋体"/>
                <w:sz w:val="18"/>
                <w:szCs w:val="18"/>
              </w:rPr>
            </w:pPr>
            <w:r>
              <w:rPr>
                <w:rFonts w:ascii="宋体" w:hAnsi="宋体"/>
                <w:sz w:val="18"/>
                <w:szCs w:val="18"/>
              </w:rPr>
              <w:t>22.05</w:t>
            </w:r>
          </w:p>
        </w:tc>
        <w:tc>
          <w:tcPr>
            <w:tcW w:w="1357" w:type="dxa"/>
            <w:noWrap w:val="0"/>
            <w:vAlign w:val="center"/>
          </w:tcPr>
          <w:p w14:paraId="22DD8C46">
            <w:pPr>
              <w:jc w:val="center"/>
              <w:rPr>
                <w:rFonts w:ascii="宋体" w:hAnsi="宋体"/>
                <w:sz w:val="18"/>
                <w:szCs w:val="18"/>
              </w:rPr>
            </w:pPr>
            <w:r>
              <w:rPr>
                <w:rFonts w:ascii="宋体" w:hAnsi="宋体"/>
                <w:sz w:val="18"/>
                <w:szCs w:val="18"/>
              </w:rPr>
              <w:t>10.61</w:t>
            </w:r>
          </w:p>
        </w:tc>
        <w:tc>
          <w:tcPr>
            <w:tcW w:w="1258" w:type="dxa"/>
            <w:noWrap w:val="0"/>
            <w:vAlign w:val="center"/>
          </w:tcPr>
          <w:p w14:paraId="74EC6DEC">
            <w:pPr>
              <w:jc w:val="center"/>
              <w:rPr>
                <w:rFonts w:ascii="宋体" w:hAnsi="宋体"/>
                <w:sz w:val="18"/>
                <w:szCs w:val="18"/>
              </w:rPr>
            </w:pPr>
            <w:r>
              <w:rPr>
                <w:rFonts w:ascii="宋体" w:hAnsi="宋体"/>
                <w:sz w:val="18"/>
                <w:szCs w:val="18"/>
              </w:rPr>
              <w:t>2.24</w:t>
            </w:r>
          </w:p>
        </w:tc>
        <w:tc>
          <w:tcPr>
            <w:tcW w:w="1617" w:type="dxa"/>
            <w:noWrap w:val="0"/>
            <w:vAlign w:val="center"/>
          </w:tcPr>
          <w:p w14:paraId="0289EA2A">
            <w:pPr>
              <w:jc w:val="center"/>
              <w:rPr>
                <w:rFonts w:ascii="宋体" w:hAnsi="宋体"/>
                <w:sz w:val="18"/>
                <w:szCs w:val="18"/>
              </w:rPr>
            </w:pPr>
            <w:r>
              <w:rPr>
                <w:rFonts w:ascii="宋体" w:hAnsi="宋体"/>
                <w:sz w:val="18"/>
                <w:szCs w:val="18"/>
              </w:rPr>
              <w:t>27.26</w:t>
            </w:r>
          </w:p>
        </w:tc>
        <w:tc>
          <w:tcPr>
            <w:tcW w:w="801" w:type="dxa"/>
            <w:vMerge w:val="continue"/>
            <w:noWrap w:val="0"/>
            <w:vAlign w:val="center"/>
          </w:tcPr>
          <w:p w14:paraId="3485F5FB">
            <w:pPr>
              <w:jc w:val="center"/>
              <w:rPr>
                <w:rFonts w:ascii="宋体" w:hAnsi="宋体"/>
                <w:sz w:val="18"/>
                <w:szCs w:val="18"/>
              </w:rPr>
            </w:pPr>
          </w:p>
        </w:tc>
      </w:tr>
      <w:tr w14:paraId="7FCC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50471CFD">
            <w:pPr>
              <w:jc w:val="center"/>
              <w:rPr>
                <w:rFonts w:ascii="宋体" w:hAnsi="宋体"/>
                <w:sz w:val="18"/>
                <w:szCs w:val="18"/>
              </w:rPr>
            </w:pPr>
          </w:p>
        </w:tc>
        <w:tc>
          <w:tcPr>
            <w:tcW w:w="623" w:type="dxa"/>
            <w:vMerge w:val="restart"/>
            <w:noWrap w:val="0"/>
            <w:vAlign w:val="center"/>
          </w:tcPr>
          <w:p w14:paraId="7F4AC211">
            <w:pPr>
              <w:jc w:val="center"/>
              <w:rPr>
                <w:rFonts w:ascii="宋体" w:hAnsi="宋体"/>
                <w:sz w:val="18"/>
                <w:szCs w:val="18"/>
              </w:rPr>
            </w:pPr>
            <w:r>
              <w:rPr>
                <w:rFonts w:ascii="宋体" w:hAnsi="宋体"/>
                <w:sz w:val="18"/>
                <w:szCs w:val="18"/>
              </w:rPr>
              <w:t>洗煤</w:t>
            </w:r>
          </w:p>
        </w:tc>
        <w:tc>
          <w:tcPr>
            <w:tcW w:w="1260" w:type="dxa"/>
            <w:noWrap w:val="0"/>
            <w:vAlign w:val="center"/>
          </w:tcPr>
          <w:p w14:paraId="46F3BE63">
            <w:pPr>
              <w:jc w:val="center"/>
              <w:rPr>
                <w:rFonts w:ascii="宋体" w:hAnsi="宋体"/>
                <w:sz w:val="18"/>
                <w:szCs w:val="18"/>
              </w:rPr>
            </w:pPr>
            <w:r>
              <w:rPr>
                <w:rFonts w:ascii="宋体" w:hAnsi="宋体"/>
                <w:sz w:val="18"/>
                <w:szCs w:val="18"/>
              </w:rPr>
              <w:t>0.61～1.86</w:t>
            </w:r>
          </w:p>
        </w:tc>
        <w:tc>
          <w:tcPr>
            <w:tcW w:w="1357" w:type="dxa"/>
            <w:noWrap w:val="0"/>
            <w:vAlign w:val="center"/>
          </w:tcPr>
          <w:p w14:paraId="5C8CB416">
            <w:pPr>
              <w:jc w:val="center"/>
              <w:rPr>
                <w:rFonts w:ascii="宋体" w:hAnsi="宋体"/>
                <w:sz w:val="18"/>
                <w:szCs w:val="18"/>
              </w:rPr>
            </w:pPr>
            <w:r>
              <w:rPr>
                <w:rFonts w:ascii="宋体" w:hAnsi="宋体"/>
                <w:sz w:val="18"/>
                <w:szCs w:val="18"/>
              </w:rPr>
              <w:t>4.19～11.85</w:t>
            </w:r>
          </w:p>
        </w:tc>
        <w:tc>
          <w:tcPr>
            <w:tcW w:w="1357" w:type="dxa"/>
            <w:noWrap w:val="0"/>
            <w:vAlign w:val="center"/>
          </w:tcPr>
          <w:p w14:paraId="23C08143">
            <w:pPr>
              <w:jc w:val="center"/>
              <w:rPr>
                <w:rFonts w:ascii="宋体" w:hAnsi="宋体"/>
                <w:sz w:val="18"/>
                <w:szCs w:val="18"/>
              </w:rPr>
            </w:pPr>
            <w:r>
              <w:rPr>
                <w:rFonts w:ascii="宋体" w:hAnsi="宋体"/>
                <w:sz w:val="18"/>
                <w:szCs w:val="18"/>
              </w:rPr>
              <w:t>5.59～9.23</w:t>
            </w:r>
          </w:p>
        </w:tc>
        <w:tc>
          <w:tcPr>
            <w:tcW w:w="1258" w:type="dxa"/>
            <w:noWrap w:val="0"/>
            <w:vAlign w:val="center"/>
          </w:tcPr>
          <w:p w14:paraId="14DA90FD">
            <w:pPr>
              <w:jc w:val="center"/>
              <w:rPr>
                <w:rFonts w:ascii="宋体" w:hAnsi="宋体"/>
                <w:sz w:val="18"/>
                <w:szCs w:val="18"/>
              </w:rPr>
            </w:pPr>
            <w:r>
              <w:rPr>
                <w:rFonts w:ascii="宋体" w:hAnsi="宋体"/>
                <w:sz w:val="18"/>
                <w:szCs w:val="18"/>
              </w:rPr>
              <w:t>0.50～2.25</w:t>
            </w:r>
          </w:p>
        </w:tc>
        <w:tc>
          <w:tcPr>
            <w:tcW w:w="1617" w:type="dxa"/>
            <w:noWrap w:val="0"/>
            <w:vAlign w:val="center"/>
          </w:tcPr>
          <w:p w14:paraId="77D21C25">
            <w:pPr>
              <w:jc w:val="center"/>
              <w:rPr>
                <w:rFonts w:ascii="宋体" w:hAnsi="宋体"/>
                <w:sz w:val="18"/>
                <w:szCs w:val="18"/>
              </w:rPr>
            </w:pPr>
            <w:r>
              <w:rPr>
                <w:rFonts w:ascii="宋体" w:hAnsi="宋体"/>
                <w:sz w:val="18"/>
                <w:szCs w:val="18"/>
              </w:rPr>
              <w:t>31.83～34.48</w:t>
            </w:r>
          </w:p>
        </w:tc>
        <w:tc>
          <w:tcPr>
            <w:tcW w:w="801" w:type="dxa"/>
            <w:vMerge w:val="continue"/>
            <w:noWrap w:val="0"/>
            <w:vAlign w:val="center"/>
          </w:tcPr>
          <w:p w14:paraId="1AEEEDCF">
            <w:pPr>
              <w:jc w:val="center"/>
              <w:rPr>
                <w:rFonts w:ascii="宋体" w:hAnsi="宋体"/>
                <w:sz w:val="18"/>
                <w:szCs w:val="18"/>
              </w:rPr>
            </w:pPr>
          </w:p>
        </w:tc>
      </w:tr>
      <w:tr w14:paraId="6E0B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499FA4A">
            <w:pPr>
              <w:jc w:val="center"/>
              <w:rPr>
                <w:rFonts w:ascii="宋体" w:hAnsi="宋体"/>
                <w:sz w:val="18"/>
                <w:szCs w:val="18"/>
              </w:rPr>
            </w:pPr>
          </w:p>
        </w:tc>
        <w:tc>
          <w:tcPr>
            <w:tcW w:w="623" w:type="dxa"/>
            <w:vMerge w:val="continue"/>
            <w:noWrap w:val="0"/>
            <w:vAlign w:val="center"/>
          </w:tcPr>
          <w:p w14:paraId="314C9C93">
            <w:pPr>
              <w:jc w:val="center"/>
              <w:rPr>
                <w:rFonts w:ascii="宋体" w:hAnsi="宋体"/>
                <w:sz w:val="18"/>
                <w:szCs w:val="18"/>
              </w:rPr>
            </w:pPr>
          </w:p>
        </w:tc>
        <w:tc>
          <w:tcPr>
            <w:tcW w:w="1260" w:type="dxa"/>
            <w:noWrap w:val="0"/>
            <w:vAlign w:val="center"/>
          </w:tcPr>
          <w:p w14:paraId="655B7A34">
            <w:pPr>
              <w:jc w:val="center"/>
              <w:rPr>
                <w:rFonts w:ascii="宋体" w:hAnsi="宋体"/>
                <w:sz w:val="18"/>
                <w:szCs w:val="18"/>
              </w:rPr>
            </w:pPr>
            <w:r>
              <w:rPr>
                <w:rFonts w:ascii="宋体" w:hAnsi="宋体"/>
                <w:sz w:val="18"/>
                <w:szCs w:val="18"/>
              </w:rPr>
              <w:t>1.10</w:t>
            </w:r>
          </w:p>
        </w:tc>
        <w:tc>
          <w:tcPr>
            <w:tcW w:w="1357" w:type="dxa"/>
            <w:noWrap w:val="0"/>
            <w:vAlign w:val="center"/>
          </w:tcPr>
          <w:p w14:paraId="355098EB">
            <w:pPr>
              <w:jc w:val="center"/>
              <w:rPr>
                <w:rFonts w:ascii="宋体" w:hAnsi="宋体"/>
                <w:sz w:val="18"/>
                <w:szCs w:val="18"/>
              </w:rPr>
            </w:pPr>
            <w:r>
              <w:rPr>
                <w:rFonts w:ascii="宋体" w:hAnsi="宋体"/>
                <w:sz w:val="18"/>
                <w:szCs w:val="18"/>
              </w:rPr>
              <w:t>7.45</w:t>
            </w:r>
          </w:p>
        </w:tc>
        <w:tc>
          <w:tcPr>
            <w:tcW w:w="1357" w:type="dxa"/>
            <w:noWrap w:val="0"/>
            <w:vAlign w:val="center"/>
          </w:tcPr>
          <w:p w14:paraId="48D4BB4C">
            <w:pPr>
              <w:jc w:val="center"/>
              <w:rPr>
                <w:rFonts w:hint="eastAsia" w:ascii="宋体" w:hAnsi="宋体"/>
                <w:sz w:val="18"/>
                <w:szCs w:val="18"/>
              </w:rPr>
            </w:pPr>
            <w:r>
              <w:rPr>
                <w:rFonts w:hint="eastAsia" w:ascii="宋体" w:hAnsi="宋体"/>
                <w:sz w:val="18"/>
                <w:szCs w:val="18"/>
              </w:rPr>
              <w:t>8.23</w:t>
            </w:r>
          </w:p>
        </w:tc>
        <w:tc>
          <w:tcPr>
            <w:tcW w:w="1258" w:type="dxa"/>
            <w:noWrap w:val="0"/>
            <w:vAlign w:val="center"/>
          </w:tcPr>
          <w:p w14:paraId="11C2FCB2">
            <w:pPr>
              <w:jc w:val="center"/>
              <w:rPr>
                <w:rFonts w:ascii="宋体" w:hAnsi="宋体"/>
                <w:sz w:val="18"/>
                <w:szCs w:val="18"/>
              </w:rPr>
            </w:pPr>
            <w:r>
              <w:rPr>
                <w:rFonts w:ascii="宋体" w:hAnsi="宋体"/>
                <w:sz w:val="18"/>
                <w:szCs w:val="18"/>
              </w:rPr>
              <w:t>1.50</w:t>
            </w:r>
          </w:p>
        </w:tc>
        <w:tc>
          <w:tcPr>
            <w:tcW w:w="1617" w:type="dxa"/>
            <w:noWrap w:val="0"/>
            <w:vAlign w:val="center"/>
          </w:tcPr>
          <w:p w14:paraId="76E742AD">
            <w:pPr>
              <w:jc w:val="center"/>
              <w:rPr>
                <w:rFonts w:ascii="宋体" w:hAnsi="宋体"/>
                <w:sz w:val="18"/>
                <w:szCs w:val="18"/>
              </w:rPr>
            </w:pPr>
            <w:r>
              <w:rPr>
                <w:rFonts w:ascii="宋体" w:hAnsi="宋体"/>
                <w:sz w:val="18"/>
                <w:szCs w:val="18"/>
              </w:rPr>
              <w:t>33.62</w:t>
            </w:r>
          </w:p>
        </w:tc>
        <w:tc>
          <w:tcPr>
            <w:tcW w:w="801" w:type="dxa"/>
            <w:vMerge w:val="continue"/>
            <w:noWrap w:val="0"/>
            <w:vAlign w:val="center"/>
          </w:tcPr>
          <w:p w14:paraId="5977CE23">
            <w:pPr>
              <w:jc w:val="center"/>
              <w:rPr>
                <w:rFonts w:ascii="宋体" w:hAnsi="宋体"/>
                <w:sz w:val="18"/>
                <w:szCs w:val="18"/>
              </w:rPr>
            </w:pPr>
          </w:p>
        </w:tc>
      </w:tr>
      <w:tr w14:paraId="09E1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restart"/>
            <w:noWrap w:val="0"/>
            <w:vAlign w:val="center"/>
          </w:tcPr>
          <w:p w14:paraId="00553E29">
            <w:pPr>
              <w:jc w:val="center"/>
              <w:rPr>
                <w:rFonts w:ascii="宋体" w:hAnsi="宋体"/>
                <w:sz w:val="18"/>
                <w:szCs w:val="18"/>
              </w:rPr>
            </w:pPr>
            <w:r>
              <w:rPr>
                <w:rFonts w:ascii="宋体" w:hAnsi="宋体"/>
                <w:sz w:val="18"/>
                <w:szCs w:val="18"/>
              </w:rPr>
              <w:t>K110-a</w:t>
            </w:r>
          </w:p>
        </w:tc>
        <w:tc>
          <w:tcPr>
            <w:tcW w:w="623" w:type="dxa"/>
            <w:vMerge w:val="restart"/>
            <w:noWrap w:val="0"/>
            <w:vAlign w:val="center"/>
          </w:tcPr>
          <w:p w14:paraId="3690C689">
            <w:pPr>
              <w:jc w:val="center"/>
              <w:rPr>
                <w:rFonts w:ascii="宋体" w:hAnsi="宋体"/>
                <w:sz w:val="18"/>
                <w:szCs w:val="18"/>
              </w:rPr>
            </w:pPr>
            <w:r>
              <w:rPr>
                <w:rFonts w:ascii="宋体" w:hAnsi="宋体"/>
                <w:sz w:val="18"/>
                <w:szCs w:val="18"/>
              </w:rPr>
              <w:t>原煤</w:t>
            </w:r>
          </w:p>
        </w:tc>
        <w:tc>
          <w:tcPr>
            <w:tcW w:w="1260" w:type="dxa"/>
            <w:noWrap w:val="0"/>
            <w:vAlign w:val="center"/>
          </w:tcPr>
          <w:p w14:paraId="7861DC86">
            <w:pPr>
              <w:jc w:val="center"/>
              <w:rPr>
                <w:rFonts w:ascii="宋体" w:hAnsi="宋体"/>
                <w:sz w:val="18"/>
                <w:szCs w:val="18"/>
              </w:rPr>
            </w:pPr>
            <w:r>
              <w:rPr>
                <w:rFonts w:ascii="宋体" w:hAnsi="宋体"/>
                <w:sz w:val="18"/>
                <w:szCs w:val="18"/>
              </w:rPr>
              <w:t>0.57～1.44</w:t>
            </w:r>
          </w:p>
        </w:tc>
        <w:tc>
          <w:tcPr>
            <w:tcW w:w="1357" w:type="dxa"/>
            <w:noWrap w:val="0"/>
            <w:vAlign w:val="center"/>
          </w:tcPr>
          <w:p w14:paraId="060FAC55">
            <w:pPr>
              <w:jc w:val="center"/>
              <w:rPr>
                <w:rFonts w:ascii="宋体" w:hAnsi="宋体"/>
                <w:sz w:val="18"/>
                <w:szCs w:val="18"/>
              </w:rPr>
            </w:pPr>
            <w:r>
              <w:rPr>
                <w:rFonts w:ascii="宋体" w:hAnsi="宋体"/>
                <w:sz w:val="18"/>
                <w:szCs w:val="18"/>
              </w:rPr>
              <w:t>17.70～32.64</w:t>
            </w:r>
          </w:p>
        </w:tc>
        <w:tc>
          <w:tcPr>
            <w:tcW w:w="1357" w:type="dxa"/>
            <w:noWrap w:val="0"/>
            <w:vAlign w:val="center"/>
          </w:tcPr>
          <w:p w14:paraId="61BEF5E2">
            <w:pPr>
              <w:jc w:val="center"/>
              <w:rPr>
                <w:rFonts w:ascii="宋体" w:hAnsi="宋体"/>
                <w:sz w:val="18"/>
                <w:szCs w:val="18"/>
              </w:rPr>
            </w:pPr>
            <w:r>
              <w:rPr>
                <w:rFonts w:ascii="宋体" w:hAnsi="宋体"/>
                <w:sz w:val="18"/>
                <w:szCs w:val="18"/>
              </w:rPr>
              <w:t>8.68～13.76</w:t>
            </w:r>
          </w:p>
        </w:tc>
        <w:tc>
          <w:tcPr>
            <w:tcW w:w="1258" w:type="dxa"/>
            <w:noWrap w:val="0"/>
            <w:vAlign w:val="center"/>
          </w:tcPr>
          <w:p w14:paraId="3D0E6ECB">
            <w:pPr>
              <w:jc w:val="center"/>
              <w:rPr>
                <w:rFonts w:ascii="宋体" w:hAnsi="宋体"/>
                <w:sz w:val="18"/>
                <w:szCs w:val="18"/>
              </w:rPr>
            </w:pPr>
            <w:r>
              <w:rPr>
                <w:rFonts w:ascii="宋体" w:hAnsi="宋体"/>
                <w:sz w:val="18"/>
                <w:szCs w:val="18"/>
              </w:rPr>
              <w:t>1.11～4.52</w:t>
            </w:r>
          </w:p>
        </w:tc>
        <w:tc>
          <w:tcPr>
            <w:tcW w:w="1617" w:type="dxa"/>
            <w:noWrap w:val="0"/>
            <w:vAlign w:val="center"/>
          </w:tcPr>
          <w:p w14:paraId="08621FA9">
            <w:pPr>
              <w:jc w:val="center"/>
              <w:rPr>
                <w:rFonts w:ascii="宋体" w:hAnsi="宋体"/>
                <w:sz w:val="18"/>
                <w:szCs w:val="18"/>
              </w:rPr>
            </w:pPr>
            <w:r>
              <w:rPr>
                <w:rFonts w:ascii="宋体" w:hAnsi="宋体"/>
                <w:sz w:val="18"/>
                <w:szCs w:val="18"/>
              </w:rPr>
              <w:t>23.73～31.83</w:t>
            </w:r>
          </w:p>
        </w:tc>
        <w:tc>
          <w:tcPr>
            <w:tcW w:w="801" w:type="dxa"/>
            <w:vMerge w:val="restart"/>
            <w:noWrap w:val="0"/>
            <w:vAlign w:val="center"/>
          </w:tcPr>
          <w:p w14:paraId="7B3A9E9D">
            <w:pPr>
              <w:jc w:val="center"/>
              <w:rPr>
                <w:rFonts w:hint="eastAsia" w:ascii="宋体" w:hAnsi="宋体"/>
                <w:sz w:val="18"/>
                <w:szCs w:val="18"/>
              </w:rPr>
            </w:pPr>
            <w:r>
              <w:rPr>
                <w:rFonts w:hint="eastAsia" w:ascii="宋体" w:hAnsi="宋体"/>
                <w:sz w:val="18"/>
                <w:szCs w:val="18"/>
              </w:rPr>
              <w:t>无烟煤</w:t>
            </w:r>
          </w:p>
        </w:tc>
      </w:tr>
      <w:tr w14:paraId="1861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6B51B234">
            <w:pPr>
              <w:jc w:val="center"/>
              <w:rPr>
                <w:rFonts w:ascii="宋体" w:hAnsi="宋体"/>
                <w:sz w:val="18"/>
                <w:szCs w:val="18"/>
              </w:rPr>
            </w:pPr>
          </w:p>
        </w:tc>
        <w:tc>
          <w:tcPr>
            <w:tcW w:w="623" w:type="dxa"/>
            <w:vMerge w:val="continue"/>
            <w:noWrap w:val="0"/>
            <w:vAlign w:val="center"/>
          </w:tcPr>
          <w:p w14:paraId="3E2A175B">
            <w:pPr>
              <w:jc w:val="center"/>
              <w:rPr>
                <w:rFonts w:ascii="宋体" w:hAnsi="宋体"/>
                <w:sz w:val="18"/>
                <w:szCs w:val="18"/>
              </w:rPr>
            </w:pPr>
          </w:p>
        </w:tc>
        <w:tc>
          <w:tcPr>
            <w:tcW w:w="1260" w:type="dxa"/>
            <w:noWrap w:val="0"/>
            <w:vAlign w:val="center"/>
          </w:tcPr>
          <w:p w14:paraId="311CC8D5">
            <w:pPr>
              <w:jc w:val="center"/>
              <w:rPr>
                <w:rFonts w:ascii="宋体" w:hAnsi="宋体"/>
                <w:sz w:val="18"/>
                <w:szCs w:val="18"/>
              </w:rPr>
            </w:pPr>
            <w:r>
              <w:rPr>
                <w:rFonts w:ascii="宋体" w:hAnsi="宋体"/>
                <w:sz w:val="18"/>
                <w:szCs w:val="18"/>
              </w:rPr>
              <w:t>1.15</w:t>
            </w:r>
          </w:p>
        </w:tc>
        <w:tc>
          <w:tcPr>
            <w:tcW w:w="1357" w:type="dxa"/>
            <w:noWrap w:val="0"/>
            <w:vAlign w:val="center"/>
          </w:tcPr>
          <w:p w14:paraId="5A68A491">
            <w:pPr>
              <w:jc w:val="center"/>
              <w:rPr>
                <w:rFonts w:ascii="宋体" w:hAnsi="宋体"/>
                <w:sz w:val="18"/>
                <w:szCs w:val="18"/>
              </w:rPr>
            </w:pPr>
            <w:r>
              <w:rPr>
                <w:rFonts w:ascii="宋体" w:hAnsi="宋体"/>
                <w:sz w:val="18"/>
                <w:szCs w:val="18"/>
              </w:rPr>
              <w:t>24.51</w:t>
            </w:r>
          </w:p>
        </w:tc>
        <w:tc>
          <w:tcPr>
            <w:tcW w:w="1357" w:type="dxa"/>
            <w:noWrap w:val="0"/>
            <w:vAlign w:val="center"/>
          </w:tcPr>
          <w:p w14:paraId="36346538">
            <w:pPr>
              <w:jc w:val="center"/>
              <w:rPr>
                <w:rFonts w:ascii="宋体" w:hAnsi="宋体"/>
                <w:sz w:val="18"/>
                <w:szCs w:val="18"/>
              </w:rPr>
            </w:pPr>
            <w:r>
              <w:rPr>
                <w:rFonts w:ascii="宋体" w:hAnsi="宋体"/>
                <w:sz w:val="18"/>
                <w:szCs w:val="18"/>
              </w:rPr>
              <w:t>10.75</w:t>
            </w:r>
          </w:p>
        </w:tc>
        <w:tc>
          <w:tcPr>
            <w:tcW w:w="1258" w:type="dxa"/>
            <w:noWrap w:val="0"/>
            <w:vAlign w:val="center"/>
          </w:tcPr>
          <w:p w14:paraId="1374AC17">
            <w:pPr>
              <w:jc w:val="center"/>
              <w:rPr>
                <w:rFonts w:ascii="宋体" w:hAnsi="宋体"/>
                <w:sz w:val="18"/>
                <w:szCs w:val="18"/>
              </w:rPr>
            </w:pPr>
            <w:r>
              <w:rPr>
                <w:rFonts w:ascii="宋体" w:hAnsi="宋体"/>
                <w:sz w:val="18"/>
                <w:szCs w:val="18"/>
              </w:rPr>
              <w:t>2.64</w:t>
            </w:r>
          </w:p>
        </w:tc>
        <w:tc>
          <w:tcPr>
            <w:tcW w:w="1617" w:type="dxa"/>
            <w:noWrap w:val="0"/>
            <w:vAlign w:val="center"/>
          </w:tcPr>
          <w:p w14:paraId="3CA4210E">
            <w:pPr>
              <w:jc w:val="center"/>
              <w:rPr>
                <w:rFonts w:ascii="宋体" w:hAnsi="宋体"/>
                <w:sz w:val="18"/>
                <w:szCs w:val="18"/>
              </w:rPr>
            </w:pPr>
            <w:r>
              <w:rPr>
                <w:rFonts w:ascii="宋体" w:hAnsi="宋体"/>
                <w:sz w:val="18"/>
                <w:szCs w:val="18"/>
              </w:rPr>
              <w:t>26.95</w:t>
            </w:r>
          </w:p>
        </w:tc>
        <w:tc>
          <w:tcPr>
            <w:tcW w:w="801" w:type="dxa"/>
            <w:vMerge w:val="continue"/>
            <w:noWrap w:val="0"/>
            <w:vAlign w:val="center"/>
          </w:tcPr>
          <w:p w14:paraId="60DB6094">
            <w:pPr>
              <w:jc w:val="center"/>
              <w:rPr>
                <w:rFonts w:ascii="宋体" w:hAnsi="宋体"/>
                <w:color w:val="FF0000"/>
                <w:sz w:val="18"/>
                <w:szCs w:val="18"/>
              </w:rPr>
            </w:pPr>
          </w:p>
        </w:tc>
      </w:tr>
      <w:tr w14:paraId="3921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7D153254">
            <w:pPr>
              <w:jc w:val="center"/>
              <w:rPr>
                <w:rFonts w:ascii="宋体" w:hAnsi="宋体"/>
                <w:sz w:val="18"/>
                <w:szCs w:val="18"/>
              </w:rPr>
            </w:pPr>
          </w:p>
        </w:tc>
        <w:tc>
          <w:tcPr>
            <w:tcW w:w="623" w:type="dxa"/>
            <w:vMerge w:val="restart"/>
            <w:noWrap w:val="0"/>
            <w:vAlign w:val="center"/>
          </w:tcPr>
          <w:p w14:paraId="1D71ABB6">
            <w:pPr>
              <w:jc w:val="center"/>
              <w:rPr>
                <w:rFonts w:ascii="宋体" w:hAnsi="宋体"/>
                <w:sz w:val="18"/>
                <w:szCs w:val="18"/>
              </w:rPr>
            </w:pPr>
            <w:r>
              <w:rPr>
                <w:rFonts w:ascii="宋体" w:hAnsi="宋体"/>
                <w:sz w:val="18"/>
                <w:szCs w:val="18"/>
              </w:rPr>
              <w:t>洗煤</w:t>
            </w:r>
          </w:p>
        </w:tc>
        <w:tc>
          <w:tcPr>
            <w:tcW w:w="1260" w:type="dxa"/>
            <w:noWrap w:val="0"/>
            <w:vAlign w:val="center"/>
          </w:tcPr>
          <w:p w14:paraId="654D8619">
            <w:pPr>
              <w:jc w:val="center"/>
              <w:rPr>
                <w:rFonts w:ascii="宋体" w:hAnsi="宋体"/>
                <w:sz w:val="18"/>
                <w:szCs w:val="18"/>
              </w:rPr>
            </w:pPr>
            <w:r>
              <w:rPr>
                <w:rFonts w:ascii="宋体" w:hAnsi="宋体"/>
                <w:sz w:val="18"/>
                <w:szCs w:val="18"/>
              </w:rPr>
              <w:t>0.46～1.43</w:t>
            </w:r>
          </w:p>
        </w:tc>
        <w:tc>
          <w:tcPr>
            <w:tcW w:w="1357" w:type="dxa"/>
            <w:noWrap w:val="0"/>
            <w:vAlign w:val="center"/>
          </w:tcPr>
          <w:p w14:paraId="20055E07">
            <w:pPr>
              <w:jc w:val="center"/>
              <w:rPr>
                <w:rFonts w:ascii="宋体" w:hAnsi="宋体"/>
                <w:sz w:val="18"/>
                <w:szCs w:val="18"/>
              </w:rPr>
            </w:pPr>
            <w:r>
              <w:rPr>
                <w:rFonts w:ascii="宋体" w:hAnsi="宋体"/>
                <w:sz w:val="18"/>
                <w:szCs w:val="18"/>
              </w:rPr>
              <w:t>5.21～13.59</w:t>
            </w:r>
          </w:p>
        </w:tc>
        <w:tc>
          <w:tcPr>
            <w:tcW w:w="1357" w:type="dxa"/>
            <w:noWrap w:val="0"/>
            <w:vAlign w:val="center"/>
          </w:tcPr>
          <w:p w14:paraId="29421AC3">
            <w:pPr>
              <w:jc w:val="center"/>
              <w:rPr>
                <w:rFonts w:ascii="宋体" w:hAnsi="宋体"/>
                <w:sz w:val="18"/>
                <w:szCs w:val="18"/>
              </w:rPr>
            </w:pPr>
            <w:r>
              <w:rPr>
                <w:rFonts w:ascii="宋体" w:hAnsi="宋体"/>
                <w:sz w:val="18"/>
                <w:szCs w:val="18"/>
              </w:rPr>
              <w:t>7.58～10.02</w:t>
            </w:r>
          </w:p>
        </w:tc>
        <w:tc>
          <w:tcPr>
            <w:tcW w:w="1258" w:type="dxa"/>
            <w:noWrap w:val="0"/>
            <w:vAlign w:val="center"/>
          </w:tcPr>
          <w:p w14:paraId="761F319A">
            <w:pPr>
              <w:jc w:val="center"/>
              <w:rPr>
                <w:rFonts w:ascii="宋体" w:hAnsi="宋体"/>
                <w:sz w:val="18"/>
                <w:szCs w:val="18"/>
              </w:rPr>
            </w:pPr>
            <w:r>
              <w:rPr>
                <w:rFonts w:ascii="宋体" w:hAnsi="宋体"/>
                <w:sz w:val="18"/>
                <w:szCs w:val="18"/>
              </w:rPr>
              <w:t>1.66～2.23</w:t>
            </w:r>
          </w:p>
        </w:tc>
        <w:tc>
          <w:tcPr>
            <w:tcW w:w="1617" w:type="dxa"/>
            <w:noWrap w:val="0"/>
            <w:vAlign w:val="center"/>
          </w:tcPr>
          <w:p w14:paraId="14A0F268">
            <w:pPr>
              <w:jc w:val="center"/>
              <w:rPr>
                <w:rFonts w:ascii="宋体" w:hAnsi="宋体"/>
                <w:sz w:val="18"/>
                <w:szCs w:val="18"/>
              </w:rPr>
            </w:pPr>
            <w:r>
              <w:rPr>
                <w:rFonts w:ascii="宋体" w:hAnsi="宋体"/>
                <w:sz w:val="18"/>
                <w:szCs w:val="18"/>
              </w:rPr>
              <w:t>31.23～34.79</w:t>
            </w:r>
          </w:p>
        </w:tc>
        <w:tc>
          <w:tcPr>
            <w:tcW w:w="801" w:type="dxa"/>
            <w:vMerge w:val="continue"/>
            <w:noWrap w:val="0"/>
            <w:vAlign w:val="center"/>
          </w:tcPr>
          <w:p w14:paraId="3D72B3F6">
            <w:pPr>
              <w:jc w:val="center"/>
              <w:rPr>
                <w:rFonts w:ascii="宋体" w:hAnsi="宋体"/>
                <w:color w:val="FF0000"/>
                <w:sz w:val="18"/>
                <w:szCs w:val="18"/>
              </w:rPr>
            </w:pPr>
          </w:p>
        </w:tc>
      </w:tr>
      <w:tr w14:paraId="699C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284" w:hRule="exact"/>
          <w:tblHeader/>
        </w:trPr>
        <w:tc>
          <w:tcPr>
            <w:tcW w:w="800" w:type="dxa"/>
            <w:vMerge w:val="continue"/>
            <w:noWrap w:val="0"/>
            <w:vAlign w:val="center"/>
          </w:tcPr>
          <w:p w14:paraId="3AD94E9D">
            <w:pPr>
              <w:jc w:val="center"/>
              <w:rPr>
                <w:rFonts w:ascii="宋体" w:hAnsi="宋体"/>
                <w:sz w:val="18"/>
                <w:szCs w:val="18"/>
              </w:rPr>
            </w:pPr>
          </w:p>
        </w:tc>
        <w:tc>
          <w:tcPr>
            <w:tcW w:w="623" w:type="dxa"/>
            <w:vMerge w:val="continue"/>
            <w:noWrap w:val="0"/>
            <w:vAlign w:val="center"/>
          </w:tcPr>
          <w:p w14:paraId="54B15727">
            <w:pPr>
              <w:jc w:val="center"/>
              <w:rPr>
                <w:rFonts w:ascii="宋体" w:hAnsi="宋体"/>
                <w:sz w:val="18"/>
                <w:szCs w:val="18"/>
              </w:rPr>
            </w:pPr>
          </w:p>
        </w:tc>
        <w:tc>
          <w:tcPr>
            <w:tcW w:w="1260" w:type="dxa"/>
            <w:noWrap w:val="0"/>
            <w:vAlign w:val="center"/>
          </w:tcPr>
          <w:p w14:paraId="4E4B6AFC">
            <w:pPr>
              <w:jc w:val="center"/>
              <w:rPr>
                <w:rFonts w:ascii="宋体" w:hAnsi="宋体"/>
                <w:sz w:val="18"/>
                <w:szCs w:val="18"/>
              </w:rPr>
            </w:pPr>
            <w:r>
              <w:rPr>
                <w:rFonts w:ascii="宋体" w:hAnsi="宋体"/>
                <w:sz w:val="18"/>
                <w:szCs w:val="18"/>
              </w:rPr>
              <w:t>1.13</w:t>
            </w:r>
          </w:p>
        </w:tc>
        <w:tc>
          <w:tcPr>
            <w:tcW w:w="1357" w:type="dxa"/>
            <w:noWrap w:val="0"/>
            <w:vAlign w:val="center"/>
          </w:tcPr>
          <w:p w14:paraId="064A02C8">
            <w:pPr>
              <w:jc w:val="center"/>
              <w:rPr>
                <w:rFonts w:ascii="宋体" w:hAnsi="宋体"/>
                <w:sz w:val="18"/>
                <w:szCs w:val="18"/>
              </w:rPr>
            </w:pPr>
            <w:r>
              <w:rPr>
                <w:rFonts w:ascii="宋体" w:hAnsi="宋体"/>
                <w:sz w:val="18"/>
                <w:szCs w:val="18"/>
              </w:rPr>
              <w:t>8.00</w:t>
            </w:r>
          </w:p>
        </w:tc>
        <w:tc>
          <w:tcPr>
            <w:tcW w:w="1357" w:type="dxa"/>
            <w:noWrap w:val="0"/>
            <w:vAlign w:val="center"/>
          </w:tcPr>
          <w:p w14:paraId="18F7D6E1">
            <w:pPr>
              <w:jc w:val="center"/>
              <w:rPr>
                <w:rFonts w:ascii="宋体" w:hAnsi="宋体"/>
                <w:sz w:val="18"/>
                <w:szCs w:val="18"/>
              </w:rPr>
            </w:pPr>
            <w:r>
              <w:rPr>
                <w:rFonts w:ascii="宋体" w:hAnsi="宋体"/>
                <w:sz w:val="18"/>
                <w:szCs w:val="18"/>
              </w:rPr>
              <w:t>8.68</w:t>
            </w:r>
          </w:p>
        </w:tc>
        <w:tc>
          <w:tcPr>
            <w:tcW w:w="1258" w:type="dxa"/>
            <w:noWrap w:val="0"/>
            <w:vAlign w:val="center"/>
          </w:tcPr>
          <w:p w14:paraId="6B482D23">
            <w:pPr>
              <w:jc w:val="center"/>
              <w:rPr>
                <w:rFonts w:ascii="宋体" w:hAnsi="宋体"/>
                <w:sz w:val="18"/>
                <w:szCs w:val="18"/>
              </w:rPr>
            </w:pPr>
            <w:r>
              <w:rPr>
                <w:rFonts w:ascii="宋体" w:hAnsi="宋体"/>
                <w:sz w:val="18"/>
                <w:szCs w:val="18"/>
              </w:rPr>
              <w:t>1.59</w:t>
            </w:r>
          </w:p>
        </w:tc>
        <w:tc>
          <w:tcPr>
            <w:tcW w:w="1617" w:type="dxa"/>
            <w:noWrap w:val="0"/>
            <w:vAlign w:val="center"/>
          </w:tcPr>
          <w:p w14:paraId="11889975">
            <w:pPr>
              <w:jc w:val="center"/>
              <w:rPr>
                <w:rFonts w:ascii="宋体" w:hAnsi="宋体"/>
                <w:sz w:val="18"/>
                <w:szCs w:val="18"/>
              </w:rPr>
            </w:pPr>
            <w:r>
              <w:rPr>
                <w:rFonts w:ascii="宋体" w:hAnsi="宋体"/>
                <w:sz w:val="18"/>
                <w:szCs w:val="18"/>
              </w:rPr>
              <w:t>33.26</w:t>
            </w:r>
          </w:p>
        </w:tc>
        <w:tc>
          <w:tcPr>
            <w:tcW w:w="801" w:type="dxa"/>
            <w:vMerge w:val="continue"/>
            <w:noWrap w:val="0"/>
            <w:vAlign w:val="center"/>
          </w:tcPr>
          <w:p w14:paraId="0CC65AE0">
            <w:pPr>
              <w:jc w:val="center"/>
              <w:rPr>
                <w:rFonts w:ascii="宋体" w:hAnsi="宋体"/>
                <w:color w:val="FF0000"/>
                <w:sz w:val="18"/>
                <w:szCs w:val="18"/>
              </w:rPr>
            </w:pPr>
          </w:p>
        </w:tc>
      </w:tr>
    </w:tbl>
    <w:p w14:paraId="5FECD83B">
      <w:pPr>
        <w:spacing w:line="360" w:lineRule="auto"/>
        <w:rPr>
          <w:rFonts w:ascii="宋体" w:hAnsi="宋体"/>
          <w:snapToGrid w:val="0"/>
          <w:kern w:val="0"/>
          <w:sz w:val="24"/>
        </w:rPr>
      </w:pPr>
      <w:r>
        <w:rPr>
          <w:rFonts w:ascii="宋体" w:hAnsi="宋体"/>
          <w:snapToGrid w:val="0"/>
          <w:kern w:val="0"/>
          <w:sz w:val="24"/>
        </w:rPr>
        <w:t>变高，K35-b和K106-b煤层的平均值均大于29%，K109-b和K110-a煤层的平均值则分别为22.05%和24.57%。经过1·40比重液洗选后，精煤灰分除K3、K9煤层外均小于10%。</w:t>
      </w:r>
    </w:p>
    <w:p w14:paraId="37B7C169">
      <w:pPr>
        <w:spacing w:line="360" w:lineRule="auto"/>
        <w:ind w:firstLine="480" w:firstLineChars="200"/>
        <w:rPr>
          <w:rFonts w:ascii="宋体" w:hAnsi="宋体"/>
          <w:snapToGrid w:val="0"/>
          <w:kern w:val="0"/>
          <w:sz w:val="24"/>
        </w:rPr>
      </w:pPr>
      <w:r>
        <w:rPr>
          <w:rFonts w:hint="eastAsia" w:ascii="宋体" w:hAnsi="宋体"/>
          <w:snapToGrid w:val="0"/>
          <w:kern w:val="0"/>
          <w:sz w:val="24"/>
        </w:rPr>
        <w:t xml:space="preserve">⑴ </w:t>
      </w:r>
      <w:r>
        <w:rPr>
          <w:rFonts w:ascii="宋体" w:hAnsi="宋体"/>
          <w:snapToGrid w:val="0"/>
          <w:kern w:val="0"/>
          <w:sz w:val="24"/>
        </w:rPr>
        <w:t>硫份（St,d）：区内原煤硫分变化比较大，规律较明显。在横向上变化不大，在纵向上变化虽比较大，但规律明显。如K1-b煤层为低硫煤，K3～K13为中、</w:t>
      </w:r>
      <w:r>
        <w:rPr>
          <w:rFonts w:hint="eastAsia" w:ascii="宋体" w:hAnsi="宋体"/>
          <w:snapToGrid w:val="0"/>
          <w:kern w:val="0"/>
          <w:sz w:val="24"/>
        </w:rPr>
        <w:t>中高</w:t>
      </w:r>
      <w:r>
        <w:rPr>
          <w:rFonts w:ascii="宋体" w:hAnsi="宋体"/>
          <w:snapToGrid w:val="0"/>
          <w:kern w:val="0"/>
          <w:sz w:val="24"/>
        </w:rPr>
        <w:t>硫煤，K18～K35-b为特低</w:t>
      </w:r>
      <w:r>
        <w:rPr>
          <w:rFonts w:hint="eastAsia" w:ascii="宋体" w:hAnsi="宋体"/>
          <w:snapToGrid w:val="0"/>
          <w:kern w:val="0"/>
          <w:sz w:val="24"/>
        </w:rPr>
        <w:t>、低</w:t>
      </w:r>
      <w:r>
        <w:rPr>
          <w:rFonts w:ascii="宋体" w:hAnsi="宋体"/>
          <w:snapToGrid w:val="0"/>
          <w:kern w:val="0"/>
          <w:sz w:val="24"/>
        </w:rPr>
        <w:t>硫煤，到K106-b～K110-a为中、</w:t>
      </w:r>
      <w:r>
        <w:rPr>
          <w:rFonts w:hint="eastAsia" w:ascii="宋体" w:hAnsi="宋体"/>
          <w:snapToGrid w:val="0"/>
          <w:kern w:val="0"/>
          <w:sz w:val="24"/>
        </w:rPr>
        <w:t>中高</w:t>
      </w:r>
      <w:r>
        <w:rPr>
          <w:rFonts w:ascii="宋体" w:hAnsi="宋体"/>
          <w:snapToGrid w:val="0"/>
          <w:kern w:val="0"/>
          <w:sz w:val="24"/>
        </w:rPr>
        <w:t>硫煤，呈现出低—高—低—高的变化规律。</w:t>
      </w:r>
      <w:r>
        <w:rPr>
          <w:rFonts w:ascii="宋体" w:hAnsi="宋体"/>
          <w:sz w:val="24"/>
        </w:rPr>
        <w:t>详见表2—2。</w:t>
      </w:r>
    </w:p>
    <w:p w14:paraId="675081DF">
      <w:pPr>
        <w:pStyle w:val="61"/>
        <w:spacing w:after="0" w:line="360" w:lineRule="auto"/>
        <w:ind w:firstLine="480" w:firstLineChars="200"/>
        <w:jc w:val="left"/>
        <w:rPr>
          <w:rFonts w:ascii="宋体" w:hAnsi="宋体"/>
          <w:sz w:val="24"/>
        </w:rPr>
      </w:pPr>
      <w:r>
        <w:rPr>
          <w:rFonts w:hint="eastAsia" w:ascii="宋体" w:hAnsi="宋体"/>
          <w:snapToGrid w:val="0"/>
          <w:kern w:val="0"/>
          <w:sz w:val="24"/>
        </w:rPr>
        <w:t xml:space="preserve">⑴ </w:t>
      </w:r>
      <w:r>
        <w:rPr>
          <w:rFonts w:ascii="宋体" w:hAnsi="宋体"/>
          <w:snapToGrid w:val="0"/>
          <w:kern w:val="0"/>
          <w:sz w:val="24"/>
        </w:rPr>
        <w:t>磷份：</w:t>
      </w:r>
      <w:r>
        <w:rPr>
          <w:rFonts w:ascii="宋体" w:hAnsi="宋体"/>
          <w:sz w:val="24"/>
        </w:rPr>
        <w:t>磷一般小于0.01%，属低磷煤。</w:t>
      </w:r>
    </w:p>
    <w:p w14:paraId="0552F8A9">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可选性评价</w:t>
      </w:r>
    </w:p>
    <w:p w14:paraId="0B541AD7">
      <w:pPr>
        <w:spacing w:line="360" w:lineRule="auto"/>
        <w:ind w:firstLine="480" w:firstLineChars="200"/>
        <w:rPr>
          <w:rFonts w:ascii="宋体" w:hAnsi="宋体"/>
          <w:b/>
          <w:sz w:val="24"/>
        </w:rPr>
      </w:pPr>
      <w:r>
        <w:rPr>
          <w:rFonts w:ascii="宋体" w:hAnsi="宋体"/>
          <w:sz w:val="24"/>
        </w:rPr>
        <w:t>根据《贵州省水城县格目底煤矿区玉舍井田勘探地质报告》，大坪煤矿除K18为中等可选外，其余煤层为难选煤。</w:t>
      </w:r>
    </w:p>
    <w:p w14:paraId="5082E12C">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（3）煤的变质程度及工业牌号</w:t>
      </w:r>
    </w:p>
    <w:p w14:paraId="54D4A9A7">
      <w:pPr>
        <w:spacing w:line="360" w:lineRule="auto"/>
        <w:ind w:firstLine="480" w:firstLineChars="200"/>
        <w:rPr>
          <w:rFonts w:ascii="宋体" w:hAnsi="宋体"/>
          <w:snapToGrid w:val="0"/>
          <w:kern w:val="0"/>
          <w:sz w:val="24"/>
        </w:rPr>
      </w:pPr>
      <w:r>
        <w:rPr>
          <w:rFonts w:hint="eastAsia" w:ascii="宋体" w:hAnsi="宋体"/>
          <w:snapToGrid w:val="0"/>
          <w:kern w:val="0"/>
          <w:sz w:val="24"/>
        </w:rPr>
        <w:t>1）</w:t>
      </w:r>
      <w:r>
        <w:rPr>
          <w:rFonts w:ascii="宋体" w:hAnsi="宋体"/>
          <w:snapToGrid w:val="0"/>
          <w:kern w:val="0"/>
          <w:sz w:val="24"/>
        </w:rPr>
        <w:t>煤的变质程度</w:t>
      </w:r>
    </w:p>
    <w:p w14:paraId="5EED3517">
      <w:pPr>
        <w:spacing w:line="360" w:lineRule="auto"/>
        <w:ind w:firstLine="480" w:firstLineChars="200"/>
        <w:rPr>
          <w:rFonts w:ascii="宋体" w:hAnsi="宋体"/>
          <w:snapToGrid w:val="0"/>
          <w:kern w:val="0"/>
          <w:sz w:val="24"/>
        </w:rPr>
      </w:pPr>
      <w:r>
        <w:rPr>
          <w:rFonts w:ascii="宋体" w:hAnsi="宋体"/>
          <w:snapToGrid w:val="0"/>
          <w:kern w:val="0"/>
          <w:sz w:val="24"/>
        </w:rPr>
        <w:t>挥发份</w:t>
      </w:r>
      <w:r>
        <w:rPr>
          <w:rFonts w:ascii="宋体" w:hAnsi="宋体"/>
          <w:snapToGrid w:val="0"/>
          <w:kern w:val="0"/>
          <w:sz w:val="24"/>
          <w:lang w:val="en-GB"/>
        </w:rPr>
        <w:t>（Vdaf）：一般为</w:t>
      </w:r>
      <w:r>
        <w:rPr>
          <w:rFonts w:ascii="宋体" w:hAnsi="宋体"/>
          <w:sz w:val="24"/>
        </w:rPr>
        <w:t>10～13%，平均14.43%，最低值为5.59%（K109-b），最高值为16.22%（K1-b）。在同一煤层横向上的变化不大，而在纵向上由含煤地层中的上部煤层至下部煤层则呈有规律的变化，由K1-b的13%降至K110-a的8%，变化梯度为每百米1%。</w:t>
      </w:r>
      <w:r>
        <w:rPr>
          <w:rFonts w:ascii="宋体" w:hAnsi="宋体"/>
          <w:snapToGrid w:val="0"/>
          <w:kern w:val="0"/>
          <w:sz w:val="24"/>
        </w:rPr>
        <w:t>从上述挥发份产率的情况看</w:t>
      </w:r>
      <w:r>
        <w:rPr>
          <w:rFonts w:hint="eastAsia" w:ascii="宋体" w:hAnsi="宋体"/>
          <w:snapToGrid w:val="0"/>
          <w:kern w:val="0"/>
          <w:sz w:val="24"/>
        </w:rPr>
        <w:t>，</w:t>
      </w:r>
      <w:r>
        <w:rPr>
          <w:rFonts w:ascii="宋体" w:hAnsi="宋体"/>
          <w:snapToGrid w:val="0"/>
          <w:kern w:val="0"/>
          <w:sz w:val="24"/>
        </w:rPr>
        <w:t>煤的变质程度属</w:t>
      </w:r>
      <w:r>
        <w:rPr>
          <w:rFonts w:hint="eastAsia" w:ascii="宋体" w:hAnsi="宋体"/>
          <w:snapToGrid w:val="0"/>
          <w:kern w:val="0"/>
          <w:sz w:val="24"/>
        </w:rPr>
        <w:t>贫煤～无烟煤</w:t>
      </w:r>
      <w:r>
        <w:rPr>
          <w:rFonts w:ascii="宋体" w:hAnsi="宋体"/>
          <w:snapToGrid w:val="0"/>
          <w:kern w:val="0"/>
          <w:sz w:val="24"/>
        </w:rPr>
        <w:t>变质</w:t>
      </w:r>
      <w:r>
        <w:rPr>
          <w:rFonts w:hint="eastAsia" w:ascii="宋体" w:hAnsi="宋体"/>
          <w:snapToGrid w:val="0"/>
          <w:kern w:val="0"/>
          <w:sz w:val="24"/>
        </w:rPr>
        <w:t>阶段。</w:t>
      </w:r>
    </w:p>
    <w:p w14:paraId="7B58FCBC">
      <w:pPr>
        <w:spacing w:line="360" w:lineRule="auto"/>
        <w:ind w:firstLine="480" w:firstLineChars="200"/>
        <w:rPr>
          <w:rFonts w:ascii="宋体" w:hAnsi="宋体"/>
          <w:snapToGrid w:val="0"/>
          <w:kern w:val="0"/>
          <w:sz w:val="24"/>
        </w:rPr>
      </w:pPr>
      <w:r>
        <w:rPr>
          <w:rFonts w:hint="eastAsia" w:ascii="宋体" w:hAnsi="宋体"/>
          <w:snapToGrid w:val="0"/>
          <w:kern w:val="0"/>
          <w:sz w:val="24"/>
        </w:rPr>
        <w:t>2）</w:t>
      </w:r>
      <w:r>
        <w:rPr>
          <w:rFonts w:ascii="宋体" w:hAnsi="宋体"/>
          <w:snapToGrid w:val="0"/>
          <w:kern w:val="0"/>
          <w:sz w:val="24"/>
        </w:rPr>
        <w:t>工业牌号</w:t>
      </w:r>
    </w:p>
    <w:p w14:paraId="39543787">
      <w:pPr>
        <w:spacing w:line="360" w:lineRule="auto"/>
        <w:ind w:firstLine="480" w:firstLineChars="200"/>
        <w:rPr>
          <w:rFonts w:ascii="宋体" w:hAnsi="宋体"/>
          <w:snapToGrid w:val="0"/>
          <w:kern w:val="0"/>
          <w:sz w:val="24"/>
        </w:rPr>
      </w:pPr>
      <w:r>
        <w:rPr>
          <w:rFonts w:ascii="宋体" w:hAnsi="宋体"/>
          <w:snapToGrid w:val="0"/>
          <w:kern w:val="0"/>
          <w:sz w:val="24"/>
        </w:rPr>
        <w:t>根据《贵州省水城县格目底煤矿区玉舍井田勘探地质报告》，区内K1-b～K35-b煤层除极个别点外，挥发分产率均大于10%，而胶质层厚度为0，呈粉状，所测定的部分粘结指数小于5%，结合镜煤反射率测定结果，确定为贫煤；K106-b～K110-a煤层，挥发分产率均小于10%，其氢含量（</w:t>
      </w:r>
      <w:r>
        <w:rPr>
          <w:rFonts w:ascii="宋体" w:hAnsi="宋体"/>
          <w:snapToGrid w:val="0"/>
          <w:kern w:val="0"/>
          <w:sz w:val="24"/>
          <w:lang w:val="en-GB"/>
        </w:rPr>
        <w:t>H</w:t>
      </w:r>
      <w:r>
        <w:rPr>
          <w:rFonts w:ascii="宋体" w:hAnsi="宋体"/>
          <w:snapToGrid w:val="0"/>
          <w:kern w:val="0"/>
          <w:sz w:val="24"/>
          <w:vertAlign w:val="superscript"/>
          <w:lang w:val="en-GB"/>
        </w:rPr>
        <w:t>r</w:t>
      </w:r>
      <w:r>
        <w:rPr>
          <w:rFonts w:ascii="宋体" w:hAnsi="宋体"/>
          <w:snapToGrid w:val="0"/>
          <w:kern w:val="0"/>
          <w:sz w:val="24"/>
        </w:rPr>
        <w:t>）均大于3%，确定为三号无烟煤。</w:t>
      </w:r>
    </w:p>
    <w:p w14:paraId="55936B6A">
      <w:pPr>
        <w:spacing w:line="360" w:lineRule="auto"/>
        <w:ind w:firstLine="480" w:firstLineChars="200"/>
        <w:rPr>
          <w:rFonts w:ascii="宋体" w:hAnsi="宋体"/>
          <w:snapToGrid w:val="0"/>
          <w:kern w:val="0"/>
          <w:sz w:val="24"/>
        </w:rPr>
      </w:pPr>
      <w:r>
        <w:rPr>
          <w:rFonts w:hint="eastAsia" w:ascii="宋体" w:hAnsi="宋体"/>
          <w:snapToGrid w:val="0"/>
          <w:kern w:val="0"/>
          <w:sz w:val="24"/>
        </w:rPr>
        <w:t>（4）</w:t>
      </w:r>
      <w:r>
        <w:rPr>
          <w:rFonts w:ascii="宋体" w:hAnsi="宋体"/>
          <w:snapToGrid w:val="0"/>
          <w:kern w:val="0"/>
          <w:sz w:val="24"/>
        </w:rPr>
        <w:t>发热量</w:t>
      </w:r>
    </w:p>
    <w:p w14:paraId="53B06DFE">
      <w:pPr>
        <w:spacing w:line="360" w:lineRule="auto"/>
        <w:ind w:firstLine="480" w:firstLineChars="200"/>
        <w:rPr>
          <w:rFonts w:hint="eastAsia" w:ascii="宋体" w:hAnsi="宋体"/>
          <w:b/>
          <w:bCs/>
          <w:snapToGrid w:val="0"/>
          <w:kern w:val="0"/>
          <w:sz w:val="24"/>
        </w:rPr>
      </w:pPr>
      <w:r>
        <w:rPr>
          <w:rFonts w:ascii="宋体" w:hAnsi="宋体"/>
          <w:sz w:val="24"/>
        </w:rPr>
        <w:t>发热量（Qnet.d）：本井田各煤层均属高发热量煤，原煤发热量最低为2</w:t>
      </w:r>
      <w:r>
        <w:rPr>
          <w:rFonts w:hint="eastAsia" w:ascii="宋体" w:hAnsi="宋体"/>
          <w:sz w:val="24"/>
        </w:rPr>
        <w:t>4</w:t>
      </w:r>
      <w:r>
        <w:rPr>
          <w:rFonts w:ascii="宋体" w:hAnsi="宋体"/>
          <w:sz w:val="24"/>
        </w:rPr>
        <w:t>.</w:t>
      </w:r>
      <w:r>
        <w:rPr>
          <w:rFonts w:hint="eastAsia" w:ascii="宋体" w:hAnsi="宋体"/>
          <w:sz w:val="24"/>
        </w:rPr>
        <w:t>9</w:t>
      </w:r>
      <w:r>
        <w:rPr>
          <w:rFonts w:ascii="宋体" w:hAnsi="宋体"/>
          <w:sz w:val="24"/>
        </w:rPr>
        <w:t>MJ/kg，最高为28.6MJ/kg，一般为27MJ/kg。煤的发热量高低与煤中灰分高低成反比关系。</w:t>
      </w:r>
    </w:p>
    <w:p w14:paraId="5C5F5C4C">
      <w:pPr>
        <w:spacing w:line="360" w:lineRule="auto"/>
        <w:ind w:firstLine="480" w:firstLineChars="200"/>
        <w:rPr>
          <w:rFonts w:ascii="宋体" w:hAnsi="宋体"/>
          <w:snapToGrid w:val="0"/>
          <w:kern w:val="0"/>
          <w:sz w:val="24"/>
        </w:rPr>
      </w:pPr>
      <w:r>
        <w:rPr>
          <w:rFonts w:hint="eastAsia" w:ascii="宋体" w:hAnsi="宋体"/>
          <w:snapToGrid w:val="0"/>
          <w:kern w:val="0"/>
          <w:sz w:val="24"/>
        </w:rPr>
        <w:t>（5）</w:t>
      </w:r>
      <w:r>
        <w:rPr>
          <w:rFonts w:ascii="宋体" w:hAnsi="宋体"/>
          <w:snapToGrid w:val="0"/>
          <w:kern w:val="0"/>
          <w:sz w:val="24"/>
        </w:rPr>
        <w:t>灰成分及灰熔点</w:t>
      </w:r>
    </w:p>
    <w:p w14:paraId="6F9F17CF">
      <w:pPr>
        <w:spacing w:line="360" w:lineRule="auto"/>
        <w:ind w:firstLine="480" w:firstLineChars="200"/>
        <w:rPr>
          <w:rFonts w:ascii="宋体" w:hAnsi="宋体"/>
          <w:snapToGrid w:val="0"/>
          <w:kern w:val="0"/>
          <w:sz w:val="24"/>
        </w:rPr>
      </w:pPr>
      <w:r>
        <w:rPr>
          <w:rFonts w:ascii="宋体" w:hAnsi="宋体"/>
          <w:snapToGrid w:val="0"/>
          <w:kern w:val="0"/>
          <w:sz w:val="24"/>
          <w:lang w:val="en-GB"/>
        </w:rPr>
        <w:t>灰成份：</w:t>
      </w:r>
      <w:r>
        <w:rPr>
          <w:rFonts w:hint="eastAsia" w:ascii="宋体" w:hAnsi="宋体"/>
          <w:snapToGrid w:val="0"/>
          <w:kern w:val="0"/>
          <w:sz w:val="24"/>
          <w:lang w:val="en-GB"/>
        </w:rPr>
        <w:t>根</w:t>
      </w:r>
      <w:r>
        <w:rPr>
          <w:rFonts w:ascii="宋体" w:hAnsi="宋体"/>
          <w:snapToGrid w:val="0"/>
          <w:kern w:val="0"/>
          <w:sz w:val="24"/>
        </w:rPr>
        <w:t>据</w:t>
      </w:r>
      <w:r>
        <w:rPr>
          <w:rFonts w:hint="eastAsia" w:ascii="宋体" w:hAnsi="宋体"/>
          <w:snapToGrid w:val="0"/>
          <w:kern w:val="0"/>
          <w:sz w:val="24"/>
        </w:rPr>
        <w:t>井田</w:t>
      </w:r>
      <w:r>
        <w:rPr>
          <w:rFonts w:ascii="宋体" w:hAnsi="宋体"/>
          <w:snapToGrid w:val="0"/>
          <w:kern w:val="0"/>
          <w:sz w:val="24"/>
        </w:rPr>
        <w:t>样品分析结果，</w:t>
      </w:r>
      <w:r>
        <w:rPr>
          <w:rFonts w:ascii="宋体" w:hAnsi="宋体"/>
          <w:snapToGrid w:val="0"/>
          <w:kern w:val="0"/>
          <w:sz w:val="24"/>
          <w:lang w:val="en-GB"/>
        </w:rPr>
        <w:t>灰成份</w:t>
      </w:r>
      <w:r>
        <w:rPr>
          <w:rFonts w:hint="eastAsia" w:ascii="宋体" w:hAnsi="宋体"/>
          <w:snapToGrid w:val="0"/>
          <w:kern w:val="0"/>
          <w:sz w:val="24"/>
        </w:rPr>
        <w:t>由</w:t>
      </w:r>
      <w:r>
        <w:rPr>
          <w:rFonts w:ascii="宋体" w:hAnsi="宋体"/>
          <w:snapToGrid w:val="0"/>
          <w:kern w:val="0"/>
          <w:sz w:val="24"/>
        </w:rPr>
        <w:t>SiO</w:t>
      </w:r>
      <w:r>
        <w:rPr>
          <w:rFonts w:ascii="宋体" w:hAnsi="宋体"/>
          <w:snapToGrid w:val="0"/>
          <w:kern w:val="0"/>
          <w:sz w:val="24"/>
          <w:vertAlign w:val="subscript"/>
        </w:rPr>
        <w:t>2</w:t>
      </w:r>
      <w:r>
        <w:rPr>
          <w:rFonts w:hint="eastAsia" w:ascii="宋体" w:hAnsi="宋体"/>
          <w:snapToGrid w:val="0"/>
          <w:kern w:val="0"/>
          <w:sz w:val="24"/>
        </w:rPr>
        <w:t>、Al</w:t>
      </w:r>
      <w:r>
        <w:rPr>
          <w:rFonts w:ascii="宋体" w:hAnsi="宋体"/>
          <w:snapToGrid w:val="0"/>
          <w:kern w:val="0"/>
          <w:sz w:val="24"/>
          <w:vertAlign w:val="subscript"/>
        </w:rPr>
        <w:t>2</w:t>
      </w:r>
      <w:r>
        <w:rPr>
          <w:rFonts w:ascii="宋体" w:hAnsi="宋体"/>
          <w:snapToGrid w:val="0"/>
          <w:kern w:val="0"/>
          <w:sz w:val="24"/>
        </w:rPr>
        <w:t>O</w:t>
      </w:r>
      <w:r>
        <w:rPr>
          <w:rFonts w:ascii="宋体" w:hAnsi="宋体"/>
          <w:snapToGrid w:val="0"/>
          <w:kern w:val="0"/>
          <w:sz w:val="24"/>
          <w:vertAlign w:val="subscript"/>
        </w:rPr>
        <w:t>3</w:t>
      </w:r>
      <w:r>
        <w:rPr>
          <w:rFonts w:hint="eastAsia" w:ascii="宋体" w:hAnsi="宋体"/>
          <w:snapToGrid w:val="0"/>
          <w:kern w:val="0"/>
          <w:sz w:val="24"/>
        </w:rPr>
        <w:t>、Fe</w:t>
      </w:r>
      <w:r>
        <w:rPr>
          <w:rFonts w:ascii="宋体" w:hAnsi="宋体"/>
          <w:snapToGrid w:val="0"/>
          <w:kern w:val="0"/>
          <w:sz w:val="24"/>
          <w:vertAlign w:val="subscript"/>
        </w:rPr>
        <w:t>2</w:t>
      </w:r>
      <w:r>
        <w:rPr>
          <w:rFonts w:ascii="宋体" w:hAnsi="宋体"/>
          <w:snapToGrid w:val="0"/>
          <w:kern w:val="0"/>
          <w:sz w:val="24"/>
        </w:rPr>
        <w:t>O</w:t>
      </w:r>
      <w:r>
        <w:rPr>
          <w:rFonts w:ascii="宋体" w:hAnsi="宋体"/>
          <w:snapToGrid w:val="0"/>
          <w:kern w:val="0"/>
          <w:sz w:val="24"/>
          <w:vertAlign w:val="subscript"/>
        </w:rPr>
        <w:t>3</w:t>
      </w:r>
      <w:r>
        <w:rPr>
          <w:rFonts w:hint="eastAsia" w:ascii="宋体" w:hAnsi="宋体"/>
          <w:snapToGrid w:val="0"/>
          <w:kern w:val="0"/>
          <w:sz w:val="24"/>
        </w:rPr>
        <w:t>、CaO、MgO、SO</w:t>
      </w:r>
      <w:r>
        <w:rPr>
          <w:rFonts w:hint="eastAsia" w:ascii="宋体" w:hAnsi="宋体"/>
          <w:snapToGrid w:val="0"/>
          <w:kern w:val="0"/>
          <w:sz w:val="24"/>
          <w:vertAlign w:val="subscript"/>
        </w:rPr>
        <w:t>3</w:t>
      </w:r>
      <w:r>
        <w:rPr>
          <w:rFonts w:hint="eastAsia" w:ascii="宋体" w:hAnsi="宋体"/>
          <w:snapToGrid w:val="0"/>
          <w:kern w:val="0"/>
          <w:sz w:val="24"/>
        </w:rPr>
        <w:t>、TiO</w:t>
      </w:r>
      <w:r>
        <w:rPr>
          <w:rFonts w:hint="eastAsia" w:ascii="宋体" w:hAnsi="宋体"/>
          <w:snapToGrid w:val="0"/>
          <w:kern w:val="0"/>
          <w:sz w:val="24"/>
          <w:vertAlign w:val="subscript"/>
        </w:rPr>
        <w:t>2</w:t>
      </w:r>
      <w:r>
        <w:rPr>
          <w:rFonts w:hint="eastAsia" w:ascii="宋体" w:hAnsi="宋体"/>
          <w:snapToGrid w:val="0"/>
          <w:kern w:val="0"/>
          <w:sz w:val="24"/>
        </w:rPr>
        <w:t>、Mn</w:t>
      </w:r>
      <w:r>
        <w:rPr>
          <w:rFonts w:hint="eastAsia" w:ascii="宋体" w:hAnsi="宋体"/>
          <w:snapToGrid w:val="0"/>
          <w:kern w:val="0"/>
          <w:sz w:val="24"/>
          <w:vertAlign w:val="subscript"/>
        </w:rPr>
        <w:t>3</w:t>
      </w:r>
      <w:r>
        <w:rPr>
          <w:rFonts w:hint="eastAsia" w:ascii="宋体" w:hAnsi="宋体"/>
          <w:snapToGrid w:val="0"/>
          <w:kern w:val="0"/>
          <w:sz w:val="24"/>
        </w:rPr>
        <w:t>O</w:t>
      </w:r>
      <w:r>
        <w:rPr>
          <w:rFonts w:hint="eastAsia" w:ascii="宋体" w:hAnsi="宋体"/>
          <w:snapToGrid w:val="0"/>
          <w:kern w:val="0"/>
          <w:sz w:val="24"/>
          <w:vertAlign w:val="subscript"/>
        </w:rPr>
        <w:t>4</w:t>
      </w:r>
      <w:r>
        <w:rPr>
          <w:rFonts w:hint="eastAsia" w:ascii="宋体" w:hAnsi="宋体"/>
          <w:snapToGrid w:val="0"/>
          <w:kern w:val="0"/>
          <w:sz w:val="24"/>
        </w:rPr>
        <w:t>、K</w:t>
      </w:r>
      <w:r>
        <w:rPr>
          <w:rFonts w:hint="eastAsia" w:ascii="宋体" w:hAnsi="宋体"/>
          <w:snapToGrid w:val="0"/>
          <w:kern w:val="0"/>
          <w:sz w:val="24"/>
          <w:vertAlign w:val="subscript"/>
        </w:rPr>
        <w:t>2</w:t>
      </w:r>
      <w:r>
        <w:rPr>
          <w:rFonts w:hint="eastAsia" w:ascii="宋体" w:hAnsi="宋体"/>
          <w:snapToGrid w:val="0"/>
          <w:kern w:val="0"/>
          <w:sz w:val="24"/>
        </w:rPr>
        <w:t>O等氧化物组成，其中以前四种氧化物</w:t>
      </w:r>
      <w:r>
        <w:rPr>
          <w:rFonts w:ascii="宋体" w:hAnsi="宋体"/>
          <w:snapToGrid w:val="0"/>
          <w:kern w:val="0"/>
          <w:sz w:val="24"/>
        </w:rPr>
        <w:t>为主，</w:t>
      </w:r>
      <w:r>
        <w:rPr>
          <w:rFonts w:hint="eastAsia" w:ascii="宋体" w:hAnsi="宋体"/>
          <w:snapToGrid w:val="0"/>
          <w:kern w:val="0"/>
          <w:sz w:val="24"/>
        </w:rPr>
        <w:t>其它组分含量很少。</w:t>
      </w:r>
    </w:p>
    <w:p w14:paraId="7420E692">
      <w:pPr>
        <w:spacing w:line="360" w:lineRule="auto"/>
        <w:ind w:firstLine="480" w:firstLineChars="200"/>
        <w:rPr>
          <w:rFonts w:hint="eastAsia" w:ascii="宋体" w:hAnsi="宋体"/>
          <w:snapToGrid w:val="0"/>
          <w:kern w:val="0"/>
          <w:sz w:val="24"/>
        </w:rPr>
      </w:pPr>
      <w:r>
        <w:rPr>
          <w:rFonts w:ascii="宋体" w:hAnsi="宋体"/>
          <w:snapToGrid w:val="0"/>
          <w:kern w:val="0"/>
          <w:sz w:val="24"/>
          <w:lang w:val="en-GB"/>
        </w:rPr>
        <w:t>灰熔点：</w:t>
      </w:r>
      <w:r>
        <w:rPr>
          <w:rFonts w:ascii="宋体" w:hAnsi="宋体"/>
          <w:snapToGrid w:val="0"/>
          <w:kern w:val="0"/>
          <w:sz w:val="24"/>
        </w:rPr>
        <w:t>据样品测定结果，煤层灰分软化温度</w:t>
      </w:r>
      <w:r>
        <w:rPr>
          <w:rFonts w:hint="eastAsia" w:ascii="宋体" w:hAnsi="宋体"/>
          <w:snapToGrid w:val="0"/>
          <w:kern w:val="0"/>
          <w:sz w:val="24"/>
        </w:rPr>
        <w:t>一般大于</w:t>
      </w:r>
      <w:r>
        <w:rPr>
          <w:rFonts w:ascii="宋体" w:hAnsi="宋体"/>
          <w:snapToGrid w:val="0"/>
          <w:kern w:val="0"/>
          <w:sz w:val="24"/>
        </w:rPr>
        <w:t>1</w:t>
      </w:r>
      <w:r>
        <w:rPr>
          <w:rFonts w:hint="eastAsia" w:ascii="宋体" w:hAnsi="宋体"/>
          <w:snapToGrid w:val="0"/>
          <w:kern w:val="0"/>
          <w:sz w:val="24"/>
        </w:rPr>
        <w:t>2</w:t>
      </w:r>
      <w:r>
        <w:rPr>
          <w:rFonts w:ascii="宋体" w:hAnsi="宋体"/>
          <w:snapToGrid w:val="0"/>
          <w:kern w:val="0"/>
          <w:sz w:val="24"/>
        </w:rPr>
        <w:t>00</w:t>
      </w:r>
      <w:r>
        <w:rPr>
          <w:rFonts w:hint="eastAsia" w:ascii="宋体" w:hAnsi="宋体"/>
          <w:snapToGrid w:val="0"/>
          <w:kern w:val="0"/>
          <w:sz w:val="24"/>
        </w:rPr>
        <w:t>°C</w:t>
      </w:r>
      <w:r>
        <w:rPr>
          <w:rFonts w:ascii="宋体" w:hAnsi="宋体"/>
          <w:snapToGrid w:val="0"/>
          <w:kern w:val="0"/>
          <w:sz w:val="24"/>
        </w:rPr>
        <w:t>，属高熔点灰</w:t>
      </w:r>
      <w:r>
        <w:rPr>
          <w:rFonts w:hint="eastAsia" w:ascii="宋体" w:hAnsi="宋体"/>
          <w:snapToGrid w:val="0"/>
          <w:kern w:val="0"/>
          <w:sz w:val="24"/>
        </w:rPr>
        <w:t>煤</w:t>
      </w:r>
      <w:r>
        <w:rPr>
          <w:rFonts w:ascii="宋体" w:hAnsi="宋体"/>
          <w:snapToGrid w:val="0"/>
          <w:kern w:val="0"/>
          <w:sz w:val="24"/>
        </w:rPr>
        <w:t>。</w:t>
      </w:r>
    </w:p>
    <w:p w14:paraId="0B12EFFC">
      <w:pPr>
        <w:spacing w:line="360" w:lineRule="auto"/>
        <w:ind w:firstLine="480" w:firstLineChars="200"/>
        <w:rPr>
          <w:rFonts w:ascii="宋体" w:hAnsi="宋体"/>
          <w:snapToGrid w:val="0"/>
          <w:kern w:val="0"/>
          <w:sz w:val="24"/>
        </w:rPr>
      </w:pPr>
      <w:r>
        <w:rPr>
          <w:rFonts w:hint="eastAsia" w:ascii="宋体" w:hAnsi="宋体"/>
          <w:snapToGrid w:val="0"/>
          <w:kern w:val="0"/>
          <w:sz w:val="24"/>
        </w:rPr>
        <w:t>（6）</w:t>
      </w:r>
      <w:r>
        <w:rPr>
          <w:rFonts w:ascii="宋体" w:hAnsi="宋体"/>
          <w:snapToGrid w:val="0"/>
          <w:kern w:val="0"/>
          <w:sz w:val="24"/>
        </w:rPr>
        <w:t>煤的工业用途</w:t>
      </w:r>
    </w:p>
    <w:p w14:paraId="10441274">
      <w:pPr>
        <w:spacing w:line="360" w:lineRule="auto"/>
        <w:ind w:firstLine="480" w:firstLineChars="200"/>
        <w:rPr>
          <w:rFonts w:hint="eastAsia" w:ascii="宋体" w:hAnsi="宋体"/>
          <w:color w:val="000000"/>
          <w:sz w:val="24"/>
        </w:rPr>
      </w:pPr>
      <w:r>
        <w:rPr>
          <w:rFonts w:ascii="宋体" w:hAnsi="宋体"/>
          <w:snapToGrid w:val="0"/>
          <w:kern w:val="0"/>
          <w:sz w:val="24"/>
        </w:rPr>
        <w:t>根据工业分析结果可以看出，</w:t>
      </w:r>
      <w:r>
        <w:rPr>
          <w:rFonts w:ascii="宋体" w:hAnsi="宋体"/>
          <w:color w:val="000000"/>
          <w:sz w:val="24"/>
        </w:rPr>
        <w:t>该区煤多属低～中灰</w:t>
      </w:r>
      <w:r>
        <w:rPr>
          <w:rFonts w:hint="eastAsia" w:ascii="宋体" w:hAnsi="宋体"/>
          <w:color w:val="000000"/>
          <w:sz w:val="24"/>
        </w:rPr>
        <w:t>，</w:t>
      </w:r>
      <w:r>
        <w:rPr>
          <w:rFonts w:ascii="宋体" w:hAnsi="宋体"/>
          <w:color w:val="000000"/>
          <w:sz w:val="24"/>
        </w:rPr>
        <w:t>特低～中高硫</w:t>
      </w:r>
      <w:r>
        <w:rPr>
          <w:rFonts w:hint="eastAsia" w:ascii="宋体" w:hAnsi="宋体"/>
          <w:color w:val="000000"/>
          <w:sz w:val="24"/>
        </w:rPr>
        <w:t>，高～</w:t>
      </w:r>
      <w:r>
        <w:rPr>
          <w:rFonts w:ascii="宋体" w:hAnsi="宋体"/>
          <w:color w:val="000000"/>
          <w:sz w:val="24"/>
        </w:rPr>
        <w:t>特高热值煤</w:t>
      </w:r>
      <w:r>
        <w:rPr>
          <w:rFonts w:hint="eastAsia" w:ascii="宋体" w:hAnsi="宋体"/>
          <w:color w:val="000000"/>
          <w:sz w:val="24"/>
        </w:rPr>
        <w:t>。其中：K1-b为</w:t>
      </w:r>
      <w:r>
        <w:rPr>
          <w:rFonts w:ascii="宋体" w:hAnsi="宋体"/>
          <w:color w:val="000000"/>
          <w:sz w:val="24"/>
        </w:rPr>
        <w:t>中灰</w:t>
      </w:r>
      <w:r>
        <w:rPr>
          <w:rFonts w:hint="eastAsia" w:ascii="宋体" w:hAnsi="宋体"/>
          <w:color w:val="000000"/>
          <w:sz w:val="24"/>
        </w:rPr>
        <w:t>、</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；K3为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；K9为</w:t>
      </w:r>
      <w:r>
        <w:rPr>
          <w:rFonts w:ascii="宋体" w:hAnsi="宋体"/>
          <w:color w:val="000000"/>
          <w:sz w:val="24"/>
        </w:rPr>
        <w:t>中灰</w:t>
      </w:r>
      <w:r>
        <w:rPr>
          <w:rFonts w:hint="eastAsia" w:ascii="宋体" w:hAnsi="宋体"/>
          <w:color w:val="000000"/>
          <w:sz w:val="24"/>
        </w:rPr>
        <w:t>、中</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；K13为低</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；K18为低</w:t>
      </w:r>
      <w:r>
        <w:rPr>
          <w:rFonts w:ascii="宋体" w:hAnsi="宋体"/>
          <w:color w:val="000000"/>
          <w:sz w:val="24"/>
        </w:rPr>
        <w:t>中灰</w:t>
      </w:r>
      <w:r>
        <w:rPr>
          <w:rFonts w:hint="eastAsia" w:ascii="宋体" w:hAnsi="宋体"/>
          <w:color w:val="000000"/>
          <w:sz w:val="24"/>
        </w:rPr>
        <w:t>、</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；K26为</w:t>
      </w:r>
      <w:r>
        <w:rPr>
          <w:rFonts w:ascii="宋体" w:hAnsi="宋体"/>
          <w:color w:val="000000"/>
          <w:sz w:val="24"/>
        </w:rPr>
        <w:t>中灰</w:t>
      </w:r>
      <w:r>
        <w:rPr>
          <w:rFonts w:hint="eastAsia" w:ascii="宋体" w:hAnsi="宋体"/>
          <w:color w:val="000000"/>
          <w:sz w:val="24"/>
        </w:rPr>
        <w:t>、特</w:t>
      </w:r>
      <w:r>
        <w:rPr>
          <w:rFonts w:ascii="宋体" w:hAnsi="宋体"/>
          <w:color w:val="000000"/>
          <w:sz w:val="24"/>
        </w:rPr>
        <w:t>低硫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；K35-b为</w:t>
      </w:r>
      <w:r>
        <w:rPr>
          <w:rFonts w:ascii="宋体" w:hAnsi="宋体"/>
          <w:color w:val="000000"/>
          <w:sz w:val="24"/>
        </w:rPr>
        <w:t>中灰</w:t>
      </w:r>
      <w:r>
        <w:rPr>
          <w:rFonts w:hint="eastAsia" w:ascii="宋体" w:hAnsi="宋体"/>
          <w:color w:val="000000"/>
          <w:sz w:val="24"/>
        </w:rPr>
        <w:t>、特</w:t>
      </w:r>
      <w:r>
        <w:rPr>
          <w:rFonts w:ascii="宋体" w:hAnsi="宋体"/>
          <w:color w:val="000000"/>
          <w:sz w:val="24"/>
        </w:rPr>
        <w:t>低硫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；K106-b为</w:t>
      </w:r>
      <w:r>
        <w:rPr>
          <w:rFonts w:ascii="宋体" w:hAnsi="宋体"/>
          <w:color w:val="000000"/>
          <w:sz w:val="24"/>
        </w:rPr>
        <w:t>中灰</w:t>
      </w:r>
      <w:r>
        <w:rPr>
          <w:rFonts w:hint="eastAsia" w:ascii="宋体" w:hAnsi="宋体"/>
          <w:color w:val="000000"/>
          <w:sz w:val="24"/>
        </w:rPr>
        <w:t>、中</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；K109-b为低</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特高热值煤</w:t>
      </w:r>
      <w:r>
        <w:rPr>
          <w:rFonts w:hint="eastAsia" w:ascii="宋体" w:hAnsi="宋体"/>
          <w:color w:val="000000"/>
          <w:sz w:val="24"/>
        </w:rPr>
        <w:t>；K110-a为</w:t>
      </w:r>
      <w:r>
        <w:rPr>
          <w:rFonts w:ascii="宋体" w:hAnsi="宋体"/>
          <w:color w:val="000000"/>
          <w:sz w:val="24"/>
        </w:rPr>
        <w:t>中灰</w:t>
      </w:r>
      <w:r>
        <w:rPr>
          <w:rFonts w:hint="eastAsia" w:ascii="宋体" w:hAnsi="宋体"/>
          <w:color w:val="000000"/>
          <w:sz w:val="24"/>
        </w:rPr>
        <w:t>、中高</w:t>
      </w:r>
      <w:r>
        <w:rPr>
          <w:rFonts w:ascii="宋体" w:hAnsi="宋体"/>
          <w:color w:val="000000"/>
          <w:sz w:val="24"/>
        </w:rPr>
        <w:t>硫</w:t>
      </w:r>
      <w:r>
        <w:rPr>
          <w:rFonts w:hint="eastAsia" w:ascii="宋体" w:hAnsi="宋体"/>
          <w:color w:val="000000"/>
          <w:sz w:val="24"/>
        </w:rPr>
        <w:t>、</w:t>
      </w:r>
      <w:r>
        <w:rPr>
          <w:rFonts w:ascii="宋体" w:hAnsi="宋体"/>
          <w:color w:val="000000"/>
          <w:sz w:val="24"/>
        </w:rPr>
        <w:t>高热值煤</w:t>
      </w:r>
      <w:r>
        <w:rPr>
          <w:rFonts w:hint="eastAsia" w:ascii="宋体" w:hAnsi="宋体"/>
          <w:color w:val="000000"/>
          <w:sz w:val="24"/>
        </w:rPr>
        <w:t>。</w:t>
      </w:r>
      <w:r>
        <w:rPr>
          <w:rFonts w:ascii="宋体" w:hAnsi="宋体"/>
          <w:color w:val="000000"/>
          <w:sz w:val="24"/>
        </w:rPr>
        <w:t>可用作炼焦配煤、化工用煤、动力用煤和民用煤等。</w:t>
      </w:r>
    </w:p>
    <w:p w14:paraId="0F78625C">
      <w:pPr>
        <w:pStyle w:val="4"/>
        <w:keepLines/>
        <w:adjustRightInd w:val="0"/>
        <w:snapToGrid w:val="0"/>
        <w:spacing w:before="240" w:after="240" w:line="360" w:lineRule="auto"/>
        <w:ind w:firstLine="562" w:firstLineChars="200"/>
        <w:jc w:val="both"/>
        <w:rPr>
          <w:rFonts w:hint="eastAsia"/>
          <w:b/>
          <w:color w:val="000000"/>
          <w:kern w:val="0"/>
          <w:szCs w:val="20"/>
        </w:rPr>
      </w:pPr>
      <w:bookmarkStart w:id="659" w:name="_Toc173869269"/>
      <w:bookmarkStart w:id="660" w:name="_Toc173893705"/>
      <w:bookmarkStart w:id="661" w:name="_Toc173918944"/>
      <w:r>
        <w:rPr>
          <w:rFonts w:hint="eastAsia"/>
          <w:b/>
          <w:color w:val="000000"/>
          <w:kern w:val="0"/>
          <w:szCs w:val="20"/>
        </w:rPr>
        <w:t>二、主井生产系统</w:t>
      </w:r>
      <w:bookmarkEnd w:id="659"/>
      <w:bookmarkEnd w:id="660"/>
      <w:bookmarkEnd w:id="661"/>
    </w:p>
    <w:p w14:paraId="71C84C00">
      <w:pPr>
        <w:pStyle w:val="130"/>
        <w:spacing w:line="360" w:lineRule="auto"/>
        <w:ind w:firstLine="480" w:firstLineChars="200"/>
        <w:rPr>
          <w:rFonts w:hint="eastAsia"/>
          <w:color w:val="000000"/>
          <w:sz w:val="24"/>
          <w:szCs w:val="24"/>
        </w:rPr>
      </w:pPr>
      <w:r>
        <w:rPr>
          <w:rFonts w:hint="eastAsia"/>
          <w:color w:val="000000"/>
          <w:sz w:val="24"/>
          <w:szCs w:val="24"/>
        </w:rPr>
        <w:t>矿井设计的生产能力为30万吨/年，采用斜井开拓，主斜井主要担负矿井煤炭运输，</w:t>
      </w:r>
      <w:r>
        <w:rPr>
          <w:sz w:val="24"/>
          <w:szCs w:val="24"/>
        </w:rPr>
        <w:t>主</w:t>
      </w:r>
      <w:r>
        <w:rPr>
          <w:rFonts w:hint="eastAsia"/>
          <w:sz w:val="24"/>
          <w:szCs w:val="24"/>
        </w:rPr>
        <w:t>斜井</w:t>
      </w:r>
      <w:r>
        <w:rPr>
          <w:sz w:val="24"/>
          <w:szCs w:val="24"/>
        </w:rPr>
        <w:t>铺设</w:t>
      </w:r>
      <w:r>
        <w:rPr>
          <w:rFonts w:hint="eastAsia"/>
          <w:sz w:val="24"/>
          <w:szCs w:val="24"/>
        </w:rPr>
        <w:t>带式输送机</w:t>
      </w:r>
      <w:r>
        <w:rPr>
          <w:rFonts w:hint="eastAsia"/>
          <w:color w:val="000000"/>
          <w:sz w:val="24"/>
          <w:szCs w:val="24"/>
        </w:rPr>
        <w:t>运输。</w:t>
      </w:r>
    </w:p>
    <w:p w14:paraId="0AD93F1D">
      <w:pPr>
        <w:pStyle w:val="130"/>
        <w:spacing w:line="360" w:lineRule="auto"/>
        <w:ind w:firstLine="480" w:firstLineChars="200"/>
        <w:rPr>
          <w:rFonts w:hint="eastAsia"/>
          <w:color w:val="000000"/>
          <w:sz w:val="24"/>
          <w:szCs w:val="24"/>
        </w:rPr>
      </w:pPr>
      <w:r>
        <w:rPr>
          <w:rFonts w:hint="eastAsia"/>
          <w:color w:val="000000"/>
          <w:sz w:val="24"/>
          <w:szCs w:val="24"/>
        </w:rPr>
        <w:t>1、主要设备选型</w:t>
      </w:r>
    </w:p>
    <w:p w14:paraId="7AD83C3D">
      <w:pPr>
        <w:pStyle w:val="130"/>
        <w:spacing w:line="360" w:lineRule="auto"/>
        <w:ind w:firstLine="480" w:firstLineChars="200"/>
        <w:rPr>
          <w:rFonts w:hint="eastAsia"/>
          <w:color w:val="FF0000"/>
          <w:sz w:val="24"/>
          <w:szCs w:val="24"/>
        </w:rPr>
      </w:pPr>
      <w:r>
        <w:rPr>
          <w:rFonts w:hint="eastAsia"/>
          <w:color w:val="FF0000"/>
          <w:sz w:val="24"/>
          <w:szCs w:val="24"/>
        </w:rPr>
        <w:t>主斜井为带式输送机运输煤炭，斜井采用1台</w:t>
      </w:r>
      <w:r>
        <w:rPr>
          <w:color w:val="FF0000"/>
          <w:sz w:val="24"/>
          <w:szCs w:val="24"/>
        </w:rPr>
        <w:t>DTC80/20/200</w:t>
      </w:r>
      <w:r>
        <w:rPr>
          <w:rFonts w:hint="eastAsia"/>
          <w:color w:val="FF0000"/>
          <w:sz w:val="24"/>
          <w:szCs w:val="24"/>
        </w:rPr>
        <w:t>的带式输送机运输，小时运量1</w:t>
      </w:r>
      <w:r>
        <w:rPr>
          <w:color w:val="FF0000"/>
          <w:sz w:val="24"/>
          <w:szCs w:val="24"/>
        </w:rPr>
        <w:t>00t</w:t>
      </w:r>
      <w:r>
        <w:rPr>
          <w:rFonts w:hint="eastAsia"/>
          <w:color w:val="FF0000"/>
          <w:sz w:val="24"/>
          <w:szCs w:val="24"/>
        </w:rPr>
        <w:t>。煤炭通过主斜井皮带送至储煤场，储煤场容量约为9000t，储煤场容量约为矿井10d的产量,设计利用简易洗煤装置洗煤，可以就近外销，</w:t>
      </w:r>
      <w:r>
        <w:rPr>
          <w:color w:val="FF0000"/>
          <w:sz w:val="24"/>
          <w:szCs w:val="24"/>
        </w:rPr>
        <w:t>井田煤层具有广泛用途，可用作炼焦配煤、化工用煤、动力用煤和民用煤等</w:t>
      </w:r>
      <w:r>
        <w:rPr>
          <w:rFonts w:hint="eastAsia"/>
          <w:color w:val="FF0000"/>
          <w:sz w:val="24"/>
          <w:szCs w:val="24"/>
        </w:rPr>
        <w:t>。</w:t>
      </w:r>
    </w:p>
    <w:p w14:paraId="718CE204">
      <w:pPr>
        <w:pStyle w:val="130"/>
        <w:spacing w:line="360" w:lineRule="auto"/>
        <w:ind w:firstLine="480" w:firstLineChars="200"/>
        <w:rPr>
          <w:rFonts w:hint="eastAsia"/>
          <w:color w:val="000000"/>
          <w:sz w:val="24"/>
          <w:szCs w:val="24"/>
        </w:rPr>
      </w:pPr>
      <w:r>
        <w:rPr>
          <w:rFonts w:hint="eastAsia"/>
          <w:color w:val="000000"/>
          <w:sz w:val="24"/>
          <w:szCs w:val="24"/>
        </w:rPr>
        <w:t>2、主井生产系统工艺流程：</w:t>
      </w:r>
    </w:p>
    <w:p w14:paraId="62D1BBCA">
      <w:pPr>
        <w:pStyle w:val="130"/>
        <w:spacing w:line="360" w:lineRule="auto"/>
        <w:ind w:firstLine="480" w:firstLineChars="200"/>
        <w:rPr>
          <w:rFonts w:hint="eastAsia"/>
          <w:color w:val="000000"/>
          <w:sz w:val="24"/>
          <w:szCs w:val="24"/>
        </w:rPr>
      </w:pPr>
      <w:r>
        <w:rPr>
          <w:rFonts w:hint="eastAsia"/>
          <w:color w:val="000000"/>
          <w:sz w:val="24"/>
          <w:szCs w:val="24"/>
        </w:rPr>
        <w:t xml:space="preserve">矿井主井地面生产系统工艺流程详见 </w:t>
      </w:r>
      <w:r>
        <w:rPr>
          <w:rFonts w:hint="eastAsia"/>
          <w:b/>
          <w:color w:val="000000"/>
          <w:sz w:val="24"/>
          <w:szCs w:val="24"/>
        </w:rPr>
        <w:t>图6－1－1。</w:t>
      </w:r>
    </w:p>
    <w:p w14:paraId="0CEC55F4">
      <w:pPr>
        <w:pStyle w:val="130"/>
        <w:spacing w:line="360" w:lineRule="auto"/>
        <w:jc w:val="center"/>
        <w:rPr>
          <w:rFonts w:hint="eastAsia"/>
          <w:color w:val="000000"/>
        </w:rPr>
      </w:pPr>
      <w:r>
        <w:rPr>
          <w:rFonts w:hint="eastAsia"/>
          <w:color w:val="000000"/>
        </w:rPr>
        <w:drawing>
          <wp:inline distT="0" distB="0" distL="114300" distR="114300">
            <wp:extent cx="5762625" cy="844550"/>
            <wp:effectExtent l="0" t="0" r="9525" b="12700"/>
            <wp:docPr id="57" name="图片 47" descr="水井湾煤矿开采方案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descr="水井湾煤矿开采方案图4"/>
                    <pic:cNvPicPr>
                      <a:picLocks noChangeAspect="1"/>
                    </pic:cNvPicPr>
                  </pic:nvPicPr>
                  <pic:blipFill>
                    <a:blip r:embed="rId233"/>
                    <a:srcRect l="13322" t="35266" r="16821" b="48247"/>
                    <a:stretch>
                      <a:fillRect/>
                    </a:stretch>
                  </pic:blipFill>
                  <pic:spPr>
                    <a:xfrm>
                      <a:off x="0" y="0"/>
                      <a:ext cx="5762625" cy="844550"/>
                    </a:xfrm>
                    <a:prstGeom prst="rect">
                      <a:avLst/>
                    </a:prstGeom>
                    <a:noFill/>
                    <a:ln>
                      <a:noFill/>
                    </a:ln>
                  </pic:spPr>
                </pic:pic>
              </a:graphicData>
            </a:graphic>
          </wp:inline>
        </w:drawing>
      </w:r>
    </w:p>
    <w:p w14:paraId="56FF7665">
      <w:pPr>
        <w:tabs>
          <w:tab w:val="left" w:pos="675"/>
        </w:tabs>
        <w:spacing w:line="360" w:lineRule="auto"/>
        <w:ind w:firstLine="482" w:firstLineChars="200"/>
        <w:jc w:val="center"/>
        <w:rPr>
          <w:rFonts w:hint="eastAsia" w:ascii="宋体" w:hAnsi="宋体"/>
          <w:b/>
          <w:color w:val="000000"/>
          <w:sz w:val="24"/>
          <w:lang w:val="zh-CN"/>
        </w:rPr>
      </w:pPr>
      <w:r>
        <w:rPr>
          <w:rFonts w:hint="eastAsia" w:ascii="宋体" w:hAnsi="宋体"/>
          <w:b/>
          <w:color w:val="000000"/>
          <w:sz w:val="24"/>
          <w:lang w:val="zh-CN"/>
        </w:rPr>
        <w:t>图6－1－1   主井地面生产系统工艺流程图</w:t>
      </w:r>
    </w:p>
    <w:p w14:paraId="360B1B88">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三、副井生产系统</w:t>
      </w:r>
    </w:p>
    <w:p w14:paraId="6BCE8E5F">
      <w:pPr>
        <w:pStyle w:val="130"/>
        <w:spacing w:line="360" w:lineRule="auto"/>
        <w:ind w:firstLine="480" w:firstLineChars="200"/>
        <w:rPr>
          <w:rFonts w:hint="eastAsia" w:hAnsi="宋体"/>
          <w:color w:val="000000"/>
          <w:sz w:val="24"/>
          <w:szCs w:val="24"/>
        </w:rPr>
      </w:pPr>
      <w:r>
        <w:rPr>
          <w:rFonts w:hint="eastAsia" w:hAnsi="宋体"/>
          <w:color w:val="000000"/>
          <w:sz w:val="24"/>
          <w:szCs w:val="24"/>
        </w:rPr>
        <w:t>矿井设计的生产能力为30万吨/年，采用斜井开拓，副斜井主要担负矿设备、材料、矸石等的辅助运输，副斜井采用绞车串车提升运输</w:t>
      </w:r>
      <w:r>
        <w:rPr>
          <w:rFonts w:hint="eastAsia" w:hAnsi="宋体"/>
          <w:sz w:val="24"/>
          <w:szCs w:val="24"/>
        </w:rPr>
        <w:t>。</w:t>
      </w:r>
    </w:p>
    <w:p w14:paraId="07270BCF">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1、副井生产系统工艺流程</w:t>
      </w:r>
    </w:p>
    <w:p w14:paraId="5F640C0A">
      <w:pPr>
        <w:pStyle w:val="130"/>
        <w:adjustRightInd w:val="0"/>
        <w:snapToGrid w:val="0"/>
        <w:spacing w:line="360" w:lineRule="auto"/>
        <w:ind w:firstLine="480" w:firstLineChars="200"/>
        <w:rPr>
          <w:rFonts w:hint="eastAsia" w:hAnsi="宋体"/>
          <w:sz w:val="24"/>
          <w:szCs w:val="24"/>
        </w:rPr>
      </w:pPr>
      <w:r>
        <w:rPr>
          <w:rFonts w:hint="eastAsia" w:hAnsi="宋体"/>
          <w:sz w:val="24"/>
          <w:szCs w:val="24"/>
        </w:rPr>
        <w:t>（1）井下矸石：</w:t>
      </w:r>
    </w:p>
    <w:p w14:paraId="6A2D8F06">
      <w:pPr>
        <w:pStyle w:val="130"/>
        <w:spacing w:line="360" w:lineRule="auto"/>
        <w:ind w:firstLine="480" w:firstLineChars="200"/>
        <w:rPr>
          <w:rFonts w:hint="eastAsia" w:hAnsi="宋体"/>
          <w:sz w:val="24"/>
          <w:szCs w:val="24"/>
        </w:rPr>
      </w:pPr>
      <w:r>
        <w:rPr>
          <w:rFonts w:hAnsi="宋体"/>
          <w:sz w:val="24"/>
          <w:szCs w:val="24"/>
        </w:rPr>
        <w:t>11135</w:t>
      </w:r>
      <w:r>
        <w:rPr>
          <w:rFonts w:hint="eastAsia" w:hAnsi="宋体"/>
          <w:sz w:val="24"/>
          <w:szCs w:val="24"/>
        </w:rPr>
        <w:t>运输顺槽掘进工作面→</w:t>
      </w:r>
      <w:r>
        <w:rPr>
          <w:rFonts w:hAnsi="宋体"/>
          <w:sz w:val="24"/>
          <w:szCs w:val="24"/>
        </w:rPr>
        <w:t>11135</w:t>
      </w:r>
      <w:r>
        <w:rPr>
          <w:rFonts w:hint="eastAsia" w:hAnsi="宋体"/>
          <w:sz w:val="24"/>
          <w:szCs w:val="24"/>
        </w:rPr>
        <w:t>运输顺槽→回风联络斜巷→</w:t>
      </w:r>
      <w:r>
        <w:rPr>
          <w:rFonts w:hAnsi="宋体"/>
          <w:sz w:val="24"/>
          <w:szCs w:val="24"/>
        </w:rPr>
        <w:t>133</w:t>
      </w:r>
      <w:r>
        <w:rPr>
          <w:rFonts w:hint="eastAsia" w:hAnsi="宋体"/>
          <w:sz w:val="24"/>
          <w:szCs w:val="24"/>
        </w:rPr>
        <w:t>回风石门（</w:t>
      </w:r>
      <w:r>
        <w:rPr>
          <w:rFonts w:hAnsi="宋体"/>
          <w:sz w:val="24"/>
          <w:szCs w:val="24"/>
        </w:rPr>
        <w:t>132</w:t>
      </w:r>
      <w:r>
        <w:rPr>
          <w:rFonts w:hint="eastAsia" w:hAnsi="宋体"/>
          <w:sz w:val="24"/>
          <w:szCs w:val="24"/>
        </w:rPr>
        <w:t>轨道石门）→副斜井→地面。</w:t>
      </w:r>
    </w:p>
    <w:p w14:paraId="74DAF58D">
      <w:pPr>
        <w:pStyle w:val="130"/>
        <w:spacing w:line="360" w:lineRule="auto"/>
        <w:ind w:firstLine="480" w:firstLineChars="200"/>
        <w:rPr>
          <w:rFonts w:hAnsi="宋体"/>
          <w:sz w:val="24"/>
          <w:szCs w:val="24"/>
        </w:rPr>
      </w:pPr>
      <w:r>
        <w:rPr>
          <w:rFonts w:hAnsi="宋体"/>
          <w:sz w:val="24"/>
          <w:szCs w:val="24"/>
        </w:rPr>
        <w:t>11135</w:t>
      </w:r>
      <w:r>
        <w:rPr>
          <w:rFonts w:hint="eastAsia" w:hAnsi="宋体"/>
          <w:sz w:val="24"/>
          <w:szCs w:val="24"/>
        </w:rPr>
        <w:t>回风顺槽掘进工作面→</w:t>
      </w:r>
      <w:r>
        <w:rPr>
          <w:rFonts w:hAnsi="宋体"/>
          <w:sz w:val="24"/>
          <w:szCs w:val="24"/>
        </w:rPr>
        <w:t>11135</w:t>
      </w:r>
      <w:r>
        <w:rPr>
          <w:rFonts w:hint="eastAsia" w:hAnsi="宋体"/>
          <w:sz w:val="24"/>
          <w:szCs w:val="24"/>
        </w:rPr>
        <w:t>回风顺槽→</w:t>
      </w:r>
      <w:r>
        <w:rPr>
          <w:rFonts w:hAnsi="宋体"/>
          <w:sz w:val="24"/>
          <w:szCs w:val="24"/>
        </w:rPr>
        <w:t>132</w:t>
      </w:r>
      <w:r>
        <w:rPr>
          <w:rFonts w:hint="eastAsia" w:hAnsi="宋体"/>
          <w:sz w:val="24"/>
          <w:szCs w:val="24"/>
        </w:rPr>
        <w:t>回风石门（</w:t>
      </w:r>
      <w:r>
        <w:rPr>
          <w:rFonts w:hAnsi="宋体"/>
          <w:sz w:val="24"/>
          <w:szCs w:val="24"/>
        </w:rPr>
        <w:t>131</w:t>
      </w:r>
      <w:r>
        <w:rPr>
          <w:rFonts w:hint="eastAsia" w:hAnsi="宋体"/>
          <w:sz w:val="24"/>
          <w:szCs w:val="24"/>
        </w:rPr>
        <w:t>轨道石门）→副斜井→地面。</w:t>
      </w:r>
    </w:p>
    <w:p w14:paraId="1B47A2BA">
      <w:pPr>
        <w:pStyle w:val="130"/>
        <w:spacing w:line="360" w:lineRule="auto"/>
        <w:ind w:firstLine="480" w:firstLineChars="200"/>
        <w:rPr>
          <w:rFonts w:hint="eastAsia" w:hAnsi="宋体"/>
          <w:sz w:val="24"/>
          <w:szCs w:val="24"/>
        </w:rPr>
      </w:pPr>
      <w:r>
        <w:rPr>
          <w:rFonts w:hint="eastAsia" w:hAnsi="宋体"/>
          <w:sz w:val="24"/>
          <w:szCs w:val="24"/>
        </w:rPr>
        <w:t>（2）地面矸石：</w:t>
      </w:r>
    </w:p>
    <w:p w14:paraId="346B7E55">
      <w:pPr>
        <w:spacing w:line="360" w:lineRule="auto"/>
        <w:ind w:firstLine="480" w:firstLineChars="200"/>
        <w:rPr>
          <w:rFonts w:hint="eastAsia" w:ascii="宋体" w:hAnsi="宋体"/>
          <w:sz w:val="24"/>
        </w:rPr>
      </w:pPr>
      <w:r>
        <w:rPr>
          <w:rFonts w:hint="eastAsia" w:ascii="宋体" w:hAnsi="宋体"/>
          <w:sz w:val="24"/>
        </w:rPr>
        <w:t>储煤场矸石→地面窄轨→矸石堆放场。</w:t>
      </w:r>
    </w:p>
    <w:p w14:paraId="682D23E5">
      <w:pPr>
        <w:spacing w:line="360" w:lineRule="auto"/>
        <w:ind w:firstLine="480" w:firstLineChars="200"/>
        <w:rPr>
          <w:rFonts w:hint="eastAsia" w:ascii="宋体" w:hAnsi="宋体"/>
          <w:sz w:val="24"/>
        </w:rPr>
      </w:pPr>
      <w:r>
        <w:rPr>
          <w:rFonts w:hint="eastAsia" w:ascii="宋体" w:hAnsi="宋体"/>
          <w:sz w:val="24"/>
        </w:rPr>
        <w:t>（3）材　　料：</w:t>
      </w:r>
    </w:p>
    <w:p w14:paraId="6AF8CCB8">
      <w:pPr>
        <w:spacing w:line="360" w:lineRule="auto"/>
        <w:ind w:firstLine="480" w:firstLineChars="200"/>
        <w:rPr>
          <w:rFonts w:hint="eastAsia" w:ascii="宋体" w:hAnsi="宋体"/>
          <w:sz w:val="24"/>
        </w:rPr>
      </w:pPr>
      <w:r>
        <w:rPr>
          <w:rFonts w:hint="eastAsia" w:ascii="宋体" w:hAnsi="宋体"/>
          <w:sz w:val="24"/>
        </w:rPr>
        <w:t>11015回采工作面</w:t>
      </w:r>
      <w:r>
        <w:rPr>
          <w:rFonts w:ascii="宋体" w:hAnsi="宋体"/>
          <w:sz w:val="24"/>
        </w:rPr>
        <w:t>:</w:t>
      </w:r>
      <w:r>
        <w:rPr>
          <w:rFonts w:hint="eastAsia" w:ascii="宋体" w:hAnsi="宋体"/>
          <w:sz w:val="24"/>
        </w:rPr>
        <w:t>机修车间（材料库、坑木场）→地面窄轨运输→副斜井→（</w:t>
      </w:r>
      <w:r>
        <w:rPr>
          <w:rFonts w:ascii="宋体" w:hAnsi="宋体"/>
          <w:sz w:val="24"/>
        </w:rPr>
        <w:t>131</w:t>
      </w:r>
      <w:r>
        <w:rPr>
          <w:rFonts w:hint="eastAsia" w:ascii="宋体" w:hAnsi="宋体"/>
          <w:sz w:val="24"/>
        </w:rPr>
        <w:t>轨道石门）</w:t>
      </w:r>
      <w:r>
        <w:rPr>
          <w:rFonts w:ascii="宋体" w:hAnsi="宋体"/>
          <w:sz w:val="24"/>
        </w:rPr>
        <w:t>132</w:t>
      </w:r>
      <w:r>
        <w:rPr>
          <w:rFonts w:hint="eastAsia" w:ascii="宋体" w:hAnsi="宋体"/>
          <w:sz w:val="24"/>
        </w:rPr>
        <w:t>轨道石门→</w:t>
      </w:r>
      <w:r>
        <w:rPr>
          <w:rFonts w:ascii="宋体" w:hAnsi="宋体"/>
          <w:sz w:val="24"/>
        </w:rPr>
        <w:t>11015</w:t>
      </w:r>
      <w:r>
        <w:rPr>
          <w:rFonts w:hint="eastAsia" w:ascii="宋体" w:hAnsi="宋体"/>
          <w:sz w:val="24"/>
        </w:rPr>
        <w:t>回风顺槽→</w:t>
      </w:r>
      <w:r>
        <w:rPr>
          <w:rFonts w:ascii="宋体" w:hAnsi="宋体"/>
          <w:sz w:val="24"/>
        </w:rPr>
        <w:t>11015</w:t>
      </w:r>
      <w:r>
        <w:rPr>
          <w:rFonts w:hint="eastAsia" w:ascii="宋体" w:hAnsi="宋体"/>
          <w:sz w:val="24"/>
        </w:rPr>
        <w:t>回采工作面。</w:t>
      </w:r>
    </w:p>
    <w:p w14:paraId="37CC24B9">
      <w:pPr>
        <w:spacing w:line="360" w:lineRule="auto"/>
        <w:ind w:firstLine="480" w:firstLineChars="200"/>
        <w:rPr>
          <w:rFonts w:ascii="宋体" w:hAnsi="宋体"/>
          <w:sz w:val="24"/>
        </w:rPr>
      </w:pPr>
      <w:r>
        <w:rPr>
          <w:rFonts w:hint="eastAsia" w:ascii="宋体" w:hAnsi="宋体"/>
          <w:sz w:val="24"/>
        </w:rPr>
        <w:t>11135运输顺槽掘进工作面</w:t>
      </w:r>
      <w:r>
        <w:rPr>
          <w:rFonts w:ascii="宋体" w:hAnsi="宋体"/>
          <w:sz w:val="24"/>
        </w:rPr>
        <w:t>:</w:t>
      </w:r>
      <w:r>
        <w:rPr>
          <w:rFonts w:hint="eastAsia" w:ascii="宋体" w:hAnsi="宋体"/>
          <w:sz w:val="24"/>
        </w:rPr>
        <w:t>机修车间（材料库、坑木场）→地面窄轨运输→副斜井→（</w:t>
      </w:r>
      <w:r>
        <w:rPr>
          <w:rFonts w:ascii="宋体" w:hAnsi="宋体"/>
          <w:sz w:val="24"/>
        </w:rPr>
        <w:t>132</w:t>
      </w:r>
      <w:r>
        <w:rPr>
          <w:rFonts w:hint="eastAsia" w:ascii="宋体" w:hAnsi="宋体"/>
          <w:sz w:val="24"/>
        </w:rPr>
        <w:t>轨道石门）</w:t>
      </w:r>
      <w:r>
        <w:rPr>
          <w:rFonts w:ascii="宋体" w:hAnsi="宋体"/>
          <w:sz w:val="24"/>
        </w:rPr>
        <w:t>133</w:t>
      </w:r>
      <w:r>
        <w:rPr>
          <w:rFonts w:hint="eastAsia" w:ascii="宋体" w:hAnsi="宋体"/>
          <w:sz w:val="24"/>
        </w:rPr>
        <w:t>回风石门→回风联络斜巷→</w:t>
      </w:r>
      <w:r>
        <w:rPr>
          <w:rFonts w:ascii="宋体" w:hAnsi="宋体"/>
          <w:sz w:val="24"/>
        </w:rPr>
        <w:t>11135</w:t>
      </w:r>
      <w:r>
        <w:rPr>
          <w:rFonts w:hint="eastAsia" w:ascii="宋体" w:hAnsi="宋体"/>
          <w:sz w:val="24"/>
        </w:rPr>
        <w:t>运输顺槽→</w:t>
      </w:r>
      <w:r>
        <w:rPr>
          <w:rFonts w:ascii="宋体" w:hAnsi="宋体"/>
          <w:sz w:val="24"/>
        </w:rPr>
        <w:t>11135</w:t>
      </w:r>
      <w:r>
        <w:rPr>
          <w:rFonts w:hint="eastAsia" w:ascii="宋体" w:hAnsi="宋体"/>
          <w:sz w:val="24"/>
        </w:rPr>
        <w:t>运输顺槽掘进工作面。</w:t>
      </w:r>
    </w:p>
    <w:p w14:paraId="57C21BD7">
      <w:pPr>
        <w:spacing w:line="360" w:lineRule="auto"/>
        <w:ind w:firstLine="480" w:firstLineChars="200"/>
        <w:rPr>
          <w:rFonts w:ascii="宋体" w:hAnsi="宋体"/>
          <w:sz w:val="24"/>
        </w:rPr>
      </w:pPr>
      <w:r>
        <w:rPr>
          <w:rFonts w:hint="eastAsia" w:ascii="宋体" w:hAnsi="宋体"/>
          <w:sz w:val="24"/>
        </w:rPr>
        <w:t>11135回风顺槽掘进工作面</w:t>
      </w:r>
      <w:r>
        <w:rPr>
          <w:rFonts w:ascii="宋体" w:hAnsi="宋体"/>
          <w:sz w:val="24"/>
        </w:rPr>
        <w:t>:</w:t>
      </w:r>
      <w:r>
        <w:rPr>
          <w:rFonts w:hint="eastAsia" w:ascii="宋体" w:hAnsi="宋体"/>
          <w:sz w:val="24"/>
        </w:rPr>
        <w:t>机修车间（材料库、坑木场）→地面窄轨运输→副斜井→（</w:t>
      </w:r>
      <w:r>
        <w:rPr>
          <w:rFonts w:ascii="宋体" w:hAnsi="宋体"/>
          <w:sz w:val="24"/>
        </w:rPr>
        <w:t>131</w:t>
      </w:r>
      <w:r>
        <w:rPr>
          <w:rFonts w:hint="eastAsia" w:ascii="宋体" w:hAnsi="宋体"/>
          <w:sz w:val="24"/>
        </w:rPr>
        <w:t>轨道石门）</w:t>
      </w:r>
      <w:r>
        <w:rPr>
          <w:rFonts w:ascii="宋体" w:hAnsi="宋体"/>
          <w:sz w:val="24"/>
        </w:rPr>
        <w:t>132</w:t>
      </w:r>
      <w:r>
        <w:rPr>
          <w:rFonts w:hint="eastAsia" w:ascii="宋体" w:hAnsi="宋体"/>
          <w:sz w:val="24"/>
        </w:rPr>
        <w:t>回风石门→</w:t>
      </w:r>
      <w:r>
        <w:rPr>
          <w:rFonts w:ascii="宋体" w:hAnsi="宋体"/>
          <w:sz w:val="24"/>
        </w:rPr>
        <w:t>11135</w:t>
      </w:r>
      <w:r>
        <w:rPr>
          <w:rFonts w:hint="eastAsia" w:ascii="宋体" w:hAnsi="宋体"/>
          <w:sz w:val="24"/>
        </w:rPr>
        <w:t>回风顺槽→</w:t>
      </w:r>
      <w:r>
        <w:rPr>
          <w:rFonts w:ascii="宋体" w:hAnsi="宋体"/>
          <w:sz w:val="24"/>
        </w:rPr>
        <w:t>11135</w:t>
      </w:r>
      <w:r>
        <w:rPr>
          <w:rFonts w:hint="eastAsia" w:ascii="宋体" w:hAnsi="宋体"/>
          <w:sz w:val="24"/>
        </w:rPr>
        <w:t>回风顺槽掘进工作面。</w:t>
      </w:r>
    </w:p>
    <w:p w14:paraId="2AADCFEA">
      <w:pPr>
        <w:pStyle w:val="130"/>
        <w:spacing w:line="360" w:lineRule="auto"/>
        <w:ind w:firstLine="480" w:firstLineChars="200"/>
        <w:rPr>
          <w:rFonts w:hint="eastAsia" w:hAnsi="宋体"/>
          <w:sz w:val="24"/>
          <w:szCs w:val="24"/>
        </w:rPr>
      </w:pPr>
      <w:r>
        <w:rPr>
          <w:rFonts w:hint="eastAsia" w:hAnsi="宋体"/>
          <w:sz w:val="24"/>
          <w:szCs w:val="24"/>
        </w:rPr>
        <w:t>2、主要设备选型</w:t>
      </w:r>
    </w:p>
    <w:p w14:paraId="54029A2D">
      <w:pPr>
        <w:pStyle w:val="130"/>
        <w:spacing w:line="360" w:lineRule="auto"/>
        <w:ind w:firstLine="480" w:firstLineChars="200"/>
        <w:rPr>
          <w:rFonts w:hint="eastAsia" w:hAnsi="宋体"/>
          <w:color w:val="FF0000"/>
          <w:sz w:val="24"/>
          <w:szCs w:val="24"/>
        </w:rPr>
      </w:pPr>
      <w:r>
        <w:rPr>
          <w:rFonts w:hint="eastAsia" w:hAnsi="宋体"/>
          <w:color w:val="FF0000"/>
          <w:sz w:val="24"/>
          <w:szCs w:val="24"/>
        </w:rPr>
        <w:t>副斜井选用1台JTP-1.6×1.5P型的绞车提升运输</w:t>
      </w:r>
      <w:r>
        <w:rPr>
          <w:rFonts w:hint="eastAsia" w:hAnsi="宋体"/>
          <w:color w:val="FF0000"/>
          <w:kern w:val="0"/>
          <w:sz w:val="24"/>
          <w:szCs w:val="24"/>
        </w:rPr>
        <w:t>。一次提升3个矸石车。</w:t>
      </w:r>
      <w:r>
        <w:rPr>
          <w:rFonts w:hint="eastAsia" w:hAnsi="宋体"/>
          <w:color w:val="FF0000"/>
          <w:sz w:val="24"/>
          <w:szCs w:val="24"/>
        </w:rPr>
        <w:t>其技术参数如下：</w:t>
      </w:r>
    </w:p>
    <w:p w14:paraId="5D477E6A">
      <w:pPr>
        <w:spacing w:line="360" w:lineRule="auto"/>
        <w:ind w:firstLine="480" w:firstLineChars="200"/>
        <w:rPr>
          <w:rFonts w:hint="eastAsia" w:ascii="宋体" w:hAnsi="宋体"/>
          <w:color w:val="FF0000"/>
          <w:sz w:val="24"/>
        </w:rPr>
      </w:pPr>
      <w:r>
        <w:rPr>
          <w:rFonts w:hint="eastAsia" w:ascii="宋体" w:hAnsi="宋体"/>
          <w:color w:val="FF0000"/>
          <w:sz w:val="24"/>
        </w:rPr>
        <w:t xml:space="preserve">D＝1600mm  </w:t>
      </w:r>
      <w:r>
        <w:rPr>
          <w:rFonts w:ascii="宋体" w:hAnsi="宋体"/>
          <w:color w:val="FF0000"/>
          <w:sz w:val="24"/>
        </w:rPr>
        <w:t>B</w:t>
      </w:r>
      <w:r>
        <w:rPr>
          <w:rFonts w:hint="eastAsia" w:ascii="宋体" w:hAnsi="宋体"/>
          <w:color w:val="FF0000"/>
          <w:sz w:val="24"/>
        </w:rPr>
        <w:t>＝1500mm</w:t>
      </w:r>
      <w:r>
        <w:rPr>
          <w:rFonts w:ascii="宋体" w:hAnsi="宋体"/>
          <w:color w:val="FF0000"/>
          <w:sz w:val="24"/>
        </w:rPr>
        <w:t xml:space="preserve">   V=</w:t>
      </w:r>
      <w:r>
        <w:rPr>
          <w:rFonts w:hint="eastAsia" w:ascii="宋体" w:hAnsi="宋体"/>
          <w:color w:val="FF0000"/>
          <w:sz w:val="24"/>
        </w:rPr>
        <w:t>2</w:t>
      </w:r>
      <w:r>
        <w:rPr>
          <w:rFonts w:ascii="宋体" w:hAnsi="宋体"/>
          <w:color w:val="FF0000"/>
          <w:sz w:val="24"/>
        </w:rPr>
        <w:t xml:space="preserve">m/s </w:t>
      </w:r>
      <w:r>
        <w:rPr>
          <w:rFonts w:hint="eastAsia" w:ascii="宋体" w:hAnsi="宋体"/>
          <w:color w:val="FF0000"/>
          <w:sz w:val="24"/>
        </w:rPr>
        <w:t xml:space="preserve">   </w:t>
      </w:r>
      <w:r>
        <w:rPr>
          <w:rFonts w:ascii="宋体" w:hAnsi="宋体"/>
          <w:color w:val="FF0000"/>
          <w:sz w:val="24"/>
        </w:rPr>
        <w:t>N=</w:t>
      </w:r>
      <w:r>
        <w:rPr>
          <w:rFonts w:hint="eastAsia" w:ascii="宋体" w:hAnsi="宋体"/>
          <w:color w:val="FF0000"/>
          <w:sz w:val="24"/>
        </w:rPr>
        <w:t>75</w:t>
      </w:r>
      <w:r>
        <w:rPr>
          <w:rFonts w:ascii="宋体" w:hAnsi="宋体"/>
          <w:color w:val="FF0000"/>
          <w:sz w:val="24"/>
        </w:rPr>
        <w:t xml:space="preserve">kW  </w:t>
      </w:r>
      <w:r>
        <w:rPr>
          <w:rFonts w:hint="eastAsia" w:ascii="宋体" w:hAnsi="宋体"/>
          <w:color w:val="FF0000"/>
          <w:sz w:val="24"/>
        </w:rPr>
        <w:t>最大静张力为：45kN</w:t>
      </w:r>
    </w:p>
    <w:p w14:paraId="2A90E42A">
      <w:pPr>
        <w:pStyle w:val="130"/>
        <w:adjustRightInd w:val="0"/>
        <w:snapToGrid w:val="0"/>
        <w:spacing w:line="360" w:lineRule="auto"/>
        <w:ind w:firstLine="480" w:firstLineChars="200"/>
        <w:rPr>
          <w:rFonts w:hint="eastAsia" w:hAnsi="宋体"/>
          <w:color w:val="000000"/>
          <w:sz w:val="24"/>
          <w:szCs w:val="24"/>
        </w:rPr>
      </w:pPr>
      <w:r>
        <w:rPr>
          <w:rFonts w:hint="eastAsia" w:hAnsi="宋体"/>
          <w:color w:val="000000"/>
          <w:sz w:val="24"/>
          <w:szCs w:val="24"/>
        </w:rPr>
        <w:t>3、副井生产系统</w:t>
      </w:r>
    </w:p>
    <w:p w14:paraId="4BEE57FE">
      <w:pPr>
        <w:spacing w:line="360" w:lineRule="auto"/>
        <w:ind w:firstLine="480" w:firstLineChars="200"/>
        <w:rPr>
          <w:rFonts w:hint="eastAsia" w:ascii="宋体" w:hAnsi="宋体"/>
          <w:sz w:val="24"/>
        </w:rPr>
      </w:pPr>
      <w:r>
        <w:rPr>
          <w:rFonts w:hint="eastAsia" w:ascii="宋体" w:hAnsi="宋体"/>
          <w:sz w:val="24"/>
        </w:rPr>
        <w:t>副斜井担负设备、材料、矸石、人员等的运输任务，采用平车场，串车提升。</w:t>
      </w:r>
    </w:p>
    <w:p w14:paraId="4BA1E670">
      <w:pPr>
        <w:spacing w:line="360" w:lineRule="auto"/>
        <w:ind w:firstLine="480" w:firstLineChars="200"/>
        <w:rPr>
          <w:rFonts w:hint="eastAsia" w:ascii="宋体" w:hAnsi="宋体"/>
          <w:color w:val="000000"/>
          <w:sz w:val="24"/>
        </w:rPr>
      </w:pPr>
      <w:r>
        <w:rPr>
          <w:rFonts w:hint="eastAsia" w:ascii="宋体" w:hAnsi="宋体"/>
          <w:sz w:val="24"/>
        </w:rPr>
        <w:t>平车场空车线（进车线）设绳式推车机、两道阻车器，可实现自动调配车辆和将车辆推过坡口。平车场重车线（出车线）出车时，通过提升绞车牵引至摘钩点，人工摘钩后重车自溜。车场附近的暗斜井内设1套常闭式防跑车装置，暗斜井中下段设2套常开式防跑车装置。</w:t>
      </w:r>
    </w:p>
    <w:p w14:paraId="3D066229">
      <w:pPr>
        <w:pStyle w:val="130"/>
        <w:adjustRightInd w:val="0"/>
        <w:snapToGrid w:val="0"/>
        <w:spacing w:line="360" w:lineRule="auto"/>
        <w:ind w:firstLine="480" w:firstLineChars="200"/>
        <w:rPr>
          <w:rFonts w:hint="eastAsia" w:hAnsi="宋体"/>
          <w:sz w:val="24"/>
          <w:szCs w:val="24"/>
        </w:rPr>
      </w:pPr>
      <w:r>
        <w:rPr>
          <w:rFonts w:hint="eastAsia" w:hAnsi="宋体"/>
          <w:sz w:val="24"/>
          <w:szCs w:val="24"/>
        </w:rPr>
        <w:t>4、矸石处理及运输方式</w:t>
      </w:r>
    </w:p>
    <w:p w14:paraId="22CC3D07">
      <w:pPr>
        <w:pStyle w:val="130"/>
        <w:spacing w:line="360" w:lineRule="auto"/>
        <w:ind w:firstLine="480" w:firstLineChars="200"/>
        <w:rPr>
          <w:rFonts w:hint="eastAsia" w:hAnsi="宋体"/>
          <w:sz w:val="24"/>
          <w:szCs w:val="24"/>
        </w:rPr>
      </w:pPr>
      <w:r>
        <w:rPr>
          <w:rFonts w:hint="eastAsia" w:hAnsi="宋体"/>
          <w:sz w:val="24"/>
        </w:rPr>
        <w:t>排矸场布置在工业场地北西150m处的荒沟里。井下矸石和选出的矸石经地面窄轨铁路运至工业场地北端（+1983.00m标高），采用调度绞车提升至+2035.00m标高平台，用窄轨铁路矿车运输，顺地形等高线运至排矸场，再用绞车提升至排矸场排弃。</w:t>
      </w:r>
      <w:r>
        <w:rPr>
          <w:rFonts w:hint="eastAsia" w:hAnsi="宋体"/>
          <w:sz w:val="24"/>
          <w:szCs w:val="24"/>
        </w:rPr>
        <w:t>地面工艺平面布置详见</w:t>
      </w:r>
      <w:r>
        <w:rPr>
          <w:rFonts w:hint="eastAsia" w:hAnsi="宋体"/>
          <w:b/>
          <w:sz w:val="24"/>
          <w:szCs w:val="24"/>
        </w:rPr>
        <w:t>(附图)</w:t>
      </w:r>
      <w:r>
        <w:rPr>
          <w:rFonts w:hint="eastAsia" w:hAnsi="宋体"/>
          <w:sz w:val="24"/>
          <w:szCs w:val="24"/>
        </w:rPr>
        <w:t>。</w:t>
      </w:r>
    </w:p>
    <w:p w14:paraId="7F31AB0F">
      <w:pPr>
        <w:pStyle w:val="4"/>
        <w:keepLines/>
        <w:adjustRightInd w:val="0"/>
        <w:snapToGrid w:val="0"/>
        <w:spacing w:before="240" w:after="240" w:line="360" w:lineRule="auto"/>
        <w:ind w:firstLine="562" w:firstLineChars="200"/>
        <w:jc w:val="both"/>
        <w:rPr>
          <w:rFonts w:hint="eastAsia"/>
          <w:b/>
          <w:color w:val="000000"/>
          <w:kern w:val="0"/>
          <w:szCs w:val="20"/>
        </w:rPr>
      </w:pPr>
      <w:bookmarkStart w:id="662" w:name="_Toc173869271"/>
      <w:bookmarkStart w:id="663" w:name="_Toc173893707"/>
      <w:bookmarkStart w:id="664" w:name="_Toc173918946"/>
      <w:r>
        <w:rPr>
          <w:rFonts w:hint="eastAsia"/>
          <w:b/>
          <w:color w:val="000000"/>
          <w:kern w:val="0"/>
          <w:szCs w:val="20"/>
        </w:rPr>
        <w:t>四、辅助设施</w:t>
      </w:r>
      <w:bookmarkEnd w:id="662"/>
      <w:bookmarkEnd w:id="663"/>
      <w:bookmarkEnd w:id="664"/>
    </w:p>
    <w:p w14:paraId="46CDF42B">
      <w:pPr>
        <w:pStyle w:val="130"/>
        <w:adjustRightInd w:val="0"/>
        <w:snapToGrid w:val="0"/>
        <w:spacing w:line="360" w:lineRule="auto"/>
        <w:ind w:firstLine="480" w:firstLineChars="200"/>
        <w:rPr>
          <w:rFonts w:hint="eastAsia"/>
          <w:sz w:val="24"/>
          <w:szCs w:val="24"/>
        </w:rPr>
      </w:pPr>
      <w:r>
        <w:rPr>
          <w:rFonts w:hint="eastAsia"/>
          <w:sz w:val="24"/>
          <w:szCs w:val="24"/>
        </w:rPr>
        <w:t>1、矿井修理车间</w:t>
      </w:r>
    </w:p>
    <w:p w14:paraId="0A93ADDD">
      <w:pPr>
        <w:pStyle w:val="130"/>
        <w:adjustRightInd w:val="0"/>
        <w:snapToGrid w:val="0"/>
        <w:spacing w:line="360" w:lineRule="auto"/>
        <w:ind w:firstLine="480" w:firstLineChars="200"/>
        <w:rPr>
          <w:rFonts w:hint="eastAsia"/>
          <w:sz w:val="24"/>
          <w:szCs w:val="24"/>
        </w:rPr>
      </w:pPr>
      <w:r>
        <w:rPr>
          <w:rFonts w:hint="eastAsia"/>
          <w:sz w:val="24"/>
          <w:szCs w:val="24"/>
        </w:rPr>
        <w:t>矿井机修间设在副斜井的西面，采用砖混结构。只承担本矿机电设备的日常检修和维护，设车、铣、刨、钻、电焊、矿车修理、支柱拆卸机等基本设备，设窄轨与工业场地联络。</w:t>
      </w:r>
    </w:p>
    <w:p w14:paraId="3A9100B0">
      <w:pPr>
        <w:pStyle w:val="130"/>
        <w:adjustRightInd w:val="0"/>
        <w:snapToGrid w:val="0"/>
        <w:spacing w:line="360" w:lineRule="auto"/>
        <w:ind w:firstLine="480" w:firstLineChars="200"/>
        <w:rPr>
          <w:rFonts w:hint="eastAsia"/>
          <w:sz w:val="24"/>
          <w:szCs w:val="24"/>
        </w:rPr>
      </w:pPr>
      <w:r>
        <w:rPr>
          <w:rFonts w:hint="eastAsia"/>
          <w:sz w:val="24"/>
          <w:szCs w:val="24"/>
        </w:rPr>
        <w:t>2、综合材料库</w:t>
      </w:r>
    </w:p>
    <w:p w14:paraId="414CB5AC">
      <w:pPr>
        <w:pStyle w:val="130"/>
        <w:adjustRightInd w:val="0"/>
        <w:snapToGrid w:val="0"/>
        <w:spacing w:line="360" w:lineRule="auto"/>
        <w:ind w:firstLine="480" w:firstLineChars="200"/>
        <w:rPr>
          <w:rFonts w:hint="eastAsia"/>
          <w:sz w:val="24"/>
          <w:szCs w:val="24"/>
        </w:rPr>
      </w:pPr>
      <w:r>
        <w:rPr>
          <w:rFonts w:hint="eastAsia"/>
          <w:sz w:val="24"/>
          <w:szCs w:val="24"/>
        </w:rPr>
        <w:t>综合材料库设置在副斜井的西南面，采用砖混结构，放置井上及井下所需的各种材料及消防用品。</w:t>
      </w:r>
    </w:p>
    <w:p w14:paraId="05669F18">
      <w:pPr>
        <w:pStyle w:val="130"/>
        <w:adjustRightInd w:val="0"/>
        <w:snapToGrid w:val="0"/>
        <w:spacing w:line="360" w:lineRule="auto"/>
        <w:ind w:firstLine="480" w:firstLineChars="200"/>
        <w:rPr>
          <w:rFonts w:hint="eastAsia"/>
          <w:sz w:val="24"/>
          <w:szCs w:val="24"/>
        </w:rPr>
      </w:pPr>
      <w:r>
        <w:rPr>
          <w:rFonts w:hint="eastAsia"/>
          <w:sz w:val="24"/>
          <w:szCs w:val="24"/>
        </w:rPr>
        <w:t>3、坑木加工房</w:t>
      </w:r>
    </w:p>
    <w:p w14:paraId="1D26B27C">
      <w:pPr>
        <w:pStyle w:val="130"/>
        <w:adjustRightInd w:val="0"/>
        <w:snapToGrid w:val="0"/>
        <w:spacing w:line="360" w:lineRule="auto"/>
        <w:ind w:firstLine="480" w:firstLineChars="200"/>
        <w:rPr>
          <w:rFonts w:hint="eastAsia"/>
          <w:sz w:val="24"/>
          <w:szCs w:val="24"/>
        </w:rPr>
      </w:pPr>
      <w:r>
        <w:rPr>
          <w:rFonts w:hint="eastAsia"/>
          <w:sz w:val="24"/>
          <w:szCs w:val="24"/>
        </w:rPr>
        <w:t>在副斜井井口西南面设置坑木加工房，仅作简单木材加工，主要设备为木工圆锯机、移动式截锯机、万能刃磨机。</w:t>
      </w:r>
    </w:p>
    <w:p w14:paraId="4747AD0C">
      <w:pPr>
        <w:pStyle w:val="130"/>
        <w:adjustRightInd w:val="0"/>
        <w:snapToGrid w:val="0"/>
        <w:spacing w:line="360" w:lineRule="auto"/>
        <w:ind w:firstLine="480" w:firstLineChars="200"/>
        <w:rPr>
          <w:rFonts w:hint="eastAsia"/>
          <w:sz w:val="24"/>
          <w:szCs w:val="24"/>
        </w:rPr>
      </w:pPr>
      <w:r>
        <w:rPr>
          <w:rFonts w:hint="eastAsia"/>
          <w:sz w:val="24"/>
          <w:szCs w:val="24"/>
        </w:rPr>
        <w:t>4、压风机房</w:t>
      </w:r>
    </w:p>
    <w:p w14:paraId="3BBDF788">
      <w:pPr>
        <w:pStyle w:val="130"/>
        <w:adjustRightInd w:val="0"/>
        <w:snapToGrid w:val="0"/>
        <w:spacing w:line="360" w:lineRule="auto"/>
        <w:ind w:firstLine="480" w:firstLineChars="200"/>
        <w:rPr>
          <w:rFonts w:hint="eastAsia"/>
          <w:sz w:val="24"/>
          <w:szCs w:val="24"/>
        </w:rPr>
      </w:pPr>
      <w:r>
        <w:rPr>
          <w:rFonts w:hint="eastAsia"/>
          <w:sz w:val="24"/>
          <w:szCs w:val="24"/>
        </w:rPr>
        <w:t>压风机房设置在井斜井与副斜井之间，承担井下各用风地点所需风压机，井下各用风地点主要有各岩巷掘进工作面风动工具、各条巷道中的压风自救等。</w:t>
      </w:r>
    </w:p>
    <w:p w14:paraId="03FF5DB6">
      <w:pPr>
        <w:pStyle w:val="130"/>
        <w:adjustRightInd w:val="0"/>
        <w:snapToGrid w:val="0"/>
        <w:spacing w:line="360" w:lineRule="auto"/>
        <w:ind w:firstLine="480" w:firstLineChars="200"/>
        <w:rPr>
          <w:rFonts w:hint="eastAsia"/>
          <w:sz w:val="24"/>
          <w:szCs w:val="24"/>
        </w:rPr>
      </w:pPr>
      <w:r>
        <w:rPr>
          <w:rFonts w:hint="eastAsia"/>
          <w:sz w:val="24"/>
          <w:szCs w:val="24"/>
        </w:rPr>
        <w:t>5、地磅房</w:t>
      </w:r>
    </w:p>
    <w:p w14:paraId="11DB757B">
      <w:pPr>
        <w:pStyle w:val="130"/>
        <w:adjustRightInd w:val="0"/>
        <w:snapToGrid w:val="0"/>
        <w:spacing w:line="360" w:lineRule="auto"/>
        <w:ind w:firstLine="480" w:firstLineChars="200"/>
        <w:rPr>
          <w:rFonts w:hint="eastAsia"/>
          <w:sz w:val="24"/>
          <w:szCs w:val="24"/>
        </w:rPr>
      </w:pPr>
      <w:r>
        <w:rPr>
          <w:rFonts w:hint="eastAsia"/>
          <w:sz w:val="24"/>
          <w:szCs w:val="24"/>
        </w:rPr>
        <w:t>地磅房布置在矿井煤炭运输进、出口通道上，采用</w:t>
      </w:r>
      <w:r>
        <w:rPr>
          <w:sz w:val="24"/>
          <w:szCs w:val="24"/>
        </w:rPr>
        <w:t>SCS－60电子汽车衡称重60t</w:t>
      </w:r>
      <w:r>
        <w:rPr>
          <w:rFonts w:hint="eastAsia"/>
          <w:sz w:val="24"/>
          <w:szCs w:val="24"/>
        </w:rPr>
        <w:t>，共1</w:t>
      </w:r>
      <w:r>
        <w:rPr>
          <w:sz w:val="24"/>
          <w:szCs w:val="24"/>
        </w:rPr>
        <w:t>台</w:t>
      </w:r>
      <w:r>
        <w:rPr>
          <w:rFonts w:hint="eastAsia"/>
          <w:sz w:val="24"/>
          <w:szCs w:val="24"/>
        </w:rPr>
        <w:t>。</w:t>
      </w:r>
    </w:p>
    <w:p w14:paraId="764D1A94">
      <w:pPr>
        <w:pStyle w:val="130"/>
        <w:spacing w:line="360" w:lineRule="auto"/>
        <w:ind w:firstLine="480" w:firstLineChars="200"/>
        <w:rPr>
          <w:rFonts w:hint="eastAsia"/>
          <w:sz w:val="24"/>
          <w:szCs w:val="24"/>
        </w:rPr>
      </w:pPr>
      <w:r>
        <w:rPr>
          <w:rFonts w:hint="eastAsia"/>
          <w:sz w:val="24"/>
          <w:szCs w:val="24"/>
        </w:rPr>
        <w:t>6、矿山救护</w:t>
      </w:r>
    </w:p>
    <w:p w14:paraId="3366509D">
      <w:pPr>
        <w:pStyle w:val="130"/>
        <w:spacing w:line="360" w:lineRule="auto"/>
        <w:ind w:firstLine="480" w:firstLineChars="200"/>
        <w:rPr>
          <w:rFonts w:hint="eastAsia"/>
          <w:sz w:val="24"/>
          <w:szCs w:val="24"/>
        </w:rPr>
      </w:pPr>
      <w:r>
        <w:rPr>
          <w:rFonts w:hint="eastAsia"/>
          <w:sz w:val="24"/>
          <w:szCs w:val="24"/>
        </w:rPr>
        <w:t>为保证安全生产，设计考虑依托水城县矿山救护队，该矿井距水城县矿山救护队约25km，救护队到矿的行车时间不超过30min，能满足行车时间要求。为安全起见，考虑在本矿井工业场地内设置矿山救护小队，负责本矿井矿山救护的日常工作。配备矿山</w:t>
      </w:r>
      <w:r>
        <w:rPr>
          <w:sz w:val="24"/>
          <w:szCs w:val="24"/>
        </w:rPr>
        <w:t>救护车</w:t>
      </w:r>
      <w:r>
        <w:rPr>
          <w:rFonts w:hint="eastAsia"/>
          <w:sz w:val="24"/>
          <w:szCs w:val="24"/>
        </w:rPr>
        <w:t>1</w:t>
      </w:r>
      <w:r>
        <w:rPr>
          <w:sz w:val="24"/>
          <w:szCs w:val="24"/>
        </w:rPr>
        <w:t>辆</w:t>
      </w:r>
      <w:r>
        <w:rPr>
          <w:rFonts w:hint="eastAsia"/>
          <w:sz w:val="24"/>
          <w:szCs w:val="24"/>
        </w:rPr>
        <w:t>，</w:t>
      </w:r>
      <w:r>
        <w:rPr>
          <w:sz w:val="24"/>
          <w:szCs w:val="24"/>
        </w:rPr>
        <w:t>人员</w:t>
      </w:r>
      <w:r>
        <w:rPr>
          <w:rFonts w:hint="eastAsia"/>
          <w:sz w:val="24"/>
          <w:szCs w:val="24"/>
        </w:rPr>
        <w:t>9</w:t>
      </w:r>
      <w:r>
        <w:rPr>
          <w:sz w:val="24"/>
          <w:szCs w:val="24"/>
        </w:rPr>
        <w:t>人</w:t>
      </w:r>
      <w:r>
        <w:rPr>
          <w:rFonts w:hint="eastAsia"/>
          <w:sz w:val="24"/>
          <w:szCs w:val="24"/>
        </w:rPr>
        <w:t>。矿山救护小队（包括训练场地）布置在行政福利设施区，靠近主要服务对象。</w:t>
      </w:r>
    </w:p>
    <w:p w14:paraId="6DBE3D8E">
      <w:pPr>
        <w:pStyle w:val="130"/>
        <w:adjustRightInd w:val="0"/>
        <w:snapToGrid w:val="0"/>
        <w:spacing w:line="360" w:lineRule="auto"/>
        <w:ind w:firstLine="480" w:firstLineChars="200"/>
        <w:rPr>
          <w:rFonts w:hint="eastAsia"/>
          <w:sz w:val="24"/>
          <w:szCs w:val="24"/>
        </w:rPr>
      </w:pPr>
      <w:r>
        <w:rPr>
          <w:rFonts w:hint="eastAsia"/>
          <w:sz w:val="24"/>
          <w:szCs w:val="24"/>
        </w:rPr>
        <w:t>7、地面爆破材料库</w:t>
      </w:r>
    </w:p>
    <w:p w14:paraId="50ECA8C6">
      <w:pPr>
        <w:pStyle w:val="130"/>
        <w:adjustRightInd w:val="0"/>
        <w:snapToGrid w:val="0"/>
        <w:spacing w:line="360" w:lineRule="auto"/>
        <w:ind w:firstLine="480" w:firstLineChars="200"/>
        <w:rPr>
          <w:rFonts w:hint="eastAsia"/>
          <w:color w:val="000000"/>
          <w:sz w:val="24"/>
          <w:szCs w:val="24"/>
        </w:rPr>
      </w:pPr>
      <w:r>
        <w:rPr>
          <w:rFonts w:hint="eastAsia"/>
          <w:sz w:val="24"/>
          <w:szCs w:val="24"/>
        </w:rPr>
        <w:t>地面爆破材料库</w:t>
      </w:r>
      <w:r>
        <w:rPr>
          <w:rFonts w:hint="eastAsia"/>
          <w:color w:val="000000"/>
          <w:sz w:val="24"/>
          <w:szCs w:val="24"/>
        </w:rPr>
        <w:t>应根据</w:t>
      </w:r>
      <w:r>
        <w:rPr>
          <w:rFonts w:hint="eastAsia"/>
          <w:sz w:val="24"/>
          <w:szCs w:val="24"/>
        </w:rPr>
        <w:t>水城县公安局派出所指定的爆炸材料库位置</w:t>
      </w:r>
      <w:r>
        <w:rPr>
          <w:rFonts w:hint="eastAsia"/>
          <w:color w:val="000000"/>
          <w:sz w:val="24"/>
          <w:szCs w:val="24"/>
        </w:rPr>
        <w:t>设置，距离工业场500m以外，库址周围无民房。</w:t>
      </w:r>
    </w:p>
    <w:p w14:paraId="1F49BF51">
      <w:pPr>
        <w:pStyle w:val="130"/>
        <w:adjustRightInd w:val="0"/>
        <w:snapToGrid w:val="0"/>
        <w:spacing w:line="360" w:lineRule="auto"/>
        <w:ind w:firstLine="480" w:firstLineChars="200"/>
        <w:rPr>
          <w:rFonts w:hint="eastAsia"/>
          <w:sz w:val="24"/>
          <w:szCs w:val="24"/>
        </w:rPr>
      </w:pPr>
      <w:r>
        <w:rPr>
          <w:rFonts w:hint="eastAsia"/>
          <w:sz w:val="24"/>
          <w:szCs w:val="24"/>
        </w:rPr>
        <w:t>8、地面及井下消防、洒水水池</w:t>
      </w:r>
    </w:p>
    <w:p w14:paraId="3A927BD3">
      <w:pPr>
        <w:pStyle w:val="130"/>
        <w:adjustRightInd w:val="0"/>
        <w:snapToGrid w:val="0"/>
        <w:spacing w:line="360" w:lineRule="auto"/>
        <w:ind w:firstLine="480" w:firstLineChars="200"/>
        <w:rPr>
          <w:rFonts w:hint="eastAsia"/>
          <w:sz w:val="24"/>
          <w:szCs w:val="24"/>
        </w:rPr>
      </w:pPr>
      <w:r>
        <w:rPr>
          <w:rFonts w:hint="eastAsia"/>
          <w:sz w:val="24"/>
          <w:szCs w:val="24"/>
        </w:rPr>
        <w:t>在回风斜井南东面的山坡</w:t>
      </w:r>
      <w:r>
        <w:rPr>
          <w:rFonts w:hint="eastAsia" w:hAnsi="宋体" w:cs="宋体"/>
          <w:sz w:val="24"/>
          <w:szCs w:val="24"/>
        </w:rPr>
        <w:t>＋</w:t>
      </w:r>
      <w:r>
        <w:rPr>
          <w:rFonts w:hint="eastAsia"/>
          <w:sz w:val="24"/>
          <w:szCs w:val="24"/>
        </w:rPr>
        <w:t>2015m标高设置一个300m</w:t>
      </w:r>
      <w:r>
        <w:rPr>
          <w:rFonts w:hint="eastAsia"/>
          <w:sz w:val="24"/>
          <w:szCs w:val="24"/>
          <w:vertAlign w:val="superscript"/>
        </w:rPr>
        <w:t>3</w:t>
      </w:r>
      <w:r>
        <w:rPr>
          <w:rFonts w:hint="eastAsia"/>
          <w:sz w:val="24"/>
          <w:szCs w:val="24"/>
        </w:rPr>
        <w:t>井下消防、防尘水池，担负矿井井下消防、防尘洒水；在回风斜井井口的南东面的山坡＋2020m标高设置一个100m</w:t>
      </w:r>
      <w:r>
        <w:rPr>
          <w:rFonts w:hint="eastAsia"/>
          <w:sz w:val="24"/>
          <w:szCs w:val="24"/>
          <w:vertAlign w:val="superscript"/>
        </w:rPr>
        <w:t>3</w:t>
      </w:r>
      <w:r>
        <w:rPr>
          <w:rFonts w:hint="eastAsia"/>
          <w:sz w:val="24"/>
          <w:szCs w:val="24"/>
        </w:rPr>
        <w:t>生活、生产水池，担负矿井地面生活用水及生产用水。</w:t>
      </w:r>
    </w:p>
    <w:p w14:paraId="4FF5CA82">
      <w:pPr>
        <w:pStyle w:val="130"/>
        <w:adjustRightInd w:val="0"/>
        <w:snapToGrid w:val="0"/>
        <w:spacing w:line="360" w:lineRule="auto"/>
        <w:ind w:firstLine="480" w:firstLineChars="200"/>
        <w:rPr>
          <w:rFonts w:hint="eastAsia"/>
          <w:sz w:val="24"/>
          <w:szCs w:val="24"/>
        </w:rPr>
      </w:pPr>
      <w:bookmarkStart w:id="665" w:name="_Toc158715692"/>
      <w:r>
        <w:rPr>
          <w:rFonts w:hint="eastAsia"/>
          <w:sz w:val="24"/>
          <w:szCs w:val="24"/>
        </w:rPr>
        <w:t>9、化验室</w:t>
      </w:r>
    </w:p>
    <w:p w14:paraId="6BC62344">
      <w:pPr>
        <w:pStyle w:val="130"/>
        <w:adjustRightInd w:val="0"/>
        <w:snapToGrid w:val="0"/>
        <w:spacing w:line="360" w:lineRule="auto"/>
        <w:ind w:firstLine="480" w:firstLineChars="200"/>
        <w:rPr>
          <w:rFonts w:hint="eastAsia"/>
          <w:sz w:val="24"/>
          <w:szCs w:val="24"/>
        </w:rPr>
      </w:pPr>
      <w:r>
        <w:rPr>
          <w:rFonts w:hint="eastAsia"/>
          <w:sz w:val="24"/>
          <w:szCs w:val="24"/>
        </w:rPr>
        <w:t>由于该矿属小型矿井，不考虑设置煤质化验室，矿井煤质化验主要依托具有资质的化验单位。</w:t>
      </w:r>
    </w:p>
    <w:p w14:paraId="056225AB">
      <w:pPr>
        <w:pStyle w:val="3"/>
        <w:keepLines/>
        <w:spacing w:before="240" w:after="240" w:line="360" w:lineRule="auto"/>
        <w:ind w:firstLine="0" w:firstLineChars="0"/>
        <w:jc w:val="center"/>
        <w:rPr>
          <w:rFonts w:hint="eastAsia"/>
          <w:b/>
          <w:color w:val="000000"/>
          <w:sz w:val="32"/>
          <w:szCs w:val="32"/>
        </w:rPr>
      </w:pPr>
      <w:bookmarkStart w:id="666" w:name="_Toc260915276"/>
      <w:bookmarkStart w:id="667" w:name="_Toc92630529"/>
      <w:bookmarkStart w:id="668" w:name="_Toc173869272"/>
      <w:r>
        <w:rPr>
          <w:rFonts w:hint="eastAsia"/>
          <w:b/>
          <w:color w:val="000000"/>
          <w:sz w:val="32"/>
          <w:szCs w:val="32"/>
        </w:rPr>
        <w:t>第二节　　地面运输</w:t>
      </w:r>
      <w:bookmarkEnd w:id="666"/>
    </w:p>
    <w:bookmarkEnd w:id="665"/>
    <w:bookmarkEnd w:id="667"/>
    <w:bookmarkEnd w:id="668"/>
    <w:p w14:paraId="46101A3D">
      <w:pPr>
        <w:pStyle w:val="4"/>
        <w:keepLines/>
        <w:adjustRightInd w:val="0"/>
        <w:snapToGrid w:val="0"/>
        <w:spacing w:before="240" w:after="240" w:line="360" w:lineRule="auto"/>
        <w:ind w:firstLine="562" w:firstLineChars="200"/>
        <w:jc w:val="both"/>
        <w:rPr>
          <w:rFonts w:hint="eastAsia"/>
          <w:b/>
          <w:color w:val="000000"/>
          <w:kern w:val="0"/>
          <w:szCs w:val="20"/>
        </w:rPr>
      </w:pPr>
      <w:bookmarkStart w:id="669" w:name="_Toc173869273"/>
      <w:bookmarkStart w:id="670" w:name="_Toc173918948"/>
      <w:bookmarkStart w:id="671" w:name="_Toc173893709"/>
      <w:r>
        <w:rPr>
          <w:rFonts w:hint="eastAsia"/>
          <w:b/>
          <w:color w:val="000000"/>
          <w:kern w:val="0"/>
          <w:szCs w:val="20"/>
        </w:rPr>
        <w:t>一、地区交通运输现状</w:t>
      </w:r>
      <w:bookmarkEnd w:id="669"/>
      <w:bookmarkEnd w:id="670"/>
      <w:bookmarkEnd w:id="671"/>
    </w:p>
    <w:p w14:paraId="1A09EAE3">
      <w:pPr>
        <w:spacing w:line="360" w:lineRule="auto"/>
        <w:ind w:firstLine="480" w:firstLineChars="200"/>
        <w:rPr>
          <w:rFonts w:hint="eastAsia" w:ascii="宋体" w:hAnsi="宋体"/>
          <w:sz w:val="24"/>
        </w:rPr>
      </w:pPr>
      <w:r>
        <w:rPr>
          <w:rFonts w:hint="eastAsia" w:ascii="宋体" w:hAnsi="宋体"/>
          <w:sz w:val="24"/>
        </w:rPr>
        <w:t>大坪煤矿</w:t>
      </w:r>
      <w:r>
        <w:rPr>
          <w:rFonts w:ascii="宋体" w:hAnsi="宋体"/>
          <w:sz w:val="24"/>
        </w:rPr>
        <w:t>位于六盘水市中心城区</w:t>
      </w:r>
      <w:r>
        <w:rPr>
          <w:rFonts w:hint="eastAsia" w:ascii="宋体" w:hAnsi="宋体"/>
          <w:sz w:val="24"/>
        </w:rPr>
        <w:t>的南部，</w:t>
      </w:r>
      <w:r>
        <w:rPr>
          <w:rFonts w:ascii="宋体" w:hAnsi="宋体"/>
          <w:sz w:val="24"/>
        </w:rPr>
        <w:t>直距约2</w:t>
      </w:r>
      <w:r>
        <w:rPr>
          <w:rFonts w:hint="eastAsia" w:ascii="宋体" w:hAnsi="宋体"/>
          <w:sz w:val="24"/>
        </w:rPr>
        <w:t>0</w:t>
      </w:r>
      <w:r>
        <w:rPr>
          <w:rFonts w:ascii="宋体" w:hAnsi="宋体"/>
          <w:sz w:val="24"/>
        </w:rPr>
        <w:t>km，水城</w:t>
      </w:r>
      <w:r>
        <w:rPr>
          <w:rFonts w:hint="eastAsia" w:ascii="宋体" w:hAnsi="宋体"/>
          <w:sz w:val="24"/>
        </w:rPr>
        <w:t>至盘县</w:t>
      </w:r>
      <w:r>
        <w:rPr>
          <w:rFonts w:ascii="宋体" w:hAnsi="宋体"/>
          <w:sz w:val="24"/>
        </w:rPr>
        <w:t>公路从矿区</w:t>
      </w:r>
      <w:r>
        <w:rPr>
          <w:rFonts w:hint="eastAsia" w:ascii="宋体" w:hAnsi="宋体"/>
          <w:sz w:val="24"/>
        </w:rPr>
        <w:t>北东</w:t>
      </w:r>
      <w:r>
        <w:rPr>
          <w:rFonts w:ascii="宋体" w:hAnsi="宋体"/>
          <w:sz w:val="24"/>
        </w:rPr>
        <w:t>部</w:t>
      </w:r>
      <w:r>
        <w:rPr>
          <w:rFonts w:hint="eastAsia" w:ascii="宋体" w:hAnsi="宋体"/>
          <w:sz w:val="24"/>
        </w:rPr>
        <w:t>的玉舍乡政府住地通过</w:t>
      </w:r>
      <w:r>
        <w:rPr>
          <w:rFonts w:ascii="宋体" w:hAnsi="宋体"/>
          <w:sz w:val="24"/>
        </w:rPr>
        <w:t>，</w:t>
      </w:r>
      <w:r>
        <w:rPr>
          <w:rFonts w:hint="eastAsia" w:ascii="宋体" w:hAnsi="宋体"/>
          <w:sz w:val="24"/>
        </w:rPr>
        <w:t>从乡政府到矿区有约2</w:t>
      </w:r>
      <w:r>
        <w:rPr>
          <w:rFonts w:ascii="宋体" w:hAnsi="宋体"/>
          <w:sz w:val="24"/>
        </w:rPr>
        <w:t>km</w:t>
      </w:r>
      <w:r>
        <w:rPr>
          <w:rFonts w:hint="eastAsia" w:ascii="宋体" w:hAnsi="宋体"/>
          <w:sz w:val="24"/>
        </w:rPr>
        <w:t>的矿山公路。矿山</w:t>
      </w:r>
      <w:r>
        <w:rPr>
          <w:rFonts w:ascii="宋体" w:hAnsi="宋体"/>
          <w:sz w:val="24"/>
        </w:rPr>
        <w:t>距六盘水火车站约</w:t>
      </w:r>
      <w:r>
        <w:rPr>
          <w:rFonts w:hint="eastAsia" w:ascii="宋体" w:hAnsi="宋体"/>
          <w:sz w:val="24"/>
        </w:rPr>
        <w:t>25</w:t>
      </w:r>
      <w:r>
        <w:rPr>
          <w:rFonts w:ascii="宋体" w:hAnsi="宋体"/>
          <w:sz w:val="24"/>
        </w:rPr>
        <w:t>km，</w:t>
      </w:r>
      <w:r>
        <w:rPr>
          <w:rFonts w:hint="eastAsia" w:ascii="宋体" w:hAnsi="宋体"/>
          <w:sz w:val="24"/>
        </w:rPr>
        <w:t>距水（城）—红（果）铁路玉舍</w:t>
      </w:r>
      <w:r>
        <w:rPr>
          <w:rFonts w:ascii="宋体" w:hAnsi="宋体"/>
          <w:sz w:val="24"/>
        </w:rPr>
        <w:t>火车站</w:t>
      </w:r>
      <w:r>
        <w:rPr>
          <w:rFonts w:hint="eastAsia" w:ascii="宋体" w:hAnsi="宋体"/>
          <w:sz w:val="24"/>
        </w:rPr>
        <w:t>约7</w:t>
      </w:r>
      <w:r>
        <w:rPr>
          <w:rFonts w:ascii="宋体" w:hAnsi="宋体"/>
          <w:sz w:val="24"/>
        </w:rPr>
        <w:t>km</w:t>
      </w:r>
      <w:r>
        <w:rPr>
          <w:rFonts w:hint="eastAsia" w:ascii="宋体" w:hAnsi="宋体"/>
          <w:sz w:val="24"/>
        </w:rPr>
        <w:t>，</w:t>
      </w:r>
      <w:r>
        <w:rPr>
          <w:rFonts w:ascii="宋体" w:hAnsi="宋体"/>
          <w:sz w:val="24"/>
        </w:rPr>
        <w:t>交通</w:t>
      </w:r>
      <w:r>
        <w:rPr>
          <w:rFonts w:hint="eastAsia" w:ascii="宋体" w:hAnsi="宋体"/>
          <w:sz w:val="24"/>
        </w:rPr>
        <w:t>较</w:t>
      </w:r>
      <w:r>
        <w:rPr>
          <w:rFonts w:ascii="宋体" w:hAnsi="宋体"/>
          <w:sz w:val="24"/>
        </w:rPr>
        <w:t>方便，</w:t>
      </w:r>
      <w:r>
        <w:rPr>
          <w:rFonts w:hint="eastAsia" w:ascii="宋体" w:hAnsi="宋体"/>
          <w:sz w:val="24"/>
        </w:rPr>
        <w:t>完全能满足矿井零星材料、坑木、设备等运输要求。</w:t>
      </w:r>
    </w:p>
    <w:p w14:paraId="42EBF866">
      <w:pPr>
        <w:spacing w:line="360" w:lineRule="auto"/>
        <w:ind w:firstLine="480" w:firstLineChars="200"/>
        <w:rPr>
          <w:rFonts w:hint="eastAsia" w:ascii="宋体" w:hAnsi="宋体"/>
          <w:sz w:val="24"/>
        </w:rPr>
      </w:pPr>
      <w:r>
        <w:rPr>
          <w:rFonts w:hint="eastAsia" w:ascii="宋体" w:hAnsi="宋体"/>
          <w:sz w:val="24"/>
        </w:rPr>
        <w:t>为满足矿井生产、生活方面公路要求，矿井至</w:t>
      </w:r>
      <w:r>
        <w:rPr>
          <w:rFonts w:ascii="宋体" w:hAnsi="宋体"/>
          <w:sz w:val="24"/>
        </w:rPr>
        <w:t>水城</w:t>
      </w:r>
      <w:r>
        <w:rPr>
          <w:rFonts w:hint="eastAsia" w:ascii="宋体" w:hAnsi="宋体"/>
          <w:sz w:val="24"/>
        </w:rPr>
        <w:t>至盘县</w:t>
      </w:r>
      <w:r>
        <w:rPr>
          <w:rFonts w:ascii="宋体" w:hAnsi="宋体"/>
          <w:sz w:val="24"/>
        </w:rPr>
        <w:t>公路</w:t>
      </w:r>
      <w:r>
        <w:rPr>
          <w:rFonts w:hint="eastAsia" w:ascii="宋体" w:hAnsi="宋体"/>
          <w:sz w:val="24"/>
        </w:rPr>
        <w:t>入口的简易公路需扩修，其工程量为：四级泥结碎石路面，路面宽4.0m，路基宽5.0m，长约1000m。</w:t>
      </w:r>
    </w:p>
    <w:p w14:paraId="0218AE44">
      <w:pPr>
        <w:pStyle w:val="4"/>
        <w:keepLines/>
        <w:adjustRightInd w:val="0"/>
        <w:snapToGrid w:val="0"/>
        <w:spacing w:before="240" w:after="240" w:line="360" w:lineRule="auto"/>
        <w:ind w:firstLine="562" w:firstLineChars="200"/>
        <w:jc w:val="both"/>
        <w:rPr>
          <w:rFonts w:hint="eastAsia"/>
          <w:b/>
          <w:color w:val="000000"/>
          <w:kern w:val="0"/>
          <w:szCs w:val="20"/>
        </w:rPr>
      </w:pPr>
      <w:bookmarkStart w:id="672" w:name="_Toc173918949"/>
      <w:bookmarkStart w:id="673" w:name="_Toc173869274"/>
      <w:bookmarkStart w:id="674" w:name="_Toc173893710"/>
      <w:r>
        <w:rPr>
          <w:rFonts w:hint="eastAsia"/>
          <w:b/>
          <w:color w:val="000000"/>
          <w:kern w:val="0"/>
          <w:szCs w:val="20"/>
        </w:rPr>
        <w:t>二、煤炭运量、运向及运输方式</w:t>
      </w:r>
      <w:bookmarkEnd w:id="672"/>
      <w:bookmarkEnd w:id="673"/>
      <w:bookmarkEnd w:id="674"/>
    </w:p>
    <w:p w14:paraId="74CDF01E">
      <w:pPr>
        <w:spacing w:line="360" w:lineRule="auto"/>
        <w:ind w:firstLine="480" w:firstLineChars="200"/>
        <w:rPr>
          <w:rFonts w:hint="eastAsia" w:ascii="宋体" w:hAnsi="宋体"/>
          <w:sz w:val="24"/>
        </w:rPr>
      </w:pPr>
      <w:r>
        <w:rPr>
          <w:rFonts w:hint="eastAsia" w:ascii="宋体" w:hAnsi="宋体"/>
          <w:sz w:val="24"/>
        </w:rPr>
        <w:t>本矿井设计生产能力为30万吨/年，按年工作制330天，运输不均衡系数取1.2计算，矿井达产后，最大日运量为1091t,原煤通过汽车运输方式，运至周边县市。</w:t>
      </w:r>
    </w:p>
    <w:p w14:paraId="0A3C2EC5">
      <w:pPr>
        <w:pStyle w:val="4"/>
        <w:keepLines/>
        <w:adjustRightInd w:val="0"/>
        <w:snapToGrid w:val="0"/>
        <w:spacing w:before="240" w:after="240" w:line="360" w:lineRule="auto"/>
        <w:ind w:firstLine="562" w:firstLineChars="200"/>
        <w:jc w:val="both"/>
        <w:rPr>
          <w:rFonts w:hint="eastAsia"/>
          <w:b/>
          <w:color w:val="000000"/>
          <w:kern w:val="0"/>
          <w:szCs w:val="20"/>
        </w:rPr>
      </w:pPr>
      <w:bookmarkStart w:id="675" w:name="_Toc173893711"/>
      <w:bookmarkStart w:id="676" w:name="_Toc173869275"/>
      <w:bookmarkStart w:id="677" w:name="_Toc173918950"/>
      <w:r>
        <w:rPr>
          <w:rFonts w:hint="eastAsia"/>
          <w:b/>
          <w:color w:val="000000"/>
          <w:kern w:val="0"/>
          <w:szCs w:val="20"/>
        </w:rPr>
        <w:t>三、</w:t>
      </w:r>
      <w:bookmarkEnd w:id="675"/>
      <w:bookmarkEnd w:id="676"/>
      <w:bookmarkEnd w:id="677"/>
      <w:r>
        <w:rPr>
          <w:rFonts w:hint="eastAsia"/>
          <w:b/>
          <w:color w:val="000000"/>
          <w:kern w:val="0"/>
          <w:szCs w:val="20"/>
        </w:rPr>
        <w:t>运输设备</w:t>
      </w:r>
    </w:p>
    <w:p w14:paraId="004CCD4B">
      <w:pPr>
        <w:spacing w:line="360" w:lineRule="auto"/>
        <w:ind w:firstLine="480" w:firstLineChars="200"/>
        <w:rPr>
          <w:rFonts w:hint="eastAsia" w:ascii="宋体" w:hAnsi="宋体"/>
          <w:sz w:val="24"/>
        </w:rPr>
      </w:pPr>
      <w:r>
        <w:rPr>
          <w:rFonts w:hint="eastAsia" w:ascii="宋体" w:hAnsi="宋体"/>
          <w:sz w:val="24"/>
        </w:rPr>
        <w:t>由于本矿井周边社会运输能力较富余，煤炭运输依托社会运力承担，设计考虑产品煤外运，不配备运煤车辆及检修人员，矿井仅配备计量人员。</w:t>
      </w:r>
      <w:bookmarkStart w:id="678" w:name="_Toc92630530"/>
      <w:bookmarkStart w:id="679" w:name="_Toc158715693"/>
      <w:bookmarkStart w:id="680" w:name="_Toc173869276"/>
    </w:p>
    <w:p w14:paraId="42DA5B14">
      <w:pPr>
        <w:pStyle w:val="3"/>
        <w:keepLines/>
        <w:spacing w:before="240" w:after="240" w:line="360" w:lineRule="auto"/>
        <w:ind w:firstLine="0" w:firstLineChars="0"/>
        <w:jc w:val="center"/>
        <w:rPr>
          <w:rFonts w:hint="eastAsia"/>
          <w:b/>
          <w:color w:val="000000"/>
          <w:sz w:val="32"/>
          <w:szCs w:val="32"/>
        </w:rPr>
      </w:pPr>
      <w:bookmarkStart w:id="681" w:name="_Toc260915277"/>
      <w:r>
        <w:rPr>
          <w:rFonts w:hint="eastAsia"/>
          <w:b/>
          <w:color w:val="000000"/>
          <w:sz w:val="32"/>
          <w:szCs w:val="32"/>
        </w:rPr>
        <w:t>第三节　　工业场地总平面布置</w:t>
      </w:r>
      <w:bookmarkEnd w:id="681"/>
    </w:p>
    <w:bookmarkEnd w:id="678"/>
    <w:bookmarkEnd w:id="679"/>
    <w:bookmarkEnd w:id="680"/>
    <w:p w14:paraId="10EE9B52">
      <w:pPr>
        <w:pStyle w:val="4"/>
        <w:keepLines/>
        <w:adjustRightInd w:val="0"/>
        <w:snapToGrid w:val="0"/>
        <w:spacing w:before="240" w:after="240" w:line="360" w:lineRule="auto"/>
        <w:ind w:firstLine="562" w:firstLineChars="200"/>
        <w:jc w:val="both"/>
        <w:rPr>
          <w:rFonts w:hint="eastAsia"/>
          <w:b/>
          <w:color w:val="000000"/>
          <w:kern w:val="0"/>
          <w:szCs w:val="20"/>
        </w:rPr>
      </w:pPr>
      <w:bookmarkStart w:id="682" w:name="_Toc173918952"/>
      <w:bookmarkStart w:id="683" w:name="_Toc173869277"/>
      <w:r>
        <w:rPr>
          <w:rFonts w:hint="eastAsia"/>
          <w:b/>
          <w:color w:val="000000"/>
          <w:kern w:val="0"/>
          <w:szCs w:val="20"/>
        </w:rPr>
        <w:t>一、工业场地总平面布置</w:t>
      </w:r>
      <w:bookmarkEnd w:id="682"/>
      <w:bookmarkEnd w:id="683"/>
    </w:p>
    <w:p w14:paraId="57659076">
      <w:pPr>
        <w:pStyle w:val="130"/>
        <w:adjustRightInd w:val="0"/>
        <w:snapToGrid w:val="0"/>
        <w:spacing w:line="360" w:lineRule="auto"/>
        <w:ind w:firstLine="480" w:firstLineChars="200"/>
        <w:rPr>
          <w:rFonts w:hint="eastAsia"/>
          <w:sz w:val="24"/>
          <w:szCs w:val="24"/>
        </w:rPr>
      </w:pPr>
      <w:r>
        <w:rPr>
          <w:rFonts w:hint="eastAsia"/>
          <w:sz w:val="24"/>
          <w:szCs w:val="24"/>
        </w:rPr>
        <w:t>1、概述</w:t>
      </w:r>
    </w:p>
    <w:p w14:paraId="53BF1D15">
      <w:pPr>
        <w:spacing w:line="360" w:lineRule="auto"/>
        <w:ind w:firstLine="480" w:firstLineChars="200"/>
        <w:rPr>
          <w:rFonts w:ascii="宋体" w:hAnsi="宋体"/>
          <w:color w:val="000000"/>
          <w:sz w:val="24"/>
        </w:rPr>
      </w:pPr>
      <w:r>
        <w:rPr>
          <w:rFonts w:hint="eastAsia" w:ascii="宋体" w:hAnsi="宋体"/>
          <w:color w:val="000000"/>
          <w:sz w:val="24"/>
        </w:rPr>
        <w:t>（1）</w:t>
      </w:r>
      <w:r>
        <w:rPr>
          <w:rFonts w:ascii="宋体" w:hAnsi="宋体"/>
          <w:color w:val="000000"/>
          <w:sz w:val="24"/>
        </w:rPr>
        <w:t>地形地貌</w:t>
      </w:r>
    </w:p>
    <w:p w14:paraId="0B55C692">
      <w:pPr>
        <w:spacing w:line="360" w:lineRule="auto"/>
        <w:ind w:firstLine="480" w:firstLineChars="200"/>
        <w:rPr>
          <w:rFonts w:hint="eastAsia" w:ascii="宋体" w:hAnsi="宋体"/>
          <w:sz w:val="24"/>
          <w:szCs w:val="20"/>
        </w:rPr>
      </w:pPr>
      <w:r>
        <w:rPr>
          <w:rFonts w:hint="eastAsia" w:ascii="宋体" w:hAnsi="宋体"/>
          <w:sz w:val="24"/>
          <w:szCs w:val="20"/>
        </w:rPr>
        <w:t>矿区地处云贵高原东部，属中高山溶蚀、侵蚀、剥蚀高—中山地貌，地形切割强烈，最高海拨2265.5米（矿区东面山峰），最低海拨1947.1米（矿区南西面沟谷中），最大高差314.8米。矿区北、东部高，南、西部低，山脉走向呈北西西-南东东向延展。总观全区，其地貌景观受地层岩性、地质构造控制比较明显，地形上多为山峦斜坡，其间发育有一系列较大冲沟，坡度一般20-40度。</w:t>
      </w:r>
    </w:p>
    <w:p w14:paraId="01B44058">
      <w:pPr>
        <w:spacing w:line="360" w:lineRule="auto"/>
        <w:ind w:firstLine="480" w:firstLineChars="200"/>
        <w:rPr>
          <w:rFonts w:ascii="宋体" w:hAnsi="宋体"/>
          <w:sz w:val="24"/>
        </w:rPr>
      </w:pPr>
      <w:r>
        <w:rPr>
          <w:rFonts w:hint="eastAsia" w:ascii="宋体" w:hAnsi="宋体"/>
          <w:sz w:val="24"/>
        </w:rPr>
        <w:t>（2）</w:t>
      </w:r>
      <w:r>
        <w:rPr>
          <w:rFonts w:ascii="宋体" w:hAnsi="宋体"/>
          <w:sz w:val="24"/>
        </w:rPr>
        <w:t>气候条件</w:t>
      </w:r>
    </w:p>
    <w:p w14:paraId="609A2383">
      <w:pPr>
        <w:spacing w:line="360" w:lineRule="auto"/>
        <w:ind w:firstLine="480" w:firstLineChars="200"/>
        <w:rPr>
          <w:rFonts w:hint="eastAsia" w:ascii="宋体" w:hAnsi="宋体"/>
          <w:snapToGrid w:val="0"/>
          <w:kern w:val="0"/>
          <w:sz w:val="24"/>
        </w:rPr>
      </w:pPr>
      <w:r>
        <w:rPr>
          <w:rFonts w:hint="eastAsia" w:ascii="宋体" w:hAnsi="宋体"/>
          <w:sz w:val="24"/>
        </w:rPr>
        <w:t>本区属中亚热带季风气候区，年平均气温为13℃，最高34</w:t>
      </w:r>
      <w:r>
        <w:rPr>
          <w:rFonts w:ascii="宋体" w:hAnsi="宋体"/>
          <w:sz w:val="24"/>
        </w:rPr>
        <w:t>.1</w:t>
      </w:r>
      <w:r>
        <w:rPr>
          <w:rFonts w:hint="eastAsia" w:ascii="宋体" w:hAnsi="宋体"/>
          <w:sz w:val="24"/>
        </w:rPr>
        <w:t>℃、最低-9</w:t>
      </w:r>
      <w:r>
        <w:rPr>
          <w:rFonts w:ascii="宋体" w:hAnsi="宋体"/>
          <w:sz w:val="24"/>
        </w:rPr>
        <w:t>.6</w:t>
      </w:r>
      <w:r>
        <w:rPr>
          <w:rFonts w:hint="eastAsia" w:ascii="宋体" w:hAnsi="宋体"/>
          <w:sz w:val="24"/>
        </w:rPr>
        <w:t>℃。年平均降雨量1243mm，多集中在6-8月，此段时间内降雨量累计可达670-680</w:t>
      </w:r>
      <w:r>
        <w:rPr>
          <w:rFonts w:ascii="宋体" w:hAnsi="宋体"/>
          <w:sz w:val="24"/>
        </w:rPr>
        <w:t>mm</w:t>
      </w:r>
      <w:r>
        <w:rPr>
          <w:rFonts w:hint="eastAsia" w:ascii="宋体" w:hAnsi="宋体"/>
          <w:sz w:val="24"/>
        </w:rPr>
        <w:t>。平均风速为</w:t>
      </w:r>
      <w:r>
        <w:rPr>
          <w:rFonts w:ascii="宋体" w:hAnsi="宋体"/>
          <w:sz w:val="24"/>
        </w:rPr>
        <w:t>2.3m/s</w:t>
      </w:r>
      <w:r>
        <w:rPr>
          <w:rFonts w:hint="eastAsia" w:ascii="宋体" w:hAnsi="宋体"/>
          <w:sz w:val="24"/>
        </w:rPr>
        <w:t>，最高风速为20</w:t>
      </w:r>
      <w:r>
        <w:rPr>
          <w:rFonts w:ascii="宋体" w:hAnsi="宋体"/>
          <w:sz w:val="24"/>
        </w:rPr>
        <w:t>.0m/s</w:t>
      </w:r>
      <w:r>
        <w:rPr>
          <w:rFonts w:hint="eastAsia" w:ascii="宋体" w:hAnsi="宋体"/>
          <w:sz w:val="24"/>
        </w:rPr>
        <w:t>，</w:t>
      </w:r>
      <w:r>
        <w:rPr>
          <w:rFonts w:hint="eastAsia" w:ascii="宋体" w:hAnsi="宋体"/>
          <w:snapToGrid w:val="0"/>
          <w:kern w:val="0"/>
          <w:sz w:val="24"/>
        </w:rPr>
        <w:t>多为东风。</w:t>
      </w:r>
    </w:p>
    <w:p w14:paraId="581A79B9">
      <w:pPr>
        <w:spacing w:line="360" w:lineRule="auto"/>
        <w:ind w:firstLine="480" w:firstLineChars="200"/>
        <w:rPr>
          <w:rFonts w:ascii="宋体" w:hAnsi="宋体"/>
          <w:sz w:val="24"/>
        </w:rPr>
      </w:pPr>
      <w:r>
        <w:rPr>
          <w:rFonts w:hint="eastAsia" w:ascii="宋体" w:hAnsi="宋体"/>
          <w:sz w:val="24"/>
        </w:rPr>
        <w:t>（3）</w:t>
      </w:r>
      <w:r>
        <w:rPr>
          <w:rFonts w:ascii="宋体" w:hAnsi="宋体"/>
          <w:sz w:val="24"/>
        </w:rPr>
        <w:t>水系及主要河流</w:t>
      </w:r>
    </w:p>
    <w:p w14:paraId="27C6A177">
      <w:pPr>
        <w:spacing w:line="360" w:lineRule="auto"/>
        <w:ind w:firstLine="480" w:firstLineChars="200"/>
        <w:rPr>
          <w:rFonts w:hint="eastAsia" w:ascii="宋体" w:hAnsi="宋体"/>
          <w:sz w:val="24"/>
        </w:rPr>
      </w:pPr>
      <w:r>
        <w:rPr>
          <w:rFonts w:hint="eastAsia" w:ascii="宋体" w:hAnsi="宋体"/>
          <w:sz w:val="24"/>
        </w:rPr>
        <w:t>矿区地处珠江流域北盘江水系。矿区内地表水系不发育，季节性流水的冲沟较多，有季节性流量变化大的源头性水流特征。矿区内无长年性地表水流，主要受季节性的水流影响。矿区属碎屑岩侵蚀和溶蚀地貌，南高北低，洪瀑期间的地表水由高点向低处排泄汇集流向当地的河流，最终汇入北盘江。</w:t>
      </w:r>
    </w:p>
    <w:p w14:paraId="676F54BE">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2、总平面布置</w:t>
      </w:r>
    </w:p>
    <w:p w14:paraId="125B7285">
      <w:pPr>
        <w:spacing w:line="360" w:lineRule="auto"/>
        <w:ind w:firstLine="480" w:firstLineChars="200"/>
        <w:rPr>
          <w:rFonts w:hint="eastAsia" w:ascii="宋体" w:hAnsi="宋体" w:cs="宋体"/>
          <w:sz w:val="24"/>
        </w:rPr>
      </w:pPr>
      <w:r>
        <w:rPr>
          <w:rFonts w:hint="eastAsia" w:ascii="宋体" w:hAnsi="宋体"/>
          <w:color w:val="000000"/>
          <w:sz w:val="24"/>
        </w:rPr>
        <w:t>水城县玉舍大坪煤矿</w:t>
      </w:r>
      <w:r>
        <w:rPr>
          <w:rFonts w:hint="eastAsia" w:ascii="宋体" w:hAnsi="宋体" w:cs="宋体"/>
          <w:sz w:val="24"/>
        </w:rPr>
        <w:t>为一整合矿井，现进行开采方案设计变更，利用大坪煤矿现有工业场地进行改扩建，对生产系统和辅助生产系统作进一步优化。</w:t>
      </w:r>
    </w:p>
    <w:p w14:paraId="72355D15">
      <w:pPr>
        <w:spacing w:line="360" w:lineRule="auto"/>
        <w:ind w:firstLine="480" w:firstLineChars="200"/>
        <w:rPr>
          <w:sz w:val="24"/>
        </w:rPr>
      </w:pPr>
      <w:r>
        <w:rPr>
          <w:rFonts w:hAnsi="宋体"/>
          <w:sz w:val="24"/>
        </w:rPr>
        <w:t>根据</w:t>
      </w:r>
      <w:r>
        <w:rPr>
          <w:rFonts w:hint="eastAsia" w:hAnsi="宋体"/>
          <w:sz w:val="24"/>
        </w:rPr>
        <w:t>该矿区</w:t>
      </w:r>
      <w:r>
        <w:rPr>
          <w:rFonts w:hAnsi="宋体"/>
          <w:sz w:val="24"/>
        </w:rPr>
        <w:t>内地形特点，地形高差较大</w:t>
      </w:r>
      <w:r>
        <w:rPr>
          <w:rFonts w:hint="eastAsia" w:hAnsi="宋体"/>
          <w:sz w:val="24"/>
        </w:rPr>
        <w:t>，</w:t>
      </w:r>
      <w:r>
        <w:rPr>
          <w:rFonts w:hAnsi="宋体"/>
          <w:sz w:val="24"/>
        </w:rPr>
        <w:t>给井口及工业场地位置选择带来困难。工业场地选择主要考虑以下几个因素：工业场地应选择在地势较为平坦，交通较为便利的地方；井口及工业场地的选择应</w:t>
      </w:r>
      <w:r>
        <w:rPr>
          <w:rFonts w:hint="eastAsia" w:hAnsi="宋体"/>
          <w:sz w:val="24"/>
        </w:rPr>
        <w:t>充分考虑利用现有场地；</w:t>
      </w:r>
      <w:r>
        <w:rPr>
          <w:rFonts w:hAnsi="宋体"/>
          <w:sz w:val="24"/>
        </w:rPr>
        <w:t>有利于开拓开采和工作面的接替；井口及工业广场的选择应考虑少占良田好土，少拆迁或者不拆迁村庄或房屋；工程地质较好的</w:t>
      </w:r>
      <w:r>
        <w:rPr>
          <w:rFonts w:hint="eastAsia" w:hAnsi="宋体"/>
          <w:sz w:val="24"/>
        </w:rPr>
        <w:t>平坦</w:t>
      </w:r>
      <w:r>
        <w:rPr>
          <w:rFonts w:hAnsi="宋体"/>
          <w:sz w:val="24"/>
        </w:rPr>
        <w:t>地段，节省初期投资和缩短建井工期。</w:t>
      </w:r>
    </w:p>
    <w:p w14:paraId="579FDB11">
      <w:pPr>
        <w:spacing w:line="360" w:lineRule="auto"/>
        <w:ind w:firstLine="480" w:firstLineChars="200"/>
        <w:rPr>
          <w:rFonts w:ascii="宋体" w:hAnsi="宋体" w:cs="宋体"/>
          <w:sz w:val="24"/>
        </w:rPr>
      </w:pPr>
      <w:r>
        <w:rPr>
          <w:rFonts w:hint="eastAsia" w:ascii="宋体" w:hAnsi="宋体" w:cs="宋体"/>
          <w:sz w:val="24"/>
        </w:rPr>
        <w:t>工业场地总平面布置的主要原则是：尽量利用地形，有利安全生产，方便职工生活；场内、场外布置要协调；尽量采用多层或联合建筑，减少占地；尽量缩短场内运输线路及管线长度，并符合规程、规范要求；避开不良工程地质区域，充分利用地形，采用分台阶布置，主要建筑物尽量布置在挖方地段，减少建筑物基础及平场土石方工程量；使场地布置紧凑，人流、贷流通畅短捷，功能分区明确。</w:t>
      </w:r>
    </w:p>
    <w:p w14:paraId="346E5CEC">
      <w:pPr>
        <w:spacing w:line="360" w:lineRule="auto"/>
        <w:ind w:firstLine="480" w:firstLineChars="200"/>
        <w:rPr>
          <w:rFonts w:hint="eastAsia" w:ascii="宋体" w:hAnsi="宋体" w:cs="宋体"/>
          <w:sz w:val="24"/>
        </w:rPr>
      </w:pPr>
      <w:r>
        <w:rPr>
          <w:rFonts w:hint="eastAsia" w:ascii="宋体" w:hAnsi="宋体" w:cs="宋体"/>
          <w:sz w:val="24"/>
        </w:rPr>
        <w:t>遵循以上布置原则，</w:t>
      </w:r>
      <w:r>
        <w:rPr>
          <w:rFonts w:hAnsi="宋体"/>
          <w:sz w:val="24"/>
        </w:rPr>
        <w:t>井口及工业场地的选择</w:t>
      </w:r>
      <w:r>
        <w:rPr>
          <w:rFonts w:hint="eastAsia" w:hAnsi="宋体"/>
          <w:sz w:val="24"/>
        </w:rPr>
        <w:t>充分考虑利用现有场地；</w:t>
      </w:r>
      <w:r>
        <w:rPr>
          <w:rFonts w:hAnsi="宋体"/>
          <w:sz w:val="24"/>
        </w:rPr>
        <w:t>节省初期投资和缩短建井工期</w:t>
      </w:r>
      <w:r>
        <w:rPr>
          <w:rFonts w:hint="eastAsia" w:hAnsi="宋体"/>
          <w:sz w:val="24"/>
        </w:rPr>
        <w:t>，</w:t>
      </w:r>
      <w:r>
        <w:rPr>
          <w:rFonts w:hint="eastAsia" w:ascii="宋体" w:hAnsi="宋体" w:cs="宋体"/>
          <w:sz w:val="24"/>
        </w:rPr>
        <w:t>工业场地主要按标高分台阶布置和功能划分。</w:t>
      </w:r>
    </w:p>
    <w:p w14:paraId="0D70916E">
      <w:pPr>
        <w:spacing w:line="360" w:lineRule="auto"/>
        <w:ind w:firstLine="480" w:firstLineChars="200"/>
        <w:rPr>
          <w:rFonts w:ascii="宋体" w:hAnsi="宋体"/>
          <w:kern w:val="0"/>
          <w:sz w:val="24"/>
        </w:rPr>
      </w:pPr>
      <w:r>
        <w:rPr>
          <w:rFonts w:hint="eastAsia" w:ascii="宋体" w:hAnsi="宋体"/>
          <w:kern w:val="0"/>
          <w:sz w:val="24"/>
        </w:rPr>
        <w:t>（1）+1978.5m台阶原煤生产系统</w:t>
      </w:r>
    </w:p>
    <w:p w14:paraId="3F6702B6">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位于工业场地中部，平场标高为</w:t>
      </w:r>
      <w:r>
        <w:rPr>
          <w:rFonts w:ascii="宋体" w:hAnsi="宋体"/>
          <w:kern w:val="0"/>
          <w:sz w:val="24"/>
        </w:rPr>
        <w:t>+</w:t>
      </w:r>
      <w:r>
        <w:rPr>
          <w:rFonts w:hint="eastAsia" w:ascii="宋体" w:hAnsi="宋体"/>
          <w:kern w:val="0"/>
          <w:sz w:val="24"/>
        </w:rPr>
        <w:t>1978.5</w:t>
      </w:r>
      <w:r>
        <w:rPr>
          <w:rFonts w:ascii="宋体" w:hAnsi="宋体"/>
          <w:kern w:val="0"/>
          <w:sz w:val="24"/>
        </w:rPr>
        <w:t>m</w:t>
      </w:r>
      <w:r>
        <w:rPr>
          <w:rFonts w:hint="eastAsia" w:ascii="宋体" w:hAnsi="宋体"/>
          <w:kern w:val="0"/>
          <w:sz w:val="24"/>
        </w:rPr>
        <w:t>，主要布置有主斜井井口房、筛分车间、储煤场、地磅房等。设计中尽量简化生产系统，节省投资，考虑矿井煤炭运输采用汽车运输。此外，由于贮煤处处于海拔标高较低处，设计将矿井水处理站布置在该区域。</w:t>
      </w:r>
    </w:p>
    <w:p w14:paraId="1859AF0F">
      <w:pPr>
        <w:spacing w:line="360" w:lineRule="auto"/>
        <w:ind w:firstLine="480" w:firstLineChars="200"/>
        <w:rPr>
          <w:rFonts w:ascii="宋体" w:hAnsi="宋体"/>
          <w:kern w:val="0"/>
          <w:sz w:val="24"/>
        </w:rPr>
      </w:pPr>
      <w:r>
        <w:rPr>
          <w:rFonts w:hint="eastAsia" w:ascii="宋体" w:hAnsi="宋体"/>
          <w:kern w:val="0"/>
          <w:sz w:val="24"/>
        </w:rPr>
        <w:t>（2）+1988.00m台阶辅助生产区</w:t>
      </w:r>
    </w:p>
    <w:p w14:paraId="6602A872">
      <w:pPr>
        <w:spacing w:line="360" w:lineRule="auto"/>
        <w:ind w:firstLine="480" w:firstLineChars="200"/>
        <w:rPr>
          <w:rFonts w:hint="eastAsia" w:ascii="宋体" w:hAnsi="宋体"/>
          <w:kern w:val="0"/>
          <w:sz w:val="24"/>
        </w:rPr>
      </w:pPr>
      <w:r>
        <w:rPr>
          <w:rFonts w:hint="eastAsia" w:ascii="宋体" w:hAnsi="宋体"/>
          <w:kern w:val="0"/>
          <w:sz w:val="24"/>
        </w:rPr>
        <w:t>位于工业场地东面，平场标高为</w:t>
      </w:r>
      <w:r>
        <w:rPr>
          <w:rFonts w:ascii="宋体" w:hAnsi="宋体"/>
          <w:kern w:val="0"/>
          <w:sz w:val="24"/>
        </w:rPr>
        <w:t>+</w:t>
      </w:r>
      <w:r>
        <w:rPr>
          <w:rFonts w:hint="eastAsia" w:ascii="宋体" w:hAnsi="宋体"/>
          <w:kern w:val="0"/>
          <w:sz w:val="24"/>
        </w:rPr>
        <w:t>1988.00</w:t>
      </w:r>
      <w:r>
        <w:rPr>
          <w:rFonts w:ascii="宋体" w:hAnsi="宋体"/>
          <w:kern w:val="0"/>
          <w:sz w:val="24"/>
        </w:rPr>
        <w:t>m</w:t>
      </w:r>
      <w:r>
        <w:rPr>
          <w:rFonts w:hint="eastAsia" w:ascii="宋体" w:hAnsi="宋体"/>
          <w:kern w:val="0"/>
          <w:sz w:val="24"/>
        </w:rPr>
        <w:t>，围绕辅助生产区布置有锅炉房、10KV变电所、井口维修间、材料库（棚）、机车库、消防材料库、压风机房、锅炉房。变电所的位置基本靠近负荷中心。</w:t>
      </w:r>
    </w:p>
    <w:p w14:paraId="1B4A51D0">
      <w:pPr>
        <w:spacing w:line="360" w:lineRule="auto"/>
        <w:ind w:firstLine="480" w:firstLineChars="200"/>
        <w:rPr>
          <w:rFonts w:hint="eastAsia" w:ascii="宋体" w:hAnsi="宋体"/>
          <w:kern w:val="0"/>
          <w:sz w:val="24"/>
        </w:rPr>
      </w:pPr>
      <w:r>
        <w:rPr>
          <w:rFonts w:hint="eastAsia" w:ascii="宋体" w:hAnsi="宋体"/>
          <w:kern w:val="0"/>
          <w:sz w:val="24"/>
        </w:rPr>
        <w:t>为节省土方工程量、减少污染，设计在工业场地北侧排矸专用绞车道。排矸场布置在工业场地北西150m处的荒沟里。井下矸石和选出的矸石经地面窄轨铁路运至工业场地北端（+1983.00m标高），采用调度绞车提升至+2035.00m标高平台，用窄轨铁路矿车运输，顺地形等高线运至排矸场，再用绞车提升至排矸场排弃。</w:t>
      </w:r>
    </w:p>
    <w:p w14:paraId="26441E18">
      <w:pPr>
        <w:spacing w:line="360" w:lineRule="auto"/>
        <w:ind w:firstLine="480" w:firstLineChars="200"/>
        <w:rPr>
          <w:rFonts w:hint="eastAsia" w:ascii="宋体" w:hAnsi="宋体"/>
          <w:sz w:val="24"/>
        </w:rPr>
      </w:pPr>
      <w:r>
        <w:rPr>
          <w:rFonts w:hint="eastAsia" w:ascii="宋体" w:hAnsi="宋体"/>
          <w:kern w:val="0"/>
          <w:sz w:val="24"/>
        </w:rPr>
        <w:t>（3）+1976.5m台阶</w:t>
      </w:r>
      <w:r>
        <w:rPr>
          <w:rFonts w:hint="eastAsia" w:ascii="宋体" w:hAnsi="宋体"/>
          <w:sz w:val="24"/>
        </w:rPr>
        <w:t>办公生活区</w:t>
      </w:r>
    </w:p>
    <w:p w14:paraId="7DB7E634">
      <w:pPr>
        <w:spacing w:line="360" w:lineRule="auto"/>
        <w:ind w:firstLine="480" w:firstLineChars="200"/>
        <w:rPr>
          <w:rFonts w:hint="eastAsia" w:ascii="宋体" w:hAnsi="宋体"/>
          <w:sz w:val="24"/>
        </w:rPr>
      </w:pPr>
      <w:r>
        <w:rPr>
          <w:rFonts w:hint="eastAsia" w:ascii="宋体" w:hAnsi="宋体"/>
          <w:sz w:val="24"/>
        </w:rPr>
        <w:t>位于场区南部及北部，</w:t>
      </w:r>
      <w:r>
        <w:rPr>
          <w:rFonts w:hint="eastAsia" w:ascii="宋体" w:hAnsi="宋体"/>
          <w:kern w:val="0"/>
          <w:sz w:val="24"/>
        </w:rPr>
        <w:t>平场标高为</w:t>
      </w:r>
      <w:r>
        <w:rPr>
          <w:rFonts w:ascii="宋体" w:hAnsi="宋体"/>
          <w:kern w:val="0"/>
          <w:sz w:val="24"/>
        </w:rPr>
        <w:t>+</w:t>
      </w:r>
      <w:r>
        <w:rPr>
          <w:rFonts w:hint="eastAsia" w:ascii="宋体" w:hAnsi="宋体"/>
          <w:kern w:val="0"/>
          <w:sz w:val="24"/>
        </w:rPr>
        <w:t>1976.5</w:t>
      </w:r>
      <w:r>
        <w:rPr>
          <w:rFonts w:ascii="宋体" w:hAnsi="宋体"/>
          <w:kern w:val="0"/>
          <w:sz w:val="24"/>
        </w:rPr>
        <w:t>m</w:t>
      </w:r>
      <w:r>
        <w:rPr>
          <w:rFonts w:hint="eastAsia" w:ascii="宋体" w:hAnsi="宋体"/>
          <w:kern w:val="0"/>
          <w:sz w:val="24"/>
        </w:rPr>
        <w:t>，</w:t>
      </w:r>
      <w:r>
        <w:rPr>
          <w:rFonts w:hint="eastAsia" w:ascii="宋体" w:hAnsi="宋体"/>
          <w:sz w:val="24"/>
        </w:rPr>
        <w:t>布置有办公楼、食堂、职工公寓、篮球场等。该区为矿井行政管理中心、人员集散地。在建筑周围的空地上，植以花卉、草坪、树木，形成环境优美的场所。</w:t>
      </w:r>
    </w:p>
    <w:p w14:paraId="1DE0F59F">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（4）纵向设计</w:t>
      </w:r>
    </w:p>
    <w:p w14:paraId="3E2C8413">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该矿区工业场由于受地形控制没有纵向设计的可能，因此，不进行纵向设计。</w:t>
      </w:r>
    </w:p>
    <w:p w14:paraId="04B894DE">
      <w:pPr>
        <w:autoSpaceDE w:val="0"/>
        <w:autoSpaceDN w:val="0"/>
        <w:adjustRightInd w:val="0"/>
        <w:spacing w:line="360" w:lineRule="auto"/>
        <w:ind w:firstLine="480" w:firstLineChars="200"/>
        <w:rPr>
          <w:rFonts w:hint="eastAsia" w:ascii="宋体" w:hAnsi="宋体"/>
          <w:sz w:val="24"/>
        </w:rPr>
      </w:pPr>
      <w:r>
        <w:rPr>
          <w:rFonts w:hint="eastAsia" w:ascii="宋体" w:hAnsi="宋体"/>
          <w:sz w:val="24"/>
        </w:rPr>
        <w:t>本矿主井场区工程量详见</w:t>
      </w:r>
      <w:r>
        <w:rPr>
          <w:rFonts w:hint="eastAsia" w:ascii="宋体" w:hAnsi="宋体"/>
          <w:b/>
          <w:sz w:val="24"/>
        </w:rPr>
        <w:t>表6－3－1</w:t>
      </w:r>
      <w:r>
        <w:rPr>
          <w:rFonts w:hint="eastAsia" w:ascii="宋体" w:hAnsi="宋体"/>
          <w:sz w:val="24"/>
        </w:rPr>
        <w:t>。</w:t>
      </w:r>
    </w:p>
    <w:p w14:paraId="4DEACA27">
      <w:pPr>
        <w:autoSpaceDE w:val="0"/>
        <w:autoSpaceDN w:val="0"/>
        <w:adjustRightInd w:val="0"/>
        <w:spacing w:line="360" w:lineRule="auto"/>
        <w:jc w:val="center"/>
        <w:rPr>
          <w:rFonts w:hint="eastAsia" w:ascii="宋体" w:hAnsi="宋体"/>
          <w:sz w:val="24"/>
        </w:rPr>
      </w:pPr>
      <w:r>
        <w:rPr>
          <w:rFonts w:hint="eastAsia" w:ascii="宋体" w:hAnsi="宋体"/>
          <w:b/>
          <w:sz w:val="24"/>
        </w:rPr>
        <w:t>表6－3－1         工业场地场区工程量表</w:t>
      </w:r>
    </w:p>
    <w:p w14:paraId="7153BD25">
      <w:pPr>
        <w:autoSpaceDE w:val="0"/>
        <w:autoSpaceDN w:val="0"/>
        <w:adjustRightInd w:val="0"/>
        <w:spacing w:line="360" w:lineRule="auto"/>
        <w:jc w:val="center"/>
        <w:rPr>
          <w:rFonts w:hint="eastAsia"/>
        </w:rPr>
      </w:pPr>
      <w:r>
        <w:drawing>
          <wp:inline distT="0" distB="0" distL="114300" distR="114300">
            <wp:extent cx="5727065" cy="4450715"/>
            <wp:effectExtent l="0" t="0" r="6985" b="6985"/>
            <wp:docPr id="58"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4"/>
                    <pic:cNvPicPr>
                      <a:picLocks noChangeAspect="1"/>
                    </pic:cNvPicPr>
                  </pic:nvPicPr>
                  <pic:blipFill>
                    <a:blip r:embed="rId234"/>
                    <a:srcRect l="26328" t="19101" r="39587" b="25941"/>
                    <a:stretch>
                      <a:fillRect/>
                    </a:stretch>
                  </pic:blipFill>
                  <pic:spPr>
                    <a:xfrm>
                      <a:off x="0" y="0"/>
                      <a:ext cx="5727065" cy="4450715"/>
                    </a:xfrm>
                    <a:prstGeom prst="rect">
                      <a:avLst/>
                    </a:prstGeom>
                    <a:noFill/>
                    <a:ln>
                      <a:noFill/>
                    </a:ln>
                  </pic:spPr>
                </pic:pic>
              </a:graphicData>
            </a:graphic>
          </wp:inline>
        </w:drawing>
      </w:r>
    </w:p>
    <w:p w14:paraId="44E66409">
      <w:pPr>
        <w:spacing w:line="360" w:lineRule="auto"/>
        <w:ind w:firstLine="460" w:firstLineChars="192"/>
        <w:rPr>
          <w:rFonts w:hint="eastAsia"/>
          <w:sz w:val="24"/>
        </w:rPr>
      </w:pPr>
      <w:bookmarkStart w:id="684" w:name="_Toc173869278"/>
      <w:bookmarkStart w:id="685" w:name="_Toc173918953"/>
      <w:r>
        <w:rPr>
          <w:rFonts w:hint="eastAsia"/>
          <w:sz w:val="24"/>
        </w:rPr>
        <w:t>注：表中工程量包括风井场地，水源地，生产、生活、消防水池、地面炸药库等场区工程量；不包括工业场地进场公路、排矸场、、给水输水管线等场区工程量。</w:t>
      </w:r>
    </w:p>
    <w:p w14:paraId="624D7930">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二、风井及其他场地总平面布置</w:t>
      </w:r>
      <w:bookmarkEnd w:id="684"/>
      <w:bookmarkEnd w:id="685"/>
    </w:p>
    <w:p w14:paraId="52633B4E">
      <w:pPr>
        <w:spacing w:line="360" w:lineRule="auto"/>
        <w:ind w:firstLine="480" w:firstLineChars="200"/>
        <w:rPr>
          <w:rFonts w:hint="eastAsia" w:ascii="宋体" w:hAnsi="宋体"/>
          <w:sz w:val="24"/>
        </w:rPr>
      </w:pPr>
      <w:r>
        <w:rPr>
          <w:rFonts w:hint="eastAsia" w:ascii="宋体" w:hAnsi="宋体"/>
          <w:sz w:val="24"/>
        </w:rPr>
        <w:t>1、风井场地</w:t>
      </w:r>
    </w:p>
    <w:p w14:paraId="5965D392">
      <w:pPr>
        <w:spacing w:line="360" w:lineRule="auto"/>
        <w:ind w:firstLine="480" w:firstLineChars="200"/>
        <w:rPr>
          <w:rFonts w:hint="eastAsia" w:ascii="宋体" w:hAnsi="宋体"/>
          <w:sz w:val="24"/>
        </w:rPr>
      </w:pPr>
      <w:r>
        <w:rPr>
          <w:rFonts w:hint="eastAsia" w:ascii="宋体" w:hAnsi="宋体"/>
          <w:sz w:val="24"/>
        </w:rPr>
        <w:t>结合矿井开拓布置，矿井风井场地与主、副井工业场地相对集中布置。风井场地布置有通风机房、通风机配电间等，负担矿井的通风任务。其场区工程量已计入工业场地场区工程量</w:t>
      </w:r>
      <w:r>
        <w:rPr>
          <w:rFonts w:hint="eastAsia" w:ascii="宋体" w:hAnsi="宋体"/>
          <w:b/>
          <w:sz w:val="24"/>
        </w:rPr>
        <w:t>表6—3—1</w:t>
      </w:r>
      <w:r>
        <w:rPr>
          <w:rFonts w:hint="eastAsia" w:ascii="宋体" w:hAnsi="宋体"/>
          <w:sz w:val="24"/>
        </w:rPr>
        <w:t>。</w:t>
      </w:r>
    </w:p>
    <w:p w14:paraId="5FBC536F">
      <w:pPr>
        <w:spacing w:line="360" w:lineRule="auto"/>
        <w:ind w:firstLine="480" w:firstLineChars="200"/>
        <w:rPr>
          <w:rFonts w:hint="eastAsia" w:ascii="宋体" w:hAnsi="宋体"/>
          <w:sz w:val="24"/>
        </w:rPr>
      </w:pPr>
      <w:r>
        <w:rPr>
          <w:rFonts w:hint="eastAsia" w:ascii="宋体" w:hAnsi="宋体"/>
          <w:sz w:val="24"/>
        </w:rPr>
        <w:t>2、瓦斯抽放站场地</w:t>
      </w:r>
    </w:p>
    <w:p w14:paraId="0D8699CC">
      <w:pPr>
        <w:spacing w:line="360" w:lineRule="auto"/>
        <w:ind w:firstLine="480" w:firstLineChars="200"/>
        <w:rPr>
          <w:rFonts w:hint="eastAsia" w:ascii="宋体" w:hAnsi="宋体"/>
          <w:sz w:val="24"/>
        </w:rPr>
      </w:pPr>
      <w:r>
        <w:rPr>
          <w:rFonts w:hint="eastAsia" w:ascii="宋体" w:hAnsi="宋体"/>
          <w:sz w:val="24"/>
        </w:rPr>
        <w:t>瓦斯抽放站场地选择在工业场地东面，平场标高为+1991.00m，场地内主要布置有瓦斯抽放泵房，围墙内占地面积为0.2hm</w:t>
      </w:r>
      <w:r>
        <w:rPr>
          <w:rFonts w:hint="eastAsia" w:ascii="宋体" w:hAnsi="宋体"/>
          <w:sz w:val="24"/>
          <w:vertAlign w:val="superscript"/>
        </w:rPr>
        <w:t>2</w:t>
      </w:r>
      <w:r>
        <w:rPr>
          <w:rFonts w:hint="eastAsia" w:ascii="宋体" w:hAnsi="宋体"/>
          <w:sz w:val="24"/>
        </w:rPr>
        <w:t>，距离井口及主要建筑物100m以上。</w:t>
      </w:r>
    </w:p>
    <w:p w14:paraId="259BD653">
      <w:pPr>
        <w:spacing w:line="360" w:lineRule="auto"/>
        <w:ind w:firstLine="480" w:firstLineChars="200"/>
        <w:rPr>
          <w:rFonts w:hint="eastAsia" w:ascii="宋体" w:hAnsi="宋体"/>
          <w:sz w:val="24"/>
        </w:rPr>
      </w:pPr>
      <w:r>
        <w:rPr>
          <w:rFonts w:hint="eastAsia" w:ascii="宋体" w:hAnsi="宋体"/>
          <w:sz w:val="24"/>
        </w:rPr>
        <w:t>3、排矸场</w:t>
      </w:r>
    </w:p>
    <w:p w14:paraId="61158517">
      <w:pPr>
        <w:spacing w:line="360" w:lineRule="auto"/>
        <w:ind w:firstLine="480" w:firstLineChars="200"/>
        <w:rPr>
          <w:rFonts w:hint="eastAsia" w:ascii="宋体" w:hAnsi="宋体"/>
          <w:sz w:val="24"/>
        </w:rPr>
      </w:pPr>
      <w:r>
        <w:rPr>
          <w:rFonts w:hint="eastAsia" w:ascii="宋体" w:hAnsi="宋体"/>
          <w:sz w:val="24"/>
        </w:rPr>
        <w:t>排矸场布置在工业场地北西150m处的荒沟里。井下矸石和选出的矸石经地面窄轨铁路运至工业场地北端（+1983.00m标高），采用调度绞车提升至+2035.00m标高平台，用窄轨铁路矿车运输，顺地形等高线运至排矸场，再用绞车提升至排矸场排弃。。</w:t>
      </w:r>
    </w:p>
    <w:p w14:paraId="4312C5A1">
      <w:pPr>
        <w:spacing w:line="360" w:lineRule="auto"/>
        <w:ind w:firstLine="480" w:firstLineChars="200"/>
        <w:rPr>
          <w:rFonts w:ascii="宋体" w:hAnsi="宋体"/>
          <w:sz w:val="24"/>
        </w:rPr>
      </w:pPr>
      <w:r>
        <w:rPr>
          <w:rFonts w:hint="eastAsia" w:ascii="宋体" w:hAnsi="宋体"/>
          <w:sz w:val="24"/>
        </w:rPr>
        <w:t>4、矿山救护小队</w:t>
      </w:r>
    </w:p>
    <w:p w14:paraId="49089904">
      <w:pPr>
        <w:pStyle w:val="130"/>
        <w:spacing w:line="360" w:lineRule="auto"/>
        <w:ind w:firstLine="480" w:firstLineChars="200"/>
        <w:rPr>
          <w:rFonts w:hint="eastAsia"/>
          <w:sz w:val="24"/>
          <w:szCs w:val="24"/>
        </w:rPr>
      </w:pPr>
      <w:r>
        <w:rPr>
          <w:rFonts w:hint="eastAsia"/>
          <w:sz w:val="24"/>
          <w:szCs w:val="24"/>
        </w:rPr>
        <w:t>为保证安全生产，设计考虑依托水城县矿山救护队，该矿井距水城县矿山救护队约25km，救护队到矿的行车时间不超过30min，能满足行车时间要求。为安全起见，考虑在本矿设辅助矿山救护小队，并在工业场地内设置矿山救护小队练场地，矿山救护小队负责本矿井矿山救护的日常工作。配备矿山</w:t>
      </w:r>
      <w:r>
        <w:rPr>
          <w:sz w:val="24"/>
          <w:szCs w:val="24"/>
        </w:rPr>
        <w:t>救护车</w:t>
      </w:r>
      <w:r>
        <w:rPr>
          <w:rFonts w:hint="eastAsia"/>
          <w:sz w:val="24"/>
          <w:szCs w:val="24"/>
        </w:rPr>
        <w:t>1</w:t>
      </w:r>
      <w:r>
        <w:rPr>
          <w:sz w:val="24"/>
          <w:szCs w:val="24"/>
        </w:rPr>
        <w:t>辆</w:t>
      </w:r>
      <w:r>
        <w:rPr>
          <w:rFonts w:hint="eastAsia"/>
          <w:sz w:val="24"/>
          <w:szCs w:val="24"/>
        </w:rPr>
        <w:t>，</w:t>
      </w:r>
      <w:r>
        <w:rPr>
          <w:sz w:val="24"/>
          <w:szCs w:val="24"/>
        </w:rPr>
        <w:t>人员</w:t>
      </w:r>
      <w:r>
        <w:rPr>
          <w:rFonts w:hint="eastAsia"/>
          <w:sz w:val="24"/>
          <w:szCs w:val="24"/>
        </w:rPr>
        <w:t>9</w:t>
      </w:r>
      <w:r>
        <w:rPr>
          <w:sz w:val="24"/>
          <w:szCs w:val="24"/>
        </w:rPr>
        <w:t>人</w:t>
      </w:r>
      <w:r>
        <w:rPr>
          <w:rFonts w:hint="eastAsia"/>
          <w:sz w:val="24"/>
          <w:szCs w:val="24"/>
        </w:rPr>
        <w:t>。矿山救护小队（包括训练场地）布置在行政福利设施区，靠近主要服务对象。</w:t>
      </w:r>
    </w:p>
    <w:p w14:paraId="6AA66AC1">
      <w:pPr>
        <w:autoSpaceDE w:val="0"/>
        <w:autoSpaceDN w:val="0"/>
        <w:adjustRightInd w:val="0"/>
        <w:spacing w:line="360" w:lineRule="auto"/>
        <w:jc w:val="center"/>
        <w:rPr>
          <w:rFonts w:hint="eastAsia" w:ascii="宋体" w:hAnsi="宋体"/>
          <w:b/>
          <w:sz w:val="24"/>
        </w:rPr>
      </w:pPr>
      <w:r>
        <w:rPr>
          <w:rFonts w:hint="eastAsia" w:ascii="宋体" w:hAnsi="宋体"/>
          <w:b/>
          <w:sz w:val="24"/>
        </w:rPr>
        <w:t>辅助矿山救护队最低限度技术装备表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6"/>
        <w:gridCol w:w="2448"/>
        <w:gridCol w:w="1930"/>
        <w:gridCol w:w="633"/>
        <w:gridCol w:w="653"/>
        <w:gridCol w:w="2675"/>
      </w:tblGrid>
      <w:tr w14:paraId="2E45A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46DA3612">
            <w:pPr>
              <w:jc w:val="left"/>
              <w:rPr>
                <w:rFonts w:hint="eastAsia" w:ascii="宋体" w:hAnsi="宋体"/>
                <w:color w:val="000000"/>
                <w:szCs w:val="21"/>
              </w:rPr>
            </w:pPr>
            <w:r>
              <w:rPr>
                <w:rFonts w:hint="eastAsia" w:ascii="宋体" w:hAnsi="宋体"/>
                <w:color w:val="000000"/>
                <w:szCs w:val="21"/>
              </w:rPr>
              <w:t>序号</w:t>
            </w:r>
          </w:p>
        </w:tc>
        <w:tc>
          <w:tcPr>
            <w:tcW w:w="2448" w:type="dxa"/>
            <w:noWrap w:val="0"/>
            <w:vAlign w:val="center"/>
          </w:tcPr>
          <w:p w14:paraId="4A9BF6D7">
            <w:pPr>
              <w:jc w:val="center"/>
              <w:rPr>
                <w:rFonts w:hint="eastAsia" w:ascii="宋体" w:hAnsi="宋体"/>
                <w:color w:val="000000"/>
                <w:szCs w:val="21"/>
              </w:rPr>
            </w:pPr>
            <w:r>
              <w:rPr>
                <w:rFonts w:hint="eastAsia" w:ascii="宋体" w:hAnsi="宋体"/>
                <w:color w:val="000000"/>
                <w:szCs w:val="21"/>
              </w:rPr>
              <w:t>装 备 名 称</w:t>
            </w:r>
          </w:p>
        </w:tc>
        <w:tc>
          <w:tcPr>
            <w:tcW w:w="1930" w:type="dxa"/>
            <w:noWrap w:val="0"/>
            <w:vAlign w:val="center"/>
          </w:tcPr>
          <w:p w14:paraId="398B9743">
            <w:pPr>
              <w:jc w:val="center"/>
              <w:rPr>
                <w:rFonts w:hint="eastAsia" w:ascii="宋体" w:hAnsi="宋体"/>
                <w:color w:val="000000"/>
                <w:szCs w:val="21"/>
              </w:rPr>
            </w:pPr>
            <w:r>
              <w:rPr>
                <w:rFonts w:hint="eastAsia" w:ascii="宋体" w:hAnsi="宋体"/>
                <w:color w:val="000000"/>
                <w:szCs w:val="21"/>
              </w:rPr>
              <w:t>要　　 求</w:t>
            </w:r>
          </w:p>
        </w:tc>
        <w:tc>
          <w:tcPr>
            <w:tcW w:w="633" w:type="dxa"/>
            <w:noWrap w:val="0"/>
            <w:vAlign w:val="center"/>
          </w:tcPr>
          <w:p w14:paraId="04F1F3F7">
            <w:pPr>
              <w:jc w:val="center"/>
              <w:rPr>
                <w:rFonts w:hint="eastAsia" w:ascii="宋体" w:hAnsi="宋体"/>
                <w:color w:val="000000"/>
                <w:szCs w:val="21"/>
              </w:rPr>
            </w:pPr>
            <w:r>
              <w:rPr>
                <w:rFonts w:hint="eastAsia" w:ascii="宋体" w:hAnsi="宋体"/>
                <w:color w:val="000000"/>
                <w:szCs w:val="21"/>
              </w:rPr>
              <w:t>单位</w:t>
            </w:r>
          </w:p>
        </w:tc>
        <w:tc>
          <w:tcPr>
            <w:tcW w:w="653" w:type="dxa"/>
            <w:noWrap w:val="0"/>
            <w:vAlign w:val="center"/>
          </w:tcPr>
          <w:p w14:paraId="04C102C4">
            <w:pPr>
              <w:jc w:val="center"/>
              <w:rPr>
                <w:rFonts w:hint="eastAsia" w:ascii="宋体" w:hAnsi="宋体"/>
                <w:color w:val="000000"/>
                <w:szCs w:val="21"/>
              </w:rPr>
            </w:pPr>
            <w:r>
              <w:rPr>
                <w:rFonts w:hint="eastAsia" w:ascii="宋体" w:hAnsi="宋体"/>
                <w:color w:val="000000"/>
                <w:szCs w:val="21"/>
              </w:rPr>
              <w:t>数量</w:t>
            </w:r>
          </w:p>
        </w:tc>
        <w:tc>
          <w:tcPr>
            <w:tcW w:w="2675" w:type="dxa"/>
            <w:noWrap w:val="0"/>
            <w:vAlign w:val="center"/>
          </w:tcPr>
          <w:p w14:paraId="4AAF0330">
            <w:pPr>
              <w:jc w:val="center"/>
              <w:rPr>
                <w:rFonts w:hint="eastAsia" w:ascii="宋体" w:hAnsi="宋体"/>
                <w:color w:val="000000"/>
                <w:szCs w:val="21"/>
              </w:rPr>
            </w:pPr>
            <w:r>
              <w:rPr>
                <w:rFonts w:hint="eastAsia" w:ascii="宋体" w:hAnsi="宋体"/>
                <w:color w:val="000000"/>
                <w:szCs w:val="21"/>
              </w:rPr>
              <w:t>备 　　注</w:t>
            </w:r>
          </w:p>
        </w:tc>
      </w:tr>
      <w:tr w14:paraId="27CDD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0791E36">
            <w:pPr>
              <w:pStyle w:val="36"/>
              <w:tabs>
                <w:tab w:val="clear" w:pos="4153"/>
                <w:tab w:val="clear" w:pos="8306"/>
              </w:tabs>
              <w:snapToGrid/>
              <w:jc w:val="both"/>
              <w:rPr>
                <w:rFonts w:hint="eastAsia" w:ascii="宋体" w:hAnsi="宋体"/>
                <w:sz w:val="21"/>
                <w:szCs w:val="21"/>
              </w:rPr>
            </w:pPr>
            <w:r>
              <w:rPr>
                <w:rFonts w:hint="eastAsia" w:ascii="宋体" w:hAnsi="宋体"/>
                <w:sz w:val="21"/>
                <w:szCs w:val="21"/>
              </w:rPr>
              <w:t>1</w:t>
            </w:r>
          </w:p>
        </w:tc>
        <w:tc>
          <w:tcPr>
            <w:tcW w:w="2448" w:type="dxa"/>
            <w:noWrap w:val="0"/>
            <w:vAlign w:val="center"/>
          </w:tcPr>
          <w:p w14:paraId="2CC6CADB">
            <w:pPr>
              <w:rPr>
                <w:rFonts w:hint="eastAsia" w:ascii="宋体" w:hAnsi="宋体"/>
                <w:szCs w:val="21"/>
              </w:rPr>
            </w:pPr>
            <w:r>
              <w:rPr>
                <w:rFonts w:hint="eastAsia" w:ascii="宋体" w:hAnsi="宋体"/>
                <w:szCs w:val="21"/>
              </w:rPr>
              <w:t>自救器</w:t>
            </w:r>
          </w:p>
        </w:tc>
        <w:tc>
          <w:tcPr>
            <w:tcW w:w="1930" w:type="dxa"/>
            <w:noWrap w:val="0"/>
            <w:vAlign w:val="center"/>
          </w:tcPr>
          <w:p w14:paraId="15E799D7">
            <w:pPr>
              <w:adjustRightInd w:val="0"/>
              <w:snapToGrid w:val="0"/>
              <w:rPr>
                <w:rFonts w:hint="eastAsia" w:ascii="宋体" w:hAnsi="宋体"/>
                <w:szCs w:val="21"/>
              </w:rPr>
            </w:pPr>
            <w:r>
              <w:rPr>
                <w:rFonts w:ascii="宋体" w:hAnsi="宋体"/>
                <w:szCs w:val="21"/>
              </w:rPr>
              <w:t>ZYH-</w:t>
            </w:r>
            <w:r>
              <w:rPr>
                <w:rFonts w:hint="eastAsia" w:ascii="宋体" w:hAnsi="宋体"/>
                <w:szCs w:val="21"/>
              </w:rPr>
              <w:t>40</w:t>
            </w:r>
          </w:p>
        </w:tc>
        <w:tc>
          <w:tcPr>
            <w:tcW w:w="633" w:type="dxa"/>
            <w:noWrap w:val="0"/>
            <w:vAlign w:val="center"/>
          </w:tcPr>
          <w:p w14:paraId="32F0F01C">
            <w:pPr>
              <w:jc w:val="center"/>
              <w:rPr>
                <w:rFonts w:hint="eastAsia" w:ascii="宋体" w:hAnsi="宋体"/>
                <w:szCs w:val="21"/>
              </w:rPr>
            </w:pPr>
            <w:r>
              <w:rPr>
                <w:rFonts w:hint="eastAsia" w:ascii="宋体" w:hAnsi="宋体"/>
                <w:szCs w:val="21"/>
              </w:rPr>
              <w:t>台</w:t>
            </w:r>
          </w:p>
        </w:tc>
        <w:tc>
          <w:tcPr>
            <w:tcW w:w="653" w:type="dxa"/>
            <w:noWrap w:val="0"/>
            <w:vAlign w:val="center"/>
          </w:tcPr>
          <w:p w14:paraId="08C412C5">
            <w:pPr>
              <w:jc w:val="center"/>
              <w:rPr>
                <w:rFonts w:hint="eastAsia" w:ascii="宋体" w:hAnsi="宋体"/>
                <w:szCs w:val="21"/>
              </w:rPr>
            </w:pPr>
            <w:r>
              <w:rPr>
                <w:rFonts w:hint="eastAsia" w:ascii="宋体" w:hAnsi="宋体"/>
                <w:szCs w:val="21"/>
              </w:rPr>
              <w:t>20</w:t>
            </w:r>
          </w:p>
        </w:tc>
        <w:tc>
          <w:tcPr>
            <w:tcW w:w="2675" w:type="dxa"/>
            <w:noWrap w:val="0"/>
            <w:vAlign w:val="center"/>
          </w:tcPr>
          <w:p w14:paraId="46B55F74">
            <w:pPr>
              <w:rPr>
                <w:rFonts w:hint="eastAsia" w:ascii="宋体" w:hAnsi="宋体"/>
                <w:szCs w:val="21"/>
              </w:rPr>
            </w:pPr>
            <w:r>
              <w:rPr>
                <w:rFonts w:hint="eastAsia" w:ascii="宋体" w:hAnsi="宋体"/>
                <w:szCs w:val="21"/>
              </w:rPr>
              <w:t>(每人1台、备用10台)</w:t>
            </w:r>
          </w:p>
        </w:tc>
      </w:tr>
      <w:tr w14:paraId="0D73E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CDDC736">
            <w:pPr>
              <w:rPr>
                <w:rFonts w:hint="eastAsia" w:ascii="宋体" w:hAnsi="宋体"/>
                <w:color w:val="000000"/>
                <w:szCs w:val="21"/>
              </w:rPr>
            </w:pPr>
            <w:r>
              <w:rPr>
                <w:rFonts w:hint="eastAsia" w:ascii="宋体" w:hAnsi="宋体"/>
                <w:color w:val="000000"/>
                <w:szCs w:val="21"/>
              </w:rPr>
              <w:t>2</w:t>
            </w:r>
          </w:p>
        </w:tc>
        <w:tc>
          <w:tcPr>
            <w:tcW w:w="2448" w:type="dxa"/>
            <w:noWrap w:val="0"/>
            <w:vAlign w:val="center"/>
          </w:tcPr>
          <w:p w14:paraId="76A073F0">
            <w:pPr>
              <w:ind w:left="124" w:hanging="123" w:hangingChars="59"/>
              <w:jc w:val="left"/>
              <w:rPr>
                <w:rFonts w:hint="eastAsia" w:ascii="宋体" w:hAnsi="宋体"/>
                <w:color w:val="000000"/>
                <w:szCs w:val="21"/>
              </w:rPr>
            </w:pPr>
            <w:r>
              <w:rPr>
                <w:rFonts w:hint="eastAsia" w:ascii="宋体" w:hAnsi="宋体"/>
                <w:color w:val="000000"/>
                <w:szCs w:val="21"/>
              </w:rPr>
              <w:t>自动苏生器</w:t>
            </w:r>
          </w:p>
        </w:tc>
        <w:tc>
          <w:tcPr>
            <w:tcW w:w="1930" w:type="dxa"/>
            <w:noWrap w:val="0"/>
            <w:vAlign w:val="center"/>
          </w:tcPr>
          <w:p w14:paraId="48FCBDD8">
            <w:pPr>
              <w:rPr>
                <w:rFonts w:ascii="宋体" w:hAnsi="宋体"/>
                <w:color w:val="000000"/>
                <w:szCs w:val="21"/>
              </w:rPr>
            </w:pPr>
            <w:r>
              <w:rPr>
                <w:rFonts w:hint="eastAsia" w:ascii="宋体" w:hAnsi="宋体"/>
                <w:szCs w:val="21"/>
              </w:rPr>
              <w:t>AZS</w:t>
            </w:r>
          </w:p>
        </w:tc>
        <w:tc>
          <w:tcPr>
            <w:tcW w:w="633" w:type="dxa"/>
            <w:noWrap w:val="0"/>
            <w:vAlign w:val="center"/>
          </w:tcPr>
          <w:p w14:paraId="5C0D1A8E">
            <w:pPr>
              <w:jc w:val="center"/>
              <w:rPr>
                <w:rFonts w:hint="eastAsia" w:ascii="宋体" w:hAnsi="宋体"/>
                <w:color w:val="000000"/>
                <w:szCs w:val="21"/>
              </w:rPr>
            </w:pPr>
            <w:r>
              <w:rPr>
                <w:rFonts w:hint="eastAsia" w:ascii="宋体" w:hAnsi="宋体"/>
                <w:color w:val="000000"/>
                <w:szCs w:val="21"/>
              </w:rPr>
              <w:t>台</w:t>
            </w:r>
          </w:p>
        </w:tc>
        <w:tc>
          <w:tcPr>
            <w:tcW w:w="653" w:type="dxa"/>
            <w:noWrap w:val="0"/>
            <w:vAlign w:val="center"/>
          </w:tcPr>
          <w:p w14:paraId="20BE64AE">
            <w:pPr>
              <w:jc w:val="center"/>
              <w:rPr>
                <w:rFonts w:hint="eastAsia" w:ascii="宋体" w:hAnsi="宋体"/>
                <w:color w:val="000000"/>
                <w:szCs w:val="21"/>
              </w:rPr>
            </w:pPr>
            <w:r>
              <w:rPr>
                <w:rFonts w:hint="eastAsia" w:ascii="宋体" w:hAnsi="宋体"/>
                <w:color w:val="000000"/>
                <w:szCs w:val="21"/>
              </w:rPr>
              <w:t>2</w:t>
            </w:r>
          </w:p>
        </w:tc>
        <w:tc>
          <w:tcPr>
            <w:tcW w:w="2675" w:type="dxa"/>
            <w:noWrap w:val="0"/>
            <w:vAlign w:val="center"/>
          </w:tcPr>
          <w:p w14:paraId="716A63C8">
            <w:pPr>
              <w:rPr>
                <w:rFonts w:ascii="宋体" w:hAnsi="宋体"/>
                <w:color w:val="000000"/>
                <w:szCs w:val="21"/>
              </w:rPr>
            </w:pPr>
            <w:r>
              <w:rPr>
                <w:rFonts w:hint="eastAsia" w:ascii="宋体" w:hAnsi="宋体"/>
                <w:szCs w:val="21"/>
              </w:rPr>
              <w:t>20Mpa,45min,&gt;15L/min</w:t>
            </w:r>
          </w:p>
        </w:tc>
      </w:tr>
      <w:tr w14:paraId="2BAFC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04C3F48">
            <w:pPr>
              <w:rPr>
                <w:rFonts w:hint="eastAsia" w:ascii="宋体" w:hAnsi="宋体"/>
                <w:color w:val="000000"/>
                <w:szCs w:val="21"/>
              </w:rPr>
            </w:pPr>
            <w:r>
              <w:rPr>
                <w:rFonts w:hint="eastAsia" w:ascii="宋体" w:hAnsi="宋体"/>
                <w:color w:val="000000"/>
                <w:szCs w:val="21"/>
              </w:rPr>
              <w:t>3</w:t>
            </w:r>
          </w:p>
        </w:tc>
        <w:tc>
          <w:tcPr>
            <w:tcW w:w="2448" w:type="dxa"/>
            <w:noWrap w:val="0"/>
            <w:vAlign w:val="center"/>
          </w:tcPr>
          <w:p w14:paraId="46315D99">
            <w:pPr>
              <w:jc w:val="left"/>
              <w:rPr>
                <w:rFonts w:hint="eastAsia" w:ascii="宋体" w:hAnsi="宋体"/>
                <w:color w:val="000000"/>
                <w:szCs w:val="21"/>
              </w:rPr>
            </w:pPr>
            <w:r>
              <w:rPr>
                <w:rFonts w:hint="eastAsia" w:ascii="宋体" w:hAnsi="宋体"/>
                <w:color w:val="000000"/>
                <w:szCs w:val="21"/>
              </w:rPr>
              <w:t>干粉灭火器</w:t>
            </w:r>
          </w:p>
        </w:tc>
        <w:tc>
          <w:tcPr>
            <w:tcW w:w="1930" w:type="dxa"/>
            <w:noWrap w:val="0"/>
            <w:vAlign w:val="center"/>
          </w:tcPr>
          <w:p w14:paraId="7E9CD831">
            <w:pPr>
              <w:rPr>
                <w:rFonts w:ascii="宋体" w:hAnsi="宋体"/>
                <w:color w:val="000000"/>
                <w:szCs w:val="21"/>
              </w:rPr>
            </w:pPr>
            <w:r>
              <w:rPr>
                <w:rFonts w:hint="eastAsia" w:ascii="宋体" w:hAnsi="宋体"/>
                <w:szCs w:val="21"/>
              </w:rPr>
              <w:t>MFZ型</w:t>
            </w:r>
          </w:p>
        </w:tc>
        <w:tc>
          <w:tcPr>
            <w:tcW w:w="633" w:type="dxa"/>
            <w:noWrap w:val="0"/>
            <w:vAlign w:val="center"/>
          </w:tcPr>
          <w:p w14:paraId="0041B65D">
            <w:pPr>
              <w:jc w:val="center"/>
              <w:rPr>
                <w:rFonts w:hint="eastAsia" w:ascii="宋体" w:hAnsi="宋体"/>
                <w:color w:val="000000"/>
                <w:szCs w:val="21"/>
              </w:rPr>
            </w:pPr>
            <w:r>
              <w:rPr>
                <w:rFonts w:hint="eastAsia" w:ascii="宋体" w:hAnsi="宋体"/>
                <w:color w:val="000000"/>
                <w:szCs w:val="21"/>
              </w:rPr>
              <w:t>只</w:t>
            </w:r>
          </w:p>
        </w:tc>
        <w:tc>
          <w:tcPr>
            <w:tcW w:w="653" w:type="dxa"/>
            <w:noWrap w:val="0"/>
            <w:vAlign w:val="center"/>
          </w:tcPr>
          <w:p w14:paraId="36F760DB">
            <w:pPr>
              <w:jc w:val="center"/>
              <w:rPr>
                <w:rFonts w:hint="eastAsia" w:ascii="宋体" w:hAnsi="宋体"/>
                <w:color w:val="000000"/>
                <w:szCs w:val="21"/>
              </w:rPr>
            </w:pPr>
            <w:r>
              <w:rPr>
                <w:rFonts w:hint="eastAsia" w:ascii="宋体" w:hAnsi="宋体"/>
                <w:color w:val="000000"/>
                <w:szCs w:val="21"/>
              </w:rPr>
              <w:t>20</w:t>
            </w:r>
          </w:p>
        </w:tc>
        <w:tc>
          <w:tcPr>
            <w:tcW w:w="2675" w:type="dxa"/>
            <w:noWrap w:val="0"/>
            <w:vAlign w:val="center"/>
          </w:tcPr>
          <w:p w14:paraId="4403C9CD">
            <w:pPr>
              <w:rPr>
                <w:rFonts w:ascii="宋体" w:hAnsi="宋体"/>
                <w:color w:val="000000"/>
                <w:szCs w:val="21"/>
              </w:rPr>
            </w:pPr>
          </w:p>
        </w:tc>
      </w:tr>
      <w:tr w14:paraId="797A4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F3FCE51">
            <w:pPr>
              <w:rPr>
                <w:rFonts w:hint="eastAsia" w:ascii="宋体" w:hAnsi="宋体"/>
                <w:color w:val="000000"/>
                <w:szCs w:val="21"/>
              </w:rPr>
            </w:pPr>
            <w:r>
              <w:rPr>
                <w:rFonts w:hint="eastAsia" w:ascii="宋体" w:hAnsi="宋体"/>
                <w:color w:val="000000"/>
                <w:szCs w:val="21"/>
              </w:rPr>
              <w:t>4</w:t>
            </w:r>
          </w:p>
        </w:tc>
        <w:tc>
          <w:tcPr>
            <w:tcW w:w="2448" w:type="dxa"/>
            <w:noWrap w:val="0"/>
            <w:vAlign w:val="center"/>
          </w:tcPr>
          <w:p w14:paraId="39EBD8BE">
            <w:pPr>
              <w:jc w:val="left"/>
              <w:rPr>
                <w:rFonts w:hint="eastAsia" w:ascii="宋体" w:hAnsi="宋体"/>
                <w:color w:val="000000"/>
                <w:szCs w:val="21"/>
              </w:rPr>
            </w:pPr>
            <w:r>
              <w:rPr>
                <w:rFonts w:hint="eastAsia" w:ascii="宋体" w:hAnsi="宋体"/>
                <w:color w:val="000000"/>
                <w:szCs w:val="21"/>
              </w:rPr>
              <w:t>风障</w:t>
            </w:r>
          </w:p>
        </w:tc>
        <w:tc>
          <w:tcPr>
            <w:tcW w:w="1930" w:type="dxa"/>
            <w:noWrap w:val="0"/>
            <w:vAlign w:val="center"/>
          </w:tcPr>
          <w:p w14:paraId="28999BA6">
            <w:pPr>
              <w:rPr>
                <w:rFonts w:hint="eastAsia" w:ascii="宋体" w:hAnsi="宋体"/>
                <w:color w:val="000000"/>
                <w:szCs w:val="21"/>
              </w:rPr>
            </w:pPr>
            <w:r>
              <w:rPr>
                <w:rFonts w:hint="eastAsia" w:ascii="宋体" w:hAnsi="宋体"/>
                <w:color w:val="000000"/>
                <w:szCs w:val="21"/>
              </w:rPr>
              <w:t>4m×4m</w:t>
            </w:r>
          </w:p>
        </w:tc>
        <w:tc>
          <w:tcPr>
            <w:tcW w:w="633" w:type="dxa"/>
            <w:noWrap w:val="0"/>
            <w:vAlign w:val="center"/>
          </w:tcPr>
          <w:p w14:paraId="40608A9D">
            <w:pPr>
              <w:jc w:val="center"/>
              <w:rPr>
                <w:rFonts w:hint="eastAsia" w:ascii="宋体" w:hAnsi="宋体"/>
                <w:color w:val="000000"/>
                <w:szCs w:val="21"/>
              </w:rPr>
            </w:pPr>
            <w:r>
              <w:rPr>
                <w:rFonts w:hint="eastAsia" w:ascii="宋体" w:hAnsi="宋体"/>
                <w:color w:val="000000"/>
                <w:szCs w:val="21"/>
              </w:rPr>
              <w:t>块</w:t>
            </w:r>
          </w:p>
        </w:tc>
        <w:tc>
          <w:tcPr>
            <w:tcW w:w="653" w:type="dxa"/>
            <w:noWrap w:val="0"/>
            <w:vAlign w:val="center"/>
          </w:tcPr>
          <w:p w14:paraId="74F08D83">
            <w:pPr>
              <w:jc w:val="center"/>
              <w:rPr>
                <w:rFonts w:hint="eastAsia" w:ascii="宋体" w:hAnsi="宋体"/>
                <w:color w:val="000000"/>
                <w:szCs w:val="21"/>
              </w:rPr>
            </w:pPr>
            <w:r>
              <w:rPr>
                <w:rFonts w:hint="eastAsia" w:ascii="宋体" w:hAnsi="宋体"/>
                <w:color w:val="000000"/>
                <w:szCs w:val="21"/>
              </w:rPr>
              <w:t>1</w:t>
            </w:r>
          </w:p>
        </w:tc>
        <w:tc>
          <w:tcPr>
            <w:tcW w:w="2675" w:type="dxa"/>
            <w:noWrap w:val="0"/>
            <w:vAlign w:val="center"/>
          </w:tcPr>
          <w:p w14:paraId="1E136CB0">
            <w:pPr>
              <w:rPr>
                <w:rFonts w:ascii="宋体" w:hAnsi="宋体"/>
                <w:color w:val="000000"/>
                <w:szCs w:val="21"/>
              </w:rPr>
            </w:pPr>
          </w:p>
        </w:tc>
      </w:tr>
      <w:tr w14:paraId="4FC7D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1215E64">
            <w:pPr>
              <w:rPr>
                <w:rFonts w:hint="eastAsia" w:ascii="宋体" w:hAnsi="宋体"/>
                <w:color w:val="000000"/>
                <w:szCs w:val="21"/>
              </w:rPr>
            </w:pPr>
            <w:r>
              <w:rPr>
                <w:rFonts w:hint="eastAsia" w:ascii="宋体" w:hAnsi="宋体"/>
                <w:color w:val="000000"/>
                <w:szCs w:val="21"/>
              </w:rPr>
              <w:t>5</w:t>
            </w:r>
          </w:p>
        </w:tc>
        <w:tc>
          <w:tcPr>
            <w:tcW w:w="2448" w:type="dxa"/>
            <w:noWrap w:val="0"/>
            <w:vAlign w:val="center"/>
          </w:tcPr>
          <w:p w14:paraId="0435CFE7">
            <w:pPr>
              <w:jc w:val="left"/>
              <w:rPr>
                <w:rFonts w:hint="eastAsia" w:ascii="宋体" w:hAnsi="宋体"/>
                <w:color w:val="000000"/>
                <w:szCs w:val="21"/>
              </w:rPr>
            </w:pPr>
            <w:r>
              <w:rPr>
                <w:rFonts w:hint="eastAsia" w:ascii="宋体" w:hAnsi="宋体"/>
                <w:color w:val="000000"/>
                <w:szCs w:val="21"/>
              </w:rPr>
              <w:t>风障</w:t>
            </w:r>
          </w:p>
        </w:tc>
        <w:tc>
          <w:tcPr>
            <w:tcW w:w="1930" w:type="dxa"/>
            <w:noWrap w:val="0"/>
            <w:vAlign w:val="center"/>
          </w:tcPr>
          <w:p w14:paraId="114C1201">
            <w:pPr>
              <w:rPr>
                <w:rFonts w:hint="eastAsia" w:ascii="宋体" w:hAnsi="宋体"/>
                <w:color w:val="000000"/>
                <w:szCs w:val="21"/>
              </w:rPr>
            </w:pPr>
            <w:r>
              <w:rPr>
                <w:rFonts w:hint="eastAsia" w:ascii="宋体" w:hAnsi="宋体"/>
                <w:color w:val="000000"/>
                <w:szCs w:val="21"/>
              </w:rPr>
              <w:t>6m×6m</w:t>
            </w:r>
          </w:p>
        </w:tc>
        <w:tc>
          <w:tcPr>
            <w:tcW w:w="633" w:type="dxa"/>
            <w:noWrap w:val="0"/>
            <w:vAlign w:val="center"/>
          </w:tcPr>
          <w:p w14:paraId="78406BAC">
            <w:pPr>
              <w:jc w:val="center"/>
              <w:rPr>
                <w:rFonts w:hint="eastAsia" w:ascii="宋体" w:hAnsi="宋体"/>
                <w:color w:val="000000"/>
                <w:szCs w:val="21"/>
              </w:rPr>
            </w:pPr>
            <w:r>
              <w:rPr>
                <w:rFonts w:hint="eastAsia" w:ascii="宋体" w:hAnsi="宋体"/>
                <w:color w:val="000000"/>
                <w:szCs w:val="21"/>
              </w:rPr>
              <w:t>块</w:t>
            </w:r>
          </w:p>
        </w:tc>
        <w:tc>
          <w:tcPr>
            <w:tcW w:w="653" w:type="dxa"/>
            <w:noWrap w:val="0"/>
            <w:vAlign w:val="center"/>
          </w:tcPr>
          <w:p w14:paraId="3113402D">
            <w:pPr>
              <w:jc w:val="center"/>
              <w:rPr>
                <w:rFonts w:hint="eastAsia" w:ascii="宋体" w:hAnsi="宋体"/>
                <w:color w:val="000000"/>
                <w:szCs w:val="21"/>
              </w:rPr>
            </w:pPr>
            <w:r>
              <w:rPr>
                <w:rFonts w:hint="eastAsia" w:ascii="宋体" w:hAnsi="宋体"/>
                <w:color w:val="000000"/>
                <w:szCs w:val="21"/>
              </w:rPr>
              <w:t>1</w:t>
            </w:r>
          </w:p>
        </w:tc>
        <w:tc>
          <w:tcPr>
            <w:tcW w:w="2675" w:type="dxa"/>
            <w:noWrap w:val="0"/>
            <w:vAlign w:val="center"/>
          </w:tcPr>
          <w:p w14:paraId="331FC575">
            <w:pPr>
              <w:rPr>
                <w:rFonts w:ascii="宋体" w:hAnsi="宋体"/>
                <w:color w:val="000000"/>
                <w:szCs w:val="21"/>
              </w:rPr>
            </w:pPr>
          </w:p>
        </w:tc>
      </w:tr>
      <w:tr w14:paraId="25189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58EF3E08">
            <w:pPr>
              <w:rPr>
                <w:rFonts w:hint="eastAsia" w:ascii="宋体" w:hAnsi="宋体"/>
                <w:color w:val="000000"/>
                <w:szCs w:val="21"/>
              </w:rPr>
            </w:pPr>
            <w:r>
              <w:rPr>
                <w:rFonts w:hint="eastAsia" w:ascii="宋体" w:hAnsi="宋体"/>
                <w:color w:val="000000"/>
                <w:szCs w:val="21"/>
              </w:rPr>
              <w:t>6</w:t>
            </w:r>
          </w:p>
        </w:tc>
        <w:tc>
          <w:tcPr>
            <w:tcW w:w="2448" w:type="dxa"/>
            <w:noWrap w:val="0"/>
            <w:vAlign w:val="center"/>
          </w:tcPr>
          <w:p w14:paraId="7D00ED5F">
            <w:pPr>
              <w:jc w:val="left"/>
              <w:rPr>
                <w:rFonts w:hint="eastAsia" w:ascii="宋体" w:hAnsi="宋体"/>
                <w:color w:val="000000"/>
                <w:szCs w:val="21"/>
              </w:rPr>
            </w:pPr>
            <w:r>
              <w:rPr>
                <w:rFonts w:hint="eastAsia" w:ascii="宋体" w:hAnsi="宋体"/>
                <w:color w:val="000000"/>
                <w:szCs w:val="21"/>
              </w:rPr>
              <w:t>呼吸器校正仪</w:t>
            </w:r>
          </w:p>
        </w:tc>
        <w:tc>
          <w:tcPr>
            <w:tcW w:w="1930" w:type="dxa"/>
            <w:noWrap w:val="0"/>
            <w:vAlign w:val="center"/>
          </w:tcPr>
          <w:p w14:paraId="3092410C">
            <w:pPr>
              <w:rPr>
                <w:rFonts w:ascii="宋体" w:hAnsi="宋体"/>
                <w:color w:val="000000"/>
                <w:szCs w:val="21"/>
              </w:rPr>
            </w:pPr>
            <w:r>
              <w:rPr>
                <w:rFonts w:hint="eastAsia" w:ascii="宋体" w:hAnsi="宋体"/>
                <w:szCs w:val="21"/>
              </w:rPr>
              <w:t>AJH-3</w:t>
            </w:r>
          </w:p>
        </w:tc>
        <w:tc>
          <w:tcPr>
            <w:tcW w:w="633" w:type="dxa"/>
            <w:noWrap w:val="0"/>
            <w:vAlign w:val="center"/>
          </w:tcPr>
          <w:p w14:paraId="0F8CB1FB">
            <w:pPr>
              <w:jc w:val="center"/>
              <w:rPr>
                <w:rFonts w:hint="eastAsia" w:ascii="宋体" w:hAnsi="宋体"/>
                <w:color w:val="000000"/>
                <w:szCs w:val="21"/>
              </w:rPr>
            </w:pPr>
            <w:r>
              <w:rPr>
                <w:rFonts w:hint="eastAsia" w:ascii="宋体" w:hAnsi="宋体"/>
                <w:color w:val="000000"/>
                <w:szCs w:val="21"/>
              </w:rPr>
              <w:t>台</w:t>
            </w:r>
          </w:p>
        </w:tc>
        <w:tc>
          <w:tcPr>
            <w:tcW w:w="653" w:type="dxa"/>
            <w:noWrap w:val="0"/>
            <w:vAlign w:val="center"/>
          </w:tcPr>
          <w:p w14:paraId="1744A4A4">
            <w:pPr>
              <w:jc w:val="center"/>
              <w:rPr>
                <w:rFonts w:hint="eastAsia" w:ascii="宋体" w:hAnsi="宋体"/>
                <w:color w:val="000000"/>
                <w:szCs w:val="21"/>
              </w:rPr>
            </w:pPr>
            <w:r>
              <w:rPr>
                <w:rFonts w:hint="eastAsia" w:ascii="宋体" w:hAnsi="宋体"/>
                <w:color w:val="000000"/>
                <w:szCs w:val="21"/>
              </w:rPr>
              <w:t>2</w:t>
            </w:r>
          </w:p>
        </w:tc>
        <w:tc>
          <w:tcPr>
            <w:tcW w:w="2675" w:type="dxa"/>
            <w:noWrap w:val="0"/>
            <w:vAlign w:val="center"/>
          </w:tcPr>
          <w:p w14:paraId="00DDC843">
            <w:pPr>
              <w:rPr>
                <w:rFonts w:ascii="宋体" w:hAnsi="宋体"/>
                <w:color w:val="000000"/>
                <w:szCs w:val="21"/>
              </w:rPr>
            </w:pPr>
          </w:p>
        </w:tc>
      </w:tr>
      <w:tr w14:paraId="7F9FE5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4708AB53">
            <w:pPr>
              <w:rPr>
                <w:rFonts w:hint="eastAsia" w:ascii="宋体" w:hAnsi="宋体"/>
                <w:szCs w:val="21"/>
              </w:rPr>
            </w:pPr>
            <w:r>
              <w:rPr>
                <w:rFonts w:hint="eastAsia" w:ascii="宋体" w:hAnsi="宋体"/>
                <w:szCs w:val="21"/>
              </w:rPr>
              <w:t>7</w:t>
            </w:r>
          </w:p>
        </w:tc>
        <w:tc>
          <w:tcPr>
            <w:tcW w:w="2448" w:type="dxa"/>
            <w:noWrap w:val="0"/>
            <w:vAlign w:val="center"/>
          </w:tcPr>
          <w:p w14:paraId="346BCFC2">
            <w:pPr>
              <w:jc w:val="left"/>
              <w:rPr>
                <w:rFonts w:hint="eastAsia" w:ascii="宋体" w:hAnsi="宋体"/>
                <w:szCs w:val="21"/>
              </w:rPr>
            </w:pPr>
            <w:r>
              <w:rPr>
                <w:rFonts w:hint="eastAsia" w:ascii="宋体" w:hAnsi="宋体"/>
                <w:szCs w:val="21"/>
              </w:rPr>
              <w:t>CO检定器</w:t>
            </w:r>
          </w:p>
        </w:tc>
        <w:tc>
          <w:tcPr>
            <w:tcW w:w="1930" w:type="dxa"/>
            <w:noWrap w:val="0"/>
            <w:vAlign w:val="center"/>
          </w:tcPr>
          <w:p w14:paraId="6AE22B39">
            <w:pPr>
              <w:rPr>
                <w:rFonts w:ascii="宋体" w:hAnsi="宋体"/>
                <w:szCs w:val="21"/>
              </w:rPr>
            </w:pPr>
            <w:r>
              <w:rPr>
                <w:rFonts w:ascii="宋体" w:hAnsi="宋体"/>
                <w:szCs w:val="21"/>
              </w:rPr>
              <w:t>MYJ</w:t>
            </w:r>
            <w:r>
              <w:rPr>
                <w:rFonts w:hint="eastAsia" w:ascii="宋体" w:hAnsi="宋体"/>
                <w:szCs w:val="21"/>
              </w:rPr>
              <w:t>型</w:t>
            </w:r>
          </w:p>
        </w:tc>
        <w:tc>
          <w:tcPr>
            <w:tcW w:w="633" w:type="dxa"/>
            <w:noWrap w:val="0"/>
            <w:vAlign w:val="center"/>
          </w:tcPr>
          <w:p w14:paraId="642B92EC">
            <w:pPr>
              <w:jc w:val="center"/>
              <w:rPr>
                <w:rFonts w:hint="eastAsia" w:ascii="宋体" w:hAnsi="宋体"/>
                <w:szCs w:val="21"/>
              </w:rPr>
            </w:pPr>
            <w:r>
              <w:rPr>
                <w:rFonts w:hint="eastAsia" w:ascii="宋体" w:hAnsi="宋体"/>
                <w:szCs w:val="21"/>
              </w:rPr>
              <w:t>台</w:t>
            </w:r>
          </w:p>
        </w:tc>
        <w:tc>
          <w:tcPr>
            <w:tcW w:w="653" w:type="dxa"/>
            <w:noWrap w:val="0"/>
            <w:vAlign w:val="center"/>
          </w:tcPr>
          <w:p w14:paraId="7B92D2B7">
            <w:pPr>
              <w:jc w:val="center"/>
              <w:rPr>
                <w:rFonts w:hint="eastAsia" w:ascii="宋体" w:hAnsi="宋体"/>
                <w:szCs w:val="21"/>
              </w:rPr>
            </w:pPr>
            <w:r>
              <w:rPr>
                <w:rFonts w:hint="eastAsia" w:ascii="宋体" w:hAnsi="宋体"/>
                <w:szCs w:val="21"/>
              </w:rPr>
              <w:t>2</w:t>
            </w:r>
          </w:p>
        </w:tc>
        <w:tc>
          <w:tcPr>
            <w:tcW w:w="2675" w:type="dxa"/>
            <w:noWrap w:val="0"/>
            <w:vAlign w:val="center"/>
          </w:tcPr>
          <w:p w14:paraId="633A472B">
            <w:pPr>
              <w:rPr>
                <w:rFonts w:ascii="宋体" w:hAnsi="宋体"/>
                <w:szCs w:val="21"/>
              </w:rPr>
            </w:pPr>
          </w:p>
        </w:tc>
      </w:tr>
      <w:tr w14:paraId="20C4E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BECBD4C">
            <w:pPr>
              <w:rPr>
                <w:rFonts w:hint="eastAsia" w:ascii="宋体" w:hAnsi="宋体"/>
                <w:szCs w:val="21"/>
              </w:rPr>
            </w:pPr>
            <w:r>
              <w:rPr>
                <w:rFonts w:hint="eastAsia" w:ascii="宋体" w:hAnsi="宋体"/>
                <w:szCs w:val="21"/>
              </w:rPr>
              <w:t>8</w:t>
            </w:r>
          </w:p>
        </w:tc>
        <w:tc>
          <w:tcPr>
            <w:tcW w:w="2448" w:type="dxa"/>
            <w:noWrap w:val="0"/>
            <w:vAlign w:val="center"/>
          </w:tcPr>
          <w:p w14:paraId="0C356F57">
            <w:pPr>
              <w:jc w:val="left"/>
              <w:rPr>
                <w:rFonts w:ascii="宋体" w:hAnsi="宋体"/>
                <w:szCs w:val="21"/>
              </w:rPr>
            </w:pPr>
            <w:r>
              <w:rPr>
                <w:rFonts w:hint="eastAsia" w:ascii="宋体" w:hAnsi="宋体"/>
                <w:szCs w:val="21"/>
              </w:rPr>
              <w:t>瓦斯检定器</w:t>
            </w:r>
          </w:p>
        </w:tc>
        <w:tc>
          <w:tcPr>
            <w:tcW w:w="1930" w:type="dxa"/>
            <w:noWrap w:val="0"/>
            <w:vAlign w:val="center"/>
          </w:tcPr>
          <w:p w14:paraId="73CE613C">
            <w:pPr>
              <w:rPr>
                <w:rFonts w:hint="eastAsia" w:ascii="宋体" w:hAnsi="宋体"/>
                <w:szCs w:val="21"/>
              </w:rPr>
            </w:pPr>
            <w:r>
              <w:rPr>
                <w:rFonts w:hint="eastAsia" w:ascii="宋体" w:hAnsi="宋体"/>
                <w:szCs w:val="21"/>
              </w:rPr>
              <w:t>GWJ-1A、GWJ-2</w:t>
            </w:r>
          </w:p>
        </w:tc>
        <w:tc>
          <w:tcPr>
            <w:tcW w:w="633" w:type="dxa"/>
            <w:noWrap w:val="0"/>
            <w:vAlign w:val="center"/>
          </w:tcPr>
          <w:p w14:paraId="344D0EE7">
            <w:pPr>
              <w:jc w:val="center"/>
              <w:rPr>
                <w:rFonts w:hint="eastAsia" w:ascii="宋体" w:hAnsi="宋体"/>
                <w:szCs w:val="21"/>
              </w:rPr>
            </w:pPr>
            <w:r>
              <w:rPr>
                <w:rFonts w:hint="eastAsia" w:ascii="宋体" w:hAnsi="宋体"/>
                <w:szCs w:val="21"/>
              </w:rPr>
              <w:t>台</w:t>
            </w:r>
          </w:p>
        </w:tc>
        <w:tc>
          <w:tcPr>
            <w:tcW w:w="653" w:type="dxa"/>
            <w:noWrap w:val="0"/>
            <w:vAlign w:val="center"/>
          </w:tcPr>
          <w:p w14:paraId="6ABDC2D8">
            <w:pPr>
              <w:jc w:val="center"/>
              <w:rPr>
                <w:rFonts w:hint="eastAsia" w:ascii="宋体" w:hAnsi="宋体"/>
                <w:szCs w:val="21"/>
              </w:rPr>
            </w:pPr>
            <w:r>
              <w:rPr>
                <w:rFonts w:hint="eastAsia" w:ascii="宋体" w:hAnsi="宋体"/>
                <w:szCs w:val="21"/>
              </w:rPr>
              <w:t>2</w:t>
            </w:r>
          </w:p>
        </w:tc>
        <w:tc>
          <w:tcPr>
            <w:tcW w:w="2675" w:type="dxa"/>
            <w:noWrap w:val="0"/>
            <w:vAlign w:val="center"/>
          </w:tcPr>
          <w:p w14:paraId="6849F62A">
            <w:pPr>
              <w:rPr>
                <w:rFonts w:hint="eastAsia" w:ascii="宋体" w:hAnsi="宋体"/>
                <w:szCs w:val="21"/>
              </w:rPr>
            </w:pPr>
            <w:r>
              <w:rPr>
                <w:rFonts w:hint="eastAsia" w:ascii="宋体" w:hAnsi="宋体"/>
                <w:szCs w:val="21"/>
              </w:rPr>
              <w:t>（0-10%，0-100%）各1台</w:t>
            </w:r>
          </w:p>
        </w:tc>
      </w:tr>
      <w:tr w14:paraId="2E14B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2F6705A0">
            <w:pPr>
              <w:rPr>
                <w:rFonts w:hint="eastAsia" w:ascii="宋体" w:hAnsi="宋体"/>
                <w:szCs w:val="21"/>
              </w:rPr>
            </w:pPr>
            <w:r>
              <w:rPr>
                <w:rFonts w:hint="eastAsia" w:ascii="宋体" w:hAnsi="宋体"/>
                <w:szCs w:val="21"/>
              </w:rPr>
              <w:t>9</w:t>
            </w:r>
          </w:p>
        </w:tc>
        <w:tc>
          <w:tcPr>
            <w:tcW w:w="2448" w:type="dxa"/>
            <w:noWrap w:val="0"/>
            <w:vAlign w:val="center"/>
          </w:tcPr>
          <w:p w14:paraId="03717589">
            <w:pPr>
              <w:jc w:val="left"/>
              <w:rPr>
                <w:rFonts w:hint="eastAsia" w:ascii="宋体" w:hAnsi="宋体"/>
                <w:szCs w:val="21"/>
              </w:rPr>
            </w:pPr>
            <w:r>
              <w:rPr>
                <w:rFonts w:hint="eastAsia" w:ascii="宋体" w:hAnsi="宋体"/>
                <w:szCs w:val="21"/>
              </w:rPr>
              <w:t>防爆工具</w:t>
            </w:r>
          </w:p>
        </w:tc>
        <w:tc>
          <w:tcPr>
            <w:tcW w:w="1930" w:type="dxa"/>
            <w:noWrap w:val="0"/>
            <w:vAlign w:val="center"/>
          </w:tcPr>
          <w:p w14:paraId="218E9499">
            <w:pPr>
              <w:rPr>
                <w:rFonts w:ascii="宋体" w:hAnsi="宋体"/>
                <w:szCs w:val="21"/>
              </w:rPr>
            </w:pPr>
          </w:p>
        </w:tc>
        <w:tc>
          <w:tcPr>
            <w:tcW w:w="633" w:type="dxa"/>
            <w:noWrap w:val="0"/>
            <w:vAlign w:val="center"/>
          </w:tcPr>
          <w:p w14:paraId="4DB79A5A">
            <w:pPr>
              <w:jc w:val="center"/>
              <w:rPr>
                <w:rFonts w:hint="eastAsia" w:ascii="宋体" w:hAnsi="宋体"/>
                <w:szCs w:val="21"/>
              </w:rPr>
            </w:pPr>
            <w:r>
              <w:rPr>
                <w:rFonts w:hint="eastAsia" w:ascii="宋体" w:hAnsi="宋体"/>
                <w:szCs w:val="21"/>
              </w:rPr>
              <w:t>套</w:t>
            </w:r>
          </w:p>
        </w:tc>
        <w:tc>
          <w:tcPr>
            <w:tcW w:w="653" w:type="dxa"/>
            <w:noWrap w:val="0"/>
            <w:vAlign w:val="center"/>
          </w:tcPr>
          <w:p w14:paraId="34919E79">
            <w:pPr>
              <w:jc w:val="center"/>
              <w:rPr>
                <w:rFonts w:hint="eastAsia" w:ascii="宋体" w:hAnsi="宋体"/>
                <w:szCs w:val="21"/>
              </w:rPr>
            </w:pPr>
            <w:r>
              <w:rPr>
                <w:rFonts w:hint="eastAsia" w:ascii="宋体" w:hAnsi="宋体"/>
                <w:szCs w:val="21"/>
              </w:rPr>
              <w:t>1</w:t>
            </w:r>
          </w:p>
        </w:tc>
        <w:tc>
          <w:tcPr>
            <w:tcW w:w="2675" w:type="dxa"/>
            <w:noWrap w:val="0"/>
            <w:vAlign w:val="center"/>
          </w:tcPr>
          <w:p w14:paraId="66BAC8F5">
            <w:pPr>
              <w:rPr>
                <w:rFonts w:hint="eastAsia" w:ascii="宋体" w:hAnsi="宋体"/>
                <w:szCs w:val="21"/>
              </w:rPr>
            </w:pPr>
            <w:r>
              <w:rPr>
                <w:rFonts w:hint="eastAsia" w:ascii="宋体" w:hAnsi="宋体"/>
                <w:szCs w:val="21"/>
              </w:rPr>
              <w:t>锤.钎.锹.镐等</w:t>
            </w:r>
          </w:p>
        </w:tc>
      </w:tr>
      <w:tr w14:paraId="61A5D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4979806F">
            <w:pPr>
              <w:rPr>
                <w:rFonts w:hint="eastAsia" w:ascii="宋体" w:hAnsi="宋体"/>
                <w:szCs w:val="21"/>
              </w:rPr>
            </w:pPr>
            <w:r>
              <w:rPr>
                <w:rFonts w:hint="eastAsia" w:ascii="宋体" w:hAnsi="宋体"/>
                <w:szCs w:val="21"/>
              </w:rPr>
              <w:t>10</w:t>
            </w:r>
          </w:p>
        </w:tc>
        <w:tc>
          <w:tcPr>
            <w:tcW w:w="2448" w:type="dxa"/>
            <w:noWrap w:val="0"/>
            <w:vAlign w:val="center"/>
          </w:tcPr>
          <w:p w14:paraId="6B82DF2B">
            <w:pPr>
              <w:jc w:val="left"/>
              <w:rPr>
                <w:rFonts w:hint="eastAsia" w:ascii="宋体" w:hAnsi="宋体"/>
                <w:szCs w:val="21"/>
              </w:rPr>
            </w:pPr>
            <w:r>
              <w:rPr>
                <w:rFonts w:hint="eastAsia" w:ascii="宋体" w:hAnsi="宋体"/>
                <w:szCs w:val="21"/>
              </w:rPr>
              <w:t>两用锹</w:t>
            </w:r>
          </w:p>
        </w:tc>
        <w:tc>
          <w:tcPr>
            <w:tcW w:w="1930" w:type="dxa"/>
            <w:noWrap w:val="0"/>
            <w:vAlign w:val="center"/>
          </w:tcPr>
          <w:p w14:paraId="1251DBF8">
            <w:pPr>
              <w:rPr>
                <w:rFonts w:ascii="宋体" w:hAnsi="宋体"/>
                <w:szCs w:val="21"/>
              </w:rPr>
            </w:pPr>
          </w:p>
        </w:tc>
        <w:tc>
          <w:tcPr>
            <w:tcW w:w="633" w:type="dxa"/>
            <w:noWrap w:val="0"/>
            <w:vAlign w:val="center"/>
          </w:tcPr>
          <w:p w14:paraId="03F7C809">
            <w:pPr>
              <w:jc w:val="center"/>
              <w:rPr>
                <w:rFonts w:hint="eastAsia" w:ascii="宋体" w:hAnsi="宋体"/>
                <w:szCs w:val="21"/>
              </w:rPr>
            </w:pPr>
            <w:r>
              <w:rPr>
                <w:rFonts w:hint="eastAsia" w:ascii="宋体" w:hAnsi="宋体"/>
                <w:szCs w:val="21"/>
              </w:rPr>
              <w:t>把</w:t>
            </w:r>
          </w:p>
        </w:tc>
        <w:tc>
          <w:tcPr>
            <w:tcW w:w="653" w:type="dxa"/>
            <w:noWrap w:val="0"/>
            <w:vAlign w:val="center"/>
          </w:tcPr>
          <w:p w14:paraId="510A4AC4">
            <w:pPr>
              <w:jc w:val="center"/>
              <w:rPr>
                <w:rFonts w:hint="eastAsia" w:ascii="宋体" w:hAnsi="宋体"/>
                <w:szCs w:val="21"/>
              </w:rPr>
            </w:pPr>
            <w:r>
              <w:rPr>
                <w:rFonts w:hint="eastAsia" w:ascii="宋体" w:hAnsi="宋体"/>
                <w:szCs w:val="21"/>
              </w:rPr>
              <w:t>2</w:t>
            </w:r>
          </w:p>
        </w:tc>
        <w:tc>
          <w:tcPr>
            <w:tcW w:w="2675" w:type="dxa"/>
            <w:noWrap w:val="0"/>
            <w:vAlign w:val="center"/>
          </w:tcPr>
          <w:p w14:paraId="250ACAF8">
            <w:pPr>
              <w:rPr>
                <w:rFonts w:ascii="宋体" w:hAnsi="宋体"/>
                <w:szCs w:val="21"/>
              </w:rPr>
            </w:pPr>
          </w:p>
        </w:tc>
      </w:tr>
      <w:tr w14:paraId="732EC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4927819F">
            <w:pPr>
              <w:rPr>
                <w:rFonts w:hint="eastAsia" w:ascii="宋体" w:hAnsi="宋体"/>
                <w:szCs w:val="21"/>
              </w:rPr>
            </w:pPr>
            <w:r>
              <w:rPr>
                <w:rFonts w:hint="eastAsia" w:ascii="宋体" w:hAnsi="宋体"/>
                <w:szCs w:val="21"/>
              </w:rPr>
              <w:t>11</w:t>
            </w:r>
          </w:p>
        </w:tc>
        <w:tc>
          <w:tcPr>
            <w:tcW w:w="2448" w:type="dxa"/>
            <w:noWrap w:val="0"/>
            <w:vAlign w:val="center"/>
          </w:tcPr>
          <w:p w14:paraId="025718CA">
            <w:pPr>
              <w:jc w:val="left"/>
              <w:rPr>
                <w:rFonts w:hint="eastAsia" w:ascii="宋体" w:hAnsi="宋体"/>
                <w:szCs w:val="21"/>
              </w:rPr>
            </w:pPr>
            <w:r>
              <w:rPr>
                <w:rFonts w:hint="eastAsia" w:ascii="宋体" w:hAnsi="宋体"/>
                <w:szCs w:val="21"/>
              </w:rPr>
              <w:t>氧气充填泵</w:t>
            </w:r>
          </w:p>
        </w:tc>
        <w:tc>
          <w:tcPr>
            <w:tcW w:w="1930" w:type="dxa"/>
            <w:noWrap w:val="0"/>
            <w:vAlign w:val="center"/>
          </w:tcPr>
          <w:p w14:paraId="32C18AB4">
            <w:pPr>
              <w:rPr>
                <w:rFonts w:ascii="宋体" w:hAnsi="宋体"/>
                <w:szCs w:val="21"/>
              </w:rPr>
            </w:pPr>
            <w:r>
              <w:rPr>
                <w:rFonts w:hint="eastAsia" w:ascii="宋体" w:hAnsi="宋体"/>
                <w:szCs w:val="21"/>
              </w:rPr>
              <w:t>CT-250</w:t>
            </w:r>
          </w:p>
        </w:tc>
        <w:tc>
          <w:tcPr>
            <w:tcW w:w="633" w:type="dxa"/>
            <w:noWrap w:val="0"/>
            <w:vAlign w:val="center"/>
          </w:tcPr>
          <w:p w14:paraId="7B94688E">
            <w:pPr>
              <w:jc w:val="center"/>
              <w:rPr>
                <w:rFonts w:hint="eastAsia" w:ascii="宋体" w:hAnsi="宋体"/>
                <w:szCs w:val="21"/>
              </w:rPr>
            </w:pPr>
            <w:r>
              <w:rPr>
                <w:rFonts w:hint="eastAsia" w:ascii="宋体" w:hAnsi="宋体"/>
                <w:szCs w:val="21"/>
              </w:rPr>
              <w:t>台</w:t>
            </w:r>
          </w:p>
        </w:tc>
        <w:tc>
          <w:tcPr>
            <w:tcW w:w="653" w:type="dxa"/>
            <w:noWrap w:val="0"/>
            <w:vAlign w:val="center"/>
          </w:tcPr>
          <w:p w14:paraId="5986D31E">
            <w:pPr>
              <w:jc w:val="center"/>
              <w:rPr>
                <w:rFonts w:hint="eastAsia" w:ascii="宋体" w:hAnsi="宋体"/>
                <w:szCs w:val="21"/>
              </w:rPr>
            </w:pPr>
            <w:r>
              <w:rPr>
                <w:rFonts w:hint="eastAsia" w:ascii="宋体" w:hAnsi="宋体"/>
                <w:szCs w:val="21"/>
              </w:rPr>
              <w:t>1</w:t>
            </w:r>
          </w:p>
        </w:tc>
        <w:tc>
          <w:tcPr>
            <w:tcW w:w="2675" w:type="dxa"/>
            <w:noWrap w:val="0"/>
            <w:vAlign w:val="center"/>
          </w:tcPr>
          <w:p w14:paraId="2D9DDF55">
            <w:pPr>
              <w:rPr>
                <w:rFonts w:ascii="宋体" w:hAnsi="宋体"/>
                <w:szCs w:val="21"/>
              </w:rPr>
            </w:pPr>
          </w:p>
        </w:tc>
      </w:tr>
      <w:tr w14:paraId="2B22B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48111D04">
            <w:pPr>
              <w:rPr>
                <w:rFonts w:hint="eastAsia" w:ascii="宋体" w:hAnsi="宋体"/>
                <w:szCs w:val="21"/>
              </w:rPr>
            </w:pPr>
            <w:r>
              <w:rPr>
                <w:rFonts w:hint="eastAsia" w:ascii="宋体" w:hAnsi="宋体"/>
                <w:szCs w:val="21"/>
              </w:rPr>
              <w:t>12</w:t>
            </w:r>
          </w:p>
        </w:tc>
        <w:tc>
          <w:tcPr>
            <w:tcW w:w="2448" w:type="dxa"/>
            <w:noWrap w:val="0"/>
            <w:vAlign w:val="center"/>
          </w:tcPr>
          <w:p w14:paraId="149B20F4">
            <w:pPr>
              <w:jc w:val="left"/>
              <w:rPr>
                <w:rFonts w:hint="eastAsia" w:ascii="宋体" w:hAnsi="宋体"/>
                <w:szCs w:val="21"/>
              </w:rPr>
            </w:pPr>
            <w:r>
              <w:rPr>
                <w:rFonts w:hint="eastAsia" w:ascii="宋体" w:hAnsi="宋体"/>
                <w:szCs w:val="21"/>
              </w:rPr>
              <w:t>氧气瓶</w:t>
            </w:r>
          </w:p>
        </w:tc>
        <w:tc>
          <w:tcPr>
            <w:tcW w:w="1930" w:type="dxa"/>
            <w:noWrap w:val="0"/>
            <w:vAlign w:val="center"/>
          </w:tcPr>
          <w:p w14:paraId="286F459F">
            <w:pPr>
              <w:rPr>
                <w:rFonts w:hint="eastAsia" w:ascii="宋体" w:hAnsi="宋体"/>
                <w:szCs w:val="21"/>
              </w:rPr>
            </w:pPr>
            <w:r>
              <w:rPr>
                <w:rFonts w:hint="eastAsia" w:ascii="宋体" w:hAnsi="宋体"/>
                <w:szCs w:val="21"/>
              </w:rPr>
              <w:t>40L</w:t>
            </w:r>
          </w:p>
        </w:tc>
        <w:tc>
          <w:tcPr>
            <w:tcW w:w="633" w:type="dxa"/>
            <w:noWrap w:val="0"/>
            <w:vAlign w:val="center"/>
          </w:tcPr>
          <w:p w14:paraId="73AB2C5A">
            <w:pPr>
              <w:jc w:val="center"/>
              <w:rPr>
                <w:rFonts w:hint="eastAsia" w:ascii="宋体" w:hAnsi="宋体"/>
                <w:szCs w:val="21"/>
              </w:rPr>
            </w:pPr>
            <w:r>
              <w:rPr>
                <w:rFonts w:hint="eastAsia" w:ascii="宋体" w:hAnsi="宋体"/>
                <w:szCs w:val="21"/>
              </w:rPr>
              <w:t>个</w:t>
            </w:r>
          </w:p>
        </w:tc>
        <w:tc>
          <w:tcPr>
            <w:tcW w:w="653" w:type="dxa"/>
            <w:noWrap w:val="0"/>
            <w:vAlign w:val="center"/>
          </w:tcPr>
          <w:p w14:paraId="36421923">
            <w:pPr>
              <w:jc w:val="center"/>
              <w:rPr>
                <w:rFonts w:hint="eastAsia" w:ascii="宋体" w:hAnsi="宋体"/>
                <w:szCs w:val="21"/>
              </w:rPr>
            </w:pPr>
            <w:r>
              <w:rPr>
                <w:rFonts w:hint="eastAsia" w:ascii="宋体" w:hAnsi="宋体"/>
                <w:szCs w:val="21"/>
              </w:rPr>
              <w:t>5</w:t>
            </w:r>
          </w:p>
        </w:tc>
        <w:tc>
          <w:tcPr>
            <w:tcW w:w="2675" w:type="dxa"/>
            <w:noWrap w:val="0"/>
            <w:vAlign w:val="center"/>
          </w:tcPr>
          <w:p w14:paraId="619622D2">
            <w:pPr>
              <w:rPr>
                <w:rFonts w:ascii="宋体" w:hAnsi="宋体"/>
                <w:szCs w:val="21"/>
              </w:rPr>
            </w:pPr>
          </w:p>
        </w:tc>
      </w:tr>
      <w:tr w14:paraId="4C175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286A85C">
            <w:pPr>
              <w:rPr>
                <w:rFonts w:hint="eastAsia" w:ascii="宋体" w:hAnsi="宋体"/>
                <w:szCs w:val="21"/>
              </w:rPr>
            </w:pPr>
            <w:r>
              <w:rPr>
                <w:rFonts w:hint="eastAsia" w:ascii="宋体" w:hAnsi="宋体"/>
                <w:szCs w:val="21"/>
              </w:rPr>
              <w:t>13</w:t>
            </w:r>
          </w:p>
        </w:tc>
        <w:tc>
          <w:tcPr>
            <w:tcW w:w="2448" w:type="dxa"/>
            <w:noWrap w:val="0"/>
            <w:vAlign w:val="center"/>
          </w:tcPr>
          <w:p w14:paraId="5005950C">
            <w:pPr>
              <w:jc w:val="left"/>
              <w:rPr>
                <w:rFonts w:ascii="宋体" w:hAnsi="宋体"/>
                <w:szCs w:val="21"/>
              </w:rPr>
            </w:pPr>
            <w:r>
              <w:rPr>
                <w:rFonts w:hint="eastAsia" w:ascii="宋体" w:hAnsi="宋体"/>
                <w:szCs w:val="21"/>
              </w:rPr>
              <w:t>氧气瓶</w:t>
            </w:r>
          </w:p>
        </w:tc>
        <w:tc>
          <w:tcPr>
            <w:tcW w:w="1930" w:type="dxa"/>
            <w:noWrap w:val="0"/>
            <w:vAlign w:val="center"/>
          </w:tcPr>
          <w:p w14:paraId="28FD1DB9">
            <w:pPr>
              <w:rPr>
                <w:rFonts w:hint="eastAsia" w:ascii="宋体" w:hAnsi="宋体"/>
                <w:szCs w:val="21"/>
              </w:rPr>
            </w:pPr>
            <w:r>
              <w:rPr>
                <w:rFonts w:hint="eastAsia" w:ascii="宋体" w:hAnsi="宋体"/>
                <w:szCs w:val="21"/>
              </w:rPr>
              <w:t>2L</w:t>
            </w:r>
          </w:p>
        </w:tc>
        <w:tc>
          <w:tcPr>
            <w:tcW w:w="633" w:type="dxa"/>
            <w:noWrap w:val="0"/>
            <w:vAlign w:val="center"/>
          </w:tcPr>
          <w:p w14:paraId="39561E76">
            <w:pPr>
              <w:jc w:val="center"/>
              <w:rPr>
                <w:rFonts w:hint="eastAsia" w:ascii="宋体" w:hAnsi="宋体"/>
                <w:szCs w:val="21"/>
              </w:rPr>
            </w:pPr>
            <w:r>
              <w:rPr>
                <w:rFonts w:hint="eastAsia" w:ascii="宋体" w:hAnsi="宋体"/>
                <w:szCs w:val="21"/>
              </w:rPr>
              <w:t>个</w:t>
            </w:r>
          </w:p>
        </w:tc>
        <w:tc>
          <w:tcPr>
            <w:tcW w:w="653" w:type="dxa"/>
            <w:noWrap w:val="0"/>
            <w:vAlign w:val="center"/>
          </w:tcPr>
          <w:p w14:paraId="2CC955C9">
            <w:pPr>
              <w:jc w:val="center"/>
              <w:rPr>
                <w:rFonts w:hint="eastAsia" w:ascii="宋体" w:hAnsi="宋体"/>
                <w:szCs w:val="21"/>
              </w:rPr>
            </w:pPr>
            <w:r>
              <w:rPr>
                <w:rFonts w:hint="eastAsia" w:ascii="宋体" w:hAnsi="宋体"/>
                <w:szCs w:val="21"/>
              </w:rPr>
              <w:t>10</w:t>
            </w:r>
          </w:p>
        </w:tc>
        <w:tc>
          <w:tcPr>
            <w:tcW w:w="2675" w:type="dxa"/>
            <w:noWrap w:val="0"/>
            <w:vAlign w:val="center"/>
          </w:tcPr>
          <w:p w14:paraId="33E57105">
            <w:pPr>
              <w:rPr>
                <w:rFonts w:ascii="宋体" w:hAnsi="宋体"/>
                <w:szCs w:val="21"/>
              </w:rPr>
            </w:pPr>
          </w:p>
        </w:tc>
      </w:tr>
      <w:tr w14:paraId="0D5A6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20FDEDFC">
            <w:pPr>
              <w:rPr>
                <w:rFonts w:hint="eastAsia" w:ascii="宋体" w:hAnsi="宋体"/>
                <w:szCs w:val="21"/>
              </w:rPr>
            </w:pPr>
            <w:r>
              <w:rPr>
                <w:rFonts w:hint="eastAsia" w:ascii="宋体" w:hAnsi="宋体"/>
                <w:szCs w:val="21"/>
              </w:rPr>
              <w:t>14</w:t>
            </w:r>
          </w:p>
        </w:tc>
        <w:tc>
          <w:tcPr>
            <w:tcW w:w="2448" w:type="dxa"/>
            <w:noWrap w:val="0"/>
            <w:vAlign w:val="center"/>
          </w:tcPr>
          <w:p w14:paraId="5A48A0B5">
            <w:pPr>
              <w:jc w:val="left"/>
              <w:rPr>
                <w:rFonts w:ascii="宋体" w:hAnsi="宋体"/>
                <w:szCs w:val="21"/>
              </w:rPr>
            </w:pPr>
            <w:r>
              <w:rPr>
                <w:rFonts w:hint="eastAsia" w:ascii="宋体" w:hAnsi="宋体"/>
                <w:szCs w:val="21"/>
              </w:rPr>
              <w:t>氧气瓶</w:t>
            </w:r>
          </w:p>
        </w:tc>
        <w:tc>
          <w:tcPr>
            <w:tcW w:w="1930" w:type="dxa"/>
            <w:noWrap w:val="0"/>
            <w:vAlign w:val="center"/>
          </w:tcPr>
          <w:p w14:paraId="4C352D38">
            <w:pPr>
              <w:rPr>
                <w:rFonts w:hint="eastAsia" w:ascii="宋体" w:hAnsi="宋体"/>
                <w:szCs w:val="21"/>
              </w:rPr>
            </w:pPr>
            <w:r>
              <w:rPr>
                <w:rFonts w:hint="eastAsia" w:ascii="宋体" w:hAnsi="宋体"/>
                <w:szCs w:val="21"/>
              </w:rPr>
              <w:t>1L</w:t>
            </w:r>
          </w:p>
        </w:tc>
        <w:tc>
          <w:tcPr>
            <w:tcW w:w="633" w:type="dxa"/>
            <w:noWrap w:val="0"/>
            <w:vAlign w:val="center"/>
          </w:tcPr>
          <w:p w14:paraId="0B01D27A">
            <w:pPr>
              <w:jc w:val="center"/>
              <w:rPr>
                <w:rFonts w:hint="eastAsia" w:ascii="宋体" w:hAnsi="宋体"/>
                <w:szCs w:val="21"/>
              </w:rPr>
            </w:pPr>
            <w:r>
              <w:rPr>
                <w:rFonts w:hint="eastAsia" w:ascii="宋体" w:hAnsi="宋体"/>
                <w:szCs w:val="21"/>
              </w:rPr>
              <w:t>个</w:t>
            </w:r>
          </w:p>
        </w:tc>
        <w:tc>
          <w:tcPr>
            <w:tcW w:w="653" w:type="dxa"/>
            <w:noWrap w:val="0"/>
            <w:vAlign w:val="center"/>
          </w:tcPr>
          <w:p w14:paraId="72DA43C3">
            <w:pPr>
              <w:jc w:val="center"/>
              <w:rPr>
                <w:rFonts w:hint="eastAsia" w:ascii="宋体" w:hAnsi="宋体"/>
                <w:szCs w:val="21"/>
              </w:rPr>
            </w:pPr>
            <w:r>
              <w:rPr>
                <w:rFonts w:hint="eastAsia" w:ascii="宋体" w:hAnsi="宋体"/>
                <w:szCs w:val="21"/>
              </w:rPr>
              <w:t>10</w:t>
            </w:r>
          </w:p>
        </w:tc>
        <w:tc>
          <w:tcPr>
            <w:tcW w:w="2675" w:type="dxa"/>
            <w:noWrap w:val="0"/>
            <w:vAlign w:val="center"/>
          </w:tcPr>
          <w:p w14:paraId="79B93625">
            <w:pPr>
              <w:rPr>
                <w:rFonts w:ascii="宋体" w:hAnsi="宋体"/>
                <w:szCs w:val="21"/>
              </w:rPr>
            </w:pPr>
          </w:p>
        </w:tc>
      </w:tr>
      <w:tr w14:paraId="18664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2335CDB3">
            <w:pPr>
              <w:rPr>
                <w:rFonts w:hint="eastAsia" w:ascii="宋体" w:hAnsi="宋体"/>
                <w:szCs w:val="21"/>
              </w:rPr>
            </w:pPr>
            <w:r>
              <w:rPr>
                <w:rFonts w:hint="eastAsia" w:ascii="宋体" w:hAnsi="宋体"/>
                <w:szCs w:val="21"/>
              </w:rPr>
              <w:t>15</w:t>
            </w:r>
          </w:p>
        </w:tc>
        <w:tc>
          <w:tcPr>
            <w:tcW w:w="2448" w:type="dxa"/>
            <w:noWrap w:val="0"/>
            <w:vAlign w:val="center"/>
          </w:tcPr>
          <w:p w14:paraId="444F4D64">
            <w:pPr>
              <w:jc w:val="left"/>
              <w:rPr>
                <w:rFonts w:hint="eastAsia" w:ascii="宋体" w:hAnsi="宋体"/>
                <w:szCs w:val="21"/>
              </w:rPr>
            </w:pPr>
            <w:r>
              <w:rPr>
                <w:rFonts w:hint="eastAsia" w:ascii="宋体" w:hAnsi="宋体"/>
                <w:szCs w:val="21"/>
              </w:rPr>
              <w:t>大绳</w:t>
            </w:r>
          </w:p>
        </w:tc>
        <w:tc>
          <w:tcPr>
            <w:tcW w:w="1930" w:type="dxa"/>
            <w:noWrap w:val="0"/>
            <w:vAlign w:val="center"/>
          </w:tcPr>
          <w:p w14:paraId="0A08D70D">
            <w:pPr>
              <w:rPr>
                <w:rFonts w:ascii="宋体" w:hAnsi="宋体"/>
                <w:szCs w:val="21"/>
              </w:rPr>
            </w:pPr>
          </w:p>
        </w:tc>
        <w:tc>
          <w:tcPr>
            <w:tcW w:w="633" w:type="dxa"/>
            <w:noWrap w:val="0"/>
            <w:vAlign w:val="center"/>
          </w:tcPr>
          <w:p w14:paraId="5D130861">
            <w:pPr>
              <w:jc w:val="center"/>
              <w:rPr>
                <w:rFonts w:hint="eastAsia" w:ascii="宋体" w:hAnsi="宋体"/>
                <w:szCs w:val="21"/>
              </w:rPr>
            </w:pPr>
            <w:r>
              <w:rPr>
                <w:rFonts w:hint="eastAsia" w:ascii="宋体" w:hAnsi="宋体"/>
                <w:szCs w:val="21"/>
              </w:rPr>
              <w:t>根</w:t>
            </w:r>
          </w:p>
        </w:tc>
        <w:tc>
          <w:tcPr>
            <w:tcW w:w="653" w:type="dxa"/>
            <w:noWrap w:val="0"/>
            <w:vAlign w:val="center"/>
          </w:tcPr>
          <w:p w14:paraId="2B0E631F">
            <w:pPr>
              <w:jc w:val="center"/>
              <w:rPr>
                <w:rFonts w:hint="eastAsia" w:ascii="宋体" w:hAnsi="宋体"/>
                <w:szCs w:val="21"/>
              </w:rPr>
            </w:pPr>
            <w:r>
              <w:rPr>
                <w:rFonts w:hint="eastAsia" w:ascii="宋体" w:hAnsi="宋体"/>
                <w:szCs w:val="21"/>
              </w:rPr>
              <w:t>1</w:t>
            </w:r>
          </w:p>
        </w:tc>
        <w:tc>
          <w:tcPr>
            <w:tcW w:w="2675" w:type="dxa"/>
            <w:noWrap w:val="0"/>
            <w:vAlign w:val="center"/>
          </w:tcPr>
          <w:p w14:paraId="71F986E9">
            <w:pPr>
              <w:rPr>
                <w:rFonts w:ascii="宋体" w:hAnsi="宋体"/>
                <w:szCs w:val="21"/>
              </w:rPr>
            </w:pPr>
          </w:p>
        </w:tc>
      </w:tr>
      <w:tr w14:paraId="6795E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3A306317">
            <w:pPr>
              <w:rPr>
                <w:rFonts w:hint="eastAsia" w:ascii="宋体" w:hAnsi="宋体"/>
                <w:szCs w:val="21"/>
              </w:rPr>
            </w:pPr>
            <w:r>
              <w:rPr>
                <w:rFonts w:hint="eastAsia" w:ascii="宋体" w:hAnsi="宋体"/>
                <w:szCs w:val="21"/>
              </w:rPr>
              <w:t>16</w:t>
            </w:r>
          </w:p>
        </w:tc>
        <w:tc>
          <w:tcPr>
            <w:tcW w:w="2448" w:type="dxa"/>
            <w:noWrap w:val="0"/>
            <w:vAlign w:val="center"/>
          </w:tcPr>
          <w:p w14:paraId="4DBC72A1">
            <w:pPr>
              <w:jc w:val="left"/>
              <w:rPr>
                <w:rFonts w:hint="eastAsia" w:ascii="宋体" w:hAnsi="宋体"/>
                <w:szCs w:val="21"/>
              </w:rPr>
            </w:pPr>
            <w:r>
              <w:rPr>
                <w:rFonts w:hint="eastAsia" w:ascii="宋体" w:hAnsi="宋体"/>
                <w:szCs w:val="21"/>
              </w:rPr>
              <w:t>担架</w:t>
            </w:r>
          </w:p>
        </w:tc>
        <w:tc>
          <w:tcPr>
            <w:tcW w:w="1930" w:type="dxa"/>
            <w:noWrap w:val="0"/>
            <w:vAlign w:val="center"/>
          </w:tcPr>
          <w:p w14:paraId="313B6755">
            <w:pPr>
              <w:rPr>
                <w:rFonts w:ascii="宋体" w:hAnsi="宋体"/>
                <w:szCs w:val="21"/>
              </w:rPr>
            </w:pPr>
          </w:p>
        </w:tc>
        <w:tc>
          <w:tcPr>
            <w:tcW w:w="633" w:type="dxa"/>
            <w:noWrap w:val="0"/>
            <w:vAlign w:val="center"/>
          </w:tcPr>
          <w:p w14:paraId="2DEFF23C">
            <w:pPr>
              <w:jc w:val="center"/>
              <w:rPr>
                <w:rFonts w:hint="eastAsia" w:ascii="宋体" w:hAnsi="宋体"/>
                <w:szCs w:val="21"/>
              </w:rPr>
            </w:pPr>
            <w:r>
              <w:rPr>
                <w:rFonts w:hint="eastAsia" w:ascii="宋体" w:hAnsi="宋体"/>
                <w:szCs w:val="21"/>
              </w:rPr>
              <w:t>付</w:t>
            </w:r>
          </w:p>
        </w:tc>
        <w:tc>
          <w:tcPr>
            <w:tcW w:w="653" w:type="dxa"/>
            <w:noWrap w:val="0"/>
            <w:vAlign w:val="center"/>
          </w:tcPr>
          <w:p w14:paraId="27F8F0C5">
            <w:pPr>
              <w:jc w:val="center"/>
              <w:rPr>
                <w:rFonts w:hint="eastAsia" w:ascii="宋体" w:hAnsi="宋体"/>
                <w:szCs w:val="21"/>
              </w:rPr>
            </w:pPr>
            <w:r>
              <w:rPr>
                <w:rFonts w:hint="eastAsia" w:ascii="宋体" w:hAnsi="宋体"/>
                <w:szCs w:val="21"/>
              </w:rPr>
              <w:t>1</w:t>
            </w:r>
          </w:p>
        </w:tc>
        <w:tc>
          <w:tcPr>
            <w:tcW w:w="2675" w:type="dxa"/>
            <w:noWrap w:val="0"/>
            <w:vAlign w:val="center"/>
          </w:tcPr>
          <w:p w14:paraId="32D4EAD0">
            <w:pPr>
              <w:rPr>
                <w:rFonts w:ascii="宋体" w:hAnsi="宋体"/>
                <w:szCs w:val="21"/>
              </w:rPr>
            </w:pPr>
          </w:p>
        </w:tc>
      </w:tr>
      <w:tr w14:paraId="4062D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CC24379">
            <w:pPr>
              <w:rPr>
                <w:rFonts w:hint="eastAsia" w:ascii="宋体" w:hAnsi="宋体"/>
                <w:szCs w:val="21"/>
              </w:rPr>
            </w:pPr>
            <w:r>
              <w:rPr>
                <w:rFonts w:hint="eastAsia" w:ascii="宋体" w:hAnsi="宋体"/>
                <w:szCs w:val="21"/>
              </w:rPr>
              <w:t>17</w:t>
            </w:r>
          </w:p>
        </w:tc>
        <w:tc>
          <w:tcPr>
            <w:tcW w:w="2448" w:type="dxa"/>
            <w:noWrap w:val="0"/>
            <w:vAlign w:val="center"/>
          </w:tcPr>
          <w:p w14:paraId="1E3432D6">
            <w:pPr>
              <w:jc w:val="left"/>
              <w:rPr>
                <w:rFonts w:hint="eastAsia" w:ascii="宋体" w:hAnsi="宋体"/>
                <w:szCs w:val="21"/>
              </w:rPr>
            </w:pPr>
            <w:r>
              <w:rPr>
                <w:rFonts w:hint="eastAsia" w:ascii="宋体" w:hAnsi="宋体"/>
                <w:szCs w:val="21"/>
              </w:rPr>
              <w:t>保温毯</w:t>
            </w:r>
          </w:p>
        </w:tc>
        <w:tc>
          <w:tcPr>
            <w:tcW w:w="1930" w:type="dxa"/>
            <w:noWrap w:val="0"/>
            <w:vAlign w:val="center"/>
          </w:tcPr>
          <w:p w14:paraId="0540A60D">
            <w:pPr>
              <w:rPr>
                <w:rFonts w:hint="eastAsia" w:ascii="宋体" w:hAnsi="宋体"/>
                <w:szCs w:val="21"/>
              </w:rPr>
            </w:pPr>
            <w:r>
              <w:rPr>
                <w:rFonts w:hint="eastAsia" w:ascii="宋体" w:hAnsi="宋体"/>
                <w:szCs w:val="21"/>
              </w:rPr>
              <w:t>棉织</w:t>
            </w:r>
          </w:p>
        </w:tc>
        <w:tc>
          <w:tcPr>
            <w:tcW w:w="633" w:type="dxa"/>
            <w:noWrap w:val="0"/>
            <w:vAlign w:val="center"/>
          </w:tcPr>
          <w:p w14:paraId="1A88289F">
            <w:pPr>
              <w:jc w:val="center"/>
              <w:rPr>
                <w:rFonts w:hint="eastAsia" w:ascii="宋体" w:hAnsi="宋体"/>
                <w:szCs w:val="21"/>
              </w:rPr>
            </w:pPr>
            <w:r>
              <w:rPr>
                <w:rFonts w:hint="eastAsia" w:ascii="宋体" w:hAnsi="宋体"/>
                <w:szCs w:val="21"/>
              </w:rPr>
              <w:t>条</w:t>
            </w:r>
          </w:p>
        </w:tc>
        <w:tc>
          <w:tcPr>
            <w:tcW w:w="653" w:type="dxa"/>
            <w:noWrap w:val="0"/>
            <w:vAlign w:val="center"/>
          </w:tcPr>
          <w:p w14:paraId="3A8BCEF8">
            <w:pPr>
              <w:jc w:val="center"/>
              <w:rPr>
                <w:rFonts w:hint="eastAsia" w:ascii="宋体" w:hAnsi="宋体"/>
                <w:szCs w:val="21"/>
              </w:rPr>
            </w:pPr>
            <w:r>
              <w:rPr>
                <w:rFonts w:hint="eastAsia" w:ascii="宋体" w:hAnsi="宋体"/>
                <w:szCs w:val="21"/>
              </w:rPr>
              <w:t>2</w:t>
            </w:r>
          </w:p>
        </w:tc>
        <w:tc>
          <w:tcPr>
            <w:tcW w:w="2675" w:type="dxa"/>
            <w:noWrap w:val="0"/>
            <w:vAlign w:val="center"/>
          </w:tcPr>
          <w:p w14:paraId="5A094C9B">
            <w:pPr>
              <w:rPr>
                <w:rFonts w:ascii="宋体" w:hAnsi="宋体"/>
                <w:szCs w:val="21"/>
              </w:rPr>
            </w:pPr>
          </w:p>
        </w:tc>
      </w:tr>
      <w:tr w14:paraId="118407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17D4FA6">
            <w:pPr>
              <w:rPr>
                <w:rFonts w:hint="eastAsia" w:ascii="宋体" w:hAnsi="宋体"/>
                <w:szCs w:val="21"/>
              </w:rPr>
            </w:pPr>
            <w:r>
              <w:rPr>
                <w:rFonts w:hint="eastAsia" w:ascii="宋体" w:hAnsi="宋体"/>
                <w:szCs w:val="21"/>
              </w:rPr>
              <w:t>18</w:t>
            </w:r>
          </w:p>
        </w:tc>
        <w:tc>
          <w:tcPr>
            <w:tcW w:w="2448" w:type="dxa"/>
            <w:noWrap w:val="0"/>
            <w:vAlign w:val="center"/>
          </w:tcPr>
          <w:p w14:paraId="371A72E8">
            <w:pPr>
              <w:jc w:val="left"/>
              <w:rPr>
                <w:rFonts w:hint="eastAsia" w:ascii="宋体" w:hAnsi="宋体"/>
                <w:szCs w:val="21"/>
              </w:rPr>
            </w:pPr>
            <w:r>
              <w:rPr>
                <w:rFonts w:hint="eastAsia" w:ascii="宋体" w:hAnsi="宋体"/>
                <w:szCs w:val="21"/>
              </w:rPr>
              <w:t>绝缘手套</w:t>
            </w:r>
          </w:p>
        </w:tc>
        <w:tc>
          <w:tcPr>
            <w:tcW w:w="1930" w:type="dxa"/>
            <w:noWrap w:val="0"/>
            <w:vAlign w:val="center"/>
          </w:tcPr>
          <w:p w14:paraId="3246A9D2">
            <w:pPr>
              <w:rPr>
                <w:rFonts w:ascii="宋体" w:hAnsi="宋体"/>
                <w:szCs w:val="21"/>
              </w:rPr>
            </w:pPr>
          </w:p>
        </w:tc>
        <w:tc>
          <w:tcPr>
            <w:tcW w:w="633" w:type="dxa"/>
            <w:noWrap w:val="0"/>
            <w:vAlign w:val="center"/>
          </w:tcPr>
          <w:p w14:paraId="1F4E1DF8">
            <w:pPr>
              <w:jc w:val="center"/>
              <w:rPr>
                <w:rFonts w:hint="eastAsia" w:ascii="宋体" w:hAnsi="宋体"/>
                <w:szCs w:val="21"/>
              </w:rPr>
            </w:pPr>
            <w:r>
              <w:rPr>
                <w:rFonts w:hint="eastAsia" w:ascii="宋体" w:hAnsi="宋体"/>
                <w:szCs w:val="21"/>
              </w:rPr>
              <w:t>双</w:t>
            </w:r>
          </w:p>
        </w:tc>
        <w:tc>
          <w:tcPr>
            <w:tcW w:w="653" w:type="dxa"/>
            <w:noWrap w:val="0"/>
            <w:vAlign w:val="center"/>
          </w:tcPr>
          <w:p w14:paraId="5E3CAA71">
            <w:pPr>
              <w:jc w:val="center"/>
              <w:rPr>
                <w:rFonts w:hint="eastAsia" w:ascii="宋体" w:hAnsi="宋体"/>
                <w:szCs w:val="21"/>
              </w:rPr>
            </w:pPr>
            <w:r>
              <w:rPr>
                <w:rFonts w:hint="eastAsia" w:ascii="宋体" w:hAnsi="宋体"/>
                <w:szCs w:val="21"/>
              </w:rPr>
              <w:t>1</w:t>
            </w:r>
          </w:p>
        </w:tc>
        <w:tc>
          <w:tcPr>
            <w:tcW w:w="2675" w:type="dxa"/>
            <w:noWrap w:val="0"/>
            <w:vAlign w:val="center"/>
          </w:tcPr>
          <w:p w14:paraId="5FAD928F">
            <w:pPr>
              <w:rPr>
                <w:rFonts w:ascii="宋体" w:hAnsi="宋体"/>
                <w:szCs w:val="21"/>
              </w:rPr>
            </w:pPr>
          </w:p>
        </w:tc>
      </w:tr>
      <w:tr w14:paraId="03A7C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FD894B1">
            <w:pPr>
              <w:rPr>
                <w:rFonts w:hint="eastAsia" w:ascii="宋体" w:hAnsi="宋体"/>
                <w:szCs w:val="21"/>
              </w:rPr>
            </w:pPr>
            <w:r>
              <w:rPr>
                <w:rFonts w:hint="eastAsia" w:ascii="宋体" w:hAnsi="宋体"/>
                <w:szCs w:val="21"/>
              </w:rPr>
              <w:t>19</w:t>
            </w:r>
          </w:p>
        </w:tc>
        <w:tc>
          <w:tcPr>
            <w:tcW w:w="2448" w:type="dxa"/>
            <w:noWrap w:val="0"/>
            <w:vAlign w:val="center"/>
          </w:tcPr>
          <w:p w14:paraId="3112A4C6">
            <w:pPr>
              <w:jc w:val="left"/>
              <w:rPr>
                <w:rFonts w:ascii="宋体" w:hAnsi="宋体"/>
                <w:szCs w:val="21"/>
              </w:rPr>
            </w:pPr>
            <w:r>
              <w:rPr>
                <w:rFonts w:hint="eastAsia" w:ascii="宋体" w:hAnsi="宋体"/>
                <w:szCs w:val="21"/>
              </w:rPr>
              <w:t>氧气检定器</w:t>
            </w:r>
          </w:p>
        </w:tc>
        <w:tc>
          <w:tcPr>
            <w:tcW w:w="1930" w:type="dxa"/>
            <w:noWrap w:val="0"/>
            <w:vAlign w:val="center"/>
          </w:tcPr>
          <w:p w14:paraId="71D1BEB7">
            <w:pPr>
              <w:rPr>
                <w:rFonts w:ascii="宋体" w:hAnsi="宋体"/>
                <w:szCs w:val="21"/>
              </w:rPr>
            </w:pPr>
          </w:p>
        </w:tc>
        <w:tc>
          <w:tcPr>
            <w:tcW w:w="633" w:type="dxa"/>
            <w:noWrap w:val="0"/>
            <w:vAlign w:val="center"/>
          </w:tcPr>
          <w:p w14:paraId="26CCF43E">
            <w:pPr>
              <w:jc w:val="center"/>
              <w:rPr>
                <w:rFonts w:hint="eastAsia" w:ascii="宋体" w:hAnsi="宋体"/>
                <w:szCs w:val="21"/>
              </w:rPr>
            </w:pPr>
            <w:r>
              <w:rPr>
                <w:rFonts w:hint="eastAsia" w:ascii="宋体" w:hAnsi="宋体"/>
                <w:szCs w:val="21"/>
              </w:rPr>
              <w:t>台</w:t>
            </w:r>
          </w:p>
        </w:tc>
        <w:tc>
          <w:tcPr>
            <w:tcW w:w="653" w:type="dxa"/>
            <w:noWrap w:val="0"/>
            <w:vAlign w:val="center"/>
          </w:tcPr>
          <w:p w14:paraId="33DDAA8D">
            <w:pPr>
              <w:jc w:val="center"/>
              <w:rPr>
                <w:rFonts w:hint="eastAsia" w:ascii="宋体" w:hAnsi="宋体"/>
                <w:szCs w:val="21"/>
              </w:rPr>
            </w:pPr>
            <w:r>
              <w:rPr>
                <w:rFonts w:hint="eastAsia" w:ascii="宋体" w:hAnsi="宋体"/>
                <w:szCs w:val="21"/>
              </w:rPr>
              <w:t>1</w:t>
            </w:r>
          </w:p>
        </w:tc>
        <w:tc>
          <w:tcPr>
            <w:tcW w:w="2675" w:type="dxa"/>
            <w:noWrap w:val="0"/>
            <w:vAlign w:val="center"/>
          </w:tcPr>
          <w:p w14:paraId="3679792A">
            <w:pPr>
              <w:rPr>
                <w:rFonts w:ascii="宋体" w:hAnsi="宋体"/>
                <w:szCs w:val="21"/>
              </w:rPr>
            </w:pPr>
          </w:p>
        </w:tc>
      </w:tr>
      <w:tr w14:paraId="76A89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4E5E65D">
            <w:pPr>
              <w:rPr>
                <w:rFonts w:hint="eastAsia" w:ascii="宋体" w:hAnsi="宋体"/>
                <w:szCs w:val="21"/>
              </w:rPr>
            </w:pPr>
            <w:r>
              <w:rPr>
                <w:rFonts w:hint="eastAsia" w:ascii="宋体" w:hAnsi="宋体"/>
                <w:szCs w:val="21"/>
              </w:rPr>
              <w:t>20</w:t>
            </w:r>
          </w:p>
        </w:tc>
        <w:tc>
          <w:tcPr>
            <w:tcW w:w="2448" w:type="dxa"/>
            <w:noWrap w:val="0"/>
            <w:vAlign w:val="center"/>
          </w:tcPr>
          <w:p w14:paraId="028BB4AF">
            <w:pPr>
              <w:jc w:val="left"/>
              <w:rPr>
                <w:rFonts w:hint="eastAsia" w:ascii="宋体" w:hAnsi="宋体"/>
                <w:szCs w:val="21"/>
              </w:rPr>
            </w:pPr>
            <w:r>
              <w:rPr>
                <w:rFonts w:hint="eastAsia" w:ascii="宋体" w:hAnsi="宋体"/>
                <w:szCs w:val="21"/>
              </w:rPr>
              <w:t>温度计</w:t>
            </w:r>
          </w:p>
        </w:tc>
        <w:tc>
          <w:tcPr>
            <w:tcW w:w="1930" w:type="dxa"/>
            <w:noWrap w:val="0"/>
            <w:vAlign w:val="center"/>
          </w:tcPr>
          <w:p w14:paraId="23B8433E">
            <w:pPr>
              <w:rPr>
                <w:rFonts w:ascii="宋体" w:hAnsi="宋体"/>
                <w:szCs w:val="21"/>
              </w:rPr>
            </w:pPr>
          </w:p>
        </w:tc>
        <w:tc>
          <w:tcPr>
            <w:tcW w:w="633" w:type="dxa"/>
            <w:noWrap w:val="0"/>
            <w:vAlign w:val="center"/>
          </w:tcPr>
          <w:p w14:paraId="334EAB4B">
            <w:pPr>
              <w:jc w:val="center"/>
              <w:rPr>
                <w:rFonts w:hint="eastAsia" w:ascii="宋体" w:hAnsi="宋体"/>
                <w:szCs w:val="21"/>
              </w:rPr>
            </w:pPr>
            <w:r>
              <w:rPr>
                <w:rFonts w:hint="eastAsia" w:ascii="宋体" w:hAnsi="宋体"/>
                <w:szCs w:val="21"/>
              </w:rPr>
              <w:t>支</w:t>
            </w:r>
          </w:p>
        </w:tc>
        <w:tc>
          <w:tcPr>
            <w:tcW w:w="653" w:type="dxa"/>
            <w:noWrap w:val="0"/>
            <w:vAlign w:val="center"/>
          </w:tcPr>
          <w:p w14:paraId="12F69273">
            <w:pPr>
              <w:jc w:val="center"/>
              <w:rPr>
                <w:rFonts w:hint="eastAsia" w:ascii="宋体" w:hAnsi="宋体"/>
                <w:szCs w:val="21"/>
              </w:rPr>
            </w:pPr>
            <w:r>
              <w:rPr>
                <w:rFonts w:hint="eastAsia" w:ascii="宋体" w:hAnsi="宋体"/>
                <w:szCs w:val="21"/>
              </w:rPr>
              <w:t>2</w:t>
            </w:r>
          </w:p>
        </w:tc>
        <w:tc>
          <w:tcPr>
            <w:tcW w:w="2675" w:type="dxa"/>
            <w:noWrap w:val="0"/>
            <w:vAlign w:val="center"/>
          </w:tcPr>
          <w:p w14:paraId="2A0106E8">
            <w:pPr>
              <w:rPr>
                <w:rFonts w:ascii="宋体" w:hAnsi="宋体"/>
                <w:szCs w:val="21"/>
              </w:rPr>
            </w:pPr>
          </w:p>
        </w:tc>
      </w:tr>
      <w:tr w14:paraId="21FF8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31CAA56">
            <w:pPr>
              <w:rPr>
                <w:rFonts w:hint="eastAsia" w:ascii="宋体" w:hAnsi="宋体"/>
                <w:szCs w:val="21"/>
              </w:rPr>
            </w:pPr>
            <w:r>
              <w:rPr>
                <w:rFonts w:hint="eastAsia" w:ascii="宋体" w:hAnsi="宋体"/>
                <w:szCs w:val="21"/>
              </w:rPr>
              <w:t>21</w:t>
            </w:r>
          </w:p>
        </w:tc>
        <w:tc>
          <w:tcPr>
            <w:tcW w:w="2448" w:type="dxa"/>
            <w:noWrap w:val="0"/>
            <w:vAlign w:val="center"/>
          </w:tcPr>
          <w:p w14:paraId="0AD0366F">
            <w:pPr>
              <w:jc w:val="left"/>
              <w:rPr>
                <w:rFonts w:hint="eastAsia" w:ascii="宋体" w:hAnsi="宋体"/>
                <w:szCs w:val="21"/>
              </w:rPr>
            </w:pPr>
            <w:r>
              <w:rPr>
                <w:rFonts w:hint="eastAsia" w:ascii="宋体" w:hAnsi="宋体"/>
                <w:szCs w:val="21"/>
              </w:rPr>
              <w:t>采气样工具</w:t>
            </w:r>
          </w:p>
        </w:tc>
        <w:tc>
          <w:tcPr>
            <w:tcW w:w="1930" w:type="dxa"/>
            <w:noWrap w:val="0"/>
            <w:vAlign w:val="center"/>
          </w:tcPr>
          <w:p w14:paraId="4BBFD647">
            <w:pPr>
              <w:rPr>
                <w:rFonts w:ascii="宋体" w:hAnsi="宋体"/>
                <w:szCs w:val="21"/>
              </w:rPr>
            </w:pPr>
          </w:p>
        </w:tc>
        <w:tc>
          <w:tcPr>
            <w:tcW w:w="633" w:type="dxa"/>
            <w:noWrap w:val="0"/>
            <w:vAlign w:val="center"/>
          </w:tcPr>
          <w:p w14:paraId="6FC26146">
            <w:pPr>
              <w:jc w:val="center"/>
              <w:rPr>
                <w:rFonts w:hint="eastAsia" w:ascii="宋体" w:hAnsi="宋体"/>
                <w:szCs w:val="21"/>
              </w:rPr>
            </w:pPr>
            <w:r>
              <w:rPr>
                <w:rFonts w:hint="eastAsia" w:ascii="宋体" w:hAnsi="宋体"/>
                <w:szCs w:val="21"/>
              </w:rPr>
              <w:t>套</w:t>
            </w:r>
          </w:p>
        </w:tc>
        <w:tc>
          <w:tcPr>
            <w:tcW w:w="653" w:type="dxa"/>
            <w:noWrap w:val="0"/>
            <w:vAlign w:val="center"/>
          </w:tcPr>
          <w:p w14:paraId="1FC1ED6A">
            <w:pPr>
              <w:jc w:val="center"/>
              <w:rPr>
                <w:rFonts w:hint="eastAsia" w:ascii="宋体" w:hAnsi="宋体"/>
                <w:szCs w:val="21"/>
              </w:rPr>
            </w:pPr>
            <w:r>
              <w:rPr>
                <w:rFonts w:hint="eastAsia" w:ascii="宋体" w:hAnsi="宋体"/>
                <w:szCs w:val="21"/>
              </w:rPr>
              <w:t>1</w:t>
            </w:r>
          </w:p>
        </w:tc>
        <w:tc>
          <w:tcPr>
            <w:tcW w:w="2675" w:type="dxa"/>
            <w:noWrap w:val="0"/>
            <w:vAlign w:val="center"/>
          </w:tcPr>
          <w:p w14:paraId="301E99A4">
            <w:pPr>
              <w:rPr>
                <w:rFonts w:ascii="宋体" w:hAnsi="宋体"/>
                <w:szCs w:val="21"/>
              </w:rPr>
            </w:pPr>
          </w:p>
        </w:tc>
      </w:tr>
      <w:tr w14:paraId="773F0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1CF1420">
            <w:pPr>
              <w:rPr>
                <w:rFonts w:hint="eastAsia" w:ascii="宋体" w:hAnsi="宋体"/>
                <w:szCs w:val="21"/>
              </w:rPr>
            </w:pPr>
            <w:r>
              <w:rPr>
                <w:rFonts w:hint="eastAsia" w:ascii="宋体" w:hAnsi="宋体"/>
                <w:szCs w:val="21"/>
              </w:rPr>
              <w:t>22</w:t>
            </w:r>
          </w:p>
        </w:tc>
        <w:tc>
          <w:tcPr>
            <w:tcW w:w="2448" w:type="dxa"/>
            <w:noWrap w:val="0"/>
            <w:vAlign w:val="center"/>
          </w:tcPr>
          <w:p w14:paraId="71D12F76">
            <w:pPr>
              <w:jc w:val="left"/>
              <w:rPr>
                <w:rFonts w:hint="eastAsia" w:ascii="宋体" w:hAnsi="宋体"/>
                <w:szCs w:val="21"/>
              </w:rPr>
            </w:pPr>
            <w:r>
              <w:rPr>
                <w:rFonts w:hint="eastAsia" w:ascii="宋体" w:hAnsi="宋体"/>
                <w:szCs w:val="21"/>
              </w:rPr>
              <w:t>灾区电话</w:t>
            </w:r>
          </w:p>
        </w:tc>
        <w:tc>
          <w:tcPr>
            <w:tcW w:w="1930" w:type="dxa"/>
            <w:noWrap w:val="0"/>
            <w:vAlign w:val="center"/>
          </w:tcPr>
          <w:p w14:paraId="49300F9E">
            <w:pPr>
              <w:rPr>
                <w:rFonts w:ascii="宋体" w:hAnsi="宋体"/>
                <w:szCs w:val="21"/>
              </w:rPr>
            </w:pPr>
          </w:p>
        </w:tc>
        <w:tc>
          <w:tcPr>
            <w:tcW w:w="633" w:type="dxa"/>
            <w:noWrap w:val="0"/>
            <w:vAlign w:val="center"/>
          </w:tcPr>
          <w:p w14:paraId="4BA0A8EB">
            <w:pPr>
              <w:jc w:val="center"/>
              <w:rPr>
                <w:rFonts w:hint="eastAsia" w:ascii="宋体" w:hAnsi="宋体"/>
                <w:szCs w:val="21"/>
              </w:rPr>
            </w:pPr>
            <w:r>
              <w:rPr>
                <w:rFonts w:hint="eastAsia" w:ascii="宋体" w:hAnsi="宋体"/>
                <w:szCs w:val="21"/>
              </w:rPr>
              <w:t>套</w:t>
            </w:r>
          </w:p>
        </w:tc>
        <w:tc>
          <w:tcPr>
            <w:tcW w:w="653" w:type="dxa"/>
            <w:noWrap w:val="0"/>
            <w:vAlign w:val="center"/>
          </w:tcPr>
          <w:p w14:paraId="3E705E73">
            <w:pPr>
              <w:jc w:val="center"/>
              <w:rPr>
                <w:rFonts w:hint="eastAsia" w:ascii="宋体" w:hAnsi="宋体"/>
                <w:szCs w:val="21"/>
              </w:rPr>
            </w:pPr>
            <w:r>
              <w:rPr>
                <w:rFonts w:hint="eastAsia" w:ascii="宋体" w:hAnsi="宋体"/>
                <w:szCs w:val="21"/>
              </w:rPr>
              <w:t>1</w:t>
            </w:r>
          </w:p>
        </w:tc>
        <w:tc>
          <w:tcPr>
            <w:tcW w:w="2675" w:type="dxa"/>
            <w:noWrap w:val="0"/>
            <w:vAlign w:val="center"/>
          </w:tcPr>
          <w:p w14:paraId="6E06EDD7">
            <w:pPr>
              <w:rPr>
                <w:rFonts w:ascii="宋体" w:hAnsi="宋体"/>
                <w:szCs w:val="21"/>
              </w:rPr>
            </w:pPr>
          </w:p>
        </w:tc>
      </w:tr>
      <w:tr w14:paraId="4B4AA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0F8C3EE">
            <w:pPr>
              <w:rPr>
                <w:rFonts w:hint="eastAsia" w:ascii="宋体" w:hAnsi="宋体"/>
                <w:szCs w:val="21"/>
              </w:rPr>
            </w:pPr>
            <w:r>
              <w:rPr>
                <w:rFonts w:hint="eastAsia" w:ascii="宋体" w:hAnsi="宋体"/>
                <w:szCs w:val="21"/>
              </w:rPr>
              <w:t>23</w:t>
            </w:r>
          </w:p>
        </w:tc>
        <w:tc>
          <w:tcPr>
            <w:tcW w:w="2448" w:type="dxa"/>
            <w:noWrap w:val="0"/>
            <w:vAlign w:val="center"/>
          </w:tcPr>
          <w:p w14:paraId="30078F7D">
            <w:pPr>
              <w:jc w:val="left"/>
              <w:rPr>
                <w:rFonts w:hint="eastAsia" w:ascii="宋体" w:hAnsi="宋体"/>
                <w:szCs w:val="21"/>
              </w:rPr>
            </w:pPr>
            <w:r>
              <w:rPr>
                <w:rFonts w:hint="eastAsia" w:ascii="宋体" w:hAnsi="宋体"/>
                <w:szCs w:val="21"/>
              </w:rPr>
              <w:t>引路线</w:t>
            </w:r>
          </w:p>
        </w:tc>
        <w:tc>
          <w:tcPr>
            <w:tcW w:w="1930" w:type="dxa"/>
            <w:noWrap w:val="0"/>
            <w:vAlign w:val="center"/>
          </w:tcPr>
          <w:p w14:paraId="2EA32327">
            <w:pPr>
              <w:rPr>
                <w:rFonts w:ascii="宋体" w:hAnsi="宋体"/>
                <w:szCs w:val="21"/>
              </w:rPr>
            </w:pPr>
          </w:p>
        </w:tc>
        <w:tc>
          <w:tcPr>
            <w:tcW w:w="633" w:type="dxa"/>
            <w:noWrap w:val="0"/>
            <w:vAlign w:val="center"/>
          </w:tcPr>
          <w:p w14:paraId="27E818FE">
            <w:pPr>
              <w:jc w:val="center"/>
              <w:rPr>
                <w:rFonts w:hint="eastAsia" w:ascii="宋体" w:hAnsi="宋体"/>
                <w:szCs w:val="21"/>
              </w:rPr>
            </w:pPr>
            <w:r>
              <w:rPr>
                <w:rFonts w:hint="eastAsia" w:ascii="宋体" w:hAnsi="宋体"/>
                <w:szCs w:val="21"/>
              </w:rPr>
              <w:t>m</w:t>
            </w:r>
          </w:p>
        </w:tc>
        <w:tc>
          <w:tcPr>
            <w:tcW w:w="653" w:type="dxa"/>
            <w:noWrap w:val="0"/>
            <w:vAlign w:val="center"/>
          </w:tcPr>
          <w:p w14:paraId="6D517F73">
            <w:pPr>
              <w:jc w:val="center"/>
              <w:rPr>
                <w:rFonts w:hint="eastAsia" w:ascii="宋体" w:hAnsi="宋体"/>
                <w:szCs w:val="21"/>
              </w:rPr>
            </w:pPr>
            <w:r>
              <w:rPr>
                <w:rFonts w:hint="eastAsia" w:ascii="宋体" w:hAnsi="宋体"/>
                <w:szCs w:val="21"/>
              </w:rPr>
              <w:t>100</w:t>
            </w:r>
          </w:p>
        </w:tc>
        <w:tc>
          <w:tcPr>
            <w:tcW w:w="2675" w:type="dxa"/>
            <w:noWrap w:val="0"/>
            <w:vAlign w:val="center"/>
          </w:tcPr>
          <w:p w14:paraId="0BED1FAE">
            <w:pPr>
              <w:rPr>
                <w:rFonts w:ascii="宋体" w:hAnsi="宋体"/>
                <w:szCs w:val="21"/>
              </w:rPr>
            </w:pPr>
          </w:p>
        </w:tc>
      </w:tr>
      <w:tr w14:paraId="47067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730BABD">
            <w:pPr>
              <w:rPr>
                <w:rFonts w:hint="eastAsia" w:ascii="宋体" w:hAnsi="宋体"/>
                <w:szCs w:val="21"/>
              </w:rPr>
            </w:pPr>
            <w:r>
              <w:rPr>
                <w:rFonts w:hint="eastAsia" w:ascii="宋体" w:hAnsi="宋体"/>
                <w:szCs w:val="21"/>
              </w:rPr>
              <w:t>24</w:t>
            </w:r>
          </w:p>
        </w:tc>
        <w:tc>
          <w:tcPr>
            <w:tcW w:w="2448" w:type="dxa"/>
            <w:noWrap w:val="0"/>
            <w:vAlign w:val="center"/>
          </w:tcPr>
          <w:p w14:paraId="224C2004">
            <w:pPr>
              <w:jc w:val="left"/>
              <w:rPr>
                <w:rFonts w:hint="eastAsia" w:ascii="宋体" w:hAnsi="宋体"/>
                <w:szCs w:val="21"/>
              </w:rPr>
            </w:pPr>
            <w:r>
              <w:rPr>
                <w:rFonts w:hint="eastAsia" w:ascii="宋体" w:hAnsi="宋体"/>
                <w:szCs w:val="21"/>
              </w:rPr>
              <w:t>铜顶斧</w:t>
            </w:r>
          </w:p>
        </w:tc>
        <w:tc>
          <w:tcPr>
            <w:tcW w:w="1930" w:type="dxa"/>
            <w:noWrap w:val="0"/>
            <w:vAlign w:val="center"/>
          </w:tcPr>
          <w:p w14:paraId="7C615B55">
            <w:pPr>
              <w:rPr>
                <w:rFonts w:ascii="宋体" w:hAnsi="宋体"/>
                <w:szCs w:val="21"/>
              </w:rPr>
            </w:pPr>
          </w:p>
        </w:tc>
        <w:tc>
          <w:tcPr>
            <w:tcW w:w="633" w:type="dxa"/>
            <w:noWrap w:val="0"/>
            <w:vAlign w:val="center"/>
          </w:tcPr>
          <w:p w14:paraId="07F07680">
            <w:pPr>
              <w:jc w:val="center"/>
              <w:rPr>
                <w:rFonts w:hint="eastAsia" w:ascii="宋体" w:hAnsi="宋体"/>
                <w:szCs w:val="21"/>
              </w:rPr>
            </w:pPr>
            <w:r>
              <w:rPr>
                <w:rFonts w:hint="eastAsia" w:ascii="宋体" w:hAnsi="宋体"/>
                <w:szCs w:val="21"/>
              </w:rPr>
              <w:t>把</w:t>
            </w:r>
          </w:p>
        </w:tc>
        <w:tc>
          <w:tcPr>
            <w:tcW w:w="653" w:type="dxa"/>
            <w:noWrap w:val="0"/>
            <w:vAlign w:val="center"/>
          </w:tcPr>
          <w:p w14:paraId="4E4529D5">
            <w:pPr>
              <w:jc w:val="center"/>
              <w:rPr>
                <w:rFonts w:hint="eastAsia" w:ascii="宋体" w:hAnsi="宋体"/>
                <w:szCs w:val="21"/>
              </w:rPr>
            </w:pPr>
            <w:r>
              <w:rPr>
                <w:rFonts w:hint="eastAsia" w:ascii="宋体" w:hAnsi="宋体"/>
                <w:szCs w:val="21"/>
              </w:rPr>
              <w:t>2</w:t>
            </w:r>
          </w:p>
        </w:tc>
        <w:tc>
          <w:tcPr>
            <w:tcW w:w="2675" w:type="dxa"/>
            <w:noWrap w:val="0"/>
            <w:vAlign w:val="center"/>
          </w:tcPr>
          <w:p w14:paraId="03CF6CEB">
            <w:pPr>
              <w:rPr>
                <w:rFonts w:ascii="宋体" w:hAnsi="宋体"/>
                <w:szCs w:val="21"/>
              </w:rPr>
            </w:pPr>
          </w:p>
        </w:tc>
      </w:tr>
      <w:tr w14:paraId="0B7CA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D7B732F">
            <w:pPr>
              <w:rPr>
                <w:rFonts w:hint="eastAsia" w:ascii="宋体" w:hAnsi="宋体"/>
                <w:szCs w:val="21"/>
              </w:rPr>
            </w:pPr>
            <w:r>
              <w:rPr>
                <w:rFonts w:hint="eastAsia" w:ascii="宋体" w:hAnsi="宋体"/>
                <w:szCs w:val="21"/>
              </w:rPr>
              <w:t>25</w:t>
            </w:r>
          </w:p>
        </w:tc>
        <w:tc>
          <w:tcPr>
            <w:tcW w:w="2448" w:type="dxa"/>
            <w:noWrap w:val="0"/>
            <w:vAlign w:val="center"/>
          </w:tcPr>
          <w:p w14:paraId="2C60D321">
            <w:pPr>
              <w:jc w:val="left"/>
              <w:rPr>
                <w:rFonts w:hint="eastAsia" w:ascii="宋体" w:hAnsi="宋体"/>
                <w:szCs w:val="21"/>
              </w:rPr>
            </w:pPr>
            <w:r>
              <w:rPr>
                <w:rFonts w:hint="eastAsia" w:ascii="宋体" w:hAnsi="宋体"/>
                <w:szCs w:val="21"/>
              </w:rPr>
              <w:t>矿工斧</w:t>
            </w:r>
          </w:p>
        </w:tc>
        <w:tc>
          <w:tcPr>
            <w:tcW w:w="1930" w:type="dxa"/>
            <w:noWrap w:val="0"/>
            <w:vAlign w:val="center"/>
          </w:tcPr>
          <w:p w14:paraId="162299F1">
            <w:pPr>
              <w:rPr>
                <w:rFonts w:ascii="宋体" w:hAnsi="宋体"/>
                <w:szCs w:val="21"/>
              </w:rPr>
            </w:pPr>
          </w:p>
        </w:tc>
        <w:tc>
          <w:tcPr>
            <w:tcW w:w="633" w:type="dxa"/>
            <w:noWrap w:val="0"/>
            <w:vAlign w:val="center"/>
          </w:tcPr>
          <w:p w14:paraId="2909CFA2">
            <w:pPr>
              <w:jc w:val="center"/>
              <w:rPr>
                <w:rFonts w:hint="eastAsia" w:ascii="宋体" w:hAnsi="宋体"/>
                <w:szCs w:val="21"/>
              </w:rPr>
            </w:pPr>
            <w:r>
              <w:rPr>
                <w:rFonts w:hint="eastAsia" w:ascii="宋体" w:hAnsi="宋体"/>
                <w:szCs w:val="21"/>
              </w:rPr>
              <w:t>把</w:t>
            </w:r>
          </w:p>
        </w:tc>
        <w:tc>
          <w:tcPr>
            <w:tcW w:w="653" w:type="dxa"/>
            <w:noWrap w:val="0"/>
            <w:vAlign w:val="center"/>
          </w:tcPr>
          <w:p w14:paraId="54D31A84">
            <w:pPr>
              <w:jc w:val="center"/>
              <w:rPr>
                <w:rFonts w:hint="eastAsia" w:ascii="宋体" w:hAnsi="宋体"/>
                <w:szCs w:val="21"/>
              </w:rPr>
            </w:pPr>
            <w:r>
              <w:rPr>
                <w:rFonts w:hint="eastAsia" w:ascii="宋体" w:hAnsi="宋体"/>
                <w:szCs w:val="21"/>
              </w:rPr>
              <w:t>2</w:t>
            </w:r>
          </w:p>
        </w:tc>
        <w:tc>
          <w:tcPr>
            <w:tcW w:w="2675" w:type="dxa"/>
            <w:noWrap w:val="0"/>
            <w:vAlign w:val="center"/>
          </w:tcPr>
          <w:p w14:paraId="7E696589">
            <w:pPr>
              <w:rPr>
                <w:rFonts w:ascii="宋体" w:hAnsi="宋体"/>
                <w:szCs w:val="21"/>
              </w:rPr>
            </w:pPr>
          </w:p>
        </w:tc>
      </w:tr>
      <w:tr w14:paraId="55F42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00C3238">
            <w:pPr>
              <w:rPr>
                <w:rFonts w:hint="eastAsia" w:ascii="宋体" w:hAnsi="宋体"/>
                <w:szCs w:val="21"/>
              </w:rPr>
            </w:pPr>
            <w:r>
              <w:rPr>
                <w:rFonts w:hint="eastAsia" w:ascii="宋体" w:hAnsi="宋体"/>
                <w:szCs w:val="21"/>
              </w:rPr>
              <w:t>26</w:t>
            </w:r>
          </w:p>
        </w:tc>
        <w:tc>
          <w:tcPr>
            <w:tcW w:w="2448" w:type="dxa"/>
            <w:noWrap w:val="0"/>
            <w:vAlign w:val="center"/>
          </w:tcPr>
          <w:p w14:paraId="745F5BF2">
            <w:pPr>
              <w:jc w:val="left"/>
              <w:rPr>
                <w:rFonts w:hint="eastAsia" w:ascii="宋体" w:hAnsi="宋体"/>
                <w:szCs w:val="21"/>
              </w:rPr>
            </w:pPr>
            <w:r>
              <w:rPr>
                <w:rFonts w:hint="eastAsia" w:ascii="宋体" w:hAnsi="宋体"/>
                <w:szCs w:val="21"/>
              </w:rPr>
              <w:t>刀锯</w:t>
            </w:r>
          </w:p>
        </w:tc>
        <w:tc>
          <w:tcPr>
            <w:tcW w:w="1930" w:type="dxa"/>
            <w:noWrap w:val="0"/>
            <w:vAlign w:val="center"/>
          </w:tcPr>
          <w:p w14:paraId="313BA882">
            <w:pPr>
              <w:rPr>
                <w:rFonts w:ascii="宋体" w:hAnsi="宋体"/>
                <w:szCs w:val="21"/>
              </w:rPr>
            </w:pPr>
          </w:p>
        </w:tc>
        <w:tc>
          <w:tcPr>
            <w:tcW w:w="633" w:type="dxa"/>
            <w:noWrap w:val="0"/>
            <w:vAlign w:val="center"/>
          </w:tcPr>
          <w:p w14:paraId="124F139C">
            <w:pPr>
              <w:jc w:val="center"/>
              <w:rPr>
                <w:rFonts w:hint="eastAsia" w:ascii="宋体" w:hAnsi="宋体"/>
                <w:szCs w:val="21"/>
              </w:rPr>
            </w:pPr>
            <w:r>
              <w:rPr>
                <w:rFonts w:hint="eastAsia" w:ascii="宋体" w:hAnsi="宋体"/>
                <w:szCs w:val="21"/>
              </w:rPr>
              <w:t>把</w:t>
            </w:r>
          </w:p>
        </w:tc>
        <w:tc>
          <w:tcPr>
            <w:tcW w:w="653" w:type="dxa"/>
            <w:noWrap w:val="0"/>
            <w:vAlign w:val="center"/>
          </w:tcPr>
          <w:p w14:paraId="494151F2">
            <w:pPr>
              <w:jc w:val="center"/>
              <w:rPr>
                <w:rFonts w:hint="eastAsia" w:ascii="宋体" w:hAnsi="宋体"/>
                <w:szCs w:val="21"/>
              </w:rPr>
            </w:pPr>
            <w:r>
              <w:rPr>
                <w:rFonts w:hint="eastAsia" w:ascii="宋体" w:hAnsi="宋体"/>
                <w:szCs w:val="21"/>
              </w:rPr>
              <w:t>2</w:t>
            </w:r>
          </w:p>
        </w:tc>
        <w:tc>
          <w:tcPr>
            <w:tcW w:w="2675" w:type="dxa"/>
            <w:noWrap w:val="0"/>
            <w:vAlign w:val="center"/>
          </w:tcPr>
          <w:p w14:paraId="7A53185F">
            <w:pPr>
              <w:rPr>
                <w:rFonts w:ascii="宋体" w:hAnsi="宋体"/>
                <w:szCs w:val="21"/>
              </w:rPr>
            </w:pPr>
          </w:p>
        </w:tc>
      </w:tr>
      <w:tr w14:paraId="0A36E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3702A9C4">
            <w:pPr>
              <w:rPr>
                <w:rFonts w:hint="eastAsia" w:ascii="宋体" w:hAnsi="宋体"/>
                <w:szCs w:val="21"/>
              </w:rPr>
            </w:pPr>
            <w:r>
              <w:rPr>
                <w:rFonts w:hint="eastAsia" w:ascii="宋体" w:hAnsi="宋体"/>
                <w:szCs w:val="21"/>
              </w:rPr>
              <w:t>27</w:t>
            </w:r>
          </w:p>
        </w:tc>
        <w:tc>
          <w:tcPr>
            <w:tcW w:w="2448" w:type="dxa"/>
            <w:noWrap w:val="0"/>
            <w:vAlign w:val="center"/>
          </w:tcPr>
          <w:p w14:paraId="22C19FD9">
            <w:pPr>
              <w:jc w:val="left"/>
              <w:rPr>
                <w:rFonts w:hint="eastAsia" w:ascii="宋体" w:hAnsi="宋体"/>
                <w:szCs w:val="21"/>
              </w:rPr>
            </w:pPr>
            <w:r>
              <w:rPr>
                <w:rFonts w:hint="eastAsia" w:ascii="宋体" w:hAnsi="宋体"/>
                <w:szCs w:val="21"/>
              </w:rPr>
              <w:t>起钉器</w:t>
            </w:r>
          </w:p>
        </w:tc>
        <w:tc>
          <w:tcPr>
            <w:tcW w:w="1930" w:type="dxa"/>
            <w:noWrap w:val="0"/>
            <w:vAlign w:val="center"/>
          </w:tcPr>
          <w:p w14:paraId="464A56B5">
            <w:pPr>
              <w:rPr>
                <w:rFonts w:ascii="宋体" w:hAnsi="宋体"/>
                <w:szCs w:val="21"/>
              </w:rPr>
            </w:pPr>
          </w:p>
        </w:tc>
        <w:tc>
          <w:tcPr>
            <w:tcW w:w="633" w:type="dxa"/>
            <w:noWrap w:val="0"/>
            <w:vAlign w:val="center"/>
          </w:tcPr>
          <w:p w14:paraId="0114BC01">
            <w:pPr>
              <w:jc w:val="center"/>
              <w:rPr>
                <w:rFonts w:hint="eastAsia" w:ascii="宋体" w:hAnsi="宋体"/>
                <w:szCs w:val="21"/>
              </w:rPr>
            </w:pPr>
            <w:r>
              <w:rPr>
                <w:rFonts w:hint="eastAsia" w:ascii="宋体" w:hAnsi="宋体"/>
                <w:szCs w:val="21"/>
              </w:rPr>
              <w:t>把</w:t>
            </w:r>
          </w:p>
        </w:tc>
        <w:tc>
          <w:tcPr>
            <w:tcW w:w="653" w:type="dxa"/>
            <w:noWrap w:val="0"/>
            <w:vAlign w:val="center"/>
          </w:tcPr>
          <w:p w14:paraId="33EF0566">
            <w:pPr>
              <w:jc w:val="center"/>
              <w:rPr>
                <w:rFonts w:hint="eastAsia" w:ascii="宋体" w:hAnsi="宋体"/>
                <w:szCs w:val="21"/>
              </w:rPr>
            </w:pPr>
            <w:r>
              <w:rPr>
                <w:rFonts w:hint="eastAsia" w:ascii="宋体" w:hAnsi="宋体"/>
                <w:szCs w:val="21"/>
              </w:rPr>
              <w:t>2</w:t>
            </w:r>
          </w:p>
        </w:tc>
        <w:tc>
          <w:tcPr>
            <w:tcW w:w="2675" w:type="dxa"/>
            <w:noWrap w:val="0"/>
            <w:vAlign w:val="center"/>
          </w:tcPr>
          <w:p w14:paraId="49BD2325">
            <w:pPr>
              <w:rPr>
                <w:rFonts w:ascii="宋体" w:hAnsi="宋体"/>
                <w:szCs w:val="21"/>
              </w:rPr>
            </w:pPr>
          </w:p>
        </w:tc>
      </w:tr>
      <w:tr w14:paraId="557C5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38ADA589">
            <w:pPr>
              <w:rPr>
                <w:rFonts w:hint="eastAsia" w:ascii="宋体" w:hAnsi="宋体"/>
                <w:szCs w:val="21"/>
              </w:rPr>
            </w:pPr>
            <w:r>
              <w:rPr>
                <w:rFonts w:hint="eastAsia" w:ascii="宋体" w:hAnsi="宋体"/>
                <w:szCs w:val="21"/>
              </w:rPr>
              <w:t>28</w:t>
            </w:r>
          </w:p>
        </w:tc>
        <w:tc>
          <w:tcPr>
            <w:tcW w:w="2448" w:type="dxa"/>
            <w:noWrap w:val="0"/>
            <w:vAlign w:val="center"/>
          </w:tcPr>
          <w:p w14:paraId="51B2D254">
            <w:pPr>
              <w:jc w:val="left"/>
              <w:rPr>
                <w:rFonts w:hint="eastAsia" w:ascii="宋体" w:hAnsi="宋体"/>
                <w:szCs w:val="21"/>
              </w:rPr>
            </w:pPr>
            <w:r>
              <w:rPr>
                <w:rFonts w:hint="eastAsia" w:ascii="宋体" w:hAnsi="宋体"/>
                <w:szCs w:val="21"/>
              </w:rPr>
              <w:t>手表</w:t>
            </w:r>
          </w:p>
        </w:tc>
        <w:tc>
          <w:tcPr>
            <w:tcW w:w="1930" w:type="dxa"/>
            <w:noWrap w:val="0"/>
            <w:vAlign w:val="center"/>
          </w:tcPr>
          <w:p w14:paraId="7C792D48">
            <w:pPr>
              <w:rPr>
                <w:rFonts w:ascii="宋体" w:hAnsi="宋体"/>
                <w:szCs w:val="21"/>
              </w:rPr>
            </w:pPr>
          </w:p>
        </w:tc>
        <w:tc>
          <w:tcPr>
            <w:tcW w:w="633" w:type="dxa"/>
            <w:noWrap w:val="0"/>
            <w:vAlign w:val="center"/>
          </w:tcPr>
          <w:p w14:paraId="33CA26E3">
            <w:pPr>
              <w:jc w:val="center"/>
              <w:rPr>
                <w:rFonts w:hint="eastAsia" w:ascii="宋体" w:hAnsi="宋体"/>
                <w:szCs w:val="21"/>
              </w:rPr>
            </w:pPr>
            <w:r>
              <w:rPr>
                <w:rFonts w:hint="eastAsia" w:ascii="宋体" w:hAnsi="宋体"/>
                <w:szCs w:val="21"/>
              </w:rPr>
              <w:t>块</w:t>
            </w:r>
          </w:p>
        </w:tc>
        <w:tc>
          <w:tcPr>
            <w:tcW w:w="653" w:type="dxa"/>
            <w:noWrap w:val="0"/>
            <w:vAlign w:val="center"/>
          </w:tcPr>
          <w:p w14:paraId="4C60DC84">
            <w:pPr>
              <w:jc w:val="center"/>
              <w:rPr>
                <w:rFonts w:ascii="宋体" w:hAnsi="宋体"/>
                <w:szCs w:val="21"/>
              </w:rPr>
            </w:pPr>
          </w:p>
        </w:tc>
        <w:tc>
          <w:tcPr>
            <w:tcW w:w="2675" w:type="dxa"/>
            <w:noWrap w:val="0"/>
            <w:vAlign w:val="center"/>
          </w:tcPr>
          <w:p w14:paraId="76DEC988">
            <w:pPr>
              <w:rPr>
                <w:rFonts w:hint="eastAsia" w:ascii="宋体" w:hAnsi="宋体"/>
                <w:szCs w:val="21"/>
              </w:rPr>
            </w:pPr>
            <w:r>
              <w:rPr>
                <w:rFonts w:hint="eastAsia" w:ascii="宋体" w:hAnsi="宋体"/>
                <w:szCs w:val="21"/>
              </w:rPr>
              <w:t>队长每人一块</w:t>
            </w:r>
          </w:p>
        </w:tc>
      </w:tr>
      <w:tr w14:paraId="3F2A0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517695B7">
            <w:pPr>
              <w:rPr>
                <w:rFonts w:hint="eastAsia" w:ascii="宋体" w:hAnsi="宋体"/>
                <w:szCs w:val="21"/>
              </w:rPr>
            </w:pPr>
            <w:r>
              <w:rPr>
                <w:rFonts w:hint="eastAsia" w:ascii="宋体" w:hAnsi="宋体"/>
                <w:szCs w:val="21"/>
              </w:rPr>
              <w:t>29</w:t>
            </w:r>
          </w:p>
        </w:tc>
        <w:tc>
          <w:tcPr>
            <w:tcW w:w="2448" w:type="dxa"/>
            <w:noWrap w:val="0"/>
            <w:vAlign w:val="center"/>
          </w:tcPr>
          <w:p w14:paraId="37EA70A6">
            <w:pPr>
              <w:jc w:val="left"/>
              <w:rPr>
                <w:rFonts w:hint="eastAsia" w:ascii="宋体" w:hAnsi="宋体"/>
                <w:szCs w:val="21"/>
              </w:rPr>
            </w:pPr>
            <w:r>
              <w:rPr>
                <w:rFonts w:hint="eastAsia" w:ascii="宋体" w:hAnsi="宋体"/>
                <w:szCs w:val="21"/>
              </w:rPr>
              <w:t>电工工具</w:t>
            </w:r>
          </w:p>
        </w:tc>
        <w:tc>
          <w:tcPr>
            <w:tcW w:w="1930" w:type="dxa"/>
            <w:noWrap w:val="0"/>
            <w:vAlign w:val="center"/>
          </w:tcPr>
          <w:p w14:paraId="4E019935">
            <w:pPr>
              <w:rPr>
                <w:rFonts w:ascii="宋体" w:hAnsi="宋体"/>
                <w:szCs w:val="21"/>
              </w:rPr>
            </w:pPr>
          </w:p>
        </w:tc>
        <w:tc>
          <w:tcPr>
            <w:tcW w:w="633" w:type="dxa"/>
            <w:noWrap w:val="0"/>
            <w:vAlign w:val="center"/>
          </w:tcPr>
          <w:p w14:paraId="5E7A7AE1">
            <w:pPr>
              <w:jc w:val="center"/>
              <w:rPr>
                <w:rFonts w:hint="eastAsia" w:ascii="宋体" w:hAnsi="宋体"/>
                <w:szCs w:val="21"/>
              </w:rPr>
            </w:pPr>
            <w:r>
              <w:rPr>
                <w:rFonts w:hint="eastAsia" w:ascii="宋体" w:hAnsi="宋体"/>
                <w:szCs w:val="21"/>
              </w:rPr>
              <w:t>套</w:t>
            </w:r>
          </w:p>
        </w:tc>
        <w:tc>
          <w:tcPr>
            <w:tcW w:w="653" w:type="dxa"/>
            <w:noWrap w:val="0"/>
            <w:vAlign w:val="center"/>
          </w:tcPr>
          <w:p w14:paraId="17BA1C0F">
            <w:pPr>
              <w:jc w:val="center"/>
              <w:rPr>
                <w:rFonts w:hint="eastAsia" w:ascii="宋体" w:hAnsi="宋体"/>
                <w:szCs w:val="21"/>
              </w:rPr>
            </w:pPr>
            <w:r>
              <w:rPr>
                <w:rFonts w:hint="eastAsia" w:ascii="宋体" w:hAnsi="宋体"/>
                <w:szCs w:val="21"/>
              </w:rPr>
              <w:t>1</w:t>
            </w:r>
          </w:p>
        </w:tc>
        <w:tc>
          <w:tcPr>
            <w:tcW w:w="2675" w:type="dxa"/>
            <w:noWrap w:val="0"/>
            <w:vAlign w:val="center"/>
          </w:tcPr>
          <w:p w14:paraId="3B33CBC3">
            <w:pPr>
              <w:rPr>
                <w:rFonts w:ascii="宋体" w:hAnsi="宋体"/>
                <w:szCs w:val="21"/>
              </w:rPr>
            </w:pPr>
          </w:p>
        </w:tc>
      </w:tr>
      <w:tr w14:paraId="5E687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A04C2CA">
            <w:pPr>
              <w:rPr>
                <w:rFonts w:hint="eastAsia" w:ascii="宋体" w:hAnsi="宋体"/>
                <w:szCs w:val="21"/>
              </w:rPr>
            </w:pPr>
            <w:r>
              <w:rPr>
                <w:rFonts w:hint="eastAsia" w:ascii="宋体" w:hAnsi="宋体"/>
                <w:szCs w:val="21"/>
              </w:rPr>
              <w:t>30</w:t>
            </w:r>
          </w:p>
        </w:tc>
        <w:tc>
          <w:tcPr>
            <w:tcW w:w="2448" w:type="dxa"/>
            <w:noWrap w:val="0"/>
            <w:vAlign w:val="center"/>
          </w:tcPr>
          <w:p w14:paraId="01106278">
            <w:pPr>
              <w:jc w:val="left"/>
              <w:rPr>
                <w:rFonts w:hint="eastAsia" w:ascii="宋体" w:hAnsi="宋体"/>
                <w:szCs w:val="21"/>
              </w:rPr>
            </w:pPr>
            <w:r>
              <w:rPr>
                <w:rFonts w:hint="eastAsia" w:ascii="宋体" w:hAnsi="宋体"/>
                <w:szCs w:val="21"/>
              </w:rPr>
              <w:t>氢氧化钙</w:t>
            </w:r>
          </w:p>
        </w:tc>
        <w:tc>
          <w:tcPr>
            <w:tcW w:w="1930" w:type="dxa"/>
            <w:noWrap w:val="0"/>
            <w:vAlign w:val="center"/>
          </w:tcPr>
          <w:p w14:paraId="224AA208">
            <w:pPr>
              <w:rPr>
                <w:rFonts w:ascii="宋体" w:hAnsi="宋体"/>
                <w:szCs w:val="21"/>
              </w:rPr>
            </w:pPr>
          </w:p>
        </w:tc>
        <w:tc>
          <w:tcPr>
            <w:tcW w:w="633" w:type="dxa"/>
            <w:noWrap w:val="0"/>
            <w:vAlign w:val="center"/>
          </w:tcPr>
          <w:p w14:paraId="466522D9">
            <w:pPr>
              <w:jc w:val="center"/>
              <w:rPr>
                <w:rFonts w:hint="eastAsia" w:ascii="宋体" w:hAnsi="宋体"/>
                <w:szCs w:val="21"/>
              </w:rPr>
            </w:pPr>
            <w:r>
              <w:rPr>
                <w:rFonts w:hint="eastAsia" w:ascii="宋体" w:hAnsi="宋体"/>
                <w:szCs w:val="21"/>
              </w:rPr>
              <w:t>吨</w:t>
            </w:r>
          </w:p>
        </w:tc>
        <w:tc>
          <w:tcPr>
            <w:tcW w:w="653" w:type="dxa"/>
            <w:noWrap w:val="0"/>
            <w:vAlign w:val="center"/>
          </w:tcPr>
          <w:p w14:paraId="1A029D12">
            <w:pPr>
              <w:jc w:val="center"/>
              <w:rPr>
                <w:rFonts w:hint="eastAsia" w:ascii="宋体" w:hAnsi="宋体"/>
                <w:szCs w:val="21"/>
              </w:rPr>
            </w:pPr>
            <w:r>
              <w:rPr>
                <w:rFonts w:hint="eastAsia" w:ascii="宋体" w:hAnsi="宋体"/>
                <w:szCs w:val="21"/>
              </w:rPr>
              <w:t>0.5</w:t>
            </w:r>
          </w:p>
        </w:tc>
        <w:tc>
          <w:tcPr>
            <w:tcW w:w="2675" w:type="dxa"/>
            <w:noWrap w:val="0"/>
            <w:vAlign w:val="center"/>
          </w:tcPr>
          <w:p w14:paraId="3783BA07">
            <w:pPr>
              <w:rPr>
                <w:rFonts w:ascii="宋体" w:hAnsi="宋体"/>
                <w:szCs w:val="21"/>
              </w:rPr>
            </w:pPr>
          </w:p>
        </w:tc>
      </w:tr>
      <w:tr w14:paraId="10077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2D76BF43">
            <w:pPr>
              <w:rPr>
                <w:rFonts w:hint="eastAsia" w:ascii="宋体" w:hAnsi="宋体"/>
                <w:szCs w:val="21"/>
              </w:rPr>
            </w:pPr>
            <w:r>
              <w:rPr>
                <w:rFonts w:hint="eastAsia" w:ascii="宋体" w:hAnsi="宋体"/>
                <w:szCs w:val="21"/>
              </w:rPr>
              <w:t>31</w:t>
            </w:r>
          </w:p>
        </w:tc>
        <w:tc>
          <w:tcPr>
            <w:tcW w:w="2448" w:type="dxa"/>
            <w:noWrap w:val="0"/>
            <w:vAlign w:val="center"/>
          </w:tcPr>
          <w:p w14:paraId="415AA85A">
            <w:pPr>
              <w:jc w:val="left"/>
              <w:rPr>
                <w:rFonts w:hint="eastAsia" w:ascii="宋体" w:hAnsi="宋体"/>
                <w:szCs w:val="21"/>
              </w:rPr>
            </w:pPr>
            <w:r>
              <w:rPr>
                <w:rFonts w:hint="eastAsia" w:ascii="宋体" w:hAnsi="宋体"/>
                <w:szCs w:val="21"/>
              </w:rPr>
              <w:t>自救器气密检查仪</w:t>
            </w:r>
          </w:p>
        </w:tc>
        <w:tc>
          <w:tcPr>
            <w:tcW w:w="1930" w:type="dxa"/>
            <w:noWrap w:val="0"/>
            <w:vAlign w:val="center"/>
          </w:tcPr>
          <w:p w14:paraId="479CE04A">
            <w:pPr>
              <w:rPr>
                <w:rFonts w:hint="eastAsia" w:ascii="宋体" w:hAnsi="宋体"/>
                <w:szCs w:val="21"/>
              </w:rPr>
            </w:pPr>
            <w:r>
              <w:rPr>
                <w:rFonts w:hint="eastAsia" w:ascii="宋体" w:hAnsi="宋体"/>
                <w:szCs w:val="21"/>
              </w:rPr>
              <w:t>ZJ-2型</w:t>
            </w:r>
          </w:p>
        </w:tc>
        <w:tc>
          <w:tcPr>
            <w:tcW w:w="633" w:type="dxa"/>
            <w:noWrap w:val="0"/>
            <w:vAlign w:val="center"/>
          </w:tcPr>
          <w:p w14:paraId="7931D412">
            <w:pPr>
              <w:jc w:val="center"/>
              <w:rPr>
                <w:rFonts w:hint="eastAsia" w:ascii="宋体" w:hAnsi="宋体"/>
                <w:szCs w:val="21"/>
              </w:rPr>
            </w:pPr>
            <w:r>
              <w:rPr>
                <w:rFonts w:hint="eastAsia" w:ascii="宋体" w:hAnsi="宋体"/>
                <w:szCs w:val="21"/>
              </w:rPr>
              <w:t>台</w:t>
            </w:r>
          </w:p>
        </w:tc>
        <w:tc>
          <w:tcPr>
            <w:tcW w:w="653" w:type="dxa"/>
            <w:noWrap w:val="0"/>
            <w:vAlign w:val="center"/>
          </w:tcPr>
          <w:p w14:paraId="20277BE6">
            <w:pPr>
              <w:jc w:val="center"/>
              <w:rPr>
                <w:rFonts w:hint="eastAsia" w:ascii="宋体" w:hAnsi="宋体"/>
                <w:szCs w:val="21"/>
              </w:rPr>
            </w:pPr>
            <w:r>
              <w:rPr>
                <w:rFonts w:hint="eastAsia" w:ascii="宋体" w:hAnsi="宋体"/>
                <w:szCs w:val="21"/>
              </w:rPr>
              <w:t>1</w:t>
            </w:r>
          </w:p>
        </w:tc>
        <w:tc>
          <w:tcPr>
            <w:tcW w:w="2675" w:type="dxa"/>
            <w:noWrap w:val="0"/>
            <w:vAlign w:val="center"/>
          </w:tcPr>
          <w:p w14:paraId="1B41F5BA">
            <w:pPr>
              <w:rPr>
                <w:rFonts w:ascii="宋体" w:hAnsi="宋体"/>
                <w:szCs w:val="21"/>
              </w:rPr>
            </w:pPr>
          </w:p>
        </w:tc>
      </w:tr>
      <w:tr w14:paraId="51134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36668297">
            <w:pPr>
              <w:rPr>
                <w:rFonts w:hint="eastAsia" w:ascii="宋体" w:hAnsi="宋体"/>
                <w:szCs w:val="21"/>
              </w:rPr>
            </w:pPr>
            <w:r>
              <w:rPr>
                <w:rFonts w:hint="eastAsia" w:ascii="宋体" w:hAnsi="宋体"/>
                <w:szCs w:val="21"/>
              </w:rPr>
              <w:t>32</w:t>
            </w:r>
          </w:p>
        </w:tc>
        <w:tc>
          <w:tcPr>
            <w:tcW w:w="2448" w:type="dxa"/>
            <w:noWrap w:val="0"/>
            <w:vAlign w:val="center"/>
          </w:tcPr>
          <w:p w14:paraId="22AA6914">
            <w:pPr>
              <w:jc w:val="left"/>
              <w:rPr>
                <w:rFonts w:hint="eastAsia" w:ascii="宋体" w:hAnsi="宋体"/>
                <w:szCs w:val="21"/>
              </w:rPr>
            </w:pPr>
            <w:r>
              <w:rPr>
                <w:rFonts w:hint="eastAsia" w:ascii="宋体" w:hAnsi="宋体"/>
                <w:szCs w:val="21"/>
              </w:rPr>
              <w:t>呼吸器干燥装置</w:t>
            </w:r>
          </w:p>
        </w:tc>
        <w:tc>
          <w:tcPr>
            <w:tcW w:w="1930" w:type="dxa"/>
            <w:noWrap w:val="0"/>
            <w:vAlign w:val="center"/>
          </w:tcPr>
          <w:p w14:paraId="4FBCD788">
            <w:pPr>
              <w:rPr>
                <w:rFonts w:hint="eastAsia" w:ascii="宋体" w:hAnsi="宋体"/>
                <w:szCs w:val="21"/>
              </w:rPr>
            </w:pPr>
            <w:r>
              <w:rPr>
                <w:rFonts w:hint="eastAsia" w:ascii="宋体" w:hAnsi="宋体"/>
                <w:szCs w:val="21"/>
              </w:rPr>
              <w:t>ZGI型</w:t>
            </w:r>
          </w:p>
        </w:tc>
        <w:tc>
          <w:tcPr>
            <w:tcW w:w="633" w:type="dxa"/>
            <w:noWrap w:val="0"/>
            <w:vAlign w:val="center"/>
          </w:tcPr>
          <w:p w14:paraId="4001F195">
            <w:pPr>
              <w:jc w:val="center"/>
              <w:rPr>
                <w:rFonts w:hint="eastAsia" w:ascii="宋体" w:hAnsi="宋体"/>
                <w:szCs w:val="21"/>
              </w:rPr>
            </w:pPr>
            <w:r>
              <w:rPr>
                <w:rFonts w:hint="eastAsia" w:ascii="宋体" w:hAnsi="宋体"/>
                <w:szCs w:val="21"/>
              </w:rPr>
              <w:t>台</w:t>
            </w:r>
          </w:p>
        </w:tc>
        <w:tc>
          <w:tcPr>
            <w:tcW w:w="653" w:type="dxa"/>
            <w:noWrap w:val="0"/>
            <w:vAlign w:val="center"/>
          </w:tcPr>
          <w:p w14:paraId="1941ADF6">
            <w:pPr>
              <w:jc w:val="center"/>
              <w:rPr>
                <w:rFonts w:hint="eastAsia" w:ascii="宋体" w:hAnsi="宋体"/>
                <w:szCs w:val="21"/>
              </w:rPr>
            </w:pPr>
            <w:r>
              <w:rPr>
                <w:rFonts w:hint="eastAsia" w:ascii="宋体" w:hAnsi="宋体"/>
                <w:szCs w:val="21"/>
              </w:rPr>
              <w:t>1</w:t>
            </w:r>
          </w:p>
        </w:tc>
        <w:tc>
          <w:tcPr>
            <w:tcW w:w="2675" w:type="dxa"/>
            <w:noWrap w:val="0"/>
            <w:vAlign w:val="center"/>
          </w:tcPr>
          <w:p w14:paraId="6D5D8113">
            <w:pPr>
              <w:rPr>
                <w:rFonts w:ascii="宋体" w:hAnsi="宋体"/>
                <w:szCs w:val="21"/>
              </w:rPr>
            </w:pPr>
          </w:p>
        </w:tc>
      </w:tr>
      <w:tr w14:paraId="68BB3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BF70617">
            <w:pPr>
              <w:rPr>
                <w:rFonts w:hint="eastAsia" w:ascii="宋体" w:hAnsi="宋体"/>
                <w:szCs w:val="21"/>
              </w:rPr>
            </w:pPr>
            <w:r>
              <w:rPr>
                <w:rFonts w:hint="eastAsia" w:ascii="宋体" w:hAnsi="宋体"/>
                <w:szCs w:val="21"/>
              </w:rPr>
              <w:t>33</w:t>
            </w:r>
          </w:p>
        </w:tc>
        <w:tc>
          <w:tcPr>
            <w:tcW w:w="2448" w:type="dxa"/>
            <w:noWrap w:val="0"/>
            <w:vAlign w:val="center"/>
          </w:tcPr>
          <w:p w14:paraId="5BF2A24E">
            <w:pPr>
              <w:jc w:val="left"/>
              <w:rPr>
                <w:rFonts w:hint="eastAsia" w:ascii="宋体" w:hAnsi="宋体"/>
                <w:szCs w:val="21"/>
              </w:rPr>
            </w:pPr>
            <w:r>
              <w:rPr>
                <w:rFonts w:hint="eastAsia" w:ascii="宋体" w:hAnsi="宋体"/>
                <w:szCs w:val="21"/>
              </w:rPr>
              <w:t>自动苏生器专用校验仪</w:t>
            </w:r>
          </w:p>
        </w:tc>
        <w:tc>
          <w:tcPr>
            <w:tcW w:w="1930" w:type="dxa"/>
            <w:noWrap w:val="0"/>
            <w:vAlign w:val="center"/>
          </w:tcPr>
          <w:p w14:paraId="0F1F377C">
            <w:pPr>
              <w:rPr>
                <w:rFonts w:hint="eastAsia" w:ascii="宋体" w:hAnsi="宋体"/>
                <w:szCs w:val="21"/>
              </w:rPr>
            </w:pPr>
            <w:r>
              <w:rPr>
                <w:rFonts w:hint="eastAsia" w:ascii="宋体" w:hAnsi="宋体"/>
                <w:szCs w:val="21"/>
              </w:rPr>
              <w:t>ZSI型</w:t>
            </w:r>
          </w:p>
        </w:tc>
        <w:tc>
          <w:tcPr>
            <w:tcW w:w="633" w:type="dxa"/>
            <w:noWrap w:val="0"/>
            <w:vAlign w:val="center"/>
          </w:tcPr>
          <w:p w14:paraId="67CA7EFA">
            <w:pPr>
              <w:jc w:val="center"/>
              <w:rPr>
                <w:rFonts w:hint="eastAsia" w:ascii="宋体" w:hAnsi="宋体"/>
                <w:szCs w:val="21"/>
              </w:rPr>
            </w:pPr>
            <w:r>
              <w:rPr>
                <w:rFonts w:hint="eastAsia" w:ascii="宋体" w:hAnsi="宋体"/>
                <w:szCs w:val="21"/>
              </w:rPr>
              <w:t>台</w:t>
            </w:r>
          </w:p>
        </w:tc>
        <w:tc>
          <w:tcPr>
            <w:tcW w:w="653" w:type="dxa"/>
            <w:noWrap w:val="0"/>
            <w:vAlign w:val="center"/>
          </w:tcPr>
          <w:p w14:paraId="295D554D">
            <w:pPr>
              <w:pStyle w:val="36"/>
              <w:tabs>
                <w:tab w:val="clear" w:pos="4153"/>
                <w:tab w:val="clear" w:pos="8306"/>
              </w:tabs>
              <w:snapToGrid/>
              <w:jc w:val="center"/>
              <w:rPr>
                <w:rFonts w:hint="eastAsia" w:ascii="宋体" w:hAnsi="宋体"/>
                <w:sz w:val="21"/>
                <w:szCs w:val="21"/>
              </w:rPr>
            </w:pPr>
            <w:r>
              <w:rPr>
                <w:rFonts w:hint="eastAsia" w:ascii="宋体" w:hAnsi="宋体"/>
                <w:sz w:val="21"/>
                <w:szCs w:val="21"/>
              </w:rPr>
              <w:t>1</w:t>
            </w:r>
          </w:p>
        </w:tc>
        <w:tc>
          <w:tcPr>
            <w:tcW w:w="2675" w:type="dxa"/>
            <w:noWrap w:val="0"/>
            <w:vAlign w:val="center"/>
          </w:tcPr>
          <w:p w14:paraId="7F467533">
            <w:pPr>
              <w:rPr>
                <w:rFonts w:hint="eastAsia" w:ascii="宋体" w:hAnsi="宋体"/>
                <w:szCs w:val="21"/>
              </w:rPr>
            </w:pPr>
          </w:p>
        </w:tc>
      </w:tr>
      <w:tr w14:paraId="595A8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5079ED3E">
            <w:pPr>
              <w:rPr>
                <w:rFonts w:hint="eastAsia" w:ascii="宋体" w:hAnsi="宋体"/>
                <w:szCs w:val="21"/>
              </w:rPr>
            </w:pPr>
            <w:r>
              <w:rPr>
                <w:rFonts w:hint="eastAsia" w:ascii="宋体" w:hAnsi="宋体"/>
                <w:szCs w:val="21"/>
              </w:rPr>
              <w:t>34</w:t>
            </w:r>
          </w:p>
        </w:tc>
        <w:tc>
          <w:tcPr>
            <w:tcW w:w="2448" w:type="dxa"/>
            <w:noWrap w:val="0"/>
            <w:vAlign w:val="center"/>
          </w:tcPr>
          <w:p w14:paraId="10627282">
            <w:pPr>
              <w:jc w:val="left"/>
              <w:rPr>
                <w:rFonts w:hint="eastAsia" w:ascii="宋体" w:hAnsi="宋体"/>
                <w:szCs w:val="21"/>
              </w:rPr>
            </w:pPr>
            <w:r>
              <w:rPr>
                <w:rFonts w:hint="eastAsia" w:ascii="宋体" w:hAnsi="宋体"/>
                <w:szCs w:val="21"/>
              </w:rPr>
              <w:t>氧气呼吸器</w:t>
            </w:r>
          </w:p>
        </w:tc>
        <w:tc>
          <w:tcPr>
            <w:tcW w:w="1930" w:type="dxa"/>
            <w:noWrap w:val="0"/>
            <w:vAlign w:val="center"/>
          </w:tcPr>
          <w:p w14:paraId="01892BB3">
            <w:pPr>
              <w:rPr>
                <w:rFonts w:hint="eastAsia" w:ascii="宋体" w:hAnsi="宋体"/>
                <w:szCs w:val="21"/>
              </w:rPr>
            </w:pPr>
            <w:r>
              <w:rPr>
                <w:rFonts w:hint="eastAsia" w:ascii="宋体" w:hAnsi="宋体"/>
                <w:szCs w:val="21"/>
              </w:rPr>
              <w:t>AHG-6（4h）</w:t>
            </w:r>
          </w:p>
        </w:tc>
        <w:tc>
          <w:tcPr>
            <w:tcW w:w="633" w:type="dxa"/>
            <w:noWrap w:val="0"/>
            <w:vAlign w:val="center"/>
          </w:tcPr>
          <w:p w14:paraId="06A28113">
            <w:pPr>
              <w:jc w:val="center"/>
              <w:rPr>
                <w:rFonts w:hint="eastAsia" w:ascii="宋体" w:hAnsi="宋体"/>
                <w:szCs w:val="21"/>
              </w:rPr>
            </w:pPr>
            <w:r>
              <w:rPr>
                <w:rFonts w:hint="eastAsia" w:ascii="宋体" w:hAnsi="宋体"/>
                <w:szCs w:val="21"/>
              </w:rPr>
              <w:t>台</w:t>
            </w:r>
          </w:p>
        </w:tc>
        <w:tc>
          <w:tcPr>
            <w:tcW w:w="653" w:type="dxa"/>
            <w:noWrap w:val="0"/>
            <w:vAlign w:val="center"/>
          </w:tcPr>
          <w:p w14:paraId="3015C419">
            <w:pPr>
              <w:pStyle w:val="36"/>
              <w:tabs>
                <w:tab w:val="clear" w:pos="4153"/>
                <w:tab w:val="clear" w:pos="8306"/>
              </w:tabs>
              <w:snapToGrid/>
              <w:jc w:val="center"/>
              <w:rPr>
                <w:rFonts w:hint="eastAsia" w:ascii="宋体" w:hAnsi="宋体"/>
                <w:sz w:val="21"/>
                <w:szCs w:val="21"/>
              </w:rPr>
            </w:pPr>
            <w:r>
              <w:rPr>
                <w:rFonts w:hint="eastAsia" w:ascii="宋体" w:hAnsi="宋体"/>
                <w:sz w:val="21"/>
                <w:szCs w:val="21"/>
              </w:rPr>
              <w:t>1</w:t>
            </w:r>
          </w:p>
        </w:tc>
        <w:tc>
          <w:tcPr>
            <w:tcW w:w="2675" w:type="dxa"/>
            <w:noWrap w:val="0"/>
            <w:vAlign w:val="center"/>
          </w:tcPr>
          <w:p w14:paraId="77FA7147">
            <w:pPr>
              <w:rPr>
                <w:rFonts w:hint="eastAsia" w:ascii="宋体" w:hAnsi="宋体"/>
                <w:szCs w:val="21"/>
              </w:rPr>
            </w:pPr>
            <w:r>
              <w:rPr>
                <w:rFonts w:hint="eastAsia" w:ascii="宋体" w:hAnsi="宋体"/>
                <w:szCs w:val="21"/>
              </w:rPr>
              <w:t>每人1台，口具鼻夹式，包括防烟眼镜</w:t>
            </w:r>
          </w:p>
        </w:tc>
      </w:tr>
      <w:tr w14:paraId="0EDA3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3896CCEA">
            <w:pPr>
              <w:rPr>
                <w:rFonts w:hint="eastAsia" w:ascii="宋体" w:hAnsi="宋体"/>
                <w:szCs w:val="21"/>
              </w:rPr>
            </w:pPr>
            <w:r>
              <w:rPr>
                <w:rFonts w:hint="eastAsia" w:ascii="宋体" w:hAnsi="宋体"/>
                <w:szCs w:val="21"/>
              </w:rPr>
              <w:t>35</w:t>
            </w:r>
          </w:p>
        </w:tc>
        <w:tc>
          <w:tcPr>
            <w:tcW w:w="2448" w:type="dxa"/>
            <w:noWrap w:val="0"/>
            <w:vAlign w:val="center"/>
          </w:tcPr>
          <w:p w14:paraId="1F2DA8B9">
            <w:pPr>
              <w:jc w:val="left"/>
              <w:rPr>
                <w:rFonts w:hint="eastAsia" w:ascii="宋体" w:hAnsi="宋体"/>
                <w:szCs w:val="21"/>
              </w:rPr>
            </w:pPr>
            <w:r>
              <w:rPr>
                <w:rFonts w:hint="eastAsia" w:ascii="宋体" w:hAnsi="宋体"/>
                <w:szCs w:val="21"/>
              </w:rPr>
              <w:t>战斗服</w:t>
            </w:r>
          </w:p>
        </w:tc>
        <w:tc>
          <w:tcPr>
            <w:tcW w:w="1930" w:type="dxa"/>
            <w:noWrap w:val="0"/>
            <w:vAlign w:val="center"/>
          </w:tcPr>
          <w:p w14:paraId="699EDCBC">
            <w:pPr>
              <w:rPr>
                <w:rFonts w:ascii="宋体" w:hAnsi="宋体"/>
                <w:szCs w:val="21"/>
              </w:rPr>
            </w:pPr>
          </w:p>
        </w:tc>
        <w:tc>
          <w:tcPr>
            <w:tcW w:w="633" w:type="dxa"/>
            <w:noWrap w:val="0"/>
            <w:vAlign w:val="center"/>
          </w:tcPr>
          <w:p w14:paraId="6CEB6E94">
            <w:pPr>
              <w:jc w:val="center"/>
              <w:rPr>
                <w:rFonts w:hint="eastAsia" w:ascii="宋体" w:hAnsi="宋体"/>
                <w:szCs w:val="21"/>
              </w:rPr>
            </w:pPr>
            <w:r>
              <w:rPr>
                <w:rFonts w:hint="eastAsia" w:ascii="宋体" w:hAnsi="宋体"/>
                <w:szCs w:val="21"/>
              </w:rPr>
              <w:t>套</w:t>
            </w:r>
          </w:p>
        </w:tc>
        <w:tc>
          <w:tcPr>
            <w:tcW w:w="653" w:type="dxa"/>
            <w:noWrap w:val="0"/>
            <w:vAlign w:val="center"/>
          </w:tcPr>
          <w:p w14:paraId="433F72C4">
            <w:pPr>
              <w:jc w:val="center"/>
              <w:rPr>
                <w:rFonts w:hint="eastAsia" w:ascii="宋体" w:hAnsi="宋体"/>
                <w:szCs w:val="21"/>
              </w:rPr>
            </w:pPr>
            <w:r>
              <w:rPr>
                <w:rFonts w:hint="eastAsia" w:ascii="宋体" w:hAnsi="宋体"/>
                <w:szCs w:val="21"/>
              </w:rPr>
              <w:t>10</w:t>
            </w:r>
          </w:p>
        </w:tc>
        <w:tc>
          <w:tcPr>
            <w:tcW w:w="2675" w:type="dxa"/>
            <w:noWrap w:val="0"/>
            <w:vAlign w:val="center"/>
          </w:tcPr>
          <w:p w14:paraId="4249FECA">
            <w:pPr>
              <w:rPr>
                <w:rFonts w:ascii="宋体" w:hAnsi="宋体"/>
                <w:szCs w:val="21"/>
              </w:rPr>
            </w:pPr>
            <w:r>
              <w:rPr>
                <w:rFonts w:hint="eastAsia" w:ascii="宋体" w:hAnsi="宋体"/>
                <w:szCs w:val="21"/>
              </w:rPr>
              <w:t>每人一套</w:t>
            </w:r>
          </w:p>
        </w:tc>
      </w:tr>
      <w:tr w14:paraId="3270D3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F48D0D2">
            <w:pPr>
              <w:rPr>
                <w:rFonts w:hint="eastAsia" w:ascii="宋体" w:hAnsi="宋体"/>
                <w:szCs w:val="21"/>
              </w:rPr>
            </w:pPr>
            <w:r>
              <w:rPr>
                <w:rFonts w:hint="eastAsia" w:ascii="宋体" w:hAnsi="宋体"/>
                <w:szCs w:val="21"/>
              </w:rPr>
              <w:t>36</w:t>
            </w:r>
          </w:p>
        </w:tc>
        <w:tc>
          <w:tcPr>
            <w:tcW w:w="2448" w:type="dxa"/>
            <w:noWrap w:val="0"/>
            <w:vAlign w:val="center"/>
          </w:tcPr>
          <w:p w14:paraId="1D555F24">
            <w:pPr>
              <w:jc w:val="left"/>
              <w:rPr>
                <w:rFonts w:hint="eastAsia" w:ascii="宋体" w:hAnsi="宋体"/>
                <w:szCs w:val="21"/>
              </w:rPr>
            </w:pPr>
            <w:r>
              <w:rPr>
                <w:rFonts w:hint="eastAsia" w:ascii="宋体" w:hAnsi="宋体"/>
                <w:szCs w:val="21"/>
              </w:rPr>
              <w:t>胶靴或胶</w:t>
            </w:r>
          </w:p>
        </w:tc>
        <w:tc>
          <w:tcPr>
            <w:tcW w:w="1930" w:type="dxa"/>
            <w:noWrap w:val="0"/>
            <w:vAlign w:val="center"/>
          </w:tcPr>
          <w:p w14:paraId="534E5B03">
            <w:pPr>
              <w:rPr>
                <w:rFonts w:ascii="宋体" w:hAnsi="宋体"/>
                <w:szCs w:val="21"/>
              </w:rPr>
            </w:pPr>
          </w:p>
        </w:tc>
        <w:tc>
          <w:tcPr>
            <w:tcW w:w="633" w:type="dxa"/>
            <w:noWrap w:val="0"/>
            <w:vAlign w:val="center"/>
          </w:tcPr>
          <w:p w14:paraId="278A76EE">
            <w:pPr>
              <w:jc w:val="center"/>
              <w:rPr>
                <w:rFonts w:hint="eastAsia" w:ascii="宋体" w:hAnsi="宋体"/>
                <w:szCs w:val="21"/>
              </w:rPr>
            </w:pPr>
            <w:r>
              <w:rPr>
                <w:rFonts w:hint="eastAsia" w:ascii="宋体" w:hAnsi="宋体"/>
                <w:szCs w:val="21"/>
              </w:rPr>
              <w:t>双</w:t>
            </w:r>
          </w:p>
        </w:tc>
        <w:tc>
          <w:tcPr>
            <w:tcW w:w="653" w:type="dxa"/>
            <w:noWrap w:val="0"/>
            <w:vAlign w:val="center"/>
          </w:tcPr>
          <w:p w14:paraId="5F19D14E">
            <w:pPr>
              <w:jc w:val="center"/>
              <w:rPr>
                <w:rFonts w:hint="eastAsia" w:ascii="宋体" w:hAnsi="宋体"/>
                <w:szCs w:val="21"/>
              </w:rPr>
            </w:pPr>
            <w:r>
              <w:rPr>
                <w:rFonts w:hint="eastAsia" w:ascii="宋体" w:hAnsi="宋体"/>
                <w:szCs w:val="21"/>
              </w:rPr>
              <w:t>10</w:t>
            </w:r>
          </w:p>
        </w:tc>
        <w:tc>
          <w:tcPr>
            <w:tcW w:w="2675" w:type="dxa"/>
            <w:noWrap w:val="0"/>
            <w:vAlign w:val="center"/>
          </w:tcPr>
          <w:p w14:paraId="465921B4">
            <w:pPr>
              <w:rPr>
                <w:rFonts w:ascii="宋体" w:hAnsi="宋体"/>
                <w:szCs w:val="21"/>
              </w:rPr>
            </w:pPr>
            <w:r>
              <w:rPr>
                <w:rFonts w:hint="eastAsia" w:ascii="宋体" w:hAnsi="宋体"/>
                <w:szCs w:val="21"/>
              </w:rPr>
              <w:t>每人一双</w:t>
            </w:r>
          </w:p>
        </w:tc>
      </w:tr>
      <w:tr w14:paraId="0D78D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251672B5">
            <w:pPr>
              <w:rPr>
                <w:rFonts w:hint="eastAsia" w:ascii="宋体" w:hAnsi="宋体"/>
                <w:szCs w:val="21"/>
              </w:rPr>
            </w:pPr>
            <w:r>
              <w:rPr>
                <w:rFonts w:hint="eastAsia" w:ascii="宋体" w:hAnsi="宋体"/>
                <w:szCs w:val="21"/>
              </w:rPr>
              <w:t>37</w:t>
            </w:r>
          </w:p>
        </w:tc>
        <w:tc>
          <w:tcPr>
            <w:tcW w:w="2448" w:type="dxa"/>
            <w:noWrap w:val="0"/>
            <w:vAlign w:val="center"/>
          </w:tcPr>
          <w:p w14:paraId="1202F8EA">
            <w:pPr>
              <w:jc w:val="left"/>
              <w:rPr>
                <w:rFonts w:hint="eastAsia" w:ascii="宋体" w:hAnsi="宋体"/>
                <w:szCs w:val="21"/>
              </w:rPr>
            </w:pPr>
            <w:r>
              <w:rPr>
                <w:rFonts w:hint="eastAsia" w:ascii="宋体" w:hAnsi="宋体"/>
                <w:szCs w:val="21"/>
              </w:rPr>
              <w:t>线手套</w:t>
            </w:r>
          </w:p>
        </w:tc>
        <w:tc>
          <w:tcPr>
            <w:tcW w:w="1930" w:type="dxa"/>
            <w:noWrap w:val="0"/>
            <w:vAlign w:val="center"/>
          </w:tcPr>
          <w:p w14:paraId="42CA42E2">
            <w:pPr>
              <w:rPr>
                <w:rFonts w:ascii="宋体" w:hAnsi="宋体"/>
                <w:szCs w:val="21"/>
              </w:rPr>
            </w:pPr>
          </w:p>
        </w:tc>
        <w:tc>
          <w:tcPr>
            <w:tcW w:w="633" w:type="dxa"/>
            <w:noWrap w:val="0"/>
            <w:vAlign w:val="center"/>
          </w:tcPr>
          <w:p w14:paraId="32E368C2">
            <w:pPr>
              <w:jc w:val="center"/>
              <w:rPr>
                <w:rFonts w:hint="eastAsia" w:ascii="宋体" w:hAnsi="宋体"/>
                <w:szCs w:val="21"/>
              </w:rPr>
            </w:pPr>
            <w:r>
              <w:rPr>
                <w:rFonts w:hint="eastAsia" w:ascii="宋体" w:hAnsi="宋体"/>
                <w:szCs w:val="21"/>
              </w:rPr>
              <w:t>双</w:t>
            </w:r>
          </w:p>
        </w:tc>
        <w:tc>
          <w:tcPr>
            <w:tcW w:w="653" w:type="dxa"/>
            <w:noWrap w:val="0"/>
            <w:vAlign w:val="center"/>
          </w:tcPr>
          <w:p w14:paraId="6FAF2C12">
            <w:pPr>
              <w:jc w:val="center"/>
              <w:rPr>
                <w:rFonts w:hint="eastAsia" w:ascii="宋体" w:hAnsi="宋体"/>
                <w:szCs w:val="21"/>
              </w:rPr>
            </w:pPr>
            <w:r>
              <w:rPr>
                <w:rFonts w:hint="eastAsia" w:ascii="宋体" w:hAnsi="宋体"/>
                <w:szCs w:val="21"/>
              </w:rPr>
              <w:t>10</w:t>
            </w:r>
          </w:p>
        </w:tc>
        <w:tc>
          <w:tcPr>
            <w:tcW w:w="2675" w:type="dxa"/>
            <w:noWrap w:val="0"/>
            <w:vAlign w:val="center"/>
          </w:tcPr>
          <w:p w14:paraId="497515A9">
            <w:pPr>
              <w:rPr>
                <w:rFonts w:ascii="宋体" w:hAnsi="宋体"/>
                <w:szCs w:val="21"/>
              </w:rPr>
            </w:pPr>
            <w:r>
              <w:rPr>
                <w:rFonts w:hint="eastAsia" w:ascii="宋体" w:hAnsi="宋体"/>
                <w:szCs w:val="21"/>
              </w:rPr>
              <w:t>每人一双</w:t>
            </w:r>
          </w:p>
        </w:tc>
      </w:tr>
      <w:tr w14:paraId="4DA0A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5B4F9B5">
            <w:pPr>
              <w:rPr>
                <w:rFonts w:hint="eastAsia" w:ascii="宋体" w:hAnsi="宋体"/>
                <w:szCs w:val="21"/>
              </w:rPr>
            </w:pPr>
            <w:r>
              <w:rPr>
                <w:rFonts w:hint="eastAsia" w:ascii="宋体" w:hAnsi="宋体"/>
                <w:szCs w:val="21"/>
              </w:rPr>
              <w:t>38</w:t>
            </w:r>
          </w:p>
        </w:tc>
        <w:tc>
          <w:tcPr>
            <w:tcW w:w="2448" w:type="dxa"/>
            <w:noWrap w:val="0"/>
            <w:vAlign w:val="center"/>
          </w:tcPr>
          <w:p w14:paraId="2C325357">
            <w:pPr>
              <w:jc w:val="left"/>
              <w:rPr>
                <w:rFonts w:hint="eastAsia" w:ascii="宋体" w:hAnsi="宋体"/>
                <w:szCs w:val="21"/>
              </w:rPr>
            </w:pPr>
            <w:r>
              <w:rPr>
                <w:rFonts w:hint="eastAsia" w:ascii="宋体" w:hAnsi="宋体"/>
                <w:szCs w:val="21"/>
              </w:rPr>
              <w:t>安全帽</w:t>
            </w:r>
          </w:p>
        </w:tc>
        <w:tc>
          <w:tcPr>
            <w:tcW w:w="1930" w:type="dxa"/>
            <w:noWrap w:val="0"/>
            <w:vAlign w:val="center"/>
          </w:tcPr>
          <w:p w14:paraId="501EBB8C">
            <w:pPr>
              <w:rPr>
                <w:rFonts w:ascii="宋体" w:hAnsi="宋体"/>
                <w:szCs w:val="21"/>
              </w:rPr>
            </w:pPr>
          </w:p>
        </w:tc>
        <w:tc>
          <w:tcPr>
            <w:tcW w:w="633" w:type="dxa"/>
            <w:noWrap w:val="0"/>
            <w:vAlign w:val="center"/>
          </w:tcPr>
          <w:p w14:paraId="6E577FDE">
            <w:pPr>
              <w:jc w:val="center"/>
              <w:rPr>
                <w:rFonts w:hint="eastAsia" w:ascii="宋体" w:hAnsi="宋体"/>
                <w:szCs w:val="21"/>
              </w:rPr>
            </w:pPr>
            <w:r>
              <w:rPr>
                <w:rFonts w:hint="eastAsia" w:ascii="宋体" w:hAnsi="宋体"/>
                <w:szCs w:val="21"/>
              </w:rPr>
              <w:t>顶</w:t>
            </w:r>
          </w:p>
        </w:tc>
        <w:tc>
          <w:tcPr>
            <w:tcW w:w="653" w:type="dxa"/>
            <w:noWrap w:val="0"/>
            <w:vAlign w:val="center"/>
          </w:tcPr>
          <w:p w14:paraId="04717AA7">
            <w:pPr>
              <w:jc w:val="center"/>
              <w:rPr>
                <w:rFonts w:hint="eastAsia" w:ascii="宋体" w:hAnsi="宋体"/>
                <w:szCs w:val="21"/>
              </w:rPr>
            </w:pPr>
            <w:r>
              <w:rPr>
                <w:rFonts w:hint="eastAsia" w:ascii="宋体" w:hAnsi="宋体"/>
                <w:szCs w:val="21"/>
              </w:rPr>
              <w:t>10</w:t>
            </w:r>
          </w:p>
        </w:tc>
        <w:tc>
          <w:tcPr>
            <w:tcW w:w="2675" w:type="dxa"/>
            <w:noWrap w:val="0"/>
            <w:vAlign w:val="center"/>
          </w:tcPr>
          <w:p w14:paraId="3DDCAF58">
            <w:pPr>
              <w:rPr>
                <w:rFonts w:ascii="宋体" w:hAnsi="宋体"/>
                <w:szCs w:val="21"/>
              </w:rPr>
            </w:pPr>
            <w:r>
              <w:rPr>
                <w:rFonts w:hint="eastAsia" w:ascii="宋体" w:hAnsi="宋体"/>
                <w:szCs w:val="21"/>
              </w:rPr>
              <w:t>每人一顶</w:t>
            </w:r>
          </w:p>
        </w:tc>
      </w:tr>
      <w:tr w14:paraId="7311F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489DF827">
            <w:pPr>
              <w:rPr>
                <w:rFonts w:hint="eastAsia" w:ascii="宋体" w:hAnsi="宋体"/>
                <w:szCs w:val="21"/>
              </w:rPr>
            </w:pPr>
            <w:r>
              <w:rPr>
                <w:rFonts w:hint="eastAsia" w:ascii="宋体" w:hAnsi="宋体"/>
                <w:szCs w:val="21"/>
              </w:rPr>
              <w:t>39</w:t>
            </w:r>
          </w:p>
        </w:tc>
        <w:tc>
          <w:tcPr>
            <w:tcW w:w="2448" w:type="dxa"/>
            <w:noWrap w:val="0"/>
            <w:vAlign w:val="center"/>
          </w:tcPr>
          <w:p w14:paraId="22C2E3C0">
            <w:pPr>
              <w:jc w:val="left"/>
              <w:rPr>
                <w:rFonts w:hint="eastAsia" w:ascii="宋体" w:hAnsi="宋体"/>
                <w:szCs w:val="21"/>
              </w:rPr>
            </w:pPr>
            <w:r>
              <w:rPr>
                <w:rFonts w:hint="eastAsia" w:ascii="宋体" w:hAnsi="宋体"/>
                <w:szCs w:val="21"/>
              </w:rPr>
              <w:t>灯带</w:t>
            </w:r>
          </w:p>
        </w:tc>
        <w:tc>
          <w:tcPr>
            <w:tcW w:w="1930" w:type="dxa"/>
            <w:noWrap w:val="0"/>
            <w:vAlign w:val="center"/>
          </w:tcPr>
          <w:p w14:paraId="228022E1">
            <w:pPr>
              <w:rPr>
                <w:rFonts w:ascii="宋体" w:hAnsi="宋体"/>
                <w:szCs w:val="21"/>
              </w:rPr>
            </w:pPr>
          </w:p>
        </w:tc>
        <w:tc>
          <w:tcPr>
            <w:tcW w:w="633" w:type="dxa"/>
            <w:noWrap w:val="0"/>
            <w:vAlign w:val="center"/>
          </w:tcPr>
          <w:p w14:paraId="1CC2C36F">
            <w:pPr>
              <w:jc w:val="center"/>
              <w:rPr>
                <w:rFonts w:hint="eastAsia" w:ascii="宋体" w:hAnsi="宋体"/>
                <w:szCs w:val="21"/>
              </w:rPr>
            </w:pPr>
            <w:r>
              <w:rPr>
                <w:rFonts w:hint="eastAsia" w:ascii="宋体" w:hAnsi="宋体"/>
                <w:szCs w:val="21"/>
              </w:rPr>
              <w:t>条</w:t>
            </w:r>
          </w:p>
        </w:tc>
        <w:tc>
          <w:tcPr>
            <w:tcW w:w="653" w:type="dxa"/>
            <w:noWrap w:val="0"/>
            <w:vAlign w:val="center"/>
          </w:tcPr>
          <w:p w14:paraId="43CF57AD">
            <w:pPr>
              <w:jc w:val="center"/>
              <w:rPr>
                <w:rFonts w:hint="eastAsia" w:ascii="宋体" w:hAnsi="宋体"/>
                <w:szCs w:val="21"/>
              </w:rPr>
            </w:pPr>
            <w:r>
              <w:rPr>
                <w:rFonts w:hint="eastAsia" w:ascii="宋体" w:hAnsi="宋体"/>
                <w:szCs w:val="21"/>
              </w:rPr>
              <w:t>20</w:t>
            </w:r>
          </w:p>
        </w:tc>
        <w:tc>
          <w:tcPr>
            <w:tcW w:w="2675" w:type="dxa"/>
            <w:noWrap w:val="0"/>
            <w:vAlign w:val="center"/>
          </w:tcPr>
          <w:p w14:paraId="7BCD5CA1">
            <w:pPr>
              <w:rPr>
                <w:rFonts w:ascii="宋体" w:hAnsi="宋体"/>
                <w:szCs w:val="21"/>
              </w:rPr>
            </w:pPr>
            <w:r>
              <w:rPr>
                <w:rFonts w:hint="eastAsia" w:ascii="宋体" w:hAnsi="宋体"/>
                <w:szCs w:val="21"/>
              </w:rPr>
              <w:t>每人二条</w:t>
            </w:r>
          </w:p>
        </w:tc>
      </w:tr>
      <w:tr w14:paraId="1181E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2F76F05">
            <w:pPr>
              <w:rPr>
                <w:rFonts w:hint="eastAsia" w:ascii="宋体" w:hAnsi="宋体"/>
                <w:szCs w:val="21"/>
              </w:rPr>
            </w:pPr>
            <w:r>
              <w:rPr>
                <w:rFonts w:hint="eastAsia" w:ascii="宋体" w:hAnsi="宋体"/>
                <w:szCs w:val="21"/>
              </w:rPr>
              <w:t>40</w:t>
            </w:r>
          </w:p>
        </w:tc>
        <w:tc>
          <w:tcPr>
            <w:tcW w:w="2448" w:type="dxa"/>
            <w:noWrap w:val="0"/>
            <w:vAlign w:val="center"/>
          </w:tcPr>
          <w:p w14:paraId="504A30E9">
            <w:pPr>
              <w:rPr>
                <w:rFonts w:hint="eastAsia" w:ascii="宋体" w:hAnsi="宋体"/>
                <w:szCs w:val="21"/>
              </w:rPr>
            </w:pPr>
            <w:r>
              <w:rPr>
                <w:rFonts w:hint="eastAsia" w:ascii="宋体" w:hAnsi="宋体"/>
                <w:szCs w:val="21"/>
              </w:rPr>
              <w:t>背包</w:t>
            </w:r>
          </w:p>
        </w:tc>
        <w:tc>
          <w:tcPr>
            <w:tcW w:w="1930" w:type="dxa"/>
            <w:noWrap w:val="0"/>
            <w:vAlign w:val="center"/>
          </w:tcPr>
          <w:p w14:paraId="2822E9DE">
            <w:pPr>
              <w:rPr>
                <w:rFonts w:ascii="宋体" w:hAnsi="宋体"/>
                <w:szCs w:val="21"/>
              </w:rPr>
            </w:pPr>
          </w:p>
        </w:tc>
        <w:tc>
          <w:tcPr>
            <w:tcW w:w="633" w:type="dxa"/>
            <w:noWrap w:val="0"/>
            <w:vAlign w:val="center"/>
          </w:tcPr>
          <w:p w14:paraId="03456322">
            <w:pPr>
              <w:jc w:val="center"/>
              <w:rPr>
                <w:rFonts w:hint="eastAsia" w:ascii="宋体" w:hAnsi="宋体"/>
                <w:szCs w:val="21"/>
              </w:rPr>
            </w:pPr>
            <w:r>
              <w:rPr>
                <w:rFonts w:hint="eastAsia" w:ascii="宋体" w:hAnsi="宋体"/>
                <w:szCs w:val="21"/>
              </w:rPr>
              <w:t>个</w:t>
            </w:r>
          </w:p>
        </w:tc>
        <w:tc>
          <w:tcPr>
            <w:tcW w:w="653" w:type="dxa"/>
            <w:noWrap w:val="0"/>
            <w:vAlign w:val="center"/>
          </w:tcPr>
          <w:p w14:paraId="248A1F43">
            <w:pPr>
              <w:jc w:val="center"/>
              <w:rPr>
                <w:rFonts w:hint="eastAsia" w:ascii="宋体" w:hAnsi="宋体"/>
                <w:szCs w:val="21"/>
              </w:rPr>
            </w:pPr>
            <w:r>
              <w:rPr>
                <w:rFonts w:hint="eastAsia" w:ascii="宋体" w:hAnsi="宋体"/>
                <w:szCs w:val="21"/>
              </w:rPr>
              <w:t>10</w:t>
            </w:r>
          </w:p>
        </w:tc>
        <w:tc>
          <w:tcPr>
            <w:tcW w:w="2675" w:type="dxa"/>
            <w:noWrap w:val="0"/>
            <w:vAlign w:val="center"/>
          </w:tcPr>
          <w:p w14:paraId="49E3283F">
            <w:pPr>
              <w:rPr>
                <w:rFonts w:ascii="宋体" w:hAnsi="宋体"/>
                <w:szCs w:val="21"/>
              </w:rPr>
            </w:pPr>
            <w:r>
              <w:rPr>
                <w:rFonts w:hint="eastAsia" w:ascii="宋体" w:hAnsi="宋体"/>
                <w:szCs w:val="21"/>
              </w:rPr>
              <w:t>每人一个，装战斗服</w:t>
            </w:r>
          </w:p>
        </w:tc>
      </w:tr>
      <w:tr w14:paraId="1C1B3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0693C3DF">
            <w:pPr>
              <w:rPr>
                <w:rFonts w:hint="eastAsia" w:ascii="宋体" w:hAnsi="宋体"/>
                <w:szCs w:val="21"/>
              </w:rPr>
            </w:pPr>
            <w:r>
              <w:rPr>
                <w:rFonts w:hint="eastAsia" w:ascii="宋体" w:hAnsi="宋体"/>
                <w:szCs w:val="21"/>
              </w:rPr>
              <w:t>41</w:t>
            </w:r>
          </w:p>
        </w:tc>
        <w:tc>
          <w:tcPr>
            <w:tcW w:w="2448" w:type="dxa"/>
            <w:noWrap w:val="0"/>
            <w:vAlign w:val="center"/>
          </w:tcPr>
          <w:p w14:paraId="48F74B1A">
            <w:pPr>
              <w:rPr>
                <w:rFonts w:ascii="宋体" w:hAnsi="宋体"/>
                <w:szCs w:val="21"/>
              </w:rPr>
            </w:pPr>
            <w:r>
              <w:rPr>
                <w:rFonts w:hint="eastAsia" w:ascii="宋体" w:hAnsi="宋体"/>
                <w:szCs w:val="21"/>
              </w:rPr>
              <w:t>氧气呼吸器工具</w:t>
            </w:r>
          </w:p>
        </w:tc>
        <w:tc>
          <w:tcPr>
            <w:tcW w:w="1930" w:type="dxa"/>
            <w:noWrap w:val="0"/>
            <w:vAlign w:val="center"/>
          </w:tcPr>
          <w:p w14:paraId="367EA181">
            <w:pPr>
              <w:rPr>
                <w:rFonts w:ascii="宋体" w:hAnsi="宋体"/>
                <w:szCs w:val="21"/>
              </w:rPr>
            </w:pPr>
          </w:p>
        </w:tc>
        <w:tc>
          <w:tcPr>
            <w:tcW w:w="633" w:type="dxa"/>
            <w:noWrap w:val="0"/>
            <w:vAlign w:val="center"/>
          </w:tcPr>
          <w:p w14:paraId="6DCBA238">
            <w:pPr>
              <w:jc w:val="center"/>
              <w:rPr>
                <w:rFonts w:hint="eastAsia" w:ascii="宋体" w:hAnsi="宋体"/>
                <w:szCs w:val="21"/>
              </w:rPr>
            </w:pPr>
            <w:r>
              <w:rPr>
                <w:rFonts w:hint="eastAsia" w:ascii="宋体" w:hAnsi="宋体"/>
                <w:szCs w:val="21"/>
              </w:rPr>
              <w:t>套</w:t>
            </w:r>
          </w:p>
        </w:tc>
        <w:tc>
          <w:tcPr>
            <w:tcW w:w="653" w:type="dxa"/>
            <w:noWrap w:val="0"/>
            <w:vAlign w:val="center"/>
          </w:tcPr>
          <w:p w14:paraId="2A96D9E3">
            <w:pPr>
              <w:jc w:val="center"/>
              <w:rPr>
                <w:rFonts w:hint="eastAsia" w:ascii="宋体" w:hAnsi="宋体"/>
                <w:szCs w:val="21"/>
              </w:rPr>
            </w:pPr>
            <w:r>
              <w:rPr>
                <w:rFonts w:hint="eastAsia" w:ascii="宋体" w:hAnsi="宋体"/>
                <w:szCs w:val="21"/>
              </w:rPr>
              <w:t>10</w:t>
            </w:r>
          </w:p>
        </w:tc>
        <w:tc>
          <w:tcPr>
            <w:tcW w:w="2675" w:type="dxa"/>
            <w:noWrap w:val="0"/>
            <w:vAlign w:val="center"/>
          </w:tcPr>
          <w:p w14:paraId="4CD2003B">
            <w:pPr>
              <w:rPr>
                <w:rFonts w:ascii="宋体" w:hAnsi="宋体"/>
                <w:szCs w:val="21"/>
              </w:rPr>
            </w:pPr>
            <w:r>
              <w:rPr>
                <w:rFonts w:hint="eastAsia" w:ascii="宋体" w:hAnsi="宋体"/>
                <w:szCs w:val="21"/>
              </w:rPr>
              <w:t>每人一套</w:t>
            </w:r>
          </w:p>
        </w:tc>
      </w:tr>
      <w:tr w14:paraId="45171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5D79759B">
            <w:pPr>
              <w:rPr>
                <w:rFonts w:hint="eastAsia" w:ascii="宋体" w:hAnsi="宋体"/>
                <w:szCs w:val="21"/>
              </w:rPr>
            </w:pPr>
            <w:r>
              <w:rPr>
                <w:rFonts w:hint="eastAsia" w:ascii="宋体" w:hAnsi="宋体"/>
                <w:szCs w:val="21"/>
              </w:rPr>
              <w:t>42</w:t>
            </w:r>
          </w:p>
        </w:tc>
        <w:tc>
          <w:tcPr>
            <w:tcW w:w="2448" w:type="dxa"/>
            <w:noWrap w:val="0"/>
            <w:vAlign w:val="center"/>
          </w:tcPr>
          <w:p w14:paraId="768E919C">
            <w:pPr>
              <w:rPr>
                <w:rFonts w:hint="eastAsia" w:ascii="宋体" w:hAnsi="宋体"/>
                <w:szCs w:val="21"/>
              </w:rPr>
            </w:pPr>
            <w:r>
              <w:rPr>
                <w:rFonts w:hint="eastAsia" w:ascii="宋体" w:hAnsi="宋体"/>
                <w:szCs w:val="21"/>
              </w:rPr>
              <w:t>联络绳</w:t>
            </w:r>
          </w:p>
        </w:tc>
        <w:tc>
          <w:tcPr>
            <w:tcW w:w="1930" w:type="dxa"/>
            <w:noWrap w:val="0"/>
            <w:vAlign w:val="center"/>
          </w:tcPr>
          <w:p w14:paraId="0EB3BEA3">
            <w:pPr>
              <w:rPr>
                <w:rFonts w:hint="eastAsia" w:ascii="宋体" w:hAnsi="宋体"/>
                <w:szCs w:val="21"/>
              </w:rPr>
            </w:pPr>
            <w:r>
              <w:rPr>
                <w:rFonts w:hint="eastAsia" w:ascii="宋体" w:hAnsi="宋体"/>
                <w:szCs w:val="21"/>
              </w:rPr>
              <w:t>长2m</w:t>
            </w:r>
          </w:p>
        </w:tc>
        <w:tc>
          <w:tcPr>
            <w:tcW w:w="633" w:type="dxa"/>
            <w:noWrap w:val="0"/>
            <w:vAlign w:val="center"/>
          </w:tcPr>
          <w:p w14:paraId="049174AD">
            <w:pPr>
              <w:jc w:val="center"/>
              <w:rPr>
                <w:rFonts w:hint="eastAsia" w:ascii="宋体" w:hAnsi="宋体"/>
                <w:szCs w:val="21"/>
              </w:rPr>
            </w:pPr>
            <w:r>
              <w:rPr>
                <w:rFonts w:hint="eastAsia" w:ascii="宋体" w:hAnsi="宋体"/>
                <w:szCs w:val="21"/>
              </w:rPr>
              <w:t>根</w:t>
            </w:r>
          </w:p>
        </w:tc>
        <w:tc>
          <w:tcPr>
            <w:tcW w:w="653" w:type="dxa"/>
            <w:noWrap w:val="0"/>
            <w:vAlign w:val="center"/>
          </w:tcPr>
          <w:p w14:paraId="4BAB6863">
            <w:pPr>
              <w:jc w:val="center"/>
              <w:rPr>
                <w:rFonts w:hint="eastAsia" w:ascii="宋体" w:hAnsi="宋体"/>
                <w:szCs w:val="21"/>
              </w:rPr>
            </w:pPr>
            <w:r>
              <w:rPr>
                <w:rFonts w:hint="eastAsia" w:ascii="宋体" w:hAnsi="宋体"/>
                <w:szCs w:val="21"/>
              </w:rPr>
              <w:t>10</w:t>
            </w:r>
          </w:p>
        </w:tc>
        <w:tc>
          <w:tcPr>
            <w:tcW w:w="2675" w:type="dxa"/>
            <w:noWrap w:val="0"/>
            <w:vAlign w:val="center"/>
          </w:tcPr>
          <w:p w14:paraId="0FCD96CB">
            <w:pPr>
              <w:rPr>
                <w:rFonts w:ascii="宋体" w:hAnsi="宋体"/>
                <w:szCs w:val="21"/>
              </w:rPr>
            </w:pPr>
            <w:r>
              <w:rPr>
                <w:rFonts w:hint="eastAsia" w:ascii="宋体" w:hAnsi="宋体"/>
                <w:szCs w:val="21"/>
              </w:rPr>
              <w:t>每人一根，两端带弹簧钩</w:t>
            </w:r>
          </w:p>
        </w:tc>
      </w:tr>
      <w:tr w14:paraId="58EA6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5C97AAE">
            <w:pPr>
              <w:rPr>
                <w:rFonts w:hint="eastAsia" w:ascii="宋体" w:hAnsi="宋体"/>
                <w:szCs w:val="21"/>
              </w:rPr>
            </w:pPr>
            <w:r>
              <w:rPr>
                <w:rFonts w:hint="eastAsia" w:ascii="宋体" w:hAnsi="宋体"/>
                <w:szCs w:val="21"/>
              </w:rPr>
              <w:t>43</w:t>
            </w:r>
          </w:p>
        </w:tc>
        <w:tc>
          <w:tcPr>
            <w:tcW w:w="2448" w:type="dxa"/>
            <w:noWrap w:val="0"/>
            <w:vAlign w:val="center"/>
          </w:tcPr>
          <w:p w14:paraId="10DE8C36">
            <w:pPr>
              <w:jc w:val="left"/>
              <w:rPr>
                <w:rFonts w:hint="eastAsia" w:ascii="宋体" w:hAnsi="宋体"/>
                <w:szCs w:val="21"/>
              </w:rPr>
            </w:pPr>
            <w:r>
              <w:rPr>
                <w:rFonts w:hint="eastAsia" w:ascii="宋体" w:hAnsi="宋体"/>
                <w:szCs w:val="21"/>
              </w:rPr>
              <w:t>粉笔</w:t>
            </w:r>
          </w:p>
        </w:tc>
        <w:tc>
          <w:tcPr>
            <w:tcW w:w="1930" w:type="dxa"/>
            <w:noWrap w:val="0"/>
            <w:vAlign w:val="center"/>
          </w:tcPr>
          <w:p w14:paraId="21BDE7E8">
            <w:pPr>
              <w:rPr>
                <w:rFonts w:ascii="宋体" w:hAnsi="宋体"/>
                <w:szCs w:val="21"/>
              </w:rPr>
            </w:pPr>
          </w:p>
        </w:tc>
        <w:tc>
          <w:tcPr>
            <w:tcW w:w="633" w:type="dxa"/>
            <w:noWrap w:val="0"/>
            <w:vAlign w:val="center"/>
          </w:tcPr>
          <w:p w14:paraId="1036B0EA">
            <w:pPr>
              <w:jc w:val="center"/>
              <w:rPr>
                <w:rFonts w:hint="eastAsia" w:ascii="宋体" w:hAnsi="宋体"/>
                <w:szCs w:val="21"/>
              </w:rPr>
            </w:pPr>
            <w:r>
              <w:rPr>
                <w:rFonts w:hint="eastAsia" w:ascii="宋体" w:hAnsi="宋体"/>
                <w:szCs w:val="21"/>
              </w:rPr>
              <w:t>支</w:t>
            </w:r>
          </w:p>
        </w:tc>
        <w:tc>
          <w:tcPr>
            <w:tcW w:w="653" w:type="dxa"/>
            <w:noWrap w:val="0"/>
            <w:vAlign w:val="center"/>
          </w:tcPr>
          <w:p w14:paraId="186339D1">
            <w:pPr>
              <w:jc w:val="center"/>
              <w:rPr>
                <w:rFonts w:hint="eastAsia" w:ascii="宋体" w:hAnsi="宋体"/>
                <w:szCs w:val="21"/>
              </w:rPr>
            </w:pPr>
            <w:r>
              <w:rPr>
                <w:rFonts w:hint="eastAsia" w:ascii="宋体" w:hAnsi="宋体"/>
                <w:szCs w:val="21"/>
              </w:rPr>
              <w:t>20</w:t>
            </w:r>
          </w:p>
        </w:tc>
        <w:tc>
          <w:tcPr>
            <w:tcW w:w="2675" w:type="dxa"/>
            <w:noWrap w:val="0"/>
            <w:vAlign w:val="center"/>
          </w:tcPr>
          <w:p w14:paraId="62C91C6D">
            <w:pPr>
              <w:rPr>
                <w:rFonts w:ascii="宋体" w:hAnsi="宋体"/>
                <w:szCs w:val="21"/>
              </w:rPr>
            </w:pPr>
            <w:r>
              <w:rPr>
                <w:rFonts w:hint="eastAsia" w:ascii="宋体" w:hAnsi="宋体"/>
                <w:szCs w:val="21"/>
              </w:rPr>
              <w:t>每人二支</w:t>
            </w:r>
          </w:p>
        </w:tc>
      </w:tr>
      <w:tr w14:paraId="37DD5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6B057767">
            <w:pPr>
              <w:adjustRightInd w:val="0"/>
              <w:snapToGrid w:val="0"/>
              <w:rPr>
                <w:rFonts w:hint="eastAsia" w:ascii="宋体" w:hAnsi="宋体"/>
              </w:rPr>
            </w:pPr>
            <w:r>
              <w:rPr>
                <w:rFonts w:hint="eastAsia" w:ascii="宋体" w:hAnsi="宋体"/>
              </w:rPr>
              <w:t>44</w:t>
            </w:r>
          </w:p>
        </w:tc>
        <w:tc>
          <w:tcPr>
            <w:tcW w:w="2448" w:type="dxa"/>
            <w:noWrap w:val="0"/>
            <w:vAlign w:val="center"/>
          </w:tcPr>
          <w:p w14:paraId="76365D47">
            <w:pPr>
              <w:adjustRightInd w:val="0"/>
              <w:snapToGrid w:val="0"/>
              <w:rPr>
                <w:rFonts w:hint="eastAsia" w:ascii="宋体" w:hAnsi="宋体"/>
              </w:rPr>
            </w:pPr>
            <w:r>
              <w:rPr>
                <w:rFonts w:hint="eastAsia" w:ascii="宋体" w:hAnsi="宋体"/>
              </w:rPr>
              <w:t>程控电话</w:t>
            </w:r>
          </w:p>
        </w:tc>
        <w:tc>
          <w:tcPr>
            <w:tcW w:w="1930" w:type="dxa"/>
            <w:noWrap w:val="0"/>
            <w:vAlign w:val="center"/>
          </w:tcPr>
          <w:p w14:paraId="13C3B246">
            <w:pPr>
              <w:adjustRightInd w:val="0"/>
              <w:snapToGrid w:val="0"/>
              <w:jc w:val="center"/>
              <w:rPr>
                <w:rFonts w:hint="eastAsia" w:ascii="宋体" w:hAnsi="宋体"/>
              </w:rPr>
            </w:pPr>
          </w:p>
        </w:tc>
        <w:tc>
          <w:tcPr>
            <w:tcW w:w="633" w:type="dxa"/>
            <w:noWrap w:val="0"/>
            <w:vAlign w:val="center"/>
          </w:tcPr>
          <w:p w14:paraId="4C367505">
            <w:pPr>
              <w:adjustRightInd w:val="0"/>
              <w:snapToGrid w:val="0"/>
              <w:jc w:val="center"/>
              <w:rPr>
                <w:rFonts w:hint="eastAsia" w:ascii="宋体" w:hAnsi="宋体"/>
              </w:rPr>
            </w:pPr>
            <w:r>
              <w:rPr>
                <w:rFonts w:hint="eastAsia" w:ascii="宋体" w:hAnsi="宋体"/>
              </w:rPr>
              <w:t>部</w:t>
            </w:r>
          </w:p>
        </w:tc>
        <w:tc>
          <w:tcPr>
            <w:tcW w:w="653" w:type="dxa"/>
            <w:noWrap w:val="0"/>
            <w:vAlign w:val="center"/>
          </w:tcPr>
          <w:p w14:paraId="69942B2B">
            <w:pPr>
              <w:adjustRightInd w:val="0"/>
              <w:snapToGrid w:val="0"/>
              <w:jc w:val="center"/>
              <w:rPr>
                <w:rFonts w:hint="eastAsia" w:ascii="宋体" w:hAnsi="宋体"/>
              </w:rPr>
            </w:pPr>
            <w:r>
              <w:rPr>
                <w:rFonts w:hint="eastAsia" w:ascii="宋体" w:hAnsi="宋体"/>
              </w:rPr>
              <w:t>1</w:t>
            </w:r>
          </w:p>
        </w:tc>
        <w:tc>
          <w:tcPr>
            <w:tcW w:w="2675" w:type="dxa"/>
            <w:noWrap w:val="0"/>
            <w:vAlign w:val="center"/>
          </w:tcPr>
          <w:p w14:paraId="6FBF2EEB">
            <w:pPr>
              <w:rPr>
                <w:rFonts w:hint="eastAsia" w:ascii="宋体" w:hAnsi="宋体"/>
                <w:szCs w:val="21"/>
              </w:rPr>
            </w:pPr>
          </w:p>
        </w:tc>
      </w:tr>
      <w:tr w14:paraId="64AA0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9" w:hRule="atLeast"/>
          <w:jc w:val="center"/>
        </w:trPr>
        <w:tc>
          <w:tcPr>
            <w:tcW w:w="726" w:type="dxa"/>
            <w:noWrap w:val="0"/>
            <w:vAlign w:val="center"/>
          </w:tcPr>
          <w:p w14:paraId="1F882097">
            <w:pPr>
              <w:adjustRightInd w:val="0"/>
              <w:snapToGrid w:val="0"/>
              <w:rPr>
                <w:rFonts w:hint="eastAsia" w:ascii="宋体" w:hAnsi="宋体"/>
              </w:rPr>
            </w:pPr>
            <w:r>
              <w:rPr>
                <w:rFonts w:hint="eastAsia" w:ascii="宋体" w:hAnsi="宋体"/>
              </w:rPr>
              <w:t>45</w:t>
            </w:r>
          </w:p>
        </w:tc>
        <w:tc>
          <w:tcPr>
            <w:tcW w:w="2448" w:type="dxa"/>
            <w:noWrap w:val="0"/>
            <w:vAlign w:val="center"/>
          </w:tcPr>
          <w:p w14:paraId="5AA2BA64">
            <w:pPr>
              <w:adjustRightInd w:val="0"/>
              <w:snapToGrid w:val="0"/>
              <w:rPr>
                <w:rFonts w:hint="eastAsia" w:ascii="宋体" w:hAnsi="宋体"/>
              </w:rPr>
            </w:pPr>
            <w:r>
              <w:rPr>
                <w:rFonts w:hint="eastAsia" w:ascii="宋体" w:hAnsi="宋体"/>
              </w:rPr>
              <w:t>移动电话</w:t>
            </w:r>
          </w:p>
        </w:tc>
        <w:tc>
          <w:tcPr>
            <w:tcW w:w="1930" w:type="dxa"/>
            <w:noWrap w:val="0"/>
            <w:vAlign w:val="center"/>
          </w:tcPr>
          <w:p w14:paraId="381E623B">
            <w:pPr>
              <w:adjustRightInd w:val="0"/>
              <w:snapToGrid w:val="0"/>
              <w:jc w:val="center"/>
              <w:rPr>
                <w:rFonts w:hint="eastAsia" w:ascii="宋体" w:hAnsi="宋体"/>
              </w:rPr>
            </w:pPr>
          </w:p>
        </w:tc>
        <w:tc>
          <w:tcPr>
            <w:tcW w:w="633" w:type="dxa"/>
            <w:noWrap w:val="0"/>
            <w:vAlign w:val="center"/>
          </w:tcPr>
          <w:p w14:paraId="76D049C9">
            <w:pPr>
              <w:adjustRightInd w:val="0"/>
              <w:snapToGrid w:val="0"/>
              <w:jc w:val="center"/>
              <w:rPr>
                <w:rFonts w:hint="eastAsia" w:ascii="宋体" w:hAnsi="宋体"/>
              </w:rPr>
            </w:pPr>
            <w:r>
              <w:rPr>
                <w:rFonts w:hint="eastAsia" w:ascii="宋体" w:hAnsi="宋体"/>
              </w:rPr>
              <w:t>部</w:t>
            </w:r>
          </w:p>
        </w:tc>
        <w:tc>
          <w:tcPr>
            <w:tcW w:w="653" w:type="dxa"/>
            <w:noWrap w:val="0"/>
            <w:vAlign w:val="center"/>
          </w:tcPr>
          <w:p w14:paraId="6E85D76D">
            <w:pPr>
              <w:adjustRightInd w:val="0"/>
              <w:snapToGrid w:val="0"/>
              <w:jc w:val="center"/>
              <w:rPr>
                <w:rFonts w:hint="eastAsia" w:ascii="宋体" w:hAnsi="宋体"/>
              </w:rPr>
            </w:pPr>
            <w:r>
              <w:rPr>
                <w:rFonts w:hint="eastAsia" w:ascii="宋体" w:hAnsi="宋体"/>
              </w:rPr>
              <w:t>10</w:t>
            </w:r>
          </w:p>
        </w:tc>
        <w:tc>
          <w:tcPr>
            <w:tcW w:w="2675" w:type="dxa"/>
            <w:noWrap w:val="0"/>
            <w:vAlign w:val="center"/>
          </w:tcPr>
          <w:p w14:paraId="6575A348">
            <w:pPr>
              <w:rPr>
                <w:rFonts w:hint="eastAsia" w:ascii="宋体" w:hAnsi="宋体"/>
                <w:szCs w:val="21"/>
              </w:rPr>
            </w:pPr>
          </w:p>
        </w:tc>
      </w:tr>
    </w:tbl>
    <w:p w14:paraId="68EFD81D">
      <w:pPr>
        <w:spacing w:line="360" w:lineRule="auto"/>
        <w:ind w:firstLine="480" w:firstLineChars="200"/>
        <w:rPr>
          <w:rFonts w:hint="eastAsia" w:ascii="宋体" w:hAnsi="宋体"/>
          <w:color w:val="000000"/>
          <w:sz w:val="24"/>
        </w:rPr>
      </w:pPr>
      <w:r>
        <w:rPr>
          <w:rFonts w:hint="eastAsia" w:ascii="宋体" w:hAnsi="宋体"/>
          <w:color w:val="000000"/>
          <w:sz w:val="24"/>
        </w:rPr>
        <w:t>4、地面爆破材料库</w:t>
      </w:r>
    </w:p>
    <w:p w14:paraId="023F9329">
      <w:pPr>
        <w:spacing w:line="360" w:lineRule="auto"/>
        <w:ind w:firstLine="480" w:firstLineChars="200"/>
        <w:rPr>
          <w:rFonts w:hint="eastAsia" w:ascii="宋体" w:hAnsi="宋体"/>
          <w:sz w:val="24"/>
        </w:rPr>
      </w:pPr>
      <w:r>
        <w:rPr>
          <w:rFonts w:hint="eastAsia" w:ascii="宋体" w:hAnsi="宋体"/>
          <w:color w:val="000000"/>
          <w:sz w:val="24"/>
        </w:rPr>
        <w:t>由于本矿井所用雷管、炸药需从外地购进，因此，拟设地面炸药库一座，库址选择根据</w:t>
      </w:r>
      <w:r>
        <w:rPr>
          <w:rFonts w:hint="eastAsia"/>
          <w:sz w:val="24"/>
        </w:rPr>
        <w:t>水城县</w:t>
      </w:r>
      <w:r>
        <w:rPr>
          <w:rFonts w:hint="eastAsia" w:ascii="宋体" w:hAnsi="宋体"/>
          <w:sz w:val="24"/>
        </w:rPr>
        <w:t>公安局派出所指定的爆炸材料库位置</w:t>
      </w:r>
      <w:r>
        <w:rPr>
          <w:rFonts w:hint="eastAsia" w:ascii="宋体" w:hAnsi="宋体"/>
          <w:color w:val="000000"/>
          <w:sz w:val="24"/>
        </w:rPr>
        <w:t>设置，距离主斜井工业场500m以外，库址周围无民房。地面炸药库</w:t>
      </w:r>
      <w:r>
        <w:rPr>
          <w:rFonts w:ascii="宋体" w:hAnsi="宋体"/>
          <w:color w:val="000000"/>
          <w:sz w:val="24"/>
        </w:rPr>
        <w:t>贮量</w:t>
      </w:r>
      <w:r>
        <w:rPr>
          <w:rFonts w:hint="eastAsia" w:ascii="宋体" w:hAnsi="宋体"/>
          <w:color w:val="000000"/>
          <w:sz w:val="24"/>
        </w:rPr>
        <w:t>为</w:t>
      </w:r>
      <w:r>
        <w:rPr>
          <w:rFonts w:ascii="宋体" w:hAnsi="宋体"/>
          <w:color w:val="000000"/>
          <w:sz w:val="24"/>
        </w:rPr>
        <w:t>炸药</w:t>
      </w:r>
      <w:r>
        <w:rPr>
          <w:rFonts w:hint="eastAsia" w:ascii="宋体" w:hAnsi="宋体"/>
          <w:color w:val="000000"/>
          <w:sz w:val="24"/>
        </w:rPr>
        <w:t>1</w:t>
      </w:r>
      <w:r>
        <w:rPr>
          <w:rFonts w:ascii="宋体" w:hAnsi="宋体"/>
          <w:color w:val="000000"/>
          <w:sz w:val="24"/>
        </w:rPr>
        <w:t>t</w:t>
      </w:r>
      <w:r>
        <w:rPr>
          <w:rFonts w:hint="eastAsia" w:ascii="宋体" w:hAnsi="宋体"/>
          <w:color w:val="000000"/>
          <w:sz w:val="24"/>
        </w:rPr>
        <w:t>，</w:t>
      </w:r>
      <w:r>
        <w:rPr>
          <w:rFonts w:ascii="宋体" w:hAnsi="宋体"/>
          <w:color w:val="000000"/>
          <w:sz w:val="24"/>
        </w:rPr>
        <w:t>雷管</w:t>
      </w:r>
      <w:r>
        <w:rPr>
          <w:rFonts w:hint="eastAsia" w:ascii="宋体" w:hAnsi="宋体"/>
          <w:color w:val="000000"/>
          <w:sz w:val="24"/>
        </w:rPr>
        <w:t>1</w:t>
      </w:r>
      <w:r>
        <w:rPr>
          <w:rFonts w:ascii="宋体" w:hAnsi="宋体"/>
          <w:color w:val="000000"/>
          <w:sz w:val="24"/>
        </w:rPr>
        <w:t>万发</w:t>
      </w:r>
      <w:r>
        <w:rPr>
          <w:rFonts w:hint="eastAsia" w:ascii="宋体" w:hAnsi="宋体"/>
          <w:color w:val="000000"/>
          <w:sz w:val="24"/>
        </w:rPr>
        <w:t>。</w:t>
      </w:r>
      <w:r>
        <w:rPr>
          <w:rFonts w:hint="eastAsia" w:ascii="宋体" w:hAnsi="宋体"/>
          <w:sz w:val="24"/>
        </w:rPr>
        <w:t>其场区工程量详见</w:t>
      </w:r>
      <w:r>
        <w:rPr>
          <w:rFonts w:hint="eastAsia" w:ascii="宋体" w:hAnsi="宋体"/>
          <w:b/>
          <w:sz w:val="24"/>
        </w:rPr>
        <w:t>表6—3—2</w:t>
      </w:r>
      <w:r>
        <w:rPr>
          <w:rFonts w:hint="eastAsia" w:ascii="宋体" w:hAnsi="宋体"/>
          <w:sz w:val="24"/>
        </w:rPr>
        <w:t>。</w:t>
      </w:r>
    </w:p>
    <w:p w14:paraId="3B9CBE4F">
      <w:pPr>
        <w:spacing w:line="360" w:lineRule="auto"/>
        <w:ind w:firstLine="482" w:firstLineChars="200"/>
        <w:jc w:val="center"/>
        <w:rPr>
          <w:rFonts w:hint="eastAsia" w:ascii="宋体" w:hAnsi="宋体"/>
          <w:b/>
          <w:sz w:val="24"/>
        </w:rPr>
      </w:pPr>
      <w:r>
        <w:rPr>
          <w:rFonts w:hint="eastAsia" w:ascii="宋体" w:hAnsi="宋体"/>
          <w:b/>
          <w:sz w:val="24"/>
        </w:rPr>
        <w:t>表6—3—2    地面炸药库场区主要工程量表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2170"/>
        <w:gridCol w:w="764"/>
        <w:gridCol w:w="891"/>
        <w:gridCol w:w="4490"/>
      </w:tblGrid>
      <w:tr w14:paraId="32C0B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3F9210C8">
            <w:pPr>
              <w:widowControl/>
              <w:rPr>
                <w:rFonts w:ascii="宋体" w:hAnsi="宋体" w:cs="宋体"/>
                <w:sz w:val="24"/>
              </w:rPr>
            </w:pPr>
            <w:r>
              <w:rPr>
                <w:rFonts w:hint="eastAsia" w:ascii="宋体" w:hAnsi="宋体" w:cs="宋体"/>
                <w:sz w:val="24"/>
              </w:rPr>
              <w:t>序号</w:t>
            </w:r>
          </w:p>
        </w:tc>
        <w:tc>
          <w:tcPr>
            <w:tcW w:w="2170" w:type="dxa"/>
            <w:noWrap w:val="0"/>
            <w:vAlign w:val="center"/>
          </w:tcPr>
          <w:p w14:paraId="2ADE584C">
            <w:pPr>
              <w:widowControl/>
              <w:rPr>
                <w:rFonts w:ascii="宋体" w:hAnsi="宋体" w:cs="宋体"/>
                <w:sz w:val="24"/>
              </w:rPr>
            </w:pPr>
            <w:r>
              <w:rPr>
                <w:rFonts w:hint="eastAsia" w:ascii="宋体" w:hAnsi="宋体" w:cs="宋体"/>
                <w:sz w:val="24"/>
              </w:rPr>
              <w:t>指 标 名 称</w:t>
            </w:r>
          </w:p>
        </w:tc>
        <w:tc>
          <w:tcPr>
            <w:tcW w:w="764" w:type="dxa"/>
            <w:noWrap w:val="0"/>
            <w:vAlign w:val="center"/>
          </w:tcPr>
          <w:p w14:paraId="1E487233">
            <w:pPr>
              <w:widowControl/>
              <w:jc w:val="center"/>
              <w:rPr>
                <w:rFonts w:ascii="宋体" w:hAnsi="宋体" w:cs="宋体"/>
                <w:sz w:val="24"/>
              </w:rPr>
            </w:pPr>
            <w:r>
              <w:rPr>
                <w:rFonts w:hint="eastAsia" w:ascii="宋体" w:hAnsi="宋体" w:cs="宋体"/>
                <w:sz w:val="24"/>
              </w:rPr>
              <w:t>单位</w:t>
            </w:r>
          </w:p>
        </w:tc>
        <w:tc>
          <w:tcPr>
            <w:tcW w:w="891" w:type="dxa"/>
            <w:noWrap w:val="0"/>
            <w:vAlign w:val="center"/>
          </w:tcPr>
          <w:p w14:paraId="1D1B82A7">
            <w:pPr>
              <w:widowControl/>
              <w:jc w:val="center"/>
              <w:rPr>
                <w:rFonts w:ascii="宋体" w:hAnsi="宋体" w:cs="宋体"/>
                <w:sz w:val="24"/>
              </w:rPr>
            </w:pPr>
            <w:r>
              <w:rPr>
                <w:rFonts w:hint="eastAsia" w:ascii="宋体" w:hAnsi="宋体" w:cs="宋体"/>
                <w:sz w:val="24"/>
              </w:rPr>
              <w:t>数 量</w:t>
            </w:r>
          </w:p>
        </w:tc>
        <w:tc>
          <w:tcPr>
            <w:tcW w:w="4490" w:type="dxa"/>
            <w:noWrap w:val="0"/>
            <w:vAlign w:val="center"/>
          </w:tcPr>
          <w:p w14:paraId="5E2E0ED4">
            <w:pPr>
              <w:widowControl/>
              <w:jc w:val="center"/>
              <w:rPr>
                <w:rFonts w:ascii="宋体" w:hAnsi="宋体" w:cs="宋体"/>
                <w:sz w:val="24"/>
              </w:rPr>
            </w:pPr>
            <w:r>
              <w:rPr>
                <w:rFonts w:hint="eastAsia" w:ascii="宋体" w:hAnsi="宋体" w:cs="宋体"/>
                <w:sz w:val="24"/>
              </w:rPr>
              <w:t>技 术 特 征 或 说 明</w:t>
            </w:r>
          </w:p>
        </w:tc>
      </w:tr>
      <w:tr w14:paraId="24F8D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25820A69">
            <w:pPr>
              <w:widowControl/>
              <w:jc w:val="center"/>
              <w:rPr>
                <w:rFonts w:ascii="宋体" w:hAnsi="宋体" w:cs="宋体"/>
                <w:sz w:val="24"/>
              </w:rPr>
            </w:pPr>
            <w:r>
              <w:rPr>
                <w:rFonts w:hint="eastAsia" w:ascii="宋体" w:hAnsi="宋体" w:cs="宋体"/>
                <w:sz w:val="24"/>
              </w:rPr>
              <w:t>1</w:t>
            </w:r>
          </w:p>
        </w:tc>
        <w:tc>
          <w:tcPr>
            <w:tcW w:w="2170" w:type="dxa"/>
            <w:noWrap w:val="0"/>
            <w:vAlign w:val="center"/>
          </w:tcPr>
          <w:p w14:paraId="1A0066D7">
            <w:pPr>
              <w:widowControl/>
              <w:rPr>
                <w:rFonts w:ascii="宋体" w:hAnsi="宋体" w:cs="宋体"/>
                <w:sz w:val="24"/>
              </w:rPr>
            </w:pPr>
            <w:r>
              <w:rPr>
                <w:rFonts w:hint="eastAsia" w:ascii="宋体" w:hAnsi="宋体" w:cs="宋体"/>
                <w:sz w:val="24"/>
              </w:rPr>
              <w:t>库区占地面积</w:t>
            </w:r>
          </w:p>
        </w:tc>
        <w:tc>
          <w:tcPr>
            <w:tcW w:w="764" w:type="dxa"/>
            <w:noWrap w:val="0"/>
            <w:vAlign w:val="center"/>
          </w:tcPr>
          <w:p w14:paraId="7E33D6FD">
            <w:pPr>
              <w:widowControl/>
              <w:jc w:val="center"/>
              <w:rPr>
                <w:rFonts w:hint="eastAsia" w:ascii="宋体" w:hAnsi="宋体" w:cs="宋体"/>
                <w:sz w:val="24"/>
              </w:rPr>
            </w:pPr>
            <w:r>
              <w:rPr>
                <w:rFonts w:hint="eastAsia" w:ascii="宋体" w:hAnsi="宋体" w:cs="宋体"/>
                <w:sz w:val="24"/>
              </w:rPr>
              <w:t>hm</w:t>
            </w:r>
            <w:r>
              <w:rPr>
                <w:rFonts w:hint="eastAsia" w:ascii="宋体" w:hAnsi="宋体" w:cs="宋体"/>
                <w:sz w:val="24"/>
                <w:vertAlign w:val="superscript"/>
              </w:rPr>
              <w:t>2</w:t>
            </w:r>
          </w:p>
        </w:tc>
        <w:tc>
          <w:tcPr>
            <w:tcW w:w="891" w:type="dxa"/>
            <w:noWrap w:val="0"/>
            <w:vAlign w:val="center"/>
          </w:tcPr>
          <w:p w14:paraId="78E53C89">
            <w:pPr>
              <w:widowControl/>
              <w:jc w:val="center"/>
              <w:rPr>
                <w:rFonts w:ascii="宋体" w:hAnsi="宋体" w:cs="宋体"/>
                <w:sz w:val="24"/>
              </w:rPr>
            </w:pPr>
            <w:r>
              <w:rPr>
                <w:rFonts w:hint="eastAsia" w:ascii="宋体" w:hAnsi="宋体" w:cs="宋体"/>
                <w:sz w:val="24"/>
              </w:rPr>
              <w:t>0.2</w:t>
            </w:r>
          </w:p>
        </w:tc>
        <w:tc>
          <w:tcPr>
            <w:tcW w:w="4490" w:type="dxa"/>
            <w:noWrap w:val="0"/>
            <w:vAlign w:val="center"/>
          </w:tcPr>
          <w:p w14:paraId="061091B9">
            <w:pPr>
              <w:widowControl/>
              <w:rPr>
                <w:rFonts w:ascii="宋体" w:hAnsi="宋体" w:cs="宋体"/>
                <w:sz w:val="24"/>
              </w:rPr>
            </w:pPr>
            <w:r>
              <w:rPr>
                <w:rFonts w:hint="eastAsia" w:ascii="宋体" w:hAnsi="宋体" w:cs="宋体"/>
                <w:sz w:val="24"/>
              </w:rPr>
              <w:t>均为旱地</w:t>
            </w:r>
          </w:p>
        </w:tc>
      </w:tr>
      <w:tr w14:paraId="6818B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6EDA28EB">
            <w:pPr>
              <w:widowControl/>
              <w:jc w:val="center"/>
              <w:rPr>
                <w:rFonts w:ascii="宋体" w:hAnsi="宋体" w:cs="宋体"/>
                <w:sz w:val="24"/>
              </w:rPr>
            </w:pPr>
            <w:r>
              <w:rPr>
                <w:rFonts w:hint="eastAsia" w:ascii="宋体" w:hAnsi="宋体" w:cs="宋体"/>
                <w:sz w:val="24"/>
              </w:rPr>
              <w:t>2</w:t>
            </w:r>
          </w:p>
        </w:tc>
        <w:tc>
          <w:tcPr>
            <w:tcW w:w="2170" w:type="dxa"/>
            <w:noWrap w:val="0"/>
            <w:vAlign w:val="center"/>
          </w:tcPr>
          <w:p w14:paraId="7CC5A9D6">
            <w:pPr>
              <w:widowControl/>
              <w:rPr>
                <w:rFonts w:ascii="宋体" w:hAnsi="宋体" w:cs="宋体"/>
                <w:sz w:val="24"/>
              </w:rPr>
            </w:pPr>
            <w:r>
              <w:rPr>
                <w:rFonts w:hint="eastAsia" w:ascii="宋体" w:hAnsi="宋体" w:cs="宋体"/>
                <w:sz w:val="24"/>
              </w:rPr>
              <w:t>平场土石方  挖方</w:t>
            </w:r>
          </w:p>
        </w:tc>
        <w:tc>
          <w:tcPr>
            <w:tcW w:w="764" w:type="dxa"/>
            <w:noWrap w:val="0"/>
            <w:vAlign w:val="center"/>
          </w:tcPr>
          <w:p w14:paraId="09F1AF71">
            <w:pPr>
              <w:widowControl/>
              <w:jc w:val="center"/>
              <w:rPr>
                <w:rFonts w:ascii="宋体" w:hAnsi="宋体" w:cs="宋体"/>
                <w:sz w:val="24"/>
              </w:rPr>
            </w:pPr>
            <w:r>
              <w:rPr>
                <w:rFonts w:hint="eastAsia" w:ascii="宋体" w:hAnsi="宋体" w:cs="宋体"/>
                <w:sz w:val="24"/>
              </w:rPr>
              <w:t>m</w:t>
            </w:r>
            <w:r>
              <w:rPr>
                <w:rFonts w:hint="eastAsia" w:ascii="宋体" w:hAnsi="宋体" w:cs="宋体"/>
                <w:sz w:val="24"/>
                <w:vertAlign w:val="superscript"/>
              </w:rPr>
              <w:t>3</w:t>
            </w:r>
          </w:p>
        </w:tc>
        <w:tc>
          <w:tcPr>
            <w:tcW w:w="891" w:type="dxa"/>
            <w:noWrap w:val="0"/>
            <w:vAlign w:val="center"/>
          </w:tcPr>
          <w:p w14:paraId="5C832E2E">
            <w:pPr>
              <w:widowControl/>
              <w:jc w:val="center"/>
              <w:rPr>
                <w:rFonts w:ascii="宋体" w:hAnsi="宋体" w:cs="宋体"/>
                <w:sz w:val="24"/>
              </w:rPr>
            </w:pPr>
            <w:r>
              <w:rPr>
                <w:rFonts w:hint="eastAsia" w:ascii="宋体" w:hAnsi="宋体" w:cs="宋体"/>
                <w:sz w:val="24"/>
              </w:rPr>
              <w:t>1020</w:t>
            </w:r>
          </w:p>
        </w:tc>
        <w:tc>
          <w:tcPr>
            <w:tcW w:w="4490" w:type="dxa"/>
            <w:noWrap w:val="0"/>
            <w:vAlign w:val="center"/>
          </w:tcPr>
          <w:p w14:paraId="66B27E22">
            <w:pPr>
              <w:widowControl/>
              <w:rPr>
                <w:rFonts w:ascii="宋体" w:hAnsi="宋体" w:cs="宋体"/>
                <w:sz w:val="24"/>
              </w:rPr>
            </w:pPr>
            <w:r>
              <w:rPr>
                <w:rFonts w:hint="eastAsia" w:ascii="宋体" w:hAnsi="宋体" w:cs="宋体"/>
                <w:sz w:val="24"/>
              </w:rPr>
              <w:t>土方90%，石方10%</w:t>
            </w:r>
          </w:p>
        </w:tc>
      </w:tr>
      <w:tr w14:paraId="20A2F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577A935C">
            <w:pPr>
              <w:widowControl/>
              <w:jc w:val="center"/>
              <w:rPr>
                <w:rFonts w:hint="eastAsia" w:ascii="宋体" w:hAnsi="宋体" w:cs="宋体"/>
                <w:sz w:val="24"/>
              </w:rPr>
            </w:pPr>
          </w:p>
        </w:tc>
        <w:tc>
          <w:tcPr>
            <w:tcW w:w="2170" w:type="dxa"/>
            <w:noWrap w:val="0"/>
            <w:vAlign w:val="center"/>
          </w:tcPr>
          <w:p w14:paraId="098AE57E">
            <w:pPr>
              <w:widowControl/>
              <w:ind w:firstLine="1440" w:firstLineChars="600"/>
              <w:rPr>
                <w:rFonts w:ascii="宋体" w:hAnsi="宋体" w:cs="宋体"/>
                <w:sz w:val="24"/>
              </w:rPr>
            </w:pPr>
            <w:r>
              <w:rPr>
                <w:rFonts w:hint="eastAsia" w:ascii="宋体" w:hAnsi="宋体" w:cs="宋体"/>
                <w:sz w:val="24"/>
              </w:rPr>
              <w:t>填方</w:t>
            </w:r>
          </w:p>
        </w:tc>
        <w:tc>
          <w:tcPr>
            <w:tcW w:w="764" w:type="dxa"/>
            <w:noWrap w:val="0"/>
            <w:vAlign w:val="center"/>
          </w:tcPr>
          <w:p w14:paraId="3504EDEF">
            <w:pPr>
              <w:widowControl/>
              <w:jc w:val="center"/>
              <w:rPr>
                <w:rFonts w:ascii="宋体" w:hAnsi="宋体" w:cs="宋体"/>
                <w:sz w:val="24"/>
              </w:rPr>
            </w:pPr>
            <w:r>
              <w:rPr>
                <w:rFonts w:hint="eastAsia" w:ascii="宋体" w:hAnsi="宋体" w:cs="宋体"/>
                <w:sz w:val="24"/>
              </w:rPr>
              <w:t>m</w:t>
            </w:r>
            <w:r>
              <w:rPr>
                <w:rFonts w:hint="eastAsia" w:ascii="宋体" w:hAnsi="宋体" w:cs="宋体"/>
                <w:sz w:val="24"/>
                <w:vertAlign w:val="superscript"/>
              </w:rPr>
              <w:t>3</w:t>
            </w:r>
          </w:p>
        </w:tc>
        <w:tc>
          <w:tcPr>
            <w:tcW w:w="891" w:type="dxa"/>
            <w:noWrap w:val="0"/>
            <w:vAlign w:val="center"/>
          </w:tcPr>
          <w:p w14:paraId="6232A9A2">
            <w:pPr>
              <w:widowControl/>
              <w:jc w:val="center"/>
              <w:rPr>
                <w:rFonts w:ascii="宋体" w:hAnsi="宋体" w:cs="宋体"/>
                <w:sz w:val="24"/>
              </w:rPr>
            </w:pPr>
            <w:r>
              <w:rPr>
                <w:rFonts w:hint="eastAsia" w:ascii="宋体" w:hAnsi="宋体" w:cs="宋体"/>
                <w:sz w:val="24"/>
              </w:rPr>
              <w:t>1500</w:t>
            </w:r>
          </w:p>
        </w:tc>
        <w:tc>
          <w:tcPr>
            <w:tcW w:w="4490" w:type="dxa"/>
            <w:noWrap w:val="0"/>
            <w:vAlign w:val="center"/>
          </w:tcPr>
          <w:p w14:paraId="613AFEA8">
            <w:pPr>
              <w:widowControl/>
              <w:rPr>
                <w:rFonts w:ascii="宋体" w:hAnsi="宋体" w:cs="宋体"/>
                <w:sz w:val="24"/>
              </w:rPr>
            </w:pPr>
          </w:p>
        </w:tc>
      </w:tr>
      <w:tr w14:paraId="7046D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3E40401B">
            <w:pPr>
              <w:widowControl/>
              <w:jc w:val="center"/>
              <w:rPr>
                <w:rFonts w:ascii="宋体" w:hAnsi="宋体" w:cs="宋体"/>
                <w:sz w:val="24"/>
              </w:rPr>
            </w:pPr>
            <w:r>
              <w:rPr>
                <w:rFonts w:hint="eastAsia" w:ascii="宋体" w:hAnsi="宋体" w:cs="宋体"/>
                <w:sz w:val="24"/>
              </w:rPr>
              <w:t>3</w:t>
            </w:r>
          </w:p>
        </w:tc>
        <w:tc>
          <w:tcPr>
            <w:tcW w:w="2170" w:type="dxa"/>
            <w:noWrap w:val="0"/>
            <w:vAlign w:val="center"/>
          </w:tcPr>
          <w:p w14:paraId="3558E0EF">
            <w:pPr>
              <w:widowControl/>
              <w:rPr>
                <w:rFonts w:ascii="宋体" w:hAnsi="宋体" w:cs="宋体"/>
                <w:sz w:val="24"/>
              </w:rPr>
            </w:pPr>
            <w:r>
              <w:rPr>
                <w:rFonts w:hint="eastAsia" w:ascii="宋体" w:hAnsi="宋体" w:cs="宋体"/>
                <w:sz w:val="24"/>
              </w:rPr>
              <w:t>挡土墙</w:t>
            </w:r>
          </w:p>
        </w:tc>
        <w:tc>
          <w:tcPr>
            <w:tcW w:w="764" w:type="dxa"/>
            <w:noWrap w:val="0"/>
            <w:vAlign w:val="center"/>
          </w:tcPr>
          <w:p w14:paraId="510189E8">
            <w:pPr>
              <w:widowControl/>
              <w:jc w:val="center"/>
              <w:rPr>
                <w:rFonts w:ascii="宋体" w:hAnsi="宋体" w:cs="宋体"/>
                <w:sz w:val="24"/>
              </w:rPr>
            </w:pPr>
            <w:r>
              <w:rPr>
                <w:rFonts w:hint="eastAsia" w:ascii="宋体" w:hAnsi="宋体" w:cs="宋体"/>
                <w:sz w:val="24"/>
              </w:rPr>
              <w:t>m</w:t>
            </w:r>
            <w:r>
              <w:rPr>
                <w:rFonts w:hint="eastAsia" w:ascii="宋体" w:hAnsi="宋体" w:cs="宋体"/>
                <w:sz w:val="24"/>
                <w:vertAlign w:val="superscript"/>
              </w:rPr>
              <w:t>3</w:t>
            </w:r>
          </w:p>
        </w:tc>
        <w:tc>
          <w:tcPr>
            <w:tcW w:w="891" w:type="dxa"/>
            <w:noWrap w:val="0"/>
            <w:vAlign w:val="center"/>
          </w:tcPr>
          <w:p w14:paraId="0487DD99">
            <w:pPr>
              <w:widowControl/>
              <w:jc w:val="center"/>
              <w:rPr>
                <w:rFonts w:ascii="宋体" w:hAnsi="宋体" w:cs="宋体"/>
                <w:sz w:val="24"/>
              </w:rPr>
            </w:pPr>
            <w:r>
              <w:rPr>
                <w:rFonts w:hint="eastAsia" w:ascii="宋体" w:hAnsi="宋体" w:cs="宋体"/>
                <w:sz w:val="24"/>
              </w:rPr>
              <w:t>210</w:t>
            </w:r>
          </w:p>
        </w:tc>
        <w:tc>
          <w:tcPr>
            <w:tcW w:w="4490" w:type="dxa"/>
            <w:noWrap w:val="0"/>
            <w:vAlign w:val="center"/>
          </w:tcPr>
          <w:p w14:paraId="4F2D94EB">
            <w:pPr>
              <w:widowControl/>
              <w:rPr>
                <w:rFonts w:ascii="宋体" w:hAnsi="宋体" w:cs="宋体"/>
                <w:sz w:val="24"/>
              </w:rPr>
            </w:pPr>
            <w:r>
              <w:rPr>
                <w:rFonts w:hint="eastAsia" w:ascii="宋体" w:hAnsi="宋体" w:cs="宋体"/>
                <w:sz w:val="24"/>
              </w:rPr>
              <w:t>M5水泥砂浆砌片石</w:t>
            </w:r>
          </w:p>
        </w:tc>
      </w:tr>
      <w:tr w14:paraId="3F4F0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2A5F1D2D">
            <w:pPr>
              <w:widowControl/>
              <w:jc w:val="center"/>
              <w:rPr>
                <w:rFonts w:ascii="宋体" w:hAnsi="宋体" w:cs="宋体"/>
                <w:sz w:val="24"/>
              </w:rPr>
            </w:pPr>
            <w:r>
              <w:rPr>
                <w:rFonts w:hint="eastAsia" w:ascii="宋体" w:hAnsi="宋体" w:cs="宋体"/>
                <w:sz w:val="24"/>
              </w:rPr>
              <w:t>4</w:t>
            </w:r>
          </w:p>
        </w:tc>
        <w:tc>
          <w:tcPr>
            <w:tcW w:w="2170" w:type="dxa"/>
            <w:noWrap w:val="0"/>
            <w:vAlign w:val="center"/>
          </w:tcPr>
          <w:p w14:paraId="2BF39339">
            <w:pPr>
              <w:widowControl/>
              <w:rPr>
                <w:rFonts w:ascii="宋体" w:hAnsi="宋体" w:cs="宋体"/>
                <w:sz w:val="24"/>
              </w:rPr>
            </w:pPr>
            <w:r>
              <w:rPr>
                <w:rFonts w:hint="eastAsia" w:ascii="宋体" w:hAnsi="宋体" w:cs="宋体"/>
                <w:sz w:val="24"/>
              </w:rPr>
              <w:t>排水明沟</w:t>
            </w:r>
          </w:p>
        </w:tc>
        <w:tc>
          <w:tcPr>
            <w:tcW w:w="764" w:type="dxa"/>
            <w:noWrap w:val="0"/>
            <w:vAlign w:val="center"/>
          </w:tcPr>
          <w:p w14:paraId="7AE8E71D">
            <w:pPr>
              <w:widowControl/>
              <w:jc w:val="center"/>
              <w:rPr>
                <w:rFonts w:ascii="宋体" w:hAnsi="宋体" w:cs="宋体"/>
                <w:sz w:val="24"/>
              </w:rPr>
            </w:pPr>
            <w:r>
              <w:rPr>
                <w:rFonts w:hint="eastAsia" w:ascii="宋体" w:hAnsi="宋体" w:cs="宋体"/>
                <w:sz w:val="24"/>
              </w:rPr>
              <w:t>m</w:t>
            </w:r>
          </w:p>
        </w:tc>
        <w:tc>
          <w:tcPr>
            <w:tcW w:w="891" w:type="dxa"/>
            <w:noWrap w:val="0"/>
            <w:vAlign w:val="center"/>
          </w:tcPr>
          <w:p w14:paraId="580C58C4">
            <w:pPr>
              <w:widowControl/>
              <w:jc w:val="center"/>
              <w:rPr>
                <w:rFonts w:ascii="宋体" w:hAnsi="宋体" w:cs="宋体"/>
                <w:sz w:val="24"/>
              </w:rPr>
            </w:pPr>
            <w:r>
              <w:rPr>
                <w:rFonts w:hint="eastAsia" w:ascii="宋体" w:hAnsi="宋体" w:cs="宋体"/>
                <w:sz w:val="24"/>
              </w:rPr>
              <w:t>170</w:t>
            </w:r>
          </w:p>
        </w:tc>
        <w:tc>
          <w:tcPr>
            <w:tcW w:w="4490" w:type="dxa"/>
            <w:noWrap w:val="0"/>
            <w:vAlign w:val="center"/>
          </w:tcPr>
          <w:p w14:paraId="5EA6F2DF">
            <w:pPr>
              <w:widowControl/>
              <w:rPr>
                <w:rFonts w:ascii="宋体" w:hAnsi="宋体" w:cs="宋体"/>
                <w:sz w:val="24"/>
              </w:rPr>
            </w:pPr>
            <w:r>
              <w:rPr>
                <w:rFonts w:hint="eastAsia" w:ascii="宋体" w:hAnsi="宋体" w:cs="宋体"/>
                <w:sz w:val="24"/>
              </w:rPr>
              <w:t>M7.5水泥砂浆砌片石，断面0.4×0.4m</w:t>
            </w:r>
          </w:p>
        </w:tc>
      </w:tr>
      <w:tr w14:paraId="46B2A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765ECB8A">
            <w:pPr>
              <w:widowControl/>
              <w:jc w:val="center"/>
              <w:rPr>
                <w:rFonts w:ascii="宋体" w:hAnsi="宋体" w:cs="宋体"/>
                <w:sz w:val="24"/>
              </w:rPr>
            </w:pPr>
            <w:r>
              <w:rPr>
                <w:rFonts w:hint="eastAsia" w:ascii="宋体" w:hAnsi="宋体" w:cs="宋体"/>
                <w:sz w:val="24"/>
              </w:rPr>
              <w:t>5</w:t>
            </w:r>
          </w:p>
        </w:tc>
        <w:tc>
          <w:tcPr>
            <w:tcW w:w="2170" w:type="dxa"/>
            <w:noWrap w:val="0"/>
            <w:vAlign w:val="center"/>
          </w:tcPr>
          <w:p w14:paraId="76A8BB83">
            <w:pPr>
              <w:widowControl/>
              <w:rPr>
                <w:rFonts w:ascii="宋体" w:hAnsi="宋体" w:cs="宋体"/>
                <w:sz w:val="24"/>
              </w:rPr>
            </w:pPr>
            <w:r>
              <w:rPr>
                <w:rFonts w:hint="eastAsia" w:ascii="宋体" w:hAnsi="宋体" w:cs="宋体"/>
                <w:sz w:val="24"/>
              </w:rPr>
              <w:t>围墙</w:t>
            </w:r>
          </w:p>
        </w:tc>
        <w:tc>
          <w:tcPr>
            <w:tcW w:w="764" w:type="dxa"/>
            <w:noWrap w:val="0"/>
            <w:vAlign w:val="center"/>
          </w:tcPr>
          <w:p w14:paraId="54C65359">
            <w:pPr>
              <w:widowControl/>
              <w:jc w:val="center"/>
              <w:rPr>
                <w:rFonts w:ascii="宋体" w:hAnsi="宋体" w:cs="宋体"/>
                <w:sz w:val="24"/>
              </w:rPr>
            </w:pPr>
            <w:r>
              <w:rPr>
                <w:rFonts w:hint="eastAsia" w:ascii="宋体" w:hAnsi="宋体" w:cs="宋体"/>
                <w:sz w:val="24"/>
              </w:rPr>
              <w:t>m</w:t>
            </w:r>
          </w:p>
        </w:tc>
        <w:tc>
          <w:tcPr>
            <w:tcW w:w="891" w:type="dxa"/>
            <w:noWrap w:val="0"/>
            <w:vAlign w:val="center"/>
          </w:tcPr>
          <w:p w14:paraId="152B961A">
            <w:pPr>
              <w:widowControl/>
              <w:jc w:val="center"/>
              <w:rPr>
                <w:rFonts w:ascii="宋体" w:hAnsi="宋体" w:cs="宋体"/>
                <w:sz w:val="24"/>
              </w:rPr>
            </w:pPr>
            <w:r>
              <w:rPr>
                <w:rFonts w:hint="eastAsia" w:ascii="宋体" w:hAnsi="宋体" w:cs="宋体"/>
                <w:sz w:val="24"/>
              </w:rPr>
              <w:t>220</w:t>
            </w:r>
          </w:p>
        </w:tc>
        <w:tc>
          <w:tcPr>
            <w:tcW w:w="4490" w:type="dxa"/>
            <w:noWrap w:val="0"/>
            <w:vAlign w:val="center"/>
          </w:tcPr>
          <w:p w14:paraId="7E1168AF">
            <w:pPr>
              <w:widowControl/>
              <w:rPr>
                <w:rFonts w:ascii="宋体" w:hAnsi="宋体" w:cs="宋体"/>
                <w:sz w:val="24"/>
              </w:rPr>
            </w:pPr>
            <w:r>
              <w:rPr>
                <w:rFonts w:hint="eastAsia" w:ascii="宋体" w:hAnsi="宋体" w:cs="宋体"/>
                <w:sz w:val="24"/>
              </w:rPr>
              <w:t>页岩砖砌，高2.5m，不带花格</w:t>
            </w:r>
          </w:p>
        </w:tc>
      </w:tr>
      <w:tr w14:paraId="76806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38" w:hRule="exact"/>
          <w:jc w:val="center"/>
        </w:trPr>
        <w:tc>
          <w:tcPr>
            <w:tcW w:w="704" w:type="dxa"/>
            <w:noWrap w:val="0"/>
            <w:vAlign w:val="center"/>
          </w:tcPr>
          <w:p w14:paraId="2432EC4B">
            <w:pPr>
              <w:widowControl/>
              <w:jc w:val="center"/>
              <w:rPr>
                <w:rFonts w:ascii="宋体" w:hAnsi="宋体" w:cs="宋体"/>
                <w:sz w:val="24"/>
              </w:rPr>
            </w:pPr>
            <w:r>
              <w:rPr>
                <w:rFonts w:hint="eastAsia" w:ascii="宋体" w:hAnsi="宋体" w:cs="宋体"/>
                <w:sz w:val="24"/>
              </w:rPr>
              <w:t>6</w:t>
            </w:r>
          </w:p>
        </w:tc>
        <w:tc>
          <w:tcPr>
            <w:tcW w:w="2170" w:type="dxa"/>
            <w:noWrap w:val="0"/>
            <w:vAlign w:val="center"/>
          </w:tcPr>
          <w:p w14:paraId="2BDAACE6">
            <w:pPr>
              <w:widowControl/>
              <w:rPr>
                <w:rFonts w:ascii="宋体" w:hAnsi="宋体" w:cs="宋体"/>
                <w:sz w:val="24"/>
              </w:rPr>
            </w:pPr>
            <w:r>
              <w:rPr>
                <w:rFonts w:hint="eastAsia" w:ascii="宋体" w:hAnsi="宋体" w:cs="宋体"/>
                <w:sz w:val="24"/>
              </w:rPr>
              <w:t>大门</w:t>
            </w:r>
          </w:p>
        </w:tc>
        <w:tc>
          <w:tcPr>
            <w:tcW w:w="764" w:type="dxa"/>
            <w:noWrap w:val="0"/>
            <w:vAlign w:val="center"/>
          </w:tcPr>
          <w:p w14:paraId="43180B93">
            <w:pPr>
              <w:widowControl/>
              <w:jc w:val="center"/>
              <w:rPr>
                <w:rFonts w:ascii="宋体" w:hAnsi="宋体" w:cs="宋体"/>
                <w:sz w:val="24"/>
              </w:rPr>
            </w:pPr>
            <w:r>
              <w:rPr>
                <w:rFonts w:hint="eastAsia" w:ascii="宋体" w:hAnsi="宋体" w:cs="宋体"/>
                <w:sz w:val="24"/>
              </w:rPr>
              <w:t>座</w:t>
            </w:r>
          </w:p>
        </w:tc>
        <w:tc>
          <w:tcPr>
            <w:tcW w:w="891" w:type="dxa"/>
            <w:noWrap w:val="0"/>
            <w:vAlign w:val="center"/>
          </w:tcPr>
          <w:p w14:paraId="47E2235D">
            <w:pPr>
              <w:widowControl/>
              <w:jc w:val="center"/>
              <w:rPr>
                <w:rFonts w:ascii="宋体" w:hAnsi="宋体" w:cs="宋体"/>
                <w:sz w:val="24"/>
              </w:rPr>
            </w:pPr>
            <w:r>
              <w:rPr>
                <w:rFonts w:hint="eastAsia" w:ascii="宋体" w:hAnsi="宋体" w:cs="宋体"/>
                <w:sz w:val="24"/>
              </w:rPr>
              <w:t>1</w:t>
            </w:r>
          </w:p>
        </w:tc>
        <w:tc>
          <w:tcPr>
            <w:tcW w:w="4490" w:type="dxa"/>
            <w:noWrap w:val="0"/>
            <w:vAlign w:val="center"/>
          </w:tcPr>
          <w:p w14:paraId="7D06E3CE">
            <w:pPr>
              <w:widowControl/>
              <w:rPr>
                <w:rFonts w:ascii="宋体" w:hAnsi="宋体" w:cs="宋体"/>
                <w:sz w:val="24"/>
              </w:rPr>
            </w:pPr>
            <w:r>
              <w:rPr>
                <w:rFonts w:hint="eastAsia" w:ascii="宋体" w:hAnsi="宋体" w:cs="宋体"/>
                <w:sz w:val="24"/>
              </w:rPr>
              <w:t>宽3.0m，砖砌门柱0.5m×0.5m，Φ50钢管门框，钢筋栅栏，带小门</w:t>
            </w:r>
          </w:p>
        </w:tc>
      </w:tr>
      <w:tr w14:paraId="76EFA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jc w:val="center"/>
        </w:trPr>
        <w:tc>
          <w:tcPr>
            <w:tcW w:w="704" w:type="dxa"/>
            <w:noWrap w:val="0"/>
            <w:vAlign w:val="center"/>
          </w:tcPr>
          <w:p w14:paraId="4BD78BE2">
            <w:pPr>
              <w:widowControl/>
              <w:jc w:val="center"/>
              <w:rPr>
                <w:rFonts w:ascii="宋体" w:hAnsi="宋体" w:cs="宋体"/>
                <w:sz w:val="24"/>
              </w:rPr>
            </w:pPr>
            <w:r>
              <w:rPr>
                <w:rFonts w:hint="eastAsia" w:ascii="宋体" w:hAnsi="宋体" w:cs="宋体"/>
                <w:sz w:val="24"/>
              </w:rPr>
              <w:t>7</w:t>
            </w:r>
          </w:p>
        </w:tc>
        <w:tc>
          <w:tcPr>
            <w:tcW w:w="2170" w:type="dxa"/>
            <w:noWrap w:val="0"/>
            <w:vAlign w:val="center"/>
          </w:tcPr>
          <w:p w14:paraId="780E06D6">
            <w:pPr>
              <w:widowControl/>
              <w:rPr>
                <w:rFonts w:ascii="宋体" w:hAnsi="宋体" w:cs="宋体"/>
                <w:sz w:val="24"/>
              </w:rPr>
            </w:pPr>
            <w:r>
              <w:rPr>
                <w:rFonts w:hint="eastAsia" w:ascii="宋体" w:hAnsi="宋体" w:cs="宋体"/>
                <w:sz w:val="24"/>
              </w:rPr>
              <w:t>绿化系数</w:t>
            </w:r>
          </w:p>
        </w:tc>
        <w:tc>
          <w:tcPr>
            <w:tcW w:w="764" w:type="dxa"/>
            <w:noWrap w:val="0"/>
            <w:vAlign w:val="center"/>
          </w:tcPr>
          <w:p w14:paraId="759D6049">
            <w:pPr>
              <w:widowControl/>
              <w:jc w:val="center"/>
              <w:rPr>
                <w:rFonts w:ascii="宋体" w:hAnsi="宋体" w:cs="宋体"/>
                <w:sz w:val="24"/>
              </w:rPr>
            </w:pPr>
            <w:r>
              <w:rPr>
                <w:rFonts w:hint="eastAsia" w:ascii="宋体" w:hAnsi="宋体" w:cs="宋体"/>
                <w:sz w:val="24"/>
              </w:rPr>
              <w:t>%</w:t>
            </w:r>
          </w:p>
        </w:tc>
        <w:tc>
          <w:tcPr>
            <w:tcW w:w="891" w:type="dxa"/>
            <w:noWrap w:val="0"/>
            <w:vAlign w:val="center"/>
          </w:tcPr>
          <w:p w14:paraId="3AEA1343">
            <w:pPr>
              <w:widowControl/>
              <w:jc w:val="center"/>
              <w:rPr>
                <w:rFonts w:ascii="宋体" w:hAnsi="宋体" w:cs="宋体"/>
                <w:sz w:val="24"/>
              </w:rPr>
            </w:pPr>
            <w:r>
              <w:rPr>
                <w:rFonts w:hint="eastAsia" w:ascii="宋体" w:hAnsi="宋体" w:cs="宋体"/>
                <w:sz w:val="24"/>
              </w:rPr>
              <w:t>62</w:t>
            </w:r>
          </w:p>
        </w:tc>
        <w:tc>
          <w:tcPr>
            <w:tcW w:w="4490" w:type="dxa"/>
            <w:noWrap w:val="0"/>
            <w:vAlign w:val="center"/>
          </w:tcPr>
          <w:p w14:paraId="4A035CD0">
            <w:pPr>
              <w:widowControl/>
              <w:jc w:val="center"/>
              <w:rPr>
                <w:rFonts w:ascii="宋体" w:hAnsi="宋体" w:cs="宋体"/>
                <w:sz w:val="24"/>
              </w:rPr>
            </w:pPr>
          </w:p>
        </w:tc>
      </w:tr>
    </w:tbl>
    <w:p w14:paraId="2E2E1EF0">
      <w:pPr>
        <w:spacing w:line="360" w:lineRule="auto"/>
        <w:ind w:firstLine="480" w:firstLineChars="200"/>
        <w:rPr>
          <w:rFonts w:ascii="宋体" w:hAnsi="宋体" w:cs="宋体"/>
          <w:sz w:val="24"/>
        </w:rPr>
      </w:pPr>
      <w:r>
        <w:rPr>
          <w:rFonts w:hint="eastAsia" w:ascii="宋体" w:hAnsi="宋体" w:cs="宋体"/>
          <w:kern w:val="0"/>
          <w:sz w:val="24"/>
        </w:rPr>
        <w:t>5、</w:t>
      </w:r>
      <w:r>
        <w:rPr>
          <w:rFonts w:hint="eastAsia" w:ascii="宋体" w:hAnsi="宋体" w:cs="宋体"/>
          <w:sz w:val="24"/>
        </w:rPr>
        <w:t>供水建（构）筑物</w:t>
      </w:r>
    </w:p>
    <w:p w14:paraId="5AABF2BD">
      <w:pPr>
        <w:spacing w:line="360" w:lineRule="auto"/>
        <w:ind w:firstLine="480" w:firstLineChars="200"/>
        <w:rPr>
          <w:rFonts w:hint="eastAsia" w:ascii="宋体" w:hAnsi="宋体" w:cs="宋体"/>
          <w:sz w:val="24"/>
        </w:rPr>
      </w:pPr>
      <w:r>
        <w:rPr>
          <w:rFonts w:hint="eastAsia" w:ascii="宋体" w:hAnsi="宋体" w:cs="宋体"/>
          <w:sz w:val="24"/>
        </w:rPr>
        <w:t>在回风斜井北东面的山坡上建一座3</w:t>
      </w:r>
      <w:r>
        <w:rPr>
          <w:rFonts w:ascii="宋体" w:hAnsi="宋体" w:cs="宋体"/>
          <w:sz w:val="24"/>
        </w:rPr>
        <w:t>00m</w:t>
      </w:r>
      <w:r>
        <w:rPr>
          <w:rFonts w:ascii="宋体" w:hAnsi="宋体" w:cs="宋体"/>
          <w:sz w:val="24"/>
          <w:vertAlign w:val="superscript"/>
        </w:rPr>
        <w:t>3</w:t>
      </w:r>
      <w:r>
        <w:rPr>
          <w:rFonts w:hint="eastAsia" w:ascii="宋体" w:hAnsi="宋体" w:cs="宋体"/>
          <w:sz w:val="24"/>
        </w:rPr>
        <w:t>防尘、消防洒水水池，池底标高为＋2015.0m，在回风斜井北东面山坡上建一座</w:t>
      </w:r>
      <w:r>
        <w:rPr>
          <w:rFonts w:ascii="宋体" w:hAnsi="宋体" w:cs="宋体"/>
          <w:sz w:val="24"/>
        </w:rPr>
        <w:t>100m</w:t>
      </w:r>
      <w:r>
        <w:rPr>
          <w:rFonts w:ascii="宋体" w:hAnsi="宋体" w:cs="宋体"/>
          <w:sz w:val="24"/>
          <w:vertAlign w:val="superscript"/>
        </w:rPr>
        <w:t>3</w:t>
      </w:r>
      <w:r>
        <w:rPr>
          <w:rFonts w:hint="eastAsia" w:ascii="宋体" w:hAnsi="宋体" w:cs="宋体"/>
          <w:sz w:val="24"/>
        </w:rPr>
        <w:t>生产、生活水池，池底标高为</w:t>
      </w:r>
      <w:r>
        <w:rPr>
          <w:rFonts w:ascii="宋体" w:hAnsi="宋体" w:cs="宋体"/>
          <w:sz w:val="24"/>
        </w:rPr>
        <w:t>+</w:t>
      </w:r>
      <w:r>
        <w:rPr>
          <w:rFonts w:hint="eastAsia" w:ascii="宋体" w:hAnsi="宋体" w:cs="宋体"/>
          <w:sz w:val="24"/>
        </w:rPr>
        <w:t>2020.0</w:t>
      </w:r>
      <w:r>
        <w:rPr>
          <w:rFonts w:ascii="宋体" w:hAnsi="宋体" w:cs="宋体"/>
          <w:sz w:val="24"/>
        </w:rPr>
        <w:t>m</w:t>
      </w:r>
      <w:r>
        <w:rPr>
          <w:rFonts w:hint="eastAsia" w:ascii="宋体" w:hAnsi="宋体" w:cs="宋体"/>
          <w:sz w:val="24"/>
        </w:rPr>
        <w:t>，均由水池敷设焊接钢管以静压供水方式向地面及井下供水。</w:t>
      </w:r>
    </w:p>
    <w:p w14:paraId="3AE8C2AE">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三、矿井占地面积</w:t>
      </w:r>
    </w:p>
    <w:p w14:paraId="0B1B5C05">
      <w:pPr>
        <w:spacing w:line="360" w:lineRule="auto"/>
        <w:ind w:firstLine="480" w:firstLineChars="200"/>
        <w:rPr>
          <w:rFonts w:hint="eastAsia" w:ascii="宋体" w:hAnsi="宋体"/>
          <w:sz w:val="24"/>
        </w:rPr>
      </w:pPr>
      <w:r>
        <w:rPr>
          <w:rFonts w:hint="eastAsia" w:ascii="宋体" w:hAnsi="宋体"/>
          <w:sz w:val="24"/>
        </w:rPr>
        <w:t>本矿井总占地面积3.0hm</w:t>
      </w:r>
      <w:r>
        <w:rPr>
          <w:rFonts w:hint="eastAsia" w:ascii="宋体" w:hAnsi="宋体"/>
          <w:sz w:val="24"/>
          <w:vertAlign w:val="superscript"/>
        </w:rPr>
        <w:t>2</w:t>
      </w:r>
      <w:r>
        <w:rPr>
          <w:rFonts w:hint="eastAsia" w:ascii="宋体" w:hAnsi="宋体"/>
          <w:sz w:val="24"/>
        </w:rPr>
        <w:t>，汇总详见</w:t>
      </w:r>
      <w:r>
        <w:rPr>
          <w:rFonts w:hint="eastAsia" w:ascii="宋体" w:hAnsi="宋体"/>
          <w:b/>
          <w:sz w:val="24"/>
        </w:rPr>
        <w:t>表6－3－3</w:t>
      </w:r>
      <w:r>
        <w:rPr>
          <w:rFonts w:hint="eastAsia" w:ascii="宋体" w:hAnsi="宋体"/>
          <w:sz w:val="24"/>
        </w:rPr>
        <w:t>。</w:t>
      </w:r>
    </w:p>
    <w:p w14:paraId="49E3482E">
      <w:pPr>
        <w:spacing w:line="360" w:lineRule="auto"/>
        <w:ind w:firstLine="480" w:firstLineChars="200"/>
        <w:rPr>
          <w:rFonts w:hint="eastAsia" w:ascii="宋体" w:hAnsi="宋体"/>
          <w:sz w:val="24"/>
        </w:rPr>
      </w:pPr>
      <w:r>
        <w:rPr>
          <w:rFonts w:hint="eastAsia" w:ascii="宋体" w:hAnsi="宋体"/>
          <w:sz w:val="24"/>
        </w:rPr>
        <w:t>本矿井各场地的相对位置关系详见地面设施总体布置图（附图3），占地面积汇总详见</w:t>
      </w:r>
      <w:r>
        <w:rPr>
          <w:rFonts w:hint="eastAsia" w:ascii="宋体" w:hAnsi="宋体"/>
          <w:b/>
          <w:sz w:val="24"/>
        </w:rPr>
        <w:t>表6—3—3</w:t>
      </w:r>
      <w:r>
        <w:rPr>
          <w:rFonts w:hint="eastAsia" w:ascii="宋体" w:hAnsi="宋体"/>
          <w:sz w:val="24"/>
        </w:rPr>
        <w:t>。</w:t>
      </w:r>
    </w:p>
    <w:p w14:paraId="29874BC5">
      <w:pPr>
        <w:spacing w:line="360" w:lineRule="auto"/>
        <w:jc w:val="center"/>
        <w:rPr>
          <w:rFonts w:hint="eastAsia" w:ascii="宋体" w:hAnsi="宋体"/>
          <w:b/>
          <w:sz w:val="24"/>
        </w:rPr>
      </w:pPr>
      <w:r>
        <w:rPr>
          <w:rFonts w:hint="eastAsia" w:ascii="宋体" w:hAnsi="宋体"/>
          <w:b/>
          <w:sz w:val="24"/>
        </w:rPr>
        <w:t xml:space="preserve">表6—3—3      </w:t>
      </w:r>
      <w:r>
        <w:rPr>
          <w:rFonts w:hint="eastAsia" w:ascii="宋体" w:hAnsi="宋体"/>
          <w:b/>
          <w:bCs/>
          <w:sz w:val="24"/>
        </w:rPr>
        <w:t>占地面积汇总表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94"/>
        <w:gridCol w:w="3240"/>
        <w:gridCol w:w="2290"/>
        <w:gridCol w:w="2866"/>
      </w:tblGrid>
      <w:tr w14:paraId="695FB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18DAC5B7">
            <w:pPr>
              <w:spacing w:line="340" w:lineRule="exact"/>
              <w:rPr>
                <w:rFonts w:ascii="宋体" w:hAnsi="宋体"/>
                <w:sz w:val="24"/>
              </w:rPr>
            </w:pPr>
            <w:r>
              <w:rPr>
                <w:rFonts w:hint="eastAsia" w:ascii="宋体" w:hAnsi="宋体"/>
                <w:sz w:val="24"/>
              </w:rPr>
              <w:t>序号</w:t>
            </w:r>
          </w:p>
        </w:tc>
        <w:tc>
          <w:tcPr>
            <w:tcW w:w="3240" w:type="dxa"/>
            <w:noWrap w:val="0"/>
            <w:tcMar>
              <w:top w:w="15" w:type="dxa"/>
              <w:left w:w="15" w:type="dxa"/>
              <w:bottom w:w="0" w:type="dxa"/>
              <w:right w:w="15" w:type="dxa"/>
            </w:tcMar>
            <w:vAlign w:val="center"/>
          </w:tcPr>
          <w:p w14:paraId="7B595210">
            <w:pPr>
              <w:spacing w:line="340" w:lineRule="exact"/>
              <w:jc w:val="center"/>
              <w:rPr>
                <w:rFonts w:ascii="宋体" w:hAnsi="宋体"/>
                <w:sz w:val="24"/>
              </w:rPr>
            </w:pPr>
            <w:r>
              <w:rPr>
                <w:rFonts w:hint="eastAsia" w:ascii="宋体" w:hAnsi="宋体"/>
                <w:sz w:val="24"/>
              </w:rPr>
              <w:t>项</w:t>
            </w:r>
            <w:r>
              <w:rPr>
                <w:rFonts w:ascii="宋体" w:hAnsi="宋体"/>
                <w:sz w:val="24"/>
              </w:rPr>
              <w:t xml:space="preserve">   </w:t>
            </w:r>
            <w:r>
              <w:rPr>
                <w:rFonts w:hint="eastAsia" w:ascii="宋体" w:hAnsi="宋体"/>
                <w:sz w:val="24"/>
              </w:rPr>
              <w:t>目</w:t>
            </w:r>
            <w:r>
              <w:rPr>
                <w:rFonts w:ascii="宋体" w:hAnsi="宋体"/>
                <w:sz w:val="24"/>
              </w:rPr>
              <w:t xml:space="preserve">   </w:t>
            </w:r>
            <w:r>
              <w:rPr>
                <w:rFonts w:hint="eastAsia" w:ascii="宋体" w:hAnsi="宋体"/>
                <w:sz w:val="24"/>
              </w:rPr>
              <w:t>名</w:t>
            </w:r>
            <w:r>
              <w:rPr>
                <w:rFonts w:ascii="宋体" w:hAnsi="宋体"/>
                <w:sz w:val="24"/>
              </w:rPr>
              <w:t xml:space="preserve">   </w:t>
            </w:r>
            <w:r>
              <w:rPr>
                <w:rFonts w:hint="eastAsia" w:ascii="宋体" w:hAnsi="宋体"/>
                <w:sz w:val="24"/>
              </w:rPr>
              <w:t>称</w:t>
            </w:r>
          </w:p>
        </w:tc>
        <w:tc>
          <w:tcPr>
            <w:tcW w:w="2290" w:type="dxa"/>
            <w:noWrap w:val="0"/>
            <w:tcMar>
              <w:top w:w="15" w:type="dxa"/>
              <w:left w:w="15" w:type="dxa"/>
              <w:bottom w:w="0" w:type="dxa"/>
              <w:right w:w="15" w:type="dxa"/>
            </w:tcMar>
            <w:vAlign w:val="center"/>
          </w:tcPr>
          <w:p w14:paraId="5C280E19">
            <w:pPr>
              <w:spacing w:line="340" w:lineRule="exact"/>
              <w:ind w:firstLine="117" w:firstLineChars="49"/>
              <w:jc w:val="center"/>
              <w:rPr>
                <w:rFonts w:hint="eastAsia" w:ascii="宋体" w:hAnsi="宋体"/>
                <w:sz w:val="24"/>
              </w:rPr>
            </w:pPr>
            <w:r>
              <w:rPr>
                <w:rFonts w:hint="eastAsia" w:ascii="宋体" w:hAnsi="宋体"/>
                <w:sz w:val="24"/>
              </w:rPr>
              <w:t>用地面积(</w:t>
            </w:r>
            <w:r>
              <w:rPr>
                <w:rFonts w:hint="eastAsia" w:ascii="宋体" w:hAnsi="宋体" w:cs="宋体"/>
                <w:sz w:val="24"/>
              </w:rPr>
              <w:t>hm</w:t>
            </w:r>
            <w:r>
              <w:rPr>
                <w:rFonts w:hint="eastAsia" w:ascii="宋体" w:hAnsi="宋体" w:cs="宋体"/>
                <w:sz w:val="24"/>
                <w:vertAlign w:val="superscript"/>
              </w:rPr>
              <w:t>2</w:t>
            </w:r>
            <w:r>
              <w:rPr>
                <w:rFonts w:hint="eastAsia" w:ascii="宋体" w:hAnsi="宋体"/>
                <w:sz w:val="24"/>
              </w:rPr>
              <w:t>)</w:t>
            </w:r>
          </w:p>
        </w:tc>
        <w:tc>
          <w:tcPr>
            <w:tcW w:w="2866" w:type="dxa"/>
            <w:noWrap w:val="0"/>
            <w:tcMar>
              <w:top w:w="15" w:type="dxa"/>
              <w:left w:w="15" w:type="dxa"/>
              <w:bottom w:w="0" w:type="dxa"/>
              <w:right w:w="15" w:type="dxa"/>
            </w:tcMar>
            <w:vAlign w:val="center"/>
          </w:tcPr>
          <w:p w14:paraId="4B59DEF7">
            <w:pPr>
              <w:spacing w:line="340" w:lineRule="exact"/>
              <w:jc w:val="center"/>
              <w:rPr>
                <w:rFonts w:ascii="宋体" w:hAnsi="宋体"/>
                <w:sz w:val="24"/>
              </w:rPr>
            </w:pPr>
            <w:r>
              <w:rPr>
                <w:rFonts w:hint="eastAsia" w:ascii="宋体" w:hAnsi="宋体"/>
                <w:sz w:val="24"/>
              </w:rPr>
              <w:t>备　　　注</w:t>
            </w:r>
          </w:p>
        </w:tc>
      </w:tr>
      <w:tr w14:paraId="0A6AB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1676B3F4">
            <w:pPr>
              <w:spacing w:line="340" w:lineRule="exact"/>
              <w:jc w:val="center"/>
              <w:rPr>
                <w:rFonts w:hint="eastAsia" w:ascii="宋体" w:hAnsi="宋体"/>
                <w:sz w:val="24"/>
              </w:rPr>
            </w:pPr>
            <w:r>
              <w:rPr>
                <w:rFonts w:hint="eastAsia" w:ascii="宋体" w:hAnsi="宋体"/>
                <w:sz w:val="24"/>
              </w:rPr>
              <w:t>1</w:t>
            </w:r>
          </w:p>
        </w:tc>
        <w:tc>
          <w:tcPr>
            <w:tcW w:w="3240" w:type="dxa"/>
            <w:noWrap w:val="0"/>
            <w:tcMar>
              <w:top w:w="15" w:type="dxa"/>
              <w:left w:w="15" w:type="dxa"/>
              <w:bottom w:w="0" w:type="dxa"/>
              <w:right w:w="15" w:type="dxa"/>
            </w:tcMar>
            <w:vAlign w:val="center"/>
          </w:tcPr>
          <w:p w14:paraId="719E23CD">
            <w:pPr>
              <w:spacing w:line="340" w:lineRule="exact"/>
              <w:ind w:firstLine="120" w:firstLineChars="50"/>
              <w:rPr>
                <w:rFonts w:hint="eastAsia" w:ascii="宋体" w:hAnsi="宋体"/>
                <w:sz w:val="24"/>
              </w:rPr>
            </w:pPr>
            <w:r>
              <w:rPr>
                <w:rFonts w:hint="eastAsia" w:ascii="宋体" w:hAnsi="宋体"/>
                <w:sz w:val="24"/>
              </w:rPr>
              <w:t>主、副井场地</w:t>
            </w:r>
          </w:p>
        </w:tc>
        <w:tc>
          <w:tcPr>
            <w:tcW w:w="2290" w:type="dxa"/>
            <w:noWrap w:val="0"/>
            <w:tcMar>
              <w:top w:w="15" w:type="dxa"/>
              <w:left w:w="15" w:type="dxa"/>
              <w:bottom w:w="0" w:type="dxa"/>
              <w:right w:w="15" w:type="dxa"/>
            </w:tcMar>
            <w:vAlign w:val="center"/>
          </w:tcPr>
          <w:p w14:paraId="58992830">
            <w:pPr>
              <w:spacing w:line="340" w:lineRule="exact"/>
              <w:jc w:val="center"/>
              <w:rPr>
                <w:rFonts w:hint="eastAsia" w:ascii="宋体" w:hAnsi="宋体"/>
                <w:sz w:val="24"/>
              </w:rPr>
            </w:pPr>
            <w:r>
              <w:rPr>
                <w:rFonts w:hint="eastAsia" w:ascii="宋体" w:hAnsi="宋体"/>
                <w:sz w:val="24"/>
              </w:rPr>
              <w:t>1.78</w:t>
            </w:r>
          </w:p>
        </w:tc>
        <w:tc>
          <w:tcPr>
            <w:tcW w:w="2866" w:type="dxa"/>
            <w:noWrap w:val="0"/>
            <w:tcMar>
              <w:top w:w="15" w:type="dxa"/>
              <w:left w:w="15" w:type="dxa"/>
              <w:bottom w:w="0" w:type="dxa"/>
              <w:right w:w="15" w:type="dxa"/>
            </w:tcMar>
            <w:vAlign w:val="center"/>
          </w:tcPr>
          <w:p w14:paraId="21DCB3A8">
            <w:pPr>
              <w:spacing w:line="340" w:lineRule="exact"/>
              <w:rPr>
                <w:rFonts w:ascii="宋体" w:hAnsi="宋体"/>
                <w:sz w:val="24"/>
              </w:rPr>
            </w:pPr>
          </w:p>
        </w:tc>
      </w:tr>
      <w:tr w14:paraId="53EEB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2E30DC88">
            <w:pPr>
              <w:spacing w:line="340" w:lineRule="exact"/>
              <w:jc w:val="center"/>
              <w:rPr>
                <w:rFonts w:hint="eastAsia" w:ascii="宋体" w:hAnsi="宋体"/>
                <w:sz w:val="24"/>
              </w:rPr>
            </w:pPr>
            <w:r>
              <w:rPr>
                <w:rFonts w:hint="eastAsia" w:ascii="宋体" w:hAnsi="宋体"/>
                <w:sz w:val="24"/>
              </w:rPr>
              <w:t>2</w:t>
            </w:r>
          </w:p>
        </w:tc>
        <w:tc>
          <w:tcPr>
            <w:tcW w:w="3240" w:type="dxa"/>
            <w:noWrap w:val="0"/>
            <w:tcMar>
              <w:top w:w="15" w:type="dxa"/>
              <w:left w:w="15" w:type="dxa"/>
              <w:bottom w:w="0" w:type="dxa"/>
              <w:right w:w="15" w:type="dxa"/>
            </w:tcMar>
            <w:vAlign w:val="center"/>
          </w:tcPr>
          <w:p w14:paraId="196BBCBF">
            <w:pPr>
              <w:spacing w:line="340" w:lineRule="exact"/>
              <w:ind w:firstLine="120" w:firstLineChars="50"/>
              <w:rPr>
                <w:rFonts w:hint="eastAsia" w:ascii="宋体" w:hAnsi="宋体"/>
                <w:sz w:val="24"/>
              </w:rPr>
            </w:pPr>
            <w:r>
              <w:rPr>
                <w:rFonts w:hint="eastAsia" w:ascii="宋体" w:hAnsi="宋体"/>
                <w:sz w:val="24"/>
              </w:rPr>
              <w:t>地面炸药库区占地面积</w:t>
            </w:r>
          </w:p>
        </w:tc>
        <w:tc>
          <w:tcPr>
            <w:tcW w:w="2290" w:type="dxa"/>
            <w:noWrap w:val="0"/>
            <w:tcMar>
              <w:top w:w="15" w:type="dxa"/>
              <w:left w:w="15" w:type="dxa"/>
              <w:bottom w:w="0" w:type="dxa"/>
              <w:right w:w="15" w:type="dxa"/>
            </w:tcMar>
            <w:vAlign w:val="center"/>
          </w:tcPr>
          <w:p w14:paraId="22FC17EC">
            <w:pPr>
              <w:spacing w:line="340" w:lineRule="exact"/>
              <w:jc w:val="center"/>
              <w:rPr>
                <w:rFonts w:ascii="宋体" w:hAnsi="宋体" w:cs="宋体"/>
                <w:sz w:val="24"/>
              </w:rPr>
            </w:pPr>
            <w:r>
              <w:rPr>
                <w:rFonts w:hint="eastAsia" w:ascii="宋体" w:hAnsi="宋体"/>
                <w:sz w:val="24"/>
              </w:rPr>
              <w:t>0.2</w:t>
            </w:r>
          </w:p>
        </w:tc>
        <w:tc>
          <w:tcPr>
            <w:tcW w:w="2866" w:type="dxa"/>
            <w:noWrap w:val="0"/>
            <w:tcMar>
              <w:top w:w="15" w:type="dxa"/>
              <w:left w:w="15" w:type="dxa"/>
              <w:bottom w:w="0" w:type="dxa"/>
              <w:right w:w="15" w:type="dxa"/>
            </w:tcMar>
            <w:vAlign w:val="center"/>
          </w:tcPr>
          <w:p w14:paraId="52783F36">
            <w:pPr>
              <w:spacing w:line="340" w:lineRule="exact"/>
              <w:rPr>
                <w:rFonts w:hint="eastAsia" w:ascii="宋体" w:hAnsi="宋体"/>
                <w:sz w:val="24"/>
              </w:rPr>
            </w:pPr>
          </w:p>
        </w:tc>
      </w:tr>
      <w:tr w14:paraId="2E2FE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69A13A77">
            <w:pPr>
              <w:spacing w:line="340" w:lineRule="exact"/>
              <w:jc w:val="center"/>
              <w:rPr>
                <w:rFonts w:hint="eastAsia" w:ascii="宋体" w:hAnsi="宋体"/>
                <w:sz w:val="24"/>
              </w:rPr>
            </w:pPr>
            <w:r>
              <w:rPr>
                <w:rFonts w:hint="eastAsia" w:ascii="宋体" w:hAnsi="宋体"/>
                <w:sz w:val="24"/>
              </w:rPr>
              <w:t>3</w:t>
            </w:r>
          </w:p>
        </w:tc>
        <w:tc>
          <w:tcPr>
            <w:tcW w:w="3240" w:type="dxa"/>
            <w:noWrap w:val="0"/>
            <w:tcMar>
              <w:top w:w="15" w:type="dxa"/>
              <w:left w:w="15" w:type="dxa"/>
              <w:bottom w:w="0" w:type="dxa"/>
              <w:right w:w="15" w:type="dxa"/>
            </w:tcMar>
            <w:vAlign w:val="center"/>
          </w:tcPr>
          <w:p w14:paraId="2505467B">
            <w:pPr>
              <w:spacing w:line="340" w:lineRule="exact"/>
              <w:ind w:firstLine="120" w:firstLineChars="50"/>
              <w:rPr>
                <w:rFonts w:hint="eastAsia" w:ascii="宋体" w:hAnsi="宋体"/>
                <w:sz w:val="24"/>
              </w:rPr>
            </w:pPr>
            <w:r>
              <w:rPr>
                <w:rFonts w:hint="eastAsia" w:ascii="宋体" w:hAnsi="宋体"/>
                <w:sz w:val="24"/>
              </w:rPr>
              <w:t>风井场地</w:t>
            </w:r>
          </w:p>
        </w:tc>
        <w:tc>
          <w:tcPr>
            <w:tcW w:w="2290" w:type="dxa"/>
            <w:noWrap w:val="0"/>
            <w:tcMar>
              <w:top w:w="15" w:type="dxa"/>
              <w:left w:w="15" w:type="dxa"/>
              <w:bottom w:w="0" w:type="dxa"/>
              <w:right w:w="15" w:type="dxa"/>
            </w:tcMar>
            <w:vAlign w:val="center"/>
          </w:tcPr>
          <w:p w14:paraId="4CB65AAE">
            <w:pPr>
              <w:spacing w:line="340" w:lineRule="exact"/>
              <w:jc w:val="center"/>
              <w:rPr>
                <w:rFonts w:hint="eastAsia" w:ascii="宋体" w:hAnsi="宋体"/>
                <w:sz w:val="24"/>
              </w:rPr>
            </w:pPr>
            <w:r>
              <w:rPr>
                <w:rFonts w:hint="eastAsia" w:ascii="宋体" w:hAnsi="宋体"/>
                <w:sz w:val="24"/>
              </w:rPr>
              <w:t>0.2</w:t>
            </w:r>
          </w:p>
        </w:tc>
        <w:tc>
          <w:tcPr>
            <w:tcW w:w="2866" w:type="dxa"/>
            <w:noWrap w:val="0"/>
            <w:tcMar>
              <w:top w:w="15" w:type="dxa"/>
              <w:left w:w="15" w:type="dxa"/>
              <w:bottom w:w="0" w:type="dxa"/>
              <w:right w:w="15" w:type="dxa"/>
            </w:tcMar>
            <w:vAlign w:val="center"/>
          </w:tcPr>
          <w:p w14:paraId="1B2D06FA">
            <w:pPr>
              <w:spacing w:line="340" w:lineRule="exact"/>
              <w:rPr>
                <w:rFonts w:hint="eastAsia" w:ascii="宋体" w:hAnsi="宋体"/>
                <w:sz w:val="24"/>
              </w:rPr>
            </w:pPr>
          </w:p>
        </w:tc>
      </w:tr>
      <w:tr w14:paraId="66840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13BAA471">
            <w:pPr>
              <w:spacing w:line="340" w:lineRule="exact"/>
              <w:jc w:val="center"/>
              <w:rPr>
                <w:rFonts w:hint="eastAsia" w:ascii="宋体" w:hAnsi="宋体"/>
                <w:sz w:val="24"/>
              </w:rPr>
            </w:pPr>
            <w:r>
              <w:rPr>
                <w:rFonts w:hint="eastAsia" w:ascii="宋体" w:hAnsi="宋体"/>
                <w:sz w:val="24"/>
              </w:rPr>
              <w:t>4</w:t>
            </w:r>
          </w:p>
        </w:tc>
        <w:tc>
          <w:tcPr>
            <w:tcW w:w="3240" w:type="dxa"/>
            <w:noWrap w:val="0"/>
            <w:tcMar>
              <w:top w:w="15" w:type="dxa"/>
              <w:left w:w="15" w:type="dxa"/>
              <w:bottom w:w="0" w:type="dxa"/>
              <w:right w:w="15" w:type="dxa"/>
            </w:tcMar>
            <w:vAlign w:val="center"/>
          </w:tcPr>
          <w:p w14:paraId="5F92BA94">
            <w:pPr>
              <w:spacing w:line="340" w:lineRule="exact"/>
              <w:ind w:firstLine="120" w:firstLineChars="50"/>
              <w:jc w:val="left"/>
              <w:rPr>
                <w:rFonts w:ascii="宋体" w:hAnsi="宋体"/>
                <w:sz w:val="24"/>
              </w:rPr>
            </w:pPr>
            <w:r>
              <w:rPr>
                <w:rFonts w:hint="eastAsia" w:ascii="宋体" w:hAnsi="宋体"/>
                <w:sz w:val="24"/>
              </w:rPr>
              <w:t>水源泵房、高位水池</w:t>
            </w:r>
          </w:p>
        </w:tc>
        <w:tc>
          <w:tcPr>
            <w:tcW w:w="2290" w:type="dxa"/>
            <w:noWrap w:val="0"/>
            <w:tcMar>
              <w:top w:w="15" w:type="dxa"/>
              <w:left w:w="15" w:type="dxa"/>
              <w:bottom w:w="0" w:type="dxa"/>
              <w:right w:w="15" w:type="dxa"/>
            </w:tcMar>
            <w:vAlign w:val="center"/>
          </w:tcPr>
          <w:p w14:paraId="22D29BE3">
            <w:pPr>
              <w:spacing w:line="340" w:lineRule="exact"/>
              <w:jc w:val="center"/>
              <w:rPr>
                <w:rFonts w:ascii="宋体" w:hAnsi="宋体" w:cs="宋体"/>
                <w:sz w:val="24"/>
              </w:rPr>
            </w:pPr>
            <w:r>
              <w:rPr>
                <w:rFonts w:hint="eastAsia" w:ascii="宋体" w:hAnsi="宋体"/>
                <w:sz w:val="24"/>
              </w:rPr>
              <w:t>0.02</w:t>
            </w:r>
          </w:p>
        </w:tc>
        <w:tc>
          <w:tcPr>
            <w:tcW w:w="2866" w:type="dxa"/>
            <w:noWrap w:val="0"/>
            <w:tcMar>
              <w:top w:w="15" w:type="dxa"/>
              <w:left w:w="15" w:type="dxa"/>
              <w:bottom w:w="0" w:type="dxa"/>
              <w:right w:w="15" w:type="dxa"/>
            </w:tcMar>
            <w:vAlign w:val="center"/>
          </w:tcPr>
          <w:p w14:paraId="2EF8926F">
            <w:pPr>
              <w:spacing w:line="340" w:lineRule="exact"/>
              <w:jc w:val="center"/>
              <w:rPr>
                <w:rFonts w:hint="eastAsia" w:ascii="宋体" w:hAnsi="宋体"/>
                <w:sz w:val="24"/>
              </w:rPr>
            </w:pPr>
          </w:p>
        </w:tc>
      </w:tr>
      <w:tr w14:paraId="1E8D4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568C1DA4">
            <w:pPr>
              <w:spacing w:line="340" w:lineRule="exact"/>
              <w:jc w:val="center"/>
              <w:rPr>
                <w:rFonts w:hint="eastAsia" w:ascii="宋体" w:hAnsi="宋体"/>
                <w:sz w:val="24"/>
              </w:rPr>
            </w:pPr>
            <w:r>
              <w:rPr>
                <w:rFonts w:hint="eastAsia" w:ascii="宋体" w:hAnsi="宋体"/>
                <w:sz w:val="24"/>
              </w:rPr>
              <w:t>5</w:t>
            </w:r>
          </w:p>
        </w:tc>
        <w:tc>
          <w:tcPr>
            <w:tcW w:w="3240" w:type="dxa"/>
            <w:noWrap w:val="0"/>
            <w:tcMar>
              <w:top w:w="15" w:type="dxa"/>
              <w:left w:w="15" w:type="dxa"/>
              <w:bottom w:w="0" w:type="dxa"/>
              <w:right w:w="15" w:type="dxa"/>
            </w:tcMar>
            <w:vAlign w:val="center"/>
          </w:tcPr>
          <w:p w14:paraId="3BECD5B0">
            <w:pPr>
              <w:spacing w:line="340" w:lineRule="exact"/>
              <w:ind w:firstLine="120" w:firstLineChars="50"/>
              <w:jc w:val="left"/>
              <w:rPr>
                <w:rFonts w:ascii="宋体" w:hAnsi="宋体"/>
                <w:sz w:val="24"/>
              </w:rPr>
            </w:pPr>
            <w:r>
              <w:rPr>
                <w:rFonts w:ascii="宋体" w:hAnsi="宋体"/>
                <w:sz w:val="24"/>
              </w:rPr>
              <w:t>进场公路</w:t>
            </w:r>
          </w:p>
        </w:tc>
        <w:tc>
          <w:tcPr>
            <w:tcW w:w="2290" w:type="dxa"/>
            <w:noWrap w:val="0"/>
            <w:tcMar>
              <w:top w:w="15" w:type="dxa"/>
              <w:left w:w="15" w:type="dxa"/>
              <w:bottom w:w="0" w:type="dxa"/>
              <w:right w:w="15" w:type="dxa"/>
            </w:tcMar>
            <w:vAlign w:val="center"/>
          </w:tcPr>
          <w:p w14:paraId="16EF7845">
            <w:pPr>
              <w:spacing w:line="340" w:lineRule="exact"/>
              <w:jc w:val="center"/>
              <w:rPr>
                <w:rFonts w:ascii="宋体" w:hAnsi="宋体" w:cs="宋体"/>
                <w:sz w:val="24"/>
              </w:rPr>
            </w:pPr>
            <w:r>
              <w:rPr>
                <w:rFonts w:hint="eastAsia" w:ascii="宋体" w:hAnsi="宋体"/>
                <w:sz w:val="24"/>
              </w:rPr>
              <w:t>0.3</w:t>
            </w:r>
          </w:p>
        </w:tc>
        <w:tc>
          <w:tcPr>
            <w:tcW w:w="2866" w:type="dxa"/>
            <w:noWrap w:val="0"/>
            <w:tcMar>
              <w:top w:w="15" w:type="dxa"/>
              <w:left w:w="15" w:type="dxa"/>
              <w:bottom w:w="0" w:type="dxa"/>
              <w:right w:w="15" w:type="dxa"/>
            </w:tcMar>
            <w:vAlign w:val="center"/>
          </w:tcPr>
          <w:p w14:paraId="7F08DA13">
            <w:pPr>
              <w:spacing w:line="340" w:lineRule="exact"/>
              <w:jc w:val="center"/>
              <w:rPr>
                <w:rFonts w:hint="eastAsia" w:ascii="宋体" w:hAnsi="宋体"/>
                <w:sz w:val="24"/>
              </w:rPr>
            </w:pPr>
          </w:p>
        </w:tc>
      </w:tr>
      <w:tr w14:paraId="6B191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2C105434">
            <w:pPr>
              <w:spacing w:line="340" w:lineRule="exact"/>
              <w:jc w:val="center"/>
              <w:rPr>
                <w:rFonts w:hint="eastAsia" w:ascii="宋体" w:hAnsi="宋体"/>
                <w:sz w:val="24"/>
              </w:rPr>
            </w:pPr>
            <w:r>
              <w:rPr>
                <w:rFonts w:hint="eastAsia" w:ascii="宋体" w:hAnsi="宋体"/>
                <w:sz w:val="24"/>
              </w:rPr>
              <w:t>6</w:t>
            </w:r>
          </w:p>
        </w:tc>
        <w:tc>
          <w:tcPr>
            <w:tcW w:w="3240" w:type="dxa"/>
            <w:noWrap w:val="0"/>
            <w:tcMar>
              <w:top w:w="15" w:type="dxa"/>
              <w:left w:w="15" w:type="dxa"/>
              <w:bottom w:w="0" w:type="dxa"/>
              <w:right w:w="15" w:type="dxa"/>
            </w:tcMar>
            <w:vAlign w:val="center"/>
          </w:tcPr>
          <w:p w14:paraId="0036B94F">
            <w:pPr>
              <w:spacing w:line="340" w:lineRule="exact"/>
              <w:ind w:firstLine="120" w:firstLineChars="50"/>
              <w:jc w:val="left"/>
              <w:rPr>
                <w:rFonts w:hint="eastAsia" w:ascii="宋体" w:hAnsi="宋体"/>
                <w:sz w:val="24"/>
              </w:rPr>
            </w:pPr>
            <w:r>
              <w:rPr>
                <w:rFonts w:hint="eastAsia" w:ascii="宋体" w:hAnsi="宋体"/>
                <w:sz w:val="24"/>
              </w:rPr>
              <w:t>矸石堆放场</w:t>
            </w:r>
          </w:p>
        </w:tc>
        <w:tc>
          <w:tcPr>
            <w:tcW w:w="2290" w:type="dxa"/>
            <w:noWrap w:val="0"/>
            <w:tcMar>
              <w:top w:w="15" w:type="dxa"/>
              <w:left w:w="15" w:type="dxa"/>
              <w:bottom w:w="0" w:type="dxa"/>
              <w:right w:w="15" w:type="dxa"/>
            </w:tcMar>
            <w:vAlign w:val="center"/>
          </w:tcPr>
          <w:p w14:paraId="6D0ABD7F">
            <w:pPr>
              <w:spacing w:line="340" w:lineRule="exact"/>
              <w:jc w:val="center"/>
              <w:rPr>
                <w:rFonts w:hint="eastAsia" w:ascii="宋体" w:hAnsi="宋体"/>
                <w:sz w:val="24"/>
              </w:rPr>
            </w:pPr>
            <w:r>
              <w:rPr>
                <w:rFonts w:hint="eastAsia" w:ascii="宋体" w:hAnsi="宋体"/>
                <w:sz w:val="24"/>
              </w:rPr>
              <w:t>0.5</w:t>
            </w:r>
          </w:p>
        </w:tc>
        <w:tc>
          <w:tcPr>
            <w:tcW w:w="2866" w:type="dxa"/>
            <w:noWrap w:val="0"/>
            <w:tcMar>
              <w:top w:w="15" w:type="dxa"/>
              <w:left w:w="15" w:type="dxa"/>
              <w:bottom w:w="0" w:type="dxa"/>
              <w:right w:w="15" w:type="dxa"/>
            </w:tcMar>
            <w:vAlign w:val="center"/>
          </w:tcPr>
          <w:p w14:paraId="67D129AD">
            <w:pPr>
              <w:spacing w:line="340" w:lineRule="exact"/>
              <w:jc w:val="center"/>
              <w:rPr>
                <w:rFonts w:hint="eastAsia" w:ascii="宋体" w:hAnsi="宋体"/>
                <w:sz w:val="24"/>
              </w:rPr>
            </w:pPr>
          </w:p>
        </w:tc>
      </w:tr>
      <w:tr w14:paraId="5911F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77" w:hRule="atLeast"/>
          <w:jc w:val="center"/>
        </w:trPr>
        <w:tc>
          <w:tcPr>
            <w:tcW w:w="594" w:type="dxa"/>
            <w:noWrap w:val="0"/>
            <w:tcMar>
              <w:top w:w="15" w:type="dxa"/>
              <w:left w:w="15" w:type="dxa"/>
              <w:bottom w:w="0" w:type="dxa"/>
              <w:right w:w="15" w:type="dxa"/>
            </w:tcMar>
            <w:vAlign w:val="center"/>
          </w:tcPr>
          <w:p w14:paraId="4370820D">
            <w:pPr>
              <w:spacing w:line="340" w:lineRule="exact"/>
              <w:jc w:val="center"/>
              <w:rPr>
                <w:rFonts w:hint="eastAsia" w:ascii="宋体" w:hAnsi="宋体"/>
                <w:sz w:val="24"/>
              </w:rPr>
            </w:pPr>
          </w:p>
        </w:tc>
        <w:tc>
          <w:tcPr>
            <w:tcW w:w="3240" w:type="dxa"/>
            <w:noWrap w:val="0"/>
            <w:tcMar>
              <w:top w:w="15" w:type="dxa"/>
              <w:left w:w="15" w:type="dxa"/>
              <w:bottom w:w="0" w:type="dxa"/>
              <w:right w:w="15" w:type="dxa"/>
            </w:tcMar>
            <w:vAlign w:val="center"/>
          </w:tcPr>
          <w:p w14:paraId="43BE08D7">
            <w:pPr>
              <w:spacing w:line="340" w:lineRule="exact"/>
              <w:ind w:firstLine="777" w:firstLineChars="324"/>
              <w:rPr>
                <w:rFonts w:ascii="宋体" w:hAnsi="宋体"/>
                <w:sz w:val="24"/>
              </w:rPr>
            </w:pPr>
            <w:r>
              <w:rPr>
                <w:rFonts w:hint="eastAsia" w:ascii="宋体" w:hAnsi="宋体"/>
                <w:sz w:val="24"/>
              </w:rPr>
              <w:t>合　　　计</w:t>
            </w:r>
          </w:p>
        </w:tc>
        <w:tc>
          <w:tcPr>
            <w:tcW w:w="2290" w:type="dxa"/>
            <w:noWrap w:val="0"/>
            <w:tcMar>
              <w:top w:w="15" w:type="dxa"/>
              <w:left w:w="15" w:type="dxa"/>
              <w:bottom w:w="0" w:type="dxa"/>
              <w:right w:w="15" w:type="dxa"/>
            </w:tcMar>
            <w:vAlign w:val="center"/>
          </w:tcPr>
          <w:p w14:paraId="677E376D">
            <w:pPr>
              <w:spacing w:line="340" w:lineRule="exact"/>
              <w:jc w:val="center"/>
              <w:rPr>
                <w:rFonts w:hint="eastAsia" w:ascii="宋体" w:hAnsi="宋体" w:cs="宋体"/>
                <w:sz w:val="24"/>
              </w:rPr>
            </w:pPr>
            <w:r>
              <w:rPr>
                <w:rFonts w:hint="eastAsia" w:ascii="宋体" w:hAnsi="宋体"/>
                <w:sz w:val="24"/>
              </w:rPr>
              <w:t>3.0</w:t>
            </w:r>
          </w:p>
        </w:tc>
        <w:tc>
          <w:tcPr>
            <w:tcW w:w="2866" w:type="dxa"/>
            <w:noWrap w:val="0"/>
            <w:tcMar>
              <w:top w:w="15" w:type="dxa"/>
              <w:left w:w="15" w:type="dxa"/>
              <w:bottom w:w="0" w:type="dxa"/>
              <w:right w:w="15" w:type="dxa"/>
            </w:tcMar>
            <w:vAlign w:val="center"/>
          </w:tcPr>
          <w:p w14:paraId="562C6859">
            <w:pPr>
              <w:spacing w:line="340" w:lineRule="exact"/>
              <w:jc w:val="center"/>
              <w:rPr>
                <w:rFonts w:hint="eastAsia" w:ascii="宋体" w:hAnsi="宋体"/>
                <w:sz w:val="24"/>
              </w:rPr>
            </w:pPr>
          </w:p>
        </w:tc>
      </w:tr>
    </w:tbl>
    <w:p w14:paraId="6280AE78">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四、防洪排涝</w:t>
      </w:r>
    </w:p>
    <w:p w14:paraId="2C0EB298">
      <w:pPr>
        <w:spacing w:line="360" w:lineRule="auto"/>
        <w:ind w:firstLine="480" w:firstLineChars="200"/>
        <w:rPr>
          <w:rFonts w:hint="eastAsia" w:ascii="宋体" w:hAnsi="宋体"/>
          <w:sz w:val="24"/>
        </w:rPr>
      </w:pPr>
      <w:r>
        <w:rPr>
          <w:rFonts w:hint="eastAsia" w:ascii="宋体" w:hAnsi="宋体"/>
          <w:sz w:val="24"/>
        </w:rPr>
        <w:t>1、洪涝现状</w:t>
      </w:r>
    </w:p>
    <w:p w14:paraId="01CD95C9">
      <w:pPr>
        <w:spacing w:line="360" w:lineRule="auto"/>
        <w:ind w:firstLine="480" w:firstLineChars="200"/>
        <w:rPr>
          <w:rFonts w:ascii="宋体" w:hAnsi="宋体"/>
          <w:sz w:val="24"/>
        </w:rPr>
      </w:pPr>
      <w:r>
        <w:rPr>
          <w:rFonts w:hint="eastAsia" w:ascii="宋体" w:hAnsi="宋体"/>
          <w:sz w:val="24"/>
        </w:rPr>
        <w:t>工业场地附近无河流，工业场地附近冲沟基本上属山洪季节性冲沟，自然纵坡大于10%。主斜井、副斜井、回风斜井井口标高分别为+1979.00m、+1998.00m、+1988.00m，工业场地最低平场标高+1978.5.00m，井口和场地均无洪水之患。只需在工业场地场区修筑挡土墙及边坡脚修筑断面0.4m×0.5m的排水明沟，即可满足防洪排涝要求。</w:t>
      </w:r>
    </w:p>
    <w:p w14:paraId="61D639DA">
      <w:pPr>
        <w:spacing w:line="360" w:lineRule="auto"/>
        <w:ind w:firstLine="480" w:firstLineChars="200"/>
        <w:rPr>
          <w:rFonts w:hint="eastAsia" w:ascii="宋体" w:hAnsi="宋体"/>
          <w:sz w:val="24"/>
        </w:rPr>
      </w:pPr>
      <w:r>
        <w:rPr>
          <w:rFonts w:hint="eastAsia" w:ascii="宋体" w:hAnsi="宋体"/>
          <w:sz w:val="24"/>
        </w:rPr>
        <w:t>2、防洪设计标准</w:t>
      </w:r>
    </w:p>
    <w:p w14:paraId="63C8658A">
      <w:pPr>
        <w:spacing w:line="360" w:lineRule="auto"/>
        <w:ind w:firstLine="480" w:firstLineChars="200"/>
        <w:rPr>
          <w:rFonts w:hint="eastAsia" w:ascii="宋体" w:hAnsi="宋体"/>
          <w:sz w:val="24"/>
        </w:rPr>
      </w:pPr>
      <w:r>
        <w:rPr>
          <w:rFonts w:hint="eastAsia" w:ascii="宋体" w:hAnsi="宋体"/>
          <w:sz w:val="24"/>
        </w:rPr>
        <w:t>（1）矿井井口及工业场地建筑物的高程均位于当地历年最高洪水位之上。</w:t>
      </w:r>
    </w:p>
    <w:p w14:paraId="34017035">
      <w:pPr>
        <w:spacing w:line="360" w:lineRule="auto"/>
        <w:ind w:firstLine="480" w:firstLineChars="200"/>
        <w:rPr>
          <w:rFonts w:hint="eastAsia" w:ascii="宋体" w:hAnsi="宋体"/>
          <w:sz w:val="24"/>
        </w:rPr>
      </w:pPr>
      <w:r>
        <w:rPr>
          <w:rFonts w:hint="eastAsia" w:ascii="宋体" w:hAnsi="宋体"/>
          <w:sz w:val="24"/>
        </w:rPr>
        <w:t>（2）由于矿井工业场地选择在平缓地带，为保证工业场地和矿井不受洪水威胁，需在井口上方设置排洪沟，排洪沟设计频率应符合下表规定。</w:t>
      </w:r>
    </w:p>
    <w:p w14:paraId="7612A6CB">
      <w:pPr>
        <w:spacing w:line="360" w:lineRule="auto"/>
        <w:jc w:val="center"/>
        <w:rPr>
          <w:rFonts w:hint="eastAsia" w:ascii="宋体" w:hAnsi="宋体"/>
          <w:sz w:val="24"/>
        </w:rPr>
      </w:pPr>
      <w:r>
        <w:rPr>
          <w:rFonts w:hint="eastAsia" w:ascii="宋体" w:hAnsi="宋体"/>
          <w:sz w:val="24"/>
        </w:rPr>
        <w:t>防洪设计标准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3"/>
        <w:gridCol w:w="2782"/>
        <w:gridCol w:w="3081"/>
      </w:tblGrid>
      <w:tr w14:paraId="1CDF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397" w:hRule="atLeast"/>
          <w:jc w:val="center"/>
        </w:trPr>
        <w:tc>
          <w:tcPr>
            <w:tcW w:w="3143" w:type="dxa"/>
            <w:noWrap w:val="0"/>
            <w:vAlign w:val="center"/>
          </w:tcPr>
          <w:p w14:paraId="2E729142">
            <w:pPr>
              <w:jc w:val="center"/>
              <w:rPr>
                <w:rFonts w:hint="eastAsia" w:ascii="宋体" w:hAnsi="宋体"/>
                <w:color w:val="000000"/>
                <w:sz w:val="24"/>
              </w:rPr>
            </w:pPr>
            <w:r>
              <w:rPr>
                <w:rFonts w:hint="eastAsia" w:ascii="宋体" w:hAnsi="宋体"/>
                <w:color w:val="000000"/>
                <w:sz w:val="24"/>
              </w:rPr>
              <w:t>企业规模及工程性质</w:t>
            </w:r>
          </w:p>
        </w:tc>
        <w:tc>
          <w:tcPr>
            <w:tcW w:w="2782" w:type="dxa"/>
            <w:noWrap w:val="0"/>
            <w:vAlign w:val="center"/>
          </w:tcPr>
          <w:p w14:paraId="0DAC4113">
            <w:pPr>
              <w:jc w:val="center"/>
              <w:rPr>
                <w:rFonts w:hint="eastAsia" w:ascii="宋体" w:hAnsi="宋体"/>
                <w:color w:val="000000"/>
                <w:sz w:val="24"/>
              </w:rPr>
            </w:pPr>
            <w:r>
              <w:rPr>
                <w:rFonts w:hint="eastAsia" w:ascii="宋体" w:hAnsi="宋体"/>
                <w:color w:val="000000"/>
                <w:sz w:val="24"/>
              </w:rPr>
              <w:t>设计频率</w:t>
            </w:r>
          </w:p>
        </w:tc>
        <w:tc>
          <w:tcPr>
            <w:tcW w:w="3081" w:type="dxa"/>
            <w:noWrap w:val="0"/>
            <w:vAlign w:val="center"/>
          </w:tcPr>
          <w:p w14:paraId="12792EFB">
            <w:pPr>
              <w:jc w:val="center"/>
              <w:rPr>
                <w:rFonts w:hint="eastAsia" w:ascii="宋体" w:hAnsi="宋体"/>
                <w:color w:val="000000"/>
                <w:sz w:val="24"/>
              </w:rPr>
            </w:pPr>
            <w:r>
              <w:rPr>
                <w:rFonts w:hint="eastAsia" w:ascii="宋体" w:hAnsi="宋体"/>
                <w:color w:val="000000"/>
                <w:sz w:val="24"/>
              </w:rPr>
              <w:t>校核频率</w:t>
            </w:r>
          </w:p>
        </w:tc>
      </w:tr>
      <w:tr w14:paraId="32DE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3143" w:type="dxa"/>
            <w:noWrap w:val="0"/>
            <w:vAlign w:val="center"/>
          </w:tcPr>
          <w:p w14:paraId="5A54C078">
            <w:pPr>
              <w:rPr>
                <w:rFonts w:hint="eastAsia" w:ascii="宋体" w:hAnsi="宋体"/>
                <w:color w:val="000000"/>
                <w:sz w:val="24"/>
              </w:rPr>
            </w:pPr>
            <w:r>
              <w:rPr>
                <w:rFonts w:hint="eastAsia" w:ascii="宋体" w:hAnsi="宋体"/>
                <w:color w:val="000000"/>
                <w:sz w:val="24"/>
              </w:rPr>
              <w:t>大、中型矿井井口</w:t>
            </w:r>
          </w:p>
        </w:tc>
        <w:tc>
          <w:tcPr>
            <w:tcW w:w="2782" w:type="dxa"/>
            <w:noWrap w:val="0"/>
            <w:vAlign w:val="center"/>
          </w:tcPr>
          <w:p w14:paraId="19FCAEA7">
            <w:pPr>
              <w:jc w:val="center"/>
              <w:rPr>
                <w:rFonts w:hint="eastAsia" w:ascii="宋体" w:hAnsi="宋体"/>
                <w:color w:val="000000"/>
                <w:sz w:val="24"/>
              </w:rPr>
            </w:pPr>
            <w:r>
              <w:rPr>
                <w:rFonts w:hint="eastAsia" w:ascii="宋体" w:hAnsi="宋体"/>
                <w:color w:val="000000"/>
                <w:sz w:val="24"/>
              </w:rPr>
              <w:t>1/100</w:t>
            </w:r>
          </w:p>
        </w:tc>
        <w:tc>
          <w:tcPr>
            <w:tcW w:w="3081" w:type="dxa"/>
            <w:noWrap w:val="0"/>
            <w:vAlign w:val="center"/>
          </w:tcPr>
          <w:p w14:paraId="6A76B9F3">
            <w:pPr>
              <w:jc w:val="center"/>
              <w:rPr>
                <w:rFonts w:hint="eastAsia" w:ascii="宋体" w:hAnsi="宋体"/>
                <w:color w:val="000000"/>
                <w:sz w:val="24"/>
              </w:rPr>
            </w:pPr>
            <w:r>
              <w:rPr>
                <w:rFonts w:hint="eastAsia" w:ascii="宋体" w:hAnsi="宋体"/>
                <w:color w:val="000000"/>
                <w:sz w:val="24"/>
              </w:rPr>
              <w:t>1/300</w:t>
            </w:r>
          </w:p>
        </w:tc>
      </w:tr>
      <w:tr w14:paraId="5790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97" w:hRule="atLeast"/>
          <w:jc w:val="center"/>
        </w:trPr>
        <w:tc>
          <w:tcPr>
            <w:tcW w:w="3143" w:type="dxa"/>
            <w:noWrap w:val="0"/>
            <w:vAlign w:val="center"/>
          </w:tcPr>
          <w:p w14:paraId="447214F3">
            <w:pPr>
              <w:rPr>
                <w:rFonts w:hint="eastAsia" w:ascii="宋体" w:hAnsi="宋体"/>
                <w:color w:val="000000"/>
                <w:sz w:val="24"/>
              </w:rPr>
            </w:pPr>
            <w:r>
              <w:rPr>
                <w:rFonts w:hint="eastAsia" w:ascii="宋体" w:hAnsi="宋体"/>
                <w:color w:val="000000"/>
                <w:sz w:val="24"/>
              </w:rPr>
              <w:t>大、中型矿井工业场地</w:t>
            </w:r>
          </w:p>
        </w:tc>
        <w:tc>
          <w:tcPr>
            <w:tcW w:w="2782" w:type="dxa"/>
            <w:noWrap w:val="0"/>
            <w:vAlign w:val="center"/>
          </w:tcPr>
          <w:p w14:paraId="1D593100">
            <w:pPr>
              <w:jc w:val="center"/>
              <w:rPr>
                <w:rFonts w:hint="eastAsia" w:ascii="宋体" w:hAnsi="宋体"/>
                <w:color w:val="000000"/>
                <w:sz w:val="24"/>
              </w:rPr>
            </w:pPr>
            <w:r>
              <w:rPr>
                <w:rFonts w:hint="eastAsia" w:ascii="宋体" w:hAnsi="宋体"/>
                <w:color w:val="000000"/>
                <w:sz w:val="24"/>
              </w:rPr>
              <w:t>1/100</w:t>
            </w:r>
          </w:p>
        </w:tc>
        <w:tc>
          <w:tcPr>
            <w:tcW w:w="3081" w:type="dxa"/>
            <w:noWrap w:val="0"/>
            <w:vAlign w:val="center"/>
          </w:tcPr>
          <w:p w14:paraId="066D2A7C">
            <w:pPr>
              <w:jc w:val="center"/>
              <w:rPr>
                <w:rFonts w:hint="eastAsia" w:ascii="宋体" w:hAnsi="宋体"/>
                <w:color w:val="000000"/>
                <w:sz w:val="24"/>
              </w:rPr>
            </w:pPr>
          </w:p>
        </w:tc>
      </w:tr>
    </w:tbl>
    <w:p w14:paraId="2D64A266">
      <w:pPr>
        <w:spacing w:line="360" w:lineRule="auto"/>
        <w:ind w:firstLine="480" w:firstLineChars="200"/>
        <w:rPr>
          <w:rFonts w:hint="eastAsia" w:ascii="宋体" w:hAnsi="宋体"/>
          <w:sz w:val="24"/>
        </w:rPr>
      </w:pPr>
      <w:r>
        <w:rPr>
          <w:rFonts w:hint="eastAsia" w:ascii="宋体" w:hAnsi="宋体"/>
          <w:sz w:val="24"/>
        </w:rPr>
        <w:t>（3）防洪洪水流量及相应的最高洪水位，应符合下列规定：</w:t>
      </w:r>
    </w:p>
    <w:p w14:paraId="0053319C">
      <w:pPr>
        <w:tabs>
          <w:tab w:val="left" w:pos="5655"/>
        </w:tabs>
        <w:spacing w:line="360" w:lineRule="auto"/>
        <w:ind w:firstLine="480" w:firstLineChars="200"/>
        <w:rPr>
          <w:rFonts w:hint="eastAsia" w:ascii="宋体" w:hAnsi="宋体"/>
          <w:sz w:val="24"/>
        </w:rPr>
      </w:pPr>
      <w:r>
        <w:rPr>
          <w:rFonts w:hint="eastAsia" w:ascii="宋体" w:hAnsi="宋体"/>
          <w:sz w:val="24"/>
        </w:rPr>
        <w:t>1）应采用当地水利部门或地质报告的实测资料。</w:t>
      </w:r>
    </w:p>
    <w:p w14:paraId="661A2C45">
      <w:pPr>
        <w:tabs>
          <w:tab w:val="left" w:pos="5655"/>
        </w:tabs>
        <w:spacing w:line="360" w:lineRule="auto"/>
        <w:ind w:firstLine="480" w:firstLineChars="200"/>
        <w:rPr>
          <w:rFonts w:hint="eastAsia" w:ascii="宋体" w:hAnsi="宋体"/>
          <w:sz w:val="24"/>
        </w:rPr>
      </w:pPr>
      <w:r>
        <w:rPr>
          <w:rFonts w:hint="eastAsia" w:ascii="宋体" w:hAnsi="宋体"/>
          <w:sz w:val="24"/>
        </w:rPr>
        <w:t>2）当缺乏上述资料时，应与有关部门配合深入实际调查。</w:t>
      </w:r>
    </w:p>
    <w:p w14:paraId="05107716">
      <w:pPr>
        <w:tabs>
          <w:tab w:val="left" w:pos="5655"/>
        </w:tabs>
        <w:spacing w:line="360" w:lineRule="auto"/>
        <w:ind w:firstLine="480" w:firstLineChars="200"/>
        <w:rPr>
          <w:rFonts w:hint="eastAsia" w:ascii="宋体" w:hAnsi="宋体"/>
          <w:sz w:val="24"/>
        </w:rPr>
      </w:pPr>
      <w:r>
        <w:rPr>
          <w:rFonts w:hint="eastAsia" w:ascii="宋体" w:hAnsi="宋体"/>
          <w:sz w:val="24"/>
        </w:rPr>
        <w:t>3）流域情况已有改变或有水利、交通、城镇等规划时，应考虑其影响。</w:t>
      </w:r>
    </w:p>
    <w:p w14:paraId="63C4B58B">
      <w:pPr>
        <w:spacing w:line="360" w:lineRule="auto"/>
        <w:ind w:firstLine="480" w:firstLineChars="200"/>
        <w:rPr>
          <w:rFonts w:hint="eastAsia" w:ascii="宋体" w:hAnsi="宋体"/>
          <w:sz w:val="24"/>
        </w:rPr>
      </w:pPr>
      <w:r>
        <w:rPr>
          <w:rFonts w:hint="eastAsia" w:ascii="宋体" w:hAnsi="宋体"/>
          <w:sz w:val="24"/>
        </w:rPr>
        <w:t>3、防洪排涝</w:t>
      </w:r>
    </w:p>
    <w:p w14:paraId="59188C21">
      <w:pPr>
        <w:spacing w:line="360" w:lineRule="auto"/>
        <w:ind w:firstLine="480" w:firstLineChars="200"/>
        <w:rPr>
          <w:rFonts w:hint="eastAsia" w:ascii="宋体" w:hAnsi="宋体"/>
          <w:sz w:val="24"/>
        </w:rPr>
      </w:pPr>
      <w:r>
        <w:rPr>
          <w:rFonts w:hint="eastAsia" w:ascii="宋体" w:hAnsi="宋体"/>
          <w:sz w:val="24"/>
        </w:rPr>
        <w:t>工业场地选在</w:t>
      </w:r>
      <w:r>
        <w:rPr>
          <w:rFonts w:hint="eastAsia" w:hAnsi="宋体"/>
          <w:sz w:val="24"/>
        </w:rPr>
        <w:t>井田南面矿界边缘地形较为平坦的坡地上，</w:t>
      </w:r>
      <w:r>
        <w:rPr>
          <w:rFonts w:hint="eastAsia" w:ascii="宋体" w:hAnsi="宋体"/>
          <w:sz w:val="24"/>
        </w:rPr>
        <w:t>基岩零星出露，场区地势宽阔，主要为第四系冲积物，场区内无溶洞、滑坡、小煤窑采空区等不良地质现象。工业场地附近无河流，无洪水之患。只需在工业场地场区修筑挡土墙及边坡脚修筑断面0.4m×0.5m的排水明沟，即可满足防洪排涝要求。</w:t>
      </w:r>
    </w:p>
    <w:p w14:paraId="48C012B1">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五、场内运输</w:t>
      </w:r>
    </w:p>
    <w:p w14:paraId="1BBB5F0D">
      <w:pPr>
        <w:tabs>
          <w:tab w:val="left" w:pos="5525"/>
        </w:tabs>
        <w:spacing w:line="360" w:lineRule="auto"/>
        <w:ind w:firstLine="480" w:firstLineChars="200"/>
        <w:rPr>
          <w:rFonts w:ascii="宋体" w:hAnsi="宋体" w:cs="宋体"/>
          <w:sz w:val="24"/>
        </w:rPr>
      </w:pPr>
      <w:r>
        <w:rPr>
          <w:rFonts w:hint="eastAsia" w:ascii="宋体" w:hAnsi="宋体" w:cs="宋体"/>
          <w:sz w:val="24"/>
        </w:rPr>
        <w:t>为满足本矿生产、生活、消防、救护等方面的需求，工业场地内设置窄轨铁路、道路及辅助运输设施。</w:t>
      </w:r>
    </w:p>
    <w:p w14:paraId="440BFAC9">
      <w:pPr>
        <w:tabs>
          <w:tab w:val="left" w:pos="5525"/>
        </w:tabs>
        <w:spacing w:line="360" w:lineRule="auto"/>
        <w:ind w:firstLine="480" w:firstLineChars="200"/>
        <w:rPr>
          <w:rFonts w:ascii="宋体" w:hAnsi="宋体" w:cs="宋体"/>
          <w:sz w:val="24"/>
        </w:rPr>
      </w:pPr>
      <w:r>
        <w:rPr>
          <w:rFonts w:hint="eastAsia" w:ascii="宋体" w:hAnsi="宋体" w:cs="宋体"/>
          <w:sz w:val="24"/>
        </w:rPr>
        <w:t>1、窄轨铁路：为了满足矿井矸石、设备、材料运输要求，场地内铺设窄轨铁路：为便于维修管理，地面铺设轨距、轨型、轨枕与井下一致。窄轨铁路运输采用人力推车。</w:t>
      </w:r>
    </w:p>
    <w:p w14:paraId="718DE73C">
      <w:pPr>
        <w:tabs>
          <w:tab w:val="left" w:pos="5525"/>
        </w:tabs>
        <w:spacing w:line="360" w:lineRule="auto"/>
        <w:ind w:firstLine="480" w:firstLineChars="200"/>
        <w:rPr>
          <w:rFonts w:ascii="宋体" w:hAnsi="宋体" w:cs="宋体"/>
          <w:sz w:val="24"/>
        </w:rPr>
      </w:pPr>
      <w:r>
        <w:rPr>
          <w:rFonts w:hint="eastAsia" w:ascii="宋体" w:hAnsi="宋体" w:cs="宋体"/>
          <w:sz w:val="24"/>
        </w:rPr>
        <w:t>窄轨铁路主要技术特征如下：</w:t>
      </w:r>
    </w:p>
    <w:p w14:paraId="1294B676">
      <w:pPr>
        <w:tabs>
          <w:tab w:val="left" w:pos="5525"/>
        </w:tabs>
        <w:spacing w:line="360" w:lineRule="auto"/>
        <w:ind w:firstLine="480" w:firstLineChars="200"/>
        <w:rPr>
          <w:rFonts w:ascii="宋体" w:hAnsi="宋体" w:cs="宋体"/>
          <w:sz w:val="24"/>
        </w:rPr>
      </w:pPr>
      <w:r>
        <w:rPr>
          <w:rFonts w:hint="eastAsia" w:ascii="宋体" w:hAnsi="宋体" w:cs="宋体"/>
          <w:sz w:val="24"/>
        </w:rPr>
        <w:t>轨　　距</w:t>
      </w:r>
      <w:r>
        <w:rPr>
          <w:rFonts w:ascii="宋体" w:hAnsi="宋体" w:cs="宋体"/>
          <w:sz w:val="24"/>
        </w:rPr>
        <w:t xml:space="preserve">           600mm</w:t>
      </w:r>
    </w:p>
    <w:p w14:paraId="0BA99122">
      <w:pPr>
        <w:tabs>
          <w:tab w:val="left" w:pos="5525"/>
        </w:tabs>
        <w:spacing w:line="360" w:lineRule="auto"/>
        <w:ind w:firstLine="480" w:firstLineChars="200"/>
        <w:rPr>
          <w:rFonts w:ascii="宋体" w:hAnsi="宋体" w:cs="宋体"/>
          <w:sz w:val="24"/>
        </w:rPr>
      </w:pPr>
      <w:r>
        <w:rPr>
          <w:rFonts w:hint="eastAsia" w:ascii="宋体" w:hAnsi="宋体" w:cs="宋体"/>
          <w:sz w:val="24"/>
        </w:rPr>
        <w:t>轨　　型</w:t>
      </w:r>
      <w:r>
        <w:rPr>
          <w:rFonts w:ascii="宋体" w:hAnsi="宋体" w:cs="宋体"/>
          <w:sz w:val="24"/>
        </w:rPr>
        <w:t xml:space="preserve">           </w:t>
      </w:r>
      <w:r>
        <w:rPr>
          <w:rFonts w:hint="eastAsia" w:ascii="宋体" w:hAnsi="宋体" w:cs="宋体"/>
          <w:sz w:val="24"/>
        </w:rPr>
        <w:t>22</w:t>
      </w:r>
      <w:r>
        <w:rPr>
          <w:rFonts w:ascii="宋体" w:hAnsi="宋体" w:cs="宋体"/>
          <w:sz w:val="24"/>
        </w:rPr>
        <w:t>kg/m</w:t>
      </w:r>
    </w:p>
    <w:p w14:paraId="1CB7AC54">
      <w:pPr>
        <w:tabs>
          <w:tab w:val="left" w:pos="5525"/>
        </w:tabs>
        <w:spacing w:line="360" w:lineRule="auto"/>
        <w:ind w:firstLine="480" w:firstLineChars="200"/>
        <w:rPr>
          <w:rFonts w:ascii="宋体" w:hAnsi="宋体" w:cs="宋体"/>
          <w:sz w:val="24"/>
        </w:rPr>
      </w:pPr>
      <w:r>
        <w:rPr>
          <w:rFonts w:hint="eastAsia" w:ascii="宋体" w:hAnsi="宋体" w:cs="宋体"/>
          <w:sz w:val="24"/>
        </w:rPr>
        <w:t>轨　　枕</w:t>
      </w:r>
      <w:r>
        <w:rPr>
          <w:rFonts w:ascii="宋体" w:hAnsi="宋体" w:cs="宋体"/>
          <w:sz w:val="24"/>
        </w:rPr>
        <w:t xml:space="preserve">           </w:t>
      </w:r>
      <w:r>
        <w:rPr>
          <w:rFonts w:hint="eastAsia" w:ascii="宋体" w:hAnsi="宋体" w:cs="宋体"/>
          <w:sz w:val="24"/>
        </w:rPr>
        <w:t>钢筋混凝土轨枕</w:t>
      </w:r>
      <w:r>
        <w:rPr>
          <w:rFonts w:ascii="宋体" w:hAnsi="宋体" w:cs="宋体"/>
          <w:sz w:val="24"/>
        </w:rPr>
        <w:t>1500</w:t>
      </w:r>
      <w:r>
        <w:rPr>
          <w:rFonts w:hint="eastAsia" w:ascii="宋体" w:hAnsi="宋体" w:cs="宋体"/>
          <w:sz w:val="24"/>
        </w:rPr>
        <w:t>根</w:t>
      </w:r>
      <w:r>
        <w:rPr>
          <w:rFonts w:ascii="宋体" w:hAnsi="宋体" w:cs="宋体"/>
          <w:sz w:val="24"/>
        </w:rPr>
        <w:t>/km</w:t>
      </w:r>
    </w:p>
    <w:p w14:paraId="2EF9C35A">
      <w:pPr>
        <w:tabs>
          <w:tab w:val="left" w:pos="5525"/>
        </w:tabs>
        <w:spacing w:line="360" w:lineRule="auto"/>
        <w:ind w:firstLine="480" w:firstLineChars="200"/>
        <w:rPr>
          <w:rFonts w:ascii="宋体" w:hAnsi="宋体" w:cs="宋体"/>
          <w:sz w:val="24"/>
        </w:rPr>
      </w:pPr>
      <w:r>
        <w:rPr>
          <w:rFonts w:hint="eastAsia" w:ascii="宋体" w:hAnsi="宋体" w:cs="宋体"/>
          <w:sz w:val="24"/>
        </w:rPr>
        <w:t xml:space="preserve">道碴厚度           </w:t>
      </w:r>
      <w:r>
        <w:rPr>
          <w:rFonts w:ascii="宋体" w:hAnsi="宋体" w:cs="宋体"/>
          <w:sz w:val="24"/>
        </w:rPr>
        <w:t>150mm</w:t>
      </w:r>
    </w:p>
    <w:p w14:paraId="15807356">
      <w:pPr>
        <w:tabs>
          <w:tab w:val="left" w:pos="5525"/>
        </w:tabs>
        <w:spacing w:line="360" w:lineRule="auto"/>
        <w:ind w:firstLine="480" w:firstLineChars="200"/>
        <w:rPr>
          <w:rFonts w:ascii="宋体" w:hAnsi="宋体" w:cs="宋体"/>
          <w:sz w:val="24"/>
        </w:rPr>
      </w:pPr>
      <w:r>
        <w:rPr>
          <w:rFonts w:hint="eastAsia" w:ascii="宋体" w:hAnsi="宋体" w:cs="宋体"/>
          <w:sz w:val="24"/>
        </w:rPr>
        <w:t>最小半径           8</w:t>
      </w:r>
      <w:r>
        <w:rPr>
          <w:rFonts w:ascii="宋体" w:hAnsi="宋体" w:cs="宋体"/>
          <w:sz w:val="24"/>
        </w:rPr>
        <w:t>.00mm</w:t>
      </w:r>
    </w:p>
    <w:p w14:paraId="6AD37F15">
      <w:pPr>
        <w:tabs>
          <w:tab w:val="left" w:pos="5525"/>
        </w:tabs>
        <w:spacing w:line="360" w:lineRule="auto"/>
        <w:ind w:firstLine="480" w:firstLineChars="200"/>
        <w:rPr>
          <w:rFonts w:ascii="宋体" w:hAnsi="宋体" w:cs="宋体"/>
          <w:sz w:val="24"/>
        </w:rPr>
      </w:pPr>
      <w:r>
        <w:rPr>
          <w:rFonts w:hint="eastAsia" w:ascii="宋体" w:hAnsi="宋体" w:cs="宋体"/>
          <w:sz w:val="24"/>
        </w:rPr>
        <w:t>铺轨长度           330</w:t>
      </w:r>
      <w:r>
        <w:rPr>
          <w:rFonts w:ascii="宋体" w:hAnsi="宋体" w:cs="宋体"/>
          <w:sz w:val="24"/>
        </w:rPr>
        <w:t>m</w:t>
      </w:r>
    </w:p>
    <w:p w14:paraId="22742890">
      <w:pPr>
        <w:tabs>
          <w:tab w:val="left" w:pos="5525"/>
        </w:tabs>
        <w:spacing w:line="360" w:lineRule="auto"/>
        <w:ind w:firstLine="480" w:firstLineChars="200"/>
        <w:rPr>
          <w:rFonts w:hint="eastAsia" w:ascii="宋体" w:hAnsi="宋体" w:cs="宋体"/>
          <w:sz w:val="24"/>
        </w:rPr>
      </w:pPr>
      <w:r>
        <w:rPr>
          <w:rFonts w:hint="eastAsia" w:ascii="宋体" w:hAnsi="宋体" w:cs="宋体"/>
          <w:sz w:val="24"/>
        </w:rPr>
        <w:t>2、场内道路：场内道路路面宽度5.0</w:t>
      </w:r>
      <w:r>
        <w:rPr>
          <w:rFonts w:ascii="宋体" w:hAnsi="宋体" w:cs="宋体"/>
          <w:sz w:val="24"/>
        </w:rPr>
        <w:t>m</w:t>
      </w:r>
      <w:r>
        <w:rPr>
          <w:rFonts w:hint="eastAsia" w:ascii="宋体" w:hAnsi="宋体" w:cs="宋体"/>
          <w:sz w:val="24"/>
        </w:rPr>
        <w:t>，采用水泥混凝土路面；其结构型式为：</w:t>
      </w:r>
      <w:r>
        <w:rPr>
          <w:rFonts w:ascii="宋体" w:hAnsi="宋体" w:cs="宋体"/>
          <w:sz w:val="24"/>
        </w:rPr>
        <w:t>C30</w:t>
      </w:r>
      <w:r>
        <w:rPr>
          <w:rFonts w:hint="eastAsia" w:ascii="宋体" w:hAnsi="宋体" w:cs="宋体"/>
          <w:sz w:val="24"/>
        </w:rPr>
        <w:t>水泥混凝土面层厚</w:t>
      </w:r>
      <w:r>
        <w:rPr>
          <w:rFonts w:ascii="宋体" w:hAnsi="宋体" w:cs="宋体"/>
          <w:sz w:val="24"/>
        </w:rPr>
        <w:t>22cm</w:t>
      </w:r>
      <w:r>
        <w:rPr>
          <w:rFonts w:hint="eastAsia" w:ascii="宋体" w:hAnsi="宋体" w:cs="宋体"/>
          <w:sz w:val="24"/>
        </w:rPr>
        <w:t>，级配碎石基层厚</w:t>
      </w:r>
      <w:r>
        <w:rPr>
          <w:rFonts w:ascii="宋体" w:hAnsi="宋体" w:cs="宋体"/>
          <w:sz w:val="24"/>
        </w:rPr>
        <w:t>20cm</w:t>
      </w:r>
      <w:r>
        <w:rPr>
          <w:rFonts w:hint="eastAsia" w:ascii="宋体" w:hAnsi="宋体" w:cs="宋体"/>
          <w:sz w:val="24"/>
        </w:rPr>
        <w:t>，间隙碎石底基层</w:t>
      </w:r>
      <w:r>
        <w:rPr>
          <w:rFonts w:ascii="宋体" w:hAnsi="宋体" w:cs="宋体"/>
          <w:sz w:val="24"/>
        </w:rPr>
        <w:t>25cm</w:t>
      </w:r>
      <w:r>
        <w:rPr>
          <w:rFonts w:hint="eastAsia" w:ascii="宋体" w:hAnsi="宋体" w:cs="宋体"/>
          <w:sz w:val="24"/>
        </w:rPr>
        <w:t>。为矿井生产、生活、消防、救护等方面的需要，设计配备各种汽车</w:t>
      </w:r>
      <w:r>
        <w:rPr>
          <w:rFonts w:ascii="宋体" w:hAnsi="宋体" w:cs="宋体"/>
          <w:sz w:val="24"/>
        </w:rPr>
        <w:t>6</w:t>
      </w:r>
      <w:r>
        <w:rPr>
          <w:rFonts w:hint="eastAsia" w:ascii="宋体" w:hAnsi="宋体" w:cs="宋体"/>
          <w:sz w:val="24"/>
        </w:rPr>
        <w:t>辆；另外，为减轻设备材料的装卸、运输的劳动强度，设计配备内燃叉车</w:t>
      </w:r>
      <w:r>
        <w:rPr>
          <w:rFonts w:ascii="宋体" w:hAnsi="宋体" w:cs="宋体"/>
          <w:sz w:val="24"/>
        </w:rPr>
        <w:t>1</w:t>
      </w:r>
      <w:r>
        <w:rPr>
          <w:rFonts w:hint="eastAsia" w:ascii="宋体" w:hAnsi="宋体" w:cs="宋体"/>
          <w:sz w:val="24"/>
        </w:rPr>
        <w:t>辆；为利于落地煤炭装车和矸石排放设计分别配备单斗装载机</w:t>
      </w:r>
      <w:r>
        <w:rPr>
          <w:rFonts w:ascii="宋体" w:hAnsi="宋体" w:cs="宋体"/>
          <w:sz w:val="24"/>
        </w:rPr>
        <w:t>1</w:t>
      </w:r>
      <w:r>
        <w:rPr>
          <w:rFonts w:hint="eastAsia" w:ascii="宋体" w:hAnsi="宋体" w:cs="宋体"/>
          <w:sz w:val="24"/>
        </w:rPr>
        <w:t>台、推土机</w:t>
      </w:r>
      <w:r>
        <w:rPr>
          <w:rFonts w:ascii="宋体" w:hAnsi="宋体" w:cs="宋体"/>
          <w:sz w:val="24"/>
        </w:rPr>
        <w:t>1</w:t>
      </w:r>
      <w:r>
        <w:rPr>
          <w:rFonts w:hint="eastAsia" w:ascii="宋体" w:hAnsi="宋体" w:cs="宋体"/>
          <w:sz w:val="24"/>
        </w:rPr>
        <w:t>台。</w:t>
      </w:r>
    </w:p>
    <w:p w14:paraId="4ABDA8F6">
      <w:pPr>
        <w:pStyle w:val="3"/>
        <w:keepLines/>
        <w:spacing w:before="240" w:after="240" w:line="360" w:lineRule="auto"/>
        <w:ind w:firstLine="0" w:firstLineChars="0"/>
        <w:jc w:val="center"/>
        <w:rPr>
          <w:rFonts w:hint="eastAsia"/>
          <w:b/>
          <w:color w:val="000000"/>
          <w:sz w:val="32"/>
          <w:szCs w:val="32"/>
        </w:rPr>
      </w:pPr>
      <w:bookmarkStart w:id="686" w:name="_Toc260915278"/>
      <w:r>
        <w:rPr>
          <w:rFonts w:hint="eastAsia"/>
          <w:b/>
          <w:color w:val="000000"/>
          <w:sz w:val="32"/>
          <w:szCs w:val="32"/>
        </w:rPr>
        <w:t>第四节　　矿井供配电</w:t>
      </w:r>
      <w:bookmarkEnd w:id="686"/>
    </w:p>
    <w:p w14:paraId="7CC7F335">
      <w:pPr>
        <w:spacing w:before="240" w:beforeLines="100" w:line="360" w:lineRule="auto"/>
        <w:ind w:firstLine="482" w:firstLineChars="200"/>
        <w:rPr>
          <w:rFonts w:hint="eastAsia" w:ascii="宋体" w:hAnsi="宋体"/>
          <w:b/>
          <w:sz w:val="24"/>
        </w:rPr>
      </w:pPr>
      <w:r>
        <w:rPr>
          <w:rFonts w:hint="eastAsia" w:ascii="宋体" w:hAnsi="宋体"/>
          <w:b/>
          <w:sz w:val="24"/>
        </w:rPr>
        <w:t>一、井下电气设备的选择</w:t>
      </w:r>
    </w:p>
    <w:p w14:paraId="69979333">
      <w:pPr>
        <w:spacing w:line="360" w:lineRule="auto"/>
        <w:ind w:firstLine="480" w:firstLineChars="200"/>
        <w:rPr>
          <w:rFonts w:hint="eastAsia" w:ascii="宋体" w:hAnsi="宋体"/>
          <w:sz w:val="24"/>
        </w:rPr>
      </w:pPr>
      <w:bookmarkStart w:id="687" w:name="_Hlt89758803"/>
      <w:r>
        <w:rPr>
          <w:rFonts w:hint="eastAsia" w:ascii="宋体" w:hAnsi="宋体"/>
          <w:sz w:val="24"/>
        </w:rPr>
        <w:t>该</w:t>
      </w:r>
      <w:r>
        <w:rPr>
          <w:rFonts w:ascii="宋体" w:hAnsi="宋体"/>
          <w:sz w:val="24"/>
        </w:rPr>
        <w:t>矿</w:t>
      </w:r>
      <w:r>
        <w:rPr>
          <w:rFonts w:hint="eastAsia" w:ascii="宋体" w:hAnsi="宋体"/>
          <w:sz w:val="24"/>
        </w:rPr>
        <w:t>按煤与瓦斯突出进行设计和管理</w:t>
      </w:r>
      <w:r>
        <w:rPr>
          <w:rFonts w:ascii="宋体" w:hAnsi="宋体"/>
          <w:sz w:val="24"/>
        </w:rPr>
        <w:t>。</w:t>
      </w:r>
      <w:r>
        <w:rPr>
          <w:rFonts w:hint="eastAsia" w:ascii="宋体" w:hAnsi="宋体"/>
          <w:sz w:val="24"/>
        </w:rPr>
        <w:t>因此，矿井按煤与瓦斯突矿井选择井下机电设备，井下用电设备均选用矿用防爆型（矿用增安型除外），通信、监控等设备选择矿用本质安全型。</w:t>
      </w:r>
    </w:p>
    <w:p w14:paraId="460B8260">
      <w:pPr>
        <w:spacing w:before="240" w:beforeLines="100" w:line="360" w:lineRule="auto"/>
        <w:ind w:firstLine="482" w:firstLineChars="200"/>
        <w:rPr>
          <w:rFonts w:hint="eastAsia" w:ascii="宋体" w:hAnsi="宋体"/>
          <w:b/>
          <w:sz w:val="24"/>
        </w:rPr>
      </w:pPr>
      <w:r>
        <w:rPr>
          <w:rFonts w:hint="eastAsia" w:ascii="宋体" w:hAnsi="宋体"/>
          <w:b/>
          <w:sz w:val="24"/>
        </w:rPr>
        <w:t>二、供电电源概述</w:t>
      </w:r>
    </w:p>
    <w:p w14:paraId="2AA2BF13">
      <w:pPr>
        <w:spacing w:line="500" w:lineRule="exact"/>
        <w:ind w:firstLine="460" w:firstLineChars="192"/>
        <w:rPr>
          <w:rFonts w:hint="eastAsia"/>
          <w:sz w:val="24"/>
          <w:szCs w:val="20"/>
        </w:rPr>
      </w:pPr>
      <w:r>
        <w:rPr>
          <w:rFonts w:hint="eastAsia"/>
          <w:color w:val="FF0000"/>
          <w:sz w:val="24"/>
          <w:szCs w:val="20"/>
        </w:rPr>
        <w:t>大坪</w:t>
      </w:r>
      <w:r>
        <w:rPr>
          <w:rFonts w:hint="eastAsia"/>
          <w:sz w:val="24"/>
          <w:szCs w:val="20"/>
        </w:rPr>
        <w:t>煤矿</w:t>
      </w:r>
      <w:r>
        <w:rPr>
          <w:sz w:val="24"/>
          <w:szCs w:val="20"/>
        </w:rPr>
        <w:t>位于水城县勺米乡</w:t>
      </w:r>
      <w:r>
        <w:rPr>
          <w:rFonts w:hint="eastAsia"/>
          <w:sz w:val="24"/>
          <w:szCs w:val="20"/>
        </w:rPr>
        <w:t>，属水城矿区格目底片区，该片区目前主要的电源点为玉舍35kV变电所，该变电所电源引自杉树林110kV变电所。为了配合格目底片区的煤炭开发，解决该片区煤矿双回路供电，距矿井约4km的玉舍110kV变电所现已开工建设，该变电所主变容量设计规模为2×63MVA，110kV电源为开断水城220kV变电所至杨梅110kV变电所的110kV线路，以一回110kV线路与响水电站相连，另以一回110kV线路与威宁石塔水电站相连。</w:t>
      </w:r>
    </w:p>
    <w:p w14:paraId="536014A4">
      <w:pPr>
        <w:spacing w:line="440" w:lineRule="exact"/>
        <w:ind w:firstLine="480" w:firstLineChars="200"/>
        <w:rPr>
          <w:rFonts w:hint="eastAsia"/>
          <w:sz w:val="24"/>
        </w:rPr>
      </w:pPr>
      <w:r>
        <w:rPr>
          <w:rFonts w:hint="eastAsia" w:ascii="宋体" w:hAnsi="宋体"/>
          <w:sz w:val="24"/>
        </w:rPr>
        <w:t>综上所述，本区电网系统合理，供电电源可靠，能够为本矿提</w:t>
      </w:r>
      <w:r>
        <w:rPr>
          <w:rFonts w:hint="eastAsia"/>
          <w:sz w:val="24"/>
        </w:rPr>
        <w:t>供可靠的供电电源。</w:t>
      </w:r>
    </w:p>
    <w:p w14:paraId="32DB56D2">
      <w:pPr>
        <w:spacing w:line="440" w:lineRule="exact"/>
        <w:ind w:firstLine="480" w:firstLineChars="200"/>
        <w:rPr>
          <w:rFonts w:hint="eastAsia" w:ascii="宋体" w:hAnsi="宋体"/>
          <w:sz w:val="24"/>
        </w:rPr>
      </w:pPr>
      <w:r>
        <w:rPr>
          <w:rFonts w:hint="eastAsia" w:ascii="宋体" w:hAnsi="宋体"/>
          <w:sz w:val="24"/>
        </w:rPr>
        <w:t>根据本矿地理位置及电网现状，经与供电部门协商，根据供电协议，供电部门同意由玉舍110kV变电所和勺米35KV变电所各引一回10kV线路向本矿供电,这两个变电所的供电电源可靠，可满足本矿用电需求。</w:t>
      </w:r>
    </w:p>
    <w:p w14:paraId="6395DD64">
      <w:pPr>
        <w:spacing w:line="440" w:lineRule="exact"/>
        <w:ind w:firstLine="480" w:firstLineChars="200"/>
        <w:rPr>
          <w:rFonts w:hint="eastAsia" w:ascii="宋体" w:hAnsi="宋体"/>
          <w:sz w:val="24"/>
        </w:rPr>
      </w:pPr>
      <w:r>
        <w:rPr>
          <w:rFonts w:hint="eastAsia" w:ascii="宋体" w:hAnsi="宋体"/>
          <w:sz w:val="24"/>
        </w:rPr>
        <w:t>勺米35/10kV变电所装备2台35/10kV 31500kVA三绕组主变, 各侧电气接线均为单母线分段。主变压器负荷率为0.78，保证系数1.28（单台运行时,分列运行方式）。双回路电源以LGJ-185(24km)钢芯铝绞线架空引自</w:t>
      </w:r>
      <w:r>
        <w:rPr>
          <w:rFonts w:hint="eastAsia"/>
          <w:sz w:val="24"/>
          <w:szCs w:val="20"/>
        </w:rPr>
        <w:t>玉</w:t>
      </w:r>
      <w:r>
        <w:rPr>
          <w:rFonts w:hint="eastAsia" w:ascii="宋体" w:hAnsi="宋体"/>
          <w:sz w:val="24"/>
        </w:rPr>
        <w:t>110KV变电所。</w:t>
      </w:r>
    </w:p>
    <w:p w14:paraId="1B4588E0">
      <w:pPr>
        <w:spacing w:line="440" w:lineRule="exact"/>
        <w:ind w:firstLine="480" w:firstLineChars="200"/>
        <w:rPr>
          <w:rFonts w:hint="eastAsia" w:ascii="宋体" w:hAnsi="宋体"/>
          <w:sz w:val="24"/>
        </w:rPr>
      </w:pPr>
      <w:r>
        <w:rPr>
          <w:rFonts w:hint="eastAsia"/>
          <w:sz w:val="24"/>
          <w:szCs w:val="20"/>
        </w:rPr>
        <w:t>玉舍110kV</w:t>
      </w:r>
      <w:r>
        <w:rPr>
          <w:rFonts w:hint="eastAsia" w:ascii="宋体" w:hAnsi="宋体"/>
          <w:sz w:val="24"/>
        </w:rPr>
        <w:t>变电所装备</w:t>
      </w:r>
      <w:r>
        <w:rPr>
          <w:rFonts w:hint="eastAsia"/>
          <w:sz w:val="24"/>
          <w:szCs w:val="20"/>
        </w:rPr>
        <w:t>2×63MVA</w:t>
      </w:r>
      <w:r>
        <w:rPr>
          <w:rFonts w:hint="eastAsia" w:ascii="宋体" w:hAnsi="宋体"/>
          <w:sz w:val="24"/>
        </w:rPr>
        <w:t>三绕组主变,各侧电气接线均为单母线分段。主变压器负荷率为0.67，保证系数1.49（单台运行时,分列运行方式）。双回路电源以LGJ-185(35km)钢芯铝绞线架空引自水城220KV变电所。</w:t>
      </w:r>
    </w:p>
    <w:p w14:paraId="713E6132">
      <w:pPr>
        <w:spacing w:line="360" w:lineRule="auto"/>
        <w:ind w:firstLine="480" w:firstLineChars="200"/>
        <w:jc w:val="left"/>
        <w:rPr>
          <w:rFonts w:hint="eastAsia" w:ascii="宋体" w:hAnsi="宋体"/>
          <w:sz w:val="24"/>
        </w:rPr>
      </w:pPr>
      <w:r>
        <w:rPr>
          <w:rFonts w:hint="eastAsia" w:ascii="宋体" w:hAnsi="宋体"/>
          <w:sz w:val="24"/>
        </w:rPr>
        <w:t>本矿双电源线路已经形成，供电电源可靠。</w:t>
      </w:r>
    </w:p>
    <w:p w14:paraId="061BBB66">
      <w:pPr>
        <w:spacing w:line="360" w:lineRule="auto"/>
        <w:ind w:firstLine="480" w:firstLineChars="200"/>
        <w:jc w:val="left"/>
        <w:rPr>
          <w:rFonts w:hint="eastAsia" w:ascii="宋体" w:hAnsi="宋体"/>
          <w:sz w:val="24"/>
        </w:rPr>
      </w:pPr>
    </w:p>
    <w:p w14:paraId="0764F5B6">
      <w:pPr>
        <w:spacing w:line="360" w:lineRule="auto"/>
        <w:ind w:firstLine="7" w:firstLineChars="3"/>
        <w:jc w:val="center"/>
        <w:rPr>
          <w:rFonts w:hint="eastAsia" w:ascii="宋体" w:hAnsi="宋体"/>
          <w:sz w:val="24"/>
        </w:rPr>
      </w:pPr>
      <w:r>
        <w:rPr>
          <w:rFonts w:hint="eastAsia" w:ascii="宋体" w:hAnsi="宋体"/>
          <w:sz w:val="24"/>
        </w:rPr>
        <w:drawing>
          <wp:inline distT="0" distB="0" distL="114300" distR="114300">
            <wp:extent cx="5420360" cy="4828540"/>
            <wp:effectExtent l="0" t="0" r="8890" b="10160"/>
            <wp:docPr id="5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pic:cNvPicPr>
                      <a:picLocks noChangeAspect="1"/>
                    </pic:cNvPicPr>
                  </pic:nvPicPr>
                  <pic:blipFill>
                    <a:blip r:embed="rId235"/>
                    <a:stretch>
                      <a:fillRect/>
                    </a:stretch>
                  </pic:blipFill>
                  <pic:spPr>
                    <a:xfrm>
                      <a:off x="0" y="0"/>
                      <a:ext cx="5420360" cy="4828540"/>
                    </a:xfrm>
                    <a:prstGeom prst="rect">
                      <a:avLst/>
                    </a:prstGeom>
                    <a:noFill/>
                    <a:ln>
                      <a:noFill/>
                    </a:ln>
                  </pic:spPr>
                </pic:pic>
              </a:graphicData>
            </a:graphic>
          </wp:inline>
        </w:drawing>
      </w:r>
    </w:p>
    <w:p w14:paraId="76229602">
      <w:pPr>
        <w:spacing w:before="240" w:beforeLines="100" w:line="360" w:lineRule="auto"/>
        <w:ind w:firstLine="482" w:firstLineChars="200"/>
        <w:rPr>
          <w:rFonts w:hint="eastAsia" w:ascii="宋体" w:hAnsi="宋体"/>
          <w:b/>
          <w:sz w:val="24"/>
        </w:rPr>
      </w:pPr>
      <w:r>
        <w:rPr>
          <w:rFonts w:hint="eastAsia" w:ascii="宋体" w:hAnsi="宋体"/>
          <w:b/>
          <w:sz w:val="24"/>
        </w:rPr>
        <w:t>三、电压</w:t>
      </w:r>
    </w:p>
    <w:p w14:paraId="3BB90684">
      <w:pPr>
        <w:spacing w:line="432" w:lineRule="auto"/>
        <w:ind w:firstLine="480" w:firstLineChars="200"/>
        <w:rPr>
          <w:rFonts w:hint="eastAsia" w:ascii="宋体" w:hAnsi="宋体"/>
          <w:sz w:val="24"/>
        </w:rPr>
      </w:pPr>
      <w:r>
        <w:rPr>
          <w:rFonts w:hint="eastAsia" w:ascii="宋体" w:hAnsi="宋体"/>
          <w:sz w:val="24"/>
        </w:rPr>
        <w:t>地面高压为10KV，地面低压为660V、380V、220V;井下高压为10KV,低压为1140V、660V、127V。</w:t>
      </w:r>
    </w:p>
    <w:bookmarkEnd w:id="687"/>
    <w:p w14:paraId="3B782CF2">
      <w:pPr>
        <w:spacing w:before="240" w:beforeLines="100" w:line="360" w:lineRule="auto"/>
        <w:ind w:firstLine="482" w:firstLineChars="200"/>
        <w:rPr>
          <w:rFonts w:hint="eastAsia" w:ascii="宋体" w:hAnsi="宋体"/>
          <w:b/>
          <w:sz w:val="24"/>
        </w:rPr>
      </w:pPr>
      <w:r>
        <w:rPr>
          <w:rFonts w:hint="eastAsia" w:ascii="宋体" w:hAnsi="宋体"/>
          <w:b/>
          <w:sz w:val="24"/>
        </w:rPr>
        <w:t>四、用电负荷</w:t>
      </w:r>
    </w:p>
    <w:p w14:paraId="4267D9A1">
      <w:pPr>
        <w:pStyle w:val="23"/>
        <w:rPr>
          <w:rFonts w:ascii="Times New Roman"/>
        </w:rPr>
      </w:pPr>
      <w:r>
        <w:rPr>
          <w:rFonts w:ascii="Times New Roman"/>
        </w:rPr>
        <w:t xml:space="preserve">矿井有功功率：                </w:t>
      </w:r>
      <w:r>
        <w:rPr>
          <w:rFonts w:hint="eastAsia" w:ascii="Times New Roman"/>
        </w:rPr>
        <w:t>1643.01</w:t>
      </w:r>
      <w:r>
        <w:rPr>
          <w:rFonts w:ascii="Times New Roman"/>
        </w:rPr>
        <w:t>kW</w:t>
      </w:r>
    </w:p>
    <w:p w14:paraId="7354EED4">
      <w:pPr>
        <w:pStyle w:val="23"/>
        <w:rPr>
          <w:rFonts w:ascii="Times New Roman"/>
        </w:rPr>
      </w:pPr>
      <w:r>
        <w:rPr>
          <w:rFonts w:ascii="Times New Roman"/>
        </w:rPr>
        <w:t xml:space="preserve">矿井无功功率：                </w:t>
      </w:r>
      <w:r>
        <w:rPr>
          <w:rFonts w:hint="eastAsia" w:ascii="Times New Roman"/>
        </w:rPr>
        <w:t>1448.08</w:t>
      </w:r>
      <w:r>
        <w:rPr>
          <w:rFonts w:ascii="Times New Roman"/>
        </w:rPr>
        <w:t>kVar</w:t>
      </w:r>
    </w:p>
    <w:p w14:paraId="6F71F7C9">
      <w:pPr>
        <w:pStyle w:val="23"/>
        <w:rPr>
          <w:rFonts w:hint="eastAsia" w:ascii="Times New Roman"/>
        </w:rPr>
      </w:pPr>
      <w:r>
        <w:rPr>
          <w:rFonts w:ascii="Times New Roman"/>
        </w:rPr>
        <w:t>自然功率因数COSΦ＝0.</w:t>
      </w:r>
      <w:r>
        <w:rPr>
          <w:rFonts w:hint="eastAsia" w:ascii="Times New Roman"/>
        </w:rPr>
        <w:t>750</w:t>
      </w:r>
    </w:p>
    <w:p w14:paraId="022260BF">
      <w:pPr>
        <w:pStyle w:val="23"/>
        <w:rPr>
          <w:rFonts w:ascii="Times New Roman"/>
        </w:rPr>
      </w:pPr>
      <w:r>
        <w:rPr>
          <w:rFonts w:ascii="Times New Roman"/>
        </w:rPr>
        <w:t xml:space="preserve">视在功率：                    </w:t>
      </w:r>
      <w:r>
        <w:rPr>
          <w:rFonts w:hint="eastAsia" w:ascii="Times New Roman"/>
        </w:rPr>
        <w:t>2190.07</w:t>
      </w:r>
      <w:r>
        <w:rPr>
          <w:rFonts w:ascii="Times New Roman"/>
        </w:rPr>
        <w:t>kVA</w:t>
      </w:r>
    </w:p>
    <w:p w14:paraId="55DAC184">
      <w:pPr>
        <w:pStyle w:val="23"/>
        <w:rPr>
          <w:rFonts w:ascii="Times New Roman"/>
        </w:rPr>
      </w:pPr>
      <w:r>
        <w:rPr>
          <w:rFonts w:ascii="Times New Roman"/>
        </w:rPr>
        <w:t>矿井10kV有功功率乘0.85同时率和无功功率乘0.9同时率，高压补偿</w:t>
      </w:r>
      <w:r>
        <w:rPr>
          <w:rFonts w:hint="eastAsia" w:ascii="Times New Roman"/>
        </w:rPr>
        <w:t>90</w:t>
      </w:r>
      <w:r>
        <w:rPr>
          <w:rFonts w:ascii="Times New Roman"/>
        </w:rPr>
        <w:t>0kVar之后：</w:t>
      </w:r>
    </w:p>
    <w:p w14:paraId="29EA2883">
      <w:pPr>
        <w:pStyle w:val="23"/>
        <w:rPr>
          <w:rFonts w:ascii="Times New Roman"/>
        </w:rPr>
      </w:pPr>
      <w:r>
        <w:rPr>
          <w:rFonts w:ascii="Times New Roman"/>
        </w:rPr>
        <w:t xml:space="preserve">10kV母线上有功功率：         </w:t>
      </w:r>
      <w:r>
        <w:rPr>
          <w:rFonts w:hint="eastAsia" w:ascii="Times New Roman"/>
        </w:rPr>
        <w:t>1396.56</w:t>
      </w:r>
      <w:r>
        <w:rPr>
          <w:rFonts w:ascii="Times New Roman"/>
        </w:rPr>
        <w:t>kW</w:t>
      </w:r>
    </w:p>
    <w:p w14:paraId="7EA3FA31">
      <w:pPr>
        <w:pStyle w:val="23"/>
        <w:rPr>
          <w:rFonts w:ascii="Times New Roman"/>
        </w:rPr>
      </w:pPr>
      <w:r>
        <w:rPr>
          <w:rFonts w:ascii="Times New Roman"/>
        </w:rPr>
        <w:t xml:space="preserve">10kV母线上无功功率：          </w:t>
      </w:r>
      <w:r>
        <w:rPr>
          <w:rFonts w:hint="eastAsia" w:ascii="Times New Roman"/>
        </w:rPr>
        <w:t>1303.27</w:t>
      </w:r>
      <w:r>
        <w:rPr>
          <w:rFonts w:ascii="Times New Roman"/>
        </w:rPr>
        <w:t>kVar</w:t>
      </w:r>
    </w:p>
    <w:p w14:paraId="349F5F20">
      <w:pPr>
        <w:pStyle w:val="23"/>
        <w:rPr>
          <w:rFonts w:hint="eastAsia" w:ascii="Times New Roman"/>
        </w:rPr>
      </w:pPr>
      <w:r>
        <w:rPr>
          <w:rFonts w:ascii="Times New Roman"/>
        </w:rPr>
        <w:t>功率因数COSΦ＝0.9</w:t>
      </w:r>
      <w:r>
        <w:rPr>
          <w:rFonts w:hint="eastAsia" w:ascii="Times New Roman"/>
        </w:rPr>
        <w:t>61</w:t>
      </w:r>
    </w:p>
    <w:p w14:paraId="19F392CC">
      <w:pPr>
        <w:pStyle w:val="23"/>
        <w:rPr>
          <w:rFonts w:ascii="Times New Roman"/>
        </w:rPr>
      </w:pPr>
      <w:r>
        <w:rPr>
          <w:rFonts w:ascii="Times New Roman"/>
        </w:rPr>
        <w:t xml:space="preserve">10kV母线上视在功率：         </w:t>
      </w:r>
      <w:r>
        <w:rPr>
          <w:rFonts w:hint="eastAsia" w:ascii="Times New Roman"/>
        </w:rPr>
        <w:t>1453.62</w:t>
      </w:r>
      <w:r>
        <w:rPr>
          <w:rFonts w:ascii="Times New Roman"/>
        </w:rPr>
        <w:t>kVA</w:t>
      </w:r>
    </w:p>
    <w:p w14:paraId="44AC5450">
      <w:pPr>
        <w:pStyle w:val="23"/>
        <w:rPr>
          <w:rFonts w:hint="eastAsia" w:ascii="Times New Roman"/>
        </w:rPr>
      </w:pPr>
      <w:r>
        <w:rPr>
          <w:rFonts w:ascii="Times New Roman"/>
        </w:rPr>
        <w:t xml:space="preserve">矿井年电耗量约 </w:t>
      </w:r>
      <w:r>
        <w:rPr>
          <w:rFonts w:hint="eastAsia" w:ascii="Times New Roman"/>
        </w:rPr>
        <w:t>6284513</w:t>
      </w:r>
      <w:r>
        <w:rPr>
          <w:rFonts w:ascii="Times New Roman"/>
        </w:rPr>
        <w:t>万kW·h，吨煤电耗为</w:t>
      </w:r>
      <w:r>
        <w:rPr>
          <w:rFonts w:hint="eastAsia" w:ascii="Times New Roman"/>
        </w:rPr>
        <w:t>20.95</w:t>
      </w:r>
      <w:r>
        <w:rPr>
          <w:rFonts w:ascii="Times New Roman"/>
        </w:rPr>
        <w:t>kW·h。</w:t>
      </w:r>
    </w:p>
    <w:p w14:paraId="5350E1F8">
      <w:pPr>
        <w:spacing w:line="432" w:lineRule="auto"/>
        <w:ind w:firstLine="480" w:firstLineChars="200"/>
        <w:rPr>
          <w:rFonts w:hint="eastAsia" w:ascii="宋体" w:hAnsi="宋体" w:cs="宋体"/>
          <w:sz w:val="24"/>
        </w:rPr>
      </w:pPr>
      <w:r>
        <w:rPr>
          <w:rFonts w:hint="eastAsia" w:ascii="宋体" w:hAnsi="宋体"/>
          <w:sz w:val="24"/>
        </w:rPr>
        <w:t>矿井电力负荷统计见</w:t>
      </w:r>
      <w:r>
        <w:rPr>
          <w:rFonts w:hint="eastAsia" w:ascii="宋体" w:hAnsi="宋体"/>
          <w:b/>
          <w:sz w:val="24"/>
        </w:rPr>
        <w:t>表</w:t>
      </w:r>
      <w:r>
        <w:rPr>
          <w:rFonts w:hint="eastAsia" w:ascii="宋体" w:hAnsi="宋体" w:cs="宋体"/>
          <w:b/>
          <w:sz w:val="24"/>
        </w:rPr>
        <w:t>6-4-1, 6-4-2, 6-4-3</w:t>
      </w:r>
      <w:r>
        <w:rPr>
          <w:rFonts w:hint="eastAsia" w:ascii="宋体" w:hAnsi="宋体" w:cs="宋体"/>
          <w:sz w:val="24"/>
        </w:rPr>
        <w:t>。</w:t>
      </w:r>
    </w:p>
    <w:p w14:paraId="0DDCDB4A">
      <w:pPr>
        <w:spacing w:before="240" w:beforeLines="100" w:line="360" w:lineRule="auto"/>
        <w:ind w:firstLine="482" w:firstLineChars="200"/>
        <w:rPr>
          <w:rFonts w:hint="eastAsia" w:ascii="宋体" w:hAnsi="宋体"/>
          <w:b/>
          <w:sz w:val="24"/>
        </w:rPr>
      </w:pPr>
      <w:r>
        <w:rPr>
          <w:rFonts w:hint="eastAsia" w:ascii="宋体" w:hAnsi="宋体"/>
          <w:b/>
          <w:sz w:val="24"/>
        </w:rPr>
        <w:t>五</w:t>
      </w:r>
      <w:r>
        <w:rPr>
          <w:rFonts w:ascii="宋体" w:hAnsi="宋体"/>
          <w:b/>
          <w:sz w:val="24"/>
        </w:rPr>
        <w:t>、</w:t>
      </w:r>
      <w:r>
        <w:rPr>
          <w:rFonts w:hint="eastAsia" w:ascii="宋体" w:hAnsi="宋体"/>
          <w:b/>
          <w:sz w:val="24"/>
        </w:rPr>
        <w:t>10KV母线上无功功率补偿计算</w:t>
      </w:r>
    </w:p>
    <w:p w14:paraId="52643286">
      <w:pPr>
        <w:spacing w:after="120" w:afterLines="50" w:line="360" w:lineRule="auto"/>
        <w:ind w:left="500"/>
        <w:rPr>
          <w:rFonts w:ascii="宋体" w:hAnsi="宋体"/>
          <w:bCs/>
          <w:sz w:val="24"/>
        </w:rPr>
      </w:pPr>
      <w:r>
        <w:rPr>
          <w:rFonts w:hint="eastAsia" w:ascii="宋体" w:hAnsi="宋体"/>
          <w:bCs/>
          <w:sz w:val="24"/>
        </w:rPr>
        <w:t>补偿前功率因数：Cosφ</w:t>
      </w:r>
      <w:r>
        <w:rPr>
          <w:rFonts w:hint="eastAsia" w:ascii="宋体" w:hAnsi="宋体"/>
          <w:bCs/>
          <w:sz w:val="24"/>
          <w:vertAlign w:val="subscript"/>
        </w:rPr>
        <w:t>0</w:t>
      </w:r>
      <w:r>
        <w:rPr>
          <w:rFonts w:hint="eastAsia" w:ascii="宋体" w:hAnsi="宋体"/>
          <w:bCs/>
          <w:sz w:val="24"/>
        </w:rPr>
        <w:t>=0.731</w:t>
      </w:r>
    </w:p>
    <w:p w14:paraId="5A7339AF">
      <w:pPr>
        <w:spacing w:line="360" w:lineRule="auto"/>
        <w:ind w:left="500"/>
        <w:rPr>
          <w:rFonts w:hint="eastAsia" w:ascii="宋体" w:hAnsi="宋体"/>
          <w:bCs/>
          <w:sz w:val="24"/>
        </w:rPr>
      </w:pPr>
      <w:r>
        <w:rPr>
          <w:rFonts w:hint="eastAsia" w:ascii="宋体" w:hAnsi="宋体"/>
          <w:bCs/>
          <w:sz w:val="24"/>
        </w:rPr>
        <w:t>补偿后功率因数：COSφ=0.961</w:t>
      </w:r>
    </w:p>
    <w:p w14:paraId="4B08B07E">
      <w:pPr>
        <w:spacing w:line="360" w:lineRule="auto"/>
        <w:ind w:left="500"/>
        <w:rPr>
          <w:rFonts w:hint="eastAsia" w:ascii="宋体" w:hAnsi="宋体"/>
          <w:bCs/>
          <w:sz w:val="24"/>
        </w:rPr>
      </w:pPr>
      <w:r>
        <w:rPr>
          <w:rFonts w:hint="eastAsia" w:ascii="宋体" w:hAnsi="宋体"/>
          <w:bCs/>
          <w:sz w:val="24"/>
        </w:rPr>
        <w:t>将自然功率因数从Cosφ</w:t>
      </w:r>
      <w:r>
        <w:rPr>
          <w:rFonts w:hint="eastAsia" w:ascii="宋体" w:hAnsi="宋体"/>
          <w:bCs/>
          <w:sz w:val="24"/>
          <w:vertAlign w:val="subscript"/>
        </w:rPr>
        <w:t>0</w:t>
      </w:r>
      <w:r>
        <w:rPr>
          <w:rFonts w:hint="eastAsia" w:ascii="宋体" w:hAnsi="宋体"/>
          <w:bCs/>
          <w:sz w:val="24"/>
        </w:rPr>
        <w:t>提高到COSφ时,所需补偿容量为:</w:t>
      </w:r>
    </w:p>
    <w:p w14:paraId="41C1EB9A">
      <w:pPr>
        <w:spacing w:line="360" w:lineRule="auto"/>
        <w:ind w:left="499"/>
        <w:rPr>
          <w:rFonts w:hint="eastAsia" w:ascii="宋体" w:hAnsi="宋体"/>
          <w:bCs/>
          <w:sz w:val="24"/>
        </w:rPr>
      </w:pPr>
      <w:r>
        <w:rPr>
          <w:rFonts w:hint="eastAsia" w:ascii="宋体" w:hAnsi="宋体"/>
          <w:bCs/>
          <w:sz w:val="24"/>
        </w:rPr>
        <w:t>Q=P×(tanφ</w:t>
      </w:r>
      <w:r>
        <w:rPr>
          <w:rFonts w:hint="eastAsia" w:ascii="宋体" w:hAnsi="宋体"/>
          <w:bCs/>
          <w:sz w:val="24"/>
          <w:vertAlign w:val="subscript"/>
        </w:rPr>
        <w:t>0</w:t>
      </w:r>
      <w:r>
        <w:rPr>
          <w:rFonts w:hint="eastAsia" w:ascii="宋体" w:hAnsi="宋体"/>
          <w:bCs/>
          <w:sz w:val="24"/>
        </w:rPr>
        <w:t>- tanφ)=P(</w:t>
      </w:r>
      <w:r>
        <w:rPr>
          <w:rFonts w:hint="eastAsia" w:ascii="宋体" w:hAnsi="宋体"/>
          <w:bCs/>
          <w:position w:val="-30"/>
          <w:sz w:val="24"/>
        </w:rPr>
        <w:object>
          <v:shape id="_x0000_i1174" o:spt="75" type="#_x0000_t75" style="height:37pt;width:149pt;" o:ole="t" filled="f" o:preferrelative="t" stroked="f" coordsize="21600,21600">
            <v:path/>
            <v:fill on="f" alignshape="1" focussize="0,0"/>
            <v:stroke on="f"/>
            <v:imagedata r:id="rId237" o:title=""/>
            <o:lock v:ext="edit" aspectratio="t"/>
            <w10:wrap type="none"/>
            <w10:anchorlock/>
          </v:shape>
          <o:OLEObject Type="Embed" ProgID="Equation.3" ShapeID="_x0000_i1174" DrawAspect="Content" ObjectID="_1468075826" r:id="rId236">
            <o:LockedField>false</o:LockedField>
          </o:OLEObject>
        </w:object>
      </w:r>
      <w:r>
        <w:rPr>
          <w:rFonts w:hint="eastAsia" w:ascii="宋体" w:hAnsi="宋体"/>
          <w:bCs/>
          <w:sz w:val="24"/>
        </w:rPr>
        <w:t>)</w:t>
      </w:r>
    </w:p>
    <w:p w14:paraId="57066AA3">
      <w:pPr>
        <w:spacing w:line="360" w:lineRule="auto"/>
        <w:ind w:left="500" w:leftChars="238" w:firstLine="2280" w:firstLineChars="950"/>
        <w:rPr>
          <w:rFonts w:hint="eastAsia" w:ascii="宋体" w:hAnsi="宋体"/>
          <w:bCs/>
          <w:sz w:val="24"/>
        </w:rPr>
      </w:pPr>
      <w:r>
        <w:rPr>
          <w:rFonts w:hint="eastAsia" w:ascii="宋体" w:hAnsi="宋体"/>
          <w:bCs/>
          <w:sz w:val="24"/>
        </w:rPr>
        <w:t>=1396.56×(</w:t>
      </w:r>
      <w:r>
        <w:rPr>
          <w:rFonts w:hint="eastAsia" w:ascii="宋体" w:hAnsi="宋体"/>
          <w:bCs/>
          <w:position w:val="-34"/>
          <w:sz w:val="24"/>
        </w:rPr>
        <w:object>
          <v:shape id="_x0000_i1175" o:spt="75" type="#_x0000_t75" style="height:40pt;width:142pt;" o:ole="t" filled="f" o:preferrelative="t" stroked="f" coordsize="21600,21600">
            <v:path/>
            <v:fill on="f" alignshape="1" focussize="0,0"/>
            <v:stroke on="f"/>
            <v:imagedata r:id="rId239" o:title=""/>
            <o:lock v:ext="edit" aspectratio="t"/>
            <w10:wrap type="none"/>
            <w10:anchorlock/>
          </v:shape>
          <o:OLEObject Type="Embed" ProgID="Equation.3" ShapeID="_x0000_i1175" DrawAspect="Content" ObjectID="_1468075827" r:id="rId238">
            <o:LockedField>false</o:LockedField>
          </o:OLEObject>
        </w:object>
      </w:r>
    </w:p>
    <w:p w14:paraId="6F70D42E">
      <w:pPr>
        <w:spacing w:line="360" w:lineRule="auto"/>
        <w:ind w:left="500" w:leftChars="238" w:firstLine="2280" w:firstLineChars="950"/>
        <w:rPr>
          <w:rFonts w:hint="eastAsia" w:ascii="宋体" w:hAnsi="宋体"/>
          <w:bCs/>
          <w:sz w:val="24"/>
        </w:rPr>
      </w:pPr>
      <w:r>
        <w:rPr>
          <w:rFonts w:hint="eastAsia" w:ascii="宋体" w:hAnsi="宋体"/>
          <w:bCs/>
          <w:sz w:val="24"/>
        </w:rPr>
        <w:t>=900.2kvar</w:t>
      </w:r>
    </w:p>
    <w:p w14:paraId="3556D99F">
      <w:pPr>
        <w:spacing w:line="360" w:lineRule="auto"/>
        <w:ind w:left="500"/>
        <w:rPr>
          <w:rFonts w:hint="eastAsia" w:ascii="宋体" w:hAnsi="宋体"/>
          <w:bCs/>
          <w:sz w:val="24"/>
        </w:rPr>
      </w:pPr>
      <w:r>
        <w:rPr>
          <w:rFonts w:hint="eastAsia" w:ascii="宋体" w:hAnsi="宋体"/>
          <w:bCs/>
          <w:sz w:val="24"/>
        </w:rPr>
        <w:t>根据计算取补偿电容90</w:t>
      </w:r>
      <w:r>
        <w:rPr>
          <w:rFonts w:ascii="宋体" w:hAnsi="宋体"/>
          <w:bCs/>
          <w:sz w:val="24"/>
        </w:rPr>
        <w:t>0</w:t>
      </w:r>
      <w:r>
        <w:rPr>
          <w:rFonts w:hint="eastAsia" w:ascii="宋体" w:hAnsi="宋体"/>
          <w:bCs/>
          <w:sz w:val="24"/>
        </w:rPr>
        <w:t>kvar</w:t>
      </w:r>
    </w:p>
    <w:p w14:paraId="5D7130ED">
      <w:pPr>
        <w:spacing w:before="240" w:beforeLines="100" w:line="360" w:lineRule="auto"/>
        <w:ind w:firstLine="482" w:firstLineChars="200"/>
        <w:rPr>
          <w:rFonts w:ascii="宋体" w:hAnsi="宋体"/>
          <w:b/>
          <w:sz w:val="24"/>
        </w:rPr>
      </w:pPr>
      <w:r>
        <w:rPr>
          <w:rFonts w:hint="eastAsia" w:ascii="宋体" w:hAnsi="宋体"/>
          <w:b/>
          <w:sz w:val="24"/>
        </w:rPr>
        <w:t>六</w:t>
      </w:r>
      <w:r>
        <w:rPr>
          <w:rFonts w:ascii="宋体" w:hAnsi="宋体"/>
          <w:b/>
          <w:sz w:val="24"/>
        </w:rPr>
        <w:t>、供配电系统</w:t>
      </w:r>
    </w:p>
    <w:p w14:paraId="136556A7">
      <w:pPr>
        <w:pStyle w:val="23"/>
        <w:rPr>
          <w:rFonts w:ascii="Times New Roman"/>
        </w:rPr>
      </w:pPr>
      <w:r>
        <w:rPr>
          <w:rFonts w:ascii="Times New Roman"/>
        </w:rPr>
        <w:t>根据“煤矿安全规程”第四百四十一条的规定，矿井应有两回电源线路。当任一回路发生故障停止供电时，另一回路应能担负矿井全部负荷。故本矿井供电设两回独立的电源线路，结合</w:t>
      </w:r>
      <w:r>
        <w:rPr>
          <w:rFonts w:hint="eastAsia" w:ascii="Times New Roman"/>
        </w:rPr>
        <w:t>本</w:t>
      </w:r>
      <w:r>
        <w:rPr>
          <w:rFonts w:ascii="Times New Roman"/>
        </w:rPr>
        <w:t>矿所处位置及开发能力，拟从</w:t>
      </w:r>
      <w:r>
        <w:rPr>
          <w:rFonts w:hint="eastAsia" w:ascii="Times New Roman"/>
        </w:rPr>
        <w:t>玉舍110KV变电所和勺米</w:t>
      </w:r>
      <w:r>
        <w:rPr>
          <w:rFonts w:ascii="Times New Roman"/>
        </w:rPr>
        <w:t>35kV变电</w:t>
      </w:r>
      <w:r>
        <w:rPr>
          <w:rFonts w:hint="eastAsia" w:ascii="Times New Roman"/>
        </w:rPr>
        <w:t>所各引</w:t>
      </w:r>
      <w:r>
        <w:rPr>
          <w:rFonts w:ascii="Times New Roman"/>
        </w:rPr>
        <w:t>出</w:t>
      </w:r>
      <w:r>
        <w:rPr>
          <w:rFonts w:hint="eastAsia" w:ascii="Times New Roman"/>
        </w:rPr>
        <w:t>一</w:t>
      </w:r>
      <w:r>
        <w:rPr>
          <w:rFonts w:ascii="Times New Roman"/>
        </w:rPr>
        <w:t>回10kV线路至</w:t>
      </w:r>
      <w:r>
        <w:rPr>
          <w:rFonts w:hint="eastAsia" w:ascii="Times New Roman"/>
        </w:rPr>
        <w:t>本</w:t>
      </w:r>
      <w:r>
        <w:rPr>
          <w:rFonts w:ascii="Times New Roman"/>
        </w:rPr>
        <w:t>矿工业场地。</w:t>
      </w:r>
    </w:p>
    <w:p w14:paraId="27BE0E05">
      <w:pPr>
        <w:pStyle w:val="23"/>
        <w:rPr>
          <w:rFonts w:ascii="Times New Roman"/>
        </w:rPr>
      </w:pPr>
      <w:r>
        <w:rPr>
          <w:rFonts w:hint="eastAsia" w:ascii="Times New Roman"/>
        </w:rPr>
        <w:t>本</w:t>
      </w:r>
      <w:r>
        <w:rPr>
          <w:rFonts w:ascii="Times New Roman"/>
        </w:rPr>
        <w:t>矿达产时矿井10kV变电所10kV母线上计算用电负荷有功功率</w:t>
      </w:r>
      <w:r>
        <w:rPr>
          <w:rFonts w:hint="eastAsia" w:ascii="Times New Roman"/>
        </w:rPr>
        <w:t>1396.56</w:t>
      </w:r>
      <w:r>
        <w:rPr>
          <w:rFonts w:ascii="Times New Roman"/>
        </w:rPr>
        <w:t>kW，由</w:t>
      </w:r>
      <w:r>
        <w:rPr>
          <w:rFonts w:hint="eastAsia" w:ascii="Times New Roman"/>
        </w:rPr>
        <w:t>勺米</w:t>
      </w:r>
      <w:r>
        <w:rPr>
          <w:rFonts w:ascii="Times New Roman"/>
        </w:rPr>
        <w:t>35kV变电所</w:t>
      </w:r>
      <w:r>
        <w:rPr>
          <w:rFonts w:hint="eastAsia" w:ascii="Times New Roman"/>
        </w:rPr>
        <w:t>至本</w:t>
      </w:r>
      <w:r>
        <w:rPr>
          <w:rFonts w:ascii="Times New Roman"/>
        </w:rPr>
        <w:t>矿10kV变电所的10kV线路长约</w:t>
      </w:r>
      <w:r>
        <w:rPr>
          <w:rFonts w:hint="eastAsia" w:ascii="Times New Roman"/>
        </w:rPr>
        <w:t>8</w:t>
      </w:r>
      <w:r>
        <w:rPr>
          <w:rFonts w:ascii="Times New Roman"/>
        </w:rPr>
        <w:t>km，由</w:t>
      </w:r>
      <w:r>
        <w:rPr>
          <w:rFonts w:hint="eastAsia" w:ascii="Times New Roman"/>
        </w:rPr>
        <w:t>玉舍110</w:t>
      </w:r>
      <w:r>
        <w:rPr>
          <w:rFonts w:ascii="Times New Roman"/>
        </w:rPr>
        <w:t>kV变电所</w:t>
      </w:r>
      <w:r>
        <w:rPr>
          <w:rFonts w:hint="eastAsia" w:ascii="Times New Roman"/>
        </w:rPr>
        <w:t>至本</w:t>
      </w:r>
      <w:r>
        <w:rPr>
          <w:rFonts w:ascii="Times New Roman"/>
        </w:rPr>
        <w:t>矿10kV变电所的10kV线路长约</w:t>
      </w:r>
      <w:r>
        <w:rPr>
          <w:rFonts w:hint="eastAsia" w:ascii="Times New Roman"/>
        </w:rPr>
        <w:t>4</w:t>
      </w:r>
      <w:r>
        <w:rPr>
          <w:rFonts w:ascii="Times New Roman"/>
        </w:rPr>
        <w:t>km，设计线路截面选择如下：</w:t>
      </w:r>
    </w:p>
    <w:p w14:paraId="4232D891">
      <w:pPr>
        <w:pStyle w:val="23"/>
        <w:rPr>
          <w:rFonts w:ascii="Times New Roman"/>
        </w:rPr>
      </w:pPr>
      <w:r>
        <w:rPr>
          <w:rFonts w:ascii="Times New Roman"/>
        </w:rPr>
        <w:t>线路工作电流：  I</w:t>
      </w:r>
      <w:r>
        <w:rPr>
          <w:rFonts w:ascii="Times New Roman"/>
          <w:vertAlign w:val="subscript"/>
        </w:rPr>
        <w:t>j</w:t>
      </w:r>
      <w:r>
        <w:rPr>
          <w:rFonts w:ascii="Times New Roman"/>
        </w:rPr>
        <w:t>=</w:t>
      </w:r>
      <w:r>
        <w:rPr>
          <w:rFonts w:hint="eastAsia" w:ascii="Times New Roman"/>
        </w:rPr>
        <w:t>1396.56</w:t>
      </w:r>
      <w:r>
        <w:rPr>
          <w:rFonts w:ascii="Times New Roman"/>
        </w:rPr>
        <w:t>/（1.732×10×0.9</w:t>
      </w:r>
      <w:r>
        <w:rPr>
          <w:rFonts w:hint="eastAsia" w:ascii="Times New Roman"/>
        </w:rPr>
        <w:t>61</w:t>
      </w:r>
      <w:r>
        <w:rPr>
          <w:rFonts w:ascii="Times New Roman"/>
        </w:rPr>
        <w:t>）＝</w:t>
      </w:r>
      <w:r>
        <w:rPr>
          <w:rFonts w:hint="eastAsia" w:ascii="Times New Roman"/>
        </w:rPr>
        <w:t>83.9</w:t>
      </w:r>
      <w:r>
        <w:rPr>
          <w:rFonts w:ascii="Times New Roman"/>
        </w:rPr>
        <w:t>A</w:t>
      </w:r>
    </w:p>
    <w:p w14:paraId="7E9A2EE9">
      <w:pPr>
        <w:overflowPunct w:val="0"/>
        <w:adjustRightInd w:val="0"/>
        <w:snapToGrid w:val="0"/>
        <w:spacing w:line="360" w:lineRule="auto"/>
        <w:ind w:firstLine="520" w:firstLineChars="217"/>
        <w:jc w:val="left"/>
        <w:rPr>
          <w:rFonts w:ascii="宋体" w:hAnsi="宋体" w:cs="宋体"/>
          <w:kern w:val="0"/>
          <w:sz w:val="24"/>
        </w:rPr>
      </w:pPr>
      <w:r>
        <w:rPr>
          <w:sz w:val="24"/>
        </w:rPr>
        <w:t>导线经济截面：  S=I</w:t>
      </w:r>
      <w:r>
        <w:rPr>
          <w:sz w:val="24"/>
          <w:vertAlign w:val="subscript"/>
        </w:rPr>
        <w:t>j</w:t>
      </w:r>
      <w:r>
        <w:rPr>
          <w:sz w:val="24"/>
        </w:rPr>
        <w:t>／J=</w:t>
      </w:r>
      <w:r>
        <w:rPr>
          <w:rFonts w:hint="eastAsia"/>
          <w:sz w:val="24"/>
        </w:rPr>
        <w:t>83.9</w:t>
      </w:r>
      <w:r>
        <w:rPr>
          <w:sz w:val="24"/>
        </w:rPr>
        <w:t>/1.</w:t>
      </w:r>
      <w:r>
        <w:rPr>
          <w:rFonts w:hint="eastAsia"/>
          <w:sz w:val="24"/>
        </w:rPr>
        <w:t>15</w:t>
      </w:r>
      <w:r>
        <w:rPr>
          <w:sz w:val="24"/>
        </w:rPr>
        <w:t>＝</w:t>
      </w:r>
      <w:r>
        <w:rPr>
          <w:rFonts w:hint="eastAsia"/>
          <w:sz w:val="24"/>
        </w:rPr>
        <w:t>72.9</w:t>
      </w:r>
      <w:r>
        <w:rPr>
          <w:sz w:val="24"/>
        </w:rPr>
        <w:t xml:space="preserve"> mm</w:t>
      </w:r>
      <w:r>
        <w:rPr>
          <w:sz w:val="24"/>
          <w:vertAlign w:val="superscript"/>
        </w:rPr>
        <w:t>2</w:t>
      </w:r>
      <w:r>
        <w:rPr>
          <w:rFonts w:ascii="宋体" w:hAnsi="宋体" w:cs="宋体"/>
          <w:kern w:val="0"/>
          <w:sz w:val="24"/>
        </w:rPr>
        <w:t>（J为</w:t>
      </w:r>
      <w:r>
        <w:rPr>
          <w:rFonts w:hint="eastAsia" w:ascii="宋体" w:hAnsi="宋体" w:cs="宋体"/>
          <w:kern w:val="0"/>
          <w:sz w:val="24"/>
        </w:rPr>
        <w:t>最大负荷年利用小时数在3000～5000小时时的经济</w:t>
      </w:r>
      <w:r>
        <w:rPr>
          <w:rFonts w:ascii="宋体" w:hAnsi="宋体" w:cs="宋体"/>
          <w:kern w:val="0"/>
          <w:sz w:val="24"/>
        </w:rPr>
        <w:t>电流密度</w:t>
      </w:r>
      <w:r>
        <w:rPr>
          <w:rFonts w:hint="eastAsia" w:ascii="宋体" w:hAnsi="宋体" w:cs="宋体"/>
          <w:kern w:val="0"/>
          <w:sz w:val="24"/>
        </w:rPr>
        <w:t>）</w:t>
      </w:r>
    </w:p>
    <w:p w14:paraId="1AA9527F">
      <w:pPr>
        <w:pStyle w:val="23"/>
        <w:rPr>
          <w:rFonts w:ascii="Times New Roman"/>
        </w:rPr>
      </w:pPr>
      <w:r>
        <w:rPr>
          <w:rFonts w:hint="eastAsia" w:ascii="Times New Roman"/>
        </w:rPr>
        <w:t>引自勺米35KV变电所的10KV线路</w:t>
      </w:r>
      <w:r>
        <w:rPr>
          <w:rFonts w:ascii="Times New Roman"/>
        </w:rPr>
        <w:t>选择钢芯铝绞线截面为</w:t>
      </w:r>
      <w:r>
        <w:rPr>
          <w:rFonts w:hint="eastAsia" w:ascii="Times New Roman"/>
        </w:rPr>
        <w:t>150</w:t>
      </w:r>
      <w:r>
        <w:rPr>
          <w:rFonts w:ascii="Times New Roman"/>
        </w:rPr>
        <w:t>mm</w:t>
      </w:r>
      <w:r>
        <w:rPr>
          <w:rFonts w:ascii="Times New Roman"/>
          <w:vertAlign w:val="superscript"/>
        </w:rPr>
        <w:t>2</w:t>
      </w:r>
      <w:r>
        <w:rPr>
          <w:rFonts w:ascii="Times New Roman"/>
        </w:rPr>
        <w:t>。</w:t>
      </w:r>
    </w:p>
    <w:p w14:paraId="1A9FB7FB">
      <w:pPr>
        <w:pStyle w:val="23"/>
        <w:rPr>
          <w:rFonts w:ascii="Times New Roman"/>
        </w:rPr>
      </w:pPr>
      <w:r>
        <w:rPr>
          <w:rFonts w:ascii="Times New Roman"/>
        </w:rPr>
        <w:t>按电压降校验：单回线路最大电压损失ΔU％＝</w:t>
      </w:r>
      <w:r>
        <w:rPr>
          <w:rFonts w:hint="eastAsia" w:ascii="Times New Roman"/>
        </w:rPr>
        <w:t>1.39656</w:t>
      </w:r>
      <w:r>
        <w:rPr>
          <w:rFonts w:ascii="Times New Roman"/>
        </w:rPr>
        <w:t>MW×</w:t>
      </w:r>
      <w:r>
        <w:rPr>
          <w:rFonts w:hint="eastAsia" w:ascii="Times New Roman"/>
        </w:rPr>
        <w:t>8</w:t>
      </w:r>
      <w:r>
        <w:rPr>
          <w:rFonts w:ascii="Times New Roman"/>
        </w:rPr>
        <w:t>km×0.</w:t>
      </w:r>
      <w:r>
        <w:rPr>
          <w:rFonts w:hint="eastAsia" w:ascii="Times New Roman"/>
        </w:rPr>
        <w:t>335</w:t>
      </w:r>
      <w:r>
        <w:rPr>
          <w:rFonts w:ascii="Times New Roman"/>
        </w:rPr>
        <w:t>/（MW·km）＝</w:t>
      </w:r>
      <w:r>
        <w:rPr>
          <w:rFonts w:hint="eastAsia" w:ascii="Times New Roman"/>
        </w:rPr>
        <w:t>3.7</w:t>
      </w:r>
      <w:r>
        <w:rPr>
          <w:rFonts w:ascii="Times New Roman"/>
        </w:rPr>
        <w:t>％，满足要求。</w:t>
      </w:r>
    </w:p>
    <w:p w14:paraId="50E3AB9E">
      <w:pPr>
        <w:pStyle w:val="23"/>
        <w:rPr>
          <w:rFonts w:hint="eastAsia" w:ascii="Times New Roman"/>
        </w:rPr>
      </w:pPr>
      <w:r>
        <w:rPr>
          <w:rFonts w:ascii="Times New Roman"/>
        </w:rPr>
        <w:t>按载流量校核：查表得LGJ-</w:t>
      </w:r>
      <w:r>
        <w:rPr>
          <w:rFonts w:hint="eastAsia" w:ascii="Times New Roman"/>
        </w:rPr>
        <w:t>120</w:t>
      </w:r>
      <w:r>
        <w:rPr>
          <w:rFonts w:ascii="Times New Roman"/>
        </w:rPr>
        <w:t>钢芯铝绞线最小载流量为</w:t>
      </w:r>
      <w:r>
        <w:rPr>
          <w:rFonts w:hint="eastAsia" w:ascii="Times New Roman"/>
        </w:rPr>
        <w:t>360</w:t>
      </w:r>
      <w:r>
        <w:rPr>
          <w:rFonts w:ascii="Times New Roman"/>
        </w:rPr>
        <w:t>A&gt;</w:t>
      </w:r>
      <w:r>
        <w:rPr>
          <w:rFonts w:hint="eastAsia" w:ascii="Times New Roman"/>
        </w:rPr>
        <w:t>83.9</w:t>
      </w:r>
      <w:r>
        <w:rPr>
          <w:rFonts w:ascii="Times New Roman"/>
        </w:rPr>
        <w:t>A,满足要求。</w:t>
      </w:r>
    </w:p>
    <w:p w14:paraId="4F8FB4FE">
      <w:pPr>
        <w:pStyle w:val="23"/>
        <w:rPr>
          <w:rFonts w:hint="eastAsia" w:ascii="Times New Roman"/>
        </w:rPr>
      </w:pPr>
      <w:r>
        <w:rPr>
          <w:rFonts w:hint="eastAsia" w:ascii="Times New Roman"/>
        </w:rPr>
        <w:t>由玉舍引至本矿的10KV线路</w:t>
      </w:r>
      <w:r>
        <w:rPr>
          <w:rFonts w:ascii="Times New Roman"/>
        </w:rPr>
        <w:t>选择钢芯铝绞线截面为</w:t>
      </w:r>
      <w:r>
        <w:rPr>
          <w:rFonts w:hint="eastAsia" w:ascii="Times New Roman"/>
        </w:rPr>
        <w:t>95</w:t>
      </w:r>
      <w:r>
        <w:rPr>
          <w:rFonts w:ascii="Times New Roman"/>
        </w:rPr>
        <w:t>mm</w:t>
      </w:r>
      <w:r>
        <w:rPr>
          <w:rFonts w:ascii="Times New Roman"/>
          <w:vertAlign w:val="superscript"/>
        </w:rPr>
        <w:t>2</w:t>
      </w:r>
      <w:r>
        <w:rPr>
          <w:rFonts w:ascii="Times New Roman"/>
        </w:rPr>
        <w:t>。</w:t>
      </w:r>
    </w:p>
    <w:p w14:paraId="754864CF">
      <w:pPr>
        <w:pStyle w:val="23"/>
        <w:rPr>
          <w:rFonts w:ascii="Times New Roman"/>
        </w:rPr>
      </w:pPr>
      <w:r>
        <w:rPr>
          <w:rFonts w:ascii="Times New Roman"/>
        </w:rPr>
        <w:t>按电压降校验：单回线路最大电压损失ΔU％＝</w:t>
      </w:r>
      <w:r>
        <w:rPr>
          <w:rFonts w:hint="eastAsia" w:ascii="Times New Roman"/>
        </w:rPr>
        <w:t>1.39656</w:t>
      </w:r>
      <w:r>
        <w:rPr>
          <w:rFonts w:ascii="Times New Roman"/>
        </w:rPr>
        <w:t>MW×</w:t>
      </w:r>
      <w:r>
        <w:rPr>
          <w:rFonts w:hint="eastAsia" w:ascii="Times New Roman"/>
        </w:rPr>
        <w:t>4</w:t>
      </w:r>
      <w:r>
        <w:rPr>
          <w:rFonts w:ascii="Times New Roman"/>
        </w:rPr>
        <w:t>km×0.</w:t>
      </w:r>
      <w:r>
        <w:rPr>
          <w:rFonts w:hint="eastAsia" w:ascii="Times New Roman"/>
        </w:rPr>
        <w:t>465</w:t>
      </w:r>
      <w:r>
        <w:rPr>
          <w:rFonts w:ascii="Times New Roman"/>
        </w:rPr>
        <w:t>/（MW·km）＝</w:t>
      </w:r>
      <w:r>
        <w:rPr>
          <w:rFonts w:hint="eastAsia" w:ascii="Times New Roman"/>
        </w:rPr>
        <w:t>2.3</w:t>
      </w:r>
      <w:r>
        <w:rPr>
          <w:rFonts w:ascii="Times New Roman"/>
        </w:rPr>
        <w:t>％，满足要求。</w:t>
      </w:r>
    </w:p>
    <w:p w14:paraId="2C22879E">
      <w:pPr>
        <w:pStyle w:val="23"/>
        <w:rPr>
          <w:rFonts w:hint="eastAsia" w:ascii="Times New Roman"/>
        </w:rPr>
      </w:pPr>
      <w:r>
        <w:rPr>
          <w:rFonts w:ascii="Times New Roman"/>
        </w:rPr>
        <w:t>按载流量校核：查表得LGJ-</w:t>
      </w:r>
      <w:r>
        <w:rPr>
          <w:rFonts w:hint="eastAsia" w:ascii="Times New Roman"/>
        </w:rPr>
        <w:t>95</w:t>
      </w:r>
      <w:r>
        <w:rPr>
          <w:rFonts w:ascii="Times New Roman"/>
        </w:rPr>
        <w:t>钢芯铝绞线最小载流量为</w:t>
      </w:r>
      <w:r>
        <w:rPr>
          <w:rFonts w:hint="eastAsia" w:ascii="Times New Roman"/>
        </w:rPr>
        <w:t>272</w:t>
      </w:r>
      <w:r>
        <w:rPr>
          <w:rFonts w:ascii="Times New Roman"/>
        </w:rPr>
        <w:t>A&gt;</w:t>
      </w:r>
      <w:r>
        <w:rPr>
          <w:rFonts w:hint="eastAsia" w:ascii="Times New Roman"/>
        </w:rPr>
        <w:t>83.9</w:t>
      </w:r>
      <w:r>
        <w:rPr>
          <w:rFonts w:ascii="Times New Roman"/>
        </w:rPr>
        <w:t>A,满足要求。</w:t>
      </w:r>
    </w:p>
    <w:p w14:paraId="4627DFC7">
      <w:pPr>
        <w:pStyle w:val="23"/>
        <w:rPr>
          <w:rFonts w:hint="eastAsia" w:ascii="Times New Roman"/>
        </w:rPr>
      </w:pPr>
    </w:p>
    <w:p w14:paraId="20848C93">
      <w:pPr>
        <w:pStyle w:val="23"/>
        <w:rPr>
          <w:rFonts w:ascii="Times New Roman"/>
        </w:rPr>
      </w:pPr>
      <w:r>
        <w:rPr>
          <w:rFonts w:ascii="Times New Roman"/>
        </w:rPr>
        <w:t>正常情况下，两回10kV线路分列运行，同时工作；在一回线路故障情况下，另一回线路可满足本矿井电力负荷的需要。</w:t>
      </w:r>
    </w:p>
    <w:p w14:paraId="44711853">
      <w:pPr>
        <w:pStyle w:val="23"/>
        <w:rPr>
          <w:rFonts w:ascii="Times New Roman"/>
        </w:rPr>
      </w:pPr>
      <w:r>
        <w:rPr>
          <w:rFonts w:ascii="Times New Roman"/>
        </w:rPr>
        <w:t>根据工业场地布置情况及矿井采区开拓方式，拟在</w:t>
      </w:r>
      <w:r>
        <w:rPr>
          <w:rFonts w:hint="eastAsia" w:ascii="Times New Roman"/>
        </w:rPr>
        <w:t>主斜井</w:t>
      </w:r>
      <w:r>
        <w:rPr>
          <w:rFonts w:ascii="Times New Roman"/>
        </w:rPr>
        <w:t>工业场地设置</w:t>
      </w:r>
      <w:r>
        <w:rPr>
          <w:rFonts w:hint="eastAsia" w:ascii="Times New Roman"/>
        </w:rPr>
        <w:t>一个</w:t>
      </w:r>
      <w:r>
        <w:rPr>
          <w:rFonts w:ascii="Times New Roman"/>
        </w:rPr>
        <w:t>地面10kV</w:t>
      </w:r>
      <w:r>
        <w:rPr>
          <w:rFonts w:hint="eastAsia" w:ascii="Times New Roman"/>
        </w:rPr>
        <w:t>主</w:t>
      </w:r>
      <w:r>
        <w:rPr>
          <w:rFonts w:ascii="Times New Roman"/>
        </w:rPr>
        <w:t>变电所</w:t>
      </w:r>
      <w:r>
        <w:rPr>
          <w:rFonts w:hint="eastAsia" w:ascii="Times New Roman"/>
        </w:rPr>
        <w:t>，在回风斜井工业场地设置一个10KV变电站</w:t>
      </w:r>
      <w:r>
        <w:rPr>
          <w:rFonts w:ascii="Times New Roman"/>
        </w:rPr>
        <w:t>，在井下设一个</w:t>
      </w:r>
      <w:r>
        <w:rPr>
          <w:rFonts w:hint="eastAsia" w:ascii="Times New Roman"/>
        </w:rPr>
        <w:t>采区</w:t>
      </w:r>
      <w:r>
        <w:rPr>
          <w:rFonts w:ascii="Times New Roman"/>
        </w:rPr>
        <w:t>变电所。由</w:t>
      </w:r>
      <w:r>
        <w:rPr>
          <w:rFonts w:hint="eastAsia" w:ascii="Times New Roman"/>
        </w:rPr>
        <w:t>主斜井</w:t>
      </w:r>
      <w:r>
        <w:rPr>
          <w:rFonts w:ascii="Times New Roman"/>
        </w:rPr>
        <w:t>地面10kV变电所采用两回MYJV</w:t>
      </w:r>
      <w:r>
        <w:rPr>
          <w:rFonts w:ascii="Times New Roman"/>
          <w:vertAlign w:val="subscript"/>
        </w:rPr>
        <w:t>22</w:t>
      </w:r>
      <w:r>
        <w:rPr>
          <w:rFonts w:ascii="Times New Roman"/>
        </w:rPr>
        <w:t>-8.7/10　3×</w:t>
      </w:r>
      <w:r>
        <w:rPr>
          <w:rFonts w:hint="eastAsia" w:ascii="Times New Roman"/>
        </w:rPr>
        <w:t>50</w:t>
      </w:r>
      <w:r>
        <w:rPr>
          <w:rFonts w:ascii="Times New Roman"/>
        </w:rPr>
        <w:t>/</w:t>
      </w:r>
      <w:r>
        <w:rPr>
          <w:rFonts w:hint="eastAsia" w:ascii="Times New Roman"/>
        </w:rPr>
        <w:t>70</w:t>
      </w:r>
      <w:r>
        <w:rPr>
          <w:rFonts w:ascii="Times New Roman"/>
        </w:rPr>
        <w:t>0m高压电缆沿</w:t>
      </w:r>
      <w:r>
        <w:rPr>
          <w:rFonts w:hint="eastAsia" w:ascii="Times New Roman"/>
        </w:rPr>
        <w:t>副斜井</w:t>
      </w:r>
      <w:r>
        <w:rPr>
          <w:rFonts w:ascii="Times New Roman"/>
        </w:rPr>
        <w:t>向</w:t>
      </w:r>
      <w:r>
        <w:rPr>
          <w:rFonts w:hint="eastAsia" w:ascii="Times New Roman"/>
        </w:rPr>
        <w:t>采区</w:t>
      </w:r>
      <w:r>
        <w:rPr>
          <w:rFonts w:ascii="Times New Roman"/>
        </w:rPr>
        <w:t>变电所供电，两回下井电缆分别引自不同的母线段；正常情况下分列运行，当一回电缆出故障时，断开这一回的电源进线开关，闭合联络开关由另一回电缆供电。矿井地面采用10kV、</w:t>
      </w:r>
      <w:r>
        <w:rPr>
          <w:rFonts w:hint="eastAsia" w:ascii="Times New Roman"/>
        </w:rPr>
        <w:t>660V、380V、22</w:t>
      </w:r>
      <w:r>
        <w:rPr>
          <w:rFonts w:ascii="Times New Roman"/>
        </w:rPr>
        <w:t>0V配电电压，井下采用10kV、</w:t>
      </w:r>
      <w:r>
        <w:rPr>
          <w:rFonts w:hint="eastAsia" w:ascii="Times New Roman"/>
        </w:rPr>
        <w:t>1140</w:t>
      </w:r>
      <w:r>
        <w:rPr>
          <w:rFonts w:ascii="Times New Roman"/>
        </w:rPr>
        <w:t xml:space="preserve"> V</w:t>
      </w:r>
      <w:r>
        <w:rPr>
          <w:rFonts w:hint="eastAsia" w:ascii="Times New Roman"/>
        </w:rPr>
        <w:t>、</w:t>
      </w:r>
      <w:r>
        <w:rPr>
          <w:rFonts w:ascii="Times New Roman"/>
        </w:rPr>
        <w:t>660V、127V配电电压。</w:t>
      </w:r>
    </w:p>
    <w:p w14:paraId="7006D7A2">
      <w:pPr>
        <w:spacing w:line="360" w:lineRule="auto"/>
        <w:ind w:firstLine="480" w:firstLineChars="200"/>
        <w:rPr>
          <w:kern w:val="0"/>
          <w:sz w:val="24"/>
          <w:szCs w:val="20"/>
        </w:rPr>
      </w:pPr>
      <w:r>
        <w:rPr>
          <w:kern w:val="0"/>
          <w:sz w:val="24"/>
          <w:szCs w:val="20"/>
        </w:rPr>
        <w:t>下井电缆选择：</w:t>
      </w:r>
    </w:p>
    <w:p w14:paraId="7813BC47">
      <w:pPr>
        <w:spacing w:line="360" w:lineRule="auto"/>
        <w:ind w:firstLine="480" w:firstLineChars="200"/>
        <w:rPr>
          <w:kern w:val="0"/>
          <w:sz w:val="24"/>
          <w:szCs w:val="20"/>
        </w:rPr>
      </w:pPr>
      <w:r>
        <w:rPr>
          <w:kern w:val="0"/>
          <w:sz w:val="24"/>
          <w:szCs w:val="20"/>
        </w:rPr>
        <w:t>工作电流：  I</w:t>
      </w:r>
      <w:r>
        <w:rPr>
          <w:kern w:val="0"/>
          <w:sz w:val="24"/>
          <w:szCs w:val="20"/>
          <w:vertAlign w:val="subscript"/>
        </w:rPr>
        <w:t>j</w:t>
      </w:r>
      <w:r>
        <w:rPr>
          <w:kern w:val="0"/>
          <w:sz w:val="24"/>
          <w:szCs w:val="20"/>
        </w:rPr>
        <w:t>=</w:t>
      </w:r>
      <w:r>
        <w:rPr>
          <w:rFonts w:hint="eastAsia"/>
          <w:kern w:val="0"/>
          <w:sz w:val="24"/>
          <w:szCs w:val="20"/>
        </w:rPr>
        <w:t>916.4</w:t>
      </w:r>
      <w:r>
        <w:rPr>
          <w:kern w:val="0"/>
          <w:sz w:val="24"/>
          <w:szCs w:val="20"/>
        </w:rPr>
        <w:t>/（1.732×10×0.</w:t>
      </w:r>
      <w:r>
        <w:rPr>
          <w:rFonts w:hint="eastAsia"/>
          <w:kern w:val="0"/>
          <w:sz w:val="24"/>
          <w:szCs w:val="20"/>
        </w:rPr>
        <w:t>722</w:t>
      </w:r>
      <w:r>
        <w:rPr>
          <w:kern w:val="0"/>
          <w:sz w:val="24"/>
          <w:szCs w:val="20"/>
        </w:rPr>
        <w:t>）＝</w:t>
      </w:r>
      <w:r>
        <w:rPr>
          <w:rFonts w:hint="eastAsia"/>
          <w:kern w:val="0"/>
          <w:sz w:val="24"/>
          <w:szCs w:val="20"/>
        </w:rPr>
        <w:t>73.3</w:t>
      </w:r>
      <w:r>
        <w:rPr>
          <w:kern w:val="0"/>
          <w:sz w:val="24"/>
          <w:szCs w:val="20"/>
        </w:rPr>
        <w:t>A</w:t>
      </w:r>
    </w:p>
    <w:p w14:paraId="7287B8AF">
      <w:pPr>
        <w:spacing w:line="360" w:lineRule="auto"/>
        <w:ind w:firstLine="480" w:firstLineChars="200"/>
        <w:rPr>
          <w:kern w:val="0"/>
          <w:sz w:val="24"/>
          <w:szCs w:val="20"/>
        </w:rPr>
      </w:pPr>
      <w:r>
        <w:rPr>
          <w:kern w:val="0"/>
          <w:sz w:val="24"/>
          <w:szCs w:val="20"/>
        </w:rPr>
        <w:t>经济截面：  S=I</w:t>
      </w:r>
      <w:r>
        <w:rPr>
          <w:kern w:val="0"/>
          <w:sz w:val="24"/>
          <w:szCs w:val="20"/>
          <w:vertAlign w:val="subscript"/>
        </w:rPr>
        <w:t>j</w:t>
      </w:r>
      <w:r>
        <w:rPr>
          <w:kern w:val="0"/>
          <w:sz w:val="24"/>
          <w:szCs w:val="20"/>
        </w:rPr>
        <w:t>／ｎ/J=</w:t>
      </w:r>
      <w:r>
        <w:rPr>
          <w:rFonts w:hint="eastAsia"/>
          <w:kern w:val="0"/>
          <w:sz w:val="24"/>
          <w:szCs w:val="20"/>
        </w:rPr>
        <w:t>73.3</w:t>
      </w:r>
      <w:r>
        <w:rPr>
          <w:kern w:val="0"/>
          <w:sz w:val="24"/>
          <w:szCs w:val="20"/>
        </w:rPr>
        <w:t>/2.25＝</w:t>
      </w:r>
      <w:r>
        <w:rPr>
          <w:rFonts w:hint="eastAsia"/>
          <w:kern w:val="0"/>
          <w:sz w:val="24"/>
          <w:szCs w:val="20"/>
        </w:rPr>
        <w:t>32.6</w:t>
      </w:r>
      <w:r>
        <w:rPr>
          <w:kern w:val="0"/>
          <w:sz w:val="24"/>
          <w:szCs w:val="20"/>
        </w:rPr>
        <w:t xml:space="preserve"> mm</w:t>
      </w:r>
      <w:r>
        <w:rPr>
          <w:kern w:val="0"/>
          <w:sz w:val="24"/>
          <w:szCs w:val="20"/>
          <w:vertAlign w:val="superscript"/>
        </w:rPr>
        <w:t>2</w:t>
      </w:r>
      <w:r>
        <w:rPr>
          <w:kern w:val="0"/>
          <w:sz w:val="24"/>
          <w:szCs w:val="20"/>
        </w:rPr>
        <w:t>（J为经济电流密度）</w:t>
      </w:r>
    </w:p>
    <w:p w14:paraId="39D1CE5D">
      <w:pPr>
        <w:spacing w:line="360" w:lineRule="auto"/>
        <w:ind w:firstLine="480" w:firstLineChars="200"/>
        <w:rPr>
          <w:kern w:val="0"/>
          <w:sz w:val="24"/>
          <w:szCs w:val="20"/>
        </w:rPr>
      </w:pPr>
      <w:r>
        <w:rPr>
          <w:kern w:val="0"/>
          <w:sz w:val="24"/>
          <w:szCs w:val="20"/>
        </w:rPr>
        <w:t>设计选择煤矿用铜芯交联聚乙烯绝缘电力电缆截面为</w:t>
      </w:r>
      <w:r>
        <w:rPr>
          <w:rFonts w:hint="eastAsia"/>
          <w:kern w:val="0"/>
          <w:sz w:val="24"/>
          <w:szCs w:val="20"/>
        </w:rPr>
        <w:t>50</w:t>
      </w:r>
      <w:r>
        <w:rPr>
          <w:kern w:val="0"/>
          <w:sz w:val="24"/>
          <w:szCs w:val="20"/>
        </w:rPr>
        <w:t>mm</w:t>
      </w:r>
      <w:r>
        <w:rPr>
          <w:kern w:val="0"/>
          <w:sz w:val="24"/>
          <w:szCs w:val="20"/>
          <w:vertAlign w:val="superscript"/>
        </w:rPr>
        <w:t>2</w:t>
      </w:r>
      <w:r>
        <w:rPr>
          <w:kern w:val="0"/>
          <w:sz w:val="24"/>
          <w:szCs w:val="20"/>
        </w:rPr>
        <w:t>。</w:t>
      </w:r>
    </w:p>
    <w:p w14:paraId="2E95DBAA">
      <w:pPr>
        <w:spacing w:line="360" w:lineRule="auto"/>
        <w:ind w:firstLine="436" w:firstLineChars="182"/>
        <w:rPr>
          <w:rFonts w:hint="eastAsia"/>
          <w:sz w:val="24"/>
        </w:rPr>
      </w:pPr>
      <w:r>
        <w:rPr>
          <w:sz w:val="24"/>
        </w:rPr>
        <w:t>按电压降校验：电压损失ΔU％＝</w:t>
      </w:r>
      <w:r>
        <w:rPr>
          <w:rFonts w:hint="eastAsia"/>
          <w:sz w:val="24"/>
        </w:rPr>
        <w:t>0.9164</w:t>
      </w:r>
      <w:r>
        <w:rPr>
          <w:sz w:val="24"/>
        </w:rPr>
        <w:t>MW×0.</w:t>
      </w:r>
      <w:r>
        <w:rPr>
          <w:rFonts w:hint="eastAsia"/>
          <w:sz w:val="24"/>
        </w:rPr>
        <w:t>7</w:t>
      </w:r>
      <w:r>
        <w:rPr>
          <w:sz w:val="24"/>
        </w:rPr>
        <w:t>km×0.</w:t>
      </w:r>
      <w:r>
        <w:rPr>
          <w:rFonts w:hint="eastAsia"/>
          <w:sz w:val="24"/>
        </w:rPr>
        <w:t>866</w:t>
      </w:r>
      <w:r>
        <w:rPr>
          <w:sz w:val="24"/>
        </w:rPr>
        <w:t>/（MW·km）＝0.</w:t>
      </w:r>
      <w:r>
        <w:rPr>
          <w:rFonts w:hint="eastAsia"/>
          <w:sz w:val="24"/>
        </w:rPr>
        <w:t>6%</w:t>
      </w:r>
    </w:p>
    <w:p w14:paraId="25CCA7B6">
      <w:pPr>
        <w:spacing w:line="360" w:lineRule="auto"/>
        <w:ind w:firstLine="480" w:firstLineChars="200"/>
        <w:rPr>
          <w:rFonts w:hint="eastAsia"/>
          <w:kern w:val="0"/>
          <w:sz w:val="24"/>
          <w:szCs w:val="20"/>
        </w:rPr>
      </w:pPr>
      <w:r>
        <w:rPr>
          <w:rFonts w:hint="eastAsia"/>
          <w:kern w:val="0"/>
          <w:sz w:val="24"/>
          <w:szCs w:val="20"/>
        </w:rPr>
        <w:t>地面主</w:t>
      </w:r>
      <w:r>
        <w:rPr>
          <w:kern w:val="0"/>
          <w:sz w:val="24"/>
          <w:szCs w:val="20"/>
        </w:rPr>
        <w:t>变电所母线电压降（单回LGJ-</w:t>
      </w:r>
      <w:r>
        <w:rPr>
          <w:rFonts w:hint="eastAsia"/>
          <w:kern w:val="0"/>
          <w:sz w:val="24"/>
          <w:szCs w:val="20"/>
        </w:rPr>
        <w:t>150</w:t>
      </w:r>
      <w:r>
        <w:rPr>
          <w:kern w:val="0"/>
          <w:sz w:val="24"/>
          <w:szCs w:val="20"/>
        </w:rPr>
        <w:t>运行时）</w:t>
      </w:r>
      <w:r>
        <w:rPr>
          <w:sz w:val="24"/>
        </w:rPr>
        <w:t>ΔU％＝</w:t>
      </w:r>
      <w:r>
        <w:rPr>
          <w:rFonts w:hint="eastAsia"/>
          <w:sz w:val="24"/>
        </w:rPr>
        <w:t>3.7</w:t>
      </w:r>
      <w:r>
        <w:rPr>
          <w:sz w:val="24"/>
        </w:rPr>
        <w:t>％+0.</w:t>
      </w:r>
      <w:r>
        <w:rPr>
          <w:rFonts w:hint="eastAsia"/>
          <w:sz w:val="24"/>
        </w:rPr>
        <w:t>5</w:t>
      </w:r>
      <w:r>
        <w:rPr>
          <w:sz w:val="24"/>
        </w:rPr>
        <w:t>％＝4.</w:t>
      </w:r>
      <w:r>
        <w:rPr>
          <w:rFonts w:hint="eastAsia"/>
          <w:sz w:val="24"/>
        </w:rPr>
        <w:t>2%</w:t>
      </w:r>
    </w:p>
    <w:p w14:paraId="6AF61E62">
      <w:pPr>
        <w:spacing w:line="360" w:lineRule="auto"/>
        <w:ind w:firstLine="480" w:firstLineChars="200"/>
        <w:rPr>
          <w:kern w:val="0"/>
          <w:sz w:val="24"/>
          <w:szCs w:val="20"/>
        </w:rPr>
      </w:pPr>
      <w:r>
        <w:rPr>
          <w:kern w:val="0"/>
          <w:sz w:val="24"/>
          <w:szCs w:val="20"/>
        </w:rPr>
        <w:t>按载流量校核：查表得MYJV</w:t>
      </w:r>
      <w:r>
        <w:rPr>
          <w:kern w:val="0"/>
          <w:sz w:val="24"/>
          <w:vertAlign w:val="subscript"/>
        </w:rPr>
        <w:t>22</w:t>
      </w:r>
      <w:r>
        <w:rPr>
          <w:kern w:val="0"/>
          <w:sz w:val="24"/>
          <w:szCs w:val="20"/>
        </w:rPr>
        <w:t>-8.7/10　3×</w:t>
      </w:r>
      <w:r>
        <w:rPr>
          <w:rFonts w:hint="eastAsia"/>
          <w:kern w:val="0"/>
          <w:sz w:val="24"/>
          <w:szCs w:val="20"/>
        </w:rPr>
        <w:t>50</w:t>
      </w:r>
      <w:r>
        <w:rPr>
          <w:kern w:val="0"/>
          <w:sz w:val="24"/>
          <w:szCs w:val="20"/>
        </w:rPr>
        <w:t>最小载流量为</w:t>
      </w:r>
      <w:r>
        <w:rPr>
          <w:rFonts w:hint="eastAsia"/>
          <w:kern w:val="0"/>
          <w:sz w:val="24"/>
          <w:szCs w:val="20"/>
        </w:rPr>
        <w:t>174</w:t>
      </w:r>
      <w:r>
        <w:rPr>
          <w:kern w:val="0"/>
          <w:sz w:val="24"/>
          <w:szCs w:val="20"/>
        </w:rPr>
        <w:t>A&gt;</w:t>
      </w:r>
      <w:r>
        <w:rPr>
          <w:rFonts w:hint="eastAsia"/>
          <w:kern w:val="0"/>
          <w:sz w:val="24"/>
          <w:szCs w:val="20"/>
        </w:rPr>
        <w:t>73.3</w:t>
      </w:r>
      <w:r>
        <w:rPr>
          <w:kern w:val="0"/>
          <w:sz w:val="24"/>
          <w:szCs w:val="20"/>
        </w:rPr>
        <w:t>A,满足要求。</w:t>
      </w:r>
    </w:p>
    <w:p w14:paraId="67A694E9">
      <w:pPr>
        <w:spacing w:line="360" w:lineRule="auto"/>
        <w:ind w:firstLine="480" w:firstLineChars="200"/>
        <w:rPr>
          <w:rFonts w:hint="eastAsia"/>
          <w:kern w:val="0"/>
          <w:sz w:val="24"/>
          <w:szCs w:val="20"/>
        </w:rPr>
      </w:pPr>
      <w:r>
        <w:rPr>
          <w:kern w:val="0"/>
          <w:sz w:val="24"/>
          <w:szCs w:val="20"/>
        </w:rPr>
        <w:t>1）地面供配电</w:t>
      </w:r>
    </w:p>
    <w:p w14:paraId="15E6B9DF">
      <w:pPr>
        <w:spacing w:line="360" w:lineRule="auto"/>
        <w:ind w:firstLine="480" w:firstLineChars="200"/>
        <w:rPr>
          <w:rFonts w:hint="eastAsia"/>
          <w:kern w:val="0"/>
          <w:sz w:val="24"/>
          <w:szCs w:val="20"/>
        </w:rPr>
      </w:pPr>
      <w:r>
        <w:rPr>
          <w:rFonts w:hint="eastAsia"/>
          <w:kern w:val="0"/>
          <w:sz w:val="24"/>
          <w:szCs w:val="20"/>
        </w:rPr>
        <w:t>本矿原有高压开关柜GG-1A形6台，S7-100/10变压器1台，S7-200/10变压器2台，S9-50/10变压器1台，这些设备已经淘汰或不能满足要求。</w:t>
      </w:r>
    </w:p>
    <w:p w14:paraId="250D19FB">
      <w:pPr>
        <w:spacing w:line="360" w:lineRule="auto"/>
        <w:ind w:firstLine="200"/>
        <w:rPr>
          <w:rFonts w:hint="eastAsia"/>
          <w:color w:val="0000FF"/>
          <w:sz w:val="24"/>
        </w:rPr>
      </w:pPr>
      <w:r>
        <w:rPr>
          <w:sz w:val="24"/>
        </w:rPr>
        <w:t>（1）</w:t>
      </w:r>
      <w:r>
        <w:rPr>
          <w:rFonts w:hint="eastAsia"/>
          <w:sz w:val="24"/>
        </w:rPr>
        <w:t>主斜井</w:t>
      </w:r>
      <w:r>
        <w:rPr>
          <w:sz w:val="24"/>
        </w:rPr>
        <w:t>地面10/0.4kV变电所全室内布置,10kV室选用</w:t>
      </w:r>
      <w:r>
        <w:rPr>
          <w:rFonts w:hint="eastAsia"/>
          <w:sz w:val="24"/>
        </w:rPr>
        <w:t>16</w:t>
      </w:r>
      <w:r>
        <w:rPr>
          <w:sz w:val="24"/>
        </w:rPr>
        <w:t>台KYN28A-12型10kV金属铠装柜，其中设置2套</w:t>
      </w:r>
      <w:r>
        <w:rPr>
          <w:rFonts w:hint="eastAsia"/>
          <w:sz w:val="24"/>
        </w:rPr>
        <w:t>60</w:t>
      </w:r>
      <w:r>
        <w:rPr>
          <w:sz w:val="24"/>
        </w:rPr>
        <w:t>0kVar高压无功功率补偿装置，高压共补偿</w:t>
      </w:r>
      <w:r>
        <w:rPr>
          <w:rFonts w:hint="eastAsia"/>
          <w:sz w:val="24"/>
        </w:rPr>
        <w:t>90</w:t>
      </w:r>
      <w:r>
        <w:rPr>
          <w:sz w:val="24"/>
        </w:rPr>
        <w:t>0kVar，功率因素提高到0.9</w:t>
      </w:r>
      <w:r>
        <w:rPr>
          <w:rFonts w:hint="eastAsia"/>
          <w:sz w:val="24"/>
        </w:rPr>
        <w:t>61</w:t>
      </w:r>
      <w:r>
        <w:rPr>
          <w:sz w:val="24"/>
        </w:rPr>
        <w:t>，控制室设三台PK-10控制柜，实现对10kV高压配电装置的保护和控制。</w:t>
      </w:r>
      <w:r>
        <w:rPr>
          <w:rFonts w:hint="eastAsia"/>
          <w:color w:val="0000FF"/>
          <w:sz w:val="24"/>
        </w:rPr>
        <w:t>设计采用微机综保，断路器操作电压为直流220V，弹簧操作。</w:t>
      </w:r>
    </w:p>
    <w:p w14:paraId="01018E4D">
      <w:pPr>
        <w:spacing w:line="360" w:lineRule="auto"/>
        <w:ind w:firstLine="319" w:firstLineChars="133"/>
        <w:rPr>
          <w:sz w:val="24"/>
        </w:rPr>
      </w:pPr>
      <w:r>
        <w:rPr>
          <w:sz w:val="24"/>
        </w:rPr>
        <w:t>10kV变电所馈出10kV线路</w:t>
      </w:r>
      <w:r>
        <w:rPr>
          <w:rFonts w:hint="eastAsia"/>
          <w:sz w:val="24"/>
        </w:rPr>
        <w:t>11</w:t>
      </w:r>
      <w:r>
        <w:rPr>
          <w:sz w:val="24"/>
        </w:rPr>
        <w:t>回，其中下井2回、低压动力变压器</w:t>
      </w:r>
      <w:r>
        <w:rPr>
          <w:rFonts w:hint="eastAsia"/>
          <w:sz w:val="24"/>
        </w:rPr>
        <w:t>2</w:t>
      </w:r>
      <w:r>
        <w:rPr>
          <w:sz w:val="24"/>
        </w:rPr>
        <w:t>回、电容器2回、</w:t>
      </w:r>
      <w:r>
        <w:rPr>
          <w:rFonts w:hint="eastAsia"/>
          <w:sz w:val="24"/>
        </w:rPr>
        <w:t>生活行政区10KV变电站1</w:t>
      </w:r>
      <w:r>
        <w:rPr>
          <w:sz w:val="24"/>
        </w:rPr>
        <w:t>回</w:t>
      </w:r>
      <w:r>
        <w:rPr>
          <w:rFonts w:hint="eastAsia"/>
          <w:sz w:val="24"/>
        </w:rPr>
        <w:t>、回风斜井变电所2回、主斜井胶带机2回</w:t>
      </w:r>
      <w:r>
        <w:rPr>
          <w:sz w:val="24"/>
        </w:rPr>
        <w:t>，均为电缆出线。</w:t>
      </w:r>
    </w:p>
    <w:p w14:paraId="104E7C5D">
      <w:pPr>
        <w:spacing w:line="360" w:lineRule="auto"/>
        <w:ind w:firstLine="319" w:firstLineChars="133"/>
        <w:rPr>
          <w:sz w:val="24"/>
        </w:rPr>
      </w:pPr>
      <w:r>
        <w:rPr>
          <w:sz w:val="24"/>
        </w:rPr>
        <w:t>10/0.4kV变电所低压系统向工业场地内除</w:t>
      </w:r>
      <w:r>
        <w:rPr>
          <w:rFonts w:hint="eastAsia"/>
          <w:sz w:val="24"/>
        </w:rPr>
        <w:t>回风斜井场地</w:t>
      </w:r>
      <w:r>
        <w:rPr>
          <w:sz w:val="24"/>
        </w:rPr>
        <w:t>外的低压负荷供电，低压计算负荷为：</w:t>
      </w:r>
    </w:p>
    <w:p w14:paraId="4198ADCD">
      <w:pPr>
        <w:spacing w:line="360" w:lineRule="auto"/>
        <w:ind w:firstLine="200"/>
        <w:rPr>
          <w:sz w:val="24"/>
        </w:rPr>
      </w:pPr>
      <w:r>
        <w:rPr>
          <w:sz w:val="24"/>
        </w:rPr>
        <w:t>有功功率：</w:t>
      </w:r>
      <w:r>
        <w:rPr>
          <w:rFonts w:hint="eastAsia"/>
          <w:sz w:val="24"/>
        </w:rPr>
        <w:t>317.1</w:t>
      </w:r>
      <w:r>
        <w:rPr>
          <w:sz w:val="24"/>
        </w:rPr>
        <w:t>kW</w:t>
      </w:r>
    </w:p>
    <w:p w14:paraId="2976CA96">
      <w:pPr>
        <w:spacing w:line="360" w:lineRule="auto"/>
        <w:ind w:firstLine="200"/>
        <w:rPr>
          <w:sz w:val="24"/>
        </w:rPr>
      </w:pPr>
      <w:r>
        <w:rPr>
          <w:sz w:val="24"/>
        </w:rPr>
        <w:t>无功功率：</w:t>
      </w:r>
      <w:r>
        <w:rPr>
          <w:rFonts w:hint="eastAsia"/>
          <w:sz w:val="24"/>
        </w:rPr>
        <w:t>262.7</w:t>
      </w:r>
      <w:r>
        <w:rPr>
          <w:sz w:val="24"/>
        </w:rPr>
        <w:t>kVar</w:t>
      </w:r>
    </w:p>
    <w:p w14:paraId="5380B41B">
      <w:pPr>
        <w:spacing w:line="360" w:lineRule="auto"/>
        <w:ind w:firstLine="200"/>
        <w:rPr>
          <w:rFonts w:hint="eastAsia"/>
          <w:sz w:val="24"/>
        </w:rPr>
      </w:pPr>
      <w:r>
        <w:rPr>
          <w:sz w:val="24"/>
        </w:rPr>
        <w:t>功率因素COSΦ＝0.</w:t>
      </w:r>
      <w:r>
        <w:rPr>
          <w:rFonts w:hint="eastAsia"/>
          <w:sz w:val="24"/>
        </w:rPr>
        <w:t>79</w:t>
      </w:r>
    </w:p>
    <w:p w14:paraId="31910B47">
      <w:pPr>
        <w:spacing w:line="360" w:lineRule="auto"/>
        <w:ind w:firstLine="200"/>
        <w:rPr>
          <w:sz w:val="24"/>
        </w:rPr>
      </w:pPr>
      <w:r>
        <w:rPr>
          <w:sz w:val="24"/>
        </w:rPr>
        <w:t>视在功率：</w:t>
      </w:r>
      <w:r>
        <w:rPr>
          <w:rFonts w:hint="eastAsia"/>
          <w:sz w:val="24"/>
        </w:rPr>
        <w:t>411.82</w:t>
      </w:r>
      <w:r>
        <w:rPr>
          <w:sz w:val="24"/>
        </w:rPr>
        <w:t>kVA</w:t>
      </w:r>
    </w:p>
    <w:p w14:paraId="77C5F63B">
      <w:pPr>
        <w:spacing w:line="360" w:lineRule="auto"/>
        <w:ind w:firstLine="200"/>
        <w:rPr>
          <w:sz w:val="24"/>
        </w:rPr>
      </w:pPr>
      <w:r>
        <w:rPr>
          <w:sz w:val="24"/>
        </w:rPr>
        <w:t>低压室选用两台S</w:t>
      </w:r>
      <w:r>
        <w:rPr>
          <w:rFonts w:hint="eastAsia"/>
          <w:sz w:val="24"/>
          <w:vertAlign w:val="subscript"/>
        </w:rPr>
        <w:t>11</w:t>
      </w:r>
      <w:r>
        <w:rPr>
          <w:sz w:val="24"/>
        </w:rPr>
        <w:t>-</w:t>
      </w:r>
      <w:r>
        <w:rPr>
          <w:rFonts w:hint="eastAsia"/>
          <w:sz w:val="24"/>
        </w:rPr>
        <w:t>50</w:t>
      </w:r>
      <w:r>
        <w:rPr>
          <w:sz w:val="24"/>
        </w:rPr>
        <w:t xml:space="preserve">0/10　10/0.4kV  </w:t>
      </w:r>
      <w:r>
        <w:rPr>
          <w:rFonts w:hint="eastAsia"/>
          <w:sz w:val="24"/>
        </w:rPr>
        <w:t>5</w:t>
      </w:r>
      <w:r>
        <w:rPr>
          <w:sz w:val="24"/>
        </w:rPr>
        <w:t>00kVA变压器、</w:t>
      </w:r>
      <w:r>
        <w:rPr>
          <w:rFonts w:hint="eastAsia"/>
          <w:sz w:val="24"/>
        </w:rPr>
        <w:t>11</w:t>
      </w:r>
      <w:r>
        <w:rPr>
          <w:sz w:val="24"/>
        </w:rPr>
        <w:t>台G</w:t>
      </w:r>
      <w:r>
        <w:rPr>
          <w:rFonts w:hint="eastAsia"/>
          <w:sz w:val="24"/>
        </w:rPr>
        <w:t>GD1</w:t>
      </w:r>
      <w:r>
        <w:rPr>
          <w:sz w:val="24"/>
        </w:rPr>
        <w:t>型配电柜向地面低压设备配电。</w:t>
      </w:r>
    </w:p>
    <w:p w14:paraId="6B8BF89E">
      <w:pPr>
        <w:spacing w:line="360" w:lineRule="auto"/>
        <w:ind w:firstLine="200"/>
        <w:rPr>
          <w:sz w:val="24"/>
        </w:rPr>
      </w:pPr>
      <w:r>
        <w:rPr>
          <w:sz w:val="24"/>
        </w:rPr>
        <w:t>（2）瓦斯抽放站</w:t>
      </w:r>
      <w:r>
        <w:rPr>
          <w:rFonts w:hint="eastAsia"/>
          <w:sz w:val="24"/>
        </w:rPr>
        <w:t>由风井场地地面</w:t>
      </w:r>
      <w:r>
        <w:rPr>
          <w:sz w:val="24"/>
        </w:rPr>
        <w:t>10kV变电所</w:t>
      </w:r>
      <w:r>
        <w:rPr>
          <w:rFonts w:hint="eastAsia"/>
          <w:sz w:val="24"/>
        </w:rPr>
        <w:t>低压配电室供电</w:t>
      </w:r>
      <w:r>
        <w:rPr>
          <w:sz w:val="24"/>
        </w:rPr>
        <w:t>，</w:t>
      </w:r>
      <w:r>
        <w:rPr>
          <w:rFonts w:hint="eastAsia"/>
          <w:sz w:val="24"/>
        </w:rPr>
        <w:t>瓦斯抽放站</w:t>
      </w:r>
      <w:r>
        <w:rPr>
          <w:sz w:val="24"/>
        </w:rPr>
        <w:t>计算负荷为：</w:t>
      </w:r>
    </w:p>
    <w:p w14:paraId="5534E1D1">
      <w:pPr>
        <w:spacing w:line="360" w:lineRule="auto"/>
        <w:ind w:firstLine="200"/>
        <w:rPr>
          <w:sz w:val="24"/>
        </w:rPr>
      </w:pPr>
      <w:r>
        <w:rPr>
          <w:sz w:val="24"/>
        </w:rPr>
        <w:t>有功功率：</w:t>
      </w:r>
      <w:r>
        <w:rPr>
          <w:rFonts w:hint="eastAsia"/>
          <w:sz w:val="24"/>
        </w:rPr>
        <w:t>115.5</w:t>
      </w:r>
      <w:r>
        <w:rPr>
          <w:sz w:val="24"/>
        </w:rPr>
        <w:t>kW</w:t>
      </w:r>
    </w:p>
    <w:p w14:paraId="032D8666">
      <w:pPr>
        <w:spacing w:line="360" w:lineRule="auto"/>
        <w:ind w:firstLine="200"/>
        <w:rPr>
          <w:sz w:val="24"/>
        </w:rPr>
      </w:pPr>
      <w:r>
        <w:rPr>
          <w:sz w:val="24"/>
        </w:rPr>
        <w:t>无功功率：</w:t>
      </w:r>
      <w:r>
        <w:rPr>
          <w:rFonts w:hint="eastAsia"/>
          <w:sz w:val="24"/>
        </w:rPr>
        <w:t>86.63</w:t>
      </w:r>
      <w:r>
        <w:rPr>
          <w:sz w:val="24"/>
        </w:rPr>
        <w:t>kVar</w:t>
      </w:r>
    </w:p>
    <w:p w14:paraId="3C1D23A4">
      <w:pPr>
        <w:spacing w:line="360" w:lineRule="auto"/>
        <w:ind w:firstLine="200"/>
        <w:rPr>
          <w:rFonts w:hint="eastAsia"/>
          <w:sz w:val="24"/>
        </w:rPr>
      </w:pPr>
      <w:r>
        <w:rPr>
          <w:sz w:val="24"/>
        </w:rPr>
        <w:t>功率因素COSΦ＝0.</w:t>
      </w:r>
      <w:r>
        <w:rPr>
          <w:rFonts w:hint="eastAsia"/>
          <w:sz w:val="24"/>
        </w:rPr>
        <w:t>70</w:t>
      </w:r>
    </w:p>
    <w:p w14:paraId="00F7AB48">
      <w:pPr>
        <w:spacing w:line="360" w:lineRule="auto"/>
        <w:ind w:firstLine="200"/>
        <w:rPr>
          <w:sz w:val="24"/>
        </w:rPr>
      </w:pPr>
      <w:r>
        <w:rPr>
          <w:sz w:val="24"/>
        </w:rPr>
        <w:t>视在功率：</w:t>
      </w:r>
      <w:r>
        <w:rPr>
          <w:rFonts w:hint="eastAsia"/>
          <w:sz w:val="24"/>
        </w:rPr>
        <w:t>144.38</w:t>
      </w:r>
      <w:r>
        <w:rPr>
          <w:sz w:val="24"/>
        </w:rPr>
        <w:t>kVA</w:t>
      </w:r>
    </w:p>
    <w:p w14:paraId="22E6AEB8">
      <w:pPr>
        <w:spacing w:line="360" w:lineRule="auto"/>
        <w:ind w:firstLine="200"/>
        <w:rPr>
          <w:sz w:val="24"/>
        </w:rPr>
      </w:pPr>
      <w:r>
        <w:rPr>
          <w:sz w:val="24"/>
        </w:rPr>
        <w:t>两回</w:t>
      </w:r>
      <w:r>
        <w:rPr>
          <w:rFonts w:hint="eastAsia"/>
          <w:sz w:val="24"/>
        </w:rPr>
        <w:t>660</w:t>
      </w:r>
      <w:r>
        <w:rPr>
          <w:sz w:val="24"/>
        </w:rPr>
        <w:t>kV电源线路引自</w:t>
      </w:r>
      <w:r>
        <w:rPr>
          <w:rFonts w:hint="eastAsia"/>
          <w:sz w:val="24"/>
        </w:rPr>
        <w:t>回风斜井</w:t>
      </w:r>
      <w:r>
        <w:rPr>
          <w:sz w:val="24"/>
        </w:rPr>
        <w:t>工业场地10kV变电</w:t>
      </w:r>
      <w:r>
        <w:rPr>
          <w:rFonts w:hint="eastAsia"/>
          <w:sz w:val="24"/>
        </w:rPr>
        <w:t>站</w:t>
      </w:r>
      <w:r>
        <w:rPr>
          <w:sz w:val="24"/>
        </w:rPr>
        <w:t>，电缆型号为M</w:t>
      </w:r>
      <w:r>
        <w:rPr>
          <w:rFonts w:hint="eastAsia"/>
          <w:sz w:val="24"/>
        </w:rPr>
        <w:t>V</w:t>
      </w:r>
      <w:r>
        <w:rPr>
          <w:sz w:val="24"/>
        </w:rPr>
        <w:t>V</w:t>
      </w:r>
      <w:r>
        <w:rPr>
          <w:sz w:val="24"/>
          <w:vertAlign w:val="subscript"/>
        </w:rPr>
        <w:t>22</w:t>
      </w:r>
      <w:r>
        <w:rPr>
          <w:sz w:val="24"/>
        </w:rPr>
        <w:t>-</w:t>
      </w:r>
      <w:r>
        <w:rPr>
          <w:rFonts w:hint="eastAsia"/>
          <w:sz w:val="24"/>
        </w:rPr>
        <w:t>0.6</w:t>
      </w:r>
      <w:r>
        <w:rPr>
          <w:sz w:val="24"/>
        </w:rPr>
        <w:t>/</w:t>
      </w:r>
      <w:r>
        <w:rPr>
          <w:rFonts w:hint="eastAsia"/>
          <w:sz w:val="24"/>
        </w:rPr>
        <w:t>1</w:t>
      </w:r>
      <w:r>
        <w:rPr>
          <w:sz w:val="24"/>
        </w:rPr>
        <w:t xml:space="preserve">  3×</w:t>
      </w:r>
      <w:r>
        <w:rPr>
          <w:rFonts w:hint="eastAsia"/>
          <w:sz w:val="24"/>
        </w:rPr>
        <w:t>70+1</w:t>
      </w:r>
      <w:r>
        <w:rPr>
          <w:sz w:val="24"/>
        </w:rPr>
        <w:t>×</w:t>
      </w:r>
      <w:r>
        <w:rPr>
          <w:rFonts w:hint="eastAsia"/>
          <w:sz w:val="24"/>
        </w:rPr>
        <w:t>35</w:t>
      </w:r>
      <w:r>
        <w:rPr>
          <w:sz w:val="24"/>
        </w:rPr>
        <w:t>,单回长</w:t>
      </w:r>
      <w:r>
        <w:rPr>
          <w:rFonts w:hint="eastAsia"/>
          <w:sz w:val="24"/>
        </w:rPr>
        <w:t>约15</w:t>
      </w:r>
      <w:r>
        <w:rPr>
          <w:sz w:val="24"/>
        </w:rPr>
        <w:t>0m。</w:t>
      </w:r>
    </w:p>
    <w:p w14:paraId="64181D76">
      <w:pPr>
        <w:spacing w:line="360" w:lineRule="auto"/>
        <w:ind w:firstLine="200"/>
        <w:rPr>
          <w:sz w:val="24"/>
        </w:rPr>
      </w:pPr>
      <w:r>
        <w:rPr>
          <w:sz w:val="24"/>
        </w:rPr>
        <w:t>（3）在</w:t>
      </w:r>
      <w:r>
        <w:rPr>
          <w:rFonts w:hint="eastAsia"/>
          <w:sz w:val="24"/>
        </w:rPr>
        <w:t>回风斜井地面</w:t>
      </w:r>
      <w:r>
        <w:rPr>
          <w:sz w:val="24"/>
        </w:rPr>
        <w:t>设10kV变电</w:t>
      </w:r>
      <w:r>
        <w:rPr>
          <w:rFonts w:hint="eastAsia"/>
          <w:sz w:val="24"/>
        </w:rPr>
        <w:t>站</w:t>
      </w:r>
      <w:r>
        <w:rPr>
          <w:sz w:val="24"/>
        </w:rPr>
        <w:t>，向</w:t>
      </w:r>
      <w:r>
        <w:rPr>
          <w:rFonts w:hint="eastAsia"/>
          <w:sz w:val="24"/>
        </w:rPr>
        <w:t>回风斜井</w:t>
      </w:r>
      <w:r>
        <w:rPr>
          <w:sz w:val="24"/>
        </w:rPr>
        <w:t>通风机等低压负荷供电，低压计算负荷为：</w:t>
      </w:r>
    </w:p>
    <w:p w14:paraId="06BC11BD">
      <w:pPr>
        <w:spacing w:line="360" w:lineRule="auto"/>
        <w:ind w:firstLine="200"/>
        <w:rPr>
          <w:sz w:val="24"/>
        </w:rPr>
      </w:pPr>
      <w:r>
        <w:rPr>
          <w:sz w:val="24"/>
        </w:rPr>
        <w:t>有功功率：</w:t>
      </w:r>
      <w:r>
        <w:rPr>
          <w:rFonts w:hint="eastAsia"/>
          <w:sz w:val="24"/>
        </w:rPr>
        <w:t>269.5</w:t>
      </w:r>
      <w:r>
        <w:rPr>
          <w:sz w:val="24"/>
        </w:rPr>
        <w:t>kW</w:t>
      </w:r>
    </w:p>
    <w:p w14:paraId="3F8C0B8F">
      <w:pPr>
        <w:spacing w:line="360" w:lineRule="auto"/>
        <w:ind w:firstLine="200"/>
        <w:rPr>
          <w:sz w:val="24"/>
        </w:rPr>
      </w:pPr>
      <w:r>
        <w:rPr>
          <w:sz w:val="24"/>
        </w:rPr>
        <w:t>无功功率：</w:t>
      </w:r>
      <w:r>
        <w:rPr>
          <w:rFonts w:hint="eastAsia"/>
          <w:sz w:val="24"/>
        </w:rPr>
        <w:t>202.1</w:t>
      </w:r>
      <w:r>
        <w:rPr>
          <w:sz w:val="24"/>
        </w:rPr>
        <w:t>kVar</w:t>
      </w:r>
    </w:p>
    <w:p w14:paraId="6EEE7552">
      <w:pPr>
        <w:spacing w:line="360" w:lineRule="auto"/>
        <w:ind w:firstLine="200"/>
        <w:rPr>
          <w:rFonts w:hint="eastAsia"/>
          <w:sz w:val="24"/>
        </w:rPr>
      </w:pPr>
      <w:r>
        <w:rPr>
          <w:sz w:val="24"/>
        </w:rPr>
        <w:t>功率因素COSΦ＝</w:t>
      </w:r>
      <w:r>
        <w:rPr>
          <w:rFonts w:hint="eastAsia"/>
          <w:sz w:val="24"/>
        </w:rPr>
        <w:t>0.8</w:t>
      </w:r>
    </w:p>
    <w:p w14:paraId="34C2DCE3">
      <w:pPr>
        <w:spacing w:line="360" w:lineRule="auto"/>
        <w:ind w:firstLine="200"/>
        <w:rPr>
          <w:sz w:val="24"/>
        </w:rPr>
      </w:pPr>
      <w:r>
        <w:rPr>
          <w:sz w:val="24"/>
        </w:rPr>
        <w:t>视在功率：</w:t>
      </w:r>
      <w:r>
        <w:rPr>
          <w:rFonts w:hint="eastAsia"/>
          <w:sz w:val="24"/>
        </w:rPr>
        <w:t>336.9</w:t>
      </w:r>
      <w:r>
        <w:rPr>
          <w:sz w:val="24"/>
        </w:rPr>
        <w:t>kVA</w:t>
      </w:r>
    </w:p>
    <w:p w14:paraId="62F3138F">
      <w:pPr>
        <w:spacing w:line="360" w:lineRule="auto"/>
        <w:ind w:firstLine="200"/>
        <w:rPr>
          <w:sz w:val="24"/>
        </w:rPr>
      </w:pPr>
      <w:r>
        <w:rPr>
          <w:sz w:val="24"/>
        </w:rPr>
        <w:t>选用两台</w:t>
      </w:r>
      <w:r>
        <w:rPr>
          <w:rFonts w:hint="eastAsia"/>
          <w:sz w:val="24"/>
        </w:rPr>
        <w:t>K</w:t>
      </w:r>
      <w:r>
        <w:rPr>
          <w:sz w:val="24"/>
        </w:rPr>
        <w:t>S</w:t>
      </w:r>
      <w:r>
        <w:rPr>
          <w:rFonts w:hint="eastAsia"/>
          <w:sz w:val="24"/>
          <w:vertAlign w:val="subscript"/>
        </w:rPr>
        <w:t>11</w:t>
      </w:r>
      <w:r>
        <w:rPr>
          <w:sz w:val="24"/>
        </w:rPr>
        <w:t>-</w:t>
      </w:r>
      <w:r>
        <w:rPr>
          <w:rFonts w:hint="eastAsia"/>
          <w:sz w:val="24"/>
        </w:rPr>
        <w:t>400</w:t>
      </w:r>
      <w:r>
        <w:rPr>
          <w:sz w:val="24"/>
        </w:rPr>
        <w:t>/10</w:t>
      </w:r>
      <w:r>
        <w:rPr>
          <w:rFonts w:hint="eastAsia"/>
          <w:sz w:val="24"/>
        </w:rPr>
        <w:t>/</w:t>
      </w:r>
      <w:r>
        <w:rPr>
          <w:sz w:val="24"/>
        </w:rPr>
        <w:t xml:space="preserve">  10/0.</w:t>
      </w:r>
      <w:r>
        <w:rPr>
          <w:rFonts w:hint="eastAsia"/>
          <w:sz w:val="24"/>
        </w:rPr>
        <w:t>69</w:t>
      </w:r>
      <w:r>
        <w:rPr>
          <w:sz w:val="24"/>
        </w:rPr>
        <w:t xml:space="preserve">kV </w:t>
      </w:r>
      <w:r>
        <w:rPr>
          <w:rFonts w:hint="eastAsia"/>
          <w:sz w:val="24"/>
        </w:rPr>
        <w:t>400</w:t>
      </w:r>
      <w:r>
        <w:rPr>
          <w:sz w:val="24"/>
        </w:rPr>
        <w:t>kVA变压器、</w:t>
      </w:r>
      <w:r>
        <w:rPr>
          <w:rFonts w:hint="eastAsia"/>
          <w:sz w:val="24"/>
        </w:rPr>
        <w:t>11</w:t>
      </w:r>
      <w:r>
        <w:rPr>
          <w:sz w:val="24"/>
        </w:rPr>
        <w:t>台G</w:t>
      </w:r>
      <w:r>
        <w:rPr>
          <w:rFonts w:hint="eastAsia"/>
          <w:sz w:val="24"/>
        </w:rPr>
        <w:t>GD1</w:t>
      </w:r>
      <w:r>
        <w:rPr>
          <w:sz w:val="24"/>
        </w:rPr>
        <w:t>型配电柜向低压设备配电，两回10kV电源线路引自</w:t>
      </w:r>
      <w:r>
        <w:rPr>
          <w:rFonts w:hint="eastAsia"/>
          <w:sz w:val="24"/>
        </w:rPr>
        <w:t>主斜井</w:t>
      </w:r>
      <w:r>
        <w:rPr>
          <w:sz w:val="24"/>
        </w:rPr>
        <w:t>工业场地10kV变电所，</w:t>
      </w:r>
      <w:r>
        <w:rPr>
          <w:rFonts w:hint="eastAsia"/>
          <w:sz w:val="24"/>
        </w:rPr>
        <w:t>电缆</w:t>
      </w:r>
      <w:r>
        <w:rPr>
          <w:sz w:val="24"/>
        </w:rPr>
        <w:t>型号为</w:t>
      </w:r>
      <w:r>
        <w:rPr>
          <w:rFonts w:hint="eastAsia"/>
          <w:sz w:val="24"/>
        </w:rPr>
        <w:t>YJV</w:t>
      </w:r>
      <w:r>
        <w:rPr>
          <w:rFonts w:hint="eastAsia"/>
          <w:sz w:val="24"/>
          <w:vertAlign w:val="subscript"/>
        </w:rPr>
        <w:t>22</w:t>
      </w:r>
      <w:r>
        <w:rPr>
          <w:rFonts w:hint="eastAsia"/>
          <w:sz w:val="24"/>
        </w:rPr>
        <w:t>-3×35</w:t>
      </w:r>
      <w:r>
        <w:rPr>
          <w:sz w:val="24"/>
        </w:rPr>
        <w:t>单回长</w:t>
      </w:r>
      <w:r>
        <w:rPr>
          <w:rFonts w:hint="eastAsia"/>
          <w:sz w:val="24"/>
        </w:rPr>
        <w:t>约2</w:t>
      </w:r>
      <w:r>
        <w:rPr>
          <w:sz w:val="24"/>
        </w:rPr>
        <w:t>00m。</w:t>
      </w:r>
    </w:p>
    <w:p w14:paraId="37875145">
      <w:pPr>
        <w:pStyle w:val="23"/>
        <w:rPr>
          <w:rFonts w:ascii="Times New Roman"/>
        </w:rPr>
      </w:pPr>
      <w:r>
        <w:rPr>
          <w:rFonts w:ascii="Times New Roman"/>
        </w:rPr>
        <w:t>2）井下供配电</w:t>
      </w:r>
    </w:p>
    <w:p w14:paraId="0958D16E">
      <w:pPr>
        <w:pStyle w:val="23"/>
        <w:rPr>
          <w:rFonts w:ascii="Times New Roman"/>
        </w:rPr>
      </w:pPr>
      <w:r>
        <w:rPr>
          <w:rFonts w:ascii="Times New Roman"/>
        </w:rPr>
        <w:t>（1）井下</w:t>
      </w:r>
      <w:r>
        <w:rPr>
          <w:rFonts w:hint="eastAsia" w:ascii="Times New Roman"/>
        </w:rPr>
        <w:t>采区</w:t>
      </w:r>
      <w:r>
        <w:rPr>
          <w:rFonts w:ascii="Times New Roman"/>
        </w:rPr>
        <w:t>变电所内设</w:t>
      </w:r>
      <w:r>
        <w:rPr>
          <w:rFonts w:hint="eastAsia" w:ascii="Times New Roman"/>
        </w:rPr>
        <w:t>10</w:t>
      </w:r>
      <w:r>
        <w:rPr>
          <w:rFonts w:ascii="Times New Roman"/>
        </w:rPr>
        <w:t>台PJG43-10型矿用隔爆型高压真空配电柜，</w:t>
      </w:r>
      <w:r>
        <w:rPr>
          <w:rFonts w:hint="eastAsia" w:ascii="Times New Roman"/>
        </w:rPr>
        <w:t>2</w:t>
      </w:r>
      <w:r>
        <w:rPr>
          <w:rFonts w:ascii="Times New Roman"/>
        </w:rPr>
        <w:t>台KBSG-100/10　10/0.69kV  100kVA矿用隔爆型干式变压器为局扇专用变压器，一台KBSG-</w:t>
      </w:r>
      <w:r>
        <w:rPr>
          <w:rFonts w:hint="eastAsia" w:ascii="Times New Roman"/>
        </w:rPr>
        <w:t>400</w:t>
      </w:r>
      <w:r>
        <w:rPr>
          <w:rFonts w:ascii="Times New Roman"/>
        </w:rPr>
        <w:t xml:space="preserve">/10　10/0.69kV  </w:t>
      </w:r>
      <w:r>
        <w:rPr>
          <w:rFonts w:hint="eastAsia" w:ascii="Times New Roman"/>
        </w:rPr>
        <w:t>400</w:t>
      </w:r>
      <w:r>
        <w:rPr>
          <w:rFonts w:ascii="Times New Roman"/>
        </w:rPr>
        <w:t>kVA矿用隔爆型干式变压器为</w:t>
      </w:r>
      <w:r>
        <w:rPr>
          <w:rFonts w:hint="eastAsia" w:ascii="Times New Roman"/>
        </w:rPr>
        <w:t>一采区运输石门胶带机、一采区轨道石门绞车、11015回风</w:t>
      </w:r>
      <w:r>
        <w:rPr>
          <w:rFonts w:ascii="Times New Roman"/>
        </w:rPr>
        <w:t>顺槽设备、掘进头1设备、掘进头2设备等设备配电。</w:t>
      </w:r>
    </w:p>
    <w:p w14:paraId="645074AD">
      <w:pPr>
        <w:pStyle w:val="23"/>
        <w:ind w:firstLine="520"/>
        <w:rPr>
          <w:rFonts w:ascii="Times New Roman"/>
          <w:spacing w:val="10"/>
        </w:rPr>
      </w:pPr>
      <w:r>
        <w:rPr>
          <w:rFonts w:ascii="Times New Roman"/>
          <w:spacing w:val="10"/>
        </w:rPr>
        <w:t>（2）</w:t>
      </w:r>
      <w:r>
        <w:rPr>
          <w:rFonts w:hint="eastAsia" w:ascii="Times New Roman"/>
          <w:spacing w:val="10"/>
        </w:rPr>
        <w:t>采煤工作面</w:t>
      </w:r>
      <w:r>
        <w:rPr>
          <w:rFonts w:ascii="Times New Roman"/>
          <w:spacing w:val="10"/>
        </w:rPr>
        <w:t>设</w:t>
      </w:r>
      <w:r>
        <w:rPr>
          <w:rFonts w:hint="eastAsia" w:ascii="Times New Roman"/>
          <w:spacing w:val="10"/>
        </w:rPr>
        <w:t>1</w:t>
      </w:r>
      <w:r>
        <w:rPr>
          <w:rFonts w:ascii="Times New Roman"/>
          <w:spacing w:val="10"/>
        </w:rPr>
        <w:t>台</w:t>
      </w:r>
      <w:r>
        <w:rPr>
          <w:rFonts w:ascii="Times New Roman"/>
        </w:rPr>
        <w:t>KBSG</w:t>
      </w:r>
      <w:r>
        <w:rPr>
          <w:rFonts w:hint="eastAsia" w:ascii="Times New Roman"/>
        </w:rPr>
        <w:t>ZY</w:t>
      </w:r>
      <w:r>
        <w:rPr>
          <w:rFonts w:ascii="Times New Roman"/>
        </w:rPr>
        <w:t>-</w:t>
      </w:r>
      <w:r>
        <w:rPr>
          <w:rFonts w:hint="eastAsia" w:ascii="Times New Roman"/>
        </w:rPr>
        <w:t>400</w:t>
      </w:r>
      <w:r>
        <w:rPr>
          <w:rFonts w:ascii="Times New Roman"/>
        </w:rPr>
        <w:t>/10　10/</w:t>
      </w:r>
      <w:r>
        <w:rPr>
          <w:rFonts w:hint="eastAsia" w:ascii="Times New Roman"/>
        </w:rPr>
        <w:t>1.2</w:t>
      </w:r>
      <w:r>
        <w:rPr>
          <w:rFonts w:ascii="Times New Roman"/>
        </w:rPr>
        <w:t xml:space="preserve">kV  </w:t>
      </w:r>
      <w:r>
        <w:rPr>
          <w:rFonts w:hint="eastAsia" w:ascii="Times New Roman"/>
        </w:rPr>
        <w:t>400</w:t>
      </w:r>
      <w:r>
        <w:rPr>
          <w:rFonts w:ascii="Times New Roman"/>
        </w:rPr>
        <w:t>kVA矿用隔爆型</w:t>
      </w:r>
      <w:r>
        <w:rPr>
          <w:rFonts w:hint="eastAsia" w:ascii="Times New Roman"/>
        </w:rPr>
        <w:t>移动</w:t>
      </w:r>
      <w:r>
        <w:rPr>
          <w:rFonts w:ascii="Times New Roman"/>
        </w:rPr>
        <w:t>变压器</w:t>
      </w:r>
      <w:r>
        <w:rPr>
          <w:rFonts w:hint="eastAsia" w:ascii="Times New Roman"/>
        </w:rPr>
        <w:t>为采煤机供电</w:t>
      </w:r>
      <w:r>
        <w:rPr>
          <w:rFonts w:ascii="Times New Roman"/>
          <w:spacing w:val="10"/>
        </w:rPr>
        <w:t>，</w:t>
      </w:r>
      <w:r>
        <w:rPr>
          <w:rFonts w:hint="eastAsia" w:ascii="Times New Roman"/>
          <w:spacing w:val="10"/>
        </w:rPr>
        <w:t>1</w:t>
      </w:r>
      <w:r>
        <w:rPr>
          <w:rFonts w:ascii="Times New Roman"/>
          <w:spacing w:val="10"/>
        </w:rPr>
        <w:t>台</w:t>
      </w:r>
      <w:r>
        <w:rPr>
          <w:rFonts w:ascii="Times New Roman"/>
        </w:rPr>
        <w:t>KBSG</w:t>
      </w:r>
      <w:r>
        <w:rPr>
          <w:rFonts w:hint="eastAsia" w:ascii="Times New Roman"/>
        </w:rPr>
        <w:t>ZY</w:t>
      </w:r>
      <w:r>
        <w:rPr>
          <w:rFonts w:ascii="Times New Roman"/>
        </w:rPr>
        <w:t>-</w:t>
      </w:r>
      <w:r>
        <w:rPr>
          <w:rFonts w:hint="eastAsia" w:ascii="Times New Roman"/>
        </w:rPr>
        <w:t>400</w:t>
      </w:r>
      <w:r>
        <w:rPr>
          <w:rFonts w:ascii="Times New Roman"/>
        </w:rPr>
        <w:t>/10　10/</w:t>
      </w:r>
      <w:r>
        <w:rPr>
          <w:rFonts w:hint="eastAsia" w:ascii="Times New Roman"/>
        </w:rPr>
        <w:t>0.66</w:t>
      </w:r>
      <w:r>
        <w:rPr>
          <w:rFonts w:ascii="Times New Roman"/>
        </w:rPr>
        <w:t xml:space="preserve">kV  </w:t>
      </w:r>
      <w:r>
        <w:rPr>
          <w:rFonts w:hint="eastAsia" w:ascii="Times New Roman"/>
        </w:rPr>
        <w:t>400</w:t>
      </w:r>
      <w:r>
        <w:rPr>
          <w:rFonts w:ascii="Times New Roman"/>
        </w:rPr>
        <w:t>kVA矿用隔爆型</w:t>
      </w:r>
      <w:r>
        <w:rPr>
          <w:rFonts w:hint="eastAsia" w:ascii="Times New Roman"/>
        </w:rPr>
        <w:t>移动</w:t>
      </w:r>
      <w:r>
        <w:rPr>
          <w:rFonts w:ascii="Times New Roman"/>
        </w:rPr>
        <w:t>变压器</w:t>
      </w:r>
      <w:r>
        <w:rPr>
          <w:rFonts w:hint="eastAsia" w:ascii="Times New Roman"/>
        </w:rPr>
        <w:t>为采面运输顺槽设备供电</w:t>
      </w:r>
      <w:r>
        <w:rPr>
          <w:rFonts w:ascii="Times New Roman"/>
          <w:spacing w:val="10"/>
        </w:rPr>
        <w:t>。</w:t>
      </w:r>
    </w:p>
    <w:p w14:paraId="18100FEF">
      <w:pPr>
        <w:pStyle w:val="23"/>
        <w:ind w:firstLine="520"/>
        <w:rPr>
          <w:rFonts w:ascii="Times New Roman"/>
          <w:spacing w:val="10"/>
        </w:rPr>
      </w:pPr>
      <w:r>
        <w:rPr>
          <w:rFonts w:ascii="Times New Roman"/>
          <w:spacing w:val="10"/>
        </w:rPr>
        <w:t>为地面供电的电力变压器中性点接地，为井下供电的矿用隔爆型干式变压器中性点不接地。</w:t>
      </w:r>
    </w:p>
    <w:p w14:paraId="25C71BBE">
      <w:pPr>
        <w:spacing w:before="240" w:beforeLines="100" w:line="360" w:lineRule="auto"/>
        <w:ind w:firstLine="482" w:firstLineChars="200"/>
        <w:rPr>
          <w:rFonts w:hint="eastAsia" w:ascii="宋体" w:hAnsi="宋体"/>
          <w:b/>
          <w:sz w:val="24"/>
        </w:rPr>
      </w:pPr>
      <w:r>
        <w:rPr>
          <w:rFonts w:hint="eastAsia" w:ascii="宋体" w:hAnsi="宋体"/>
          <w:b/>
          <w:sz w:val="24"/>
        </w:rPr>
        <w:t>七、供电系统继电保护</w:t>
      </w:r>
    </w:p>
    <w:p w14:paraId="7CF0E9CB">
      <w:pPr>
        <w:spacing w:line="460" w:lineRule="exact"/>
        <w:ind w:firstLine="600" w:firstLineChars="250"/>
        <w:rPr>
          <w:rFonts w:hint="eastAsia" w:ascii="宋体" w:hAnsi="宋体" w:cs="宋体"/>
          <w:sz w:val="24"/>
        </w:rPr>
      </w:pPr>
      <w:r>
        <w:rPr>
          <w:rFonts w:hint="eastAsia" w:ascii="宋体" w:hAnsi="宋体" w:cs="宋体"/>
          <w:sz w:val="24"/>
        </w:rPr>
        <w:t>(1)局部通风机的供电，应采用专用变压器、</w:t>
      </w:r>
      <w:r>
        <w:rPr>
          <w:rFonts w:ascii="宋体" w:hAnsi="宋体" w:cs="宋体"/>
          <w:sz w:val="24"/>
        </w:rPr>
        <w:t>专用开关及专用电缆，并与掘进工作面之设备作风电、瓦斯闭锁</w:t>
      </w:r>
      <w:r>
        <w:rPr>
          <w:rFonts w:hint="eastAsia" w:ascii="宋体" w:hAnsi="宋体" w:cs="宋体"/>
          <w:sz w:val="24"/>
        </w:rPr>
        <w:t>（三专两闭锁），并且</w:t>
      </w:r>
      <w:r>
        <w:rPr>
          <w:rFonts w:hint="eastAsia" w:ascii="宋体" w:hAnsi="宋体"/>
          <w:bCs/>
          <w:sz w:val="24"/>
        </w:rPr>
        <w:t>实行双风机、双电源并自动切换。</w:t>
      </w:r>
    </w:p>
    <w:p w14:paraId="70078F15">
      <w:pPr>
        <w:tabs>
          <w:tab w:val="left" w:pos="5525"/>
        </w:tabs>
        <w:spacing w:line="360" w:lineRule="auto"/>
        <w:ind w:firstLine="480" w:firstLineChars="200"/>
        <w:rPr>
          <w:rFonts w:hint="eastAsia" w:ascii="宋体" w:hAnsi="宋体" w:cs="宋体"/>
          <w:sz w:val="24"/>
        </w:rPr>
      </w:pPr>
      <w:r>
        <w:rPr>
          <w:rFonts w:hint="eastAsia" w:ascii="宋体" w:hAnsi="宋体" w:cs="宋体"/>
          <w:sz w:val="24"/>
        </w:rPr>
        <w:t xml:space="preserve"> (2)井下电力网的短路电流不得超过其控制用的断路器在井下使用的开断能力，并应校验电缆的热稳定性。</w:t>
      </w:r>
    </w:p>
    <w:p w14:paraId="2A969DF1">
      <w:pPr>
        <w:tabs>
          <w:tab w:val="left" w:pos="5525"/>
        </w:tabs>
        <w:spacing w:line="360" w:lineRule="auto"/>
        <w:ind w:firstLine="480" w:firstLineChars="200"/>
        <w:rPr>
          <w:rFonts w:hint="eastAsia" w:ascii="宋体" w:hAnsi="宋体" w:cs="宋体"/>
          <w:sz w:val="24"/>
        </w:rPr>
      </w:pPr>
      <w:r>
        <w:rPr>
          <w:rFonts w:hint="eastAsia" w:ascii="宋体" w:hAnsi="宋体" w:cs="宋体"/>
          <w:sz w:val="24"/>
        </w:rPr>
        <w:t>(3硐室外严禁使用油浸式低压电气设备。40KW及以上的电动机，应采用真空电磁起动器控制。</w:t>
      </w:r>
    </w:p>
    <w:p w14:paraId="7D9A67F2">
      <w:pPr>
        <w:tabs>
          <w:tab w:val="left" w:pos="5525"/>
        </w:tabs>
        <w:spacing w:line="360" w:lineRule="auto"/>
        <w:ind w:firstLine="480" w:firstLineChars="200"/>
        <w:rPr>
          <w:rFonts w:hint="eastAsia" w:ascii="宋体" w:hAnsi="宋体" w:cs="宋体"/>
          <w:sz w:val="24"/>
        </w:rPr>
      </w:pPr>
      <w:r>
        <w:rPr>
          <w:rFonts w:hint="eastAsia" w:ascii="宋体" w:hAnsi="宋体" w:cs="宋体"/>
          <w:sz w:val="24"/>
        </w:rPr>
        <w:t>(4)井下低压电动机的控制设备，应具备短路、过负荷、单相断线、漏电闭锁保护装置及远程控制装置。</w:t>
      </w:r>
    </w:p>
    <w:p w14:paraId="3085D3C8">
      <w:pPr>
        <w:tabs>
          <w:tab w:val="left" w:pos="5525"/>
        </w:tabs>
        <w:spacing w:line="360" w:lineRule="auto"/>
        <w:ind w:firstLine="480" w:firstLineChars="200"/>
        <w:rPr>
          <w:rFonts w:hint="eastAsia" w:ascii="宋体" w:hAnsi="宋体" w:cs="宋体"/>
          <w:sz w:val="24"/>
        </w:rPr>
      </w:pPr>
      <w:r>
        <w:rPr>
          <w:rFonts w:hint="eastAsia" w:ascii="宋体" w:hAnsi="宋体" w:cs="宋体"/>
          <w:sz w:val="24"/>
        </w:rPr>
        <w:t>(5)井下配电网路（变压器馈出线路、电动机等）均应装设过流、短路保护装置；必须用该电网路的最大三相短路电流校验开关设备的分断能力和动、热稳定性以及电缆的热稳定性。必须正确选择熔断器的熔体。</w:t>
      </w:r>
    </w:p>
    <w:p w14:paraId="64B82DFF">
      <w:pPr>
        <w:tabs>
          <w:tab w:val="left" w:pos="5525"/>
        </w:tabs>
        <w:spacing w:line="360" w:lineRule="auto"/>
        <w:ind w:firstLine="480" w:firstLineChars="200"/>
        <w:rPr>
          <w:rFonts w:hint="eastAsia" w:ascii="宋体" w:hAnsi="宋体" w:cs="宋体"/>
          <w:sz w:val="24"/>
        </w:rPr>
      </w:pPr>
      <w:r>
        <w:rPr>
          <w:rFonts w:hint="eastAsia" w:ascii="宋体" w:hAnsi="宋体" w:cs="宋体"/>
          <w:sz w:val="24"/>
        </w:rPr>
        <w:t>必须用最小两相短路电流校验保护装置的可靠动作系数。保护装置必须保证配电网路中最大容量的电气设备或同时工作成组的电气设备能够起动。</w:t>
      </w:r>
    </w:p>
    <w:p w14:paraId="4AC5F6E1">
      <w:pPr>
        <w:tabs>
          <w:tab w:val="left" w:pos="5525"/>
        </w:tabs>
        <w:spacing w:line="360" w:lineRule="auto"/>
        <w:ind w:firstLine="480" w:firstLineChars="200"/>
        <w:rPr>
          <w:rFonts w:hint="eastAsia" w:ascii="宋体" w:hAnsi="宋体" w:cs="宋体"/>
          <w:sz w:val="24"/>
        </w:rPr>
      </w:pPr>
      <w:r>
        <w:rPr>
          <w:rFonts w:hint="eastAsia" w:ascii="宋体" w:hAnsi="宋体" w:cs="宋体"/>
          <w:sz w:val="24"/>
        </w:rPr>
        <w:t>(6)矿井高压电网，必须采取措施限制单相接地电容电流不超过20A。</w:t>
      </w:r>
    </w:p>
    <w:p w14:paraId="436E8545">
      <w:pPr>
        <w:tabs>
          <w:tab w:val="left" w:pos="5525"/>
        </w:tabs>
        <w:spacing w:line="360" w:lineRule="auto"/>
        <w:ind w:firstLine="480" w:firstLineChars="200"/>
        <w:rPr>
          <w:rFonts w:hint="eastAsia" w:ascii="宋体" w:hAnsi="宋体" w:cs="宋体"/>
          <w:sz w:val="24"/>
        </w:rPr>
      </w:pPr>
      <w:r>
        <w:rPr>
          <w:rFonts w:hint="eastAsia" w:ascii="宋体" w:hAnsi="宋体" w:cs="宋体"/>
          <w:sz w:val="24"/>
        </w:rPr>
        <w:t>(7)地面变电所的高压馈电线上，必须装设有选择性的单相接地保护装置。</w:t>
      </w:r>
    </w:p>
    <w:p w14:paraId="795EE2E8">
      <w:pPr>
        <w:tabs>
          <w:tab w:val="left" w:pos="5525"/>
        </w:tabs>
        <w:spacing w:line="360" w:lineRule="auto"/>
        <w:ind w:firstLine="480" w:firstLineChars="200"/>
        <w:rPr>
          <w:rFonts w:hint="eastAsia" w:ascii="宋体" w:hAnsi="宋体" w:cs="宋体"/>
          <w:sz w:val="24"/>
        </w:rPr>
      </w:pPr>
      <w:r>
        <w:rPr>
          <w:rFonts w:hint="eastAsia" w:ascii="宋体" w:hAnsi="宋体" w:cs="宋体"/>
          <w:sz w:val="24"/>
        </w:rPr>
        <w:t>井下低压馈电线上，必须装设检漏保护装置或有选择性的漏电保护装置，保证自动切断漏电的馈电线路。</w:t>
      </w:r>
    </w:p>
    <w:p w14:paraId="1B4EA4D7">
      <w:pPr>
        <w:tabs>
          <w:tab w:val="left" w:pos="5525"/>
        </w:tabs>
        <w:spacing w:line="360" w:lineRule="auto"/>
        <w:ind w:firstLine="480" w:firstLineChars="200"/>
        <w:rPr>
          <w:rFonts w:hint="eastAsia" w:ascii="宋体" w:hAnsi="宋体" w:cs="宋体"/>
          <w:sz w:val="24"/>
        </w:rPr>
      </w:pPr>
      <w:r>
        <w:rPr>
          <w:rFonts w:hint="eastAsia" w:ascii="宋体" w:hAnsi="宋体" w:cs="宋体"/>
          <w:sz w:val="24"/>
        </w:rPr>
        <w:t>每天必须对低压检漏装置的运行情况进行1次跳闸试验。</w:t>
      </w:r>
    </w:p>
    <w:p w14:paraId="593C6141">
      <w:pPr>
        <w:tabs>
          <w:tab w:val="left" w:pos="5525"/>
        </w:tabs>
        <w:spacing w:line="360" w:lineRule="auto"/>
        <w:ind w:firstLine="480" w:firstLineChars="200"/>
        <w:rPr>
          <w:rFonts w:hint="eastAsia" w:ascii="宋体" w:hAnsi="宋体" w:cs="宋体"/>
          <w:sz w:val="24"/>
        </w:rPr>
      </w:pPr>
      <w:r>
        <w:rPr>
          <w:rFonts w:hint="eastAsia" w:ascii="宋体" w:hAnsi="宋体" w:cs="宋体"/>
          <w:sz w:val="24"/>
        </w:rPr>
        <w:t>煤电钻必须使用有检漏、漏电闭锁、短路、过负荷、断相、远距离起动和停止煤电钻功能的综合保护装置。每班使用前，必须对煤电钻综合保护装置进行1次跳闸试验。</w:t>
      </w:r>
    </w:p>
    <w:p w14:paraId="52A0E2C1">
      <w:pPr>
        <w:spacing w:line="360" w:lineRule="auto"/>
        <w:ind w:firstLine="480" w:firstLineChars="200"/>
        <w:rPr>
          <w:rFonts w:hint="eastAsia" w:ascii="宋体" w:hAnsi="宋体"/>
          <w:sz w:val="24"/>
        </w:rPr>
      </w:pPr>
      <w:r>
        <w:rPr>
          <w:rFonts w:hint="eastAsia" w:ascii="宋体" w:hAnsi="宋体"/>
          <w:sz w:val="24"/>
        </w:rPr>
        <w:t>1）电压在36V以上和由于绝缘损坏可能带有危险电压的电气设备的金属外壳、构架，铠装电缆的钢带（或钢丝）、铅皮或屏蔽护套等均设有保护接地；接地网上任一保护接地点的接地电阻值不得超过2</w:t>
      </w:r>
      <w:r>
        <w:rPr>
          <w:rFonts w:ascii="宋体" w:hAnsi="宋体"/>
          <w:sz w:val="24"/>
        </w:rPr>
        <w:t>Ω</w:t>
      </w:r>
      <w:r>
        <w:rPr>
          <w:rFonts w:hint="eastAsia" w:ascii="宋体" w:hAnsi="宋体"/>
          <w:sz w:val="24"/>
        </w:rPr>
        <w:t>，并且每一移动式和手持式电气设备至局部接地极之间的保护接地用的电缆芯线和接地连接导线的电阻值，不得超过1</w:t>
      </w:r>
      <w:r>
        <w:rPr>
          <w:rFonts w:ascii="宋体" w:hAnsi="宋体"/>
          <w:sz w:val="24"/>
        </w:rPr>
        <w:t>Ω</w:t>
      </w:r>
      <w:r>
        <w:rPr>
          <w:rFonts w:hint="eastAsia" w:ascii="宋体" w:hAnsi="宋体"/>
          <w:sz w:val="24"/>
        </w:rPr>
        <w:t>。</w:t>
      </w:r>
    </w:p>
    <w:p w14:paraId="3DBA5C1D">
      <w:pPr>
        <w:spacing w:line="360" w:lineRule="auto"/>
        <w:ind w:firstLine="480" w:firstLineChars="200"/>
        <w:rPr>
          <w:rFonts w:hint="eastAsia" w:ascii="宋体" w:hAnsi="宋体"/>
          <w:sz w:val="24"/>
        </w:rPr>
      </w:pPr>
      <w:r>
        <w:rPr>
          <w:rFonts w:hint="eastAsia" w:ascii="宋体" w:hAnsi="宋体"/>
          <w:sz w:val="24"/>
        </w:rPr>
        <w:t>2）主接地极在主、副水仓中各埋设1块，用耐腐蚀的钢板制成。</w:t>
      </w:r>
    </w:p>
    <w:p w14:paraId="1E300C7F">
      <w:pPr>
        <w:spacing w:line="360" w:lineRule="auto"/>
        <w:ind w:firstLine="480" w:firstLineChars="200"/>
        <w:rPr>
          <w:rFonts w:hint="eastAsia" w:ascii="宋体" w:hAnsi="宋体"/>
          <w:sz w:val="24"/>
        </w:rPr>
      </w:pPr>
      <w:r>
        <w:rPr>
          <w:rFonts w:hint="eastAsia" w:ascii="宋体" w:hAnsi="宋体"/>
          <w:sz w:val="24"/>
        </w:rPr>
        <w:t>3）所有电气设备的保护接地装置（包括电缆的铠装、铅皮、接地芯线）和局部接地装置，与主接地极连接成1个总接地网，主接地极在主副水仓中各埋设1块，用耐腐蚀的钢板制成，其面积不得小于0.75m</w:t>
      </w:r>
      <w:r>
        <w:rPr>
          <w:rFonts w:hint="eastAsia" w:ascii="宋体" w:hAnsi="宋体"/>
          <w:sz w:val="24"/>
          <w:vertAlign w:val="superscript"/>
        </w:rPr>
        <w:t>2.</w:t>
      </w:r>
      <w:r>
        <w:rPr>
          <w:rFonts w:hint="eastAsia" w:ascii="宋体" w:hAnsi="宋体"/>
          <w:sz w:val="24"/>
        </w:rPr>
        <w:t>厚度不得小于5mm。</w:t>
      </w:r>
    </w:p>
    <w:p w14:paraId="26A8A1C5">
      <w:pPr>
        <w:spacing w:line="360" w:lineRule="auto"/>
        <w:ind w:firstLine="480" w:firstLineChars="200"/>
        <w:rPr>
          <w:rFonts w:hint="eastAsia" w:ascii="宋体" w:hAnsi="宋体"/>
          <w:sz w:val="24"/>
        </w:rPr>
      </w:pPr>
      <w:r>
        <w:rPr>
          <w:rFonts w:hint="eastAsia" w:ascii="宋体" w:hAnsi="宋体"/>
          <w:sz w:val="24"/>
        </w:rPr>
        <w:t>4）在下列地点装设局部接地极：采区变电所（包括移动变电站和移动变压器）；装有电气设备的硐室和单独装设的高压电气设备；低压配电点或装有3台以上电气设备的地点。</w:t>
      </w:r>
    </w:p>
    <w:p w14:paraId="328DC8F3">
      <w:pPr>
        <w:spacing w:line="360" w:lineRule="auto"/>
        <w:ind w:firstLine="480" w:firstLineChars="200"/>
        <w:rPr>
          <w:rFonts w:hint="eastAsia" w:ascii="宋体" w:hAnsi="宋体"/>
          <w:sz w:val="24"/>
        </w:rPr>
      </w:pPr>
      <w:r>
        <w:rPr>
          <w:rFonts w:hint="eastAsia" w:ascii="宋体" w:hAnsi="宋体"/>
          <w:sz w:val="24"/>
        </w:rPr>
        <w:t>5）局部接地极设置于巷道水沟内或其他就近的潮湿处。设置在水沟中的局部接地极应用面积不小于0.6m</w:t>
      </w:r>
      <w:r>
        <w:rPr>
          <w:rFonts w:hint="eastAsia" w:ascii="宋体" w:hAnsi="宋体"/>
          <w:sz w:val="24"/>
          <w:vertAlign w:val="superscript"/>
        </w:rPr>
        <w:t>2.</w:t>
      </w:r>
      <w:r>
        <w:rPr>
          <w:rFonts w:hint="eastAsia" w:ascii="宋体" w:hAnsi="宋体"/>
          <w:sz w:val="24"/>
        </w:rPr>
        <w:t xml:space="preserve">厚度不小于3mm的钢板或具有同等有效面积的钢管制成，并平放于水沟深处。设置在其他地点的局部接地极，可用直径不小于35mm、长度不小于1.5m的钢管制成，管上应至少钻20个直径不小于5mm的透孔，并垂直全部埋入底板。 </w:t>
      </w:r>
    </w:p>
    <w:p w14:paraId="7C191D66">
      <w:pPr>
        <w:spacing w:line="360" w:lineRule="auto"/>
        <w:ind w:firstLine="480" w:firstLineChars="200"/>
        <w:rPr>
          <w:rFonts w:hint="eastAsia" w:ascii="宋体" w:hAnsi="宋体"/>
          <w:sz w:val="24"/>
        </w:rPr>
      </w:pPr>
      <w:r>
        <w:rPr>
          <w:rFonts w:hint="eastAsia" w:ascii="宋体" w:hAnsi="宋体"/>
          <w:sz w:val="24"/>
        </w:rPr>
        <w:t>6）连接主接地极的接地母线，采用</w:t>
      </w:r>
      <w:r>
        <w:rPr>
          <w:rFonts w:hint="eastAsia" w:ascii="宋体" w:hAnsi="宋体" w:cs="宋体"/>
          <w:sz w:val="24"/>
        </w:rPr>
        <w:t>截面不小于100mm</w:t>
      </w:r>
      <w:r>
        <w:rPr>
          <w:rFonts w:hint="eastAsia" w:ascii="宋体" w:hAnsi="宋体" w:cs="宋体"/>
          <w:sz w:val="24"/>
          <w:vertAlign w:val="superscript"/>
        </w:rPr>
        <w:t>2</w:t>
      </w:r>
      <w:r>
        <w:rPr>
          <w:rFonts w:hint="eastAsia" w:ascii="宋体" w:hAnsi="宋体" w:cs="宋体"/>
          <w:sz w:val="24"/>
        </w:rPr>
        <w:t>的镀锌铁线，或厚度不小于4mm、截面不小于100mm</w:t>
      </w:r>
      <w:r>
        <w:rPr>
          <w:rFonts w:hint="eastAsia" w:ascii="宋体" w:hAnsi="宋体" w:cs="宋体"/>
          <w:sz w:val="24"/>
          <w:vertAlign w:val="superscript"/>
        </w:rPr>
        <w:t>2</w:t>
      </w:r>
      <w:r>
        <w:rPr>
          <w:rFonts w:hint="eastAsia" w:ascii="宋体" w:hAnsi="宋体" w:cs="宋体"/>
          <w:sz w:val="24"/>
        </w:rPr>
        <w:t>的扁钢。</w:t>
      </w:r>
      <w:r>
        <w:rPr>
          <w:rFonts w:hint="eastAsia" w:ascii="宋体" w:hAnsi="宋体"/>
          <w:sz w:val="24"/>
        </w:rPr>
        <w:t>电气设备的外壳与接地母线或局部接地极的连接，电缆连接装置两头的铠装、铅皮的连接，采用</w:t>
      </w:r>
      <w:r>
        <w:rPr>
          <w:rFonts w:hint="eastAsia" w:ascii="宋体" w:hAnsi="宋体" w:cs="宋体"/>
          <w:sz w:val="24"/>
        </w:rPr>
        <w:t>截面不小于50mm</w:t>
      </w:r>
      <w:r>
        <w:rPr>
          <w:rFonts w:hint="eastAsia" w:ascii="宋体" w:hAnsi="宋体" w:cs="宋体"/>
          <w:sz w:val="24"/>
          <w:vertAlign w:val="superscript"/>
        </w:rPr>
        <w:t>2</w:t>
      </w:r>
      <w:r>
        <w:rPr>
          <w:rFonts w:hint="eastAsia" w:ascii="宋体" w:hAnsi="宋体" w:cs="宋体"/>
          <w:sz w:val="24"/>
        </w:rPr>
        <w:t>的镀锌铁线，或厚度不小于4mm、截面不小于50mm</w:t>
      </w:r>
      <w:r>
        <w:rPr>
          <w:rFonts w:hint="eastAsia" w:ascii="宋体" w:hAnsi="宋体" w:cs="宋体"/>
          <w:sz w:val="24"/>
          <w:vertAlign w:val="superscript"/>
        </w:rPr>
        <w:t>2</w:t>
      </w:r>
      <w:r>
        <w:rPr>
          <w:rFonts w:hint="eastAsia" w:ascii="宋体" w:hAnsi="宋体" w:cs="宋体"/>
          <w:sz w:val="24"/>
        </w:rPr>
        <w:t>的扁钢。</w:t>
      </w:r>
    </w:p>
    <w:p w14:paraId="277D5F99">
      <w:pPr>
        <w:spacing w:line="360" w:lineRule="auto"/>
        <w:ind w:firstLine="480" w:firstLineChars="200"/>
        <w:rPr>
          <w:rFonts w:hint="eastAsia" w:ascii="宋体" w:hAnsi="宋体"/>
          <w:sz w:val="24"/>
        </w:rPr>
      </w:pPr>
      <w:r>
        <w:rPr>
          <w:rFonts w:hint="eastAsia" w:ascii="宋体" w:hAnsi="宋体"/>
          <w:sz w:val="24"/>
        </w:rPr>
        <w:t>7）40KW以上的电动机采用真空电磁起动器控制；井下的馈电线上，装设短路、过负荷和漏电保护装置；低压电动机的控制设备要具备短路、过负荷、单相断线、漏电保护装置和远程控制装置；要正确选择熔断器的熔体；每天对低压检漏装置进行一次跳闸试验。</w:t>
      </w:r>
    </w:p>
    <w:p w14:paraId="35DB4ED6">
      <w:pPr>
        <w:spacing w:line="360" w:lineRule="auto"/>
        <w:ind w:firstLine="480" w:firstLineChars="200"/>
        <w:rPr>
          <w:rFonts w:hint="eastAsia" w:ascii="宋体" w:hAnsi="宋体"/>
          <w:sz w:val="24"/>
        </w:rPr>
      </w:pPr>
      <w:r>
        <w:rPr>
          <w:rFonts w:hint="eastAsia" w:ascii="宋体" w:hAnsi="宋体"/>
          <w:sz w:val="24"/>
        </w:rPr>
        <w:t>8</w:t>
      </w:r>
      <w:r>
        <w:rPr>
          <w:rFonts w:ascii="宋体" w:hAnsi="宋体"/>
          <w:sz w:val="24"/>
        </w:rPr>
        <w:t>）</w:t>
      </w:r>
      <w:r>
        <w:rPr>
          <w:rFonts w:hint="eastAsia" w:ascii="宋体" w:hAnsi="宋体"/>
          <w:sz w:val="24"/>
        </w:rPr>
        <w:t>127V煤电钻和信号应设有检漏、短路、过负荷、远距离启动和停止煤电钻的综合保护装置。660V的电气网络中，必须有过电流和漏电保护。煤电钻综合保护装置在每班故障或网络绝缘降低，应立即停电处量。检漏装置应灵敏可靠，严禁甩掉不用。</w:t>
      </w:r>
    </w:p>
    <w:p w14:paraId="777E0F60">
      <w:pPr>
        <w:spacing w:before="240" w:beforeLines="100" w:line="360" w:lineRule="auto"/>
        <w:ind w:firstLine="482" w:firstLineChars="200"/>
        <w:rPr>
          <w:rFonts w:ascii="宋体" w:hAnsi="宋体"/>
          <w:b/>
          <w:sz w:val="24"/>
        </w:rPr>
      </w:pPr>
      <w:bookmarkStart w:id="688" w:name="_Toc256629372"/>
      <w:r>
        <w:rPr>
          <w:rFonts w:hint="eastAsia" w:ascii="宋体" w:hAnsi="宋体"/>
          <w:b/>
          <w:sz w:val="24"/>
        </w:rPr>
        <w:t>八、</w:t>
      </w:r>
      <w:r>
        <w:rPr>
          <w:rFonts w:ascii="宋体" w:hAnsi="宋体"/>
          <w:b/>
          <w:sz w:val="24"/>
        </w:rPr>
        <w:t>地面建（构）筑物防雷及防雷电波侵入井下</w:t>
      </w:r>
      <w:bookmarkEnd w:id="688"/>
    </w:p>
    <w:p w14:paraId="15C18995">
      <w:pPr>
        <w:spacing w:line="360" w:lineRule="auto"/>
        <w:ind w:firstLine="480" w:firstLineChars="200"/>
        <w:rPr>
          <w:rFonts w:eastAsia="黑体"/>
          <w:sz w:val="24"/>
        </w:rPr>
      </w:pPr>
      <w:r>
        <w:rPr>
          <w:rFonts w:hint="eastAsia" w:eastAsia="黑体"/>
          <w:sz w:val="24"/>
        </w:rPr>
        <w:t>1）</w:t>
      </w:r>
      <w:r>
        <w:rPr>
          <w:sz w:val="24"/>
        </w:rPr>
        <w:t>建（构）筑物的防雷分级</w:t>
      </w:r>
    </w:p>
    <w:p w14:paraId="7AECF519">
      <w:pPr>
        <w:spacing w:line="360" w:lineRule="auto"/>
        <w:ind w:firstLine="480" w:firstLineChars="200"/>
        <w:rPr>
          <w:rFonts w:hint="eastAsia"/>
          <w:sz w:val="24"/>
        </w:rPr>
      </w:pPr>
      <w:r>
        <w:rPr>
          <w:rFonts w:hint="eastAsia"/>
          <w:sz w:val="24"/>
        </w:rPr>
        <w:t>瓦斯抽放站、爆破材料库划为一类防雷建筑物，主平硐地面生产系统、锅炉房、办公楼、机修车间、单身宿舍、通风机房、10kV变电所等其他地面建筑物划为三类防雷建筑物。</w:t>
      </w:r>
    </w:p>
    <w:p w14:paraId="75AA5EEE">
      <w:pPr>
        <w:spacing w:line="360" w:lineRule="auto"/>
        <w:ind w:firstLine="480" w:firstLineChars="200"/>
        <w:rPr>
          <w:rFonts w:eastAsia="黑体"/>
          <w:b/>
          <w:sz w:val="24"/>
        </w:rPr>
      </w:pPr>
      <w:r>
        <w:rPr>
          <w:rFonts w:hint="eastAsia" w:eastAsia="黑体"/>
          <w:sz w:val="24"/>
        </w:rPr>
        <w:t>2）</w:t>
      </w:r>
      <w:r>
        <w:rPr>
          <w:sz w:val="24"/>
        </w:rPr>
        <w:t>各级建（构）筑物的主要防雷措施</w:t>
      </w:r>
    </w:p>
    <w:p w14:paraId="4E4C1782">
      <w:pPr>
        <w:spacing w:line="360" w:lineRule="auto"/>
        <w:ind w:firstLine="480" w:firstLineChars="200"/>
        <w:rPr>
          <w:rFonts w:hint="eastAsia" w:ascii="楷体_GB2312" w:eastAsia="楷体_GB2312"/>
          <w:b/>
          <w:sz w:val="24"/>
          <w:szCs w:val="20"/>
        </w:rPr>
      </w:pPr>
      <w:r>
        <w:rPr>
          <w:rFonts w:eastAsia="黑体"/>
          <w:sz w:val="24"/>
        </w:rPr>
        <w:t>A</w:t>
      </w:r>
      <w:r>
        <w:rPr>
          <w:rFonts w:hint="eastAsia" w:eastAsia="黑体"/>
          <w:sz w:val="24"/>
        </w:rPr>
        <w:t>．</w:t>
      </w:r>
      <w:r>
        <w:rPr>
          <w:sz w:val="24"/>
        </w:rPr>
        <w:t>一类防雷建筑的主要防雷措施</w:t>
      </w:r>
    </w:p>
    <w:p w14:paraId="42F3B775">
      <w:pPr>
        <w:tabs>
          <w:tab w:val="left" w:pos="0"/>
        </w:tabs>
        <w:spacing w:line="360" w:lineRule="auto"/>
        <w:ind w:firstLine="480" w:firstLineChars="200"/>
        <w:rPr>
          <w:rFonts w:hint="eastAsia"/>
          <w:sz w:val="24"/>
          <w:szCs w:val="20"/>
        </w:rPr>
      </w:pPr>
      <w:r>
        <w:rPr>
          <w:rFonts w:hint="eastAsia"/>
          <w:sz w:val="24"/>
          <w:szCs w:val="20"/>
        </w:rPr>
        <w:t>（1）瓦斯抽放站</w:t>
      </w:r>
    </w:p>
    <w:p w14:paraId="76AD8D34">
      <w:pPr>
        <w:tabs>
          <w:tab w:val="left" w:pos="0"/>
        </w:tabs>
        <w:spacing w:line="360" w:lineRule="auto"/>
        <w:ind w:firstLine="480" w:firstLineChars="200"/>
        <w:rPr>
          <w:rFonts w:hint="eastAsia"/>
          <w:sz w:val="24"/>
          <w:szCs w:val="20"/>
        </w:rPr>
      </w:pPr>
      <w:r>
        <w:rPr>
          <w:sz w:val="24"/>
          <w:szCs w:val="20"/>
        </w:rPr>
        <w:t>瓦斯抽放泵站为一类防雷建筑物，故在瓦斯抽放泵房和放空管处各设一座独立的避雷针，避雷针高度高出泵房顶部7m。要求防雷接地电阻不能大于10Ω。为防雷电波引入，进出建筑物的金属管道应与防雷接地装置相连接，并对室外架空金属管道进行防雷接地。</w:t>
      </w:r>
    </w:p>
    <w:p w14:paraId="454721B5">
      <w:pPr>
        <w:tabs>
          <w:tab w:val="left" w:pos="0"/>
        </w:tabs>
        <w:spacing w:line="360" w:lineRule="auto"/>
        <w:ind w:firstLine="480" w:firstLineChars="200"/>
        <w:rPr>
          <w:rFonts w:hint="eastAsia"/>
          <w:sz w:val="24"/>
          <w:szCs w:val="20"/>
        </w:rPr>
      </w:pPr>
      <w:r>
        <w:rPr>
          <w:rFonts w:hint="eastAsia"/>
          <w:sz w:val="24"/>
          <w:szCs w:val="20"/>
        </w:rPr>
        <w:t>（2）</w:t>
      </w:r>
      <w:r>
        <w:rPr>
          <w:rFonts w:hint="eastAsia"/>
          <w:sz w:val="24"/>
        </w:rPr>
        <w:t>爆破材料库</w:t>
      </w:r>
    </w:p>
    <w:p w14:paraId="130E9B59">
      <w:pPr>
        <w:tabs>
          <w:tab w:val="left" w:pos="0"/>
        </w:tabs>
        <w:spacing w:line="360" w:lineRule="auto"/>
        <w:ind w:firstLine="480" w:firstLineChars="200"/>
        <w:rPr>
          <w:rFonts w:hint="eastAsia"/>
          <w:sz w:val="24"/>
          <w:szCs w:val="20"/>
        </w:rPr>
      </w:pPr>
      <w:r>
        <w:rPr>
          <w:rFonts w:hint="eastAsia"/>
          <w:sz w:val="24"/>
          <w:szCs w:val="20"/>
        </w:rPr>
        <w:t>a．防止直击雷，采用独立避雷针保护，其接地电阻不大于2Ω。库房必须完全位于避雷针的保护范围内。</w:t>
      </w:r>
    </w:p>
    <w:p w14:paraId="2DB03937">
      <w:pPr>
        <w:tabs>
          <w:tab w:val="left" w:pos="0"/>
        </w:tabs>
        <w:spacing w:line="360" w:lineRule="auto"/>
        <w:ind w:firstLine="480" w:firstLineChars="200"/>
        <w:rPr>
          <w:rFonts w:hint="eastAsia"/>
          <w:sz w:val="24"/>
          <w:szCs w:val="20"/>
        </w:rPr>
      </w:pPr>
      <w:r>
        <w:rPr>
          <w:rFonts w:hint="eastAsia"/>
          <w:sz w:val="24"/>
          <w:szCs w:val="20"/>
        </w:rPr>
        <w:t>b．防止感应雷，在屋面上明装避雷网保护，其接地电阻不大于2Ω，并将库房所有金属体接地与接地装置相连。</w:t>
      </w:r>
    </w:p>
    <w:p w14:paraId="57369BCE">
      <w:pPr>
        <w:tabs>
          <w:tab w:val="left" w:pos="0"/>
        </w:tabs>
        <w:spacing w:line="360" w:lineRule="auto"/>
        <w:ind w:firstLine="480" w:firstLineChars="200"/>
        <w:rPr>
          <w:rFonts w:hint="eastAsia"/>
          <w:sz w:val="24"/>
          <w:szCs w:val="20"/>
        </w:rPr>
      </w:pPr>
      <w:r>
        <w:rPr>
          <w:rFonts w:hint="eastAsia"/>
          <w:sz w:val="24"/>
          <w:szCs w:val="20"/>
        </w:rPr>
        <w:t>c．避雷针、避雷带、引下线应镀锌或刷漆。</w:t>
      </w:r>
    </w:p>
    <w:p w14:paraId="47D08A9B">
      <w:pPr>
        <w:tabs>
          <w:tab w:val="left" w:pos="0"/>
        </w:tabs>
        <w:spacing w:line="360" w:lineRule="auto"/>
        <w:ind w:firstLine="480" w:firstLineChars="200"/>
        <w:rPr>
          <w:rFonts w:hint="eastAsia"/>
          <w:sz w:val="24"/>
          <w:szCs w:val="20"/>
        </w:rPr>
      </w:pPr>
      <w:r>
        <w:rPr>
          <w:rFonts w:hint="eastAsia"/>
          <w:sz w:val="24"/>
          <w:szCs w:val="20"/>
        </w:rPr>
        <w:t>d．避雷带的引下线在距地面1.8m处设断线卡。</w:t>
      </w:r>
    </w:p>
    <w:p w14:paraId="2C328883">
      <w:pPr>
        <w:tabs>
          <w:tab w:val="left" w:pos="0"/>
        </w:tabs>
        <w:spacing w:line="360" w:lineRule="auto"/>
        <w:ind w:firstLine="480" w:firstLineChars="200"/>
        <w:rPr>
          <w:rFonts w:hint="eastAsia"/>
          <w:sz w:val="24"/>
          <w:szCs w:val="20"/>
        </w:rPr>
      </w:pPr>
      <w:r>
        <w:rPr>
          <w:rFonts w:hint="eastAsia"/>
          <w:sz w:val="24"/>
          <w:szCs w:val="20"/>
        </w:rPr>
        <w:t>e．接地网埋设距墙1.5m，埋深0.8m，为了减少跨步电压，出入口及人行道处应距墙3m</w:t>
      </w:r>
      <w:r>
        <w:rPr>
          <w:sz w:val="24"/>
          <w:szCs w:val="20"/>
        </w:rPr>
        <w:t>，</w:t>
      </w:r>
      <w:r>
        <w:rPr>
          <w:rFonts w:hint="eastAsia"/>
          <w:sz w:val="24"/>
          <w:szCs w:val="20"/>
        </w:rPr>
        <w:t>埋深1m。</w:t>
      </w:r>
    </w:p>
    <w:p w14:paraId="52C25B2B">
      <w:pPr>
        <w:tabs>
          <w:tab w:val="left" w:pos="0"/>
        </w:tabs>
        <w:spacing w:line="360" w:lineRule="auto"/>
        <w:ind w:firstLine="480" w:firstLineChars="200"/>
        <w:rPr>
          <w:rFonts w:hint="eastAsia"/>
          <w:sz w:val="24"/>
          <w:szCs w:val="20"/>
        </w:rPr>
      </w:pPr>
      <w:r>
        <w:rPr>
          <w:rFonts w:hint="eastAsia"/>
          <w:sz w:val="24"/>
          <w:szCs w:val="20"/>
        </w:rPr>
        <w:t>f．防雷装置的所有接点，均焊接。</w:t>
      </w:r>
    </w:p>
    <w:p w14:paraId="1A7AFB6D">
      <w:pPr>
        <w:spacing w:line="360" w:lineRule="auto"/>
        <w:ind w:firstLine="480" w:firstLineChars="200"/>
        <w:rPr>
          <w:rFonts w:hint="eastAsia" w:eastAsia="黑体"/>
          <w:sz w:val="24"/>
        </w:rPr>
      </w:pPr>
      <w:r>
        <w:rPr>
          <w:rFonts w:hint="eastAsia" w:eastAsia="黑体"/>
          <w:sz w:val="24"/>
        </w:rPr>
        <w:t>B、</w:t>
      </w:r>
      <w:r>
        <w:rPr>
          <w:rFonts w:hint="eastAsia"/>
          <w:sz w:val="24"/>
        </w:rPr>
        <w:t>三</w:t>
      </w:r>
      <w:r>
        <w:rPr>
          <w:sz w:val="24"/>
        </w:rPr>
        <w:t>类防雷建筑的主要防雷措施</w:t>
      </w:r>
    </w:p>
    <w:p w14:paraId="7C2C887E">
      <w:pPr>
        <w:spacing w:line="360" w:lineRule="auto"/>
        <w:ind w:firstLine="480" w:firstLineChars="200"/>
        <w:rPr>
          <w:rFonts w:hint="eastAsia"/>
          <w:sz w:val="24"/>
        </w:rPr>
      </w:pPr>
      <w:r>
        <w:rPr>
          <w:rFonts w:hint="eastAsia"/>
          <w:sz w:val="24"/>
        </w:rPr>
        <w:t>（1）</w:t>
      </w:r>
      <w:r>
        <w:rPr>
          <w:sz w:val="24"/>
        </w:rPr>
        <w:t>在建筑屋面上用镀锌圆钢的网络作为避雷网，并利用柱中两条通长焊接连通的对角主筋作为避雷引下线。避雷引下线应上与屋顶避雷网焊接，下与接地网可靠焊接。</w:t>
      </w:r>
    </w:p>
    <w:p w14:paraId="0359BC52">
      <w:pPr>
        <w:spacing w:line="360" w:lineRule="auto"/>
        <w:ind w:firstLine="480" w:firstLineChars="200"/>
        <w:rPr>
          <w:rFonts w:hint="eastAsia"/>
          <w:sz w:val="24"/>
        </w:rPr>
      </w:pPr>
      <w:r>
        <w:rPr>
          <w:rFonts w:hint="eastAsia"/>
          <w:sz w:val="24"/>
        </w:rPr>
        <w:t>（2）</w:t>
      </w:r>
      <w:r>
        <w:rPr>
          <w:sz w:val="24"/>
        </w:rPr>
        <w:t>所有进出建筑物的金属管道、电缆金属外皮、钢管等应就近与接地干线连通。</w:t>
      </w:r>
    </w:p>
    <w:p w14:paraId="7B8BEB00">
      <w:pPr>
        <w:spacing w:line="360" w:lineRule="auto"/>
        <w:ind w:firstLine="480" w:firstLineChars="200"/>
        <w:rPr>
          <w:rFonts w:eastAsia="黑体"/>
          <w:sz w:val="24"/>
        </w:rPr>
      </w:pPr>
      <w:r>
        <w:rPr>
          <w:rFonts w:hint="eastAsia" w:eastAsia="黑体"/>
          <w:sz w:val="24"/>
        </w:rPr>
        <w:t>C</w:t>
      </w:r>
      <w:r>
        <w:rPr>
          <w:rFonts w:eastAsia="黑体"/>
          <w:sz w:val="24"/>
        </w:rPr>
        <w:t>、</w:t>
      </w:r>
      <w:r>
        <w:rPr>
          <w:sz w:val="24"/>
        </w:rPr>
        <w:t>防地面雷电波及井下的措施</w:t>
      </w:r>
    </w:p>
    <w:p w14:paraId="72A7E80D">
      <w:pPr>
        <w:spacing w:line="360" w:lineRule="auto"/>
        <w:ind w:firstLine="480" w:firstLineChars="200"/>
        <w:rPr>
          <w:rFonts w:hint="eastAsia"/>
          <w:sz w:val="24"/>
        </w:rPr>
      </w:pPr>
      <w:r>
        <w:rPr>
          <w:rFonts w:hint="eastAsia"/>
          <w:sz w:val="24"/>
        </w:rPr>
        <w:t>井上、下必须装设防雷电装置，并遵守下列规定：</w:t>
      </w:r>
    </w:p>
    <w:p w14:paraId="07D5A6B8">
      <w:pPr>
        <w:spacing w:line="360" w:lineRule="auto"/>
        <w:ind w:firstLine="480" w:firstLineChars="200"/>
        <w:rPr>
          <w:rFonts w:hint="eastAsia"/>
          <w:sz w:val="24"/>
        </w:rPr>
      </w:pPr>
      <w:r>
        <w:rPr>
          <w:rFonts w:hint="eastAsia"/>
          <w:sz w:val="24"/>
        </w:rPr>
        <w:t>（1）经由地面架空线路引入井下的供电线路，必须在入井处装设防雷电装置。</w:t>
      </w:r>
    </w:p>
    <w:p w14:paraId="16DEBD2B">
      <w:pPr>
        <w:spacing w:line="360" w:lineRule="auto"/>
        <w:ind w:firstLine="480" w:firstLineChars="200"/>
        <w:rPr>
          <w:rFonts w:hint="eastAsia"/>
          <w:sz w:val="24"/>
        </w:rPr>
      </w:pPr>
      <w:r>
        <w:rPr>
          <w:rFonts w:hint="eastAsia"/>
          <w:sz w:val="24"/>
        </w:rPr>
        <w:t>（2）由地面直接入井的轨道及露天架空引入（出）的管路，必须在井口附近将金属体进行不少于2处的良好的集中接地。</w:t>
      </w:r>
    </w:p>
    <w:p w14:paraId="70156AD5">
      <w:pPr>
        <w:tabs>
          <w:tab w:val="left" w:pos="7250"/>
        </w:tabs>
        <w:spacing w:line="360" w:lineRule="auto"/>
        <w:ind w:firstLine="480" w:firstLineChars="200"/>
        <w:rPr>
          <w:sz w:val="24"/>
        </w:rPr>
      </w:pPr>
      <w:r>
        <w:rPr>
          <w:rFonts w:hint="eastAsia"/>
          <w:sz w:val="24"/>
        </w:rPr>
        <w:t>（3）通信线路必须在入井处装设熔断器和防雷电装置。</w:t>
      </w:r>
    </w:p>
    <w:p w14:paraId="1ADA9CCB">
      <w:pPr>
        <w:pStyle w:val="23"/>
        <w:rPr>
          <w:rFonts w:ascii="Times New Roman"/>
        </w:rPr>
      </w:pPr>
      <w:r>
        <w:rPr>
          <w:rFonts w:ascii="Times New Roman"/>
        </w:rPr>
        <w:t>矿井地面供电系统见图</w:t>
      </w:r>
      <w:r>
        <w:rPr>
          <w:rFonts w:hint="eastAsia" w:ascii="Times New Roman"/>
        </w:rPr>
        <w:t>15-1</w:t>
      </w:r>
      <w:r>
        <w:rPr>
          <w:rFonts w:ascii="Times New Roman"/>
        </w:rPr>
        <w:t>、井下</w:t>
      </w:r>
      <w:r>
        <w:rPr>
          <w:rFonts w:hint="eastAsia" w:ascii="Times New Roman"/>
        </w:rPr>
        <w:t>供电</w:t>
      </w:r>
      <w:r>
        <w:rPr>
          <w:rFonts w:ascii="Times New Roman"/>
        </w:rPr>
        <w:t>系统见图</w:t>
      </w:r>
      <w:r>
        <w:rPr>
          <w:rFonts w:hint="eastAsia" w:ascii="Times New Roman"/>
        </w:rPr>
        <w:t>15-2</w:t>
      </w:r>
      <w:r>
        <w:rPr>
          <w:rFonts w:ascii="Times New Roman"/>
        </w:rPr>
        <w:t>。</w:t>
      </w:r>
    </w:p>
    <w:p w14:paraId="2574A1B2">
      <w:pPr>
        <w:spacing w:line="360" w:lineRule="auto"/>
        <w:ind w:firstLine="420" w:firstLineChars="200"/>
        <w:sectPr>
          <w:pgSz w:w="11906" w:h="16838"/>
          <w:pgMar w:top="1304" w:right="1418" w:bottom="1304" w:left="1418" w:header="1134" w:footer="992" w:gutter="0"/>
          <w:cols w:space="720" w:num="1"/>
          <w:docGrid w:linePitch="312" w:charSpace="0"/>
        </w:sectPr>
      </w:pPr>
      <w:r>
        <w:rPr>
          <w:rFonts w:hint="eastAsia"/>
        </w:rPr>
        <w:t>矿井电力负荷统计表见表6—4—1, 6—4—2, 6—4—3。</w:t>
      </w:r>
    </w:p>
    <w:p w14:paraId="75AB819F">
      <w:pPr>
        <w:spacing w:line="440" w:lineRule="exact"/>
        <w:ind w:firstLine="522" w:firstLineChars="200"/>
        <w:rPr>
          <w:rFonts w:hint="eastAsia" w:ascii="宋体" w:hAnsi="宋体"/>
          <w:b/>
          <w:spacing w:val="10"/>
          <w:sz w:val="24"/>
        </w:rPr>
      </w:pPr>
      <w:r>
        <w:rPr>
          <w:rFonts w:hint="eastAsia" w:ascii="宋体" w:hAnsi="宋体"/>
          <w:b/>
          <w:spacing w:val="10"/>
          <w:sz w:val="24"/>
        </w:rPr>
        <w:t>表6-4-1                            大坪煤矿地面电力负荷统计表</w:t>
      </w:r>
    </w:p>
    <w:tbl>
      <w:tblPr>
        <w:tblStyle w:val="62"/>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900"/>
        <w:gridCol w:w="804"/>
        <w:gridCol w:w="697"/>
        <w:gridCol w:w="720"/>
        <w:gridCol w:w="720"/>
        <w:gridCol w:w="820"/>
        <w:gridCol w:w="800"/>
        <w:gridCol w:w="760"/>
        <w:gridCol w:w="700"/>
        <w:gridCol w:w="1080"/>
        <w:gridCol w:w="1140"/>
        <w:gridCol w:w="940"/>
        <w:gridCol w:w="1027"/>
        <w:gridCol w:w="857"/>
        <w:gridCol w:w="1118"/>
      </w:tblGrid>
      <w:tr w14:paraId="432B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601" w:type="dxa"/>
            <w:vMerge w:val="restart"/>
            <w:noWrap w:val="0"/>
            <w:textDirection w:val="tbRlV"/>
            <w:vAlign w:val="center"/>
          </w:tcPr>
          <w:p w14:paraId="4D6B0CCB">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序 号</w:t>
            </w:r>
          </w:p>
        </w:tc>
        <w:tc>
          <w:tcPr>
            <w:tcW w:w="1900" w:type="dxa"/>
            <w:vMerge w:val="restart"/>
            <w:noWrap w:val="0"/>
            <w:vAlign w:val="center"/>
          </w:tcPr>
          <w:p w14:paraId="48D8A1A5">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负   荷   名   称</w:t>
            </w:r>
          </w:p>
        </w:tc>
        <w:tc>
          <w:tcPr>
            <w:tcW w:w="804" w:type="dxa"/>
            <w:vMerge w:val="restart"/>
            <w:noWrap w:val="0"/>
            <w:vAlign w:val="center"/>
          </w:tcPr>
          <w:p w14:paraId="214EFCD4">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电压（kv）</w:t>
            </w:r>
          </w:p>
        </w:tc>
        <w:tc>
          <w:tcPr>
            <w:tcW w:w="1417" w:type="dxa"/>
            <w:gridSpan w:val="2"/>
            <w:noWrap w:val="0"/>
            <w:vAlign w:val="center"/>
          </w:tcPr>
          <w:p w14:paraId="062B22A0">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设 备 数 量</w:t>
            </w:r>
          </w:p>
        </w:tc>
        <w:tc>
          <w:tcPr>
            <w:tcW w:w="1540" w:type="dxa"/>
            <w:gridSpan w:val="2"/>
            <w:noWrap w:val="0"/>
            <w:vAlign w:val="center"/>
          </w:tcPr>
          <w:p w14:paraId="213288B3">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设 备 容 量</w:t>
            </w:r>
          </w:p>
        </w:tc>
        <w:tc>
          <w:tcPr>
            <w:tcW w:w="800" w:type="dxa"/>
            <w:vMerge w:val="restart"/>
            <w:noWrap w:val="0"/>
            <w:vAlign w:val="center"/>
          </w:tcPr>
          <w:p w14:paraId="6AC6746E">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需用系数</w:t>
            </w:r>
          </w:p>
        </w:tc>
        <w:tc>
          <w:tcPr>
            <w:tcW w:w="760" w:type="dxa"/>
            <w:vMerge w:val="restart"/>
            <w:noWrap w:val="0"/>
            <w:vAlign w:val="center"/>
          </w:tcPr>
          <w:p w14:paraId="059A6834">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cosΦ</w:t>
            </w:r>
          </w:p>
        </w:tc>
        <w:tc>
          <w:tcPr>
            <w:tcW w:w="700" w:type="dxa"/>
            <w:vMerge w:val="restart"/>
            <w:noWrap w:val="0"/>
            <w:vAlign w:val="center"/>
          </w:tcPr>
          <w:p w14:paraId="6A10B57C">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tgΦ</w:t>
            </w:r>
          </w:p>
        </w:tc>
        <w:tc>
          <w:tcPr>
            <w:tcW w:w="3160" w:type="dxa"/>
            <w:gridSpan w:val="3"/>
            <w:noWrap w:val="0"/>
            <w:vAlign w:val="bottom"/>
          </w:tcPr>
          <w:p w14:paraId="797B7119">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最   大   负   荷</w:t>
            </w:r>
          </w:p>
        </w:tc>
        <w:tc>
          <w:tcPr>
            <w:tcW w:w="1027" w:type="dxa"/>
            <w:vMerge w:val="restart"/>
            <w:noWrap w:val="0"/>
            <w:vAlign w:val="bottom"/>
          </w:tcPr>
          <w:p w14:paraId="58C695DC">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最大负荷年利用小时数（h）</w:t>
            </w:r>
          </w:p>
        </w:tc>
        <w:tc>
          <w:tcPr>
            <w:tcW w:w="857" w:type="dxa"/>
            <w:vMerge w:val="restart"/>
            <w:noWrap w:val="0"/>
            <w:vAlign w:val="center"/>
          </w:tcPr>
          <w:p w14:paraId="120192A3">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年耗电量（kW-h）</w:t>
            </w:r>
          </w:p>
        </w:tc>
        <w:tc>
          <w:tcPr>
            <w:tcW w:w="1118" w:type="dxa"/>
            <w:vMerge w:val="restart"/>
            <w:noWrap w:val="0"/>
            <w:vAlign w:val="center"/>
          </w:tcPr>
          <w:p w14:paraId="1C6352D2">
            <w:pPr>
              <w:widowControl/>
              <w:jc w:val="center"/>
              <w:rPr>
                <w:rFonts w:ascii="宋体" w:hAnsi="宋体" w:cs="宋体"/>
                <w:b/>
                <w:bCs/>
                <w:color w:val="3366FF"/>
                <w:kern w:val="0"/>
                <w:sz w:val="20"/>
                <w:szCs w:val="20"/>
              </w:rPr>
            </w:pPr>
            <w:r>
              <w:rPr>
                <w:rFonts w:hint="eastAsia" w:ascii="宋体" w:hAnsi="宋体" w:cs="宋体"/>
                <w:b/>
                <w:bCs/>
                <w:color w:val="3366FF"/>
                <w:kern w:val="0"/>
                <w:sz w:val="20"/>
                <w:szCs w:val="20"/>
              </w:rPr>
              <w:t>吨煤耗电量（kWh/t）</w:t>
            </w:r>
          </w:p>
        </w:tc>
      </w:tr>
      <w:tr w14:paraId="4673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601" w:type="dxa"/>
            <w:vMerge w:val="continue"/>
            <w:noWrap w:val="0"/>
            <w:vAlign w:val="center"/>
          </w:tcPr>
          <w:p w14:paraId="55C102F5">
            <w:pPr>
              <w:widowControl/>
              <w:jc w:val="left"/>
              <w:rPr>
                <w:rFonts w:ascii="宋体" w:hAnsi="宋体" w:cs="宋体"/>
                <w:b/>
                <w:bCs/>
                <w:color w:val="3366FF"/>
                <w:kern w:val="0"/>
                <w:sz w:val="16"/>
                <w:szCs w:val="16"/>
              </w:rPr>
            </w:pPr>
          </w:p>
        </w:tc>
        <w:tc>
          <w:tcPr>
            <w:tcW w:w="1900" w:type="dxa"/>
            <w:vMerge w:val="continue"/>
            <w:noWrap w:val="0"/>
            <w:vAlign w:val="center"/>
          </w:tcPr>
          <w:p w14:paraId="02496941">
            <w:pPr>
              <w:widowControl/>
              <w:jc w:val="left"/>
              <w:rPr>
                <w:rFonts w:ascii="宋体" w:hAnsi="宋体" w:cs="宋体"/>
                <w:b/>
                <w:bCs/>
                <w:color w:val="3366FF"/>
                <w:kern w:val="0"/>
                <w:sz w:val="16"/>
                <w:szCs w:val="16"/>
              </w:rPr>
            </w:pPr>
          </w:p>
        </w:tc>
        <w:tc>
          <w:tcPr>
            <w:tcW w:w="804" w:type="dxa"/>
            <w:vMerge w:val="continue"/>
            <w:noWrap w:val="0"/>
            <w:vAlign w:val="center"/>
          </w:tcPr>
          <w:p w14:paraId="73DC5CFC">
            <w:pPr>
              <w:widowControl/>
              <w:jc w:val="left"/>
              <w:rPr>
                <w:rFonts w:ascii="宋体" w:hAnsi="宋体" w:cs="宋体"/>
                <w:b/>
                <w:bCs/>
                <w:color w:val="3366FF"/>
                <w:kern w:val="0"/>
                <w:sz w:val="16"/>
                <w:szCs w:val="16"/>
              </w:rPr>
            </w:pPr>
          </w:p>
        </w:tc>
        <w:tc>
          <w:tcPr>
            <w:tcW w:w="697" w:type="dxa"/>
            <w:noWrap w:val="0"/>
            <w:vAlign w:val="center"/>
          </w:tcPr>
          <w:p w14:paraId="6CF51660">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全  部（台）</w:t>
            </w:r>
          </w:p>
        </w:tc>
        <w:tc>
          <w:tcPr>
            <w:tcW w:w="720" w:type="dxa"/>
            <w:noWrap w:val="0"/>
            <w:vAlign w:val="center"/>
          </w:tcPr>
          <w:p w14:paraId="503FD5F8">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工  作（台）</w:t>
            </w:r>
          </w:p>
        </w:tc>
        <w:tc>
          <w:tcPr>
            <w:tcW w:w="720" w:type="dxa"/>
            <w:noWrap w:val="0"/>
            <w:vAlign w:val="center"/>
          </w:tcPr>
          <w:p w14:paraId="23D54F4E">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全  部（kW）</w:t>
            </w:r>
          </w:p>
        </w:tc>
        <w:tc>
          <w:tcPr>
            <w:tcW w:w="820" w:type="dxa"/>
            <w:noWrap w:val="0"/>
            <w:vAlign w:val="center"/>
          </w:tcPr>
          <w:p w14:paraId="2F40CFA7">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工  作（kW）</w:t>
            </w:r>
          </w:p>
        </w:tc>
        <w:tc>
          <w:tcPr>
            <w:tcW w:w="800" w:type="dxa"/>
            <w:vMerge w:val="continue"/>
            <w:noWrap w:val="0"/>
            <w:vAlign w:val="center"/>
          </w:tcPr>
          <w:p w14:paraId="798ED4C8">
            <w:pPr>
              <w:widowControl/>
              <w:jc w:val="left"/>
              <w:rPr>
                <w:rFonts w:ascii="宋体" w:hAnsi="宋体" w:cs="宋体"/>
                <w:b/>
                <w:bCs/>
                <w:color w:val="3366FF"/>
                <w:kern w:val="0"/>
                <w:sz w:val="16"/>
                <w:szCs w:val="16"/>
              </w:rPr>
            </w:pPr>
          </w:p>
        </w:tc>
        <w:tc>
          <w:tcPr>
            <w:tcW w:w="760" w:type="dxa"/>
            <w:vMerge w:val="continue"/>
            <w:noWrap w:val="0"/>
            <w:vAlign w:val="center"/>
          </w:tcPr>
          <w:p w14:paraId="7850C148">
            <w:pPr>
              <w:widowControl/>
              <w:jc w:val="left"/>
              <w:rPr>
                <w:rFonts w:ascii="宋体" w:hAnsi="宋体" w:cs="宋体"/>
                <w:b/>
                <w:bCs/>
                <w:color w:val="3366FF"/>
                <w:kern w:val="0"/>
                <w:sz w:val="16"/>
                <w:szCs w:val="16"/>
              </w:rPr>
            </w:pPr>
          </w:p>
        </w:tc>
        <w:tc>
          <w:tcPr>
            <w:tcW w:w="700" w:type="dxa"/>
            <w:vMerge w:val="continue"/>
            <w:noWrap w:val="0"/>
            <w:vAlign w:val="center"/>
          </w:tcPr>
          <w:p w14:paraId="390EBC27">
            <w:pPr>
              <w:widowControl/>
              <w:jc w:val="left"/>
              <w:rPr>
                <w:rFonts w:ascii="宋体" w:hAnsi="宋体" w:cs="宋体"/>
                <w:b/>
                <w:bCs/>
                <w:color w:val="3366FF"/>
                <w:kern w:val="0"/>
                <w:sz w:val="16"/>
                <w:szCs w:val="16"/>
              </w:rPr>
            </w:pPr>
          </w:p>
        </w:tc>
        <w:tc>
          <w:tcPr>
            <w:tcW w:w="1080" w:type="dxa"/>
            <w:noWrap w:val="0"/>
            <w:vAlign w:val="center"/>
          </w:tcPr>
          <w:p w14:paraId="5B79BDA1">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有 功（kW）</w:t>
            </w:r>
          </w:p>
        </w:tc>
        <w:tc>
          <w:tcPr>
            <w:tcW w:w="1140" w:type="dxa"/>
            <w:noWrap w:val="0"/>
            <w:vAlign w:val="center"/>
          </w:tcPr>
          <w:p w14:paraId="15F7F9C0">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无 功（kVar）</w:t>
            </w:r>
          </w:p>
        </w:tc>
        <w:tc>
          <w:tcPr>
            <w:tcW w:w="940" w:type="dxa"/>
            <w:noWrap w:val="0"/>
            <w:vAlign w:val="center"/>
          </w:tcPr>
          <w:p w14:paraId="3C9BB4C6">
            <w:pPr>
              <w:widowControl/>
              <w:jc w:val="center"/>
              <w:rPr>
                <w:rFonts w:ascii="宋体" w:hAnsi="宋体" w:cs="宋体"/>
                <w:b/>
                <w:bCs/>
                <w:color w:val="3366FF"/>
                <w:kern w:val="0"/>
                <w:sz w:val="16"/>
                <w:szCs w:val="16"/>
              </w:rPr>
            </w:pPr>
            <w:r>
              <w:rPr>
                <w:rFonts w:hint="eastAsia" w:ascii="宋体" w:hAnsi="宋体" w:cs="宋体"/>
                <w:b/>
                <w:bCs/>
                <w:color w:val="3366FF"/>
                <w:kern w:val="0"/>
                <w:sz w:val="16"/>
                <w:szCs w:val="16"/>
              </w:rPr>
              <w:t>视 在（kVA）</w:t>
            </w:r>
          </w:p>
        </w:tc>
        <w:tc>
          <w:tcPr>
            <w:tcW w:w="1027" w:type="dxa"/>
            <w:vMerge w:val="continue"/>
            <w:noWrap w:val="0"/>
            <w:vAlign w:val="center"/>
          </w:tcPr>
          <w:p w14:paraId="4E6AC921">
            <w:pPr>
              <w:widowControl/>
              <w:jc w:val="left"/>
              <w:rPr>
                <w:rFonts w:ascii="宋体" w:hAnsi="宋体" w:cs="宋体"/>
                <w:b/>
                <w:bCs/>
                <w:color w:val="3366FF"/>
                <w:kern w:val="0"/>
                <w:sz w:val="16"/>
                <w:szCs w:val="16"/>
              </w:rPr>
            </w:pPr>
          </w:p>
        </w:tc>
        <w:tc>
          <w:tcPr>
            <w:tcW w:w="857" w:type="dxa"/>
            <w:vMerge w:val="continue"/>
            <w:noWrap w:val="0"/>
            <w:vAlign w:val="center"/>
          </w:tcPr>
          <w:p w14:paraId="1E405085">
            <w:pPr>
              <w:widowControl/>
              <w:jc w:val="left"/>
              <w:rPr>
                <w:rFonts w:ascii="宋体" w:hAnsi="宋体" w:cs="宋体"/>
                <w:b/>
                <w:bCs/>
                <w:color w:val="3366FF"/>
                <w:kern w:val="0"/>
                <w:sz w:val="16"/>
                <w:szCs w:val="16"/>
              </w:rPr>
            </w:pPr>
          </w:p>
        </w:tc>
        <w:tc>
          <w:tcPr>
            <w:tcW w:w="1118" w:type="dxa"/>
            <w:vMerge w:val="continue"/>
            <w:noWrap w:val="0"/>
            <w:vAlign w:val="center"/>
          </w:tcPr>
          <w:p w14:paraId="6317FB97">
            <w:pPr>
              <w:widowControl/>
              <w:jc w:val="left"/>
              <w:rPr>
                <w:rFonts w:ascii="宋体" w:hAnsi="宋体" w:cs="宋体"/>
                <w:b/>
                <w:bCs/>
                <w:color w:val="3366FF"/>
                <w:kern w:val="0"/>
                <w:sz w:val="20"/>
                <w:szCs w:val="20"/>
              </w:rPr>
            </w:pPr>
          </w:p>
        </w:tc>
      </w:tr>
      <w:tr w14:paraId="02AA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4FC2CB07">
            <w:pPr>
              <w:widowControl/>
              <w:jc w:val="center"/>
              <w:rPr>
                <w:rFonts w:ascii="宋体" w:hAnsi="宋体" w:cs="宋体"/>
                <w:kern w:val="0"/>
                <w:sz w:val="16"/>
                <w:szCs w:val="16"/>
              </w:rPr>
            </w:pPr>
            <w:r>
              <w:rPr>
                <w:rFonts w:hint="eastAsia" w:ascii="宋体" w:hAnsi="宋体" w:cs="宋体"/>
                <w:kern w:val="0"/>
                <w:sz w:val="16"/>
                <w:szCs w:val="16"/>
              </w:rPr>
              <w:t>一</w:t>
            </w:r>
          </w:p>
        </w:tc>
        <w:tc>
          <w:tcPr>
            <w:tcW w:w="1900" w:type="dxa"/>
            <w:noWrap w:val="0"/>
            <w:vAlign w:val="center"/>
          </w:tcPr>
          <w:p w14:paraId="5B0DC3F6">
            <w:pPr>
              <w:widowControl/>
              <w:jc w:val="center"/>
              <w:rPr>
                <w:rFonts w:ascii="宋体" w:hAnsi="宋体" w:cs="宋体"/>
                <w:b/>
                <w:bCs/>
                <w:kern w:val="0"/>
                <w:sz w:val="16"/>
                <w:szCs w:val="16"/>
              </w:rPr>
            </w:pPr>
            <w:r>
              <w:rPr>
                <w:rFonts w:hint="eastAsia" w:ascii="宋体" w:hAnsi="宋体" w:cs="宋体"/>
                <w:b/>
                <w:bCs/>
                <w:kern w:val="0"/>
                <w:sz w:val="16"/>
                <w:szCs w:val="16"/>
              </w:rPr>
              <w:t>地面负荷</w:t>
            </w:r>
          </w:p>
        </w:tc>
        <w:tc>
          <w:tcPr>
            <w:tcW w:w="804" w:type="dxa"/>
            <w:noWrap w:val="0"/>
            <w:vAlign w:val="center"/>
          </w:tcPr>
          <w:p w14:paraId="483C0D1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697" w:type="dxa"/>
            <w:noWrap w:val="0"/>
            <w:vAlign w:val="center"/>
          </w:tcPr>
          <w:p w14:paraId="5A46D09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720" w:type="dxa"/>
            <w:noWrap w:val="0"/>
            <w:vAlign w:val="center"/>
          </w:tcPr>
          <w:p w14:paraId="059E39B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720" w:type="dxa"/>
            <w:noWrap w:val="0"/>
            <w:vAlign w:val="center"/>
          </w:tcPr>
          <w:p w14:paraId="3F8FE66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20" w:type="dxa"/>
            <w:noWrap w:val="0"/>
            <w:vAlign w:val="center"/>
          </w:tcPr>
          <w:p w14:paraId="5A89378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00" w:type="dxa"/>
            <w:noWrap w:val="0"/>
            <w:vAlign w:val="center"/>
          </w:tcPr>
          <w:p w14:paraId="4837FD9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760" w:type="dxa"/>
            <w:noWrap w:val="0"/>
            <w:vAlign w:val="center"/>
          </w:tcPr>
          <w:p w14:paraId="56E76FA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700" w:type="dxa"/>
            <w:noWrap w:val="0"/>
            <w:vAlign w:val="center"/>
          </w:tcPr>
          <w:p w14:paraId="585AF42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80" w:type="dxa"/>
            <w:noWrap w:val="0"/>
            <w:vAlign w:val="center"/>
          </w:tcPr>
          <w:p w14:paraId="0F53125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40" w:type="dxa"/>
            <w:noWrap w:val="0"/>
            <w:vAlign w:val="center"/>
          </w:tcPr>
          <w:p w14:paraId="3F230B3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940" w:type="dxa"/>
            <w:noWrap w:val="0"/>
            <w:vAlign w:val="center"/>
          </w:tcPr>
          <w:p w14:paraId="597E5DB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E08C78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3E395FF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2592B6F0">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606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0D64F3C8">
            <w:pPr>
              <w:widowControl/>
              <w:jc w:val="center"/>
              <w:rPr>
                <w:rFonts w:ascii="宋体" w:hAnsi="宋体" w:cs="宋体"/>
                <w:kern w:val="0"/>
                <w:sz w:val="16"/>
                <w:szCs w:val="16"/>
              </w:rPr>
            </w:pPr>
            <w:r>
              <w:rPr>
                <w:rFonts w:hint="eastAsia" w:ascii="宋体" w:hAnsi="宋体" w:cs="宋体"/>
                <w:kern w:val="0"/>
                <w:sz w:val="16"/>
                <w:szCs w:val="16"/>
              </w:rPr>
              <w:t>1</w:t>
            </w:r>
          </w:p>
        </w:tc>
        <w:tc>
          <w:tcPr>
            <w:tcW w:w="1900" w:type="dxa"/>
            <w:noWrap w:val="0"/>
            <w:vAlign w:val="center"/>
          </w:tcPr>
          <w:p w14:paraId="5E3E4A0D">
            <w:pPr>
              <w:widowControl/>
              <w:jc w:val="center"/>
              <w:rPr>
                <w:rFonts w:ascii="宋体" w:hAnsi="宋体" w:cs="宋体"/>
                <w:kern w:val="0"/>
                <w:sz w:val="16"/>
                <w:szCs w:val="16"/>
              </w:rPr>
            </w:pPr>
            <w:r>
              <w:rPr>
                <w:rFonts w:hint="eastAsia" w:ascii="宋体" w:hAnsi="宋体" w:cs="宋体"/>
                <w:kern w:val="0"/>
                <w:sz w:val="16"/>
                <w:szCs w:val="16"/>
              </w:rPr>
              <w:t>通风机房</w:t>
            </w:r>
          </w:p>
        </w:tc>
        <w:tc>
          <w:tcPr>
            <w:tcW w:w="804" w:type="dxa"/>
            <w:noWrap w:val="0"/>
            <w:vAlign w:val="center"/>
          </w:tcPr>
          <w:p w14:paraId="5E0D3D4B">
            <w:pPr>
              <w:widowControl/>
              <w:jc w:val="center"/>
              <w:rPr>
                <w:rFonts w:ascii="宋体" w:hAnsi="宋体" w:cs="宋体"/>
                <w:kern w:val="0"/>
                <w:sz w:val="16"/>
                <w:szCs w:val="16"/>
              </w:rPr>
            </w:pPr>
            <w:r>
              <w:rPr>
                <w:rFonts w:hint="eastAsia" w:ascii="宋体" w:hAnsi="宋体" w:cs="宋体"/>
                <w:kern w:val="0"/>
                <w:sz w:val="16"/>
                <w:szCs w:val="16"/>
              </w:rPr>
              <w:t>0.66</w:t>
            </w:r>
          </w:p>
        </w:tc>
        <w:tc>
          <w:tcPr>
            <w:tcW w:w="697" w:type="dxa"/>
            <w:noWrap w:val="0"/>
            <w:vAlign w:val="center"/>
          </w:tcPr>
          <w:p w14:paraId="180512A4">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463EAC9A">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42031F1D">
            <w:pPr>
              <w:widowControl/>
              <w:jc w:val="center"/>
              <w:rPr>
                <w:rFonts w:ascii="宋体" w:hAnsi="宋体" w:cs="宋体"/>
                <w:kern w:val="0"/>
                <w:sz w:val="16"/>
                <w:szCs w:val="16"/>
              </w:rPr>
            </w:pPr>
            <w:r>
              <w:rPr>
                <w:rFonts w:hint="eastAsia" w:ascii="宋体" w:hAnsi="宋体" w:cs="宋体"/>
                <w:kern w:val="0"/>
                <w:sz w:val="16"/>
                <w:szCs w:val="16"/>
              </w:rPr>
              <w:t>440</w:t>
            </w:r>
          </w:p>
        </w:tc>
        <w:tc>
          <w:tcPr>
            <w:tcW w:w="820" w:type="dxa"/>
            <w:noWrap w:val="0"/>
            <w:vAlign w:val="center"/>
          </w:tcPr>
          <w:p w14:paraId="4EBF456E">
            <w:pPr>
              <w:widowControl/>
              <w:jc w:val="center"/>
              <w:rPr>
                <w:rFonts w:ascii="宋体" w:hAnsi="宋体" w:cs="宋体"/>
                <w:kern w:val="0"/>
                <w:sz w:val="16"/>
                <w:szCs w:val="16"/>
              </w:rPr>
            </w:pPr>
            <w:r>
              <w:rPr>
                <w:rFonts w:hint="eastAsia" w:ascii="宋体" w:hAnsi="宋体" w:cs="宋体"/>
                <w:kern w:val="0"/>
                <w:sz w:val="16"/>
                <w:szCs w:val="16"/>
              </w:rPr>
              <w:t xml:space="preserve">220.00 </w:t>
            </w:r>
          </w:p>
        </w:tc>
        <w:tc>
          <w:tcPr>
            <w:tcW w:w="800" w:type="dxa"/>
            <w:noWrap w:val="0"/>
            <w:vAlign w:val="center"/>
          </w:tcPr>
          <w:p w14:paraId="4F1B1032">
            <w:pPr>
              <w:widowControl/>
              <w:jc w:val="center"/>
              <w:rPr>
                <w:rFonts w:ascii="宋体" w:hAnsi="宋体" w:cs="宋体"/>
                <w:kern w:val="0"/>
                <w:sz w:val="16"/>
                <w:szCs w:val="16"/>
              </w:rPr>
            </w:pPr>
            <w:r>
              <w:rPr>
                <w:rFonts w:hint="eastAsia" w:ascii="宋体" w:hAnsi="宋体" w:cs="宋体"/>
                <w:kern w:val="0"/>
                <w:sz w:val="16"/>
                <w:szCs w:val="16"/>
              </w:rPr>
              <w:t>0.7</w:t>
            </w:r>
          </w:p>
        </w:tc>
        <w:tc>
          <w:tcPr>
            <w:tcW w:w="760" w:type="dxa"/>
            <w:noWrap w:val="0"/>
            <w:vAlign w:val="center"/>
          </w:tcPr>
          <w:p w14:paraId="28ACA107">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00C1DBBE">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7DC798D5">
            <w:pPr>
              <w:widowControl/>
              <w:jc w:val="center"/>
              <w:rPr>
                <w:rFonts w:ascii="宋体" w:hAnsi="宋体" w:cs="宋体"/>
                <w:kern w:val="0"/>
                <w:sz w:val="16"/>
                <w:szCs w:val="16"/>
              </w:rPr>
            </w:pPr>
            <w:r>
              <w:rPr>
                <w:rFonts w:hint="eastAsia" w:ascii="宋体" w:hAnsi="宋体" w:cs="宋体"/>
                <w:kern w:val="0"/>
                <w:sz w:val="16"/>
                <w:szCs w:val="16"/>
              </w:rPr>
              <w:t>154</w:t>
            </w:r>
          </w:p>
        </w:tc>
        <w:tc>
          <w:tcPr>
            <w:tcW w:w="1140" w:type="dxa"/>
            <w:noWrap w:val="0"/>
            <w:vAlign w:val="center"/>
          </w:tcPr>
          <w:p w14:paraId="6CC78F90">
            <w:pPr>
              <w:widowControl/>
              <w:jc w:val="center"/>
              <w:rPr>
                <w:rFonts w:ascii="宋体" w:hAnsi="宋体" w:cs="宋体"/>
                <w:kern w:val="0"/>
                <w:sz w:val="16"/>
                <w:szCs w:val="16"/>
              </w:rPr>
            </w:pPr>
            <w:r>
              <w:rPr>
                <w:rFonts w:hint="eastAsia" w:ascii="宋体" w:hAnsi="宋体" w:cs="宋体"/>
                <w:kern w:val="0"/>
                <w:sz w:val="16"/>
                <w:szCs w:val="16"/>
              </w:rPr>
              <w:t xml:space="preserve">115.50 </w:t>
            </w:r>
          </w:p>
        </w:tc>
        <w:tc>
          <w:tcPr>
            <w:tcW w:w="940" w:type="dxa"/>
            <w:noWrap w:val="0"/>
            <w:vAlign w:val="center"/>
          </w:tcPr>
          <w:p w14:paraId="079BC92C">
            <w:pPr>
              <w:widowControl/>
              <w:jc w:val="center"/>
              <w:rPr>
                <w:rFonts w:ascii="宋体" w:hAnsi="宋体" w:cs="宋体"/>
                <w:kern w:val="0"/>
                <w:sz w:val="16"/>
                <w:szCs w:val="16"/>
              </w:rPr>
            </w:pPr>
            <w:r>
              <w:rPr>
                <w:rFonts w:hint="eastAsia" w:ascii="宋体" w:hAnsi="宋体" w:cs="宋体"/>
                <w:kern w:val="0"/>
                <w:sz w:val="16"/>
                <w:szCs w:val="16"/>
              </w:rPr>
              <w:t>192.50</w:t>
            </w:r>
          </w:p>
        </w:tc>
        <w:tc>
          <w:tcPr>
            <w:tcW w:w="1027" w:type="dxa"/>
            <w:noWrap w:val="0"/>
            <w:vAlign w:val="center"/>
          </w:tcPr>
          <w:p w14:paraId="6A97AEF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031B6F6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4B2E68C2">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7F91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54D128B8">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57462C39">
            <w:pPr>
              <w:widowControl/>
              <w:jc w:val="center"/>
              <w:rPr>
                <w:rFonts w:ascii="宋体" w:hAnsi="宋体" w:cs="宋体"/>
                <w:kern w:val="0"/>
                <w:sz w:val="16"/>
                <w:szCs w:val="16"/>
              </w:rPr>
            </w:pPr>
            <w:r>
              <w:rPr>
                <w:rFonts w:hint="eastAsia" w:ascii="宋体" w:hAnsi="宋体" w:cs="宋体"/>
                <w:kern w:val="0"/>
                <w:sz w:val="16"/>
                <w:szCs w:val="16"/>
              </w:rPr>
              <w:t>风门绞车</w:t>
            </w:r>
          </w:p>
        </w:tc>
        <w:tc>
          <w:tcPr>
            <w:tcW w:w="804" w:type="dxa"/>
            <w:noWrap w:val="0"/>
            <w:vAlign w:val="center"/>
          </w:tcPr>
          <w:p w14:paraId="1D01AF17">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55CA6E2C">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72C1D063">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50584E9">
            <w:pPr>
              <w:widowControl/>
              <w:jc w:val="center"/>
              <w:rPr>
                <w:rFonts w:ascii="宋体" w:hAnsi="宋体" w:cs="宋体"/>
                <w:kern w:val="0"/>
                <w:sz w:val="16"/>
                <w:szCs w:val="16"/>
              </w:rPr>
            </w:pPr>
            <w:r>
              <w:rPr>
                <w:rFonts w:hint="eastAsia" w:ascii="宋体" w:hAnsi="宋体" w:cs="宋体"/>
                <w:kern w:val="0"/>
                <w:sz w:val="16"/>
                <w:szCs w:val="16"/>
              </w:rPr>
              <w:t>4.4</w:t>
            </w:r>
          </w:p>
        </w:tc>
        <w:tc>
          <w:tcPr>
            <w:tcW w:w="820" w:type="dxa"/>
            <w:noWrap w:val="0"/>
            <w:vAlign w:val="center"/>
          </w:tcPr>
          <w:p w14:paraId="0F5AD5B4">
            <w:pPr>
              <w:widowControl/>
              <w:jc w:val="center"/>
              <w:rPr>
                <w:rFonts w:ascii="宋体" w:hAnsi="宋体" w:cs="宋体"/>
                <w:kern w:val="0"/>
                <w:sz w:val="16"/>
                <w:szCs w:val="16"/>
              </w:rPr>
            </w:pPr>
            <w:r>
              <w:rPr>
                <w:rFonts w:hint="eastAsia" w:ascii="宋体" w:hAnsi="宋体" w:cs="宋体"/>
                <w:kern w:val="0"/>
                <w:sz w:val="16"/>
                <w:szCs w:val="16"/>
              </w:rPr>
              <w:t>2.2</w:t>
            </w:r>
          </w:p>
        </w:tc>
        <w:tc>
          <w:tcPr>
            <w:tcW w:w="800" w:type="dxa"/>
            <w:noWrap w:val="0"/>
            <w:vAlign w:val="center"/>
          </w:tcPr>
          <w:p w14:paraId="686A6E2F">
            <w:pPr>
              <w:widowControl/>
              <w:jc w:val="center"/>
              <w:rPr>
                <w:rFonts w:ascii="宋体" w:hAnsi="宋体" w:cs="宋体"/>
                <w:kern w:val="0"/>
                <w:sz w:val="16"/>
                <w:szCs w:val="16"/>
              </w:rPr>
            </w:pPr>
            <w:r>
              <w:rPr>
                <w:rFonts w:hint="eastAsia" w:ascii="宋体" w:hAnsi="宋体" w:cs="宋体"/>
                <w:kern w:val="0"/>
                <w:sz w:val="16"/>
                <w:szCs w:val="16"/>
              </w:rPr>
              <w:t>0.7</w:t>
            </w:r>
          </w:p>
        </w:tc>
        <w:tc>
          <w:tcPr>
            <w:tcW w:w="760" w:type="dxa"/>
            <w:noWrap w:val="0"/>
            <w:vAlign w:val="center"/>
          </w:tcPr>
          <w:p w14:paraId="19AF6550">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52024E8D">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380E9175">
            <w:pPr>
              <w:widowControl/>
              <w:jc w:val="center"/>
              <w:rPr>
                <w:rFonts w:ascii="宋体" w:hAnsi="宋体" w:cs="宋体"/>
                <w:kern w:val="0"/>
                <w:sz w:val="16"/>
                <w:szCs w:val="16"/>
              </w:rPr>
            </w:pPr>
            <w:r>
              <w:rPr>
                <w:rFonts w:hint="eastAsia" w:ascii="宋体" w:hAnsi="宋体" w:cs="宋体"/>
                <w:kern w:val="0"/>
                <w:sz w:val="16"/>
                <w:szCs w:val="16"/>
              </w:rPr>
              <w:t>1.54</w:t>
            </w:r>
          </w:p>
        </w:tc>
        <w:tc>
          <w:tcPr>
            <w:tcW w:w="1140" w:type="dxa"/>
            <w:noWrap w:val="0"/>
            <w:vAlign w:val="center"/>
          </w:tcPr>
          <w:p w14:paraId="23B123B6">
            <w:pPr>
              <w:widowControl/>
              <w:jc w:val="center"/>
              <w:rPr>
                <w:rFonts w:ascii="宋体" w:hAnsi="宋体" w:cs="宋体"/>
                <w:kern w:val="0"/>
                <w:sz w:val="16"/>
                <w:szCs w:val="16"/>
              </w:rPr>
            </w:pPr>
            <w:r>
              <w:rPr>
                <w:rFonts w:hint="eastAsia" w:ascii="宋体" w:hAnsi="宋体" w:cs="宋体"/>
                <w:kern w:val="0"/>
                <w:sz w:val="16"/>
                <w:szCs w:val="16"/>
              </w:rPr>
              <w:t xml:space="preserve">1.16 </w:t>
            </w:r>
          </w:p>
        </w:tc>
        <w:tc>
          <w:tcPr>
            <w:tcW w:w="940" w:type="dxa"/>
            <w:noWrap w:val="0"/>
            <w:vAlign w:val="center"/>
          </w:tcPr>
          <w:p w14:paraId="29D1363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9F9F20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1E31035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16FF63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7BFE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2E6A4F07">
            <w:pPr>
              <w:widowControl/>
              <w:jc w:val="center"/>
              <w:rPr>
                <w:rFonts w:ascii="宋体" w:hAnsi="宋体" w:cs="宋体"/>
                <w:kern w:val="0"/>
                <w:sz w:val="16"/>
                <w:szCs w:val="16"/>
              </w:rPr>
            </w:pPr>
            <w:r>
              <w:rPr>
                <w:rFonts w:hint="eastAsia" w:ascii="宋体" w:hAnsi="宋体" w:cs="宋体"/>
                <w:kern w:val="0"/>
                <w:sz w:val="16"/>
                <w:szCs w:val="16"/>
              </w:rPr>
              <w:t>2</w:t>
            </w:r>
          </w:p>
        </w:tc>
        <w:tc>
          <w:tcPr>
            <w:tcW w:w="1900" w:type="dxa"/>
            <w:noWrap w:val="0"/>
            <w:vAlign w:val="center"/>
          </w:tcPr>
          <w:p w14:paraId="6DFA54F6">
            <w:pPr>
              <w:widowControl/>
              <w:jc w:val="center"/>
              <w:rPr>
                <w:rFonts w:ascii="宋体" w:hAnsi="宋体" w:cs="宋体"/>
                <w:kern w:val="0"/>
                <w:sz w:val="16"/>
                <w:szCs w:val="16"/>
              </w:rPr>
            </w:pPr>
            <w:r>
              <w:rPr>
                <w:rFonts w:hint="eastAsia" w:ascii="宋体" w:hAnsi="宋体" w:cs="宋体"/>
                <w:kern w:val="0"/>
                <w:sz w:val="16"/>
                <w:szCs w:val="16"/>
              </w:rPr>
              <w:t>压风机房</w:t>
            </w:r>
          </w:p>
        </w:tc>
        <w:tc>
          <w:tcPr>
            <w:tcW w:w="804" w:type="dxa"/>
            <w:noWrap w:val="0"/>
            <w:vAlign w:val="center"/>
          </w:tcPr>
          <w:p w14:paraId="53F208A9">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2096D78C">
            <w:pPr>
              <w:widowControl/>
              <w:jc w:val="center"/>
              <w:rPr>
                <w:rFonts w:ascii="宋体" w:hAnsi="宋体" w:cs="宋体"/>
                <w:kern w:val="0"/>
                <w:sz w:val="16"/>
                <w:szCs w:val="16"/>
              </w:rPr>
            </w:pPr>
            <w:r>
              <w:rPr>
                <w:rFonts w:hint="eastAsia" w:ascii="宋体" w:hAnsi="宋体" w:cs="宋体"/>
                <w:kern w:val="0"/>
                <w:sz w:val="16"/>
                <w:szCs w:val="16"/>
              </w:rPr>
              <w:t>3</w:t>
            </w:r>
          </w:p>
        </w:tc>
        <w:tc>
          <w:tcPr>
            <w:tcW w:w="720" w:type="dxa"/>
            <w:noWrap w:val="0"/>
            <w:vAlign w:val="center"/>
          </w:tcPr>
          <w:p w14:paraId="42DAD043">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289B7DB1">
            <w:pPr>
              <w:widowControl/>
              <w:jc w:val="center"/>
              <w:rPr>
                <w:rFonts w:ascii="宋体" w:hAnsi="宋体" w:cs="宋体"/>
                <w:kern w:val="0"/>
                <w:sz w:val="16"/>
                <w:szCs w:val="16"/>
              </w:rPr>
            </w:pPr>
            <w:r>
              <w:rPr>
                <w:rFonts w:hint="eastAsia" w:ascii="宋体" w:hAnsi="宋体" w:cs="宋体"/>
                <w:kern w:val="0"/>
                <w:sz w:val="16"/>
                <w:szCs w:val="16"/>
              </w:rPr>
              <w:t>2250</w:t>
            </w:r>
          </w:p>
        </w:tc>
        <w:tc>
          <w:tcPr>
            <w:tcW w:w="820" w:type="dxa"/>
            <w:noWrap w:val="0"/>
            <w:vAlign w:val="center"/>
          </w:tcPr>
          <w:p w14:paraId="74CC2FB9">
            <w:pPr>
              <w:widowControl/>
              <w:jc w:val="center"/>
              <w:rPr>
                <w:rFonts w:ascii="宋体" w:hAnsi="宋体" w:cs="宋体"/>
                <w:kern w:val="0"/>
                <w:sz w:val="16"/>
                <w:szCs w:val="16"/>
              </w:rPr>
            </w:pPr>
            <w:r>
              <w:rPr>
                <w:rFonts w:hint="eastAsia" w:ascii="宋体" w:hAnsi="宋体" w:cs="宋体"/>
                <w:kern w:val="0"/>
                <w:sz w:val="16"/>
                <w:szCs w:val="16"/>
              </w:rPr>
              <w:t>150</w:t>
            </w:r>
          </w:p>
        </w:tc>
        <w:tc>
          <w:tcPr>
            <w:tcW w:w="800" w:type="dxa"/>
            <w:noWrap w:val="0"/>
            <w:vAlign w:val="center"/>
          </w:tcPr>
          <w:p w14:paraId="59458373">
            <w:pPr>
              <w:widowControl/>
              <w:jc w:val="center"/>
              <w:rPr>
                <w:rFonts w:ascii="宋体" w:hAnsi="宋体" w:cs="宋体"/>
                <w:kern w:val="0"/>
                <w:sz w:val="16"/>
                <w:szCs w:val="16"/>
              </w:rPr>
            </w:pPr>
            <w:r>
              <w:rPr>
                <w:rFonts w:hint="eastAsia" w:ascii="宋体" w:hAnsi="宋体" w:cs="宋体"/>
                <w:kern w:val="0"/>
                <w:sz w:val="16"/>
                <w:szCs w:val="16"/>
              </w:rPr>
              <w:t>0.7</w:t>
            </w:r>
          </w:p>
        </w:tc>
        <w:tc>
          <w:tcPr>
            <w:tcW w:w="760" w:type="dxa"/>
            <w:noWrap w:val="0"/>
            <w:vAlign w:val="center"/>
          </w:tcPr>
          <w:p w14:paraId="15376226">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73A34FD5">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1AAE7084">
            <w:pPr>
              <w:widowControl/>
              <w:jc w:val="center"/>
              <w:rPr>
                <w:rFonts w:ascii="宋体" w:hAnsi="宋体" w:cs="宋体"/>
                <w:kern w:val="0"/>
                <w:sz w:val="16"/>
                <w:szCs w:val="16"/>
              </w:rPr>
            </w:pPr>
            <w:r>
              <w:rPr>
                <w:rFonts w:hint="eastAsia" w:ascii="宋体" w:hAnsi="宋体" w:cs="宋体"/>
                <w:kern w:val="0"/>
                <w:sz w:val="16"/>
                <w:szCs w:val="16"/>
              </w:rPr>
              <w:t>105.00</w:t>
            </w:r>
          </w:p>
        </w:tc>
        <w:tc>
          <w:tcPr>
            <w:tcW w:w="1140" w:type="dxa"/>
            <w:noWrap w:val="0"/>
            <w:vAlign w:val="center"/>
          </w:tcPr>
          <w:p w14:paraId="595704A3">
            <w:pPr>
              <w:widowControl/>
              <w:jc w:val="center"/>
              <w:rPr>
                <w:rFonts w:ascii="宋体" w:hAnsi="宋体" w:cs="宋体"/>
                <w:kern w:val="0"/>
                <w:sz w:val="16"/>
                <w:szCs w:val="16"/>
              </w:rPr>
            </w:pPr>
            <w:r>
              <w:rPr>
                <w:rFonts w:hint="eastAsia" w:ascii="宋体" w:hAnsi="宋体" w:cs="宋体"/>
                <w:kern w:val="0"/>
                <w:sz w:val="16"/>
                <w:szCs w:val="16"/>
              </w:rPr>
              <w:t>78.75</w:t>
            </w:r>
          </w:p>
        </w:tc>
        <w:tc>
          <w:tcPr>
            <w:tcW w:w="940" w:type="dxa"/>
            <w:noWrap w:val="0"/>
            <w:vAlign w:val="center"/>
          </w:tcPr>
          <w:p w14:paraId="67680AA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984882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21E7CDB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3B57BDA">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3FE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0C8359D">
            <w:pPr>
              <w:widowControl/>
              <w:jc w:val="center"/>
              <w:rPr>
                <w:rFonts w:ascii="宋体" w:hAnsi="宋体" w:cs="宋体"/>
                <w:kern w:val="0"/>
                <w:sz w:val="16"/>
                <w:szCs w:val="16"/>
              </w:rPr>
            </w:pPr>
            <w:r>
              <w:rPr>
                <w:rFonts w:hint="eastAsia" w:ascii="宋体" w:hAnsi="宋体" w:cs="宋体"/>
                <w:kern w:val="0"/>
                <w:sz w:val="16"/>
                <w:szCs w:val="16"/>
              </w:rPr>
              <w:t>3</w:t>
            </w:r>
          </w:p>
        </w:tc>
        <w:tc>
          <w:tcPr>
            <w:tcW w:w="1900" w:type="dxa"/>
            <w:noWrap w:val="0"/>
            <w:vAlign w:val="center"/>
          </w:tcPr>
          <w:p w14:paraId="4229BE87">
            <w:pPr>
              <w:widowControl/>
              <w:jc w:val="center"/>
              <w:rPr>
                <w:rFonts w:ascii="宋体" w:hAnsi="宋体" w:cs="宋体"/>
                <w:kern w:val="0"/>
                <w:sz w:val="16"/>
                <w:szCs w:val="16"/>
              </w:rPr>
            </w:pPr>
            <w:r>
              <w:rPr>
                <w:rFonts w:hint="eastAsia" w:ascii="宋体" w:hAnsi="宋体" w:cs="宋体"/>
                <w:kern w:val="0"/>
                <w:sz w:val="16"/>
                <w:szCs w:val="16"/>
              </w:rPr>
              <w:t>瓦斯抽放站</w:t>
            </w:r>
          </w:p>
        </w:tc>
        <w:tc>
          <w:tcPr>
            <w:tcW w:w="804" w:type="dxa"/>
            <w:noWrap w:val="0"/>
            <w:vAlign w:val="center"/>
          </w:tcPr>
          <w:p w14:paraId="713BCE9C">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3BF17FFF">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09729B1C">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7B60CCD9">
            <w:pPr>
              <w:widowControl/>
              <w:jc w:val="center"/>
              <w:rPr>
                <w:rFonts w:ascii="宋体" w:hAnsi="宋体" w:cs="宋体"/>
                <w:kern w:val="0"/>
                <w:sz w:val="16"/>
                <w:szCs w:val="16"/>
              </w:rPr>
            </w:pPr>
            <w:r>
              <w:rPr>
                <w:rFonts w:hint="eastAsia" w:ascii="宋体" w:hAnsi="宋体" w:cs="宋体"/>
                <w:kern w:val="0"/>
                <w:sz w:val="16"/>
                <w:szCs w:val="16"/>
              </w:rPr>
              <w:t>　</w:t>
            </w:r>
          </w:p>
        </w:tc>
        <w:tc>
          <w:tcPr>
            <w:tcW w:w="820" w:type="dxa"/>
            <w:noWrap w:val="0"/>
            <w:vAlign w:val="center"/>
          </w:tcPr>
          <w:p w14:paraId="43ABC2DD">
            <w:pPr>
              <w:widowControl/>
              <w:jc w:val="center"/>
              <w:rPr>
                <w:rFonts w:ascii="宋体" w:hAnsi="宋体" w:cs="宋体"/>
                <w:kern w:val="0"/>
                <w:sz w:val="16"/>
                <w:szCs w:val="16"/>
              </w:rPr>
            </w:pPr>
            <w:r>
              <w:rPr>
                <w:rFonts w:hint="eastAsia" w:ascii="宋体" w:hAnsi="宋体" w:cs="宋体"/>
                <w:kern w:val="0"/>
                <w:sz w:val="16"/>
                <w:szCs w:val="16"/>
              </w:rPr>
              <w:t>　</w:t>
            </w:r>
          </w:p>
        </w:tc>
        <w:tc>
          <w:tcPr>
            <w:tcW w:w="800" w:type="dxa"/>
            <w:noWrap w:val="0"/>
            <w:vAlign w:val="center"/>
          </w:tcPr>
          <w:p w14:paraId="78FAD1C8">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8862AFC">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1F8B0085">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3E4415FA">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17684D9C">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0B94789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EC2BCC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19ACEAB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43C7C372">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1B1C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6C080311">
            <w:pPr>
              <w:widowControl/>
              <w:jc w:val="left"/>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58305BE0">
            <w:pPr>
              <w:widowControl/>
              <w:jc w:val="center"/>
              <w:rPr>
                <w:rFonts w:ascii="宋体" w:hAnsi="宋体" w:cs="宋体"/>
                <w:kern w:val="0"/>
                <w:sz w:val="16"/>
                <w:szCs w:val="16"/>
              </w:rPr>
            </w:pPr>
            <w:r>
              <w:rPr>
                <w:rFonts w:hint="eastAsia" w:ascii="宋体" w:hAnsi="宋体" w:cs="宋体"/>
                <w:kern w:val="0"/>
                <w:sz w:val="16"/>
                <w:szCs w:val="16"/>
              </w:rPr>
              <w:t>瓦斯抽放泵</w:t>
            </w:r>
          </w:p>
        </w:tc>
        <w:tc>
          <w:tcPr>
            <w:tcW w:w="804" w:type="dxa"/>
            <w:noWrap w:val="0"/>
            <w:vAlign w:val="center"/>
          </w:tcPr>
          <w:p w14:paraId="496B72C7">
            <w:pPr>
              <w:widowControl/>
              <w:jc w:val="center"/>
              <w:rPr>
                <w:rFonts w:ascii="宋体" w:hAnsi="宋体" w:cs="宋体"/>
                <w:kern w:val="0"/>
                <w:sz w:val="16"/>
                <w:szCs w:val="16"/>
              </w:rPr>
            </w:pPr>
            <w:r>
              <w:rPr>
                <w:rFonts w:hint="eastAsia" w:ascii="宋体" w:hAnsi="宋体" w:cs="宋体"/>
                <w:kern w:val="0"/>
                <w:sz w:val="16"/>
                <w:szCs w:val="16"/>
              </w:rPr>
              <w:t>0.66</w:t>
            </w:r>
          </w:p>
        </w:tc>
        <w:tc>
          <w:tcPr>
            <w:tcW w:w="697" w:type="dxa"/>
            <w:noWrap w:val="0"/>
            <w:vAlign w:val="center"/>
          </w:tcPr>
          <w:p w14:paraId="6360C1A7">
            <w:pPr>
              <w:widowControl/>
              <w:jc w:val="center"/>
              <w:rPr>
                <w:rFonts w:ascii="宋体" w:hAnsi="宋体" w:cs="宋体"/>
                <w:kern w:val="0"/>
                <w:sz w:val="16"/>
                <w:szCs w:val="16"/>
              </w:rPr>
            </w:pPr>
            <w:r>
              <w:rPr>
                <w:rFonts w:hint="eastAsia" w:ascii="宋体" w:hAnsi="宋体" w:cs="宋体"/>
                <w:kern w:val="0"/>
                <w:sz w:val="16"/>
                <w:szCs w:val="16"/>
              </w:rPr>
              <w:t>4</w:t>
            </w:r>
          </w:p>
        </w:tc>
        <w:tc>
          <w:tcPr>
            <w:tcW w:w="720" w:type="dxa"/>
            <w:noWrap w:val="0"/>
            <w:vAlign w:val="center"/>
          </w:tcPr>
          <w:p w14:paraId="676BA745">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136567D8">
            <w:pPr>
              <w:widowControl/>
              <w:jc w:val="center"/>
              <w:rPr>
                <w:rFonts w:ascii="宋体" w:hAnsi="宋体" w:cs="宋体"/>
                <w:kern w:val="0"/>
                <w:sz w:val="16"/>
                <w:szCs w:val="16"/>
              </w:rPr>
            </w:pPr>
            <w:r>
              <w:rPr>
                <w:rFonts w:hint="eastAsia" w:ascii="宋体" w:hAnsi="宋体" w:cs="宋体"/>
                <w:kern w:val="0"/>
                <w:sz w:val="16"/>
                <w:szCs w:val="16"/>
              </w:rPr>
              <w:t>484</w:t>
            </w:r>
          </w:p>
        </w:tc>
        <w:tc>
          <w:tcPr>
            <w:tcW w:w="820" w:type="dxa"/>
            <w:noWrap w:val="0"/>
            <w:vAlign w:val="center"/>
          </w:tcPr>
          <w:p w14:paraId="7DDC6053">
            <w:pPr>
              <w:widowControl/>
              <w:jc w:val="center"/>
              <w:rPr>
                <w:rFonts w:ascii="宋体" w:hAnsi="宋体" w:cs="宋体"/>
                <w:kern w:val="0"/>
                <w:sz w:val="16"/>
                <w:szCs w:val="16"/>
              </w:rPr>
            </w:pPr>
            <w:r>
              <w:rPr>
                <w:rFonts w:hint="eastAsia" w:ascii="宋体" w:hAnsi="宋体" w:cs="宋体"/>
                <w:kern w:val="0"/>
                <w:sz w:val="16"/>
                <w:szCs w:val="16"/>
              </w:rPr>
              <w:t>242</w:t>
            </w:r>
          </w:p>
        </w:tc>
        <w:tc>
          <w:tcPr>
            <w:tcW w:w="800" w:type="dxa"/>
            <w:noWrap w:val="0"/>
            <w:vAlign w:val="center"/>
          </w:tcPr>
          <w:p w14:paraId="6D8567C7">
            <w:pPr>
              <w:widowControl/>
              <w:jc w:val="center"/>
              <w:rPr>
                <w:rFonts w:ascii="宋体" w:hAnsi="宋体" w:cs="宋体"/>
                <w:kern w:val="0"/>
                <w:sz w:val="16"/>
                <w:szCs w:val="16"/>
              </w:rPr>
            </w:pPr>
            <w:r>
              <w:rPr>
                <w:rFonts w:hint="eastAsia" w:ascii="宋体" w:hAnsi="宋体" w:cs="宋体"/>
                <w:kern w:val="0"/>
                <w:sz w:val="16"/>
                <w:szCs w:val="16"/>
              </w:rPr>
              <w:t>0.7</w:t>
            </w:r>
          </w:p>
        </w:tc>
        <w:tc>
          <w:tcPr>
            <w:tcW w:w="760" w:type="dxa"/>
            <w:noWrap w:val="0"/>
            <w:vAlign w:val="center"/>
          </w:tcPr>
          <w:p w14:paraId="4720CB61">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4EAAC757">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35D2CBE3">
            <w:pPr>
              <w:widowControl/>
              <w:jc w:val="center"/>
              <w:rPr>
                <w:rFonts w:ascii="宋体" w:hAnsi="宋体" w:cs="宋体"/>
                <w:kern w:val="0"/>
                <w:sz w:val="16"/>
                <w:szCs w:val="16"/>
              </w:rPr>
            </w:pPr>
            <w:r>
              <w:rPr>
                <w:rFonts w:hint="eastAsia" w:ascii="宋体" w:hAnsi="宋体" w:cs="宋体"/>
                <w:kern w:val="0"/>
                <w:sz w:val="16"/>
                <w:szCs w:val="16"/>
              </w:rPr>
              <w:t>169.04</w:t>
            </w:r>
          </w:p>
        </w:tc>
        <w:tc>
          <w:tcPr>
            <w:tcW w:w="1140" w:type="dxa"/>
            <w:noWrap w:val="0"/>
            <w:vAlign w:val="center"/>
          </w:tcPr>
          <w:p w14:paraId="592E3CAC">
            <w:pPr>
              <w:widowControl/>
              <w:jc w:val="center"/>
              <w:rPr>
                <w:rFonts w:ascii="宋体" w:hAnsi="宋体" w:cs="宋体"/>
                <w:kern w:val="0"/>
                <w:sz w:val="16"/>
                <w:szCs w:val="16"/>
              </w:rPr>
            </w:pPr>
            <w:r>
              <w:rPr>
                <w:rFonts w:hint="eastAsia" w:ascii="宋体" w:hAnsi="宋体" w:cs="宋体"/>
                <w:kern w:val="0"/>
                <w:sz w:val="16"/>
                <w:szCs w:val="16"/>
              </w:rPr>
              <w:t>127.05</w:t>
            </w:r>
          </w:p>
        </w:tc>
        <w:tc>
          <w:tcPr>
            <w:tcW w:w="940" w:type="dxa"/>
            <w:noWrap w:val="0"/>
            <w:vAlign w:val="center"/>
          </w:tcPr>
          <w:p w14:paraId="45A370F9">
            <w:pPr>
              <w:widowControl/>
              <w:jc w:val="center"/>
              <w:rPr>
                <w:rFonts w:ascii="宋体" w:hAnsi="宋体" w:cs="宋体"/>
                <w:kern w:val="0"/>
                <w:sz w:val="16"/>
                <w:szCs w:val="16"/>
              </w:rPr>
            </w:pPr>
            <w:r>
              <w:rPr>
                <w:rFonts w:hint="eastAsia" w:ascii="宋体" w:hAnsi="宋体" w:cs="宋体"/>
                <w:kern w:val="0"/>
                <w:sz w:val="16"/>
                <w:szCs w:val="16"/>
              </w:rPr>
              <w:t>211.75</w:t>
            </w:r>
          </w:p>
        </w:tc>
        <w:tc>
          <w:tcPr>
            <w:tcW w:w="1027" w:type="dxa"/>
            <w:noWrap w:val="0"/>
            <w:vAlign w:val="center"/>
          </w:tcPr>
          <w:p w14:paraId="484CFF2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76AB63C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6C9BF610">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46B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6B7CC2D1">
            <w:pPr>
              <w:widowControl/>
              <w:jc w:val="left"/>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786C1C67">
            <w:pPr>
              <w:widowControl/>
              <w:jc w:val="center"/>
              <w:rPr>
                <w:rFonts w:ascii="宋体" w:hAnsi="宋体" w:cs="宋体"/>
                <w:kern w:val="0"/>
                <w:sz w:val="16"/>
                <w:szCs w:val="16"/>
              </w:rPr>
            </w:pPr>
            <w:r>
              <w:rPr>
                <w:rFonts w:hint="eastAsia" w:ascii="宋体" w:hAnsi="宋体" w:cs="宋体"/>
                <w:kern w:val="0"/>
                <w:sz w:val="16"/>
                <w:szCs w:val="16"/>
              </w:rPr>
              <w:t>冷却泵</w:t>
            </w:r>
          </w:p>
        </w:tc>
        <w:tc>
          <w:tcPr>
            <w:tcW w:w="804" w:type="dxa"/>
            <w:noWrap w:val="0"/>
            <w:vAlign w:val="center"/>
          </w:tcPr>
          <w:p w14:paraId="36B0600E">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38A7C272">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06D18D8F">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3C66DD3">
            <w:pPr>
              <w:widowControl/>
              <w:jc w:val="center"/>
              <w:rPr>
                <w:rFonts w:ascii="宋体" w:hAnsi="宋体" w:cs="宋体"/>
                <w:kern w:val="0"/>
                <w:sz w:val="16"/>
                <w:szCs w:val="16"/>
              </w:rPr>
            </w:pPr>
            <w:r>
              <w:rPr>
                <w:rFonts w:hint="eastAsia" w:ascii="宋体" w:hAnsi="宋体" w:cs="宋体"/>
                <w:kern w:val="0"/>
                <w:sz w:val="16"/>
                <w:szCs w:val="16"/>
              </w:rPr>
              <w:t>4.4</w:t>
            </w:r>
          </w:p>
        </w:tc>
        <w:tc>
          <w:tcPr>
            <w:tcW w:w="820" w:type="dxa"/>
            <w:noWrap w:val="0"/>
            <w:vAlign w:val="center"/>
          </w:tcPr>
          <w:p w14:paraId="1A857A8B">
            <w:pPr>
              <w:widowControl/>
              <w:jc w:val="center"/>
              <w:rPr>
                <w:rFonts w:ascii="宋体" w:hAnsi="宋体" w:cs="宋体"/>
                <w:kern w:val="0"/>
                <w:sz w:val="16"/>
                <w:szCs w:val="16"/>
              </w:rPr>
            </w:pPr>
            <w:r>
              <w:rPr>
                <w:rFonts w:hint="eastAsia" w:ascii="宋体" w:hAnsi="宋体" w:cs="宋体"/>
                <w:kern w:val="0"/>
                <w:sz w:val="16"/>
                <w:szCs w:val="16"/>
              </w:rPr>
              <w:t>2.2</w:t>
            </w:r>
          </w:p>
        </w:tc>
        <w:tc>
          <w:tcPr>
            <w:tcW w:w="800" w:type="dxa"/>
            <w:noWrap w:val="0"/>
            <w:vAlign w:val="center"/>
          </w:tcPr>
          <w:p w14:paraId="75C13EF5">
            <w:pPr>
              <w:widowControl/>
              <w:jc w:val="center"/>
              <w:rPr>
                <w:rFonts w:ascii="宋体" w:hAnsi="宋体" w:cs="宋体"/>
                <w:kern w:val="0"/>
                <w:sz w:val="16"/>
                <w:szCs w:val="16"/>
              </w:rPr>
            </w:pPr>
            <w:r>
              <w:rPr>
                <w:rFonts w:hint="eastAsia" w:ascii="宋体" w:hAnsi="宋体" w:cs="宋体"/>
                <w:kern w:val="0"/>
                <w:sz w:val="16"/>
                <w:szCs w:val="16"/>
              </w:rPr>
              <w:t>0.7</w:t>
            </w:r>
          </w:p>
        </w:tc>
        <w:tc>
          <w:tcPr>
            <w:tcW w:w="760" w:type="dxa"/>
            <w:noWrap w:val="0"/>
            <w:vAlign w:val="center"/>
          </w:tcPr>
          <w:p w14:paraId="0207AE9B">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147A2FFA">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5C3933E5">
            <w:pPr>
              <w:widowControl/>
              <w:jc w:val="center"/>
              <w:rPr>
                <w:rFonts w:ascii="宋体" w:hAnsi="宋体" w:cs="宋体"/>
                <w:kern w:val="0"/>
                <w:sz w:val="16"/>
                <w:szCs w:val="16"/>
              </w:rPr>
            </w:pPr>
            <w:r>
              <w:rPr>
                <w:rFonts w:hint="eastAsia" w:ascii="宋体" w:hAnsi="宋体" w:cs="宋体"/>
                <w:kern w:val="0"/>
                <w:sz w:val="16"/>
                <w:szCs w:val="16"/>
              </w:rPr>
              <w:t>1.54</w:t>
            </w:r>
          </w:p>
        </w:tc>
        <w:tc>
          <w:tcPr>
            <w:tcW w:w="1140" w:type="dxa"/>
            <w:noWrap w:val="0"/>
            <w:vAlign w:val="center"/>
          </w:tcPr>
          <w:p w14:paraId="6BAA7A26">
            <w:pPr>
              <w:widowControl/>
              <w:jc w:val="center"/>
              <w:rPr>
                <w:rFonts w:ascii="宋体" w:hAnsi="宋体" w:cs="宋体"/>
                <w:kern w:val="0"/>
                <w:sz w:val="16"/>
                <w:szCs w:val="16"/>
              </w:rPr>
            </w:pPr>
            <w:r>
              <w:rPr>
                <w:rFonts w:hint="eastAsia" w:ascii="宋体" w:hAnsi="宋体" w:cs="宋体"/>
                <w:kern w:val="0"/>
                <w:sz w:val="16"/>
                <w:szCs w:val="16"/>
              </w:rPr>
              <w:t xml:space="preserve">1.16 </w:t>
            </w:r>
          </w:p>
        </w:tc>
        <w:tc>
          <w:tcPr>
            <w:tcW w:w="940" w:type="dxa"/>
            <w:noWrap w:val="0"/>
            <w:vAlign w:val="center"/>
          </w:tcPr>
          <w:p w14:paraId="7279232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C4A034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49F9549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00874BBD">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30A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6078EEBF">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2960C2D2">
            <w:pPr>
              <w:widowControl/>
              <w:jc w:val="center"/>
              <w:rPr>
                <w:rFonts w:ascii="宋体" w:hAnsi="宋体" w:cs="宋体"/>
                <w:kern w:val="0"/>
                <w:sz w:val="16"/>
                <w:szCs w:val="16"/>
              </w:rPr>
            </w:pPr>
            <w:r>
              <w:rPr>
                <w:rFonts w:hint="eastAsia" w:ascii="宋体" w:hAnsi="宋体" w:cs="宋体"/>
                <w:kern w:val="0"/>
                <w:sz w:val="16"/>
                <w:szCs w:val="16"/>
              </w:rPr>
              <w:t>小计</w:t>
            </w:r>
          </w:p>
        </w:tc>
        <w:tc>
          <w:tcPr>
            <w:tcW w:w="804" w:type="dxa"/>
            <w:noWrap w:val="0"/>
            <w:vAlign w:val="center"/>
          </w:tcPr>
          <w:p w14:paraId="08D4318C">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40880D21">
            <w:pPr>
              <w:widowControl/>
              <w:jc w:val="center"/>
              <w:rPr>
                <w:rFonts w:ascii="宋体" w:hAnsi="宋体" w:cs="宋体"/>
                <w:kern w:val="0"/>
                <w:sz w:val="16"/>
                <w:szCs w:val="16"/>
              </w:rPr>
            </w:pPr>
            <w:r>
              <w:rPr>
                <w:rFonts w:hint="eastAsia" w:ascii="宋体" w:hAnsi="宋体" w:cs="宋体"/>
                <w:kern w:val="0"/>
                <w:sz w:val="16"/>
                <w:szCs w:val="16"/>
              </w:rPr>
              <w:t>13</w:t>
            </w:r>
          </w:p>
        </w:tc>
        <w:tc>
          <w:tcPr>
            <w:tcW w:w="720" w:type="dxa"/>
            <w:noWrap w:val="0"/>
            <w:vAlign w:val="center"/>
          </w:tcPr>
          <w:p w14:paraId="641B7748">
            <w:pPr>
              <w:widowControl/>
              <w:jc w:val="center"/>
              <w:rPr>
                <w:rFonts w:ascii="宋体" w:hAnsi="宋体" w:cs="宋体"/>
                <w:kern w:val="0"/>
                <w:sz w:val="16"/>
                <w:szCs w:val="16"/>
              </w:rPr>
            </w:pPr>
            <w:r>
              <w:rPr>
                <w:rFonts w:hint="eastAsia" w:ascii="宋体" w:hAnsi="宋体" w:cs="宋体"/>
                <w:kern w:val="0"/>
                <w:sz w:val="16"/>
                <w:szCs w:val="16"/>
              </w:rPr>
              <w:t>7</w:t>
            </w:r>
          </w:p>
        </w:tc>
        <w:tc>
          <w:tcPr>
            <w:tcW w:w="720" w:type="dxa"/>
            <w:noWrap w:val="0"/>
            <w:vAlign w:val="center"/>
          </w:tcPr>
          <w:p w14:paraId="3686F223">
            <w:pPr>
              <w:widowControl/>
              <w:jc w:val="center"/>
              <w:rPr>
                <w:rFonts w:ascii="宋体" w:hAnsi="宋体" w:cs="宋体"/>
                <w:kern w:val="0"/>
                <w:sz w:val="16"/>
                <w:szCs w:val="16"/>
              </w:rPr>
            </w:pPr>
            <w:r>
              <w:rPr>
                <w:rFonts w:hint="eastAsia" w:ascii="宋体" w:hAnsi="宋体" w:cs="宋体"/>
                <w:kern w:val="0"/>
                <w:sz w:val="16"/>
                <w:szCs w:val="16"/>
              </w:rPr>
              <w:t>958.8</w:t>
            </w:r>
          </w:p>
        </w:tc>
        <w:tc>
          <w:tcPr>
            <w:tcW w:w="820" w:type="dxa"/>
            <w:noWrap w:val="0"/>
            <w:vAlign w:val="center"/>
          </w:tcPr>
          <w:p w14:paraId="6B0C5C50">
            <w:pPr>
              <w:widowControl/>
              <w:jc w:val="center"/>
              <w:rPr>
                <w:rFonts w:ascii="宋体" w:hAnsi="宋体" w:cs="宋体"/>
                <w:kern w:val="0"/>
                <w:sz w:val="16"/>
                <w:szCs w:val="16"/>
              </w:rPr>
            </w:pPr>
            <w:r>
              <w:rPr>
                <w:rFonts w:hint="eastAsia" w:ascii="宋体" w:hAnsi="宋体" w:cs="宋体"/>
                <w:kern w:val="0"/>
                <w:sz w:val="16"/>
                <w:szCs w:val="16"/>
              </w:rPr>
              <w:t>479.4</w:t>
            </w:r>
          </w:p>
        </w:tc>
        <w:tc>
          <w:tcPr>
            <w:tcW w:w="800" w:type="dxa"/>
            <w:noWrap w:val="0"/>
            <w:vAlign w:val="center"/>
          </w:tcPr>
          <w:p w14:paraId="264949FB">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092B7962">
            <w:pPr>
              <w:widowControl/>
              <w:jc w:val="center"/>
              <w:rPr>
                <w:rFonts w:ascii="宋体" w:hAnsi="宋体" w:cs="宋体"/>
                <w:kern w:val="0"/>
                <w:sz w:val="16"/>
                <w:szCs w:val="16"/>
              </w:rPr>
            </w:pPr>
            <w:r>
              <w:rPr>
                <w:rFonts w:hint="eastAsia" w:ascii="宋体" w:hAnsi="宋体" w:cs="宋体"/>
                <w:kern w:val="0"/>
                <w:sz w:val="16"/>
                <w:szCs w:val="16"/>
              </w:rPr>
              <w:t xml:space="preserve">0.80 </w:t>
            </w:r>
          </w:p>
        </w:tc>
        <w:tc>
          <w:tcPr>
            <w:tcW w:w="700" w:type="dxa"/>
            <w:noWrap w:val="0"/>
            <w:vAlign w:val="center"/>
          </w:tcPr>
          <w:p w14:paraId="5554C628">
            <w:pPr>
              <w:widowControl/>
              <w:jc w:val="center"/>
              <w:rPr>
                <w:rFonts w:ascii="宋体" w:hAnsi="宋体" w:cs="宋体"/>
                <w:kern w:val="0"/>
                <w:sz w:val="16"/>
                <w:szCs w:val="16"/>
              </w:rPr>
            </w:pPr>
            <w:r>
              <w:rPr>
                <w:rFonts w:hint="eastAsia" w:ascii="宋体" w:hAnsi="宋体" w:cs="宋体"/>
                <w:kern w:val="0"/>
                <w:sz w:val="16"/>
                <w:szCs w:val="16"/>
              </w:rPr>
              <w:t xml:space="preserve">0.75 </w:t>
            </w:r>
          </w:p>
        </w:tc>
        <w:tc>
          <w:tcPr>
            <w:tcW w:w="1080" w:type="dxa"/>
            <w:noWrap w:val="0"/>
            <w:vAlign w:val="center"/>
          </w:tcPr>
          <w:p w14:paraId="1D0BF386">
            <w:pPr>
              <w:widowControl/>
              <w:jc w:val="center"/>
              <w:rPr>
                <w:rFonts w:ascii="宋体" w:hAnsi="宋体" w:cs="宋体"/>
                <w:kern w:val="0"/>
                <w:sz w:val="16"/>
                <w:szCs w:val="16"/>
              </w:rPr>
            </w:pPr>
            <w:r>
              <w:rPr>
                <w:rFonts w:hint="eastAsia" w:ascii="宋体" w:hAnsi="宋体" w:cs="宋体"/>
                <w:kern w:val="0"/>
                <w:sz w:val="16"/>
                <w:szCs w:val="16"/>
              </w:rPr>
              <w:t>335.58</w:t>
            </w:r>
          </w:p>
        </w:tc>
        <w:tc>
          <w:tcPr>
            <w:tcW w:w="1140" w:type="dxa"/>
            <w:noWrap w:val="0"/>
            <w:vAlign w:val="center"/>
          </w:tcPr>
          <w:p w14:paraId="5AE6D771">
            <w:pPr>
              <w:widowControl/>
              <w:jc w:val="center"/>
              <w:rPr>
                <w:rFonts w:ascii="宋体" w:hAnsi="宋体" w:cs="宋体"/>
                <w:kern w:val="0"/>
                <w:sz w:val="16"/>
                <w:szCs w:val="16"/>
              </w:rPr>
            </w:pPr>
            <w:r>
              <w:rPr>
                <w:rFonts w:hint="eastAsia" w:ascii="宋体" w:hAnsi="宋体" w:cs="宋体"/>
                <w:kern w:val="0"/>
                <w:sz w:val="16"/>
                <w:szCs w:val="16"/>
              </w:rPr>
              <w:t xml:space="preserve">251.69 </w:t>
            </w:r>
          </w:p>
        </w:tc>
        <w:tc>
          <w:tcPr>
            <w:tcW w:w="940" w:type="dxa"/>
            <w:noWrap w:val="0"/>
            <w:vAlign w:val="center"/>
          </w:tcPr>
          <w:p w14:paraId="553F78C5">
            <w:pPr>
              <w:widowControl/>
              <w:jc w:val="center"/>
              <w:rPr>
                <w:rFonts w:ascii="宋体" w:hAnsi="宋体" w:cs="宋体"/>
                <w:kern w:val="0"/>
                <w:sz w:val="16"/>
                <w:szCs w:val="16"/>
              </w:rPr>
            </w:pPr>
            <w:r>
              <w:rPr>
                <w:rFonts w:hint="eastAsia" w:ascii="宋体" w:hAnsi="宋体" w:cs="宋体"/>
                <w:kern w:val="0"/>
                <w:sz w:val="16"/>
                <w:szCs w:val="16"/>
              </w:rPr>
              <w:t>419.48</w:t>
            </w:r>
          </w:p>
        </w:tc>
        <w:tc>
          <w:tcPr>
            <w:tcW w:w="1027" w:type="dxa"/>
            <w:noWrap w:val="0"/>
            <w:vAlign w:val="center"/>
          </w:tcPr>
          <w:p w14:paraId="22B5DBA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71C5D0C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405CC181">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C3E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6B778762">
            <w:pPr>
              <w:widowControl/>
              <w:jc w:val="center"/>
              <w:rPr>
                <w:rFonts w:ascii="宋体" w:hAnsi="宋体" w:cs="宋体"/>
                <w:kern w:val="0"/>
                <w:sz w:val="16"/>
                <w:szCs w:val="16"/>
              </w:rPr>
            </w:pPr>
            <w:r>
              <w:rPr>
                <w:rFonts w:hint="eastAsia" w:ascii="宋体" w:hAnsi="宋体" w:cs="宋体"/>
                <w:kern w:val="0"/>
                <w:sz w:val="16"/>
                <w:szCs w:val="16"/>
              </w:rPr>
              <w:t>二</w:t>
            </w:r>
          </w:p>
        </w:tc>
        <w:tc>
          <w:tcPr>
            <w:tcW w:w="1900" w:type="dxa"/>
            <w:noWrap w:val="0"/>
            <w:vAlign w:val="center"/>
          </w:tcPr>
          <w:p w14:paraId="46206E6C">
            <w:pPr>
              <w:widowControl/>
              <w:jc w:val="center"/>
              <w:rPr>
                <w:rFonts w:ascii="宋体" w:hAnsi="宋体" w:cs="宋体"/>
                <w:kern w:val="0"/>
                <w:sz w:val="16"/>
                <w:szCs w:val="16"/>
              </w:rPr>
            </w:pPr>
            <w:r>
              <w:rPr>
                <w:rFonts w:hint="eastAsia" w:ascii="宋体" w:hAnsi="宋体" w:cs="宋体"/>
                <w:kern w:val="0"/>
                <w:sz w:val="16"/>
                <w:szCs w:val="16"/>
              </w:rPr>
              <w:t>行政辅助设施</w:t>
            </w:r>
          </w:p>
        </w:tc>
        <w:tc>
          <w:tcPr>
            <w:tcW w:w="804" w:type="dxa"/>
            <w:noWrap w:val="0"/>
            <w:vAlign w:val="center"/>
          </w:tcPr>
          <w:p w14:paraId="5C726223">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311870EF">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08F42734">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0A01FBD9">
            <w:pPr>
              <w:widowControl/>
              <w:jc w:val="center"/>
              <w:rPr>
                <w:rFonts w:ascii="宋体" w:hAnsi="宋体" w:cs="宋体"/>
                <w:kern w:val="0"/>
                <w:sz w:val="16"/>
                <w:szCs w:val="16"/>
              </w:rPr>
            </w:pPr>
            <w:r>
              <w:rPr>
                <w:rFonts w:hint="eastAsia" w:ascii="宋体" w:hAnsi="宋体" w:cs="宋体"/>
                <w:kern w:val="0"/>
                <w:sz w:val="16"/>
                <w:szCs w:val="16"/>
              </w:rPr>
              <w:t>　</w:t>
            </w:r>
          </w:p>
        </w:tc>
        <w:tc>
          <w:tcPr>
            <w:tcW w:w="820" w:type="dxa"/>
            <w:noWrap w:val="0"/>
            <w:vAlign w:val="center"/>
          </w:tcPr>
          <w:p w14:paraId="6C32FB6D">
            <w:pPr>
              <w:widowControl/>
              <w:jc w:val="center"/>
              <w:rPr>
                <w:rFonts w:ascii="宋体" w:hAnsi="宋体" w:cs="宋体"/>
                <w:kern w:val="0"/>
                <w:sz w:val="16"/>
                <w:szCs w:val="16"/>
              </w:rPr>
            </w:pPr>
            <w:r>
              <w:rPr>
                <w:rFonts w:hint="eastAsia" w:ascii="宋体" w:hAnsi="宋体" w:cs="宋体"/>
                <w:kern w:val="0"/>
                <w:sz w:val="16"/>
                <w:szCs w:val="16"/>
              </w:rPr>
              <w:t>　</w:t>
            </w:r>
          </w:p>
        </w:tc>
        <w:tc>
          <w:tcPr>
            <w:tcW w:w="800" w:type="dxa"/>
            <w:noWrap w:val="0"/>
            <w:vAlign w:val="center"/>
          </w:tcPr>
          <w:p w14:paraId="76A40E18">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2C7B2C2E">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2162190F">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2E365B46">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0F3F79FE">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1602539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3F3ECBB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7D24617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9B6D3CC">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390F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0405038D">
            <w:pPr>
              <w:widowControl/>
              <w:jc w:val="center"/>
              <w:rPr>
                <w:rFonts w:ascii="宋体" w:hAnsi="宋体" w:cs="宋体"/>
                <w:kern w:val="0"/>
                <w:sz w:val="16"/>
                <w:szCs w:val="16"/>
              </w:rPr>
            </w:pPr>
            <w:r>
              <w:rPr>
                <w:rFonts w:hint="eastAsia" w:ascii="宋体" w:hAnsi="宋体" w:cs="宋体"/>
                <w:kern w:val="0"/>
                <w:sz w:val="16"/>
                <w:szCs w:val="16"/>
              </w:rPr>
              <w:t>1</w:t>
            </w:r>
          </w:p>
        </w:tc>
        <w:tc>
          <w:tcPr>
            <w:tcW w:w="1900" w:type="dxa"/>
            <w:noWrap w:val="0"/>
            <w:vAlign w:val="center"/>
          </w:tcPr>
          <w:p w14:paraId="2175D01D">
            <w:pPr>
              <w:widowControl/>
              <w:jc w:val="center"/>
              <w:rPr>
                <w:rFonts w:ascii="宋体" w:hAnsi="宋体" w:cs="宋体"/>
                <w:kern w:val="0"/>
                <w:sz w:val="16"/>
                <w:szCs w:val="16"/>
              </w:rPr>
            </w:pPr>
            <w:r>
              <w:rPr>
                <w:rFonts w:hint="eastAsia" w:ascii="宋体" w:hAnsi="宋体" w:cs="宋体"/>
                <w:kern w:val="0"/>
                <w:sz w:val="16"/>
                <w:szCs w:val="16"/>
              </w:rPr>
              <w:t>锅炉房</w:t>
            </w:r>
          </w:p>
        </w:tc>
        <w:tc>
          <w:tcPr>
            <w:tcW w:w="804" w:type="dxa"/>
            <w:noWrap w:val="0"/>
            <w:vAlign w:val="center"/>
          </w:tcPr>
          <w:p w14:paraId="77AECE07">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6669C8A8">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4457A5C4">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451ED313">
            <w:pPr>
              <w:widowControl/>
              <w:jc w:val="center"/>
              <w:rPr>
                <w:rFonts w:ascii="宋体" w:hAnsi="宋体" w:cs="宋体"/>
                <w:kern w:val="0"/>
                <w:sz w:val="16"/>
                <w:szCs w:val="16"/>
              </w:rPr>
            </w:pPr>
            <w:r>
              <w:rPr>
                <w:rFonts w:hint="eastAsia" w:ascii="宋体" w:hAnsi="宋体" w:cs="宋体"/>
                <w:kern w:val="0"/>
                <w:sz w:val="16"/>
                <w:szCs w:val="16"/>
              </w:rPr>
              <w:t>45</w:t>
            </w:r>
          </w:p>
        </w:tc>
        <w:tc>
          <w:tcPr>
            <w:tcW w:w="820" w:type="dxa"/>
            <w:noWrap w:val="0"/>
            <w:vAlign w:val="center"/>
          </w:tcPr>
          <w:p w14:paraId="6B4E13DD">
            <w:pPr>
              <w:widowControl/>
              <w:jc w:val="center"/>
              <w:rPr>
                <w:rFonts w:ascii="宋体" w:hAnsi="宋体" w:cs="宋体"/>
                <w:kern w:val="0"/>
                <w:sz w:val="16"/>
                <w:szCs w:val="16"/>
              </w:rPr>
            </w:pPr>
            <w:r>
              <w:rPr>
                <w:rFonts w:hint="eastAsia" w:ascii="宋体" w:hAnsi="宋体" w:cs="宋体"/>
                <w:kern w:val="0"/>
                <w:sz w:val="16"/>
                <w:szCs w:val="16"/>
              </w:rPr>
              <w:t>45</w:t>
            </w:r>
          </w:p>
        </w:tc>
        <w:tc>
          <w:tcPr>
            <w:tcW w:w="800" w:type="dxa"/>
            <w:noWrap w:val="0"/>
            <w:vAlign w:val="center"/>
          </w:tcPr>
          <w:p w14:paraId="47873077">
            <w:pPr>
              <w:widowControl/>
              <w:jc w:val="center"/>
              <w:rPr>
                <w:rFonts w:ascii="宋体" w:hAnsi="宋体" w:cs="宋体"/>
                <w:kern w:val="0"/>
                <w:sz w:val="16"/>
                <w:szCs w:val="16"/>
              </w:rPr>
            </w:pPr>
            <w:r>
              <w:rPr>
                <w:rFonts w:hint="eastAsia" w:ascii="宋体" w:hAnsi="宋体" w:cs="宋体"/>
                <w:kern w:val="0"/>
                <w:sz w:val="16"/>
                <w:szCs w:val="16"/>
              </w:rPr>
              <w:t xml:space="preserve">0.50 </w:t>
            </w:r>
          </w:p>
        </w:tc>
        <w:tc>
          <w:tcPr>
            <w:tcW w:w="760" w:type="dxa"/>
            <w:noWrap w:val="0"/>
            <w:vAlign w:val="center"/>
          </w:tcPr>
          <w:p w14:paraId="4D73E8B4">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00" w:type="dxa"/>
            <w:noWrap w:val="0"/>
            <w:vAlign w:val="center"/>
          </w:tcPr>
          <w:p w14:paraId="08B834B0">
            <w:pPr>
              <w:widowControl/>
              <w:jc w:val="center"/>
              <w:rPr>
                <w:rFonts w:ascii="宋体" w:hAnsi="宋体" w:cs="宋体"/>
                <w:kern w:val="0"/>
                <w:sz w:val="16"/>
                <w:szCs w:val="16"/>
              </w:rPr>
            </w:pPr>
            <w:r>
              <w:rPr>
                <w:rFonts w:hint="eastAsia" w:ascii="宋体" w:hAnsi="宋体" w:cs="宋体"/>
                <w:kern w:val="0"/>
                <w:sz w:val="16"/>
                <w:szCs w:val="16"/>
              </w:rPr>
              <w:t xml:space="preserve">1.02 </w:t>
            </w:r>
          </w:p>
        </w:tc>
        <w:tc>
          <w:tcPr>
            <w:tcW w:w="1080" w:type="dxa"/>
            <w:noWrap w:val="0"/>
            <w:vAlign w:val="center"/>
          </w:tcPr>
          <w:p w14:paraId="17179023">
            <w:pPr>
              <w:widowControl/>
              <w:jc w:val="center"/>
              <w:rPr>
                <w:rFonts w:ascii="宋体" w:hAnsi="宋体" w:cs="宋体"/>
                <w:kern w:val="0"/>
                <w:sz w:val="16"/>
                <w:szCs w:val="16"/>
              </w:rPr>
            </w:pPr>
            <w:r>
              <w:rPr>
                <w:rFonts w:hint="eastAsia" w:ascii="宋体" w:hAnsi="宋体" w:cs="宋体"/>
                <w:kern w:val="0"/>
                <w:sz w:val="16"/>
                <w:szCs w:val="16"/>
              </w:rPr>
              <w:t xml:space="preserve">22.50 </w:t>
            </w:r>
          </w:p>
        </w:tc>
        <w:tc>
          <w:tcPr>
            <w:tcW w:w="1140" w:type="dxa"/>
            <w:noWrap w:val="0"/>
            <w:vAlign w:val="center"/>
          </w:tcPr>
          <w:p w14:paraId="1C1058F5">
            <w:pPr>
              <w:widowControl/>
              <w:jc w:val="center"/>
              <w:rPr>
                <w:rFonts w:ascii="宋体" w:hAnsi="宋体" w:cs="宋体"/>
                <w:kern w:val="0"/>
                <w:sz w:val="16"/>
                <w:szCs w:val="16"/>
              </w:rPr>
            </w:pPr>
            <w:r>
              <w:rPr>
                <w:rFonts w:hint="eastAsia" w:ascii="宋体" w:hAnsi="宋体" w:cs="宋体"/>
                <w:kern w:val="0"/>
                <w:sz w:val="16"/>
                <w:szCs w:val="16"/>
              </w:rPr>
              <w:t xml:space="preserve">22.95 </w:t>
            </w:r>
          </w:p>
        </w:tc>
        <w:tc>
          <w:tcPr>
            <w:tcW w:w="940" w:type="dxa"/>
            <w:noWrap w:val="0"/>
            <w:vAlign w:val="center"/>
          </w:tcPr>
          <w:p w14:paraId="78E50B6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1E55C2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0F66815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0AD2D8C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r>
      <w:tr w14:paraId="3BE0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97A66D7">
            <w:pPr>
              <w:widowControl/>
              <w:jc w:val="center"/>
              <w:rPr>
                <w:rFonts w:ascii="宋体" w:hAnsi="宋体" w:cs="宋体"/>
                <w:kern w:val="0"/>
                <w:sz w:val="16"/>
                <w:szCs w:val="16"/>
              </w:rPr>
            </w:pPr>
            <w:r>
              <w:rPr>
                <w:rFonts w:hint="eastAsia" w:ascii="宋体" w:hAnsi="宋体" w:cs="宋体"/>
                <w:kern w:val="0"/>
                <w:sz w:val="16"/>
                <w:szCs w:val="16"/>
              </w:rPr>
              <w:t>2</w:t>
            </w:r>
          </w:p>
        </w:tc>
        <w:tc>
          <w:tcPr>
            <w:tcW w:w="1900" w:type="dxa"/>
            <w:noWrap w:val="0"/>
            <w:vAlign w:val="center"/>
          </w:tcPr>
          <w:p w14:paraId="76EB030D">
            <w:pPr>
              <w:widowControl/>
              <w:jc w:val="center"/>
              <w:rPr>
                <w:rFonts w:ascii="宋体" w:hAnsi="宋体" w:cs="宋体"/>
                <w:kern w:val="0"/>
                <w:sz w:val="16"/>
                <w:szCs w:val="16"/>
              </w:rPr>
            </w:pPr>
            <w:r>
              <w:rPr>
                <w:rFonts w:hint="eastAsia" w:ascii="宋体" w:hAnsi="宋体" w:cs="宋体"/>
                <w:kern w:val="0"/>
                <w:sz w:val="16"/>
                <w:szCs w:val="16"/>
              </w:rPr>
              <w:t>灯房、浴室、任务交待</w:t>
            </w:r>
          </w:p>
        </w:tc>
        <w:tc>
          <w:tcPr>
            <w:tcW w:w="804" w:type="dxa"/>
            <w:noWrap w:val="0"/>
            <w:vAlign w:val="center"/>
          </w:tcPr>
          <w:p w14:paraId="45A54E56">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7094B4A8">
            <w:pPr>
              <w:widowControl/>
              <w:jc w:val="center"/>
              <w:rPr>
                <w:rFonts w:ascii="宋体" w:hAnsi="宋体" w:cs="宋体"/>
                <w:kern w:val="0"/>
                <w:sz w:val="16"/>
                <w:szCs w:val="16"/>
              </w:rPr>
            </w:pPr>
            <w:r>
              <w:rPr>
                <w:rFonts w:hint="eastAsia" w:ascii="宋体" w:hAnsi="宋体" w:cs="宋体"/>
                <w:kern w:val="0"/>
                <w:sz w:val="16"/>
                <w:szCs w:val="16"/>
              </w:rPr>
              <w:t>7</w:t>
            </w:r>
          </w:p>
        </w:tc>
        <w:tc>
          <w:tcPr>
            <w:tcW w:w="720" w:type="dxa"/>
            <w:noWrap w:val="0"/>
            <w:vAlign w:val="center"/>
          </w:tcPr>
          <w:p w14:paraId="3C4F746C">
            <w:pPr>
              <w:widowControl/>
              <w:jc w:val="center"/>
              <w:rPr>
                <w:rFonts w:ascii="宋体" w:hAnsi="宋体" w:cs="宋体"/>
                <w:kern w:val="0"/>
                <w:sz w:val="16"/>
                <w:szCs w:val="16"/>
              </w:rPr>
            </w:pPr>
            <w:r>
              <w:rPr>
                <w:rFonts w:hint="eastAsia" w:ascii="宋体" w:hAnsi="宋体" w:cs="宋体"/>
                <w:kern w:val="0"/>
                <w:sz w:val="16"/>
                <w:szCs w:val="16"/>
              </w:rPr>
              <w:t>5</w:t>
            </w:r>
          </w:p>
        </w:tc>
        <w:tc>
          <w:tcPr>
            <w:tcW w:w="720" w:type="dxa"/>
            <w:noWrap w:val="0"/>
            <w:vAlign w:val="center"/>
          </w:tcPr>
          <w:p w14:paraId="5B070BAB">
            <w:pPr>
              <w:widowControl/>
              <w:jc w:val="center"/>
              <w:rPr>
                <w:rFonts w:ascii="宋体" w:hAnsi="宋体" w:cs="宋体"/>
                <w:kern w:val="0"/>
                <w:sz w:val="16"/>
                <w:szCs w:val="16"/>
              </w:rPr>
            </w:pPr>
            <w:r>
              <w:rPr>
                <w:rFonts w:hint="eastAsia" w:ascii="宋体" w:hAnsi="宋体" w:cs="宋体"/>
                <w:kern w:val="0"/>
                <w:sz w:val="16"/>
                <w:szCs w:val="16"/>
              </w:rPr>
              <w:t xml:space="preserve">5.25 </w:t>
            </w:r>
          </w:p>
        </w:tc>
        <w:tc>
          <w:tcPr>
            <w:tcW w:w="820" w:type="dxa"/>
            <w:noWrap w:val="0"/>
            <w:vAlign w:val="center"/>
          </w:tcPr>
          <w:p w14:paraId="4CB69D2B">
            <w:pPr>
              <w:widowControl/>
              <w:jc w:val="center"/>
              <w:rPr>
                <w:rFonts w:ascii="宋体" w:hAnsi="宋体" w:cs="宋体"/>
                <w:kern w:val="0"/>
                <w:sz w:val="16"/>
                <w:szCs w:val="16"/>
              </w:rPr>
            </w:pPr>
            <w:r>
              <w:rPr>
                <w:rFonts w:hint="eastAsia" w:ascii="宋体" w:hAnsi="宋体" w:cs="宋体"/>
                <w:kern w:val="0"/>
                <w:sz w:val="16"/>
                <w:szCs w:val="16"/>
              </w:rPr>
              <w:t xml:space="preserve">3.75 </w:t>
            </w:r>
          </w:p>
        </w:tc>
        <w:tc>
          <w:tcPr>
            <w:tcW w:w="800" w:type="dxa"/>
            <w:noWrap w:val="0"/>
            <w:vAlign w:val="center"/>
          </w:tcPr>
          <w:p w14:paraId="0CE84A73">
            <w:pPr>
              <w:widowControl/>
              <w:jc w:val="center"/>
              <w:rPr>
                <w:rFonts w:ascii="宋体" w:hAnsi="宋体" w:cs="宋体"/>
                <w:kern w:val="0"/>
                <w:sz w:val="16"/>
                <w:szCs w:val="16"/>
              </w:rPr>
            </w:pPr>
            <w:r>
              <w:rPr>
                <w:rFonts w:hint="eastAsia" w:ascii="宋体" w:hAnsi="宋体" w:cs="宋体"/>
                <w:kern w:val="0"/>
                <w:sz w:val="16"/>
                <w:szCs w:val="16"/>
              </w:rPr>
              <w:t xml:space="preserve">0.50 </w:t>
            </w:r>
          </w:p>
        </w:tc>
        <w:tc>
          <w:tcPr>
            <w:tcW w:w="760" w:type="dxa"/>
            <w:noWrap w:val="0"/>
            <w:vAlign w:val="center"/>
          </w:tcPr>
          <w:p w14:paraId="6101E44F">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00" w:type="dxa"/>
            <w:noWrap w:val="0"/>
            <w:vAlign w:val="center"/>
          </w:tcPr>
          <w:p w14:paraId="61B02070">
            <w:pPr>
              <w:widowControl/>
              <w:jc w:val="center"/>
              <w:rPr>
                <w:rFonts w:ascii="宋体" w:hAnsi="宋体" w:cs="宋体"/>
                <w:kern w:val="0"/>
                <w:sz w:val="16"/>
                <w:szCs w:val="16"/>
              </w:rPr>
            </w:pPr>
            <w:r>
              <w:rPr>
                <w:rFonts w:hint="eastAsia" w:ascii="宋体" w:hAnsi="宋体" w:cs="宋体"/>
                <w:kern w:val="0"/>
                <w:sz w:val="16"/>
                <w:szCs w:val="16"/>
              </w:rPr>
              <w:t xml:space="preserve">1.02 </w:t>
            </w:r>
          </w:p>
        </w:tc>
        <w:tc>
          <w:tcPr>
            <w:tcW w:w="1080" w:type="dxa"/>
            <w:noWrap w:val="0"/>
            <w:vAlign w:val="center"/>
          </w:tcPr>
          <w:p w14:paraId="7FAA9CD5">
            <w:pPr>
              <w:widowControl/>
              <w:jc w:val="center"/>
              <w:rPr>
                <w:rFonts w:ascii="宋体" w:hAnsi="宋体" w:cs="宋体"/>
                <w:kern w:val="0"/>
                <w:sz w:val="16"/>
                <w:szCs w:val="16"/>
              </w:rPr>
            </w:pPr>
            <w:r>
              <w:rPr>
                <w:rFonts w:hint="eastAsia" w:ascii="宋体" w:hAnsi="宋体" w:cs="宋体"/>
                <w:kern w:val="0"/>
                <w:sz w:val="16"/>
                <w:szCs w:val="16"/>
              </w:rPr>
              <w:t xml:space="preserve">1.88 </w:t>
            </w:r>
          </w:p>
        </w:tc>
        <w:tc>
          <w:tcPr>
            <w:tcW w:w="1140" w:type="dxa"/>
            <w:noWrap w:val="0"/>
            <w:vAlign w:val="center"/>
          </w:tcPr>
          <w:p w14:paraId="7893CB6B">
            <w:pPr>
              <w:widowControl/>
              <w:jc w:val="center"/>
              <w:rPr>
                <w:rFonts w:ascii="宋体" w:hAnsi="宋体" w:cs="宋体"/>
                <w:kern w:val="0"/>
                <w:sz w:val="16"/>
                <w:szCs w:val="16"/>
              </w:rPr>
            </w:pPr>
            <w:r>
              <w:rPr>
                <w:rFonts w:hint="eastAsia" w:ascii="宋体" w:hAnsi="宋体" w:cs="宋体"/>
                <w:kern w:val="0"/>
                <w:sz w:val="16"/>
                <w:szCs w:val="16"/>
              </w:rPr>
              <w:t xml:space="preserve">1.91 </w:t>
            </w:r>
          </w:p>
        </w:tc>
        <w:tc>
          <w:tcPr>
            <w:tcW w:w="940" w:type="dxa"/>
            <w:noWrap w:val="0"/>
            <w:vAlign w:val="center"/>
          </w:tcPr>
          <w:p w14:paraId="0DB126F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650AF5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4F85FC0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4479670F">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161C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1B087620">
            <w:pPr>
              <w:widowControl/>
              <w:jc w:val="center"/>
              <w:rPr>
                <w:rFonts w:ascii="宋体" w:hAnsi="宋体" w:cs="宋体"/>
                <w:kern w:val="0"/>
                <w:sz w:val="16"/>
                <w:szCs w:val="16"/>
              </w:rPr>
            </w:pPr>
            <w:r>
              <w:rPr>
                <w:rFonts w:hint="eastAsia" w:ascii="宋体" w:hAnsi="宋体" w:cs="宋体"/>
                <w:kern w:val="0"/>
                <w:sz w:val="16"/>
                <w:szCs w:val="16"/>
              </w:rPr>
              <w:t>3</w:t>
            </w:r>
          </w:p>
        </w:tc>
        <w:tc>
          <w:tcPr>
            <w:tcW w:w="1900" w:type="dxa"/>
            <w:noWrap w:val="0"/>
            <w:vAlign w:val="center"/>
          </w:tcPr>
          <w:p w14:paraId="58C1C49C">
            <w:pPr>
              <w:widowControl/>
              <w:jc w:val="center"/>
              <w:rPr>
                <w:rFonts w:ascii="宋体" w:hAnsi="宋体" w:cs="宋体"/>
                <w:kern w:val="0"/>
                <w:sz w:val="16"/>
                <w:szCs w:val="16"/>
              </w:rPr>
            </w:pPr>
            <w:r>
              <w:rPr>
                <w:rFonts w:hint="eastAsia" w:ascii="宋体" w:hAnsi="宋体" w:cs="宋体"/>
                <w:kern w:val="0"/>
                <w:sz w:val="16"/>
                <w:szCs w:val="16"/>
              </w:rPr>
              <w:t>洗衣机</w:t>
            </w:r>
          </w:p>
        </w:tc>
        <w:tc>
          <w:tcPr>
            <w:tcW w:w="804" w:type="dxa"/>
            <w:noWrap w:val="0"/>
            <w:vAlign w:val="center"/>
          </w:tcPr>
          <w:p w14:paraId="15705FD5">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35041767">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590D5B35">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6FB11437">
            <w:pPr>
              <w:widowControl/>
              <w:jc w:val="center"/>
              <w:rPr>
                <w:rFonts w:ascii="宋体" w:hAnsi="宋体" w:cs="宋体"/>
                <w:kern w:val="0"/>
                <w:sz w:val="16"/>
                <w:szCs w:val="16"/>
              </w:rPr>
            </w:pPr>
            <w:r>
              <w:rPr>
                <w:rFonts w:hint="eastAsia" w:ascii="宋体" w:hAnsi="宋体" w:cs="宋体"/>
                <w:kern w:val="0"/>
                <w:sz w:val="16"/>
                <w:szCs w:val="16"/>
              </w:rPr>
              <w:t xml:space="preserve">4.00 </w:t>
            </w:r>
          </w:p>
        </w:tc>
        <w:tc>
          <w:tcPr>
            <w:tcW w:w="820" w:type="dxa"/>
            <w:noWrap w:val="0"/>
            <w:vAlign w:val="center"/>
          </w:tcPr>
          <w:p w14:paraId="65C02FD2">
            <w:pPr>
              <w:widowControl/>
              <w:jc w:val="center"/>
              <w:rPr>
                <w:rFonts w:ascii="宋体" w:hAnsi="宋体" w:cs="宋体"/>
                <w:kern w:val="0"/>
                <w:sz w:val="16"/>
                <w:szCs w:val="16"/>
              </w:rPr>
            </w:pPr>
            <w:r>
              <w:rPr>
                <w:rFonts w:hint="eastAsia" w:ascii="宋体" w:hAnsi="宋体" w:cs="宋体"/>
                <w:kern w:val="0"/>
                <w:sz w:val="16"/>
                <w:szCs w:val="16"/>
              </w:rPr>
              <w:t xml:space="preserve">4.00 </w:t>
            </w:r>
          </w:p>
        </w:tc>
        <w:tc>
          <w:tcPr>
            <w:tcW w:w="800" w:type="dxa"/>
            <w:noWrap w:val="0"/>
            <w:vAlign w:val="center"/>
          </w:tcPr>
          <w:p w14:paraId="4DBEFCF6">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113E3D23">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FD20843">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00F9EF8C">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077FF408">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2BD58EC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580A966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27F6AD6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2BE78015">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5CCF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16C94CC1">
            <w:pPr>
              <w:widowControl/>
              <w:jc w:val="center"/>
              <w:rPr>
                <w:rFonts w:ascii="宋体" w:hAnsi="宋体" w:cs="宋体"/>
                <w:kern w:val="0"/>
                <w:sz w:val="16"/>
                <w:szCs w:val="16"/>
              </w:rPr>
            </w:pPr>
            <w:r>
              <w:rPr>
                <w:rFonts w:hint="eastAsia" w:ascii="宋体" w:hAnsi="宋体" w:cs="宋体"/>
                <w:kern w:val="0"/>
                <w:sz w:val="16"/>
                <w:szCs w:val="16"/>
              </w:rPr>
              <w:t>4</w:t>
            </w:r>
          </w:p>
        </w:tc>
        <w:tc>
          <w:tcPr>
            <w:tcW w:w="1900" w:type="dxa"/>
            <w:noWrap w:val="0"/>
            <w:vAlign w:val="center"/>
          </w:tcPr>
          <w:p w14:paraId="589A9643">
            <w:pPr>
              <w:widowControl/>
              <w:jc w:val="center"/>
              <w:rPr>
                <w:rFonts w:ascii="宋体" w:hAnsi="宋体" w:cs="宋体"/>
                <w:kern w:val="0"/>
                <w:sz w:val="16"/>
                <w:szCs w:val="16"/>
              </w:rPr>
            </w:pPr>
            <w:r>
              <w:rPr>
                <w:rFonts w:hint="eastAsia" w:ascii="宋体" w:hAnsi="宋体" w:cs="宋体"/>
                <w:kern w:val="0"/>
                <w:sz w:val="16"/>
                <w:szCs w:val="16"/>
              </w:rPr>
              <w:t>干衣机</w:t>
            </w:r>
          </w:p>
        </w:tc>
        <w:tc>
          <w:tcPr>
            <w:tcW w:w="804" w:type="dxa"/>
            <w:noWrap w:val="0"/>
            <w:vAlign w:val="center"/>
          </w:tcPr>
          <w:p w14:paraId="5DD81DE2">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390A2236">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41CBCE04">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0A5B86F9">
            <w:pPr>
              <w:widowControl/>
              <w:jc w:val="center"/>
              <w:rPr>
                <w:rFonts w:ascii="宋体" w:hAnsi="宋体" w:cs="宋体"/>
                <w:kern w:val="0"/>
                <w:sz w:val="16"/>
                <w:szCs w:val="16"/>
              </w:rPr>
            </w:pPr>
            <w:r>
              <w:rPr>
                <w:rFonts w:hint="eastAsia" w:ascii="宋体" w:hAnsi="宋体" w:cs="宋体"/>
                <w:kern w:val="0"/>
                <w:sz w:val="16"/>
                <w:szCs w:val="16"/>
              </w:rPr>
              <w:t xml:space="preserve">2.20 </w:t>
            </w:r>
          </w:p>
        </w:tc>
        <w:tc>
          <w:tcPr>
            <w:tcW w:w="820" w:type="dxa"/>
            <w:noWrap w:val="0"/>
            <w:vAlign w:val="center"/>
          </w:tcPr>
          <w:p w14:paraId="744B24BF">
            <w:pPr>
              <w:widowControl/>
              <w:jc w:val="center"/>
              <w:rPr>
                <w:rFonts w:ascii="宋体" w:hAnsi="宋体" w:cs="宋体"/>
                <w:kern w:val="0"/>
                <w:sz w:val="16"/>
                <w:szCs w:val="16"/>
              </w:rPr>
            </w:pPr>
            <w:r>
              <w:rPr>
                <w:rFonts w:hint="eastAsia" w:ascii="宋体" w:hAnsi="宋体" w:cs="宋体"/>
                <w:kern w:val="0"/>
                <w:sz w:val="16"/>
                <w:szCs w:val="16"/>
              </w:rPr>
              <w:t xml:space="preserve">2.20 </w:t>
            </w:r>
          </w:p>
        </w:tc>
        <w:tc>
          <w:tcPr>
            <w:tcW w:w="800" w:type="dxa"/>
            <w:noWrap w:val="0"/>
            <w:vAlign w:val="center"/>
          </w:tcPr>
          <w:p w14:paraId="7E18590A">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3B3A784E">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0BCA0C69">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230E9868">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53593CA8">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21CD141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6C88FEF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005FFDF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A52E1CA">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094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00E51AB5">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579D1ED4">
            <w:pPr>
              <w:widowControl/>
              <w:jc w:val="center"/>
              <w:rPr>
                <w:rFonts w:ascii="宋体" w:hAnsi="宋体" w:cs="宋体"/>
                <w:kern w:val="0"/>
                <w:sz w:val="16"/>
                <w:szCs w:val="16"/>
              </w:rPr>
            </w:pPr>
            <w:r>
              <w:rPr>
                <w:rFonts w:hint="eastAsia" w:ascii="宋体" w:hAnsi="宋体" w:cs="宋体"/>
                <w:kern w:val="0"/>
                <w:sz w:val="16"/>
                <w:szCs w:val="16"/>
              </w:rPr>
              <w:t>3～4小计</w:t>
            </w:r>
          </w:p>
        </w:tc>
        <w:tc>
          <w:tcPr>
            <w:tcW w:w="804" w:type="dxa"/>
            <w:noWrap w:val="0"/>
            <w:vAlign w:val="center"/>
          </w:tcPr>
          <w:p w14:paraId="63E6B5CB">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438EBCFC">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5955C443">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1CBBF04C">
            <w:pPr>
              <w:widowControl/>
              <w:jc w:val="center"/>
              <w:rPr>
                <w:rFonts w:ascii="宋体" w:hAnsi="宋体" w:cs="宋体"/>
                <w:kern w:val="0"/>
                <w:sz w:val="16"/>
                <w:szCs w:val="16"/>
              </w:rPr>
            </w:pPr>
            <w:r>
              <w:rPr>
                <w:rFonts w:hint="eastAsia" w:ascii="宋体" w:hAnsi="宋体" w:cs="宋体"/>
                <w:kern w:val="0"/>
                <w:sz w:val="16"/>
                <w:szCs w:val="16"/>
              </w:rPr>
              <w:t>6.2</w:t>
            </w:r>
          </w:p>
        </w:tc>
        <w:tc>
          <w:tcPr>
            <w:tcW w:w="820" w:type="dxa"/>
            <w:noWrap w:val="0"/>
            <w:vAlign w:val="center"/>
          </w:tcPr>
          <w:p w14:paraId="359D17A1">
            <w:pPr>
              <w:widowControl/>
              <w:jc w:val="center"/>
              <w:rPr>
                <w:rFonts w:ascii="宋体" w:hAnsi="宋体" w:cs="宋体"/>
                <w:kern w:val="0"/>
                <w:sz w:val="16"/>
                <w:szCs w:val="16"/>
              </w:rPr>
            </w:pPr>
            <w:r>
              <w:rPr>
                <w:rFonts w:hint="eastAsia" w:ascii="宋体" w:hAnsi="宋体" w:cs="宋体"/>
                <w:kern w:val="0"/>
                <w:sz w:val="16"/>
                <w:szCs w:val="16"/>
              </w:rPr>
              <w:t>6.2</w:t>
            </w:r>
          </w:p>
        </w:tc>
        <w:tc>
          <w:tcPr>
            <w:tcW w:w="800" w:type="dxa"/>
            <w:noWrap w:val="0"/>
            <w:vAlign w:val="center"/>
          </w:tcPr>
          <w:p w14:paraId="6FABDAA6">
            <w:pPr>
              <w:widowControl/>
              <w:jc w:val="center"/>
              <w:rPr>
                <w:rFonts w:ascii="宋体" w:hAnsi="宋体" w:cs="宋体"/>
                <w:kern w:val="0"/>
                <w:sz w:val="16"/>
                <w:szCs w:val="16"/>
              </w:rPr>
            </w:pPr>
            <w:r>
              <w:rPr>
                <w:rFonts w:hint="eastAsia" w:ascii="宋体" w:hAnsi="宋体" w:cs="宋体"/>
                <w:kern w:val="0"/>
                <w:sz w:val="16"/>
                <w:szCs w:val="16"/>
              </w:rPr>
              <w:t xml:space="preserve">0.40 </w:t>
            </w:r>
          </w:p>
        </w:tc>
        <w:tc>
          <w:tcPr>
            <w:tcW w:w="760" w:type="dxa"/>
            <w:noWrap w:val="0"/>
            <w:vAlign w:val="center"/>
          </w:tcPr>
          <w:p w14:paraId="44F9E034">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00" w:type="dxa"/>
            <w:noWrap w:val="0"/>
            <w:vAlign w:val="center"/>
          </w:tcPr>
          <w:p w14:paraId="77FEB578">
            <w:pPr>
              <w:widowControl/>
              <w:jc w:val="center"/>
              <w:rPr>
                <w:rFonts w:ascii="宋体" w:hAnsi="宋体" w:cs="宋体"/>
                <w:kern w:val="0"/>
                <w:sz w:val="16"/>
                <w:szCs w:val="16"/>
              </w:rPr>
            </w:pPr>
            <w:r>
              <w:rPr>
                <w:rFonts w:hint="eastAsia" w:ascii="宋体" w:hAnsi="宋体" w:cs="宋体"/>
                <w:kern w:val="0"/>
                <w:sz w:val="16"/>
                <w:szCs w:val="16"/>
              </w:rPr>
              <w:t xml:space="preserve">1.02 </w:t>
            </w:r>
          </w:p>
        </w:tc>
        <w:tc>
          <w:tcPr>
            <w:tcW w:w="1080" w:type="dxa"/>
            <w:noWrap w:val="0"/>
            <w:vAlign w:val="center"/>
          </w:tcPr>
          <w:p w14:paraId="5DEEEC52">
            <w:pPr>
              <w:widowControl/>
              <w:jc w:val="center"/>
              <w:rPr>
                <w:rFonts w:ascii="宋体" w:hAnsi="宋体" w:cs="宋体"/>
                <w:kern w:val="0"/>
                <w:sz w:val="16"/>
                <w:szCs w:val="16"/>
              </w:rPr>
            </w:pPr>
            <w:r>
              <w:rPr>
                <w:rFonts w:hint="eastAsia" w:ascii="宋体" w:hAnsi="宋体" w:cs="宋体"/>
                <w:kern w:val="0"/>
                <w:sz w:val="16"/>
                <w:szCs w:val="16"/>
              </w:rPr>
              <w:t xml:space="preserve">2.48 </w:t>
            </w:r>
          </w:p>
        </w:tc>
        <w:tc>
          <w:tcPr>
            <w:tcW w:w="1140" w:type="dxa"/>
            <w:noWrap w:val="0"/>
            <w:vAlign w:val="center"/>
          </w:tcPr>
          <w:p w14:paraId="32BFD7FC">
            <w:pPr>
              <w:widowControl/>
              <w:jc w:val="center"/>
              <w:rPr>
                <w:rFonts w:ascii="宋体" w:hAnsi="宋体" w:cs="宋体"/>
                <w:kern w:val="0"/>
                <w:sz w:val="16"/>
                <w:szCs w:val="16"/>
              </w:rPr>
            </w:pPr>
            <w:r>
              <w:rPr>
                <w:rFonts w:hint="eastAsia" w:ascii="宋体" w:hAnsi="宋体" w:cs="宋体"/>
                <w:kern w:val="0"/>
                <w:sz w:val="16"/>
                <w:szCs w:val="16"/>
              </w:rPr>
              <w:t xml:space="preserve">2.53 </w:t>
            </w:r>
          </w:p>
        </w:tc>
        <w:tc>
          <w:tcPr>
            <w:tcW w:w="940" w:type="dxa"/>
            <w:noWrap w:val="0"/>
            <w:vAlign w:val="center"/>
          </w:tcPr>
          <w:p w14:paraId="5961FBB4">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DAA16F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34586ED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79036EE">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3021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05751335">
            <w:pPr>
              <w:widowControl/>
              <w:jc w:val="center"/>
              <w:rPr>
                <w:rFonts w:ascii="宋体" w:hAnsi="宋体" w:cs="宋体"/>
                <w:kern w:val="0"/>
                <w:sz w:val="16"/>
                <w:szCs w:val="16"/>
              </w:rPr>
            </w:pPr>
            <w:r>
              <w:rPr>
                <w:rFonts w:hint="eastAsia" w:ascii="宋体" w:hAnsi="宋体" w:cs="宋体"/>
                <w:kern w:val="0"/>
                <w:sz w:val="16"/>
                <w:szCs w:val="16"/>
              </w:rPr>
              <w:t>三</w:t>
            </w:r>
          </w:p>
        </w:tc>
        <w:tc>
          <w:tcPr>
            <w:tcW w:w="1900" w:type="dxa"/>
            <w:noWrap w:val="0"/>
            <w:vAlign w:val="center"/>
          </w:tcPr>
          <w:p w14:paraId="7ABBCBBA">
            <w:pPr>
              <w:widowControl/>
              <w:jc w:val="center"/>
              <w:rPr>
                <w:rFonts w:ascii="宋体" w:hAnsi="宋体" w:cs="宋体"/>
                <w:kern w:val="0"/>
                <w:sz w:val="16"/>
                <w:szCs w:val="16"/>
              </w:rPr>
            </w:pPr>
            <w:r>
              <w:rPr>
                <w:rFonts w:hint="eastAsia" w:ascii="宋体" w:hAnsi="宋体" w:cs="宋体"/>
                <w:kern w:val="0"/>
                <w:sz w:val="16"/>
                <w:szCs w:val="16"/>
              </w:rPr>
              <w:t>地面生产系统</w:t>
            </w:r>
          </w:p>
        </w:tc>
        <w:tc>
          <w:tcPr>
            <w:tcW w:w="804" w:type="dxa"/>
            <w:noWrap w:val="0"/>
            <w:vAlign w:val="center"/>
          </w:tcPr>
          <w:p w14:paraId="57FE376C">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6ADC5EA9">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2F837121">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0024DF30">
            <w:pPr>
              <w:widowControl/>
              <w:jc w:val="center"/>
              <w:rPr>
                <w:rFonts w:ascii="宋体" w:hAnsi="宋体" w:cs="宋体"/>
                <w:kern w:val="0"/>
                <w:sz w:val="16"/>
                <w:szCs w:val="16"/>
              </w:rPr>
            </w:pPr>
            <w:r>
              <w:rPr>
                <w:rFonts w:hint="eastAsia" w:ascii="宋体" w:hAnsi="宋体" w:cs="宋体"/>
                <w:kern w:val="0"/>
                <w:sz w:val="16"/>
                <w:szCs w:val="16"/>
              </w:rPr>
              <w:t>　</w:t>
            </w:r>
          </w:p>
        </w:tc>
        <w:tc>
          <w:tcPr>
            <w:tcW w:w="820" w:type="dxa"/>
            <w:noWrap w:val="0"/>
            <w:vAlign w:val="center"/>
          </w:tcPr>
          <w:p w14:paraId="51004CE7">
            <w:pPr>
              <w:widowControl/>
              <w:jc w:val="center"/>
              <w:rPr>
                <w:rFonts w:ascii="宋体" w:hAnsi="宋体" w:cs="宋体"/>
                <w:kern w:val="0"/>
                <w:sz w:val="16"/>
                <w:szCs w:val="16"/>
              </w:rPr>
            </w:pPr>
            <w:r>
              <w:rPr>
                <w:rFonts w:hint="eastAsia" w:ascii="宋体" w:hAnsi="宋体" w:cs="宋体"/>
                <w:kern w:val="0"/>
                <w:sz w:val="16"/>
                <w:szCs w:val="16"/>
              </w:rPr>
              <w:t>　</w:t>
            </w:r>
          </w:p>
        </w:tc>
        <w:tc>
          <w:tcPr>
            <w:tcW w:w="800" w:type="dxa"/>
            <w:noWrap w:val="0"/>
            <w:vAlign w:val="center"/>
          </w:tcPr>
          <w:p w14:paraId="63E002F8">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F6EC9EB">
            <w:pPr>
              <w:widowControl/>
              <w:jc w:val="left"/>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004AAF47">
            <w:pPr>
              <w:widowControl/>
              <w:jc w:val="left"/>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07E71475">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4F13970A">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52E68F2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7A6EEF1D">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238C7C0F">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2C4B1913">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312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2F48FF24">
            <w:pPr>
              <w:widowControl/>
              <w:jc w:val="center"/>
              <w:rPr>
                <w:rFonts w:ascii="宋体" w:hAnsi="宋体" w:cs="宋体"/>
                <w:kern w:val="0"/>
                <w:sz w:val="16"/>
                <w:szCs w:val="16"/>
              </w:rPr>
            </w:pPr>
            <w:r>
              <w:rPr>
                <w:rFonts w:hint="eastAsia" w:ascii="宋体" w:hAnsi="宋体" w:cs="宋体"/>
                <w:kern w:val="0"/>
                <w:sz w:val="16"/>
                <w:szCs w:val="16"/>
              </w:rPr>
              <w:t>1</w:t>
            </w:r>
          </w:p>
        </w:tc>
        <w:tc>
          <w:tcPr>
            <w:tcW w:w="1900" w:type="dxa"/>
            <w:noWrap w:val="0"/>
            <w:vAlign w:val="center"/>
          </w:tcPr>
          <w:p w14:paraId="2B49379A">
            <w:pPr>
              <w:widowControl/>
              <w:jc w:val="center"/>
              <w:rPr>
                <w:rFonts w:ascii="宋体" w:hAnsi="宋体" w:cs="宋体"/>
                <w:kern w:val="0"/>
                <w:sz w:val="16"/>
                <w:szCs w:val="16"/>
              </w:rPr>
            </w:pPr>
            <w:r>
              <w:rPr>
                <w:rFonts w:hint="eastAsia" w:ascii="宋体" w:hAnsi="宋体" w:cs="宋体"/>
                <w:kern w:val="0"/>
                <w:sz w:val="16"/>
                <w:szCs w:val="16"/>
              </w:rPr>
              <w:t>主斜井皮带</w:t>
            </w:r>
          </w:p>
        </w:tc>
        <w:tc>
          <w:tcPr>
            <w:tcW w:w="804" w:type="dxa"/>
            <w:noWrap w:val="0"/>
            <w:vAlign w:val="center"/>
          </w:tcPr>
          <w:p w14:paraId="25B45081">
            <w:pPr>
              <w:widowControl/>
              <w:jc w:val="center"/>
              <w:rPr>
                <w:rFonts w:ascii="宋体" w:hAnsi="宋体" w:cs="宋体"/>
                <w:kern w:val="0"/>
                <w:sz w:val="16"/>
                <w:szCs w:val="16"/>
              </w:rPr>
            </w:pPr>
            <w:r>
              <w:rPr>
                <w:rFonts w:hint="eastAsia" w:ascii="宋体" w:hAnsi="宋体" w:cs="宋体"/>
                <w:kern w:val="0"/>
                <w:sz w:val="16"/>
                <w:szCs w:val="16"/>
              </w:rPr>
              <w:t>10</w:t>
            </w:r>
          </w:p>
        </w:tc>
        <w:tc>
          <w:tcPr>
            <w:tcW w:w="697" w:type="dxa"/>
            <w:noWrap w:val="0"/>
            <w:vAlign w:val="center"/>
          </w:tcPr>
          <w:p w14:paraId="18F52DE7">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3B98761">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5F246B9B">
            <w:pPr>
              <w:widowControl/>
              <w:jc w:val="center"/>
              <w:rPr>
                <w:rFonts w:ascii="宋体" w:hAnsi="宋体" w:cs="宋体"/>
                <w:kern w:val="0"/>
                <w:sz w:val="16"/>
                <w:szCs w:val="16"/>
              </w:rPr>
            </w:pPr>
            <w:r>
              <w:rPr>
                <w:rFonts w:hint="eastAsia" w:ascii="宋体" w:hAnsi="宋体" w:cs="宋体"/>
                <w:kern w:val="0"/>
                <w:sz w:val="16"/>
                <w:szCs w:val="16"/>
              </w:rPr>
              <w:t xml:space="preserve">200.00 </w:t>
            </w:r>
          </w:p>
        </w:tc>
        <w:tc>
          <w:tcPr>
            <w:tcW w:w="820" w:type="dxa"/>
            <w:noWrap w:val="0"/>
            <w:vAlign w:val="center"/>
          </w:tcPr>
          <w:p w14:paraId="3CF65F4F">
            <w:pPr>
              <w:widowControl/>
              <w:jc w:val="center"/>
              <w:rPr>
                <w:rFonts w:ascii="宋体" w:hAnsi="宋体" w:cs="宋体"/>
                <w:kern w:val="0"/>
                <w:sz w:val="16"/>
                <w:szCs w:val="16"/>
              </w:rPr>
            </w:pPr>
            <w:r>
              <w:rPr>
                <w:rFonts w:hint="eastAsia" w:ascii="宋体" w:hAnsi="宋体" w:cs="宋体"/>
                <w:kern w:val="0"/>
                <w:sz w:val="16"/>
                <w:szCs w:val="16"/>
              </w:rPr>
              <w:t xml:space="preserve">200.00 </w:t>
            </w:r>
          </w:p>
        </w:tc>
        <w:tc>
          <w:tcPr>
            <w:tcW w:w="800" w:type="dxa"/>
            <w:noWrap w:val="0"/>
            <w:vAlign w:val="center"/>
          </w:tcPr>
          <w:p w14:paraId="4C4A7FCE">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60" w:type="dxa"/>
            <w:noWrap w:val="0"/>
            <w:vAlign w:val="center"/>
          </w:tcPr>
          <w:p w14:paraId="1B3793FC">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641FDA2A">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6633ED71">
            <w:pPr>
              <w:widowControl/>
              <w:jc w:val="center"/>
              <w:rPr>
                <w:rFonts w:ascii="宋体" w:hAnsi="宋体" w:cs="宋体"/>
                <w:kern w:val="0"/>
                <w:sz w:val="16"/>
                <w:szCs w:val="16"/>
              </w:rPr>
            </w:pPr>
            <w:r>
              <w:rPr>
                <w:rFonts w:hint="eastAsia" w:ascii="宋体" w:hAnsi="宋体" w:cs="宋体"/>
                <w:kern w:val="0"/>
                <w:sz w:val="16"/>
                <w:szCs w:val="16"/>
              </w:rPr>
              <w:t xml:space="preserve">140.00 </w:t>
            </w:r>
          </w:p>
        </w:tc>
        <w:tc>
          <w:tcPr>
            <w:tcW w:w="1140" w:type="dxa"/>
            <w:noWrap w:val="0"/>
            <w:vAlign w:val="center"/>
          </w:tcPr>
          <w:p w14:paraId="024AAA05">
            <w:pPr>
              <w:widowControl/>
              <w:jc w:val="center"/>
              <w:rPr>
                <w:rFonts w:ascii="宋体" w:hAnsi="宋体" w:cs="宋体"/>
                <w:kern w:val="0"/>
                <w:sz w:val="16"/>
                <w:szCs w:val="16"/>
              </w:rPr>
            </w:pPr>
            <w:r>
              <w:rPr>
                <w:rFonts w:hint="eastAsia" w:ascii="宋体" w:hAnsi="宋体" w:cs="宋体"/>
                <w:kern w:val="0"/>
                <w:sz w:val="16"/>
                <w:szCs w:val="16"/>
              </w:rPr>
              <w:t xml:space="preserve">105.00 </w:t>
            </w:r>
          </w:p>
        </w:tc>
        <w:tc>
          <w:tcPr>
            <w:tcW w:w="940" w:type="dxa"/>
            <w:noWrap w:val="0"/>
            <w:vAlign w:val="center"/>
          </w:tcPr>
          <w:p w14:paraId="40C9CB2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59D0312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1271ACC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09C520A">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5C54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D101776">
            <w:pPr>
              <w:widowControl/>
              <w:jc w:val="center"/>
              <w:rPr>
                <w:rFonts w:ascii="宋体" w:hAnsi="宋体" w:cs="宋体"/>
                <w:kern w:val="0"/>
                <w:sz w:val="16"/>
                <w:szCs w:val="16"/>
              </w:rPr>
            </w:pPr>
            <w:r>
              <w:rPr>
                <w:rFonts w:hint="eastAsia" w:ascii="宋体" w:hAnsi="宋体" w:cs="宋体"/>
                <w:kern w:val="0"/>
                <w:sz w:val="16"/>
                <w:szCs w:val="16"/>
              </w:rPr>
              <w:t>2</w:t>
            </w:r>
          </w:p>
        </w:tc>
        <w:tc>
          <w:tcPr>
            <w:tcW w:w="1900" w:type="dxa"/>
            <w:noWrap w:val="0"/>
            <w:vAlign w:val="center"/>
          </w:tcPr>
          <w:p w14:paraId="18326A98">
            <w:pPr>
              <w:widowControl/>
              <w:jc w:val="center"/>
              <w:rPr>
                <w:rFonts w:ascii="宋体" w:hAnsi="宋体" w:cs="宋体"/>
                <w:kern w:val="0"/>
                <w:sz w:val="16"/>
                <w:szCs w:val="16"/>
              </w:rPr>
            </w:pPr>
            <w:r>
              <w:rPr>
                <w:rFonts w:hint="eastAsia" w:ascii="宋体" w:hAnsi="宋体" w:cs="宋体"/>
                <w:kern w:val="0"/>
                <w:sz w:val="16"/>
                <w:szCs w:val="16"/>
              </w:rPr>
              <w:t>副斜井绞车</w:t>
            </w:r>
          </w:p>
        </w:tc>
        <w:tc>
          <w:tcPr>
            <w:tcW w:w="804" w:type="dxa"/>
            <w:noWrap w:val="0"/>
            <w:vAlign w:val="center"/>
          </w:tcPr>
          <w:p w14:paraId="181D84C9">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46D872B6">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41B6FF7F">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2C2EBC88">
            <w:pPr>
              <w:widowControl/>
              <w:jc w:val="center"/>
              <w:rPr>
                <w:rFonts w:ascii="宋体" w:hAnsi="宋体" w:cs="宋体"/>
                <w:kern w:val="0"/>
                <w:sz w:val="16"/>
                <w:szCs w:val="16"/>
              </w:rPr>
            </w:pPr>
            <w:r>
              <w:rPr>
                <w:rFonts w:hint="eastAsia" w:ascii="宋体" w:hAnsi="宋体" w:cs="宋体"/>
                <w:kern w:val="0"/>
                <w:sz w:val="16"/>
                <w:szCs w:val="16"/>
              </w:rPr>
              <w:t xml:space="preserve">110.00 </w:t>
            </w:r>
          </w:p>
        </w:tc>
        <w:tc>
          <w:tcPr>
            <w:tcW w:w="820" w:type="dxa"/>
            <w:noWrap w:val="0"/>
            <w:vAlign w:val="center"/>
          </w:tcPr>
          <w:p w14:paraId="24DDDE22">
            <w:pPr>
              <w:widowControl/>
              <w:jc w:val="center"/>
              <w:rPr>
                <w:rFonts w:ascii="宋体" w:hAnsi="宋体" w:cs="宋体"/>
                <w:kern w:val="0"/>
                <w:sz w:val="16"/>
                <w:szCs w:val="16"/>
              </w:rPr>
            </w:pPr>
            <w:r>
              <w:rPr>
                <w:rFonts w:hint="eastAsia" w:ascii="宋体" w:hAnsi="宋体" w:cs="宋体"/>
                <w:kern w:val="0"/>
                <w:sz w:val="16"/>
                <w:szCs w:val="16"/>
              </w:rPr>
              <w:t xml:space="preserve">110.00 </w:t>
            </w:r>
          </w:p>
        </w:tc>
        <w:tc>
          <w:tcPr>
            <w:tcW w:w="800" w:type="dxa"/>
            <w:noWrap w:val="0"/>
            <w:vAlign w:val="center"/>
          </w:tcPr>
          <w:p w14:paraId="4E6CEB4F">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60" w:type="dxa"/>
            <w:noWrap w:val="0"/>
            <w:vAlign w:val="center"/>
          </w:tcPr>
          <w:p w14:paraId="191FA269">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center"/>
          </w:tcPr>
          <w:p w14:paraId="6228CE56">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center"/>
          </w:tcPr>
          <w:p w14:paraId="2730177D">
            <w:pPr>
              <w:widowControl/>
              <w:jc w:val="center"/>
              <w:rPr>
                <w:rFonts w:ascii="宋体" w:hAnsi="宋体" w:cs="宋体"/>
                <w:kern w:val="0"/>
                <w:sz w:val="16"/>
                <w:szCs w:val="16"/>
              </w:rPr>
            </w:pPr>
            <w:r>
              <w:rPr>
                <w:rFonts w:hint="eastAsia" w:ascii="宋体" w:hAnsi="宋体" w:cs="宋体"/>
                <w:kern w:val="0"/>
                <w:sz w:val="16"/>
                <w:szCs w:val="16"/>
              </w:rPr>
              <w:t xml:space="preserve">77.00 </w:t>
            </w:r>
          </w:p>
        </w:tc>
        <w:tc>
          <w:tcPr>
            <w:tcW w:w="1140" w:type="dxa"/>
            <w:noWrap w:val="0"/>
            <w:vAlign w:val="center"/>
          </w:tcPr>
          <w:p w14:paraId="36E0DA8F">
            <w:pPr>
              <w:widowControl/>
              <w:jc w:val="center"/>
              <w:rPr>
                <w:rFonts w:ascii="宋体" w:hAnsi="宋体" w:cs="宋体"/>
                <w:kern w:val="0"/>
                <w:sz w:val="16"/>
                <w:szCs w:val="16"/>
              </w:rPr>
            </w:pPr>
            <w:r>
              <w:rPr>
                <w:rFonts w:hint="eastAsia" w:ascii="宋体" w:hAnsi="宋体" w:cs="宋体"/>
                <w:kern w:val="0"/>
                <w:sz w:val="16"/>
                <w:szCs w:val="16"/>
              </w:rPr>
              <w:t xml:space="preserve">57.75 </w:t>
            </w:r>
          </w:p>
        </w:tc>
        <w:tc>
          <w:tcPr>
            <w:tcW w:w="940" w:type="dxa"/>
            <w:noWrap w:val="0"/>
            <w:vAlign w:val="center"/>
          </w:tcPr>
          <w:p w14:paraId="27D8B1E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F55405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47DC7C6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FE44A01">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79F2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CE420E4">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1B314652">
            <w:pPr>
              <w:widowControl/>
              <w:jc w:val="center"/>
              <w:rPr>
                <w:rFonts w:ascii="宋体" w:hAnsi="宋体" w:cs="宋体"/>
                <w:kern w:val="0"/>
                <w:sz w:val="16"/>
                <w:szCs w:val="16"/>
              </w:rPr>
            </w:pPr>
            <w:r>
              <w:rPr>
                <w:rFonts w:hint="eastAsia" w:ascii="宋体" w:hAnsi="宋体" w:cs="宋体"/>
                <w:kern w:val="0"/>
                <w:sz w:val="16"/>
                <w:szCs w:val="16"/>
              </w:rPr>
              <w:t>小计</w:t>
            </w:r>
          </w:p>
        </w:tc>
        <w:tc>
          <w:tcPr>
            <w:tcW w:w="804" w:type="dxa"/>
            <w:noWrap w:val="0"/>
            <w:vAlign w:val="center"/>
          </w:tcPr>
          <w:p w14:paraId="13A6EAC3">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7D91D653">
            <w:pPr>
              <w:widowControl/>
              <w:jc w:val="center"/>
              <w:rPr>
                <w:rFonts w:ascii="宋体" w:hAnsi="宋体" w:cs="宋体"/>
                <w:kern w:val="0"/>
                <w:sz w:val="16"/>
                <w:szCs w:val="16"/>
              </w:rPr>
            </w:pPr>
            <w:r>
              <w:rPr>
                <w:rFonts w:hint="eastAsia" w:ascii="宋体" w:hAnsi="宋体" w:cs="宋体"/>
                <w:kern w:val="0"/>
                <w:sz w:val="16"/>
                <w:szCs w:val="16"/>
              </w:rPr>
              <w:t xml:space="preserve">2 </w:t>
            </w:r>
          </w:p>
        </w:tc>
        <w:tc>
          <w:tcPr>
            <w:tcW w:w="720" w:type="dxa"/>
            <w:noWrap w:val="0"/>
            <w:vAlign w:val="center"/>
          </w:tcPr>
          <w:p w14:paraId="0053BA6C">
            <w:pPr>
              <w:widowControl/>
              <w:jc w:val="center"/>
              <w:rPr>
                <w:rFonts w:ascii="宋体" w:hAnsi="宋体" w:cs="宋体"/>
                <w:kern w:val="0"/>
                <w:sz w:val="16"/>
                <w:szCs w:val="16"/>
              </w:rPr>
            </w:pPr>
            <w:r>
              <w:rPr>
                <w:rFonts w:hint="eastAsia" w:ascii="宋体" w:hAnsi="宋体" w:cs="宋体"/>
                <w:kern w:val="0"/>
                <w:sz w:val="16"/>
                <w:szCs w:val="16"/>
              </w:rPr>
              <w:t xml:space="preserve">2 </w:t>
            </w:r>
          </w:p>
        </w:tc>
        <w:tc>
          <w:tcPr>
            <w:tcW w:w="720" w:type="dxa"/>
            <w:noWrap w:val="0"/>
            <w:vAlign w:val="center"/>
          </w:tcPr>
          <w:p w14:paraId="0CA8D9E8">
            <w:pPr>
              <w:widowControl/>
              <w:jc w:val="center"/>
              <w:rPr>
                <w:rFonts w:ascii="宋体" w:hAnsi="宋体" w:cs="宋体"/>
                <w:kern w:val="0"/>
                <w:sz w:val="16"/>
                <w:szCs w:val="16"/>
              </w:rPr>
            </w:pPr>
            <w:r>
              <w:rPr>
                <w:rFonts w:hint="eastAsia" w:ascii="宋体" w:hAnsi="宋体" w:cs="宋体"/>
                <w:kern w:val="0"/>
                <w:sz w:val="16"/>
                <w:szCs w:val="16"/>
              </w:rPr>
              <w:t xml:space="preserve">310.00 </w:t>
            </w:r>
          </w:p>
        </w:tc>
        <w:tc>
          <w:tcPr>
            <w:tcW w:w="820" w:type="dxa"/>
            <w:noWrap w:val="0"/>
            <w:vAlign w:val="center"/>
          </w:tcPr>
          <w:p w14:paraId="6B6F2476">
            <w:pPr>
              <w:widowControl/>
              <w:jc w:val="center"/>
              <w:rPr>
                <w:rFonts w:ascii="宋体" w:hAnsi="宋体" w:cs="宋体"/>
                <w:kern w:val="0"/>
                <w:sz w:val="16"/>
                <w:szCs w:val="16"/>
              </w:rPr>
            </w:pPr>
            <w:r>
              <w:rPr>
                <w:rFonts w:hint="eastAsia" w:ascii="宋体" w:hAnsi="宋体" w:cs="宋体"/>
                <w:kern w:val="0"/>
                <w:sz w:val="16"/>
                <w:szCs w:val="16"/>
              </w:rPr>
              <w:t xml:space="preserve">310.00 </w:t>
            </w:r>
          </w:p>
        </w:tc>
        <w:tc>
          <w:tcPr>
            <w:tcW w:w="800" w:type="dxa"/>
            <w:noWrap w:val="0"/>
            <w:vAlign w:val="center"/>
          </w:tcPr>
          <w:p w14:paraId="34A30067">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61F4367">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149E9148">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83DE323">
            <w:pPr>
              <w:widowControl/>
              <w:jc w:val="center"/>
              <w:rPr>
                <w:rFonts w:ascii="宋体" w:hAnsi="宋体" w:cs="宋体"/>
                <w:kern w:val="0"/>
                <w:sz w:val="16"/>
                <w:szCs w:val="16"/>
              </w:rPr>
            </w:pPr>
            <w:r>
              <w:rPr>
                <w:rFonts w:hint="eastAsia" w:ascii="宋体" w:hAnsi="宋体" w:cs="宋体"/>
                <w:kern w:val="0"/>
                <w:sz w:val="16"/>
                <w:szCs w:val="16"/>
              </w:rPr>
              <w:t xml:space="preserve">217.00 </w:t>
            </w:r>
          </w:p>
        </w:tc>
        <w:tc>
          <w:tcPr>
            <w:tcW w:w="1140" w:type="dxa"/>
            <w:noWrap w:val="0"/>
            <w:vAlign w:val="center"/>
          </w:tcPr>
          <w:p w14:paraId="7D6663CD">
            <w:pPr>
              <w:widowControl/>
              <w:jc w:val="center"/>
              <w:rPr>
                <w:rFonts w:ascii="宋体" w:hAnsi="宋体" w:cs="宋体"/>
                <w:kern w:val="0"/>
                <w:sz w:val="16"/>
                <w:szCs w:val="16"/>
              </w:rPr>
            </w:pPr>
            <w:r>
              <w:rPr>
                <w:rFonts w:hint="eastAsia" w:ascii="宋体" w:hAnsi="宋体" w:cs="宋体"/>
                <w:kern w:val="0"/>
                <w:sz w:val="16"/>
                <w:szCs w:val="16"/>
              </w:rPr>
              <w:t xml:space="preserve">162.75 </w:t>
            </w:r>
          </w:p>
        </w:tc>
        <w:tc>
          <w:tcPr>
            <w:tcW w:w="940" w:type="dxa"/>
            <w:noWrap w:val="0"/>
            <w:vAlign w:val="center"/>
          </w:tcPr>
          <w:p w14:paraId="61DB5A8F">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C584C4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5B5D618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3A86CA2">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E7F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4C36F234">
            <w:pPr>
              <w:widowControl/>
              <w:jc w:val="center"/>
              <w:rPr>
                <w:rFonts w:ascii="宋体" w:hAnsi="宋体" w:cs="宋体"/>
                <w:kern w:val="0"/>
                <w:sz w:val="16"/>
                <w:szCs w:val="16"/>
              </w:rPr>
            </w:pPr>
            <w:r>
              <w:rPr>
                <w:rFonts w:hint="eastAsia" w:ascii="宋体" w:hAnsi="宋体" w:cs="宋体"/>
                <w:kern w:val="0"/>
                <w:sz w:val="16"/>
                <w:szCs w:val="16"/>
              </w:rPr>
              <w:t>四</w:t>
            </w:r>
          </w:p>
        </w:tc>
        <w:tc>
          <w:tcPr>
            <w:tcW w:w="1900" w:type="dxa"/>
            <w:noWrap w:val="0"/>
            <w:vAlign w:val="center"/>
          </w:tcPr>
          <w:p w14:paraId="2543FD5C">
            <w:pPr>
              <w:widowControl/>
              <w:jc w:val="center"/>
              <w:rPr>
                <w:rFonts w:ascii="宋体" w:hAnsi="宋体" w:cs="宋体"/>
                <w:kern w:val="0"/>
                <w:sz w:val="16"/>
                <w:szCs w:val="16"/>
              </w:rPr>
            </w:pPr>
            <w:r>
              <w:rPr>
                <w:rFonts w:hint="eastAsia" w:ascii="宋体" w:hAnsi="宋体" w:cs="宋体"/>
                <w:kern w:val="0"/>
                <w:sz w:val="16"/>
                <w:szCs w:val="16"/>
              </w:rPr>
              <w:t>坑木加工房</w:t>
            </w:r>
          </w:p>
        </w:tc>
        <w:tc>
          <w:tcPr>
            <w:tcW w:w="804" w:type="dxa"/>
            <w:noWrap w:val="0"/>
            <w:vAlign w:val="center"/>
          </w:tcPr>
          <w:p w14:paraId="2D9BE1E3">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3FC84B5A">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0AC83BBB">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3C517DED">
            <w:pPr>
              <w:widowControl/>
              <w:jc w:val="center"/>
              <w:rPr>
                <w:rFonts w:ascii="宋体" w:hAnsi="宋体" w:cs="宋体"/>
                <w:kern w:val="0"/>
                <w:sz w:val="16"/>
                <w:szCs w:val="16"/>
              </w:rPr>
            </w:pPr>
            <w:r>
              <w:rPr>
                <w:rFonts w:hint="eastAsia" w:ascii="宋体" w:hAnsi="宋体" w:cs="宋体"/>
                <w:kern w:val="0"/>
                <w:sz w:val="16"/>
                <w:szCs w:val="16"/>
              </w:rPr>
              <w:t>　</w:t>
            </w:r>
          </w:p>
        </w:tc>
        <w:tc>
          <w:tcPr>
            <w:tcW w:w="820" w:type="dxa"/>
            <w:noWrap w:val="0"/>
            <w:vAlign w:val="center"/>
          </w:tcPr>
          <w:p w14:paraId="50BB5D5D">
            <w:pPr>
              <w:widowControl/>
              <w:jc w:val="center"/>
              <w:rPr>
                <w:rFonts w:ascii="宋体" w:hAnsi="宋体" w:cs="宋体"/>
                <w:kern w:val="0"/>
                <w:sz w:val="16"/>
                <w:szCs w:val="16"/>
              </w:rPr>
            </w:pPr>
            <w:r>
              <w:rPr>
                <w:rFonts w:hint="eastAsia" w:ascii="宋体" w:hAnsi="宋体" w:cs="宋体"/>
                <w:kern w:val="0"/>
                <w:sz w:val="16"/>
                <w:szCs w:val="16"/>
              </w:rPr>
              <w:t>　</w:t>
            </w:r>
          </w:p>
        </w:tc>
        <w:tc>
          <w:tcPr>
            <w:tcW w:w="800" w:type="dxa"/>
            <w:noWrap w:val="0"/>
            <w:vAlign w:val="center"/>
          </w:tcPr>
          <w:p w14:paraId="46381804">
            <w:pPr>
              <w:widowControl/>
              <w:jc w:val="left"/>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1FAB8F4C">
            <w:pPr>
              <w:widowControl/>
              <w:jc w:val="left"/>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6AB87D4C">
            <w:pPr>
              <w:widowControl/>
              <w:jc w:val="left"/>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30F0AD61">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3110CB26">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3704528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7B4C6BD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62F903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093D3F81">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B5B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4E0A889F">
            <w:pPr>
              <w:widowControl/>
              <w:jc w:val="center"/>
              <w:rPr>
                <w:rFonts w:ascii="宋体" w:hAnsi="宋体" w:cs="宋体"/>
                <w:kern w:val="0"/>
                <w:sz w:val="16"/>
                <w:szCs w:val="16"/>
              </w:rPr>
            </w:pPr>
            <w:r>
              <w:rPr>
                <w:rFonts w:hint="eastAsia" w:ascii="宋体" w:hAnsi="宋体" w:cs="宋体"/>
                <w:kern w:val="0"/>
                <w:sz w:val="16"/>
                <w:szCs w:val="16"/>
              </w:rPr>
              <w:t>1</w:t>
            </w:r>
          </w:p>
        </w:tc>
        <w:tc>
          <w:tcPr>
            <w:tcW w:w="1900" w:type="dxa"/>
            <w:noWrap w:val="0"/>
            <w:vAlign w:val="center"/>
          </w:tcPr>
          <w:p w14:paraId="12EBA43F">
            <w:pPr>
              <w:widowControl/>
              <w:jc w:val="center"/>
              <w:rPr>
                <w:rFonts w:ascii="宋体" w:hAnsi="宋体" w:cs="宋体"/>
                <w:kern w:val="0"/>
                <w:sz w:val="16"/>
                <w:szCs w:val="16"/>
              </w:rPr>
            </w:pPr>
            <w:r>
              <w:rPr>
                <w:rFonts w:hint="eastAsia" w:ascii="宋体" w:hAnsi="宋体" w:cs="宋体"/>
                <w:kern w:val="0"/>
                <w:sz w:val="16"/>
                <w:szCs w:val="16"/>
              </w:rPr>
              <w:t>手动进料木工圆锯机</w:t>
            </w:r>
          </w:p>
        </w:tc>
        <w:tc>
          <w:tcPr>
            <w:tcW w:w="804" w:type="dxa"/>
            <w:noWrap w:val="0"/>
            <w:vAlign w:val="center"/>
          </w:tcPr>
          <w:p w14:paraId="5B2AA056">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0394AE1A">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665A64BE">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53FFB5BD">
            <w:pPr>
              <w:widowControl/>
              <w:jc w:val="center"/>
              <w:rPr>
                <w:rFonts w:ascii="宋体" w:hAnsi="宋体" w:cs="宋体"/>
                <w:kern w:val="0"/>
                <w:sz w:val="16"/>
                <w:szCs w:val="16"/>
              </w:rPr>
            </w:pPr>
            <w:r>
              <w:rPr>
                <w:rFonts w:hint="eastAsia" w:ascii="宋体" w:hAnsi="宋体" w:cs="宋体"/>
                <w:kern w:val="0"/>
                <w:sz w:val="16"/>
                <w:szCs w:val="16"/>
              </w:rPr>
              <w:t xml:space="preserve">13.00 </w:t>
            </w:r>
          </w:p>
        </w:tc>
        <w:tc>
          <w:tcPr>
            <w:tcW w:w="820" w:type="dxa"/>
            <w:noWrap w:val="0"/>
            <w:vAlign w:val="center"/>
          </w:tcPr>
          <w:p w14:paraId="772A0EB4">
            <w:pPr>
              <w:widowControl/>
              <w:jc w:val="center"/>
              <w:rPr>
                <w:rFonts w:ascii="宋体" w:hAnsi="宋体" w:cs="宋体"/>
                <w:kern w:val="0"/>
                <w:sz w:val="16"/>
                <w:szCs w:val="16"/>
              </w:rPr>
            </w:pPr>
            <w:r>
              <w:rPr>
                <w:rFonts w:hint="eastAsia" w:ascii="宋体" w:hAnsi="宋体" w:cs="宋体"/>
                <w:kern w:val="0"/>
                <w:sz w:val="16"/>
                <w:szCs w:val="16"/>
              </w:rPr>
              <w:t xml:space="preserve">13.00 </w:t>
            </w:r>
          </w:p>
        </w:tc>
        <w:tc>
          <w:tcPr>
            <w:tcW w:w="800" w:type="dxa"/>
            <w:noWrap w:val="0"/>
            <w:vAlign w:val="center"/>
          </w:tcPr>
          <w:p w14:paraId="453FBE1D">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914BFE4">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7E7AA18">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591738EF">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7B99702F">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4CB8BE6F">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58517AB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D2E638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62D60CE6">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CC2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17371D22">
            <w:pPr>
              <w:widowControl/>
              <w:jc w:val="center"/>
              <w:rPr>
                <w:rFonts w:ascii="宋体" w:hAnsi="宋体" w:cs="宋体"/>
                <w:kern w:val="0"/>
                <w:sz w:val="16"/>
                <w:szCs w:val="16"/>
              </w:rPr>
            </w:pPr>
            <w:r>
              <w:rPr>
                <w:rFonts w:hint="eastAsia" w:ascii="宋体" w:hAnsi="宋体" w:cs="宋体"/>
                <w:kern w:val="0"/>
                <w:sz w:val="16"/>
                <w:szCs w:val="16"/>
              </w:rPr>
              <w:t>2</w:t>
            </w:r>
          </w:p>
        </w:tc>
        <w:tc>
          <w:tcPr>
            <w:tcW w:w="1900" w:type="dxa"/>
            <w:noWrap w:val="0"/>
            <w:vAlign w:val="center"/>
          </w:tcPr>
          <w:p w14:paraId="0254F6B6">
            <w:pPr>
              <w:widowControl/>
              <w:jc w:val="center"/>
              <w:rPr>
                <w:rFonts w:ascii="宋体" w:hAnsi="宋体" w:cs="宋体"/>
                <w:kern w:val="0"/>
                <w:sz w:val="16"/>
                <w:szCs w:val="16"/>
              </w:rPr>
            </w:pPr>
            <w:r>
              <w:rPr>
                <w:rFonts w:hint="eastAsia" w:ascii="宋体" w:hAnsi="宋体" w:cs="宋体"/>
                <w:kern w:val="0"/>
                <w:sz w:val="16"/>
                <w:szCs w:val="16"/>
              </w:rPr>
              <w:t>移动带式截锯机</w:t>
            </w:r>
          </w:p>
        </w:tc>
        <w:tc>
          <w:tcPr>
            <w:tcW w:w="804" w:type="dxa"/>
            <w:noWrap w:val="0"/>
            <w:vAlign w:val="center"/>
          </w:tcPr>
          <w:p w14:paraId="76EDCEAA">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2D342213">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7DE5F46C">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4438B430">
            <w:pPr>
              <w:widowControl/>
              <w:jc w:val="center"/>
              <w:rPr>
                <w:rFonts w:ascii="宋体" w:hAnsi="宋体" w:cs="宋体"/>
                <w:kern w:val="0"/>
                <w:sz w:val="16"/>
                <w:szCs w:val="16"/>
              </w:rPr>
            </w:pPr>
            <w:r>
              <w:rPr>
                <w:rFonts w:hint="eastAsia" w:ascii="宋体" w:hAnsi="宋体" w:cs="宋体"/>
                <w:kern w:val="0"/>
                <w:sz w:val="16"/>
                <w:szCs w:val="16"/>
              </w:rPr>
              <w:t xml:space="preserve">3.00 </w:t>
            </w:r>
          </w:p>
        </w:tc>
        <w:tc>
          <w:tcPr>
            <w:tcW w:w="820" w:type="dxa"/>
            <w:noWrap w:val="0"/>
            <w:vAlign w:val="center"/>
          </w:tcPr>
          <w:p w14:paraId="22B8E03C">
            <w:pPr>
              <w:widowControl/>
              <w:jc w:val="center"/>
              <w:rPr>
                <w:rFonts w:ascii="宋体" w:hAnsi="宋体" w:cs="宋体"/>
                <w:kern w:val="0"/>
                <w:sz w:val="16"/>
                <w:szCs w:val="16"/>
              </w:rPr>
            </w:pPr>
            <w:r>
              <w:rPr>
                <w:rFonts w:hint="eastAsia" w:ascii="宋体" w:hAnsi="宋体" w:cs="宋体"/>
                <w:kern w:val="0"/>
                <w:sz w:val="16"/>
                <w:szCs w:val="16"/>
              </w:rPr>
              <w:t xml:space="preserve">3.00 </w:t>
            </w:r>
          </w:p>
        </w:tc>
        <w:tc>
          <w:tcPr>
            <w:tcW w:w="800" w:type="dxa"/>
            <w:noWrap w:val="0"/>
            <w:vAlign w:val="center"/>
          </w:tcPr>
          <w:p w14:paraId="086B35A8">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05050F11">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6E6FE265">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41717815">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44245582">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5470D1A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338D820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646A2F4">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5BAC6D1C">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5E12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2CF92471">
            <w:pPr>
              <w:widowControl/>
              <w:jc w:val="center"/>
              <w:rPr>
                <w:rFonts w:ascii="宋体" w:hAnsi="宋体" w:cs="宋体"/>
                <w:kern w:val="0"/>
                <w:sz w:val="16"/>
                <w:szCs w:val="16"/>
              </w:rPr>
            </w:pPr>
            <w:r>
              <w:rPr>
                <w:rFonts w:hint="eastAsia" w:ascii="宋体" w:hAnsi="宋体" w:cs="宋体"/>
                <w:kern w:val="0"/>
                <w:sz w:val="16"/>
                <w:szCs w:val="16"/>
              </w:rPr>
              <w:t>3</w:t>
            </w:r>
          </w:p>
        </w:tc>
        <w:tc>
          <w:tcPr>
            <w:tcW w:w="1900" w:type="dxa"/>
            <w:noWrap w:val="0"/>
            <w:vAlign w:val="center"/>
          </w:tcPr>
          <w:p w14:paraId="673F2198">
            <w:pPr>
              <w:widowControl/>
              <w:jc w:val="center"/>
              <w:rPr>
                <w:rFonts w:ascii="宋体" w:hAnsi="宋体" w:cs="宋体"/>
                <w:kern w:val="0"/>
                <w:sz w:val="16"/>
                <w:szCs w:val="16"/>
              </w:rPr>
            </w:pPr>
            <w:r>
              <w:rPr>
                <w:rFonts w:hint="eastAsia" w:ascii="宋体" w:hAnsi="宋体" w:cs="宋体"/>
                <w:kern w:val="0"/>
                <w:sz w:val="16"/>
                <w:szCs w:val="16"/>
              </w:rPr>
              <w:t>万能刃磨机</w:t>
            </w:r>
          </w:p>
        </w:tc>
        <w:tc>
          <w:tcPr>
            <w:tcW w:w="804" w:type="dxa"/>
            <w:noWrap w:val="0"/>
            <w:vAlign w:val="center"/>
          </w:tcPr>
          <w:p w14:paraId="2A8818B1">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1AFFC309">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1A0E0C1B">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E1A56DF">
            <w:pPr>
              <w:widowControl/>
              <w:jc w:val="center"/>
              <w:rPr>
                <w:rFonts w:ascii="宋体" w:hAnsi="宋体" w:cs="宋体"/>
                <w:kern w:val="0"/>
                <w:sz w:val="16"/>
                <w:szCs w:val="16"/>
              </w:rPr>
            </w:pPr>
            <w:r>
              <w:rPr>
                <w:rFonts w:hint="eastAsia" w:ascii="宋体" w:hAnsi="宋体" w:cs="宋体"/>
                <w:kern w:val="0"/>
                <w:sz w:val="16"/>
                <w:szCs w:val="16"/>
              </w:rPr>
              <w:t xml:space="preserve">1.50 </w:t>
            </w:r>
          </w:p>
        </w:tc>
        <w:tc>
          <w:tcPr>
            <w:tcW w:w="820" w:type="dxa"/>
            <w:noWrap w:val="0"/>
            <w:vAlign w:val="center"/>
          </w:tcPr>
          <w:p w14:paraId="1777CBE3">
            <w:pPr>
              <w:widowControl/>
              <w:jc w:val="center"/>
              <w:rPr>
                <w:rFonts w:ascii="宋体" w:hAnsi="宋体" w:cs="宋体"/>
                <w:kern w:val="0"/>
                <w:sz w:val="16"/>
                <w:szCs w:val="16"/>
              </w:rPr>
            </w:pPr>
            <w:r>
              <w:rPr>
                <w:rFonts w:hint="eastAsia" w:ascii="宋体" w:hAnsi="宋体" w:cs="宋体"/>
                <w:kern w:val="0"/>
                <w:sz w:val="16"/>
                <w:szCs w:val="16"/>
              </w:rPr>
              <w:t xml:space="preserve">1.50 </w:t>
            </w:r>
          </w:p>
        </w:tc>
        <w:tc>
          <w:tcPr>
            <w:tcW w:w="800" w:type="dxa"/>
            <w:noWrap w:val="0"/>
            <w:vAlign w:val="center"/>
          </w:tcPr>
          <w:p w14:paraId="2F112096">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46A72047">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53A7DE12">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061EE7A5">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456B04DA">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7ABEF03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0D9D21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7587343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2CAC79D6">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2F03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932394D">
            <w:pPr>
              <w:widowControl/>
              <w:jc w:val="center"/>
              <w:rPr>
                <w:rFonts w:ascii="宋体" w:hAnsi="宋体" w:cs="宋体"/>
                <w:kern w:val="0"/>
                <w:sz w:val="16"/>
                <w:szCs w:val="16"/>
              </w:rPr>
            </w:pPr>
            <w:r>
              <w:rPr>
                <w:rFonts w:hint="eastAsia" w:ascii="宋体" w:hAnsi="宋体" w:cs="宋体"/>
                <w:kern w:val="0"/>
                <w:sz w:val="16"/>
                <w:szCs w:val="16"/>
              </w:rPr>
              <w:t>4</w:t>
            </w:r>
          </w:p>
        </w:tc>
        <w:tc>
          <w:tcPr>
            <w:tcW w:w="1900" w:type="dxa"/>
            <w:noWrap w:val="0"/>
            <w:vAlign w:val="center"/>
          </w:tcPr>
          <w:p w14:paraId="7DFD9C4C">
            <w:pPr>
              <w:widowControl/>
              <w:jc w:val="center"/>
              <w:rPr>
                <w:rFonts w:ascii="宋体" w:hAnsi="宋体" w:cs="宋体"/>
                <w:kern w:val="0"/>
                <w:sz w:val="16"/>
                <w:szCs w:val="16"/>
              </w:rPr>
            </w:pPr>
            <w:r>
              <w:rPr>
                <w:rFonts w:hint="eastAsia" w:ascii="宋体" w:hAnsi="宋体" w:cs="宋体"/>
                <w:kern w:val="0"/>
                <w:sz w:val="16"/>
                <w:szCs w:val="16"/>
              </w:rPr>
              <w:t>木工多功能机</w:t>
            </w:r>
          </w:p>
        </w:tc>
        <w:tc>
          <w:tcPr>
            <w:tcW w:w="804" w:type="dxa"/>
            <w:noWrap w:val="0"/>
            <w:vAlign w:val="center"/>
          </w:tcPr>
          <w:p w14:paraId="191036C5">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0ACE03D8">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90FDB53">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D9F64AF">
            <w:pPr>
              <w:widowControl/>
              <w:jc w:val="center"/>
              <w:rPr>
                <w:rFonts w:ascii="宋体" w:hAnsi="宋体" w:cs="宋体"/>
                <w:kern w:val="0"/>
                <w:sz w:val="16"/>
                <w:szCs w:val="16"/>
              </w:rPr>
            </w:pPr>
            <w:r>
              <w:rPr>
                <w:rFonts w:hint="eastAsia" w:ascii="宋体" w:hAnsi="宋体" w:cs="宋体"/>
                <w:kern w:val="0"/>
                <w:sz w:val="16"/>
                <w:szCs w:val="16"/>
              </w:rPr>
              <w:t xml:space="preserve">4.00 </w:t>
            </w:r>
          </w:p>
        </w:tc>
        <w:tc>
          <w:tcPr>
            <w:tcW w:w="820" w:type="dxa"/>
            <w:noWrap w:val="0"/>
            <w:vAlign w:val="center"/>
          </w:tcPr>
          <w:p w14:paraId="3F5035CF">
            <w:pPr>
              <w:widowControl/>
              <w:jc w:val="center"/>
              <w:rPr>
                <w:rFonts w:ascii="宋体" w:hAnsi="宋体" w:cs="宋体"/>
                <w:kern w:val="0"/>
                <w:sz w:val="16"/>
                <w:szCs w:val="16"/>
              </w:rPr>
            </w:pPr>
            <w:r>
              <w:rPr>
                <w:rFonts w:hint="eastAsia" w:ascii="宋体" w:hAnsi="宋体" w:cs="宋体"/>
                <w:kern w:val="0"/>
                <w:sz w:val="16"/>
                <w:szCs w:val="16"/>
              </w:rPr>
              <w:t xml:space="preserve">4.00 </w:t>
            </w:r>
          </w:p>
        </w:tc>
        <w:tc>
          <w:tcPr>
            <w:tcW w:w="800" w:type="dxa"/>
            <w:noWrap w:val="0"/>
            <w:vAlign w:val="center"/>
          </w:tcPr>
          <w:p w14:paraId="3174D58A">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67BF81B6">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1D2F5E65">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241449DC">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075EF98E">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4BA05BDF">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29B280B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24AAD1E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6B3A91C7">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3BBD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7DFD78A5">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27917F3B">
            <w:pPr>
              <w:widowControl/>
              <w:jc w:val="center"/>
              <w:rPr>
                <w:rFonts w:ascii="宋体" w:hAnsi="宋体" w:cs="宋体"/>
                <w:kern w:val="0"/>
                <w:sz w:val="16"/>
                <w:szCs w:val="16"/>
              </w:rPr>
            </w:pPr>
            <w:r>
              <w:rPr>
                <w:rFonts w:hint="eastAsia" w:ascii="宋体" w:hAnsi="宋体" w:cs="宋体"/>
                <w:kern w:val="0"/>
                <w:sz w:val="16"/>
                <w:szCs w:val="16"/>
              </w:rPr>
              <w:t>小计</w:t>
            </w:r>
          </w:p>
        </w:tc>
        <w:tc>
          <w:tcPr>
            <w:tcW w:w="804" w:type="dxa"/>
            <w:noWrap w:val="0"/>
            <w:vAlign w:val="center"/>
          </w:tcPr>
          <w:p w14:paraId="56C891DD">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6A43A082">
            <w:pPr>
              <w:widowControl/>
              <w:jc w:val="center"/>
              <w:rPr>
                <w:rFonts w:ascii="宋体" w:hAnsi="宋体" w:cs="宋体"/>
                <w:kern w:val="0"/>
                <w:sz w:val="16"/>
                <w:szCs w:val="16"/>
              </w:rPr>
            </w:pPr>
            <w:r>
              <w:rPr>
                <w:rFonts w:hint="eastAsia" w:ascii="宋体" w:hAnsi="宋体" w:cs="宋体"/>
                <w:kern w:val="0"/>
                <w:sz w:val="16"/>
                <w:szCs w:val="16"/>
              </w:rPr>
              <w:t xml:space="preserve">4 </w:t>
            </w:r>
          </w:p>
        </w:tc>
        <w:tc>
          <w:tcPr>
            <w:tcW w:w="720" w:type="dxa"/>
            <w:noWrap w:val="0"/>
            <w:vAlign w:val="center"/>
          </w:tcPr>
          <w:p w14:paraId="405AF5CF">
            <w:pPr>
              <w:widowControl/>
              <w:jc w:val="center"/>
              <w:rPr>
                <w:rFonts w:ascii="宋体" w:hAnsi="宋体" w:cs="宋体"/>
                <w:kern w:val="0"/>
                <w:sz w:val="16"/>
                <w:szCs w:val="16"/>
              </w:rPr>
            </w:pPr>
            <w:r>
              <w:rPr>
                <w:rFonts w:hint="eastAsia" w:ascii="宋体" w:hAnsi="宋体" w:cs="宋体"/>
                <w:kern w:val="0"/>
                <w:sz w:val="16"/>
                <w:szCs w:val="16"/>
              </w:rPr>
              <w:t xml:space="preserve">4 </w:t>
            </w:r>
          </w:p>
        </w:tc>
        <w:tc>
          <w:tcPr>
            <w:tcW w:w="720" w:type="dxa"/>
            <w:noWrap w:val="0"/>
            <w:vAlign w:val="center"/>
          </w:tcPr>
          <w:p w14:paraId="1AD1037E">
            <w:pPr>
              <w:widowControl/>
              <w:jc w:val="center"/>
              <w:rPr>
                <w:rFonts w:ascii="宋体" w:hAnsi="宋体" w:cs="宋体"/>
                <w:kern w:val="0"/>
                <w:sz w:val="16"/>
                <w:szCs w:val="16"/>
              </w:rPr>
            </w:pPr>
            <w:r>
              <w:rPr>
                <w:rFonts w:hint="eastAsia" w:ascii="宋体" w:hAnsi="宋体" w:cs="宋体"/>
                <w:kern w:val="0"/>
                <w:sz w:val="16"/>
                <w:szCs w:val="16"/>
              </w:rPr>
              <w:t xml:space="preserve">21.50 </w:t>
            </w:r>
          </w:p>
        </w:tc>
        <w:tc>
          <w:tcPr>
            <w:tcW w:w="820" w:type="dxa"/>
            <w:noWrap w:val="0"/>
            <w:vAlign w:val="center"/>
          </w:tcPr>
          <w:p w14:paraId="55A6F7C8">
            <w:pPr>
              <w:widowControl/>
              <w:jc w:val="center"/>
              <w:rPr>
                <w:rFonts w:ascii="宋体" w:hAnsi="宋体" w:cs="宋体"/>
                <w:kern w:val="0"/>
                <w:sz w:val="16"/>
                <w:szCs w:val="16"/>
              </w:rPr>
            </w:pPr>
            <w:r>
              <w:rPr>
                <w:rFonts w:hint="eastAsia" w:ascii="宋体" w:hAnsi="宋体" w:cs="宋体"/>
                <w:kern w:val="0"/>
                <w:sz w:val="16"/>
                <w:szCs w:val="16"/>
              </w:rPr>
              <w:t xml:space="preserve">21.50 </w:t>
            </w:r>
          </w:p>
        </w:tc>
        <w:tc>
          <w:tcPr>
            <w:tcW w:w="800" w:type="dxa"/>
            <w:noWrap w:val="0"/>
            <w:vAlign w:val="center"/>
          </w:tcPr>
          <w:p w14:paraId="37E77A8C">
            <w:pPr>
              <w:widowControl/>
              <w:jc w:val="center"/>
              <w:rPr>
                <w:rFonts w:ascii="宋体" w:hAnsi="宋体" w:cs="宋体"/>
                <w:kern w:val="0"/>
                <w:sz w:val="16"/>
                <w:szCs w:val="16"/>
              </w:rPr>
            </w:pPr>
            <w:r>
              <w:rPr>
                <w:rFonts w:hint="eastAsia" w:ascii="宋体" w:hAnsi="宋体" w:cs="宋体"/>
                <w:kern w:val="0"/>
                <w:sz w:val="16"/>
                <w:szCs w:val="16"/>
              </w:rPr>
              <w:t xml:space="preserve">0.40 </w:t>
            </w:r>
          </w:p>
        </w:tc>
        <w:tc>
          <w:tcPr>
            <w:tcW w:w="760" w:type="dxa"/>
            <w:noWrap w:val="0"/>
            <w:vAlign w:val="center"/>
          </w:tcPr>
          <w:p w14:paraId="0B770100">
            <w:pPr>
              <w:widowControl/>
              <w:jc w:val="center"/>
              <w:rPr>
                <w:rFonts w:ascii="宋体" w:hAnsi="宋体" w:cs="宋体"/>
                <w:kern w:val="0"/>
                <w:sz w:val="16"/>
                <w:szCs w:val="16"/>
              </w:rPr>
            </w:pPr>
            <w:r>
              <w:rPr>
                <w:rFonts w:hint="eastAsia" w:ascii="宋体" w:hAnsi="宋体" w:cs="宋体"/>
                <w:kern w:val="0"/>
                <w:sz w:val="16"/>
                <w:szCs w:val="16"/>
              </w:rPr>
              <w:t xml:space="preserve">0.65 </w:t>
            </w:r>
          </w:p>
        </w:tc>
        <w:tc>
          <w:tcPr>
            <w:tcW w:w="700" w:type="dxa"/>
            <w:noWrap w:val="0"/>
            <w:vAlign w:val="center"/>
          </w:tcPr>
          <w:p w14:paraId="3F2652B3">
            <w:pPr>
              <w:widowControl/>
              <w:jc w:val="center"/>
              <w:rPr>
                <w:rFonts w:ascii="宋体" w:hAnsi="宋体" w:cs="宋体"/>
                <w:kern w:val="0"/>
                <w:sz w:val="16"/>
                <w:szCs w:val="16"/>
              </w:rPr>
            </w:pPr>
            <w:r>
              <w:rPr>
                <w:rFonts w:hint="eastAsia" w:ascii="宋体" w:hAnsi="宋体" w:cs="宋体"/>
                <w:kern w:val="0"/>
                <w:sz w:val="16"/>
                <w:szCs w:val="16"/>
              </w:rPr>
              <w:t xml:space="preserve">1.17 </w:t>
            </w:r>
          </w:p>
        </w:tc>
        <w:tc>
          <w:tcPr>
            <w:tcW w:w="1080" w:type="dxa"/>
            <w:noWrap w:val="0"/>
            <w:vAlign w:val="center"/>
          </w:tcPr>
          <w:p w14:paraId="72460199">
            <w:pPr>
              <w:widowControl/>
              <w:jc w:val="center"/>
              <w:rPr>
                <w:rFonts w:ascii="宋体" w:hAnsi="宋体" w:cs="宋体"/>
                <w:kern w:val="0"/>
                <w:sz w:val="16"/>
                <w:szCs w:val="16"/>
              </w:rPr>
            </w:pPr>
            <w:r>
              <w:rPr>
                <w:rFonts w:hint="eastAsia" w:ascii="宋体" w:hAnsi="宋体" w:cs="宋体"/>
                <w:kern w:val="0"/>
                <w:sz w:val="16"/>
                <w:szCs w:val="16"/>
              </w:rPr>
              <w:t xml:space="preserve">8.60 </w:t>
            </w:r>
          </w:p>
        </w:tc>
        <w:tc>
          <w:tcPr>
            <w:tcW w:w="1140" w:type="dxa"/>
            <w:noWrap w:val="0"/>
            <w:vAlign w:val="center"/>
          </w:tcPr>
          <w:p w14:paraId="369D6AC1">
            <w:pPr>
              <w:widowControl/>
              <w:jc w:val="center"/>
              <w:rPr>
                <w:rFonts w:ascii="宋体" w:hAnsi="宋体" w:cs="宋体"/>
                <w:kern w:val="0"/>
                <w:sz w:val="16"/>
                <w:szCs w:val="16"/>
              </w:rPr>
            </w:pPr>
            <w:r>
              <w:rPr>
                <w:rFonts w:hint="eastAsia" w:ascii="宋体" w:hAnsi="宋体" w:cs="宋体"/>
                <w:kern w:val="0"/>
                <w:sz w:val="16"/>
                <w:szCs w:val="16"/>
              </w:rPr>
              <w:t xml:space="preserve">10.05 </w:t>
            </w:r>
          </w:p>
        </w:tc>
        <w:tc>
          <w:tcPr>
            <w:tcW w:w="940" w:type="dxa"/>
            <w:noWrap w:val="0"/>
            <w:vAlign w:val="center"/>
          </w:tcPr>
          <w:p w14:paraId="654AD564">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2CD60AA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1BC51B1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5C9DCBC5">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1149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E9A12F6">
            <w:pPr>
              <w:widowControl/>
              <w:jc w:val="center"/>
              <w:rPr>
                <w:rFonts w:ascii="宋体" w:hAnsi="宋体" w:cs="宋体"/>
                <w:kern w:val="0"/>
                <w:sz w:val="16"/>
                <w:szCs w:val="16"/>
              </w:rPr>
            </w:pPr>
            <w:r>
              <w:rPr>
                <w:rFonts w:hint="eastAsia" w:ascii="宋体" w:hAnsi="宋体" w:cs="宋体"/>
                <w:kern w:val="0"/>
                <w:sz w:val="16"/>
                <w:szCs w:val="16"/>
              </w:rPr>
              <w:t>五</w:t>
            </w:r>
          </w:p>
        </w:tc>
        <w:tc>
          <w:tcPr>
            <w:tcW w:w="1900" w:type="dxa"/>
            <w:noWrap w:val="0"/>
            <w:vAlign w:val="center"/>
          </w:tcPr>
          <w:p w14:paraId="1A2AB844">
            <w:pPr>
              <w:widowControl/>
              <w:jc w:val="center"/>
              <w:rPr>
                <w:rFonts w:ascii="宋体" w:hAnsi="宋体" w:cs="宋体"/>
                <w:kern w:val="0"/>
                <w:sz w:val="16"/>
                <w:szCs w:val="16"/>
              </w:rPr>
            </w:pPr>
            <w:r>
              <w:rPr>
                <w:rFonts w:hint="eastAsia" w:ascii="宋体" w:hAnsi="宋体" w:cs="宋体"/>
                <w:kern w:val="0"/>
                <w:sz w:val="16"/>
                <w:szCs w:val="16"/>
              </w:rPr>
              <w:t>矿井机修车间</w:t>
            </w:r>
          </w:p>
        </w:tc>
        <w:tc>
          <w:tcPr>
            <w:tcW w:w="804" w:type="dxa"/>
            <w:noWrap w:val="0"/>
            <w:vAlign w:val="center"/>
          </w:tcPr>
          <w:p w14:paraId="3D1604D7">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748C3756">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54290C72">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361DC12E">
            <w:pPr>
              <w:widowControl/>
              <w:jc w:val="center"/>
              <w:rPr>
                <w:rFonts w:ascii="宋体" w:hAnsi="宋体" w:cs="宋体"/>
                <w:kern w:val="0"/>
                <w:sz w:val="16"/>
                <w:szCs w:val="16"/>
              </w:rPr>
            </w:pPr>
            <w:r>
              <w:rPr>
                <w:rFonts w:hint="eastAsia" w:ascii="宋体" w:hAnsi="宋体" w:cs="宋体"/>
                <w:kern w:val="0"/>
                <w:sz w:val="16"/>
                <w:szCs w:val="16"/>
              </w:rPr>
              <w:t>　</w:t>
            </w:r>
          </w:p>
        </w:tc>
        <w:tc>
          <w:tcPr>
            <w:tcW w:w="820" w:type="dxa"/>
            <w:noWrap w:val="0"/>
            <w:vAlign w:val="center"/>
          </w:tcPr>
          <w:p w14:paraId="2A734088">
            <w:pPr>
              <w:widowControl/>
              <w:jc w:val="center"/>
              <w:rPr>
                <w:rFonts w:ascii="宋体" w:hAnsi="宋体" w:cs="宋体"/>
                <w:kern w:val="0"/>
                <w:sz w:val="16"/>
                <w:szCs w:val="16"/>
              </w:rPr>
            </w:pPr>
            <w:r>
              <w:rPr>
                <w:rFonts w:hint="eastAsia" w:ascii="宋体" w:hAnsi="宋体" w:cs="宋体"/>
                <w:kern w:val="0"/>
                <w:sz w:val="16"/>
                <w:szCs w:val="16"/>
              </w:rPr>
              <w:t>　</w:t>
            </w:r>
          </w:p>
        </w:tc>
        <w:tc>
          <w:tcPr>
            <w:tcW w:w="800" w:type="dxa"/>
            <w:noWrap w:val="0"/>
            <w:vAlign w:val="center"/>
          </w:tcPr>
          <w:p w14:paraId="52A7DDF8">
            <w:pPr>
              <w:widowControl/>
              <w:jc w:val="left"/>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44B29BFB">
            <w:pPr>
              <w:widowControl/>
              <w:jc w:val="left"/>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1266D83">
            <w:pPr>
              <w:widowControl/>
              <w:jc w:val="left"/>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5BCF11D6">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7A4B561B">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0D407E7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E12A09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407F900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4559535">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5E4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2095E7D4">
            <w:pPr>
              <w:widowControl/>
              <w:jc w:val="center"/>
              <w:rPr>
                <w:rFonts w:ascii="宋体" w:hAnsi="宋体" w:cs="宋体"/>
                <w:kern w:val="0"/>
                <w:sz w:val="16"/>
                <w:szCs w:val="16"/>
              </w:rPr>
            </w:pPr>
            <w:r>
              <w:rPr>
                <w:rFonts w:hint="eastAsia" w:ascii="宋体" w:hAnsi="宋体" w:cs="宋体"/>
                <w:kern w:val="0"/>
                <w:sz w:val="16"/>
                <w:szCs w:val="16"/>
              </w:rPr>
              <w:t>1</w:t>
            </w:r>
          </w:p>
        </w:tc>
        <w:tc>
          <w:tcPr>
            <w:tcW w:w="1900" w:type="dxa"/>
            <w:noWrap w:val="0"/>
            <w:vAlign w:val="center"/>
          </w:tcPr>
          <w:p w14:paraId="1206AF35">
            <w:pPr>
              <w:widowControl/>
              <w:jc w:val="center"/>
              <w:rPr>
                <w:rFonts w:ascii="宋体" w:hAnsi="宋体" w:cs="宋体"/>
                <w:kern w:val="0"/>
                <w:sz w:val="16"/>
                <w:szCs w:val="16"/>
              </w:rPr>
            </w:pPr>
            <w:r>
              <w:rPr>
                <w:rFonts w:hint="eastAsia" w:ascii="宋体" w:hAnsi="宋体" w:cs="宋体"/>
                <w:kern w:val="0"/>
                <w:sz w:val="16"/>
                <w:szCs w:val="16"/>
              </w:rPr>
              <w:t>普通钻床</w:t>
            </w:r>
          </w:p>
        </w:tc>
        <w:tc>
          <w:tcPr>
            <w:tcW w:w="804" w:type="dxa"/>
            <w:noWrap w:val="0"/>
            <w:vAlign w:val="center"/>
          </w:tcPr>
          <w:p w14:paraId="67B457F4">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71B6E1F2">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1610E4BB">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648508FC">
            <w:pPr>
              <w:widowControl/>
              <w:jc w:val="center"/>
              <w:rPr>
                <w:rFonts w:ascii="宋体" w:hAnsi="宋体" w:cs="宋体"/>
                <w:kern w:val="0"/>
                <w:sz w:val="16"/>
                <w:szCs w:val="16"/>
              </w:rPr>
            </w:pPr>
            <w:r>
              <w:rPr>
                <w:rFonts w:hint="eastAsia" w:ascii="宋体" w:hAnsi="宋体" w:cs="宋体"/>
                <w:kern w:val="0"/>
                <w:sz w:val="16"/>
                <w:szCs w:val="16"/>
              </w:rPr>
              <w:t xml:space="preserve">7.63 </w:t>
            </w:r>
          </w:p>
        </w:tc>
        <w:tc>
          <w:tcPr>
            <w:tcW w:w="820" w:type="dxa"/>
            <w:noWrap w:val="0"/>
            <w:vAlign w:val="center"/>
          </w:tcPr>
          <w:p w14:paraId="39DABC57">
            <w:pPr>
              <w:widowControl/>
              <w:jc w:val="center"/>
              <w:rPr>
                <w:rFonts w:ascii="宋体" w:hAnsi="宋体" w:cs="宋体"/>
                <w:kern w:val="0"/>
                <w:sz w:val="16"/>
                <w:szCs w:val="16"/>
              </w:rPr>
            </w:pPr>
            <w:r>
              <w:rPr>
                <w:rFonts w:hint="eastAsia" w:ascii="宋体" w:hAnsi="宋体" w:cs="宋体"/>
                <w:kern w:val="0"/>
                <w:sz w:val="16"/>
                <w:szCs w:val="16"/>
              </w:rPr>
              <w:t xml:space="preserve">7.63 </w:t>
            </w:r>
          </w:p>
        </w:tc>
        <w:tc>
          <w:tcPr>
            <w:tcW w:w="800" w:type="dxa"/>
            <w:noWrap w:val="0"/>
            <w:vAlign w:val="center"/>
          </w:tcPr>
          <w:p w14:paraId="508AD64A">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28D610F">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97267E9">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68EF7340">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5B14A11B">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2ADB4CC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193B7EF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5FAB1EA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07B1D4E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42F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36EFA78C">
            <w:pPr>
              <w:widowControl/>
              <w:jc w:val="center"/>
              <w:rPr>
                <w:rFonts w:ascii="宋体" w:hAnsi="宋体" w:cs="宋体"/>
                <w:kern w:val="0"/>
                <w:sz w:val="16"/>
                <w:szCs w:val="16"/>
              </w:rPr>
            </w:pPr>
            <w:r>
              <w:rPr>
                <w:rFonts w:hint="eastAsia" w:ascii="宋体" w:hAnsi="宋体" w:cs="宋体"/>
                <w:kern w:val="0"/>
                <w:sz w:val="16"/>
                <w:szCs w:val="16"/>
              </w:rPr>
              <w:t>2</w:t>
            </w:r>
          </w:p>
        </w:tc>
        <w:tc>
          <w:tcPr>
            <w:tcW w:w="1900" w:type="dxa"/>
            <w:noWrap w:val="0"/>
            <w:vAlign w:val="center"/>
          </w:tcPr>
          <w:p w14:paraId="7B555967">
            <w:pPr>
              <w:widowControl/>
              <w:jc w:val="center"/>
              <w:rPr>
                <w:rFonts w:ascii="宋体" w:hAnsi="宋体" w:cs="宋体"/>
                <w:kern w:val="0"/>
                <w:sz w:val="16"/>
                <w:szCs w:val="16"/>
              </w:rPr>
            </w:pPr>
            <w:r>
              <w:rPr>
                <w:rFonts w:hint="eastAsia" w:ascii="宋体" w:hAnsi="宋体" w:cs="宋体"/>
                <w:kern w:val="0"/>
                <w:sz w:val="16"/>
                <w:szCs w:val="16"/>
              </w:rPr>
              <w:t>立式钻床</w:t>
            </w:r>
          </w:p>
        </w:tc>
        <w:tc>
          <w:tcPr>
            <w:tcW w:w="804" w:type="dxa"/>
            <w:noWrap w:val="0"/>
            <w:vAlign w:val="center"/>
          </w:tcPr>
          <w:p w14:paraId="1CD7FA8F">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5846F9B8">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1A302CF6">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7D080911">
            <w:pPr>
              <w:widowControl/>
              <w:jc w:val="center"/>
              <w:rPr>
                <w:rFonts w:ascii="宋体" w:hAnsi="宋体" w:cs="宋体"/>
                <w:kern w:val="0"/>
                <w:sz w:val="16"/>
                <w:szCs w:val="16"/>
              </w:rPr>
            </w:pPr>
            <w:r>
              <w:rPr>
                <w:rFonts w:hint="eastAsia" w:ascii="宋体" w:hAnsi="宋体" w:cs="宋体"/>
                <w:kern w:val="0"/>
                <w:sz w:val="16"/>
                <w:szCs w:val="16"/>
              </w:rPr>
              <w:t xml:space="preserve">5.23 </w:t>
            </w:r>
          </w:p>
        </w:tc>
        <w:tc>
          <w:tcPr>
            <w:tcW w:w="820" w:type="dxa"/>
            <w:noWrap w:val="0"/>
            <w:vAlign w:val="center"/>
          </w:tcPr>
          <w:p w14:paraId="7396962E">
            <w:pPr>
              <w:widowControl/>
              <w:jc w:val="center"/>
              <w:rPr>
                <w:rFonts w:ascii="宋体" w:hAnsi="宋体" w:cs="宋体"/>
                <w:kern w:val="0"/>
                <w:sz w:val="16"/>
                <w:szCs w:val="16"/>
              </w:rPr>
            </w:pPr>
            <w:r>
              <w:rPr>
                <w:rFonts w:hint="eastAsia" w:ascii="宋体" w:hAnsi="宋体" w:cs="宋体"/>
                <w:kern w:val="0"/>
                <w:sz w:val="16"/>
                <w:szCs w:val="16"/>
              </w:rPr>
              <w:t xml:space="preserve">5.23 </w:t>
            </w:r>
          </w:p>
        </w:tc>
        <w:tc>
          <w:tcPr>
            <w:tcW w:w="800" w:type="dxa"/>
            <w:noWrap w:val="0"/>
            <w:vAlign w:val="center"/>
          </w:tcPr>
          <w:p w14:paraId="555A5DD2">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2D194E83">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0D76760E">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5E5AB2F0">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301A32F5">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2307A54F">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3A8E469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366674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A57D62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315A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6578DDC7">
            <w:pPr>
              <w:widowControl/>
              <w:jc w:val="center"/>
              <w:rPr>
                <w:rFonts w:ascii="宋体" w:hAnsi="宋体" w:cs="宋体"/>
                <w:kern w:val="0"/>
                <w:sz w:val="16"/>
                <w:szCs w:val="16"/>
              </w:rPr>
            </w:pPr>
            <w:r>
              <w:rPr>
                <w:rFonts w:hint="eastAsia" w:ascii="宋体" w:hAnsi="宋体" w:cs="宋体"/>
                <w:kern w:val="0"/>
                <w:sz w:val="16"/>
                <w:szCs w:val="16"/>
              </w:rPr>
              <w:t>3</w:t>
            </w:r>
          </w:p>
        </w:tc>
        <w:tc>
          <w:tcPr>
            <w:tcW w:w="1900" w:type="dxa"/>
            <w:noWrap w:val="0"/>
            <w:vAlign w:val="center"/>
          </w:tcPr>
          <w:p w14:paraId="01EA0893">
            <w:pPr>
              <w:widowControl/>
              <w:jc w:val="center"/>
              <w:rPr>
                <w:rFonts w:ascii="宋体" w:hAnsi="宋体" w:cs="宋体"/>
                <w:kern w:val="0"/>
                <w:sz w:val="16"/>
                <w:szCs w:val="16"/>
              </w:rPr>
            </w:pPr>
            <w:r>
              <w:rPr>
                <w:rFonts w:hint="eastAsia" w:ascii="宋体" w:hAnsi="宋体" w:cs="宋体"/>
                <w:kern w:val="0"/>
                <w:sz w:val="16"/>
                <w:szCs w:val="16"/>
              </w:rPr>
              <w:t>弓锯机</w:t>
            </w:r>
          </w:p>
        </w:tc>
        <w:tc>
          <w:tcPr>
            <w:tcW w:w="804" w:type="dxa"/>
            <w:noWrap w:val="0"/>
            <w:vAlign w:val="center"/>
          </w:tcPr>
          <w:p w14:paraId="289AE457">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3B76A012">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570FD0F1">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6D196A3">
            <w:pPr>
              <w:widowControl/>
              <w:jc w:val="center"/>
              <w:rPr>
                <w:rFonts w:ascii="宋体" w:hAnsi="宋体" w:cs="宋体"/>
                <w:kern w:val="0"/>
                <w:sz w:val="16"/>
                <w:szCs w:val="16"/>
              </w:rPr>
            </w:pPr>
            <w:r>
              <w:rPr>
                <w:rFonts w:hint="eastAsia" w:ascii="宋体" w:hAnsi="宋体" w:cs="宋体"/>
                <w:kern w:val="0"/>
                <w:sz w:val="16"/>
                <w:szCs w:val="16"/>
              </w:rPr>
              <w:t xml:space="preserve">1.70 </w:t>
            </w:r>
          </w:p>
        </w:tc>
        <w:tc>
          <w:tcPr>
            <w:tcW w:w="820" w:type="dxa"/>
            <w:noWrap w:val="0"/>
            <w:vAlign w:val="center"/>
          </w:tcPr>
          <w:p w14:paraId="428BC15D">
            <w:pPr>
              <w:widowControl/>
              <w:jc w:val="center"/>
              <w:rPr>
                <w:rFonts w:ascii="宋体" w:hAnsi="宋体" w:cs="宋体"/>
                <w:kern w:val="0"/>
                <w:sz w:val="16"/>
                <w:szCs w:val="16"/>
              </w:rPr>
            </w:pPr>
            <w:r>
              <w:rPr>
                <w:rFonts w:hint="eastAsia" w:ascii="宋体" w:hAnsi="宋体" w:cs="宋体"/>
                <w:kern w:val="0"/>
                <w:sz w:val="16"/>
                <w:szCs w:val="16"/>
              </w:rPr>
              <w:t xml:space="preserve">1.70 </w:t>
            </w:r>
          </w:p>
        </w:tc>
        <w:tc>
          <w:tcPr>
            <w:tcW w:w="800" w:type="dxa"/>
            <w:noWrap w:val="0"/>
            <w:vAlign w:val="center"/>
          </w:tcPr>
          <w:p w14:paraId="0F292E56">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025CC5B5">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12FE2FEB">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3C4DBC8">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1647571F">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0099FD5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3EA6E46D">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598C928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449804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0F0B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5DF42C41">
            <w:pPr>
              <w:widowControl/>
              <w:jc w:val="center"/>
              <w:rPr>
                <w:rFonts w:ascii="宋体" w:hAnsi="宋体" w:cs="宋体"/>
                <w:kern w:val="0"/>
                <w:sz w:val="16"/>
                <w:szCs w:val="16"/>
              </w:rPr>
            </w:pPr>
            <w:r>
              <w:rPr>
                <w:rFonts w:hint="eastAsia" w:ascii="宋体" w:hAnsi="宋体" w:cs="宋体"/>
                <w:kern w:val="0"/>
                <w:sz w:val="16"/>
                <w:szCs w:val="16"/>
              </w:rPr>
              <w:t>4</w:t>
            </w:r>
          </w:p>
        </w:tc>
        <w:tc>
          <w:tcPr>
            <w:tcW w:w="1900" w:type="dxa"/>
            <w:noWrap w:val="0"/>
            <w:vAlign w:val="center"/>
          </w:tcPr>
          <w:p w14:paraId="6BE014D1">
            <w:pPr>
              <w:widowControl/>
              <w:jc w:val="center"/>
              <w:rPr>
                <w:rFonts w:ascii="宋体" w:hAnsi="宋体" w:cs="宋体"/>
                <w:kern w:val="0"/>
                <w:sz w:val="16"/>
                <w:szCs w:val="16"/>
              </w:rPr>
            </w:pPr>
            <w:r>
              <w:rPr>
                <w:rFonts w:hint="eastAsia" w:ascii="宋体" w:hAnsi="宋体" w:cs="宋体"/>
                <w:kern w:val="0"/>
                <w:sz w:val="16"/>
                <w:szCs w:val="16"/>
              </w:rPr>
              <w:t>交流弧焊机</w:t>
            </w:r>
          </w:p>
        </w:tc>
        <w:tc>
          <w:tcPr>
            <w:tcW w:w="804" w:type="dxa"/>
            <w:noWrap w:val="0"/>
            <w:vAlign w:val="center"/>
          </w:tcPr>
          <w:p w14:paraId="1AA5400A">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1FAD4E92">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55E218DF">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53906409">
            <w:pPr>
              <w:widowControl/>
              <w:jc w:val="center"/>
              <w:rPr>
                <w:rFonts w:ascii="宋体" w:hAnsi="宋体" w:cs="宋体"/>
                <w:kern w:val="0"/>
                <w:sz w:val="16"/>
                <w:szCs w:val="16"/>
              </w:rPr>
            </w:pPr>
            <w:r>
              <w:rPr>
                <w:rFonts w:hint="eastAsia" w:ascii="宋体" w:hAnsi="宋体" w:cs="宋体"/>
                <w:kern w:val="0"/>
                <w:sz w:val="16"/>
                <w:szCs w:val="16"/>
              </w:rPr>
              <w:t xml:space="preserve">60.00 </w:t>
            </w:r>
          </w:p>
        </w:tc>
        <w:tc>
          <w:tcPr>
            <w:tcW w:w="820" w:type="dxa"/>
            <w:noWrap w:val="0"/>
            <w:vAlign w:val="center"/>
          </w:tcPr>
          <w:p w14:paraId="5AC0A9C5">
            <w:pPr>
              <w:widowControl/>
              <w:jc w:val="center"/>
              <w:rPr>
                <w:rFonts w:ascii="宋体" w:hAnsi="宋体" w:cs="宋体"/>
                <w:kern w:val="0"/>
                <w:sz w:val="16"/>
                <w:szCs w:val="16"/>
              </w:rPr>
            </w:pPr>
            <w:r>
              <w:rPr>
                <w:rFonts w:hint="eastAsia" w:ascii="宋体" w:hAnsi="宋体" w:cs="宋体"/>
                <w:kern w:val="0"/>
                <w:sz w:val="16"/>
                <w:szCs w:val="16"/>
              </w:rPr>
              <w:t xml:space="preserve">60.00 </w:t>
            </w:r>
          </w:p>
        </w:tc>
        <w:tc>
          <w:tcPr>
            <w:tcW w:w="800" w:type="dxa"/>
            <w:noWrap w:val="0"/>
            <w:vAlign w:val="center"/>
          </w:tcPr>
          <w:p w14:paraId="7EDADBB6">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119C27C0">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3A4F1D92">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49695BB6">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20870696">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3E5433AD">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5946381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5F60F14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6C40AFF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3D6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5953EEE3">
            <w:pPr>
              <w:widowControl/>
              <w:jc w:val="center"/>
              <w:rPr>
                <w:rFonts w:ascii="宋体" w:hAnsi="宋体" w:cs="宋体"/>
                <w:kern w:val="0"/>
                <w:sz w:val="16"/>
                <w:szCs w:val="16"/>
              </w:rPr>
            </w:pPr>
            <w:r>
              <w:rPr>
                <w:rFonts w:hint="eastAsia" w:ascii="宋体" w:hAnsi="宋体" w:cs="宋体"/>
                <w:kern w:val="0"/>
                <w:sz w:val="16"/>
                <w:szCs w:val="16"/>
              </w:rPr>
              <w:t>5</w:t>
            </w:r>
          </w:p>
        </w:tc>
        <w:tc>
          <w:tcPr>
            <w:tcW w:w="1900" w:type="dxa"/>
            <w:noWrap w:val="0"/>
            <w:vAlign w:val="center"/>
          </w:tcPr>
          <w:p w14:paraId="0C475968">
            <w:pPr>
              <w:widowControl/>
              <w:jc w:val="center"/>
              <w:rPr>
                <w:rFonts w:ascii="宋体" w:hAnsi="宋体" w:cs="宋体"/>
                <w:kern w:val="0"/>
                <w:sz w:val="16"/>
                <w:szCs w:val="16"/>
              </w:rPr>
            </w:pPr>
            <w:r>
              <w:rPr>
                <w:rFonts w:hint="eastAsia" w:ascii="宋体" w:hAnsi="宋体" w:cs="宋体"/>
                <w:kern w:val="0"/>
                <w:sz w:val="16"/>
                <w:szCs w:val="16"/>
              </w:rPr>
              <w:t>直流弧焊机</w:t>
            </w:r>
          </w:p>
        </w:tc>
        <w:tc>
          <w:tcPr>
            <w:tcW w:w="804" w:type="dxa"/>
            <w:noWrap w:val="0"/>
            <w:vAlign w:val="center"/>
          </w:tcPr>
          <w:p w14:paraId="0654E416">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4CCA28C1">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22C7D630">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7CA2E7E9">
            <w:pPr>
              <w:widowControl/>
              <w:jc w:val="center"/>
              <w:rPr>
                <w:rFonts w:ascii="宋体" w:hAnsi="宋体" w:cs="宋体"/>
                <w:kern w:val="0"/>
                <w:sz w:val="16"/>
                <w:szCs w:val="16"/>
              </w:rPr>
            </w:pPr>
            <w:r>
              <w:rPr>
                <w:rFonts w:hint="eastAsia" w:ascii="宋体" w:hAnsi="宋体" w:cs="宋体"/>
                <w:kern w:val="0"/>
                <w:sz w:val="16"/>
                <w:szCs w:val="16"/>
              </w:rPr>
              <w:t xml:space="preserve">10.00 </w:t>
            </w:r>
          </w:p>
        </w:tc>
        <w:tc>
          <w:tcPr>
            <w:tcW w:w="820" w:type="dxa"/>
            <w:noWrap w:val="0"/>
            <w:vAlign w:val="center"/>
          </w:tcPr>
          <w:p w14:paraId="0B3E8DA3">
            <w:pPr>
              <w:widowControl/>
              <w:jc w:val="center"/>
              <w:rPr>
                <w:rFonts w:ascii="宋体" w:hAnsi="宋体" w:cs="宋体"/>
                <w:kern w:val="0"/>
                <w:sz w:val="16"/>
                <w:szCs w:val="16"/>
              </w:rPr>
            </w:pPr>
            <w:r>
              <w:rPr>
                <w:rFonts w:hint="eastAsia" w:ascii="宋体" w:hAnsi="宋体" w:cs="宋体"/>
                <w:kern w:val="0"/>
                <w:sz w:val="16"/>
                <w:szCs w:val="16"/>
              </w:rPr>
              <w:t xml:space="preserve">10.00 </w:t>
            </w:r>
          </w:p>
        </w:tc>
        <w:tc>
          <w:tcPr>
            <w:tcW w:w="800" w:type="dxa"/>
            <w:noWrap w:val="0"/>
            <w:vAlign w:val="center"/>
          </w:tcPr>
          <w:p w14:paraId="2AA1F70B">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19D4DBC3">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7E88AD37">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0292D941">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23C4E762">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025F117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7D6038C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799E21B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6061CA48">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1B77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0301A222">
            <w:pPr>
              <w:widowControl/>
              <w:jc w:val="center"/>
              <w:rPr>
                <w:rFonts w:ascii="宋体" w:hAnsi="宋体" w:cs="宋体"/>
                <w:kern w:val="0"/>
                <w:sz w:val="16"/>
                <w:szCs w:val="16"/>
              </w:rPr>
            </w:pPr>
            <w:r>
              <w:rPr>
                <w:rFonts w:hint="eastAsia" w:ascii="宋体" w:hAnsi="宋体" w:cs="宋体"/>
                <w:kern w:val="0"/>
                <w:sz w:val="16"/>
                <w:szCs w:val="16"/>
              </w:rPr>
              <w:t>6</w:t>
            </w:r>
          </w:p>
        </w:tc>
        <w:tc>
          <w:tcPr>
            <w:tcW w:w="1900" w:type="dxa"/>
            <w:noWrap w:val="0"/>
            <w:vAlign w:val="center"/>
          </w:tcPr>
          <w:p w14:paraId="78069E22">
            <w:pPr>
              <w:widowControl/>
              <w:jc w:val="center"/>
              <w:rPr>
                <w:rFonts w:ascii="宋体" w:hAnsi="宋体" w:cs="宋体"/>
                <w:kern w:val="0"/>
                <w:sz w:val="16"/>
                <w:szCs w:val="16"/>
              </w:rPr>
            </w:pPr>
            <w:r>
              <w:rPr>
                <w:rFonts w:hint="eastAsia" w:ascii="宋体" w:hAnsi="宋体" w:cs="宋体"/>
                <w:kern w:val="0"/>
                <w:sz w:val="16"/>
                <w:szCs w:val="16"/>
              </w:rPr>
              <w:t>电动拆装机</w:t>
            </w:r>
          </w:p>
        </w:tc>
        <w:tc>
          <w:tcPr>
            <w:tcW w:w="804" w:type="dxa"/>
            <w:noWrap w:val="0"/>
            <w:vAlign w:val="center"/>
          </w:tcPr>
          <w:p w14:paraId="4D7802C4">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0528321A">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7E8A9CA9">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7F11CA50">
            <w:pPr>
              <w:widowControl/>
              <w:jc w:val="center"/>
              <w:rPr>
                <w:rFonts w:ascii="宋体" w:hAnsi="宋体" w:cs="宋体"/>
                <w:kern w:val="0"/>
                <w:sz w:val="16"/>
                <w:szCs w:val="16"/>
              </w:rPr>
            </w:pPr>
            <w:r>
              <w:rPr>
                <w:rFonts w:hint="eastAsia" w:ascii="宋体" w:hAnsi="宋体" w:cs="宋体"/>
                <w:kern w:val="0"/>
                <w:sz w:val="16"/>
                <w:szCs w:val="16"/>
              </w:rPr>
              <w:t xml:space="preserve">7.50 </w:t>
            </w:r>
          </w:p>
        </w:tc>
        <w:tc>
          <w:tcPr>
            <w:tcW w:w="820" w:type="dxa"/>
            <w:noWrap w:val="0"/>
            <w:vAlign w:val="center"/>
          </w:tcPr>
          <w:p w14:paraId="3F39D461">
            <w:pPr>
              <w:widowControl/>
              <w:jc w:val="center"/>
              <w:rPr>
                <w:rFonts w:ascii="宋体" w:hAnsi="宋体" w:cs="宋体"/>
                <w:kern w:val="0"/>
                <w:sz w:val="16"/>
                <w:szCs w:val="16"/>
              </w:rPr>
            </w:pPr>
            <w:r>
              <w:rPr>
                <w:rFonts w:hint="eastAsia" w:ascii="宋体" w:hAnsi="宋体" w:cs="宋体"/>
                <w:kern w:val="0"/>
                <w:sz w:val="16"/>
                <w:szCs w:val="16"/>
              </w:rPr>
              <w:t xml:space="preserve">7.50 </w:t>
            </w:r>
          </w:p>
        </w:tc>
        <w:tc>
          <w:tcPr>
            <w:tcW w:w="800" w:type="dxa"/>
            <w:noWrap w:val="0"/>
            <w:vAlign w:val="center"/>
          </w:tcPr>
          <w:p w14:paraId="30A2B26D">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4E0BB00">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0EBC5882">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690BEDF1">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0226B4C2">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481904BF">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171ED45E">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079CBB7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7558ED75">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A5D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44DE65B0">
            <w:pPr>
              <w:widowControl/>
              <w:jc w:val="center"/>
              <w:rPr>
                <w:rFonts w:ascii="宋体" w:hAnsi="宋体" w:cs="宋体"/>
                <w:kern w:val="0"/>
                <w:sz w:val="16"/>
                <w:szCs w:val="16"/>
              </w:rPr>
            </w:pPr>
            <w:r>
              <w:rPr>
                <w:rFonts w:hint="eastAsia" w:ascii="宋体" w:hAnsi="宋体" w:cs="宋体"/>
                <w:kern w:val="0"/>
                <w:sz w:val="16"/>
                <w:szCs w:val="16"/>
              </w:rPr>
              <w:t>7</w:t>
            </w:r>
          </w:p>
        </w:tc>
        <w:tc>
          <w:tcPr>
            <w:tcW w:w="1900" w:type="dxa"/>
            <w:noWrap w:val="0"/>
            <w:vAlign w:val="center"/>
          </w:tcPr>
          <w:p w14:paraId="09CE04D6">
            <w:pPr>
              <w:widowControl/>
              <w:jc w:val="center"/>
              <w:rPr>
                <w:rFonts w:ascii="宋体" w:hAnsi="宋体" w:cs="宋体"/>
                <w:kern w:val="0"/>
                <w:sz w:val="16"/>
                <w:szCs w:val="16"/>
              </w:rPr>
            </w:pPr>
            <w:r>
              <w:rPr>
                <w:rFonts w:hint="eastAsia" w:ascii="宋体" w:hAnsi="宋体" w:cs="宋体"/>
                <w:kern w:val="0"/>
                <w:sz w:val="16"/>
                <w:szCs w:val="16"/>
              </w:rPr>
              <w:t>液压站</w:t>
            </w:r>
          </w:p>
        </w:tc>
        <w:tc>
          <w:tcPr>
            <w:tcW w:w="804" w:type="dxa"/>
            <w:noWrap w:val="0"/>
            <w:vAlign w:val="center"/>
          </w:tcPr>
          <w:p w14:paraId="2811916E">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29676595">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1FEDA6E8">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40716DE0">
            <w:pPr>
              <w:widowControl/>
              <w:jc w:val="center"/>
              <w:rPr>
                <w:rFonts w:ascii="宋体" w:hAnsi="宋体" w:cs="宋体"/>
                <w:kern w:val="0"/>
                <w:sz w:val="16"/>
                <w:szCs w:val="16"/>
              </w:rPr>
            </w:pPr>
            <w:r>
              <w:rPr>
                <w:rFonts w:hint="eastAsia" w:ascii="宋体" w:hAnsi="宋体" w:cs="宋体"/>
                <w:kern w:val="0"/>
                <w:sz w:val="16"/>
                <w:szCs w:val="16"/>
              </w:rPr>
              <w:t xml:space="preserve">3.00 </w:t>
            </w:r>
          </w:p>
        </w:tc>
        <w:tc>
          <w:tcPr>
            <w:tcW w:w="820" w:type="dxa"/>
            <w:noWrap w:val="0"/>
            <w:vAlign w:val="center"/>
          </w:tcPr>
          <w:p w14:paraId="578BA8E0">
            <w:pPr>
              <w:widowControl/>
              <w:jc w:val="center"/>
              <w:rPr>
                <w:rFonts w:ascii="宋体" w:hAnsi="宋体" w:cs="宋体"/>
                <w:kern w:val="0"/>
                <w:sz w:val="16"/>
                <w:szCs w:val="16"/>
              </w:rPr>
            </w:pPr>
            <w:r>
              <w:rPr>
                <w:rFonts w:hint="eastAsia" w:ascii="宋体" w:hAnsi="宋体" w:cs="宋体"/>
                <w:kern w:val="0"/>
                <w:sz w:val="16"/>
                <w:szCs w:val="16"/>
              </w:rPr>
              <w:t xml:space="preserve">3.00 </w:t>
            </w:r>
          </w:p>
        </w:tc>
        <w:tc>
          <w:tcPr>
            <w:tcW w:w="800" w:type="dxa"/>
            <w:noWrap w:val="0"/>
            <w:vAlign w:val="center"/>
          </w:tcPr>
          <w:p w14:paraId="2F2CD4A8">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618C9FC6">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70C10F01">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2395C7E6">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742AA364">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237530B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637CF1D7">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02EB08B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CA3F79C">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556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2C4C94D4">
            <w:pPr>
              <w:widowControl/>
              <w:jc w:val="center"/>
              <w:rPr>
                <w:rFonts w:ascii="宋体" w:hAnsi="宋体" w:cs="宋体"/>
                <w:kern w:val="0"/>
                <w:sz w:val="16"/>
                <w:szCs w:val="16"/>
              </w:rPr>
            </w:pPr>
            <w:r>
              <w:rPr>
                <w:rFonts w:hint="eastAsia" w:ascii="宋体" w:hAnsi="宋体" w:cs="宋体"/>
                <w:kern w:val="0"/>
                <w:sz w:val="16"/>
                <w:szCs w:val="16"/>
              </w:rPr>
              <w:t>8</w:t>
            </w:r>
          </w:p>
        </w:tc>
        <w:tc>
          <w:tcPr>
            <w:tcW w:w="1900" w:type="dxa"/>
            <w:noWrap w:val="0"/>
            <w:vAlign w:val="center"/>
          </w:tcPr>
          <w:p w14:paraId="5CFE0FB8">
            <w:pPr>
              <w:widowControl/>
              <w:jc w:val="center"/>
              <w:rPr>
                <w:rFonts w:ascii="宋体" w:hAnsi="宋体" w:cs="宋体"/>
                <w:kern w:val="0"/>
                <w:sz w:val="16"/>
                <w:szCs w:val="16"/>
              </w:rPr>
            </w:pPr>
            <w:r>
              <w:rPr>
                <w:rFonts w:hint="eastAsia" w:ascii="宋体" w:hAnsi="宋体" w:cs="宋体"/>
                <w:kern w:val="0"/>
                <w:sz w:val="16"/>
                <w:szCs w:val="16"/>
              </w:rPr>
              <w:t>电动单梁起重机</w:t>
            </w:r>
          </w:p>
        </w:tc>
        <w:tc>
          <w:tcPr>
            <w:tcW w:w="804" w:type="dxa"/>
            <w:noWrap w:val="0"/>
            <w:vAlign w:val="center"/>
          </w:tcPr>
          <w:p w14:paraId="27021D8B">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163B5771">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0B4FFB2B">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4B5D1868">
            <w:pPr>
              <w:widowControl/>
              <w:jc w:val="center"/>
              <w:rPr>
                <w:rFonts w:ascii="宋体" w:hAnsi="宋体" w:cs="宋体"/>
                <w:kern w:val="0"/>
                <w:sz w:val="16"/>
                <w:szCs w:val="16"/>
              </w:rPr>
            </w:pPr>
            <w:r>
              <w:rPr>
                <w:rFonts w:hint="eastAsia" w:ascii="宋体" w:hAnsi="宋体" w:cs="宋体"/>
                <w:kern w:val="0"/>
                <w:sz w:val="16"/>
                <w:szCs w:val="16"/>
              </w:rPr>
              <w:t xml:space="preserve">10.00 </w:t>
            </w:r>
          </w:p>
        </w:tc>
        <w:tc>
          <w:tcPr>
            <w:tcW w:w="820" w:type="dxa"/>
            <w:noWrap w:val="0"/>
            <w:vAlign w:val="center"/>
          </w:tcPr>
          <w:p w14:paraId="08ACD450">
            <w:pPr>
              <w:widowControl/>
              <w:jc w:val="center"/>
              <w:rPr>
                <w:rFonts w:ascii="宋体" w:hAnsi="宋体" w:cs="宋体"/>
                <w:kern w:val="0"/>
                <w:sz w:val="16"/>
                <w:szCs w:val="16"/>
              </w:rPr>
            </w:pPr>
            <w:r>
              <w:rPr>
                <w:rFonts w:hint="eastAsia" w:ascii="宋体" w:hAnsi="宋体" w:cs="宋体"/>
                <w:kern w:val="0"/>
                <w:sz w:val="16"/>
                <w:szCs w:val="16"/>
              </w:rPr>
              <w:t xml:space="preserve">10.00 </w:t>
            </w:r>
          </w:p>
        </w:tc>
        <w:tc>
          <w:tcPr>
            <w:tcW w:w="800" w:type="dxa"/>
            <w:noWrap w:val="0"/>
            <w:vAlign w:val="center"/>
          </w:tcPr>
          <w:p w14:paraId="3200592A">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1A16715A">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3B3514A1">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AFAD0CD">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658A6551">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189C2859">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3D521A1">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0DF165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4CCEE1B1">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30FB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04E870BE">
            <w:pPr>
              <w:widowControl/>
              <w:jc w:val="center"/>
              <w:rPr>
                <w:rFonts w:ascii="宋体" w:hAnsi="宋体" w:cs="宋体"/>
                <w:kern w:val="0"/>
                <w:sz w:val="16"/>
                <w:szCs w:val="16"/>
              </w:rPr>
            </w:pPr>
            <w:r>
              <w:rPr>
                <w:rFonts w:hint="eastAsia" w:ascii="宋体" w:hAnsi="宋体" w:cs="宋体"/>
                <w:kern w:val="0"/>
                <w:sz w:val="16"/>
                <w:szCs w:val="16"/>
              </w:rPr>
              <w:t>9</w:t>
            </w:r>
          </w:p>
        </w:tc>
        <w:tc>
          <w:tcPr>
            <w:tcW w:w="1900" w:type="dxa"/>
            <w:noWrap w:val="0"/>
            <w:vAlign w:val="center"/>
          </w:tcPr>
          <w:p w14:paraId="238EC81A">
            <w:pPr>
              <w:widowControl/>
              <w:jc w:val="center"/>
              <w:rPr>
                <w:rFonts w:ascii="宋体" w:hAnsi="宋体" w:cs="宋体"/>
                <w:kern w:val="0"/>
                <w:sz w:val="16"/>
                <w:szCs w:val="16"/>
              </w:rPr>
            </w:pPr>
            <w:r>
              <w:rPr>
                <w:rFonts w:hint="eastAsia" w:ascii="宋体" w:hAnsi="宋体" w:cs="宋体"/>
                <w:kern w:val="0"/>
                <w:sz w:val="16"/>
                <w:szCs w:val="16"/>
              </w:rPr>
              <w:t>液压油缸修复机</w:t>
            </w:r>
          </w:p>
        </w:tc>
        <w:tc>
          <w:tcPr>
            <w:tcW w:w="804" w:type="dxa"/>
            <w:noWrap w:val="0"/>
            <w:vAlign w:val="center"/>
          </w:tcPr>
          <w:p w14:paraId="3ADCECCE">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7CE81CB4">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32D94AA4">
            <w:pPr>
              <w:widowControl/>
              <w:jc w:val="center"/>
              <w:rPr>
                <w:rFonts w:ascii="宋体" w:hAnsi="宋体" w:cs="宋体"/>
                <w:kern w:val="0"/>
                <w:sz w:val="16"/>
                <w:szCs w:val="16"/>
              </w:rPr>
            </w:pPr>
            <w:r>
              <w:rPr>
                <w:rFonts w:hint="eastAsia" w:ascii="宋体" w:hAnsi="宋体" w:cs="宋体"/>
                <w:kern w:val="0"/>
                <w:sz w:val="16"/>
                <w:szCs w:val="16"/>
              </w:rPr>
              <w:t>1</w:t>
            </w:r>
          </w:p>
        </w:tc>
        <w:tc>
          <w:tcPr>
            <w:tcW w:w="720" w:type="dxa"/>
            <w:noWrap w:val="0"/>
            <w:vAlign w:val="center"/>
          </w:tcPr>
          <w:p w14:paraId="60CA4DC3">
            <w:pPr>
              <w:widowControl/>
              <w:jc w:val="center"/>
              <w:rPr>
                <w:rFonts w:ascii="宋体" w:hAnsi="宋体" w:cs="宋体"/>
                <w:kern w:val="0"/>
                <w:sz w:val="16"/>
                <w:szCs w:val="16"/>
              </w:rPr>
            </w:pPr>
            <w:r>
              <w:rPr>
                <w:rFonts w:hint="eastAsia" w:ascii="宋体" w:hAnsi="宋体" w:cs="宋体"/>
                <w:kern w:val="0"/>
                <w:sz w:val="16"/>
                <w:szCs w:val="16"/>
              </w:rPr>
              <w:t xml:space="preserve">4.50 </w:t>
            </w:r>
          </w:p>
        </w:tc>
        <w:tc>
          <w:tcPr>
            <w:tcW w:w="820" w:type="dxa"/>
            <w:noWrap w:val="0"/>
            <w:vAlign w:val="center"/>
          </w:tcPr>
          <w:p w14:paraId="6E862C32">
            <w:pPr>
              <w:widowControl/>
              <w:jc w:val="center"/>
              <w:rPr>
                <w:rFonts w:ascii="宋体" w:hAnsi="宋体" w:cs="宋体"/>
                <w:kern w:val="0"/>
                <w:sz w:val="16"/>
                <w:szCs w:val="16"/>
              </w:rPr>
            </w:pPr>
            <w:r>
              <w:rPr>
                <w:rFonts w:hint="eastAsia" w:ascii="宋体" w:hAnsi="宋体" w:cs="宋体"/>
                <w:kern w:val="0"/>
                <w:sz w:val="16"/>
                <w:szCs w:val="16"/>
              </w:rPr>
              <w:t xml:space="preserve">4.50 </w:t>
            </w:r>
          </w:p>
        </w:tc>
        <w:tc>
          <w:tcPr>
            <w:tcW w:w="800" w:type="dxa"/>
            <w:noWrap w:val="0"/>
            <w:vAlign w:val="center"/>
          </w:tcPr>
          <w:p w14:paraId="42E29012">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61EB512A">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357364DA">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2820FC3D">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4935BDCA">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73AF957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34999F7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4DBEBF7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991707B">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215D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60959604">
            <w:pPr>
              <w:widowControl/>
              <w:jc w:val="center"/>
              <w:rPr>
                <w:rFonts w:ascii="宋体" w:hAnsi="宋体" w:cs="宋体"/>
                <w:kern w:val="0"/>
                <w:sz w:val="16"/>
                <w:szCs w:val="16"/>
              </w:rPr>
            </w:pPr>
            <w:r>
              <w:rPr>
                <w:rFonts w:hint="eastAsia" w:ascii="宋体" w:hAnsi="宋体" w:cs="宋体"/>
                <w:kern w:val="0"/>
                <w:sz w:val="16"/>
                <w:szCs w:val="16"/>
              </w:rPr>
              <w:t>10</w:t>
            </w:r>
          </w:p>
        </w:tc>
        <w:tc>
          <w:tcPr>
            <w:tcW w:w="1900" w:type="dxa"/>
            <w:noWrap w:val="0"/>
            <w:vAlign w:val="center"/>
          </w:tcPr>
          <w:p w14:paraId="13670A35">
            <w:pPr>
              <w:widowControl/>
              <w:jc w:val="center"/>
              <w:rPr>
                <w:rFonts w:ascii="宋体" w:hAnsi="宋体" w:cs="宋体"/>
                <w:kern w:val="0"/>
                <w:sz w:val="16"/>
                <w:szCs w:val="16"/>
              </w:rPr>
            </w:pPr>
            <w:r>
              <w:rPr>
                <w:rFonts w:hint="eastAsia" w:ascii="宋体" w:hAnsi="宋体" w:cs="宋体"/>
                <w:kern w:val="0"/>
                <w:sz w:val="16"/>
                <w:szCs w:val="16"/>
              </w:rPr>
              <w:t>砂轮机</w:t>
            </w:r>
          </w:p>
        </w:tc>
        <w:tc>
          <w:tcPr>
            <w:tcW w:w="804" w:type="dxa"/>
            <w:noWrap w:val="0"/>
            <w:vAlign w:val="center"/>
          </w:tcPr>
          <w:p w14:paraId="26298C97">
            <w:pPr>
              <w:widowControl/>
              <w:jc w:val="center"/>
              <w:rPr>
                <w:rFonts w:ascii="宋体" w:hAnsi="宋体" w:cs="宋体"/>
                <w:kern w:val="0"/>
                <w:sz w:val="16"/>
                <w:szCs w:val="16"/>
              </w:rPr>
            </w:pPr>
            <w:r>
              <w:rPr>
                <w:rFonts w:hint="eastAsia" w:ascii="宋体" w:hAnsi="宋体" w:cs="宋体"/>
                <w:kern w:val="0"/>
                <w:sz w:val="16"/>
                <w:szCs w:val="16"/>
              </w:rPr>
              <w:t>0.35</w:t>
            </w:r>
          </w:p>
        </w:tc>
        <w:tc>
          <w:tcPr>
            <w:tcW w:w="697" w:type="dxa"/>
            <w:noWrap w:val="0"/>
            <w:vAlign w:val="center"/>
          </w:tcPr>
          <w:p w14:paraId="77CA3EA2">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3361E442">
            <w:pPr>
              <w:widowControl/>
              <w:jc w:val="center"/>
              <w:rPr>
                <w:rFonts w:ascii="宋体" w:hAnsi="宋体" w:cs="宋体"/>
                <w:kern w:val="0"/>
                <w:sz w:val="16"/>
                <w:szCs w:val="16"/>
              </w:rPr>
            </w:pPr>
            <w:r>
              <w:rPr>
                <w:rFonts w:hint="eastAsia" w:ascii="宋体" w:hAnsi="宋体" w:cs="宋体"/>
                <w:kern w:val="0"/>
                <w:sz w:val="16"/>
                <w:szCs w:val="16"/>
              </w:rPr>
              <w:t>2</w:t>
            </w:r>
          </w:p>
        </w:tc>
        <w:tc>
          <w:tcPr>
            <w:tcW w:w="720" w:type="dxa"/>
            <w:noWrap w:val="0"/>
            <w:vAlign w:val="center"/>
          </w:tcPr>
          <w:p w14:paraId="60B0623A">
            <w:pPr>
              <w:widowControl/>
              <w:jc w:val="center"/>
              <w:rPr>
                <w:rFonts w:ascii="宋体" w:hAnsi="宋体" w:cs="宋体"/>
                <w:kern w:val="0"/>
                <w:sz w:val="16"/>
                <w:szCs w:val="16"/>
              </w:rPr>
            </w:pPr>
            <w:r>
              <w:rPr>
                <w:rFonts w:hint="eastAsia" w:ascii="宋体" w:hAnsi="宋体" w:cs="宋体"/>
                <w:kern w:val="0"/>
                <w:sz w:val="16"/>
                <w:szCs w:val="16"/>
              </w:rPr>
              <w:t xml:space="preserve">5.60 </w:t>
            </w:r>
          </w:p>
        </w:tc>
        <w:tc>
          <w:tcPr>
            <w:tcW w:w="820" w:type="dxa"/>
            <w:noWrap w:val="0"/>
            <w:vAlign w:val="center"/>
          </w:tcPr>
          <w:p w14:paraId="5306BC44">
            <w:pPr>
              <w:widowControl/>
              <w:jc w:val="center"/>
              <w:rPr>
                <w:rFonts w:ascii="宋体" w:hAnsi="宋体" w:cs="宋体"/>
                <w:kern w:val="0"/>
                <w:sz w:val="16"/>
                <w:szCs w:val="16"/>
              </w:rPr>
            </w:pPr>
            <w:r>
              <w:rPr>
                <w:rFonts w:hint="eastAsia" w:ascii="宋体" w:hAnsi="宋体" w:cs="宋体"/>
                <w:kern w:val="0"/>
                <w:sz w:val="16"/>
                <w:szCs w:val="16"/>
              </w:rPr>
              <w:t xml:space="preserve">5.60 </w:t>
            </w:r>
          </w:p>
        </w:tc>
        <w:tc>
          <w:tcPr>
            <w:tcW w:w="800" w:type="dxa"/>
            <w:noWrap w:val="0"/>
            <w:vAlign w:val="center"/>
          </w:tcPr>
          <w:p w14:paraId="730B5051">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7E11E89F">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17E42AB0">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7630F42">
            <w:pPr>
              <w:widowControl/>
              <w:jc w:val="center"/>
              <w:rPr>
                <w:rFonts w:ascii="宋体" w:hAnsi="宋体" w:cs="宋体"/>
                <w:kern w:val="0"/>
                <w:sz w:val="16"/>
                <w:szCs w:val="16"/>
              </w:rPr>
            </w:pPr>
            <w:r>
              <w:rPr>
                <w:rFonts w:hint="eastAsia" w:ascii="宋体" w:hAnsi="宋体" w:cs="宋体"/>
                <w:kern w:val="0"/>
                <w:sz w:val="16"/>
                <w:szCs w:val="16"/>
              </w:rPr>
              <w:t>　</w:t>
            </w:r>
          </w:p>
        </w:tc>
        <w:tc>
          <w:tcPr>
            <w:tcW w:w="1140" w:type="dxa"/>
            <w:noWrap w:val="0"/>
            <w:vAlign w:val="center"/>
          </w:tcPr>
          <w:p w14:paraId="7DEF59CE">
            <w:pPr>
              <w:widowControl/>
              <w:jc w:val="center"/>
              <w:rPr>
                <w:rFonts w:ascii="宋体" w:hAnsi="宋体" w:cs="宋体"/>
                <w:kern w:val="0"/>
                <w:sz w:val="16"/>
                <w:szCs w:val="16"/>
              </w:rPr>
            </w:pPr>
            <w:r>
              <w:rPr>
                <w:rFonts w:hint="eastAsia" w:ascii="宋体" w:hAnsi="宋体" w:cs="宋体"/>
                <w:kern w:val="0"/>
                <w:sz w:val="16"/>
                <w:szCs w:val="16"/>
              </w:rPr>
              <w:t>　</w:t>
            </w:r>
          </w:p>
        </w:tc>
        <w:tc>
          <w:tcPr>
            <w:tcW w:w="940" w:type="dxa"/>
            <w:noWrap w:val="0"/>
            <w:vAlign w:val="center"/>
          </w:tcPr>
          <w:p w14:paraId="1909F84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08238A2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020EE9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F5EF051">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3C42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445D720B">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0FCFCE43">
            <w:pPr>
              <w:widowControl/>
              <w:jc w:val="center"/>
              <w:rPr>
                <w:rFonts w:ascii="宋体" w:hAnsi="宋体" w:cs="宋体"/>
                <w:kern w:val="0"/>
                <w:sz w:val="16"/>
                <w:szCs w:val="16"/>
              </w:rPr>
            </w:pPr>
            <w:r>
              <w:rPr>
                <w:rFonts w:hint="eastAsia" w:ascii="宋体" w:hAnsi="宋体" w:cs="宋体"/>
                <w:kern w:val="0"/>
                <w:sz w:val="16"/>
                <w:szCs w:val="16"/>
              </w:rPr>
              <w:t>小计</w:t>
            </w:r>
          </w:p>
        </w:tc>
        <w:tc>
          <w:tcPr>
            <w:tcW w:w="804" w:type="dxa"/>
            <w:noWrap w:val="0"/>
            <w:vAlign w:val="center"/>
          </w:tcPr>
          <w:p w14:paraId="632A1DB3">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1B9403CA">
            <w:pPr>
              <w:widowControl/>
              <w:jc w:val="center"/>
              <w:rPr>
                <w:rFonts w:ascii="宋体" w:hAnsi="宋体" w:cs="宋体"/>
                <w:kern w:val="0"/>
                <w:sz w:val="16"/>
                <w:szCs w:val="16"/>
              </w:rPr>
            </w:pPr>
            <w:r>
              <w:rPr>
                <w:rFonts w:hint="eastAsia" w:ascii="宋体" w:hAnsi="宋体" w:cs="宋体"/>
                <w:kern w:val="0"/>
                <w:sz w:val="16"/>
                <w:szCs w:val="16"/>
              </w:rPr>
              <w:t>13</w:t>
            </w:r>
          </w:p>
        </w:tc>
        <w:tc>
          <w:tcPr>
            <w:tcW w:w="720" w:type="dxa"/>
            <w:noWrap w:val="0"/>
            <w:vAlign w:val="center"/>
          </w:tcPr>
          <w:p w14:paraId="6B6A11F3">
            <w:pPr>
              <w:widowControl/>
              <w:jc w:val="center"/>
              <w:rPr>
                <w:rFonts w:ascii="宋体" w:hAnsi="宋体" w:cs="宋体"/>
                <w:kern w:val="0"/>
                <w:sz w:val="16"/>
                <w:szCs w:val="16"/>
              </w:rPr>
            </w:pPr>
            <w:r>
              <w:rPr>
                <w:rFonts w:hint="eastAsia" w:ascii="宋体" w:hAnsi="宋体" w:cs="宋体"/>
                <w:kern w:val="0"/>
                <w:sz w:val="16"/>
                <w:szCs w:val="16"/>
              </w:rPr>
              <w:t>13</w:t>
            </w:r>
          </w:p>
        </w:tc>
        <w:tc>
          <w:tcPr>
            <w:tcW w:w="720" w:type="dxa"/>
            <w:noWrap w:val="0"/>
            <w:vAlign w:val="center"/>
          </w:tcPr>
          <w:p w14:paraId="71A9E0EE">
            <w:pPr>
              <w:widowControl/>
              <w:jc w:val="center"/>
              <w:rPr>
                <w:rFonts w:ascii="宋体" w:hAnsi="宋体" w:cs="宋体"/>
                <w:kern w:val="0"/>
                <w:sz w:val="16"/>
                <w:szCs w:val="16"/>
              </w:rPr>
            </w:pPr>
            <w:r>
              <w:rPr>
                <w:rFonts w:hint="eastAsia" w:ascii="宋体" w:hAnsi="宋体" w:cs="宋体"/>
                <w:kern w:val="0"/>
                <w:sz w:val="16"/>
                <w:szCs w:val="16"/>
              </w:rPr>
              <w:t xml:space="preserve">115.15 </w:t>
            </w:r>
          </w:p>
        </w:tc>
        <w:tc>
          <w:tcPr>
            <w:tcW w:w="820" w:type="dxa"/>
            <w:noWrap w:val="0"/>
            <w:vAlign w:val="center"/>
          </w:tcPr>
          <w:p w14:paraId="39500F66">
            <w:pPr>
              <w:widowControl/>
              <w:jc w:val="center"/>
              <w:rPr>
                <w:rFonts w:ascii="宋体" w:hAnsi="宋体" w:cs="宋体"/>
                <w:kern w:val="0"/>
                <w:sz w:val="16"/>
                <w:szCs w:val="16"/>
              </w:rPr>
            </w:pPr>
            <w:r>
              <w:rPr>
                <w:rFonts w:hint="eastAsia" w:ascii="宋体" w:hAnsi="宋体" w:cs="宋体"/>
                <w:kern w:val="0"/>
                <w:sz w:val="16"/>
                <w:szCs w:val="16"/>
              </w:rPr>
              <w:t xml:space="preserve">115.15 </w:t>
            </w:r>
          </w:p>
        </w:tc>
        <w:tc>
          <w:tcPr>
            <w:tcW w:w="800" w:type="dxa"/>
            <w:noWrap w:val="0"/>
            <w:vAlign w:val="center"/>
          </w:tcPr>
          <w:p w14:paraId="43C0095B">
            <w:pPr>
              <w:widowControl/>
              <w:jc w:val="center"/>
              <w:rPr>
                <w:rFonts w:ascii="宋体" w:hAnsi="宋体" w:cs="宋体"/>
                <w:kern w:val="0"/>
                <w:sz w:val="16"/>
                <w:szCs w:val="16"/>
              </w:rPr>
            </w:pPr>
            <w:r>
              <w:rPr>
                <w:rFonts w:hint="eastAsia" w:ascii="宋体" w:hAnsi="宋体" w:cs="宋体"/>
                <w:kern w:val="0"/>
                <w:sz w:val="16"/>
                <w:szCs w:val="16"/>
              </w:rPr>
              <w:t xml:space="preserve">0.50 </w:t>
            </w:r>
          </w:p>
        </w:tc>
        <w:tc>
          <w:tcPr>
            <w:tcW w:w="760" w:type="dxa"/>
            <w:noWrap w:val="0"/>
            <w:vAlign w:val="center"/>
          </w:tcPr>
          <w:p w14:paraId="5EC0BEC0">
            <w:pPr>
              <w:widowControl/>
              <w:jc w:val="center"/>
              <w:rPr>
                <w:rFonts w:ascii="宋体" w:hAnsi="宋体" w:cs="宋体"/>
                <w:kern w:val="0"/>
                <w:sz w:val="16"/>
                <w:szCs w:val="16"/>
              </w:rPr>
            </w:pPr>
            <w:r>
              <w:rPr>
                <w:rFonts w:hint="eastAsia" w:ascii="宋体" w:hAnsi="宋体" w:cs="宋体"/>
                <w:kern w:val="0"/>
                <w:sz w:val="16"/>
                <w:szCs w:val="16"/>
              </w:rPr>
              <w:t xml:space="preserve">0.80 </w:t>
            </w:r>
          </w:p>
        </w:tc>
        <w:tc>
          <w:tcPr>
            <w:tcW w:w="700" w:type="dxa"/>
            <w:noWrap w:val="0"/>
            <w:vAlign w:val="center"/>
          </w:tcPr>
          <w:p w14:paraId="02D3BBE9">
            <w:pPr>
              <w:widowControl/>
              <w:jc w:val="center"/>
              <w:rPr>
                <w:rFonts w:ascii="宋体" w:hAnsi="宋体" w:cs="宋体"/>
                <w:kern w:val="0"/>
                <w:sz w:val="16"/>
                <w:szCs w:val="16"/>
              </w:rPr>
            </w:pPr>
            <w:r>
              <w:rPr>
                <w:rFonts w:hint="eastAsia" w:ascii="宋体" w:hAnsi="宋体" w:cs="宋体"/>
                <w:kern w:val="0"/>
                <w:sz w:val="16"/>
                <w:szCs w:val="16"/>
              </w:rPr>
              <w:t xml:space="preserve">0.75 </w:t>
            </w:r>
          </w:p>
        </w:tc>
        <w:tc>
          <w:tcPr>
            <w:tcW w:w="1080" w:type="dxa"/>
            <w:noWrap w:val="0"/>
            <w:vAlign w:val="center"/>
          </w:tcPr>
          <w:p w14:paraId="5C15CD89">
            <w:pPr>
              <w:widowControl/>
              <w:jc w:val="center"/>
              <w:rPr>
                <w:rFonts w:ascii="宋体" w:hAnsi="宋体" w:cs="宋体"/>
                <w:kern w:val="0"/>
                <w:sz w:val="16"/>
                <w:szCs w:val="16"/>
              </w:rPr>
            </w:pPr>
            <w:r>
              <w:rPr>
                <w:rFonts w:hint="eastAsia" w:ascii="宋体" w:hAnsi="宋体" w:cs="宋体"/>
                <w:kern w:val="0"/>
                <w:sz w:val="16"/>
                <w:szCs w:val="16"/>
              </w:rPr>
              <w:t xml:space="preserve">57.58 </w:t>
            </w:r>
          </w:p>
        </w:tc>
        <w:tc>
          <w:tcPr>
            <w:tcW w:w="1140" w:type="dxa"/>
            <w:noWrap w:val="0"/>
            <w:vAlign w:val="center"/>
          </w:tcPr>
          <w:p w14:paraId="1E17F5B1">
            <w:pPr>
              <w:widowControl/>
              <w:jc w:val="center"/>
              <w:rPr>
                <w:rFonts w:ascii="宋体" w:hAnsi="宋体" w:cs="宋体"/>
                <w:kern w:val="0"/>
                <w:sz w:val="16"/>
                <w:szCs w:val="16"/>
              </w:rPr>
            </w:pPr>
            <w:r>
              <w:rPr>
                <w:rFonts w:hint="eastAsia" w:ascii="宋体" w:hAnsi="宋体" w:cs="宋体"/>
                <w:kern w:val="0"/>
                <w:sz w:val="16"/>
                <w:szCs w:val="16"/>
              </w:rPr>
              <w:t xml:space="preserve">43.18 </w:t>
            </w:r>
          </w:p>
        </w:tc>
        <w:tc>
          <w:tcPr>
            <w:tcW w:w="940" w:type="dxa"/>
            <w:noWrap w:val="0"/>
            <w:vAlign w:val="center"/>
          </w:tcPr>
          <w:p w14:paraId="6F74B38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644E50BB">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5F67982C">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2E9A7235">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6056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19CE739E">
            <w:pPr>
              <w:widowControl/>
              <w:jc w:val="center"/>
              <w:rPr>
                <w:rFonts w:ascii="宋体" w:hAnsi="宋体" w:cs="宋体"/>
                <w:kern w:val="0"/>
                <w:sz w:val="16"/>
                <w:szCs w:val="16"/>
              </w:rPr>
            </w:pPr>
            <w:r>
              <w:rPr>
                <w:rFonts w:hint="eastAsia" w:ascii="宋体" w:hAnsi="宋体" w:cs="宋体"/>
                <w:kern w:val="0"/>
                <w:sz w:val="16"/>
                <w:szCs w:val="16"/>
              </w:rPr>
              <w:t>六</w:t>
            </w:r>
          </w:p>
        </w:tc>
        <w:tc>
          <w:tcPr>
            <w:tcW w:w="1900" w:type="dxa"/>
            <w:noWrap w:val="0"/>
            <w:vAlign w:val="center"/>
          </w:tcPr>
          <w:p w14:paraId="7EC6AF71">
            <w:pPr>
              <w:widowControl/>
              <w:jc w:val="center"/>
              <w:rPr>
                <w:rFonts w:ascii="宋体" w:hAnsi="宋体" w:cs="宋体"/>
                <w:kern w:val="0"/>
                <w:sz w:val="16"/>
                <w:szCs w:val="16"/>
              </w:rPr>
            </w:pPr>
            <w:r>
              <w:rPr>
                <w:rFonts w:hint="eastAsia" w:ascii="宋体" w:hAnsi="宋体" w:cs="宋体"/>
                <w:kern w:val="0"/>
                <w:sz w:val="16"/>
                <w:szCs w:val="16"/>
              </w:rPr>
              <w:t>井下水，生活水处理站</w:t>
            </w:r>
          </w:p>
        </w:tc>
        <w:tc>
          <w:tcPr>
            <w:tcW w:w="804" w:type="dxa"/>
            <w:noWrap w:val="0"/>
            <w:vAlign w:val="center"/>
          </w:tcPr>
          <w:p w14:paraId="56A41185">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bottom"/>
          </w:tcPr>
          <w:p w14:paraId="32DF02E0">
            <w:pPr>
              <w:widowControl/>
              <w:jc w:val="center"/>
              <w:rPr>
                <w:rFonts w:ascii="宋体" w:hAnsi="宋体" w:cs="宋体"/>
                <w:kern w:val="0"/>
                <w:sz w:val="16"/>
                <w:szCs w:val="16"/>
              </w:rPr>
            </w:pPr>
            <w:r>
              <w:rPr>
                <w:rFonts w:hint="eastAsia" w:ascii="宋体" w:hAnsi="宋体" w:cs="宋体"/>
                <w:kern w:val="0"/>
                <w:sz w:val="16"/>
                <w:szCs w:val="16"/>
              </w:rPr>
              <w:t>16</w:t>
            </w:r>
          </w:p>
        </w:tc>
        <w:tc>
          <w:tcPr>
            <w:tcW w:w="720" w:type="dxa"/>
            <w:noWrap w:val="0"/>
            <w:vAlign w:val="bottom"/>
          </w:tcPr>
          <w:p w14:paraId="1867540F">
            <w:pPr>
              <w:widowControl/>
              <w:jc w:val="center"/>
              <w:rPr>
                <w:rFonts w:ascii="宋体" w:hAnsi="宋体" w:cs="宋体"/>
                <w:kern w:val="0"/>
                <w:sz w:val="16"/>
                <w:szCs w:val="16"/>
              </w:rPr>
            </w:pPr>
            <w:r>
              <w:rPr>
                <w:rFonts w:hint="eastAsia" w:ascii="宋体" w:hAnsi="宋体" w:cs="宋体"/>
                <w:kern w:val="0"/>
                <w:sz w:val="16"/>
                <w:szCs w:val="16"/>
              </w:rPr>
              <w:t>11</w:t>
            </w:r>
          </w:p>
        </w:tc>
        <w:tc>
          <w:tcPr>
            <w:tcW w:w="720" w:type="dxa"/>
            <w:noWrap w:val="0"/>
            <w:vAlign w:val="bottom"/>
          </w:tcPr>
          <w:p w14:paraId="65BAE0D8">
            <w:pPr>
              <w:widowControl/>
              <w:jc w:val="right"/>
              <w:rPr>
                <w:rFonts w:ascii="宋体" w:hAnsi="宋体" w:cs="宋体"/>
                <w:kern w:val="0"/>
                <w:sz w:val="16"/>
                <w:szCs w:val="16"/>
              </w:rPr>
            </w:pPr>
            <w:r>
              <w:rPr>
                <w:rFonts w:hint="eastAsia" w:ascii="宋体" w:hAnsi="宋体" w:cs="宋体"/>
                <w:kern w:val="0"/>
                <w:sz w:val="16"/>
                <w:szCs w:val="16"/>
              </w:rPr>
              <w:t xml:space="preserve">127.70 </w:t>
            </w:r>
          </w:p>
        </w:tc>
        <w:tc>
          <w:tcPr>
            <w:tcW w:w="820" w:type="dxa"/>
            <w:noWrap w:val="0"/>
            <w:vAlign w:val="bottom"/>
          </w:tcPr>
          <w:p w14:paraId="7B1EFBA1">
            <w:pPr>
              <w:widowControl/>
              <w:jc w:val="right"/>
              <w:rPr>
                <w:rFonts w:ascii="宋体" w:hAnsi="宋体" w:cs="宋体"/>
                <w:kern w:val="0"/>
                <w:sz w:val="16"/>
                <w:szCs w:val="16"/>
              </w:rPr>
            </w:pPr>
            <w:r>
              <w:rPr>
                <w:rFonts w:hint="eastAsia" w:ascii="宋体" w:hAnsi="宋体" w:cs="宋体"/>
                <w:kern w:val="0"/>
                <w:sz w:val="16"/>
                <w:szCs w:val="16"/>
              </w:rPr>
              <w:t xml:space="preserve">72.50 </w:t>
            </w:r>
          </w:p>
        </w:tc>
        <w:tc>
          <w:tcPr>
            <w:tcW w:w="800" w:type="dxa"/>
            <w:noWrap w:val="0"/>
            <w:vAlign w:val="bottom"/>
          </w:tcPr>
          <w:p w14:paraId="62896222">
            <w:pPr>
              <w:widowControl/>
              <w:jc w:val="center"/>
              <w:rPr>
                <w:rFonts w:ascii="宋体" w:hAnsi="宋体" w:cs="宋体"/>
                <w:kern w:val="0"/>
                <w:sz w:val="16"/>
                <w:szCs w:val="16"/>
              </w:rPr>
            </w:pPr>
            <w:r>
              <w:rPr>
                <w:rFonts w:hint="eastAsia" w:ascii="宋体" w:hAnsi="宋体" w:cs="宋体"/>
                <w:kern w:val="0"/>
                <w:sz w:val="16"/>
                <w:szCs w:val="16"/>
              </w:rPr>
              <w:t>0.4</w:t>
            </w:r>
          </w:p>
        </w:tc>
        <w:tc>
          <w:tcPr>
            <w:tcW w:w="760" w:type="dxa"/>
            <w:noWrap w:val="0"/>
            <w:vAlign w:val="bottom"/>
          </w:tcPr>
          <w:p w14:paraId="39BF2B5D">
            <w:pPr>
              <w:widowControl/>
              <w:jc w:val="center"/>
              <w:rPr>
                <w:rFonts w:ascii="宋体" w:hAnsi="宋体" w:cs="宋体"/>
                <w:kern w:val="0"/>
                <w:sz w:val="16"/>
                <w:szCs w:val="16"/>
              </w:rPr>
            </w:pPr>
            <w:r>
              <w:rPr>
                <w:rFonts w:hint="eastAsia" w:ascii="宋体" w:hAnsi="宋体" w:cs="宋体"/>
                <w:kern w:val="0"/>
                <w:sz w:val="16"/>
                <w:szCs w:val="16"/>
              </w:rPr>
              <w:t>0.8</w:t>
            </w:r>
          </w:p>
        </w:tc>
        <w:tc>
          <w:tcPr>
            <w:tcW w:w="700" w:type="dxa"/>
            <w:noWrap w:val="0"/>
            <w:vAlign w:val="bottom"/>
          </w:tcPr>
          <w:p w14:paraId="40EAB32C">
            <w:pPr>
              <w:widowControl/>
              <w:jc w:val="center"/>
              <w:rPr>
                <w:rFonts w:ascii="宋体" w:hAnsi="宋体" w:cs="宋体"/>
                <w:kern w:val="0"/>
                <w:sz w:val="16"/>
                <w:szCs w:val="16"/>
              </w:rPr>
            </w:pPr>
            <w:r>
              <w:rPr>
                <w:rFonts w:hint="eastAsia" w:ascii="宋体" w:hAnsi="宋体" w:cs="宋体"/>
                <w:kern w:val="0"/>
                <w:sz w:val="16"/>
                <w:szCs w:val="16"/>
              </w:rPr>
              <w:t>0.75</w:t>
            </w:r>
          </w:p>
        </w:tc>
        <w:tc>
          <w:tcPr>
            <w:tcW w:w="1080" w:type="dxa"/>
            <w:noWrap w:val="0"/>
            <w:vAlign w:val="bottom"/>
          </w:tcPr>
          <w:p w14:paraId="5E4525FE">
            <w:pPr>
              <w:widowControl/>
              <w:jc w:val="center"/>
              <w:rPr>
                <w:rFonts w:ascii="宋体" w:hAnsi="宋体" w:cs="宋体"/>
                <w:kern w:val="0"/>
                <w:sz w:val="16"/>
                <w:szCs w:val="16"/>
              </w:rPr>
            </w:pPr>
            <w:r>
              <w:rPr>
                <w:rFonts w:hint="eastAsia" w:ascii="宋体" w:hAnsi="宋体" w:cs="宋体"/>
                <w:kern w:val="0"/>
                <w:sz w:val="16"/>
                <w:szCs w:val="16"/>
              </w:rPr>
              <w:t>29</w:t>
            </w:r>
          </w:p>
        </w:tc>
        <w:tc>
          <w:tcPr>
            <w:tcW w:w="1140" w:type="dxa"/>
            <w:noWrap w:val="0"/>
            <w:vAlign w:val="bottom"/>
          </w:tcPr>
          <w:p w14:paraId="2383B043">
            <w:pPr>
              <w:widowControl/>
              <w:jc w:val="center"/>
              <w:rPr>
                <w:rFonts w:ascii="宋体" w:hAnsi="宋体" w:cs="宋体"/>
                <w:kern w:val="0"/>
                <w:sz w:val="16"/>
                <w:szCs w:val="16"/>
              </w:rPr>
            </w:pPr>
            <w:r>
              <w:rPr>
                <w:rFonts w:hint="eastAsia" w:ascii="宋体" w:hAnsi="宋体" w:cs="宋体"/>
                <w:kern w:val="0"/>
                <w:sz w:val="16"/>
                <w:szCs w:val="16"/>
              </w:rPr>
              <w:t xml:space="preserve">21.75 </w:t>
            </w:r>
          </w:p>
        </w:tc>
        <w:tc>
          <w:tcPr>
            <w:tcW w:w="940" w:type="dxa"/>
            <w:noWrap w:val="0"/>
            <w:vAlign w:val="center"/>
          </w:tcPr>
          <w:p w14:paraId="0109312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53E060CA">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C2FA532">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FA417D0">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4A89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0" w:hRule="atLeast"/>
        </w:trPr>
        <w:tc>
          <w:tcPr>
            <w:tcW w:w="601" w:type="dxa"/>
            <w:noWrap w:val="0"/>
            <w:vAlign w:val="center"/>
          </w:tcPr>
          <w:p w14:paraId="4C8F0AD0">
            <w:pPr>
              <w:widowControl/>
              <w:jc w:val="center"/>
              <w:rPr>
                <w:rFonts w:ascii="宋体" w:hAnsi="宋体" w:cs="宋体"/>
                <w:kern w:val="0"/>
                <w:sz w:val="16"/>
                <w:szCs w:val="16"/>
              </w:rPr>
            </w:pPr>
            <w:r>
              <w:rPr>
                <w:rFonts w:hint="eastAsia" w:ascii="宋体" w:hAnsi="宋体" w:cs="宋体"/>
                <w:kern w:val="0"/>
                <w:sz w:val="16"/>
                <w:szCs w:val="16"/>
              </w:rPr>
              <w:t>七</w:t>
            </w:r>
          </w:p>
        </w:tc>
        <w:tc>
          <w:tcPr>
            <w:tcW w:w="1900" w:type="dxa"/>
            <w:noWrap w:val="0"/>
            <w:vAlign w:val="center"/>
          </w:tcPr>
          <w:p w14:paraId="50C726C2">
            <w:pPr>
              <w:widowControl/>
              <w:jc w:val="center"/>
              <w:rPr>
                <w:rFonts w:ascii="宋体" w:hAnsi="宋体" w:cs="宋体"/>
                <w:kern w:val="0"/>
                <w:sz w:val="16"/>
                <w:szCs w:val="16"/>
              </w:rPr>
            </w:pPr>
            <w:r>
              <w:rPr>
                <w:rFonts w:hint="eastAsia" w:ascii="宋体" w:hAnsi="宋体" w:cs="宋体"/>
                <w:kern w:val="0"/>
                <w:sz w:val="16"/>
                <w:szCs w:val="16"/>
              </w:rPr>
              <w:t>室内照明</w:t>
            </w:r>
          </w:p>
        </w:tc>
        <w:tc>
          <w:tcPr>
            <w:tcW w:w="804" w:type="dxa"/>
            <w:noWrap w:val="0"/>
            <w:vAlign w:val="center"/>
          </w:tcPr>
          <w:p w14:paraId="39241D8F">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6A062ADB">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63E8DF81">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2DC19440">
            <w:pPr>
              <w:widowControl/>
              <w:jc w:val="center"/>
              <w:rPr>
                <w:rFonts w:ascii="宋体" w:hAnsi="宋体" w:cs="宋体"/>
                <w:kern w:val="0"/>
                <w:sz w:val="16"/>
                <w:szCs w:val="16"/>
              </w:rPr>
            </w:pPr>
            <w:r>
              <w:rPr>
                <w:rFonts w:hint="eastAsia" w:ascii="宋体" w:hAnsi="宋体" w:cs="宋体"/>
                <w:kern w:val="0"/>
                <w:sz w:val="16"/>
                <w:szCs w:val="16"/>
              </w:rPr>
              <w:t xml:space="preserve">40.00 </w:t>
            </w:r>
          </w:p>
        </w:tc>
        <w:tc>
          <w:tcPr>
            <w:tcW w:w="820" w:type="dxa"/>
            <w:noWrap w:val="0"/>
            <w:vAlign w:val="center"/>
          </w:tcPr>
          <w:p w14:paraId="781BE3B5">
            <w:pPr>
              <w:widowControl/>
              <w:jc w:val="center"/>
              <w:rPr>
                <w:rFonts w:ascii="宋体" w:hAnsi="宋体" w:cs="宋体"/>
                <w:kern w:val="0"/>
                <w:sz w:val="16"/>
                <w:szCs w:val="16"/>
              </w:rPr>
            </w:pPr>
            <w:r>
              <w:rPr>
                <w:rFonts w:hint="eastAsia" w:ascii="宋体" w:hAnsi="宋体" w:cs="宋体"/>
                <w:kern w:val="0"/>
                <w:sz w:val="16"/>
                <w:szCs w:val="16"/>
              </w:rPr>
              <w:t xml:space="preserve">40.00 </w:t>
            </w:r>
          </w:p>
        </w:tc>
        <w:tc>
          <w:tcPr>
            <w:tcW w:w="800" w:type="dxa"/>
            <w:noWrap w:val="0"/>
            <w:vAlign w:val="center"/>
          </w:tcPr>
          <w:p w14:paraId="5712395A">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60" w:type="dxa"/>
            <w:noWrap w:val="0"/>
            <w:vAlign w:val="center"/>
          </w:tcPr>
          <w:p w14:paraId="1AAA5F2F">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00" w:type="dxa"/>
            <w:noWrap w:val="0"/>
            <w:vAlign w:val="center"/>
          </w:tcPr>
          <w:p w14:paraId="3F832299">
            <w:pPr>
              <w:widowControl/>
              <w:jc w:val="center"/>
              <w:rPr>
                <w:rFonts w:ascii="宋体" w:hAnsi="宋体" w:cs="宋体"/>
                <w:kern w:val="0"/>
                <w:sz w:val="16"/>
                <w:szCs w:val="16"/>
              </w:rPr>
            </w:pPr>
            <w:r>
              <w:rPr>
                <w:rFonts w:hint="eastAsia" w:ascii="宋体" w:hAnsi="宋体" w:cs="宋体"/>
                <w:kern w:val="0"/>
                <w:sz w:val="16"/>
                <w:szCs w:val="16"/>
              </w:rPr>
              <w:t xml:space="preserve">1.02 </w:t>
            </w:r>
          </w:p>
        </w:tc>
        <w:tc>
          <w:tcPr>
            <w:tcW w:w="1080" w:type="dxa"/>
            <w:noWrap w:val="0"/>
            <w:vAlign w:val="center"/>
          </w:tcPr>
          <w:p w14:paraId="487E44FA">
            <w:pPr>
              <w:widowControl/>
              <w:jc w:val="center"/>
              <w:rPr>
                <w:rFonts w:ascii="宋体" w:hAnsi="宋体" w:cs="宋体"/>
                <w:kern w:val="0"/>
                <w:sz w:val="16"/>
                <w:szCs w:val="16"/>
              </w:rPr>
            </w:pPr>
            <w:r>
              <w:rPr>
                <w:rFonts w:hint="eastAsia" w:ascii="宋体" w:hAnsi="宋体" w:cs="宋体"/>
                <w:kern w:val="0"/>
                <w:sz w:val="16"/>
                <w:szCs w:val="16"/>
              </w:rPr>
              <w:t xml:space="preserve">28.00 </w:t>
            </w:r>
          </w:p>
        </w:tc>
        <w:tc>
          <w:tcPr>
            <w:tcW w:w="1140" w:type="dxa"/>
            <w:noWrap w:val="0"/>
            <w:vAlign w:val="center"/>
          </w:tcPr>
          <w:p w14:paraId="5B4BBB8C">
            <w:pPr>
              <w:widowControl/>
              <w:jc w:val="center"/>
              <w:rPr>
                <w:rFonts w:ascii="宋体" w:hAnsi="宋体" w:cs="宋体"/>
                <w:kern w:val="0"/>
                <w:sz w:val="16"/>
                <w:szCs w:val="16"/>
              </w:rPr>
            </w:pPr>
            <w:r>
              <w:rPr>
                <w:rFonts w:hint="eastAsia" w:ascii="宋体" w:hAnsi="宋体" w:cs="宋体"/>
                <w:kern w:val="0"/>
                <w:sz w:val="16"/>
                <w:szCs w:val="16"/>
              </w:rPr>
              <w:t xml:space="preserve">28.57 </w:t>
            </w:r>
          </w:p>
        </w:tc>
        <w:tc>
          <w:tcPr>
            <w:tcW w:w="940" w:type="dxa"/>
            <w:noWrap w:val="0"/>
            <w:vAlign w:val="center"/>
          </w:tcPr>
          <w:p w14:paraId="714092B8">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69B82BD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3CBF360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546626C">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4283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4159DB43">
            <w:pPr>
              <w:widowControl/>
              <w:jc w:val="center"/>
              <w:rPr>
                <w:rFonts w:ascii="宋体" w:hAnsi="宋体" w:cs="宋体"/>
                <w:kern w:val="0"/>
                <w:sz w:val="16"/>
                <w:szCs w:val="16"/>
              </w:rPr>
            </w:pPr>
            <w:r>
              <w:rPr>
                <w:rFonts w:hint="eastAsia" w:ascii="宋体" w:hAnsi="宋体" w:cs="宋体"/>
                <w:kern w:val="0"/>
                <w:sz w:val="16"/>
                <w:szCs w:val="16"/>
              </w:rPr>
              <w:t>八</w:t>
            </w:r>
          </w:p>
        </w:tc>
        <w:tc>
          <w:tcPr>
            <w:tcW w:w="1900" w:type="dxa"/>
            <w:noWrap w:val="0"/>
            <w:vAlign w:val="center"/>
          </w:tcPr>
          <w:p w14:paraId="4376C150">
            <w:pPr>
              <w:widowControl/>
              <w:jc w:val="center"/>
              <w:rPr>
                <w:rFonts w:ascii="宋体" w:hAnsi="宋体" w:cs="宋体"/>
                <w:kern w:val="0"/>
                <w:sz w:val="16"/>
                <w:szCs w:val="16"/>
              </w:rPr>
            </w:pPr>
            <w:r>
              <w:rPr>
                <w:rFonts w:hint="eastAsia" w:ascii="宋体" w:hAnsi="宋体" w:cs="宋体"/>
                <w:kern w:val="0"/>
                <w:sz w:val="16"/>
                <w:szCs w:val="16"/>
              </w:rPr>
              <w:t>室外照明</w:t>
            </w:r>
          </w:p>
        </w:tc>
        <w:tc>
          <w:tcPr>
            <w:tcW w:w="804" w:type="dxa"/>
            <w:noWrap w:val="0"/>
            <w:vAlign w:val="center"/>
          </w:tcPr>
          <w:p w14:paraId="513D5821">
            <w:pPr>
              <w:widowControl/>
              <w:jc w:val="center"/>
              <w:rPr>
                <w:rFonts w:ascii="宋体" w:hAnsi="宋体" w:cs="宋体"/>
                <w:kern w:val="0"/>
                <w:sz w:val="16"/>
                <w:szCs w:val="16"/>
              </w:rPr>
            </w:pPr>
            <w:r>
              <w:rPr>
                <w:rFonts w:hint="eastAsia" w:ascii="宋体" w:hAnsi="宋体" w:cs="宋体"/>
                <w:kern w:val="0"/>
                <w:sz w:val="16"/>
                <w:szCs w:val="16"/>
              </w:rPr>
              <w:t>0.38</w:t>
            </w:r>
          </w:p>
        </w:tc>
        <w:tc>
          <w:tcPr>
            <w:tcW w:w="697" w:type="dxa"/>
            <w:noWrap w:val="0"/>
            <w:vAlign w:val="center"/>
          </w:tcPr>
          <w:p w14:paraId="4EF856F1">
            <w:pPr>
              <w:widowControl/>
              <w:jc w:val="left"/>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6E1D583C">
            <w:pPr>
              <w:widowControl/>
              <w:jc w:val="center"/>
              <w:rPr>
                <w:rFonts w:ascii="宋体" w:hAnsi="宋体" w:cs="宋体"/>
                <w:kern w:val="0"/>
                <w:sz w:val="16"/>
                <w:szCs w:val="16"/>
              </w:rPr>
            </w:pPr>
            <w:r>
              <w:rPr>
                <w:rFonts w:hint="eastAsia" w:ascii="宋体" w:hAnsi="宋体" w:cs="宋体"/>
                <w:kern w:val="0"/>
                <w:sz w:val="16"/>
                <w:szCs w:val="16"/>
              </w:rPr>
              <w:t>　</w:t>
            </w:r>
          </w:p>
        </w:tc>
        <w:tc>
          <w:tcPr>
            <w:tcW w:w="720" w:type="dxa"/>
            <w:noWrap w:val="0"/>
            <w:vAlign w:val="center"/>
          </w:tcPr>
          <w:p w14:paraId="15B15F9A">
            <w:pPr>
              <w:widowControl/>
              <w:jc w:val="center"/>
              <w:rPr>
                <w:rFonts w:ascii="宋体" w:hAnsi="宋体" w:cs="宋体"/>
                <w:kern w:val="0"/>
                <w:sz w:val="16"/>
                <w:szCs w:val="16"/>
              </w:rPr>
            </w:pPr>
            <w:r>
              <w:rPr>
                <w:rFonts w:hint="eastAsia" w:ascii="宋体" w:hAnsi="宋体" w:cs="宋体"/>
                <w:kern w:val="0"/>
                <w:sz w:val="16"/>
                <w:szCs w:val="16"/>
              </w:rPr>
              <w:t xml:space="preserve">30.00 </w:t>
            </w:r>
          </w:p>
        </w:tc>
        <w:tc>
          <w:tcPr>
            <w:tcW w:w="820" w:type="dxa"/>
            <w:noWrap w:val="0"/>
            <w:vAlign w:val="center"/>
          </w:tcPr>
          <w:p w14:paraId="41EEAEDC">
            <w:pPr>
              <w:widowControl/>
              <w:jc w:val="center"/>
              <w:rPr>
                <w:rFonts w:ascii="宋体" w:hAnsi="宋体" w:cs="宋体"/>
                <w:kern w:val="0"/>
                <w:sz w:val="16"/>
                <w:szCs w:val="16"/>
              </w:rPr>
            </w:pPr>
            <w:r>
              <w:rPr>
                <w:rFonts w:hint="eastAsia" w:ascii="宋体" w:hAnsi="宋体" w:cs="宋体"/>
                <w:kern w:val="0"/>
                <w:sz w:val="16"/>
                <w:szCs w:val="16"/>
              </w:rPr>
              <w:t xml:space="preserve">30.00 </w:t>
            </w:r>
          </w:p>
        </w:tc>
        <w:tc>
          <w:tcPr>
            <w:tcW w:w="800" w:type="dxa"/>
            <w:noWrap w:val="0"/>
            <w:vAlign w:val="center"/>
          </w:tcPr>
          <w:p w14:paraId="46709FB8">
            <w:pPr>
              <w:widowControl/>
              <w:jc w:val="center"/>
              <w:rPr>
                <w:rFonts w:ascii="宋体" w:hAnsi="宋体" w:cs="宋体"/>
                <w:kern w:val="0"/>
                <w:sz w:val="16"/>
                <w:szCs w:val="16"/>
              </w:rPr>
            </w:pPr>
            <w:r>
              <w:rPr>
                <w:rFonts w:hint="eastAsia" w:ascii="宋体" w:hAnsi="宋体" w:cs="宋体"/>
                <w:kern w:val="0"/>
                <w:sz w:val="16"/>
                <w:szCs w:val="16"/>
              </w:rPr>
              <w:t xml:space="preserve">0.80 </w:t>
            </w:r>
          </w:p>
        </w:tc>
        <w:tc>
          <w:tcPr>
            <w:tcW w:w="760" w:type="dxa"/>
            <w:noWrap w:val="0"/>
            <w:vAlign w:val="center"/>
          </w:tcPr>
          <w:p w14:paraId="21E2EF58">
            <w:pPr>
              <w:widowControl/>
              <w:jc w:val="center"/>
              <w:rPr>
                <w:rFonts w:ascii="宋体" w:hAnsi="宋体" w:cs="宋体"/>
                <w:kern w:val="0"/>
                <w:sz w:val="16"/>
                <w:szCs w:val="16"/>
              </w:rPr>
            </w:pPr>
            <w:r>
              <w:rPr>
                <w:rFonts w:hint="eastAsia" w:ascii="宋体" w:hAnsi="宋体" w:cs="宋体"/>
                <w:kern w:val="0"/>
                <w:sz w:val="16"/>
                <w:szCs w:val="16"/>
              </w:rPr>
              <w:t xml:space="preserve">0.70 </w:t>
            </w:r>
          </w:p>
        </w:tc>
        <w:tc>
          <w:tcPr>
            <w:tcW w:w="700" w:type="dxa"/>
            <w:noWrap w:val="0"/>
            <w:vAlign w:val="center"/>
          </w:tcPr>
          <w:p w14:paraId="08AC5243">
            <w:pPr>
              <w:widowControl/>
              <w:jc w:val="center"/>
              <w:rPr>
                <w:rFonts w:ascii="宋体" w:hAnsi="宋体" w:cs="宋体"/>
                <w:kern w:val="0"/>
                <w:sz w:val="16"/>
                <w:szCs w:val="16"/>
              </w:rPr>
            </w:pPr>
            <w:r>
              <w:rPr>
                <w:rFonts w:hint="eastAsia" w:ascii="宋体" w:hAnsi="宋体" w:cs="宋体"/>
                <w:kern w:val="0"/>
                <w:sz w:val="16"/>
                <w:szCs w:val="16"/>
              </w:rPr>
              <w:t xml:space="preserve">1.02 </w:t>
            </w:r>
          </w:p>
        </w:tc>
        <w:tc>
          <w:tcPr>
            <w:tcW w:w="1080" w:type="dxa"/>
            <w:noWrap w:val="0"/>
            <w:vAlign w:val="center"/>
          </w:tcPr>
          <w:p w14:paraId="7C243F5D">
            <w:pPr>
              <w:widowControl/>
              <w:jc w:val="center"/>
              <w:rPr>
                <w:rFonts w:ascii="宋体" w:hAnsi="宋体" w:cs="宋体"/>
                <w:kern w:val="0"/>
                <w:sz w:val="16"/>
                <w:szCs w:val="16"/>
              </w:rPr>
            </w:pPr>
            <w:r>
              <w:rPr>
                <w:rFonts w:hint="eastAsia" w:ascii="宋体" w:hAnsi="宋体" w:cs="宋体"/>
                <w:kern w:val="0"/>
                <w:sz w:val="16"/>
                <w:szCs w:val="16"/>
              </w:rPr>
              <w:t xml:space="preserve">24.00 </w:t>
            </w:r>
          </w:p>
        </w:tc>
        <w:tc>
          <w:tcPr>
            <w:tcW w:w="1140" w:type="dxa"/>
            <w:noWrap w:val="0"/>
            <w:vAlign w:val="center"/>
          </w:tcPr>
          <w:p w14:paraId="447C5069">
            <w:pPr>
              <w:widowControl/>
              <w:jc w:val="center"/>
              <w:rPr>
                <w:rFonts w:ascii="宋体" w:hAnsi="宋体" w:cs="宋体"/>
                <w:kern w:val="0"/>
                <w:sz w:val="16"/>
                <w:szCs w:val="16"/>
              </w:rPr>
            </w:pPr>
            <w:r>
              <w:rPr>
                <w:rFonts w:hint="eastAsia" w:ascii="宋体" w:hAnsi="宋体" w:cs="宋体"/>
                <w:kern w:val="0"/>
                <w:sz w:val="16"/>
                <w:szCs w:val="16"/>
              </w:rPr>
              <w:t xml:space="preserve">24.48 </w:t>
            </w:r>
          </w:p>
        </w:tc>
        <w:tc>
          <w:tcPr>
            <w:tcW w:w="940" w:type="dxa"/>
            <w:noWrap w:val="0"/>
            <w:vAlign w:val="center"/>
          </w:tcPr>
          <w:p w14:paraId="14FB679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027" w:type="dxa"/>
            <w:noWrap w:val="0"/>
            <w:vAlign w:val="center"/>
          </w:tcPr>
          <w:p w14:paraId="494BBEF6">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415BAAD0">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6EDB03D4">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r w14:paraId="59A2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1" w:type="dxa"/>
            <w:noWrap w:val="0"/>
            <w:vAlign w:val="center"/>
          </w:tcPr>
          <w:p w14:paraId="12D5F36A">
            <w:pPr>
              <w:widowControl/>
              <w:jc w:val="center"/>
              <w:rPr>
                <w:rFonts w:ascii="宋体" w:hAnsi="宋体" w:cs="宋体"/>
                <w:kern w:val="0"/>
                <w:sz w:val="16"/>
                <w:szCs w:val="16"/>
              </w:rPr>
            </w:pPr>
            <w:r>
              <w:rPr>
                <w:rFonts w:hint="eastAsia" w:ascii="宋体" w:hAnsi="宋体" w:cs="宋体"/>
                <w:kern w:val="0"/>
                <w:sz w:val="16"/>
                <w:szCs w:val="16"/>
              </w:rPr>
              <w:t>　</w:t>
            </w:r>
          </w:p>
        </w:tc>
        <w:tc>
          <w:tcPr>
            <w:tcW w:w="1900" w:type="dxa"/>
            <w:noWrap w:val="0"/>
            <w:vAlign w:val="center"/>
          </w:tcPr>
          <w:p w14:paraId="3D741D17">
            <w:pPr>
              <w:widowControl/>
              <w:jc w:val="center"/>
              <w:rPr>
                <w:rFonts w:ascii="宋体" w:hAnsi="宋体" w:cs="宋体"/>
                <w:kern w:val="0"/>
                <w:sz w:val="16"/>
                <w:szCs w:val="16"/>
              </w:rPr>
            </w:pPr>
            <w:r>
              <w:rPr>
                <w:rFonts w:hint="eastAsia" w:ascii="宋体" w:hAnsi="宋体" w:cs="宋体"/>
                <w:kern w:val="0"/>
                <w:sz w:val="16"/>
                <w:szCs w:val="16"/>
              </w:rPr>
              <w:t>地面合计</w:t>
            </w:r>
          </w:p>
        </w:tc>
        <w:tc>
          <w:tcPr>
            <w:tcW w:w="804" w:type="dxa"/>
            <w:noWrap w:val="0"/>
            <w:vAlign w:val="center"/>
          </w:tcPr>
          <w:p w14:paraId="75D789BC">
            <w:pPr>
              <w:widowControl/>
              <w:jc w:val="center"/>
              <w:rPr>
                <w:rFonts w:ascii="宋体" w:hAnsi="宋体" w:cs="宋体"/>
                <w:kern w:val="0"/>
                <w:sz w:val="16"/>
                <w:szCs w:val="16"/>
              </w:rPr>
            </w:pPr>
            <w:r>
              <w:rPr>
                <w:rFonts w:hint="eastAsia" w:ascii="宋体" w:hAnsi="宋体" w:cs="宋体"/>
                <w:kern w:val="0"/>
                <w:sz w:val="16"/>
                <w:szCs w:val="16"/>
              </w:rPr>
              <w:t>　</w:t>
            </w:r>
          </w:p>
        </w:tc>
        <w:tc>
          <w:tcPr>
            <w:tcW w:w="697" w:type="dxa"/>
            <w:noWrap w:val="0"/>
            <w:vAlign w:val="center"/>
          </w:tcPr>
          <w:p w14:paraId="60616831">
            <w:pPr>
              <w:widowControl/>
              <w:jc w:val="center"/>
              <w:rPr>
                <w:rFonts w:ascii="宋体" w:hAnsi="宋体" w:cs="宋体"/>
                <w:kern w:val="0"/>
                <w:sz w:val="16"/>
                <w:szCs w:val="16"/>
              </w:rPr>
            </w:pPr>
            <w:r>
              <w:rPr>
                <w:rFonts w:hint="eastAsia" w:ascii="宋体" w:hAnsi="宋体" w:cs="宋体"/>
                <w:kern w:val="0"/>
                <w:sz w:val="16"/>
                <w:szCs w:val="16"/>
              </w:rPr>
              <w:t xml:space="preserve">58 </w:t>
            </w:r>
          </w:p>
        </w:tc>
        <w:tc>
          <w:tcPr>
            <w:tcW w:w="720" w:type="dxa"/>
            <w:noWrap w:val="0"/>
            <w:vAlign w:val="center"/>
          </w:tcPr>
          <w:p w14:paraId="7AE95C8C">
            <w:pPr>
              <w:widowControl/>
              <w:jc w:val="center"/>
              <w:rPr>
                <w:rFonts w:ascii="宋体" w:hAnsi="宋体" w:cs="宋体"/>
                <w:kern w:val="0"/>
                <w:sz w:val="16"/>
                <w:szCs w:val="16"/>
              </w:rPr>
            </w:pPr>
            <w:r>
              <w:rPr>
                <w:rFonts w:hint="eastAsia" w:ascii="宋体" w:hAnsi="宋体" w:cs="宋体"/>
                <w:kern w:val="0"/>
                <w:sz w:val="16"/>
                <w:szCs w:val="16"/>
              </w:rPr>
              <w:t xml:space="preserve">45 </w:t>
            </w:r>
          </w:p>
        </w:tc>
        <w:tc>
          <w:tcPr>
            <w:tcW w:w="720" w:type="dxa"/>
            <w:noWrap w:val="0"/>
            <w:vAlign w:val="center"/>
          </w:tcPr>
          <w:p w14:paraId="05680F8D">
            <w:pPr>
              <w:widowControl/>
              <w:jc w:val="center"/>
              <w:rPr>
                <w:rFonts w:ascii="宋体" w:hAnsi="宋体" w:cs="宋体"/>
                <w:kern w:val="0"/>
                <w:sz w:val="16"/>
                <w:szCs w:val="16"/>
              </w:rPr>
            </w:pPr>
            <w:r>
              <w:rPr>
                <w:rFonts w:hint="eastAsia" w:ascii="宋体" w:hAnsi="宋体" w:cs="宋体"/>
                <w:kern w:val="0"/>
                <w:sz w:val="16"/>
                <w:szCs w:val="16"/>
              </w:rPr>
              <w:t xml:space="preserve">1660 </w:t>
            </w:r>
          </w:p>
        </w:tc>
        <w:tc>
          <w:tcPr>
            <w:tcW w:w="820" w:type="dxa"/>
            <w:noWrap w:val="0"/>
            <w:vAlign w:val="center"/>
          </w:tcPr>
          <w:p w14:paraId="5FA5762C">
            <w:pPr>
              <w:widowControl/>
              <w:jc w:val="center"/>
              <w:rPr>
                <w:rFonts w:ascii="宋体" w:hAnsi="宋体" w:cs="宋体"/>
                <w:kern w:val="0"/>
                <w:sz w:val="16"/>
                <w:szCs w:val="16"/>
              </w:rPr>
            </w:pPr>
            <w:r>
              <w:rPr>
                <w:rFonts w:hint="eastAsia" w:ascii="宋体" w:hAnsi="宋体" w:cs="宋体"/>
                <w:kern w:val="0"/>
                <w:sz w:val="16"/>
                <w:szCs w:val="16"/>
              </w:rPr>
              <w:t xml:space="preserve">1124 </w:t>
            </w:r>
          </w:p>
        </w:tc>
        <w:tc>
          <w:tcPr>
            <w:tcW w:w="800" w:type="dxa"/>
            <w:noWrap w:val="0"/>
            <w:vAlign w:val="center"/>
          </w:tcPr>
          <w:p w14:paraId="4353C86B">
            <w:pPr>
              <w:widowControl/>
              <w:jc w:val="center"/>
              <w:rPr>
                <w:rFonts w:ascii="宋体" w:hAnsi="宋体" w:cs="宋体"/>
                <w:kern w:val="0"/>
                <w:sz w:val="16"/>
                <w:szCs w:val="16"/>
              </w:rPr>
            </w:pPr>
            <w:r>
              <w:rPr>
                <w:rFonts w:hint="eastAsia" w:ascii="宋体" w:hAnsi="宋体" w:cs="宋体"/>
                <w:kern w:val="0"/>
                <w:sz w:val="16"/>
                <w:szCs w:val="16"/>
              </w:rPr>
              <w:t>　</w:t>
            </w:r>
          </w:p>
        </w:tc>
        <w:tc>
          <w:tcPr>
            <w:tcW w:w="760" w:type="dxa"/>
            <w:noWrap w:val="0"/>
            <w:vAlign w:val="center"/>
          </w:tcPr>
          <w:p w14:paraId="55211122">
            <w:pPr>
              <w:widowControl/>
              <w:jc w:val="center"/>
              <w:rPr>
                <w:rFonts w:ascii="宋体" w:hAnsi="宋体" w:cs="宋体"/>
                <w:kern w:val="0"/>
                <w:sz w:val="16"/>
                <w:szCs w:val="16"/>
              </w:rPr>
            </w:pPr>
            <w:r>
              <w:rPr>
                <w:rFonts w:hint="eastAsia" w:ascii="宋体" w:hAnsi="宋体" w:cs="宋体"/>
                <w:kern w:val="0"/>
                <w:sz w:val="16"/>
                <w:szCs w:val="16"/>
              </w:rPr>
              <w:t xml:space="preserve">0.79 </w:t>
            </w:r>
          </w:p>
        </w:tc>
        <w:tc>
          <w:tcPr>
            <w:tcW w:w="700" w:type="dxa"/>
            <w:noWrap w:val="0"/>
            <w:vAlign w:val="center"/>
          </w:tcPr>
          <w:p w14:paraId="6A97CDBA">
            <w:pPr>
              <w:widowControl/>
              <w:jc w:val="center"/>
              <w:rPr>
                <w:rFonts w:ascii="宋体" w:hAnsi="宋体" w:cs="宋体"/>
                <w:kern w:val="0"/>
                <w:sz w:val="16"/>
                <w:szCs w:val="16"/>
              </w:rPr>
            </w:pPr>
            <w:r>
              <w:rPr>
                <w:rFonts w:hint="eastAsia" w:ascii="宋体" w:hAnsi="宋体" w:cs="宋体"/>
                <w:kern w:val="0"/>
                <w:sz w:val="16"/>
                <w:szCs w:val="16"/>
              </w:rPr>
              <w:t xml:space="preserve">0.78 </w:t>
            </w:r>
          </w:p>
        </w:tc>
        <w:tc>
          <w:tcPr>
            <w:tcW w:w="1080" w:type="dxa"/>
            <w:noWrap w:val="0"/>
            <w:vAlign w:val="center"/>
          </w:tcPr>
          <w:p w14:paraId="3AEB4946">
            <w:pPr>
              <w:widowControl/>
              <w:jc w:val="center"/>
              <w:rPr>
                <w:rFonts w:ascii="宋体" w:hAnsi="宋体" w:cs="宋体"/>
                <w:kern w:val="0"/>
                <w:sz w:val="16"/>
                <w:szCs w:val="16"/>
              </w:rPr>
            </w:pPr>
            <w:r>
              <w:rPr>
                <w:rFonts w:hint="eastAsia" w:ascii="宋体" w:hAnsi="宋体" w:cs="宋体"/>
                <w:kern w:val="0"/>
                <w:sz w:val="16"/>
                <w:szCs w:val="16"/>
              </w:rPr>
              <w:t xml:space="preserve">726.61 </w:t>
            </w:r>
          </w:p>
        </w:tc>
        <w:tc>
          <w:tcPr>
            <w:tcW w:w="1140" w:type="dxa"/>
            <w:noWrap w:val="0"/>
            <w:vAlign w:val="center"/>
          </w:tcPr>
          <w:p w14:paraId="52DAD4BA">
            <w:pPr>
              <w:widowControl/>
              <w:jc w:val="center"/>
              <w:rPr>
                <w:rFonts w:ascii="宋体" w:hAnsi="宋体" w:cs="宋体"/>
                <w:kern w:val="0"/>
                <w:sz w:val="16"/>
                <w:szCs w:val="16"/>
              </w:rPr>
            </w:pPr>
            <w:r>
              <w:rPr>
                <w:rFonts w:hint="eastAsia" w:ascii="宋体" w:hAnsi="宋体" w:cs="宋体"/>
                <w:kern w:val="0"/>
                <w:sz w:val="16"/>
                <w:szCs w:val="16"/>
              </w:rPr>
              <w:t xml:space="preserve">569.87 </w:t>
            </w:r>
          </w:p>
        </w:tc>
        <w:tc>
          <w:tcPr>
            <w:tcW w:w="940" w:type="dxa"/>
            <w:noWrap w:val="0"/>
            <w:vAlign w:val="center"/>
          </w:tcPr>
          <w:p w14:paraId="6B86265F">
            <w:pPr>
              <w:widowControl/>
              <w:jc w:val="center"/>
              <w:rPr>
                <w:rFonts w:ascii="宋体" w:hAnsi="宋体" w:cs="宋体"/>
                <w:kern w:val="0"/>
                <w:sz w:val="16"/>
                <w:szCs w:val="16"/>
              </w:rPr>
            </w:pPr>
            <w:r>
              <w:rPr>
                <w:rFonts w:hint="eastAsia" w:ascii="宋体" w:hAnsi="宋体" w:cs="宋体"/>
                <w:kern w:val="0"/>
                <w:sz w:val="16"/>
                <w:szCs w:val="16"/>
              </w:rPr>
              <w:t>923.42</w:t>
            </w:r>
          </w:p>
        </w:tc>
        <w:tc>
          <w:tcPr>
            <w:tcW w:w="1027" w:type="dxa"/>
            <w:noWrap w:val="0"/>
            <w:vAlign w:val="center"/>
          </w:tcPr>
          <w:p w14:paraId="45931A25">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278CBB13">
            <w:pPr>
              <w:widowControl/>
              <w:jc w:val="center"/>
              <w:rPr>
                <w:rFonts w:ascii="宋体" w:hAnsi="宋体" w:cs="宋体"/>
                <w:color w:val="FF0000"/>
                <w:kern w:val="0"/>
                <w:sz w:val="16"/>
                <w:szCs w:val="16"/>
              </w:rPr>
            </w:pPr>
            <w:r>
              <w:rPr>
                <w:rFonts w:hint="eastAsia" w:ascii="宋体" w:hAnsi="宋体" w:cs="宋体"/>
                <w:color w:val="FF0000"/>
                <w:kern w:val="0"/>
                <w:sz w:val="16"/>
                <w:szCs w:val="16"/>
              </w:rPr>
              <w:t>　</w:t>
            </w:r>
          </w:p>
        </w:tc>
        <w:tc>
          <w:tcPr>
            <w:tcW w:w="1118" w:type="dxa"/>
            <w:noWrap w:val="0"/>
            <w:vAlign w:val="center"/>
          </w:tcPr>
          <w:p w14:paraId="1AC4B447">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r>
    </w:tbl>
    <w:p w14:paraId="205B4ECF">
      <w:pPr>
        <w:spacing w:line="440" w:lineRule="exact"/>
        <w:ind w:firstLine="522" w:firstLineChars="200"/>
        <w:rPr>
          <w:rFonts w:hint="eastAsia" w:ascii="宋体" w:hAnsi="宋体"/>
          <w:b/>
          <w:spacing w:val="10"/>
          <w:sz w:val="24"/>
        </w:rPr>
      </w:pPr>
    </w:p>
    <w:p w14:paraId="150D727C">
      <w:pPr>
        <w:spacing w:line="440" w:lineRule="exact"/>
        <w:ind w:firstLine="522" w:firstLineChars="200"/>
        <w:rPr>
          <w:rFonts w:hint="eastAsia" w:ascii="宋体" w:hAnsi="宋体"/>
          <w:b/>
          <w:spacing w:val="10"/>
          <w:sz w:val="24"/>
        </w:rPr>
      </w:pPr>
      <w:r>
        <w:rPr>
          <w:rFonts w:hint="eastAsia" w:ascii="宋体" w:hAnsi="宋体"/>
          <w:b/>
          <w:spacing w:val="10"/>
          <w:sz w:val="24"/>
        </w:rPr>
        <w:t>表6-4-3                            大坪煤矿井下电力负荷统计表</w:t>
      </w:r>
    </w:p>
    <w:tbl>
      <w:tblPr>
        <w:tblStyle w:val="62"/>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2040"/>
        <w:gridCol w:w="706"/>
        <w:gridCol w:w="700"/>
        <w:gridCol w:w="700"/>
        <w:gridCol w:w="786"/>
        <w:gridCol w:w="786"/>
        <w:gridCol w:w="1080"/>
        <w:gridCol w:w="640"/>
        <w:gridCol w:w="580"/>
        <w:gridCol w:w="786"/>
        <w:gridCol w:w="892"/>
        <w:gridCol w:w="857"/>
        <w:gridCol w:w="1120"/>
        <w:gridCol w:w="1106"/>
        <w:gridCol w:w="1161"/>
      </w:tblGrid>
      <w:tr w14:paraId="1726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vMerge w:val="restart"/>
            <w:noWrap w:val="0"/>
            <w:textDirection w:val="tbRlV"/>
            <w:vAlign w:val="center"/>
          </w:tcPr>
          <w:p w14:paraId="230F6D47">
            <w:pPr>
              <w:widowControl/>
              <w:jc w:val="center"/>
              <w:rPr>
                <w:rFonts w:ascii="宋体" w:hAnsi="宋体" w:cs="宋体"/>
                <w:b/>
                <w:bCs/>
                <w:kern w:val="0"/>
                <w:sz w:val="16"/>
                <w:szCs w:val="16"/>
              </w:rPr>
            </w:pPr>
            <w:r>
              <w:rPr>
                <w:rFonts w:hint="eastAsia" w:ascii="宋体" w:hAnsi="宋体" w:cs="宋体"/>
                <w:b/>
                <w:bCs/>
                <w:kern w:val="0"/>
                <w:sz w:val="16"/>
                <w:szCs w:val="16"/>
              </w:rPr>
              <w:t>序</w:t>
            </w:r>
            <w:r>
              <w:rPr>
                <w:rFonts w:ascii="Courier New" w:hAnsi="Courier New" w:cs="Courier New"/>
                <w:b/>
                <w:bCs/>
                <w:kern w:val="0"/>
                <w:sz w:val="16"/>
                <w:szCs w:val="16"/>
              </w:rPr>
              <w:t xml:space="preserve"> </w:t>
            </w:r>
            <w:r>
              <w:rPr>
                <w:rFonts w:hint="eastAsia" w:ascii="宋体" w:hAnsi="宋体" w:cs="宋体"/>
                <w:b/>
                <w:bCs/>
                <w:kern w:val="0"/>
                <w:sz w:val="16"/>
                <w:szCs w:val="16"/>
              </w:rPr>
              <w:t>号</w:t>
            </w:r>
          </w:p>
        </w:tc>
        <w:tc>
          <w:tcPr>
            <w:tcW w:w="2040" w:type="dxa"/>
            <w:vMerge w:val="restart"/>
            <w:noWrap w:val="0"/>
            <w:vAlign w:val="center"/>
          </w:tcPr>
          <w:p w14:paraId="5A635E41">
            <w:pPr>
              <w:widowControl/>
              <w:jc w:val="center"/>
              <w:rPr>
                <w:rFonts w:ascii="宋体" w:hAnsi="宋体" w:cs="宋体"/>
                <w:b/>
                <w:bCs/>
                <w:kern w:val="0"/>
                <w:sz w:val="16"/>
                <w:szCs w:val="16"/>
              </w:rPr>
            </w:pPr>
            <w:r>
              <w:rPr>
                <w:rFonts w:hint="eastAsia" w:ascii="宋体" w:hAnsi="宋体" w:cs="宋体"/>
                <w:b/>
                <w:bCs/>
                <w:kern w:val="0"/>
                <w:sz w:val="16"/>
                <w:szCs w:val="16"/>
              </w:rPr>
              <w:t>负</w:t>
            </w:r>
            <w:r>
              <w:rPr>
                <w:b/>
                <w:bCs/>
                <w:kern w:val="0"/>
                <w:sz w:val="16"/>
                <w:szCs w:val="16"/>
              </w:rPr>
              <w:t xml:space="preserve">   </w:t>
            </w:r>
            <w:r>
              <w:rPr>
                <w:rFonts w:hint="eastAsia" w:ascii="宋体" w:hAnsi="宋体" w:cs="宋体"/>
                <w:b/>
                <w:bCs/>
                <w:kern w:val="0"/>
                <w:sz w:val="16"/>
                <w:szCs w:val="16"/>
              </w:rPr>
              <w:t>荷</w:t>
            </w:r>
            <w:r>
              <w:rPr>
                <w:b/>
                <w:bCs/>
                <w:kern w:val="0"/>
                <w:sz w:val="16"/>
                <w:szCs w:val="16"/>
              </w:rPr>
              <w:t xml:space="preserve">   </w:t>
            </w:r>
            <w:r>
              <w:rPr>
                <w:rFonts w:hint="eastAsia" w:ascii="宋体" w:hAnsi="宋体" w:cs="宋体"/>
                <w:b/>
                <w:bCs/>
                <w:kern w:val="0"/>
                <w:sz w:val="16"/>
                <w:szCs w:val="16"/>
              </w:rPr>
              <w:t>名</w:t>
            </w:r>
            <w:r>
              <w:rPr>
                <w:b/>
                <w:bCs/>
                <w:kern w:val="0"/>
                <w:sz w:val="16"/>
                <w:szCs w:val="16"/>
              </w:rPr>
              <w:t xml:space="preserve">   </w:t>
            </w:r>
            <w:r>
              <w:rPr>
                <w:rFonts w:hint="eastAsia" w:ascii="宋体" w:hAnsi="宋体" w:cs="宋体"/>
                <w:b/>
                <w:bCs/>
                <w:kern w:val="0"/>
                <w:sz w:val="16"/>
                <w:szCs w:val="16"/>
              </w:rPr>
              <w:t>称</w:t>
            </w:r>
          </w:p>
        </w:tc>
        <w:tc>
          <w:tcPr>
            <w:tcW w:w="706" w:type="dxa"/>
            <w:vMerge w:val="restart"/>
            <w:noWrap w:val="0"/>
            <w:vAlign w:val="center"/>
          </w:tcPr>
          <w:p w14:paraId="6D31BAAB">
            <w:pPr>
              <w:widowControl/>
              <w:jc w:val="center"/>
              <w:rPr>
                <w:rFonts w:ascii="宋体" w:hAnsi="宋体" w:cs="宋体"/>
                <w:b/>
                <w:bCs/>
                <w:kern w:val="0"/>
                <w:sz w:val="16"/>
                <w:szCs w:val="16"/>
              </w:rPr>
            </w:pPr>
            <w:r>
              <w:rPr>
                <w:rFonts w:hint="eastAsia" w:ascii="宋体" w:hAnsi="宋体" w:cs="宋体"/>
                <w:b/>
                <w:bCs/>
                <w:kern w:val="0"/>
                <w:sz w:val="16"/>
                <w:szCs w:val="16"/>
              </w:rPr>
              <w:t>电压（</w:t>
            </w:r>
            <w:r>
              <w:rPr>
                <w:b/>
                <w:bCs/>
                <w:kern w:val="0"/>
                <w:sz w:val="16"/>
                <w:szCs w:val="16"/>
              </w:rPr>
              <w:t>kv</w:t>
            </w:r>
            <w:r>
              <w:rPr>
                <w:rFonts w:hint="eastAsia" w:ascii="宋体" w:hAnsi="宋体" w:cs="宋体"/>
                <w:b/>
                <w:bCs/>
                <w:kern w:val="0"/>
                <w:sz w:val="16"/>
                <w:szCs w:val="16"/>
              </w:rPr>
              <w:t>）</w:t>
            </w:r>
          </w:p>
        </w:tc>
        <w:tc>
          <w:tcPr>
            <w:tcW w:w="1400" w:type="dxa"/>
            <w:gridSpan w:val="2"/>
            <w:noWrap w:val="0"/>
            <w:vAlign w:val="center"/>
          </w:tcPr>
          <w:p w14:paraId="151E3B30">
            <w:pPr>
              <w:widowControl/>
              <w:jc w:val="center"/>
              <w:rPr>
                <w:rFonts w:ascii="宋体" w:hAnsi="宋体" w:cs="宋体"/>
                <w:b/>
                <w:bCs/>
                <w:kern w:val="0"/>
                <w:sz w:val="16"/>
                <w:szCs w:val="16"/>
              </w:rPr>
            </w:pPr>
            <w:r>
              <w:rPr>
                <w:rFonts w:hint="eastAsia" w:ascii="宋体" w:hAnsi="宋体" w:cs="宋体"/>
                <w:b/>
                <w:bCs/>
                <w:kern w:val="0"/>
                <w:sz w:val="16"/>
                <w:szCs w:val="16"/>
              </w:rPr>
              <w:t>设</w:t>
            </w:r>
            <w:r>
              <w:rPr>
                <w:b/>
                <w:bCs/>
                <w:kern w:val="0"/>
                <w:sz w:val="16"/>
                <w:szCs w:val="16"/>
              </w:rPr>
              <w:t xml:space="preserve"> </w:t>
            </w:r>
            <w:r>
              <w:rPr>
                <w:rFonts w:hint="eastAsia" w:ascii="宋体" w:hAnsi="宋体" w:cs="宋体"/>
                <w:b/>
                <w:bCs/>
                <w:kern w:val="0"/>
                <w:sz w:val="16"/>
                <w:szCs w:val="16"/>
              </w:rPr>
              <w:t>备</w:t>
            </w:r>
            <w:r>
              <w:rPr>
                <w:b/>
                <w:bCs/>
                <w:kern w:val="0"/>
                <w:sz w:val="16"/>
                <w:szCs w:val="16"/>
              </w:rPr>
              <w:t xml:space="preserve"> </w:t>
            </w:r>
            <w:r>
              <w:rPr>
                <w:rFonts w:hint="eastAsia" w:ascii="宋体" w:hAnsi="宋体" w:cs="宋体"/>
                <w:b/>
                <w:bCs/>
                <w:kern w:val="0"/>
                <w:sz w:val="16"/>
                <w:szCs w:val="16"/>
              </w:rPr>
              <w:t>数</w:t>
            </w:r>
            <w:r>
              <w:rPr>
                <w:b/>
                <w:bCs/>
                <w:kern w:val="0"/>
                <w:sz w:val="16"/>
                <w:szCs w:val="16"/>
              </w:rPr>
              <w:t xml:space="preserve"> </w:t>
            </w:r>
            <w:r>
              <w:rPr>
                <w:rFonts w:hint="eastAsia" w:ascii="宋体" w:hAnsi="宋体" w:cs="宋体"/>
                <w:b/>
                <w:bCs/>
                <w:kern w:val="0"/>
                <w:sz w:val="16"/>
                <w:szCs w:val="16"/>
              </w:rPr>
              <w:t>量</w:t>
            </w:r>
          </w:p>
        </w:tc>
        <w:tc>
          <w:tcPr>
            <w:tcW w:w="1572" w:type="dxa"/>
            <w:gridSpan w:val="2"/>
            <w:noWrap w:val="0"/>
            <w:vAlign w:val="center"/>
          </w:tcPr>
          <w:p w14:paraId="7866F3EF">
            <w:pPr>
              <w:widowControl/>
              <w:jc w:val="center"/>
              <w:rPr>
                <w:rFonts w:ascii="宋体" w:hAnsi="宋体" w:cs="宋体"/>
                <w:b/>
                <w:bCs/>
                <w:kern w:val="0"/>
                <w:sz w:val="16"/>
                <w:szCs w:val="16"/>
              </w:rPr>
            </w:pPr>
            <w:r>
              <w:rPr>
                <w:rFonts w:hint="eastAsia" w:ascii="宋体" w:hAnsi="宋体" w:cs="宋体"/>
                <w:b/>
                <w:bCs/>
                <w:kern w:val="0"/>
                <w:sz w:val="16"/>
                <w:szCs w:val="16"/>
              </w:rPr>
              <w:t>设</w:t>
            </w:r>
            <w:r>
              <w:rPr>
                <w:b/>
                <w:bCs/>
                <w:kern w:val="0"/>
                <w:sz w:val="16"/>
                <w:szCs w:val="16"/>
              </w:rPr>
              <w:t xml:space="preserve"> </w:t>
            </w:r>
            <w:r>
              <w:rPr>
                <w:rFonts w:hint="eastAsia" w:ascii="宋体" w:hAnsi="宋体" w:cs="宋体"/>
                <w:b/>
                <w:bCs/>
                <w:kern w:val="0"/>
                <w:sz w:val="16"/>
                <w:szCs w:val="16"/>
              </w:rPr>
              <w:t>备</w:t>
            </w:r>
            <w:r>
              <w:rPr>
                <w:b/>
                <w:bCs/>
                <w:kern w:val="0"/>
                <w:sz w:val="16"/>
                <w:szCs w:val="16"/>
              </w:rPr>
              <w:t xml:space="preserve"> </w:t>
            </w:r>
            <w:r>
              <w:rPr>
                <w:rFonts w:hint="eastAsia" w:ascii="宋体" w:hAnsi="宋体" w:cs="宋体"/>
                <w:b/>
                <w:bCs/>
                <w:kern w:val="0"/>
                <w:sz w:val="16"/>
                <w:szCs w:val="16"/>
              </w:rPr>
              <w:t>容</w:t>
            </w:r>
            <w:r>
              <w:rPr>
                <w:b/>
                <w:bCs/>
                <w:kern w:val="0"/>
                <w:sz w:val="16"/>
                <w:szCs w:val="16"/>
              </w:rPr>
              <w:t xml:space="preserve"> </w:t>
            </w:r>
            <w:r>
              <w:rPr>
                <w:rFonts w:hint="eastAsia" w:ascii="宋体" w:hAnsi="宋体" w:cs="宋体"/>
                <w:b/>
                <w:bCs/>
                <w:kern w:val="0"/>
                <w:sz w:val="16"/>
                <w:szCs w:val="16"/>
              </w:rPr>
              <w:t>量</w:t>
            </w:r>
          </w:p>
        </w:tc>
        <w:tc>
          <w:tcPr>
            <w:tcW w:w="1080" w:type="dxa"/>
            <w:vMerge w:val="restart"/>
            <w:noWrap w:val="0"/>
            <w:vAlign w:val="center"/>
          </w:tcPr>
          <w:p w14:paraId="6CA39543">
            <w:pPr>
              <w:widowControl/>
              <w:jc w:val="center"/>
              <w:rPr>
                <w:rFonts w:ascii="宋体" w:hAnsi="宋体" w:cs="宋体"/>
                <w:b/>
                <w:bCs/>
                <w:kern w:val="0"/>
                <w:sz w:val="16"/>
                <w:szCs w:val="16"/>
              </w:rPr>
            </w:pPr>
            <w:r>
              <w:rPr>
                <w:rFonts w:hint="eastAsia" w:ascii="宋体" w:hAnsi="宋体" w:cs="宋体"/>
                <w:b/>
                <w:bCs/>
                <w:kern w:val="0"/>
                <w:sz w:val="16"/>
                <w:szCs w:val="16"/>
              </w:rPr>
              <w:t>需用系数</w:t>
            </w:r>
          </w:p>
        </w:tc>
        <w:tc>
          <w:tcPr>
            <w:tcW w:w="640" w:type="dxa"/>
            <w:vMerge w:val="restart"/>
            <w:noWrap w:val="0"/>
            <w:vAlign w:val="center"/>
          </w:tcPr>
          <w:p w14:paraId="123AEC9E">
            <w:pPr>
              <w:widowControl/>
              <w:jc w:val="center"/>
              <w:rPr>
                <w:b/>
                <w:bCs/>
                <w:kern w:val="0"/>
                <w:sz w:val="16"/>
                <w:szCs w:val="16"/>
              </w:rPr>
            </w:pPr>
            <w:r>
              <w:rPr>
                <w:b/>
                <w:bCs/>
                <w:kern w:val="0"/>
                <w:sz w:val="16"/>
                <w:szCs w:val="16"/>
              </w:rPr>
              <w:t>cosΦ</w:t>
            </w:r>
          </w:p>
        </w:tc>
        <w:tc>
          <w:tcPr>
            <w:tcW w:w="580" w:type="dxa"/>
            <w:vMerge w:val="restart"/>
            <w:noWrap w:val="0"/>
            <w:vAlign w:val="center"/>
          </w:tcPr>
          <w:p w14:paraId="00214E77">
            <w:pPr>
              <w:widowControl/>
              <w:jc w:val="center"/>
              <w:rPr>
                <w:b/>
                <w:bCs/>
                <w:kern w:val="0"/>
                <w:sz w:val="16"/>
                <w:szCs w:val="16"/>
              </w:rPr>
            </w:pPr>
            <w:r>
              <w:rPr>
                <w:b/>
                <w:bCs/>
                <w:kern w:val="0"/>
                <w:sz w:val="16"/>
                <w:szCs w:val="16"/>
              </w:rPr>
              <w:t>tgΦ</w:t>
            </w:r>
          </w:p>
        </w:tc>
        <w:tc>
          <w:tcPr>
            <w:tcW w:w="2535" w:type="dxa"/>
            <w:gridSpan w:val="3"/>
            <w:noWrap w:val="0"/>
            <w:vAlign w:val="bottom"/>
          </w:tcPr>
          <w:p w14:paraId="0BB479EF">
            <w:pPr>
              <w:widowControl/>
              <w:jc w:val="center"/>
              <w:rPr>
                <w:rFonts w:ascii="宋体" w:hAnsi="宋体" w:cs="宋体"/>
                <w:b/>
                <w:bCs/>
                <w:kern w:val="0"/>
                <w:sz w:val="16"/>
                <w:szCs w:val="16"/>
              </w:rPr>
            </w:pPr>
            <w:r>
              <w:rPr>
                <w:rFonts w:hint="eastAsia" w:ascii="宋体" w:hAnsi="宋体" w:cs="宋体"/>
                <w:b/>
                <w:bCs/>
                <w:kern w:val="0"/>
                <w:sz w:val="16"/>
                <w:szCs w:val="16"/>
              </w:rPr>
              <w:t>最</w:t>
            </w:r>
            <w:r>
              <w:rPr>
                <w:b/>
                <w:bCs/>
                <w:kern w:val="0"/>
                <w:sz w:val="16"/>
                <w:szCs w:val="16"/>
              </w:rPr>
              <w:t xml:space="preserve">   </w:t>
            </w:r>
            <w:r>
              <w:rPr>
                <w:rFonts w:hint="eastAsia" w:ascii="宋体" w:hAnsi="宋体" w:cs="宋体"/>
                <w:b/>
                <w:bCs/>
                <w:kern w:val="0"/>
                <w:sz w:val="16"/>
                <w:szCs w:val="16"/>
              </w:rPr>
              <w:t>大</w:t>
            </w:r>
            <w:r>
              <w:rPr>
                <w:b/>
                <w:bCs/>
                <w:kern w:val="0"/>
                <w:sz w:val="16"/>
                <w:szCs w:val="16"/>
              </w:rPr>
              <w:t xml:space="preserve">   </w:t>
            </w:r>
            <w:r>
              <w:rPr>
                <w:rFonts w:hint="eastAsia" w:ascii="宋体" w:hAnsi="宋体" w:cs="宋体"/>
                <w:b/>
                <w:bCs/>
                <w:kern w:val="0"/>
                <w:sz w:val="16"/>
                <w:szCs w:val="16"/>
              </w:rPr>
              <w:t>负</w:t>
            </w:r>
            <w:r>
              <w:rPr>
                <w:b/>
                <w:bCs/>
                <w:kern w:val="0"/>
                <w:sz w:val="16"/>
                <w:szCs w:val="16"/>
              </w:rPr>
              <w:t xml:space="preserve">   </w:t>
            </w:r>
            <w:r>
              <w:rPr>
                <w:rFonts w:hint="eastAsia" w:ascii="宋体" w:hAnsi="宋体" w:cs="宋体"/>
                <w:b/>
                <w:bCs/>
                <w:kern w:val="0"/>
                <w:sz w:val="16"/>
                <w:szCs w:val="16"/>
              </w:rPr>
              <w:t>荷</w:t>
            </w:r>
          </w:p>
        </w:tc>
        <w:tc>
          <w:tcPr>
            <w:tcW w:w="1120" w:type="dxa"/>
            <w:vMerge w:val="restart"/>
            <w:noWrap w:val="0"/>
            <w:vAlign w:val="bottom"/>
          </w:tcPr>
          <w:p w14:paraId="7C449D32">
            <w:pPr>
              <w:widowControl/>
              <w:jc w:val="center"/>
              <w:rPr>
                <w:rFonts w:ascii="宋体" w:hAnsi="宋体" w:cs="宋体"/>
                <w:b/>
                <w:bCs/>
                <w:kern w:val="0"/>
                <w:sz w:val="18"/>
                <w:szCs w:val="18"/>
              </w:rPr>
            </w:pPr>
            <w:r>
              <w:rPr>
                <w:rFonts w:hint="eastAsia" w:ascii="宋体" w:hAnsi="宋体" w:cs="宋体"/>
                <w:b/>
                <w:bCs/>
                <w:kern w:val="0"/>
                <w:sz w:val="18"/>
                <w:szCs w:val="18"/>
              </w:rPr>
              <w:t>最大负荷年利用小时数（</w:t>
            </w:r>
            <w:r>
              <w:rPr>
                <w:b/>
                <w:bCs/>
                <w:kern w:val="0"/>
                <w:sz w:val="18"/>
                <w:szCs w:val="18"/>
              </w:rPr>
              <w:t>h</w:t>
            </w:r>
            <w:r>
              <w:rPr>
                <w:rFonts w:hint="eastAsia" w:ascii="宋体" w:hAnsi="宋体" w:cs="宋体"/>
                <w:b/>
                <w:bCs/>
                <w:kern w:val="0"/>
                <w:sz w:val="18"/>
                <w:szCs w:val="18"/>
              </w:rPr>
              <w:t>）</w:t>
            </w:r>
          </w:p>
        </w:tc>
        <w:tc>
          <w:tcPr>
            <w:tcW w:w="1106" w:type="dxa"/>
            <w:vMerge w:val="restart"/>
            <w:noWrap w:val="0"/>
            <w:vAlign w:val="center"/>
          </w:tcPr>
          <w:p w14:paraId="73E9152B">
            <w:pPr>
              <w:widowControl/>
              <w:jc w:val="center"/>
              <w:rPr>
                <w:rFonts w:ascii="宋体" w:hAnsi="宋体" w:cs="宋体"/>
                <w:b/>
                <w:bCs/>
                <w:kern w:val="0"/>
                <w:sz w:val="20"/>
                <w:szCs w:val="20"/>
              </w:rPr>
            </w:pPr>
            <w:r>
              <w:rPr>
                <w:rFonts w:hint="eastAsia" w:ascii="宋体" w:hAnsi="宋体" w:cs="宋体"/>
                <w:b/>
                <w:bCs/>
                <w:kern w:val="0"/>
                <w:sz w:val="20"/>
                <w:szCs w:val="20"/>
              </w:rPr>
              <w:t>年耗电量（</w:t>
            </w:r>
            <w:r>
              <w:rPr>
                <w:b/>
                <w:bCs/>
                <w:kern w:val="0"/>
                <w:sz w:val="20"/>
                <w:szCs w:val="20"/>
              </w:rPr>
              <w:t>kW-h</w:t>
            </w:r>
            <w:r>
              <w:rPr>
                <w:rFonts w:hint="eastAsia" w:ascii="宋体" w:hAnsi="宋体" w:cs="宋体"/>
                <w:b/>
                <w:bCs/>
                <w:kern w:val="0"/>
                <w:sz w:val="20"/>
                <w:szCs w:val="20"/>
              </w:rPr>
              <w:t>）</w:t>
            </w:r>
          </w:p>
        </w:tc>
        <w:tc>
          <w:tcPr>
            <w:tcW w:w="1161" w:type="dxa"/>
            <w:vMerge w:val="restart"/>
            <w:noWrap w:val="0"/>
            <w:vAlign w:val="center"/>
          </w:tcPr>
          <w:p w14:paraId="1841DFE3">
            <w:pPr>
              <w:widowControl/>
              <w:jc w:val="center"/>
              <w:rPr>
                <w:rFonts w:ascii="宋体" w:hAnsi="宋体" w:cs="宋体"/>
                <w:b/>
                <w:bCs/>
                <w:kern w:val="0"/>
                <w:sz w:val="20"/>
                <w:szCs w:val="20"/>
              </w:rPr>
            </w:pPr>
            <w:r>
              <w:rPr>
                <w:rFonts w:hint="eastAsia" w:ascii="宋体" w:hAnsi="宋体" w:cs="宋体"/>
                <w:b/>
                <w:bCs/>
                <w:kern w:val="0"/>
                <w:sz w:val="20"/>
                <w:szCs w:val="20"/>
              </w:rPr>
              <w:t>吨煤耗电量（</w:t>
            </w:r>
            <w:r>
              <w:rPr>
                <w:b/>
                <w:bCs/>
                <w:kern w:val="0"/>
                <w:sz w:val="20"/>
                <w:szCs w:val="20"/>
              </w:rPr>
              <w:t>kWh/t</w:t>
            </w:r>
            <w:r>
              <w:rPr>
                <w:rFonts w:hint="eastAsia" w:ascii="宋体" w:hAnsi="宋体" w:cs="宋体"/>
                <w:b/>
                <w:bCs/>
                <w:kern w:val="0"/>
                <w:sz w:val="20"/>
                <w:szCs w:val="20"/>
              </w:rPr>
              <w:t>）</w:t>
            </w:r>
          </w:p>
        </w:tc>
      </w:tr>
      <w:tr w14:paraId="6503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0" w:hRule="atLeast"/>
        </w:trPr>
        <w:tc>
          <w:tcPr>
            <w:tcW w:w="600" w:type="dxa"/>
            <w:vMerge w:val="continue"/>
            <w:noWrap w:val="0"/>
            <w:vAlign w:val="center"/>
          </w:tcPr>
          <w:p w14:paraId="48352F60">
            <w:pPr>
              <w:widowControl/>
              <w:jc w:val="left"/>
              <w:rPr>
                <w:rFonts w:ascii="宋体" w:hAnsi="宋体" w:cs="宋体"/>
                <w:b/>
                <w:bCs/>
                <w:kern w:val="0"/>
                <w:sz w:val="16"/>
                <w:szCs w:val="16"/>
              </w:rPr>
            </w:pPr>
          </w:p>
        </w:tc>
        <w:tc>
          <w:tcPr>
            <w:tcW w:w="2040" w:type="dxa"/>
            <w:vMerge w:val="continue"/>
            <w:noWrap w:val="0"/>
            <w:vAlign w:val="center"/>
          </w:tcPr>
          <w:p w14:paraId="4DDA803D">
            <w:pPr>
              <w:widowControl/>
              <w:jc w:val="left"/>
              <w:rPr>
                <w:rFonts w:ascii="宋体" w:hAnsi="宋体" w:cs="宋体"/>
                <w:b/>
                <w:bCs/>
                <w:kern w:val="0"/>
                <w:sz w:val="16"/>
                <w:szCs w:val="16"/>
              </w:rPr>
            </w:pPr>
          </w:p>
        </w:tc>
        <w:tc>
          <w:tcPr>
            <w:tcW w:w="706" w:type="dxa"/>
            <w:vMerge w:val="continue"/>
            <w:noWrap w:val="0"/>
            <w:vAlign w:val="center"/>
          </w:tcPr>
          <w:p w14:paraId="643E0471">
            <w:pPr>
              <w:widowControl/>
              <w:jc w:val="left"/>
              <w:rPr>
                <w:rFonts w:ascii="宋体" w:hAnsi="宋体" w:cs="宋体"/>
                <w:b/>
                <w:bCs/>
                <w:kern w:val="0"/>
                <w:sz w:val="16"/>
                <w:szCs w:val="16"/>
              </w:rPr>
            </w:pPr>
          </w:p>
        </w:tc>
        <w:tc>
          <w:tcPr>
            <w:tcW w:w="700" w:type="dxa"/>
            <w:noWrap w:val="0"/>
            <w:vAlign w:val="center"/>
          </w:tcPr>
          <w:p w14:paraId="06256BD9">
            <w:pPr>
              <w:widowControl/>
              <w:jc w:val="center"/>
              <w:rPr>
                <w:rFonts w:ascii="宋体" w:hAnsi="宋体" w:cs="宋体"/>
                <w:b/>
                <w:bCs/>
                <w:kern w:val="0"/>
                <w:sz w:val="16"/>
                <w:szCs w:val="16"/>
              </w:rPr>
            </w:pPr>
            <w:r>
              <w:rPr>
                <w:rFonts w:hint="eastAsia" w:ascii="宋体" w:hAnsi="宋体" w:cs="宋体"/>
                <w:b/>
                <w:bCs/>
                <w:kern w:val="0"/>
                <w:sz w:val="16"/>
                <w:szCs w:val="16"/>
              </w:rPr>
              <w:t>全</w:t>
            </w:r>
            <w:r>
              <w:rPr>
                <w:b/>
                <w:bCs/>
                <w:kern w:val="0"/>
                <w:sz w:val="16"/>
                <w:szCs w:val="16"/>
              </w:rPr>
              <w:t xml:space="preserve">  </w:t>
            </w:r>
            <w:r>
              <w:rPr>
                <w:rFonts w:hint="eastAsia" w:ascii="宋体" w:hAnsi="宋体" w:cs="宋体"/>
                <w:b/>
                <w:bCs/>
                <w:kern w:val="0"/>
                <w:sz w:val="16"/>
                <w:szCs w:val="16"/>
              </w:rPr>
              <w:t>部（台）</w:t>
            </w:r>
          </w:p>
        </w:tc>
        <w:tc>
          <w:tcPr>
            <w:tcW w:w="700" w:type="dxa"/>
            <w:noWrap w:val="0"/>
            <w:vAlign w:val="center"/>
          </w:tcPr>
          <w:p w14:paraId="50CC5578">
            <w:pPr>
              <w:widowControl/>
              <w:jc w:val="center"/>
              <w:rPr>
                <w:rFonts w:ascii="宋体" w:hAnsi="宋体" w:cs="宋体"/>
                <w:b/>
                <w:bCs/>
                <w:kern w:val="0"/>
                <w:sz w:val="16"/>
                <w:szCs w:val="16"/>
              </w:rPr>
            </w:pPr>
            <w:r>
              <w:rPr>
                <w:rFonts w:hint="eastAsia" w:ascii="宋体" w:hAnsi="宋体" w:cs="宋体"/>
                <w:b/>
                <w:bCs/>
                <w:kern w:val="0"/>
                <w:sz w:val="16"/>
                <w:szCs w:val="16"/>
              </w:rPr>
              <w:t>工</w:t>
            </w:r>
            <w:r>
              <w:rPr>
                <w:b/>
                <w:bCs/>
                <w:kern w:val="0"/>
                <w:sz w:val="16"/>
                <w:szCs w:val="16"/>
              </w:rPr>
              <w:t xml:space="preserve">  </w:t>
            </w:r>
            <w:r>
              <w:rPr>
                <w:rFonts w:hint="eastAsia" w:ascii="宋体" w:hAnsi="宋体" w:cs="宋体"/>
                <w:b/>
                <w:bCs/>
                <w:kern w:val="0"/>
                <w:sz w:val="16"/>
                <w:szCs w:val="16"/>
              </w:rPr>
              <w:t>作（台）</w:t>
            </w:r>
          </w:p>
        </w:tc>
        <w:tc>
          <w:tcPr>
            <w:tcW w:w="786" w:type="dxa"/>
            <w:noWrap w:val="0"/>
            <w:vAlign w:val="center"/>
          </w:tcPr>
          <w:p w14:paraId="20DFD805">
            <w:pPr>
              <w:widowControl/>
              <w:jc w:val="center"/>
              <w:rPr>
                <w:rFonts w:ascii="宋体" w:hAnsi="宋体" w:cs="宋体"/>
                <w:b/>
                <w:bCs/>
                <w:kern w:val="0"/>
                <w:sz w:val="16"/>
                <w:szCs w:val="16"/>
              </w:rPr>
            </w:pPr>
            <w:r>
              <w:rPr>
                <w:rFonts w:hint="eastAsia" w:ascii="宋体" w:hAnsi="宋体" w:cs="宋体"/>
                <w:b/>
                <w:bCs/>
                <w:kern w:val="0"/>
                <w:sz w:val="16"/>
                <w:szCs w:val="16"/>
              </w:rPr>
              <w:t>全</w:t>
            </w:r>
            <w:r>
              <w:rPr>
                <w:b/>
                <w:bCs/>
                <w:kern w:val="0"/>
                <w:sz w:val="16"/>
                <w:szCs w:val="16"/>
              </w:rPr>
              <w:t xml:space="preserve">  </w:t>
            </w:r>
            <w:r>
              <w:rPr>
                <w:rFonts w:hint="eastAsia" w:ascii="宋体" w:hAnsi="宋体" w:cs="宋体"/>
                <w:b/>
                <w:bCs/>
                <w:kern w:val="0"/>
                <w:sz w:val="16"/>
                <w:szCs w:val="16"/>
              </w:rPr>
              <w:t>部（</w:t>
            </w:r>
            <w:r>
              <w:rPr>
                <w:b/>
                <w:bCs/>
                <w:kern w:val="0"/>
                <w:sz w:val="16"/>
                <w:szCs w:val="16"/>
              </w:rPr>
              <w:t>kW</w:t>
            </w:r>
            <w:r>
              <w:rPr>
                <w:rFonts w:hint="eastAsia" w:ascii="宋体" w:hAnsi="宋体" w:cs="宋体"/>
                <w:b/>
                <w:bCs/>
                <w:kern w:val="0"/>
                <w:sz w:val="16"/>
                <w:szCs w:val="16"/>
              </w:rPr>
              <w:t>）</w:t>
            </w:r>
          </w:p>
        </w:tc>
        <w:tc>
          <w:tcPr>
            <w:tcW w:w="786" w:type="dxa"/>
            <w:noWrap w:val="0"/>
            <w:vAlign w:val="center"/>
          </w:tcPr>
          <w:p w14:paraId="0F4A5EB2">
            <w:pPr>
              <w:widowControl/>
              <w:jc w:val="center"/>
              <w:rPr>
                <w:rFonts w:ascii="宋体" w:hAnsi="宋体" w:cs="宋体"/>
                <w:b/>
                <w:bCs/>
                <w:kern w:val="0"/>
                <w:sz w:val="16"/>
                <w:szCs w:val="16"/>
              </w:rPr>
            </w:pPr>
            <w:r>
              <w:rPr>
                <w:rFonts w:hint="eastAsia" w:ascii="宋体" w:hAnsi="宋体" w:cs="宋体"/>
                <w:b/>
                <w:bCs/>
                <w:kern w:val="0"/>
                <w:sz w:val="16"/>
                <w:szCs w:val="16"/>
              </w:rPr>
              <w:t>工</w:t>
            </w:r>
            <w:r>
              <w:rPr>
                <w:b/>
                <w:bCs/>
                <w:kern w:val="0"/>
                <w:sz w:val="16"/>
                <w:szCs w:val="16"/>
              </w:rPr>
              <w:t xml:space="preserve">  </w:t>
            </w:r>
            <w:r>
              <w:rPr>
                <w:rFonts w:hint="eastAsia" w:ascii="宋体" w:hAnsi="宋体" w:cs="宋体"/>
                <w:b/>
                <w:bCs/>
                <w:kern w:val="0"/>
                <w:sz w:val="16"/>
                <w:szCs w:val="16"/>
              </w:rPr>
              <w:t>作（</w:t>
            </w:r>
            <w:r>
              <w:rPr>
                <w:b/>
                <w:bCs/>
                <w:kern w:val="0"/>
                <w:sz w:val="16"/>
                <w:szCs w:val="16"/>
              </w:rPr>
              <w:t>kW</w:t>
            </w:r>
            <w:r>
              <w:rPr>
                <w:rFonts w:hint="eastAsia" w:ascii="宋体" w:hAnsi="宋体" w:cs="宋体"/>
                <w:b/>
                <w:bCs/>
                <w:kern w:val="0"/>
                <w:sz w:val="16"/>
                <w:szCs w:val="16"/>
              </w:rPr>
              <w:t>）</w:t>
            </w:r>
          </w:p>
        </w:tc>
        <w:tc>
          <w:tcPr>
            <w:tcW w:w="1080" w:type="dxa"/>
            <w:vMerge w:val="continue"/>
            <w:noWrap w:val="0"/>
            <w:vAlign w:val="center"/>
          </w:tcPr>
          <w:p w14:paraId="7AC6855C">
            <w:pPr>
              <w:widowControl/>
              <w:jc w:val="left"/>
              <w:rPr>
                <w:rFonts w:ascii="宋体" w:hAnsi="宋体" w:cs="宋体"/>
                <w:b/>
                <w:bCs/>
                <w:kern w:val="0"/>
                <w:sz w:val="16"/>
                <w:szCs w:val="16"/>
              </w:rPr>
            </w:pPr>
          </w:p>
        </w:tc>
        <w:tc>
          <w:tcPr>
            <w:tcW w:w="640" w:type="dxa"/>
            <w:vMerge w:val="continue"/>
            <w:noWrap w:val="0"/>
            <w:vAlign w:val="center"/>
          </w:tcPr>
          <w:p w14:paraId="6575FC55">
            <w:pPr>
              <w:widowControl/>
              <w:jc w:val="left"/>
              <w:rPr>
                <w:b/>
                <w:bCs/>
                <w:kern w:val="0"/>
                <w:sz w:val="16"/>
                <w:szCs w:val="16"/>
              </w:rPr>
            </w:pPr>
          </w:p>
        </w:tc>
        <w:tc>
          <w:tcPr>
            <w:tcW w:w="580" w:type="dxa"/>
            <w:vMerge w:val="continue"/>
            <w:noWrap w:val="0"/>
            <w:vAlign w:val="center"/>
          </w:tcPr>
          <w:p w14:paraId="138380F0">
            <w:pPr>
              <w:widowControl/>
              <w:jc w:val="left"/>
              <w:rPr>
                <w:b/>
                <w:bCs/>
                <w:kern w:val="0"/>
                <w:sz w:val="16"/>
                <w:szCs w:val="16"/>
              </w:rPr>
            </w:pPr>
          </w:p>
        </w:tc>
        <w:tc>
          <w:tcPr>
            <w:tcW w:w="786" w:type="dxa"/>
            <w:noWrap w:val="0"/>
            <w:vAlign w:val="center"/>
          </w:tcPr>
          <w:p w14:paraId="285B23B1">
            <w:pPr>
              <w:widowControl/>
              <w:jc w:val="center"/>
              <w:rPr>
                <w:rFonts w:ascii="宋体" w:hAnsi="宋体" w:cs="宋体"/>
                <w:b/>
                <w:bCs/>
                <w:kern w:val="0"/>
                <w:sz w:val="16"/>
                <w:szCs w:val="16"/>
              </w:rPr>
            </w:pPr>
            <w:r>
              <w:rPr>
                <w:rFonts w:hint="eastAsia" w:ascii="宋体" w:hAnsi="宋体" w:cs="宋体"/>
                <w:b/>
                <w:bCs/>
                <w:kern w:val="0"/>
                <w:sz w:val="16"/>
                <w:szCs w:val="16"/>
              </w:rPr>
              <w:t>有</w:t>
            </w:r>
            <w:r>
              <w:rPr>
                <w:b/>
                <w:bCs/>
                <w:kern w:val="0"/>
                <w:sz w:val="16"/>
                <w:szCs w:val="16"/>
              </w:rPr>
              <w:t xml:space="preserve"> </w:t>
            </w:r>
            <w:r>
              <w:rPr>
                <w:rFonts w:hint="eastAsia" w:ascii="宋体" w:hAnsi="宋体" w:cs="宋体"/>
                <w:b/>
                <w:bCs/>
                <w:kern w:val="0"/>
                <w:sz w:val="16"/>
                <w:szCs w:val="16"/>
              </w:rPr>
              <w:t>功（</w:t>
            </w:r>
            <w:r>
              <w:rPr>
                <w:b/>
                <w:bCs/>
                <w:kern w:val="0"/>
                <w:sz w:val="16"/>
                <w:szCs w:val="16"/>
              </w:rPr>
              <w:t>kW</w:t>
            </w:r>
            <w:r>
              <w:rPr>
                <w:rFonts w:hint="eastAsia" w:ascii="宋体" w:hAnsi="宋体" w:cs="宋体"/>
                <w:b/>
                <w:bCs/>
                <w:kern w:val="0"/>
                <w:sz w:val="16"/>
                <w:szCs w:val="16"/>
              </w:rPr>
              <w:t>）</w:t>
            </w:r>
          </w:p>
        </w:tc>
        <w:tc>
          <w:tcPr>
            <w:tcW w:w="892" w:type="dxa"/>
            <w:noWrap w:val="0"/>
            <w:vAlign w:val="center"/>
          </w:tcPr>
          <w:p w14:paraId="4DBA537E">
            <w:pPr>
              <w:widowControl/>
              <w:jc w:val="center"/>
              <w:rPr>
                <w:rFonts w:ascii="宋体" w:hAnsi="宋体" w:cs="宋体"/>
                <w:b/>
                <w:bCs/>
                <w:kern w:val="0"/>
                <w:sz w:val="16"/>
                <w:szCs w:val="16"/>
              </w:rPr>
            </w:pPr>
            <w:r>
              <w:rPr>
                <w:rFonts w:hint="eastAsia" w:ascii="宋体" w:hAnsi="宋体" w:cs="宋体"/>
                <w:b/>
                <w:bCs/>
                <w:kern w:val="0"/>
                <w:sz w:val="16"/>
                <w:szCs w:val="16"/>
              </w:rPr>
              <w:t>无</w:t>
            </w:r>
            <w:r>
              <w:rPr>
                <w:b/>
                <w:bCs/>
                <w:kern w:val="0"/>
                <w:sz w:val="16"/>
                <w:szCs w:val="16"/>
              </w:rPr>
              <w:t xml:space="preserve"> </w:t>
            </w:r>
            <w:r>
              <w:rPr>
                <w:rFonts w:hint="eastAsia" w:ascii="宋体" w:hAnsi="宋体" w:cs="宋体"/>
                <w:b/>
                <w:bCs/>
                <w:kern w:val="0"/>
                <w:sz w:val="16"/>
                <w:szCs w:val="16"/>
              </w:rPr>
              <w:t>功（</w:t>
            </w:r>
            <w:r>
              <w:rPr>
                <w:b/>
                <w:bCs/>
                <w:kern w:val="0"/>
                <w:sz w:val="16"/>
                <w:szCs w:val="16"/>
              </w:rPr>
              <w:t>kVar</w:t>
            </w:r>
            <w:r>
              <w:rPr>
                <w:rFonts w:hint="eastAsia" w:ascii="宋体" w:hAnsi="宋体" w:cs="宋体"/>
                <w:b/>
                <w:bCs/>
                <w:kern w:val="0"/>
                <w:sz w:val="16"/>
                <w:szCs w:val="16"/>
              </w:rPr>
              <w:t>）</w:t>
            </w:r>
          </w:p>
        </w:tc>
        <w:tc>
          <w:tcPr>
            <w:tcW w:w="857" w:type="dxa"/>
            <w:noWrap w:val="0"/>
            <w:vAlign w:val="center"/>
          </w:tcPr>
          <w:p w14:paraId="0EDBC1E0">
            <w:pPr>
              <w:widowControl/>
              <w:jc w:val="center"/>
              <w:rPr>
                <w:rFonts w:ascii="宋体" w:hAnsi="宋体" w:cs="宋体"/>
                <w:b/>
                <w:bCs/>
                <w:kern w:val="0"/>
                <w:sz w:val="16"/>
                <w:szCs w:val="16"/>
              </w:rPr>
            </w:pPr>
            <w:r>
              <w:rPr>
                <w:rFonts w:hint="eastAsia" w:ascii="宋体" w:hAnsi="宋体" w:cs="宋体"/>
                <w:b/>
                <w:bCs/>
                <w:kern w:val="0"/>
                <w:sz w:val="16"/>
                <w:szCs w:val="16"/>
              </w:rPr>
              <w:t>视</w:t>
            </w:r>
            <w:r>
              <w:rPr>
                <w:b/>
                <w:bCs/>
                <w:kern w:val="0"/>
                <w:sz w:val="16"/>
                <w:szCs w:val="16"/>
              </w:rPr>
              <w:t xml:space="preserve"> </w:t>
            </w:r>
            <w:r>
              <w:rPr>
                <w:rFonts w:hint="eastAsia" w:ascii="宋体" w:hAnsi="宋体" w:cs="宋体"/>
                <w:b/>
                <w:bCs/>
                <w:kern w:val="0"/>
                <w:sz w:val="16"/>
                <w:szCs w:val="16"/>
              </w:rPr>
              <w:t>在（</w:t>
            </w:r>
            <w:r>
              <w:rPr>
                <w:b/>
                <w:bCs/>
                <w:kern w:val="0"/>
                <w:sz w:val="16"/>
                <w:szCs w:val="16"/>
              </w:rPr>
              <w:t>kVA</w:t>
            </w:r>
            <w:r>
              <w:rPr>
                <w:rFonts w:hint="eastAsia" w:ascii="宋体" w:hAnsi="宋体" w:cs="宋体"/>
                <w:b/>
                <w:bCs/>
                <w:kern w:val="0"/>
                <w:sz w:val="16"/>
                <w:szCs w:val="16"/>
              </w:rPr>
              <w:t>）</w:t>
            </w:r>
          </w:p>
        </w:tc>
        <w:tc>
          <w:tcPr>
            <w:tcW w:w="1120" w:type="dxa"/>
            <w:vMerge w:val="continue"/>
            <w:noWrap w:val="0"/>
            <w:vAlign w:val="center"/>
          </w:tcPr>
          <w:p w14:paraId="58F81235">
            <w:pPr>
              <w:widowControl/>
              <w:jc w:val="left"/>
              <w:rPr>
                <w:rFonts w:ascii="宋体" w:hAnsi="宋体" w:cs="宋体"/>
                <w:b/>
                <w:bCs/>
                <w:kern w:val="0"/>
                <w:sz w:val="18"/>
                <w:szCs w:val="18"/>
              </w:rPr>
            </w:pPr>
          </w:p>
        </w:tc>
        <w:tc>
          <w:tcPr>
            <w:tcW w:w="1106" w:type="dxa"/>
            <w:vMerge w:val="continue"/>
            <w:noWrap w:val="0"/>
            <w:vAlign w:val="center"/>
          </w:tcPr>
          <w:p w14:paraId="6FDAC0D3">
            <w:pPr>
              <w:widowControl/>
              <w:jc w:val="left"/>
              <w:rPr>
                <w:rFonts w:ascii="宋体" w:hAnsi="宋体" w:cs="宋体"/>
                <w:b/>
                <w:bCs/>
                <w:kern w:val="0"/>
                <w:sz w:val="20"/>
                <w:szCs w:val="20"/>
              </w:rPr>
            </w:pPr>
          </w:p>
        </w:tc>
        <w:tc>
          <w:tcPr>
            <w:tcW w:w="1161" w:type="dxa"/>
            <w:vMerge w:val="continue"/>
            <w:noWrap w:val="0"/>
            <w:vAlign w:val="center"/>
          </w:tcPr>
          <w:p w14:paraId="2998866A">
            <w:pPr>
              <w:widowControl/>
              <w:jc w:val="left"/>
              <w:rPr>
                <w:rFonts w:ascii="宋体" w:hAnsi="宋体" w:cs="宋体"/>
                <w:b/>
                <w:bCs/>
                <w:kern w:val="0"/>
                <w:sz w:val="20"/>
                <w:szCs w:val="20"/>
              </w:rPr>
            </w:pPr>
          </w:p>
        </w:tc>
      </w:tr>
      <w:tr w14:paraId="717F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0E37131D">
            <w:pPr>
              <w:widowControl/>
              <w:jc w:val="center"/>
              <w:rPr>
                <w:rFonts w:ascii="宋体" w:hAnsi="宋体" w:cs="宋体"/>
                <w:kern w:val="0"/>
                <w:sz w:val="16"/>
                <w:szCs w:val="16"/>
              </w:rPr>
            </w:pPr>
            <w:r>
              <w:rPr>
                <w:rFonts w:hint="eastAsia" w:ascii="宋体" w:hAnsi="宋体" w:cs="宋体"/>
                <w:kern w:val="0"/>
                <w:sz w:val="16"/>
                <w:szCs w:val="16"/>
              </w:rPr>
              <w:t>一</w:t>
            </w:r>
          </w:p>
        </w:tc>
        <w:tc>
          <w:tcPr>
            <w:tcW w:w="2040" w:type="dxa"/>
            <w:noWrap w:val="0"/>
            <w:vAlign w:val="center"/>
          </w:tcPr>
          <w:p w14:paraId="1DD36D88">
            <w:pPr>
              <w:widowControl/>
              <w:jc w:val="left"/>
              <w:rPr>
                <w:rFonts w:ascii="宋体" w:hAnsi="宋体" w:cs="宋体"/>
                <w:kern w:val="0"/>
                <w:sz w:val="16"/>
                <w:szCs w:val="16"/>
              </w:rPr>
            </w:pPr>
            <w:r>
              <w:rPr>
                <w:rFonts w:hint="eastAsia" w:ascii="宋体" w:hAnsi="宋体" w:cs="宋体"/>
                <w:kern w:val="0"/>
                <w:sz w:val="16"/>
                <w:szCs w:val="16"/>
              </w:rPr>
              <w:t>11015工作面及运输顺槽</w:t>
            </w:r>
          </w:p>
        </w:tc>
        <w:tc>
          <w:tcPr>
            <w:tcW w:w="706" w:type="dxa"/>
            <w:noWrap w:val="0"/>
            <w:vAlign w:val="center"/>
          </w:tcPr>
          <w:p w14:paraId="5B259ACE">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0FE0185">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2F635F98">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312D2EEC">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197F3970">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FA9DBCA">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242BB5D6">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02BE7BBE">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5D8C69FA">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0D47EB2C">
            <w:pPr>
              <w:widowControl/>
              <w:jc w:val="center"/>
              <w:rPr>
                <w:kern w:val="0"/>
                <w:sz w:val="16"/>
                <w:szCs w:val="16"/>
              </w:rPr>
            </w:pPr>
            <w:r>
              <w:rPr>
                <w:kern w:val="0"/>
                <w:sz w:val="16"/>
                <w:szCs w:val="16"/>
              </w:rPr>
              <w:t>　</w:t>
            </w:r>
          </w:p>
        </w:tc>
        <w:tc>
          <w:tcPr>
            <w:tcW w:w="857" w:type="dxa"/>
            <w:noWrap w:val="0"/>
            <w:vAlign w:val="center"/>
          </w:tcPr>
          <w:p w14:paraId="5A0C085E">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6EE5B7F7">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AD17880">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147DF043">
            <w:pPr>
              <w:widowControl/>
              <w:jc w:val="left"/>
              <w:rPr>
                <w:rFonts w:ascii="宋体" w:hAnsi="宋体" w:cs="宋体"/>
                <w:kern w:val="0"/>
                <w:sz w:val="20"/>
                <w:szCs w:val="20"/>
              </w:rPr>
            </w:pPr>
            <w:r>
              <w:rPr>
                <w:rFonts w:hint="eastAsia" w:ascii="宋体" w:hAnsi="宋体" w:cs="宋体"/>
                <w:kern w:val="0"/>
                <w:sz w:val="20"/>
                <w:szCs w:val="20"/>
              </w:rPr>
              <w:t>　</w:t>
            </w:r>
          </w:p>
        </w:tc>
      </w:tr>
      <w:tr w14:paraId="32FF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1FF55E18">
            <w:pPr>
              <w:widowControl/>
              <w:jc w:val="center"/>
              <w:rPr>
                <w:rFonts w:ascii="宋体" w:hAnsi="宋体" w:cs="宋体"/>
                <w:kern w:val="0"/>
                <w:sz w:val="16"/>
                <w:szCs w:val="16"/>
              </w:rPr>
            </w:pPr>
            <w:r>
              <w:rPr>
                <w:rFonts w:hint="eastAsia" w:ascii="宋体" w:hAnsi="宋体" w:cs="宋体"/>
                <w:kern w:val="0"/>
                <w:sz w:val="16"/>
                <w:szCs w:val="16"/>
              </w:rPr>
              <w:t>1</w:t>
            </w:r>
          </w:p>
        </w:tc>
        <w:tc>
          <w:tcPr>
            <w:tcW w:w="2040" w:type="dxa"/>
            <w:noWrap w:val="0"/>
            <w:vAlign w:val="center"/>
          </w:tcPr>
          <w:p w14:paraId="20EC201D">
            <w:pPr>
              <w:widowControl/>
              <w:jc w:val="left"/>
              <w:rPr>
                <w:rFonts w:ascii="宋体" w:hAnsi="宋体" w:cs="宋体"/>
                <w:kern w:val="0"/>
                <w:sz w:val="16"/>
                <w:szCs w:val="16"/>
              </w:rPr>
            </w:pPr>
            <w:r>
              <w:rPr>
                <w:rFonts w:hint="eastAsia" w:ascii="宋体" w:hAnsi="宋体" w:cs="宋体"/>
                <w:kern w:val="0"/>
                <w:sz w:val="16"/>
                <w:szCs w:val="16"/>
              </w:rPr>
              <w:t>采煤机</w:t>
            </w:r>
          </w:p>
        </w:tc>
        <w:tc>
          <w:tcPr>
            <w:tcW w:w="706" w:type="dxa"/>
            <w:noWrap w:val="0"/>
            <w:vAlign w:val="center"/>
          </w:tcPr>
          <w:p w14:paraId="4096C8C2">
            <w:pPr>
              <w:widowControl/>
              <w:jc w:val="center"/>
              <w:rPr>
                <w:rFonts w:ascii="宋体" w:hAnsi="宋体" w:cs="宋体"/>
                <w:kern w:val="0"/>
                <w:sz w:val="16"/>
                <w:szCs w:val="16"/>
              </w:rPr>
            </w:pPr>
            <w:r>
              <w:rPr>
                <w:rFonts w:hint="eastAsia" w:ascii="宋体" w:hAnsi="宋体" w:cs="宋体"/>
                <w:kern w:val="0"/>
                <w:sz w:val="16"/>
                <w:szCs w:val="16"/>
              </w:rPr>
              <w:t>0.12</w:t>
            </w:r>
          </w:p>
        </w:tc>
        <w:tc>
          <w:tcPr>
            <w:tcW w:w="700" w:type="dxa"/>
            <w:noWrap w:val="0"/>
            <w:vAlign w:val="center"/>
          </w:tcPr>
          <w:p w14:paraId="079A8D8F">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22ACA629">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33403EFC">
            <w:pPr>
              <w:widowControl/>
              <w:jc w:val="center"/>
              <w:rPr>
                <w:rFonts w:ascii="宋体" w:hAnsi="宋体" w:cs="宋体"/>
                <w:kern w:val="0"/>
                <w:sz w:val="16"/>
                <w:szCs w:val="16"/>
              </w:rPr>
            </w:pPr>
            <w:r>
              <w:rPr>
                <w:rFonts w:hint="eastAsia" w:ascii="宋体" w:hAnsi="宋体" w:cs="宋体"/>
                <w:kern w:val="0"/>
                <w:sz w:val="16"/>
                <w:szCs w:val="16"/>
              </w:rPr>
              <w:t>320</w:t>
            </w:r>
          </w:p>
        </w:tc>
        <w:tc>
          <w:tcPr>
            <w:tcW w:w="786" w:type="dxa"/>
            <w:noWrap w:val="0"/>
            <w:vAlign w:val="center"/>
          </w:tcPr>
          <w:p w14:paraId="52E15F3C">
            <w:pPr>
              <w:widowControl/>
              <w:jc w:val="center"/>
              <w:rPr>
                <w:rFonts w:ascii="宋体" w:hAnsi="宋体" w:cs="宋体"/>
                <w:kern w:val="0"/>
                <w:sz w:val="16"/>
                <w:szCs w:val="16"/>
              </w:rPr>
            </w:pPr>
            <w:r>
              <w:rPr>
                <w:rFonts w:hint="eastAsia" w:ascii="宋体" w:hAnsi="宋体" w:cs="宋体"/>
                <w:kern w:val="0"/>
                <w:sz w:val="16"/>
                <w:szCs w:val="16"/>
              </w:rPr>
              <w:t>320</w:t>
            </w:r>
          </w:p>
        </w:tc>
        <w:tc>
          <w:tcPr>
            <w:tcW w:w="1080" w:type="dxa"/>
            <w:noWrap w:val="0"/>
            <w:vAlign w:val="center"/>
          </w:tcPr>
          <w:p w14:paraId="35794BFA">
            <w:pPr>
              <w:widowControl/>
              <w:jc w:val="center"/>
              <w:rPr>
                <w:rFonts w:ascii="宋体" w:hAnsi="宋体" w:cs="宋体"/>
                <w:kern w:val="0"/>
                <w:sz w:val="16"/>
                <w:szCs w:val="16"/>
              </w:rPr>
            </w:pPr>
            <w:r>
              <w:rPr>
                <w:rFonts w:hint="eastAsia" w:ascii="宋体" w:hAnsi="宋体" w:cs="宋体"/>
                <w:kern w:val="0"/>
                <w:sz w:val="16"/>
                <w:szCs w:val="16"/>
              </w:rPr>
              <w:t>0.7</w:t>
            </w:r>
          </w:p>
        </w:tc>
        <w:tc>
          <w:tcPr>
            <w:tcW w:w="640" w:type="dxa"/>
            <w:noWrap w:val="0"/>
            <w:vAlign w:val="center"/>
          </w:tcPr>
          <w:p w14:paraId="54A25644">
            <w:pPr>
              <w:widowControl/>
              <w:jc w:val="center"/>
              <w:rPr>
                <w:rFonts w:ascii="宋体" w:hAnsi="宋体" w:cs="宋体"/>
                <w:kern w:val="0"/>
                <w:sz w:val="16"/>
                <w:szCs w:val="16"/>
              </w:rPr>
            </w:pPr>
            <w:r>
              <w:rPr>
                <w:rFonts w:hint="eastAsia" w:ascii="宋体" w:hAnsi="宋体" w:cs="宋体"/>
                <w:kern w:val="0"/>
                <w:sz w:val="16"/>
                <w:szCs w:val="16"/>
              </w:rPr>
              <w:t>0.7</w:t>
            </w:r>
          </w:p>
        </w:tc>
        <w:tc>
          <w:tcPr>
            <w:tcW w:w="580" w:type="dxa"/>
            <w:noWrap w:val="0"/>
            <w:vAlign w:val="center"/>
          </w:tcPr>
          <w:p w14:paraId="1B322779">
            <w:pPr>
              <w:widowControl/>
              <w:jc w:val="center"/>
              <w:rPr>
                <w:rFonts w:ascii="宋体" w:hAnsi="宋体" w:cs="宋体"/>
                <w:kern w:val="0"/>
                <w:sz w:val="16"/>
                <w:szCs w:val="16"/>
              </w:rPr>
            </w:pPr>
            <w:r>
              <w:rPr>
                <w:rFonts w:hint="eastAsia" w:ascii="宋体" w:hAnsi="宋体" w:cs="宋体"/>
                <w:kern w:val="0"/>
                <w:sz w:val="16"/>
                <w:szCs w:val="16"/>
              </w:rPr>
              <w:t>1.02</w:t>
            </w:r>
          </w:p>
        </w:tc>
        <w:tc>
          <w:tcPr>
            <w:tcW w:w="786" w:type="dxa"/>
            <w:noWrap w:val="0"/>
            <w:vAlign w:val="center"/>
          </w:tcPr>
          <w:p w14:paraId="3D046F77">
            <w:pPr>
              <w:widowControl/>
              <w:jc w:val="center"/>
              <w:rPr>
                <w:rFonts w:ascii="宋体" w:hAnsi="宋体" w:cs="宋体"/>
                <w:kern w:val="0"/>
                <w:sz w:val="16"/>
                <w:szCs w:val="16"/>
              </w:rPr>
            </w:pPr>
            <w:r>
              <w:rPr>
                <w:rFonts w:hint="eastAsia" w:ascii="宋体" w:hAnsi="宋体" w:cs="宋体"/>
                <w:kern w:val="0"/>
                <w:sz w:val="16"/>
                <w:szCs w:val="16"/>
              </w:rPr>
              <w:t>224</w:t>
            </w:r>
          </w:p>
        </w:tc>
        <w:tc>
          <w:tcPr>
            <w:tcW w:w="892" w:type="dxa"/>
            <w:noWrap w:val="0"/>
            <w:vAlign w:val="center"/>
          </w:tcPr>
          <w:p w14:paraId="5833CF0A">
            <w:pPr>
              <w:widowControl/>
              <w:jc w:val="center"/>
              <w:rPr>
                <w:kern w:val="0"/>
                <w:sz w:val="16"/>
                <w:szCs w:val="16"/>
              </w:rPr>
            </w:pPr>
            <w:r>
              <w:rPr>
                <w:kern w:val="0"/>
                <w:sz w:val="16"/>
                <w:szCs w:val="16"/>
              </w:rPr>
              <w:t>228.48</w:t>
            </w:r>
          </w:p>
        </w:tc>
        <w:tc>
          <w:tcPr>
            <w:tcW w:w="857" w:type="dxa"/>
            <w:noWrap w:val="0"/>
            <w:vAlign w:val="center"/>
          </w:tcPr>
          <w:p w14:paraId="12B6DD21">
            <w:pPr>
              <w:widowControl/>
              <w:jc w:val="center"/>
              <w:rPr>
                <w:rFonts w:ascii="宋体" w:hAnsi="宋体" w:cs="宋体"/>
                <w:kern w:val="0"/>
                <w:sz w:val="16"/>
                <w:szCs w:val="16"/>
              </w:rPr>
            </w:pPr>
            <w:r>
              <w:rPr>
                <w:rFonts w:hint="eastAsia" w:ascii="宋体" w:hAnsi="宋体" w:cs="宋体"/>
                <w:kern w:val="0"/>
                <w:sz w:val="16"/>
                <w:szCs w:val="16"/>
              </w:rPr>
              <w:t>319.97</w:t>
            </w:r>
          </w:p>
        </w:tc>
        <w:tc>
          <w:tcPr>
            <w:tcW w:w="1120" w:type="dxa"/>
            <w:noWrap w:val="0"/>
            <w:vAlign w:val="center"/>
          </w:tcPr>
          <w:p w14:paraId="516864F4">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F6028A7">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293D3742">
            <w:pPr>
              <w:widowControl/>
              <w:jc w:val="left"/>
              <w:rPr>
                <w:rFonts w:ascii="宋体" w:hAnsi="宋体" w:cs="宋体"/>
                <w:kern w:val="0"/>
                <w:sz w:val="20"/>
                <w:szCs w:val="20"/>
              </w:rPr>
            </w:pPr>
            <w:r>
              <w:rPr>
                <w:rFonts w:hint="eastAsia" w:ascii="宋体" w:hAnsi="宋体" w:cs="宋体"/>
                <w:kern w:val="0"/>
                <w:sz w:val="20"/>
                <w:szCs w:val="20"/>
              </w:rPr>
              <w:t>　</w:t>
            </w:r>
          </w:p>
        </w:tc>
      </w:tr>
      <w:tr w14:paraId="551E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6899796B">
            <w:pPr>
              <w:widowControl/>
              <w:jc w:val="center"/>
              <w:rPr>
                <w:rFonts w:ascii="宋体" w:hAnsi="宋体" w:cs="宋体"/>
                <w:kern w:val="0"/>
                <w:sz w:val="16"/>
                <w:szCs w:val="16"/>
              </w:rPr>
            </w:pPr>
            <w:r>
              <w:rPr>
                <w:rFonts w:hint="eastAsia" w:ascii="宋体" w:hAnsi="宋体" w:cs="宋体"/>
                <w:kern w:val="0"/>
                <w:sz w:val="16"/>
                <w:szCs w:val="16"/>
              </w:rPr>
              <w:t>2</w:t>
            </w:r>
          </w:p>
        </w:tc>
        <w:tc>
          <w:tcPr>
            <w:tcW w:w="2040" w:type="dxa"/>
            <w:noWrap w:val="0"/>
            <w:vAlign w:val="center"/>
          </w:tcPr>
          <w:p w14:paraId="3EFF31E0">
            <w:pPr>
              <w:widowControl/>
              <w:jc w:val="left"/>
              <w:rPr>
                <w:rFonts w:ascii="宋体" w:hAnsi="宋体" w:cs="宋体"/>
                <w:kern w:val="0"/>
                <w:sz w:val="16"/>
                <w:szCs w:val="16"/>
              </w:rPr>
            </w:pPr>
            <w:r>
              <w:rPr>
                <w:rFonts w:hint="eastAsia" w:ascii="宋体" w:hAnsi="宋体" w:cs="宋体"/>
                <w:kern w:val="0"/>
                <w:sz w:val="16"/>
                <w:szCs w:val="16"/>
              </w:rPr>
              <w:t>刮板运输机</w:t>
            </w:r>
          </w:p>
        </w:tc>
        <w:tc>
          <w:tcPr>
            <w:tcW w:w="706" w:type="dxa"/>
            <w:noWrap w:val="0"/>
            <w:vAlign w:val="center"/>
          </w:tcPr>
          <w:p w14:paraId="00E95CE3">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605EC49E">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325B622E">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6B2922F6">
            <w:pPr>
              <w:widowControl/>
              <w:jc w:val="center"/>
              <w:rPr>
                <w:rFonts w:ascii="宋体" w:hAnsi="宋体" w:cs="宋体"/>
                <w:kern w:val="0"/>
                <w:sz w:val="16"/>
                <w:szCs w:val="16"/>
              </w:rPr>
            </w:pPr>
            <w:r>
              <w:rPr>
                <w:rFonts w:hint="eastAsia" w:ascii="宋体" w:hAnsi="宋体" w:cs="宋体"/>
                <w:kern w:val="0"/>
                <w:sz w:val="16"/>
                <w:szCs w:val="16"/>
              </w:rPr>
              <w:t>220</w:t>
            </w:r>
          </w:p>
        </w:tc>
        <w:tc>
          <w:tcPr>
            <w:tcW w:w="786" w:type="dxa"/>
            <w:noWrap w:val="0"/>
            <w:vAlign w:val="center"/>
          </w:tcPr>
          <w:p w14:paraId="618753C6">
            <w:pPr>
              <w:widowControl/>
              <w:jc w:val="center"/>
              <w:rPr>
                <w:rFonts w:ascii="宋体" w:hAnsi="宋体" w:cs="宋体"/>
                <w:kern w:val="0"/>
                <w:sz w:val="16"/>
                <w:szCs w:val="16"/>
              </w:rPr>
            </w:pPr>
            <w:r>
              <w:rPr>
                <w:rFonts w:hint="eastAsia" w:ascii="宋体" w:hAnsi="宋体" w:cs="宋体"/>
                <w:kern w:val="0"/>
                <w:sz w:val="16"/>
                <w:szCs w:val="16"/>
              </w:rPr>
              <w:t>220</w:t>
            </w:r>
          </w:p>
        </w:tc>
        <w:tc>
          <w:tcPr>
            <w:tcW w:w="1080" w:type="dxa"/>
            <w:noWrap w:val="0"/>
            <w:vAlign w:val="center"/>
          </w:tcPr>
          <w:p w14:paraId="68FDB773">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62D23CF7">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2D9693AC">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76E645EF">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6E282E82">
            <w:pPr>
              <w:widowControl/>
              <w:jc w:val="center"/>
              <w:rPr>
                <w:kern w:val="0"/>
                <w:sz w:val="16"/>
                <w:szCs w:val="16"/>
              </w:rPr>
            </w:pPr>
            <w:r>
              <w:rPr>
                <w:kern w:val="0"/>
                <w:sz w:val="16"/>
                <w:szCs w:val="16"/>
              </w:rPr>
              <w:t>　</w:t>
            </w:r>
          </w:p>
        </w:tc>
        <w:tc>
          <w:tcPr>
            <w:tcW w:w="857" w:type="dxa"/>
            <w:noWrap w:val="0"/>
            <w:vAlign w:val="center"/>
          </w:tcPr>
          <w:p w14:paraId="61F349C9">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287D4B85">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7503771">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36D1A19C">
            <w:pPr>
              <w:widowControl/>
              <w:jc w:val="left"/>
              <w:rPr>
                <w:rFonts w:ascii="宋体" w:hAnsi="宋体" w:cs="宋体"/>
                <w:kern w:val="0"/>
                <w:sz w:val="20"/>
                <w:szCs w:val="20"/>
              </w:rPr>
            </w:pPr>
            <w:r>
              <w:rPr>
                <w:rFonts w:hint="eastAsia" w:ascii="宋体" w:hAnsi="宋体" w:cs="宋体"/>
                <w:kern w:val="0"/>
                <w:sz w:val="20"/>
                <w:szCs w:val="20"/>
              </w:rPr>
              <w:t>　</w:t>
            </w:r>
          </w:p>
        </w:tc>
      </w:tr>
      <w:tr w14:paraId="31B6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64BCFF8E">
            <w:pPr>
              <w:widowControl/>
              <w:jc w:val="center"/>
              <w:rPr>
                <w:rFonts w:ascii="宋体" w:hAnsi="宋体" w:cs="宋体"/>
                <w:kern w:val="0"/>
                <w:sz w:val="16"/>
                <w:szCs w:val="16"/>
              </w:rPr>
            </w:pPr>
            <w:r>
              <w:rPr>
                <w:rFonts w:hint="eastAsia" w:ascii="宋体" w:hAnsi="宋体" w:cs="宋体"/>
                <w:kern w:val="0"/>
                <w:sz w:val="16"/>
                <w:szCs w:val="16"/>
              </w:rPr>
              <w:t>3</w:t>
            </w:r>
          </w:p>
        </w:tc>
        <w:tc>
          <w:tcPr>
            <w:tcW w:w="2040" w:type="dxa"/>
            <w:noWrap w:val="0"/>
            <w:vAlign w:val="center"/>
          </w:tcPr>
          <w:p w14:paraId="39DB0699">
            <w:pPr>
              <w:widowControl/>
              <w:jc w:val="left"/>
              <w:rPr>
                <w:rFonts w:ascii="宋体" w:hAnsi="宋体" w:cs="宋体"/>
                <w:kern w:val="0"/>
                <w:sz w:val="16"/>
                <w:szCs w:val="16"/>
              </w:rPr>
            </w:pPr>
            <w:r>
              <w:rPr>
                <w:rFonts w:hint="eastAsia" w:ascii="宋体" w:hAnsi="宋体" w:cs="宋体"/>
                <w:kern w:val="0"/>
                <w:sz w:val="16"/>
                <w:szCs w:val="16"/>
              </w:rPr>
              <w:t>乳化液泵</w:t>
            </w:r>
          </w:p>
        </w:tc>
        <w:tc>
          <w:tcPr>
            <w:tcW w:w="706" w:type="dxa"/>
            <w:noWrap w:val="0"/>
            <w:vAlign w:val="center"/>
          </w:tcPr>
          <w:p w14:paraId="5F3C9780">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8690CEB">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12308875">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443CD46D">
            <w:pPr>
              <w:widowControl/>
              <w:jc w:val="center"/>
              <w:rPr>
                <w:rFonts w:ascii="宋体" w:hAnsi="宋体" w:cs="宋体"/>
                <w:kern w:val="0"/>
                <w:sz w:val="16"/>
                <w:szCs w:val="16"/>
              </w:rPr>
            </w:pPr>
            <w:r>
              <w:rPr>
                <w:rFonts w:hint="eastAsia" w:ascii="宋体" w:hAnsi="宋体" w:cs="宋体"/>
                <w:kern w:val="0"/>
                <w:sz w:val="16"/>
                <w:szCs w:val="16"/>
              </w:rPr>
              <w:t>45</w:t>
            </w:r>
          </w:p>
        </w:tc>
        <w:tc>
          <w:tcPr>
            <w:tcW w:w="786" w:type="dxa"/>
            <w:noWrap w:val="0"/>
            <w:vAlign w:val="center"/>
          </w:tcPr>
          <w:p w14:paraId="137FFFDE">
            <w:pPr>
              <w:widowControl/>
              <w:jc w:val="center"/>
              <w:rPr>
                <w:rFonts w:ascii="宋体" w:hAnsi="宋体" w:cs="宋体"/>
                <w:kern w:val="0"/>
                <w:sz w:val="16"/>
                <w:szCs w:val="16"/>
              </w:rPr>
            </w:pPr>
            <w:r>
              <w:rPr>
                <w:rFonts w:hint="eastAsia" w:ascii="宋体" w:hAnsi="宋体" w:cs="宋体"/>
                <w:kern w:val="0"/>
                <w:sz w:val="16"/>
                <w:szCs w:val="16"/>
              </w:rPr>
              <w:t>45</w:t>
            </w:r>
          </w:p>
        </w:tc>
        <w:tc>
          <w:tcPr>
            <w:tcW w:w="1080" w:type="dxa"/>
            <w:noWrap w:val="0"/>
            <w:vAlign w:val="center"/>
          </w:tcPr>
          <w:p w14:paraId="6688C717">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1A300AA6">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61619780">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12CCF2C2">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2DD93124">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42C13EE9">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0D0F9DF2">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0B5F505">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F52886C">
            <w:pPr>
              <w:widowControl/>
              <w:jc w:val="left"/>
              <w:rPr>
                <w:rFonts w:ascii="宋体" w:hAnsi="宋体" w:cs="宋体"/>
                <w:kern w:val="0"/>
                <w:sz w:val="20"/>
                <w:szCs w:val="20"/>
              </w:rPr>
            </w:pPr>
            <w:r>
              <w:rPr>
                <w:rFonts w:hint="eastAsia" w:ascii="宋体" w:hAnsi="宋体" w:cs="宋体"/>
                <w:kern w:val="0"/>
                <w:sz w:val="20"/>
                <w:szCs w:val="20"/>
              </w:rPr>
              <w:t>　</w:t>
            </w:r>
          </w:p>
        </w:tc>
      </w:tr>
      <w:tr w14:paraId="539F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52D0D543">
            <w:pPr>
              <w:widowControl/>
              <w:jc w:val="center"/>
              <w:rPr>
                <w:rFonts w:ascii="宋体" w:hAnsi="宋体" w:cs="宋体"/>
                <w:kern w:val="0"/>
                <w:sz w:val="16"/>
                <w:szCs w:val="16"/>
              </w:rPr>
            </w:pPr>
            <w:r>
              <w:rPr>
                <w:rFonts w:hint="eastAsia" w:ascii="宋体" w:hAnsi="宋体" w:cs="宋体"/>
                <w:kern w:val="0"/>
                <w:sz w:val="16"/>
                <w:szCs w:val="16"/>
              </w:rPr>
              <w:t>4</w:t>
            </w:r>
          </w:p>
        </w:tc>
        <w:tc>
          <w:tcPr>
            <w:tcW w:w="2040" w:type="dxa"/>
            <w:noWrap w:val="0"/>
            <w:vAlign w:val="center"/>
          </w:tcPr>
          <w:p w14:paraId="07BB8A11">
            <w:pPr>
              <w:widowControl/>
              <w:jc w:val="left"/>
              <w:rPr>
                <w:rFonts w:ascii="宋体" w:hAnsi="宋体" w:cs="宋体"/>
                <w:kern w:val="0"/>
                <w:sz w:val="16"/>
                <w:szCs w:val="16"/>
              </w:rPr>
            </w:pPr>
            <w:r>
              <w:rPr>
                <w:rFonts w:hint="eastAsia" w:ascii="宋体" w:hAnsi="宋体" w:cs="宋体"/>
                <w:kern w:val="0"/>
                <w:sz w:val="16"/>
                <w:szCs w:val="16"/>
              </w:rPr>
              <w:t>刮板转载机</w:t>
            </w:r>
          </w:p>
        </w:tc>
        <w:tc>
          <w:tcPr>
            <w:tcW w:w="706" w:type="dxa"/>
            <w:noWrap w:val="0"/>
            <w:vAlign w:val="center"/>
          </w:tcPr>
          <w:p w14:paraId="2D18944A">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0D61DD4C">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2F31BF7E">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3358F1C1">
            <w:pPr>
              <w:widowControl/>
              <w:jc w:val="center"/>
              <w:rPr>
                <w:rFonts w:ascii="宋体" w:hAnsi="宋体" w:cs="宋体"/>
                <w:kern w:val="0"/>
                <w:sz w:val="16"/>
                <w:szCs w:val="16"/>
              </w:rPr>
            </w:pPr>
            <w:r>
              <w:rPr>
                <w:rFonts w:hint="eastAsia" w:ascii="宋体" w:hAnsi="宋体" w:cs="宋体"/>
                <w:kern w:val="0"/>
                <w:sz w:val="16"/>
                <w:szCs w:val="16"/>
              </w:rPr>
              <w:t>40</w:t>
            </w:r>
          </w:p>
        </w:tc>
        <w:tc>
          <w:tcPr>
            <w:tcW w:w="786" w:type="dxa"/>
            <w:noWrap w:val="0"/>
            <w:vAlign w:val="center"/>
          </w:tcPr>
          <w:p w14:paraId="73614F0D">
            <w:pPr>
              <w:widowControl/>
              <w:jc w:val="center"/>
              <w:rPr>
                <w:rFonts w:ascii="宋体" w:hAnsi="宋体" w:cs="宋体"/>
                <w:kern w:val="0"/>
                <w:sz w:val="16"/>
                <w:szCs w:val="16"/>
              </w:rPr>
            </w:pPr>
            <w:r>
              <w:rPr>
                <w:rFonts w:hint="eastAsia" w:ascii="宋体" w:hAnsi="宋体" w:cs="宋体"/>
                <w:kern w:val="0"/>
                <w:sz w:val="16"/>
                <w:szCs w:val="16"/>
              </w:rPr>
              <w:t>40</w:t>
            </w:r>
          </w:p>
        </w:tc>
        <w:tc>
          <w:tcPr>
            <w:tcW w:w="1080" w:type="dxa"/>
            <w:noWrap w:val="0"/>
            <w:vAlign w:val="center"/>
          </w:tcPr>
          <w:p w14:paraId="6938D50F">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08F04A05">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38B484C6">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17DACC4E">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35192255">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5A743E4E">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78811DBC">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6632478">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0F52779D">
            <w:pPr>
              <w:widowControl/>
              <w:jc w:val="left"/>
              <w:rPr>
                <w:rFonts w:ascii="宋体" w:hAnsi="宋体" w:cs="宋体"/>
                <w:kern w:val="0"/>
                <w:sz w:val="20"/>
                <w:szCs w:val="20"/>
              </w:rPr>
            </w:pPr>
            <w:r>
              <w:rPr>
                <w:rFonts w:hint="eastAsia" w:ascii="宋体" w:hAnsi="宋体" w:cs="宋体"/>
                <w:kern w:val="0"/>
                <w:sz w:val="20"/>
                <w:szCs w:val="20"/>
              </w:rPr>
              <w:t>　</w:t>
            </w:r>
          </w:p>
        </w:tc>
      </w:tr>
      <w:tr w14:paraId="75E8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7D8785DD">
            <w:pPr>
              <w:widowControl/>
              <w:jc w:val="center"/>
              <w:rPr>
                <w:rFonts w:ascii="宋体" w:hAnsi="宋体" w:cs="宋体"/>
                <w:kern w:val="0"/>
                <w:sz w:val="16"/>
                <w:szCs w:val="16"/>
              </w:rPr>
            </w:pPr>
            <w:r>
              <w:rPr>
                <w:rFonts w:hint="eastAsia" w:ascii="宋体" w:hAnsi="宋体" w:cs="宋体"/>
                <w:kern w:val="0"/>
                <w:sz w:val="16"/>
                <w:szCs w:val="16"/>
              </w:rPr>
              <w:t>5</w:t>
            </w:r>
          </w:p>
        </w:tc>
        <w:tc>
          <w:tcPr>
            <w:tcW w:w="2040" w:type="dxa"/>
            <w:noWrap w:val="0"/>
            <w:vAlign w:val="center"/>
          </w:tcPr>
          <w:p w14:paraId="7926F6D3">
            <w:pPr>
              <w:widowControl/>
              <w:jc w:val="left"/>
              <w:rPr>
                <w:rFonts w:ascii="宋体" w:hAnsi="宋体" w:cs="宋体"/>
                <w:kern w:val="0"/>
                <w:sz w:val="16"/>
                <w:szCs w:val="16"/>
              </w:rPr>
            </w:pPr>
            <w:r>
              <w:rPr>
                <w:rFonts w:hint="eastAsia" w:ascii="宋体" w:hAnsi="宋体" w:cs="宋体"/>
                <w:kern w:val="0"/>
                <w:sz w:val="16"/>
                <w:szCs w:val="16"/>
              </w:rPr>
              <w:t>污水泵</w:t>
            </w:r>
          </w:p>
        </w:tc>
        <w:tc>
          <w:tcPr>
            <w:tcW w:w="706" w:type="dxa"/>
            <w:noWrap w:val="0"/>
            <w:vAlign w:val="center"/>
          </w:tcPr>
          <w:p w14:paraId="6FA27335">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5709C860">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051DC3BF">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6CDC34B3">
            <w:pPr>
              <w:widowControl/>
              <w:jc w:val="center"/>
              <w:rPr>
                <w:rFonts w:ascii="宋体" w:hAnsi="宋体" w:cs="宋体"/>
                <w:kern w:val="0"/>
                <w:sz w:val="16"/>
                <w:szCs w:val="16"/>
              </w:rPr>
            </w:pPr>
            <w:r>
              <w:rPr>
                <w:rFonts w:hint="eastAsia" w:ascii="宋体" w:hAnsi="宋体" w:cs="宋体"/>
                <w:kern w:val="0"/>
                <w:sz w:val="16"/>
                <w:szCs w:val="16"/>
              </w:rPr>
              <w:t>4.4</w:t>
            </w:r>
          </w:p>
        </w:tc>
        <w:tc>
          <w:tcPr>
            <w:tcW w:w="786" w:type="dxa"/>
            <w:noWrap w:val="0"/>
            <w:vAlign w:val="center"/>
          </w:tcPr>
          <w:p w14:paraId="1506C14D">
            <w:pPr>
              <w:widowControl/>
              <w:jc w:val="center"/>
              <w:rPr>
                <w:rFonts w:ascii="宋体" w:hAnsi="宋体" w:cs="宋体"/>
                <w:kern w:val="0"/>
                <w:sz w:val="16"/>
                <w:szCs w:val="16"/>
              </w:rPr>
            </w:pPr>
            <w:r>
              <w:rPr>
                <w:rFonts w:hint="eastAsia" w:ascii="宋体" w:hAnsi="宋体" w:cs="宋体"/>
                <w:kern w:val="0"/>
                <w:sz w:val="16"/>
                <w:szCs w:val="16"/>
              </w:rPr>
              <w:t>2.2</w:t>
            </w:r>
          </w:p>
        </w:tc>
        <w:tc>
          <w:tcPr>
            <w:tcW w:w="1080" w:type="dxa"/>
            <w:noWrap w:val="0"/>
            <w:vAlign w:val="center"/>
          </w:tcPr>
          <w:p w14:paraId="7E052078">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0E41A2F5">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218950B2">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6D4EF4EB">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5DEE1A14">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62284FB9">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18DE787F">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FCEBC65">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0ADD2BD">
            <w:pPr>
              <w:widowControl/>
              <w:jc w:val="left"/>
              <w:rPr>
                <w:rFonts w:ascii="宋体" w:hAnsi="宋体" w:cs="宋体"/>
                <w:kern w:val="0"/>
                <w:sz w:val="20"/>
                <w:szCs w:val="20"/>
              </w:rPr>
            </w:pPr>
            <w:r>
              <w:rPr>
                <w:rFonts w:hint="eastAsia" w:ascii="宋体" w:hAnsi="宋体" w:cs="宋体"/>
                <w:kern w:val="0"/>
                <w:sz w:val="20"/>
                <w:szCs w:val="20"/>
              </w:rPr>
              <w:t>　</w:t>
            </w:r>
          </w:p>
        </w:tc>
      </w:tr>
      <w:tr w14:paraId="553D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41D0573E">
            <w:pPr>
              <w:widowControl/>
              <w:jc w:val="center"/>
              <w:rPr>
                <w:rFonts w:ascii="宋体" w:hAnsi="宋体" w:cs="宋体"/>
                <w:kern w:val="0"/>
                <w:sz w:val="16"/>
                <w:szCs w:val="16"/>
              </w:rPr>
            </w:pPr>
            <w:r>
              <w:rPr>
                <w:rFonts w:hint="eastAsia" w:ascii="宋体" w:hAnsi="宋体" w:cs="宋体"/>
                <w:kern w:val="0"/>
                <w:sz w:val="16"/>
                <w:szCs w:val="16"/>
              </w:rPr>
              <w:t>6</w:t>
            </w:r>
          </w:p>
        </w:tc>
        <w:tc>
          <w:tcPr>
            <w:tcW w:w="2040" w:type="dxa"/>
            <w:noWrap w:val="0"/>
            <w:vAlign w:val="center"/>
          </w:tcPr>
          <w:p w14:paraId="2DFF0C1E">
            <w:pPr>
              <w:widowControl/>
              <w:jc w:val="left"/>
              <w:rPr>
                <w:rFonts w:ascii="宋体" w:hAnsi="宋体" w:cs="宋体"/>
                <w:kern w:val="0"/>
                <w:sz w:val="16"/>
                <w:szCs w:val="16"/>
              </w:rPr>
            </w:pPr>
            <w:r>
              <w:rPr>
                <w:rFonts w:hint="eastAsia" w:ascii="宋体" w:hAnsi="宋体" w:cs="宋体"/>
                <w:kern w:val="0"/>
                <w:sz w:val="16"/>
                <w:szCs w:val="16"/>
              </w:rPr>
              <w:t>胶带机</w:t>
            </w:r>
          </w:p>
        </w:tc>
        <w:tc>
          <w:tcPr>
            <w:tcW w:w="706" w:type="dxa"/>
            <w:noWrap w:val="0"/>
            <w:vAlign w:val="center"/>
          </w:tcPr>
          <w:p w14:paraId="7CA1F764">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3E90B0DB">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3B0118A9">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24A1410B">
            <w:pPr>
              <w:widowControl/>
              <w:jc w:val="center"/>
              <w:rPr>
                <w:rFonts w:ascii="宋体" w:hAnsi="宋体" w:cs="宋体"/>
                <w:kern w:val="0"/>
                <w:sz w:val="16"/>
                <w:szCs w:val="16"/>
              </w:rPr>
            </w:pPr>
            <w:r>
              <w:rPr>
                <w:rFonts w:hint="eastAsia" w:ascii="宋体" w:hAnsi="宋体" w:cs="宋体"/>
                <w:kern w:val="0"/>
                <w:sz w:val="16"/>
                <w:szCs w:val="16"/>
              </w:rPr>
              <w:t>55</w:t>
            </w:r>
          </w:p>
        </w:tc>
        <w:tc>
          <w:tcPr>
            <w:tcW w:w="786" w:type="dxa"/>
            <w:noWrap w:val="0"/>
            <w:vAlign w:val="center"/>
          </w:tcPr>
          <w:p w14:paraId="2D14F46B">
            <w:pPr>
              <w:widowControl/>
              <w:jc w:val="center"/>
              <w:rPr>
                <w:rFonts w:ascii="宋体" w:hAnsi="宋体" w:cs="宋体"/>
                <w:kern w:val="0"/>
                <w:sz w:val="16"/>
                <w:szCs w:val="16"/>
              </w:rPr>
            </w:pPr>
            <w:r>
              <w:rPr>
                <w:rFonts w:hint="eastAsia" w:ascii="宋体" w:hAnsi="宋体" w:cs="宋体"/>
                <w:kern w:val="0"/>
                <w:sz w:val="16"/>
                <w:szCs w:val="16"/>
              </w:rPr>
              <w:t>55</w:t>
            </w:r>
          </w:p>
        </w:tc>
        <w:tc>
          <w:tcPr>
            <w:tcW w:w="1080" w:type="dxa"/>
            <w:noWrap w:val="0"/>
            <w:vAlign w:val="center"/>
          </w:tcPr>
          <w:p w14:paraId="381487F7">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3246C3FB">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37EA2695">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12A3B2CA">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B29C4EF">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17A56AB3">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1DCB659">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1355109E">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6F2FF919">
            <w:pPr>
              <w:widowControl/>
              <w:jc w:val="left"/>
              <w:rPr>
                <w:rFonts w:ascii="宋体" w:hAnsi="宋体" w:cs="宋体"/>
                <w:kern w:val="0"/>
                <w:sz w:val="20"/>
                <w:szCs w:val="20"/>
              </w:rPr>
            </w:pPr>
            <w:r>
              <w:rPr>
                <w:rFonts w:hint="eastAsia" w:ascii="宋体" w:hAnsi="宋体" w:cs="宋体"/>
                <w:kern w:val="0"/>
                <w:sz w:val="20"/>
                <w:szCs w:val="20"/>
              </w:rPr>
              <w:t>　</w:t>
            </w:r>
          </w:p>
        </w:tc>
      </w:tr>
      <w:tr w14:paraId="5321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7A27355D">
            <w:pPr>
              <w:widowControl/>
              <w:jc w:val="center"/>
              <w:rPr>
                <w:rFonts w:ascii="宋体" w:hAnsi="宋体" w:cs="宋体"/>
                <w:kern w:val="0"/>
                <w:sz w:val="16"/>
                <w:szCs w:val="16"/>
              </w:rPr>
            </w:pPr>
            <w:r>
              <w:rPr>
                <w:rFonts w:hint="eastAsia" w:ascii="宋体" w:hAnsi="宋体" w:cs="宋体"/>
                <w:kern w:val="0"/>
                <w:sz w:val="16"/>
                <w:szCs w:val="16"/>
              </w:rPr>
              <w:t>7</w:t>
            </w:r>
          </w:p>
        </w:tc>
        <w:tc>
          <w:tcPr>
            <w:tcW w:w="2040" w:type="dxa"/>
            <w:noWrap w:val="0"/>
            <w:vAlign w:val="center"/>
          </w:tcPr>
          <w:p w14:paraId="7288F9FB">
            <w:pPr>
              <w:widowControl/>
              <w:jc w:val="left"/>
              <w:rPr>
                <w:rFonts w:ascii="宋体" w:hAnsi="宋体" w:cs="宋体"/>
                <w:kern w:val="0"/>
                <w:sz w:val="16"/>
                <w:szCs w:val="16"/>
              </w:rPr>
            </w:pPr>
            <w:r>
              <w:rPr>
                <w:rFonts w:hint="eastAsia" w:ascii="宋体" w:hAnsi="宋体" w:cs="宋体"/>
                <w:kern w:val="0"/>
                <w:sz w:val="16"/>
                <w:szCs w:val="16"/>
              </w:rPr>
              <w:t>回柱绞车</w:t>
            </w:r>
          </w:p>
        </w:tc>
        <w:tc>
          <w:tcPr>
            <w:tcW w:w="706" w:type="dxa"/>
            <w:noWrap w:val="0"/>
            <w:vAlign w:val="center"/>
          </w:tcPr>
          <w:p w14:paraId="38704E5B">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693301BD">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793CA17D">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11FC42D3">
            <w:pPr>
              <w:widowControl/>
              <w:jc w:val="center"/>
              <w:rPr>
                <w:rFonts w:ascii="宋体" w:hAnsi="宋体" w:cs="宋体"/>
                <w:kern w:val="0"/>
                <w:sz w:val="16"/>
                <w:szCs w:val="16"/>
              </w:rPr>
            </w:pPr>
            <w:r>
              <w:rPr>
                <w:rFonts w:hint="eastAsia" w:ascii="宋体" w:hAnsi="宋体" w:cs="宋体"/>
                <w:kern w:val="0"/>
                <w:sz w:val="16"/>
                <w:szCs w:val="16"/>
              </w:rPr>
              <w:t>17</w:t>
            </w:r>
          </w:p>
        </w:tc>
        <w:tc>
          <w:tcPr>
            <w:tcW w:w="786" w:type="dxa"/>
            <w:noWrap w:val="0"/>
            <w:vAlign w:val="center"/>
          </w:tcPr>
          <w:p w14:paraId="3A9BB30C">
            <w:pPr>
              <w:widowControl/>
              <w:jc w:val="center"/>
              <w:rPr>
                <w:rFonts w:ascii="宋体" w:hAnsi="宋体" w:cs="宋体"/>
                <w:kern w:val="0"/>
                <w:sz w:val="16"/>
                <w:szCs w:val="16"/>
              </w:rPr>
            </w:pPr>
            <w:r>
              <w:rPr>
                <w:rFonts w:hint="eastAsia" w:ascii="宋体" w:hAnsi="宋体" w:cs="宋体"/>
                <w:kern w:val="0"/>
                <w:sz w:val="16"/>
                <w:szCs w:val="16"/>
              </w:rPr>
              <w:t>17</w:t>
            </w:r>
          </w:p>
        </w:tc>
        <w:tc>
          <w:tcPr>
            <w:tcW w:w="1080" w:type="dxa"/>
            <w:noWrap w:val="0"/>
            <w:vAlign w:val="center"/>
          </w:tcPr>
          <w:p w14:paraId="606FD1DF">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20392533">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5C1D5044">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24A53EFB">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55B9CF1">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75EEED02">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30DD73A3">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0B3E1544">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CB32979">
            <w:pPr>
              <w:widowControl/>
              <w:jc w:val="left"/>
              <w:rPr>
                <w:rFonts w:ascii="宋体" w:hAnsi="宋体" w:cs="宋体"/>
                <w:kern w:val="0"/>
                <w:sz w:val="20"/>
                <w:szCs w:val="20"/>
              </w:rPr>
            </w:pPr>
            <w:r>
              <w:rPr>
                <w:rFonts w:hint="eastAsia" w:ascii="宋体" w:hAnsi="宋体" w:cs="宋体"/>
                <w:kern w:val="0"/>
                <w:sz w:val="20"/>
                <w:szCs w:val="20"/>
              </w:rPr>
              <w:t>　</w:t>
            </w:r>
          </w:p>
        </w:tc>
      </w:tr>
      <w:tr w14:paraId="548F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2E3BF290">
            <w:pPr>
              <w:widowControl/>
              <w:jc w:val="center"/>
              <w:rPr>
                <w:rFonts w:ascii="宋体" w:hAnsi="宋体" w:cs="宋体"/>
                <w:kern w:val="0"/>
                <w:sz w:val="16"/>
                <w:szCs w:val="16"/>
              </w:rPr>
            </w:pPr>
            <w:r>
              <w:rPr>
                <w:rFonts w:hint="eastAsia" w:ascii="宋体" w:hAnsi="宋体" w:cs="宋体"/>
                <w:kern w:val="0"/>
                <w:sz w:val="16"/>
                <w:szCs w:val="16"/>
              </w:rPr>
              <w:t>8</w:t>
            </w:r>
          </w:p>
        </w:tc>
        <w:tc>
          <w:tcPr>
            <w:tcW w:w="2040" w:type="dxa"/>
            <w:noWrap w:val="0"/>
            <w:vAlign w:val="center"/>
          </w:tcPr>
          <w:p w14:paraId="7391B792">
            <w:pPr>
              <w:widowControl/>
              <w:jc w:val="left"/>
              <w:rPr>
                <w:rFonts w:ascii="宋体" w:hAnsi="宋体" w:cs="宋体"/>
                <w:kern w:val="0"/>
                <w:sz w:val="16"/>
                <w:szCs w:val="16"/>
              </w:rPr>
            </w:pPr>
            <w:r>
              <w:rPr>
                <w:rFonts w:hint="eastAsia" w:ascii="宋体" w:hAnsi="宋体" w:cs="宋体"/>
                <w:kern w:val="0"/>
                <w:sz w:val="16"/>
                <w:szCs w:val="16"/>
              </w:rPr>
              <w:t>喷雾泵</w:t>
            </w:r>
          </w:p>
        </w:tc>
        <w:tc>
          <w:tcPr>
            <w:tcW w:w="706" w:type="dxa"/>
            <w:noWrap w:val="0"/>
            <w:vAlign w:val="center"/>
          </w:tcPr>
          <w:p w14:paraId="552A2988">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11D6C4C9">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61D8141F">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4C2C59D0">
            <w:pPr>
              <w:widowControl/>
              <w:jc w:val="center"/>
              <w:rPr>
                <w:rFonts w:ascii="宋体" w:hAnsi="宋体" w:cs="宋体"/>
                <w:kern w:val="0"/>
                <w:sz w:val="16"/>
                <w:szCs w:val="16"/>
              </w:rPr>
            </w:pPr>
            <w:r>
              <w:rPr>
                <w:rFonts w:hint="eastAsia" w:ascii="宋体" w:hAnsi="宋体" w:cs="宋体"/>
                <w:kern w:val="0"/>
                <w:sz w:val="16"/>
                <w:szCs w:val="16"/>
              </w:rPr>
              <w:t>15</w:t>
            </w:r>
          </w:p>
        </w:tc>
        <w:tc>
          <w:tcPr>
            <w:tcW w:w="786" w:type="dxa"/>
            <w:noWrap w:val="0"/>
            <w:vAlign w:val="center"/>
          </w:tcPr>
          <w:p w14:paraId="6DF7EBDB">
            <w:pPr>
              <w:widowControl/>
              <w:jc w:val="center"/>
              <w:rPr>
                <w:rFonts w:ascii="宋体" w:hAnsi="宋体" w:cs="宋体"/>
                <w:kern w:val="0"/>
                <w:sz w:val="16"/>
                <w:szCs w:val="16"/>
              </w:rPr>
            </w:pPr>
            <w:r>
              <w:rPr>
                <w:rFonts w:hint="eastAsia" w:ascii="宋体" w:hAnsi="宋体" w:cs="宋体"/>
                <w:kern w:val="0"/>
                <w:sz w:val="16"/>
                <w:szCs w:val="16"/>
              </w:rPr>
              <w:t>15</w:t>
            </w:r>
          </w:p>
        </w:tc>
        <w:tc>
          <w:tcPr>
            <w:tcW w:w="1080" w:type="dxa"/>
            <w:noWrap w:val="0"/>
            <w:vAlign w:val="center"/>
          </w:tcPr>
          <w:p w14:paraId="4E0ADE3E">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7D741AFC">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512FF5B5">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408AD912">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30A540F7">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627A8C72">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1F9CD8AC">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729991C">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5500D00E">
            <w:pPr>
              <w:widowControl/>
              <w:jc w:val="left"/>
              <w:rPr>
                <w:rFonts w:ascii="宋体" w:hAnsi="宋体" w:cs="宋体"/>
                <w:kern w:val="0"/>
                <w:sz w:val="20"/>
                <w:szCs w:val="20"/>
              </w:rPr>
            </w:pPr>
            <w:r>
              <w:rPr>
                <w:rFonts w:hint="eastAsia" w:ascii="宋体" w:hAnsi="宋体" w:cs="宋体"/>
                <w:kern w:val="0"/>
                <w:sz w:val="20"/>
                <w:szCs w:val="20"/>
              </w:rPr>
              <w:t>　</w:t>
            </w:r>
          </w:p>
        </w:tc>
      </w:tr>
      <w:tr w14:paraId="2B07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414BE183">
            <w:pPr>
              <w:widowControl/>
              <w:jc w:val="center"/>
              <w:rPr>
                <w:rFonts w:ascii="宋体" w:hAnsi="宋体" w:cs="宋体"/>
                <w:kern w:val="0"/>
                <w:sz w:val="16"/>
                <w:szCs w:val="16"/>
              </w:rPr>
            </w:pPr>
            <w:r>
              <w:rPr>
                <w:rFonts w:hint="eastAsia" w:ascii="宋体" w:hAnsi="宋体" w:cs="宋体"/>
                <w:kern w:val="0"/>
                <w:sz w:val="16"/>
                <w:szCs w:val="16"/>
              </w:rPr>
              <w:t>9</w:t>
            </w:r>
          </w:p>
        </w:tc>
        <w:tc>
          <w:tcPr>
            <w:tcW w:w="2040" w:type="dxa"/>
            <w:noWrap w:val="0"/>
            <w:vAlign w:val="center"/>
          </w:tcPr>
          <w:p w14:paraId="0EFCDFEE">
            <w:pPr>
              <w:widowControl/>
              <w:jc w:val="left"/>
              <w:rPr>
                <w:rFonts w:ascii="宋体" w:hAnsi="宋体" w:cs="宋体"/>
                <w:kern w:val="0"/>
                <w:sz w:val="16"/>
                <w:szCs w:val="16"/>
              </w:rPr>
            </w:pPr>
            <w:r>
              <w:rPr>
                <w:rFonts w:hint="eastAsia" w:ascii="宋体" w:hAnsi="宋体" w:cs="宋体"/>
                <w:kern w:val="0"/>
                <w:sz w:val="16"/>
                <w:szCs w:val="16"/>
              </w:rPr>
              <w:t>安全钻机</w:t>
            </w:r>
          </w:p>
        </w:tc>
        <w:tc>
          <w:tcPr>
            <w:tcW w:w="706" w:type="dxa"/>
            <w:noWrap w:val="0"/>
            <w:vAlign w:val="center"/>
          </w:tcPr>
          <w:p w14:paraId="5F3EDC68">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EF8C8F0">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7C25A84A">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38C3F745">
            <w:pPr>
              <w:widowControl/>
              <w:jc w:val="center"/>
              <w:rPr>
                <w:rFonts w:ascii="宋体" w:hAnsi="宋体" w:cs="宋体"/>
                <w:kern w:val="0"/>
                <w:sz w:val="16"/>
                <w:szCs w:val="16"/>
              </w:rPr>
            </w:pPr>
            <w:r>
              <w:rPr>
                <w:rFonts w:hint="eastAsia" w:ascii="宋体" w:hAnsi="宋体" w:cs="宋体"/>
                <w:kern w:val="0"/>
                <w:sz w:val="16"/>
                <w:szCs w:val="16"/>
              </w:rPr>
              <w:t>15</w:t>
            </w:r>
          </w:p>
        </w:tc>
        <w:tc>
          <w:tcPr>
            <w:tcW w:w="786" w:type="dxa"/>
            <w:noWrap w:val="0"/>
            <w:vAlign w:val="center"/>
          </w:tcPr>
          <w:p w14:paraId="5C091D8E">
            <w:pPr>
              <w:widowControl/>
              <w:jc w:val="center"/>
              <w:rPr>
                <w:rFonts w:ascii="宋体" w:hAnsi="宋体" w:cs="宋体"/>
                <w:kern w:val="0"/>
                <w:sz w:val="16"/>
                <w:szCs w:val="16"/>
              </w:rPr>
            </w:pPr>
            <w:r>
              <w:rPr>
                <w:rFonts w:hint="eastAsia" w:ascii="宋体" w:hAnsi="宋体" w:cs="宋体"/>
                <w:kern w:val="0"/>
                <w:sz w:val="16"/>
                <w:szCs w:val="16"/>
              </w:rPr>
              <w:t>15</w:t>
            </w:r>
          </w:p>
        </w:tc>
        <w:tc>
          <w:tcPr>
            <w:tcW w:w="1080" w:type="dxa"/>
            <w:noWrap w:val="0"/>
            <w:vAlign w:val="center"/>
          </w:tcPr>
          <w:p w14:paraId="5E97906A">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3E5DFBA3">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5DDAE407">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5A110057">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D92C0BA">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29F7FD9B">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7604C147">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6F9D6231">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6F7064C9">
            <w:pPr>
              <w:widowControl/>
              <w:jc w:val="left"/>
              <w:rPr>
                <w:rFonts w:ascii="宋体" w:hAnsi="宋体" w:cs="宋体"/>
                <w:kern w:val="0"/>
                <w:sz w:val="20"/>
                <w:szCs w:val="20"/>
              </w:rPr>
            </w:pPr>
            <w:r>
              <w:rPr>
                <w:rFonts w:hint="eastAsia" w:ascii="宋体" w:hAnsi="宋体" w:cs="宋体"/>
                <w:kern w:val="0"/>
                <w:sz w:val="20"/>
                <w:szCs w:val="20"/>
              </w:rPr>
              <w:t>　</w:t>
            </w:r>
          </w:p>
        </w:tc>
      </w:tr>
      <w:tr w14:paraId="1A45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365223F5">
            <w:pPr>
              <w:widowControl/>
              <w:jc w:val="center"/>
              <w:rPr>
                <w:rFonts w:ascii="宋体" w:hAnsi="宋体" w:cs="宋体"/>
                <w:kern w:val="0"/>
                <w:sz w:val="16"/>
                <w:szCs w:val="16"/>
              </w:rPr>
            </w:pPr>
            <w:r>
              <w:rPr>
                <w:rFonts w:hint="eastAsia" w:ascii="宋体" w:hAnsi="宋体" w:cs="宋体"/>
                <w:kern w:val="0"/>
                <w:sz w:val="16"/>
                <w:szCs w:val="16"/>
              </w:rPr>
              <w:t>　</w:t>
            </w:r>
          </w:p>
        </w:tc>
        <w:tc>
          <w:tcPr>
            <w:tcW w:w="2040" w:type="dxa"/>
            <w:noWrap w:val="0"/>
            <w:vAlign w:val="center"/>
          </w:tcPr>
          <w:p w14:paraId="0D08B604">
            <w:pPr>
              <w:widowControl/>
              <w:jc w:val="center"/>
              <w:rPr>
                <w:rFonts w:ascii="宋体" w:hAnsi="宋体" w:cs="宋体"/>
                <w:kern w:val="0"/>
                <w:sz w:val="16"/>
                <w:szCs w:val="16"/>
              </w:rPr>
            </w:pPr>
            <w:r>
              <w:rPr>
                <w:rFonts w:hint="eastAsia" w:ascii="宋体" w:hAnsi="宋体" w:cs="宋体"/>
                <w:kern w:val="0"/>
                <w:sz w:val="16"/>
                <w:szCs w:val="16"/>
              </w:rPr>
              <w:t>小计</w:t>
            </w:r>
          </w:p>
        </w:tc>
        <w:tc>
          <w:tcPr>
            <w:tcW w:w="706" w:type="dxa"/>
            <w:noWrap w:val="0"/>
            <w:vAlign w:val="center"/>
          </w:tcPr>
          <w:p w14:paraId="1EB71609">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34F75843">
            <w:pPr>
              <w:widowControl/>
              <w:jc w:val="center"/>
              <w:rPr>
                <w:rFonts w:ascii="宋体" w:hAnsi="宋体" w:cs="宋体"/>
                <w:kern w:val="0"/>
                <w:sz w:val="16"/>
                <w:szCs w:val="16"/>
              </w:rPr>
            </w:pPr>
            <w:r>
              <w:rPr>
                <w:rFonts w:hint="eastAsia" w:ascii="宋体" w:hAnsi="宋体" w:cs="宋体"/>
                <w:kern w:val="0"/>
                <w:sz w:val="16"/>
                <w:szCs w:val="16"/>
              </w:rPr>
              <w:t>9</w:t>
            </w:r>
          </w:p>
        </w:tc>
        <w:tc>
          <w:tcPr>
            <w:tcW w:w="700" w:type="dxa"/>
            <w:noWrap w:val="0"/>
            <w:vAlign w:val="center"/>
          </w:tcPr>
          <w:p w14:paraId="4EE43AEF">
            <w:pPr>
              <w:widowControl/>
              <w:jc w:val="center"/>
              <w:rPr>
                <w:rFonts w:ascii="宋体" w:hAnsi="宋体" w:cs="宋体"/>
                <w:kern w:val="0"/>
                <w:sz w:val="16"/>
                <w:szCs w:val="16"/>
              </w:rPr>
            </w:pPr>
            <w:r>
              <w:rPr>
                <w:rFonts w:hint="eastAsia" w:ascii="宋体" w:hAnsi="宋体" w:cs="宋体"/>
                <w:kern w:val="0"/>
                <w:sz w:val="16"/>
                <w:szCs w:val="16"/>
              </w:rPr>
              <w:t>8</w:t>
            </w:r>
          </w:p>
        </w:tc>
        <w:tc>
          <w:tcPr>
            <w:tcW w:w="786" w:type="dxa"/>
            <w:noWrap w:val="0"/>
            <w:vAlign w:val="center"/>
          </w:tcPr>
          <w:p w14:paraId="6092E970">
            <w:pPr>
              <w:widowControl/>
              <w:jc w:val="center"/>
              <w:rPr>
                <w:rFonts w:ascii="宋体" w:hAnsi="宋体" w:cs="宋体"/>
                <w:kern w:val="0"/>
                <w:sz w:val="16"/>
                <w:szCs w:val="16"/>
              </w:rPr>
            </w:pPr>
            <w:r>
              <w:rPr>
                <w:rFonts w:hint="eastAsia" w:ascii="宋体" w:hAnsi="宋体" w:cs="宋体"/>
                <w:kern w:val="0"/>
                <w:sz w:val="16"/>
                <w:szCs w:val="16"/>
              </w:rPr>
              <w:t>411.4</w:t>
            </w:r>
          </w:p>
        </w:tc>
        <w:tc>
          <w:tcPr>
            <w:tcW w:w="786" w:type="dxa"/>
            <w:noWrap w:val="0"/>
            <w:vAlign w:val="center"/>
          </w:tcPr>
          <w:p w14:paraId="4EA37D0F">
            <w:pPr>
              <w:widowControl/>
              <w:jc w:val="center"/>
              <w:rPr>
                <w:rFonts w:ascii="宋体" w:hAnsi="宋体" w:cs="宋体"/>
                <w:kern w:val="0"/>
                <w:sz w:val="16"/>
                <w:szCs w:val="16"/>
              </w:rPr>
            </w:pPr>
            <w:r>
              <w:rPr>
                <w:rFonts w:hint="eastAsia" w:ascii="宋体" w:hAnsi="宋体" w:cs="宋体"/>
                <w:kern w:val="0"/>
                <w:sz w:val="16"/>
                <w:szCs w:val="16"/>
              </w:rPr>
              <w:t>409.2</w:t>
            </w:r>
          </w:p>
        </w:tc>
        <w:tc>
          <w:tcPr>
            <w:tcW w:w="1080" w:type="dxa"/>
            <w:noWrap w:val="0"/>
            <w:vAlign w:val="center"/>
          </w:tcPr>
          <w:p w14:paraId="4B071260">
            <w:pPr>
              <w:widowControl/>
              <w:jc w:val="center"/>
              <w:rPr>
                <w:rFonts w:ascii="宋体" w:hAnsi="宋体" w:cs="宋体"/>
                <w:kern w:val="0"/>
                <w:sz w:val="16"/>
                <w:szCs w:val="16"/>
              </w:rPr>
            </w:pPr>
            <w:r>
              <w:rPr>
                <w:rFonts w:hint="eastAsia" w:ascii="宋体" w:hAnsi="宋体" w:cs="宋体"/>
                <w:kern w:val="0"/>
                <w:sz w:val="16"/>
                <w:szCs w:val="16"/>
              </w:rPr>
              <w:t>0.6</w:t>
            </w:r>
          </w:p>
        </w:tc>
        <w:tc>
          <w:tcPr>
            <w:tcW w:w="640" w:type="dxa"/>
            <w:noWrap w:val="0"/>
            <w:vAlign w:val="center"/>
          </w:tcPr>
          <w:p w14:paraId="0CFC4191">
            <w:pPr>
              <w:widowControl/>
              <w:jc w:val="center"/>
              <w:rPr>
                <w:rFonts w:ascii="宋体" w:hAnsi="宋体" w:cs="宋体"/>
                <w:kern w:val="0"/>
                <w:sz w:val="16"/>
                <w:szCs w:val="16"/>
              </w:rPr>
            </w:pPr>
            <w:r>
              <w:rPr>
                <w:rFonts w:hint="eastAsia" w:ascii="宋体" w:hAnsi="宋体" w:cs="宋体"/>
                <w:kern w:val="0"/>
                <w:sz w:val="16"/>
                <w:szCs w:val="16"/>
              </w:rPr>
              <w:t>0.7</w:t>
            </w:r>
          </w:p>
        </w:tc>
        <w:tc>
          <w:tcPr>
            <w:tcW w:w="580" w:type="dxa"/>
            <w:noWrap w:val="0"/>
            <w:vAlign w:val="center"/>
          </w:tcPr>
          <w:p w14:paraId="057E8509">
            <w:pPr>
              <w:widowControl/>
              <w:jc w:val="center"/>
              <w:rPr>
                <w:rFonts w:ascii="宋体" w:hAnsi="宋体" w:cs="宋体"/>
                <w:kern w:val="0"/>
                <w:sz w:val="16"/>
                <w:szCs w:val="16"/>
              </w:rPr>
            </w:pPr>
            <w:r>
              <w:rPr>
                <w:rFonts w:hint="eastAsia" w:ascii="宋体" w:hAnsi="宋体" w:cs="宋体"/>
                <w:kern w:val="0"/>
                <w:sz w:val="16"/>
                <w:szCs w:val="16"/>
              </w:rPr>
              <w:t>1.02</w:t>
            </w:r>
          </w:p>
        </w:tc>
        <w:tc>
          <w:tcPr>
            <w:tcW w:w="786" w:type="dxa"/>
            <w:noWrap w:val="0"/>
            <w:vAlign w:val="center"/>
          </w:tcPr>
          <w:p w14:paraId="475D7EA0">
            <w:pPr>
              <w:widowControl/>
              <w:jc w:val="center"/>
              <w:rPr>
                <w:rFonts w:ascii="宋体" w:hAnsi="宋体" w:cs="宋体"/>
                <w:kern w:val="0"/>
                <w:sz w:val="16"/>
                <w:szCs w:val="16"/>
              </w:rPr>
            </w:pPr>
            <w:r>
              <w:rPr>
                <w:rFonts w:hint="eastAsia" w:ascii="宋体" w:hAnsi="宋体" w:cs="宋体"/>
                <w:kern w:val="0"/>
                <w:sz w:val="16"/>
                <w:szCs w:val="16"/>
              </w:rPr>
              <w:t>245.52</w:t>
            </w:r>
          </w:p>
        </w:tc>
        <w:tc>
          <w:tcPr>
            <w:tcW w:w="892" w:type="dxa"/>
            <w:noWrap w:val="0"/>
            <w:vAlign w:val="center"/>
          </w:tcPr>
          <w:p w14:paraId="24A04C92">
            <w:pPr>
              <w:widowControl/>
              <w:jc w:val="center"/>
              <w:rPr>
                <w:kern w:val="0"/>
                <w:sz w:val="16"/>
                <w:szCs w:val="16"/>
              </w:rPr>
            </w:pPr>
            <w:r>
              <w:rPr>
                <w:kern w:val="0"/>
                <w:sz w:val="16"/>
                <w:szCs w:val="16"/>
              </w:rPr>
              <w:t>250.43</w:t>
            </w:r>
          </w:p>
        </w:tc>
        <w:tc>
          <w:tcPr>
            <w:tcW w:w="857" w:type="dxa"/>
            <w:noWrap w:val="0"/>
            <w:vAlign w:val="center"/>
          </w:tcPr>
          <w:p w14:paraId="513D641A">
            <w:pPr>
              <w:widowControl/>
              <w:jc w:val="center"/>
              <w:rPr>
                <w:rFonts w:ascii="宋体" w:hAnsi="宋体" w:cs="宋体"/>
                <w:kern w:val="0"/>
                <w:sz w:val="16"/>
                <w:szCs w:val="16"/>
              </w:rPr>
            </w:pPr>
            <w:r>
              <w:rPr>
                <w:rFonts w:hint="eastAsia" w:ascii="宋体" w:hAnsi="宋体" w:cs="宋体"/>
                <w:kern w:val="0"/>
                <w:sz w:val="16"/>
                <w:szCs w:val="16"/>
              </w:rPr>
              <w:t>350.71</w:t>
            </w:r>
          </w:p>
        </w:tc>
        <w:tc>
          <w:tcPr>
            <w:tcW w:w="1120" w:type="dxa"/>
            <w:noWrap w:val="0"/>
            <w:vAlign w:val="center"/>
          </w:tcPr>
          <w:p w14:paraId="5CEB6BAA">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13146F9F">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690E82D1">
            <w:pPr>
              <w:widowControl/>
              <w:jc w:val="left"/>
              <w:rPr>
                <w:rFonts w:ascii="宋体" w:hAnsi="宋体" w:cs="宋体"/>
                <w:kern w:val="0"/>
                <w:sz w:val="20"/>
                <w:szCs w:val="20"/>
              </w:rPr>
            </w:pPr>
            <w:r>
              <w:rPr>
                <w:rFonts w:hint="eastAsia" w:ascii="宋体" w:hAnsi="宋体" w:cs="宋体"/>
                <w:kern w:val="0"/>
                <w:sz w:val="20"/>
                <w:szCs w:val="20"/>
              </w:rPr>
              <w:t>　</w:t>
            </w:r>
          </w:p>
        </w:tc>
      </w:tr>
      <w:tr w14:paraId="77CB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6AC31E1F">
            <w:pPr>
              <w:widowControl/>
              <w:jc w:val="center"/>
              <w:rPr>
                <w:rFonts w:ascii="宋体" w:hAnsi="宋体" w:cs="宋体"/>
                <w:kern w:val="0"/>
                <w:sz w:val="16"/>
                <w:szCs w:val="16"/>
              </w:rPr>
            </w:pPr>
            <w:r>
              <w:rPr>
                <w:rFonts w:hint="eastAsia" w:ascii="宋体" w:hAnsi="宋体" w:cs="宋体"/>
                <w:kern w:val="0"/>
                <w:sz w:val="16"/>
                <w:szCs w:val="16"/>
              </w:rPr>
              <w:t>二</w:t>
            </w:r>
          </w:p>
        </w:tc>
        <w:tc>
          <w:tcPr>
            <w:tcW w:w="2040" w:type="dxa"/>
            <w:noWrap w:val="0"/>
            <w:vAlign w:val="center"/>
          </w:tcPr>
          <w:p w14:paraId="470FD3BC">
            <w:pPr>
              <w:widowControl/>
              <w:jc w:val="left"/>
              <w:rPr>
                <w:rFonts w:ascii="宋体" w:hAnsi="宋体" w:cs="宋体"/>
                <w:kern w:val="0"/>
                <w:sz w:val="16"/>
                <w:szCs w:val="16"/>
              </w:rPr>
            </w:pPr>
            <w:r>
              <w:rPr>
                <w:rFonts w:hint="eastAsia" w:ascii="宋体" w:hAnsi="宋体" w:cs="宋体"/>
                <w:kern w:val="0"/>
                <w:sz w:val="16"/>
                <w:szCs w:val="16"/>
              </w:rPr>
              <w:t>11015回风顺槽</w:t>
            </w:r>
          </w:p>
        </w:tc>
        <w:tc>
          <w:tcPr>
            <w:tcW w:w="706" w:type="dxa"/>
            <w:noWrap w:val="0"/>
            <w:vAlign w:val="center"/>
          </w:tcPr>
          <w:p w14:paraId="26DA73C8">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7A4A95AC">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65A83692">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387E6D2F">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2C11FB22">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B4A912D">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0481F35A">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52D7427C">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31660FC0">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5A72BB5A">
            <w:pPr>
              <w:widowControl/>
              <w:jc w:val="center"/>
              <w:rPr>
                <w:kern w:val="0"/>
                <w:sz w:val="16"/>
                <w:szCs w:val="16"/>
              </w:rPr>
            </w:pPr>
            <w:r>
              <w:rPr>
                <w:kern w:val="0"/>
                <w:sz w:val="16"/>
                <w:szCs w:val="16"/>
              </w:rPr>
              <w:t>　</w:t>
            </w:r>
          </w:p>
        </w:tc>
        <w:tc>
          <w:tcPr>
            <w:tcW w:w="857" w:type="dxa"/>
            <w:noWrap w:val="0"/>
            <w:vAlign w:val="center"/>
          </w:tcPr>
          <w:p w14:paraId="3FC85128">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5D29530">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7F384E5D">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154E8E8C">
            <w:pPr>
              <w:widowControl/>
              <w:jc w:val="left"/>
              <w:rPr>
                <w:rFonts w:ascii="宋体" w:hAnsi="宋体" w:cs="宋体"/>
                <w:kern w:val="0"/>
                <w:sz w:val="20"/>
                <w:szCs w:val="20"/>
              </w:rPr>
            </w:pPr>
            <w:r>
              <w:rPr>
                <w:rFonts w:hint="eastAsia" w:ascii="宋体" w:hAnsi="宋体" w:cs="宋体"/>
                <w:kern w:val="0"/>
                <w:sz w:val="20"/>
                <w:szCs w:val="20"/>
              </w:rPr>
              <w:t>　</w:t>
            </w:r>
          </w:p>
        </w:tc>
      </w:tr>
      <w:tr w14:paraId="77E0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67E06884">
            <w:pPr>
              <w:widowControl/>
              <w:jc w:val="center"/>
              <w:rPr>
                <w:rFonts w:ascii="宋体" w:hAnsi="宋体" w:cs="宋体"/>
                <w:kern w:val="0"/>
                <w:sz w:val="16"/>
                <w:szCs w:val="16"/>
              </w:rPr>
            </w:pPr>
            <w:r>
              <w:rPr>
                <w:rFonts w:hint="eastAsia" w:ascii="宋体" w:hAnsi="宋体" w:cs="宋体"/>
                <w:kern w:val="0"/>
                <w:sz w:val="16"/>
                <w:szCs w:val="16"/>
              </w:rPr>
              <w:t>1</w:t>
            </w:r>
          </w:p>
        </w:tc>
        <w:tc>
          <w:tcPr>
            <w:tcW w:w="2040" w:type="dxa"/>
            <w:noWrap w:val="0"/>
            <w:vAlign w:val="center"/>
          </w:tcPr>
          <w:p w14:paraId="044994CA">
            <w:pPr>
              <w:widowControl/>
              <w:jc w:val="left"/>
              <w:rPr>
                <w:rFonts w:ascii="宋体" w:hAnsi="宋体" w:cs="宋体"/>
                <w:kern w:val="0"/>
                <w:sz w:val="16"/>
                <w:szCs w:val="16"/>
              </w:rPr>
            </w:pPr>
            <w:r>
              <w:rPr>
                <w:rFonts w:hint="eastAsia" w:ascii="宋体" w:hAnsi="宋体" w:cs="宋体"/>
                <w:kern w:val="0"/>
                <w:sz w:val="16"/>
                <w:szCs w:val="16"/>
              </w:rPr>
              <w:t>回柱绞车</w:t>
            </w:r>
          </w:p>
        </w:tc>
        <w:tc>
          <w:tcPr>
            <w:tcW w:w="706" w:type="dxa"/>
            <w:noWrap w:val="0"/>
            <w:vAlign w:val="center"/>
          </w:tcPr>
          <w:p w14:paraId="4F3A84EE">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5B33AC90">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7E719EEF">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6059BA5B">
            <w:pPr>
              <w:widowControl/>
              <w:jc w:val="center"/>
              <w:rPr>
                <w:rFonts w:ascii="宋体" w:hAnsi="宋体" w:cs="宋体"/>
                <w:kern w:val="0"/>
                <w:sz w:val="16"/>
                <w:szCs w:val="16"/>
              </w:rPr>
            </w:pPr>
            <w:r>
              <w:rPr>
                <w:rFonts w:hint="eastAsia" w:ascii="宋体" w:hAnsi="宋体" w:cs="宋体"/>
                <w:kern w:val="0"/>
                <w:sz w:val="16"/>
                <w:szCs w:val="16"/>
              </w:rPr>
              <w:t>17</w:t>
            </w:r>
          </w:p>
        </w:tc>
        <w:tc>
          <w:tcPr>
            <w:tcW w:w="786" w:type="dxa"/>
            <w:noWrap w:val="0"/>
            <w:vAlign w:val="center"/>
          </w:tcPr>
          <w:p w14:paraId="6EB63E3C">
            <w:pPr>
              <w:widowControl/>
              <w:jc w:val="center"/>
              <w:rPr>
                <w:rFonts w:ascii="宋体" w:hAnsi="宋体" w:cs="宋体"/>
                <w:kern w:val="0"/>
                <w:sz w:val="16"/>
                <w:szCs w:val="16"/>
              </w:rPr>
            </w:pPr>
            <w:r>
              <w:rPr>
                <w:rFonts w:hint="eastAsia" w:ascii="宋体" w:hAnsi="宋体" w:cs="宋体"/>
                <w:kern w:val="0"/>
                <w:sz w:val="16"/>
                <w:szCs w:val="16"/>
              </w:rPr>
              <w:t>17</w:t>
            </w:r>
          </w:p>
        </w:tc>
        <w:tc>
          <w:tcPr>
            <w:tcW w:w="1080" w:type="dxa"/>
            <w:noWrap w:val="0"/>
            <w:vAlign w:val="center"/>
          </w:tcPr>
          <w:p w14:paraId="65DCC36D">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37E5ED90">
            <w:pPr>
              <w:widowControl/>
              <w:jc w:val="left"/>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50C40EE7">
            <w:pPr>
              <w:widowControl/>
              <w:jc w:val="left"/>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0FA4DB7C">
            <w:pPr>
              <w:widowControl/>
              <w:jc w:val="left"/>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2598D87">
            <w:pPr>
              <w:widowControl/>
              <w:jc w:val="left"/>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32DAEC67">
            <w:pPr>
              <w:widowControl/>
              <w:jc w:val="left"/>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2A16C671">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A9AD0BA">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5B7F29C3">
            <w:pPr>
              <w:widowControl/>
              <w:jc w:val="left"/>
              <w:rPr>
                <w:rFonts w:ascii="宋体" w:hAnsi="宋体" w:cs="宋体"/>
                <w:kern w:val="0"/>
                <w:sz w:val="20"/>
                <w:szCs w:val="20"/>
              </w:rPr>
            </w:pPr>
            <w:r>
              <w:rPr>
                <w:rFonts w:hint="eastAsia" w:ascii="宋体" w:hAnsi="宋体" w:cs="宋体"/>
                <w:kern w:val="0"/>
                <w:sz w:val="20"/>
                <w:szCs w:val="20"/>
              </w:rPr>
              <w:t>　</w:t>
            </w:r>
          </w:p>
        </w:tc>
      </w:tr>
      <w:tr w14:paraId="01F1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04539E9E">
            <w:pPr>
              <w:widowControl/>
              <w:jc w:val="center"/>
              <w:rPr>
                <w:rFonts w:ascii="宋体" w:hAnsi="宋体" w:cs="宋体"/>
                <w:kern w:val="0"/>
                <w:sz w:val="16"/>
                <w:szCs w:val="16"/>
              </w:rPr>
            </w:pPr>
            <w:r>
              <w:rPr>
                <w:rFonts w:hint="eastAsia" w:ascii="宋体" w:hAnsi="宋体" w:cs="宋体"/>
                <w:kern w:val="0"/>
                <w:sz w:val="16"/>
                <w:szCs w:val="16"/>
              </w:rPr>
              <w:t>2</w:t>
            </w:r>
          </w:p>
        </w:tc>
        <w:tc>
          <w:tcPr>
            <w:tcW w:w="2040" w:type="dxa"/>
            <w:noWrap w:val="0"/>
            <w:vAlign w:val="center"/>
          </w:tcPr>
          <w:p w14:paraId="4EEAA3CD">
            <w:pPr>
              <w:widowControl/>
              <w:jc w:val="left"/>
              <w:rPr>
                <w:rFonts w:ascii="宋体" w:hAnsi="宋体" w:cs="宋体"/>
                <w:kern w:val="0"/>
                <w:sz w:val="16"/>
                <w:szCs w:val="16"/>
              </w:rPr>
            </w:pPr>
            <w:r>
              <w:rPr>
                <w:rFonts w:hint="eastAsia" w:ascii="宋体" w:hAnsi="宋体" w:cs="宋体"/>
                <w:kern w:val="0"/>
                <w:sz w:val="16"/>
                <w:szCs w:val="16"/>
              </w:rPr>
              <w:t>安全钻机</w:t>
            </w:r>
          </w:p>
        </w:tc>
        <w:tc>
          <w:tcPr>
            <w:tcW w:w="706" w:type="dxa"/>
            <w:noWrap w:val="0"/>
            <w:vAlign w:val="center"/>
          </w:tcPr>
          <w:p w14:paraId="475F960B">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7D1C8727">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3CB74377">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49C95061">
            <w:pPr>
              <w:widowControl/>
              <w:jc w:val="center"/>
              <w:rPr>
                <w:rFonts w:ascii="宋体" w:hAnsi="宋体" w:cs="宋体"/>
                <w:kern w:val="0"/>
                <w:sz w:val="16"/>
                <w:szCs w:val="16"/>
              </w:rPr>
            </w:pPr>
            <w:r>
              <w:rPr>
                <w:rFonts w:hint="eastAsia" w:ascii="宋体" w:hAnsi="宋体" w:cs="宋体"/>
                <w:kern w:val="0"/>
                <w:sz w:val="16"/>
                <w:szCs w:val="16"/>
              </w:rPr>
              <w:t>15</w:t>
            </w:r>
          </w:p>
        </w:tc>
        <w:tc>
          <w:tcPr>
            <w:tcW w:w="786" w:type="dxa"/>
            <w:noWrap w:val="0"/>
            <w:vAlign w:val="center"/>
          </w:tcPr>
          <w:p w14:paraId="7CB8C58D">
            <w:pPr>
              <w:widowControl/>
              <w:jc w:val="center"/>
              <w:rPr>
                <w:rFonts w:ascii="宋体" w:hAnsi="宋体" w:cs="宋体"/>
                <w:kern w:val="0"/>
                <w:sz w:val="16"/>
                <w:szCs w:val="16"/>
              </w:rPr>
            </w:pPr>
            <w:r>
              <w:rPr>
                <w:rFonts w:hint="eastAsia" w:ascii="宋体" w:hAnsi="宋体" w:cs="宋体"/>
                <w:kern w:val="0"/>
                <w:sz w:val="16"/>
                <w:szCs w:val="16"/>
              </w:rPr>
              <w:t>15</w:t>
            </w:r>
          </w:p>
        </w:tc>
        <w:tc>
          <w:tcPr>
            <w:tcW w:w="1080" w:type="dxa"/>
            <w:noWrap w:val="0"/>
            <w:vAlign w:val="center"/>
          </w:tcPr>
          <w:p w14:paraId="3E66E0BF">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1D66ABF2">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580" w:type="dxa"/>
            <w:noWrap w:val="0"/>
            <w:vAlign w:val="center"/>
          </w:tcPr>
          <w:p w14:paraId="0578FE18">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786" w:type="dxa"/>
            <w:noWrap w:val="0"/>
            <w:vAlign w:val="center"/>
          </w:tcPr>
          <w:p w14:paraId="00A74FC9">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892" w:type="dxa"/>
            <w:noWrap w:val="0"/>
            <w:vAlign w:val="center"/>
          </w:tcPr>
          <w:p w14:paraId="5A9D6D19">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3216ECE8">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1120" w:type="dxa"/>
            <w:noWrap w:val="0"/>
            <w:vAlign w:val="center"/>
          </w:tcPr>
          <w:p w14:paraId="5F778E12">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1106" w:type="dxa"/>
            <w:noWrap w:val="0"/>
            <w:vAlign w:val="center"/>
          </w:tcPr>
          <w:p w14:paraId="22478198">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1161" w:type="dxa"/>
            <w:noWrap w:val="0"/>
            <w:vAlign w:val="center"/>
          </w:tcPr>
          <w:p w14:paraId="6974E335">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r>
      <w:tr w14:paraId="065A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0F0F5A80">
            <w:pPr>
              <w:widowControl/>
              <w:jc w:val="center"/>
              <w:rPr>
                <w:rFonts w:ascii="宋体" w:hAnsi="宋体" w:cs="宋体"/>
                <w:kern w:val="0"/>
                <w:sz w:val="16"/>
                <w:szCs w:val="16"/>
              </w:rPr>
            </w:pPr>
            <w:r>
              <w:rPr>
                <w:rFonts w:hint="eastAsia" w:ascii="宋体" w:hAnsi="宋体" w:cs="宋体"/>
                <w:kern w:val="0"/>
                <w:sz w:val="16"/>
                <w:szCs w:val="16"/>
              </w:rPr>
              <w:t>3</w:t>
            </w:r>
          </w:p>
        </w:tc>
        <w:tc>
          <w:tcPr>
            <w:tcW w:w="2040" w:type="dxa"/>
            <w:noWrap w:val="0"/>
            <w:vAlign w:val="center"/>
          </w:tcPr>
          <w:p w14:paraId="144E0947">
            <w:pPr>
              <w:widowControl/>
              <w:jc w:val="left"/>
              <w:rPr>
                <w:rFonts w:ascii="宋体" w:hAnsi="宋体" w:cs="宋体"/>
                <w:kern w:val="0"/>
                <w:sz w:val="16"/>
                <w:szCs w:val="16"/>
              </w:rPr>
            </w:pPr>
            <w:r>
              <w:rPr>
                <w:rFonts w:hint="eastAsia" w:ascii="宋体" w:hAnsi="宋体" w:cs="宋体"/>
                <w:kern w:val="0"/>
                <w:sz w:val="16"/>
                <w:szCs w:val="16"/>
              </w:rPr>
              <w:t>调度绞车</w:t>
            </w:r>
          </w:p>
        </w:tc>
        <w:tc>
          <w:tcPr>
            <w:tcW w:w="706" w:type="dxa"/>
            <w:noWrap w:val="0"/>
            <w:vAlign w:val="center"/>
          </w:tcPr>
          <w:p w14:paraId="2BC96265">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1629597F">
            <w:pPr>
              <w:widowControl/>
              <w:jc w:val="center"/>
              <w:rPr>
                <w:rFonts w:ascii="宋体" w:hAnsi="宋体" w:cs="宋体"/>
                <w:kern w:val="0"/>
                <w:sz w:val="16"/>
                <w:szCs w:val="16"/>
              </w:rPr>
            </w:pPr>
            <w:r>
              <w:rPr>
                <w:rFonts w:hint="eastAsia" w:ascii="宋体" w:hAnsi="宋体" w:cs="宋体"/>
                <w:kern w:val="0"/>
                <w:sz w:val="16"/>
                <w:szCs w:val="16"/>
              </w:rPr>
              <w:t>3</w:t>
            </w:r>
          </w:p>
        </w:tc>
        <w:tc>
          <w:tcPr>
            <w:tcW w:w="700" w:type="dxa"/>
            <w:noWrap w:val="0"/>
            <w:vAlign w:val="center"/>
          </w:tcPr>
          <w:p w14:paraId="54AED5A3">
            <w:pPr>
              <w:widowControl/>
              <w:jc w:val="center"/>
              <w:rPr>
                <w:rFonts w:ascii="宋体" w:hAnsi="宋体" w:cs="宋体"/>
                <w:kern w:val="0"/>
                <w:sz w:val="16"/>
                <w:szCs w:val="16"/>
              </w:rPr>
            </w:pPr>
            <w:r>
              <w:rPr>
                <w:rFonts w:hint="eastAsia" w:ascii="宋体" w:hAnsi="宋体" w:cs="宋体"/>
                <w:kern w:val="0"/>
                <w:sz w:val="16"/>
                <w:szCs w:val="16"/>
              </w:rPr>
              <w:t>3</w:t>
            </w:r>
          </w:p>
        </w:tc>
        <w:tc>
          <w:tcPr>
            <w:tcW w:w="786" w:type="dxa"/>
            <w:noWrap w:val="0"/>
            <w:vAlign w:val="center"/>
          </w:tcPr>
          <w:p w14:paraId="15BF7924">
            <w:pPr>
              <w:widowControl/>
              <w:jc w:val="center"/>
              <w:rPr>
                <w:rFonts w:ascii="宋体" w:hAnsi="宋体" w:cs="宋体"/>
                <w:kern w:val="0"/>
                <w:sz w:val="16"/>
                <w:szCs w:val="16"/>
              </w:rPr>
            </w:pPr>
            <w:r>
              <w:rPr>
                <w:rFonts w:hint="eastAsia" w:ascii="宋体" w:hAnsi="宋体" w:cs="宋体"/>
                <w:kern w:val="0"/>
                <w:sz w:val="16"/>
                <w:szCs w:val="16"/>
              </w:rPr>
              <w:t>34.2</w:t>
            </w:r>
          </w:p>
        </w:tc>
        <w:tc>
          <w:tcPr>
            <w:tcW w:w="786" w:type="dxa"/>
            <w:noWrap w:val="0"/>
            <w:vAlign w:val="center"/>
          </w:tcPr>
          <w:p w14:paraId="38560A85">
            <w:pPr>
              <w:widowControl/>
              <w:jc w:val="center"/>
              <w:rPr>
                <w:rFonts w:ascii="宋体" w:hAnsi="宋体" w:cs="宋体"/>
                <w:kern w:val="0"/>
                <w:sz w:val="16"/>
                <w:szCs w:val="16"/>
              </w:rPr>
            </w:pPr>
            <w:r>
              <w:rPr>
                <w:rFonts w:hint="eastAsia" w:ascii="宋体" w:hAnsi="宋体" w:cs="宋体"/>
                <w:kern w:val="0"/>
                <w:sz w:val="16"/>
                <w:szCs w:val="16"/>
              </w:rPr>
              <w:t>34.2</w:t>
            </w:r>
          </w:p>
        </w:tc>
        <w:tc>
          <w:tcPr>
            <w:tcW w:w="1080" w:type="dxa"/>
            <w:noWrap w:val="0"/>
            <w:vAlign w:val="center"/>
          </w:tcPr>
          <w:p w14:paraId="2A46E75B">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4E7ADA71">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580" w:type="dxa"/>
            <w:noWrap w:val="0"/>
            <w:vAlign w:val="center"/>
          </w:tcPr>
          <w:p w14:paraId="3EB24CC4">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786" w:type="dxa"/>
            <w:noWrap w:val="0"/>
            <w:vAlign w:val="center"/>
          </w:tcPr>
          <w:p w14:paraId="34CA86B4">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892" w:type="dxa"/>
            <w:noWrap w:val="0"/>
            <w:vAlign w:val="center"/>
          </w:tcPr>
          <w:p w14:paraId="5344A5E6">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6F968933">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1120" w:type="dxa"/>
            <w:noWrap w:val="0"/>
            <w:vAlign w:val="center"/>
          </w:tcPr>
          <w:p w14:paraId="208572F6">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1106" w:type="dxa"/>
            <w:noWrap w:val="0"/>
            <w:vAlign w:val="center"/>
          </w:tcPr>
          <w:p w14:paraId="3027B715">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1161" w:type="dxa"/>
            <w:noWrap w:val="0"/>
            <w:vAlign w:val="center"/>
          </w:tcPr>
          <w:p w14:paraId="76228CC1">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r>
      <w:tr w14:paraId="5D0A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69397856">
            <w:pPr>
              <w:widowControl/>
              <w:jc w:val="center"/>
              <w:rPr>
                <w:rFonts w:ascii="宋体" w:hAnsi="宋体" w:cs="宋体"/>
                <w:kern w:val="0"/>
                <w:sz w:val="16"/>
                <w:szCs w:val="16"/>
              </w:rPr>
            </w:pPr>
            <w:r>
              <w:rPr>
                <w:rFonts w:hint="eastAsia" w:ascii="宋体" w:hAnsi="宋体" w:cs="宋体"/>
                <w:kern w:val="0"/>
                <w:sz w:val="16"/>
                <w:szCs w:val="16"/>
              </w:rPr>
              <w:t>4</w:t>
            </w:r>
          </w:p>
        </w:tc>
        <w:tc>
          <w:tcPr>
            <w:tcW w:w="2040" w:type="dxa"/>
            <w:noWrap w:val="0"/>
            <w:vAlign w:val="center"/>
          </w:tcPr>
          <w:p w14:paraId="2837E42B">
            <w:pPr>
              <w:widowControl/>
              <w:jc w:val="left"/>
              <w:rPr>
                <w:rFonts w:ascii="宋体" w:hAnsi="宋体" w:cs="宋体"/>
                <w:kern w:val="0"/>
                <w:sz w:val="16"/>
                <w:szCs w:val="16"/>
              </w:rPr>
            </w:pPr>
            <w:r>
              <w:rPr>
                <w:rFonts w:hint="eastAsia" w:ascii="宋体" w:hAnsi="宋体" w:cs="宋体"/>
                <w:kern w:val="0"/>
                <w:sz w:val="16"/>
                <w:szCs w:val="16"/>
              </w:rPr>
              <w:t>潜水泵</w:t>
            </w:r>
          </w:p>
        </w:tc>
        <w:tc>
          <w:tcPr>
            <w:tcW w:w="706" w:type="dxa"/>
            <w:noWrap w:val="0"/>
            <w:vAlign w:val="center"/>
          </w:tcPr>
          <w:p w14:paraId="21B7F2C9">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15D9D2AC">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02627399">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4FF0F5F3">
            <w:pPr>
              <w:widowControl/>
              <w:jc w:val="center"/>
              <w:rPr>
                <w:rFonts w:ascii="宋体" w:hAnsi="宋体" w:cs="宋体"/>
                <w:kern w:val="0"/>
                <w:sz w:val="16"/>
                <w:szCs w:val="16"/>
              </w:rPr>
            </w:pPr>
            <w:r>
              <w:rPr>
                <w:rFonts w:hint="eastAsia" w:ascii="宋体" w:hAnsi="宋体" w:cs="宋体"/>
                <w:kern w:val="0"/>
                <w:sz w:val="16"/>
                <w:szCs w:val="16"/>
              </w:rPr>
              <w:t>4.4</w:t>
            </w:r>
          </w:p>
        </w:tc>
        <w:tc>
          <w:tcPr>
            <w:tcW w:w="786" w:type="dxa"/>
            <w:noWrap w:val="0"/>
            <w:vAlign w:val="center"/>
          </w:tcPr>
          <w:p w14:paraId="348B903A">
            <w:pPr>
              <w:widowControl/>
              <w:jc w:val="center"/>
              <w:rPr>
                <w:rFonts w:ascii="宋体" w:hAnsi="宋体" w:cs="宋体"/>
                <w:kern w:val="0"/>
                <w:sz w:val="16"/>
                <w:szCs w:val="16"/>
              </w:rPr>
            </w:pPr>
            <w:r>
              <w:rPr>
                <w:rFonts w:hint="eastAsia" w:ascii="宋体" w:hAnsi="宋体" w:cs="宋体"/>
                <w:kern w:val="0"/>
                <w:sz w:val="16"/>
                <w:szCs w:val="16"/>
              </w:rPr>
              <w:t>2.2</w:t>
            </w:r>
          </w:p>
        </w:tc>
        <w:tc>
          <w:tcPr>
            <w:tcW w:w="1080" w:type="dxa"/>
            <w:noWrap w:val="0"/>
            <w:vAlign w:val="center"/>
          </w:tcPr>
          <w:p w14:paraId="26E6B8A6">
            <w:pPr>
              <w:widowControl/>
              <w:jc w:val="left"/>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763A3E25">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580" w:type="dxa"/>
            <w:noWrap w:val="0"/>
            <w:vAlign w:val="center"/>
          </w:tcPr>
          <w:p w14:paraId="0668D65B">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786" w:type="dxa"/>
            <w:noWrap w:val="0"/>
            <w:vAlign w:val="center"/>
          </w:tcPr>
          <w:p w14:paraId="56F535AD">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892" w:type="dxa"/>
            <w:noWrap w:val="0"/>
            <w:vAlign w:val="center"/>
          </w:tcPr>
          <w:p w14:paraId="389206E8">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857" w:type="dxa"/>
            <w:noWrap w:val="0"/>
            <w:vAlign w:val="center"/>
          </w:tcPr>
          <w:p w14:paraId="127FE9E6">
            <w:pPr>
              <w:widowControl/>
              <w:jc w:val="left"/>
              <w:rPr>
                <w:rFonts w:ascii="宋体" w:hAnsi="宋体" w:cs="宋体"/>
                <w:color w:val="FF0000"/>
                <w:kern w:val="0"/>
                <w:sz w:val="16"/>
                <w:szCs w:val="16"/>
              </w:rPr>
            </w:pPr>
            <w:r>
              <w:rPr>
                <w:rFonts w:hint="eastAsia" w:ascii="宋体" w:hAnsi="宋体" w:cs="宋体"/>
                <w:color w:val="FF0000"/>
                <w:kern w:val="0"/>
                <w:sz w:val="16"/>
                <w:szCs w:val="16"/>
              </w:rPr>
              <w:t>　</w:t>
            </w:r>
          </w:p>
        </w:tc>
        <w:tc>
          <w:tcPr>
            <w:tcW w:w="1120" w:type="dxa"/>
            <w:noWrap w:val="0"/>
            <w:vAlign w:val="center"/>
          </w:tcPr>
          <w:p w14:paraId="77C1CB43">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1106" w:type="dxa"/>
            <w:noWrap w:val="0"/>
            <w:vAlign w:val="center"/>
          </w:tcPr>
          <w:p w14:paraId="52035298">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c>
          <w:tcPr>
            <w:tcW w:w="1161" w:type="dxa"/>
            <w:noWrap w:val="0"/>
            <w:vAlign w:val="center"/>
          </w:tcPr>
          <w:p w14:paraId="4B03DA27">
            <w:pPr>
              <w:widowControl/>
              <w:jc w:val="left"/>
              <w:rPr>
                <w:rFonts w:ascii="宋体" w:hAnsi="宋体" w:cs="宋体"/>
                <w:color w:val="FF0000"/>
                <w:kern w:val="0"/>
                <w:sz w:val="20"/>
                <w:szCs w:val="20"/>
              </w:rPr>
            </w:pPr>
            <w:r>
              <w:rPr>
                <w:rFonts w:hint="eastAsia" w:ascii="宋体" w:hAnsi="宋体" w:cs="宋体"/>
                <w:color w:val="FF0000"/>
                <w:kern w:val="0"/>
                <w:sz w:val="20"/>
                <w:szCs w:val="20"/>
              </w:rPr>
              <w:t>　</w:t>
            </w:r>
          </w:p>
        </w:tc>
      </w:tr>
      <w:tr w14:paraId="08B9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00" w:type="dxa"/>
            <w:noWrap w:val="0"/>
            <w:vAlign w:val="center"/>
          </w:tcPr>
          <w:p w14:paraId="39D8DB64">
            <w:pPr>
              <w:widowControl/>
              <w:jc w:val="center"/>
              <w:rPr>
                <w:rFonts w:ascii="宋体" w:hAnsi="宋体" w:cs="宋体"/>
                <w:kern w:val="0"/>
                <w:sz w:val="16"/>
                <w:szCs w:val="16"/>
              </w:rPr>
            </w:pPr>
            <w:r>
              <w:rPr>
                <w:rFonts w:hint="eastAsia" w:ascii="宋体" w:hAnsi="宋体" w:cs="宋体"/>
                <w:kern w:val="0"/>
                <w:sz w:val="16"/>
                <w:szCs w:val="16"/>
              </w:rPr>
              <w:t>　</w:t>
            </w:r>
          </w:p>
        </w:tc>
        <w:tc>
          <w:tcPr>
            <w:tcW w:w="2040" w:type="dxa"/>
            <w:noWrap w:val="0"/>
            <w:vAlign w:val="center"/>
          </w:tcPr>
          <w:p w14:paraId="69C17962">
            <w:pPr>
              <w:widowControl/>
              <w:jc w:val="center"/>
              <w:rPr>
                <w:rFonts w:ascii="宋体" w:hAnsi="宋体" w:cs="宋体"/>
                <w:kern w:val="0"/>
                <w:sz w:val="16"/>
                <w:szCs w:val="16"/>
              </w:rPr>
            </w:pPr>
            <w:r>
              <w:rPr>
                <w:rFonts w:hint="eastAsia" w:ascii="宋体" w:hAnsi="宋体" w:cs="宋体"/>
                <w:kern w:val="0"/>
                <w:sz w:val="16"/>
                <w:szCs w:val="16"/>
              </w:rPr>
              <w:t>小计</w:t>
            </w:r>
          </w:p>
        </w:tc>
        <w:tc>
          <w:tcPr>
            <w:tcW w:w="706" w:type="dxa"/>
            <w:noWrap w:val="0"/>
            <w:vAlign w:val="center"/>
          </w:tcPr>
          <w:p w14:paraId="2CFDA2D1">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711A7BEC">
            <w:pPr>
              <w:widowControl/>
              <w:jc w:val="center"/>
              <w:rPr>
                <w:rFonts w:ascii="宋体" w:hAnsi="宋体" w:cs="宋体"/>
                <w:kern w:val="0"/>
                <w:sz w:val="16"/>
                <w:szCs w:val="16"/>
              </w:rPr>
            </w:pPr>
            <w:r>
              <w:rPr>
                <w:rFonts w:hint="eastAsia" w:ascii="宋体" w:hAnsi="宋体" w:cs="宋体"/>
                <w:kern w:val="0"/>
                <w:sz w:val="16"/>
                <w:szCs w:val="16"/>
              </w:rPr>
              <w:t>7</w:t>
            </w:r>
          </w:p>
        </w:tc>
        <w:tc>
          <w:tcPr>
            <w:tcW w:w="700" w:type="dxa"/>
            <w:noWrap w:val="0"/>
            <w:vAlign w:val="center"/>
          </w:tcPr>
          <w:p w14:paraId="7B197D85">
            <w:pPr>
              <w:widowControl/>
              <w:jc w:val="center"/>
              <w:rPr>
                <w:rFonts w:ascii="宋体" w:hAnsi="宋体" w:cs="宋体"/>
                <w:kern w:val="0"/>
                <w:sz w:val="16"/>
                <w:szCs w:val="16"/>
              </w:rPr>
            </w:pPr>
            <w:r>
              <w:rPr>
                <w:rFonts w:hint="eastAsia" w:ascii="宋体" w:hAnsi="宋体" w:cs="宋体"/>
                <w:kern w:val="0"/>
                <w:sz w:val="16"/>
                <w:szCs w:val="16"/>
              </w:rPr>
              <w:t>6</w:t>
            </w:r>
          </w:p>
        </w:tc>
        <w:tc>
          <w:tcPr>
            <w:tcW w:w="786" w:type="dxa"/>
            <w:noWrap w:val="0"/>
            <w:vAlign w:val="center"/>
          </w:tcPr>
          <w:p w14:paraId="5F365708">
            <w:pPr>
              <w:widowControl/>
              <w:jc w:val="center"/>
              <w:rPr>
                <w:rFonts w:ascii="宋体" w:hAnsi="宋体" w:cs="宋体"/>
                <w:kern w:val="0"/>
                <w:sz w:val="16"/>
                <w:szCs w:val="16"/>
              </w:rPr>
            </w:pPr>
            <w:r>
              <w:rPr>
                <w:rFonts w:hint="eastAsia" w:ascii="宋体" w:hAnsi="宋体" w:cs="宋体"/>
                <w:kern w:val="0"/>
                <w:sz w:val="16"/>
                <w:szCs w:val="16"/>
              </w:rPr>
              <w:t>70.6</w:t>
            </w:r>
          </w:p>
        </w:tc>
        <w:tc>
          <w:tcPr>
            <w:tcW w:w="786" w:type="dxa"/>
            <w:noWrap w:val="0"/>
            <w:vAlign w:val="center"/>
          </w:tcPr>
          <w:p w14:paraId="40D02E80">
            <w:pPr>
              <w:widowControl/>
              <w:jc w:val="center"/>
              <w:rPr>
                <w:rFonts w:ascii="宋体" w:hAnsi="宋体" w:cs="宋体"/>
                <w:kern w:val="0"/>
                <w:sz w:val="16"/>
                <w:szCs w:val="16"/>
              </w:rPr>
            </w:pPr>
            <w:r>
              <w:rPr>
                <w:rFonts w:hint="eastAsia" w:ascii="宋体" w:hAnsi="宋体" w:cs="宋体"/>
                <w:kern w:val="0"/>
                <w:sz w:val="16"/>
                <w:szCs w:val="16"/>
              </w:rPr>
              <w:t>68.4</w:t>
            </w:r>
          </w:p>
        </w:tc>
        <w:tc>
          <w:tcPr>
            <w:tcW w:w="1080" w:type="dxa"/>
            <w:noWrap w:val="0"/>
            <w:vAlign w:val="center"/>
          </w:tcPr>
          <w:p w14:paraId="4A514937">
            <w:pPr>
              <w:widowControl/>
              <w:jc w:val="center"/>
              <w:rPr>
                <w:rFonts w:ascii="宋体" w:hAnsi="宋体" w:cs="宋体"/>
                <w:kern w:val="0"/>
                <w:sz w:val="16"/>
                <w:szCs w:val="16"/>
              </w:rPr>
            </w:pPr>
            <w:r>
              <w:rPr>
                <w:rFonts w:hint="eastAsia" w:ascii="宋体" w:hAnsi="宋体" w:cs="宋体"/>
                <w:kern w:val="0"/>
                <w:sz w:val="16"/>
                <w:szCs w:val="16"/>
              </w:rPr>
              <w:t>0.5</w:t>
            </w:r>
          </w:p>
        </w:tc>
        <w:tc>
          <w:tcPr>
            <w:tcW w:w="640" w:type="dxa"/>
            <w:noWrap w:val="0"/>
            <w:vAlign w:val="center"/>
          </w:tcPr>
          <w:p w14:paraId="3B805334">
            <w:pPr>
              <w:widowControl/>
              <w:jc w:val="center"/>
              <w:rPr>
                <w:rFonts w:ascii="宋体" w:hAnsi="宋体" w:cs="宋体"/>
                <w:kern w:val="0"/>
                <w:sz w:val="16"/>
                <w:szCs w:val="16"/>
              </w:rPr>
            </w:pPr>
            <w:r>
              <w:rPr>
                <w:rFonts w:hint="eastAsia" w:ascii="宋体" w:hAnsi="宋体" w:cs="宋体"/>
                <w:kern w:val="0"/>
                <w:sz w:val="16"/>
                <w:szCs w:val="16"/>
              </w:rPr>
              <w:t>0.7</w:t>
            </w:r>
          </w:p>
        </w:tc>
        <w:tc>
          <w:tcPr>
            <w:tcW w:w="580" w:type="dxa"/>
            <w:noWrap w:val="0"/>
            <w:vAlign w:val="center"/>
          </w:tcPr>
          <w:p w14:paraId="33DC43EC">
            <w:pPr>
              <w:widowControl/>
              <w:jc w:val="center"/>
              <w:rPr>
                <w:rFonts w:ascii="宋体" w:hAnsi="宋体" w:cs="宋体"/>
                <w:kern w:val="0"/>
                <w:sz w:val="16"/>
                <w:szCs w:val="16"/>
              </w:rPr>
            </w:pPr>
            <w:r>
              <w:rPr>
                <w:rFonts w:hint="eastAsia" w:ascii="宋体" w:hAnsi="宋体" w:cs="宋体"/>
                <w:kern w:val="0"/>
                <w:sz w:val="16"/>
                <w:szCs w:val="16"/>
              </w:rPr>
              <w:t>1.02</w:t>
            </w:r>
          </w:p>
        </w:tc>
        <w:tc>
          <w:tcPr>
            <w:tcW w:w="786" w:type="dxa"/>
            <w:noWrap w:val="0"/>
            <w:vAlign w:val="center"/>
          </w:tcPr>
          <w:p w14:paraId="01591D7B">
            <w:pPr>
              <w:widowControl/>
              <w:jc w:val="center"/>
              <w:rPr>
                <w:rFonts w:ascii="宋体" w:hAnsi="宋体" w:cs="宋体"/>
                <w:kern w:val="0"/>
                <w:sz w:val="16"/>
                <w:szCs w:val="16"/>
              </w:rPr>
            </w:pPr>
            <w:r>
              <w:rPr>
                <w:rFonts w:hint="eastAsia" w:ascii="宋体" w:hAnsi="宋体" w:cs="宋体"/>
                <w:kern w:val="0"/>
                <w:sz w:val="16"/>
                <w:szCs w:val="16"/>
              </w:rPr>
              <w:t>34.2</w:t>
            </w:r>
          </w:p>
        </w:tc>
        <w:tc>
          <w:tcPr>
            <w:tcW w:w="892" w:type="dxa"/>
            <w:noWrap w:val="0"/>
            <w:vAlign w:val="center"/>
          </w:tcPr>
          <w:p w14:paraId="18D2B173">
            <w:pPr>
              <w:widowControl/>
              <w:jc w:val="center"/>
              <w:rPr>
                <w:kern w:val="0"/>
                <w:sz w:val="16"/>
                <w:szCs w:val="16"/>
              </w:rPr>
            </w:pPr>
            <w:r>
              <w:rPr>
                <w:kern w:val="0"/>
                <w:sz w:val="16"/>
                <w:szCs w:val="16"/>
              </w:rPr>
              <w:t>34.88</w:t>
            </w:r>
          </w:p>
        </w:tc>
        <w:tc>
          <w:tcPr>
            <w:tcW w:w="857" w:type="dxa"/>
            <w:noWrap w:val="0"/>
            <w:vAlign w:val="center"/>
          </w:tcPr>
          <w:p w14:paraId="67E8A02E">
            <w:pPr>
              <w:widowControl/>
              <w:jc w:val="center"/>
              <w:rPr>
                <w:rFonts w:ascii="宋体" w:hAnsi="宋体" w:cs="宋体"/>
                <w:kern w:val="0"/>
                <w:sz w:val="16"/>
                <w:szCs w:val="16"/>
              </w:rPr>
            </w:pPr>
            <w:r>
              <w:rPr>
                <w:rFonts w:hint="eastAsia" w:ascii="宋体" w:hAnsi="宋体" w:cs="宋体"/>
                <w:kern w:val="0"/>
                <w:sz w:val="16"/>
                <w:szCs w:val="16"/>
              </w:rPr>
              <w:t>48.85</w:t>
            </w:r>
          </w:p>
        </w:tc>
        <w:tc>
          <w:tcPr>
            <w:tcW w:w="1120" w:type="dxa"/>
            <w:noWrap w:val="0"/>
            <w:vAlign w:val="center"/>
          </w:tcPr>
          <w:p w14:paraId="3C9A06B0">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7FC29C8E">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3C28CC03">
            <w:pPr>
              <w:widowControl/>
              <w:jc w:val="left"/>
              <w:rPr>
                <w:rFonts w:ascii="宋体" w:hAnsi="宋体" w:cs="宋体"/>
                <w:kern w:val="0"/>
                <w:sz w:val="20"/>
                <w:szCs w:val="20"/>
              </w:rPr>
            </w:pPr>
            <w:r>
              <w:rPr>
                <w:rFonts w:hint="eastAsia" w:ascii="宋体" w:hAnsi="宋体" w:cs="宋体"/>
                <w:kern w:val="0"/>
                <w:sz w:val="20"/>
                <w:szCs w:val="20"/>
              </w:rPr>
              <w:t>　</w:t>
            </w:r>
          </w:p>
        </w:tc>
      </w:tr>
      <w:tr w14:paraId="5FD3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1C3EAD5D">
            <w:pPr>
              <w:widowControl/>
              <w:jc w:val="center"/>
              <w:rPr>
                <w:rFonts w:ascii="宋体" w:hAnsi="宋体" w:cs="宋体"/>
                <w:kern w:val="0"/>
                <w:sz w:val="16"/>
                <w:szCs w:val="16"/>
              </w:rPr>
            </w:pPr>
            <w:r>
              <w:rPr>
                <w:rFonts w:hint="eastAsia" w:ascii="宋体" w:hAnsi="宋体" w:cs="宋体"/>
                <w:kern w:val="0"/>
                <w:sz w:val="16"/>
                <w:szCs w:val="16"/>
              </w:rPr>
              <w:t>三</w:t>
            </w:r>
          </w:p>
        </w:tc>
        <w:tc>
          <w:tcPr>
            <w:tcW w:w="2040" w:type="dxa"/>
            <w:noWrap w:val="0"/>
            <w:vAlign w:val="center"/>
          </w:tcPr>
          <w:p w14:paraId="1B25B6B0">
            <w:pPr>
              <w:widowControl/>
              <w:jc w:val="left"/>
              <w:rPr>
                <w:rFonts w:ascii="宋体" w:hAnsi="宋体" w:cs="宋体"/>
                <w:kern w:val="0"/>
                <w:sz w:val="16"/>
                <w:szCs w:val="16"/>
              </w:rPr>
            </w:pPr>
            <w:r>
              <w:rPr>
                <w:rFonts w:hint="eastAsia" w:ascii="宋体" w:hAnsi="宋体" w:cs="宋体"/>
                <w:kern w:val="0"/>
                <w:sz w:val="16"/>
                <w:szCs w:val="16"/>
              </w:rPr>
              <w:t>局扇</w:t>
            </w:r>
          </w:p>
        </w:tc>
        <w:tc>
          <w:tcPr>
            <w:tcW w:w="706" w:type="dxa"/>
            <w:noWrap w:val="0"/>
            <w:vAlign w:val="center"/>
          </w:tcPr>
          <w:p w14:paraId="7C913310">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7A1E232B">
            <w:pPr>
              <w:widowControl/>
              <w:jc w:val="center"/>
              <w:rPr>
                <w:rFonts w:ascii="宋体" w:hAnsi="宋体" w:cs="宋体"/>
                <w:kern w:val="0"/>
                <w:sz w:val="16"/>
                <w:szCs w:val="16"/>
              </w:rPr>
            </w:pPr>
            <w:r>
              <w:rPr>
                <w:rFonts w:hint="eastAsia" w:ascii="宋体" w:hAnsi="宋体" w:cs="宋体"/>
                <w:kern w:val="0"/>
                <w:sz w:val="16"/>
                <w:szCs w:val="16"/>
              </w:rPr>
              <w:t>4</w:t>
            </w:r>
          </w:p>
        </w:tc>
        <w:tc>
          <w:tcPr>
            <w:tcW w:w="700" w:type="dxa"/>
            <w:noWrap w:val="0"/>
            <w:vAlign w:val="center"/>
          </w:tcPr>
          <w:p w14:paraId="7F292439">
            <w:pPr>
              <w:widowControl/>
              <w:jc w:val="center"/>
              <w:rPr>
                <w:rFonts w:ascii="宋体" w:hAnsi="宋体" w:cs="宋体"/>
                <w:kern w:val="0"/>
                <w:sz w:val="16"/>
                <w:szCs w:val="16"/>
              </w:rPr>
            </w:pPr>
            <w:r>
              <w:rPr>
                <w:rFonts w:hint="eastAsia" w:ascii="宋体" w:hAnsi="宋体" w:cs="宋体"/>
                <w:kern w:val="0"/>
                <w:sz w:val="16"/>
                <w:szCs w:val="16"/>
              </w:rPr>
              <w:t>2</w:t>
            </w:r>
          </w:p>
        </w:tc>
        <w:tc>
          <w:tcPr>
            <w:tcW w:w="786" w:type="dxa"/>
            <w:noWrap w:val="0"/>
            <w:vAlign w:val="center"/>
          </w:tcPr>
          <w:p w14:paraId="6D7301E6">
            <w:pPr>
              <w:widowControl/>
              <w:jc w:val="center"/>
              <w:rPr>
                <w:rFonts w:ascii="宋体" w:hAnsi="宋体" w:cs="宋体"/>
                <w:kern w:val="0"/>
                <w:sz w:val="16"/>
                <w:szCs w:val="16"/>
              </w:rPr>
            </w:pPr>
            <w:r>
              <w:rPr>
                <w:rFonts w:hint="eastAsia" w:ascii="宋体" w:hAnsi="宋体" w:cs="宋体"/>
                <w:kern w:val="0"/>
                <w:sz w:val="16"/>
                <w:szCs w:val="16"/>
              </w:rPr>
              <w:t>120</w:t>
            </w:r>
          </w:p>
        </w:tc>
        <w:tc>
          <w:tcPr>
            <w:tcW w:w="786" w:type="dxa"/>
            <w:noWrap w:val="0"/>
            <w:vAlign w:val="center"/>
          </w:tcPr>
          <w:p w14:paraId="59188877">
            <w:pPr>
              <w:widowControl/>
              <w:jc w:val="center"/>
              <w:rPr>
                <w:rFonts w:ascii="宋体" w:hAnsi="宋体" w:cs="宋体"/>
                <w:kern w:val="0"/>
                <w:sz w:val="16"/>
                <w:szCs w:val="16"/>
              </w:rPr>
            </w:pPr>
            <w:r>
              <w:rPr>
                <w:rFonts w:hint="eastAsia" w:ascii="宋体" w:hAnsi="宋体" w:cs="宋体"/>
                <w:kern w:val="0"/>
                <w:sz w:val="16"/>
                <w:szCs w:val="16"/>
              </w:rPr>
              <w:t>60</w:t>
            </w:r>
          </w:p>
        </w:tc>
        <w:tc>
          <w:tcPr>
            <w:tcW w:w="1080" w:type="dxa"/>
            <w:noWrap w:val="0"/>
            <w:vAlign w:val="center"/>
          </w:tcPr>
          <w:p w14:paraId="35482743">
            <w:pPr>
              <w:widowControl/>
              <w:jc w:val="center"/>
              <w:rPr>
                <w:rFonts w:ascii="宋体" w:hAnsi="宋体" w:cs="宋体"/>
                <w:kern w:val="0"/>
                <w:sz w:val="16"/>
                <w:szCs w:val="16"/>
              </w:rPr>
            </w:pPr>
            <w:r>
              <w:rPr>
                <w:rFonts w:hint="eastAsia" w:ascii="宋体" w:hAnsi="宋体" w:cs="宋体"/>
                <w:kern w:val="0"/>
                <w:sz w:val="16"/>
                <w:szCs w:val="16"/>
              </w:rPr>
              <w:t>0.8</w:t>
            </w:r>
          </w:p>
        </w:tc>
        <w:tc>
          <w:tcPr>
            <w:tcW w:w="640" w:type="dxa"/>
            <w:noWrap w:val="0"/>
            <w:vAlign w:val="center"/>
          </w:tcPr>
          <w:p w14:paraId="0D692506">
            <w:pPr>
              <w:widowControl/>
              <w:jc w:val="center"/>
              <w:rPr>
                <w:kern w:val="0"/>
                <w:sz w:val="16"/>
                <w:szCs w:val="16"/>
              </w:rPr>
            </w:pPr>
            <w:r>
              <w:rPr>
                <w:kern w:val="0"/>
                <w:sz w:val="16"/>
                <w:szCs w:val="16"/>
              </w:rPr>
              <w:t>0.7</w:t>
            </w:r>
          </w:p>
        </w:tc>
        <w:tc>
          <w:tcPr>
            <w:tcW w:w="580" w:type="dxa"/>
            <w:noWrap w:val="0"/>
            <w:vAlign w:val="center"/>
          </w:tcPr>
          <w:p w14:paraId="154DFA59">
            <w:pPr>
              <w:widowControl/>
              <w:jc w:val="center"/>
              <w:rPr>
                <w:kern w:val="0"/>
                <w:sz w:val="16"/>
                <w:szCs w:val="16"/>
              </w:rPr>
            </w:pPr>
            <w:r>
              <w:rPr>
                <w:kern w:val="0"/>
                <w:sz w:val="16"/>
                <w:szCs w:val="16"/>
              </w:rPr>
              <w:t>1.02</w:t>
            </w:r>
          </w:p>
        </w:tc>
        <w:tc>
          <w:tcPr>
            <w:tcW w:w="786" w:type="dxa"/>
            <w:noWrap w:val="0"/>
            <w:vAlign w:val="center"/>
          </w:tcPr>
          <w:p w14:paraId="1B13338F">
            <w:pPr>
              <w:widowControl/>
              <w:jc w:val="center"/>
              <w:rPr>
                <w:rFonts w:ascii="宋体" w:hAnsi="宋体" w:cs="宋体"/>
                <w:kern w:val="0"/>
                <w:sz w:val="16"/>
                <w:szCs w:val="16"/>
              </w:rPr>
            </w:pPr>
            <w:r>
              <w:rPr>
                <w:rFonts w:hint="eastAsia" w:ascii="宋体" w:hAnsi="宋体" w:cs="宋体"/>
                <w:kern w:val="0"/>
                <w:sz w:val="16"/>
                <w:szCs w:val="16"/>
              </w:rPr>
              <w:t>48</w:t>
            </w:r>
          </w:p>
        </w:tc>
        <w:tc>
          <w:tcPr>
            <w:tcW w:w="892" w:type="dxa"/>
            <w:noWrap w:val="0"/>
            <w:vAlign w:val="center"/>
          </w:tcPr>
          <w:p w14:paraId="4940313B">
            <w:pPr>
              <w:widowControl/>
              <w:jc w:val="center"/>
              <w:rPr>
                <w:kern w:val="0"/>
                <w:sz w:val="16"/>
                <w:szCs w:val="16"/>
              </w:rPr>
            </w:pPr>
            <w:r>
              <w:rPr>
                <w:kern w:val="0"/>
                <w:sz w:val="16"/>
                <w:szCs w:val="16"/>
              </w:rPr>
              <w:t>48.96</w:t>
            </w:r>
          </w:p>
        </w:tc>
        <w:tc>
          <w:tcPr>
            <w:tcW w:w="857" w:type="dxa"/>
            <w:noWrap w:val="0"/>
            <w:vAlign w:val="center"/>
          </w:tcPr>
          <w:p w14:paraId="1EC33760">
            <w:pPr>
              <w:widowControl/>
              <w:jc w:val="center"/>
              <w:rPr>
                <w:rFonts w:ascii="宋体" w:hAnsi="宋体" w:cs="宋体"/>
                <w:kern w:val="0"/>
                <w:sz w:val="16"/>
                <w:szCs w:val="16"/>
              </w:rPr>
            </w:pPr>
            <w:r>
              <w:rPr>
                <w:rFonts w:hint="eastAsia" w:ascii="宋体" w:hAnsi="宋体" w:cs="宋体"/>
                <w:kern w:val="0"/>
                <w:sz w:val="16"/>
                <w:szCs w:val="16"/>
              </w:rPr>
              <w:t>68.56</w:t>
            </w:r>
          </w:p>
        </w:tc>
        <w:tc>
          <w:tcPr>
            <w:tcW w:w="1120" w:type="dxa"/>
            <w:noWrap w:val="0"/>
            <w:vAlign w:val="center"/>
          </w:tcPr>
          <w:p w14:paraId="5F24BA18">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49E35A40">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134832F5">
            <w:pPr>
              <w:widowControl/>
              <w:jc w:val="left"/>
              <w:rPr>
                <w:rFonts w:ascii="宋体" w:hAnsi="宋体" w:cs="宋体"/>
                <w:kern w:val="0"/>
                <w:sz w:val="20"/>
                <w:szCs w:val="20"/>
              </w:rPr>
            </w:pPr>
            <w:r>
              <w:rPr>
                <w:rFonts w:hint="eastAsia" w:ascii="宋体" w:hAnsi="宋体" w:cs="宋体"/>
                <w:kern w:val="0"/>
                <w:sz w:val="20"/>
                <w:szCs w:val="20"/>
              </w:rPr>
              <w:t>　</w:t>
            </w:r>
          </w:p>
        </w:tc>
      </w:tr>
      <w:tr w14:paraId="0374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39A60968">
            <w:pPr>
              <w:widowControl/>
              <w:jc w:val="center"/>
              <w:rPr>
                <w:rFonts w:ascii="宋体" w:hAnsi="宋体" w:cs="宋体"/>
                <w:kern w:val="0"/>
                <w:sz w:val="16"/>
                <w:szCs w:val="16"/>
              </w:rPr>
            </w:pPr>
            <w:r>
              <w:rPr>
                <w:rFonts w:hint="eastAsia" w:ascii="宋体" w:hAnsi="宋体" w:cs="宋体"/>
                <w:kern w:val="0"/>
                <w:sz w:val="16"/>
                <w:szCs w:val="16"/>
              </w:rPr>
              <w:t>四</w:t>
            </w:r>
          </w:p>
        </w:tc>
        <w:tc>
          <w:tcPr>
            <w:tcW w:w="2040" w:type="dxa"/>
            <w:noWrap w:val="0"/>
            <w:vAlign w:val="center"/>
          </w:tcPr>
          <w:p w14:paraId="7840BB1D">
            <w:pPr>
              <w:widowControl/>
              <w:jc w:val="left"/>
              <w:rPr>
                <w:rFonts w:ascii="宋体" w:hAnsi="宋体" w:cs="宋体"/>
                <w:kern w:val="0"/>
                <w:sz w:val="16"/>
                <w:szCs w:val="16"/>
              </w:rPr>
            </w:pPr>
            <w:r>
              <w:rPr>
                <w:rFonts w:hint="eastAsia" w:ascii="宋体" w:hAnsi="宋体" w:cs="宋体"/>
                <w:kern w:val="0"/>
                <w:sz w:val="16"/>
                <w:szCs w:val="16"/>
              </w:rPr>
              <w:t>掘</w:t>
            </w:r>
            <w:r>
              <w:rPr>
                <w:kern w:val="0"/>
                <w:sz w:val="16"/>
                <w:szCs w:val="16"/>
              </w:rPr>
              <w:t>1</w:t>
            </w:r>
          </w:p>
        </w:tc>
        <w:tc>
          <w:tcPr>
            <w:tcW w:w="706" w:type="dxa"/>
            <w:noWrap w:val="0"/>
            <w:vAlign w:val="center"/>
          </w:tcPr>
          <w:p w14:paraId="2378D992">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B09563F">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213C9A24">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0FB1D53D">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4CF94A11">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334D1576">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55E55A2F">
            <w:pPr>
              <w:widowControl/>
              <w:jc w:val="center"/>
              <w:rPr>
                <w:kern w:val="0"/>
                <w:sz w:val="16"/>
                <w:szCs w:val="16"/>
              </w:rPr>
            </w:pPr>
            <w:r>
              <w:rPr>
                <w:kern w:val="0"/>
                <w:sz w:val="16"/>
                <w:szCs w:val="16"/>
              </w:rPr>
              <w:t>　</w:t>
            </w:r>
          </w:p>
        </w:tc>
        <w:tc>
          <w:tcPr>
            <w:tcW w:w="580" w:type="dxa"/>
            <w:noWrap w:val="0"/>
            <w:vAlign w:val="center"/>
          </w:tcPr>
          <w:p w14:paraId="628429D2">
            <w:pPr>
              <w:widowControl/>
              <w:jc w:val="center"/>
              <w:rPr>
                <w:kern w:val="0"/>
                <w:sz w:val="16"/>
                <w:szCs w:val="16"/>
              </w:rPr>
            </w:pPr>
            <w:r>
              <w:rPr>
                <w:kern w:val="0"/>
                <w:sz w:val="16"/>
                <w:szCs w:val="16"/>
              </w:rPr>
              <w:t>　</w:t>
            </w:r>
          </w:p>
        </w:tc>
        <w:tc>
          <w:tcPr>
            <w:tcW w:w="786" w:type="dxa"/>
            <w:noWrap w:val="0"/>
            <w:vAlign w:val="center"/>
          </w:tcPr>
          <w:p w14:paraId="64A457A5">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4AF1BD6">
            <w:pPr>
              <w:widowControl/>
              <w:jc w:val="center"/>
              <w:rPr>
                <w:kern w:val="0"/>
                <w:sz w:val="16"/>
                <w:szCs w:val="16"/>
              </w:rPr>
            </w:pPr>
            <w:r>
              <w:rPr>
                <w:kern w:val="0"/>
                <w:sz w:val="16"/>
                <w:szCs w:val="16"/>
              </w:rPr>
              <w:t>　</w:t>
            </w:r>
          </w:p>
        </w:tc>
        <w:tc>
          <w:tcPr>
            <w:tcW w:w="857" w:type="dxa"/>
            <w:noWrap w:val="0"/>
            <w:vAlign w:val="center"/>
          </w:tcPr>
          <w:p w14:paraId="5FA0C011">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0C75FF31">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B3275CD">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51CB4D6E">
            <w:pPr>
              <w:widowControl/>
              <w:jc w:val="left"/>
              <w:rPr>
                <w:rFonts w:ascii="宋体" w:hAnsi="宋体" w:cs="宋体"/>
                <w:kern w:val="0"/>
                <w:sz w:val="20"/>
                <w:szCs w:val="20"/>
              </w:rPr>
            </w:pPr>
            <w:r>
              <w:rPr>
                <w:rFonts w:hint="eastAsia" w:ascii="宋体" w:hAnsi="宋体" w:cs="宋体"/>
                <w:kern w:val="0"/>
                <w:sz w:val="20"/>
                <w:szCs w:val="20"/>
              </w:rPr>
              <w:t>　</w:t>
            </w:r>
          </w:p>
        </w:tc>
      </w:tr>
      <w:tr w14:paraId="5276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38767D98">
            <w:pPr>
              <w:widowControl/>
              <w:jc w:val="center"/>
              <w:rPr>
                <w:rFonts w:ascii="宋体" w:hAnsi="宋体" w:cs="宋体"/>
                <w:kern w:val="0"/>
                <w:sz w:val="16"/>
                <w:szCs w:val="16"/>
              </w:rPr>
            </w:pPr>
            <w:r>
              <w:rPr>
                <w:rFonts w:hint="eastAsia" w:ascii="宋体" w:hAnsi="宋体" w:cs="宋体"/>
                <w:kern w:val="0"/>
                <w:sz w:val="16"/>
                <w:szCs w:val="16"/>
              </w:rPr>
              <w:t>1</w:t>
            </w:r>
          </w:p>
        </w:tc>
        <w:tc>
          <w:tcPr>
            <w:tcW w:w="2040" w:type="dxa"/>
            <w:noWrap w:val="0"/>
            <w:vAlign w:val="center"/>
          </w:tcPr>
          <w:p w14:paraId="1478E11E">
            <w:pPr>
              <w:widowControl/>
              <w:jc w:val="left"/>
              <w:rPr>
                <w:rFonts w:ascii="宋体" w:hAnsi="宋体" w:cs="宋体"/>
                <w:kern w:val="0"/>
                <w:sz w:val="16"/>
                <w:szCs w:val="16"/>
              </w:rPr>
            </w:pPr>
            <w:r>
              <w:rPr>
                <w:rFonts w:hint="eastAsia" w:ascii="宋体" w:hAnsi="宋体" w:cs="宋体"/>
                <w:kern w:val="0"/>
                <w:sz w:val="16"/>
                <w:szCs w:val="16"/>
              </w:rPr>
              <w:t>煤电钻</w:t>
            </w:r>
          </w:p>
        </w:tc>
        <w:tc>
          <w:tcPr>
            <w:tcW w:w="706" w:type="dxa"/>
            <w:noWrap w:val="0"/>
            <w:vAlign w:val="center"/>
          </w:tcPr>
          <w:p w14:paraId="0F845D0D">
            <w:pPr>
              <w:widowControl/>
              <w:jc w:val="center"/>
              <w:rPr>
                <w:rFonts w:ascii="宋体" w:hAnsi="宋体" w:cs="宋体"/>
                <w:kern w:val="0"/>
                <w:sz w:val="16"/>
                <w:szCs w:val="16"/>
              </w:rPr>
            </w:pPr>
            <w:r>
              <w:rPr>
                <w:rFonts w:hint="eastAsia" w:ascii="宋体" w:hAnsi="宋体" w:cs="宋体"/>
                <w:kern w:val="0"/>
                <w:sz w:val="16"/>
                <w:szCs w:val="16"/>
              </w:rPr>
              <w:t>0.127</w:t>
            </w:r>
          </w:p>
        </w:tc>
        <w:tc>
          <w:tcPr>
            <w:tcW w:w="700" w:type="dxa"/>
            <w:noWrap w:val="0"/>
            <w:vAlign w:val="center"/>
          </w:tcPr>
          <w:p w14:paraId="35228A32">
            <w:pPr>
              <w:widowControl/>
              <w:jc w:val="center"/>
              <w:rPr>
                <w:rFonts w:ascii="宋体" w:hAnsi="宋体" w:cs="宋体"/>
                <w:kern w:val="0"/>
                <w:sz w:val="16"/>
                <w:szCs w:val="16"/>
              </w:rPr>
            </w:pPr>
            <w:r>
              <w:rPr>
                <w:rFonts w:hint="eastAsia" w:ascii="宋体" w:hAnsi="宋体" w:cs="宋体"/>
                <w:kern w:val="0"/>
                <w:sz w:val="16"/>
                <w:szCs w:val="16"/>
              </w:rPr>
              <w:t>3</w:t>
            </w:r>
          </w:p>
        </w:tc>
        <w:tc>
          <w:tcPr>
            <w:tcW w:w="700" w:type="dxa"/>
            <w:noWrap w:val="0"/>
            <w:vAlign w:val="center"/>
          </w:tcPr>
          <w:p w14:paraId="19D6E7D3">
            <w:pPr>
              <w:widowControl/>
              <w:jc w:val="center"/>
              <w:rPr>
                <w:rFonts w:ascii="宋体" w:hAnsi="宋体" w:cs="宋体"/>
                <w:kern w:val="0"/>
                <w:sz w:val="16"/>
                <w:szCs w:val="16"/>
              </w:rPr>
            </w:pPr>
            <w:r>
              <w:rPr>
                <w:rFonts w:hint="eastAsia" w:ascii="宋体" w:hAnsi="宋体" w:cs="宋体"/>
                <w:kern w:val="0"/>
                <w:sz w:val="16"/>
                <w:szCs w:val="16"/>
              </w:rPr>
              <w:t>2</w:t>
            </w:r>
          </w:p>
        </w:tc>
        <w:tc>
          <w:tcPr>
            <w:tcW w:w="786" w:type="dxa"/>
            <w:noWrap w:val="0"/>
            <w:vAlign w:val="center"/>
          </w:tcPr>
          <w:p w14:paraId="16B071A8">
            <w:pPr>
              <w:widowControl/>
              <w:jc w:val="center"/>
              <w:rPr>
                <w:rFonts w:ascii="宋体" w:hAnsi="宋体" w:cs="宋体"/>
                <w:kern w:val="0"/>
                <w:sz w:val="16"/>
                <w:szCs w:val="16"/>
              </w:rPr>
            </w:pPr>
            <w:r>
              <w:rPr>
                <w:rFonts w:hint="eastAsia" w:ascii="宋体" w:hAnsi="宋体" w:cs="宋体"/>
                <w:kern w:val="0"/>
                <w:sz w:val="16"/>
                <w:szCs w:val="16"/>
              </w:rPr>
              <w:t>3.6</w:t>
            </w:r>
          </w:p>
        </w:tc>
        <w:tc>
          <w:tcPr>
            <w:tcW w:w="786" w:type="dxa"/>
            <w:noWrap w:val="0"/>
            <w:vAlign w:val="center"/>
          </w:tcPr>
          <w:p w14:paraId="7E50E6EF">
            <w:pPr>
              <w:widowControl/>
              <w:jc w:val="center"/>
              <w:rPr>
                <w:rFonts w:ascii="宋体" w:hAnsi="宋体" w:cs="宋体"/>
                <w:kern w:val="0"/>
                <w:sz w:val="16"/>
                <w:szCs w:val="16"/>
              </w:rPr>
            </w:pPr>
            <w:r>
              <w:rPr>
                <w:rFonts w:hint="eastAsia" w:ascii="宋体" w:hAnsi="宋体" w:cs="宋体"/>
                <w:kern w:val="0"/>
                <w:sz w:val="16"/>
                <w:szCs w:val="16"/>
              </w:rPr>
              <w:t>2.4</w:t>
            </w:r>
          </w:p>
        </w:tc>
        <w:tc>
          <w:tcPr>
            <w:tcW w:w="1080" w:type="dxa"/>
            <w:noWrap w:val="0"/>
            <w:vAlign w:val="center"/>
          </w:tcPr>
          <w:p w14:paraId="7317A9E7">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287993AE">
            <w:pPr>
              <w:widowControl/>
              <w:jc w:val="center"/>
              <w:rPr>
                <w:kern w:val="0"/>
                <w:sz w:val="16"/>
                <w:szCs w:val="16"/>
              </w:rPr>
            </w:pPr>
            <w:r>
              <w:rPr>
                <w:kern w:val="0"/>
                <w:sz w:val="16"/>
                <w:szCs w:val="16"/>
              </w:rPr>
              <w:t>　</w:t>
            </w:r>
          </w:p>
        </w:tc>
        <w:tc>
          <w:tcPr>
            <w:tcW w:w="580" w:type="dxa"/>
            <w:noWrap w:val="0"/>
            <w:vAlign w:val="center"/>
          </w:tcPr>
          <w:p w14:paraId="1FA17616">
            <w:pPr>
              <w:widowControl/>
              <w:jc w:val="center"/>
              <w:rPr>
                <w:kern w:val="0"/>
                <w:sz w:val="16"/>
                <w:szCs w:val="16"/>
              </w:rPr>
            </w:pPr>
            <w:r>
              <w:rPr>
                <w:kern w:val="0"/>
                <w:sz w:val="16"/>
                <w:szCs w:val="16"/>
              </w:rPr>
              <w:t>　</w:t>
            </w:r>
          </w:p>
        </w:tc>
        <w:tc>
          <w:tcPr>
            <w:tcW w:w="786" w:type="dxa"/>
            <w:noWrap w:val="0"/>
            <w:vAlign w:val="center"/>
          </w:tcPr>
          <w:p w14:paraId="43B17691">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0C3BD29F">
            <w:pPr>
              <w:widowControl/>
              <w:jc w:val="center"/>
              <w:rPr>
                <w:kern w:val="0"/>
                <w:sz w:val="16"/>
                <w:szCs w:val="16"/>
              </w:rPr>
            </w:pPr>
            <w:r>
              <w:rPr>
                <w:kern w:val="0"/>
                <w:sz w:val="16"/>
                <w:szCs w:val="16"/>
              </w:rPr>
              <w:t>　</w:t>
            </w:r>
          </w:p>
        </w:tc>
        <w:tc>
          <w:tcPr>
            <w:tcW w:w="857" w:type="dxa"/>
            <w:noWrap w:val="0"/>
            <w:vAlign w:val="center"/>
          </w:tcPr>
          <w:p w14:paraId="30CEC729">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5C48428">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8584C6A">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546798A7">
            <w:pPr>
              <w:widowControl/>
              <w:jc w:val="left"/>
              <w:rPr>
                <w:rFonts w:ascii="宋体" w:hAnsi="宋体" w:cs="宋体"/>
                <w:kern w:val="0"/>
                <w:sz w:val="20"/>
                <w:szCs w:val="20"/>
              </w:rPr>
            </w:pPr>
            <w:r>
              <w:rPr>
                <w:rFonts w:hint="eastAsia" w:ascii="宋体" w:hAnsi="宋体" w:cs="宋体"/>
                <w:kern w:val="0"/>
                <w:sz w:val="20"/>
                <w:szCs w:val="20"/>
              </w:rPr>
              <w:t>　</w:t>
            </w:r>
          </w:p>
        </w:tc>
      </w:tr>
      <w:tr w14:paraId="329B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42226A1D">
            <w:pPr>
              <w:widowControl/>
              <w:jc w:val="center"/>
              <w:rPr>
                <w:rFonts w:ascii="宋体" w:hAnsi="宋体" w:cs="宋体"/>
                <w:kern w:val="0"/>
                <w:sz w:val="16"/>
                <w:szCs w:val="16"/>
              </w:rPr>
            </w:pPr>
            <w:r>
              <w:rPr>
                <w:rFonts w:hint="eastAsia" w:ascii="宋体" w:hAnsi="宋体" w:cs="宋体"/>
                <w:kern w:val="0"/>
                <w:sz w:val="16"/>
                <w:szCs w:val="16"/>
              </w:rPr>
              <w:t>2</w:t>
            </w:r>
          </w:p>
        </w:tc>
        <w:tc>
          <w:tcPr>
            <w:tcW w:w="2040" w:type="dxa"/>
            <w:noWrap w:val="0"/>
            <w:vAlign w:val="center"/>
          </w:tcPr>
          <w:p w14:paraId="474C7FFB">
            <w:pPr>
              <w:widowControl/>
              <w:jc w:val="left"/>
              <w:rPr>
                <w:rFonts w:ascii="宋体" w:hAnsi="宋体" w:cs="宋体"/>
                <w:kern w:val="0"/>
                <w:sz w:val="16"/>
                <w:szCs w:val="16"/>
              </w:rPr>
            </w:pPr>
            <w:r>
              <w:rPr>
                <w:rFonts w:hint="eastAsia" w:ascii="宋体" w:hAnsi="宋体" w:cs="宋体"/>
                <w:kern w:val="0"/>
                <w:sz w:val="16"/>
                <w:szCs w:val="16"/>
              </w:rPr>
              <w:t>探水钻</w:t>
            </w:r>
          </w:p>
        </w:tc>
        <w:tc>
          <w:tcPr>
            <w:tcW w:w="706" w:type="dxa"/>
            <w:noWrap w:val="0"/>
            <w:vAlign w:val="center"/>
          </w:tcPr>
          <w:p w14:paraId="33F129C2">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2FB8E213">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04D50289">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075080F3">
            <w:pPr>
              <w:widowControl/>
              <w:jc w:val="center"/>
              <w:rPr>
                <w:rFonts w:ascii="宋体" w:hAnsi="宋体" w:cs="宋体"/>
                <w:kern w:val="0"/>
                <w:sz w:val="16"/>
                <w:szCs w:val="16"/>
              </w:rPr>
            </w:pPr>
            <w:r>
              <w:rPr>
                <w:rFonts w:hint="eastAsia" w:ascii="宋体" w:hAnsi="宋体" w:cs="宋体"/>
                <w:kern w:val="0"/>
                <w:sz w:val="16"/>
                <w:szCs w:val="16"/>
              </w:rPr>
              <w:t>18.5</w:t>
            </w:r>
          </w:p>
        </w:tc>
        <w:tc>
          <w:tcPr>
            <w:tcW w:w="786" w:type="dxa"/>
            <w:noWrap w:val="0"/>
            <w:vAlign w:val="center"/>
          </w:tcPr>
          <w:p w14:paraId="3E010617">
            <w:pPr>
              <w:widowControl/>
              <w:jc w:val="center"/>
              <w:rPr>
                <w:rFonts w:ascii="宋体" w:hAnsi="宋体" w:cs="宋体"/>
                <w:kern w:val="0"/>
                <w:sz w:val="16"/>
                <w:szCs w:val="16"/>
              </w:rPr>
            </w:pPr>
            <w:r>
              <w:rPr>
                <w:rFonts w:hint="eastAsia" w:ascii="宋体" w:hAnsi="宋体" w:cs="宋体"/>
                <w:kern w:val="0"/>
                <w:sz w:val="16"/>
                <w:szCs w:val="16"/>
              </w:rPr>
              <w:t>18.5</w:t>
            </w:r>
          </w:p>
        </w:tc>
        <w:tc>
          <w:tcPr>
            <w:tcW w:w="1080" w:type="dxa"/>
            <w:noWrap w:val="0"/>
            <w:vAlign w:val="center"/>
          </w:tcPr>
          <w:p w14:paraId="1A2024FB">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091728BC">
            <w:pPr>
              <w:widowControl/>
              <w:jc w:val="center"/>
              <w:rPr>
                <w:kern w:val="0"/>
                <w:sz w:val="16"/>
                <w:szCs w:val="16"/>
              </w:rPr>
            </w:pPr>
            <w:r>
              <w:rPr>
                <w:kern w:val="0"/>
                <w:sz w:val="16"/>
                <w:szCs w:val="16"/>
              </w:rPr>
              <w:t>　</w:t>
            </w:r>
          </w:p>
        </w:tc>
        <w:tc>
          <w:tcPr>
            <w:tcW w:w="580" w:type="dxa"/>
            <w:noWrap w:val="0"/>
            <w:vAlign w:val="center"/>
          </w:tcPr>
          <w:p w14:paraId="1BCD4BA7">
            <w:pPr>
              <w:widowControl/>
              <w:jc w:val="center"/>
              <w:rPr>
                <w:kern w:val="0"/>
                <w:sz w:val="16"/>
                <w:szCs w:val="16"/>
              </w:rPr>
            </w:pPr>
            <w:r>
              <w:rPr>
                <w:kern w:val="0"/>
                <w:sz w:val="16"/>
                <w:szCs w:val="16"/>
              </w:rPr>
              <w:t>　</w:t>
            </w:r>
          </w:p>
        </w:tc>
        <w:tc>
          <w:tcPr>
            <w:tcW w:w="786" w:type="dxa"/>
            <w:noWrap w:val="0"/>
            <w:vAlign w:val="center"/>
          </w:tcPr>
          <w:p w14:paraId="3BB152D7">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5B49E959">
            <w:pPr>
              <w:widowControl/>
              <w:jc w:val="center"/>
              <w:rPr>
                <w:kern w:val="0"/>
                <w:sz w:val="16"/>
                <w:szCs w:val="16"/>
              </w:rPr>
            </w:pPr>
            <w:r>
              <w:rPr>
                <w:kern w:val="0"/>
                <w:sz w:val="16"/>
                <w:szCs w:val="16"/>
              </w:rPr>
              <w:t>　</w:t>
            </w:r>
          </w:p>
        </w:tc>
        <w:tc>
          <w:tcPr>
            <w:tcW w:w="857" w:type="dxa"/>
            <w:noWrap w:val="0"/>
            <w:vAlign w:val="center"/>
          </w:tcPr>
          <w:p w14:paraId="29407FA5">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0E54AC7">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1408A30">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327ADE5C">
            <w:pPr>
              <w:widowControl/>
              <w:jc w:val="left"/>
              <w:rPr>
                <w:rFonts w:ascii="宋体" w:hAnsi="宋体" w:cs="宋体"/>
                <w:kern w:val="0"/>
                <w:sz w:val="20"/>
                <w:szCs w:val="20"/>
              </w:rPr>
            </w:pPr>
            <w:r>
              <w:rPr>
                <w:rFonts w:hint="eastAsia" w:ascii="宋体" w:hAnsi="宋体" w:cs="宋体"/>
                <w:kern w:val="0"/>
                <w:sz w:val="20"/>
                <w:szCs w:val="20"/>
              </w:rPr>
              <w:t>　</w:t>
            </w:r>
          </w:p>
        </w:tc>
      </w:tr>
      <w:tr w14:paraId="1DAF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135D6090">
            <w:pPr>
              <w:widowControl/>
              <w:jc w:val="center"/>
              <w:rPr>
                <w:rFonts w:ascii="宋体" w:hAnsi="宋体" w:cs="宋体"/>
                <w:kern w:val="0"/>
                <w:sz w:val="16"/>
                <w:szCs w:val="16"/>
              </w:rPr>
            </w:pPr>
            <w:r>
              <w:rPr>
                <w:rFonts w:hint="eastAsia" w:ascii="宋体" w:hAnsi="宋体" w:cs="宋体"/>
                <w:kern w:val="0"/>
                <w:sz w:val="16"/>
                <w:szCs w:val="16"/>
              </w:rPr>
              <w:t>3</w:t>
            </w:r>
          </w:p>
        </w:tc>
        <w:tc>
          <w:tcPr>
            <w:tcW w:w="2040" w:type="dxa"/>
            <w:noWrap w:val="0"/>
            <w:vAlign w:val="center"/>
          </w:tcPr>
          <w:p w14:paraId="6463A23D">
            <w:pPr>
              <w:widowControl/>
              <w:jc w:val="left"/>
              <w:rPr>
                <w:rFonts w:ascii="宋体" w:hAnsi="宋体" w:cs="宋体"/>
                <w:kern w:val="0"/>
                <w:sz w:val="16"/>
                <w:szCs w:val="16"/>
              </w:rPr>
            </w:pPr>
            <w:r>
              <w:rPr>
                <w:rFonts w:hint="eastAsia" w:ascii="宋体" w:hAnsi="宋体" w:cs="宋体"/>
                <w:kern w:val="0"/>
                <w:sz w:val="16"/>
                <w:szCs w:val="16"/>
              </w:rPr>
              <w:t>污水泵</w:t>
            </w:r>
          </w:p>
        </w:tc>
        <w:tc>
          <w:tcPr>
            <w:tcW w:w="706" w:type="dxa"/>
            <w:noWrap w:val="0"/>
            <w:vAlign w:val="center"/>
          </w:tcPr>
          <w:p w14:paraId="00FB407C">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1DFBBADA">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696EE7B7">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4E56ACFE">
            <w:pPr>
              <w:widowControl/>
              <w:jc w:val="center"/>
              <w:rPr>
                <w:rFonts w:ascii="宋体" w:hAnsi="宋体" w:cs="宋体"/>
                <w:kern w:val="0"/>
                <w:sz w:val="16"/>
                <w:szCs w:val="16"/>
              </w:rPr>
            </w:pPr>
            <w:r>
              <w:rPr>
                <w:rFonts w:hint="eastAsia" w:ascii="宋体" w:hAnsi="宋体" w:cs="宋体"/>
                <w:kern w:val="0"/>
                <w:sz w:val="16"/>
                <w:szCs w:val="16"/>
              </w:rPr>
              <w:t>4.4</w:t>
            </w:r>
          </w:p>
        </w:tc>
        <w:tc>
          <w:tcPr>
            <w:tcW w:w="786" w:type="dxa"/>
            <w:noWrap w:val="0"/>
            <w:vAlign w:val="center"/>
          </w:tcPr>
          <w:p w14:paraId="5B6F6EE1">
            <w:pPr>
              <w:widowControl/>
              <w:jc w:val="center"/>
              <w:rPr>
                <w:rFonts w:ascii="宋体" w:hAnsi="宋体" w:cs="宋体"/>
                <w:kern w:val="0"/>
                <w:sz w:val="16"/>
                <w:szCs w:val="16"/>
              </w:rPr>
            </w:pPr>
            <w:r>
              <w:rPr>
                <w:rFonts w:hint="eastAsia" w:ascii="宋体" w:hAnsi="宋体" w:cs="宋体"/>
                <w:kern w:val="0"/>
                <w:sz w:val="16"/>
                <w:szCs w:val="16"/>
              </w:rPr>
              <w:t>2.2</w:t>
            </w:r>
          </w:p>
        </w:tc>
        <w:tc>
          <w:tcPr>
            <w:tcW w:w="1080" w:type="dxa"/>
            <w:noWrap w:val="0"/>
            <w:vAlign w:val="center"/>
          </w:tcPr>
          <w:p w14:paraId="08274EA0">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024A776A">
            <w:pPr>
              <w:widowControl/>
              <w:jc w:val="center"/>
              <w:rPr>
                <w:kern w:val="0"/>
                <w:sz w:val="16"/>
                <w:szCs w:val="16"/>
              </w:rPr>
            </w:pPr>
            <w:r>
              <w:rPr>
                <w:kern w:val="0"/>
                <w:sz w:val="16"/>
                <w:szCs w:val="16"/>
              </w:rPr>
              <w:t>　</w:t>
            </w:r>
          </w:p>
        </w:tc>
        <w:tc>
          <w:tcPr>
            <w:tcW w:w="580" w:type="dxa"/>
            <w:noWrap w:val="0"/>
            <w:vAlign w:val="center"/>
          </w:tcPr>
          <w:p w14:paraId="06C9F86B">
            <w:pPr>
              <w:widowControl/>
              <w:jc w:val="center"/>
              <w:rPr>
                <w:kern w:val="0"/>
                <w:sz w:val="16"/>
                <w:szCs w:val="16"/>
              </w:rPr>
            </w:pPr>
            <w:r>
              <w:rPr>
                <w:kern w:val="0"/>
                <w:sz w:val="16"/>
                <w:szCs w:val="16"/>
              </w:rPr>
              <w:t>　</w:t>
            </w:r>
          </w:p>
        </w:tc>
        <w:tc>
          <w:tcPr>
            <w:tcW w:w="786" w:type="dxa"/>
            <w:noWrap w:val="0"/>
            <w:vAlign w:val="center"/>
          </w:tcPr>
          <w:p w14:paraId="3413CBFD">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3A5D0776">
            <w:pPr>
              <w:widowControl/>
              <w:jc w:val="center"/>
              <w:rPr>
                <w:kern w:val="0"/>
                <w:sz w:val="16"/>
                <w:szCs w:val="16"/>
              </w:rPr>
            </w:pPr>
            <w:r>
              <w:rPr>
                <w:kern w:val="0"/>
                <w:sz w:val="16"/>
                <w:szCs w:val="16"/>
              </w:rPr>
              <w:t>　</w:t>
            </w:r>
          </w:p>
        </w:tc>
        <w:tc>
          <w:tcPr>
            <w:tcW w:w="857" w:type="dxa"/>
            <w:noWrap w:val="0"/>
            <w:vAlign w:val="center"/>
          </w:tcPr>
          <w:p w14:paraId="32DAA2D5">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4782A528">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2234AC2">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0E549710">
            <w:pPr>
              <w:widowControl/>
              <w:jc w:val="left"/>
              <w:rPr>
                <w:rFonts w:ascii="宋体" w:hAnsi="宋体" w:cs="宋体"/>
                <w:kern w:val="0"/>
                <w:sz w:val="20"/>
                <w:szCs w:val="20"/>
              </w:rPr>
            </w:pPr>
            <w:r>
              <w:rPr>
                <w:rFonts w:hint="eastAsia" w:ascii="宋体" w:hAnsi="宋体" w:cs="宋体"/>
                <w:kern w:val="0"/>
                <w:sz w:val="20"/>
                <w:szCs w:val="20"/>
              </w:rPr>
              <w:t>　</w:t>
            </w:r>
          </w:p>
        </w:tc>
      </w:tr>
      <w:tr w14:paraId="5126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4A131CB5">
            <w:pPr>
              <w:widowControl/>
              <w:jc w:val="center"/>
              <w:rPr>
                <w:rFonts w:ascii="宋体" w:hAnsi="宋体" w:cs="宋体"/>
                <w:kern w:val="0"/>
                <w:sz w:val="16"/>
                <w:szCs w:val="16"/>
              </w:rPr>
            </w:pPr>
            <w:r>
              <w:rPr>
                <w:rFonts w:hint="eastAsia" w:ascii="宋体" w:hAnsi="宋体" w:cs="宋体"/>
                <w:kern w:val="0"/>
                <w:sz w:val="16"/>
                <w:szCs w:val="16"/>
              </w:rPr>
              <w:t>4</w:t>
            </w:r>
          </w:p>
        </w:tc>
        <w:tc>
          <w:tcPr>
            <w:tcW w:w="2040" w:type="dxa"/>
            <w:noWrap w:val="0"/>
            <w:vAlign w:val="center"/>
          </w:tcPr>
          <w:p w14:paraId="2E76D5C5">
            <w:pPr>
              <w:widowControl/>
              <w:jc w:val="left"/>
              <w:rPr>
                <w:rFonts w:ascii="宋体" w:hAnsi="宋体" w:cs="宋体"/>
                <w:kern w:val="0"/>
                <w:sz w:val="16"/>
                <w:szCs w:val="16"/>
              </w:rPr>
            </w:pPr>
            <w:r>
              <w:rPr>
                <w:rFonts w:hint="eastAsia" w:ascii="宋体" w:hAnsi="宋体" w:cs="宋体"/>
                <w:kern w:val="0"/>
                <w:sz w:val="16"/>
                <w:szCs w:val="16"/>
              </w:rPr>
              <w:t>混凝土喷射机</w:t>
            </w:r>
          </w:p>
        </w:tc>
        <w:tc>
          <w:tcPr>
            <w:tcW w:w="706" w:type="dxa"/>
            <w:noWrap w:val="0"/>
            <w:vAlign w:val="center"/>
          </w:tcPr>
          <w:p w14:paraId="438DAE04">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1BE8509E">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26A757B1">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1EA0AFC6">
            <w:pPr>
              <w:widowControl/>
              <w:jc w:val="center"/>
              <w:rPr>
                <w:rFonts w:ascii="宋体" w:hAnsi="宋体" w:cs="宋体"/>
                <w:kern w:val="0"/>
                <w:sz w:val="16"/>
                <w:szCs w:val="16"/>
              </w:rPr>
            </w:pPr>
            <w:r>
              <w:rPr>
                <w:rFonts w:hint="eastAsia" w:ascii="宋体" w:hAnsi="宋体" w:cs="宋体"/>
                <w:kern w:val="0"/>
                <w:sz w:val="16"/>
                <w:szCs w:val="16"/>
              </w:rPr>
              <w:t>11</w:t>
            </w:r>
          </w:p>
        </w:tc>
        <w:tc>
          <w:tcPr>
            <w:tcW w:w="786" w:type="dxa"/>
            <w:noWrap w:val="0"/>
            <w:vAlign w:val="center"/>
          </w:tcPr>
          <w:p w14:paraId="51EDD93D">
            <w:pPr>
              <w:widowControl/>
              <w:jc w:val="center"/>
              <w:rPr>
                <w:rFonts w:ascii="宋体" w:hAnsi="宋体" w:cs="宋体"/>
                <w:kern w:val="0"/>
                <w:sz w:val="16"/>
                <w:szCs w:val="16"/>
              </w:rPr>
            </w:pPr>
            <w:r>
              <w:rPr>
                <w:rFonts w:hint="eastAsia" w:ascii="宋体" w:hAnsi="宋体" w:cs="宋体"/>
                <w:kern w:val="0"/>
                <w:sz w:val="16"/>
                <w:szCs w:val="16"/>
              </w:rPr>
              <w:t>5.5</w:t>
            </w:r>
          </w:p>
        </w:tc>
        <w:tc>
          <w:tcPr>
            <w:tcW w:w="1080" w:type="dxa"/>
            <w:noWrap w:val="0"/>
            <w:vAlign w:val="center"/>
          </w:tcPr>
          <w:p w14:paraId="2F5A38D1">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4888C833">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19654043">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6CAEC45F">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2B211E58">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1E41B842">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0941CA3">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1607FA31">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129CD03">
            <w:pPr>
              <w:widowControl/>
              <w:jc w:val="left"/>
              <w:rPr>
                <w:rFonts w:ascii="宋体" w:hAnsi="宋体" w:cs="宋体"/>
                <w:kern w:val="0"/>
                <w:sz w:val="20"/>
                <w:szCs w:val="20"/>
              </w:rPr>
            </w:pPr>
            <w:r>
              <w:rPr>
                <w:rFonts w:hint="eastAsia" w:ascii="宋体" w:hAnsi="宋体" w:cs="宋体"/>
                <w:kern w:val="0"/>
                <w:sz w:val="20"/>
                <w:szCs w:val="20"/>
              </w:rPr>
              <w:t>　</w:t>
            </w:r>
          </w:p>
        </w:tc>
      </w:tr>
      <w:tr w14:paraId="21DD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4DEBF3FA">
            <w:pPr>
              <w:widowControl/>
              <w:jc w:val="center"/>
              <w:rPr>
                <w:rFonts w:ascii="宋体" w:hAnsi="宋体" w:cs="宋体"/>
                <w:kern w:val="0"/>
                <w:sz w:val="16"/>
                <w:szCs w:val="16"/>
              </w:rPr>
            </w:pPr>
            <w:r>
              <w:rPr>
                <w:rFonts w:hint="eastAsia" w:ascii="宋体" w:hAnsi="宋体" w:cs="宋体"/>
                <w:kern w:val="0"/>
                <w:sz w:val="16"/>
                <w:szCs w:val="16"/>
              </w:rPr>
              <w:t>5</w:t>
            </w:r>
          </w:p>
        </w:tc>
        <w:tc>
          <w:tcPr>
            <w:tcW w:w="2040" w:type="dxa"/>
            <w:noWrap w:val="0"/>
            <w:vAlign w:val="center"/>
          </w:tcPr>
          <w:p w14:paraId="1DB0A510">
            <w:pPr>
              <w:widowControl/>
              <w:jc w:val="left"/>
              <w:rPr>
                <w:rFonts w:ascii="宋体" w:hAnsi="宋体" w:cs="宋体"/>
                <w:kern w:val="0"/>
                <w:sz w:val="16"/>
                <w:szCs w:val="16"/>
              </w:rPr>
            </w:pPr>
            <w:r>
              <w:rPr>
                <w:rFonts w:hint="eastAsia" w:ascii="宋体" w:hAnsi="宋体" w:cs="宋体"/>
                <w:kern w:val="0"/>
                <w:sz w:val="16"/>
                <w:szCs w:val="16"/>
              </w:rPr>
              <w:t>安全钻机</w:t>
            </w:r>
          </w:p>
        </w:tc>
        <w:tc>
          <w:tcPr>
            <w:tcW w:w="706" w:type="dxa"/>
            <w:noWrap w:val="0"/>
            <w:vAlign w:val="center"/>
          </w:tcPr>
          <w:p w14:paraId="08A964EC">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7C2DF052">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47164D90">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202E2681">
            <w:pPr>
              <w:widowControl/>
              <w:jc w:val="center"/>
              <w:rPr>
                <w:rFonts w:ascii="宋体" w:hAnsi="宋体" w:cs="宋体"/>
                <w:kern w:val="0"/>
                <w:sz w:val="16"/>
                <w:szCs w:val="16"/>
              </w:rPr>
            </w:pPr>
            <w:r>
              <w:rPr>
                <w:rFonts w:hint="eastAsia" w:ascii="宋体" w:hAnsi="宋体" w:cs="宋体"/>
                <w:kern w:val="0"/>
                <w:sz w:val="16"/>
                <w:szCs w:val="16"/>
              </w:rPr>
              <w:t>17</w:t>
            </w:r>
          </w:p>
        </w:tc>
        <w:tc>
          <w:tcPr>
            <w:tcW w:w="786" w:type="dxa"/>
            <w:noWrap w:val="0"/>
            <w:vAlign w:val="center"/>
          </w:tcPr>
          <w:p w14:paraId="7F723CDB">
            <w:pPr>
              <w:widowControl/>
              <w:jc w:val="center"/>
              <w:rPr>
                <w:rFonts w:ascii="宋体" w:hAnsi="宋体" w:cs="宋体"/>
                <w:kern w:val="0"/>
                <w:sz w:val="16"/>
                <w:szCs w:val="16"/>
              </w:rPr>
            </w:pPr>
            <w:r>
              <w:rPr>
                <w:rFonts w:hint="eastAsia" w:ascii="宋体" w:hAnsi="宋体" w:cs="宋体"/>
                <w:kern w:val="0"/>
                <w:sz w:val="16"/>
                <w:szCs w:val="16"/>
              </w:rPr>
              <w:t>17</w:t>
            </w:r>
          </w:p>
        </w:tc>
        <w:tc>
          <w:tcPr>
            <w:tcW w:w="1080" w:type="dxa"/>
            <w:noWrap w:val="0"/>
            <w:vAlign w:val="center"/>
          </w:tcPr>
          <w:p w14:paraId="448CA5B9">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5FAE544F">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1250881D">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3CA11934">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EAB168B">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70706C21">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284B46DF">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7A35442">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7E6E563C">
            <w:pPr>
              <w:widowControl/>
              <w:jc w:val="left"/>
              <w:rPr>
                <w:rFonts w:ascii="宋体" w:hAnsi="宋体" w:cs="宋体"/>
                <w:kern w:val="0"/>
                <w:sz w:val="20"/>
                <w:szCs w:val="20"/>
              </w:rPr>
            </w:pPr>
            <w:r>
              <w:rPr>
                <w:rFonts w:hint="eastAsia" w:ascii="宋体" w:hAnsi="宋体" w:cs="宋体"/>
                <w:kern w:val="0"/>
                <w:sz w:val="20"/>
                <w:szCs w:val="20"/>
              </w:rPr>
              <w:t>　</w:t>
            </w:r>
          </w:p>
        </w:tc>
      </w:tr>
      <w:tr w14:paraId="3D1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740C7D87">
            <w:pPr>
              <w:widowControl/>
              <w:jc w:val="center"/>
              <w:rPr>
                <w:rFonts w:ascii="宋体" w:hAnsi="宋体" w:cs="宋体"/>
                <w:kern w:val="0"/>
                <w:sz w:val="16"/>
                <w:szCs w:val="16"/>
              </w:rPr>
            </w:pPr>
            <w:r>
              <w:rPr>
                <w:rFonts w:hint="eastAsia" w:ascii="宋体" w:hAnsi="宋体" w:cs="宋体"/>
                <w:kern w:val="0"/>
                <w:sz w:val="16"/>
                <w:szCs w:val="16"/>
              </w:rPr>
              <w:t>6</w:t>
            </w:r>
          </w:p>
        </w:tc>
        <w:tc>
          <w:tcPr>
            <w:tcW w:w="2040" w:type="dxa"/>
            <w:noWrap w:val="0"/>
            <w:vAlign w:val="center"/>
          </w:tcPr>
          <w:p w14:paraId="2A5B980E">
            <w:pPr>
              <w:widowControl/>
              <w:jc w:val="left"/>
              <w:rPr>
                <w:rFonts w:ascii="宋体" w:hAnsi="宋体" w:cs="宋体"/>
                <w:kern w:val="0"/>
                <w:sz w:val="16"/>
                <w:szCs w:val="16"/>
              </w:rPr>
            </w:pPr>
            <w:r>
              <w:rPr>
                <w:rFonts w:hint="eastAsia" w:ascii="宋体" w:hAnsi="宋体" w:cs="宋体"/>
                <w:kern w:val="0"/>
                <w:sz w:val="16"/>
                <w:szCs w:val="16"/>
              </w:rPr>
              <w:t>装煤机</w:t>
            </w:r>
          </w:p>
        </w:tc>
        <w:tc>
          <w:tcPr>
            <w:tcW w:w="706" w:type="dxa"/>
            <w:noWrap w:val="0"/>
            <w:vAlign w:val="center"/>
          </w:tcPr>
          <w:p w14:paraId="0A6ED442">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EDCBDC6">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5C1A7E55">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3F7D5246">
            <w:pPr>
              <w:widowControl/>
              <w:jc w:val="center"/>
              <w:rPr>
                <w:rFonts w:ascii="宋体" w:hAnsi="宋体" w:cs="宋体"/>
                <w:kern w:val="0"/>
                <w:sz w:val="16"/>
                <w:szCs w:val="16"/>
              </w:rPr>
            </w:pPr>
            <w:r>
              <w:rPr>
                <w:rFonts w:hint="eastAsia" w:ascii="宋体" w:hAnsi="宋体" w:cs="宋体"/>
                <w:kern w:val="0"/>
                <w:sz w:val="16"/>
                <w:szCs w:val="16"/>
              </w:rPr>
              <w:t>17</w:t>
            </w:r>
          </w:p>
        </w:tc>
        <w:tc>
          <w:tcPr>
            <w:tcW w:w="786" w:type="dxa"/>
            <w:noWrap w:val="0"/>
            <w:vAlign w:val="center"/>
          </w:tcPr>
          <w:p w14:paraId="7D734BC0">
            <w:pPr>
              <w:widowControl/>
              <w:jc w:val="center"/>
              <w:rPr>
                <w:rFonts w:ascii="宋体" w:hAnsi="宋体" w:cs="宋体"/>
                <w:kern w:val="0"/>
                <w:sz w:val="16"/>
                <w:szCs w:val="16"/>
              </w:rPr>
            </w:pPr>
            <w:r>
              <w:rPr>
                <w:rFonts w:hint="eastAsia" w:ascii="宋体" w:hAnsi="宋体" w:cs="宋体"/>
                <w:kern w:val="0"/>
                <w:sz w:val="16"/>
                <w:szCs w:val="16"/>
              </w:rPr>
              <w:t>17</w:t>
            </w:r>
          </w:p>
        </w:tc>
        <w:tc>
          <w:tcPr>
            <w:tcW w:w="1080" w:type="dxa"/>
            <w:noWrap w:val="0"/>
            <w:vAlign w:val="center"/>
          </w:tcPr>
          <w:p w14:paraId="1879A549">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50E55210">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3BD2D971">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65037E9A">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1C853AE0">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3343EE8F">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3C3E252D">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7DD47D6A">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4D0A2F1">
            <w:pPr>
              <w:widowControl/>
              <w:jc w:val="left"/>
              <w:rPr>
                <w:rFonts w:ascii="宋体" w:hAnsi="宋体" w:cs="宋体"/>
                <w:kern w:val="0"/>
                <w:sz w:val="20"/>
                <w:szCs w:val="20"/>
              </w:rPr>
            </w:pPr>
            <w:r>
              <w:rPr>
                <w:rFonts w:hint="eastAsia" w:ascii="宋体" w:hAnsi="宋体" w:cs="宋体"/>
                <w:kern w:val="0"/>
                <w:sz w:val="20"/>
                <w:szCs w:val="20"/>
              </w:rPr>
              <w:t>　</w:t>
            </w:r>
          </w:p>
        </w:tc>
      </w:tr>
      <w:tr w14:paraId="08C6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0" w:hRule="atLeast"/>
        </w:trPr>
        <w:tc>
          <w:tcPr>
            <w:tcW w:w="600" w:type="dxa"/>
            <w:noWrap w:val="0"/>
            <w:vAlign w:val="center"/>
          </w:tcPr>
          <w:p w14:paraId="3FD99D53">
            <w:pPr>
              <w:widowControl/>
              <w:jc w:val="center"/>
              <w:rPr>
                <w:rFonts w:ascii="宋体" w:hAnsi="宋体" w:cs="宋体"/>
                <w:kern w:val="0"/>
                <w:sz w:val="16"/>
                <w:szCs w:val="16"/>
              </w:rPr>
            </w:pPr>
            <w:r>
              <w:rPr>
                <w:rFonts w:hint="eastAsia" w:ascii="宋体" w:hAnsi="宋体" w:cs="宋体"/>
                <w:kern w:val="0"/>
                <w:sz w:val="16"/>
                <w:szCs w:val="16"/>
              </w:rPr>
              <w:t>7</w:t>
            </w:r>
          </w:p>
        </w:tc>
        <w:tc>
          <w:tcPr>
            <w:tcW w:w="2040" w:type="dxa"/>
            <w:noWrap w:val="0"/>
            <w:vAlign w:val="center"/>
          </w:tcPr>
          <w:p w14:paraId="484C4780">
            <w:pPr>
              <w:widowControl/>
              <w:jc w:val="left"/>
              <w:rPr>
                <w:rFonts w:ascii="宋体" w:hAnsi="宋体" w:cs="宋体"/>
                <w:kern w:val="0"/>
                <w:sz w:val="16"/>
                <w:szCs w:val="16"/>
              </w:rPr>
            </w:pPr>
            <w:r>
              <w:rPr>
                <w:rFonts w:hint="eastAsia" w:ascii="宋体" w:hAnsi="宋体" w:cs="宋体"/>
                <w:kern w:val="0"/>
                <w:sz w:val="16"/>
                <w:szCs w:val="16"/>
              </w:rPr>
              <w:t>调度绞车</w:t>
            </w:r>
          </w:p>
        </w:tc>
        <w:tc>
          <w:tcPr>
            <w:tcW w:w="706" w:type="dxa"/>
            <w:noWrap w:val="0"/>
            <w:vAlign w:val="center"/>
          </w:tcPr>
          <w:p w14:paraId="729B84D1">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20889409">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1E9526CA">
            <w:pPr>
              <w:widowControl/>
              <w:jc w:val="center"/>
              <w:rPr>
                <w:rFonts w:ascii="宋体" w:hAnsi="宋体" w:cs="宋体"/>
                <w:kern w:val="0"/>
                <w:sz w:val="16"/>
                <w:szCs w:val="16"/>
              </w:rPr>
            </w:pPr>
            <w:r>
              <w:rPr>
                <w:rFonts w:hint="eastAsia" w:ascii="宋体" w:hAnsi="宋体" w:cs="宋体"/>
                <w:kern w:val="0"/>
                <w:sz w:val="16"/>
                <w:szCs w:val="16"/>
              </w:rPr>
              <w:t>2</w:t>
            </w:r>
          </w:p>
        </w:tc>
        <w:tc>
          <w:tcPr>
            <w:tcW w:w="786" w:type="dxa"/>
            <w:noWrap w:val="0"/>
            <w:vAlign w:val="center"/>
          </w:tcPr>
          <w:p w14:paraId="57D9227B">
            <w:pPr>
              <w:widowControl/>
              <w:jc w:val="center"/>
              <w:rPr>
                <w:rFonts w:ascii="宋体" w:hAnsi="宋体" w:cs="宋体"/>
                <w:kern w:val="0"/>
                <w:sz w:val="16"/>
                <w:szCs w:val="16"/>
              </w:rPr>
            </w:pPr>
            <w:r>
              <w:rPr>
                <w:rFonts w:hint="eastAsia" w:ascii="宋体" w:hAnsi="宋体" w:cs="宋体"/>
                <w:kern w:val="0"/>
                <w:sz w:val="16"/>
                <w:szCs w:val="16"/>
              </w:rPr>
              <w:t>22.8</w:t>
            </w:r>
          </w:p>
        </w:tc>
        <w:tc>
          <w:tcPr>
            <w:tcW w:w="786" w:type="dxa"/>
            <w:noWrap w:val="0"/>
            <w:vAlign w:val="center"/>
          </w:tcPr>
          <w:p w14:paraId="6D27417C">
            <w:pPr>
              <w:widowControl/>
              <w:jc w:val="center"/>
              <w:rPr>
                <w:rFonts w:ascii="宋体" w:hAnsi="宋体" w:cs="宋体"/>
                <w:kern w:val="0"/>
                <w:sz w:val="16"/>
                <w:szCs w:val="16"/>
              </w:rPr>
            </w:pPr>
            <w:r>
              <w:rPr>
                <w:rFonts w:hint="eastAsia" w:ascii="宋体" w:hAnsi="宋体" w:cs="宋体"/>
                <w:kern w:val="0"/>
                <w:sz w:val="16"/>
                <w:szCs w:val="16"/>
              </w:rPr>
              <w:t>22.8</w:t>
            </w:r>
          </w:p>
        </w:tc>
        <w:tc>
          <w:tcPr>
            <w:tcW w:w="1080" w:type="dxa"/>
            <w:noWrap w:val="0"/>
            <w:vAlign w:val="center"/>
          </w:tcPr>
          <w:p w14:paraId="56B11C23">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4328E22C">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5E1C161D">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038DFCE7">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20BEB16E">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31468B5B">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6C35AAEE">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47CD7A4E">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7BA1A86C">
            <w:pPr>
              <w:widowControl/>
              <w:jc w:val="left"/>
              <w:rPr>
                <w:rFonts w:ascii="宋体" w:hAnsi="宋体" w:cs="宋体"/>
                <w:kern w:val="0"/>
                <w:sz w:val="20"/>
                <w:szCs w:val="20"/>
              </w:rPr>
            </w:pPr>
            <w:r>
              <w:rPr>
                <w:rFonts w:hint="eastAsia" w:ascii="宋体" w:hAnsi="宋体" w:cs="宋体"/>
                <w:kern w:val="0"/>
                <w:sz w:val="20"/>
                <w:szCs w:val="20"/>
              </w:rPr>
              <w:t>　</w:t>
            </w:r>
          </w:p>
        </w:tc>
      </w:tr>
      <w:tr w14:paraId="6801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089F603C">
            <w:pPr>
              <w:widowControl/>
              <w:jc w:val="center"/>
              <w:rPr>
                <w:rFonts w:ascii="宋体" w:hAnsi="宋体" w:cs="宋体"/>
                <w:kern w:val="0"/>
                <w:sz w:val="16"/>
                <w:szCs w:val="16"/>
              </w:rPr>
            </w:pPr>
            <w:r>
              <w:rPr>
                <w:rFonts w:hint="eastAsia" w:ascii="宋体" w:hAnsi="宋体" w:cs="宋体"/>
                <w:kern w:val="0"/>
                <w:sz w:val="16"/>
                <w:szCs w:val="16"/>
              </w:rPr>
              <w:t>　</w:t>
            </w:r>
          </w:p>
        </w:tc>
        <w:tc>
          <w:tcPr>
            <w:tcW w:w="2040" w:type="dxa"/>
            <w:noWrap w:val="0"/>
            <w:vAlign w:val="center"/>
          </w:tcPr>
          <w:p w14:paraId="3DA1C9C3">
            <w:pPr>
              <w:widowControl/>
              <w:jc w:val="center"/>
              <w:rPr>
                <w:rFonts w:ascii="宋体" w:hAnsi="宋体" w:cs="宋体"/>
                <w:kern w:val="0"/>
                <w:sz w:val="16"/>
                <w:szCs w:val="16"/>
              </w:rPr>
            </w:pPr>
            <w:r>
              <w:rPr>
                <w:rFonts w:hint="eastAsia" w:ascii="宋体" w:hAnsi="宋体" w:cs="宋体"/>
                <w:kern w:val="0"/>
                <w:sz w:val="16"/>
                <w:szCs w:val="16"/>
              </w:rPr>
              <w:t>小计</w:t>
            </w:r>
          </w:p>
        </w:tc>
        <w:tc>
          <w:tcPr>
            <w:tcW w:w="706" w:type="dxa"/>
            <w:noWrap w:val="0"/>
            <w:vAlign w:val="center"/>
          </w:tcPr>
          <w:p w14:paraId="0E29DE99">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3980A5F4">
            <w:pPr>
              <w:widowControl/>
              <w:jc w:val="center"/>
              <w:rPr>
                <w:rFonts w:ascii="宋体" w:hAnsi="宋体" w:cs="宋体"/>
                <w:kern w:val="0"/>
                <w:sz w:val="16"/>
                <w:szCs w:val="16"/>
              </w:rPr>
            </w:pPr>
            <w:r>
              <w:rPr>
                <w:rFonts w:hint="eastAsia" w:ascii="宋体" w:hAnsi="宋体" w:cs="宋体"/>
                <w:kern w:val="0"/>
                <w:sz w:val="16"/>
                <w:szCs w:val="16"/>
              </w:rPr>
              <w:t>12</w:t>
            </w:r>
          </w:p>
        </w:tc>
        <w:tc>
          <w:tcPr>
            <w:tcW w:w="700" w:type="dxa"/>
            <w:noWrap w:val="0"/>
            <w:vAlign w:val="center"/>
          </w:tcPr>
          <w:p w14:paraId="6B01D70B">
            <w:pPr>
              <w:widowControl/>
              <w:jc w:val="center"/>
              <w:rPr>
                <w:rFonts w:ascii="宋体" w:hAnsi="宋体" w:cs="宋体"/>
                <w:kern w:val="0"/>
                <w:sz w:val="16"/>
                <w:szCs w:val="16"/>
              </w:rPr>
            </w:pPr>
            <w:r>
              <w:rPr>
                <w:rFonts w:hint="eastAsia" w:ascii="宋体" w:hAnsi="宋体" w:cs="宋体"/>
                <w:kern w:val="0"/>
                <w:sz w:val="16"/>
                <w:szCs w:val="16"/>
              </w:rPr>
              <w:t>9</w:t>
            </w:r>
          </w:p>
        </w:tc>
        <w:tc>
          <w:tcPr>
            <w:tcW w:w="786" w:type="dxa"/>
            <w:noWrap w:val="0"/>
            <w:vAlign w:val="center"/>
          </w:tcPr>
          <w:p w14:paraId="0ADA9D9A">
            <w:pPr>
              <w:widowControl/>
              <w:jc w:val="center"/>
              <w:rPr>
                <w:rFonts w:ascii="宋体" w:hAnsi="宋体" w:cs="宋体"/>
                <w:kern w:val="0"/>
                <w:sz w:val="16"/>
                <w:szCs w:val="16"/>
              </w:rPr>
            </w:pPr>
            <w:r>
              <w:rPr>
                <w:rFonts w:hint="eastAsia" w:ascii="宋体" w:hAnsi="宋体" w:cs="宋体"/>
                <w:kern w:val="0"/>
                <w:sz w:val="16"/>
                <w:szCs w:val="16"/>
              </w:rPr>
              <w:t>94.3</w:t>
            </w:r>
          </w:p>
        </w:tc>
        <w:tc>
          <w:tcPr>
            <w:tcW w:w="786" w:type="dxa"/>
            <w:noWrap w:val="0"/>
            <w:vAlign w:val="center"/>
          </w:tcPr>
          <w:p w14:paraId="721DF2E6">
            <w:pPr>
              <w:widowControl/>
              <w:jc w:val="center"/>
              <w:rPr>
                <w:rFonts w:ascii="宋体" w:hAnsi="宋体" w:cs="宋体"/>
                <w:kern w:val="0"/>
                <w:sz w:val="16"/>
                <w:szCs w:val="16"/>
              </w:rPr>
            </w:pPr>
            <w:r>
              <w:rPr>
                <w:rFonts w:hint="eastAsia" w:ascii="宋体" w:hAnsi="宋体" w:cs="宋体"/>
                <w:kern w:val="0"/>
                <w:sz w:val="16"/>
                <w:szCs w:val="16"/>
              </w:rPr>
              <w:t>85.4</w:t>
            </w:r>
          </w:p>
        </w:tc>
        <w:tc>
          <w:tcPr>
            <w:tcW w:w="1080" w:type="dxa"/>
            <w:noWrap w:val="0"/>
            <w:vAlign w:val="center"/>
          </w:tcPr>
          <w:p w14:paraId="2D31FAFF">
            <w:pPr>
              <w:widowControl/>
              <w:jc w:val="center"/>
              <w:rPr>
                <w:rFonts w:ascii="宋体" w:hAnsi="宋体" w:cs="宋体"/>
                <w:kern w:val="0"/>
                <w:sz w:val="16"/>
                <w:szCs w:val="16"/>
              </w:rPr>
            </w:pPr>
            <w:r>
              <w:rPr>
                <w:rFonts w:hint="eastAsia" w:ascii="宋体" w:hAnsi="宋体" w:cs="宋体"/>
                <w:kern w:val="0"/>
                <w:sz w:val="16"/>
                <w:szCs w:val="16"/>
              </w:rPr>
              <w:t>0.4</w:t>
            </w:r>
          </w:p>
        </w:tc>
        <w:tc>
          <w:tcPr>
            <w:tcW w:w="640" w:type="dxa"/>
            <w:noWrap w:val="0"/>
            <w:vAlign w:val="center"/>
          </w:tcPr>
          <w:p w14:paraId="1E9F38FC">
            <w:pPr>
              <w:widowControl/>
              <w:jc w:val="center"/>
              <w:rPr>
                <w:rFonts w:ascii="宋体" w:hAnsi="宋体" w:cs="宋体"/>
                <w:kern w:val="0"/>
                <w:sz w:val="16"/>
                <w:szCs w:val="16"/>
              </w:rPr>
            </w:pPr>
            <w:r>
              <w:rPr>
                <w:rFonts w:hint="eastAsia" w:ascii="宋体" w:hAnsi="宋体" w:cs="宋体"/>
                <w:kern w:val="0"/>
                <w:sz w:val="16"/>
                <w:szCs w:val="16"/>
              </w:rPr>
              <w:t>0.6</w:t>
            </w:r>
          </w:p>
        </w:tc>
        <w:tc>
          <w:tcPr>
            <w:tcW w:w="580" w:type="dxa"/>
            <w:noWrap w:val="0"/>
            <w:vAlign w:val="center"/>
          </w:tcPr>
          <w:p w14:paraId="7FFA6801">
            <w:pPr>
              <w:widowControl/>
              <w:jc w:val="center"/>
              <w:rPr>
                <w:rFonts w:ascii="宋体" w:hAnsi="宋体" w:cs="宋体"/>
                <w:kern w:val="0"/>
                <w:sz w:val="16"/>
                <w:szCs w:val="16"/>
              </w:rPr>
            </w:pPr>
            <w:r>
              <w:rPr>
                <w:rFonts w:hint="eastAsia" w:ascii="宋体" w:hAnsi="宋体" w:cs="宋体"/>
                <w:kern w:val="0"/>
                <w:sz w:val="16"/>
                <w:szCs w:val="16"/>
              </w:rPr>
              <w:t>1.33</w:t>
            </w:r>
          </w:p>
        </w:tc>
        <w:tc>
          <w:tcPr>
            <w:tcW w:w="786" w:type="dxa"/>
            <w:noWrap w:val="0"/>
            <w:vAlign w:val="center"/>
          </w:tcPr>
          <w:p w14:paraId="440ECA12">
            <w:pPr>
              <w:widowControl/>
              <w:jc w:val="center"/>
              <w:rPr>
                <w:rFonts w:ascii="宋体" w:hAnsi="宋体" w:cs="宋体"/>
                <w:kern w:val="0"/>
                <w:sz w:val="16"/>
                <w:szCs w:val="16"/>
              </w:rPr>
            </w:pPr>
            <w:r>
              <w:rPr>
                <w:rFonts w:hint="eastAsia" w:ascii="宋体" w:hAnsi="宋体" w:cs="宋体"/>
                <w:kern w:val="0"/>
                <w:sz w:val="16"/>
                <w:szCs w:val="16"/>
              </w:rPr>
              <w:t>34.16</w:t>
            </w:r>
          </w:p>
        </w:tc>
        <w:tc>
          <w:tcPr>
            <w:tcW w:w="892" w:type="dxa"/>
            <w:noWrap w:val="0"/>
            <w:vAlign w:val="center"/>
          </w:tcPr>
          <w:p w14:paraId="072492A8">
            <w:pPr>
              <w:widowControl/>
              <w:jc w:val="center"/>
              <w:rPr>
                <w:rFonts w:ascii="宋体" w:hAnsi="宋体" w:cs="宋体"/>
                <w:kern w:val="0"/>
                <w:sz w:val="16"/>
                <w:szCs w:val="16"/>
              </w:rPr>
            </w:pPr>
            <w:r>
              <w:rPr>
                <w:rFonts w:hint="eastAsia" w:ascii="宋体" w:hAnsi="宋体" w:cs="宋体"/>
                <w:kern w:val="0"/>
                <w:sz w:val="16"/>
                <w:szCs w:val="16"/>
              </w:rPr>
              <w:t>45.43</w:t>
            </w:r>
          </w:p>
        </w:tc>
        <w:tc>
          <w:tcPr>
            <w:tcW w:w="857" w:type="dxa"/>
            <w:noWrap w:val="0"/>
            <w:vAlign w:val="center"/>
          </w:tcPr>
          <w:p w14:paraId="283445F8">
            <w:pPr>
              <w:widowControl/>
              <w:jc w:val="center"/>
              <w:rPr>
                <w:rFonts w:ascii="宋体" w:hAnsi="宋体" w:cs="宋体"/>
                <w:kern w:val="0"/>
                <w:sz w:val="16"/>
                <w:szCs w:val="16"/>
              </w:rPr>
            </w:pPr>
            <w:r>
              <w:rPr>
                <w:rFonts w:hint="eastAsia" w:ascii="宋体" w:hAnsi="宋体" w:cs="宋体"/>
                <w:kern w:val="0"/>
                <w:sz w:val="16"/>
                <w:szCs w:val="16"/>
              </w:rPr>
              <w:t>56.84</w:t>
            </w:r>
          </w:p>
        </w:tc>
        <w:tc>
          <w:tcPr>
            <w:tcW w:w="1120" w:type="dxa"/>
            <w:noWrap w:val="0"/>
            <w:vAlign w:val="center"/>
          </w:tcPr>
          <w:p w14:paraId="3EF50A15">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A98B393">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105E0DAC">
            <w:pPr>
              <w:widowControl/>
              <w:jc w:val="left"/>
              <w:rPr>
                <w:rFonts w:ascii="宋体" w:hAnsi="宋体" w:cs="宋体"/>
                <w:kern w:val="0"/>
                <w:sz w:val="20"/>
                <w:szCs w:val="20"/>
              </w:rPr>
            </w:pPr>
            <w:r>
              <w:rPr>
                <w:rFonts w:hint="eastAsia" w:ascii="宋体" w:hAnsi="宋体" w:cs="宋体"/>
                <w:kern w:val="0"/>
                <w:sz w:val="20"/>
                <w:szCs w:val="20"/>
              </w:rPr>
              <w:t>　</w:t>
            </w:r>
          </w:p>
        </w:tc>
      </w:tr>
      <w:tr w14:paraId="1F49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6B97DBBE">
            <w:pPr>
              <w:widowControl/>
              <w:jc w:val="center"/>
              <w:rPr>
                <w:rFonts w:ascii="宋体" w:hAnsi="宋体" w:cs="宋体"/>
                <w:kern w:val="0"/>
                <w:sz w:val="16"/>
                <w:szCs w:val="16"/>
              </w:rPr>
            </w:pPr>
            <w:r>
              <w:rPr>
                <w:rFonts w:hint="eastAsia" w:ascii="宋体" w:hAnsi="宋体" w:cs="宋体"/>
                <w:kern w:val="0"/>
                <w:sz w:val="16"/>
                <w:szCs w:val="16"/>
              </w:rPr>
              <w:t>五</w:t>
            </w:r>
          </w:p>
        </w:tc>
        <w:tc>
          <w:tcPr>
            <w:tcW w:w="2040" w:type="dxa"/>
            <w:noWrap w:val="0"/>
            <w:vAlign w:val="center"/>
          </w:tcPr>
          <w:p w14:paraId="2BFE2D7F">
            <w:pPr>
              <w:widowControl/>
              <w:jc w:val="left"/>
              <w:rPr>
                <w:rFonts w:ascii="宋体" w:hAnsi="宋体" w:cs="宋体"/>
                <w:kern w:val="0"/>
                <w:sz w:val="16"/>
                <w:szCs w:val="16"/>
              </w:rPr>
            </w:pPr>
            <w:r>
              <w:rPr>
                <w:rFonts w:hint="eastAsia" w:ascii="宋体" w:hAnsi="宋体" w:cs="宋体"/>
                <w:kern w:val="0"/>
                <w:sz w:val="16"/>
                <w:szCs w:val="16"/>
              </w:rPr>
              <w:t>掘2</w:t>
            </w:r>
          </w:p>
        </w:tc>
        <w:tc>
          <w:tcPr>
            <w:tcW w:w="706" w:type="dxa"/>
            <w:noWrap w:val="0"/>
            <w:vAlign w:val="center"/>
          </w:tcPr>
          <w:p w14:paraId="5A568820">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1C53B9A4">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4D69B9DF">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430EB4C8">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1B17DF95">
            <w:pPr>
              <w:widowControl/>
              <w:jc w:val="center"/>
              <w:rPr>
                <w:rFonts w:ascii="宋体" w:hAnsi="宋体" w:cs="宋体"/>
                <w:kern w:val="0"/>
                <w:sz w:val="16"/>
                <w:szCs w:val="16"/>
              </w:rPr>
            </w:pPr>
            <w:r>
              <w:rPr>
                <w:rFonts w:hint="eastAsia" w:ascii="宋体" w:hAnsi="宋体" w:cs="宋体"/>
                <w:kern w:val="0"/>
                <w:sz w:val="16"/>
                <w:szCs w:val="16"/>
              </w:rPr>
              <w:t>　</w:t>
            </w:r>
          </w:p>
        </w:tc>
        <w:tc>
          <w:tcPr>
            <w:tcW w:w="1080" w:type="dxa"/>
            <w:noWrap w:val="0"/>
            <w:vAlign w:val="center"/>
          </w:tcPr>
          <w:p w14:paraId="1B01CF48">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1BD30AB0">
            <w:pPr>
              <w:widowControl/>
              <w:jc w:val="center"/>
              <w:rPr>
                <w:kern w:val="0"/>
                <w:sz w:val="16"/>
                <w:szCs w:val="16"/>
              </w:rPr>
            </w:pPr>
            <w:r>
              <w:rPr>
                <w:kern w:val="0"/>
                <w:sz w:val="16"/>
                <w:szCs w:val="16"/>
              </w:rPr>
              <w:t>　</w:t>
            </w:r>
          </w:p>
        </w:tc>
        <w:tc>
          <w:tcPr>
            <w:tcW w:w="580" w:type="dxa"/>
            <w:noWrap w:val="0"/>
            <w:vAlign w:val="center"/>
          </w:tcPr>
          <w:p w14:paraId="66BE736D">
            <w:pPr>
              <w:widowControl/>
              <w:jc w:val="center"/>
              <w:rPr>
                <w:kern w:val="0"/>
                <w:sz w:val="16"/>
                <w:szCs w:val="16"/>
              </w:rPr>
            </w:pPr>
            <w:r>
              <w:rPr>
                <w:kern w:val="0"/>
                <w:sz w:val="16"/>
                <w:szCs w:val="16"/>
              </w:rPr>
              <w:t>　</w:t>
            </w:r>
          </w:p>
        </w:tc>
        <w:tc>
          <w:tcPr>
            <w:tcW w:w="786" w:type="dxa"/>
            <w:noWrap w:val="0"/>
            <w:vAlign w:val="center"/>
          </w:tcPr>
          <w:p w14:paraId="63A362A6">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1E8A6ADD">
            <w:pPr>
              <w:widowControl/>
              <w:jc w:val="center"/>
              <w:rPr>
                <w:kern w:val="0"/>
                <w:sz w:val="16"/>
                <w:szCs w:val="16"/>
              </w:rPr>
            </w:pPr>
            <w:r>
              <w:rPr>
                <w:kern w:val="0"/>
                <w:sz w:val="16"/>
                <w:szCs w:val="16"/>
              </w:rPr>
              <w:t>　</w:t>
            </w:r>
          </w:p>
        </w:tc>
        <w:tc>
          <w:tcPr>
            <w:tcW w:w="857" w:type="dxa"/>
            <w:noWrap w:val="0"/>
            <w:vAlign w:val="center"/>
          </w:tcPr>
          <w:p w14:paraId="7C1593C6">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43BE9CDD">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6D2B024">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2DC769CD">
            <w:pPr>
              <w:widowControl/>
              <w:jc w:val="left"/>
              <w:rPr>
                <w:rFonts w:ascii="宋体" w:hAnsi="宋体" w:cs="宋体"/>
                <w:kern w:val="0"/>
                <w:sz w:val="20"/>
                <w:szCs w:val="20"/>
              </w:rPr>
            </w:pPr>
            <w:r>
              <w:rPr>
                <w:rFonts w:hint="eastAsia" w:ascii="宋体" w:hAnsi="宋体" w:cs="宋体"/>
                <w:kern w:val="0"/>
                <w:sz w:val="20"/>
                <w:szCs w:val="20"/>
              </w:rPr>
              <w:t>　</w:t>
            </w:r>
          </w:p>
        </w:tc>
      </w:tr>
      <w:tr w14:paraId="0F81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13B96505">
            <w:pPr>
              <w:widowControl/>
              <w:jc w:val="center"/>
              <w:rPr>
                <w:rFonts w:ascii="宋体" w:hAnsi="宋体" w:cs="宋体"/>
                <w:kern w:val="0"/>
                <w:sz w:val="16"/>
                <w:szCs w:val="16"/>
              </w:rPr>
            </w:pPr>
            <w:r>
              <w:rPr>
                <w:rFonts w:hint="eastAsia" w:ascii="宋体" w:hAnsi="宋体" w:cs="宋体"/>
                <w:kern w:val="0"/>
                <w:sz w:val="16"/>
                <w:szCs w:val="16"/>
              </w:rPr>
              <w:t>1</w:t>
            </w:r>
          </w:p>
        </w:tc>
        <w:tc>
          <w:tcPr>
            <w:tcW w:w="2040" w:type="dxa"/>
            <w:noWrap w:val="0"/>
            <w:vAlign w:val="center"/>
          </w:tcPr>
          <w:p w14:paraId="138B1665">
            <w:pPr>
              <w:widowControl/>
              <w:jc w:val="left"/>
              <w:rPr>
                <w:rFonts w:ascii="宋体" w:hAnsi="宋体" w:cs="宋体"/>
                <w:kern w:val="0"/>
                <w:sz w:val="16"/>
                <w:szCs w:val="16"/>
              </w:rPr>
            </w:pPr>
            <w:r>
              <w:rPr>
                <w:rFonts w:hint="eastAsia" w:ascii="宋体" w:hAnsi="宋体" w:cs="宋体"/>
                <w:kern w:val="0"/>
                <w:sz w:val="16"/>
                <w:szCs w:val="16"/>
              </w:rPr>
              <w:t>煤电钻</w:t>
            </w:r>
          </w:p>
        </w:tc>
        <w:tc>
          <w:tcPr>
            <w:tcW w:w="706" w:type="dxa"/>
            <w:noWrap w:val="0"/>
            <w:vAlign w:val="center"/>
          </w:tcPr>
          <w:p w14:paraId="21567C83">
            <w:pPr>
              <w:widowControl/>
              <w:jc w:val="center"/>
              <w:rPr>
                <w:rFonts w:ascii="宋体" w:hAnsi="宋体" w:cs="宋体"/>
                <w:kern w:val="0"/>
                <w:sz w:val="16"/>
                <w:szCs w:val="16"/>
              </w:rPr>
            </w:pPr>
            <w:r>
              <w:rPr>
                <w:rFonts w:hint="eastAsia" w:ascii="宋体" w:hAnsi="宋体" w:cs="宋体"/>
                <w:kern w:val="0"/>
                <w:sz w:val="16"/>
                <w:szCs w:val="16"/>
              </w:rPr>
              <w:t>0.127</w:t>
            </w:r>
          </w:p>
        </w:tc>
        <w:tc>
          <w:tcPr>
            <w:tcW w:w="700" w:type="dxa"/>
            <w:noWrap w:val="0"/>
            <w:vAlign w:val="center"/>
          </w:tcPr>
          <w:p w14:paraId="4111EF66">
            <w:pPr>
              <w:widowControl/>
              <w:jc w:val="center"/>
              <w:rPr>
                <w:rFonts w:ascii="宋体" w:hAnsi="宋体" w:cs="宋体"/>
                <w:kern w:val="0"/>
                <w:sz w:val="16"/>
                <w:szCs w:val="16"/>
              </w:rPr>
            </w:pPr>
            <w:r>
              <w:rPr>
                <w:rFonts w:hint="eastAsia" w:ascii="宋体" w:hAnsi="宋体" w:cs="宋体"/>
                <w:kern w:val="0"/>
                <w:sz w:val="16"/>
                <w:szCs w:val="16"/>
              </w:rPr>
              <w:t>3</w:t>
            </w:r>
          </w:p>
        </w:tc>
        <w:tc>
          <w:tcPr>
            <w:tcW w:w="700" w:type="dxa"/>
            <w:noWrap w:val="0"/>
            <w:vAlign w:val="center"/>
          </w:tcPr>
          <w:p w14:paraId="66C841B2">
            <w:pPr>
              <w:widowControl/>
              <w:jc w:val="center"/>
              <w:rPr>
                <w:rFonts w:ascii="宋体" w:hAnsi="宋体" w:cs="宋体"/>
                <w:kern w:val="0"/>
                <w:sz w:val="16"/>
                <w:szCs w:val="16"/>
              </w:rPr>
            </w:pPr>
            <w:r>
              <w:rPr>
                <w:rFonts w:hint="eastAsia" w:ascii="宋体" w:hAnsi="宋体" w:cs="宋体"/>
                <w:kern w:val="0"/>
                <w:sz w:val="16"/>
                <w:szCs w:val="16"/>
              </w:rPr>
              <w:t>2</w:t>
            </w:r>
          </w:p>
        </w:tc>
        <w:tc>
          <w:tcPr>
            <w:tcW w:w="786" w:type="dxa"/>
            <w:noWrap w:val="0"/>
            <w:vAlign w:val="center"/>
          </w:tcPr>
          <w:p w14:paraId="57C4ED3B">
            <w:pPr>
              <w:widowControl/>
              <w:jc w:val="center"/>
              <w:rPr>
                <w:rFonts w:ascii="宋体" w:hAnsi="宋体" w:cs="宋体"/>
                <w:kern w:val="0"/>
                <w:sz w:val="16"/>
                <w:szCs w:val="16"/>
              </w:rPr>
            </w:pPr>
            <w:r>
              <w:rPr>
                <w:rFonts w:hint="eastAsia" w:ascii="宋体" w:hAnsi="宋体" w:cs="宋体"/>
                <w:kern w:val="0"/>
                <w:sz w:val="16"/>
                <w:szCs w:val="16"/>
              </w:rPr>
              <w:t>3.6</w:t>
            </w:r>
          </w:p>
        </w:tc>
        <w:tc>
          <w:tcPr>
            <w:tcW w:w="786" w:type="dxa"/>
            <w:noWrap w:val="0"/>
            <w:vAlign w:val="center"/>
          </w:tcPr>
          <w:p w14:paraId="2A48BB6B">
            <w:pPr>
              <w:widowControl/>
              <w:jc w:val="center"/>
              <w:rPr>
                <w:rFonts w:ascii="宋体" w:hAnsi="宋体" w:cs="宋体"/>
                <w:kern w:val="0"/>
                <w:sz w:val="16"/>
                <w:szCs w:val="16"/>
              </w:rPr>
            </w:pPr>
            <w:r>
              <w:rPr>
                <w:rFonts w:hint="eastAsia" w:ascii="宋体" w:hAnsi="宋体" w:cs="宋体"/>
                <w:kern w:val="0"/>
                <w:sz w:val="16"/>
                <w:szCs w:val="16"/>
              </w:rPr>
              <w:t>2.4</w:t>
            </w:r>
          </w:p>
        </w:tc>
        <w:tc>
          <w:tcPr>
            <w:tcW w:w="1080" w:type="dxa"/>
            <w:noWrap w:val="0"/>
            <w:vAlign w:val="center"/>
          </w:tcPr>
          <w:p w14:paraId="27EFA1EB">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2EEB9CFC">
            <w:pPr>
              <w:widowControl/>
              <w:jc w:val="center"/>
              <w:rPr>
                <w:kern w:val="0"/>
                <w:sz w:val="16"/>
                <w:szCs w:val="16"/>
              </w:rPr>
            </w:pPr>
            <w:r>
              <w:rPr>
                <w:kern w:val="0"/>
                <w:sz w:val="16"/>
                <w:szCs w:val="16"/>
              </w:rPr>
              <w:t>　</w:t>
            </w:r>
          </w:p>
        </w:tc>
        <w:tc>
          <w:tcPr>
            <w:tcW w:w="580" w:type="dxa"/>
            <w:noWrap w:val="0"/>
            <w:vAlign w:val="center"/>
          </w:tcPr>
          <w:p w14:paraId="5B1D747C">
            <w:pPr>
              <w:widowControl/>
              <w:jc w:val="center"/>
              <w:rPr>
                <w:kern w:val="0"/>
                <w:sz w:val="16"/>
                <w:szCs w:val="16"/>
              </w:rPr>
            </w:pPr>
            <w:r>
              <w:rPr>
                <w:kern w:val="0"/>
                <w:sz w:val="16"/>
                <w:szCs w:val="16"/>
              </w:rPr>
              <w:t>　</w:t>
            </w:r>
          </w:p>
        </w:tc>
        <w:tc>
          <w:tcPr>
            <w:tcW w:w="786" w:type="dxa"/>
            <w:noWrap w:val="0"/>
            <w:vAlign w:val="center"/>
          </w:tcPr>
          <w:p w14:paraId="7DBE1315">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4BE8B10B">
            <w:pPr>
              <w:widowControl/>
              <w:jc w:val="center"/>
              <w:rPr>
                <w:kern w:val="0"/>
                <w:sz w:val="16"/>
                <w:szCs w:val="16"/>
              </w:rPr>
            </w:pPr>
            <w:r>
              <w:rPr>
                <w:kern w:val="0"/>
                <w:sz w:val="16"/>
                <w:szCs w:val="16"/>
              </w:rPr>
              <w:t>　</w:t>
            </w:r>
          </w:p>
        </w:tc>
        <w:tc>
          <w:tcPr>
            <w:tcW w:w="857" w:type="dxa"/>
            <w:noWrap w:val="0"/>
            <w:vAlign w:val="center"/>
          </w:tcPr>
          <w:p w14:paraId="1FF84475">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6DA4CC46">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63536F04">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F0AC31C">
            <w:pPr>
              <w:widowControl/>
              <w:jc w:val="left"/>
              <w:rPr>
                <w:rFonts w:ascii="宋体" w:hAnsi="宋体" w:cs="宋体"/>
                <w:kern w:val="0"/>
                <w:sz w:val="20"/>
                <w:szCs w:val="20"/>
              </w:rPr>
            </w:pPr>
            <w:r>
              <w:rPr>
                <w:rFonts w:hint="eastAsia" w:ascii="宋体" w:hAnsi="宋体" w:cs="宋体"/>
                <w:kern w:val="0"/>
                <w:sz w:val="20"/>
                <w:szCs w:val="20"/>
              </w:rPr>
              <w:t>　</w:t>
            </w:r>
          </w:p>
        </w:tc>
      </w:tr>
      <w:tr w14:paraId="1B96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08BDF8F4">
            <w:pPr>
              <w:widowControl/>
              <w:jc w:val="center"/>
              <w:rPr>
                <w:rFonts w:ascii="宋体" w:hAnsi="宋体" w:cs="宋体"/>
                <w:kern w:val="0"/>
                <w:sz w:val="16"/>
                <w:szCs w:val="16"/>
              </w:rPr>
            </w:pPr>
            <w:r>
              <w:rPr>
                <w:rFonts w:hint="eastAsia" w:ascii="宋体" w:hAnsi="宋体" w:cs="宋体"/>
                <w:kern w:val="0"/>
                <w:sz w:val="16"/>
                <w:szCs w:val="16"/>
              </w:rPr>
              <w:t>2</w:t>
            </w:r>
          </w:p>
        </w:tc>
        <w:tc>
          <w:tcPr>
            <w:tcW w:w="2040" w:type="dxa"/>
            <w:noWrap w:val="0"/>
            <w:vAlign w:val="center"/>
          </w:tcPr>
          <w:p w14:paraId="7ED806DC">
            <w:pPr>
              <w:widowControl/>
              <w:jc w:val="left"/>
              <w:rPr>
                <w:rFonts w:ascii="宋体" w:hAnsi="宋体" w:cs="宋体"/>
                <w:kern w:val="0"/>
                <w:sz w:val="16"/>
                <w:szCs w:val="16"/>
              </w:rPr>
            </w:pPr>
            <w:r>
              <w:rPr>
                <w:rFonts w:hint="eastAsia" w:ascii="宋体" w:hAnsi="宋体" w:cs="宋体"/>
                <w:kern w:val="0"/>
                <w:sz w:val="16"/>
                <w:szCs w:val="16"/>
              </w:rPr>
              <w:t>探水钻</w:t>
            </w:r>
          </w:p>
        </w:tc>
        <w:tc>
          <w:tcPr>
            <w:tcW w:w="706" w:type="dxa"/>
            <w:noWrap w:val="0"/>
            <w:vAlign w:val="center"/>
          </w:tcPr>
          <w:p w14:paraId="43A4146A">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19B02517">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26319D64">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5623DE33">
            <w:pPr>
              <w:widowControl/>
              <w:jc w:val="center"/>
              <w:rPr>
                <w:rFonts w:ascii="宋体" w:hAnsi="宋体" w:cs="宋体"/>
                <w:kern w:val="0"/>
                <w:sz w:val="16"/>
                <w:szCs w:val="16"/>
              </w:rPr>
            </w:pPr>
            <w:r>
              <w:rPr>
                <w:rFonts w:hint="eastAsia" w:ascii="宋体" w:hAnsi="宋体" w:cs="宋体"/>
                <w:kern w:val="0"/>
                <w:sz w:val="16"/>
                <w:szCs w:val="16"/>
              </w:rPr>
              <w:t>18.5</w:t>
            </w:r>
          </w:p>
        </w:tc>
        <w:tc>
          <w:tcPr>
            <w:tcW w:w="786" w:type="dxa"/>
            <w:noWrap w:val="0"/>
            <w:vAlign w:val="center"/>
          </w:tcPr>
          <w:p w14:paraId="275435E4">
            <w:pPr>
              <w:widowControl/>
              <w:jc w:val="center"/>
              <w:rPr>
                <w:rFonts w:ascii="宋体" w:hAnsi="宋体" w:cs="宋体"/>
                <w:kern w:val="0"/>
                <w:sz w:val="16"/>
                <w:szCs w:val="16"/>
              </w:rPr>
            </w:pPr>
            <w:r>
              <w:rPr>
                <w:rFonts w:hint="eastAsia" w:ascii="宋体" w:hAnsi="宋体" w:cs="宋体"/>
                <w:kern w:val="0"/>
                <w:sz w:val="16"/>
                <w:szCs w:val="16"/>
              </w:rPr>
              <w:t>18.5</w:t>
            </w:r>
          </w:p>
        </w:tc>
        <w:tc>
          <w:tcPr>
            <w:tcW w:w="1080" w:type="dxa"/>
            <w:noWrap w:val="0"/>
            <w:vAlign w:val="center"/>
          </w:tcPr>
          <w:p w14:paraId="662AAB4C">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2C247CC6">
            <w:pPr>
              <w:widowControl/>
              <w:jc w:val="center"/>
              <w:rPr>
                <w:kern w:val="0"/>
                <w:sz w:val="16"/>
                <w:szCs w:val="16"/>
              </w:rPr>
            </w:pPr>
            <w:r>
              <w:rPr>
                <w:kern w:val="0"/>
                <w:sz w:val="16"/>
                <w:szCs w:val="16"/>
              </w:rPr>
              <w:t>　</w:t>
            </w:r>
          </w:p>
        </w:tc>
        <w:tc>
          <w:tcPr>
            <w:tcW w:w="580" w:type="dxa"/>
            <w:noWrap w:val="0"/>
            <w:vAlign w:val="center"/>
          </w:tcPr>
          <w:p w14:paraId="2ADD7295">
            <w:pPr>
              <w:widowControl/>
              <w:jc w:val="center"/>
              <w:rPr>
                <w:kern w:val="0"/>
                <w:sz w:val="16"/>
                <w:szCs w:val="16"/>
              </w:rPr>
            </w:pPr>
            <w:r>
              <w:rPr>
                <w:kern w:val="0"/>
                <w:sz w:val="16"/>
                <w:szCs w:val="16"/>
              </w:rPr>
              <w:t>　</w:t>
            </w:r>
          </w:p>
        </w:tc>
        <w:tc>
          <w:tcPr>
            <w:tcW w:w="786" w:type="dxa"/>
            <w:noWrap w:val="0"/>
            <w:vAlign w:val="center"/>
          </w:tcPr>
          <w:p w14:paraId="655A0CFB">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0CA0A08D">
            <w:pPr>
              <w:widowControl/>
              <w:jc w:val="center"/>
              <w:rPr>
                <w:kern w:val="0"/>
                <w:sz w:val="16"/>
                <w:szCs w:val="16"/>
              </w:rPr>
            </w:pPr>
            <w:r>
              <w:rPr>
                <w:kern w:val="0"/>
                <w:sz w:val="16"/>
                <w:szCs w:val="16"/>
              </w:rPr>
              <w:t>　</w:t>
            </w:r>
          </w:p>
        </w:tc>
        <w:tc>
          <w:tcPr>
            <w:tcW w:w="857" w:type="dxa"/>
            <w:noWrap w:val="0"/>
            <w:vAlign w:val="center"/>
          </w:tcPr>
          <w:p w14:paraId="7B111D13">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6453030A">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BEF301E">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36402AE8">
            <w:pPr>
              <w:widowControl/>
              <w:jc w:val="left"/>
              <w:rPr>
                <w:rFonts w:ascii="宋体" w:hAnsi="宋体" w:cs="宋体"/>
                <w:kern w:val="0"/>
                <w:sz w:val="20"/>
                <w:szCs w:val="20"/>
              </w:rPr>
            </w:pPr>
            <w:r>
              <w:rPr>
                <w:rFonts w:hint="eastAsia" w:ascii="宋体" w:hAnsi="宋体" w:cs="宋体"/>
                <w:kern w:val="0"/>
                <w:sz w:val="20"/>
                <w:szCs w:val="20"/>
              </w:rPr>
              <w:t>　</w:t>
            </w:r>
          </w:p>
        </w:tc>
      </w:tr>
      <w:tr w14:paraId="3470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73081E1B">
            <w:pPr>
              <w:widowControl/>
              <w:jc w:val="center"/>
              <w:rPr>
                <w:rFonts w:ascii="宋体" w:hAnsi="宋体" w:cs="宋体"/>
                <w:kern w:val="0"/>
                <w:sz w:val="16"/>
                <w:szCs w:val="16"/>
              </w:rPr>
            </w:pPr>
            <w:r>
              <w:rPr>
                <w:rFonts w:hint="eastAsia" w:ascii="宋体" w:hAnsi="宋体" w:cs="宋体"/>
                <w:kern w:val="0"/>
                <w:sz w:val="16"/>
                <w:szCs w:val="16"/>
              </w:rPr>
              <w:t>3</w:t>
            </w:r>
          </w:p>
        </w:tc>
        <w:tc>
          <w:tcPr>
            <w:tcW w:w="2040" w:type="dxa"/>
            <w:noWrap w:val="0"/>
            <w:vAlign w:val="center"/>
          </w:tcPr>
          <w:p w14:paraId="26BD20E4">
            <w:pPr>
              <w:widowControl/>
              <w:jc w:val="left"/>
              <w:rPr>
                <w:rFonts w:ascii="宋体" w:hAnsi="宋体" w:cs="宋体"/>
                <w:kern w:val="0"/>
                <w:sz w:val="16"/>
                <w:szCs w:val="16"/>
              </w:rPr>
            </w:pPr>
            <w:r>
              <w:rPr>
                <w:rFonts w:hint="eastAsia" w:ascii="宋体" w:hAnsi="宋体" w:cs="宋体"/>
                <w:kern w:val="0"/>
                <w:sz w:val="16"/>
                <w:szCs w:val="16"/>
              </w:rPr>
              <w:t>污水泵</w:t>
            </w:r>
          </w:p>
        </w:tc>
        <w:tc>
          <w:tcPr>
            <w:tcW w:w="706" w:type="dxa"/>
            <w:noWrap w:val="0"/>
            <w:vAlign w:val="center"/>
          </w:tcPr>
          <w:p w14:paraId="29E5F3E0">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6A1710FC">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07EDB8B6">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15EB5A34">
            <w:pPr>
              <w:widowControl/>
              <w:jc w:val="center"/>
              <w:rPr>
                <w:rFonts w:ascii="宋体" w:hAnsi="宋体" w:cs="宋体"/>
                <w:kern w:val="0"/>
                <w:sz w:val="16"/>
                <w:szCs w:val="16"/>
              </w:rPr>
            </w:pPr>
            <w:r>
              <w:rPr>
                <w:rFonts w:hint="eastAsia" w:ascii="宋体" w:hAnsi="宋体" w:cs="宋体"/>
                <w:kern w:val="0"/>
                <w:sz w:val="16"/>
                <w:szCs w:val="16"/>
              </w:rPr>
              <w:t>4.4</w:t>
            </w:r>
          </w:p>
        </w:tc>
        <w:tc>
          <w:tcPr>
            <w:tcW w:w="786" w:type="dxa"/>
            <w:noWrap w:val="0"/>
            <w:vAlign w:val="center"/>
          </w:tcPr>
          <w:p w14:paraId="2D80A486">
            <w:pPr>
              <w:widowControl/>
              <w:jc w:val="center"/>
              <w:rPr>
                <w:rFonts w:ascii="宋体" w:hAnsi="宋体" w:cs="宋体"/>
                <w:kern w:val="0"/>
                <w:sz w:val="16"/>
                <w:szCs w:val="16"/>
              </w:rPr>
            </w:pPr>
            <w:r>
              <w:rPr>
                <w:rFonts w:hint="eastAsia" w:ascii="宋体" w:hAnsi="宋体" w:cs="宋体"/>
                <w:kern w:val="0"/>
                <w:sz w:val="16"/>
                <w:szCs w:val="16"/>
              </w:rPr>
              <w:t>2.2</w:t>
            </w:r>
          </w:p>
        </w:tc>
        <w:tc>
          <w:tcPr>
            <w:tcW w:w="1080" w:type="dxa"/>
            <w:noWrap w:val="0"/>
            <w:vAlign w:val="center"/>
          </w:tcPr>
          <w:p w14:paraId="1D4A594D">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49B6A3A4">
            <w:pPr>
              <w:widowControl/>
              <w:jc w:val="center"/>
              <w:rPr>
                <w:kern w:val="0"/>
                <w:sz w:val="16"/>
                <w:szCs w:val="16"/>
              </w:rPr>
            </w:pPr>
            <w:r>
              <w:rPr>
                <w:kern w:val="0"/>
                <w:sz w:val="16"/>
                <w:szCs w:val="16"/>
              </w:rPr>
              <w:t>　</w:t>
            </w:r>
          </w:p>
        </w:tc>
        <w:tc>
          <w:tcPr>
            <w:tcW w:w="580" w:type="dxa"/>
            <w:noWrap w:val="0"/>
            <w:vAlign w:val="center"/>
          </w:tcPr>
          <w:p w14:paraId="403867B4">
            <w:pPr>
              <w:widowControl/>
              <w:jc w:val="center"/>
              <w:rPr>
                <w:kern w:val="0"/>
                <w:sz w:val="16"/>
                <w:szCs w:val="16"/>
              </w:rPr>
            </w:pPr>
            <w:r>
              <w:rPr>
                <w:kern w:val="0"/>
                <w:sz w:val="16"/>
                <w:szCs w:val="16"/>
              </w:rPr>
              <w:t>　</w:t>
            </w:r>
          </w:p>
        </w:tc>
        <w:tc>
          <w:tcPr>
            <w:tcW w:w="786" w:type="dxa"/>
            <w:noWrap w:val="0"/>
            <w:vAlign w:val="center"/>
          </w:tcPr>
          <w:p w14:paraId="59CA9972">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3BB8F266">
            <w:pPr>
              <w:widowControl/>
              <w:jc w:val="center"/>
              <w:rPr>
                <w:kern w:val="0"/>
                <w:sz w:val="16"/>
                <w:szCs w:val="16"/>
              </w:rPr>
            </w:pPr>
            <w:r>
              <w:rPr>
                <w:kern w:val="0"/>
                <w:sz w:val="16"/>
                <w:szCs w:val="16"/>
              </w:rPr>
              <w:t>　</w:t>
            </w:r>
          </w:p>
        </w:tc>
        <w:tc>
          <w:tcPr>
            <w:tcW w:w="857" w:type="dxa"/>
            <w:noWrap w:val="0"/>
            <w:vAlign w:val="center"/>
          </w:tcPr>
          <w:p w14:paraId="29E01C75">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3601741">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6FDBBF98">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08C5C46E">
            <w:pPr>
              <w:widowControl/>
              <w:jc w:val="left"/>
              <w:rPr>
                <w:rFonts w:ascii="宋体" w:hAnsi="宋体" w:cs="宋体"/>
                <w:kern w:val="0"/>
                <w:sz w:val="20"/>
                <w:szCs w:val="20"/>
              </w:rPr>
            </w:pPr>
            <w:r>
              <w:rPr>
                <w:rFonts w:hint="eastAsia" w:ascii="宋体" w:hAnsi="宋体" w:cs="宋体"/>
                <w:kern w:val="0"/>
                <w:sz w:val="20"/>
                <w:szCs w:val="20"/>
              </w:rPr>
              <w:t>　</w:t>
            </w:r>
          </w:p>
        </w:tc>
      </w:tr>
      <w:tr w14:paraId="1BFF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16AB21CA">
            <w:pPr>
              <w:widowControl/>
              <w:jc w:val="center"/>
              <w:rPr>
                <w:rFonts w:ascii="宋体" w:hAnsi="宋体" w:cs="宋体"/>
                <w:kern w:val="0"/>
                <w:sz w:val="16"/>
                <w:szCs w:val="16"/>
              </w:rPr>
            </w:pPr>
            <w:r>
              <w:rPr>
                <w:rFonts w:hint="eastAsia" w:ascii="宋体" w:hAnsi="宋体" w:cs="宋体"/>
                <w:kern w:val="0"/>
                <w:sz w:val="16"/>
                <w:szCs w:val="16"/>
              </w:rPr>
              <w:t>4</w:t>
            </w:r>
          </w:p>
        </w:tc>
        <w:tc>
          <w:tcPr>
            <w:tcW w:w="2040" w:type="dxa"/>
            <w:noWrap w:val="0"/>
            <w:vAlign w:val="center"/>
          </w:tcPr>
          <w:p w14:paraId="3AC8B5F5">
            <w:pPr>
              <w:widowControl/>
              <w:jc w:val="left"/>
              <w:rPr>
                <w:rFonts w:ascii="宋体" w:hAnsi="宋体" w:cs="宋体"/>
                <w:kern w:val="0"/>
                <w:sz w:val="16"/>
                <w:szCs w:val="16"/>
              </w:rPr>
            </w:pPr>
            <w:r>
              <w:rPr>
                <w:rFonts w:hint="eastAsia" w:ascii="宋体" w:hAnsi="宋体" w:cs="宋体"/>
                <w:kern w:val="0"/>
                <w:sz w:val="16"/>
                <w:szCs w:val="16"/>
              </w:rPr>
              <w:t>混凝土喷射机</w:t>
            </w:r>
          </w:p>
        </w:tc>
        <w:tc>
          <w:tcPr>
            <w:tcW w:w="706" w:type="dxa"/>
            <w:noWrap w:val="0"/>
            <w:vAlign w:val="center"/>
          </w:tcPr>
          <w:p w14:paraId="38F8FB1B">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75324957">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5A1D8122">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107AA9DF">
            <w:pPr>
              <w:widowControl/>
              <w:jc w:val="center"/>
              <w:rPr>
                <w:rFonts w:ascii="宋体" w:hAnsi="宋体" w:cs="宋体"/>
                <w:kern w:val="0"/>
                <w:sz w:val="16"/>
                <w:szCs w:val="16"/>
              </w:rPr>
            </w:pPr>
            <w:r>
              <w:rPr>
                <w:rFonts w:hint="eastAsia" w:ascii="宋体" w:hAnsi="宋体" w:cs="宋体"/>
                <w:kern w:val="0"/>
                <w:sz w:val="16"/>
                <w:szCs w:val="16"/>
              </w:rPr>
              <w:t>11</w:t>
            </w:r>
          </w:p>
        </w:tc>
        <w:tc>
          <w:tcPr>
            <w:tcW w:w="786" w:type="dxa"/>
            <w:noWrap w:val="0"/>
            <w:vAlign w:val="center"/>
          </w:tcPr>
          <w:p w14:paraId="4921121A">
            <w:pPr>
              <w:widowControl/>
              <w:jc w:val="center"/>
              <w:rPr>
                <w:rFonts w:ascii="宋体" w:hAnsi="宋体" w:cs="宋体"/>
                <w:kern w:val="0"/>
                <w:sz w:val="16"/>
                <w:szCs w:val="16"/>
              </w:rPr>
            </w:pPr>
            <w:r>
              <w:rPr>
                <w:rFonts w:hint="eastAsia" w:ascii="宋体" w:hAnsi="宋体" w:cs="宋体"/>
                <w:kern w:val="0"/>
                <w:sz w:val="16"/>
                <w:szCs w:val="16"/>
              </w:rPr>
              <w:t>5.5</w:t>
            </w:r>
          </w:p>
        </w:tc>
        <w:tc>
          <w:tcPr>
            <w:tcW w:w="1080" w:type="dxa"/>
            <w:noWrap w:val="0"/>
            <w:vAlign w:val="center"/>
          </w:tcPr>
          <w:p w14:paraId="10E2F88B">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1C8C5C1E">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218BD81B">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7364C393">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672C46C5">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68400633">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175C0791">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D281DED">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2F787278">
            <w:pPr>
              <w:widowControl/>
              <w:jc w:val="left"/>
              <w:rPr>
                <w:rFonts w:ascii="宋体" w:hAnsi="宋体" w:cs="宋体"/>
                <w:kern w:val="0"/>
                <w:sz w:val="20"/>
                <w:szCs w:val="20"/>
              </w:rPr>
            </w:pPr>
            <w:r>
              <w:rPr>
                <w:rFonts w:hint="eastAsia" w:ascii="宋体" w:hAnsi="宋体" w:cs="宋体"/>
                <w:kern w:val="0"/>
                <w:sz w:val="20"/>
                <w:szCs w:val="20"/>
              </w:rPr>
              <w:t>　</w:t>
            </w:r>
          </w:p>
        </w:tc>
      </w:tr>
      <w:tr w14:paraId="05B5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06597CC1">
            <w:pPr>
              <w:widowControl/>
              <w:jc w:val="center"/>
              <w:rPr>
                <w:rFonts w:ascii="宋体" w:hAnsi="宋体" w:cs="宋体"/>
                <w:kern w:val="0"/>
                <w:sz w:val="16"/>
                <w:szCs w:val="16"/>
              </w:rPr>
            </w:pPr>
            <w:r>
              <w:rPr>
                <w:rFonts w:hint="eastAsia" w:ascii="宋体" w:hAnsi="宋体" w:cs="宋体"/>
                <w:kern w:val="0"/>
                <w:sz w:val="16"/>
                <w:szCs w:val="16"/>
              </w:rPr>
              <w:t>5</w:t>
            </w:r>
          </w:p>
        </w:tc>
        <w:tc>
          <w:tcPr>
            <w:tcW w:w="2040" w:type="dxa"/>
            <w:noWrap w:val="0"/>
            <w:vAlign w:val="center"/>
          </w:tcPr>
          <w:p w14:paraId="0804E5FF">
            <w:pPr>
              <w:widowControl/>
              <w:jc w:val="left"/>
              <w:rPr>
                <w:rFonts w:ascii="宋体" w:hAnsi="宋体" w:cs="宋体"/>
                <w:kern w:val="0"/>
                <w:sz w:val="16"/>
                <w:szCs w:val="16"/>
              </w:rPr>
            </w:pPr>
            <w:r>
              <w:rPr>
                <w:rFonts w:hint="eastAsia" w:ascii="宋体" w:hAnsi="宋体" w:cs="宋体"/>
                <w:kern w:val="0"/>
                <w:sz w:val="16"/>
                <w:szCs w:val="16"/>
              </w:rPr>
              <w:t>安全钻机</w:t>
            </w:r>
          </w:p>
        </w:tc>
        <w:tc>
          <w:tcPr>
            <w:tcW w:w="706" w:type="dxa"/>
            <w:noWrap w:val="0"/>
            <w:vAlign w:val="center"/>
          </w:tcPr>
          <w:p w14:paraId="56DF3D1B">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3A54B02">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1B64CC86">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6338EF56">
            <w:pPr>
              <w:widowControl/>
              <w:jc w:val="center"/>
              <w:rPr>
                <w:rFonts w:ascii="宋体" w:hAnsi="宋体" w:cs="宋体"/>
                <w:kern w:val="0"/>
                <w:sz w:val="16"/>
                <w:szCs w:val="16"/>
              </w:rPr>
            </w:pPr>
            <w:r>
              <w:rPr>
                <w:rFonts w:hint="eastAsia" w:ascii="宋体" w:hAnsi="宋体" w:cs="宋体"/>
                <w:kern w:val="0"/>
                <w:sz w:val="16"/>
                <w:szCs w:val="16"/>
              </w:rPr>
              <w:t>17</w:t>
            </w:r>
          </w:p>
        </w:tc>
        <w:tc>
          <w:tcPr>
            <w:tcW w:w="786" w:type="dxa"/>
            <w:noWrap w:val="0"/>
            <w:vAlign w:val="center"/>
          </w:tcPr>
          <w:p w14:paraId="6FA7B71B">
            <w:pPr>
              <w:widowControl/>
              <w:jc w:val="center"/>
              <w:rPr>
                <w:rFonts w:ascii="宋体" w:hAnsi="宋体" w:cs="宋体"/>
                <w:kern w:val="0"/>
                <w:sz w:val="16"/>
                <w:szCs w:val="16"/>
              </w:rPr>
            </w:pPr>
            <w:r>
              <w:rPr>
                <w:rFonts w:hint="eastAsia" w:ascii="宋体" w:hAnsi="宋体" w:cs="宋体"/>
                <w:kern w:val="0"/>
                <w:sz w:val="16"/>
                <w:szCs w:val="16"/>
              </w:rPr>
              <w:t>17</w:t>
            </w:r>
          </w:p>
        </w:tc>
        <w:tc>
          <w:tcPr>
            <w:tcW w:w="1080" w:type="dxa"/>
            <w:noWrap w:val="0"/>
            <w:vAlign w:val="center"/>
          </w:tcPr>
          <w:p w14:paraId="27EF57B4">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0BF3AE99">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1FA59BDB">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079F292F">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20470510">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4A6B87D1">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609CDABE">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9D6DD15">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6C37DC1C">
            <w:pPr>
              <w:widowControl/>
              <w:jc w:val="left"/>
              <w:rPr>
                <w:rFonts w:ascii="宋体" w:hAnsi="宋体" w:cs="宋体"/>
                <w:kern w:val="0"/>
                <w:sz w:val="20"/>
                <w:szCs w:val="20"/>
              </w:rPr>
            </w:pPr>
            <w:r>
              <w:rPr>
                <w:rFonts w:hint="eastAsia" w:ascii="宋体" w:hAnsi="宋体" w:cs="宋体"/>
                <w:kern w:val="0"/>
                <w:sz w:val="20"/>
                <w:szCs w:val="20"/>
              </w:rPr>
              <w:t>　</w:t>
            </w:r>
          </w:p>
        </w:tc>
      </w:tr>
      <w:tr w14:paraId="200C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2A28B7F1">
            <w:pPr>
              <w:widowControl/>
              <w:jc w:val="center"/>
              <w:rPr>
                <w:rFonts w:ascii="宋体" w:hAnsi="宋体" w:cs="宋体"/>
                <w:kern w:val="0"/>
                <w:sz w:val="16"/>
                <w:szCs w:val="16"/>
              </w:rPr>
            </w:pPr>
            <w:r>
              <w:rPr>
                <w:rFonts w:hint="eastAsia" w:ascii="宋体" w:hAnsi="宋体" w:cs="宋体"/>
                <w:kern w:val="0"/>
                <w:sz w:val="16"/>
                <w:szCs w:val="16"/>
              </w:rPr>
              <w:t>6</w:t>
            </w:r>
          </w:p>
        </w:tc>
        <w:tc>
          <w:tcPr>
            <w:tcW w:w="2040" w:type="dxa"/>
            <w:noWrap w:val="0"/>
            <w:vAlign w:val="center"/>
          </w:tcPr>
          <w:p w14:paraId="539C9027">
            <w:pPr>
              <w:widowControl/>
              <w:jc w:val="left"/>
              <w:rPr>
                <w:rFonts w:ascii="宋体" w:hAnsi="宋体" w:cs="宋体"/>
                <w:kern w:val="0"/>
                <w:sz w:val="16"/>
                <w:szCs w:val="16"/>
              </w:rPr>
            </w:pPr>
            <w:r>
              <w:rPr>
                <w:rFonts w:hint="eastAsia" w:ascii="宋体" w:hAnsi="宋体" w:cs="宋体"/>
                <w:kern w:val="0"/>
                <w:sz w:val="16"/>
                <w:szCs w:val="16"/>
              </w:rPr>
              <w:t>装煤机</w:t>
            </w:r>
          </w:p>
        </w:tc>
        <w:tc>
          <w:tcPr>
            <w:tcW w:w="706" w:type="dxa"/>
            <w:noWrap w:val="0"/>
            <w:vAlign w:val="center"/>
          </w:tcPr>
          <w:p w14:paraId="52D6C436">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6EF25729">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77FD29A9">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5AB01CE5">
            <w:pPr>
              <w:widowControl/>
              <w:jc w:val="center"/>
              <w:rPr>
                <w:rFonts w:ascii="宋体" w:hAnsi="宋体" w:cs="宋体"/>
                <w:kern w:val="0"/>
                <w:sz w:val="16"/>
                <w:szCs w:val="16"/>
              </w:rPr>
            </w:pPr>
            <w:r>
              <w:rPr>
                <w:rFonts w:hint="eastAsia" w:ascii="宋体" w:hAnsi="宋体" w:cs="宋体"/>
                <w:kern w:val="0"/>
                <w:sz w:val="16"/>
                <w:szCs w:val="16"/>
              </w:rPr>
              <w:t>17</w:t>
            </w:r>
          </w:p>
        </w:tc>
        <w:tc>
          <w:tcPr>
            <w:tcW w:w="786" w:type="dxa"/>
            <w:noWrap w:val="0"/>
            <w:vAlign w:val="center"/>
          </w:tcPr>
          <w:p w14:paraId="5530D60D">
            <w:pPr>
              <w:widowControl/>
              <w:jc w:val="center"/>
              <w:rPr>
                <w:rFonts w:ascii="宋体" w:hAnsi="宋体" w:cs="宋体"/>
                <w:kern w:val="0"/>
                <w:sz w:val="16"/>
                <w:szCs w:val="16"/>
              </w:rPr>
            </w:pPr>
            <w:r>
              <w:rPr>
                <w:rFonts w:hint="eastAsia" w:ascii="宋体" w:hAnsi="宋体" w:cs="宋体"/>
                <w:kern w:val="0"/>
                <w:sz w:val="16"/>
                <w:szCs w:val="16"/>
              </w:rPr>
              <w:t>17</w:t>
            </w:r>
          </w:p>
        </w:tc>
        <w:tc>
          <w:tcPr>
            <w:tcW w:w="1080" w:type="dxa"/>
            <w:noWrap w:val="0"/>
            <w:vAlign w:val="center"/>
          </w:tcPr>
          <w:p w14:paraId="13942191">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61437A30">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7D14AF51">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5CC56673">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5AE34AD8">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7C7082BB">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27A07044">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77D059FA">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21BB83C">
            <w:pPr>
              <w:widowControl/>
              <w:jc w:val="left"/>
              <w:rPr>
                <w:rFonts w:ascii="宋体" w:hAnsi="宋体" w:cs="宋体"/>
                <w:kern w:val="0"/>
                <w:sz w:val="20"/>
                <w:szCs w:val="20"/>
              </w:rPr>
            </w:pPr>
            <w:r>
              <w:rPr>
                <w:rFonts w:hint="eastAsia" w:ascii="宋体" w:hAnsi="宋体" w:cs="宋体"/>
                <w:kern w:val="0"/>
                <w:sz w:val="20"/>
                <w:szCs w:val="20"/>
              </w:rPr>
              <w:t>　</w:t>
            </w:r>
          </w:p>
        </w:tc>
      </w:tr>
      <w:tr w14:paraId="6ED1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3FFB271F">
            <w:pPr>
              <w:widowControl/>
              <w:jc w:val="center"/>
              <w:rPr>
                <w:rFonts w:ascii="宋体" w:hAnsi="宋体" w:cs="宋体"/>
                <w:kern w:val="0"/>
                <w:sz w:val="16"/>
                <w:szCs w:val="16"/>
              </w:rPr>
            </w:pPr>
            <w:r>
              <w:rPr>
                <w:rFonts w:hint="eastAsia" w:ascii="宋体" w:hAnsi="宋体" w:cs="宋体"/>
                <w:kern w:val="0"/>
                <w:sz w:val="16"/>
                <w:szCs w:val="16"/>
              </w:rPr>
              <w:t>7</w:t>
            </w:r>
          </w:p>
        </w:tc>
        <w:tc>
          <w:tcPr>
            <w:tcW w:w="2040" w:type="dxa"/>
            <w:noWrap w:val="0"/>
            <w:vAlign w:val="center"/>
          </w:tcPr>
          <w:p w14:paraId="6AFF278B">
            <w:pPr>
              <w:widowControl/>
              <w:jc w:val="left"/>
              <w:rPr>
                <w:rFonts w:ascii="宋体" w:hAnsi="宋体" w:cs="宋体"/>
                <w:kern w:val="0"/>
                <w:sz w:val="16"/>
                <w:szCs w:val="16"/>
              </w:rPr>
            </w:pPr>
            <w:r>
              <w:rPr>
                <w:rFonts w:hint="eastAsia" w:ascii="宋体" w:hAnsi="宋体" w:cs="宋体"/>
                <w:kern w:val="0"/>
                <w:sz w:val="16"/>
                <w:szCs w:val="16"/>
              </w:rPr>
              <w:t>调度绞车</w:t>
            </w:r>
          </w:p>
        </w:tc>
        <w:tc>
          <w:tcPr>
            <w:tcW w:w="706" w:type="dxa"/>
            <w:noWrap w:val="0"/>
            <w:vAlign w:val="center"/>
          </w:tcPr>
          <w:p w14:paraId="713D5D87">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866EB31">
            <w:pPr>
              <w:widowControl/>
              <w:jc w:val="center"/>
              <w:rPr>
                <w:rFonts w:ascii="宋体" w:hAnsi="宋体" w:cs="宋体"/>
                <w:kern w:val="0"/>
                <w:sz w:val="16"/>
                <w:szCs w:val="16"/>
              </w:rPr>
            </w:pPr>
            <w:r>
              <w:rPr>
                <w:rFonts w:hint="eastAsia" w:ascii="宋体" w:hAnsi="宋体" w:cs="宋体"/>
                <w:kern w:val="0"/>
                <w:sz w:val="16"/>
                <w:szCs w:val="16"/>
              </w:rPr>
              <w:t>2</w:t>
            </w:r>
          </w:p>
        </w:tc>
        <w:tc>
          <w:tcPr>
            <w:tcW w:w="700" w:type="dxa"/>
            <w:noWrap w:val="0"/>
            <w:vAlign w:val="center"/>
          </w:tcPr>
          <w:p w14:paraId="40850BB7">
            <w:pPr>
              <w:widowControl/>
              <w:jc w:val="center"/>
              <w:rPr>
                <w:rFonts w:ascii="宋体" w:hAnsi="宋体" w:cs="宋体"/>
                <w:kern w:val="0"/>
                <w:sz w:val="16"/>
                <w:szCs w:val="16"/>
              </w:rPr>
            </w:pPr>
            <w:r>
              <w:rPr>
                <w:rFonts w:hint="eastAsia" w:ascii="宋体" w:hAnsi="宋体" w:cs="宋体"/>
                <w:kern w:val="0"/>
                <w:sz w:val="16"/>
                <w:szCs w:val="16"/>
              </w:rPr>
              <w:t>2</w:t>
            </w:r>
          </w:p>
        </w:tc>
        <w:tc>
          <w:tcPr>
            <w:tcW w:w="786" w:type="dxa"/>
            <w:noWrap w:val="0"/>
            <w:vAlign w:val="center"/>
          </w:tcPr>
          <w:p w14:paraId="3F3B7483">
            <w:pPr>
              <w:widowControl/>
              <w:jc w:val="center"/>
              <w:rPr>
                <w:rFonts w:ascii="宋体" w:hAnsi="宋体" w:cs="宋体"/>
                <w:kern w:val="0"/>
                <w:sz w:val="16"/>
                <w:szCs w:val="16"/>
              </w:rPr>
            </w:pPr>
            <w:r>
              <w:rPr>
                <w:rFonts w:hint="eastAsia" w:ascii="宋体" w:hAnsi="宋体" w:cs="宋体"/>
                <w:kern w:val="0"/>
                <w:sz w:val="16"/>
                <w:szCs w:val="16"/>
              </w:rPr>
              <w:t>22.8</w:t>
            </w:r>
          </w:p>
        </w:tc>
        <w:tc>
          <w:tcPr>
            <w:tcW w:w="786" w:type="dxa"/>
            <w:noWrap w:val="0"/>
            <w:vAlign w:val="center"/>
          </w:tcPr>
          <w:p w14:paraId="17C53159">
            <w:pPr>
              <w:widowControl/>
              <w:jc w:val="center"/>
              <w:rPr>
                <w:rFonts w:ascii="宋体" w:hAnsi="宋体" w:cs="宋体"/>
                <w:kern w:val="0"/>
                <w:sz w:val="16"/>
                <w:szCs w:val="16"/>
              </w:rPr>
            </w:pPr>
            <w:r>
              <w:rPr>
                <w:rFonts w:hint="eastAsia" w:ascii="宋体" w:hAnsi="宋体" w:cs="宋体"/>
                <w:kern w:val="0"/>
                <w:sz w:val="16"/>
                <w:szCs w:val="16"/>
              </w:rPr>
              <w:t>22.8</w:t>
            </w:r>
          </w:p>
        </w:tc>
        <w:tc>
          <w:tcPr>
            <w:tcW w:w="1080" w:type="dxa"/>
            <w:noWrap w:val="0"/>
            <w:vAlign w:val="center"/>
          </w:tcPr>
          <w:p w14:paraId="42108D22">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1000D260">
            <w:pPr>
              <w:widowControl/>
              <w:jc w:val="center"/>
              <w:rPr>
                <w:rFonts w:ascii="宋体" w:hAnsi="宋体" w:cs="宋体"/>
                <w:kern w:val="0"/>
                <w:sz w:val="16"/>
                <w:szCs w:val="16"/>
              </w:rPr>
            </w:pPr>
            <w:r>
              <w:rPr>
                <w:rFonts w:hint="eastAsia" w:ascii="宋体" w:hAnsi="宋体" w:cs="宋体"/>
                <w:kern w:val="0"/>
                <w:sz w:val="16"/>
                <w:szCs w:val="16"/>
              </w:rPr>
              <w:t>　</w:t>
            </w:r>
          </w:p>
        </w:tc>
        <w:tc>
          <w:tcPr>
            <w:tcW w:w="580" w:type="dxa"/>
            <w:noWrap w:val="0"/>
            <w:vAlign w:val="center"/>
          </w:tcPr>
          <w:p w14:paraId="1B2F59AF">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0CA28B0A">
            <w:pPr>
              <w:widowControl/>
              <w:jc w:val="center"/>
              <w:rPr>
                <w:rFonts w:ascii="宋体" w:hAnsi="宋体" w:cs="宋体"/>
                <w:kern w:val="0"/>
                <w:sz w:val="16"/>
                <w:szCs w:val="16"/>
              </w:rPr>
            </w:pPr>
            <w:r>
              <w:rPr>
                <w:rFonts w:hint="eastAsia" w:ascii="宋体" w:hAnsi="宋体" w:cs="宋体"/>
                <w:kern w:val="0"/>
                <w:sz w:val="16"/>
                <w:szCs w:val="16"/>
              </w:rPr>
              <w:t>　</w:t>
            </w:r>
          </w:p>
        </w:tc>
        <w:tc>
          <w:tcPr>
            <w:tcW w:w="892" w:type="dxa"/>
            <w:noWrap w:val="0"/>
            <w:vAlign w:val="center"/>
          </w:tcPr>
          <w:p w14:paraId="2EEF5A87">
            <w:pPr>
              <w:widowControl/>
              <w:jc w:val="center"/>
              <w:rPr>
                <w:rFonts w:ascii="宋体" w:hAnsi="宋体" w:cs="宋体"/>
                <w:kern w:val="0"/>
                <w:sz w:val="16"/>
                <w:szCs w:val="16"/>
              </w:rPr>
            </w:pPr>
            <w:r>
              <w:rPr>
                <w:rFonts w:hint="eastAsia" w:ascii="宋体" w:hAnsi="宋体" w:cs="宋体"/>
                <w:kern w:val="0"/>
                <w:sz w:val="16"/>
                <w:szCs w:val="16"/>
              </w:rPr>
              <w:t>　</w:t>
            </w:r>
          </w:p>
        </w:tc>
        <w:tc>
          <w:tcPr>
            <w:tcW w:w="857" w:type="dxa"/>
            <w:noWrap w:val="0"/>
            <w:vAlign w:val="center"/>
          </w:tcPr>
          <w:p w14:paraId="2CE84EBC">
            <w:pPr>
              <w:widowControl/>
              <w:jc w:val="center"/>
              <w:rPr>
                <w:rFonts w:ascii="宋体" w:hAnsi="宋体" w:cs="宋体"/>
                <w:kern w:val="0"/>
                <w:sz w:val="16"/>
                <w:szCs w:val="16"/>
              </w:rPr>
            </w:pPr>
            <w:r>
              <w:rPr>
                <w:rFonts w:hint="eastAsia" w:ascii="宋体" w:hAnsi="宋体" w:cs="宋体"/>
                <w:kern w:val="0"/>
                <w:sz w:val="16"/>
                <w:szCs w:val="16"/>
              </w:rPr>
              <w:t>　</w:t>
            </w:r>
          </w:p>
        </w:tc>
        <w:tc>
          <w:tcPr>
            <w:tcW w:w="1120" w:type="dxa"/>
            <w:noWrap w:val="0"/>
            <w:vAlign w:val="center"/>
          </w:tcPr>
          <w:p w14:paraId="56D08D1C">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849F502">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6E0E2DC5">
            <w:pPr>
              <w:widowControl/>
              <w:jc w:val="left"/>
              <w:rPr>
                <w:rFonts w:ascii="宋体" w:hAnsi="宋体" w:cs="宋体"/>
                <w:kern w:val="0"/>
                <w:sz w:val="20"/>
                <w:szCs w:val="20"/>
              </w:rPr>
            </w:pPr>
            <w:r>
              <w:rPr>
                <w:rFonts w:hint="eastAsia" w:ascii="宋体" w:hAnsi="宋体" w:cs="宋体"/>
                <w:kern w:val="0"/>
                <w:sz w:val="20"/>
                <w:szCs w:val="20"/>
              </w:rPr>
              <w:t>　</w:t>
            </w:r>
          </w:p>
        </w:tc>
      </w:tr>
      <w:tr w14:paraId="5A3E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173E785D">
            <w:pPr>
              <w:widowControl/>
              <w:jc w:val="center"/>
              <w:rPr>
                <w:rFonts w:ascii="宋体" w:hAnsi="宋体" w:cs="宋体"/>
                <w:kern w:val="0"/>
                <w:sz w:val="16"/>
                <w:szCs w:val="16"/>
              </w:rPr>
            </w:pPr>
            <w:r>
              <w:rPr>
                <w:rFonts w:hint="eastAsia" w:ascii="宋体" w:hAnsi="宋体" w:cs="宋体"/>
                <w:kern w:val="0"/>
                <w:sz w:val="16"/>
                <w:szCs w:val="16"/>
              </w:rPr>
              <w:t>　</w:t>
            </w:r>
          </w:p>
        </w:tc>
        <w:tc>
          <w:tcPr>
            <w:tcW w:w="2040" w:type="dxa"/>
            <w:noWrap w:val="0"/>
            <w:vAlign w:val="center"/>
          </w:tcPr>
          <w:p w14:paraId="685C5E9D">
            <w:pPr>
              <w:widowControl/>
              <w:jc w:val="center"/>
              <w:rPr>
                <w:rFonts w:ascii="宋体" w:hAnsi="宋体" w:cs="宋体"/>
                <w:kern w:val="0"/>
                <w:sz w:val="16"/>
                <w:szCs w:val="16"/>
              </w:rPr>
            </w:pPr>
            <w:r>
              <w:rPr>
                <w:rFonts w:hint="eastAsia" w:ascii="宋体" w:hAnsi="宋体" w:cs="宋体"/>
                <w:kern w:val="0"/>
                <w:sz w:val="16"/>
                <w:szCs w:val="16"/>
              </w:rPr>
              <w:t>小计</w:t>
            </w:r>
          </w:p>
        </w:tc>
        <w:tc>
          <w:tcPr>
            <w:tcW w:w="706" w:type="dxa"/>
            <w:noWrap w:val="0"/>
            <w:vAlign w:val="center"/>
          </w:tcPr>
          <w:p w14:paraId="1584CB2C">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2BAE7DBF">
            <w:pPr>
              <w:widowControl/>
              <w:jc w:val="center"/>
              <w:rPr>
                <w:rFonts w:ascii="宋体" w:hAnsi="宋体" w:cs="宋体"/>
                <w:kern w:val="0"/>
                <w:sz w:val="16"/>
                <w:szCs w:val="16"/>
              </w:rPr>
            </w:pPr>
            <w:r>
              <w:rPr>
                <w:rFonts w:hint="eastAsia" w:ascii="宋体" w:hAnsi="宋体" w:cs="宋体"/>
                <w:kern w:val="0"/>
                <w:sz w:val="16"/>
                <w:szCs w:val="16"/>
              </w:rPr>
              <w:t>12</w:t>
            </w:r>
          </w:p>
        </w:tc>
        <w:tc>
          <w:tcPr>
            <w:tcW w:w="700" w:type="dxa"/>
            <w:noWrap w:val="0"/>
            <w:vAlign w:val="center"/>
          </w:tcPr>
          <w:p w14:paraId="7DA2A341">
            <w:pPr>
              <w:widowControl/>
              <w:jc w:val="center"/>
              <w:rPr>
                <w:rFonts w:ascii="宋体" w:hAnsi="宋体" w:cs="宋体"/>
                <w:kern w:val="0"/>
                <w:sz w:val="16"/>
                <w:szCs w:val="16"/>
              </w:rPr>
            </w:pPr>
            <w:r>
              <w:rPr>
                <w:rFonts w:hint="eastAsia" w:ascii="宋体" w:hAnsi="宋体" w:cs="宋体"/>
                <w:kern w:val="0"/>
                <w:sz w:val="16"/>
                <w:szCs w:val="16"/>
              </w:rPr>
              <w:t>9</w:t>
            </w:r>
          </w:p>
        </w:tc>
        <w:tc>
          <w:tcPr>
            <w:tcW w:w="786" w:type="dxa"/>
            <w:noWrap w:val="0"/>
            <w:vAlign w:val="center"/>
          </w:tcPr>
          <w:p w14:paraId="4288A6D8">
            <w:pPr>
              <w:widowControl/>
              <w:jc w:val="center"/>
              <w:rPr>
                <w:rFonts w:ascii="宋体" w:hAnsi="宋体" w:cs="宋体"/>
                <w:kern w:val="0"/>
                <w:sz w:val="16"/>
                <w:szCs w:val="16"/>
              </w:rPr>
            </w:pPr>
            <w:r>
              <w:rPr>
                <w:rFonts w:hint="eastAsia" w:ascii="宋体" w:hAnsi="宋体" w:cs="宋体"/>
                <w:kern w:val="0"/>
                <w:sz w:val="16"/>
                <w:szCs w:val="16"/>
              </w:rPr>
              <w:t>94.3</w:t>
            </w:r>
          </w:p>
        </w:tc>
        <w:tc>
          <w:tcPr>
            <w:tcW w:w="786" w:type="dxa"/>
            <w:noWrap w:val="0"/>
            <w:vAlign w:val="center"/>
          </w:tcPr>
          <w:p w14:paraId="2C5E769D">
            <w:pPr>
              <w:widowControl/>
              <w:jc w:val="center"/>
              <w:rPr>
                <w:rFonts w:ascii="宋体" w:hAnsi="宋体" w:cs="宋体"/>
                <w:kern w:val="0"/>
                <w:sz w:val="16"/>
                <w:szCs w:val="16"/>
              </w:rPr>
            </w:pPr>
            <w:r>
              <w:rPr>
                <w:rFonts w:hint="eastAsia" w:ascii="宋体" w:hAnsi="宋体" w:cs="宋体"/>
                <w:kern w:val="0"/>
                <w:sz w:val="16"/>
                <w:szCs w:val="16"/>
              </w:rPr>
              <w:t>85.4</w:t>
            </w:r>
          </w:p>
        </w:tc>
        <w:tc>
          <w:tcPr>
            <w:tcW w:w="1080" w:type="dxa"/>
            <w:noWrap w:val="0"/>
            <w:vAlign w:val="center"/>
          </w:tcPr>
          <w:p w14:paraId="40534622">
            <w:pPr>
              <w:widowControl/>
              <w:jc w:val="center"/>
              <w:rPr>
                <w:rFonts w:ascii="宋体" w:hAnsi="宋体" w:cs="宋体"/>
                <w:kern w:val="0"/>
                <w:sz w:val="16"/>
                <w:szCs w:val="16"/>
              </w:rPr>
            </w:pPr>
            <w:r>
              <w:rPr>
                <w:rFonts w:hint="eastAsia" w:ascii="宋体" w:hAnsi="宋体" w:cs="宋体"/>
                <w:kern w:val="0"/>
                <w:sz w:val="16"/>
                <w:szCs w:val="16"/>
              </w:rPr>
              <w:t>0.4</w:t>
            </w:r>
          </w:p>
        </w:tc>
        <w:tc>
          <w:tcPr>
            <w:tcW w:w="640" w:type="dxa"/>
            <w:noWrap w:val="0"/>
            <w:vAlign w:val="center"/>
          </w:tcPr>
          <w:p w14:paraId="25E47645">
            <w:pPr>
              <w:widowControl/>
              <w:jc w:val="center"/>
              <w:rPr>
                <w:rFonts w:ascii="宋体" w:hAnsi="宋体" w:cs="宋体"/>
                <w:kern w:val="0"/>
                <w:sz w:val="16"/>
                <w:szCs w:val="16"/>
              </w:rPr>
            </w:pPr>
            <w:r>
              <w:rPr>
                <w:rFonts w:hint="eastAsia" w:ascii="宋体" w:hAnsi="宋体" w:cs="宋体"/>
                <w:kern w:val="0"/>
                <w:sz w:val="16"/>
                <w:szCs w:val="16"/>
              </w:rPr>
              <w:t>0.6</w:t>
            </w:r>
          </w:p>
        </w:tc>
        <w:tc>
          <w:tcPr>
            <w:tcW w:w="580" w:type="dxa"/>
            <w:noWrap w:val="0"/>
            <w:vAlign w:val="center"/>
          </w:tcPr>
          <w:p w14:paraId="0865BB25">
            <w:pPr>
              <w:widowControl/>
              <w:jc w:val="center"/>
              <w:rPr>
                <w:rFonts w:ascii="宋体" w:hAnsi="宋体" w:cs="宋体"/>
                <w:kern w:val="0"/>
                <w:sz w:val="16"/>
                <w:szCs w:val="16"/>
              </w:rPr>
            </w:pPr>
            <w:r>
              <w:rPr>
                <w:rFonts w:hint="eastAsia" w:ascii="宋体" w:hAnsi="宋体" w:cs="宋体"/>
                <w:kern w:val="0"/>
                <w:sz w:val="16"/>
                <w:szCs w:val="16"/>
              </w:rPr>
              <w:t>1.33</w:t>
            </w:r>
          </w:p>
        </w:tc>
        <w:tc>
          <w:tcPr>
            <w:tcW w:w="786" w:type="dxa"/>
            <w:noWrap w:val="0"/>
            <w:vAlign w:val="center"/>
          </w:tcPr>
          <w:p w14:paraId="6092821C">
            <w:pPr>
              <w:widowControl/>
              <w:jc w:val="center"/>
              <w:rPr>
                <w:rFonts w:ascii="宋体" w:hAnsi="宋体" w:cs="宋体"/>
                <w:kern w:val="0"/>
                <w:sz w:val="16"/>
                <w:szCs w:val="16"/>
              </w:rPr>
            </w:pPr>
            <w:r>
              <w:rPr>
                <w:rFonts w:hint="eastAsia" w:ascii="宋体" w:hAnsi="宋体" w:cs="宋体"/>
                <w:kern w:val="0"/>
                <w:sz w:val="16"/>
                <w:szCs w:val="16"/>
              </w:rPr>
              <w:t>34.16</w:t>
            </w:r>
          </w:p>
        </w:tc>
        <w:tc>
          <w:tcPr>
            <w:tcW w:w="892" w:type="dxa"/>
            <w:noWrap w:val="0"/>
            <w:vAlign w:val="center"/>
          </w:tcPr>
          <w:p w14:paraId="4E8AEAD9">
            <w:pPr>
              <w:widowControl/>
              <w:jc w:val="center"/>
              <w:rPr>
                <w:rFonts w:ascii="宋体" w:hAnsi="宋体" w:cs="宋体"/>
                <w:kern w:val="0"/>
                <w:sz w:val="16"/>
                <w:szCs w:val="16"/>
              </w:rPr>
            </w:pPr>
            <w:r>
              <w:rPr>
                <w:rFonts w:hint="eastAsia" w:ascii="宋体" w:hAnsi="宋体" w:cs="宋体"/>
                <w:kern w:val="0"/>
                <w:sz w:val="16"/>
                <w:szCs w:val="16"/>
              </w:rPr>
              <w:t>45.43</w:t>
            </w:r>
          </w:p>
        </w:tc>
        <w:tc>
          <w:tcPr>
            <w:tcW w:w="857" w:type="dxa"/>
            <w:noWrap w:val="0"/>
            <w:vAlign w:val="center"/>
          </w:tcPr>
          <w:p w14:paraId="2979ECC7">
            <w:pPr>
              <w:widowControl/>
              <w:jc w:val="center"/>
              <w:rPr>
                <w:rFonts w:ascii="宋体" w:hAnsi="宋体" w:cs="宋体"/>
                <w:kern w:val="0"/>
                <w:sz w:val="16"/>
                <w:szCs w:val="16"/>
              </w:rPr>
            </w:pPr>
            <w:r>
              <w:rPr>
                <w:rFonts w:hint="eastAsia" w:ascii="宋体" w:hAnsi="宋体" w:cs="宋体"/>
                <w:kern w:val="0"/>
                <w:sz w:val="16"/>
                <w:szCs w:val="16"/>
              </w:rPr>
              <w:t>56.84</w:t>
            </w:r>
          </w:p>
        </w:tc>
        <w:tc>
          <w:tcPr>
            <w:tcW w:w="1120" w:type="dxa"/>
            <w:noWrap w:val="0"/>
            <w:vAlign w:val="center"/>
          </w:tcPr>
          <w:p w14:paraId="40DDBCD1">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B881D77">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00FC1382">
            <w:pPr>
              <w:widowControl/>
              <w:jc w:val="left"/>
              <w:rPr>
                <w:rFonts w:ascii="宋体" w:hAnsi="宋体" w:cs="宋体"/>
                <w:kern w:val="0"/>
                <w:sz w:val="20"/>
                <w:szCs w:val="20"/>
              </w:rPr>
            </w:pPr>
            <w:r>
              <w:rPr>
                <w:rFonts w:hint="eastAsia" w:ascii="宋体" w:hAnsi="宋体" w:cs="宋体"/>
                <w:kern w:val="0"/>
                <w:sz w:val="20"/>
                <w:szCs w:val="20"/>
              </w:rPr>
              <w:t>　</w:t>
            </w:r>
          </w:p>
        </w:tc>
      </w:tr>
      <w:tr w14:paraId="0A95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341581B3">
            <w:pPr>
              <w:widowControl/>
              <w:jc w:val="center"/>
              <w:rPr>
                <w:rFonts w:ascii="宋体" w:hAnsi="宋体" w:cs="宋体"/>
                <w:kern w:val="0"/>
                <w:sz w:val="16"/>
                <w:szCs w:val="16"/>
              </w:rPr>
            </w:pPr>
            <w:r>
              <w:rPr>
                <w:rFonts w:hint="eastAsia" w:ascii="宋体" w:hAnsi="宋体" w:cs="宋体"/>
                <w:kern w:val="0"/>
                <w:sz w:val="16"/>
                <w:szCs w:val="16"/>
              </w:rPr>
              <w:t>六</w:t>
            </w:r>
          </w:p>
        </w:tc>
        <w:tc>
          <w:tcPr>
            <w:tcW w:w="2040" w:type="dxa"/>
            <w:noWrap w:val="0"/>
            <w:vAlign w:val="center"/>
          </w:tcPr>
          <w:p w14:paraId="7BFEAC1F">
            <w:pPr>
              <w:widowControl/>
              <w:jc w:val="left"/>
              <w:rPr>
                <w:rFonts w:ascii="宋体" w:hAnsi="宋体" w:cs="宋体"/>
                <w:kern w:val="0"/>
                <w:sz w:val="16"/>
                <w:szCs w:val="16"/>
              </w:rPr>
            </w:pPr>
            <w:r>
              <w:rPr>
                <w:rFonts w:hint="eastAsia" w:ascii="宋体" w:hAnsi="宋体" w:cs="宋体"/>
                <w:kern w:val="0"/>
                <w:sz w:val="16"/>
                <w:szCs w:val="16"/>
              </w:rPr>
              <w:t>131运输石门胶带机机</w:t>
            </w:r>
          </w:p>
        </w:tc>
        <w:tc>
          <w:tcPr>
            <w:tcW w:w="706" w:type="dxa"/>
            <w:noWrap w:val="0"/>
            <w:vAlign w:val="center"/>
          </w:tcPr>
          <w:p w14:paraId="69D9175E">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638F214">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691AFA11">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3E6B9C75">
            <w:pPr>
              <w:widowControl/>
              <w:jc w:val="center"/>
              <w:rPr>
                <w:rFonts w:ascii="宋体" w:hAnsi="宋体" w:cs="宋体"/>
                <w:kern w:val="0"/>
                <w:sz w:val="16"/>
                <w:szCs w:val="16"/>
              </w:rPr>
            </w:pPr>
            <w:r>
              <w:rPr>
                <w:rFonts w:hint="eastAsia" w:ascii="宋体" w:hAnsi="宋体" w:cs="宋体"/>
                <w:kern w:val="0"/>
                <w:sz w:val="16"/>
                <w:szCs w:val="16"/>
              </w:rPr>
              <w:t>40</w:t>
            </w:r>
          </w:p>
        </w:tc>
        <w:tc>
          <w:tcPr>
            <w:tcW w:w="786" w:type="dxa"/>
            <w:noWrap w:val="0"/>
            <w:vAlign w:val="center"/>
          </w:tcPr>
          <w:p w14:paraId="080FAFC1">
            <w:pPr>
              <w:widowControl/>
              <w:jc w:val="center"/>
              <w:rPr>
                <w:rFonts w:ascii="宋体" w:hAnsi="宋体" w:cs="宋体"/>
                <w:kern w:val="0"/>
                <w:sz w:val="16"/>
                <w:szCs w:val="16"/>
              </w:rPr>
            </w:pPr>
            <w:r>
              <w:rPr>
                <w:rFonts w:hint="eastAsia" w:ascii="宋体" w:hAnsi="宋体" w:cs="宋体"/>
                <w:kern w:val="0"/>
                <w:sz w:val="16"/>
                <w:szCs w:val="16"/>
              </w:rPr>
              <w:t>40</w:t>
            </w:r>
          </w:p>
        </w:tc>
        <w:tc>
          <w:tcPr>
            <w:tcW w:w="1080" w:type="dxa"/>
            <w:noWrap w:val="0"/>
            <w:vAlign w:val="center"/>
          </w:tcPr>
          <w:p w14:paraId="6D6C3D11">
            <w:pPr>
              <w:widowControl/>
              <w:jc w:val="center"/>
              <w:rPr>
                <w:rFonts w:ascii="宋体" w:hAnsi="宋体" w:cs="宋体"/>
                <w:kern w:val="0"/>
                <w:sz w:val="16"/>
                <w:szCs w:val="16"/>
              </w:rPr>
            </w:pPr>
            <w:r>
              <w:rPr>
                <w:rFonts w:hint="eastAsia" w:ascii="宋体" w:hAnsi="宋体" w:cs="宋体"/>
                <w:kern w:val="0"/>
                <w:sz w:val="16"/>
                <w:szCs w:val="16"/>
              </w:rPr>
              <w:t>0.5</w:t>
            </w:r>
          </w:p>
        </w:tc>
        <w:tc>
          <w:tcPr>
            <w:tcW w:w="640" w:type="dxa"/>
            <w:noWrap w:val="0"/>
            <w:vAlign w:val="center"/>
          </w:tcPr>
          <w:p w14:paraId="24F64DD9">
            <w:pPr>
              <w:widowControl/>
              <w:jc w:val="center"/>
              <w:rPr>
                <w:rFonts w:ascii="宋体" w:hAnsi="宋体" w:cs="宋体"/>
                <w:kern w:val="0"/>
                <w:sz w:val="16"/>
                <w:szCs w:val="16"/>
              </w:rPr>
            </w:pPr>
            <w:r>
              <w:rPr>
                <w:rFonts w:hint="eastAsia" w:ascii="宋体" w:hAnsi="宋体" w:cs="宋体"/>
                <w:kern w:val="0"/>
                <w:sz w:val="16"/>
                <w:szCs w:val="16"/>
              </w:rPr>
              <w:t>0.8</w:t>
            </w:r>
          </w:p>
        </w:tc>
        <w:tc>
          <w:tcPr>
            <w:tcW w:w="580" w:type="dxa"/>
            <w:noWrap w:val="0"/>
            <w:vAlign w:val="center"/>
          </w:tcPr>
          <w:p w14:paraId="748F24A8">
            <w:pPr>
              <w:widowControl/>
              <w:jc w:val="center"/>
              <w:rPr>
                <w:rFonts w:ascii="宋体" w:hAnsi="宋体" w:cs="宋体"/>
                <w:kern w:val="0"/>
                <w:sz w:val="16"/>
                <w:szCs w:val="16"/>
              </w:rPr>
            </w:pPr>
            <w:r>
              <w:rPr>
                <w:rFonts w:hint="eastAsia" w:ascii="宋体" w:hAnsi="宋体" w:cs="宋体"/>
                <w:kern w:val="0"/>
                <w:sz w:val="16"/>
                <w:szCs w:val="16"/>
              </w:rPr>
              <w:t>0.75</w:t>
            </w:r>
          </w:p>
        </w:tc>
        <w:tc>
          <w:tcPr>
            <w:tcW w:w="786" w:type="dxa"/>
            <w:noWrap w:val="0"/>
            <w:vAlign w:val="center"/>
          </w:tcPr>
          <w:p w14:paraId="55F0BD49">
            <w:pPr>
              <w:widowControl/>
              <w:jc w:val="center"/>
              <w:rPr>
                <w:rFonts w:ascii="宋体" w:hAnsi="宋体" w:cs="宋体"/>
                <w:kern w:val="0"/>
                <w:sz w:val="16"/>
                <w:szCs w:val="16"/>
              </w:rPr>
            </w:pPr>
            <w:r>
              <w:rPr>
                <w:rFonts w:hint="eastAsia" w:ascii="宋体" w:hAnsi="宋体" w:cs="宋体"/>
                <w:kern w:val="0"/>
                <w:sz w:val="16"/>
                <w:szCs w:val="16"/>
              </w:rPr>
              <w:t>20</w:t>
            </w:r>
          </w:p>
        </w:tc>
        <w:tc>
          <w:tcPr>
            <w:tcW w:w="892" w:type="dxa"/>
            <w:noWrap w:val="0"/>
            <w:vAlign w:val="center"/>
          </w:tcPr>
          <w:p w14:paraId="0E050383">
            <w:pPr>
              <w:widowControl/>
              <w:jc w:val="center"/>
              <w:rPr>
                <w:rFonts w:ascii="宋体" w:hAnsi="宋体" w:cs="宋体"/>
                <w:kern w:val="0"/>
                <w:sz w:val="16"/>
                <w:szCs w:val="16"/>
              </w:rPr>
            </w:pPr>
            <w:r>
              <w:rPr>
                <w:rFonts w:hint="eastAsia" w:ascii="宋体" w:hAnsi="宋体" w:cs="宋体"/>
                <w:kern w:val="0"/>
                <w:sz w:val="16"/>
                <w:szCs w:val="16"/>
              </w:rPr>
              <w:t>15.00</w:t>
            </w:r>
          </w:p>
        </w:tc>
        <w:tc>
          <w:tcPr>
            <w:tcW w:w="857" w:type="dxa"/>
            <w:noWrap w:val="0"/>
            <w:vAlign w:val="center"/>
          </w:tcPr>
          <w:p w14:paraId="6D614548">
            <w:pPr>
              <w:widowControl/>
              <w:jc w:val="center"/>
              <w:rPr>
                <w:rFonts w:ascii="宋体" w:hAnsi="宋体" w:cs="宋体"/>
                <w:kern w:val="0"/>
                <w:sz w:val="16"/>
                <w:szCs w:val="16"/>
              </w:rPr>
            </w:pPr>
            <w:r>
              <w:rPr>
                <w:rFonts w:hint="eastAsia" w:ascii="宋体" w:hAnsi="宋体" w:cs="宋体"/>
                <w:kern w:val="0"/>
                <w:sz w:val="16"/>
                <w:szCs w:val="16"/>
              </w:rPr>
              <w:t>25.00</w:t>
            </w:r>
          </w:p>
        </w:tc>
        <w:tc>
          <w:tcPr>
            <w:tcW w:w="1120" w:type="dxa"/>
            <w:noWrap w:val="0"/>
            <w:vAlign w:val="center"/>
          </w:tcPr>
          <w:p w14:paraId="091B6E44">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739D006A">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5B5B7730">
            <w:pPr>
              <w:widowControl/>
              <w:jc w:val="left"/>
              <w:rPr>
                <w:rFonts w:ascii="宋体" w:hAnsi="宋体" w:cs="宋体"/>
                <w:kern w:val="0"/>
                <w:sz w:val="20"/>
                <w:szCs w:val="20"/>
              </w:rPr>
            </w:pPr>
            <w:r>
              <w:rPr>
                <w:rFonts w:hint="eastAsia" w:ascii="宋体" w:hAnsi="宋体" w:cs="宋体"/>
                <w:kern w:val="0"/>
                <w:sz w:val="20"/>
                <w:szCs w:val="20"/>
              </w:rPr>
              <w:t>　</w:t>
            </w:r>
          </w:p>
        </w:tc>
      </w:tr>
      <w:tr w14:paraId="0BB6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0A37BC8D">
            <w:pPr>
              <w:widowControl/>
              <w:jc w:val="center"/>
              <w:rPr>
                <w:rFonts w:ascii="宋体" w:hAnsi="宋体" w:cs="宋体"/>
                <w:kern w:val="0"/>
                <w:sz w:val="16"/>
                <w:szCs w:val="16"/>
              </w:rPr>
            </w:pPr>
            <w:r>
              <w:rPr>
                <w:rFonts w:hint="eastAsia" w:ascii="宋体" w:hAnsi="宋体" w:cs="宋体"/>
                <w:kern w:val="0"/>
                <w:sz w:val="16"/>
                <w:szCs w:val="16"/>
              </w:rPr>
              <w:t>七</w:t>
            </w:r>
          </w:p>
        </w:tc>
        <w:tc>
          <w:tcPr>
            <w:tcW w:w="2040" w:type="dxa"/>
            <w:noWrap w:val="0"/>
            <w:vAlign w:val="center"/>
          </w:tcPr>
          <w:p w14:paraId="3E7218E1">
            <w:pPr>
              <w:widowControl/>
              <w:jc w:val="left"/>
              <w:rPr>
                <w:rFonts w:ascii="宋体" w:hAnsi="宋体" w:cs="宋体"/>
                <w:kern w:val="0"/>
                <w:sz w:val="16"/>
                <w:szCs w:val="16"/>
              </w:rPr>
            </w:pPr>
            <w:r>
              <w:rPr>
                <w:rFonts w:hint="eastAsia" w:ascii="宋体" w:hAnsi="宋体" w:cs="宋体"/>
                <w:kern w:val="0"/>
                <w:sz w:val="16"/>
                <w:szCs w:val="16"/>
              </w:rPr>
              <w:t>回风联络斜巷绞车</w:t>
            </w:r>
          </w:p>
        </w:tc>
        <w:tc>
          <w:tcPr>
            <w:tcW w:w="706" w:type="dxa"/>
            <w:noWrap w:val="0"/>
            <w:vAlign w:val="center"/>
          </w:tcPr>
          <w:p w14:paraId="2B4267D0">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047EDBC7">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6988B0B2">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06EED2E7">
            <w:pPr>
              <w:widowControl/>
              <w:jc w:val="center"/>
              <w:rPr>
                <w:rFonts w:ascii="宋体" w:hAnsi="宋体" w:cs="宋体"/>
                <w:kern w:val="0"/>
                <w:sz w:val="16"/>
                <w:szCs w:val="16"/>
              </w:rPr>
            </w:pPr>
            <w:r>
              <w:rPr>
                <w:rFonts w:hint="eastAsia" w:ascii="宋体" w:hAnsi="宋体" w:cs="宋体"/>
                <w:kern w:val="0"/>
                <w:sz w:val="16"/>
                <w:szCs w:val="16"/>
              </w:rPr>
              <w:t>22</w:t>
            </w:r>
          </w:p>
        </w:tc>
        <w:tc>
          <w:tcPr>
            <w:tcW w:w="786" w:type="dxa"/>
            <w:noWrap w:val="0"/>
            <w:vAlign w:val="center"/>
          </w:tcPr>
          <w:p w14:paraId="6001B1E7">
            <w:pPr>
              <w:widowControl/>
              <w:jc w:val="center"/>
              <w:rPr>
                <w:rFonts w:ascii="宋体" w:hAnsi="宋体" w:cs="宋体"/>
                <w:kern w:val="0"/>
                <w:sz w:val="16"/>
                <w:szCs w:val="16"/>
              </w:rPr>
            </w:pPr>
            <w:r>
              <w:rPr>
                <w:rFonts w:hint="eastAsia" w:ascii="宋体" w:hAnsi="宋体" w:cs="宋体"/>
                <w:kern w:val="0"/>
                <w:sz w:val="16"/>
                <w:szCs w:val="16"/>
              </w:rPr>
              <w:t>22</w:t>
            </w:r>
          </w:p>
        </w:tc>
        <w:tc>
          <w:tcPr>
            <w:tcW w:w="1080" w:type="dxa"/>
            <w:noWrap w:val="0"/>
            <w:vAlign w:val="center"/>
          </w:tcPr>
          <w:p w14:paraId="29A1A1BE">
            <w:pPr>
              <w:widowControl/>
              <w:jc w:val="center"/>
              <w:rPr>
                <w:rFonts w:ascii="宋体" w:hAnsi="宋体" w:cs="宋体"/>
                <w:kern w:val="0"/>
                <w:sz w:val="16"/>
                <w:szCs w:val="16"/>
              </w:rPr>
            </w:pPr>
            <w:r>
              <w:rPr>
                <w:rFonts w:hint="eastAsia" w:ascii="宋体" w:hAnsi="宋体" w:cs="宋体"/>
                <w:kern w:val="0"/>
                <w:sz w:val="16"/>
                <w:szCs w:val="16"/>
              </w:rPr>
              <w:t>0.4</w:t>
            </w:r>
          </w:p>
        </w:tc>
        <w:tc>
          <w:tcPr>
            <w:tcW w:w="640" w:type="dxa"/>
            <w:noWrap w:val="0"/>
            <w:vAlign w:val="center"/>
          </w:tcPr>
          <w:p w14:paraId="5FD31958">
            <w:pPr>
              <w:widowControl/>
              <w:jc w:val="center"/>
              <w:rPr>
                <w:rFonts w:ascii="宋体" w:hAnsi="宋体" w:cs="宋体"/>
                <w:kern w:val="0"/>
                <w:sz w:val="16"/>
                <w:szCs w:val="16"/>
              </w:rPr>
            </w:pPr>
            <w:r>
              <w:rPr>
                <w:rFonts w:hint="eastAsia" w:ascii="宋体" w:hAnsi="宋体" w:cs="宋体"/>
                <w:kern w:val="0"/>
                <w:sz w:val="16"/>
                <w:szCs w:val="16"/>
              </w:rPr>
              <w:t>0.8</w:t>
            </w:r>
          </w:p>
        </w:tc>
        <w:tc>
          <w:tcPr>
            <w:tcW w:w="580" w:type="dxa"/>
            <w:noWrap w:val="0"/>
            <w:vAlign w:val="center"/>
          </w:tcPr>
          <w:p w14:paraId="7A8B1171">
            <w:pPr>
              <w:widowControl/>
              <w:jc w:val="center"/>
              <w:rPr>
                <w:rFonts w:ascii="宋体" w:hAnsi="宋体" w:cs="宋体"/>
                <w:kern w:val="0"/>
                <w:sz w:val="16"/>
                <w:szCs w:val="16"/>
              </w:rPr>
            </w:pPr>
            <w:r>
              <w:rPr>
                <w:rFonts w:hint="eastAsia" w:ascii="宋体" w:hAnsi="宋体" w:cs="宋体"/>
                <w:kern w:val="0"/>
                <w:sz w:val="16"/>
                <w:szCs w:val="16"/>
              </w:rPr>
              <w:t>0.75</w:t>
            </w:r>
          </w:p>
        </w:tc>
        <w:tc>
          <w:tcPr>
            <w:tcW w:w="786" w:type="dxa"/>
            <w:noWrap w:val="0"/>
            <w:vAlign w:val="center"/>
          </w:tcPr>
          <w:p w14:paraId="50D91100">
            <w:pPr>
              <w:widowControl/>
              <w:jc w:val="center"/>
              <w:rPr>
                <w:rFonts w:ascii="宋体" w:hAnsi="宋体" w:cs="宋体"/>
                <w:kern w:val="0"/>
                <w:sz w:val="16"/>
                <w:szCs w:val="16"/>
              </w:rPr>
            </w:pPr>
            <w:r>
              <w:rPr>
                <w:rFonts w:hint="eastAsia" w:ascii="宋体" w:hAnsi="宋体" w:cs="宋体"/>
                <w:kern w:val="0"/>
                <w:sz w:val="16"/>
                <w:szCs w:val="16"/>
              </w:rPr>
              <w:t>8.8</w:t>
            </w:r>
          </w:p>
        </w:tc>
        <w:tc>
          <w:tcPr>
            <w:tcW w:w="892" w:type="dxa"/>
            <w:noWrap w:val="0"/>
            <w:vAlign w:val="center"/>
          </w:tcPr>
          <w:p w14:paraId="1DB580FC">
            <w:pPr>
              <w:widowControl/>
              <w:jc w:val="center"/>
              <w:rPr>
                <w:rFonts w:ascii="宋体" w:hAnsi="宋体" w:cs="宋体"/>
                <w:kern w:val="0"/>
                <w:sz w:val="16"/>
                <w:szCs w:val="16"/>
              </w:rPr>
            </w:pPr>
            <w:r>
              <w:rPr>
                <w:rFonts w:hint="eastAsia" w:ascii="宋体" w:hAnsi="宋体" w:cs="宋体"/>
                <w:kern w:val="0"/>
                <w:sz w:val="16"/>
                <w:szCs w:val="16"/>
              </w:rPr>
              <w:t>6.60</w:t>
            </w:r>
          </w:p>
        </w:tc>
        <w:tc>
          <w:tcPr>
            <w:tcW w:w="857" w:type="dxa"/>
            <w:noWrap w:val="0"/>
            <w:vAlign w:val="center"/>
          </w:tcPr>
          <w:p w14:paraId="23B63FDB">
            <w:pPr>
              <w:widowControl/>
              <w:jc w:val="center"/>
              <w:rPr>
                <w:rFonts w:ascii="宋体" w:hAnsi="宋体" w:cs="宋体"/>
                <w:kern w:val="0"/>
                <w:sz w:val="16"/>
                <w:szCs w:val="16"/>
              </w:rPr>
            </w:pPr>
            <w:r>
              <w:rPr>
                <w:rFonts w:hint="eastAsia" w:ascii="宋体" w:hAnsi="宋体" w:cs="宋体"/>
                <w:kern w:val="0"/>
                <w:sz w:val="16"/>
                <w:szCs w:val="16"/>
              </w:rPr>
              <w:t>11.00</w:t>
            </w:r>
          </w:p>
        </w:tc>
        <w:tc>
          <w:tcPr>
            <w:tcW w:w="1120" w:type="dxa"/>
            <w:noWrap w:val="0"/>
            <w:vAlign w:val="center"/>
          </w:tcPr>
          <w:p w14:paraId="4C9206E4">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5AC7426E">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2DC3ABA4">
            <w:pPr>
              <w:widowControl/>
              <w:jc w:val="left"/>
              <w:rPr>
                <w:rFonts w:ascii="宋体" w:hAnsi="宋体" w:cs="宋体"/>
                <w:kern w:val="0"/>
                <w:sz w:val="20"/>
                <w:szCs w:val="20"/>
              </w:rPr>
            </w:pPr>
            <w:r>
              <w:rPr>
                <w:rFonts w:hint="eastAsia" w:ascii="宋体" w:hAnsi="宋体" w:cs="宋体"/>
                <w:kern w:val="0"/>
                <w:sz w:val="20"/>
                <w:szCs w:val="20"/>
              </w:rPr>
              <w:t>　</w:t>
            </w:r>
          </w:p>
        </w:tc>
      </w:tr>
      <w:tr w14:paraId="6E91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6187D5A9">
            <w:pPr>
              <w:widowControl/>
              <w:jc w:val="center"/>
              <w:rPr>
                <w:rFonts w:ascii="宋体" w:hAnsi="宋体" w:cs="宋体"/>
                <w:kern w:val="0"/>
                <w:sz w:val="16"/>
                <w:szCs w:val="16"/>
              </w:rPr>
            </w:pPr>
            <w:r>
              <w:rPr>
                <w:rFonts w:hint="eastAsia" w:ascii="宋体" w:hAnsi="宋体" w:cs="宋体"/>
                <w:kern w:val="0"/>
                <w:sz w:val="16"/>
                <w:szCs w:val="16"/>
              </w:rPr>
              <w:t>八</w:t>
            </w:r>
          </w:p>
        </w:tc>
        <w:tc>
          <w:tcPr>
            <w:tcW w:w="2040" w:type="dxa"/>
            <w:noWrap w:val="0"/>
            <w:vAlign w:val="center"/>
          </w:tcPr>
          <w:p w14:paraId="13F5DC1B">
            <w:pPr>
              <w:widowControl/>
              <w:jc w:val="left"/>
              <w:rPr>
                <w:rFonts w:ascii="宋体" w:hAnsi="宋体" w:cs="宋体"/>
                <w:kern w:val="0"/>
                <w:sz w:val="16"/>
                <w:szCs w:val="16"/>
              </w:rPr>
            </w:pPr>
            <w:r>
              <w:rPr>
                <w:rFonts w:hint="eastAsia" w:ascii="宋体" w:hAnsi="宋体" w:cs="宋体"/>
                <w:kern w:val="0"/>
                <w:sz w:val="16"/>
                <w:szCs w:val="16"/>
              </w:rPr>
              <w:t>131轨道石门调度绞车</w:t>
            </w:r>
          </w:p>
        </w:tc>
        <w:tc>
          <w:tcPr>
            <w:tcW w:w="706" w:type="dxa"/>
            <w:noWrap w:val="0"/>
            <w:vAlign w:val="center"/>
          </w:tcPr>
          <w:p w14:paraId="72BCB4E5">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66F830D8">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699FC1DD">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7948ED2B">
            <w:pPr>
              <w:widowControl/>
              <w:jc w:val="center"/>
              <w:rPr>
                <w:rFonts w:ascii="宋体" w:hAnsi="宋体" w:cs="宋体"/>
                <w:kern w:val="0"/>
                <w:sz w:val="16"/>
                <w:szCs w:val="16"/>
              </w:rPr>
            </w:pPr>
            <w:r>
              <w:rPr>
                <w:rFonts w:hint="eastAsia" w:ascii="宋体" w:hAnsi="宋体" w:cs="宋体"/>
                <w:kern w:val="0"/>
                <w:sz w:val="16"/>
                <w:szCs w:val="16"/>
              </w:rPr>
              <w:t>11.4</w:t>
            </w:r>
          </w:p>
        </w:tc>
        <w:tc>
          <w:tcPr>
            <w:tcW w:w="786" w:type="dxa"/>
            <w:noWrap w:val="0"/>
            <w:vAlign w:val="center"/>
          </w:tcPr>
          <w:p w14:paraId="5148E019">
            <w:pPr>
              <w:widowControl/>
              <w:jc w:val="center"/>
              <w:rPr>
                <w:rFonts w:ascii="宋体" w:hAnsi="宋体" w:cs="宋体"/>
                <w:kern w:val="0"/>
                <w:sz w:val="16"/>
                <w:szCs w:val="16"/>
              </w:rPr>
            </w:pPr>
            <w:r>
              <w:rPr>
                <w:rFonts w:hint="eastAsia" w:ascii="宋体" w:hAnsi="宋体" w:cs="宋体"/>
                <w:kern w:val="0"/>
                <w:sz w:val="16"/>
                <w:szCs w:val="16"/>
              </w:rPr>
              <w:t>11.4</w:t>
            </w:r>
          </w:p>
        </w:tc>
        <w:tc>
          <w:tcPr>
            <w:tcW w:w="1080" w:type="dxa"/>
            <w:noWrap w:val="0"/>
            <w:vAlign w:val="center"/>
          </w:tcPr>
          <w:p w14:paraId="74D77BE6">
            <w:pPr>
              <w:widowControl/>
              <w:jc w:val="center"/>
              <w:rPr>
                <w:rFonts w:ascii="宋体" w:hAnsi="宋体" w:cs="宋体"/>
                <w:kern w:val="0"/>
                <w:sz w:val="16"/>
                <w:szCs w:val="16"/>
              </w:rPr>
            </w:pPr>
            <w:r>
              <w:rPr>
                <w:rFonts w:hint="eastAsia" w:ascii="宋体" w:hAnsi="宋体" w:cs="宋体"/>
                <w:kern w:val="0"/>
                <w:sz w:val="16"/>
                <w:szCs w:val="16"/>
              </w:rPr>
              <w:t>0.4</w:t>
            </w:r>
          </w:p>
        </w:tc>
        <w:tc>
          <w:tcPr>
            <w:tcW w:w="640" w:type="dxa"/>
            <w:noWrap w:val="0"/>
            <w:vAlign w:val="center"/>
          </w:tcPr>
          <w:p w14:paraId="4CE07BED">
            <w:pPr>
              <w:widowControl/>
              <w:jc w:val="center"/>
              <w:rPr>
                <w:rFonts w:ascii="宋体" w:hAnsi="宋体" w:cs="宋体"/>
                <w:kern w:val="0"/>
                <w:sz w:val="16"/>
                <w:szCs w:val="16"/>
              </w:rPr>
            </w:pPr>
            <w:r>
              <w:rPr>
                <w:rFonts w:hint="eastAsia" w:ascii="宋体" w:hAnsi="宋体" w:cs="宋体"/>
                <w:kern w:val="0"/>
                <w:sz w:val="16"/>
                <w:szCs w:val="16"/>
              </w:rPr>
              <w:t>0.8</w:t>
            </w:r>
          </w:p>
        </w:tc>
        <w:tc>
          <w:tcPr>
            <w:tcW w:w="580" w:type="dxa"/>
            <w:noWrap w:val="0"/>
            <w:vAlign w:val="center"/>
          </w:tcPr>
          <w:p w14:paraId="09B6EF43">
            <w:pPr>
              <w:widowControl/>
              <w:jc w:val="center"/>
              <w:rPr>
                <w:rFonts w:ascii="宋体" w:hAnsi="宋体" w:cs="宋体"/>
                <w:kern w:val="0"/>
                <w:sz w:val="16"/>
                <w:szCs w:val="16"/>
              </w:rPr>
            </w:pPr>
            <w:r>
              <w:rPr>
                <w:rFonts w:hint="eastAsia" w:ascii="宋体" w:hAnsi="宋体" w:cs="宋体"/>
                <w:kern w:val="0"/>
                <w:sz w:val="16"/>
                <w:szCs w:val="16"/>
              </w:rPr>
              <w:t>0.75</w:t>
            </w:r>
          </w:p>
        </w:tc>
        <w:tc>
          <w:tcPr>
            <w:tcW w:w="786" w:type="dxa"/>
            <w:noWrap w:val="0"/>
            <w:vAlign w:val="center"/>
          </w:tcPr>
          <w:p w14:paraId="45E6E015">
            <w:pPr>
              <w:widowControl/>
              <w:jc w:val="center"/>
              <w:rPr>
                <w:rFonts w:ascii="宋体" w:hAnsi="宋体" w:cs="宋体"/>
                <w:kern w:val="0"/>
                <w:sz w:val="16"/>
                <w:szCs w:val="16"/>
              </w:rPr>
            </w:pPr>
            <w:r>
              <w:rPr>
                <w:rFonts w:hint="eastAsia" w:ascii="宋体" w:hAnsi="宋体" w:cs="宋体"/>
                <w:kern w:val="0"/>
                <w:sz w:val="16"/>
                <w:szCs w:val="16"/>
              </w:rPr>
              <w:t>4.56</w:t>
            </w:r>
          </w:p>
        </w:tc>
        <w:tc>
          <w:tcPr>
            <w:tcW w:w="892" w:type="dxa"/>
            <w:noWrap w:val="0"/>
            <w:vAlign w:val="center"/>
          </w:tcPr>
          <w:p w14:paraId="067815F8">
            <w:pPr>
              <w:widowControl/>
              <w:jc w:val="center"/>
              <w:rPr>
                <w:rFonts w:ascii="宋体" w:hAnsi="宋体" w:cs="宋体"/>
                <w:kern w:val="0"/>
                <w:sz w:val="16"/>
                <w:szCs w:val="16"/>
              </w:rPr>
            </w:pPr>
            <w:r>
              <w:rPr>
                <w:rFonts w:hint="eastAsia" w:ascii="宋体" w:hAnsi="宋体" w:cs="宋体"/>
                <w:kern w:val="0"/>
                <w:sz w:val="16"/>
                <w:szCs w:val="16"/>
              </w:rPr>
              <w:t>3.42</w:t>
            </w:r>
          </w:p>
        </w:tc>
        <w:tc>
          <w:tcPr>
            <w:tcW w:w="857" w:type="dxa"/>
            <w:noWrap w:val="0"/>
            <w:vAlign w:val="center"/>
          </w:tcPr>
          <w:p w14:paraId="5A0F4141">
            <w:pPr>
              <w:widowControl/>
              <w:jc w:val="center"/>
              <w:rPr>
                <w:rFonts w:ascii="宋体" w:hAnsi="宋体" w:cs="宋体"/>
                <w:kern w:val="0"/>
                <w:sz w:val="16"/>
                <w:szCs w:val="16"/>
              </w:rPr>
            </w:pPr>
            <w:r>
              <w:rPr>
                <w:rFonts w:hint="eastAsia" w:ascii="宋体" w:hAnsi="宋体" w:cs="宋体"/>
                <w:kern w:val="0"/>
                <w:sz w:val="16"/>
                <w:szCs w:val="16"/>
              </w:rPr>
              <w:t>5.70</w:t>
            </w:r>
          </w:p>
        </w:tc>
        <w:tc>
          <w:tcPr>
            <w:tcW w:w="1120" w:type="dxa"/>
            <w:noWrap w:val="0"/>
            <w:vAlign w:val="center"/>
          </w:tcPr>
          <w:p w14:paraId="470AD6BE">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25C0693B">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021C7542">
            <w:pPr>
              <w:widowControl/>
              <w:jc w:val="left"/>
              <w:rPr>
                <w:rFonts w:ascii="宋体" w:hAnsi="宋体" w:cs="宋体"/>
                <w:kern w:val="0"/>
                <w:sz w:val="20"/>
                <w:szCs w:val="20"/>
              </w:rPr>
            </w:pPr>
            <w:r>
              <w:rPr>
                <w:rFonts w:hint="eastAsia" w:ascii="宋体" w:hAnsi="宋体" w:cs="宋体"/>
                <w:kern w:val="0"/>
                <w:sz w:val="20"/>
                <w:szCs w:val="20"/>
              </w:rPr>
              <w:t>　</w:t>
            </w:r>
          </w:p>
        </w:tc>
      </w:tr>
      <w:tr w14:paraId="51C3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61B1EEF9">
            <w:pPr>
              <w:widowControl/>
              <w:jc w:val="center"/>
              <w:rPr>
                <w:rFonts w:ascii="宋体" w:hAnsi="宋体" w:cs="宋体"/>
                <w:kern w:val="0"/>
                <w:sz w:val="16"/>
                <w:szCs w:val="16"/>
              </w:rPr>
            </w:pPr>
            <w:r>
              <w:rPr>
                <w:rFonts w:hint="eastAsia" w:ascii="宋体" w:hAnsi="宋体" w:cs="宋体"/>
                <w:kern w:val="0"/>
                <w:sz w:val="16"/>
                <w:szCs w:val="16"/>
              </w:rPr>
              <w:t>九</w:t>
            </w:r>
          </w:p>
        </w:tc>
        <w:tc>
          <w:tcPr>
            <w:tcW w:w="2040" w:type="dxa"/>
            <w:noWrap w:val="0"/>
            <w:vAlign w:val="center"/>
          </w:tcPr>
          <w:p w14:paraId="0C6AABDA">
            <w:pPr>
              <w:widowControl/>
              <w:jc w:val="left"/>
              <w:rPr>
                <w:rFonts w:ascii="宋体" w:hAnsi="宋体" w:cs="宋体"/>
                <w:kern w:val="0"/>
                <w:sz w:val="16"/>
                <w:szCs w:val="16"/>
              </w:rPr>
            </w:pPr>
            <w:r>
              <w:rPr>
                <w:rFonts w:hint="eastAsia" w:ascii="宋体" w:hAnsi="宋体" w:cs="宋体"/>
                <w:kern w:val="0"/>
                <w:sz w:val="16"/>
                <w:szCs w:val="16"/>
              </w:rPr>
              <w:t>132轨道石门调度绞车</w:t>
            </w:r>
          </w:p>
        </w:tc>
        <w:tc>
          <w:tcPr>
            <w:tcW w:w="706" w:type="dxa"/>
            <w:noWrap w:val="0"/>
            <w:vAlign w:val="center"/>
          </w:tcPr>
          <w:p w14:paraId="406B51BA">
            <w:pPr>
              <w:widowControl/>
              <w:jc w:val="center"/>
              <w:rPr>
                <w:rFonts w:ascii="宋体" w:hAnsi="宋体" w:cs="宋体"/>
                <w:kern w:val="0"/>
                <w:sz w:val="16"/>
                <w:szCs w:val="16"/>
              </w:rPr>
            </w:pPr>
            <w:r>
              <w:rPr>
                <w:rFonts w:hint="eastAsia" w:ascii="宋体" w:hAnsi="宋体" w:cs="宋体"/>
                <w:kern w:val="0"/>
                <w:sz w:val="16"/>
                <w:szCs w:val="16"/>
              </w:rPr>
              <w:t>0.66</w:t>
            </w:r>
          </w:p>
        </w:tc>
        <w:tc>
          <w:tcPr>
            <w:tcW w:w="700" w:type="dxa"/>
            <w:noWrap w:val="0"/>
            <w:vAlign w:val="center"/>
          </w:tcPr>
          <w:p w14:paraId="49914428">
            <w:pPr>
              <w:widowControl/>
              <w:jc w:val="center"/>
              <w:rPr>
                <w:rFonts w:ascii="宋体" w:hAnsi="宋体" w:cs="宋体"/>
                <w:kern w:val="0"/>
                <w:sz w:val="16"/>
                <w:szCs w:val="16"/>
              </w:rPr>
            </w:pPr>
            <w:r>
              <w:rPr>
                <w:rFonts w:hint="eastAsia" w:ascii="宋体" w:hAnsi="宋体" w:cs="宋体"/>
                <w:kern w:val="0"/>
                <w:sz w:val="16"/>
                <w:szCs w:val="16"/>
              </w:rPr>
              <w:t>1</w:t>
            </w:r>
          </w:p>
        </w:tc>
        <w:tc>
          <w:tcPr>
            <w:tcW w:w="700" w:type="dxa"/>
            <w:noWrap w:val="0"/>
            <w:vAlign w:val="center"/>
          </w:tcPr>
          <w:p w14:paraId="4BF8F0C3">
            <w:pPr>
              <w:widowControl/>
              <w:jc w:val="center"/>
              <w:rPr>
                <w:rFonts w:ascii="宋体" w:hAnsi="宋体" w:cs="宋体"/>
                <w:kern w:val="0"/>
                <w:sz w:val="16"/>
                <w:szCs w:val="16"/>
              </w:rPr>
            </w:pPr>
            <w:r>
              <w:rPr>
                <w:rFonts w:hint="eastAsia" w:ascii="宋体" w:hAnsi="宋体" w:cs="宋体"/>
                <w:kern w:val="0"/>
                <w:sz w:val="16"/>
                <w:szCs w:val="16"/>
              </w:rPr>
              <w:t>1</w:t>
            </w:r>
          </w:p>
        </w:tc>
        <w:tc>
          <w:tcPr>
            <w:tcW w:w="786" w:type="dxa"/>
            <w:noWrap w:val="0"/>
            <w:vAlign w:val="center"/>
          </w:tcPr>
          <w:p w14:paraId="4DB750A4">
            <w:pPr>
              <w:widowControl/>
              <w:jc w:val="center"/>
              <w:rPr>
                <w:rFonts w:ascii="宋体" w:hAnsi="宋体" w:cs="宋体"/>
                <w:kern w:val="0"/>
                <w:sz w:val="16"/>
                <w:szCs w:val="16"/>
              </w:rPr>
            </w:pPr>
            <w:r>
              <w:rPr>
                <w:rFonts w:hint="eastAsia" w:ascii="宋体" w:hAnsi="宋体" w:cs="宋体"/>
                <w:kern w:val="0"/>
                <w:sz w:val="16"/>
                <w:szCs w:val="16"/>
              </w:rPr>
              <w:t>11.4</w:t>
            </w:r>
          </w:p>
        </w:tc>
        <w:tc>
          <w:tcPr>
            <w:tcW w:w="786" w:type="dxa"/>
            <w:noWrap w:val="0"/>
            <w:vAlign w:val="center"/>
          </w:tcPr>
          <w:p w14:paraId="05AA3265">
            <w:pPr>
              <w:widowControl/>
              <w:jc w:val="center"/>
              <w:rPr>
                <w:rFonts w:ascii="宋体" w:hAnsi="宋体" w:cs="宋体"/>
                <w:kern w:val="0"/>
                <w:sz w:val="16"/>
                <w:szCs w:val="16"/>
              </w:rPr>
            </w:pPr>
            <w:r>
              <w:rPr>
                <w:rFonts w:hint="eastAsia" w:ascii="宋体" w:hAnsi="宋体" w:cs="宋体"/>
                <w:kern w:val="0"/>
                <w:sz w:val="16"/>
                <w:szCs w:val="16"/>
              </w:rPr>
              <w:t>11.4</w:t>
            </w:r>
          </w:p>
        </w:tc>
        <w:tc>
          <w:tcPr>
            <w:tcW w:w="1080" w:type="dxa"/>
            <w:noWrap w:val="0"/>
            <w:vAlign w:val="center"/>
          </w:tcPr>
          <w:p w14:paraId="20A44630">
            <w:pPr>
              <w:widowControl/>
              <w:jc w:val="center"/>
              <w:rPr>
                <w:rFonts w:ascii="宋体" w:hAnsi="宋体" w:cs="宋体"/>
                <w:kern w:val="0"/>
                <w:sz w:val="16"/>
                <w:szCs w:val="16"/>
              </w:rPr>
            </w:pPr>
            <w:r>
              <w:rPr>
                <w:rFonts w:hint="eastAsia" w:ascii="宋体" w:hAnsi="宋体" w:cs="宋体"/>
                <w:kern w:val="0"/>
                <w:sz w:val="16"/>
                <w:szCs w:val="16"/>
              </w:rPr>
              <w:t>0.4</w:t>
            </w:r>
          </w:p>
        </w:tc>
        <w:tc>
          <w:tcPr>
            <w:tcW w:w="640" w:type="dxa"/>
            <w:noWrap w:val="0"/>
            <w:vAlign w:val="center"/>
          </w:tcPr>
          <w:p w14:paraId="60F4276D">
            <w:pPr>
              <w:widowControl/>
              <w:jc w:val="center"/>
              <w:rPr>
                <w:rFonts w:ascii="宋体" w:hAnsi="宋体" w:cs="宋体"/>
                <w:kern w:val="0"/>
                <w:sz w:val="16"/>
                <w:szCs w:val="16"/>
              </w:rPr>
            </w:pPr>
            <w:r>
              <w:rPr>
                <w:rFonts w:hint="eastAsia" w:ascii="宋体" w:hAnsi="宋体" w:cs="宋体"/>
                <w:kern w:val="0"/>
                <w:sz w:val="16"/>
                <w:szCs w:val="16"/>
              </w:rPr>
              <w:t>0.8</w:t>
            </w:r>
          </w:p>
        </w:tc>
        <w:tc>
          <w:tcPr>
            <w:tcW w:w="580" w:type="dxa"/>
            <w:noWrap w:val="0"/>
            <w:vAlign w:val="center"/>
          </w:tcPr>
          <w:p w14:paraId="440CBAC1">
            <w:pPr>
              <w:widowControl/>
              <w:jc w:val="center"/>
              <w:rPr>
                <w:rFonts w:ascii="宋体" w:hAnsi="宋体" w:cs="宋体"/>
                <w:kern w:val="0"/>
                <w:sz w:val="16"/>
                <w:szCs w:val="16"/>
              </w:rPr>
            </w:pPr>
            <w:r>
              <w:rPr>
                <w:rFonts w:hint="eastAsia" w:ascii="宋体" w:hAnsi="宋体" w:cs="宋体"/>
                <w:kern w:val="0"/>
                <w:sz w:val="16"/>
                <w:szCs w:val="16"/>
              </w:rPr>
              <w:t>0.75</w:t>
            </w:r>
          </w:p>
        </w:tc>
        <w:tc>
          <w:tcPr>
            <w:tcW w:w="786" w:type="dxa"/>
            <w:noWrap w:val="0"/>
            <w:vAlign w:val="center"/>
          </w:tcPr>
          <w:p w14:paraId="3F373512">
            <w:pPr>
              <w:widowControl/>
              <w:jc w:val="center"/>
              <w:rPr>
                <w:rFonts w:ascii="宋体" w:hAnsi="宋体" w:cs="宋体"/>
                <w:kern w:val="0"/>
                <w:sz w:val="16"/>
                <w:szCs w:val="16"/>
              </w:rPr>
            </w:pPr>
            <w:r>
              <w:rPr>
                <w:rFonts w:hint="eastAsia" w:ascii="宋体" w:hAnsi="宋体" w:cs="宋体"/>
                <w:kern w:val="0"/>
                <w:sz w:val="16"/>
                <w:szCs w:val="16"/>
              </w:rPr>
              <w:t>4.56</w:t>
            </w:r>
          </w:p>
        </w:tc>
        <w:tc>
          <w:tcPr>
            <w:tcW w:w="892" w:type="dxa"/>
            <w:noWrap w:val="0"/>
            <w:vAlign w:val="center"/>
          </w:tcPr>
          <w:p w14:paraId="1C1B7049">
            <w:pPr>
              <w:widowControl/>
              <w:jc w:val="center"/>
              <w:rPr>
                <w:rFonts w:ascii="宋体" w:hAnsi="宋体" w:cs="宋体"/>
                <w:kern w:val="0"/>
                <w:sz w:val="16"/>
                <w:szCs w:val="16"/>
              </w:rPr>
            </w:pPr>
            <w:r>
              <w:rPr>
                <w:rFonts w:hint="eastAsia" w:ascii="宋体" w:hAnsi="宋体" w:cs="宋体"/>
                <w:kern w:val="0"/>
                <w:sz w:val="16"/>
                <w:szCs w:val="16"/>
              </w:rPr>
              <w:t>3.42</w:t>
            </w:r>
          </w:p>
        </w:tc>
        <w:tc>
          <w:tcPr>
            <w:tcW w:w="857" w:type="dxa"/>
            <w:noWrap w:val="0"/>
            <w:vAlign w:val="center"/>
          </w:tcPr>
          <w:p w14:paraId="48FB49AB">
            <w:pPr>
              <w:widowControl/>
              <w:jc w:val="center"/>
              <w:rPr>
                <w:rFonts w:ascii="宋体" w:hAnsi="宋体" w:cs="宋体"/>
                <w:kern w:val="0"/>
                <w:sz w:val="16"/>
                <w:szCs w:val="16"/>
              </w:rPr>
            </w:pPr>
            <w:r>
              <w:rPr>
                <w:rFonts w:hint="eastAsia" w:ascii="宋体" w:hAnsi="宋体" w:cs="宋体"/>
                <w:kern w:val="0"/>
                <w:sz w:val="16"/>
                <w:szCs w:val="16"/>
              </w:rPr>
              <w:t>5.70</w:t>
            </w:r>
          </w:p>
        </w:tc>
        <w:tc>
          <w:tcPr>
            <w:tcW w:w="1120" w:type="dxa"/>
            <w:noWrap w:val="0"/>
            <w:vAlign w:val="center"/>
          </w:tcPr>
          <w:p w14:paraId="4CBE62FF">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0C94B14">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799478DC">
            <w:pPr>
              <w:widowControl/>
              <w:jc w:val="left"/>
              <w:rPr>
                <w:rFonts w:ascii="宋体" w:hAnsi="宋体" w:cs="宋体"/>
                <w:kern w:val="0"/>
                <w:sz w:val="20"/>
                <w:szCs w:val="20"/>
              </w:rPr>
            </w:pPr>
            <w:r>
              <w:rPr>
                <w:rFonts w:hint="eastAsia" w:ascii="宋体" w:hAnsi="宋体" w:cs="宋体"/>
                <w:kern w:val="0"/>
                <w:sz w:val="20"/>
                <w:szCs w:val="20"/>
              </w:rPr>
              <w:t>　</w:t>
            </w:r>
          </w:p>
        </w:tc>
      </w:tr>
      <w:tr w14:paraId="717F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2CD33C23">
            <w:pPr>
              <w:widowControl/>
              <w:jc w:val="center"/>
              <w:rPr>
                <w:rFonts w:ascii="宋体" w:hAnsi="宋体" w:cs="宋体"/>
                <w:kern w:val="0"/>
                <w:sz w:val="16"/>
                <w:szCs w:val="16"/>
              </w:rPr>
            </w:pPr>
            <w:r>
              <w:rPr>
                <w:rFonts w:hint="eastAsia" w:ascii="宋体" w:hAnsi="宋体" w:cs="宋体"/>
                <w:kern w:val="0"/>
                <w:sz w:val="16"/>
                <w:szCs w:val="16"/>
              </w:rPr>
              <w:t>十</w:t>
            </w:r>
          </w:p>
        </w:tc>
        <w:tc>
          <w:tcPr>
            <w:tcW w:w="2040" w:type="dxa"/>
            <w:noWrap w:val="0"/>
            <w:vAlign w:val="center"/>
          </w:tcPr>
          <w:p w14:paraId="20EA10E2">
            <w:pPr>
              <w:widowControl/>
              <w:jc w:val="left"/>
              <w:rPr>
                <w:rFonts w:ascii="宋体" w:hAnsi="宋体" w:cs="宋体"/>
                <w:kern w:val="0"/>
                <w:sz w:val="16"/>
                <w:szCs w:val="16"/>
              </w:rPr>
            </w:pPr>
            <w:r>
              <w:rPr>
                <w:rFonts w:hint="eastAsia" w:ascii="宋体" w:hAnsi="宋体" w:cs="宋体"/>
                <w:kern w:val="0"/>
                <w:sz w:val="16"/>
                <w:szCs w:val="16"/>
              </w:rPr>
              <w:t>水泵</w:t>
            </w:r>
          </w:p>
        </w:tc>
        <w:tc>
          <w:tcPr>
            <w:tcW w:w="706" w:type="dxa"/>
            <w:noWrap w:val="0"/>
            <w:vAlign w:val="center"/>
          </w:tcPr>
          <w:p w14:paraId="24412C40">
            <w:pPr>
              <w:widowControl/>
              <w:jc w:val="center"/>
              <w:rPr>
                <w:rFonts w:ascii="宋体" w:hAnsi="宋体" w:cs="宋体"/>
                <w:kern w:val="0"/>
                <w:sz w:val="16"/>
                <w:szCs w:val="16"/>
              </w:rPr>
            </w:pPr>
            <w:r>
              <w:rPr>
                <w:rFonts w:hint="eastAsia" w:ascii="宋体" w:hAnsi="宋体" w:cs="宋体"/>
                <w:kern w:val="0"/>
                <w:sz w:val="16"/>
                <w:szCs w:val="16"/>
              </w:rPr>
              <w:t>10</w:t>
            </w:r>
          </w:p>
        </w:tc>
        <w:tc>
          <w:tcPr>
            <w:tcW w:w="700" w:type="dxa"/>
            <w:noWrap w:val="0"/>
            <w:vAlign w:val="center"/>
          </w:tcPr>
          <w:p w14:paraId="17F114A3">
            <w:pPr>
              <w:widowControl/>
              <w:jc w:val="center"/>
              <w:rPr>
                <w:rFonts w:ascii="宋体" w:hAnsi="宋体" w:cs="宋体"/>
                <w:kern w:val="0"/>
                <w:sz w:val="16"/>
                <w:szCs w:val="16"/>
              </w:rPr>
            </w:pPr>
            <w:r>
              <w:rPr>
                <w:rFonts w:hint="eastAsia" w:ascii="宋体" w:hAnsi="宋体" w:cs="宋体"/>
                <w:kern w:val="0"/>
                <w:sz w:val="16"/>
                <w:szCs w:val="16"/>
              </w:rPr>
              <w:t>3</w:t>
            </w:r>
          </w:p>
        </w:tc>
        <w:tc>
          <w:tcPr>
            <w:tcW w:w="700" w:type="dxa"/>
            <w:noWrap w:val="0"/>
            <w:vAlign w:val="center"/>
          </w:tcPr>
          <w:p w14:paraId="089849A1">
            <w:pPr>
              <w:widowControl/>
              <w:jc w:val="center"/>
              <w:rPr>
                <w:rFonts w:ascii="宋体" w:hAnsi="宋体" w:cs="宋体"/>
                <w:kern w:val="0"/>
                <w:sz w:val="16"/>
                <w:szCs w:val="16"/>
              </w:rPr>
            </w:pPr>
            <w:r>
              <w:rPr>
                <w:rFonts w:hint="eastAsia" w:ascii="宋体" w:hAnsi="宋体" w:cs="宋体"/>
                <w:kern w:val="0"/>
                <w:sz w:val="16"/>
                <w:szCs w:val="16"/>
              </w:rPr>
              <w:t>2</w:t>
            </w:r>
          </w:p>
        </w:tc>
        <w:tc>
          <w:tcPr>
            <w:tcW w:w="786" w:type="dxa"/>
            <w:noWrap w:val="0"/>
            <w:vAlign w:val="center"/>
          </w:tcPr>
          <w:p w14:paraId="419CD142">
            <w:pPr>
              <w:widowControl/>
              <w:jc w:val="center"/>
              <w:rPr>
                <w:rFonts w:ascii="宋体" w:hAnsi="宋体" w:cs="宋体"/>
                <w:kern w:val="0"/>
                <w:sz w:val="16"/>
                <w:szCs w:val="16"/>
              </w:rPr>
            </w:pPr>
            <w:r>
              <w:rPr>
                <w:rFonts w:hint="eastAsia" w:ascii="宋体" w:hAnsi="宋体" w:cs="宋体"/>
                <w:kern w:val="0"/>
                <w:sz w:val="16"/>
                <w:szCs w:val="16"/>
              </w:rPr>
              <w:t>555</w:t>
            </w:r>
          </w:p>
        </w:tc>
        <w:tc>
          <w:tcPr>
            <w:tcW w:w="786" w:type="dxa"/>
            <w:noWrap w:val="0"/>
            <w:vAlign w:val="center"/>
          </w:tcPr>
          <w:p w14:paraId="2BCFACAE">
            <w:pPr>
              <w:widowControl/>
              <w:jc w:val="center"/>
              <w:rPr>
                <w:rFonts w:ascii="宋体" w:hAnsi="宋体" w:cs="宋体"/>
                <w:kern w:val="0"/>
                <w:sz w:val="16"/>
                <w:szCs w:val="16"/>
              </w:rPr>
            </w:pPr>
            <w:r>
              <w:rPr>
                <w:rFonts w:hint="eastAsia" w:ascii="宋体" w:hAnsi="宋体" w:cs="宋体"/>
                <w:kern w:val="0"/>
                <w:sz w:val="16"/>
                <w:szCs w:val="16"/>
              </w:rPr>
              <w:t>370</w:t>
            </w:r>
          </w:p>
        </w:tc>
        <w:tc>
          <w:tcPr>
            <w:tcW w:w="1080" w:type="dxa"/>
            <w:noWrap w:val="0"/>
            <w:vAlign w:val="center"/>
          </w:tcPr>
          <w:p w14:paraId="59DD21DB">
            <w:pPr>
              <w:widowControl/>
              <w:jc w:val="center"/>
              <w:rPr>
                <w:rFonts w:ascii="宋体" w:hAnsi="宋体" w:cs="宋体"/>
                <w:kern w:val="0"/>
                <w:sz w:val="16"/>
                <w:szCs w:val="16"/>
              </w:rPr>
            </w:pPr>
            <w:r>
              <w:rPr>
                <w:rFonts w:hint="eastAsia" w:ascii="宋体" w:hAnsi="宋体" w:cs="宋体"/>
                <w:kern w:val="0"/>
                <w:sz w:val="16"/>
                <w:szCs w:val="16"/>
              </w:rPr>
              <w:t>0.7</w:t>
            </w:r>
          </w:p>
        </w:tc>
        <w:tc>
          <w:tcPr>
            <w:tcW w:w="640" w:type="dxa"/>
            <w:noWrap w:val="0"/>
            <w:vAlign w:val="center"/>
          </w:tcPr>
          <w:p w14:paraId="7225D312">
            <w:pPr>
              <w:widowControl/>
              <w:jc w:val="center"/>
              <w:rPr>
                <w:rFonts w:ascii="宋体" w:hAnsi="宋体" w:cs="宋体"/>
                <w:kern w:val="0"/>
                <w:sz w:val="16"/>
                <w:szCs w:val="16"/>
              </w:rPr>
            </w:pPr>
            <w:r>
              <w:rPr>
                <w:rFonts w:hint="eastAsia" w:ascii="宋体" w:hAnsi="宋体" w:cs="宋体"/>
                <w:kern w:val="0"/>
                <w:sz w:val="16"/>
                <w:szCs w:val="16"/>
              </w:rPr>
              <w:t>0.8</w:t>
            </w:r>
          </w:p>
        </w:tc>
        <w:tc>
          <w:tcPr>
            <w:tcW w:w="580" w:type="dxa"/>
            <w:noWrap w:val="0"/>
            <w:vAlign w:val="center"/>
          </w:tcPr>
          <w:p w14:paraId="62CDA1B0">
            <w:pPr>
              <w:widowControl/>
              <w:jc w:val="center"/>
              <w:rPr>
                <w:rFonts w:ascii="宋体" w:hAnsi="宋体" w:cs="宋体"/>
                <w:kern w:val="0"/>
                <w:sz w:val="16"/>
                <w:szCs w:val="16"/>
              </w:rPr>
            </w:pPr>
            <w:r>
              <w:rPr>
                <w:rFonts w:hint="eastAsia" w:ascii="宋体" w:hAnsi="宋体" w:cs="宋体"/>
                <w:kern w:val="0"/>
                <w:sz w:val="16"/>
                <w:szCs w:val="16"/>
              </w:rPr>
              <w:t>0.75</w:t>
            </w:r>
          </w:p>
        </w:tc>
        <w:tc>
          <w:tcPr>
            <w:tcW w:w="786" w:type="dxa"/>
            <w:noWrap w:val="0"/>
            <w:vAlign w:val="center"/>
          </w:tcPr>
          <w:p w14:paraId="356B8D0E">
            <w:pPr>
              <w:widowControl/>
              <w:jc w:val="center"/>
              <w:rPr>
                <w:rFonts w:ascii="宋体" w:hAnsi="宋体" w:cs="宋体"/>
                <w:kern w:val="0"/>
                <w:sz w:val="16"/>
                <w:szCs w:val="16"/>
              </w:rPr>
            </w:pPr>
            <w:r>
              <w:rPr>
                <w:rFonts w:hint="eastAsia" w:ascii="宋体" w:hAnsi="宋体" w:cs="宋体"/>
                <w:kern w:val="0"/>
                <w:sz w:val="16"/>
                <w:szCs w:val="16"/>
              </w:rPr>
              <w:t>259</w:t>
            </w:r>
          </w:p>
        </w:tc>
        <w:tc>
          <w:tcPr>
            <w:tcW w:w="892" w:type="dxa"/>
            <w:noWrap w:val="0"/>
            <w:vAlign w:val="center"/>
          </w:tcPr>
          <w:p w14:paraId="23D2616F">
            <w:pPr>
              <w:widowControl/>
              <w:jc w:val="center"/>
              <w:rPr>
                <w:rFonts w:ascii="宋体" w:hAnsi="宋体" w:cs="宋体"/>
                <w:kern w:val="0"/>
                <w:sz w:val="16"/>
                <w:szCs w:val="16"/>
              </w:rPr>
            </w:pPr>
            <w:r>
              <w:rPr>
                <w:rFonts w:hint="eastAsia" w:ascii="宋体" w:hAnsi="宋体" w:cs="宋体"/>
                <w:kern w:val="0"/>
                <w:sz w:val="16"/>
                <w:szCs w:val="16"/>
              </w:rPr>
              <w:t>194.25</w:t>
            </w:r>
          </w:p>
        </w:tc>
        <w:tc>
          <w:tcPr>
            <w:tcW w:w="857" w:type="dxa"/>
            <w:noWrap w:val="0"/>
            <w:vAlign w:val="center"/>
          </w:tcPr>
          <w:p w14:paraId="01440058">
            <w:pPr>
              <w:widowControl/>
              <w:jc w:val="center"/>
              <w:rPr>
                <w:rFonts w:ascii="宋体" w:hAnsi="宋体" w:cs="宋体"/>
                <w:kern w:val="0"/>
                <w:sz w:val="16"/>
                <w:szCs w:val="16"/>
              </w:rPr>
            </w:pPr>
            <w:r>
              <w:rPr>
                <w:rFonts w:hint="eastAsia" w:ascii="宋体" w:hAnsi="宋体" w:cs="宋体"/>
                <w:kern w:val="0"/>
                <w:sz w:val="16"/>
                <w:szCs w:val="16"/>
              </w:rPr>
              <w:t>323.75</w:t>
            </w:r>
          </w:p>
        </w:tc>
        <w:tc>
          <w:tcPr>
            <w:tcW w:w="1120" w:type="dxa"/>
            <w:noWrap w:val="0"/>
            <w:vAlign w:val="center"/>
          </w:tcPr>
          <w:p w14:paraId="344F9324">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385FECB2">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6A745D16">
            <w:pPr>
              <w:widowControl/>
              <w:jc w:val="left"/>
              <w:rPr>
                <w:rFonts w:ascii="宋体" w:hAnsi="宋体" w:cs="宋体"/>
                <w:kern w:val="0"/>
                <w:sz w:val="20"/>
                <w:szCs w:val="20"/>
              </w:rPr>
            </w:pPr>
            <w:r>
              <w:rPr>
                <w:rFonts w:hint="eastAsia" w:ascii="宋体" w:hAnsi="宋体" w:cs="宋体"/>
                <w:kern w:val="0"/>
                <w:sz w:val="20"/>
                <w:szCs w:val="20"/>
              </w:rPr>
              <w:t>　</w:t>
            </w:r>
          </w:p>
        </w:tc>
      </w:tr>
      <w:tr w14:paraId="6380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6BD994DD">
            <w:pPr>
              <w:widowControl/>
              <w:jc w:val="center"/>
              <w:rPr>
                <w:rFonts w:ascii="宋体" w:hAnsi="宋体" w:cs="宋体"/>
                <w:kern w:val="0"/>
                <w:sz w:val="16"/>
                <w:szCs w:val="16"/>
              </w:rPr>
            </w:pPr>
            <w:r>
              <w:rPr>
                <w:rFonts w:hint="eastAsia" w:ascii="宋体" w:hAnsi="宋体" w:cs="宋体"/>
                <w:kern w:val="0"/>
                <w:sz w:val="16"/>
                <w:szCs w:val="16"/>
              </w:rPr>
              <w:t>十一</w:t>
            </w:r>
          </w:p>
        </w:tc>
        <w:tc>
          <w:tcPr>
            <w:tcW w:w="2040" w:type="dxa"/>
            <w:noWrap w:val="0"/>
            <w:vAlign w:val="center"/>
          </w:tcPr>
          <w:p w14:paraId="3B97931E">
            <w:pPr>
              <w:widowControl/>
              <w:jc w:val="left"/>
              <w:rPr>
                <w:rFonts w:ascii="宋体" w:hAnsi="宋体" w:cs="宋体"/>
                <w:kern w:val="0"/>
                <w:sz w:val="16"/>
                <w:szCs w:val="16"/>
              </w:rPr>
            </w:pPr>
            <w:r>
              <w:rPr>
                <w:rFonts w:hint="eastAsia" w:ascii="宋体" w:hAnsi="宋体" w:cs="宋体"/>
                <w:kern w:val="0"/>
                <w:sz w:val="16"/>
                <w:szCs w:val="16"/>
              </w:rPr>
              <w:t>照明</w:t>
            </w:r>
          </w:p>
        </w:tc>
        <w:tc>
          <w:tcPr>
            <w:tcW w:w="706" w:type="dxa"/>
            <w:noWrap w:val="0"/>
            <w:vAlign w:val="center"/>
          </w:tcPr>
          <w:p w14:paraId="71D54EBF">
            <w:pPr>
              <w:widowControl/>
              <w:jc w:val="center"/>
              <w:rPr>
                <w:rFonts w:ascii="宋体" w:hAnsi="宋体" w:cs="宋体"/>
                <w:kern w:val="0"/>
                <w:sz w:val="16"/>
                <w:szCs w:val="16"/>
              </w:rPr>
            </w:pPr>
            <w:r>
              <w:rPr>
                <w:rFonts w:hint="eastAsia" w:ascii="宋体" w:hAnsi="宋体" w:cs="宋体"/>
                <w:kern w:val="0"/>
                <w:sz w:val="16"/>
                <w:szCs w:val="16"/>
              </w:rPr>
              <w:t>0.127</w:t>
            </w:r>
          </w:p>
        </w:tc>
        <w:tc>
          <w:tcPr>
            <w:tcW w:w="700" w:type="dxa"/>
            <w:noWrap w:val="0"/>
            <w:vAlign w:val="center"/>
          </w:tcPr>
          <w:p w14:paraId="19D2BF74">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689C6132">
            <w:pPr>
              <w:widowControl/>
              <w:jc w:val="center"/>
              <w:rPr>
                <w:rFonts w:ascii="宋体" w:hAnsi="宋体" w:cs="宋体"/>
                <w:kern w:val="0"/>
                <w:sz w:val="16"/>
                <w:szCs w:val="16"/>
              </w:rPr>
            </w:pPr>
            <w:r>
              <w:rPr>
                <w:rFonts w:hint="eastAsia" w:ascii="宋体" w:hAnsi="宋体" w:cs="宋体"/>
                <w:kern w:val="0"/>
                <w:sz w:val="16"/>
                <w:szCs w:val="16"/>
              </w:rPr>
              <w:t>　</w:t>
            </w:r>
          </w:p>
        </w:tc>
        <w:tc>
          <w:tcPr>
            <w:tcW w:w="786" w:type="dxa"/>
            <w:noWrap w:val="0"/>
            <w:vAlign w:val="center"/>
          </w:tcPr>
          <w:p w14:paraId="46F250F2">
            <w:pPr>
              <w:widowControl/>
              <w:jc w:val="center"/>
              <w:rPr>
                <w:rFonts w:ascii="宋体" w:hAnsi="宋体" w:cs="宋体"/>
                <w:kern w:val="0"/>
                <w:sz w:val="16"/>
                <w:szCs w:val="16"/>
              </w:rPr>
            </w:pPr>
            <w:r>
              <w:rPr>
                <w:rFonts w:hint="eastAsia" w:ascii="宋体" w:hAnsi="宋体" w:cs="宋体"/>
                <w:kern w:val="0"/>
                <w:sz w:val="16"/>
                <w:szCs w:val="16"/>
              </w:rPr>
              <w:t>4</w:t>
            </w:r>
          </w:p>
        </w:tc>
        <w:tc>
          <w:tcPr>
            <w:tcW w:w="786" w:type="dxa"/>
            <w:noWrap w:val="0"/>
            <w:vAlign w:val="center"/>
          </w:tcPr>
          <w:p w14:paraId="6E4F1605">
            <w:pPr>
              <w:widowControl/>
              <w:jc w:val="center"/>
              <w:rPr>
                <w:rFonts w:ascii="宋体" w:hAnsi="宋体" w:cs="宋体"/>
                <w:kern w:val="0"/>
                <w:sz w:val="16"/>
                <w:szCs w:val="16"/>
              </w:rPr>
            </w:pPr>
            <w:r>
              <w:rPr>
                <w:rFonts w:hint="eastAsia" w:ascii="宋体" w:hAnsi="宋体" w:cs="宋体"/>
                <w:kern w:val="0"/>
                <w:sz w:val="16"/>
                <w:szCs w:val="16"/>
              </w:rPr>
              <w:t>4</w:t>
            </w:r>
          </w:p>
        </w:tc>
        <w:tc>
          <w:tcPr>
            <w:tcW w:w="1080" w:type="dxa"/>
            <w:noWrap w:val="0"/>
            <w:vAlign w:val="center"/>
          </w:tcPr>
          <w:p w14:paraId="5826D782">
            <w:pPr>
              <w:widowControl/>
              <w:jc w:val="center"/>
              <w:rPr>
                <w:rFonts w:ascii="宋体" w:hAnsi="宋体" w:cs="宋体"/>
                <w:kern w:val="0"/>
                <w:sz w:val="16"/>
                <w:szCs w:val="16"/>
              </w:rPr>
            </w:pPr>
            <w:r>
              <w:rPr>
                <w:rFonts w:hint="eastAsia" w:ascii="宋体" w:hAnsi="宋体" w:cs="宋体"/>
                <w:kern w:val="0"/>
                <w:sz w:val="16"/>
                <w:szCs w:val="16"/>
              </w:rPr>
              <w:t>1</w:t>
            </w:r>
          </w:p>
        </w:tc>
        <w:tc>
          <w:tcPr>
            <w:tcW w:w="640" w:type="dxa"/>
            <w:noWrap w:val="0"/>
            <w:vAlign w:val="center"/>
          </w:tcPr>
          <w:p w14:paraId="2637ED6A">
            <w:pPr>
              <w:widowControl/>
              <w:jc w:val="center"/>
              <w:rPr>
                <w:rFonts w:ascii="宋体" w:hAnsi="宋体" w:cs="宋体"/>
                <w:kern w:val="0"/>
                <w:sz w:val="16"/>
                <w:szCs w:val="16"/>
              </w:rPr>
            </w:pPr>
            <w:r>
              <w:rPr>
                <w:rFonts w:hint="eastAsia" w:ascii="宋体" w:hAnsi="宋体" w:cs="宋体"/>
                <w:kern w:val="0"/>
                <w:sz w:val="16"/>
                <w:szCs w:val="16"/>
              </w:rPr>
              <w:t>0.6</w:t>
            </w:r>
          </w:p>
        </w:tc>
        <w:tc>
          <w:tcPr>
            <w:tcW w:w="580" w:type="dxa"/>
            <w:noWrap w:val="0"/>
            <w:vAlign w:val="center"/>
          </w:tcPr>
          <w:p w14:paraId="7AC39EF9">
            <w:pPr>
              <w:widowControl/>
              <w:jc w:val="center"/>
              <w:rPr>
                <w:rFonts w:ascii="宋体" w:hAnsi="宋体" w:cs="宋体"/>
                <w:kern w:val="0"/>
                <w:sz w:val="16"/>
                <w:szCs w:val="16"/>
              </w:rPr>
            </w:pPr>
            <w:r>
              <w:rPr>
                <w:rFonts w:hint="eastAsia" w:ascii="宋体" w:hAnsi="宋体" w:cs="宋体"/>
                <w:kern w:val="0"/>
                <w:sz w:val="16"/>
                <w:szCs w:val="16"/>
              </w:rPr>
              <w:t>1.33</w:t>
            </w:r>
          </w:p>
        </w:tc>
        <w:tc>
          <w:tcPr>
            <w:tcW w:w="786" w:type="dxa"/>
            <w:noWrap w:val="0"/>
            <w:vAlign w:val="center"/>
          </w:tcPr>
          <w:p w14:paraId="76C97A40">
            <w:pPr>
              <w:widowControl/>
              <w:jc w:val="center"/>
              <w:rPr>
                <w:rFonts w:ascii="宋体" w:hAnsi="宋体" w:cs="宋体"/>
                <w:kern w:val="0"/>
                <w:sz w:val="16"/>
                <w:szCs w:val="16"/>
              </w:rPr>
            </w:pPr>
            <w:r>
              <w:rPr>
                <w:rFonts w:hint="eastAsia" w:ascii="宋体" w:hAnsi="宋体" w:cs="宋体"/>
                <w:kern w:val="0"/>
                <w:sz w:val="16"/>
                <w:szCs w:val="16"/>
              </w:rPr>
              <w:t>4</w:t>
            </w:r>
          </w:p>
        </w:tc>
        <w:tc>
          <w:tcPr>
            <w:tcW w:w="892" w:type="dxa"/>
            <w:noWrap w:val="0"/>
            <w:vAlign w:val="center"/>
          </w:tcPr>
          <w:p w14:paraId="0C0E43C0">
            <w:pPr>
              <w:widowControl/>
              <w:jc w:val="center"/>
              <w:rPr>
                <w:rFonts w:ascii="宋体" w:hAnsi="宋体" w:cs="宋体"/>
                <w:kern w:val="0"/>
                <w:sz w:val="16"/>
                <w:szCs w:val="16"/>
              </w:rPr>
            </w:pPr>
            <w:r>
              <w:rPr>
                <w:rFonts w:hint="eastAsia" w:ascii="宋体" w:hAnsi="宋体" w:cs="宋体"/>
                <w:kern w:val="0"/>
                <w:sz w:val="16"/>
                <w:szCs w:val="16"/>
              </w:rPr>
              <w:t>5.32</w:t>
            </w:r>
          </w:p>
        </w:tc>
        <w:tc>
          <w:tcPr>
            <w:tcW w:w="857" w:type="dxa"/>
            <w:noWrap w:val="0"/>
            <w:vAlign w:val="center"/>
          </w:tcPr>
          <w:p w14:paraId="4D57C95B">
            <w:pPr>
              <w:widowControl/>
              <w:jc w:val="center"/>
              <w:rPr>
                <w:rFonts w:ascii="宋体" w:hAnsi="宋体" w:cs="宋体"/>
                <w:kern w:val="0"/>
                <w:sz w:val="16"/>
                <w:szCs w:val="16"/>
              </w:rPr>
            </w:pPr>
            <w:r>
              <w:rPr>
                <w:rFonts w:hint="eastAsia" w:ascii="宋体" w:hAnsi="宋体" w:cs="宋体"/>
                <w:kern w:val="0"/>
                <w:sz w:val="16"/>
                <w:szCs w:val="16"/>
              </w:rPr>
              <w:t>6.66</w:t>
            </w:r>
          </w:p>
        </w:tc>
        <w:tc>
          <w:tcPr>
            <w:tcW w:w="1120" w:type="dxa"/>
            <w:noWrap w:val="0"/>
            <w:vAlign w:val="center"/>
          </w:tcPr>
          <w:p w14:paraId="07DCE058">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0123B284">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408AF8A1">
            <w:pPr>
              <w:widowControl/>
              <w:jc w:val="left"/>
              <w:rPr>
                <w:rFonts w:ascii="宋体" w:hAnsi="宋体" w:cs="宋体"/>
                <w:kern w:val="0"/>
                <w:sz w:val="20"/>
                <w:szCs w:val="20"/>
              </w:rPr>
            </w:pPr>
            <w:r>
              <w:rPr>
                <w:rFonts w:hint="eastAsia" w:ascii="宋体" w:hAnsi="宋体" w:cs="宋体"/>
                <w:kern w:val="0"/>
                <w:sz w:val="20"/>
                <w:szCs w:val="20"/>
              </w:rPr>
              <w:t>　</w:t>
            </w:r>
          </w:p>
        </w:tc>
      </w:tr>
      <w:tr w14:paraId="4D16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8" w:hRule="atLeast"/>
        </w:trPr>
        <w:tc>
          <w:tcPr>
            <w:tcW w:w="600" w:type="dxa"/>
            <w:noWrap w:val="0"/>
            <w:vAlign w:val="center"/>
          </w:tcPr>
          <w:p w14:paraId="376786E1">
            <w:pPr>
              <w:widowControl/>
              <w:jc w:val="center"/>
              <w:rPr>
                <w:rFonts w:ascii="宋体" w:hAnsi="宋体" w:cs="宋体"/>
                <w:kern w:val="0"/>
                <w:sz w:val="16"/>
                <w:szCs w:val="16"/>
              </w:rPr>
            </w:pPr>
            <w:r>
              <w:rPr>
                <w:rFonts w:hint="eastAsia" w:ascii="宋体" w:hAnsi="宋体" w:cs="宋体"/>
                <w:kern w:val="0"/>
                <w:sz w:val="16"/>
                <w:szCs w:val="16"/>
              </w:rPr>
              <w:t>　</w:t>
            </w:r>
          </w:p>
        </w:tc>
        <w:tc>
          <w:tcPr>
            <w:tcW w:w="2040" w:type="dxa"/>
            <w:noWrap w:val="0"/>
            <w:vAlign w:val="center"/>
          </w:tcPr>
          <w:p w14:paraId="6A31B49B">
            <w:pPr>
              <w:widowControl/>
              <w:jc w:val="center"/>
              <w:rPr>
                <w:rFonts w:ascii="宋体" w:hAnsi="宋体" w:cs="宋体"/>
                <w:kern w:val="0"/>
                <w:sz w:val="16"/>
                <w:szCs w:val="16"/>
              </w:rPr>
            </w:pPr>
            <w:r>
              <w:rPr>
                <w:rFonts w:hint="eastAsia" w:ascii="宋体" w:hAnsi="宋体" w:cs="宋体"/>
                <w:kern w:val="0"/>
                <w:sz w:val="16"/>
                <w:szCs w:val="16"/>
              </w:rPr>
              <w:t>井下负荷合计</w:t>
            </w:r>
          </w:p>
        </w:tc>
        <w:tc>
          <w:tcPr>
            <w:tcW w:w="706" w:type="dxa"/>
            <w:noWrap w:val="0"/>
            <w:vAlign w:val="center"/>
          </w:tcPr>
          <w:p w14:paraId="6148D556">
            <w:pPr>
              <w:widowControl/>
              <w:jc w:val="center"/>
              <w:rPr>
                <w:rFonts w:ascii="宋体" w:hAnsi="宋体" w:cs="宋体"/>
                <w:kern w:val="0"/>
                <w:sz w:val="16"/>
                <w:szCs w:val="16"/>
              </w:rPr>
            </w:pPr>
            <w:r>
              <w:rPr>
                <w:rFonts w:hint="eastAsia" w:ascii="宋体" w:hAnsi="宋体" w:cs="宋体"/>
                <w:kern w:val="0"/>
                <w:sz w:val="16"/>
                <w:szCs w:val="16"/>
              </w:rPr>
              <w:t>　</w:t>
            </w:r>
          </w:p>
        </w:tc>
        <w:tc>
          <w:tcPr>
            <w:tcW w:w="700" w:type="dxa"/>
            <w:noWrap w:val="0"/>
            <w:vAlign w:val="center"/>
          </w:tcPr>
          <w:p w14:paraId="5EAD903E">
            <w:pPr>
              <w:widowControl/>
              <w:jc w:val="center"/>
              <w:rPr>
                <w:rFonts w:ascii="宋体" w:hAnsi="宋体" w:cs="宋体"/>
                <w:kern w:val="0"/>
                <w:sz w:val="16"/>
                <w:szCs w:val="16"/>
              </w:rPr>
            </w:pPr>
            <w:r>
              <w:rPr>
                <w:rFonts w:hint="eastAsia" w:ascii="宋体" w:hAnsi="宋体" w:cs="宋体"/>
                <w:kern w:val="0"/>
                <w:sz w:val="16"/>
                <w:szCs w:val="16"/>
              </w:rPr>
              <w:t>51</w:t>
            </w:r>
          </w:p>
        </w:tc>
        <w:tc>
          <w:tcPr>
            <w:tcW w:w="700" w:type="dxa"/>
            <w:noWrap w:val="0"/>
            <w:vAlign w:val="center"/>
          </w:tcPr>
          <w:p w14:paraId="3731CF4A">
            <w:pPr>
              <w:widowControl/>
              <w:jc w:val="center"/>
              <w:rPr>
                <w:rFonts w:ascii="宋体" w:hAnsi="宋体" w:cs="宋体"/>
                <w:kern w:val="0"/>
                <w:sz w:val="16"/>
                <w:szCs w:val="16"/>
              </w:rPr>
            </w:pPr>
            <w:r>
              <w:rPr>
                <w:rFonts w:hint="eastAsia" w:ascii="宋体" w:hAnsi="宋体" w:cs="宋体"/>
                <w:kern w:val="0"/>
                <w:sz w:val="16"/>
                <w:szCs w:val="16"/>
              </w:rPr>
              <w:t>40</w:t>
            </w:r>
          </w:p>
        </w:tc>
        <w:tc>
          <w:tcPr>
            <w:tcW w:w="786" w:type="dxa"/>
            <w:noWrap w:val="0"/>
            <w:vAlign w:val="center"/>
          </w:tcPr>
          <w:p w14:paraId="51483920">
            <w:pPr>
              <w:widowControl/>
              <w:jc w:val="center"/>
              <w:rPr>
                <w:rFonts w:ascii="宋体" w:hAnsi="宋体" w:cs="宋体"/>
                <w:kern w:val="0"/>
                <w:sz w:val="16"/>
                <w:szCs w:val="16"/>
              </w:rPr>
            </w:pPr>
            <w:r>
              <w:rPr>
                <w:rFonts w:hint="eastAsia" w:ascii="宋体" w:hAnsi="宋体" w:cs="宋体"/>
                <w:kern w:val="0"/>
                <w:sz w:val="16"/>
                <w:szCs w:val="16"/>
              </w:rPr>
              <w:t>1743</w:t>
            </w:r>
          </w:p>
        </w:tc>
        <w:tc>
          <w:tcPr>
            <w:tcW w:w="786" w:type="dxa"/>
            <w:noWrap w:val="0"/>
            <w:vAlign w:val="center"/>
          </w:tcPr>
          <w:p w14:paraId="12B8CC86">
            <w:pPr>
              <w:widowControl/>
              <w:jc w:val="center"/>
              <w:rPr>
                <w:rFonts w:ascii="宋体" w:hAnsi="宋体" w:cs="宋体"/>
                <w:kern w:val="0"/>
                <w:sz w:val="16"/>
                <w:szCs w:val="16"/>
              </w:rPr>
            </w:pPr>
            <w:r>
              <w:rPr>
                <w:rFonts w:hint="eastAsia" w:ascii="宋体" w:hAnsi="宋体" w:cs="宋体"/>
                <w:kern w:val="0"/>
                <w:sz w:val="16"/>
                <w:szCs w:val="16"/>
              </w:rPr>
              <w:t>1475.8</w:t>
            </w:r>
          </w:p>
        </w:tc>
        <w:tc>
          <w:tcPr>
            <w:tcW w:w="1080" w:type="dxa"/>
            <w:noWrap w:val="0"/>
            <w:vAlign w:val="center"/>
          </w:tcPr>
          <w:p w14:paraId="6E2C216C">
            <w:pPr>
              <w:widowControl/>
              <w:jc w:val="center"/>
              <w:rPr>
                <w:rFonts w:ascii="宋体" w:hAnsi="宋体" w:cs="宋体"/>
                <w:kern w:val="0"/>
                <w:sz w:val="16"/>
                <w:szCs w:val="16"/>
              </w:rPr>
            </w:pPr>
            <w:r>
              <w:rPr>
                <w:rFonts w:hint="eastAsia" w:ascii="宋体" w:hAnsi="宋体" w:cs="宋体"/>
                <w:kern w:val="0"/>
                <w:sz w:val="16"/>
                <w:szCs w:val="16"/>
              </w:rPr>
              <w:t>　</w:t>
            </w:r>
          </w:p>
        </w:tc>
        <w:tc>
          <w:tcPr>
            <w:tcW w:w="640" w:type="dxa"/>
            <w:noWrap w:val="0"/>
            <w:vAlign w:val="center"/>
          </w:tcPr>
          <w:p w14:paraId="42F1262E">
            <w:pPr>
              <w:widowControl/>
              <w:jc w:val="center"/>
              <w:rPr>
                <w:rFonts w:ascii="宋体" w:hAnsi="宋体" w:cs="宋体"/>
                <w:kern w:val="0"/>
                <w:sz w:val="16"/>
                <w:szCs w:val="16"/>
              </w:rPr>
            </w:pPr>
            <w:r>
              <w:rPr>
                <w:rFonts w:hint="eastAsia" w:ascii="宋体" w:hAnsi="宋体" w:cs="宋体"/>
                <w:kern w:val="0"/>
                <w:sz w:val="16"/>
                <w:szCs w:val="16"/>
              </w:rPr>
              <w:t>0.722</w:t>
            </w:r>
          </w:p>
        </w:tc>
        <w:tc>
          <w:tcPr>
            <w:tcW w:w="580" w:type="dxa"/>
            <w:noWrap w:val="0"/>
            <w:vAlign w:val="center"/>
          </w:tcPr>
          <w:p w14:paraId="66008526">
            <w:pPr>
              <w:widowControl/>
              <w:jc w:val="center"/>
              <w:rPr>
                <w:rFonts w:ascii="宋体" w:hAnsi="宋体" w:cs="宋体"/>
                <w:kern w:val="0"/>
                <w:sz w:val="16"/>
                <w:szCs w:val="16"/>
              </w:rPr>
            </w:pPr>
            <w:r>
              <w:rPr>
                <w:rFonts w:hint="eastAsia" w:ascii="宋体" w:hAnsi="宋体" w:cs="宋体"/>
                <w:kern w:val="0"/>
                <w:sz w:val="16"/>
                <w:szCs w:val="16"/>
              </w:rPr>
              <w:t xml:space="preserve">0.96 </w:t>
            </w:r>
          </w:p>
        </w:tc>
        <w:tc>
          <w:tcPr>
            <w:tcW w:w="786" w:type="dxa"/>
            <w:noWrap w:val="0"/>
            <w:vAlign w:val="center"/>
          </w:tcPr>
          <w:p w14:paraId="42EB7FA8">
            <w:pPr>
              <w:widowControl/>
              <w:jc w:val="center"/>
              <w:rPr>
                <w:rFonts w:ascii="宋体" w:hAnsi="宋体" w:cs="宋体"/>
                <w:kern w:val="0"/>
                <w:sz w:val="16"/>
                <w:szCs w:val="16"/>
              </w:rPr>
            </w:pPr>
            <w:r>
              <w:rPr>
                <w:rFonts w:hint="eastAsia" w:ascii="宋体" w:hAnsi="宋体" w:cs="宋体"/>
                <w:kern w:val="0"/>
                <w:sz w:val="16"/>
                <w:szCs w:val="16"/>
              </w:rPr>
              <w:t>916.4</w:t>
            </w:r>
          </w:p>
        </w:tc>
        <w:tc>
          <w:tcPr>
            <w:tcW w:w="892" w:type="dxa"/>
            <w:noWrap w:val="0"/>
            <w:vAlign w:val="center"/>
          </w:tcPr>
          <w:p w14:paraId="1E69AB6F">
            <w:pPr>
              <w:widowControl/>
              <w:jc w:val="center"/>
              <w:rPr>
                <w:rFonts w:ascii="宋体" w:hAnsi="宋体" w:cs="宋体"/>
                <w:kern w:val="0"/>
                <w:sz w:val="16"/>
                <w:szCs w:val="16"/>
              </w:rPr>
            </w:pPr>
            <w:r>
              <w:rPr>
                <w:rFonts w:hint="eastAsia" w:ascii="宋体" w:hAnsi="宋体" w:cs="宋体"/>
                <w:kern w:val="0"/>
                <w:sz w:val="16"/>
                <w:szCs w:val="16"/>
              </w:rPr>
              <w:t xml:space="preserve">878.21 </w:t>
            </w:r>
          </w:p>
        </w:tc>
        <w:tc>
          <w:tcPr>
            <w:tcW w:w="857" w:type="dxa"/>
            <w:noWrap w:val="0"/>
            <w:vAlign w:val="center"/>
          </w:tcPr>
          <w:p w14:paraId="4A1C0F73">
            <w:pPr>
              <w:widowControl/>
              <w:jc w:val="center"/>
              <w:rPr>
                <w:rFonts w:ascii="宋体" w:hAnsi="宋体" w:cs="宋体"/>
                <w:kern w:val="0"/>
                <w:sz w:val="16"/>
                <w:szCs w:val="16"/>
              </w:rPr>
            </w:pPr>
            <w:r>
              <w:rPr>
                <w:rFonts w:hint="eastAsia" w:ascii="宋体" w:hAnsi="宋体" w:cs="宋体"/>
                <w:kern w:val="0"/>
                <w:sz w:val="16"/>
                <w:szCs w:val="16"/>
              </w:rPr>
              <w:t>1269.27</w:t>
            </w:r>
          </w:p>
        </w:tc>
        <w:tc>
          <w:tcPr>
            <w:tcW w:w="1120" w:type="dxa"/>
            <w:noWrap w:val="0"/>
            <w:vAlign w:val="center"/>
          </w:tcPr>
          <w:p w14:paraId="628CAA49">
            <w:pPr>
              <w:widowControl/>
              <w:jc w:val="left"/>
              <w:rPr>
                <w:rFonts w:ascii="宋体" w:hAnsi="宋体" w:cs="宋体"/>
                <w:kern w:val="0"/>
                <w:sz w:val="20"/>
                <w:szCs w:val="20"/>
              </w:rPr>
            </w:pPr>
            <w:r>
              <w:rPr>
                <w:rFonts w:hint="eastAsia" w:ascii="宋体" w:hAnsi="宋体" w:cs="宋体"/>
                <w:kern w:val="0"/>
                <w:sz w:val="20"/>
                <w:szCs w:val="20"/>
              </w:rPr>
              <w:t>　</w:t>
            </w:r>
          </w:p>
        </w:tc>
        <w:tc>
          <w:tcPr>
            <w:tcW w:w="1106" w:type="dxa"/>
            <w:noWrap w:val="0"/>
            <w:vAlign w:val="center"/>
          </w:tcPr>
          <w:p w14:paraId="6D3DD299">
            <w:pPr>
              <w:widowControl/>
              <w:jc w:val="left"/>
              <w:rPr>
                <w:rFonts w:ascii="宋体" w:hAnsi="宋体" w:cs="宋体"/>
                <w:kern w:val="0"/>
                <w:sz w:val="20"/>
                <w:szCs w:val="20"/>
              </w:rPr>
            </w:pPr>
            <w:r>
              <w:rPr>
                <w:rFonts w:hint="eastAsia" w:ascii="宋体" w:hAnsi="宋体" w:cs="宋体"/>
                <w:kern w:val="0"/>
                <w:sz w:val="20"/>
                <w:szCs w:val="20"/>
              </w:rPr>
              <w:t>　</w:t>
            </w:r>
          </w:p>
        </w:tc>
        <w:tc>
          <w:tcPr>
            <w:tcW w:w="1161" w:type="dxa"/>
            <w:noWrap w:val="0"/>
            <w:vAlign w:val="center"/>
          </w:tcPr>
          <w:p w14:paraId="543D17F7">
            <w:pPr>
              <w:widowControl/>
              <w:jc w:val="left"/>
              <w:rPr>
                <w:rFonts w:ascii="宋体" w:hAnsi="宋体" w:cs="宋体"/>
                <w:kern w:val="0"/>
                <w:sz w:val="20"/>
                <w:szCs w:val="20"/>
              </w:rPr>
            </w:pPr>
            <w:r>
              <w:rPr>
                <w:rFonts w:hint="eastAsia" w:ascii="宋体" w:hAnsi="宋体" w:cs="宋体"/>
                <w:kern w:val="0"/>
                <w:sz w:val="20"/>
                <w:szCs w:val="20"/>
              </w:rPr>
              <w:t>　</w:t>
            </w:r>
          </w:p>
        </w:tc>
      </w:tr>
    </w:tbl>
    <w:p w14:paraId="2AAD0259">
      <w:pPr>
        <w:spacing w:line="440" w:lineRule="exact"/>
        <w:ind w:firstLine="522" w:firstLineChars="200"/>
        <w:rPr>
          <w:rFonts w:hint="eastAsia" w:ascii="宋体" w:hAnsi="宋体"/>
          <w:b/>
          <w:spacing w:val="10"/>
          <w:sz w:val="24"/>
        </w:rPr>
      </w:pPr>
      <w:r>
        <w:rPr>
          <w:rFonts w:hint="eastAsia" w:ascii="宋体" w:hAnsi="宋体"/>
          <w:b/>
          <w:spacing w:val="10"/>
          <w:sz w:val="24"/>
        </w:rPr>
        <w:t>表6-4-3                            大坪煤矿电力负荷统计总表</w:t>
      </w:r>
    </w:p>
    <w:tbl>
      <w:tblPr>
        <w:tblStyle w:val="62"/>
        <w:tblW w:w="0" w:type="auto"/>
        <w:tblInd w:w="93" w:type="dxa"/>
        <w:tblLayout w:type="fixed"/>
        <w:tblCellMar>
          <w:top w:w="0" w:type="dxa"/>
          <w:left w:w="108" w:type="dxa"/>
          <w:bottom w:w="0" w:type="dxa"/>
          <w:right w:w="108" w:type="dxa"/>
        </w:tblCellMar>
      </w:tblPr>
      <w:tblGrid>
        <w:gridCol w:w="560"/>
        <w:gridCol w:w="2080"/>
        <w:gridCol w:w="640"/>
        <w:gridCol w:w="680"/>
        <w:gridCol w:w="880"/>
        <w:gridCol w:w="700"/>
        <w:gridCol w:w="880"/>
        <w:gridCol w:w="480"/>
        <w:gridCol w:w="760"/>
        <w:gridCol w:w="760"/>
        <w:gridCol w:w="980"/>
        <w:gridCol w:w="1040"/>
        <w:gridCol w:w="980"/>
        <w:gridCol w:w="700"/>
        <w:gridCol w:w="1072"/>
        <w:gridCol w:w="1240"/>
      </w:tblGrid>
      <w:tr w14:paraId="5938A243">
        <w:tblPrEx>
          <w:tblCellMar>
            <w:top w:w="0" w:type="dxa"/>
            <w:left w:w="108" w:type="dxa"/>
            <w:bottom w:w="0" w:type="dxa"/>
            <w:right w:w="108" w:type="dxa"/>
          </w:tblCellMar>
        </w:tblPrEx>
        <w:trPr>
          <w:wBefore w:w="0" w:type="dxa"/>
          <w:wAfter w:w="0" w:type="dxa"/>
          <w:trHeight w:val="600" w:hRule="atLeast"/>
        </w:trPr>
        <w:tc>
          <w:tcPr>
            <w:tcW w:w="560"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311E7FBC">
            <w:pPr>
              <w:widowControl/>
              <w:jc w:val="center"/>
              <w:rPr>
                <w:rFonts w:ascii="宋体" w:hAnsi="宋体" w:cs="宋体"/>
                <w:kern w:val="0"/>
                <w:sz w:val="20"/>
                <w:szCs w:val="20"/>
              </w:rPr>
            </w:pPr>
            <w:r>
              <w:rPr>
                <w:rFonts w:hint="eastAsia" w:ascii="宋体" w:hAnsi="宋体" w:cs="宋体"/>
                <w:kern w:val="0"/>
                <w:sz w:val="20"/>
                <w:szCs w:val="20"/>
              </w:rPr>
              <w:t>序</w:t>
            </w:r>
            <w:r>
              <w:rPr>
                <w:rFonts w:ascii="Courier New" w:hAnsi="Courier New" w:cs="Courier New"/>
                <w:kern w:val="0"/>
                <w:sz w:val="20"/>
                <w:szCs w:val="20"/>
              </w:rPr>
              <w:t xml:space="preserve"> </w:t>
            </w:r>
            <w:r>
              <w:rPr>
                <w:rFonts w:hint="eastAsia" w:ascii="宋体" w:hAnsi="宋体" w:cs="宋体"/>
                <w:kern w:val="0"/>
                <w:sz w:val="20"/>
                <w:szCs w:val="20"/>
              </w:rPr>
              <w:t>号</w:t>
            </w:r>
          </w:p>
        </w:tc>
        <w:tc>
          <w:tcPr>
            <w:tcW w:w="2080" w:type="dxa"/>
            <w:vMerge w:val="restart"/>
            <w:tcBorders>
              <w:top w:val="single" w:color="auto" w:sz="4" w:space="0"/>
              <w:left w:val="single" w:color="auto" w:sz="4" w:space="0"/>
              <w:bottom w:val="single" w:color="auto" w:sz="4" w:space="0"/>
              <w:right w:val="single" w:color="auto" w:sz="4" w:space="0"/>
            </w:tcBorders>
            <w:noWrap w:val="0"/>
            <w:vAlign w:val="center"/>
          </w:tcPr>
          <w:p w14:paraId="75F88CAD">
            <w:pPr>
              <w:widowControl/>
              <w:jc w:val="center"/>
              <w:rPr>
                <w:rFonts w:ascii="宋体" w:hAnsi="宋体" w:cs="宋体"/>
                <w:kern w:val="0"/>
                <w:sz w:val="20"/>
                <w:szCs w:val="20"/>
              </w:rPr>
            </w:pPr>
            <w:r>
              <w:rPr>
                <w:rFonts w:hint="eastAsia" w:ascii="宋体" w:hAnsi="宋体" w:cs="宋体"/>
                <w:kern w:val="0"/>
                <w:sz w:val="20"/>
                <w:szCs w:val="20"/>
              </w:rPr>
              <w:t>负</w:t>
            </w:r>
            <w:r>
              <w:rPr>
                <w:kern w:val="0"/>
                <w:sz w:val="20"/>
                <w:szCs w:val="20"/>
              </w:rPr>
              <w:t xml:space="preserve">   </w:t>
            </w:r>
            <w:r>
              <w:rPr>
                <w:rFonts w:hint="eastAsia" w:ascii="宋体" w:hAnsi="宋体" w:cs="宋体"/>
                <w:kern w:val="0"/>
                <w:sz w:val="20"/>
                <w:szCs w:val="20"/>
              </w:rPr>
              <w:t>荷</w:t>
            </w:r>
            <w:r>
              <w:rPr>
                <w:kern w:val="0"/>
                <w:sz w:val="20"/>
                <w:szCs w:val="20"/>
              </w:rPr>
              <w:t xml:space="preserve">   </w:t>
            </w:r>
            <w:r>
              <w:rPr>
                <w:rFonts w:hint="eastAsia" w:ascii="宋体" w:hAnsi="宋体" w:cs="宋体"/>
                <w:kern w:val="0"/>
                <w:sz w:val="20"/>
                <w:szCs w:val="20"/>
              </w:rPr>
              <w:t>名</w:t>
            </w:r>
            <w:r>
              <w:rPr>
                <w:kern w:val="0"/>
                <w:sz w:val="20"/>
                <w:szCs w:val="20"/>
              </w:rPr>
              <w:t xml:space="preserve">   </w:t>
            </w:r>
            <w:r>
              <w:rPr>
                <w:rFonts w:hint="eastAsia" w:ascii="宋体" w:hAnsi="宋体" w:cs="宋体"/>
                <w:kern w:val="0"/>
                <w:sz w:val="20"/>
                <w:szCs w:val="20"/>
              </w:rPr>
              <w:t>称</w:t>
            </w:r>
          </w:p>
        </w:tc>
        <w:tc>
          <w:tcPr>
            <w:tcW w:w="640" w:type="dxa"/>
            <w:vMerge w:val="restart"/>
            <w:tcBorders>
              <w:top w:val="single" w:color="auto" w:sz="4" w:space="0"/>
              <w:left w:val="single" w:color="auto" w:sz="4" w:space="0"/>
              <w:bottom w:val="single" w:color="auto" w:sz="4" w:space="0"/>
              <w:right w:val="single" w:color="auto" w:sz="4" w:space="0"/>
            </w:tcBorders>
            <w:noWrap w:val="0"/>
            <w:vAlign w:val="center"/>
          </w:tcPr>
          <w:p w14:paraId="49418455">
            <w:pPr>
              <w:widowControl/>
              <w:jc w:val="center"/>
              <w:rPr>
                <w:rFonts w:ascii="宋体" w:hAnsi="宋体" w:cs="宋体"/>
                <w:kern w:val="0"/>
                <w:sz w:val="20"/>
                <w:szCs w:val="20"/>
              </w:rPr>
            </w:pPr>
            <w:r>
              <w:rPr>
                <w:rFonts w:hint="eastAsia" w:ascii="宋体" w:hAnsi="宋体" w:cs="宋体"/>
                <w:kern w:val="0"/>
                <w:sz w:val="20"/>
                <w:szCs w:val="20"/>
              </w:rPr>
              <w:t>电压</w:t>
            </w:r>
            <w:r>
              <w:rPr>
                <w:kern w:val="0"/>
                <w:sz w:val="20"/>
                <w:szCs w:val="20"/>
              </w:rPr>
              <w:t>(kV)</w:t>
            </w:r>
          </w:p>
        </w:tc>
        <w:tc>
          <w:tcPr>
            <w:tcW w:w="1560" w:type="dxa"/>
            <w:gridSpan w:val="2"/>
            <w:tcBorders>
              <w:top w:val="single" w:color="auto" w:sz="4" w:space="0"/>
              <w:left w:val="nil"/>
              <w:bottom w:val="single" w:color="auto" w:sz="4" w:space="0"/>
              <w:right w:val="single" w:color="auto" w:sz="4" w:space="0"/>
            </w:tcBorders>
            <w:noWrap w:val="0"/>
            <w:vAlign w:val="center"/>
          </w:tcPr>
          <w:p w14:paraId="3361CAAA">
            <w:pPr>
              <w:widowControl/>
              <w:jc w:val="center"/>
              <w:rPr>
                <w:rFonts w:ascii="宋体" w:hAnsi="宋体" w:cs="宋体"/>
                <w:kern w:val="0"/>
                <w:sz w:val="20"/>
                <w:szCs w:val="20"/>
              </w:rPr>
            </w:pPr>
            <w:r>
              <w:rPr>
                <w:rFonts w:hint="eastAsia" w:ascii="宋体" w:hAnsi="宋体" w:cs="宋体"/>
                <w:kern w:val="0"/>
                <w:sz w:val="20"/>
                <w:szCs w:val="20"/>
              </w:rPr>
              <w:t>设备数量</w:t>
            </w:r>
          </w:p>
        </w:tc>
        <w:tc>
          <w:tcPr>
            <w:tcW w:w="1580" w:type="dxa"/>
            <w:gridSpan w:val="2"/>
            <w:tcBorders>
              <w:top w:val="single" w:color="auto" w:sz="4" w:space="0"/>
              <w:left w:val="nil"/>
              <w:bottom w:val="single" w:color="auto" w:sz="4" w:space="0"/>
              <w:right w:val="single" w:color="auto" w:sz="4" w:space="0"/>
            </w:tcBorders>
            <w:noWrap w:val="0"/>
            <w:vAlign w:val="center"/>
          </w:tcPr>
          <w:p w14:paraId="433EBD3E">
            <w:pPr>
              <w:widowControl/>
              <w:jc w:val="center"/>
              <w:rPr>
                <w:rFonts w:ascii="宋体" w:hAnsi="宋体" w:cs="宋体"/>
                <w:kern w:val="0"/>
                <w:sz w:val="20"/>
                <w:szCs w:val="20"/>
              </w:rPr>
            </w:pPr>
            <w:r>
              <w:rPr>
                <w:rFonts w:hint="eastAsia" w:ascii="宋体" w:hAnsi="宋体" w:cs="宋体"/>
                <w:kern w:val="0"/>
                <w:sz w:val="20"/>
                <w:szCs w:val="20"/>
              </w:rPr>
              <w:t>设</w:t>
            </w:r>
            <w:r>
              <w:rPr>
                <w:kern w:val="0"/>
                <w:sz w:val="20"/>
                <w:szCs w:val="20"/>
              </w:rPr>
              <w:t xml:space="preserve"> </w:t>
            </w:r>
            <w:r>
              <w:rPr>
                <w:rFonts w:hint="eastAsia" w:ascii="宋体" w:hAnsi="宋体" w:cs="宋体"/>
                <w:kern w:val="0"/>
                <w:sz w:val="20"/>
                <w:szCs w:val="20"/>
              </w:rPr>
              <w:t>备</w:t>
            </w:r>
            <w:r>
              <w:rPr>
                <w:kern w:val="0"/>
                <w:sz w:val="20"/>
                <w:szCs w:val="20"/>
              </w:rPr>
              <w:t xml:space="preserve"> </w:t>
            </w:r>
            <w:r>
              <w:rPr>
                <w:rFonts w:hint="eastAsia" w:ascii="宋体" w:hAnsi="宋体" w:cs="宋体"/>
                <w:kern w:val="0"/>
                <w:sz w:val="20"/>
                <w:szCs w:val="20"/>
              </w:rPr>
              <w:t>容</w:t>
            </w:r>
            <w:r>
              <w:rPr>
                <w:kern w:val="0"/>
                <w:sz w:val="20"/>
                <w:szCs w:val="20"/>
              </w:rPr>
              <w:t xml:space="preserve"> </w:t>
            </w:r>
            <w:r>
              <w:rPr>
                <w:rFonts w:hint="eastAsia" w:ascii="宋体" w:hAnsi="宋体" w:cs="宋体"/>
                <w:kern w:val="0"/>
                <w:sz w:val="20"/>
                <w:szCs w:val="20"/>
              </w:rPr>
              <w:t>量</w:t>
            </w:r>
            <w:r>
              <w:rPr>
                <w:kern w:val="0"/>
                <w:sz w:val="20"/>
                <w:szCs w:val="20"/>
              </w:rPr>
              <w:t>(Kw)</w:t>
            </w:r>
          </w:p>
        </w:tc>
        <w:tc>
          <w:tcPr>
            <w:tcW w:w="480" w:type="dxa"/>
            <w:vMerge w:val="restart"/>
            <w:tcBorders>
              <w:top w:val="single" w:color="auto" w:sz="4" w:space="0"/>
              <w:left w:val="single" w:color="auto" w:sz="4" w:space="0"/>
              <w:bottom w:val="single" w:color="auto" w:sz="4" w:space="0"/>
              <w:right w:val="single" w:color="auto" w:sz="4" w:space="0"/>
            </w:tcBorders>
            <w:noWrap w:val="0"/>
            <w:vAlign w:val="center"/>
          </w:tcPr>
          <w:p w14:paraId="03F09E59">
            <w:pPr>
              <w:widowControl/>
              <w:jc w:val="center"/>
              <w:rPr>
                <w:rFonts w:ascii="宋体" w:hAnsi="宋体" w:cs="宋体"/>
                <w:kern w:val="0"/>
                <w:sz w:val="20"/>
                <w:szCs w:val="20"/>
              </w:rPr>
            </w:pPr>
            <w:r>
              <w:rPr>
                <w:rFonts w:hint="eastAsia" w:ascii="宋体" w:hAnsi="宋体" w:cs="宋体"/>
                <w:kern w:val="0"/>
                <w:sz w:val="20"/>
                <w:szCs w:val="20"/>
              </w:rPr>
              <w:t>需用系数</w:t>
            </w:r>
          </w:p>
        </w:tc>
        <w:tc>
          <w:tcPr>
            <w:tcW w:w="760" w:type="dxa"/>
            <w:vMerge w:val="restart"/>
            <w:tcBorders>
              <w:top w:val="single" w:color="auto" w:sz="4" w:space="0"/>
              <w:left w:val="single" w:color="auto" w:sz="4" w:space="0"/>
              <w:bottom w:val="single" w:color="auto" w:sz="4" w:space="0"/>
              <w:right w:val="single" w:color="auto" w:sz="4" w:space="0"/>
            </w:tcBorders>
            <w:noWrap w:val="0"/>
            <w:vAlign w:val="center"/>
          </w:tcPr>
          <w:p w14:paraId="34B51246">
            <w:pPr>
              <w:widowControl/>
              <w:jc w:val="center"/>
              <w:rPr>
                <w:kern w:val="0"/>
                <w:sz w:val="20"/>
                <w:szCs w:val="20"/>
              </w:rPr>
            </w:pPr>
            <w:r>
              <w:rPr>
                <w:kern w:val="0"/>
                <w:sz w:val="20"/>
                <w:szCs w:val="20"/>
              </w:rPr>
              <w:t>cosΦ</w:t>
            </w:r>
          </w:p>
        </w:tc>
        <w:tc>
          <w:tcPr>
            <w:tcW w:w="760" w:type="dxa"/>
            <w:vMerge w:val="restart"/>
            <w:tcBorders>
              <w:top w:val="single" w:color="auto" w:sz="4" w:space="0"/>
              <w:left w:val="single" w:color="auto" w:sz="4" w:space="0"/>
              <w:bottom w:val="single" w:color="auto" w:sz="4" w:space="0"/>
              <w:right w:val="single" w:color="auto" w:sz="4" w:space="0"/>
            </w:tcBorders>
            <w:noWrap w:val="0"/>
            <w:vAlign w:val="center"/>
          </w:tcPr>
          <w:p w14:paraId="4FC784DB">
            <w:pPr>
              <w:widowControl/>
              <w:jc w:val="center"/>
              <w:rPr>
                <w:kern w:val="0"/>
                <w:sz w:val="20"/>
                <w:szCs w:val="20"/>
              </w:rPr>
            </w:pPr>
            <w:r>
              <w:rPr>
                <w:kern w:val="0"/>
                <w:sz w:val="20"/>
                <w:szCs w:val="20"/>
              </w:rPr>
              <w:t>tgΦ</w:t>
            </w:r>
          </w:p>
        </w:tc>
        <w:tc>
          <w:tcPr>
            <w:tcW w:w="3000" w:type="dxa"/>
            <w:gridSpan w:val="3"/>
            <w:tcBorders>
              <w:top w:val="single" w:color="auto" w:sz="4" w:space="0"/>
              <w:left w:val="nil"/>
              <w:bottom w:val="single" w:color="auto" w:sz="4" w:space="0"/>
              <w:right w:val="single" w:color="000000" w:sz="4" w:space="0"/>
            </w:tcBorders>
            <w:noWrap w:val="0"/>
            <w:vAlign w:val="center"/>
          </w:tcPr>
          <w:p w14:paraId="58E1C5C1">
            <w:pPr>
              <w:widowControl/>
              <w:jc w:val="center"/>
              <w:rPr>
                <w:rFonts w:ascii="宋体" w:hAnsi="宋体" w:cs="宋体"/>
                <w:kern w:val="0"/>
                <w:sz w:val="20"/>
                <w:szCs w:val="20"/>
              </w:rPr>
            </w:pPr>
            <w:r>
              <w:rPr>
                <w:rFonts w:hint="eastAsia" w:ascii="宋体" w:hAnsi="宋体" w:cs="宋体"/>
                <w:kern w:val="0"/>
                <w:sz w:val="20"/>
                <w:szCs w:val="20"/>
              </w:rPr>
              <w:t>最</w:t>
            </w:r>
            <w:r>
              <w:rPr>
                <w:kern w:val="0"/>
                <w:sz w:val="20"/>
                <w:szCs w:val="20"/>
              </w:rPr>
              <w:t xml:space="preserve">   </w:t>
            </w:r>
            <w:r>
              <w:rPr>
                <w:rFonts w:hint="eastAsia" w:ascii="宋体" w:hAnsi="宋体" w:cs="宋体"/>
                <w:kern w:val="0"/>
                <w:sz w:val="20"/>
                <w:szCs w:val="20"/>
              </w:rPr>
              <w:t>大</w:t>
            </w:r>
            <w:r>
              <w:rPr>
                <w:kern w:val="0"/>
                <w:sz w:val="20"/>
                <w:szCs w:val="20"/>
              </w:rPr>
              <w:t xml:space="preserve">   </w:t>
            </w:r>
            <w:r>
              <w:rPr>
                <w:rFonts w:hint="eastAsia" w:ascii="宋体" w:hAnsi="宋体" w:cs="宋体"/>
                <w:kern w:val="0"/>
                <w:sz w:val="20"/>
                <w:szCs w:val="20"/>
              </w:rPr>
              <w:t>负</w:t>
            </w:r>
            <w:r>
              <w:rPr>
                <w:kern w:val="0"/>
                <w:sz w:val="20"/>
                <w:szCs w:val="20"/>
              </w:rPr>
              <w:t xml:space="preserve">   </w:t>
            </w:r>
            <w:r>
              <w:rPr>
                <w:rFonts w:hint="eastAsia" w:ascii="宋体" w:hAnsi="宋体" w:cs="宋体"/>
                <w:kern w:val="0"/>
                <w:sz w:val="20"/>
                <w:szCs w:val="20"/>
              </w:rPr>
              <w:t>荷</w:t>
            </w:r>
          </w:p>
        </w:tc>
        <w:tc>
          <w:tcPr>
            <w:tcW w:w="700" w:type="dxa"/>
            <w:vMerge w:val="restart"/>
            <w:tcBorders>
              <w:top w:val="single" w:color="auto" w:sz="4" w:space="0"/>
              <w:left w:val="single" w:color="auto" w:sz="4" w:space="0"/>
              <w:bottom w:val="single" w:color="auto" w:sz="4" w:space="0"/>
              <w:right w:val="single" w:color="auto" w:sz="4" w:space="0"/>
            </w:tcBorders>
            <w:noWrap w:val="0"/>
            <w:vAlign w:val="center"/>
          </w:tcPr>
          <w:p w14:paraId="503A4847">
            <w:pPr>
              <w:widowControl/>
              <w:jc w:val="center"/>
              <w:rPr>
                <w:rFonts w:ascii="宋体" w:hAnsi="宋体" w:cs="宋体"/>
                <w:kern w:val="0"/>
                <w:sz w:val="20"/>
                <w:szCs w:val="20"/>
              </w:rPr>
            </w:pPr>
            <w:r>
              <w:rPr>
                <w:rFonts w:hint="eastAsia" w:ascii="宋体" w:hAnsi="宋体" w:cs="宋体"/>
                <w:kern w:val="0"/>
                <w:sz w:val="20"/>
                <w:szCs w:val="20"/>
              </w:rPr>
              <w:t>年工作小时数</w:t>
            </w:r>
          </w:p>
        </w:tc>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14:paraId="5B35CF57">
            <w:pPr>
              <w:widowControl/>
              <w:jc w:val="center"/>
              <w:rPr>
                <w:rFonts w:ascii="宋体" w:hAnsi="宋体" w:cs="宋体"/>
                <w:kern w:val="0"/>
                <w:sz w:val="20"/>
                <w:szCs w:val="20"/>
              </w:rPr>
            </w:pPr>
            <w:r>
              <w:rPr>
                <w:rFonts w:hint="eastAsia" w:ascii="宋体" w:hAnsi="宋体" w:cs="宋体"/>
                <w:kern w:val="0"/>
                <w:sz w:val="20"/>
                <w:szCs w:val="20"/>
              </w:rPr>
              <w:t>年耗电量（</w:t>
            </w:r>
            <w:r>
              <w:rPr>
                <w:kern w:val="0"/>
                <w:sz w:val="20"/>
                <w:szCs w:val="20"/>
              </w:rPr>
              <w:t>kW-h</w:t>
            </w:r>
            <w:r>
              <w:rPr>
                <w:rFonts w:hint="eastAsia" w:ascii="宋体" w:hAnsi="宋体" w:cs="宋体"/>
                <w:kern w:val="0"/>
                <w:sz w:val="20"/>
                <w:szCs w:val="20"/>
              </w:rPr>
              <w:t>）</w:t>
            </w:r>
          </w:p>
        </w:tc>
        <w:tc>
          <w:tcPr>
            <w:tcW w:w="1240" w:type="dxa"/>
            <w:vMerge w:val="restart"/>
            <w:tcBorders>
              <w:top w:val="single" w:color="auto" w:sz="4" w:space="0"/>
              <w:left w:val="single" w:color="auto" w:sz="4" w:space="0"/>
              <w:bottom w:val="single" w:color="auto" w:sz="4" w:space="0"/>
              <w:right w:val="single" w:color="auto" w:sz="4" w:space="0"/>
            </w:tcBorders>
            <w:noWrap w:val="0"/>
            <w:vAlign w:val="center"/>
          </w:tcPr>
          <w:p w14:paraId="5EE33E6D">
            <w:pPr>
              <w:widowControl/>
              <w:jc w:val="center"/>
              <w:rPr>
                <w:rFonts w:ascii="宋体" w:hAnsi="宋体" w:cs="宋体"/>
                <w:kern w:val="0"/>
                <w:sz w:val="20"/>
                <w:szCs w:val="20"/>
              </w:rPr>
            </w:pPr>
            <w:r>
              <w:rPr>
                <w:rFonts w:hint="eastAsia" w:ascii="宋体" w:hAnsi="宋体" w:cs="宋体"/>
                <w:kern w:val="0"/>
                <w:sz w:val="20"/>
                <w:szCs w:val="20"/>
              </w:rPr>
              <w:t>备   注</w:t>
            </w:r>
          </w:p>
        </w:tc>
      </w:tr>
      <w:tr w14:paraId="7814063D">
        <w:tblPrEx>
          <w:tblCellMar>
            <w:top w:w="0" w:type="dxa"/>
            <w:left w:w="108" w:type="dxa"/>
            <w:bottom w:w="0" w:type="dxa"/>
            <w:right w:w="108" w:type="dxa"/>
          </w:tblCellMar>
        </w:tblPrEx>
        <w:trPr>
          <w:wBefore w:w="0" w:type="dxa"/>
          <w:wAfter w:w="0" w:type="dxa"/>
          <w:trHeight w:val="600" w:hRule="atLeast"/>
        </w:trPr>
        <w:tc>
          <w:tcPr>
            <w:tcW w:w="560" w:type="dxa"/>
            <w:vMerge w:val="continue"/>
            <w:tcBorders>
              <w:top w:val="single" w:color="auto" w:sz="4" w:space="0"/>
              <w:left w:val="single" w:color="auto" w:sz="4" w:space="0"/>
              <w:bottom w:val="single" w:color="auto" w:sz="4" w:space="0"/>
              <w:right w:val="single" w:color="auto" w:sz="4" w:space="0"/>
            </w:tcBorders>
            <w:noWrap w:val="0"/>
            <w:vAlign w:val="center"/>
          </w:tcPr>
          <w:p w14:paraId="020B07D9">
            <w:pPr>
              <w:widowControl/>
              <w:jc w:val="left"/>
              <w:rPr>
                <w:rFonts w:ascii="宋体" w:hAnsi="宋体" w:cs="宋体"/>
                <w:kern w:val="0"/>
                <w:sz w:val="20"/>
                <w:szCs w:val="20"/>
              </w:rPr>
            </w:pPr>
          </w:p>
        </w:tc>
        <w:tc>
          <w:tcPr>
            <w:tcW w:w="2080" w:type="dxa"/>
            <w:vMerge w:val="continue"/>
            <w:tcBorders>
              <w:top w:val="single" w:color="auto" w:sz="4" w:space="0"/>
              <w:left w:val="single" w:color="auto" w:sz="4" w:space="0"/>
              <w:bottom w:val="single" w:color="auto" w:sz="4" w:space="0"/>
              <w:right w:val="single" w:color="auto" w:sz="4" w:space="0"/>
            </w:tcBorders>
            <w:noWrap w:val="0"/>
            <w:vAlign w:val="center"/>
          </w:tcPr>
          <w:p w14:paraId="05B72135">
            <w:pPr>
              <w:widowControl/>
              <w:jc w:val="left"/>
              <w:rPr>
                <w:rFonts w:ascii="宋体" w:hAnsi="宋体" w:cs="宋体"/>
                <w:kern w:val="0"/>
                <w:sz w:val="20"/>
                <w:szCs w:val="20"/>
              </w:rPr>
            </w:pPr>
          </w:p>
        </w:tc>
        <w:tc>
          <w:tcPr>
            <w:tcW w:w="640" w:type="dxa"/>
            <w:vMerge w:val="continue"/>
            <w:tcBorders>
              <w:top w:val="single" w:color="auto" w:sz="4" w:space="0"/>
              <w:left w:val="single" w:color="auto" w:sz="4" w:space="0"/>
              <w:bottom w:val="single" w:color="auto" w:sz="4" w:space="0"/>
              <w:right w:val="single" w:color="auto" w:sz="4" w:space="0"/>
            </w:tcBorders>
            <w:noWrap w:val="0"/>
            <w:vAlign w:val="center"/>
          </w:tcPr>
          <w:p w14:paraId="5805A194">
            <w:pPr>
              <w:widowControl/>
              <w:jc w:val="left"/>
              <w:rPr>
                <w:rFonts w:ascii="宋体" w:hAnsi="宋体" w:cs="宋体"/>
                <w:kern w:val="0"/>
                <w:sz w:val="20"/>
                <w:szCs w:val="20"/>
              </w:rPr>
            </w:pPr>
          </w:p>
        </w:tc>
        <w:tc>
          <w:tcPr>
            <w:tcW w:w="680" w:type="dxa"/>
            <w:tcBorders>
              <w:top w:val="nil"/>
              <w:left w:val="nil"/>
              <w:bottom w:val="single" w:color="auto" w:sz="4" w:space="0"/>
              <w:right w:val="single" w:color="auto" w:sz="4" w:space="0"/>
            </w:tcBorders>
            <w:noWrap w:val="0"/>
            <w:vAlign w:val="center"/>
          </w:tcPr>
          <w:p w14:paraId="3C3030E7">
            <w:pPr>
              <w:widowControl/>
              <w:jc w:val="center"/>
              <w:rPr>
                <w:rFonts w:ascii="宋体" w:hAnsi="宋体" w:cs="宋体"/>
                <w:kern w:val="0"/>
                <w:sz w:val="20"/>
                <w:szCs w:val="20"/>
              </w:rPr>
            </w:pPr>
            <w:r>
              <w:rPr>
                <w:rFonts w:hint="eastAsia" w:ascii="宋体" w:hAnsi="宋体" w:cs="宋体"/>
                <w:kern w:val="0"/>
                <w:sz w:val="20"/>
                <w:szCs w:val="20"/>
              </w:rPr>
              <w:t>总台数</w:t>
            </w:r>
          </w:p>
        </w:tc>
        <w:tc>
          <w:tcPr>
            <w:tcW w:w="880" w:type="dxa"/>
            <w:tcBorders>
              <w:top w:val="nil"/>
              <w:left w:val="nil"/>
              <w:bottom w:val="single" w:color="auto" w:sz="4" w:space="0"/>
              <w:right w:val="single" w:color="auto" w:sz="4" w:space="0"/>
            </w:tcBorders>
            <w:noWrap w:val="0"/>
            <w:vAlign w:val="center"/>
          </w:tcPr>
          <w:p w14:paraId="271336D0">
            <w:pPr>
              <w:widowControl/>
              <w:jc w:val="center"/>
              <w:rPr>
                <w:rFonts w:ascii="宋体" w:hAnsi="宋体" w:cs="宋体"/>
                <w:kern w:val="0"/>
                <w:sz w:val="20"/>
                <w:szCs w:val="20"/>
              </w:rPr>
            </w:pPr>
            <w:r>
              <w:rPr>
                <w:rFonts w:hint="eastAsia" w:ascii="宋体" w:hAnsi="宋体" w:cs="宋体"/>
                <w:kern w:val="0"/>
                <w:sz w:val="20"/>
                <w:szCs w:val="20"/>
              </w:rPr>
              <w:t>工作台数</w:t>
            </w:r>
          </w:p>
        </w:tc>
        <w:tc>
          <w:tcPr>
            <w:tcW w:w="700" w:type="dxa"/>
            <w:tcBorders>
              <w:top w:val="nil"/>
              <w:left w:val="nil"/>
              <w:bottom w:val="single" w:color="auto" w:sz="4" w:space="0"/>
              <w:right w:val="single" w:color="auto" w:sz="4" w:space="0"/>
            </w:tcBorders>
            <w:noWrap w:val="0"/>
            <w:vAlign w:val="center"/>
          </w:tcPr>
          <w:p w14:paraId="0F0CD056">
            <w:pPr>
              <w:widowControl/>
              <w:jc w:val="center"/>
              <w:rPr>
                <w:rFonts w:ascii="宋体" w:hAnsi="宋体" w:cs="宋体"/>
                <w:kern w:val="0"/>
                <w:sz w:val="20"/>
                <w:szCs w:val="20"/>
              </w:rPr>
            </w:pPr>
            <w:r>
              <w:rPr>
                <w:rFonts w:hint="eastAsia" w:ascii="宋体" w:hAnsi="宋体" w:cs="宋体"/>
                <w:kern w:val="0"/>
                <w:sz w:val="20"/>
                <w:szCs w:val="20"/>
              </w:rPr>
              <w:t>总容量</w:t>
            </w:r>
          </w:p>
        </w:tc>
        <w:tc>
          <w:tcPr>
            <w:tcW w:w="880" w:type="dxa"/>
            <w:tcBorders>
              <w:top w:val="nil"/>
              <w:left w:val="nil"/>
              <w:bottom w:val="single" w:color="auto" w:sz="4" w:space="0"/>
              <w:right w:val="single" w:color="auto" w:sz="4" w:space="0"/>
            </w:tcBorders>
            <w:noWrap w:val="0"/>
            <w:vAlign w:val="center"/>
          </w:tcPr>
          <w:p w14:paraId="18F10F68">
            <w:pPr>
              <w:widowControl/>
              <w:jc w:val="center"/>
              <w:rPr>
                <w:rFonts w:ascii="宋体" w:hAnsi="宋体" w:cs="宋体"/>
                <w:kern w:val="0"/>
                <w:sz w:val="20"/>
                <w:szCs w:val="20"/>
              </w:rPr>
            </w:pPr>
            <w:r>
              <w:rPr>
                <w:rFonts w:hint="eastAsia" w:ascii="宋体" w:hAnsi="宋体" w:cs="宋体"/>
                <w:kern w:val="0"/>
                <w:sz w:val="20"/>
                <w:szCs w:val="20"/>
              </w:rPr>
              <w:t>工作容量</w:t>
            </w:r>
          </w:p>
        </w:tc>
        <w:tc>
          <w:tcPr>
            <w:tcW w:w="480" w:type="dxa"/>
            <w:vMerge w:val="continue"/>
            <w:tcBorders>
              <w:top w:val="single" w:color="auto" w:sz="4" w:space="0"/>
              <w:left w:val="single" w:color="auto" w:sz="4" w:space="0"/>
              <w:bottom w:val="single" w:color="auto" w:sz="4" w:space="0"/>
              <w:right w:val="single" w:color="auto" w:sz="4" w:space="0"/>
            </w:tcBorders>
            <w:noWrap w:val="0"/>
            <w:vAlign w:val="center"/>
          </w:tcPr>
          <w:p w14:paraId="051529E1">
            <w:pPr>
              <w:widowControl/>
              <w:jc w:val="left"/>
              <w:rPr>
                <w:rFonts w:ascii="宋体" w:hAnsi="宋体" w:cs="宋体"/>
                <w:kern w:val="0"/>
                <w:sz w:val="20"/>
                <w:szCs w:val="20"/>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2653CC42">
            <w:pPr>
              <w:widowControl/>
              <w:jc w:val="left"/>
              <w:rPr>
                <w:kern w:val="0"/>
                <w:sz w:val="20"/>
                <w:szCs w:val="20"/>
              </w:rPr>
            </w:pPr>
          </w:p>
        </w:tc>
        <w:tc>
          <w:tcPr>
            <w:tcW w:w="760" w:type="dxa"/>
            <w:vMerge w:val="continue"/>
            <w:tcBorders>
              <w:top w:val="single" w:color="auto" w:sz="4" w:space="0"/>
              <w:left w:val="single" w:color="auto" w:sz="4" w:space="0"/>
              <w:bottom w:val="single" w:color="auto" w:sz="4" w:space="0"/>
              <w:right w:val="single" w:color="auto" w:sz="4" w:space="0"/>
            </w:tcBorders>
            <w:noWrap w:val="0"/>
            <w:vAlign w:val="center"/>
          </w:tcPr>
          <w:p w14:paraId="0029128C">
            <w:pPr>
              <w:widowControl/>
              <w:jc w:val="left"/>
              <w:rPr>
                <w:kern w:val="0"/>
                <w:sz w:val="20"/>
                <w:szCs w:val="20"/>
              </w:rPr>
            </w:pPr>
          </w:p>
        </w:tc>
        <w:tc>
          <w:tcPr>
            <w:tcW w:w="980" w:type="dxa"/>
            <w:tcBorders>
              <w:top w:val="nil"/>
              <w:left w:val="nil"/>
              <w:bottom w:val="single" w:color="auto" w:sz="4" w:space="0"/>
              <w:right w:val="single" w:color="auto" w:sz="4" w:space="0"/>
            </w:tcBorders>
            <w:noWrap w:val="0"/>
            <w:vAlign w:val="center"/>
          </w:tcPr>
          <w:p w14:paraId="3AC0F784">
            <w:pPr>
              <w:widowControl/>
              <w:jc w:val="center"/>
              <w:rPr>
                <w:rFonts w:ascii="宋体" w:hAnsi="宋体" w:cs="宋体"/>
                <w:kern w:val="0"/>
                <w:sz w:val="20"/>
                <w:szCs w:val="20"/>
              </w:rPr>
            </w:pPr>
            <w:r>
              <w:rPr>
                <w:rFonts w:hint="eastAsia" w:ascii="宋体" w:hAnsi="宋体" w:cs="宋体"/>
                <w:kern w:val="0"/>
                <w:sz w:val="20"/>
                <w:szCs w:val="20"/>
              </w:rPr>
              <w:t>有</w:t>
            </w:r>
            <w:r>
              <w:rPr>
                <w:kern w:val="0"/>
                <w:sz w:val="20"/>
                <w:szCs w:val="20"/>
              </w:rPr>
              <w:t xml:space="preserve"> </w:t>
            </w:r>
            <w:r>
              <w:rPr>
                <w:rFonts w:hint="eastAsia" w:ascii="宋体" w:hAnsi="宋体" w:cs="宋体"/>
                <w:kern w:val="0"/>
                <w:sz w:val="20"/>
                <w:szCs w:val="20"/>
              </w:rPr>
              <w:t>功</w:t>
            </w:r>
            <w:r>
              <w:rPr>
                <w:kern w:val="0"/>
                <w:sz w:val="20"/>
                <w:szCs w:val="20"/>
              </w:rPr>
              <w:t>(kW)</w:t>
            </w:r>
          </w:p>
        </w:tc>
        <w:tc>
          <w:tcPr>
            <w:tcW w:w="1040" w:type="dxa"/>
            <w:tcBorders>
              <w:top w:val="nil"/>
              <w:left w:val="nil"/>
              <w:bottom w:val="single" w:color="auto" w:sz="4" w:space="0"/>
              <w:right w:val="single" w:color="auto" w:sz="4" w:space="0"/>
            </w:tcBorders>
            <w:noWrap w:val="0"/>
            <w:vAlign w:val="center"/>
          </w:tcPr>
          <w:p w14:paraId="794C000E">
            <w:pPr>
              <w:widowControl/>
              <w:jc w:val="center"/>
              <w:rPr>
                <w:rFonts w:ascii="宋体" w:hAnsi="宋体" w:cs="宋体"/>
                <w:kern w:val="0"/>
                <w:sz w:val="20"/>
                <w:szCs w:val="20"/>
              </w:rPr>
            </w:pPr>
            <w:r>
              <w:rPr>
                <w:rFonts w:hint="eastAsia" w:ascii="宋体" w:hAnsi="宋体" w:cs="宋体"/>
                <w:kern w:val="0"/>
                <w:sz w:val="20"/>
                <w:szCs w:val="20"/>
              </w:rPr>
              <w:t>无功</w:t>
            </w:r>
            <w:r>
              <w:rPr>
                <w:kern w:val="0"/>
                <w:sz w:val="20"/>
                <w:szCs w:val="20"/>
              </w:rPr>
              <w:t>(kVAr)</w:t>
            </w:r>
          </w:p>
        </w:tc>
        <w:tc>
          <w:tcPr>
            <w:tcW w:w="980" w:type="dxa"/>
            <w:tcBorders>
              <w:top w:val="nil"/>
              <w:left w:val="nil"/>
              <w:bottom w:val="single" w:color="auto" w:sz="4" w:space="0"/>
              <w:right w:val="single" w:color="auto" w:sz="4" w:space="0"/>
            </w:tcBorders>
            <w:noWrap w:val="0"/>
            <w:vAlign w:val="center"/>
          </w:tcPr>
          <w:p w14:paraId="6FF4ADE0">
            <w:pPr>
              <w:widowControl/>
              <w:jc w:val="center"/>
              <w:rPr>
                <w:rFonts w:ascii="宋体" w:hAnsi="宋体" w:cs="宋体"/>
                <w:kern w:val="0"/>
                <w:sz w:val="20"/>
                <w:szCs w:val="20"/>
              </w:rPr>
            </w:pPr>
            <w:r>
              <w:rPr>
                <w:rFonts w:hint="eastAsia" w:ascii="宋体" w:hAnsi="宋体" w:cs="宋体"/>
                <w:kern w:val="0"/>
                <w:sz w:val="20"/>
                <w:szCs w:val="20"/>
              </w:rPr>
              <w:t>视在</w:t>
            </w:r>
            <w:r>
              <w:rPr>
                <w:kern w:val="0"/>
                <w:sz w:val="20"/>
                <w:szCs w:val="20"/>
              </w:rPr>
              <w:t>(kVA)</w:t>
            </w:r>
          </w:p>
        </w:tc>
        <w:tc>
          <w:tcPr>
            <w:tcW w:w="700" w:type="dxa"/>
            <w:vMerge w:val="continue"/>
            <w:tcBorders>
              <w:top w:val="single" w:color="auto" w:sz="4" w:space="0"/>
              <w:left w:val="single" w:color="auto" w:sz="4" w:space="0"/>
              <w:bottom w:val="single" w:color="auto" w:sz="4" w:space="0"/>
              <w:right w:val="single" w:color="auto" w:sz="4" w:space="0"/>
            </w:tcBorders>
            <w:noWrap w:val="0"/>
            <w:vAlign w:val="center"/>
          </w:tcPr>
          <w:p w14:paraId="09ADFF07">
            <w:pPr>
              <w:widowControl/>
              <w:jc w:val="left"/>
              <w:rPr>
                <w:rFonts w:ascii="宋体" w:hAnsi="宋体" w:cs="宋体"/>
                <w:kern w:val="0"/>
                <w:sz w:val="20"/>
                <w:szCs w:val="20"/>
              </w:rPr>
            </w:pPr>
          </w:p>
        </w:tc>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0396DF1C">
            <w:pPr>
              <w:widowControl/>
              <w:jc w:val="left"/>
              <w:rPr>
                <w:rFonts w:ascii="宋体" w:hAnsi="宋体" w:cs="宋体"/>
                <w:kern w:val="0"/>
                <w:sz w:val="20"/>
                <w:szCs w:val="20"/>
              </w:rPr>
            </w:pPr>
          </w:p>
        </w:tc>
        <w:tc>
          <w:tcPr>
            <w:tcW w:w="1240" w:type="dxa"/>
            <w:vMerge w:val="continue"/>
            <w:tcBorders>
              <w:top w:val="single" w:color="auto" w:sz="4" w:space="0"/>
              <w:left w:val="single" w:color="auto" w:sz="4" w:space="0"/>
              <w:bottom w:val="single" w:color="auto" w:sz="4" w:space="0"/>
              <w:right w:val="single" w:color="auto" w:sz="4" w:space="0"/>
            </w:tcBorders>
            <w:noWrap w:val="0"/>
            <w:vAlign w:val="center"/>
          </w:tcPr>
          <w:p w14:paraId="3D46E9C4">
            <w:pPr>
              <w:widowControl/>
              <w:jc w:val="left"/>
              <w:rPr>
                <w:rFonts w:ascii="宋体" w:hAnsi="宋体" w:cs="宋体"/>
                <w:kern w:val="0"/>
                <w:sz w:val="20"/>
                <w:szCs w:val="20"/>
              </w:rPr>
            </w:pPr>
          </w:p>
        </w:tc>
      </w:tr>
      <w:tr w14:paraId="78181E23">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58814CB4">
            <w:pPr>
              <w:widowControl/>
              <w:jc w:val="center"/>
              <w:rPr>
                <w:rFonts w:ascii="宋体" w:hAnsi="宋体" w:cs="宋体"/>
                <w:kern w:val="0"/>
                <w:sz w:val="20"/>
                <w:szCs w:val="20"/>
              </w:rPr>
            </w:pPr>
            <w:r>
              <w:rPr>
                <w:rFonts w:hint="eastAsia" w:ascii="宋体" w:hAnsi="宋体" w:cs="宋体"/>
                <w:kern w:val="0"/>
                <w:sz w:val="20"/>
                <w:szCs w:val="20"/>
              </w:rPr>
              <w:t>一</w:t>
            </w:r>
          </w:p>
        </w:tc>
        <w:tc>
          <w:tcPr>
            <w:tcW w:w="2080" w:type="dxa"/>
            <w:tcBorders>
              <w:top w:val="nil"/>
              <w:left w:val="nil"/>
              <w:bottom w:val="single" w:color="auto" w:sz="4" w:space="0"/>
              <w:right w:val="single" w:color="auto" w:sz="4" w:space="0"/>
            </w:tcBorders>
            <w:noWrap w:val="0"/>
            <w:vAlign w:val="center"/>
          </w:tcPr>
          <w:p w14:paraId="0FCAA5F3">
            <w:pPr>
              <w:widowControl/>
              <w:jc w:val="left"/>
              <w:rPr>
                <w:rFonts w:ascii="宋体" w:hAnsi="宋体" w:cs="宋体"/>
                <w:kern w:val="0"/>
                <w:sz w:val="20"/>
                <w:szCs w:val="20"/>
              </w:rPr>
            </w:pPr>
            <w:r>
              <w:rPr>
                <w:rFonts w:hint="eastAsia" w:ascii="宋体" w:hAnsi="宋体" w:cs="宋体"/>
                <w:kern w:val="0"/>
                <w:sz w:val="20"/>
                <w:szCs w:val="20"/>
              </w:rPr>
              <w:t>地面负荷</w:t>
            </w:r>
          </w:p>
        </w:tc>
        <w:tc>
          <w:tcPr>
            <w:tcW w:w="640" w:type="dxa"/>
            <w:tcBorders>
              <w:top w:val="nil"/>
              <w:left w:val="nil"/>
              <w:bottom w:val="single" w:color="auto" w:sz="4" w:space="0"/>
              <w:right w:val="single" w:color="auto" w:sz="4" w:space="0"/>
            </w:tcBorders>
            <w:noWrap w:val="0"/>
            <w:vAlign w:val="center"/>
          </w:tcPr>
          <w:p w14:paraId="20797668">
            <w:pPr>
              <w:widowControl/>
              <w:jc w:val="center"/>
              <w:rPr>
                <w:rFonts w:ascii="宋体" w:hAnsi="宋体" w:cs="宋体"/>
                <w:kern w:val="0"/>
                <w:sz w:val="20"/>
                <w:szCs w:val="20"/>
              </w:rPr>
            </w:pPr>
            <w:r>
              <w:rPr>
                <w:rFonts w:hint="eastAsia" w:ascii="宋体" w:hAnsi="宋体" w:cs="宋体"/>
                <w:kern w:val="0"/>
                <w:sz w:val="20"/>
                <w:szCs w:val="20"/>
              </w:rPr>
              <w:t>　</w:t>
            </w:r>
          </w:p>
        </w:tc>
        <w:tc>
          <w:tcPr>
            <w:tcW w:w="680" w:type="dxa"/>
            <w:tcBorders>
              <w:top w:val="nil"/>
              <w:left w:val="nil"/>
              <w:bottom w:val="single" w:color="auto" w:sz="4" w:space="0"/>
              <w:right w:val="single" w:color="auto" w:sz="4" w:space="0"/>
            </w:tcBorders>
            <w:noWrap w:val="0"/>
            <w:vAlign w:val="center"/>
          </w:tcPr>
          <w:p w14:paraId="3F844827">
            <w:pPr>
              <w:widowControl/>
              <w:jc w:val="center"/>
              <w:rPr>
                <w:rFonts w:ascii="宋体" w:hAnsi="宋体" w:cs="宋体"/>
                <w:kern w:val="0"/>
                <w:sz w:val="20"/>
                <w:szCs w:val="20"/>
              </w:rPr>
            </w:pPr>
            <w:r>
              <w:rPr>
                <w:rFonts w:hint="eastAsia" w:ascii="宋体" w:hAnsi="宋体" w:cs="宋体"/>
                <w:kern w:val="0"/>
                <w:sz w:val="20"/>
                <w:szCs w:val="20"/>
              </w:rPr>
              <w:t>58</w:t>
            </w:r>
          </w:p>
        </w:tc>
        <w:tc>
          <w:tcPr>
            <w:tcW w:w="880" w:type="dxa"/>
            <w:tcBorders>
              <w:top w:val="nil"/>
              <w:left w:val="nil"/>
              <w:bottom w:val="single" w:color="auto" w:sz="4" w:space="0"/>
              <w:right w:val="single" w:color="auto" w:sz="4" w:space="0"/>
            </w:tcBorders>
            <w:noWrap w:val="0"/>
            <w:vAlign w:val="center"/>
          </w:tcPr>
          <w:p w14:paraId="4810EBF0">
            <w:pPr>
              <w:widowControl/>
              <w:jc w:val="center"/>
              <w:rPr>
                <w:rFonts w:ascii="宋体" w:hAnsi="宋体" w:cs="宋体"/>
                <w:kern w:val="0"/>
                <w:sz w:val="20"/>
                <w:szCs w:val="20"/>
              </w:rPr>
            </w:pPr>
            <w:r>
              <w:rPr>
                <w:rFonts w:hint="eastAsia" w:ascii="宋体" w:hAnsi="宋体" w:cs="宋体"/>
                <w:kern w:val="0"/>
                <w:sz w:val="20"/>
                <w:szCs w:val="20"/>
              </w:rPr>
              <w:t>45</w:t>
            </w:r>
          </w:p>
        </w:tc>
        <w:tc>
          <w:tcPr>
            <w:tcW w:w="700" w:type="dxa"/>
            <w:tcBorders>
              <w:top w:val="nil"/>
              <w:left w:val="nil"/>
              <w:bottom w:val="single" w:color="auto" w:sz="4" w:space="0"/>
              <w:right w:val="single" w:color="auto" w:sz="4" w:space="0"/>
            </w:tcBorders>
            <w:noWrap w:val="0"/>
            <w:vAlign w:val="center"/>
          </w:tcPr>
          <w:p w14:paraId="2B38E19C">
            <w:pPr>
              <w:widowControl/>
              <w:jc w:val="center"/>
              <w:rPr>
                <w:rFonts w:ascii="宋体" w:hAnsi="宋体" w:cs="宋体"/>
                <w:kern w:val="0"/>
                <w:sz w:val="20"/>
                <w:szCs w:val="20"/>
              </w:rPr>
            </w:pPr>
            <w:r>
              <w:rPr>
                <w:rFonts w:hint="eastAsia" w:ascii="宋体" w:hAnsi="宋体" w:cs="宋体"/>
                <w:kern w:val="0"/>
                <w:sz w:val="20"/>
                <w:szCs w:val="20"/>
              </w:rPr>
              <w:t>1660</w:t>
            </w:r>
          </w:p>
        </w:tc>
        <w:tc>
          <w:tcPr>
            <w:tcW w:w="880" w:type="dxa"/>
            <w:tcBorders>
              <w:top w:val="nil"/>
              <w:left w:val="nil"/>
              <w:bottom w:val="single" w:color="auto" w:sz="4" w:space="0"/>
              <w:right w:val="single" w:color="auto" w:sz="4" w:space="0"/>
            </w:tcBorders>
            <w:noWrap w:val="0"/>
            <w:vAlign w:val="center"/>
          </w:tcPr>
          <w:p w14:paraId="5466A945">
            <w:pPr>
              <w:widowControl/>
              <w:jc w:val="center"/>
              <w:rPr>
                <w:rFonts w:ascii="宋体" w:hAnsi="宋体" w:cs="宋体"/>
                <w:kern w:val="0"/>
                <w:sz w:val="20"/>
                <w:szCs w:val="20"/>
              </w:rPr>
            </w:pPr>
            <w:r>
              <w:rPr>
                <w:rFonts w:hint="eastAsia" w:ascii="宋体" w:hAnsi="宋体" w:cs="宋体"/>
                <w:kern w:val="0"/>
                <w:sz w:val="20"/>
                <w:szCs w:val="20"/>
              </w:rPr>
              <w:t>1124</w:t>
            </w:r>
          </w:p>
        </w:tc>
        <w:tc>
          <w:tcPr>
            <w:tcW w:w="480" w:type="dxa"/>
            <w:tcBorders>
              <w:top w:val="nil"/>
              <w:left w:val="nil"/>
              <w:bottom w:val="single" w:color="auto" w:sz="4" w:space="0"/>
              <w:right w:val="single" w:color="auto" w:sz="4" w:space="0"/>
            </w:tcBorders>
            <w:noWrap w:val="0"/>
            <w:vAlign w:val="center"/>
          </w:tcPr>
          <w:p w14:paraId="727532B5">
            <w:pPr>
              <w:widowControl/>
              <w:jc w:val="center"/>
              <w:rPr>
                <w:rFonts w:ascii="宋体" w:hAnsi="宋体" w:cs="宋体"/>
                <w:kern w:val="0"/>
                <w:sz w:val="20"/>
                <w:szCs w:val="20"/>
              </w:rPr>
            </w:pPr>
            <w:r>
              <w:rPr>
                <w:rFonts w:hint="eastAsia" w:ascii="宋体" w:hAnsi="宋体" w:cs="宋体"/>
                <w:kern w:val="0"/>
                <w:sz w:val="20"/>
                <w:szCs w:val="20"/>
              </w:rPr>
              <w:t>　</w:t>
            </w:r>
          </w:p>
        </w:tc>
        <w:tc>
          <w:tcPr>
            <w:tcW w:w="760" w:type="dxa"/>
            <w:tcBorders>
              <w:top w:val="nil"/>
              <w:left w:val="nil"/>
              <w:bottom w:val="single" w:color="auto" w:sz="4" w:space="0"/>
              <w:right w:val="single" w:color="auto" w:sz="4" w:space="0"/>
            </w:tcBorders>
            <w:noWrap w:val="0"/>
            <w:vAlign w:val="center"/>
          </w:tcPr>
          <w:p w14:paraId="465A98B8">
            <w:pPr>
              <w:widowControl/>
              <w:jc w:val="center"/>
              <w:rPr>
                <w:rFonts w:ascii="宋体" w:hAnsi="宋体" w:cs="宋体"/>
                <w:kern w:val="0"/>
                <w:sz w:val="20"/>
                <w:szCs w:val="20"/>
              </w:rPr>
            </w:pPr>
            <w:r>
              <w:rPr>
                <w:rFonts w:hint="eastAsia" w:ascii="宋体" w:hAnsi="宋体" w:cs="宋体"/>
                <w:kern w:val="0"/>
                <w:sz w:val="20"/>
                <w:szCs w:val="20"/>
              </w:rPr>
              <w:t>0.79</w:t>
            </w:r>
          </w:p>
        </w:tc>
        <w:tc>
          <w:tcPr>
            <w:tcW w:w="760" w:type="dxa"/>
            <w:tcBorders>
              <w:top w:val="nil"/>
              <w:left w:val="nil"/>
              <w:bottom w:val="single" w:color="auto" w:sz="4" w:space="0"/>
              <w:right w:val="single" w:color="auto" w:sz="4" w:space="0"/>
            </w:tcBorders>
            <w:noWrap w:val="0"/>
            <w:vAlign w:val="center"/>
          </w:tcPr>
          <w:p w14:paraId="1DCF585A">
            <w:pPr>
              <w:widowControl/>
              <w:jc w:val="center"/>
              <w:rPr>
                <w:rFonts w:ascii="宋体" w:hAnsi="宋体" w:cs="宋体"/>
                <w:kern w:val="0"/>
                <w:sz w:val="20"/>
                <w:szCs w:val="20"/>
              </w:rPr>
            </w:pPr>
            <w:r>
              <w:rPr>
                <w:rFonts w:hint="eastAsia" w:ascii="宋体" w:hAnsi="宋体" w:cs="宋体"/>
                <w:kern w:val="0"/>
                <w:sz w:val="20"/>
                <w:szCs w:val="20"/>
              </w:rPr>
              <w:t>0.78</w:t>
            </w:r>
          </w:p>
        </w:tc>
        <w:tc>
          <w:tcPr>
            <w:tcW w:w="980" w:type="dxa"/>
            <w:tcBorders>
              <w:top w:val="nil"/>
              <w:left w:val="nil"/>
              <w:bottom w:val="single" w:color="auto" w:sz="4" w:space="0"/>
              <w:right w:val="single" w:color="auto" w:sz="4" w:space="0"/>
            </w:tcBorders>
            <w:noWrap w:val="0"/>
            <w:vAlign w:val="center"/>
          </w:tcPr>
          <w:p w14:paraId="1F9DB58F">
            <w:pPr>
              <w:widowControl/>
              <w:jc w:val="center"/>
              <w:rPr>
                <w:rFonts w:ascii="宋体" w:hAnsi="宋体" w:cs="宋体"/>
                <w:kern w:val="0"/>
                <w:sz w:val="20"/>
                <w:szCs w:val="20"/>
              </w:rPr>
            </w:pPr>
            <w:r>
              <w:rPr>
                <w:rFonts w:hint="eastAsia" w:ascii="宋体" w:hAnsi="宋体" w:cs="宋体"/>
                <w:kern w:val="0"/>
                <w:sz w:val="20"/>
                <w:szCs w:val="20"/>
              </w:rPr>
              <w:t>726.61</w:t>
            </w:r>
          </w:p>
        </w:tc>
        <w:tc>
          <w:tcPr>
            <w:tcW w:w="1040" w:type="dxa"/>
            <w:tcBorders>
              <w:top w:val="nil"/>
              <w:left w:val="nil"/>
              <w:bottom w:val="single" w:color="auto" w:sz="4" w:space="0"/>
              <w:right w:val="single" w:color="auto" w:sz="4" w:space="0"/>
            </w:tcBorders>
            <w:noWrap w:val="0"/>
            <w:vAlign w:val="center"/>
          </w:tcPr>
          <w:p w14:paraId="120DDDFF">
            <w:pPr>
              <w:widowControl/>
              <w:jc w:val="center"/>
              <w:rPr>
                <w:rFonts w:ascii="宋体" w:hAnsi="宋体" w:cs="宋体"/>
                <w:kern w:val="0"/>
                <w:sz w:val="20"/>
                <w:szCs w:val="20"/>
              </w:rPr>
            </w:pPr>
            <w:r>
              <w:rPr>
                <w:rFonts w:hint="eastAsia" w:ascii="宋体" w:hAnsi="宋体" w:cs="宋体"/>
                <w:kern w:val="0"/>
                <w:sz w:val="20"/>
                <w:szCs w:val="20"/>
              </w:rPr>
              <w:t>569.87</w:t>
            </w:r>
          </w:p>
        </w:tc>
        <w:tc>
          <w:tcPr>
            <w:tcW w:w="980" w:type="dxa"/>
            <w:tcBorders>
              <w:top w:val="nil"/>
              <w:left w:val="nil"/>
              <w:bottom w:val="single" w:color="auto" w:sz="4" w:space="0"/>
              <w:right w:val="single" w:color="auto" w:sz="4" w:space="0"/>
            </w:tcBorders>
            <w:noWrap w:val="0"/>
            <w:vAlign w:val="center"/>
          </w:tcPr>
          <w:p w14:paraId="7B25EFBB">
            <w:pPr>
              <w:widowControl/>
              <w:jc w:val="center"/>
              <w:rPr>
                <w:rFonts w:ascii="宋体" w:hAnsi="宋体" w:cs="宋体"/>
                <w:kern w:val="0"/>
                <w:sz w:val="20"/>
                <w:szCs w:val="20"/>
              </w:rPr>
            </w:pPr>
            <w:r>
              <w:rPr>
                <w:rFonts w:hint="eastAsia" w:ascii="宋体" w:hAnsi="宋体" w:cs="宋体"/>
                <w:kern w:val="0"/>
                <w:sz w:val="20"/>
                <w:szCs w:val="20"/>
              </w:rPr>
              <w:t>923.42</w:t>
            </w:r>
          </w:p>
        </w:tc>
        <w:tc>
          <w:tcPr>
            <w:tcW w:w="700" w:type="dxa"/>
            <w:tcBorders>
              <w:top w:val="nil"/>
              <w:left w:val="nil"/>
              <w:bottom w:val="single" w:color="auto" w:sz="4" w:space="0"/>
              <w:right w:val="single" w:color="auto" w:sz="4" w:space="0"/>
            </w:tcBorders>
            <w:noWrap w:val="0"/>
            <w:vAlign w:val="center"/>
          </w:tcPr>
          <w:p w14:paraId="3A9355CC">
            <w:pPr>
              <w:widowControl/>
              <w:jc w:val="center"/>
              <w:rPr>
                <w:rFonts w:ascii="宋体" w:hAnsi="宋体" w:cs="宋体"/>
                <w:kern w:val="0"/>
                <w:sz w:val="20"/>
                <w:szCs w:val="20"/>
              </w:rPr>
            </w:pPr>
            <w:r>
              <w:rPr>
                <w:rFonts w:hint="eastAsia" w:ascii="宋体" w:hAnsi="宋体" w:cs="宋体"/>
                <w:kern w:val="0"/>
                <w:sz w:val="20"/>
                <w:szCs w:val="20"/>
              </w:rPr>
              <w:t>　</w:t>
            </w:r>
          </w:p>
        </w:tc>
        <w:tc>
          <w:tcPr>
            <w:tcW w:w="1072" w:type="dxa"/>
            <w:tcBorders>
              <w:top w:val="nil"/>
              <w:left w:val="nil"/>
              <w:bottom w:val="single" w:color="auto" w:sz="4" w:space="0"/>
              <w:right w:val="single" w:color="auto" w:sz="4" w:space="0"/>
            </w:tcBorders>
            <w:noWrap w:val="0"/>
            <w:vAlign w:val="center"/>
          </w:tcPr>
          <w:p w14:paraId="720458D4">
            <w:pPr>
              <w:widowControl/>
              <w:jc w:val="center"/>
              <w:rPr>
                <w:rFonts w:ascii="宋体" w:hAnsi="宋体" w:cs="宋体"/>
                <w:kern w:val="0"/>
                <w:sz w:val="20"/>
                <w:szCs w:val="20"/>
              </w:rPr>
            </w:pPr>
            <w:r>
              <w:rPr>
                <w:rFonts w:hint="eastAsia" w:ascii="宋体" w:hAnsi="宋体" w:cs="宋体"/>
                <w:kern w:val="0"/>
                <w:sz w:val="20"/>
                <w:szCs w:val="20"/>
              </w:rPr>
              <w:t>　</w:t>
            </w:r>
          </w:p>
        </w:tc>
        <w:tc>
          <w:tcPr>
            <w:tcW w:w="1240" w:type="dxa"/>
            <w:tcBorders>
              <w:top w:val="nil"/>
              <w:left w:val="nil"/>
              <w:bottom w:val="single" w:color="auto" w:sz="4" w:space="0"/>
              <w:right w:val="single" w:color="auto" w:sz="4" w:space="0"/>
            </w:tcBorders>
            <w:noWrap w:val="0"/>
            <w:vAlign w:val="center"/>
          </w:tcPr>
          <w:p w14:paraId="1B7410F0">
            <w:pPr>
              <w:widowControl/>
              <w:jc w:val="center"/>
              <w:rPr>
                <w:rFonts w:ascii="宋体" w:hAnsi="宋体" w:cs="宋体"/>
                <w:kern w:val="0"/>
                <w:sz w:val="20"/>
                <w:szCs w:val="20"/>
              </w:rPr>
            </w:pPr>
            <w:r>
              <w:rPr>
                <w:rFonts w:hint="eastAsia" w:ascii="宋体" w:hAnsi="宋体" w:cs="宋体"/>
                <w:kern w:val="0"/>
                <w:sz w:val="20"/>
                <w:szCs w:val="20"/>
              </w:rPr>
              <w:t>　</w:t>
            </w:r>
          </w:p>
        </w:tc>
      </w:tr>
      <w:tr w14:paraId="73BE83F7">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6C9B4335">
            <w:pPr>
              <w:widowControl/>
              <w:jc w:val="center"/>
              <w:rPr>
                <w:rFonts w:ascii="宋体" w:hAnsi="宋体" w:cs="宋体"/>
                <w:kern w:val="0"/>
                <w:sz w:val="20"/>
                <w:szCs w:val="20"/>
              </w:rPr>
            </w:pPr>
            <w:r>
              <w:rPr>
                <w:rFonts w:hint="eastAsia" w:ascii="宋体" w:hAnsi="宋体" w:cs="宋体"/>
                <w:kern w:val="0"/>
                <w:sz w:val="20"/>
                <w:szCs w:val="20"/>
              </w:rPr>
              <w:t>二</w:t>
            </w:r>
          </w:p>
        </w:tc>
        <w:tc>
          <w:tcPr>
            <w:tcW w:w="2080" w:type="dxa"/>
            <w:tcBorders>
              <w:top w:val="nil"/>
              <w:left w:val="nil"/>
              <w:bottom w:val="single" w:color="auto" w:sz="4" w:space="0"/>
              <w:right w:val="single" w:color="auto" w:sz="4" w:space="0"/>
            </w:tcBorders>
            <w:noWrap w:val="0"/>
            <w:vAlign w:val="center"/>
          </w:tcPr>
          <w:p w14:paraId="27DBF402">
            <w:pPr>
              <w:widowControl/>
              <w:jc w:val="left"/>
              <w:rPr>
                <w:rFonts w:ascii="宋体" w:hAnsi="宋体" w:cs="宋体"/>
                <w:kern w:val="0"/>
                <w:sz w:val="20"/>
                <w:szCs w:val="20"/>
              </w:rPr>
            </w:pPr>
            <w:r>
              <w:rPr>
                <w:rFonts w:hint="eastAsia" w:ascii="宋体" w:hAnsi="宋体" w:cs="宋体"/>
                <w:kern w:val="0"/>
                <w:sz w:val="20"/>
                <w:szCs w:val="20"/>
              </w:rPr>
              <w:t>井下负荷</w:t>
            </w:r>
          </w:p>
        </w:tc>
        <w:tc>
          <w:tcPr>
            <w:tcW w:w="640" w:type="dxa"/>
            <w:tcBorders>
              <w:top w:val="nil"/>
              <w:left w:val="nil"/>
              <w:bottom w:val="single" w:color="auto" w:sz="4" w:space="0"/>
              <w:right w:val="single" w:color="auto" w:sz="4" w:space="0"/>
            </w:tcBorders>
            <w:noWrap w:val="0"/>
            <w:vAlign w:val="center"/>
          </w:tcPr>
          <w:p w14:paraId="070706A3">
            <w:pPr>
              <w:widowControl/>
              <w:jc w:val="center"/>
              <w:rPr>
                <w:rFonts w:ascii="宋体" w:hAnsi="宋体" w:cs="宋体"/>
                <w:kern w:val="0"/>
                <w:sz w:val="20"/>
                <w:szCs w:val="20"/>
              </w:rPr>
            </w:pPr>
            <w:r>
              <w:rPr>
                <w:rFonts w:hint="eastAsia" w:ascii="宋体" w:hAnsi="宋体" w:cs="宋体"/>
                <w:kern w:val="0"/>
                <w:sz w:val="20"/>
                <w:szCs w:val="20"/>
              </w:rPr>
              <w:t>　</w:t>
            </w:r>
          </w:p>
        </w:tc>
        <w:tc>
          <w:tcPr>
            <w:tcW w:w="680" w:type="dxa"/>
            <w:tcBorders>
              <w:top w:val="nil"/>
              <w:left w:val="nil"/>
              <w:bottom w:val="single" w:color="auto" w:sz="4" w:space="0"/>
              <w:right w:val="single" w:color="auto" w:sz="4" w:space="0"/>
            </w:tcBorders>
            <w:noWrap w:val="0"/>
            <w:vAlign w:val="center"/>
          </w:tcPr>
          <w:p w14:paraId="33A78811">
            <w:pPr>
              <w:widowControl/>
              <w:jc w:val="center"/>
              <w:rPr>
                <w:rFonts w:ascii="宋体" w:hAnsi="宋体" w:cs="宋体"/>
                <w:kern w:val="0"/>
                <w:sz w:val="20"/>
                <w:szCs w:val="20"/>
              </w:rPr>
            </w:pPr>
            <w:r>
              <w:rPr>
                <w:rFonts w:hint="eastAsia" w:ascii="宋体" w:hAnsi="宋体" w:cs="宋体"/>
                <w:kern w:val="0"/>
                <w:sz w:val="20"/>
                <w:szCs w:val="20"/>
              </w:rPr>
              <w:t>51</w:t>
            </w:r>
          </w:p>
        </w:tc>
        <w:tc>
          <w:tcPr>
            <w:tcW w:w="880" w:type="dxa"/>
            <w:tcBorders>
              <w:top w:val="nil"/>
              <w:left w:val="nil"/>
              <w:bottom w:val="single" w:color="auto" w:sz="4" w:space="0"/>
              <w:right w:val="single" w:color="auto" w:sz="4" w:space="0"/>
            </w:tcBorders>
            <w:noWrap w:val="0"/>
            <w:vAlign w:val="center"/>
          </w:tcPr>
          <w:p w14:paraId="23B80892">
            <w:pPr>
              <w:widowControl/>
              <w:jc w:val="center"/>
              <w:rPr>
                <w:rFonts w:ascii="宋体" w:hAnsi="宋体" w:cs="宋体"/>
                <w:kern w:val="0"/>
                <w:sz w:val="20"/>
                <w:szCs w:val="20"/>
              </w:rPr>
            </w:pPr>
            <w:r>
              <w:rPr>
                <w:rFonts w:hint="eastAsia" w:ascii="宋体" w:hAnsi="宋体" w:cs="宋体"/>
                <w:kern w:val="0"/>
                <w:sz w:val="20"/>
                <w:szCs w:val="20"/>
              </w:rPr>
              <w:t>40</w:t>
            </w:r>
          </w:p>
        </w:tc>
        <w:tc>
          <w:tcPr>
            <w:tcW w:w="700" w:type="dxa"/>
            <w:tcBorders>
              <w:top w:val="nil"/>
              <w:left w:val="nil"/>
              <w:bottom w:val="single" w:color="auto" w:sz="4" w:space="0"/>
              <w:right w:val="single" w:color="auto" w:sz="4" w:space="0"/>
            </w:tcBorders>
            <w:noWrap w:val="0"/>
            <w:vAlign w:val="center"/>
          </w:tcPr>
          <w:p w14:paraId="7B6304A9">
            <w:pPr>
              <w:widowControl/>
              <w:jc w:val="center"/>
              <w:rPr>
                <w:rFonts w:ascii="宋体" w:hAnsi="宋体" w:cs="宋体"/>
                <w:kern w:val="0"/>
                <w:sz w:val="20"/>
                <w:szCs w:val="20"/>
              </w:rPr>
            </w:pPr>
            <w:r>
              <w:rPr>
                <w:rFonts w:hint="eastAsia" w:ascii="宋体" w:hAnsi="宋体" w:cs="宋体"/>
                <w:kern w:val="0"/>
                <w:sz w:val="20"/>
                <w:szCs w:val="20"/>
              </w:rPr>
              <w:t>1743</w:t>
            </w:r>
          </w:p>
        </w:tc>
        <w:tc>
          <w:tcPr>
            <w:tcW w:w="880" w:type="dxa"/>
            <w:tcBorders>
              <w:top w:val="nil"/>
              <w:left w:val="nil"/>
              <w:bottom w:val="single" w:color="auto" w:sz="4" w:space="0"/>
              <w:right w:val="single" w:color="auto" w:sz="4" w:space="0"/>
            </w:tcBorders>
            <w:noWrap w:val="0"/>
            <w:vAlign w:val="center"/>
          </w:tcPr>
          <w:p w14:paraId="2F9A813C">
            <w:pPr>
              <w:widowControl/>
              <w:jc w:val="center"/>
              <w:rPr>
                <w:rFonts w:ascii="宋体" w:hAnsi="宋体" w:cs="宋体"/>
                <w:kern w:val="0"/>
                <w:sz w:val="20"/>
                <w:szCs w:val="20"/>
              </w:rPr>
            </w:pPr>
            <w:r>
              <w:rPr>
                <w:rFonts w:hint="eastAsia" w:ascii="宋体" w:hAnsi="宋体" w:cs="宋体"/>
                <w:kern w:val="0"/>
                <w:sz w:val="20"/>
                <w:szCs w:val="20"/>
              </w:rPr>
              <w:t>1475.8</w:t>
            </w:r>
          </w:p>
        </w:tc>
        <w:tc>
          <w:tcPr>
            <w:tcW w:w="480" w:type="dxa"/>
            <w:tcBorders>
              <w:top w:val="nil"/>
              <w:left w:val="nil"/>
              <w:bottom w:val="single" w:color="auto" w:sz="4" w:space="0"/>
              <w:right w:val="single" w:color="auto" w:sz="4" w:space="0"/>
            </w:tcBorders>
            <w:noWrap w:val="0"/>
            <w:vAlign w:val="center"/>
          </w:tcPr>
          <w:p w14:paraId="5E7FCFBA">
            <w:pPr>
              <w:widowControl/>
              <w:jc w:val="center"/>
              <w:rPr>
                <w:rFonts w:ascii="宋体" w:hAnsi="宋体" w:cs="宋体"/>
                <w:kern w:val="0"/>
                <w:sz w:val="20"/>
                <w:szCs w:val="20"/>
              </w:rPr>
            </w:pPr>
            <w:r>
              <w:rPr>
                <w:rFonts w:hint="eastAsia" w:ascii="宋体" w:hAnsi="宋体" w:cs="宋体"/>
                <w:kern w:val="0"/>
                <w:sz w:val="20"/>
                <w:szCs w:val="20"/>
              </w:rPr>
              <w:t>　</w:t>
            </w:r>
          </w:p>
        </w:tc>
        <w:tc>
          <w:tcPr>
            <w:tcW w:w="760" w:type="dxa"/>
            <w:tcBorders>
              <w:top w:val="nil"/>
              <w:left w:val="nil"/>
              <w:bottom w:val="single" w:color="auto" w:sz="4" w:space="0"/>
              <w:right w:val="single" w:color="auto" w:sz="4" w:space="0"/>
            </w:tcBorders>
            <w:noWrap w:val="0"/>
            <w:vAlign w:val="center"/>
          </w:tcPr>
          <w:p w14:paraId="5973B04B">
            <w:pPr>
              <w:widowControl/>
              <w:jc w:val="center"/>
              <w:rPr>
                <w:rFonts w:ascii="宋体" w:hAnsi="宋体" w:cs="宋体"/>
                <w:kern w:val="0"/>
                <w:sz w:val="20"/>
                <w:szCs w:val="20"/>
              </w:rPr>
            </w:pPr>
            <w:r>
              <w:rPr>
                <w:rFonts w:hint="eastAsia" w:ascii="宋体" w:hAnsi="宋体" w:cs="宋体"/>
                <w:kern w:val="0"/>
                <w:sz w:val="20"/>
                <w:szCs w:val="20"/>
              </w:rPr>
              <w:t xml:space="preserve">0.722 </w:t>
            </w:r>
          </w:p>
        </w:tc>
        <w:tc>
          <w:tcPr>
            <w:tcW w:w="760" w:type="dxa"/>
            <w:tcBorders>
              <w:top w:val="nil"/>
              <w:left w:val="nil"/>
              <w:bottom w:val="single" w:color="auto" w:sz="4" w:space="0"/>
              <w:right w:val="single" w:color="auto" w:sz="4" w:space="0"/>
            </w:tcBorders>
            <w:noWrap w:val="0"/>
            <w:vAlign w:val="center"/>
          </w:tcPr>
          <w:p w14:paraId="7D3644E5">
            <w:pPr>
              <w:widowControl/>
              <w:jc w:val="center"/>
              <w:rPr>
                <w:rFonts w:ascii="宋体" w:hAnsi="宋体" w:cs="宋体"/>
                <w:kern w:val="0"/>
                <w:sz w:val="20"/>
                <w:szCs w:val="20"/>
              </w:rPr>
            </w:pPr>
            <w:r>
              <w:rPr>
                <w:rFonts w:hint="eastAsia" w:ascii="宋体" w:hAnsi="宋体" w:cs="宋体"/>
                <w:kern w:val="0"/>
                <w:sz w:val="20"/>
                <w:szCs w:val="20"/>
              </w:rPr>
              <w:t xml:space="preserve">0.96 </w:t>
            </w:r>
          </w:p>
        </w:tc>
        <w:tc>
          <w:tcPr>
            <w:tcW w:w="980" w:type="dxa"/>
            <w:tcBorders>
              <w:top w:val="nil"/>
              <w:left w:val="nil"/>
              <w:bottom w:val="single" w:color="auto" w:sz="4" w:space="0"/>
              <w:right w:val="single" w:color="auto" w:sz="4" w:space="0"/>
            </w:tcBorders>
            <w:noWrap w:val="0"/>
            <w:vAlign w:val="center"/>
          </w:tcPr>
          <w:p w14:paraId="105BD1E3">
            <w:pPr>
              <w:widowControl/>
              <w:jc w:val="center"/>
              <w:rPr>
                <w:rFonts w:ascii="宋体" w:hAnsi="宋体" w:cs="宋体"/>
                <w:kern w:val="0"/>
                <w:sz w:val="20"/>
                <w:szCs w:val="20"/>
              </w:rPr>
            </w:pPr>
            <w:r>
              <w:rPr>
                <w:rFonts w:hint="eastAsia" w:ascii="宋体" w:hAnsi="宋体" w:cs="宋体"/>
                <w:kern w:val="0"/>
                <w:sz w:val="20"/>
                <w:szCs w:val="20"/>
              </w:rPr>
              <w:t xml:space="preserve">916.40 </w:t>
            </w:r>
          </w:p>
        </w:tc>
        <w:tc>
          <w:tcPr>
            <w:tcW w:w="1040" w:type="dxa"/>
            <w:tcBorders>
              <w:top w:val="nil"/>
              <w:left w:val="nil"/>
              <w:bottom w:val="single" w:color="auto" w:sz="4" w:space="0"/>
              <w:right w:val="single" w:color="auto" w:sz="4" w:space="0"/>
            </w:tcBorders>
            <w:noWrap w:val="0"/>
            <w:vAlign w:val="center"/>
          </w:tcPr>
          <w:p w14:paraId="37E69180">
            <w:pPr>
              <w:widowControl/>
              <w:jc w:val="center"/>
              <w:rPr>
                <w:rFonts w:ascii="宋体" w:hAnsi="宋体" w:cs="宋体"/>
                <w:kern w:val="0"/>
                <w:sz w:val="20"/>
                <w:szCs w:val="20"/>
              </w:rPr>
            </w:pPr>
            <w:r>
              <w:rPr>
                <w:rFonts w:hint="eastAsia" w:ascii="宋体" w:hAnsi="宋体" w:cs="宋体"/>
                <w:kern w:val="0"/>
                <w:sz w:val="20"/>
                <w:szCs w:val="20"/>
              </w:rPr>
              <w:t xml:space="preserve">878.21 </w:t>
            </w:r>
          </w:p>
        </w:tc>
        <w:tc>
          <w:tcPr>
            <w:tcW w:w="980" w:type="dxa"/>
            <w:tcBorders>
              <w:top w:val="nil"/>
              <w:left w:val="nil"/>
              <w:bottom w:val="single" w:color="auto" w:sz="4" w:space="0"/>
              <w:right w:val="single" w:color="auto" w:sz="4" w:space="0"/>
            </w:tcBorders>
            <w:noWrap w:val="0"/>
            <w:vAlign w:val="center"/>
          </w:tcPr>
          <w:p w14:paraId="27504F6B">
            <w:pPr>
              <w:widowControl/>
              <w:jc w:val="center"/>
              <w:rPr>
                <w:rFonts w:ascii="宋体" w:hAnsi="宋体" w:cs="宋体"/>
                <w:kern w:val="0"/>
                <w:sz w:val="20"/>
                <w:szCs w:val="20"/>
              </w:rPr>
            </w:pPr>
            <w:r>
              <w:rPr>
                <w:rFonts w:hint="eastAsia" w:ascii="宋体" w:hAnsi="宋体" w:cs="宋体"/>
                <w:kern w:val="0"/>
                <w:sz w:val="20"/>
                <w:szCs w:val="20"/>
              </w:rPr>
              <w:t>1269.27</w:t>
            </w:r>
          </w:p>
        </w:tc>
        <w:tc>
          <w:tcPr>
            <w:tcW w:w="700" w:type="dxa"/>
            <w:tcBorders>
              <w:top w:val="nil"/>
              <w:left w:val="nil"/>
              <w:bottom w:val="single" w:color="auto" w:sz="4" w:space="0"/>
              <w:right w:val="single" w:color="auto" w:sz="4" w:space="0"/>
            </w:tcBorders>
            <w:noWrap w:val="0"/>
            <w:vAlign w:val="center"/>
          </w:tcPr>
          <w:p w14:paraId="6EC09A40">
            <w:pPr>
              <w:widowControl/>
              <w:jc w:val="center"/>
              <w:rPr>
                <w:rFonts w:ascii="宋体" w:hAnsi="宋体" w:cs="宋体"/>
                <w:kern w:val="0"/>
                <w:sz w:val="20"/>
                <w:szCs w:val="20"/>
              </w:rPr>
            </w:pPr>
            <w:r>
              <w:rPr>
                <w:rFonts w:hint="eastAsia" w:ascii="宋体" w:hAnsi="宋体" w:cs="宋体"/>
                <w:kern w:val="0"/>
                <w:sz w:val="20"/>
                <w:szCs w:val="20"/>
              </w:rPr>
              <w:t>　</w:t>
            </w:r>
          </w:p>
        </w:tc>
        <w:tc>
          <w:tcPr>
            <w:tcW w:w="1072" w:type="dxa"/>
            <w:tcBorders>
              <w:top w:val="nil"/>
              <w:left w:val="nil"/>
              <w:bottom w:val="single" w:color="auto" w:sz="4" w:space="0"/>
              <w:right w:val="single" w:color="auto" w:sz="4" w:space="0"/>
            </w:tcBorders>
            <w:noWrap w:val="0"/>
            <w:vAlign w:val="center"/>
          </w:tcPr>
          <w:p w14:paraId="014049FC">
            <w:pPr>
              <w:widowControl/>
              <w:jc w:val="center"/>
              <w:rPr>
                <w:rFonts w:ascii="宋体" w:hAnsi="宋体" w:cs="宋体"/>
                <w:kern w:val="0"/>
                <w:sz w:val="20"/>
                <w:szCs w:val="20"/>
              </w:rPr>
            </w:pPr>
            <w:r>
              <w:rPr>
                <w:rFonts w:hint="eastAsia" w:ascii="宋体" w:hAnsi="宋体" w:cs="宋体"/>
                <w:kern w:val="0"/>
                <w:sz w:val="20"/>
                <w:szCs w:val="20"/>
              </w:rPr>
              <w:t>　</w:t>
            </w:r>
          </w:p>
        </w:tc>
        <w:tc>
          <w:tcPr>
            <w:tcW w:w="1240" w:type="dxa"/>
            <w:tcBorders>
              <w:top w:val="nil"/>
              <w:left w:val="nil"/>
              <w:bottom w:val="single" w:color="auto" w:sz="4" w:space="0"/>
              <w:right w:val="single" w:color="auto" w:sz="4" w:space="0"/>
            </w:tcBorders>
            <w:noWrap w:val="0"/>
            <w:vAlign w:val="center"/>
          </w:tcPr>
          <w:p w14:paraId="306A19BC">
            <w:pPr>
              <w:widowControl/>
              <w:jc w:val="center"/>
              <w:rPr>
                <w:rFonts w:ascii="宋体" w:hAnsi="宋体" w:cs="宋体"/>
                <w:kern w:val="0"/>
                <w:sz w:val="20"/>
                <w:szCs w:val="20"/>
              </w:rPr>
            </w:pPr>
            <w:r>
              <w:rPr>
                <w:rFonts w:hint="eastAsia" w:ascii="宋体" w:hAnsi="宋体" w:cs="宋体"/>
                <w:kern w:val="0"/>
                <w:sz w:val="20"/>
                <w:szCs w:val="20"/>
              </w:rPr>
              <w:t>　</w:t>
            </w:r>
          </w:p>
        </w:tc>
      </w:tr>
      <w:tr w14:paraId="46D0A3B5">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313A8DD1">
            <w:pPr>
              <w:widowControl/>
              <w:jc w:val="center"/>
              <w:rPr>
                <w:rFonts w:ascii="宋体" w:hAnsi="宋体" w:cs="宋体"/>
                <w:kern w:val="0"/>
                <w:sz w:val="20"/>
                <w:szCs w:val="20"/>
              </w:rPr>
            </w:pPr>
            <w:r>
              <w:rPr>
                <w:rFonts w:hint="eastAsia" w:ascii="宋体" w:hAnsi="宋体" w:cs="宋体"/>
                <w:kern w:val="0"/>
                <w:sz w:val="20"/>
                <w:szCs w:val="20"/>
              </w:rPr>
              <w:t>三</w:t>
            </w:r>
          </w:p>
        </w:tc>
        <w:tc>
          <w:tcPr>
            <w:tcW w:w="2080" w:type="dxa"/>
            <w:tcBorders>
              <w:top w:val="nil"/>
              <w:left w:val="nil"/>
              <w:bottom w:val="single" w:color="auto" w:sz="4" w:space="0"/>
              <w:right w:val="single" w:color="auto" w:sz="4" w:space="0"/>
            </w:tcBorders>
            <w:noWrap w:val="0"/>
            <w:vAlign w:val="center"/>
          </w:tcPr>
          <w:p w14:paraId="481DB088">
            <w:pPr>
              <w:widowControl/>
              <w:jc w:val="left"/>
              <w:rPr>
                <w:rFonts w:ascii="宋体" w:hAnsi="宋体" w:cs="宋体"/>
                <w:kern w:val="0"/>
                <w:sz w:val="20"/>
                <w:szCs w:val="20"/>
              </w:rPr>
            </w:pPr>
            <w:r>
              <w:rPr>
                <w:rFonts w:hint="eastAsia" w:ascii="宋体" w:hAnsi="宋体" w:cs="宋体"/>
                <w:kern w:val="0"/>
                <w:sz w:val="20"/>
                <w:szCs w:val="20"/>
              </w:rPr>
              <w:t>矿井合计</w:t>
            </w:r>
          </w:p>
        </w:tc>
        <w:tc>
          <w:tcPr>
            <w:tcW w:w="640" w:type="dxa"/>
            <w:tcBorders>
              <w:top w:val="nil"/>
              <w:left w:val="nil"/>
              <w:bottom w:val="single" w:color="auto" w:sz="4" w:space="0"/>
              <w:right w:val="single" w:color="auto" w:sz="4" w:space="0"/>
            </w:tcBorders>
            <w:noWrap w:val="0"/>
            <w:vAlign w:val="center"/>
          </w:tcPr>
          <w:p w14:paraId="4C25A0C5">
            <w:pPr>
              <w:widowControl/>
              <w:jc w:val="center"/>
              <w:rPr>
                <w:rFonts w:ascii="宋体" w:hAnsi="宋体" w:cs="宋体"/>
                <w:kern w:val="0"/>
                <w:sz w:val="20"/>
                <w:szCs w:val="20"/>
              </w:rPr>
            </w:pPr>
            <w:r>
              <w:rPr>
                <w:rFonts w:hint="eastAsia" w:ascii="宋体" w:hAnsi="宋体" w:cs="宋体"/>
                <w:kern w:val="0"/>
                <w:sz w:val="20"/>
                <w:szCs w:val="20"/>
              </w:rPr>
              <w:t>　</w:t>
            </w:r>
          </w:p>
        </w:tc>
        <w:tc>
          <w:tcPr>
            <w:tcW w:w="680" w:type="dxa"/>
            <w:tcBorders>
              <w:top w:val="nil"/>
              <w:left w:val="nil"/>
              <w:bottom w:val="single" w:color="auto" w:sz="4" w:space="0"/>
              <w:right w:val="single" w:color="auto" w:sz="4" w:space="0"/>
            </w:tcBorders>
            <w:noWrap w:val="0"/>
            <w:vAlign w:val="center"/>
          </w:tcPr>
          <w:p w14:paraId="41EE64A0">
            <w:pPr>
              <w:widowControl/>
              <w:jc w:val="center"/>
              <w:rPr>
                <w:rFonts w:ascii="宋体" w:hAnsi="宋体" w:cs="宋体"/>
                <w:kern w:val="0"/>
                <w:sz w:val="20"/>
                <w:szCs w:val="20"/>
              </w:rPr>
            </w:pPr>
            <w:r>
              <w:rPr>
                <w:rFonts w:hint="eastAsia" w:ascii="宋体" w:hAnsi="宋体" w:cs="宋体"/>
                <w:kern w:val="0"/>
                <w:sz w:val="20"/>
                <w:szCs w:val="20"/>
              </w:rPr>
              <w:t>109</w:t>
            </w:r>
          </w:p>
        </w:tc>
        <w:tc>
          <w:tcPr>
            <w:tcW w:w="880" w:type="dxa"/>
            <w:tcBorders>
              <w:top w:val="nil"/>
              <w:left w:val="nil"/>
              <w:bottom w:val="single" w:color="auto" w:sz="4" w:space="0"/>
              <w:right w:val="single" w:color="auto" w:sz="4" w:space="0"/>
            </w:tcBorders>
            <w:noWrap w:val="0"/>
            <w:vAlign w:val="center"/>
          </w:tcPr>
          <w:p w14:paraId="14125741">
            <w:pPr>
              <w:widowControl/>
              <w:jc w:val="center"/>
              <w:rPr>
                <w:rFonts w:ascii="宋体" w:hAnsi="宋体" w:cs="宋体"/>
                <w:kern w:val="0"/>
                <w:sz w:val="20"/>
                <w:szCs w:val="20"/>
              </w:rPr>
            </w:pPr>
            <w:r>
              <w:rPr>
                <w:rFonts w:hint="eastAsia" w:ascii="宋体" w:hAnsi="宋体" w:cs="宋体"/>
                <w:kern w:val="0"/>
                <w:sz w:val="20"/>
                <w:szCs w:val="20"/>
              </w:rPr>
              <w:t>85</w:t>
            </w:r>
          </w:p>
        </w:tc>
        <w:tc>
          <w:tcPr>
            <w:tcW w:w="700" w:type="dxa"/>
            <w:tcBorders>
              <w:top w:val="nil"/>
              <w:left w:val="nil"/>
              <w:bottom w:val="single" w:color="auto" w:sz="4" w:space="0"/>
              <w:right w:val="single" w:color="auto" w:sz="4" w:space="0"/>
            </w:tcBorders>
            <w:noWrap w:val="0"/>
            <w:vAlign w:val="center"/>
          </w:tcPr>
          <w:p w14:paraId="4977D2F1">
            <w:pPr>
              <w:widowControl/>
              <w:jc w:val="center"/>
              <w:rPr>
                <w:rFonts w:ascii="宋体" w:hAnsi="宋体" w:cs="宋体"/>
                <w:kern w:val="0"/>
                <w:sz w:val="20"/>
                <w:szCs w:val="20"/>
              </w:rPr>
            </w:pPr>
            <w:r>
              <w:rPr>
                <w:rFonts w:hint="eastAsia" w:ascii="宋体" w:hAnsi="宋体" w:cs="宋体"/>
                <w:kern w:val="0"/>
                <w:sz w:val="20"/>
                <w:szCs w:val="20"/>
              </w:rPr>
              <w:t>3403</w:t>
            </w:r>
          </w:p>
        </w:tc>
        <w:tc>
          <w:tcPr>
            <w:tcW w:w="880" w:type="dxa"/>
            <w:tcBorders>
              <w:top w:val="nil"/>
              <w:left w:val="nil"/>
              <w:bottom w:val="single" w:color="auto" w:sz="4" w:space="0"/>
              <w:right w:val="single" w:color="auto" w:sz="4" w:space="0"/>
            </w:tcBorders>
            <w:noWrap w:val="0"/>
            <w:vAlign w:val="center"/>
          </w:tcPr>
          <w:p w14:paraId="54570E36">
            <w:pPr>
              <w:widowControl/>
              <w:jc w:val="center"/>
              <w:rPr>
                <w:rFonts w:ascii="宋体" w:hAnsi="宋体" w:cs="宋体"/>
                <w:kern w:val="0"/>
                <w:sz w:val="20"/>
                <w:szCs w:val="20"/>
              </w:rPr>
            </w:pPr>
            <w:r>
              <w:rPr>
                <w:rFonts w:hint="eastAsia" w:ascii="宋体" w:hAnsi="宋体" w:cs="宋体"/>
                <w:kern w:val="0"/>
                <w:sz w:val="20"/>
                <w:szCs w:val="20"/>
              </w:rPr>
              <w:t>2599.3</w:t>
            </w:r>
          </w:p>
        </w:tc>
        <w:tc>
          <w:tcPr>
            <w:tcW w:w="480" w:type="dxa"/>
            <w:tcBorders>
              <w:top w:val="nil"/>
              <w:left w:val="nil"/>
              <w:bottom w:val="single" w:color="auto" w:sz="4" w:space="0"/>
              <w:right w:val="single" w:color="auto" w:sz="4" w:space="0"/>
            </w:tcBorders>
            <w:noWrap w:val="0"/>
            <w:vAlign w:val="center"/>
          </w:tcPr>
          <w:p w14:paraId="6BC982BD">
            <w:pPr>
              <w:widowControl/>
              <w:jc w:val="center"/>
              <w:rPr>
                <w:rFonts w:ascii="宋体" w:hAnsi="宋体" w:cs="宋体"/>
                <w:kern w:val="0"/>
                <w:sz w:val="20"/>
                <w:szCs w:val="20"/>
              </w:rPr>
            </w:pPr>
            <w:r>
              <w:rPr>
                <w:rFonts w:hint="eastAsia" w:ascii="宋体" w:hAnsi="宋体" w:cs="宋体"/>
                <w:kern w:val="0"/>
                <w:sz w:val="20"/>
                <w:szCs w:val="20"/>
              </w:rPr>
              <w:t>　</w:t>
            </w:r>
          </w:p>
        </w:tc>
        <w:tc>
          <w:tcPr>
            <w:tcW w:w="760" w:type="dxa"/>
            <w:tcBorders>
              <w:top w:val="nil"/>
              <w:left w:val="nil"/>
              <w:bottom w:val="single" w:color="auto" w:sz="4" w:space="0"/>
              <w:right w:val="single" w:color="auto" w:sz="4" w:space="0"/>
            </w:tcBorders>
            <w:noWrap w:val="0"/>
            <w:vAlign w:val="center"/>
          </w:tcPr>
          <w:p w14:paraId="295A4870">
            <w:pPr>
              <w:widowControl/>
              <w:jc w:val="center"/>
              <w:rPr>
                <w:rFonts w:ascii="宋体" w:hAnsi="宋体" w:cs="宋体"/>
                <w:kern w:val="0"/>
                <w:sz w:val="20"/>
                <w:szCs w:val="20"/>
              </w:rPr>
            </w:pPr>
            <w:r>
              <w:rPr>
                <w:rFonts w:hint="eastAsia" w:ascii="宋体" w:hAnsi="宋体" w:cs="宋体"/>
                <w:kern w:val="0"/>
                <w:sz w:val="20"/>
                <w:szCs w:val="20"/>
              </w:rPr>
              <w:t>0.750</w:t>
            </w:r>
          </w:p>
        </w:tc>
        <w:tc>
          <w:tcPr>
            <w:tcW w:w="760" w:type="dxa"/>
            <w:tcBorders>
              <w:top w:val="nil"/>
              <w:left w:val="nil"/>
              <w:bottom w:val="single" w:color="auto" w:sz="4" w:space="0"/>
              <w:right w:val="single" w:color="auto" w:sz="4" w:space="0"/>
            </w:tcBorders>
            <w:noWrap w:val="0"/>
            <w:vAlign w:val="center"/>
          </w:tcPr>
          <w:p w14:paraId="66319CDE">
            <w:pPr>
              <w:widowControl/>
              <w:jc w:val="center"/>
              <w:rPr>
                <w:rFonts w:ascii="宋体" w:hAnsi="宋体" w:cs="宋体"/>
                <w:kern w:val="0"/>
                <w:sz w:val="20"/>
                <w:szCs w:val="20"/>
              </w:rPr>
            </w:pPr>
            <w:r>
              <w:rPr>
                <w:rFonts w:hint="eastAsia" w:ascii="宋体" w:hAnsi="宋体" w:cs="宋体"/>
                <w:kern w:val="0"/>
                <w:sz w:val="20"/>
                <w:szCs w:val="20"/>
              </w:rPr>
              <w:t xml:space="preserve">0.88 </w:t>
            </w:r>
          </w:p>
        </w:tc>
        <w:tc>
          <w:tcPr>
            <w:tcW w:w="980" w:type="dxa"/>
            <w:tcBorders>
              <w:top w:val="nil"/>
              <w:left w:val="nil"/>
              <w:bottom w:val="single" w:color="auto" w:sz="4" w:space="0"/>
              <w:right w:val="single" w:color="auto" w:sz="4" w:space="0"/>
            </w:tcBorders>
            <w:noWrap w:val="0"/>
            <w:vAlign w:val="center"/>
          </w:tcPr>
          <w:p w14:paraId="40B6C896">
            <w:pPr>
              <w:widowControl/>
              <w:jc w:val="center"/>
              <w:rPr>
                <w:rFonts w:ascii="宋体" w:hAnsi="宋体" w:cs="宋体"/>
                <w:kern w:val="0"/>
                <w:sz w:val="20"/>
                <w:szCs w:val="20"/>
              </w:rPr>
            </w:pPr>
            <w:r>
              <w:rPr>
                <w:rFonts w:hint="eastAsia" w:ascii="宋体" w:hAnsi="宋体" w:cs="宋体"/>
                <w:kern w:val="0"/>
                <w:sz w:val="20"/>
                <w:szCs w:val="20"/>
              </w:rPr>
              <w:t>1643.01</w:t>
            </w:r>
          </w:p>
        </w:tc>
        <w:tc>
          <w:tcPr>
            <w:tcW w:w="1040" w:type="dxa"/>
            <w:tcBorders>
              <w:top w:val="nil"/>
              <w:left w:val="nil"/>
              <w:bottom w:val="single" w:color="auto" w:sz="4" w:space="0"/>
              <w:right w:val="single" w:color="auto" w:sz="4" w:space="0"/>
            </w:tcBorders>
            <w:noWrap w:val="0"/>
            <w:vAlign w:val="center"/>
          </w:tcPr>
          <w:p w14:paraId="7F43125C">
            <w:pPr>
              <w:widowControl/>
              <w:jc w:val="center"/>
              <w:rPr>
                <w:rFonts w:ascii="宋体" w:hAnsi="宋体" w:cs="宋体"/>
                <w:kern w:val="0"/>
                <w:sz w:val="20"/>
                <w:szCs w:val="20"/>
              </w:rPr>
            </w:pPr>
            <w:r>
              <w:rPr>
                <w:rFonts w:hint="eastAsia" w:ascii="宋体" w:hAnsi="宋体" w:cs="宋体"/>
                <w:kern w:val="0"/>
                <w:sz w:val="20"/>
                <w:szCs w:val="20"/>
              </w:rPr>
              <w:t>1448.08</w:t>
            </w:r>
          </w:p>
        </w:tc>
        <w:tc>
          <w:tcPr>
            <w:tcW w:w="980" w:type="dxa"/>
            <w:tcBorders>
              <w:top w:val="nil"/>
              <w:left w:val="nil"/>
              <w:bottom w:val="single" w:color="auto" w:sz="4" w:space="0"/>
              <w:right w:val="single" w:color="auto" w:sz="4" w:space="0"/>
            </w:tcBorders>
            <w:noWrap w:val="0"/>
            <w:vAlign w:val="center"/>
          </w:tcPr>
          <w:p w14:paraId="043BB922">
            <w:pPr>
              <w:widowControl/>
              <w:jc w:val="center"/>
              <w:rPr>
                <w:rFonts w:ascii="宋体" w:hAnsi="宋体" w:cs="宋体"/>
                <w:kern w:val="0"/>
                <w:sz w:val="20"/>
                <w:szCs w:val="20"/>
              </w:rPr>
            </w:pPr>
            <w:r>
              <w:rPr>
                <w:rFonts w:hint="eastAsia" w:ascii="宋体" w:hAnsi="宋体" w:cs="宋体"/>
                <w:kern w:val="0"/>
                <w:sz w:val="20"/>
                <w:szCs w:val="20"/>
              </w:rPr>
              <w:t>2190.07</w:t>
            </w:r>
          </w:p>
        </w:tc>
        <w:tc>
          <w:tcPr>
            <w:tcW w:w="700" w:type="dxa"/>
            <w:tcBorders>
              <w:top w:val="nil"/>
              <w:left w:val="nil"/>
              <w:bottom w:val="single" w:color="auto" w:sz="4" w:space="0"/>
              <w:right w:val="single" w:color="auto" w:sz="4" w:space="0"/>
            </w:tcBorders>
            <w:noWrap w:val="0"/>
            <w:vAlign w:val="center"/>
          </w:tcPr>
          <w:p w14:paraId="58AA5F1E">
            <w:pPr>
              <w:widowControl/>
              <w:jc w:val="center"/>
              <w:rPr>
                <w:rFonts w:ascii="宋体" w:hAnsi="宋体" w:cs="宋体"/>
                <w:kern w:val="0"/>
                <w:sz w:val="20"/>
                <w:szCs w:val="20"/>
              </w:rPr>
            </w:pPr>
            <w:r>
              <w:rPr>
                <w:rFonts w:hint="eastAsia" w:ascii="宋体" w:hAnsi="宋体" w:cs="宋体"/>
                <w:kern w:val="0"/>
                <w:sz w:val="20"/>
                <w:szCs w:val="20"/>
              </w:rPr>
              <w:t>　</w:t>
            </w:r>
          </w:p>
        </w:tc>
        <w:tc>
          <w:tcPr>
            <w:tcW w:w="1072" w:type="dxa"/>
            <w:tcBorders>
              <w:top w:val="nil"/>
              <w:left w:val="nil"/>
              <w:bottom w:val="single" w:color="auto" w:sz="4" w:space="0"/>
              <w:right w:val="single" w:color="auto" w:sz="4" w:space="0"/>
            </w:tcBorders>
            <w:noWrap w:val="0"/>
            <w:vAlign w:val="center"/>
          </w:tcPr>
          <w:p w14:paraId="571D01BC">
            <w:pPr>
              <w:widowControl/>
              <w:jc w:val="center"/>
              <w:rPr>
                <w:rFonts w:ascii="宋体" w:hAnsi="宋体" w:cs="宋体"/>
                <w:kern w:val="0"/>
                <w:sz w:val="20"/>
                <w:szCs w:val="20"/>
              </w:rPr>
            </w:pPr>
            <w:r>
              <w:rPr>
                <w:rFonts w:hint="eastAsia" w:ascii="宋体" w:hAnsi="宋体" w:cs="宋体"/>
                <w:kern w:val="0"/>
                <w:sz w:val="20"/>
                <w:szCs w:val="20"/>
              </w:rPr>
              <w:t>　</w:t>
            </w:r>
          </w:p>
        </w:tc>
        <w:tc>
          <w:tcPr>
            <w:tcW w:w="1240" w:type="dxa"/>
            <w:tcBorders>
              <w:top w:val="nil"/>
              <w:left w:val="nil"/>
              <w:bottom w:val="single" w:color="auto" w:sz="4" w:space="0"/>
              <w:right w:val="single" w:color="auto" w:sz="4" w:space="0"/>
            </w:tcBorders>
            <w:noWrap w:val="0"/>
            <w:vAlign w:val="center"/>
          </w:tcPr>
          <w:p w14:paraId="5DE4DF0D">
            <w:pPr>
              <w:widowControl/>
              <w:jc w:val="center"/>
              <w:rPr>
                <w:rFonts w:ascii="宋体" w:hAnsi="宋体" w:cs="宋体"/>
                <w:kern w:val="0"/>
                <w:sz w:val="20"/>
                <w:szCs w:val="20"/>
              </w:rPr>
            </w:pPr>
            <w:r>
              <w:rPr>
                <w:rFonts w:hint="eastAsia" w:ascii="宋体" w:hAnsi="宋体" w:cs="宋体"/>
                <w:kern w:val="0"/>
                <w:sz w:val="20"/>
                <w:szCs w:val="20"/>
              </w:rPr>
              <w:t>　</w:t>
            </w:r>
          </w:p>
        </w:tc>
      </w:tr>
      <w:tr w14:paraId="48380247">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7F2C0B27">
            <w:pPr>
              <w:widowControl/>
              <w:jc w:val="center"/>
              <w:rPr>
                <w:rFonts w:ascii="宋体" w:hAnsi="宋体" w:cs="宋体"/>
                <w:kern w:val="0"/>
                <w:sz w:val="20"/>
                <w:szCs w:val="20"/>
              </w:rPr>
            </w:pPr>
            <w:r>
              <w:rPr>
                <w:rFonts w:hint="eastAsia" w:ascii="宋体" w:hAnsi="宋体" w:cs="宋体"/>
                <w:kern w:val="0"/>
                <w:sz w:val="20"/>
                <w:szCs w:val="20"/>
              </w:rPr>
              <w:t>四</w:t>
            </w:r>
          </w:p>
        </w:tc>
        <w:tc>
          <w:tcPr>
            <w:tcW w:w="2080" w:type="dxa"/>
            <w:tcBorders>
              <w:top w:val="nil"/>
              <w:left w:val="nil"/>
              <w:bottom w:val="single" w:color="auto" w:sz="4" w:space="0"/>
              <w:right w:val="single" w:color="auto" w:sz="4" w:space="0"/>
            </w:tcBorders>
            <w:noWrap w:val="0"/>
            <w:vAlign w:val="center"/>
          </w:tcPr>
          <w:p w14:paraId="0AF2D809">
            <w:pPr>
              <w:widowControl/>
              <w:jc w:val="left"/>
              <w:rPr>
                <w:rFonts w:ascii="宋体" w:hAnsi="宋体" w:cs="宋体"/>
                <w:kern w:val="0"/>
                <w:sz w:val="20"/>
                <w:szCs w:val="20"/>
              </w:rPr>
            </w:pPr>
            <w:r>
              <w:rPr>
                <w:rFonts w:hint="eastAsia" w:ascii="宋体" w:hAnsi="宋体" w:cs="宋体"/>
                <w:kern w:val="0"/>
                <w:sz w:val="20"/>
                <w:szCs w:val="20"/>
              </w:rPr>
              <w:t>10kV母线上计算负荷</w:t>
            </w:r>
          </w:p>
        </w:tc>
        <w:tc>
          <w:tcPr>
            <w:tcW w:w="3780" w:type="dxa"/>
            <w:gridSpan w:val="5"/>
            <w:tcBorders>
              <w:top w:val="single" w:color="auto" w:sz="4" w:space="0"/>
              <w:left w:val="nil"/>
              <w:bottom w:val="single" w:color="auto" w:sz="4" w:space="0"/>
              <w:right w:val="single" w:color="auto" w:sz="4" w:space="0"/>
            </w:tcBorders>
            <w:noWrap w:val="0"/>
            <w:vAlign w:val="center"/>
          </w:tcPr>
          <w:p w14:paraId="2EAA4A71">
            <w:pPr>
              <w:widowControl/>
              <w:jc w:val="left"/>
              <w:rPr>
                <w:rFonts w:ascii="宋体" w:hAnsi="宋体" w:cs="宋体"/>
                <w:kern w:val="0"/>
                <w:sz w:val="20"/>
                <w:szCs w:val="20"/>
              </w:rPr>
            </w:pPr>
            <w:r>
              <w:rPr>
                <w:rFonts w:hint="eastAsia" w:ascii="宋体" w:hAnsi="宋体" w:cs="宋体"/>
                <w:kern w:val="0"/>
                <w:sz w:val="20"/>
                <w:szCs w:val="20"/>
              </w:rPr>
              <w:t>有功乘</w:t>
            </w:r>
            <w:r>
              <w:rPr>
                <w:kern w:val="0"/>
                <w:sz w:val="20"/>
                <w:szCs w:val="20"/>
              </w:rPr>
              <w:t>0.85</w:t>
            </w:r>
            <w:r>
              <w:rPr>
                <w:rFonts w:hint="eastAsia" w:ascii="宋体" w:hAnsi="宋体" w:cs="宋体"/>
                <w:kern w:val="0"/>
                <w:sz w:val="20"/>
                <w:szCs w:val="20"/>
              </w:rPr>
              <w:t>，无功乘0.9</w:t>
            </w:r>
          </w:p>
        </w:tc>
        <w:tc>
          <w:tcPr>
            <w:tcW w:w="480" w:type="dxa"/>
            <w:tcBorders>
              <w:top w:val="nil"/>
              <w:left w:val="nil"/>
              <w:bottom w:val="single" w:color="auto" w:sz="4" w:space="0"/>
              <w:right w:val="single" w:color="auto" w:sz="4" w:space="0"/>
            </w:tcBorders>
            <w:noWrap w:val="0"/>
            <w:vAlign w:val="center"/>
          </w:tcPr>
          <w:p w14:paraId="424F3B44">
            <w:pPr>
              <w:widowControl/>
              <w:jc w:val="center"/>
              <w:rPr>
                <w:rFonts w:ascii="宋体" w:hAnsi="宋体" w:cs="宋体"/>
                <w:kern w:val="0"/>
                <w:sz w:val="20"/>
                <w:szCs w:val="20"/>
              </w:rPr>
            </w:pPr>
            <w:r>
              <w:rPr>
                <w:rFonts w:hint="eastAsia" w:ascii="宋体" w:hAnsi="宋体" w:cs="宋体"/>
                <w:kern w:val="0"/>
                <w:sz w:val="20"/>
                <w:szCs w:val="20"/>
              </w:rPr>
              <w:t>　</w:t>
            </w:r>
          </w:p>
        </w:tc>
        <w:tc>
          <w:tcPr>
            <w:tcW w:w="760" w:type="dxa"/>
            <w:tcBorders>
              <w:top w:val="nil"/>
              <w:left w:val="nil"/>
              <w:bottom w:val="single" w:color="auto" w:sz="4" w:space="0"/>
              <w:right w:val="single" w:color="auto" w:sz="4" w:space="0"/>
            </w:tcBorders>
            <w:noWrap w:val="0"/>
            <w:vAlign w:val="center"/>
          </w:tcPr>
          <w:p w14:paraId="290AAB4E">
            <w:pPr>
              <w:widowControl/>
              <w:jc w:val="center"/>
              <w:rPr>
                <w:rFonts w:ascii="宋体" w:hAnsi="宋体" w:cs="宋体"/>
                <w:kern w:val="0"/>
                <w:sz w:val="20"/>
                <w:szCs w:val="20"/>
              </w:rPr>
            </w:pPr>
            <w:r>
              <w:rPr>
                <w:rFonts w:hint="eastAsia" w:ascii="宋体" w:hAnsi="宋体" w:cs="宋体"/>
                <w:kern w:val="0"/>
                <w:sz w:val="20"/>
                <w:szCs w:val="20"/>
              </w:rPr>
              <w:t>0.731</w:t>
            </w:r>
          </w:p>
        </w:tc>
        <w:tc>
          <w:tcPr>
            <w:tcW w:w="760" w:type="dxa"/>
            <w:tcBorders>
              <w:top w:val="nil"/>
              <w:left w:val="nil"/>
              <w:bottom w:val="single" w:color="auto" w:sz="4" w:space="0"/>
              <w:right w:val="single" w:color="auto" w:sz="4" w:space="0"/>
            </w:tcBorders>
            <w:noWrap w:val="0"/>
            <w:vAlign w:val="center"/>
          </w:tcPr>
          <w:p w14:paraId="35458DEA">
            <w:pPr>
              <w:widowControl/>
              <w:jc w:val="center"/>
              <w:rPr>
                <w:rFonts w:ascii="宋体" w:hAnsi="宋体" w:cs="宋体"/>
                <w:kern w:val="0"/>
                <w:sz w:val="20"/>
                <w:szCs w:val="20"/>
              </w:rPr>
            </w:pPr>
            <w:r>
              <w:rPr>
                <w:rFonts w:hint="eastAsia" w:ascii="宋体" w:hAnsi="宋体" w:cs="宋体"/>
                <w:kern w:val="0"/>
                <w:sz w:val="20"/>
                <w:szCs w:val="20"/>
              </w:rPr>
              <w:t xml:space="preserve">0.93 </w:t>
            </w:r>
          </w:p>
        </w:tc>
        <w:tc>
          <w:tcPr>
            <w:tcW w:w="980" w:type="dxa"/>
            <w:tcBorders>
              <w:top w:val="nil"/>
              <w:left w:val="nil"/>
              <w:bottom w:val="single" w:color="auto" w:sz="4" w:space="0"/>
              <w:right w:val="single" w:color="auto" w:sz="4" w:space="0"/>
            </w:tcBorders>
            <w:noWrap w:val="0"/>
            <w:vAlign w:val="center"/>
          </w:tcPr>
          <w:p w14:paraId="5BD7D5B5">
            <w:pPr>
              <w:widowControl/>
              <w:jc w:val="center"/>
              <w:rPr>
                <w:rFonts w:ascii="宋体" w:hAnsi="宋体" w:cs="宋体"/>
                <w:kern w:val="0"/>
                <w:sz w:val="20"/>
                <w:szCs w:val="20"/>
              </w:rPr>
            </w:pPr>
            <w:r>
              <w:rPr>
                <w:rFonts w:hint="eastAsia" w:ascii="宋体" w:hAnsi="宋体" w:cs="宋体"/>
                <w:kern w:val="0"/>
                <w:sz w:val="20"/>
                <w:szCs w:val="20"/>
              </w:rPr>
              <w:t>1396.56</w:t>
            </w:r>
          </w:p>
        </w:tc>
        <w:tc>
          <w:tcPr>
            <w:tcW w:w="1040" w:type="dxa"/>
            <w:tcBorders>
              <w:top w:val="nil"/>
              <w:left w:val="nil"/>
              <w:bottom w:val="single" w:color="auto" w:sz="4" w:space="0"/>
              <w:right w:val="single" w:color="auto" w:sz="4" w:space="0"/>
            </w:tcBorders>
            <w:noWrap w:val="0"/>
            <w:vAlign w:val="center"/>
          </w:tcPr>
          <w:p w14:paraId="4E2DFC1A">
            <w:pPr>
              <w:widowControl/>
              <w:jc w:val="center"/>
              <w:rPr>
                <w:rFonts w:ascii="宋体" w:hAnsi="宋体" w:cs="宋体"/>
                <w:kern w:val="0"/>
                <w:sz w:val="20"/>
                <w:szCs w:val="20"/>
              </w:rPr>
            </w:pPr>
            <w:r>
              <w:rPr>
                <w:rFonts w:hint="eastAsia" w:ascii="宋体" w:hAnsi="宋体" w:cs="宋体"/>
                <w:kern w:val="0"/>
                <w:sz w:val="20"/>
                <w:szCs w:val="20"/>
              </w:rPr>
              <w:t>1303.27</w:t>
            </w:r>
          </w:p>
        </w:tc>
        <w:tc>
          <w:tcPr>
            <w:tcW w:w="980" w:type="dxa"/>
            <w:tcBorders>
              <w:top w:val="nil"/>
              <w:left w:val="nil"/>
              <w:bottom w:val="single" w:color="auto" w:sz="4" w:space="0"/>
              <w:right w:val="single" w:color="auto" w:sz="4" w:space="0"/>
            </w:tcBorders>
            <w:noWrap w:val="0"/>
            <w:vAlign w:val="center"/>
          </w:tcPr>
          <w:p w14:paraId="1C1BC541">
            <w:pPr>
              <w:widowControl/>
              <w:jc w:val="center"/>
              <w:rPr>
                <w:rFonts w:ascii="宋体" w:hAnsi="宋体" w:cs="宋体"/>
                <w:kern w:val="0"/>
                <w:sz w:val="20"/>
                <w:szCs w:val="20"/>
              </w:rPr>
            </w:pPr>
            <w:r>
              <w:rPr>
                <w:rFonts w:hint="eastAsia" w:ascii="宋体" w:hAnsi="宋体" w:cs="宋体"/>
                <w:kern w:val="0"/>
                <w:sz w:val="20"/>
                <w:szCs w:val="20"/>
              </w:rPr>
              <w:t>1910.21</w:t>
            </w:r>
          </w:p>
        </w:tc>
        <w:tc>
          <w:tcPr>
            <w:tcW w:w="700" w:type="dxa"/>
            <w:tcBorders>
              <w:top w:val="nil"/>
              <w:left w:val="nil"/>
              <w:bottom w:val="single" w:color="auto" w:sz="4" w:space="0"/>
              <w:right w:val="single" w:color="auto" w:sz="4" w:space="0"/>
            </w:tcBorders>
            <w:noWrap w:val="0"/>
            <w:vAlign w:val="center"/>
          </w:tcPr>
          <w:p w14:paraId="2D138F19">
            <w:pPr>
              <w:widowControl/>
              <w:jc w:val="center"/>
              <w:rPr>
                <w:rFonts w:ascii="宋体" w:hAnsi="宋体" w:cs="宋体"/>
                <w:kern w:val="0"/>
                <w:sz w:val="20"/>
                <w:szCs w:val="20"/>
              </w:rPr>
            </w:pPr>
            <w:r>
              <w:rPr>
                <w:rFonts w:hint="eastAsia" w:ascii="宋体" w:hAnsi="宋体" w:cs="宋体"/>
                <w:kern w:val="0"/>
                <w:sz w:val="20"/>
                <w:szCs w:val="20"/>
              </w:rPr>
              <w:t>　</w:t>
            </w:r>
          </w:p>
        </w:tc>
        <w:tc>
          <w:tcPr>
            <w:tcW w:w="1072" w:type="dxa"/>
            <w:tcBorders>
              <w:top w:val="nil"/>
              <w:left w:val="nil"/>
              <w:bottom w:val="single" w:color="auto" w:sz="4" w:space="0"/>
              <w:right w:val="single" w:color="auto" w:sz="4" w:space="0"/>
            </w:tcBorders>
            <w:noWrap w:val="0"/>
            <w:vAlign w:val="center"/>
          </w:tcPr>
          <w:p w14:paraId="6C6E070E">
            <w:pPr>
              <w:widowControl/>
              <w:jc w:val="center"/>
              <w:rPr>
                <w:rFonts w:ascii="宋体" w:hAnsi="宋体" w:cs="宋体"/>
                <w:kern w:val="0"/>
                <w:sz w:val="20"/>
                <w:szCs w:val="20"/>
              </w:rPr>
            </w:pPr>
            <w:r>
              <w:rPr>
                <w:rFonts w:hint="eastAsia" w:ascii="宋体" w:hAnsi="宋体" w:cs="宋体"/>
                <w:kern w:val="0"/>
                <w:sz w:val="20"/>
                <w:szCs w:val="20"/>
              </w:rPr>
              <w:t>　</w:t>
            </w:r>
          </w:p>
        </w:tc>
        <w:tc>
          <w:tcPr>
            <w:tcW w:w="1240" w:type="dxa"/>
            <w:tcBorders>
              <w:top w:val="nil"/>
              <w:left w:val="nil"/>
              <w:bottom w:val="single" w:color="auto" w:sz="4" w:space="0"/>
              <w:right w:val="single" w:color="auto" w:sz="4" w:space="0"/>
            </w:tcBorders>
            <w:noWrap w:val="0"/>
            <w:vAlign w:val="center"/>
          </w:tcPr>
          <w:p w14:paraId="179DC0D5">
            <w:pPr>
              <w:widowControl/>
              <w:jc w:val="center"/>
              <w:rPr>
                <w:rFonts w:ascii="宋体" w:hAnsi="宋体" w:cs="宋体"/>
                <w:kern w:val="0"/>
                <w:sz w:val="20"/>
                <w:szCs w:val="20"/>
              </w:rPr>
            </w:pPr>
            <w:r>
              <w:rPr>
                <w:rFonts w:hint="eastAsia" w:ascii="宋体" w:hAnsi="宋体" w:cs="宋体"/>
                <w:kern w:val="0"/>
                <w:sz w:val="20"/>
                <w:szCs w:val="20"/>
              </w:rPr>
              <w:t>　</w:t>
            </w:r>
          </w:p>
        </w:tc>
      </w:tr>
      <w:tr w14:paraId="60C626FB">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6D668337">
            <w:pPr>
              <w:widowControl/>
              <w:jc w:val="center"/>
              <w:rPr>
                <w:rFonts w:ascii="宋体" w:hAnsi="宋体" w:cs="宋体"/>
                <w:kern w:val="0"/>
                <w:sz w:val="20"/>
                <w:szCs w:val="20"/>
              </w:rPr>
            </w:pPr>
            <w:r>
              <w:rPr>
                <w:rFonts w:hint="eastAsia" w:ascii="宋体" w:hAnsi="宋体" w:cs="宋体"/>
                <w:kern w:val="0"/>
                <w:sz w:val="20"/>
                <w:szCs w:val="20"/>
              </w:rPr>
              <w:t>五</w:t>
            </w:r>
          </w:p>
        </w:tc>
        <w:tc>
          <w:tcPr>
            <w:tcW w:w="2080" w:type="dxa"/>
            <w:tcBorders>
              <w:top w:val="nil"/>
              <w:left w:val="nil"/>
              <w:bottom w:val="single" w:color="auto" w:sz="4" w:space="0"/>
              <w:right w:val="single" w:color="auto" w:sz="4" w:space="0"/>
            </w:tcBorders>
            <w:noWrap w:val="0"/>
            <w:vAlign w:val="center"/>
          </w:tcPr>
          <w:p w14:paraId="12CE137D">
            <w:pPr>
              <w:widowControl/>
              <w:jc w:val="left"/>
              <w:rPr>
                <w:rFonts w:ascii="宋体" w:hAnsi="宋体" w:cs="宋体"/>
                <w:kern w:val="0"/>
                <w:sz w:val="20"/>
                <w:szCs w:val="20"/>
              </w:rPr>
            </w:pPr>
            <w:r>
              <w:rPr>
                <w:rFonts w:hint="eastAsia" w:ascii="宋体" w:hAnsi="宋体" w:cs="宋体"/>
                <w:kern w:val="0"/>
                <w:sz w:val="20"/>
                <w:szCs w:val="20"/>
              </w:rPr>
              <w:t>补偿900kVAR后</w:t>
            </w:r>
          </w:p>
        </w:tc>
        <w:tc>
          <w:tcPr>
            <w:tcW w:w="640" w:type="dxa"/>
            <w:tcBorders>
              <w:top w:val="nil"/>
              <w:left w:val="nil"/>
              <w:bottom w:val="single" w:color="auto" w:sz="4" w:space="0"/>
              <w:right w:val="single" w:color="auto" w:sz="4" w:space="0"/>
            </w:tcBorders>
            <w:noWrap w:val="0"/>
            <w:vAlign w:val="center"/>
          </w:tcPr>
          <w:p w14:paraId="521A156D">
            <w:pPr>
              <w:widowControl/>
              <w:jc w:val="center"/>
              <w:rPr>
                <w:rFonts w:ascii="宋体" w:hAnsi="宋体" w:cs="宋体"/>
                <w:kern w:val="0"/>
                <w:sz w:val="20"/>
                <w:szCs w:val="20"/>
              </w:rPr>
            </w:pPr>
            <w:r>
              <w:rPr>
                <w:rFonts w:hint="eastAsia" w:ascii="宋体" w:hAnsi="宋体" w:cs="宋体"/>
                <w:kern w:val="0"/>
                <w:sz w:val="20"/>
                <w:szCs w:val="20"/>
              </w:rPr>
              <w:t>　</w:t>
            </w:r>
          </w:p>
        </w:tc>
        <w:tc>
          <w:tcPr>
            <w:tcW w:w="680" w:type="dxa"/>
            <w:tcBorders>
              <w:top w:val="nil"/>
              <w:left w:val="nil"/>
              <w:bottom w:val="single" w:color="auto" w:sz="4" w:space="0"/>
              <w:right w:val="single" w:color="auto" w:sz="4" w:space="0"/>
            </w:tcBorders>
            <w:noWrap w:val="0"/>
            <w:vAlign w:val="center"/>
          </w:tcPr>
          <w:p w14:paraId="60384B43">
            <w:pPr>
              <w:widowControl/>
              <w:jc w:val="center"/>
              <w:rPr>
                <w:rFonts w:ascii="宋体" w:hAnsi="宋体" w:cs="宋体"/>
                <w:kern w:val="0"/>
                <w:sz w:val="20"/>
                <w:szCs w:val="20"/>
              </w:rPr>
            </w:pPr>
            <w:r>
              <w:rPr>
                <w:rFonts w:hint="eastAsia" w:ascii="宋体" w:hAnsi="宋体" w:cs="宋体"/>
                <w:kern w:val="0"/>
                <w:sz w:val="20"/>
                <w:szCs w:val="20"/>
              </w:rPr>
              <w:t>　</w:t>
            </w:r>
          </w:p>
        </w:tc>
        <w:tc>
          <w:tcPr>
            <w:tcW w:w="880" w:type="dxa"/>
            <w:tcBorders>
              <w:top w:val="nil"/>
              <w:left w:val="nil"/>
              <w:bottom w:val="single" w:color="auto" w:sz="4" w:space="0"/>
              <w:right w:val="single" w:color="auto" w:sz="4" w:space="0"/>
            </w:tcBorders>
            <w:noWrap w:val="0"/>
            <w:vAlign w:val="center"/>
          </w:tcPr>
          <w:p w14:paraId="08009309">
            <w:pPr>
              <w:widowControl/>
              <w:jc w:val="center"/>
              <w:rPr>
                <w:rFonts w:ascii="宋体" w:hAnsi="宋体" w:cs="宋体"/>
                <w:kern w:val="0"/>
                <w:sz w:val="20"/>
                <w:szCs w:val="20"/>
              </w:rPr>
            </w:pPr>
            <w:r>
              <w:rPr>
                <w:rFonts w:hint="eastAsia" w:ascii="宋体" w:hAnsi="宋体" w:cs="宋体"/>
                <w:kern w:val="0"/>
                <w:sz w:val="20"/>
                <w:szCs w:val="20"/>
              </w:rPr>
              <w:t>　</w:t>
            </w:r>
          </w:p>
        </w:tc>
        <w:tc>
          <w:tcPr>
            <w:tcW w:w="700" w:type="dxa"/>
            <w:tcBorders>
              <w:top w:val="nil"/>
              <w:left w:val="nil"/>
              <w:bottom w:val="single" w:color="auto" w:sz="4" w:space="0"/>
              <w:right w:val="single" w:color="auto" w:sz="4" w:space="0"/>
            </w:tcBorders>
            <w:noWrap w:val="0"/>
            <w:vAlign w:val="center"/>
          </w:tcPr>
          <w:p w14:paraId="42B3E7AC">
            <w:pPr>
              <w:widowControl/>
              <w:jc w:val="center"/>
              <w:rPr>
                <w:rFonts w:ascii="宋体" w:hAnsi="宋体" w:cs="宋体"/>
                <w:kern w:val="0"/>
                <w:sz w:val="20"/>
                <w:szCs w:val="20"/>
              </w:rPr>
            </w:pPr>
            <w:r>
              <w:rPr>
                <w:rFonts w:hint="eastAsia" w:ascii="宋体" w:hAnsi="宋体" w:cs="宋体"/>
                <w:kern w:val="0"/>
                <w:sz w:val="20"/>
                <w:szCs w:val="20"/>
              </w:rPr>
              <w:t>　</w:t>
            </w:r>
          </w:p>
        </w:tc>
        <w:tc>
          <w:tcPr>
            <w:tcW w:w="880" w:type="dxa"/>
            <w:tcBorders>
              <w:top w:val="nil"/>
              <w:left w:val="nil"/>
              <w:bottom w:val="single" w:color="auto" w:sz="4" w:space="0"/>
              <w:right w:val="single" w:color="auto" w:sz="4" w:space="0"/>
            </w:tcBorders>
            <w:noWrap w:val="0"/>
            <w:vAlign w:val="center"/>
          </w:tcPr>
          <w:p w14:paraId="551396F6">
            <w:pPr>
              <w:widowControl/>
              <w:jc w:val="center"/>
              <w:rPr>
                <w:rFonts w:ascii="宋体" w:hAnsi="宋体" w:cs="宋体"/>
                <w:kern w:val="0"/>
                <w:sz w:val="20"/>
                <w:szCs w:val="20"/>
              </w:rPr>
            </w:pP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noWrap w:val="0"/>
            <w:vAlign w:val="center"/>
          </w:tcPr>
          <w:p w14:paraId="08BEFF64">
            <w:pPr>
              <w:widowControl/>
              <w:jc w:val="center"/>
              <w:rPr>
                <w:rFonts w:ascii="宋体" w:hAnsi="宋体" w:cs="宋体"/>
                <w:kern w:val="0"/>
                <w:sz w:val="20"/>
                <w:szCs w:val="20"/>
              </w:rPr>
            </w:pPr>
            <w:r>
              <w:rPr>
                <w:rFonts w:hint="eastAsia" w:ascii="宋体" w:hAnsi="宋体" w:cs="宋体"/>
                <w:kern w:val="0"/>
                <w:sz w:val="20"/>
                <w:szCs w:val="20"/>
              </w:rPr>
              <w:t>　</w:t>
            </w:r>
          </w:p>
        </w:tc>
        <w:tc>
          <w:tcPr>
            <w:tcW w:w="760" w:type="dxa"/>
            <w:tcBorders>
              <w:top w:val="nil"/>
              <w:left w:val="nil"/>
              <w:bottom w:val="single" w:color="auto" w:sz="4" w:space="0"/>
              <w:right w:val="single" w:color="auto" w:sz="4" w:space="0"/>
            </w:tcBorders>
            <w:noWrap w:val="0"/>
            <w:vAlign w:val="center"/>
          </w:tcPr>
          <w:p w14:paraId="305DA89B">
            <w:pPr>
              <w:widowControl/>
              <w:jc w:val="center"/>
              <w:rPr>
                <w:rFonts w:ascii="宋体" w:hAnsi="宋体" w:cs="宋体"/>
                <w:kern w:val="0"/>
                <w:sz w:val="20"/>
                <w:szCs w:val="20"/>
              </w:rPr>
            </w:pPr>
            <w:r>
              <w:rPr>
                <w:rFonts w:hint="eastAsia" w:ascii="宋体" w:hAnsi="宋体" w:cs="宋体"/>
                <w:kern w:val="0"/>
                <w:sz w:val="20"/>
                <w:szCs w:val="20"/>
              </w:rPr>
              <w:t>0.961</w:t>
            </w:r>
          </w:p>
        </w:tc>
        <w:tc>
          <w:tcPr>
            <w:tcW w:w="760" w:type="dxa"/>
            <w:tcBorders>
              <w:top w:val="nil"/>
              <w:left w:val="nil"/>
              <w:bottom w:val="single" w:color="auto" w:sz="4" w:space="0"/>
              <w:right w:val="single" w:color="auto" w:sz="4" w:space="0"/>
            </w:tcBorders>
            <w:noWrap w:val="0"/>
            <w:vAlign w:val="center"/>
          </w:tcPr>
          <w:p w14:paraId="43A19703">
            <w:pPr>
              <w:widowControl/>
              <w:jc w:val="center"/>
              <w:rPr>
                <w:rFonts w:ascii="宋体" w:hAnsi="宋体" w:cs="宋体"/>
                <w:kern w:val="0"/>
                <w:sz w:val="20"/>
                <w:szCs w:val="20"/>
              </w:rPr>
            </w:pPr>
            <w:r>
              <w:rPr>
                <w:rFonts w:hint="eastAsia" w:ascii="宋体" w:hAnsi="宋体" w:cs="宋体"/>
                <w:kern w:val="0"/>
                <w:sz w:val="20"/>
                <w:szCs w:val="20"/>
              </w:rPr>
              <w:t xml:space="preserve">0.29 </w:t>
            </w:r>
          </w:p>
        </w:tc>
        <w:tc>
          <w:tcPr>
            <w:tcW w:w="980" w:type="dxa"/>
            <w:tcBorders>
              <w:top w:val="nil"/>
              <w:left w:val="nil"/>
              <w:bottom w:val="single" w:color="auto" w:sz="4" w:space="0"/>
              <w:right w:val="single" w:color="auto" w:sz="4" w:space="0"/>
            </w:tcBorders>
            <w:noWrap w:val="0"/>
            <w:vAlign w:val="center"/>
          </w:tcPr>
          <w:p w14:paraId="6E2B332E">
            <w:pPr>
              <w:widowControl/>
              <w:jc w:val="center"/>
              <w:rPr>
                <w:rFonts w:ascii="宋体" w:hAnsi="宋体" w:cs="宋体"/>
                <w:kern w:val="0"/>
                <w:sz w:val="20"/>
                <w:szCs w:val="20"/>
              </w:rPr>
            </w:pPr>
            <w:r>
              <w:rPr>
                <w:rFonts w:hint="eastAsia" w:ascii="宋体" w:hAnsi="宋体" w:cs="宋体"/>
                <w:kern w:val="0"/>
                <w:sz w:val="20"/>
                <w:szCs w:val="20"/>
              </w:rPr>
              <w:t xml:space="preserve">1396.56 </w:t>
            </w:r>
          </w:p>
        </w:tc>
        <w:tc>
          <w:tcPr>
            <w:tcW w:w="1040" w:type="dxa"/>
            <w:tcBorders>
              <w:top w:val="nil"/>
              <w:left w:val="nil"/>
              <w:bottom w:val="single" w:color="auto" w:sz="4" w:space="0"/>
              <w:right w:val="single" w:color="auto" w:sz="4" w:space="0"/>
            </w:tcBorders>
            <w:noWrap w:val="0"/>
            <w:vAlign w:val="center"/>
          </w:tcPr>
          <w:p w14:paraId="7881BE3B">
            <w:pPr>
              <w:widowControl/>
              <w:jc w:val="center"/>
              <w:rPr>
                <w:rFonts w:ascii="宋体" w:hAnsi="宋体" w:cs="宋体"/>
                <w:kern w:val="0"/>
                <w:sz w:val="20"/>
                <w:szCs w:val="20"/>
              </w:rPr>
            </w:pPr>
            <w:r>
              <w:rPr>
                <w:rFonts w:hint="eastAsia" w:ascii="宋体" w:hAnsi="宋体" w:cs="宋体"/>
                <w:kern w:val="0"/>
                <w:sz w:val="20"/>
                <w:szCs w:val="20"/>
              </w:rPr>
              <w:t xml:space="preserve">403.27 </w:t>
            </w:r>
          </w:p>
        </w:tc>
        <w:tc>
          <w:tcPr>
            <w:tcW w:w="980" w:type="dxa"/>
            <w:tcBorders>
              <w:top w:val="nil"/>
              <w:left w:val="nil"/>
              <w:bottom w:val="single" w:color="auto" w:sz="4" w:space="0"/>
              <w:right w:val="single" w:color="auto" w:sz="4" w:space="0"/>
            </w:tcBorders>
            <w:noWrap w:val="0"/>
            <w:vAlign w:val="center"/>
          </w:tcPr>
          <w:p w14:paraId="23568100">
            <w:pPr>
              <w:widowControl/>
              <w:jc w:val="center"/>
              <w:rPr>
                <w:rFonts w:ascii="宋体" w:hAnsi="宋体" w:cs="宋体"/>
                <w:kern w:val="0"/>
                <w:sz w:val="20"/>
                <w:szCs w:val="20"/>
              </w:rPr>
            </w:pPr>
            <w:r>
              <w:rPr>
                <w:rFonts w:hint="eastAsia" w:ascii="宋体" w:hAnsi="宋体" w:cs="宋体"/>
                <w:kern w:val="0"/>
                <w:sz w:val="20"/>
                <w:szCs w:val="20"/>
              </w:rPr>
              <w:t>1453.62</w:t>
            </w:r>
          </w:p>
        </w:tc>
        <w:tc>
          <w:tcPr>
            <w:tcW w:w="700" w:type="dxa"/>
            <w:tcBorders>
              <w:top w:val="nil"/>
              <w:left w:val="nil"/>
              <w:bottom w:val="single" w:color="auto" w:sz="4" w:space="0"/>
              <w:right w:val="single" w:color="auto" w:sz="4" w:space="0"/>
            </w:tcBorders>
            <w:noWrap w:val="0"/>
            <w:vAlign w:val="center"/>
          </w:tcPr>
          <w:p w14:paraId="5E9A2F34">
            <w:pPr>
              <w:widowControl/>
              <w:jc w:val="center"/>
              <w:rPr>
                <w:rFonts w:ascii="宋体" w:hAnsi="宋体" w:cs="宋体"/>
                <w:kern w:val="0"/>
                <w:sz w:val="20"/>
                <w:szCs w:val="20"/>
              </w:rPr>
            </w:pPr>
            <w:r>
              <w:rPr>
                <w:rFonts w:hint="eastAsia" w:ascii="宋体" w:hAnsi="宋体" w:cs="宋体"/>
                <w:kern w:val="0"/>
                <w:sz w:val="20"/>
                <w:szCs w:val="20"/>
              </w:rPr>
              <w:t>　</w:t>
            </w:r>
          </w:p>
        </w:tc>
        <w:tc>
          <w:tcPr>
            <w:tcW w:w="1072" w:type="dxa"/>
            <w:tcBorders>
              <w:top w:val="nil"/>
              <w:left w:val="nil"/>
              <w:bottom w:val="single" w:color="auto" w:sz="4" w:space="0"/>
              <w:right w:val="single" w:color="auto" w:sz="4" w:space="0"/>
            </w:tcBorders>
            <w:noWrap w:val="0"/>
            <w:vAlign w:val="bottom"/>
          </w:tcPr>
          <w:p w14:paraId="4FFCA0BF">
            <w:pPr>
              <w:widowControl/>
              <w:jc w:val="center"/>
              <w:rPr>
                <w:rFonts w:ascii="宋体" w:hAnsi="宋体" w:cs="宋体"/>
                <w:kern w:val="0"/>
                <w:sz w:val="20"/>
                <w:szCs w:val="20"/>
              </w:rPr>
            </w:pPr>
            <w:r>
              <w:rPr>
                <w:rFonts w:hint="eastAsia" w:ascii="宋体" w:hAnsi="宋体" w:cs="宋体"/>
                <w:kern w:val="0"/>
                <w:sz w:val="20"/>
                <w:szCs w:val="20"/>
              </w:rPr>
              <w:t>　</w:t>
            </w:r>
          </w:p>
        </w:tc>
        <w:tc>
          <w:tcPr>
            <w:tcW w:w="1240" w:type="dxa"/>
            <w:tcBorders>
              <w:top w:val="nil"/>
              <w:left w:val="nil"/>
              <w:bottom w:val="single" w:color="auto" w:sz="4" w:space="0"/>
              <w:right w:val="single" w:color="auto" w:sz="4" w:space="0"/>
            </w:tcBorders>
            <w:noWrap w:val="0"/>
            <w:vAlign w:val="center"/>
          </w:tcPr>
          <w:p w14:paraId="0DB2D8DE">
            <w:pPr>
              <w:widowControl/>
              <w:jc w:val="center"/>
              <w:rPr>
                <w:rFonts w:ascii="宋体" w:hAnsi="宋体" w:cs="宋体"/>
                <w:kern w:val="0"/>
                <w:sz w:val="20"/>
                <w:szCs w:val="20"/>
              </w:rPr>
            </w:pPr>
            <w:r>
              <w:rPr>
                <w:rFonts w:hint="eastAsia" w:ascii="宋体" w:hAnsi="宋体" w:cs="宋体"/>
                <w:kern w:val="0"/>
                <w:sz w:val="20"/>
                <w:szCs w:val="20"/>
              </w:rPr>
              <w:t>　</w:t>
            </w:r>
          </w:p>
        </w:tc>
      </w:tr>
      <w:tr w14:paraId="5A0C60EE">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17F87349">
            <w:pPr>
              <w:widowControl/>
              <w:jc w:val="center"/>
              <w:rPr>
                <w:rFonts w:ascii="宋体" w:hAnsi="宋体" w:cs="宋体"/>
                <w:kern w:val="0"/>
                <w:sz w:val="20"/>
                <w:szCs w:val="20"/>
              </w:rPr>
            </w:pPr>
            <w:r>
              <w:rPr>
                <w:rFonts w:hint="eastAsia" w:ascii="宋体" w:hAnsi="宋体" w:cs="宋体"/>
                <w:kern w:val="0"/>
                <w:sz w:val="20"/>
                <w:szCs w:val="20"/>
              </w:rPr>
              <w:t>六</w:t>
            </w:r>
          </w:p>
        </w:tc>
        <w:tc>
          <w:tcPr>
            <w:tcW w:w="2080" w:type="dxa"/>
            <w:tcBorders>
              <w:top w:val="nil"/>
              <w:left w:val="nil"/>
              <w:bottom w:val="single" w:color="auto" w:sz="4" w:space="0"/>
              <w:right w:val="single" w:color="auto" w:sz="4" w:space="0"/>
            </w:tcBorders>
            <w:noWrap w:val="0"/>
            <w:vAlign w:val="center"/>
          </w:tcPr>
          <w:p w14:paraId="4F71A3BB">
            <w:pPr>
              <w:widowControl/>
              <w:jc w:val="left"/>
              <w:rPr>
                <w:rFonts w:ascii="宋体" w:hAnsi="宋体" w:cs="宋体"/>
                <w:kern w:val="0"/>
                <w:sz w:val="20"/>
                <w:szCs w:val="20"/>
              </w:rPr>
            </w:pPr>
            <w:r>
              <w:rPr>
                <w:rFonts w:hint="eastAsia" w:ascii="宋体" w:hAnsi="宋体" w:cs="宋体"/>
                <w:kern w:val="0"/>
                <w:sz w:val="20"/>
                <w:szCs w:val="20"/>
              </w:rPr>
              <w:t>矿井年用电量</w:t>
            </w:r>
          </w:p>
        </w:tc>
        <w:tc>
          <w:tcPr>
            <w:tcW w:w="640" w:type="dxa"/>
            <w:tcBorders>
              <w:top w:val="nil"/>
              <w:left w:val="nil"/>
              <w:bottom w:val="single" w:color="auto" w:sz="4" w:space="0"/>
              <w:right w:val="single" w:color="auto" w:sz="4" w:space="0"/>
            </w:tcBorders>
            <w:noWrap w:val="0"/>
            <w:vAlign w:val="center"/>
          </w:tcPr>
          <w:p w14:paraId="5FCCB38A">
            <w:pPr>
              <w:widowControl/>
              <w:jc w:val="left"/>
              <w:rPr>
                <w:rFonts w:ascii="宋体" w:hAnsi="宋体" w:cs="宋体"/>
                <w:kern w:val="0"/>
                <w:sz w:val="20"/>
                <w:szCs w:val="20"/>
              </w:rPr>
            </w:pPr>
            <w:r>
              <w:rPr>
                <w:rFonts w:hint="eastAsia" w:ascii="宋体" w:hAnsi="宋体" w:cs="宋体"/>
                <w:kern w:val="0"/>
                <w:sz w:val="20"/>
                <w:szCs w:val="20"/>
              </w:rPr>
              <w:t>　</w:t>
            </w:r>
          </w:p>
        </w:tc>
        <w:tc>
          <w:tcPr>
            <w:tcW w:w="680" w:type="dxa"/>
            <w:tcBorders>
              <w:top w:val="nil"/>
              <w:left w:val="nil"/>
              <w:bottom w:val="single" w:color="auto" w:sz="4" w:space="0"/>
              <w:right w:val="single" w:color="auto" w:sz="4" w:space="0"/>
            </w:tcBorders>
            <w:noWrap w:val="0"/>
            <w:vAlign w:val="center"/>
          </w:tcPr>
          <w:p w14:paraId="40BB5659">
            <w:pPr>
              <w:widowControl/>
              <w:jc w:val="left"/>
              <w:rPr>
                <w:rFonts w:ascii="宋体" w:hAnsi="宋体" w:cs="宋体"/>
                <w:kern w:val="0"/>
                <w:sz w:val="20"/>
                <w:szCs w:val="20"/>
              </w:rPr>
            </w:pPr>
            <w:r>
              <w:rPr>
                <w:rFonts w:hint="eastAsia" w:ascii="宋体" w:hAnsi="宋体" w:cs="宋体"/>
                <w:kern w:val="0"/>
                <w:sz w:val="20"/>
                <w:szCs w:val="20"/>
              </w:rPr>
              <w:t>　</w:t>
            </w:r>
          </w:p>
        </w:tc>
        <w:tc>
          <w:tcPr>
            <w:tcW w:w="880" w:type="dxa"/>
            <w:tcBorders>
              <w:top w:val="nil"/>
              <w:left w:val="nil"/>
              <w:bottom w:val="single" w:color="auto" w:sz="4" w:space="0"/>
              <w:right w:val="single" w:color="auto" w:sz="4" w:space="0"/>
            </w:tcBorders>
            <w:noWrap w:val="0"/>
            <w:vAlign w:val="center"/>
          </w:tcPr>
          <w:p w14:paraId="1CD2BB3B">
            <w:pPr>
              <w:widowControl/>
              <w:jc w:val="left"/>
              <w:rPr>
                <w:rFonts w:ascii="宋体" w:hAnsi="宋体" w:cs="宋体"/>
                <w:kern w:val="0"/>
                <w:sz w:val="20"/>
                <w:szCs w:val="20"/>
              </w:rPr>
            </w:pPr>
            <w:r>
              <w:rPr>
                <w:rFonts w:hint="eastAsia" w:ascii="宋体" w:hAnsi="宋体" w:cs="宋体"/>
                <w:kern w:val="0"/>
                <w:sz w:val="20"/>
                <w:szCs w:val="20"/>
              </w:rPr>
              <w:t>　</w:t>
            </w:r>
          </w:p>
        </w:tc>
        <w:tc>
          <w:tcPr>
            <w:tcW w:w="700" w:type="dxa"/>
            <w:tcBorders>
              <w:top w:val="nil"/>
              <w:left w:val="nil"/>
              <w:bottom w:val="single" w:color="auto" w:sz="4" w:space="0"/>
              <w:right w:val="single" w:color="auto" w:sz="4" w:space="0"/>
            </w:tcBorders>
            <w:noWrap w:val="0"/>
            <w:vAlign w:val="center"/>
          </w:tcPr>
          <w:p w14:paraId="7870B388">
            <w:pPr>
              <w:widowControl/>
              <w:jc w:val="left"/>
              <w:rPr>
                <w:rFonts w:ascii="宋体" w:hAnsi="宋体" w:cs="宋体"/>
                <w:kern w:val="0"/>
                <w:sz w:val="20"/>
                <w:szCs w:val="20"/>
              </w:rPr>
            </w:pPr>
            <w:r>
              <w:rPr>
                <w:rFonts w:hint="eastAsia" w:ascii="宋体" w:hAnsi="宋体" w:cs="宋体"/>
                <w:kern w:val="0"/>
                <w:sz w:val="20"/>
                <w:szCs w:val="20"/>
              </w:rPr>
              <w:t>　</w:t>
            </w:r>
          </w:p>
        </w:tc>
        <w:tc>
          <w:tcPr>
            <w:tcW w:w="880" w:type="dxa"/>
            <w:tcBorders>
              <w:top w:val="nil"/>
              <w:left w:val="nil"/>
              <w:bottom w:val="single" w:color="auto" w:sz="4" w:space="0"/>
              <w:right w:val="single" w:color="auto" w:sz="4" w:space="0"/>
            </w:tcBorders>
            <w:noWrap w:val="0"/>
            <w:vAlign w:val="center"/>
          </w:tcPr>
          <w:p w14:paraId="54E2C00A">
            <w:pPr>
              <w:widowControl/>
              <w:jc w:val="left"/>
              <w:rPr>
                <w:rFonts w:ascii="宋体" w:hAnsi="宋体" w:cs="宋体"/>
                <w:kern w:val="0"/>
                <w:sz w:val="20"/>
                <w:szCs w:val="20"/>
              </w:rPr>
            </w:pPr>
            <w:r>
              <w:rPr>
                <w:rFonts w:hint="eastAsia" w:ascii="宋体" w:hAnsi="宋体" w:cs="宋体"/>
                <w:kern w:val="0"/>
                <w:sz w:val="20"/>
                <w:szCs w:val="20"/>
              </w:rPr>
              <w:t>　</w:t>
            </w:r>
          </w:p>
        </w:tc>
        <w:tc>
          <w:tcPr>
            <w:tcW w:w="480" w:type="dxa"/>
            <w:tcBorders>
              <w:top w:val="nil"/>
              <w:left w:val="nil"/>
              <w:bottom w:val="single" w:color="auto" w:sz="4" w:space="0"/>
              <w:right w:val="single" w:color="auto" w:sz="4" w:space="0"/>
            </w:tcBorders>
            <w:noWrap w:val="0"/>
            <w:vAlign w:val="center"/>
          </w:tcPr>
          <w:p w14:paraId="02C3EB4C">
            <w:pPr>
              <w:widowControl/>
              <w:jc w:val="left"/>
              <w:rPr>
                <w:rFonts w:ascii="宋体" w:hAnsi="宋体" w:cs="宋体"/>
                <w:kern w:val="0"/>
                <w:sz w:val="20"/>
                <w:szCs w:val="20"/>
              </w:rPr>
            </w:pPr>
            <w:r>
              <w:rPr>
                <w:rFonts w:hint="eastAsia" w:ascii="宋体" w:hAnsi="宋体" w:cs="宋体"/>
                <w:kern w:val="0"/>
                <w:sz w:val="20"/>
                <w:szCs w:val="20"/>
              </w:rPr>
              <w:t>　</w:t>
            </w:r>
          </w:p>
        </w:tc>
        <w:tc>
          <w:tcPr>
            <w:tcW w:w="760" w:type="dxa"/>
            <w:tcBorders>
              <w:top w:val="nil"/>
              <w:left w:val="nil"/>
              <w:bottom w:val="single" w:color="auto" w:sz="4" w:space="0"/>
              <w:right w:val="single" w:color="auto" w:sz="4" w:space="0"/>
            </w:tcBorders>
            <w:noWrap w:val="0"/>
            <w:vAlign w:val="center"/>
          </w:tcPr>
          <w:p w14:paraId="087B38AA">
            <w:pPr>
              <w:widowControl/>
              <w:jc w:val="center"/>
              <w:rPr>
                <w:rFonts w:ascii="宋体" w:hAnsi="宋体" w:cs="宋体"/>
                <w:kern w:val="0"/>
                <w:sz w:val="20"/>
                <w:szCs w:val="20"/>
              </w:rPr>
            </w:pPr>
            <w:r>
              <w:rPr>
                <w:rFonts w:hint="eastAsia" w:ascii="宋体" w:hAnsi="宋体" w:cs="宋体"/>
                <w:kern w:val="0"/>
                <w:sz w:val="20"/>
                <w:szCs w:val="20"/>
              </w:rPr>
              <w:t>0.961</w:t>
            </w:r>
          </w:p>
        </w:tc>
        <w:tc>
          <w:tcPr>
            <w:tcW w:w="760" w:type="dxa"/>
            <w:tcBorders>
              <w:top w:val="nil"/>
              <w:left w:val="nil"/>
              <w:bottom w:val="single" w:color="auto" w:sz="4" w:space="0"/>
              <w:right w:val="single" w:color="auto" w:sz="4" w:space="0"/>
            </w:tcBorders>
            <w:noWrap w:val="0"/>
            <w:vAlign w:val="center"/>
          </w:tcPr>
          <w:p w14:paraId="2FEA922D">
            <w:pPr>
              <w:widowControl/>
              <w:jc w:val="center"/>
              <w:rPr>
                <w:rFonts w:ascii="宋体" w:hAnsi="宋体" w:cs="宋体"/>
                <w:kern w:val="0"/>
                <w:sz w:val="20"/>
                <w:szCs w:val="20"/>
              </w:rPr>
            </w:pPr>
            <w:r>
              <w:rPr>
                <w:rFonts w:hint="eastAsia" w:ascii="宋体" w:hAnsi="宋体" w:cs="宋体"/>
                <w:kern w:val="0"/>
                <w:sz w:val="20"/>
                <w:szCs w:val="20"/>
              </w:rPr>
              <w:t xml:space="preserve">0.29 </w:t>
            </w:r>
          </w:p>
        </w:tc>
        <w:tc>
          <w:tcPr>
            <w:tcW w:w="980" w:type="dxa"/>
            <w:tcBorders>
              <w:top w:val="nil"/>
              <w:left w:val="nil"/>
              <w:bottom w:val="single" w:color="auto" w:sz="4" w:space="0"/>
              <w:right w:val="single" w:color="auto" w:sz="4" w:space="0"/>
            </w:tcBorders>
            <w:noWrap w:val="0"/>
            <w:vAlign w:val="center"/>
          </w:tcPr>
          <w:p w14:paraId="55462C8B">
            <w:pPr>
              <w:widowControl/>
              <w:jc w:val="center"/>
              <w:rPr>
                <w:rFonts w:ascii="宋体" w:hAnsi="宋体" w:cs="宋体"/>
                <w:kern w:val="0"/>
                <w:sz w:val="20"/>
                <w:szCs w:val="20"/>
              </w:rPr>
            </w:pPr>
            <w:r>
              <w:rPr>
                <w:rFonts w:hint="eastAsia" w:ascii="宋体" w:hAnsi="宋体" w:cs="宋体"/>
                <w:kern w:val="0"/>
                <w:sz w:val="20"/>
                <w:szCs w:val="20"/>
              </w:rPr>
              <w:t>1396.56</w:t>
            </w:r>
          </w:p>
        </w:tc>
        <w:tc>
          <w:tcPr>
            <w:tcW w:w="1040" w:type="dxa"/>
            <w:tcBorders>
              <w:top w:val="nil"/>
              <w:left w:val="nil"/>
              <w:bottom w:val="single" w:color="auto" w:sz="4" w:space="0"/>
              <w:right w:val="single" w:color="auto" w:sz="4" w:space="0"/>
            </w:tcBorders>
            <w:noWrap w:val="0"/>
            <w:vAlign w:val="center"/>
          </w:tcPr>
          <w:p w14:paraId="1F8BBB0E">
            <w:pPr>
              <w:widowControl/>
              <w:jc w:val="center"/>
              <w:rPr>
                <w:rFonts w:ascii="宋体" w:hAnsi="宋体" w:cs="宋体"/>
                <w:kern w:val="0"/>
                <w:sz w:val="20"/>
                <w:szCs w:val="20"/>
              </w:rPr>
            </w:pPr>
            <w:r>
              <w:rPr>
                <w:rFonts w:hint="eastAsia" w:ascii="宋体" w:hAnsi="宋体" w:cs="宋体"/>
                <w:kern w:val="0"/>
                <w:sz w:val="20"/>
                <w:szCs w:val="20"/>
              </w:rPr>
              <w:t>403.27</w:t>
            </w:r>
          </w:p>
        </w:tc>
        <w:tc>
          <w:tcPr>
            <w:tcW w:w="980" w:type="dxa"/>
            <w:tcBorders>
              <w:top w:val="nil"/>
              <w:left w:val="nil"/>
              <w:bottom w:val="single" w:color="auto" w:sz="4" w:space="0"/>
              <w:right w:val="single" w:color="auto" w:sz="4" w:space="0"/>
            </w:tcBorders>
            <w:noWrap w:val="0"/>
            <w:vAlign w:val="center"/>
          </w:tcPr>
          <w:p w14:paraId="3BCF9B45">
            <w:pPr>
              <w:widowControl/>
              <w:jc w:val="center"/>
              <w:rPr>
                <w:rFonts w:ascii="宋体" w:hAnsi="宋体" w:cs="宋体"/>
                <w:kern w:val="0"/>
                <w:sz w:val="20"/>
                <w:szCs w:val="20"/>
              </w:rPr>
            </w:pPr>
            <w:r>
              <w:rPr>
                <w:rFonts w:hint="eastAsia" w:ascii="宋体" w:hAnsi="宋体" w:cs="宋体"/>
                <w:kern w:val="0"/>
                <w:sz w:val="20"/>
                <w:szCs w:val="20"/>
              </w:rPr>
              <w:t>1453.62</w:t>
            </w:r>
          </w:p>
        </w:tc>
        <w:tc>
          <w:tcPr>
            <w:tcW w:w="700" w:type="dxa"/>
            <w:tcBorders>
              <w:top w:val="nil"/>
              <w:left w:val="nil"/>
              <w:bottom w:val="single" w:color="auto" w:sz="4" w:space="0"/>
              <w:right w:val="single" w:color="auto" w:sz="4" w:space="0"/>
            </w:tcBorders>
            <w:noWrap w:val="0"/>
            <w:vAlign w:val="center"/>
          </w:tcPr>
          <w:p w14:paraId="5274A3F5">
            <w:pPr>
              <w:widowControl/>
              <w:jc w:val="center"/>
              <w:rPr>
                <w:rFonts w:ascii="宋体" w:hAnsi="宋体" w:cs="宋体"/>
                <w:kern w:val="0"/>
                <w:sz w:val="20"/>
                <w:szCs w:val="20"/>
              </w:rPr>
            </w:pPr>
            <w:r>
              <w:rPr>
                <w:rFonts w:hint="eastAsia" w:ascii="宋体" w:hAnsi="宋体" w:cs="宋体"/>
                <w:kern w:val="0"/>
                <w:sz w:val="20"/>
                <w:szCs w:val="20"/>
              </w:rPr>
              <w:t>4500</w:t>
            </w:r>
          </w:p>
        </w:tc>
        <w:tc>
          <w:tcPr>
            <w:tcW w:w="1072" w:type="dxa"/>
            <w:tcBorders>
              <w:top w:val="nil"/>
              <w:left w:val="nil"/>
              <w:bottom w:val="single" w:color="auto" w:sz="4" w:space="0"/>
              <w:right w:val="single" w:color="auto" w:sz="4" w:space="0"/>
            </w:tcBorders>
            <w:noWrap w:val="0"/>
            <w:vAlign w:val="center"/>
          </w:tcPr>
          <w:p w14:paraId="4C8025F5">
            <w:pPr>
              <w:widowControl/>
              <w:jc w:val="center"/>
              <w:rPr>
                <w:rFonts w:ascii="宋体" w:hAnsi="宋体" w:cs="宋体"/>
                <w:kern w:val="0"/>
                <w:sz w:val="20"/>
                <w:szCs w:val="20"/>
              </w:rPr>
            </w:pPr>
            <w:r>
              <w:rPr>
                <w:rFonts w:hint="eastAsia" w:ascii="宋体" w:hAnsi="宋体" w:cs="宋体"/>
                <w:kern w:val="0"/>
                <w:sz w:val="20"/>
                <w:szCs w:val="20"/>
              </w:rPr>
              <w:t xml:space="preserve">6284513 </w:t>
            </w:r>
          </w:p>
        </w:tc>
        <w:tc>
          <w:tcPr>
            <w:tcW w:w="1240" w:type="dxa"/>
            <w:tcBorders>
              <w:top w:val="nil"/>
              <w:left w:val="nil"/>
              <w:bottom w:val="single" w:color="auto" w:sz="4" w:space="0"/>
              <w:right w:val="single" w:color="auto" w:sz="4" w:space="0"/>
            </w:tcBorders>
            <w:noWrap w:val="0"/>
            <w:vAlign w:val="center"/>
          </w:tcPr>
          <w:p w14:paraId="0A5A576F">
            <w:pPr>
              <w:widowControl/>
              <w:jc w:val="center"/>
              <w:rPr>
                <w:rFonts w:ascii="宋体" w:hAnsi="宋体" w:cs="宋体"/>
                <w:kern w:val="0"/>
                <w:sz w:val="20"/>
                <w:szCs w:val="20"/>
              </w:rPr>
            </w:pPr>
            <w:r>
              <w:rPr>
                <w:rFonts w:hint="eastAsia" w:ascii="宋体" w:hAnsi="宋体" w:cs="宋体"/>
                <w:kern w:val="0"/>
                <w:sz w:val="20"/>
                <w:szCs w:val="20"/>
              </w:rPr>
              <w:t>　</w:t>
            </w:r>
          </w:p>
        </w:tc>
      </w:tr>
      <w:tr w14:paraId="08F7317E">
        <w:tblPrEx>
          <w:tblCellMar>
            <w:top w:w="0" w:type="dxa"/>
            <w:left w:w="108" w:type="dxa"/>
            <w:bottom w:w="0" w:type="dxa"/>
            <w:right w:w="108" w:type="dxa"/>
          </w:tblCellMar>
        </w:tblPrEx>
        <w:trPr>
          <w:wBefore w:w="0" w:type="dxa"/>
          <w:wAfter w:w="0" w:type="dxa"/>
          <w:trHeight w:val="600" w:hRule="atLeast"/>
        </w:trPr>
        <w:tc>
          <w:tcPr>
            <w:tcW w:w="560" w:type="dxa"/>
            <w:tcBorders>
              <w:top w:val="nil"/>
              <w:left w:val="single" w:color="auto" w:sz="4" w:space="0"/>
              <w:bottom w:val="single" w:color="auto" w:sz="4" w:space="0"/>
              <w:right w:val="single" w:color="auto" w:sz="4" w:space="0"/>
            </w:tcBorders>
            <w:noWrap w:val="0"/>
            <w:vAlign w:val="center"/>
          </w:tcPr>
          <w:p w14:paraId="2BAA8202">
            <w:pPr>
              <w:widowControl/>
              <w:jc w:val="center"/>
              <w:rPr>
                <w:rFonts w:ascii="宋体" w:hAnsi="宋体" w:cs="宋体"/>
                <w:kern w:val="0"/>
                <w:sz w:val="20"/>
                <w:szCs w:val="20"/>
              </w:rPr>
            </w:pPr>
            <w:r>
              <w:rPr>
                <w:rFonts w:hint="eastAsia" w:ascii="宋体" w:hAnsi="宋体" w:cs="宋体"/>
                <w:kern w:val="0"/>
                <w:sz w:val="20"/>
                <w:szCs w:val="20"/>
              </w:rPr>
              <w:t>七</w:t>
            </w:r>
          </w:p>
        </w:tc>
        <w:tc>
          <w:tcPr>
            <w:tcW w:w="2080" w:type="dxa"/>
            <w:tcBorders>
              <w:top w:val="nil"/>
              <w:left w:val="nil"/>
              <w:bottom w:val="single" w:color="auto" w:sz="4" w:space="0"/>
              <w:right w:val="single" w:color="auto" w:sz="4" w:space="0"/>
            </w:tcBorders>
            <w:noWrap w:val="0"/>
            <w:vAlign w:val="center"/>
          </w:tcPr>
          <w:p w14:paraId="32E1F9FB">
            <w:pPr>
              <w:widowControl/>
              <w:jc w:val="left"/>
              <w:rPr>
                <w:rFonts w:ascii="宋体" w:hAnsi="宋体" w:cs="宋体"/>
                <w:kern w:val="0"/>
                <w:sz w:val="20"/>
                <w:szCs w:val="20"/>
              </w:rPr>
            </w:pPr>
            <w:r>
              <w:rPr>
                <w:rFonts w:hint="eastAsia" w:ascii="宋体" w:hAnsi="宋体" w:cs="宋体"/>
                <w:kern w:val="0"/>
                <w:sz w:val="20"/>
                <w:szCs w:val="20"/>
              </w:rPr>
              <w:t>矿井吨煤电耗</w:t>
            </w:r>
          </w:p>
        </w:tc>
        <w:tc>
          <w:tcPr>
            <w:tcW w:w="11792" w:type="dxa"/>
            <w:gridSpan w:val="14"/>
            <w:tcBorders>
              <w:top w:val="single" w:color="auto" w:sz="4" w:space="0"/>
              <w:left w:val="nil"/>
              <w:bottom w:val="single" w:color="auto" w:sz="4" w:space="0"/>
              <w:right w:val="single" w:color="000000" w:sz="4" w:space="0"/>
            </w:tcBorders>
            <w:noWrap w:val="0"/>
            <w:vAlign w:val="center"/>
          </w:tcPr>
          <w:p w14:paraId="20578C2D">
            <w:pPr>
              <w:widowControl/>
              <w:jc w:val="left"/>
              <w:rPr>
                <w:rFonts w:ascii="宋体" w:hAnsi="宋体" w:cs="宋体"/>
                <w:kern w:val="0"/>
                <w:sz w:val="20"/>
                <w:szCs w:val="20"/>
              </w:rPr>
            </w:pPr>
            <w:r>
              <w:rPr>
                <w:rFonts w:hint="eastAsia" w:ascii="宋体" w:hAnsi="宋体" w:cs="宋体"/>
                <w:kern w:val="0"/>
                <w:sz w:val="20"/>
                <w:szCs w:val="20"/>
              </w:rPr>
              <w:t>20.95</w:t>
            </w:r>
          </w:p>
        </w:tc>
      </w:tr>
    </w:tbl>
    <w:p w14:paraId="6FF62CF3">
      <w:pPr>
        <w:spacing w:line="360" w:lineRule="auto"/>
        <w:ind w:firstLine="512" w:firstLineChars="200"/>
        <w:rPr>
          <w:rFonts w:hint="eastAsia" w:ascii="宋体" w:hAnsi="宋体"/>
          <w:color w:val="FF0000"/>
          <w:spacing w:val="8"/>
          <w:sz w:val="24"/>
          <w:szCs w:val="20"/>
        </w:rPr>
      </w:pPr>
    </w:p>
    <w:p w14:paraId="1736E484">
      <w:pPr>
        <w:spacing w:line="360" w:lineRule="auto"/>
        <w:ind w:firstLine="512" w:firstLineChars="200"/>
        <w:rPr>
          <w:rFonts w:ascii="宋体" w:hAnsi="宋体"/>
          <w:color w:val="FF0000"/>
          <w:spacing w:val="8"/>
          <w:sz w:val="24"/>
          <w:szCs w:val="20"/>
        </w:rPr>
        <w:sectPr>
          <w:pgSz w:w="16838" w:h="11906" w:orient="landscape"/>
          <w:pgMar w:top="1304" w:right="1418" w:bottom="1304" w:left="1418" w:header="1134" w:footer="992" w:gutter="0"/>
          <w:cols w:space="720" w:num="1"/>
          <w:docGrid w:linePitch="312" w:charSpace="0"/>
        </w:sectPr>
      </w:pPr>
    </w:p>
    <w:p w14:paraId="6B02A7F3">
      <w:pPr>
        <w:pStyle w:val="3"/>
        <w:keepLines/>
        <w:spacing w:before="240" w:after="240" w:line="360" w:lineRule="auto"/>
        <w:ind w:firstLine="0" w:firstLineChars="0"/>
        <w:jc w:val="center"/>
        <w:rPr>
          <w:rFonts w:hint="eastAsia"/>
          <w:b/>
          <w:color w:val="000000"/>
          <w:sz w:val="32"/>
          <w:szCs w:val="32"/>
        </w:rPr>
      </w:pPr>
      <w:bookmarkStart w:id="689" w:name="_Toc260915279"/>
      <w:bookmarkStart w:id="690" w:name="_Toc245709929"/>
      <w:r>
        <w:rPr>
          <w:rFonts w:hint="eastAsia"/>
          <w:b/>
          <w:color w:val="000000"/>
          <w:sz w:val="32"/>
          <w:szCs w:val="32"/>
        </w:rPr>
        <w:t>第五节   监控与矿井自动化</w:t>
      </w:r>
      <w:bookmarkEnd w:id="689"/>
      <w:bookmarkEnd w:id="690"/>
    </w:p>
    <w:p w14:paraId="3734578E">
      <w:pPr>
        <w:spacing w:before="120" w:beforeLines="50" w:after="120" w:afterLines="50" w:line="360" w:lineRule="auto"/>
        <w:ind w:firstLine="562" w:firstLineChars="200"/>
        <w:rPr>
          <w:rFonts w:hint="eastAsia" w:ascii="宋体" w:hAnsi="宋体"/>
          <w:b/>
          <w:sz w:val="28"/>
          <w:szCs w:val="28"/>
        </w:rPr>
      </w:pPr>
      <w:r>
        <w:rPr>
          <w:rFonts w:hint="eastAsia" w:ascii="宋体" w:hAnsi="宋体"/>
          <w:b/>
          <w:sz w:val="28"/>
          <w:szCs w:val="28"/>
        </w:rPr>
        <w:t>1、安全、生产监控与矿井自动化</w:t>
      </w:r>
    </w:p>
    <w:p w14:paraId="396CE652">
      <w:pPr>
        <w:spacing w:line="360" w:lineRule="auto"/>
        <w:ind w:firstLine="480" w:firstLineChars="200"/>
        <w:rPr>
          <w:rFonts w:hint="eastAsia"/>
          <w:sz w:val="24"/>
        </w:rPr>
      </w:pPr>
      <w:r>
        <w:rPr>
          <w:rFonts w:hint="eastAsia"/>
          <w:sz w:val="24"/>
        </w:rPr>
        <w:t>矿井安全与生产监测监控系统，采用基于现场总线与工业以太网技术相结合的解决方案，将井下安全与生产监测系统、井下设备监控系统、地面设备监测等部分 形成一个整体，构成完整的监控网络。</w:t>
      </w:r>
    </w:p>
    <w:p w14:paraId="4F29EB74">
      <w:pPr>
        <w:spacing w:line="360" w:lineRule="auto"/>
        <w:ind w:firstLine="480" w:firstLineChars="200"/>
        <w:rPr>
          <w:rFonts w:hint="eastAsia"/>
          <w:sz w:val="24"/>
        </w:rPr>
      </w:pPr>
      <w:r>
        <w:rPr>
          <w:rFonts w:hint="eastAsia"/>
          <w:sz w:val="24"/>
        </w:rPr>
        <w:t>矿井监测监控系统由以下部分组成：</w:t>
      </w:r>
    </w:p>
    <w:p w14:paraId="25E0AD7F">
      <w:pPr>
        <w:spacing w:line="360" w:lineRule="auto"/>
        <w:ind w:firstLine="480" w:firstLineChars="200"/>
        <w:rPr>
          <w:rFonts w:hint="eastAsia"/>
          <w:sz w:val="24"/>
        </w:rPr>
      </w:pPr>
      <w:r>
        <w:rPr>
          <w:rFonts w:hint="eastAsia"/>
          <w:sz w:val="24"/>
        </w:rPr>
        <w:t>（1）井下生产环境安全监控</w:t>
      </w:r>
    </w:p>
    <w:p w14:paraId="5DECD3AD">
      <w:pPr>
        <w:spacing w:line="360" w:lineRule="auto"/>
        <w:ind w:firstLine="480" w:firstLineChars="200"/>
        <w:rPr>
          <w:rFonts w:hint="eastAsia"/>
          <w:sz w:val="24"/>
        </w:rPr>
      </w:pPr>
      <w:r>
        <w:rPr>
          <w:rFonts w:hint="eastAsia"/>
          <w:sz w:val="24"/>
        </w:rPr>
        <w:t>井下生产环境安全监控实现连续对井下瓦斯、一氧化碳、风速、负压、烟雾、粉尘、温度等各种环境参数进行监测功能；</w:t>
      </w:r>
      <w:r>
        <w:rPr>
          <w:rFonts w:hint="eastAsia" w:hAnsi="宋体" w:cs="宋体"/>
          <w:sz w:val="24"/>
        </w:rPr>
        <w:t>具备甲烷断电仪和甲烷风电闭锁装置的全部功能；当主机或系统电缆发生故障时，系统保证甲烷断电仪和甲烷风电闭锁装置的全部功能的实现；当电网停电后，系统保证正常工作时间不小于2h；系统具有防雷电保护；系统</w:t>
      </w:r>
      <w:r>
        <w:rPr>
          <w:rFonts w:hint="eastAsia"/>
          <w:sz w:val="24"/>
        </w:rPr>
        <w:t>必须</w:t>
      </w:r>
      <w:r>
        <w:rPr>
          <w:rFonts w:hint="eastAsia" w:hAnsi="宋体" w:cs="宋体"/>
          <w:sz w:val="24"/>
        </w:rPr>
        <w:t>具有断电状态和馈电状态监测、</w:t>
      </w:r>
      <w:r>
        <w:rPr>
          <w:rFonts w:hint="eastAsia"/>
          <w:sz w:val="24"/>
        </w:rPr>
        <w:t>报警、显示、存储和打印报表功能；中心站主机应不少于2台，1台备用。</w:t>
      </w:r>
    </w:p>
    <w:p w14:paraId="2280F86E">
      <w:pPr>
        <w:spacing w:line="360" w:lineRule="auto"/>
        <w:ind w:firstLine="480" w:firstLineChars="200"/>
        <w:rPr>
          <w:rFonts w:hint="eastAsia"/>
          <w:sz w:val="24"/>
        </w:rPr>
      </w:pPr>
      <w:r>
        <w:rPr>
          <w:rFonts w:hint="eastAsia"/>
          <w:sz w:val="24"/>
        </w:rPr>
        <w:t>（2）设备工况监测</w:t>
      </w:r>
    </w:p>
    <w:p w14:paraId="2AFA36FC">
      <w:pPr>
        <w:spacing w:line="360" w:lineRule="auto"/>
        <w:ind w:firstLine="480" w:firstLineChars="200"/>
        <w:rPr>
          <w:rFonts w:hint="eastAsia"/>
          <w:sz w:val="24"/>
        </w:rPr>
      </w:pPr>
      <w:r>
        <w:rPr>
          <w:rFonts w:hint="eastAsia"/>
          <w:sz w:val="24"/>
        </w:rPr>
        <w:t>监控系统可监测矿井主要机电设备的工作状态，包括井下变电能力参数监测，包括井下胶带机集中运输系统控制、顺槽胶带机控制、工作面刮板输送机控制等大型设备的控制。地面设备监测系统对绞车房、原煤生产系统、变配电所、通风机、空压机、矿井水处理及污水处理、供水站、瓦斯抽放站进行监测与监控。各子系统监测监控系统可进行汇总及加工，信息可实时传送。也可存入相应的数据库服务器，实现信息共享。</w:t>
      </w:r>
    </w:p>
    <w:p w14:paraId="1EB4F30A">
      <w:pPr>
        <w:spacing w:line="360" w:lineRule="auto"/>
        <w:ind w:firstLine="480" w:firstLineChars="200"/>
        <w:rPr>
          <w:rFonts w:hint="eastAsia"/>
          <w:sz w:val="24"/>
        </w:rPr>
      </w:pPr>
      <w:r>
        <w:rPr>
          <w:rFonts w:hint="eastAsia"/>
          <w:sz w:val="24"/>
        </w:rPr>
        <w:t>（3）瓦斯抽放系统监控</w:t>
      </w:r>
    </w:p>
    <w:p w14:paraId="4B8F9077">
      <w:pPr>
        <w:spacing w:line="360" w:lineRule="auto"/>
        <w:ind w:firstLine="480" w:firstLineChars="200"/>
        <w:rPr>
          <w:rFonts w:hint="eastAsia"/>
          <w:sz w:val="24"/>
        </w:rPr>
      </w:pPr>
      <w:r>
        <w:rPr>
          <w:rFonts w:hint="eastAsia"/>
          <w:sz w:val="24"/>
        </w:rPr>
        <w:t>主要对抽放管路中的甲烷气体进行浓度、负压、流量等监测。</w:t>
      </w:r>
    </w:p>
    <w:p w14:paraId="239F6A1B">
      <w:pPr>
        <w:spacing w:line="360" w:lineRule="auto"/>
        <w:ind w:firstLine="480" w:firstLineChars="200"/>
        <w:rPr>
          <w:rFonts w:hint="eastAsia"/>
          <w:sz w:val="24"/>
        </w:rPr>
      </w:pPr>
      <w:r>
        <w:rPr>
          <w:rFonts w:hint="eastAsia"/>
          <w:sz w:val="24"/>
        </w:rPr>
        <w:t>（4）安全生产监控系统装备量</w:t>
      </w:r>
    </w:p>
    <w:p w14:paraId="62E27768">
      <w:pPr>
        <w:spacing w:line="360" w:lineRule="auto"/>
        <w:ind w:firstLine="480" w:firstLineChars="200"/>
        <w:rPr>
          <w:rFonts w:hint="eastAsia"/>
          <w:sz w:val="24"/>
        </w:rPr>
      </w:pPr>
      <w:r>
        <w:rPr>
          <w:rFonts w:hint="eastAsia"/>
          <w:sz w:val="24"/>
        </w:rPr>
        <w:t>矿井装备KJ90NA型安全监控系统一套。</w:t>
      </w:r>
    </w:p>
    <w:p w14:paraId="44857959">
      <w:pPr>
        <w:spacing w:line="360" w:lineRule="auto"/>
        <w:ind w:firstLine="480" w:firstLineChars="200"/>
        <w:rPr>
          <w:rFonts w:hint="eastAsia"/>
          <w:color w:val="FF0000"/>
          <w:sz w:val="24"/>
        </w:rPr>
      </w:pPr>
      <w:r>
        <w:rPr>
          <w:rFonts w:hint="eastAsia"/>
          <w:sz w:val="24"/>
        </w:rPr>
        <w:t>根据《煤矿安全规程》、《煤炭工业小型矿井设计规范》等有关规程、规范、标准规定，本矿安全生产监控系统主机、分站、传感器、电缆等的装备量见表</w:t>
      </w:r>
      <w:r>
        <w:rPr>
          <w:rFonts w:hint="eastAsia"/>
          <w:color w:val="FF0000"/>
          <w:sz w:val="24"/>
        </w:rPr>
        <w:t>6-5-1。</w:t>
      </w:r>
    </w:p>
    <w:p w14:paraId="462D025E">
      <w:pPr>
        <w:spacing w:line="360" w:lineRule="auto"/>
        <w:ind w:firstLine="480" w:firstLineChars="200"/>
        <w:rPr>
          <w:rFonts w:hint="eastAsia"/>
          <w:sz w:val="24"/>
        </w:rPr>
      </w:pPr>
    </w:p>
    <w:p w14:paraId="33103A37">
      <w:pPr>
        <w:spacing w:line="360" w:lineRule="auto"/>
        <w:ind w:firstLine="480" w:firstLineChars="200"/>
        <w:rPr>
          <w:rFonts w:hint="eastAsia"/>
          <w:sz w:val="24"/>
        </w:rPr>
      </w:pPr>
    </w:p>
    <w:p w14:paraId="7A0042F6">
      <w:pPr>
        <w:spacing w:line="360" w:lineRule="auto"/>
        <w:ind w:firstLine="480" w:firstLineChars="200"/>
        <w:rPr>
          <w:rFonts w:hint="eastAsia"/>
          <w:sz w:val="24"/>
        </w:rPr>
      </w:pPr>
    </w:p>
    <w:p w14:paraId="75776CB6">
      <w:pPr>
        <w:spacing w:line="400" w:lineRule="exact"/>
        <w:ind w:firstLine="480" w:firstLineChars="200"/>
        <w:rPr>
          <w:rFonts w:hint="eastAsia" w:ascii="宋体" w:hAnsi="宋体"/>
          <w:b/>
          <w:bCs/>
          <w:sz w:val="28"/>
        </w:rPr>
      </w:pPr>
      <w:r>
        <w:rPr>
          <w:rFonts w:hint="eastAsia" w:ascii="宋体" w:hAnsi="宋体"/>
          <w:sz w:val="24"/>
        </w:rPr>
        <w:t xml:space="preserve">表6-5-1          </w:t>
      </w:r>
      <w:r>
        <w:rPr>
          <w:rFonts w:hint="eastAsia" w:ascii="宋体" w:hAnsi="宋体"/>
          <w:b/>
          <w:bCs/>
          <w:sz w:val="24"/>
        </w:rPr>
        <w:t>安全、生产监控系统设备配备表</w:t>
      </w:r>
    </w:p>
    <w:tbl>
      <w:tblPr>
        <w:tblStyle w:val="62"/>
        <w:tblW w:w="0" w:type="auto"/>
        <w:tblInd w:w="88" w:type="dxa"/>
        <w:tblLayout w:type="fixed"/>
        <w:tblCellMar>
          <w:top w:w="0" w:type="dxa"/>
          <w:left w:w="108" w:type="dxa"/>
          <w:bottom w:w="0" w:type="dxa"/>
          <w:right w:w="108" w:type="dxa"/>
        </w:tblCellMar>
      </w:tblPr>
      <w:tblGrid>
        <w:gridCol w:w="758"/>
        <w:gridCol w:w="2941"/>
        <w:gridCol w:w="2435"/>
        <w:gridCol w:w="1046"/>
        <w:gridCol w:w="1105"/>
      </w:tblGrid>
      <w:tr w14:paraId="56296C15">
        <w:tblPrEx>
          <w:tblCellMar>
            <w:top w:w="0" w:type="dxa"/>
            <w:left w:w="108" w:type="dxa"/>
            <w:bottom w:w="0" w:type="dxa"/>
            <w:right w:w="108" w:type="dxa"/>
          </w:tblCellMar>
        </w:tblPrEx>
        <w:trPr>
          <w:wBefore w:w="0" w:type="dxa"/>
          <w:wAfter w:w="0" w:type="dxa"/>
          <w:trHeight w:val="287" w:hRule="atLeast"/>
          <w:tblHeader/>
        </w:trPr>
        <w:tc>
          <w:tcPr>
            <w:tcW w:w="758" w:type="dxa"/>
            <w:vMerge w:val="restart"/>
            <w:tcBorders>
              <w:top w:val="single" w:color="auto" w:sz="8" w:space="0"/>
              <w:left w:val="single" w:color="auto" w:sz="8" w:space="0"/>
              <w:bottom w:val="single" w:color="auto" w:sz="4" w:space="0"/>
              <w:right w:val="single" w:color="auto" w:sz="4" w:space="0"/>
            </w:tcBorders>
            <w:noWrap w:val="0"/>
            <w:vAlign w:val="center"/>
          </w:tcPr>
          <w:p w14:paraId="050D20FE">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2941" w:type="dxa"/>
            <w:vMerge w:val="restart"/>
            <w:tcBorders>
              <w:top w:val="single" w:color="auto" w:sz="8" w:space="0"/>
              <w:left w:val="single" w:color="auto" w:sz="4" w:space="0"/>
              <w:bottom w:val="single" w:color="auto" w:sz="4" w:space="0"/>
              <w:right w:val="single" w:color="auto" w:sz="4" w:space="0"/>
            </w:tcBorders>
            <w:noWrap w:val="0"/>
            <w:vAlign w:val="center"/>
          </w:tcPr>
          <w:p w14:paraId="4AAD550D">
            <w:pPr>
              <w:widowControl/>
              <w:jc w:val="center"/>
              <w:rPr>
                <w:rFonts w:ascii="宋体" w:hAnsi="宋体" w:cs="宋体"/>
                <w:b/>
                <w:bCs/>
                <w:kern w:val="0"/>
                <w:sz w:val="20"/>
                <w:szCs w:val="20"/>
              </w:rPr>
            </w:pPr>
            <w:r>
              <w:rPr>
                <w:rFonts w:hint="eastAsia" w:ascii="宋体" w:hAnsi="宋体" w:cs="宋体"/>
                <w:b/>
                <w:bCs/>
                <w:kern w:val="0"/>
                <w:sz w:val="20"/>
                <w:szCs w:val="20"/>
              </w:rPr>
              <w:t>设备名称</w:t>
            </w:r>
          </w:p>
        </w:tc>
        <w:tc>
          <w:tcPr>
            <w:tcW w:w="2435" w:type="dxa"/>
            <w:vMerge w:val="restart"/>
            <w:tcBorders>
              <w:top w:val="single" w:color="auto" w:sz="8" w:space="0"/>
              <w:left w:val="single" w:color="auto" w:sz="4" w:space="0"/>
              <w:bottom w:val="single" w:color="auto" w:sz="4" w:space="0"/>
              <w:right w:val="single" w:color="auto" w:sz="4" w:space="0"/>
            </w:tcBorders>
            <w:noWrap w:val="0"/>
            <w:vAlign w:val="center"/>
          </w:tcPr>
          <w:p w14:paraId="6289B4CB">
            <w:pPr>
              <w:widowControl/>
              <w:jc w:val="center"/>
              <w:rPr>
                <w:rFonts w:ascii="宋体" w:hAnsi="宋体" w:cs="宋体"/>
                <w:b/>
                <w:bCs/>
                <w:kern w:val="0"/>
                <w:sz w:val="20"/>
                <w:szCs w:val="20"/>
              </w:rPr>
            </w:pPr>
            <w:r>
              <w:rPr>
                <w:rFonts w:hint="eastAsia" w:ascii="宋体" w:hAnsi="宋体" w:cs="宋体"/>
                <w:b/>
                <w:bCs/>
                <w:kern w:val="0"/>
                <w:sz w:val="20"/>
                <w:szCs w:val="20"/>
              </w:rPr>
              <w:t>型号及规格</w:t>
            </w:r>
          </w:p>
        </w:tc>
        <w:tc>
          <w:tcPr>
            <w:tcW w:w="1046" w:type="dxa"/>
            <w:vMerge w:val="restart"/>
            <w:tcBorders>
              <w:top w:val="single" w:color="auto" w:sz="8" w:space="0"/>
              <w:left w:val="single" w:color="auto" w:sz="4" w:space="0"/>
              <w:bottom w:val="single" w:color="auto" w:sz="4" w:space="0"/>
              <w:right w:val="single" w:color="auto" w:sz="4" w:space="0"/>
            </w:tcBorders>
            <w:noWrap w:val="0"/>
            <w:vAlign w:val="center"/>
          </w:tcPr>
          <w:p w14:paraId="0A7338A3">
            <w:pPr>
              <w:widowControl/>
              <w:jc w:val="center"/>
              <w:rPr>
                <w:rFonts w:ascii="宋体" w:hAnsi="宋体" w:cs="宋体"/>
                <w:b/>
                <w:bCs/>
                <w:kern w:val="0"/>
                <w:sz w:val="20"/>
                <w:szCs w:val="20"/>
              </w:rPr>
            </w:pPr>
            <w:r>
              <w:rPr>
                <w:rFonts w:hint="eastAsia" w:ascii="宋体" w:hAnsi="宋体" w:cs="宋体"/>
                <w:b/>
                <w:bCs/>
                <w:kern w:val="0"/>
                <w:sz w:val="20"/>
                <w:szCs w:val="20"/>
              </w:rPr>
              <w:t>单位</w:t>
            </w:r>
          </w:p>
        </w:tc>
        <w:tc>
          <w:tcPr>
            <w:tcW w:w="1105" w:type="dxa"/>
            <w:vMerge w:val="restart"/>
            <w:tcBorders>
              <w:top w:val="single" w:color="auto" w:sz="8" w:space="0"/>
              <w:left w:val="single" w:color="auto" w:sz="4" w:space="0"/>
              <w:bottom w:val="single" w:color="auto" w:sz="4" w:space="0"/>
              <w:right w:val="single" w:color="auto" w:sz="8" w:space="0"/>
            </w:tcBorders>
            <w:noWrap w:val="0"/>
            <w:vAlign w:val="center"/>
          </w:tcPr>
          <w:p w14:paraId="5FD15301">
            <w:pPr>
              <w:widowControl/>
              <w:jc w:val="center"/>
              <w:rPr>
                <w:rFonts w:ascii="宋体" w:hAnsi="宋体" w:cs="宋体"/>
                <w:b/>
                <w:bCs/>
                <w:kern w:val="0"/>
                <w:sz w:val="20"/>
                <w:szCs w:val="20"/>
              </w:rPr>
            </w:pPr>
            <w:r>
              <w:rPr>
                <w:rFonts w:hint="eastAsia" w:ascii="宋体" w:hAnsi="宋体" w:cs="宋体"/>
                <w:b/>
                <w:bCs/>
                <w:kern w:val="0"/>
                <w:sz w:val="20"/>
                <w:szCs w:val="20"/>
              </w:rPr>
              <w:t>数量</w:t>
            </w:r>
          </w:p>
        </w:tc>
      </w:tr>
      <w:tr w14:paraId="479F939C">
        <w:tblPrEx>
          <w:tblCellMar>
            <w:top w:w="0" w:type="dxa"/>
            <w:left w:w="108" w:type="dxa"/>
            <w:bottom w:w="0" w:type="dxa"/>
            <w:right w:w="108" w:type="dxa"/>
          </w:tblCellMar>
        </w:tblPrEx>
        <w:trPr>
          <w:wBefore w:w="0" w:type="dxa"/>
          <w:wAfter w:w="0" w:type="dxa"/>
          <w:trHeight w:val="287" w:hRule="atLeast"/>
          <w:tblHeader/>
        </w:trPr>
        <w:tc>
          <w:tcPr>
            <w:tcW w:w="758" w:type="dxa"/>
            <w:vMerge w:val="continue"/>
            <w:tcBorders>
              <w:top w:val="single" w:color="auto" w:sz="8" w:space="0"/>
              <w:left w:val="single" w:color="auto" w:sz="8" w:space="0"/>
              <w:bottom w:val="single" w:color="auto" w:sz="4" w:space="0"/>
              <w:right w:val="single" w:color="auto" w:sz="4" w:space="0"/>
            </w:tcBorders>
            <w:noWrap w:val="0"/>
            <w:vAlign w:val="center"/>
          </w:tcPr>
          <w:p w14:paraId="795F64C6">
            <w:pPr>
              <w:widowControl/>
              <w:jc w:val="left"/>
              <w:rPr>
                <w:rFonts w:ascii="宋体" w:hAnsi="宋体" w:cs="宋体"/>
                <w:b/>
                <w:bCs/>
                <w:kern w:val="0"/>
                <w:sz w:val="20"/>
                <w:szCs w:val="20"/>
              </w:rPr>
            </w:pPr>
          </w:p>
        </w:tc>
        <w:tc>
          <w:tcPr>
            <w:tcW w:w="2941" w:type="dxa"/>
            <w:vMerge w:val="continue"/>
            <w:tcBorders>
              <w:top w:val="single" w:color="auto" w:sz="8" w:space="0"/>
              <w:left w:val="single" w:color="auto" w:sz="4" w:space="0"/>
              <w:bottom w:val="single" w:color="auto" w:sz="4" w:space="0"/>
              <w:right w:val="single" w:color="auto" w:sz="4" w:space="0"/>
            </w:tcBorders>
            <w:noWrap w:val="0"/>
            <w:vAlign w:val="center"/>
          </w:tcPr>
          <w:p w14:paraId="41DF5D8A">
            <w:pPr>
              <w:widowControl/>
              <w:jc w:val="left"/>
              <w:rPr>
                <w:rFonts w:ascii="宋体" w:hAnsi="宋体" w:cs="宋体"/>
                <w:b/>
                <w:bCs/>
                <w:kern w:val="0"/>
                <w:sz w:val="20"/>
                <w:szCs w:val="20"/>
              </w:rPr>
            </w:pPr>
          </w:p>
        </w:tc>
        <w:tc>
          <w:tcPr>
            <w:tcW w:w="2435" w:type="dxa"/>
            <w:vMerge w:val="continue"/>
            <w:tcBorders>
              <w:top w:val="single" w:color="auto" w:sz="8" w:space="0"/>
              <w:left w:val="single" w:color="auto" w:sz="4" w:space="0"/>
              <w:bottom w:val="single" w:color="auto" w:sz="4" w:space="0"/>
              <w:right w:val="single" w:color="auto" w:sz="4" w:space="0"/>
            </w:tcBorders>
            <w:noWrap w:val="0"/>
            <w:vAlign w:val="center"/>
          </w:tcPr>
          <w:p w14:paraId="3D94BEBA">
            <w:pPr>
              <w:widowControl/>
              <w:jc w:val="left"/>
              <w:rPr>
                <w:rFonts w:ascii="宋体" w:hAnsi="宋体" w:cs="宋体"/>
                <w:b/>
                <w:bCs/>
                <w:kern w:val="0"/>
                <w:sz w:val="20"/>
                <w:szCs w:val="20"/>
              </w:rPr>
            </w:pPr>
          </w:p>
        </w:tc>
        <w:tc>
          <w:tcPr>
            <w:tcW w:w="1046" w:type="dxa"/>
            <w:vMerge w:val="continue"/>
            <w:tcBorders>
              <w:top w:val="single" w:color="auto" w:sz="8" w:space="0"/>
              <w:left w:val="single" w:color="auto" w:sz="4" w:space="0"/>
              <w:bottom w:val="single" w:color="auto" w:sz="4" w:space="0"/>
              <w:right w:val="single" w:color="auto" w:sz="4" w:space="0"/>
            </w:tcBorders>
            <w:noWrap w:val="0"/>
            <w:vAlign w:val="center"/>
          </w:tcPr>
          <w:p w14:paraId="622F3E82">
            <w:pPr>
              <w:widowControl/>
              <w:jc w:val="left"/>
              <w:rPr>
                <w:rFonts w:ascii="宋体" w:hAnsi="宋体" w:cs="宋体"/>
                <w:b/>
                <w:bCs/>
                <w:kern w:val="0"/>
                <w:sz w:val="20"/>
                <w:szCs w:val="20"/>
              </w:rPr>
            </w:pPr>
          </w:p>
        </w:tc>
        <w:tc>
          <w:tcPr>
            <w:tcW w:w="1105" w:type="dxa"/>
            <w:vMerge w:val="continue"/>
            <w:tcBorders>
              <w:top w:val="single" w:color="auto" w:sz="8" w:space="0"/>
              <w:left w:val="single" w:color="auto" w:sz="4" w:space="0"/>
              <w:bottom w:val="single" w:color="auto" w:sz="4" w:space="0"/>
              <w:right w:val="single" w:color="auto" w:sz="8" w:space="0"/>
            </w:tcBorders>
            <w:noWrap w:val="0"/>
            <w:vAlign w:val="center"/>
          </w:tcPr>
          <w:p w14:paraId="4A90C642">
            <w:pPr>
              <w:widowControl/>
              <w:jc w:val="left"/>
              <w:rPr>
                <w:rFonts w:ascii="宋体" w:hAnsi="宋体" w:cs="宋体"/>
                <w:b/>
                <w:bCs/>
                <w:kern w:val="0"/>
                <w:sz w:val="20"/>
                <w:szCs w:val="20"/>
              </w:rPr>
            </w:pPr>
          </w:p>
        </w:tc>
      </w:tr>
      <w:tr w14:paraId="00B2FB36">
        <w:tblPrEx>
          <w:tblCellMar>
            <w:top w:w="0" w:type="dxa"/>
            <w:left w:w="108" w:type="dxa"/>
            <w:bottom w:w="0" w:type="dxa"/>
            <w:right w:w="108" w:type="dxa"/>
          </w:tblCellMar>
        </w:tblPrEx>
        <w:trPr>
          <w:wBefore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5FD4FBEF">
            <w:pPr>
              <w:widowControl/>
              <w:jc w:val="center"/>
              <w:rPr>
                <w:rFonts w:ascii="宋体" w:hAnsi="宋体" w:cs="宋体"/>
                <w:b/>
                <w:bCs/>
                <w:kern w:val="0"/>
                <w:sz w:val="20"/>
                <w:szCs w:val="20"/>
              </w:rPr>
            </w:pPr>
            <w:r>
              <w:rPr>
                <w:rFonts w:hint="eastAsia" w:ascii="宋体" w:hAnsi="宋体" w:cs="宋体"/>
                <w:b/>
                <w:bCs/>
                <w:kern w:val="0"/>
                <w:sz w:val="20"/>
                <w:szCs w:val="20"/>
              </w:rPr>
              <w:t>一</w:t>
            </w:r>
          </w:p>
        </w:tc>
        <w:tc>
          <w:tcPr>
            <w:tcW w:w="7527" w:type="dxa"/>
            <w:gridSpan w:val="4"/>
            <w:tcBorders>
              <w:top w:val="single" w:color="auto" w:sz="4" w:space="0"/>
              <w:left w:val="nil"/>
              <w:bottom w:val="single" w:color="auto" w:sz="4" w:space="0"/>
              <w:right w:val="single" w:color="000000" w:sz="8" w:space="0"/>
            </w:tcBorders>
            <w:noWrap w:val="0"/>
            <w:vAlign w:val="center"/>
          </w:tcPr>
          <w:p w14:paraId="1C2B8F0A">
            <w:pPr>
              <w:widowControl/>
              <w:rPr>
                <w:rFonts w:ascii="宋体" w:hAnsi="宋体" w:cs="宋体"/>
                <w:b/>
                <w:bCs/>
                <w:kern w:val="0"/>
                <w:sz w:val="20"/>
                <w:szCs w:val="20"/>
              </w:rPr>
            </w:pPr>
            <w:r>
              <w:rPr>
                <w:rFonts w:hint="eastAsia" w:ascii="宋体" w:hAnsi="宋体" w:cs="宋体"/>
                <w:b/>
                <w:bCs/>
                <w:kern w:val="0"/>
                <w:sz w:val="20"/>
                <w:szCs w:val="20"/>
              </w:rPr>
              <w:t>主监控中心站</w:t>
            </w:r>
          </w:p>
        </w:tc>
      </w:tr>
      <w:tr w14:paraId="706930F2">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13D93235">
            <w:pPr>
              <w:widowControl/>
              <w:jc w:val="center"/>
              <w:rPr>
                <w:rFonts w:ascii="宋体" w:hAnsi="宋体" w:cs="宋体"/>
                <w:kern w:val="0"/>
                <w:sz w:val="20"/>
                <w:szCs w:val="20"/>
              </w:rPr>
            </w:pPr>
            <w:r>
              <w:rPr>
                <w:rFonts w:hint="eastAsia" w:ascii="宋体" w:hAnsi="宋体" w:cs="宋体"/>
                <w:kern w:val="0"/>
                <w:sz w:val="20"/>
                <w:szCs w:val="20"/>
              </w:rPr>
              <w:t>1</w:t>
            </w:r>
          </w:p>
        </w:tc>
        <w:tc>
          <w:tcPr>
            <w:tcW w:w="2941" w:type="dxa"/>
            <w:tcBorders>
              <w:top w:val="nil"/>
              <w:left w:val="nil"/>
              <w:bottom w:val="single" w:color="auto" w:sz="4" w:space="0"/>
              <w:right w:val="single" w:color="auto" w:sz="4" w:space="0"/>
            </w:tcBorders>
            <w:noWrap w:val="0"/>
            <w:vAlign w:val="center"/>
          </w:tcPr>
          <w:p w14:paraId="4FD50261">
            <w:pPr>
              <w:widowControl/>
              <w:rPr>
                <w:rFonts w:ascii="宋体" w:hAnsi="宋体" w:cs="宋体"/>
                <w:kern w:val="0"/>
                <w:sz w:val="20"/>
                <w:szCs w:val="20"/>
              </w:rPr>
            </w:pPr>
            <w:r>
              <w:rPr>
                <w:rFonts w:hint="eastAsia" w:ascii="宋体" w:hAnsi="宋体" w:cs="宋体"/>
                <w:kern w:val="0"/>
                <w:sz w:val="20"/>
                <w:szCs w:val="20"/>
              </w:rPr>
              <w:t>数据服务器</w:t>
            </w:r>
          </w:p>
        </w:tc>
        <w:tc>
          <w:tcPr>
            <w:tcW w:w="2435" w:type="dxa"/>
            <w:tcBorders>
              <w:top w:val="nil"/>
              <w:left w:val="nil"/>
              <w:bottom w:val="single" w:color="auto" w:sz="4" w:space="0"/>
              <w:right w:val="single" w:color="auto" w:sz="4" w:space="0"/>
            </w:tcBorders>
            <w:noWrap w:val="0"/>
            <w:vAlign w:val="center"/>
          </w:tcPr>
          <w:p w14:paraId="35F4F516">
            <w:pPr>
              <w:widowControl/>
              <w:rPr>
                <w:kern w:val="0"/>
                <w:sz w:val="20"/>
                <w:szCs w:val="20"/>
              </w:rPr>
            </w:pPr>
            <w:r>
              <w:rPr>
                <w:kern w:val="0"/>
                <w:sz w:val="20"/>
                <w:szCs w:val="20"/>
              </w:rPr>
              <w:t>IBM X346-8840-I05</w:t>
            </w:r>
          </w:p>
        </w:tc>
        <w:tc>
          <w:tcPr>
            <w:tcW w:w="1046" w:type="dxa"/>
            <w:tcBorders>
              <w:top w:val="nil"/>
              <w:left w:val="nil"/>
              <w:bottom w:val="single" w:color="auto" w:sz="4" w:space="0"/>
              <w:right w:val="single" w:color="auto" w:sz="4" w:space="0"/>
            </w:tcBorders>
            <w:noWrap w:val="0"/>
            <w:vAlign w:val="center"/>
          </w:tcPr>
          <w:p w14:paraId="60994541">
            <w:pPr>
              <w:widowControl/>
              <w:jc w:val="center"/>
              <w:rPr>
                <w:rFonts w:ascii="宋体" w:hAnsi="宋体" w:cs="宋体"/>
                <w:kern w:val="0"/>
                <w:sz w:val="20"/>
                <w:szCs w:val="20"/>
              </w:rPr>
            </w:pPr>
            <w:r>
              <w:rPr>
                <w:rFonts w:hint="eastAsia" w:ascii="宋体" w:hAnsi="宋体" w:cs="宋体"/>
                <w:kern w:val="0"/>
                <w:sz w:val="20"/>
                <w:szCs w:val="20"/>
              </w:rPr>
              <w:t>套</w:t>
            </w:r>
          </w:p>
        </w:tc>
        <w:tc>
          <w:tcPr>
            <w:tcW w:w="1105" w:type="dxa"/>
            <w:tcBorders>
              <w:top w:val="nil"/>
              <w:left w:val="nil"/>
              <w:bottom w:val="single" w:color="auto" w:sz="4" w:space="0"/>
              <w:right w:val="single" w:color="auto" w:sz="8" w:space="0"/>
            </w:tcBorders>
            <w:noWrap w:val="0"/>
            <w:vAlign w:val="center"/>
          </w:tcPr>
          <w:p w14:paraId="5CB2AAC3">
            <w:pPr>
              <w:widowControl/>
              <w:jc w:val="center"/>
              <w:rPr>
                <w:rFonts w:ascii="宋体" w:hAnsi="宋体" w:cs="宋体"/>
                <w:kern w:val="0"/>
                <w:sz w:val="20"/>
                <w:szCs w:val="20"/>
              </w:rPr>
            </w:pPr>
            <w:r>
              <w:rPr>
                <w:rFonts w:hint="eastAsia" w:ascii="宋体" w:hAnsi="宋体" w:cs="宋体"/>
                <w:kern w:val="0"/>
                <w:sz w:val="20"/>
                <w:szCs w:val="20"/>
              </w:rPr>
              <w:t>1</w:t>
            </w:r>
          </w:p>
        </w:tc>
      </w:tr>
      <w:tr w14:paraId="33D51CF2">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894FFA9">
            <w:pPr>
              <w:widowControl/>
              <w:jc w:val="center"/>
              <w:rPr>
                <w:rFonts w:ascii="宋体" w:hAnsi="宋体" w:cs="宋体"/>
                <w:kern w:val="0"/>
                <w:sz w:val="20"/>
                <w:szCs w:val="20"/>
              </w:rPr>
            </w:pPr>
            <w:r>
              <w:rPr>
                <w:rFonts w:hint="eastAsia" w:ascii="宋体" w:hAnsi="宋体" w:cs="宋体"/>
                <w:kern w:val="0"/>
                <w:sz w:val="20"/>
                <w:szCs w:val="20"/>
              </w:rPr>
              <w:t>2</w:t>
            </w:r>
          </w:p>
        </w:tc>
        <w:tc>
          <w:tcPr>
            <w:tcW w:w="2941" w:type="dxa"/>
            <w:tcBorders>
              <w:top w:val="nil"/>
              <w:left w:val="nil"/>
              <w:bottom w:val="single" w:color="auto" w:sz="4" w:space="0"/>
              <w:right w:val="single" w:color="auto" w:sz="4" w:space="0"/>
            </w:tcBorders>
            <w:noWrap w:val="0"/>
            <w:vAlign w:val="center"/>
          </w:tcPr>
          <w:p w14:paraId="3BFC4371">
            <w:pPr>
              <w:widowControl/>
              <w:rPr>
                <w:kern w:val="0"/>
                <w:sz w:val="20"/>
                <w:szCs w:val="20"/>
              </w:rPr>
            </w:pPr>
            <w:r>
              <w:rPr>
                <w:kern w:val="0"/>
                <w:sz w:val="20"/>
                <w:szCs w:val="20"/>
              </w:rPr>
              <w:t>Web</w:t>
            </w:r>
            <w:r>
              <w:rPr>
                <w:rFonts w:hint="eastAsia" w:ascii="宋体" w:hAnsi="宋体"/>
                <w:kern w:val="0"/>
                <w:sz w:val="20"/>
                <w:szCs w:val="20"/>
              </w:rPr>
              <w:t>服务器</w:t>
            </w:r>
          </w:p>
        </w:tc>
        <w:tc>
          <w:tcPr>
            <w:tcW w:w="2435" w:type="dxa"/>
            <w:tcBorders>
              <w:top w:val="nil"/>
              <w:left w:val="nil"/>
              <w:bottom w:val="single" w:color="auto" w:sz="4" w:space="0"/>
              <w:right w:val="single" w:color="auto" w:sz="4" w:space="0"/>
            </w:tcBorders>
            <w:noWrap w:val="0"/>
            <w:vAlign w:val="center"/>
          </w:tcPr>
          <w:p w14:paraId="61C59566">
            <w:pPr>
              <w:widowControl/>
              <w:rPr>
                <w:kern w:val="0"/>
                <w:sz w:val="20"/>
                <w:szCs w:val="20"/>
              </w:rPr>
            </w:pPr>
            <w:r>
              <w:rPr>
                <w:kern w:val="0"/>
                <w:sz w:val="20"/>
                <w:szCs w:val="20"/>
              </w:rPr>
              <w:t>IBM X346-8840-I05</w:t>
            </w:r>
          </w:p>
        </w:tc>
        <w:tc>
          <w:tcPr>
            <w:tcW w:w="1046" w:type="dxa"/>
            <w:tcBorders>
              <w:top w:val="nil"/>
              <w:left w:val="nil"/>
              <w:bottom w:val="single" w:color="auto" w:sz="4" w:space="0"/>
              <w:right w:val="single" w:color="auto" w:sz="4" w:space="0"/>
            </w:tcBorders>
            <w:noWrap w:val="0"/>
            <w:vAlign w:val="center"/>
          </w:tcPr>
          <w:p w14:paraId="76434E1B">
            <w:pPr>
              <w:widowControl/>
              <w:jc w:val="center"/>
              <w:rPr>
                <w:rFonts w:ascii="宋体" w:hAnsi="宋体" w:cs="宋体"/>
                <w:kern w:val="0"/>
                <w:sz w:val="20"/>
                <w:szCs w:val="20"/>
              </w:rPr>
            </w:pPr>
            <w:r>
              <w:rPr>
                <w:rFonts w:hint="eastAsia" w:ascii="宋体" w:hAnsi="宋体" w:cs="宋体"/>
                <w:kern w:val="0"/>
                <w:sz w:val="20"/>
                <w:szCs w:val="20"/>
              </w:rPr>
              <w:t>套</w:t>
            </w:r>
          </w:p>
        </w:tc>
        <w:tc>
          <w:tcPr>
            <w:tcW w:w="1105" w:type="dxa"/>
            <w:tcBorders>
              <w:top w:val="nil"/>
              <w:left w:val="nil"/>
              <w:bottom w:val="single" w:color="auto" w:sz="4" w:space="0"/>
              <w:right w:val="single" w:color="auto" w:sz="8" w:space="0"/>
            </w:tcBorders>
            <w:noWrap w:val="0"/>
            <w:vAlign w:val="center"/>
          </w:tcPr>
          <w:p w14:paraId="3670DE9F">
            <w:pPr>
              <w:widowControl/>
              <w:jc w:val="center"/>
              <w:rPr>
                <w:rFonts w:ascii="宋体" w:hAnsi="宋体" w:cs="宋体"/>
                <w:kern w:val="0"/>
                <w:sz w:val="20"/>
                <w:szCs w:val="20"/>
              </w:rPr>
            </w:pPr>
            <w:r>
              <w:rPr>
                <w:rFonts w:hint="eastAsia" w:ascii="宋体" w:hAnsi="宋体" w:cs="宋体"/>
                <w:kern w:val="0"/>
                <w:sz w:val="20"/>
                <w:szCs w:val="20"/>
              </w:rPr>
              <w:t>1</w:t>
            </w:r>
          </w:p>
        </w:tc>
      </w:tr>
      <w:tr w14:paraId="77DFD375">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0075FBAD">
            <w:pPr>
              <w:widowControl/>
              <w:jc w:val="center"/>
              <w:rPr>
                <w:rFonts w:ascii="宋体" w:hAnsi="宋体" w:cs="宋体"/>
                <w:kern w:val="0"/>
                <w:sz w:val="20"/>
                <w:szCs w:val="20"/>
              </w:rPr>
            </w:pPr>
            <w:r>
              <w:rPr>
                <w:rFonts w:hint="eastAsia" w:ascii="宋体" w:hAnsi="宋体" w:cs="宋体"/>
                <w:kern w:val="0"/>
                <w:sz w:val="20"/>
                <w:szCs w:val="20"/>
              </w:rPr>
              <w:t>3</w:t>
            </w:r>
          </w:p>
        </w:tc>
        <w:tc>
          <w:tcPr>
            <w:tcW w:w="2941" w:type="dxa"/>
            <w:tcBorders>
              <w:top w:val="nil"/>
              <w:left w:val="nil"/>
              <w:bottom w:val="single" w:color="auto" w:sz="4" w:space="0"/>
              <w:right w:val="single" w:color="auto" w:sz="4" w:space="0"/>
            </w:tcBorders>
            <w:noWrap w:val="0"/>
            <w:vAlign w:val="center"/>
          </w:tcPr>
          <w:p w14:paraId="239998BF">
            <w:pPr>
              <w:widowControl/>
              <w:rPr>
                <w:rFonts w:ascii="宋体" w:hAnsi="宋体" w:cs="宋体"/>
                <w:kern w:val="0"/>
                <w:sz w:val="20"/>
                <w:szCs w:val="20"/>
              </w:rPr>
            </w:pPr>
            <w:r>
              <w:rPr>
                <w:rFonts w:hint="eastAsia" w:ascii="宋体" w:hAnsi="宋体" w:cs="宋体"/>
                <w:kern w:val="0"/>
                <w:sz w:val="20"/>
                <w:szCs w:val="20"/>
              </w:rPr>
              <w:t>主系统软件</w:t>
            </w:r>
          </w:p>
        </w:tc>
        <w:tc>
          <w:tcPr>
            <w:tcW w:w="2435" w:type="dxa"/>
            <w:tcBorders>
              <w:top w:val="nil"/>
              <w:left w:val="nil"/>
              <w:bottom w:val="single" w:color="auto" w:sz="4" w:space="0"/>
              <w:right w:val="single" w:color="auto" w:sz="4" w:space="0"/>
            </w:tcBorders>
            <w:noWrap w:val="0"/>
            <w:vAlign w:val="center"/>
          </w:tcPr>
          <w:p w14:paraId="0793741C">
            <w:pPr>
              <w:widowControl/>
              <w:rPr>
                <w:rFonts w:hint="eastAsia" w:ascii="宋体" w:hAnsi="宋体" w:cs="宋体"/>
                <w:kern w:val="0"/>
                <w:sz w:val="20"/>
                <w:szCs w:val="20"/>
              </w:rPr>
            </w:pPr>
            <w:r>
              <w:rPr>
                <w:rFonts w:hint="eastAsia" w:ascii="宋体" w:hAnsi="宋体" w:cs="宋体"/>
                <w:kern w:val="0"/>
                <w:sz w:val="20"/>
                <w:szCs w:val="20"/>
              </w:rPr>
              <w:t>　</w:t>
            </w:r>
            <w:r>
              <w:rPr>
                <w:kern w:val="0"/>
                <w:sz w:val="20"/>
                <w:szCs w:val="20"/>
              </w:rPr>
              <w:t>KJ</w:t>
            </w:r>
            <w:r>
              <w:rPr>
                <w:rFonts w:hint="eastAsia"/>
                <w:kern w:val="0"/>
                <w:sz w:val="20"/>
                <w:szCs w:val="20"/>
              </w:rPr>
              <w:t>90</w:t>
            </w:r>
            <w:r>
              <w:rPr>
                <w:kern w:val="0"/>
                <w:sz w:val="20"/>
                <w:szCs w:val="20"/>
              </w:rPr>
              <w:t>N</w:t>
            </w:r>
            <w:r>
              <w:rPr>
                <w:rFonts w:hint="eastAsia"/>
                <w:kern w:val="0"/>
                <w:sz w:val="20"/>
                <w:szCs w:val="20"/>
              </w:rPr>
              <w:t>A</w:t>
            </w:r>
          </w:p>
        </w:tc>
        <w:tc>
          <w:tcPr>
            <w:tcW w:w="1046" w:type="dxa"/>
            <w:tcBorders>
              <w:top w:val="nil"/>
              <w:left w:val="nil"/>
              <w:bottom w:val="single" w:color="auto" w:sz="4" w:space="0"/>
              <w:right w:val="single" w:color="auto" w:sz="4" w:space="0"/>
            </w:tcBorders>
            <w:noWrap w:val="0"/>
            <w:vAlign w:val="center"/>
          </w:tcPr>
          <w:p w14:paraId="687D88F1">
            <w:pPr>
              <w:widowControl/>
              <w:jc w:val="center"/>
              <w:rPr>
                <w:rFonts w:ascii="宋体" w:hAnsi="宋体" w:cs="宋体"/>
                <w:kern w:val="0"/>
                <w:sz w:val="20"/>
                <w:szCs w:val="20"/>
              </w:rPr>
            </w:pPr>
            <w:r>
              <w:rPr>
                <w:rFonts w:hint="eastAsia" w:ascii="宋体" w:hAnsi="宋体" w:cs="宋体"/>
                <w:kern w:val="0"/>
                <w:sz w:val="20"/>
                <w:szCs w:val="20"/>
              </w:rPr>
              <w:t>套</w:t>
            </w:r>
          </w:p>
        </w:tc>
        <w:tc>
          <w:tcPr>
            <w:tcW w:w="1105" w:type="dxa"/>
            <w:tcBorders>
              <w:top w:val="nil"/>
              <w:left w:val="nil"/>
              <w:bottom w:val="single" w:color="auto" w:sz="4" w:space="0"/>
              <w:right w:val="single" w:color="auto" w:sz="8" w:space="0"/>
            </w:tcBorders>
            <w:noWrap w:val="0"/>
            <w:vAlign w:val="center"/>
          </w:tcPr>
          <w:p w14:paraId="2C9DC3CF">
            <w:pPr>
              <w:widowControl/>
              <w:jc w:val="center"/>
              <w:rPr>
                <w:rFonts w:ascii="宋体" w:hAnsi="宋体" w:cs="宋体"/>
                <w:kern w:val="0"/>
                <w:sz w:val="20"/>
                <w:szCs w:val="20"/>
              </w:rPr>
            </w:pPr>
            <w:r>
              <w:rPr>
                <w:rFonts w:hint="eastAsia" w:ascii="宋体" w:hAnsi="宋体" w:cs="宋体"/>
                <w:kern w:val="0"/>
                <w:sz w:val="20"/>
                <w:szCs w:val="20"/>
              </w:rPr>
              <w:t>1</w:t>
            </w:r>
          </w:p>
        </w:tc>
      </w:tr>
      <w:tr w14:paraId="739E3C7F">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0767E881">
            <w:pPr>
              <w:widowControl/>
              <w:jc w:val="center"/>
              <w:rPr>
                <w:rFonts w:ascii="宋体" w:hAnsi="宋体" w:cs="宋体"/>
                <w:kern w:val="0"/>
                <w:sz w:val="20"/>
                <w:szCs w:val="20"/>
              </w:rPr>
            </w:pPr>
            <w:r>
              <w:rPr>
                <w:rFonts w:hint="eastAsia" w:ascii="宋体" w:hAnsi="宋体" w:cs="宋体"/>
                <w:kern w:val="0"/>
                <w:sz w:val="20"/>
                <w:szCs w:val="20"/>
              </w:rPr>
              <w:t>4</w:t>
            </w:r>
          </w:p>
        </w:tc>
        <w:tc>
          <w:tcPr>
            <w:tcW w:w="2941" w:type="dxa"/>
            <w:tcBorders>
              <w:top w:val="nil"/>
              <w:left w:val="nil"/>
              <w:bottom w:val="single" w:color="auto" w:sz="4" w:space="0"/>
              <w:right w:val="single" w:color="auto" w:sz="4" w:space="0"/>
            </w:tcBorders>
            <w:noWrap w:val="0"/>
            <w:vAlign w:val="center"/>
          </w:tcPr>
          <w:p w14:paraId="1F9F012A">
            <w:pPr>
              <w:widowControl/>
              <w:rPr>
                <w:rFonts w:ascii="宋体" w:hAnsi="宋体" w:cs="宋体"/>
                <w:kern w:val="0"/>
                <w:sz w:val="20"/>
                <w:szCs w:val="20"/>
              </w:rPr>
            </w:pPr>
            <w:r>
              <w:rPr>
                <w:rFonts w:hint="eastAsia" w:ascii="宋体" w:hAnsi="宋体" w:cs="宋体"/>
                <w:kern w:val="0"/>
                <w:sz w:val="20"/>
                <w:szCs w:val="20"/>
              </w:rPr>
              <w:t>传输接口</w:t>
            </w:r>
          </w:p>
        </w:tc>
        <w:tc>
          <w:tcPr>
            <w:tcW w:w="2435" w:type="dxa"/>
            <w:tcBorders>
              <w:top w:val="nil"/>
              <w:left w:val="nil"/>
              <w:bottom w:val="single" w:color="auto" w:sz="4" w:space="0"/>
              <w:right w:val="single" w:color="auto" w:sz="4" w:space="0"/>
            </w:tcBorders>
            <w:noWrap w:val="0"/>
            <w:vAlign w:val="center"/>
          </w:tcPr>
          <w:p w14:paraId="24FE63A0">
            <w:pPr>
              <w:widowControl/>
              <w:rPr>
                <w:rFonts w:ascii="宋体" w:hAnsi="宋体" w:cs="宋体"/>
                <w:kern w:val="0"/>
                <w:sz w:val="20"/>
                <w:szCs w:val="20"/>
              </w:rPr>
            </w:pPr>
            <w:r>
              <w:rPr>
                <w:rFonts w:hint="eastAsia" w:ascii="宋体" w:hAnsi="宋体" w:cs="宋体"/>
                <w:kern w:val="0"/>
                <w:sz w:val="20"/>
                <w:szCs w:val="20"/>
              </w:rPr>
              <w:t>KJJ92</w:t>
            </w:r>
          </w:p>
        </w:tc>
        <w:tc>
          <w:tcPr>
            <w:tcW w:w="1046" w:type="dxa"/>
            <w:tcBorders>
              <w:top w:val="nil"/>
              <w:left w:val="nil"/>
              <w:bottom w:val="single" w:color="auto" w:sz="4" w:space="0"/>
              <w:right w:val="single" w:color="auto" w:sz="4" w:space="0"/>
            </w:tcBorders>
            <w:noWrap w:val="0"/>
            <w:vAlign w:val="center"/>
          </w:tcPr>
          <w:p w14:paraId="6B8E3826">
            <w:pPr>
              <w:widowControl/>
              <w:jc w:val="center"/>
              <w:rPr>
                <w:rFonts w:ascii="宋体" w:hAnsi="宋体" w:cs="宋体"/>
                <w:kern w:val="0"/>
                <w:sz w:val="20"/>
                <w:szCs w:val="20"/>
              </w:rPr>
            </w:pPr>
            <w:r>
              <w:rPr>
                <w:rFonts w:hint="eastAsia" w:ascii="宋体" w:hAnsi="宋体" w:cs="宋体"/>
                <w:kern w:val="0"/>
                <w:sz w:val="20"/>
                <w:szCs w:val="20"/>
              </w:rPr>
              <w:t>套</w:t>
            </w:r>
          </w:p>
        </w:tc>
        <w:tc>
          <w:tcPr>
            <w:tcW w:w="1105" w:type="dxa"/>
            <w:tcBorders>
              <w:top w:val="nil"/>
              <w:left w:val="nil"/>
              <w:bottom w:val="single" w:color="auto" w:sz="4" w:space="0"/>
              <w:right w:val="single" w:color="auto" w:sz="8" w:space="0"/>
            </w:tcBorders>
            <w:noWrap w:val="0"/>
            <w:vAlign w:val="center"/>
          </w:tcPr>
          <w:p w14:paraId="32FC7784">
            <w:pPr>
              <w:widowControl/>
              <w:jc w:val="center"/>
              <w:rPr>
                <w:rFonts w:ascii="宋体" w:hAnsi="宋体" w:cs="宋体"/>
                <w:kern w:val="0"/>
                <w:sz w:val="20"/>
                <w:szCs w:val="20"/>
              </w:rPr>
            </w:pPr>
            <w:r>
              <w:rPr>
                <w:rFonts w:hint="eastAsia" w:ascii="宋体" w:hAnsi="宋体" w:cs="宋体"/>
                <w:kern w:val="0"/>
                <w:sz w:val="20"/>
                <w:szCs w:val="20"/>
              </w:rPr>
              <w:t>1</w:t>
            </w:r>
          </w:p>
        </w:tc>
      </w:tr>
      <w:tr w14:paraId="341A8B4F">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1F2D5DD2">
            <w:pPr>
              <w:widowControl/>
              <w:jc w:val="center"/>
              <w:rPr>
                <w:rFonts w:ascii="宋体" w:hAnsi="宋体" w:cs="宋体"/>
                <w:kern w:val="0"/>
                <w:sz w:val="20"/>
                <w:szCs w:val="20"/>
              </w:rPr>
            </w:pPr>
            <w:r>
              <w:rPr>
                <w:rFonts w:hint="eastAsia" w:ascii="宋体" w:hAnsi="宋体" w:cs="宋体"/>
                <w:kern w:val="0"/>
                <w:sz w:val="20"/>
                <w:szCs w:val="20"/>
              </w:rPr>
              <w:t>5</w:t>
            </w:r>
          </w:p>
        </w:tc>
        <w:tc>
          <w:tcPr>
            <w:tcW w:w="2941" w:type="dxa"/>
            <w:tcBorders>
              <w:top w:val="nil"/>
              <w:left w:val="nil"/>
              <w:bottom w:val="single" w:color="auto" w:sz="4" w:space="0"/>
              <w:right w:val="single" w:color="auto" w:sz="4" w:space="0"/>
            </w:tcBorders>
            <w:noWrap w:val="0"/>
            <w:vAlign w:val="center"/>
          </w:tcPr>
          <w:p w14:paraId="72172182">
            <w:pPr>
              <w:widowControl/>
              <w:rPr>
                <w:rFonts w:ascii="宋体" w:hAnsi="宋体" w:cs="宋体"/>
                <w:kern w:val="0"/>
                <w:sz w:val="20"/>
                <w:szCs w:val="20"/>
              </w:rPr>
            </w:pPr>
            <w:r>
              <w:rPr>
                <w:rFonts w:hint="eastAsia" w:ascii="宋体" w:hAnsi="宋体" w:cs="宋体"/>
                <w:kern w:val="0"/>
                <w:sz w:val="20"/>
                <w:szCs w:val="20"/>
              </w:rPr>
              <w:t>激光打印机</w:t>
            </w:r>
          </w:p>
        </w:tc>
        <w:tc>
          <w:tcPr>
            <w:tcW w:w="2435" w:type="dxa"/>
            <w:tcBorders>
              <w:top w:val="nil"/>
              <w:left w:val="nil"/>
              <w:bottom w:val="single" w:color="auto" w:sz="4" w:space="0"/>
              <w:right w:val="single" w:color="auto" w:sz="4" w:space="0"/>
            </w:tcBorders>
            <w:noWrap w:val="0"/>
            <w:vAlign w:val="center"/>
          </w:tcPr>
          <w:p w14:paraId="67739DC0">
            <w:pPr>
              <w:widowControl/>
              <w:rPr>
                <w:rFonts w:ascii="宋体" w:hAnsi="宋体" w:cs="宋体"/>
                <w:kern w:val="0"/>
                <w:sz w:val="20"/>
                <w:szCs w:val="20"/>
              </w:rPr>
            </w:pPr>
            <w:r>
              <w:rPr>
                <w:rFonts w:hint="eastAsia" w:ascii="宋体" w:hAnsi="宋体" w:cs="宋体"/>
                <w:kern w:val="0"/>
                <w:sz w:val="20"/>
                <w:szCs w:val="20"/>
              </w:rPr>
              <w:t>ML-1610</w:t>
            </w:r>
          </w:p>
        </w:tc>
        <w:tc>
          <w:tcPr>
            <w:tcW w:w="1046" w:type="dxa"/>
            <w:tcBorders>
              <w:top w:val="nil"/>
              <w:left w:val="nil"/>
              <w:bottom w:val="single" w:color="auto" w:sz="4" w:space="0"/>
              <w:right w:val="single" w:color="auto" w:sz="4" w:space="0"/>
            </w:tcBorders>
            <w:noWrap w:val="0"/>
            <w:vAlign w:val="center"/>
          </w:tcPr>
          <w:p w14:paraId="19D36A07">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56EDEE56">
            <w:pPr>
              <w:widowControl/>
              <w:jc w:val="center"/>
              <w:rPr>
                <w:rFonts w:ascii="宋体" w:hAnsi="宋体" w:cs="宋体"/>
                <w:kern w:val="0"/>
                <w:sz w:val="20"/>
                <w:szCs w:val="20"/>
              </w:rPr>
            </w:pPr>
            <w:r>
              <w:rPr>
                <w:rFonts w:hint="eastAsia" w:ascii="宋体" w:hAnsi="宋体" w:cs="宋体"/>
                <w:kern w:val="0"/>
                <w:sz w:val="20"/>
                <w:szCs w:val="20"/>
              </w:rPr>
              <w:t>1</w:t>
            </w:r>
          </w:p>
        </w:tc>
      </w:tr>
      <w:tr w14:paraId="56985559">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1D5ED075">
            <w:pPr>
              <w:widowControl/>
              <w:jc w:val="center"/>
              <w:rPr>
                <w:rFonts w:ascii="宋体" w:hAnsi="宋体" w:cs="宋体"/>
                <w:kern w:val="0"/>
                <w:sz w:val="20"/>
                <w:szCs w:val="20"/>
              </w:rPr>
            </w:pPr>
            <w:r>
              <w:rPr>
                <w:rFonts w:hint="eastAsia" w:ascii="宋体" w:hAnsi="宋体" w:cs="宋体"/>
                <w:kern w:val="0"/>
                <w:sz w:val="20"/>
                <w:szCs w:val="20"/>
              </w:rPr>
              <w:t>6</w:t>
            </w:r>
          </w:p>
        </w:tc>
        <w:tc>
          <w:tcPr>
            <w:tcW w:w="2941" w:type="dxa"/>
            <w:tcBorders>
              <w:top w:val="nil"/>
              <w:left w:val="nil"/>
              <w:bottom w:val="single" w:color="auto" w:sz="4" w:space="0"/>
              <w:right w:val="single" w:color="auto" w:sz="4" w:space="0"/>
            </w:tcBorders>
            <w:noWrap w:val="0"/>
            <w:vAlign w:val="center"/>
          </w:tcPr>
          <w:p w14:paraId="74DC31DA">
            <w:pPr>
              <w:widowControl/>
              <w:rPr>
                <w:rFonts w:ascii="宋体" w:hAnsi="宋体" w:cs="宋体"/>
                <w:kern w:val="0"/>
                <w:sz w:val="20"/>
                <w:szCs w:val="20"/>
              </w:rPr>
            </w:pPr>
            <w:r>
              <w:rPr>
                <w:rFonts w:hint="eastAsia" w:ascii="宋体" w:hAnsi="宋体" w:cs="宋体"/>
                <w:kern w:val="0"/>
                <w:sz w:val="20"/>
                <w:szCs w:val="20"/>
              </w:rPr>
              <w:t>不间断电源(UPS)</w:t>
            </w:r>
          </w:p>
        </w:tc>
        <w:tc>
          <w:tcPr>
            <w:tcW w:w="2435" w:type="dxa"/>
            <w:tcBorders>
              <w:top w:val="nil"/>
              <w:left w:val="nil"/>
              <w:bottom w:val="single" w:color="auto" w:sz="4" w:space="0"/>
              <w:right w:val="single" w:color="auto" w:sz="4" w:space="0"/>
            </w:tcBorders>
            <w:noWrap w:val="0"/>
            <w:vAlign w:val="center"/>
          </w:tcPr>
          <w:p w14:paraId="092D160D">
            <w:pPr>
              <w:widowControl/>
              <w:rPr>
                <w:rFonts w:ascii="宋体" w:hAnsi="宋体" w:cs="宋体"/>
                <w:kern w:val="0"/>
                <w:sz w:val="20"/>
                <w:szCs w:val="20"/>
              </w:rPr>
            </w:pPr>
            <w:r>
              <w:rPr>
                <w:rFonts w:hint="eastAsia" w:ascii="宋体" w:hAnsi="宋体" w:cs="宋体"/>
                <w:kern w:val="0"/>
                <w:sz w:val="20"/>
                <w:szCs w:val="20"/>
              </w:rPr>
              <w:t>1KVA</w:t>
            </w:r>
          </w:p>
        </w:tc>
        <w:tc>
          <w:tcPr>
            <w:tcW w:w="1046" w:type="dxa"/>
            <w:tcBorders>
              <w:top w:val="nil"/>
              <w:left w:val="nil"/>
              <w:bottom w:val="single" w:color="auto" w:sz="4" w:space="0"/>
              <w:right w:val="single" w:color="auto" w:sz="4" w:space="0"/>
            </w:tcBorders>
            <w:noWrap w:val="0"/>
            <w:vAlign w:val="center"/>
          </w:tcPr>
          <w:p w14:paraId="0A9C47C5">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45F66AC6">
            <w:pPr>
              <w:widowControl/>
              <w:jc w:val="center"/>
              <w:rPr>
                <w:rFonts w:ascii="宋体" w:hAnsi="宋体" w:cs="宋体"/>
                <w:kern w:val="0"/>
                <w:sz w:val="20"/>
                <w:szCs w:val="20"/>
              </w:rPr>
            </w:pPr>
            <w:r>
              <w:rPr>
                <w:rFonts w:hint="eastAsia" w:ascii="宋体" w:hAnsi="宋体" w:cs="宋体"/>
                <w:kern w:val="0"/>
                <w:sz w:val="20"/>
                <w:szCs w:val="20"/>
              </w:rPr>
              <w:t>1</w:t>
            </w:r>
          </w:p>
        </w:tc>
      </w:tr>
      <w:tr w14:paraId="441FB13E">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49928B48">
            <w:pPr>
              <w:widowControl/>
              <w:jc w:val="center"/>
              <w:rPr>
                <w:rFonts w:ascii="宋体" w:hAnsi="宋体" w:cs="宋体"/>
                <w:kern w:val="0"/>
                <w:sz w:val="20"/>
                <w:szCs w:val="20"/>
              </w:rPr>
            </w:pPr>
            <w:r>
              <w:rPr>
                <w:rFonts w:hint="eastAsia" w:ascii="宋体" w:hAnsi="宋体" w:cs="宋体"/>
                <w:kern w:val="0"/>
                <w:sz w:val="20"/>
                <w:szCs w:val="20"/>
              </w:rPr>
              <w:t>7</w:t>
            </w:r>
          </w:p>
        </w:tc>
        <w:tc>
          <w:tcPr>
            <w:tcW w:w="2941" w:type="dxa"/>
            <w:tcBorders>
              <w:top w:val="nil"/>
              <w:left w:val="nil"/>
              <w:bottom w:val="single" w:color="auto" w:sz="4" w:space="0"/>
              <w:right w:val="single" w:color="auto" w:sz="4" w:space="0"/>
            </w:tcBorders>
            <w:noWrap w:val="0"/>
            <w:vAlign w:val="center"/>
          </w:tcPr>
          <w:p w14:paraId="362B51FA">
            <w:pPr>
              <w:widowControl/>
              <w:rPr>
                <w:rFonts w:ascii="宋体" w:hAnsi="宋体" w:cs="宋体"/>
                <w:kern w:val="0"/>
                <w:sz w:val="20"/>
                <w:szCs w:val="20"/>
              </w:rPr>
            </w:pPr>
            <w:r>
              <w:rPr>
                <w:rFonts w:hint="eastAsia" w:ascii="宋体" w:hAnsi="宋体" w:cs="宋体"/>
                <w:kern w:val="0"/>
                <w:sz w:val="20"/>
                <w:szCs w:val="20"/>
              </w:rPr>
              <w:t>交流稳压电源</w:t>
            </w:r>
          </w:p>
        </w:tc>
        <w:tc>
          <w:tcPr>
            <w:tcW w:w="2435" w:type="dxa"/>
            <w:tcBorders>
              <w:top w:val="nil"/>
              <w:left w:val="nil"/>
              <w:bottom w:val="single" w:color="auto" w:sz="4" w:space="0"/>
              <w:right w:val="single" w:color="auto" w:sz="4" w:space="0"/>
            </w:tcBorders>
            <w:noWrap w:val="0"/>
            <w:vAlign w:val="center"/>
          </w:tcPr>
          <w:p w14:paraId="5D434FFB">
            <w:pPr>
              <w:widowControl/>
              <w:rPr>
                <w:rFonts w:ascii="宋体" w:hAnsi="宋体" w:cs="宋体"/>
                <w:kern w:val="0"/>
                <w:sz w:val="20"/>
                <w:szCs w:val="20"/>
              </w:rPr>
            </w:pPr>
            <w:r>
              <w:rPr>
                <w:rFonts w:hint="eastAsia" w:ascii="宋体" w:hAnsi="宋体" w:cs="宋体"/>
                <w:kern w:val="0"/>
                <w:sz w:val="20"/>
                <w:szCs w:val="20"/>
              </w:rPr>
              <w:t>YS73-4</w:t>
            </w:r>
          </w:p>
        </w:tc>
        <w:tc>
          <w:tcPr>
            <w:tcW w:w="1046" w:type="dxa"/>
            <w:tcBorders>
              <w:top w:val="nil"/>
              <w:left w:val="nil"/>
              <w:bottom w:val="single" w:color="auto" w:sz="4" w:space="0"/>
              <w:right w:val="single" w:color="auto" w:sz="4" w:space="0"/>
            </w:tcBorders>
            <w:noWrap w:val="0"/>
            <w:vAlign w:val="center"/>
          </w:tcPr>
          <w:p w14:paraId="0FE884AF">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0F5F752E">
            <w:pPr>
              <w:widowControl/>
              <w:jc w:val="center"/>
              <w:rPr>
                <w:rFonts w:ascii="宋体" w:hAnsi="宋体" w:cs="宋体"/>
                <w:kern w:val="0"/>
                <w:sz w:val="20"/>
                <w:szCs w:val="20"/>
              </w:rPr>
            </w:pPr>
            <w:r>
              <w:rPr>
                <w:rFonts w:hint="eastAsia" w:ascii="宋体" w:hAnsi="宋体" w:cs="宋体"/>
                <w:kern w:val="0"/>
                <w:sz w:val="20"/>
                <w:szCs w:val="20"/>
              </w:rPr>
              <w:t>1</w:t>
            </w:r>
          </w:p>
        </w:tc>
      </w:tr>
      <w:tr w14:paraId="7E2D0DD3">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59FEA1E2">
            <w:pPr>
              <w:widowControl/>
              <w:jc w:val="center"/>
              <w:rPr>
                <w:rFonts w:ascii="宋体" w:hAnsi="宋体" w:cs="宋体"/>
                <w:kern w:val="0"/>
                <w:sz w:val="20"/>
                <w:szCs w:val="20"/>
              </w:rPr>
            </w:pPr>
            <w:r>
              <w:rPr>
                <w:rFonts w:hint="eastAsia" w:ascii="宋体" w:hAnsi="宋体" w:cs="宋体"/>
                <w:kern w:val="0"/>
                <w:sz w:val="20"/>
                <w:szCs w:val="20"/>
              </w:rPr>
              <w:t>8</w:t>
            </w:r>
          </w:p>
        </w:tc>
        <w:tc>
          <w:tcPr>
            <w:tcW w:w="2941" w:type="dxa"/>
            <w:tcBorders>
              <w:top w:val="nil"/>
              <w:left w:val="nil"/>
              <w:bottom w:val="single" w:color="auto" w:sz="4" w:space="0"/>
              <w:right w:val="single" w:color="auto" w:sz="4" w:space="0"/>
            </w:tcBorders>
            <w:noWrap w:val="0"/>
            <w:vAlign w:val="center"/>
          </w:tcPr>
          <w:p w14:paraId="39FAE5BD">
            <w:pPr>
              <w:widowControl/>
              <w:rPr>
                <w:rFonts w:ascii="宋体" w:hAnsi="宋体" w:cs="宋体"/>
                <w:kern w:val="0"/>
                <w:sz w:val="20"/>
                <w:szCs w:val="20"/>
              </w:rPr>
            </w:pPr>
            <w:r>
              <w:rPr>
                <w:rFonts w:hint="eastAsia" w:ascii="宋体" w:hAnsi="宋体" w:cs="宋体"/>
                <w:kern w:val="0"/>
                <w:sz w:val="20"/>
                <w:szCs w:val="20"/>
              </w:rPr>
              <w:t>避雷器</w:t>
            </w:r>
          </w:p>
        </w:tc>
        <w:tc>
          <w:tcPr>
            <w:tcW w:w="2435" w:type="dxa"/>
            <w:tcBorders>
              <w:top w:val="nil"/>
              <w:left w:val="nil"/>
              <w:bottom w:val="single" w:color="auto" w:sz="4" w:space="0"/>
              <w:right w:val="single" w:color="auto" w:sz="4" w:space="0"/>
            </w:tcBorders>
            <w:noWrap w:val="0"/>
            <w:vAlign w:val="center"/>
          </w:tcPr>
          <w:p w14:paraId="310BAA61">
            <w:pPr>
              <w:widowControl/>
              <w:rPr>
                <w:rFonts w:ascii="宋体" w:hAnsi="宋体" w:cs="宋体"/>
                <w:kern w:val="0"/>
                <w:sz w:val="20"/>
                <w:szCs w:val="20"/>
              </w:rPr>
            </w:pPr>
            <w:r>
              <w:rPr>
                <w:rFonts w:hint="eastAsia" w:ascii="宋体" w:hAnsi="宋体" w:cs="宋体"/>
                <w:kern w:val="0"/>
                <w:sz w:val="20"/>
                <w:szCs w:val="20"/>
              </w:rPr>
              <w:t>HYBL02-220C　</w:t>
            </w:r>
          </w:p>
        </w:tc>
        <w:tc>
          <w:tcPr>
            <w:tcW w:w="1046" w:type="dxa"/>
            <w:tcBorders>
              <w:top w:val="nil"/>
              <w:left w:val="nil"/>
              <w:bottom w:val="single" w:color="auto" w:sz="4" w:space="0"/>
              <w:right w:val="single" w:color="auto" w:sz="4" w:space="0"/>
            </w:tcBorders>
            <w:noWrap w:val="0"/>
            <w:vAlign w:val="center"/>
          </w:tcPr>
          <w:p w14:paraId="1F202F67">
            <w:pPr>
              <w:widowControl/>
              <w:jc w:val="center"/>
              <w:rPr>
                <w:rFonts w:ascii="宋体" w:hAnsi="宋体" w:cs="宋体"/>
                <w:kern w:val="0"/>
                <w:sz w:val="20"/>
                <w:szCs w:val="20"/>
              </w:rPr>
            </w:pPr>
            <w:r>
              <w:rPr>
                <w:rFonts w:hint="eastAsia" w:ascii="宋体" w:hAnsi="宋体" w:cs="宋体"/>
                <w:kern w:val="0"/>
                <w:sz w:val="20"/>
                <w:szCs w:val="20"/>
              </w:rPr>
              <w:t>套</w:t>
            </w:r>
          </w:p>
        </w:tc>
        <w:tc>
          <w:tcPr>
            <w:tcW w:w="1105" w:type="dxa"/>
            <w:tcBorders>
              <w:top w:val="nil"/>
              <w:left w:val="nil"/>
              <w:bottom w:val="single" w:color="auto" w:sz="4" w:space="0"/>
              <w:right w:val="single" w:color="auto" w:sz="8" w:space="0"/>
            </w:tcBorders>
            <w:noWrap w:val="0"/>
            <w:vAlign w:val="center"/>
          </w:tcPr>
          <w:p w14:paraId="38EBFE95">
            <w:pPr>
              <w:widowControl/>
              <w:jc w:val="center"/>
              <w:rPr>
                <w:rFonts w:ascii="宋体" w:hAnsi="宋体" w:cs="宋体"/>
                <w:kern w:val="0"/>
                <w:sz w:val="20"/>
                <w:szCs w:val="20"/>
              </w:rPr>
            </w:pPr>
            <w:r>
              <w:rPr>
                <w:rFonts w:hint="eastAsia" w:ascii="宋体" w:hAnsi="宋体" w:cs="宋体"/>
                <w:kern w:val="0"/>
                <w:sz w:val="20"/>
                <w:szCs w:val="20"/>
              </w:rPr>
              <w:t>1</w:t>
            </w:r>
          </w:p>
        </w:tc>
      </w:tr>
      <w:tr w14:paraId="428035E8">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089D831C">
            <w:pPr>
              <w:widowControl/>
              <w:jc w:val="center"/>
              <w:rPr>
                <w:rFonts w:ascii="宋体" w:hAnsi="宋体" w:cs="宋体"/>
                <w:kern w:val="0"/>
                <w:sz w:val="20"/>
                <w:szCs w:val="20"/>
              </w:rPr>
            </w:pPr>
            <w:r>
              <w:rPr>
                <w:rFonts w:hint="eastAsia" w:ascii="宋体" w:hAnsi="宋体" w:cs="宋体"/>
                <w:kern w:val="0"/>
                <w:sz w:val="20"/>
                <w:szCs w:val="20"/>
              </w:rPr>
              <w:t>9</w:t>
            </w:r>
          </w:p>
        </w:tc>
        <w:tc>
          <w:tcPr>
            <w:tcW w:w="2941" w:type="dxa"/>
            <w:tcBorders>
              <w:top w:val="nil"/>
              <w:left w:val="nil"/>
              <w:bottom w:val="single" w:color="auto" w:sz="4" w:space="0"/>
              <w:right w:val="single" w:color="auto" w:sz="4" w:space="0"/>
            </w:tcBorders>
            <w:noWrap w:val="0"/>
            <w:vAlign w:val="center"/>
          </w:tcPr>
          <w:p w14:paraId="46A0BF85">
            <w:pPr>
              <w:widowControl/>
              <w:rPr>
                <w:rFonts w:ascii="宋体" w:hAnsi="宋体" w:cs="宋体"/>
                <w:kern w:val="0"/>
                <w:sz w:val="20"/>
                <w:szCs w:val="20"/>
              </w:rPr>
            </w:pPr>
            <w:r>
              <w:rPr>
                <w:rFonts w:hint="eastAsia" w:ascii="宋体" w:hAnsi="宋体" w:cs="宋体"/>
                <w:kern w:val="0"/>
                <w:sz w:val="20"/>
                <w:szCs w:val="20"/>
              </w:rPr>
              <w:t>电脑机柜及桌椅</w:t>
            </w:r>
          </w:p>
        </w:tc>
        <w:tc>
          <w:tcPr>
            <w:tcW w:w="2435" w:type="dxa"/>
            <w:tcBorders>
              <w:top w:val="nil"/>
              <w:left w:val="nil"/>
              <w:bottom w:val="single" w:color="auto" w:sz="4" w:space="0"/>
              <w:right w:val="single" w:color="auto" w:sz="4" w:space="0"/>
            </w:tcBorders>
            <w:noWrap w:val="0"/>
            <w:vAlign w:val="center"/>
          </w:tcPr>
          <w:p w14:paraId="7BFF03DA">
            <w:pPr>
              <w:widowControl/>
              <w:rPr>
                <w:rFonts w:ascii="宋体" w:hAnsi="宋体" w:cs="宋体"/>
                <w:kern w:val="0"/>
                <w:sz w:val="20"/>
                <w:szCs w:val="20"/>
              </w:rPr>
            </w:pPr>
            <w:r>
              <w:rPr>
                <w:rFonts w:hint="eastAsia" w:ascii="宋体" w:hAnsi="宋体" w:cs="宋体"/>
                <w:kern w:val="0"/>
                <w:sz w:val="20"/>
                <w:szCs w:val="20"/>
              </w:rPr>
              <w:t>　</w:t>
            </w:r>
          </w:p>
        </w:tc>
        <w:tc>
          <w:tcPr>
            <w:tcW w:w="1046" w:type="dxa"/>
            <w:tcBorders>
              <w:top w:val="nil"/>
              <w:left w:val="nil"/>
              <w:bottom w:val="single" w:color="auto" w:sz="4" w:space="0"/>
              <w:right w:val="single" w:color="auto" w:sz="4" w:space="0"/>
            </w:tcBorders>
            <w:noWrap w:val="0"/>
            <w:vAlign w:val="center"/>
          </w:tcPr>
          <w:p w14:paraId="5354CB99">
            <w:pPr>
              <w:widowControl/>
              <w:jc w:val="center"/>
              <w:rPr>
                <w:rFonts w:ascii="宋体" w:hAnsi="宋体" w:cs="宋体"/>
                <w:kern w:val="0"/>
                <w:sz w:val="20"/>
                <w:szCs w:val="20"/>
              </w:rPr>
            </w:pPr>
            <w:r>
              <w:rPr>
                <w:rFonts w:hint="eastAsia" w:ascii="宋体" w:hAnsi="宋体" w:cs="宋体"/>
                <w:kern w:val="0"/>
                <w:sz w:val="20"/>
                <w:szCs w:val="20"/>
              </w:rPr>
              <w:t>套</w:t>
            </w:r>
          </w:p>
        </w:tc>
        <w:tc>
          <w:tcPr>
            <w:tcW w:w="1105" w:type="dxa"/>
            <w:tcBorders>
              <w:top w:val="nil"/>
              <w:left w:val="nil"/>
              <w:bottom w:val="single" w:color="auto" w:sz="4" w:space="0"/>
              <w:right w:val="single" w:color="auto" w:sz="8" w:space="0"/>
            </w:tcBorders>
            <w:noWrap w:val="0"/>
            <w:vAlign w:val="center"/>
          </w:tcPr>
          <w:p w14:paraId="1922F153">
            <w:pPr>
              <w:widowControl/>
              <w:jc w:val="center"/>
              <w:rPr>
                <w:rFonts w:ascii="宋体" w:hAnsi="宋体" w:cs="宋体"/>
                <w:kern w:val="0"/>
                <w:sz w:val="20"/>
                <w:szCs w:val="20"/>
              </w:rPr>
            </w:pPr>
            <w:r>
              <w:rPr>
                <w:rFonts w:hint="eastAsia" w:ascii="宋体" w:hAnsi="宋体" w:cs="宋体"/>
                <w:kern w:val="0"/>
                <w:sz w:val="20"/>
                <w:szCs w:val="20"/>
              </w:rPr>
              <w:t>1</w:t>
            </w:r>
          </w:p>
        </w:tc>
      </w:tr>
      <w:tr w14:paraId="73BF380A">
        <w:tblPrEx>
          <w:tblCellMar>
            <w:top w:w="0" w:type="dxa"/>
            <w:left w:w="108" w:type="dxa"/>
            <w:bottom w:w="0" w:type="dxa"/>
            <w:right w:w="108" w:type="dxa"/>
          </w:tblCellMar>
        </w:tblPrEx>
        <w:trPr>
          <w:wBefore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21154FCF">
            <w:pPr>
              <w:widowControl/>
              <w:jc w:val="center"/>
              <w:rPr>
                <w:rFonts w:ascii="宋体" w:hAnsi="宋体" w:cs="宋体"/>
                <w:b/>
                <w:bCs/>
                <w:kern w:val="0"/>
                <w:sz w:val="20"/>
                <w:szCs w:val="20"/>
              </w:rPr>
            </w:pPr>
            <w:r>
              <w:rPr>
                <w:rFonts w:hint="eastAsia" w:ascii="宋体" w:hAnsi="宋体" w:cs="宋体"/>
                <w:b/>
                <w:bCs/>
                <w:kern w:val="0"/>
                <w:sz w:val="20"/>
                <w:szCs w:val="20"/>
              </w:rPr>
              <w:t>二</w:t>
            </w:r>
          </w:p>
        </w:tc>
        <w:tc>
          <w:tcPr>
            <w:tcW w:w="7527" w:type="dxa"/>
            <w:gridSpan w:val="4"/>
            <w:tcBorders>
              <w:top w:val="single" w:color="auto" w:sz="4" w:space="0"/>
              <w:left w:val="nil"/>
              <w:bottom w:val="single" w:color="auto" w:sz="4" w:space="0"/>
              <w:right w:val="single" w:color="000000" w:sz="8" w:space="0"/>
            </w:tcBorders>
            <w:noWrap w:val="0"/>
            <w:vAlign w:val="center"/>
          </w:tcPr>
          <w:p w14:paraId="6ED0ED1C">
            <w:pPr>
              <w:widowControl/>
              <w:rPr>
                <w:rFonts w:ascii="宋体" w:hAnsi="宋体" w:cs="宋体"/>
                <w:b/>
                <w:bCs/>
                <w:kern w:val="0"/>
                <w:sz w:val="20"/>
                <w:szCs w:val="20"/>
              </w:rPr>
            </w:pPr>
            <w:r>
              <w:rPr>
                <w:rFonts w:hint="eastAsia" w:ascii="宋体" w:hAnsi="宋体" w:cs="宋体"/>
                <w:b/>
                <w:bCs/>
                <w:kern w:val="0"/>
                <w:sz w:val="20"/>
                <w:szCs w:val="20"/>
              </w:rPr>
              <w:t>监控分站</w:t>
            </w:r>
          </w:p>
        </w:tc>
      </w:tr>
      <w:tr w14:paraId="64A46510">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4C065C91">
            <w:pPr>
              <w:widowControl/>
              <w:jc w:val="center"/>
              <w:rPr>
                <w:rFonts w:ascii="宋体" w:hAnsi="宋体" w:cs="宋体"/>
                <w:kern w:val="0"/>
                <w:sz w:val="20"/>
                <w:szCs w:val="20"/>
              </w:rPr>
            </w:pPr>
            <w:r>
              <w:rPr>
                <w:rFonts w:hint="eastAsia" w:ascii="宋体" w:hAnsi="宋体" w:cs="宋体"/>
                <w:kern w:val="0"/>
                <w:sz w:val="20"/>
                <w:szCs w:val="20"/>
              </w:rPr>
              <w:t>　</w:t>
            </w:r>
          </w:p>
        </w:tc>
        <w:tc>
          <w:tcPr>
            <w:tcW w:w="2941" w:type="dxa"/>
            <w:tcBorders>
              <w:top w:val="nil"/>
              <w:left w:val="nil"/>
              <w:bottom w:val="single" w:color="auto" w:sz="4" w:space="0"/>
              <w:right w:val="single" w:color="auto" w:sz="4" w:space="0"/>
            </w:tcBorders>
            <w:noWrap w:val="0"/>
            <w:vAlign w:val="center"/>
          </w:tcPr>
          <w:p w14:paraId="1EDF26B8">
            <w:pPr>
              <w:widowControl/>
              <w:rPr>
                <w:rFonts w:ascii="宋体" w:hAnsi="宋体" w:cs="宋体"/>
                <w:kern w:val="0"/>
                <w:sz w:val="20"/>
                <w:szCs w:val="20"/>
              </w:rPr>
            </w:pPr>
            <w:r>
              <w:rPr>
                <w:rFonts w:hint="eastAsia" w:ascii="宋体" w:hAnsi="宋体" w:cs="宋体"/>
                <w:kern w:val="0"/>
                <w:sz w:val="20"/>
                <w:szCs w:val="20"/>
              </w:rPr>
              <w:t>大分站</w:t>
            </w:r>
          </w:p>
        </w:tc>
        <w:tc>
          <w:tcPr>
            <w:tcW w:w="2435" w:type="dxa"/>
            <w:tcBorders>
              <w:top w:val="nil"/>
              <w:left w:val="nil"/>
              <w:bottom w:val="single" w:color="auto" w:sz="4" w:space="0"/>
              <w:right w:val="single" w:color="auto" w:sz="4" w:space="0"/>
            </w:tcBorders>
            <w:noWrap w:val="0"/>
            <w:vAlign w:val="center"/>
          </w:tcPr>
          <w:p w14:paraId="2C708ADE">
            <w:pPr>
              <w:widowControl/>
              <w:rPr>
                <w:rFonts w:ascii="宋体" w:hAnsi="宋体" w:cs="宋体"/>
                <w:kern w:val="0"/>
                <w:sz w:val="20"/>
                <w:szCs w:val="20"/>
              </w:rPr>
            </w:pPr>
            <w:r>
              <w:rPr>
                <w:rFonts w:hint="eastAsia" w:ascii="宋体" w:hAnsi="宋体" w:cs="宋体"/>
                <w:kern w:val="0"/>
                <w:sz w:val="20"/>
                <w:szCs w:val="20"/>
              </w:rPr>
              <w:t>KJ90-F16</w:t>
            </w:r>
          </w:p>
        </w:tc>
        <w:tc>
          <w:tcPr>
            <w:tcW w:w="1046" w:type="dxa"/>
            <w:tcBorders>
              <w:top w:val="nil"/>
              <w:left w:val="nil"/>
              <w:bottom w:val="single" w:color="auto" w:sz="4" w:space="0"/>
              <w:right w:val="single" w:color="auto" w:sz="4" w:space="0"/>
            </w:tcBorders>
            <w:noWrap w:val="0"/>
            <w:vAlign w:val="center"/>
          </w:tcPr>
          <w:p w14:paraId="2FCC9CBC">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5FB7EF21">
            <w:pPr>
              <w:widowControl/>
              <w:jc w:val="center"/>
              <w:rPr>
                <w:rFonts w:ascii="宋体" w:hAnsi="宋体" w:cs="宋体"/>
                <w:kern w:val="0"/>
                <w:sz w:val="20"/>
                <w:szCs w:val="20"/>
              </w:rPr>
            </w:pPr>
            <w:r>
              <w:rPr>
                <w:rFonts w:hint="eastAsia" w:ascii="宋体" w:hAnsi="宋体" w:cs="宋体"/>
                <w:kern w:val="0"/>
                <w:sz w:val="20"/>
                <w:szCs w:val="20"/>
              </w:rPr>
              <w:t>8</w:t>
            </w:r>
          </w:p>
        </w:tc>
      </w:tr>
      <w:tr w14:paraId="00B2D0DA">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702A5443">
            <w:pPr>
              <w:widowControl/>
              <w:jc w:val="center"/>
              <w:rPr>
                <w:rFonts w:ascii="宋体" w:hAnsi="宋体" w:cs="宋体"/>
                <w:b/>
                <w:bCs/>
                <w:kern w:val="0"/>
                <w:sz w:val="20"/>
                <w:szCs w:val="20"/>
              </w:rPr>
            </w:pPr>
            <w:r>
              <w:rPr>
                <w:rFonts w:hint="eastAsia" w:ascii="宋体" w:hAnsi="宋体" w:cs="宋体"/>
                <w:b/>
                <w:bCs/>
                <w:kern w:val="0"/>
                <w:sz w:val="20"/>
                <w:szCs w:val="20"/>
              </w:rPr>
              <w:t>三</w:t>
            </w:r>
          </w:p>
        </w:tc>
        <w:tc>
          <w:tcPr>
            <w:tcW w:w="2941" w:type="dxa"/>
            <w:tcBorders>
              <w:top w:val="nil"/>
              <w:left w:val="nil"/>
              <w:bottom w:val="single" w:color="auto" w:sz="4" w:space="0"/>
              <w:right w:val="single" w:color="auto" w:sz="4" w:space="0"/>
            </w:tcBorders>
            <w:noWrap w:val="0"/>
            <w:vAlign w:val="center"/>
          </w:tcPr>
          <w:p w14:paraId="13F44C13">
            <w:pPr>
              <w:widowControl/>
              <w:rPr>
                <w:rFonts w:ascii="宋体" w:hAnsi="宋体" w:cs="宋体"/>
                <w:b/>
                <w:bCs/>
                <w:kern w:val="0"/>
                <w:sz w:val="20"/>
                <w:szCs w:val="20"/>
              </w:rPr>
            </w:pPr>
            <w:r>
              <w:rPr>
                <w:rFonts w:hint="eastAsia" w:ascii="宋体" w:hAnsi="宋体" w:cs="宋体"/>
                <w:b/>
                <w:bCs/>
                <w:kern w:val="0"/>
                <w:sz w:val="20"/>
                <w:szCs w:val="20"/>
              </w:rPr>
              <w:t>传感器</w:t>
            </w:r>
          </w:p>
        </w:tc>
        <w:tc>
          <w:tcPr>
            <w:tcW w:w="2435" w:type="dxa"/>
            <w:tcBorders>
              <w:top w:val="nil"/>
              <w:left w:val="nil"/>
              <w:bottom w:val="single" w:color="auto" w:sz="4" w:space="0"/>
              <w:right w:val="single" w:color="auto" w:sz="4" w:space="0"/>
            </w:tcBorders>
            <w:noWrap w:val="0"/>
            <w:vAlign w:val="center"/>
          </w:tcPr>
          <w:p w14:paraId="3817A7EA">
            <w:pPr>
              <w:widowControl/>
              <w:rPr>
                <w:rFonts w:ascii="宋体" w:hAnsi="宋体" w:cs="宋体"/>
                <w:kern w:val="0"/>
                <w:sz w:val="20"/>
                <w:szCs w:val="20"/>
              </w:rPr>
            </w:pPr>
            <w:r>
              <w:rPr>
                <w:rFonts w:hint="eastAsia" w:ascii="宋体" w:hAnsi="宋体" w:cs="宋体"/>
                <w:kern w:val="0"/>
                <w:sz w:val="20"/>
                <w:szCs w:val="20"/>
              </w:rPr>
              <w:t>　</w:t>
            </w:r>
          </w:p>
        </w:tc>
        <w:tc>
          <w:tcPr>
            <w:tcW w:w="1046" w:type="dxa"/>
            <w:tcBorders>
              <w:top w:val="nil"/>
              <w:left w:val="nil"/>
              <w:bottom w:val="single" w:color="auto" w:sz="4" w:space="0"/>
              <w:right w:val="single" w:color="auto" w:sz="4" w:space="0"/>
            </w:tcBorders>
            <w:noWrap w:val="0"/>
            <w:vAlign w:val="center"/>
          </w:tcPr>
          <w:p w14:paraId="0D5D403D">
            <w:pPr>
              <w:widowControl/>
              <w:jc w:val="center"/>
              <w:rPr>
                <w:rFonts w:ascii="宋体" w:hAnsi="宋体" w:cs="宋体"/>
                <w:kern w:val="0"/>
                <w:sz w:val="20"/>
                <w:szCs w:val="20"/>
              </w:rPr>
            </w:pPr>
            <w:r>
              <w:rPr>
                <w:rFonts w:hint="eastAsia" w:ascii="宋体" w:hAnsi="宋体" w:cs="宋体"/>
                <w:kern w:val="0"/>
                <w:sz w:val="20"/>
                <w:szCs w:val="20"/>
              </w:rPr>
              <w:t>　</w:t>
            </w:r>
          </w:p>
        </w:tc>
        <w:tc>
          <w:tcPr>
            <w:tcW w:w="1105" w:type="dxa"/>
            <w:tcBorders>
              <w:top w:val="nil"/>
              <w:left w:val="nil"/>
              <w:bottom w:val="single" w:color="auto" w:sz="4" w:space="0"/>
              <w:right w:val="single" w:color="auto" w:sz="8" w:space="0"/>
            </w:tcBorders>
            <w:noWrap w:val="0"/>
            <w:vAlign w:val="center"/>
          </w:tcPr>
          <w:p w14:paraId="50EC31BF">
            <w:pPr>
              <w:widowControl/>
              <w:jc w:val="center"/>
              <w:rPr>
                <w:rFonts w:ascii="宋体" w:hAnsi="宋体" w:cs="宋体"/>
                <w:kern w:val="0"/>
                <w:sz w:val="20"/>
                <w:szCs w:val="20"/>
              </w:rPr>
            </w:pPr>
            <w:r>
              <w:rPr>
                <w:rFonts w:hint="eastAsia" w:ascii="宋体" w:hAnsi="宋体" w:cs="宋体"/>
                <w:kern w:val="0"/>
                <w:sz w:val="20"/>
                <w:szCs w:val="20"/>
              </w:rPr>
              <w:t>　</w:t>
            </w:r>
          </w:p>
        </w:tc>
      </w:tr>
      <w:tr w14:paraId="01F93A55">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5378275C">
            <w:pPr>
              <w:widowControl/>
              <w:jc w:val="center"/>
              <w:rPr>
                <w:rFonts w:ascii="宋体" w:hAnsi="宋体" w:cs="宋体"/>
                <w:kern w:val="0"/>
                <w:sz w:val="20"/>
                <w:szCs w:val="20"/>
              </w:rPr>
            </w:pPr>
            <w:r>
              <w:rPr>
                <w:rFonts w:hint="eastAsia" w:ascii="宋体" w:hAnsi="宋体" w:cs="宋体"/>
                <w:kern w:val="0"/>
                <w:sz w:val="20"/>
                <w:szCs w:val="20"/>
              </w:rPr>
              <w:t>1</w:t>
            </w:r>
          </w:p>
        </w:tc>
        <w:tc>
          <w:tcPr>
            <w:tcW w:w="2941" w:type="dxa"/>
            <w:tcBorders>
              <w:top w:val="nil"/>
              <w:left w:val="nil"/>
              <w:bottom w:val="single" w:color="auto" w:sz="4" w:space="0"/>
              <w:right w:val="single" w:color="auto" w:sz="4" w:space="0"/>
            </w:tcBorders>
            <w:noWrap w:val="0"/>
            <w:vAlign w:val="center"/>
          </w:tcPr>
          <w:p w14:paraId="5EF7B874">
            <w:pPr>
              <w:widowControl/>
              <w:rPr>
                <w:rFonts w:ascii="宋体" w:hAnsi="宋体" w:cs="宋体"/>
                <w:kern w:val="0"/>
                <w:sz w:val="20"/>
                <w:szCs w:val="20"/>
              </w:rPr>
            </w:pPr>
            <w:r>
              <w:rPr>
                <w:rFonts w:hint="eastAsia" w:ascii="宋体" w:hAnsi="宋体" w:cs="宋体"/>
                <w:kern w:val="0"/>
                <w:sz w:val="20"/>
                <w:szCs w:val="20"/>
              </w:rPr>
              <w:t>瓦斯传感器</w:t>
            </w:r>
          </w:p>
        </w:tc>
        <w:tc>
          <w:tcPr>
            <w:tcW w:w="2435" w:type="dxa"/>
            <w:tcBorders>
              <w:top w:val="nil"/>
              <w:left w:val="nil"/>
              <w:bottom w:val="single" w:color="auto" w:sz="4" w:space="0"/>
              <w:right w:val="single" w:color="auto" w:sz="4" w:space="0"/>
            </w:tcBorders>
            <w:noWrap w:val="0"/>
            <w:vAlign w:val="center"/>
          </w:tcPr>
          <w:p w14:paraId="0DC6E56E">
            <w:pPr>
              <w:widowControl/>
              <w:rPr>
                <w:kern w:val="0"/>
                <w:sz w:val="20"/>
                <w:szCs w:val="20"/>
              </w:rPr>
            </w:pPr>
            <w:r>
              <w:rPr>
                <w:kern w:val="0"/>
                <w:sz w:val="20"/>
                <w:szCs w:val="20"/>
              </w:rPr>
              <w:t>KG9001B</w:t>
            </w:r>
          </w:p>
        </w:tc>
        <w:tc>
          <w:tcPr>
            <w:tcW w:w="1046" w:type="dxa"/>
            <w:tcBorders>
              <w:top w:val="nil"/>
              <w:left w:val="nil"/>
              <w:bottom w:val="single" w:color="auto" w:sz="4" w:space="0"/>
              <w:right w:val="single" w:color="auto" w:sz="4" w:space="0"/>
            </w:tcBorders>
            <w:noWrap w:val="0"/>
            <w:vAlign w:val="center"/>
          </w:tcPr>
          <w:p w14:paraId="3F469F37">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522BB72F">
            <w:pPr>
              <w:widowControl/>
              <w:jc w:val="center"/>
              <w:rPr>
                <w:kern w:val="0"/>
                <w:sz w:val="20"/>
                <w:szCs w:val="20"/>
              </w:rPr>
            </w:pPr>
            <w:r>
              <w:rPr>
                <w:kern w:val="0"/>
                <w:sz w:val="20"/>
                <w:szCs w:val="20"/>
              </w:rPr>
              <w:t>11</w:t>
            </w:r>
          </w:p>
        </w:tc>
      </w:tr>
      <w:tr w14:paraId="2215541E">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7B823A5">
            <w:pPr>
              <w:widowControl/>
              <w:jc w:val="center"/>
              <w:rPr>
                <w:rFonts w:ascii="宋体" w:hAnsi="宋体" w:cs="宋体"/>
                <w:kern w:val="0"/>
                <w:sz w:val="20"/>
                <w:szCs w:val="20"/>
              </w:rPr>
            </w:pPr>
            <w:r>
              <w:rPr>
                <w:rFonts w:hint="eastAsia" w:ascii="宋体" w:hAnsi="宋体" w:cs="宋体"/>
                <w:kern w:val="0"/>
                <w:sz w:val="20"/>
                <w:szCs w:val="20"/>
              </w:rPr>
              <w:t>2</w:t>
            </w:r>
          </w:p>
        </w:tc>
        <w:tc>
          <w:tcPr>
            <w:tcW w:w="2941" w:type="dxa"/>
            <w:tcBorders>
              <w:top w:val="nil"/>
              <w:left w:val="nil"/>
              <w:bottom w:val="single" w:color="auto" w:sz="4" w:space="0"/>
              <w:right w:val="single" w:color="auto" w:sz="4" w:space="0"/>
            </w:tcBorders>
            <w:noWrap w:val="0"/>
            <w:vAlign w:val="center"/>
          </w:tcPr>
          <w:p w14:paraId="7A837B72">
            <w:pPr>
              <w:widowControl/>
              <w:rPr>
                <w:rFonts w:ascii="宋体" w:hAnsi="宋体" w:cs="宋体"/>
                <w:kern w:val="0"/>
                <w:sz w:val="20"/>
                <w:szCs w:val="20"/>
              </w:rPr>
            </w:pPr>
            <w:r>
              <w:rPr>
                <w:rFonts w:hint="eastAsia" w:ascii="宋体" w:hAnsi="宋体" w:cs="宋体"/>
                <w:kern w:val="0"/>
                <w:sz w:val="20"/>
                <w:szCs w:val="20"/>
              </w:rPr>
              <w:t>风速传感器</w:t>
            </w:r>
          </w:p>
        </w:tc>
        <w:tc>
          <w:tcPr>
            <w:tcW w:w="2435" w:type="dxa"/>
            <w:tcBorders>
              <w:top w:val="nil"/>
              <w:left w:val="nil"/>
              <w:bottom w:val="single" w:color="auto" w:sz="4" w:space="0"/>
              <w:right w:val="single" w:color="auto" w:sz="4" w:space="0"/>
            </w:tcBorders>
            <w:noWrap w:val="0"/>
            <w:vAlign w:val="center"/>
          </w:tcPr>
          <w:p w14:paraId="208DE73E">
            <w:pPr>
              <w:widowControl/>
              <w:rPr>
                <w:kern w:val="0"/>
                <w:sz w:val="20"/>
                <w:szCs w:val="20"/>
              </w:rPr>
            </w:pPr>
            <w:r>
              <w:rPr>
                <w:kern w:val="0"/>
                <w:sz w:val="20"/>
                <w:szCs w:val="20"/>
              </w:rPr>
              <w:t>CW-1</w:t>
            </w:r>
          </w:p>
        </w:tc>
        <w:tc>
          <w:tcPr>
            <w:tcW w:w="1046" w:type="dxa"/>
            <w:tcBorders>
              <w:top w:val="nil"/>
              <w:left w:val="nil"/>
              <w:bottom w:val="single" w:color="auto" w:sz="4" w:space="0"/>
              <w:right w:val="single" w:color="auto" w:sz="4" w:space="0"/>
            </w:tcBorders>
            <w:noWrap w:val="0"/>
            <w:vAlign w:val="center"/>
          </w:tcPr>
          <w:p w14:paraId="01E8AEBB">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1F8F9E9A">
            <w:pPr>
              <w:widowControl/>
              <w:jc w:val="center"/>
              <w:rPr>
                <w:kern w:val="0"/>
                <w:sz w:val="20"/>
                <w:szCs w:val="20"/>
              </w:rPr>
            </w:pPr>
            <w:r>
              <w:rPr>
                <w:kern w:val="0"/>
                <w:sz w:val="20"/>
                <w:szCs w:val="20"/>
              </w:rPr>
              <w:t>5</w:t>
            </w:r>
          </w:p>
        </w:tc>
      </w:tr>
      <w:tr w14:paraId="52D07185">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CE4342D">
            <w:pPr>
              <w:widowControl/>
              <w:jc w:val="center"/>
              <w:rPr>
                <w:rFonts w:ascii="宋体" w:hAnsi="宋体" w:cs="宋体"/>
                <w:kern w:val="0"/>
                <w:sz w:val="20"/>
                <w:szCs w:val="20"/>
              </w:rPr>
            </w:pPr>
            <w:r>
              <w:rPr>
                <w:rFonts w:hint="eastAsia" w:ascii="宋体" w:hAnsi="宋体" w:cs="宋体"/>
                <w:kern w:val="0"/>
                <w:sz w:val="20"/>
                <w:szCs w:val="20"/>
              </w:rPr>
              <w:t>3</w:t>
            </w:r>
          </w:p>
        </w:tc>
        <w:tc>
          <w:tcPr>
            <w:tcW w:w="2941" w:type="dxa"/>
            <w:tcBorders>
              <w:top w:val="nil"/>
              <w:left w:val="nil"/>
              <w:bottom w:val="single" w:color="auto" w:sz="4" w:space="0"/>
              <w:right w:val="single" w:color="auto" w:sz="4" w:space="0"/>
            </w:tcBorders>
            <w:noWrap w:val="0"/>
            <w:vAlign w:val="center"/>
          </w:tcPr>
          <w:p w14:paraId="35DA5543">
            <w:pPr>
              <w:widowControl/>
              <w:rPr>
                <w:kern w:val="0"/>
                <w:sz w:val="20"/>
                <w:szCs w:val="20"/>
              </w:rPr>
            </w:pPr>
            <w:r>
              <w:rPr>
                <w:kern w:val="0"/>
                <w:sz w:val="20"/>
                <w:szCs w:val="20"/>
              </w:rPr>
              <w:t>CO</w:t>
            </w:r>
            <w:r>
              <w:rPr>
                <w:rFonts w:hint="eastAsia" w:ascii="宋体" w:hAnsi="宋体"/>
                <w:kern w:val="0"/>
                <w:sz w:val="20"/>
                <w:szCs w:val="20"/>
              </w:rPr>
              <w:t>传感器</w:t>
            </w:r>
            <w:r>
              <w:rPr>
                <w:kern w:val="0"/>
                <w:sz w:val="20"/>
                <w:szCs w:val="20"/>
              </w:rPr>
              <w:t xml:space="preserve"> </w:t>
            </w:r>
          </w:p>
        </w:tc>
        <w:tc>
          <w:tcPr>
            <w:tcW w:w="2435" w:type="dxa"/>
            <w:tcBorders>
              <w:top w:val="nil"/>
              <w:left w:val="nil"/>
              <w:bottom w:val="single" w:color="auto" w:sz="4" w:space="0"/>
              <w:right w:val="single" w:color="auto" w:sz="4" w:space="0"/>
            </w:tcBorders>
            <w:noWrap w:val="0"/>
            <w:vAlign w:val="center"/>
          </w:tcPr>
          <w:p w14:paraId="3B874456">
            <w:pPr>
              <w:widowControl/>
              <w:rPr>
                <w:kern w:val="0"/>
                <w:sz w:val="20"/>
                <w:szCs w:val="20"/>
              </w:rPr>
            </w:pPr>
            <w:r>
              <w:rPr>
                <w:kern w:val="0"/>
                <w:sz w:val="20"/>
                <w:szCs w:val="20"/>
              </w:rPr>
              <w:t>KG9201</w:t>
            </w:r>
          </w:p>
        </w:tc>
        <w:tc>
          <w:tcPr>
            <w:tcW w:w="1046" w:type="dxa"/>
            <w:tcBorders>
              <w:top w:val="nil"/>
              <w:left w:val="nil"/>
              <w:bottom w:val="single" w:color="auto" w:sz="4" w:space="0"/>
              <w:right w:val="single" w:color="auto" w:sz="4" w:space="0"/>
            </w:tcBorders>
            <w:noWrap w:val="0"/>
            <w:vAlign w:val="center"/>
          </w:tcPr>
          <w:p w14:paraId="07CCCCB4">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56AAA8CA">
            <w:pPr>
              <w:widowControl/>
              <w:jc w:val="center"/>
              <w:rPr>
                <w:kern w:val="0"/>
                <w:sz w:val="20"/>
                <w:szCs w:val="20"/>
              </w:rPr>
            </w:pPr>
            <w:r>
              <w:rPr>
                <w:kern w:val="0"/>
                <w:sz w:val="20"/>
                <w:szCs w:val="20"/>
              </w:rPr>
              <w:t>4</w:t>
            </w:r>
          </w:p>
        </w:tc>
      </w:tr>
      <w:tr w14:paraId="4A728BAA">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2F896B7A">
            <w:pPr>
              <w:widowControl/>
              <w:jc w:val="center"/>
              <w:rPr>
                <w:rFonts w:ascii="宋体" w:hAnsi="宋体" w:cs="宋体"/>
                <w:kern w:val="0"/>
                <w:sz w:val="20"/>
                <w:szCs w:val="20"/>
              </w:rPr>
            </w:pPr>
            <w:r>
              <w:rPr>
                <w:rFonts w:hint="eastAsia" w:ascii="宋体" w:hAnsi="宋体" w:cs="宋体"/>
                <w:kern w:val="0"/>
                <w:sz w:val="20"/>
                <w:szCs w:val="20"/>
              </w:rPr>
              <w:t>4</w:t>
            </w:r>
          </w:p>
        </w:tc>
        <w:tc>
          <w:tcPr>
            <w:tcW w:w="2941" w:type="dxa"/>
            <w:tcBorders>
              <w:top w:val="nil"/>
              <w:left w:val="nil"/>
              <w:bottom w:val="single" w:color="auto" w:sz="4" w:space="0"/>
              <w:right w:val="single" w:color="auto" w:sz="4" w:space="0"/>
            </w:tcBorders>
            <w:noWrap w:val="0"/>
            <w:vAlign w:val="center"/>
          </w:tcPr>
          <w:p w14:paraId="76AED84D">
            <w:pPr>
              <w:widowControl/>
              <w:rPr>
                <w:kern w:val="0"/>
                <w:sz w:val="20"/>
                <w:szCs w:val="20"/>
              </w:rPr>
            </w:pPr>
            <w:r>
              <w:rPr>
                <w:kern w:val="0"/>
                <w:sz w:val="20"/>
                <w:szCs w:val="20"/>
              </w:rPr>
              <w:t>CO</w:t>
            </w:r>
            <w:r>
              <w:rPr>
                <w:rFonts w:hint="eastAsia" w:ascii="宋体" w:hAnsi="宋体"/>
                <w:kern w:val="0"/>
                <w:sz w:val="20"/>
                <w:szCs w:val="20"/>
              </w:rPr>
              <w:t>传感器</w:t>
            </w:r>
            <w:r>
              <w:rPr>
                <w:kern w:val="0"/>
                <w:sz w:val="20"/>
                <w:szCs w:val="20"/>
              </w:rPr>
              <w:t>(</w:t>
            </w:r>
            <w:r>
              <w:rPr>
                <w:rFonts w:hint="eastAsia" w:ascii="宋体" w:hAnsi="宋体"/>
                <w:kern w:val="0"/>
                <w:sz w:val="20"/>
                <w:szCs w:val="20"/>
              </w:rPr>
              <w:t>瓦斯管道</w:t>
            </w:r>
            <w:r>
              <w:rPr>
                <w:kern w:val="0"/>
                <w:sz w:val="20"/>
                <w:szCs w:val="20"/>
              </w:rPr>
              <w:t xml:space="preserve">) </w:t>
            </w:r>
          </w:p>
        </w:tc>
        <w:tc>
          <w:tcPr>
            <w:tcW w:w="2435" w:type="dxa"/>
            <w:tcBorders>
              <w:top w:val="nil"/>
              <w:left w:val="nil"/>
              <w:bottom w:val="single" w:color="auto" w:sz="4" w:space="0"/>
              <w:right w:val="single" w:color="auto" w:sz="4" w:space="0"/>
            </w:tcBorders>
            <w:noWrap w:val="0"/>
            <w:vAlign w:val="center"/>
          </w:tcPr>
          <w:p w14:paraId="510D828E">
            <w:pPr>
              <w:widowControl/>
              <w:rPr>
                <w:kern w:val="0"/>
                <w:sz w:val="20"/>
                <w:szCs w:val="20"/>
              </w:rPr>
            </w:pPr>
            <w:r>
              <w:rPr>
                <w:kern w:val="0"/>
                <w:sz w:val="20"/>
                <w:szCs w:val="20"/>
              </w:rPr>
              <w:t>KG9201</w:t>
            </w:r>
          </w:p>
        </w:tc>
        <w:tc>
          <w:tcPr>
            <w:tcW w:w="1046" w:type="dxa"/>
            <w:tcBorders>
              <w:top w:val="nil"/>
              <w:left w:val="nil"/>
              <w:bottom w:val="single" w:color="auto" w:sz="4" w:space="0"/>
              <w:right w:val="single" w:color="auto" w:sz="4" w:space="0"/>
            </w:tcBorders>
            <w:noWrap w:val="0"/>
            <w:vAlign w:val="center"/>
          </w:tcPr>
          <w:p w14:paraId="62B59CBF">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3A4578DA">
            <w:pPr>
              <w:widowControl/>
              <w:jc w:val="center"/>
              <w:rPr>
                <w:kern w:val="0"/>
                <w:sz w:val="20"/>
                <w:szCs w:val="20"/>
              </w:rPr>
            </w:pPr>
            <w:r>
              <w:rPr>
                <w:kern w:val="0"/>
                <w:sz w:val="20"/>
                <w:szCs w:val="20"/>
              </w:rPr>
              <w:t>2</w:t>
            </w:r>
          </w:p>
        </w:tc>
      </w:tr>
      <w:tr w14:paraId="2006760E">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7F46BF2">
            <w:pPr>
              <w:widowControl/>
              <w:jc w:val="center"/>
              <w:rPr>
                <w:rFonts w:ascii="宋体" w:hAnsi="宋体" w:cs="宋体"/>
                <w:kern w:val="0"/>
                <w:sz w:val="20"/>
                <w:szCs w:val="20"/>
              </w:rPr>
            </w:pPr>
            <w:r>
              <w:rPr>
                <w:rFonts w:hint="eastAsia" w:ascii="宋体" w:hAnsi="宋体" w:cs="宋体"/>
                <w:kern w:val="0"/>
                <w:sz w:val="20"/>
                <w:szCs w:val="20"/>
              </w:rPr>
              <w:t>5</w:t>
            </w:r>
          </w:p>
        </w:tc>
        <w:tc>
          <w:tcPr>
            <w:tcW w:w="2941" w:type="dxa"/>
            <w:tcBorders>
              <w:top w:val="nil"/>
              <w:left w:val="nil"/>
              <w:bottom w:val="single" w:color="auto" w:sz="4" w:space="0"/>
              <w:right w:val="single" w:color="auto" w:sz="4" w:space="0"/>
            </w:tcBorders>
            <w:noWrap w:val="0"/>
            <w:vAlign w:val="center"/>
          </w:tcPr>
          <w:p w14:paraId="45697DB7">
            <w:pPr>
              <w:widowControl/>
              <w:rPr>
                <w:rFonts w:ascii="宋体" w:hAnsi="宋体" w:cs="宋体"/>
                <w:kern w:val="0"/>
                <w:sz w:val="20"/>
                <w:szCs w:val="20"/>
              </w:rPr>
            </w:pPr>
            <w:r>
              <w:rPr>
                <w:rFonts w:hint="eastAsia" w:ascii="宋体" w:hAnsi="宋体" w:cs="宋体"/>
                <w:kern w:val="0"/>
                <w:sz w:val="20"/>
                <w:szCs w:val="20"/>
              </w:rPr>
              <w:t>温度传感器</w:t>
            </w:r>
          </w:p>
        </w:tc>
        <w:tc>
          <w:tcPr>
            <w:tcW w:w="2435" w:type="dxa"/>
            <w:tcBorders>
              <w:top w:val="nil"/>
              <w:left w:val="nil"/>
              <w:bottom w:val="single" w:color="auto" w:sz="4" w:space="0"/>
              <w:right w:val="single" w:color="auto" w:sz="4" w:space="0"/>
            </w:tcBorders>
            <w:noWrap w:val="0"/>
            <w:vAlign w:val="center"/>
          </w:tcPr>
          <w:p w14:paraId="724779A7">
            <w:pPr>
              <w:widowControl/>
              <w:rPr>
                <w:kern w:val="0"/>
                <w:sz w:val="20"/>
                <w:szCs w:val="20"/>
              </w:rPr>
            </w:pPr>
            <w:r>
              <w:rPr>
                <w:kern w:val="0"/>
                <w:sz w:val="20"/>
                <w:szCs w:val="20"/>
              </w:rPr>
              <w:t>KJ101-42</w:t>
            </w:r>
          </w:p>
        </w:tc>
        <w:tc>
          <w:tcPr>
            <w:tcW w:w="1046" w:type="dxa"/>
            <w:tcBorders>
              <w:top w:val="nil"/>
              <w:left w:val="nil"/>
              <w:bottom w:val="single" w:color="auto" w:sz="4" w:space="0"/>
              <w:right w:val="single" w:color="auto" w:sz="4" w:space="0"/>
            </w:tcBorders>
            <w:noWrap w:val="0"/>
            <w:vAlign w:val="center"/>
          </w:tcPr>
          <w:p w14:paraId="590F5E04">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18BB6995">
            <w:pPr>
              <w:widowControl/>
              <w:jc w:val="center"/>
              <w:rPr>
                <w:kern w:val="0"/>
                <w:sz w:val="20"/>
                <w:szCs w:val="20"/>
              </w:rPr>
            </w:pPr>
            <w:r>
              <w:rPr>
                <w:kern w:val="0"/>
                <w:sz w:val="20"/>
                <w:szCs w:val="20"/>
              </w:rPr>
              <w:t>3</w:t>
            </w:r>
          </w:p>
        </w:tc>
      </w:tr>
      <w:tr w14:paraId="35C5009D">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1CD93948">
            <w:pPr>
              <w:widowControl/>
              <w:jc w:val="center"/>
              <w:rPr>
                <w:rFonts w:ascii="宋体" w:hAnsi="宋体" w:cs="宋体"/>
                <w:kern w:val="0"/>
                <w:sz w:val="20"/>
                <w:szCs w:val="20"/>
              </w:rPr>
            </w:pPr>
            <w:r>
              <w:rPr>
                <w:rFonts w:hint="eastAsia" w:ascii="宋体" w:hAnsi="宋体" w:cs="宋体"/>
                <w:kern w:val="0"/>
                <w:sz w:val="20"/>
                <w:szCs w:val="20"/>
              </w:rPr>
              <w:t>6</w:t>
            </w:r>
          </w:p>
        </w:tc>
        <w:tc>
          <w:tcPr>
            <w:tcW w:w="2941" w:type="dxa"/>
            <w:tcBorders>
              <w:top w:val="nil"/>
              <w:left w:val="nil"/>
              <w:bottom w:val="single" w:color="auto" w:sz="4" w:space="0"/>
              <w:right w:val="single" w:color="auto" w:sz="4" w:space="0"/>
            </w:tcBorders>
            <w:noWrap w:val="0"/>
            <w:vAlign w:val="center"/>
          </w:tcPr>
          <w:p w14:paraId="49513E90">
            <w:pPr>
              <w:widowControl/>
              <w:rPr>
                <w:rFonts w:ascii="宋体" w:hAnsi="宋体" w:cs="宋体"/>
                <w:kern w:val="0"/>
                <w:sz w:val="20"/>
                <w:szCs w:val="20"/>
              </w:rPr>
            </w:pPr>
            <w:r>
              <w:rPr>
                <w:rFonts w:hint="eastAsia" w:ascii="宋体" w:hAnsi="宋体" w:cs="宋体"/>
                <w:kern w:val="0"/>
                <w:sz w:val="20"/>
                <w:szCs w:val="20"/>
              </w:rPr>
              <w:t>温度传感器</w:t>
            </w:r>
            <w:r>
              <w:rPr>
                <w:kern w:val="0"/>
                <w:sz w:val="20"/>
                <w:szCs w:val="20"/>
              </w:rPr>
              <w:t>(</w:t>
            </w:r>
            <w:r>
              <w:rPr>
                <w:rFonts w:hint="eastAsia" w:ascii="宋体" w:hAnsi="宋体" w:cs="宋体"/>
                <w:kern w:val="0"/>
                <w:sz w:val="20"/>
                <w:szCs w:val="20"/>
              </w:rPr>
              <w:t>瓦斯管道</w:t>
            </w:r>
            <w:r>
              <w:rPr>
                <w:kern w:val="0"/>
                <w:sz w:val="20"/>
                <w:szCs w:val="20"/>
              </w:rPr>
              <w:t>)</w:t>
            </w:r>
          </w:p>
        </w:tc>
        <w:tc>
          <w:tcPr>
            <w:tcW w:w="2435" w:type="dxa"/>
            <w:tcBorders>
              <w:top w:val="nil"/>
              <w:left w:val="nil"/>
              <w:bottom w:val="single" w:color="auto" w:sz="4" w:space="0"/>
              <w:right w:val="single" w:color="auto" w:sz="4" w:space="0"/>
            </w:tcBorders>
            <w:noWrap w:val="0"/>
            <w:vAlign w:val="center"/>
          </w:tcPr>
          <w:p w14:paraId="3E39289D">
            <w:pPr>
              <w:widowControl/>
              <w:rPr>
                <w:kern w:val="0"/>
                <w:sz w:val="20"/>
                <w:szCs w:val="20"/>
              </w:rPr>
            </w:pPr>
            <w:r>
              <w:rPr>
                <w:kern w:val="0"/>
                <w:sz w:val="20"/>
                <w:szCs w:val="20"/>
              </w:rPr>
              <w:t>KJ101-42</w:t>
            </w:r>
          </w:p>
        </w:tc>
        <w:tc>
          <w:tcPr>
            <w:tcW w:w="1046" w:type="dxa"/>
            <w:tcBorders>
              <w:top w:val="nil"/>
              <w:left w:val="nil"/>
              <w:bottom w:val="single" w:color="auto" w:sz="4" w:space="0"/>
              <w:right w:val="single" w:color="auto" w:sz="4" w:space="0"/>
            </w:tcBorders>
            <w:noWrap w:val="0"/>
            <w:vAlign w:val="center"/>
          </w:tcPr>
          <w:p w14:paraId="60C783AD">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0AC5EB6E">
            <w:pPr>
              <w:widowControl/>
              <w:jc w:val="center"/>
              <w:rPr>
                <w:kern w:val="0"/>
                <w:sz w:val="20"/>
                <w:szCs w:val="20"/>
              </w:rPr>
            </w:pPr>
            <w:r>
              <w:rPr>
                <w:kern w:val="0"/>
                <w:sz w:val="20"/>
                <w:szCs w:val="20"/>
              </w:rPr>
              <w:t>2</w:t>
            </w:r>
          </w:p>
        </w:tc>
      </w:tr>
      <w:tr w14:paraId="2A3B5476">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2AA49C79">
            <w:pPr>
              <w:widowControl/>
              <w:jc w:val="center"/>
              <w:rPr>
                <w:rFonts w:ascii="宋体" w:hAnsi="宋体" w:cs="宋体"/>
                <w:kern w:val="0"/>
                <w:sz w:val="20"/>
                <w:szCs w:val="20"/>
              </w:rPr>
            </w:pPr>
            <w:r>
              <w:rPr>
                <w:rFonts w:hint="eastAsia" w:ascii="宋体" w:hAnsi="宋体" w:cs="宋体"/>
                <w:kern w:val="0"/>
                <w:sz w:val="20"/>
                <w:szCs w:val="20"/>
              </w:rPr>
              <w:t>7</w:t>
            </w:r>
          </w:p>
        </w:tc>
        <w:tc>
          <w:tcPr>
            <w:tcW w:w="2941" w:type="dxa"/>
            <w:tcBorders>
              <w:top w:val="nil"/>
              <w:left w:val="nil"/>
              <w:bottom w:val="single" w:color="auto" w:sz="4" w:space="0"/>
              <w:right w:val="single" w:color="auto" w:sz="4" w:space="0"/>
            </w:tcBorders>
            <w:noWrap w:val="0"/>
            <w:vAlign w:val="center"/>
          </w:tcPr>
          <w:p w14:paraId="5BD6A166">
            <w:pPr>
              <w:widowControl/>
              <w:rPr>
                <w:rFonts w:ascii="宋体" w:hAnsi="宋体" w:cs="宋体"/>
                <w:kern w:val="0"/>
                <w:sz w:val="20"/>
                <w:szCs w:val="20"/>
              </w:rPr>
            </w:pPr>
            <w:r>
              <w:rPr>
                <w:rFonts w:hint="eastAsia" w:ascii="宋体" w:hAnsi="宋体" w:cs="宋体"/>
                <w:kern w:val="0"/>
                <w:sz w:val="20"/>
                <w:szCs w:val="20"/>
              </w:rPr>
              <w:t>烟雾传感器</w:t>
            </w:r>
          </w:p>
        </w:tc>
        <w:tc>
          <w:tcPr>
            <w:tcW w:w="2435" w:type="dxa"/>
            <w:tcBorders>
              <w:top w:val="nil"/>
              <w:left w:val="nil"/>
              <w:bottom w:val="single" w:color="auto" w:sz="4" w:space="0"/>
              <w:right w:val="single" w:color="auto" w:sz="4" w:space="0"/>
            </w:tcBorders>
            <w:noWrap w:val="0"/>
            <w:vAlign w:val="center"/>
          </w:tcPr>
          <w:p w14:paraId="1A16418A">
            <w:pPr>
              <w:widowControl/>
              <w:rPr>
                <w:kern w:val="0"/>
                <w:sz w:val="20"/>
                <w:szCs w:val="20"/>
              </w:rPr>
            </w:pPr>
            <w:r>
              <w:rPr>
                <w:kern w:val="0"/>
                <w:sz w:val="20"/>
                <w:szCs w:val="20"/>
              </w:rPr>
              <w:t>KG8005A</w:t>
            </w:r>
          </w:p>
        </w:tc>
        <w:tc>
          <w:tcPr>
            <w:tcW w:w="1046" w:type="dxa"/>
            <w:tcBorders>
              <w:top w:val="nil"/>
              <w:left w:val="nil"/>
              <w:bottom w:val="single" w:color="auto" w:sz="4" w:space="0"/>
              <w:right w:val="single" w:color="auto" w:sz="4" w:space="0"/>
            </w:tcBorders>
            <w:noWrap w:val="0"/>
            <w:vAlign w:val="center"/>
          </w:tcPr>
          <w:p w14:paraId="607A2977">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355545D3">
            <w:pPr>
              <w:widowControl/>
              <w:jc w:val="center"/>
              <w:rPr>
                <w:kern w:val="0"/>
                <w:sz w:val="20"/>
                <w:szCs w:val="20"/>
              </w:rPr>
            </w:pPr>
            <w:r>
              <w:rPr>
                <w:kern w:val="0"/>
                <w:sz w:val="20"/>
                <w:szCs w:val="20"/>
              </w:rPr>
              <w:t>2</w:t>
            </w:r>
          </w:p>
        </w:tc>
      </w:tr>
      <w:tr w14:paraId="2D35FE1E">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6519148F">
            <w:pPr>
              <w:widowControl/>
              <w:jc w:val="center"/>
              <w:rPr>
                <w:rFonts w:ascii="宋体" w:hAnsi="宋体" w:cs="宋体"/>
                <w:kern w:val="0"/>
                <w:sz w:val="20"/>
                <w:szCs w:val="20"/>
              </w:rPr>
            </w:pPr>
            <w:r>
              <w:rPr>
                <w:rFonts w:hint="eastAsia" w:ascii="宋体" w:hAnsi="宋体" w:cs="宋体"/>
                <w:kern w:val="0"/>
                <w:sz w:val="20"/>
                <w:szCs w:val="20"/>
              </w:rPr>
              <w:t>8</w:t>
            </w:r>
          </w:p>
        </w:tc>
        <w:tc>
          <w:tcPr>
            <w:tcW w:w="2941" w:type="dxa"/>
            <w:tcBorders>
              <w:top w:val="nil"/>
              <w:left w:val="nil"/>
              <w:bottom w:val="single" w:color="auto" w:sz="4" w:space="0"/>
              <w:right w:val="single" w:color="auto" w:sz="4" w:space="0"/>
            </w:tcBorders>
            <w:noWrap w:val="0"/>
            <w:vAlign w:val="center"/>
          </w:tcPr>
          <w:p w14:paraId="1DA01E4B">
            <w:pPr>
              <w:widowControl/>
              <w:rPr>
                <w:rFonts w:ascii="宋体" w:hAnsi="宋体" w:cs="宋体"/>
                <w:kern w:val="0"/>
                <w:sz w:val="20"/>
                <w:szCs w:val="20"/>
              </w:rPr>
            </w:pPr>
            <w:r>
              <w:rPr>
                <w:rFonts w:hint="eastAsia" w:ascii="宋体" w:hAnsi="宋体" w:cs="宋体"/>
                <w:kern w:val="0"/>
                <w:sz w:val="20"/>
                <w:szCs w:val="20"/>
              </w:rPr>
              <w:t>粉尘传感器</w:t>
            </w:r>
          </w:p>
        </w:tc>
        <w:tc>
          <w:tcPr>
            <w:tcW w:w="2435" w:type="dxa"/>
            <w:tcBorders>
              <w:top w:val="nil"/>
              <w:left w:val="nil"/>
              <w:bottom w:val="single" w:color="auto" w:sz="4" w:space="0"/>
              <w:right w:val="single" w:color="auto" w:sz="4" w:space="0"/>
            </w:tcBorders>
            <w:noWrap w:val="0"/>
            <w:vAlign w:val="center"/>
          </w:tcPr>
          <w:p w14:paraId="007BB6F5">
            <w:pPr>
              <w:widowControl/>
              <w:rPr>
                <w:kern w:val="0"/>
                <w:sz w:val="20"/>
                <w:szCs w:val="20"/>
              </w:rPr>
            </w:pPr>
            <w:r>
              <w:rPr>
                <w:kern w:val="0"/>
                <w:sz w:val="20"/>
                <w:szCs w:val="20"/>
              </w:rPr>
              <w:t>KG90-35</w:t>
            </w:r>
          </w:p>
        </w:tc>
        <w:tc>
          <w:tcPr>
            <w:tcW w:w="1046" w:type="dxa"/>
            <w:tcBorders>
              <w:top w:val="nil"/>
              <w:left w:val="nil"/>
              <w:bottom w:val="single" w:color="auto" w:sz="4" w:space="0"/>
              <w:right w:val="single" w:color="auto" w:sz="4" w:space="0"/>
            </w:tcBorders>
            <w:noWrap w:val="0"/>
            <w:vAlign w:val="center"/>
          </w:tcPr>
          <w:p w14:paraId="326F5BC8">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3E78C6CB">
            <w:pPr>
              <w:widowControl/>
              <w:jc w:val="center"/>
              <w:rPr>
                <w:kern w:val="0"/>
                <w:sz w:val="20"/>
                <w:szCs w:val="20"/>
              </w:rPr>
            </w:pPr>
            <w:r>
              <w:rPr>
                <w:kern w:val="0"/>
                <w:sz w:val="20"/>
                <w:szCs w:val="20"/>
              </w:rPr>
              <w:t>6</w:t>
            </w:r>
          </w:p>
        </w:tc>
      </w:tr>
      <w:tr w14:paraId="6DE33442">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719FF640">
            <w:pPr>
              <w:widowControl/>
              <w:jc w:val="center"/>
              <w:rPr>
                <w:rFonts w:ascii="宋体" w:hAnsi="宋体" w:cs="宋体"/>
                <w:kern w:val="0"/>
                <w:sz w:val="20"/>
                <w:szCs w:val="20"/>
              </w:rPr>
            </w:pPr>
            <w:r>
              <w:rPr>
                <w:rFonts w:hint="eastAsia" w:ascii="宋体" w:hAnsi="宋体" w:cs="宋体"/>
                <w:kern w:val="0"/>
                <w:sz w:val="20"/>
                <w:szCs w:val="20"/>
              </w:rPr>
              <w:t>9</w:t>
            </w:r>
          </w:p>
        </w:tc>
        <w:tc>
          <w:tcPr>
            <w:tcW w:w="2941" w:type="dxa"/>
            <w:tcBorders>
              <w:top w:val="nil"/>
              <w:left w:val="nil"/>
              <w:bottom w:val="single" w:color="auto" w:sz="4" w:space="0"/>
              <w:right w:val="single" w:color="auto" w:sz="4" w:space="0"/>
            </w:tcBorders>
            <w:noWrap w:val="0"/>
            <w:vAlign w:val="center"/>
          </w:tcPr>
          <w:p w14:paraId="36AEBA88">
            <w:pPr>
              <w:widowControl/>
              <w:rPr>
                <w:rFonts w:ascii="宋体" w:hAnsi="宋体" w:cs="宋体"/>
                <w:kern w:val="0"/>
                <w:sz w:val="20"/>
                <w:szCs w:val="20"/>
              </w:rPr>
            </w:pPr>
            <w:r>
              <w:rPr>
                <w:rFonts w:hint="eastAsia" w:ascii="宋体" w:hAnsi="宋体" w:cs="宋体"/>
                <w:kern w:val="0"/>
                <w:sz w:val="20"/>
                <w:szCs w:val="20"/>
              </w:rPr>
              <w:t>负压传感器</w:t>
            </w:r>
          </w:p>
        </w:tc>
        <w:tc>
          <w:tcPr>
            <w:tcW w:w="2435" w:type="dxa"/>
            <w:tcBorders>
              <w:top w:val="nil"/>
              <w:left w:val="nil"/>
              <w:bottom w:val="single" w:color="auto" w:sz="4" w:space="0"/>
              <w:right w:val="single" w:color="auto" w:sz="4" w:space="0"/>
            </w:tcBorders>
            <w:noWrap w:val="0"/>
            <w:vAlign w:val="center"/>
          </w:tcPr>
          <w:p w14:paraId="6BE18748">
            <w:pPr>
              <w:widowControl/>
              <w:rPr>
                <w:kern w:val="0"/>
                <w:sz w:val="20"/>
                <w:szCs w:val="20"/>
              </w:rPr>
            </w:pPr>
            <w:r>
              <w:rPr>
                <w:kern w:val="0"/>
                <w:sz w:val="20"/>
                <w:szCs w:val="20"/>
              </w:rPr>
              <w:t>KG4003A</w:t>
            </w:r>
          </w:p>
        </w:tc>
        <w:tc>
          <w:tcPr>
            <w:tcW w:w="1046" w:type="dxa"/>
            <w:tcBorders>
              <w:top w:val="nil"/>
              <w:left w:val="nil"/>
              <w:bottom w:val="single" w:color="auto" w:sz="4" w:space="0"/>
              <w:right w:val="single" w:color="auto" w:sz="4" w:space="0"/>
            </w:tcBorders>
            <w:noWrap w:val="0"/>
            <w:vAlign w:val="center"/>
          </w:tcPr>
          <w:p w14:paraId="2C7A91E7">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18A3C4C9">
            <w:pPr>
              <w:widowControl/>
              <w:jc w:val="center"/>
              <w:rPr>
                <w:kern w:val="0"/>
                <w:sz w:val="20"/>
                <w:szCs w:val="20"/>
              </w:rPr>
            </w:pPr>
            <w:r>
              <w:rPr>
                <w:kern w:val="0"/>
                <w:sz w:val="20"/>
                <w:szCs w:val="20"/>
              </w:rPr>
              <w:t>3</w:t>
            </w:r>
          </w:p>
        </w:tc>
      </w:tr>
      <w:tr w14:paraId="5C96FAD0">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7E8E7208">
            <w:pPr>
              <w:widowControl/>
              <w:jc w:val="center"/>
              <w:rPr>
                <w:rFonts w:ascii="宋体" w:hAnsi="宋体" w:cs="宋体"/>
                <w:kern w:val="0"/>
                <w:sz w:val="20"/>
                <w:szCs w:val="20"/>
              </w:rPr>
            </w:pPr>
            <w:r>
              <w:rPr>
                <w:rFonts w:hint="eastAsia" w:ascii="宋体" w:hAnsi="宋体" w:cs="宋体"/>
                <w:kern w:val="0"/>
                <w:sz w:val="20"/>
                <w:szCs w:val="20"/>
              </w:rPr>
              <w:t>10</w:t>
            </w:r>
          </w:p>
        </w:tc>
        <w:tc>
          <w:tcPr>
            <w:tcW w:w="2941" w:type="dxa"/>
            <w:tcBorders>
              <w:top w:val="nil"/>
              <w:left w:val="nil"/>
              <w:bottom w:val="single" w:color="auto" w:sz="4" w:space="0"/>
              <w:right w:val="single" w:color="auto" w:sz="4" w:space="0"/>
            </w:tcBorders>
            <w:noWrap w:val="0"/>
            <w:vAlign w:val="center"/>
          </w:tcPr>
          <w:p w14:paraId="2D72F1E8">
            <w:pPr>
              <w:widowControl/>
              <w:rPr>
                <w:rFonts w:ascii="宋体" w:hAnsi="宋体" w:cs="宋体"/>
                <w:kern w:val="0"/>
                <w:sz w:val="20"/>
                <w:szCs w:val="20"/>
              </w:rPr>
            </w:pPr>
            <w:r>
              <w:rPr>
                <w:rFonts w:hint="eastAsia" w:ascii="宋体" w:hAnsi="宋体" w:cs="宋体"/>
                <w:kern w:val="0"/>
                <w:sz w:val="20"/>
                <w:szCs w:val="20"/>
              </w:rPr>
              <w:t>水位传感器</w:t>
            </w:r>
          </w:p>
        </w:tc>
        <w:tc>
          <w:tcPr>
            <w:tcW w:w="2435" w:type="dxa"/>
            <w:tcBorders>
              <w:top w:val="nil"/>
              <w:left w:val="nil"/>
              <w:bottom w:val="single" w:color="auto" w:sz="4" w:space="0"/>
              <w:right w:val="single" w:color="auto" w:sz="4" w:space="0"/>
            </w:tcBorders>
            <w:noWrap w:val="0"/>
            <w:vAlign w:val="center"/>
          </w:tcPr>
          <w:p w14:paraId="7B056FBA">
            <w:pPr>
              <w:widowControl/>
              <w:rPr>
                <w:kern w:val="0"/>
                <w:sz w:val="20"/>
                <w:szCs w:val="20"/>
              </w:rPr>
            </w:pPr>
            <w:r>
              <w:rPr>
                <w:kern w:val="0"/>
                <w:sz w:val="20"/>
                <w:szCs w:val="20"/>
              </w:rPr>
              <w:t>KG9901</w:t>
            </w:r>
          </w:p>
        </w:tc>
        <w:tc>
          <w:tcPr>
            <w:tcW w:w="1046" w:type="dxa"/>
            <w:tcBorders>
              <w:top w:val="nil"/>
              <w:left w:val="nil"/>
              <w:bottom w:val="single" w:color="auto" w:sz="4" w:space="0"/>
              <w:right w:val="single" w:color="auto" w:sz="4" w:space="0"/>
            </w:tcBorders>
            <w:noWrap w:val="0"/>
            <w:vAlign w:val="center"/>
          </w:tcPr>
          <w:p w14:paraId="4447F606">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3BB14A2F">
            <w:pPr>
              <w:widowControl/>
              <w:jc w:val="center"/>
              <w:rPr>
                <w:kern w:val="0"/>
                <w:sz w:val="20"/>
                <w:szCs w:val="20"/>
              </w:rPr>
            </w:pPr>
            <w:r>
              <w:rPr>
                <w:kern w:val="0"/>
                <w:sz w:val="20"/>
                <w:szCs w:val="20"/>
              </w:rPr>
              <w:t>2</w:t>
            </w:r>
          </w:p>
        </w:tc>
      </w:tr>
      <w:tr w14:paraId="6FF8AFA0">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88FAF36">
            <w:pPr>
              <w:widowControl/>
              <w:jc w:val="center"/>
              <w:rPr>
                <w:rFonts w:ascii="宋体" w:hAnsi="宋体" w:cs="宋体"/>
                <w:kern w:val="0"/>
                <w:sz w:val="20"/>
                <w:szCs w:val="20"/>
              </w:rPr>
            </w:pPr>
            <w:r>
              <w:rPr>
                <w:rFonts w:hint="eastAsia" w:ascii="宋体" w:hAnsi="宋体" w:cs="宋体"/>
                <w:kern w:val="0"/>
                <w:sz w:val="20"/>
                <w:szCs w:val="20"/>
              </w:rPr>
              <w:t>11</w:t>
            </w:r>
          </w:p>
        </w:tc>
        <w:tc>
          <w:tcPr>
            <w:tcW w:w="2941" w:type="dxa"/>
            <w:tcBorders>
              <w:top w:val="nil"/>
              <w:left w:val="nil"/>
              <w:bottom w:val="single" w:color="auto" w:sz="4" w:space="0"/>
              <w:right w:val="single" w:color="auto" w:sz="4" w:space="0"/>
            </w:tcBorders>
            <w:noWrap w:val="0"/>
            <w:vAlign w:val="center"/>
          </w:tcPr>
          <w:p w14:paraId="6FF41B29">
            <w:pPr>
              <w:widowControl/>
              <w:rPr>
                <w:rFonts w:ascii="宋体" w:hAnsi="宋体" w:cs="宋体"/>
                <w:kern w:val="0"/>
                <w:sz w:val="20"/>
                <w:szCs w:val="20"/>
              </w:rPr>
            </w:pPr>
            <w:r>
              <w:rPr>
                <w:rFonts w:hint="eastAsia" w:ascii="宋体" w:hAnsi="宋体" w:cs="宋体"/>
                <w:kern w:val="0"/>
                <w:sz w:val="20"/>
                <w:szCs w:val="20"/>
              </w:rPr>
              <w:t>压力传感器</w:t>
            </w:r>
          </w:p>
        </w:tc>
        <w:tc>
          <w:tcPr>
            <w:tcW w:w="2435" w:type="dxa"/>
            <w:tcBorders>
              <w:top w:val="nil"/>
              <w:left w:val="nil"/>
              <w:bottom w:val="single" w:color="auto" w:sz="4" w:space="0"/>
              <w:right w:val="single" w:color="auto" w:sz="4" w:space="0"/>
            </w:tcBorders>
            <w:noWrap w:val="0"/>
            <w:vAlign w:val="center"/>
          </w:tcPr>
          <w:p w14:paraId="5B398D81">
            <w:pPr>
              <w:widowControl/>
              <w:rPr>
                <w:kern w:val="0"/>
                <w:sz w:val="20"/>
                <w:szCs w:val="20"/>
              </w:rPr>
            </w:pPr>
            <w:r>
              <w:rPr>
                <w:kern w:val="0"/>
                <w:sz w:val="20"/>
                <w:szCs w:val="20"/>
              </w:rPr>
              <w:t>KG4092</w:t>
            </w:r>
          </w:p>
        </w:tc>
        <w:tc>
          <w:tcPr>
            <w:tcW w:w="1046" w:type="dxa"/>
            <w:tcBorders>
              <w:top w:val="nil"/>
              <w:left w:val="nil"/>
              <w:bottom w:val="single" w:color="auto" w:sz="4" w:space="0"/>
              <w:right w:val="single" w:color="auto" w:sz="4" w:space="0"/>
            </w:tcBorders>
            <w:noWrap w:val="0"/>
            <w:vAlign w:val="center"/>
          </w:tcPr>
          <w:p w14:paraId="14F4A684">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77C4D0EB">
            <w:pPr>
              <w:widowControl/>
              <w:jc w:val="center"/>
              <w:rPr>
                <w:kern w:val="0"/>
                <w:sz w:val="20"/>
                <w:szCs w:val="20"/>
              </w:rPr>
            </w:pPr>
            <w:r>
              <w:rPr>
                <w:kern w:val="0"/>
                <w:sz w:val="20"/>
                <w:szCs w:val="20"/>
              </w:rPr>
              <w:t>1</w:t>
            </w:r>
          </w:p>
        </w:tc>
      </w:tr>
      <w:tr w14:paraId="6FBE0F13">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719966FF">
            <w:pPr>
              <w:widowControl/>
              <w:jc w:val="center"/>
              <w:rPr>
                <w:rFonts w:ascii="宋体" w:hAnsi="宋体" w:cs="宋体"/>
                <w:kern w:val="0"/>
                <w:sz w:val="20"/>
                <w:szCs w:val="20"/>
              </w:rPr>
            </w:pPr>
            <w:r>
              <w:rPr>
                <w:rFonts w:hint="eastAsia" w:ascii="宋体" w:hAnsi="宋体" w:cs="宋体"/>
                <w:kern w:val="0"/>
                <w:sz w:val="20"/>
                <w:szCs w:val="20"/>
              </w:rPr>
              <w:t>12</w:t>
            </w:r>
          </w:p>
        </w:tc>
        <w:tc>
          <w:tcPr>
            <w:tcW w:w="2941" w:type="dxa"/>
            <w:tcBorders>
              <w:top w:val="nil"/>
              <w:left w:val="nil"/>
              <w:bottom w:val="single" w:color="auto" w:sz="4" w:space="0"/>
              <w:right w:val="single" w:color="auto" w:sz="4" w:space="0"/>
            </w:tcBorders>
            <w:noWrap w:val="0"/>
            <w:vAlign w:val="center"/>
          </w:tcPr>
          <w:p w14:paraId="50929D23">
            <w:pPr>
              <w:widowControl/>
              <w:rPr>
                <w:rFonts w:ascii="宋体" w:hAnsi="宋体" w:cs="宋体"/>
                <w:kern w:val="0"/>
                <w:sz w:val="20"/>
                <w:szCs w:val="20"/>
              </w:rPr>
            </w:pPr>
            <w:r>
              <w:rPr>
                <w:rFonts w:hint="eastAsia" w:ascii="宋体" w:hAnsi="宋体" w:cs="宋体"/>
                <w:kern w:val="0"/>
                <w:sz w:val="20"/>
                <w:szCs w:val="20"/>
              </w:rPr>
              <w:t>流量传感器</w:t>
            </w:r>
          </w:p>
        </w:tc>
        <w:tc>
          <w:tcPr>
            <w:tcW w:w="2435" w:type="dxa"/>
            <w:tcBorders>
              <w:top w:val="nil"/>
              <w:left w:val="nil"/>
              <w:bottom w:val="single" w:color="auto" w:sz="4" w:space="0"/>
              <w:right w:val="single" w:color="auto" w:sz="4" w:space="0"/>
            </w:tcBorders>
            <w:noWrap w:val="0"/>
            <w:vAlign w:val="center"/>
          </w:tcPr>
          <w:p w14:paraId="102B43B4">
            <w:pPr>
              <w:widowControl/>
              <w:rPr>
                <w:kern w:val="0"/>
                <w:sz w:val="20"/>
                <w:szCs w:val="20"/>
              </w:rPr>
            </w:pPr>
            <w:r>
              <w:rPr>
                <w:kern w:val="0"/>
                <w:sz w:val="20"/>
                <w:szCs w:val="20"/>
              </w:rPr>
              <w:t>GLW100</w:t>
            </w:r>
          </w:p>
        </w:tc>
        <w:tc>
          <w:tcPr>
            <w:tcW w:w="1046" w:type="dxa"/>
            <w:tcBorders>
              <w:top w:val="nil"/>
              <w:left w:val="nil"/>
              <w:bottom w:val="single" w:color="auto" w:sz="4" w:space="0"/>
              <w:right w:val="single" w:color="auto" w:sz="4" w:space="0"/>
            </w:tcBorders>
            <w:noWrap w:val="0"/>
            <w:vAlign w:val="center"/>
          </w:tcPr>
          <w:p w14:paraId="6547EF14">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7BDD7E70">
            <w:pPr>
              <w:widowControl/>
              <w:jc w:val="center"/>
              <w:rPr>
                <w:kern w:val="0"/>
                <w:sz w:val="20"/>
                <w:szCs w:val="20"/>
              </w:rPr>
            </w:pPr>
            <w:r>
              <w:rPr>
                <w:kern w:val="0"/>
                <w:sz w:val="20"/>
                <w:szCs w:val="20"/>
              </w:rPr>
              <w:t>3</w:t>
            </w:r>
          </w:p>
        </w:tc>
      </w:tr>
      <w:tr w14:paraId="47A8F400">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76507C0">
            <w:pPr>
              <w:widowControl/>
              <w:jc w:val="center"/>
              <w:rPr>
                <w:rFonts w:ascii="宋体" w:hAnsi="宋体" w:cs="宋体"/>
                <w:kern w:val="0"/>
                <w:sz w:val="20"/>
                <w:szCs w:val="20"/>
              </w:rPr>
            </w:pPr>
            <w:r>
              <w:rPr>
                <w:rFonts w:hint="eastAsia" w:ascii="宋体" w:hAnsi="宋体" w:cs="宋体"/>
                <w:kern w:val="0"/>
                <w:sz w:val="20"/>
                <w:szCs w:val="20"/>
              </w:rPr>
              <w:t>13</w:t>
            </w:r>
          </w:p>
        </w:tc>
        <w:tc>
          <w:tcPr>
            <w:tcW w:w="2941" w:type="dxa"/>
            <w:tcBorders>
              <w:top w:val="nil"/>
              <w:left w:val="nil"/>
              <w:bottom w:val="single" w:color="auto" w:sz="4" w:space="0"/>
              <w:right w:val="single" w:color="auto" w:sz="4" w:space="0"/>
            </w:tcBorders>
            <w:noWrap w:val="0"/>
            <w:vAlign w:val="center"/>
          </w:tcPr>
          <w:p w14:paraId="3B0C2EAF">
            <w:pPr>
              <w:widowControl/>
              <w:rPr>
                <w:rFonts w:ascii="宋体" w:hAnsi="宋体" w:cs="宋体"/>
                <w:kern w:val="0"/>
                <w:sz w:val="20"/>
                <w:szCs w:val="20"/>
              </w:rPr>
            </w:pPr>
            <w:r>
              <w:rPr>
                <w:rFonts w:hint="eastAsia" w:ascii="宋体" w:hAnsi="宋体" w:cs="宋体"/>
                <w:kern w:val="0"/>
                <w:sz w:val="20"/>
                <w:szCs w:val="20"/>
              </w:rPr>
              <w:t>轴温传感器</w:t>
            </w:r>
          </w:p>
        </w:tc>
        <w:tc>
          <w:tcPr>
            <w:tcW w:w="2435" w:type="dxa"/>
            <w:tcBorders>
              <w:top w:val="nil"/>
              <w:left w:val="nil"/>
              <w:bottom w:val="single" w:color="auto" w:sz="4" w:space="0"/>
              <w:right w:val="single" w:color="auto" w:sz="4" w:space="0"/>
            </w:tcBorders>
            <w:noWrap w:val="0"/>
            <w:vAlign w:val="center"/>
          </w:tcPr>
          <w:p w14:paraId="6B3FA8E4">
            <w:pPr>
              <w:widowControl/>
              <w:rPr>
                <w:rFonts w:ascii="宋体" w:hAnsi="宋体" w:cs="宋体"/>
                <w:kern w:val="0"/>
                <w:sz w:val="20"/>
                <w:szCs w:val="20"/>
              </w:rPr>
            </w:pPr>
            <w:r>
              <w:rPr>
                <w:rFonts w:hint="eastAsia" w:ascii="宋体" w:hAnsi="宋体" w:cs="宋体"/>
                <w:kern w:val="0"/>
                <w:sz w:val="20"/>
                <w:szCs w:val="20"/>
              </w:rPr>
              <w:t>　</w:t>
            </w:r>
          </w:p>
        </w:tc>
        <w:tc>
          <w:tcPr>
            <w:tcW w:w="1046" w:type="dxa"/>
            <w:tcBorders>
              <w:top w:val="nil"/>
              <w:left w:val="nil"/>
              <w:bottom w:val="single" w:color="auto" w:sz="4" w:space="0"/>
              <w:right w:val="single" w:color="auto" w:sz="4" w:space="0"/>
            </w:tcBorders>
            <w:noWrap w:val="0"/>
            <w:vAlign w:val="center"/>
          </w:tcPr>
          <w:p w14:paraId="089D00EB">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7E126085">
            <w:pPr>
              <w:widowControl/>
              <w:jc w:val="center"/>
              <w:rPr>
                <w:kern w:val="0"/>
                <w:sz w:val="20"/>
                <w:szCs w:val="20"/>
              </w:rPr>
            </w:pPr>
            <w:r>
              <w:rPr>
                <w:kern w:val="0"/>
                <w:sz w:val="20"/>
                <w:szCs w:val="20"/>
              </w:rPr>
              <w:t>2</w:t>
            </w:r>
          </w:p>
        </w:tc>
      </w:tr>
      <w:tr w14:paraId="29C4D44C">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413993E4">
            <w:pPr>
              <w:widowControl/>
              <w:jc w:val="center"/>
              <w:rPr>
                <w:rFonts w:ascii="宋体" w:hAnsi="宋体" w:cs="宋体"/>
                <w:kern w:val="0"/>
                <w:sz w:val="20"/>
                <w:szCs w:val="20"/>
              </w:rPr>
            </w:pPr>
            <w:r>
              <w:rPr>
                <w:rFonts w:hint="eastAsia" w:ascii="宋体" w:hAnsi="宋体" w:cs="宋体"/>
                <w:kern w:val="0"/>
                <w:sz w:val="20"/>
                <w:szCs w:val="20"/>
              </w:rPr>
              <w:t>14</w:t>
            </w:r>
          </w:p>
        </w:tc>
        <w:tc>
          <w:tcPr>
            <w:tcW w:w="2941" w:type="dxa"/>
            <w:tcBorders>
              <w:top w:val="nil"/>
              <w:left w:val="nil"/>
              <w:bottom w:val="single" w:color="auto" w:sz="4" w:space="0"/>
              <w:right w:val="single" w:color="auto" w:sz="4" w:space="0"/>
            </w:tcBorders>
            <w:noWrap w:val="0"/>
            <w:vAlign w:val="center"/>
          </w:tcPr>
          <w:p w14:paraId="07D681BD">
            <w:pPr>
              <w:widowControl/>
              <w:rPr>
                <w:rFonts w:ascii="宋体" w:hAnsi="宋体" w:cs="宋体"/>
                <w:kern w:val="0"/>
                <w:sz w:val="20"/>
                <w:szCs w:val="20"/>
              </w:rPr>
            </w:pPr>
            <w:r>
              <w:rPr>
                <w:rFonts w:hint="eastAsia" w:ascii="宋体" w:hAnsi="宋体" w:cs="宋体"/>
                <w:kern w:val="0"/>
                <w:sz w:val="20"/>
                <w:szCs w:val="20"/>
              </w:rPr>
              <w:t>瓦斯传感器</w:t>
            </w:r>
            <w:r>
              <w:rPr>
                <w:kern w:val="0"/>
                <w:sz w:val="20"/>
                <w:szCs w:val="20"/>
              </w:rPr>
              <w:t>(</w:t>
            </w:r>
            <w:r>
              <w:rPr>
                <w:rFonts w:hint="eastAsia" w:ascii="宋体" w:hAnsi="宋体" w:cs="宋体"/>
                <w:kern w:val="0"/>
                <w:sz w:val="20"/>
                <w:szCs w:val="20"/>
              </w:rPr>
              <w:t>瓦斯管道</w:t>
            </w:r>
            <w:r>
              <w:rPr>
                <w:kern w:val="0"/>
                <w:sz w:val="20"/>
                <w:szCs w:val="20"/>
              </w:rPr>
              <w:t>)</w:t>
            </w:r>
          </w:p>
        </w:tc>
        <w:tc>
          <w:tcPr>
            <w:tcW w:w="2435" w:type="dxa"/>
            <w:tcBorders>
              <w:top w:val="nil"/>
              <w:left w:val="nil"/>
              <w:bottom w:val="single" w:color="auto" w:sz="4" w:space="0"/>
              <w:right w:val="single" w:color="auto" w:sz="4" w:space="0"/>
            </w:tcBorders>
            <w:noWrap w:val="0"/>
            <w:vAlign w:val="center"/>
          </w:tcPr>
          <w:p w14:paraId="176077A9">
            <w:pPr>
              <w:widowControl/>
              <w:rPr>
                <w:kern w:val="0"/>
                <w:sz w:val="20"/>
                <w:szCs w:val="20"/>
              </w:rPr>
            </w:pPr>
            <w:r>
              <w:rPr>
                <w:kern w:val="0"/>
                <w:sz w:val="20"/>
                <w:szCs w:val="20"/>
              </w:rPr>
              <w:t>KG9001H</w:t>
            </w:r>
          </w:p>
        </w:tc>
        <w:tc>
          <w:tcPr>
            <w:tcW w:w="1046" w:type="dxa"/>
            <w:tcBorders>
              <w:top w:val="nil"/>
              <w:left w:val="nil"/>
              <w:bottom w:val="single" w:color="auto" w:sz="4" w:space="0"/>
              <w:right w:val="single" w:color="auto" w:sz="4" w:space="0"/>
            </w:tcBorders>
            <w:noWrap w:val="0"/>
            <w:vAlign w:val="center"/>
          </w:tcPr>
          <w:p w14:paraId="21A7A833">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096F73F2">
            <w:pPr>
              <w:widowControl/>
              <w:jc w:val="center"/>
              <w:rPr>
                <w:kern w:val="0"/>
                <w:sz w:val="20"/>
                <w:szCs w:val="20"/>
              </w:rPr>
            </w:pPr>
            <w:r>
              <w:rPr>
                <w:kern w:val="0"/>
                <w:sz w:val="20"/>
                <w:szCs w:val="20"/>
              </w:rPr>
              <w:t>2</w:t>
            </w:r>
          </w:p>
        </w:tc>
      </w:tr>
      <w:tr w14:paraId="6D862A9A">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22F6A466">
            <w:pPr>
              <w:widowControl/>
              <w:jc w:val="center"/>
              <w:rPr>
                <w:rFonts w:ascii="宋体" w:hAnsi="宋体" w:cs="宋体"/>
                <w:kern w:val="0"/>
                <w:sz w:val="20"/>
                <w:szCs w:val="20"/>
              </w:rPr>
            </w:pPr>
            <w:r>
              <w:rPr>
                <w:rFonts w:hint="eastAsia" w:ascii="宋体" w:hAnsi="宋体" w:cs="宋体"/>
                <w:kern w:val="0"/>
                <w:sz w:val="20"/>
                <w:szCs w:val="20"/>
              </w:rPr>
              <w:t>15</w:t>
            </w:r>
          </w:p>
        </w:tc>
        <w:tc>
          <w:tcPr>
            <w:tcW w:w="2941" w:type="dxa"/>
            <w:tcBorders>
              <w:top w:val="nil"/>
              <w:left w:val="nil"/>
              <w:bottom w:val="single" w:color="auto" w:sz="4" w:space="0"/>
              <w:right w:val="single" w:color="auto" w:sz="4" w:space="0"/>
            </w:tcBorders>
            <w:noWrap w:val="0"/>
            <w:vAlign w:val="center"/>
          </w:tcPr>
          <w:p w14:paraId="4C896743">
            <w:pPr>
              <w:widowControl/>
              <w:rPr>
                <w:rFonts w:ascii="宋体" w:hAnsi="宋体" w:cs="宋体"/>
                <w:kern w:val="0"/>
                <w:sz w:val="20"/>
                <w:szCs w:val="20"/>
              </w:rPr>
            </w:pPr>
            <w:r>
              <w:rPr>
                <w:rFonts w:hint="eastAsia" w:ascii="宋体" w:hAnsi="宋体" w:cs="宋体"/>
                <w:kern w:val="0"/>
                <w:sz w:val="20"/>
                <w:szCs w:val="20"/>
              </w:rPr>
              <w:t>煤与瓦斯突出监测仪</w:t>
            </w:r>
          </w:p>
        </w:tc>
        <w:tc>
          <w:tcPr>
            <w:tcW w:w="2435" w:type="dxa"/>
            <w:tcBorders>
              <w:top w:val="nil"/>
              <w:left w:val="nil"/>
              <w:bottom w:val="single" w:color="auto" w:sz="4" w:space="0"/>
              <w:right w:val="single" w:color="auto" w:sz="4" w:space="0"/>
            </w:tcBorders>
            <w:noWrap w:val="0"/>
            <w:vAlign w:val="center"/>
          </w:tcPr>
          <w:p w14:paraId="6350AA85">
            <w:pPr>
              <w:widowControl/>
              <w:rPr>
                <w:kern w:val="0"/>
                <w:sz w:val="20"/>
                <w:szCs w:val="20"/>
              </w:rPr>
            </w:pPr>
            <w:r>
              <w:rPr>
                <w:kern w:val="0"/>
                <w:sz w:val="20"/>
                <w:szCs w:val="20"/>
              </w:rPr>
              <w:t>KBD5</w:t>
            </w:r>
          </w:p>
        </w:tc>
        <w:tc>
          <w:tcPr>
            <w:tcW w:w="1046" w:type="dxa"/>
            <w:tcBorders>
              <w:top w:val="nil"/>
              <w:left w:val="nil"/>
              <w:bottom w:val="single" w:color="auto" w:sz="4" w:space="0"/>
              <w:right w:val="single" w:color="auto" w:sz="4" w:space="0"/>
            </w:tcBorders>
            <w:noWrap w:val="0"/>
            <w:vAlign w:val="center"/>
          </w:tcPr>
          <w:p w14:paraId="260D1886">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0C34FF41">
            <w:pPr>
              <w:widowControl/>
              <w:jc w:val="center"/>
              <w:rPr>
                <w:kern w:val="0"/>
                <w:sz w:val="20"/>
                <w:szCs w:val="20"/>
              </w:rPr>
            </w:pPr>
            <w:r>
              <w:rPr>
                <w:kern w:val="0"/>
                <w:sz w:val="20"/>
                <w:szCs w:val="20"/>
              </w:rPr>
              <w:t>2</w:t>
            </w:r>
          </w:p>
        </w:tc>
      </w:tr>
      <w:tr w14:paraId="1D1370CA">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049CFBE7">
            <w:pPr>
              <w:widowControl/>
              <w:jc w:val="center"/>
              <w:rPr>
                <w:rFonts w:ascii="宋体" w:hAnsi="宋体" w:cs="宋体"/>
                <w:kern w:val="0"/>
                <w:sz w:val="20"/>
                <w:szCs w:val="20"/>
              </w:rPr>
            </w:pPr>
            <w:r>
              <w:rPr>
                <w:rFonts w:hint="eastAsia" w:ascii="宋体" w:hAnsi="宋体" w:cs="宋体"/>
                <w:kern w:val="0"/>
                <w:sz w:val="20"/>
                <w:szCs w:val="20"/>
              </w:rPr>
              <w:t>16</w:t>
            </w:r>
          </w:p>
        </w:tc>
        <w:tc>
          <w:tcPr>
            <w:tcW w:w="2941" w:type="dxa"/>
            <w:tcBorders>
              <w:top w:val="nil"/>
              <w:left w:val="nil"/>
              <w:bottom w:val="single" w:color="auto" w:sz="4" w:space="0"/>
              <w:right w:val="single" w:color="auto" w:sz="4" w:space="0"/>
            </w:tcBorders>
            <w:noWrap w:val="0"/>
            <w:vAlign w:val="center"/>
          </w:tcPr>
          <w:p w14:paraId="527D8AC4">
            <w:pPr>
              <w:widowControl/>
              <w:rPr>
                <w:rFonts w:ascii="宋体" w:hAnsi="宋体" w:cs="宋体"/>
                <w:kern w:val="0"/>
                <w:sz w:val="20"/>
                <w:szCs w:val="20"/>
              </w:rPr>
            </w:pPr>
            <w:r>
              <w:rPr>
                <w:rFonts w:hint="eastAsia" w:ascii="宋体" w:hAnsi="宋体" w:cs="宋体"/>
                <w:kern w:val="0"/>
                <w:sz w:val="20"/>
                <w:szCs w:val="20"/>
              </w:rPr>
              <w:t>煤仓煤位</w:t>
            </w:r>
          </w:p>
        </w:tc>
        <w:tc>
          <w:tcPr>
            <w:tcW w:w="2435" w:type="dxa"/>
            <w:tcBorders>
              <w:top w:val="nil"/>
              <w:left w:val="nil"/>
              <w:bottom w:val="single" w:color="auto" w:sz="4" w:space="0"/>
              <w:right w:val="single" w:color="auto" w:sz="4" w:space="0"/>
            </w:tcBorders>
            <w:noWrap w:val="0"/>
            <w:vAlign w:val="center"/>
          </w:tcPr>
          <w:p w14:paraId="7538F8E7">
            <w:pPr>
              <w:widowControl/>
              <w:rPr>
                <w:kern w:val="0"/>
                <w:sz w:val="20"/>
                <w:szCs w:val="20"/>
              </w:rPr>
            </w:pPr>
            <w:r>
              <w:rPr>
                <w:kern w:val="0"/>
                <w:sz w:val="20"/>
                <w:szCs w:val="20"/>
              </w:rPr>
              <w:t>KGU5B</w:t>
            </w:r>
          </w:p>
        </w:tc>
        <w:tc>
          <w:tcPr>
            <w:tcW w:w="1046" w:type="dxa"/>
            <w:tcBorders>
              <w:top w:val="nil"/>
              <w:left w:val="nil"/>
              <w:bottom w:val="single" w:color="auto" w:sz="4" w:space="0"/>
              <w:right w:val="single" w:color="auto" w:sz="4" w:space="0"/>
            </w:tcBorders>
            <w:noWrap w:val="0"/>
            <w:vAlign w:val="center"/>
          </w:tcPr>
          <w:p w14:paraId="22E97815">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37689F57">
            <w:pPr>
              <w:widowControl/>
              <w:jc w:val="center"/>
              <w:rPr>
                <w:kern w:val="0"/>
                <w:sz w:val="20"/>
                <w:szCs w:val="20"/>
              </w:rPr>
            </w:pPr>
            <w:r>
              <w:rPr>
                <w:kern w:val="0"/>
                <w:sz w:val="20"/>
                <w:szCs w:val="20"/>
              </w:rPr>
              <w:t>1</w:t>
            </w:r>
          </w:p>
        </w:tc>
      </w:tr>
      <w:tr w14:paraId="55B7F269">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405AA476">
            <w:pPr>
              <w:widowControl/>
              <w:jc w:val="center"/>
              <w:rPr>
                <w:rFonts w:ascii="宋体" w:hAnsi="宋体" w:cs="宋体"/>
                <w:kern w:val="0"/>
                <w:sz w:val="20"/>
                <w:szCs w:val="20"/>
              </w:rPr>
            </w:pPr>
            <w:r>
              <w:rPr>
                <w:rFonts w:hint="eastAsia" w:ascii="宋体" w:hAnsi="宋体" w:cs="宋体"/>
                <w:kern w:val="0"/>
                <w:sz w:val="20"/>
                <w:szCs w:val="20"/>
              </w:rPr>
              <w:t>17</w:t>
            </w:r>
          </w:p>
        </w:tc>
        <w:tc>
          <w:tcPr>
            <w:tcW w:w="2941" w:type="dxa"/>
            <w:tcBorders>
              <w:top w:val="nil"/>
              <w:left w:val="nil"/>
              <w:bottom w:val="single" w:color="auto" w:sz="4" w:space="0"/>
              <w:right w:val="single" w:color="auto" w:sz="4" w:space="0"/>
            </w:tcBorders>
            <w:noWrap w:val="0"/>
            <w:vAlign w:val="center"/>
          </w:tcPr>
          <w:p w14:paraId="3FFA6CD9">
            <w:pPr>
              <w:widowControl/>
              <w:rPr>
                <w:rFonts w:ascii="宋体" w:hAnsi="宋体" w:cs="宋体"/>
                <w:kern w:val="0"/>
                <w:sz w:val="20"/>
                <w:szCs w:val="20"/>
              </w:rPr>
            </w:pPr>
            <w:r>
              <w:rPr>
                <w:rFonts w:hint="eastAsia" w:ascii="宋体" w:hAnsi="宋体" w:cs="宋体"/>
                <w:kern w:val="0"/>
                <w:sz w:val="20"/>
                <w:szCs w:val="20"/>
              </w:rPr>
              <w:t>风筒开关传感器</w:t>
            </w:r>
          </w:p>
        </w:tc>
        <w:tc>
          <w:tcPr>
            <w:tcW w:w="2435" w:type="dxa"/>
            <w:tcBorders>
              <w:top w:val="nil"/>
              <w:left w:val="nil"/>
              <w:bottom w:val="single" w:color="auto" w:sz="4" w:space="0"/>
              <w:right w:val="single" w:color="auto" w:sz="4" w:space="0"/>
            </w:tcBorders>
            <w:noWrap w:val="0"/>
            <w:vAlign w:val="center"/>
          </w:tcPr>
          <w:p w14:paraId="47568B63">
            <w:pPr>
              <w:widowControl/>
              <w:rPr>
                <w:kern w:val="0"/>
                <w:sz w:val="20"/>
                <w:szCs w:val="20"/>
              </w:rPr>
            </w:pPr>
            <w:r>
              <w:rPr>
                <w:kern w:val="0"/>
                <w:sz w:val="20"/>
                <w:szCs w:val="20"/>
              </w:rPr>
              <w:t>GFK(A)</w:t>
            </w:r>
          </w:p>
        </w:tc>
        <w:tc>
          <w:tcPr>
            <w:tcW w:w="1046" w:type="dxa"/>
            <w:tcBorders>
              <w:top w:val="nil"/>
              <w:left w:val="nil"/>
              <w:bottom w:val="single" w:color="auto" w:sz="4" w:space="0"/>
              <w:right w:val="single" w:color="auto" w:sz="4" w:space="0"/>
            </w:tcBorders>
            <w:noWrap w:val="0"/>
            <w:vAlign w:val="center"/>
          </w:tcPr>
          <w:p w14:paraId="4B44804E">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4AB6DD2A">
            <w:pPr>
              <w:widowControl/>
              <w:jc w:val="center"/>
              <w:rPr>
                <w:kern w:val="0"/>
                <w:sz w:val="20"/>
                <w:szCs w:val="20"/>
              </w:rPr>
            </w:pPr>
            <w:r>
              <w:rPr>
                <w:kern w:val="0"/>
                <w:sz w:val="20"/>
                <w:szCs w:val="20"/>
              </w:rPr>
              <w:t>2</w:t>
            </w:r>
          </w:p>
        </w:tc>
      </w:tr>
      <w:tr w14:paraId="57D8CCB1">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D24F79D">
            <w:pPr>
              <w:widowControl/>
              <w:jc w:val="center"/>
              <w:rPr>
                <w:rFonts w:ascii="宋体" w:hAnsi="宋体" w:cs="宋体"/>
                <w:kern w:val="0"/>
                <w:sz w:val="20"/>
                <w:szCs w:val="20"/>
              </w:rPr>
            </w:pPr>
            <w:r>
              <w:rPr>
                <w:rFonts w:hint="eastAsia" w:ascii="宋体" w:hAnsi="宋体" w:cs="宋体"/>
                <w:kern w:val="0"/>
                <w:sz w:val="20"/>
                <w:szCs w:val="20"/>
              </w:rPr>
              <w:t>18</w:t>
            </w:r>
          </w:p>
        </w:tc>
        <w:tc>
          <w:tcPr>
            <w:tcW w:w="2941" w:type="dxa"/>
            <w:tcBorders>
              <w:top w:val="nil"/>
              <w:left w:val="nil"/>
              <w:bottom w:val="single" w:color="auto" w:sz="4" w:space="0"/>
              <w:right w:val="single" w:color="auto" w:sz="4" w:space="0"/>
            </w:tcBorders>
            <w:noWrap w:val="0"/>
            <w:vAlign w:val="center"/>
          </w:tcPr>
          <w:p w14:paraId="5297AB85">
            <w:pPr>
              <w:widowControl/>
              <w:rPr>
                <w:rFonts w:ascii="宋体" w:hAnsi="宋体" w:cs="宋体"/>
                <w:kern w:val="0"/>
                <w:sz w:val="20"/>
                <w:szCs w:val="20"/>
              </w:rPr>
            </w:pPr>
            <w:r>
              <w:rPr>
                <w:rFonts w:hint="eastAsia" w:ascii="宋体" w:hAnsi="宋体" w:cs="宋体"/>
                <w:kern w:val="0"/>
                <w:sz w:val="20"/>
                <w:szCs w:val="20"/>
              </w:rPr>
              <w:t>风门开闭传感器</w:t>
            </w:r>
          </w:p>
        </w:tc>
        <w:tc>
          <w:tcPr>
            <w:tcW w:w="2435" w:type="dxa"/>
            <w:tcBorders>
              <w:top w:val="nil"/>
              <w:left w:val="nil"/>
              <w:bottom w:val="single" w:color="auto" w:sz="4" w:space="0"/>
              <w:right w:val="single" w:color="auto" w:sz="4" w:space="0"/>
            </w:tcBorders>
            <w:noWrap w:val="0"/>
            <w:vAlign w:val="center"/>
          </w:tcPr>
          <w:p w14:paraId="3E6D08B4">
            <w:pPr>
              <w:widowControl/>
              <w:rPr>
                <w:kern w:val="0"/>
                <w:sz w:val="20"/>
                <w:szCs w:val="20"/>
              </w:rPr>
            </w:pPr>
            <w:r>
              <w:rPr>
                <w:kern w:val="0"/>
                <w:sz w:val="20"/>
                <w:szCs w:val="20"/>
              </w:rPr>
              <w:t>KG92-1</w:t>
            </w:r>
          </w:p>
        </w:tc>
        <w:tc>
          <w:tcPr>
            <w:tcW w:w="1046" w:type="dxa"/>
            <w:tcBorders>
              <w:top w:val="nil"/>
              <w:left w:val="nil"/>
              <w:bottom w:val="single" w:color="auto" w:sz="4" w:space="0"/>
              <w:right w:val="single" w:color="auto" w:sz="4" w:space="0"/>
            </w:tcBorders>
            <w:noWrap w:val="0"/>
            <w:vAlign w:val="center"/>
          </w:tcPr>
          <w:p w14:paraId="2F2C87D4">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1AE8D192">
            <w:pPr>
              <w:widowControl/>
              <w:jc w:val="center"/>
              <w:rPr>
                <w:kern w:val="0"/>
                <w:sz w:val="20"/>
                <w:szCs w:val="20"/>
              </w:rPr>
            </w:pPr>
            <w:r>
              <w:rPr>
                <w:kern w:val="0"/>
                <w:sz w:val="20"/>
                <w:szCs w:val="20"/>
              </w:rPr>
              <w:t>9</w:t>
            </w:r>
          </w:p>
        </w:tc>
      </w:tr>
      <w:tr w14:paraId="679B62D4">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569271D1">
            <w:pPr>
              <w:widowControl/>
              <w:jc w:val="center"/>
              <w:rPr>
                <w:rFonts w:ascii="宋体" w:hAnsi="宋体" w:cs="宋体"/>
                <w:kern w:val="0"/>
                <w:sz w:val="20"/>
                <w:szCs w:val="20"/>
              </w:rPr>
            </w:pPr>
            <w:r>
              <w:rPr>
                <w:rFonts w:hint="eastAsia" w:ascii="宋体" w:hAnsi="宋体" w:cs="宋体"/>
                <w:kern w:val="0"/>
                <w:sz w:val="20"/>
                <w:szCs w:val="20"/>
              </w:rPr>
              <w:t>19</w:t>
            </w:r>
          </w:p>
        </w:tc>
        <w:tc>
          <w:tcPr>
            <w:tcW w:w="2941" w:type="dxa"/>
            <w:tcBorders>
              <w:top w:val="nil"/>
              <w:left w:val="nil"/>
              <w:bottom w:val="single" w:color="auto" w:sz="4" w:space="0"/>
              <w:right w:val="single" w:color="auto" w:sz="4" w:space="0"/>
            </w:tcBorders>
            <w:noWrap w:val="0"/>
            <w:vAlign w:val="center"/>
          </w:tcPr>
          <w:p w14:paraId="6B133D34">
            <w:pPr>
              <w:widowControl/>
              <w:rPr>
                <w:rFonts w:ascii="宋体" w:hAnsi="宋体" w:cs="宋体"/>
                <w:kern w:val="0"/>
                <w:sz w:val="20"/>
                <w:szCs w:val="20"/>
              </w:rPr>
            </w:pPr>
            <w:r>
              <w:rPr>
                <w:rFonts w:hint="eastAsia" w:ascii="宋体" w:hAnsi="宋体" w:cs="宋体"/>
                <w:kern w:val="0"/>
                <w:sz w:val="20"/>
                <w:szCs w:val="20"/>
              </w:rPr>
              <w:t>机电设备开停传感器</w:t>
            </w:r>
          </w:p>
        </w:tc>
        <w:tc>
          <w:tcPr>
            <w:tcW w:w="2435" w:type="dxa"/>
            <w:tcBorders>
              <w:top w:val="nil"/>
              <w:left w:val="nil"/>
              <w:bottom w:val="single" w:color="auto" w:sz="4" w:space="0"/>
              <w:right w:val="single" w:color="auto" w:sz="4" w:space="0"/>
            </w:tcBorders>
            <w:noWrap w:val="0"/>
            <w:vAlign w:val="center"/>
          </w:tcPr>
          <w:p w14:paraId="53AA5922">
            <w:pPr>
              <w:widowControl/>
              <w:rPr>
                <w:kern w:val="0"/>
                <w:sz w:val="20"/>
                <w:szCs w:val="20"/>
              </w:rPr>
            </w:pPr>
            <w:r>
              <w:rPr>
                <w:kern w:val="0"/>
                <w:sz w:val="20"/>
                <w:szCs w:val="20"/>
              </w:rPr>
              <w:t>KTC-90</w:t>
            </w:r>
          </w:p>
        </w:tc>
        <w:tc>
          <w:tcPr>
            <w:tcW w:w="1046" w:type="dxa"/>
            <w:tcBorders>
              <w:top w:val="nil"/>
              <w:left w:val="nil"/>
              <w:bottom w:val="single" w:color="auto" w:sz="4" w:space="0"/>
              <w:right w:val="single" w:color="auto" w:sz="4" w:space="0"/>
            </w:tcBorders>
            <w:noWrap w:val="0"/>
            <w:vAlign w:val="center"/>
          </w:tcPr>
          <w:p w14:paraId="62DD7910">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0DC1ECB1">
            <w:pPr>
              <w:widowControl/>
              <w:jc w:val="center"/>
              <w:rPr>
                <w:kern w:val="0"/>
                <w:sz w:val="20"/>
                <w:szCs w:val="20"/>
              </w:rPr>
            </w:pPr>
            <w:r>
              <w:rPr>
                <w:kern w:val="0"/>
                <w:sz w:val="20"/>
                <w:szCs w:val="20"/>
              </w:rPr>
              <w:t>20</w:t>
            </w:r>
          </w:p>
        </w:tc>
      </w:tr>
      <w:tr w14:paraId="0FB5573D">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9038BF9">
            <w:pPr>
              <w:widowControl/>
              <w:jc w:val="center"/>
              <w:rPr>
                <w:rFonts w:ascii="宋体" w:hAnsi="宋体" w:cs="宋体"/>
                <w:kern w:val="0"/>
                <w:sz w:val="20"/>
                <w:szCs w:val="20"/>
              </w:rPr>
            </w:pPr>
            <w:r>
              <w:rPr>
                <w:rFonts w:hint="eastAsia" w:ascii="宋体" w:hAnsi="宋体" w:cs="宋体"/>
                <w:kern w:val="0"/>
                <w:sz w:val="20"/>
                <w:szCs w:val="20"/>
              </w:rPr>
              <w:t>20</w:t>
            </w:r>
          </w:p>
        </w:tc>
        <w:tc>
          <w:tcPr>
            <w:tcW w:w="2941" w:type="dxa"/>
            <w:tcBorders>
              <w:top w:val="nil"/>
              <w:left w:val="nil"/>
              <w:bottom w:val="single" w:color="auto" w:sz="4" w:space="0"/>
              <w:right w:val="single" w:color="auto" w:sz="4" w:space="0"/>
            </w:tcBorders>
            <w:noWrap w:val="0"/>
            <w:vAlign w:val="center"/>
          </w:tcPr>
          <w:p w14:paraId="23DDD405">
            <w:pPr>
              <w:widowControl/>
              <w:rPr>
                <w:rFonts w:ascii="宋体" w:hAnsi="宋体" w:cs="宋体"/>
                <w:kern w:val="0"/>
                <w:sz w:val="20"/>
                <w:szCs w:val="20"/>
              </w:rPr>
            </w:pPr>
            <w:r>
              <w:rPr>
                <w:rFonts w:hint="eastAsia" w:ascii="宋体" w:hAnsi="宋体" w:cs="宋体"/>
                <w:kern w:val="0"/>
                <w:sz w:val="20"/>
                <w:szCs w:val="20"/>
              </w:rPr>
              <w:t>馈电状态传感器</w:t>
            </w:r>
          </w:p>
        </w:tc>
        <w:tc>
          <w:tcPr>
            <w:tcW w:w="2435" w:type="dxa"/>
            <w:tcBorders>
              <w:top w:val="nil"/>
              <w:left w:val="nil"/>
              <w:bottom w:val="single" w:color="auto" w:sz="4" w:space="0"/>
              <w:right w:val="single" w:color="auto" w:sz="4" w:space="0"/>
            </w:tcBorders>
            <w:noWrap w:val="0"/>
            <w:vAlign w:val="center"/>
          </w:tcPr>
          <w:p w14:paraId="03C8FD60">
            <w:pPr>
              <w:widowControl/>
              <w:rPr>
                <w:kern w:val="0"/>
                <w:sz w:val="20"/>
                <w:szCs w:val="20"/>
              </w:rPr>
            </w:pPr>
            <w:r>
              <w:rPr>
                <w:kern w:val="0"/>
                <w:sz w:val="20"/>
                <w:szCs w:val="20"/>
              </w:rPr>
              <w:t>KGT23</w:t>
            </w:r>
          </w:p>
        </w:tc>
        <w:tc>
          <w:tcPr>
            <w:tcW w:w="1046" w:type="dxa"/>
            <w:tcBorders>
              <w:top w:val="nil"/>
              <w:left w:val="nil"/>
              <w:bottom w:val="single" w:color="auto" w:sz="4" w:space="0"/>
              <w:right w:val="single" w:color="auto" w:sz="4" w:space="0"/>
            </w:tcBorders>
            <w:noWrap w:val="0"/>
            <w:vAlign w:val="center"/>
          </w:tcPr>
          <w:p w14:paraId="7662ECFD">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4E964D1D">
            <w:pPr>
              <w:widowControl/>
              <w:jc w:val="center"/>
              <w:rPr>
                <w:kern w:val="0"/>
                <w:sz w:val="20"/>
                <w:szCs w:val="20"/>
              </w:rPr>
            </w:pPr>
            <w:r>
              <w:rPr>
                <w:kern w:val="0"/>
                <w:sz w:val="20"/>
                <w:szCs w:val="20"/>
              </w:rPr>
              <w:t>4</w:t>
            </w:r>
          </w:p>
        </w:tc>
      </w:tr>
      <w:tr w14:paraId="7DE1857E">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1F390EEF">
            <w:pPr>
              <w:widowControl/>
              <w:jc w:val="center"/>
              <w:rPr>
                <w:rFonts w:ascii="宋体" w:hAnsi="宋体" w:cs="宋体"/>
                <w:kern w:val="0"/>
                <w:sz w:val="20"/>
                <w:szCs w:val="20"/>
              </w:rPr>
            </w:pPr>
            <w:r>
              <w:rPr>
                <w:rFonts w:hint="eastAsia" w:ascii="宋体" w:hAnsi="宋体" w:cs="宋体"/>
                <w:kern w:val="0"/>
                <w:sz w:val="20"/>
                <w:szCs w:val="20"/>
              </w:rPr>
              <w:t>　</w:t>
            </w:r>
          </w:p>
        </w:tc>
        <w:tc>
          <w:tcPr>
            <w:tcW w:w="2941" w:type="dxa"/>
            <w:tcBorders>
              <w:top w:val="nil"/>
              <w:left w:val="nil"/>
              <w:bottom w:val="single" w:color="auto" w:sz="4" w:space="0"/>
              <w:right w:val="single" w:color="auto" w:sz="4" w:space="0"/>
            </w:tcBorders>
            <w:noWrap w:val="0"/>
            <w:vAlign w:val="center"/>
          </w:tcPr>
          <w:p w14:paraId="042E64AE">
            <w:pPr>
              <w:widowControl/>
              <w:rPr>
                <w:rFonts w:ascii="宋体" w:hAnsi="宋体" w:cs="宋体"/>
                <w:kern w:val="0"/>
                <w:sz w:val="20"/>
                <w:szCs w:val="20"/>
              </w:rPr>
            </w:pPr>
            <w:r>
              <w:rPr>
                <w:rFonts w:hint="eastAsia" w:ascii="宋体" w:hAnsi="宋体" w:cs="宋体"/>
                <w:kern w:val="0"/>
                <w:sz w:val="20"/>
                <w:szCs w:val="20"/>
              </w:rPr>
              <w:t>合计</w:t>
            </w:r>
          </w:p>
        </w:tc>
        <w:tc>
          <w:tcPr>
            <w:tcW w:w="2435" w:type="dxa"/>
            <w:tcBorders>
              <w:top w:val="nil"/>
              <w:left w:val="nil"/>
              <w:bottom w:val="single" w:color="auto" w:sz="4" w:space="0"/>
              <w:right w:val="single" w:color="auto" w:sz="4" w:space="0"/>
            </w:tcBorders>
            <w:noWrap w:val="0"/>
            <w:vAlign w:val="center"/>
          </w:tcPr>
          <w:p w14:paraId="31043B92">
            <w:pPr>
              <w:widowControl/>
              <w:rPr>
                <w:kern w:val="0"/>
                <w:sz w:val="20"/>
                <w:szCs w:val="20"/>
              </w:rPr>
            </w:pPr>
            <w:r>
              <w:rPr>
                <w:kern w:val="0"/>
                <w:sz w:val="20"/>
                <w:szCs w:val="20"/>
              </w:rPr>
              <w:t>　</w:t>
            </w:r>
          </w:p>
        </w:tc>
        <w:tc>
          <w:tcPr>
            <w:tcW w:w="1046" w:type="dxa"/>
            <w:tcBorders>
              <w:top w:val="nil"/>
              <w:left w:val="nil"/>
              <w:bottom w:val="single" w:color="auto" w:sz="4" w:space="0"/>
              <w:right w:val="single" w:color="auto" w:sz="4" w:space="0"/>
            </w:tcBorders>
            <w:noWrap w:val="0"/>
            <w:vAlign w:val="center"/>
          </w:tcPr>
          <w:p w14:paraId="6E45E30A">
            <w:pPr>
              <w:widowControl/>
              <w:jc w:val="center"/>
              <w:rPr>
                <w:rFonts w:ascii="宋体" w:hAnsi="宋体" w:cs="宋体"/>
                <w:b/>
                <w:bCs/>
                <w:kern w:val="0"/>
                <w:sz w:val="20"/>
                <w:szCs w:val="20"/>
              </w:rPr>
            </w:pPr>
            <w:r>
              <w:rPr>
                <w:rFonts w:hint="eastAsia" w:ascii="宋体" w:hAnsi="宋体" w:cs="宋体"/>
                <w:b/>
                <w:bCs/>
                <w:kern w:val="0"/>
                <w:sz w:val="20"/>
                <w:szCs w:val="20"/>
              </w:rPr>
              <w:t>　</w:t>
            </w:r>
          </w:p>
        </w:tc>
        <w:tc>
          <w:tcPr>
            <w:tcW w:w="1105" w:type="dxa"/>
            <w:tcBorders>
              <w:top w:val="nil"/>
              <w:left w:val="nil"/>
              <w:bottom w:val="single" w:color="auto" w:sz="4" w:space="0"/>
              <w:right w:val="single" w:color="auto" w:sz="8" w:space="0"/>
            </w:tcBorders>
            <w:noWrap w:val="0"/>
            <w:vAlign w:val="center"/>
          </w:tcPr>
          <w:p w14:paraId="01FC732B">
            <w:pPr>
              <w:widowControl/>
              <w:jc w:val="center"/>
              <w:rPr>
                <w:kern w:val="0"/>
                <w:sz w:val="20"/>
                <w:szCs w:val="20"/>
              </w:rPr>
            </w:pPr>
            <w:r>
              <w:rPr>
                <w:kern w:val="0"/>
                <w:sz w:val="20"/>
                <w:szCs w:val="20"/>
              </w:rPr>
              <w:t>86</w:t>
            </w:r>
          </w:p>
        </w:tc>
      </w:tr>
      <w:tr w14:paraId="4433FA00">
        <w:tblPrEx>
          <w:tblCellMar>
            <w:top w:w="0" w:type="dxa"/>
            <w:left w:w="108" w:type="dxa"/>
            <w:bottom w:w="0" w:type="dxa"/>
            <w:right w:w="108" w:type="dxa"/>
          </w:tblCellMar>
        </w:tblPrEx>
        <w:trPr>
          <w:wBefore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1DDAA76A">
            <w:pPr>
              <w:widowControl/>
              <w:jc w:val="center"/>
              <w:rPr>
                <w:rFonts w:ascii="宋体" w:hAnsi="宋体" w:cs="宋体"/>
                <w:b/>
                <w:bCs/>
                <w:kern w:val="0"/>
                <w:sz w:val="20"/>
                <w:szCs w:val="20"/>
              </w:rPr>
            </w:pPr>
            <w:r>
              <w:rPr>
                <w:rFonts w:hint="eastAsia" w:ascii="宋体" w:hAnsi="宋体" w:cs="宋体"/>
                <w:b/>
                <w:bCs/>
                <w:kern w:val="0"/>
                <w:sz w:val="20"/>
                <w:szCs w:val="20"/>
              </w:rPr>
              <w:t>四</w:t>
            </w:r>
          </w:p>
        </w:tc>
        <w:tc>
          <w:tcPr>
            <w:tcW w:w="7527" w:type="dxa"/>
            <w:gridSpan w:val="4"/>
            <w:tcBorders>
              <w:top w:val="single" w:color="auto" w:sz="4" w:space="0"/>
              <w:left w:val="nil"/>
              <w:bottom w:val="single" w:color="auto" w:sz="4" w:space="0"/>
              <w:right w:val="single" w:color="000000" w:sz="8" w:space="0"/>
            </w:tcBorders>
            <w:noWrap w:val="0"/>
            <w:vAlign w:val="center"/>
          </w:tcPr>
          <w:p w14:paraId="7DD811F7">
            <w:pPr>
              <w:widowControl/>
              <w:rPr>
                <w:rFonts w:ascii="宋体" w:hAnsi="宋体" w:cs="宋体"/>
                <w:b/>
                <w:bCs/>
                <w:kern w:val="0"/>
                <w:sz w:val="20"/>
                <w:szCs w:val="20"/>
              </w:rPr>
            </w:pPr>
            <w:r>
              <w:rPr>
                <w:rFonts w:hint="eastAsia" w:ascii="宋体" w:hAnsi="宋体" w:cs="宋体"/>
                <w:b/>
                <w:bCs/>
                <w:kern w:val="0"/>
                <w:sz w:val="20"/>
                <w:szCs w:val="20"/>
              </w:rPr>
              <w:t>电缆及其它设备</w:t>
            </w:r>
          </w:p>
        </w:tc>
      </w:tr>
      <w:tr w14:paraId="2B326406">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D419C01">
            <w:pPr>
              <w:widowControl/>
              <w:jc w:val="center"/>
              <w:rPr>
                <w:rFonts w:ascii="宋体" w:hAnsi="宋体" w:cs="宋体"/>
                <w:kern w:val="0"/>
                <w:sz w:val="20"/>
                <w:szCs w:val="20"/>
              </w:rPr>
            </w:pPr>
            <w:r>
              <w:rPr>
                <w:rFonts w:hint="eastAsia" w:ascii="宋体" w:hAnsi="宋体" w:cs="宋体"/>
                <w:kern w:val="0"/>
                <w:sz w:val="20"/>
                <w:szCs w:val="20"/>
              </w:rPr>
              <w:t>1</w:t>
            </w:r>
          </w:p>
        </w:tc>
        <w:tc>
          <w:tcPr>
            <w:tcW w:w="2941" w:type="dxa"/>
            <w:tcBorders>
              <w:top w:val="nil"/>
              <w:left w:val="nil"/>
              <w:bottom w:val="single" w:color="auto" w:sz="4" w:space="0"/>
              <w:right w:val="single" w:color="auto" w:sz="4" w:space="0"/>
            </w:tcBorders>
            <w:noWrap w:val="0"/>
            <w:vAlign w:val="center"/>
          </w:tcPr>
          <w:p w14:paraId="14D6E1F1">
            <w:pPr>
              <w:widowControl/>
              <w:rPr>
                <w:rFonts w:ascii="宋体" w:hAnsi="宋体" w:cs="宋体"/>
                <w:kern w:val="0"/>
                <w:sz w:val="20"/>
                <w:szCs w:val="20"/>
              </w:rPr>
            </w:pPr>
            <w:r>
              <w:rPr>
                <w:rFonts w:hint="eastAsia" w:ascii="宋体" w:hAnsi="宋体" w:cs="宋体"/>
                <w:kern w:val="0"/>
                <w:sz w:val="20"/>
                <w:szCs w:val="20"/>
              </w:rPr>
              <w:t>主传输电缆</w:t>
            </w:r>
          </w:p>
        </w:tc>
        <w:tc>
          <w:tcPr>
            <w:tcW w:w="2435" w:type="dxa"/>
            <w:tcBorders>
              <w:top w:val="nil"/>
              <w:left w:val="nil"/>
              <w:bottom w:val="single" w:color="auto" w:sz="4" w:space="0"/>
              <w:right w:val="single" w:color="auto" w:sz="4" w:space="0"/>
            </w:tcBorders>
            <w:noWrap w:val="0"/>
            <w:vAlign w:val="center"/>
          </w:tcPr>
          <w:p w14:paraId="75311565">
            <w:pPr>
              <w:widowControl/>
              <w:rPr>
                <w:rFonts w:ascii="宋体" w:hAnsi="宋体" w:cs="宋体"/>
                <w:kern w:val="0"/>
                <w:sz w:val="20"/>
                <w:szCs w:val="20"/>
              </w:rPr>
            </w:pPr>
            <w:r>
              <w:rPr>
                <w:rFonts w:hint="eastAsia" w:ascii="宋体" w:hAnsi="宋体" w:cs="宋体"/>
                <w:kern w:val="0"/>
                <w:sz w:val="20"/>
                <w:szCs w:val="20"/>
              </w:rPr>
              <w:t>MHY32   2×2</w:t>
            </w:r>
          </w:p>
        </w:tc>
        <w:tc>
          <w:tcPr>
            <w:tcW w:w="1046" w:type="dxa"/>
            <w:tcBorders>
              <w:top w:val="nil"/>
              <w:left w:val="nil"/>
              <w:bottom w:val="single" w:color="auto" w:sz="4" w:space="0"/>
              <w:right w:val="single" w:color="auto" w:sz="4" w:space="0"/>
            </w:tcBorders>
            <w:noWrap w:val="0"/>
            <w:vAlign w:val="center"/>
          </w:tcPr>
          <w:p w14:paraId="7B5C2432">
            <w:pPr>
              <w:widowControl/>
              <w:jc w:val="center"/>
              <w:rPr>
                <w:rFonts w:ascii="宋体" w:hAnsi="宋体" w:cs="宋体"/>
                <w:kern w:val="0"/>
                <w:sz w:val="20"/>
                <w:szCs w:val="20"/>
              </w:rPr>
            </w:pPr>
            <w:r>
              <w:rPr>
                <w:rFonts w:hint="eastAsia" w:ascii="宋体" w:hAnsi="宋体" w:cs="宋体"/>
                <w:kern w:val="0"/>
                <w:sz w:val="20"/>
                <w:szCs w:val="20"/>
              </w:rPr>
              <w:t>m</w:t>
            </w:r>
          </w:p>
        </w:tc>
        <w:tc>
          <w:tcPr>
            <w:tcW w:w="1105" w:type="dxa"/>
            <w:tcBorders>
              <w:top w:val="nil"/>
              <w:left w:val="nil"/>
              <w:bottom w:val="single" w:color="auto" w:sz="4" w:space="0"/>
              <w:right w:val="single" w:color="auto" w:sz="8" w:space="0"/>
            </w:tcBorders>
            <w:noWrap w:val="0"/>
            <w:vAlign w:val="center"/>
          </w:tcPr>
          <w:p w14:paraId="490FC384">
            <w:pPr>
              <w:widowControl/>
              <w:jc w:val="center"/>
              <w:rPr>
                <w:rFonts w:ascii="宋体" w:hAnsi="宋体" w:cs="宋体"/>
                <w:kern w:val="0"/>
                <w:sz w:val="20"/>
                <w:szCs w:val="20"/>
              </w:rPr>
            </w:pPr>
            <w:r>
              <w:rPr>
                <w:rFonts w:hint="eastAsia" w:ascii="宋体" w:hAnsi="宋体" w:cs="宋体"/>
                <w:kern w:val="0"/>
                <w:sz w:val="20"/>
                <w:szCs w:val="20"/>
              </w:rPr>
              <w:t>1150</w:t>
            </w:r>
          </w:p>
        </w:tc>
      </w:tr>
      <w:tr w14:paraId="62EC10CF">
        <w:tblPrEx>
          <w:tblCellMar>
            <w:top w:w="0" w:type="dxa"/>
            <w:left w:w="108" w:type="dxa"/>
            <w:bottom w:w="0" w:type="dxa"/>
            <w:right w:w="108" w:type="dxa"/>
          </w:tblCellMar>
        </w:tblPrEx>
        <w:trPr>
          <w:wBefore w:w="0" w:type="dxa"/>
          <w:wAfter w:w="0" w:type="dxa"/>
          <w:trHeight w:val="483" w:hRule="atLeast"/>
        </w:trPr>
        <w:tc>
          <w:tcPr>
            <w:tcW w:w="758" w:type="dxa"/>
            <w:tcBorders>
              <w:top w:val="nil"/>
              <w:left w:val="single" w:color="auto" w:sz="8" w:space="0"/>
              <w:bottom w:val="single" w:color="auto" w:sz="4" w:space="0"/>
              <w:right w:val="single" w:color="auto" w:sz="4" w:space="0"/>
            </w:tcBorders>
            <w:noWrap w:val="0"/>
            <w:vAlign w:val="bottom"/>
          </w:tcPr>
          <w:p w14:paraId="7B27DCB4">
            <w:pPr>
              <w:widowControl/>
              <w:jc w:val="center"/>
              <w:rPr>
                <w:rFonts w:ascii="宋体" w:hAnsi="宋体" w:cs="宋体"/>
                <w:kern w:val="0"/>
                <w:sz w:val="20"/>
                <w:szCs w:val="20"/>
              </w:rPr>
            </w:pPr>
            <w:r>
              <w:rPr>
                <w:rFonts w:hint="eastAsia" w:ascii="宋体" w:hAnsi="宋体" w:cs="宋体"/>
                <w:kern w:val="0"/>
                <w:sz w:val="20"/>
                <w:szCs w:val="20"/>
              </w:rPr>
              <w:t>2</w:t>
            </w:r>
          </w:p>
        </w:tc>
        <w:tc>
          <w:tcPr>
            <w:tcW w:w="2941" w:type="dxa"/>
            <w:tcBorders>
              <w:top w:val="nil"/>
              <w:left w:val="nil"/>
              <w:bottom w:val="single" w:color="auto" w:sz="4" w:space="0"/>
              <w:right w:val="single" w:color="auto" w:sz="4" w:space="0"/>
            </w:tcBorders>
            <w:noWrap w:val="0"/>
            <w:vAlign w:val="center"/>
          </w:tcPr>
          <w:p w14:paraId="4FA5A747">
            <w:pPr>
              <w:widowControl/>
              <w:rPr>
                <w:rFonts w:ascii="宋体" w:hAnsi="宋体" w:cs="宋体"/>
                <w:kern w:val="0"/>
                <w:sz w:val="20"/>
                <w:szCs w:val="20"/>
              </w:rPr>
            </w:pPr>
            <w:r>
              <w:rPr>
                <w:rFonts w:hint="eastAsia" w:ascii="宋体" w:hAnsi="宋体" w:cs="宋体"/>
                <w:kern w:val="0"/>
                <w:sz w:val="20"/>
                <w:szCs w:val="20"/>
              </w:rPr>
              <w:t>传感器电缆</w:t>
            </w:r>
          </w:p>
        </w:tc>
        <w:tc>
          <w:tcPr>
            <w:tcW w:w="2435" w:type="dxa"/>
            <w:tcBorders>
              <w:top w:val="nil"/>
              <w:left w:val="nil"/>
              <w:bottom w:val="single" w:color="auto" w:sz="4" w:space="0"/>
              <w:right w:val="single" w:color="auto" w:sz="4" w:space="0"/>
            </w:tcBorders>
            <w:noWrap w:val="0"/>
            <w:vAlign w:val="center"/>
          </w:tcPr>
          <w:p w14:paraId="43A78D61">
            <w:pPr>
              <w:widowControl/>
              <w:rPr>
                <w:rFonts w:ascii="宋体" w:hAnsi="宋体" w:cs="宋体"/>
                <w:kern w:val="0"/>
                <w:sz w:val="20"/>
                <w:szCs w:val="20"/>
              </w:rPr>
            </w:pPr>
            <w:r>
              <w:rPr>
                <w:rFonts w:hint="eastAsia" w:ascii="宋体" w:hAnsi="宋体" w:cs="宋体"/>
                <w:kern w:val="0"/>
                <w:sz w:val="20"/>
                <w:szCs w:val="20"/>
              </w:rPr>
              <w:t>MHYVR  1×4×7/0.43</w:t>
            </w:r>
          </w:p>
        </w:tc>
        <w:tc>
          <w:tcPr>
            <w:tcW w:w="1046" w:type="dxa"/>
            <w:tcBorders>
              <w:top w:val="nil"/>
              <w:left w:val="nil"/>
              <w:bottom w:val="single" w:color="auto" w:sz="4" w:space="0"/>
              <w:right w:val="single" w:color="auto" w:sz="4" w:space="0"/>
            </w:tcBorders>
            <w:noWrap w:val="0"/>
            <w:vAlign w:val="center"/>
          </w:tcPr>
          <w:p w14:paraId="6016EC39">
            <w:pPr>
              <w:widowControl/>
              <w:jc w:val="center"/>
              <w:rPr>
                <w:rFonts w:ascii="宋体" w:hAnsi="宋体" w:cs="宋体"/>
                <w:kern w:val="0"/>
                <w:sz w:val="20"/>
                <w:szCs w:val="20"/>
              </w:rPr>
            </w:pPr>
            <w:r>
              <w:rPr>
                <w:rFonts w:hint="eastAsia" w:ascii="宋体" w:hAnsi="宋体" w:cs="宋体"/>
                <w:kern w:val="0"/>
                <w:sz w:val="20"/>
                <w:szCs w:val="20"/>
              </w:rPr>
              <w:t>m</w:t>
            </w:r>
          </w:p>
        </w:tc>
        <w:tc>
          <w:tcPr>
            <w:tcW w:w="1105" w:type="dxa"/>
            <w:tcBorders>
              <w:top w:val="nil"/>
              <w:left w:val="nil"/>
              <w:bottom w:val="single" w:color="auto" w:sz="4" w:space="0"/>
              <w:right w:val="single" w:color="auto" w:sz="8" w:space="0"/>
            </w:tcBorders>
            <w:noWrap w:val="0"/>
            <w:vAlign w:val="center"/>
          </w:tcPr>
          <w:p w14:paraId="20551190">
            <w:pPr>
              <w:widowControl/>
              <w:jc w:val="center"/>
              <w:rPr>
                <w:rFonts w:ascii="宋体" w:hAnsi="宋体" w:cs="宋体"/>
                <w:kern w:val="0"/>
                <w:sz w:val="20"/>
                <w:szCs w:val="20"/>
              </w:rPr>
            </w:pPr>
            <w:r>
              <w:rPr>
                <w:rFonts w:hint="eastAsia" w:ascii="宋体" w:hAnsi="宋体" w:cs="宋体"/>
                <w:kern w:val="0"/>
                <w:sz w:val="20"/>
                <w:szCs w:val="20"/>
              </w:rPr>
              <w:t>9460</w:t>
            </w:r>
          </w:p>
        </w:tc>
      </w:tr>
      <w:tr w14:paraId="212D8228">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3EB370F3">
            <w:pPr>
              <w:widowControl/>
              <w:jc w:val="center"/>
              <w:rPr>
                <w:rFonts w:ascii="宋体" w:hAnsi="宋体" w:cs="宋体"/>
                <w:kern w:val="0"/>
                <w:sz w:val="20"/>
                <w:szCs w:val="20"/>
              </w:rPr>
            </w:pPr>
            <w:r>
              <w:rPr>
                <w:rFonts w:hint="eastAsia" w:ascii="宋体" w:hAnsi="宋体" w:cs="宋体"/>
                <w:kern w:val="0"/>
                <w:sz w:val="20"/>
                <w:szCs w:val="20"/>
              </w:rPr>
              <w:t>3</w:t>
            </w:r>
          </w:p>
        </w:tc>
        <w:tc>
          <w:tcPr>
            <w:tcW w:w="2941" w:type="dxa"/>
            <w:tcBorders>
              <w:top w:val="nil"/>
              <w:left w:val="nil"/>
              <w:bottom w:val="single" w:color="auto" w:sz="4" w:space="0"/>
              <w:right w:val="single" w:color="auto" w:sz="4" w:space="0"/>
            </w:tcBorders>
            <w:noWrap w:val="0"/>
            <w:vAlign w:val="center"/>
          </w:tcPr>
          <w:p w14:paraId="021946F4">
            <w:pPr>
              <w:widowControl/>
              <w:rPr>
                <w:rFonts w:ascii="宋体" w:hAnsi="宋体" w:cs="宋体"/>
                <w:kern w:val="0"/>
                <w:sz w:val="20"/>
                <w:szCs w:val="20"/>
              </w:rPr>
            </w:pPr>
            <w:r>
              <w:rPr>
                <w:rFonts w:hint="eastAsia" w:ascii="宋体" w:hAnsi="宋体" w:cs="宋体"/>
                <w:kern w:val="0"/>
                <w:sz w:val="20"/>
                <w:szCs w:val="20"/>
              </w:rPr>
              <w:t>控制电缆</w:t>
            </w:r>
          </w:p>
        </w:tc>
        <w:tc>
          <w:tcPr>
            <w:tcW w:w="2435" w:type="dxa"/>
            <w:tcBorders>
              <w:top w:val="nil"/>
              <w:left w:val="nil"/>
              <w:bottom w:val="single" w:color="auto" w:sz="4" w:space="0"/>
              <w:right w:val="single" w:color="auto" w:sz="4" w:space="0"/>
            </w:tcBorders>
            <w:noWrap w:val="0"/>
            <w:vAlign w:val="center"/>
          </w:tcPr>
          <w:p w14:paraId="30EE423F">
            <w:pPr>
              <w:widowControl/>
              <w:rPr>
                <w:rFonts w:ascii="宋体" w:hAnsi="宋体" w:cs="宋体"/>
                <w:kern w:val="0"/>
                <w:sz w:val="20"/>
                <w:szCs w:val="20"/>
              </w:rPr>
            </w:pPr>
            <w:r>
              <w:rPr>
                <w:rFonts w:hint="eastAsia" w:ascii="宋体" w:hAnsi="宋体" w:cs="宋体"/>
                <w:kern w:val="0"/>
                <w:sz w:val="20"/>
                <w:szCs w:val="20"/>
              </w:rPr>
              <w:t>MHYVR   2×2</w:t>
            </w:r>
          </w:p>
        </w:tc>
        <w:tc>
          <w:tcPr>
            <w:tcW w:w="1046" w:type="dxa"/>
            <w:tcBorders>
              <w:top w:val="nil"/>
              <w:left w:val="nil"/>
              <w:bottom w:val="single" w:color="auto" w:sz="4" w:space="0"/>
              <w:right w:val="single" w:color="auto" w:sz="4" w:space="0"/>
            </w:tcBorders>
            <w:noWrap w:val="0"/>
            <w:vAlign w:val="center"/>
          </w:tcPr>
          <w:p w14:paraId="48FDE6E3">
            <w:pPr>
              <w:widowControl/>
              <w:jc w:val="center"/>
              <w:rPr>
                <w:rFonts w:ascii="宋体" w:hAnsi="宋体" w:cs="宋体"/>
                <w:kern w:val="0"/>
                <w:sz w:val="20"/>
                <w:szCs w:val="20"/>
              </w:rPr>
            </w:pPr>
            <w:r>
              <w:rPr>
                <w:rFonts w:hint="eastAsia" w:ascii="宋体" w:hAnsi="宋体" w:cs="宋体"/>
                <w:kern w:val="0"/>
                <w:sz w:val="20"/>
                <w:szCs w:val="20"/>
              </w:rPr>
              <w:t>m</w:t>
            </w:r>
          </w:p>
        </w:tc>
        <w:tc>
          <w:tcPr>
            <w:tcW w:w="1105" w:type="dxa"/>
            <w:tcBorders>
              <w:top w:val="nil"/>
              <w:left w:val="nil"/>
              <w:bottom w:val="single" w:color="auto" w:sz="4" w:space="0"/>
              <w:right w:val="single" w:color="auto" w:sz="8" w:space="0"/>
            </w:tcBorders>
            <w:noWrap w:val="0"/>
            <w:vAlign w:val="center"/>
          </w:tcPr>
          <w:p w14:paraId="05366853">
            <w:pPr>
              <w:widowControl/>
              <w:jc w:val="center"/>
              <w:rPr>
                <w:rFonts w:ascii="宋体" w:hAnsi="宋体" w:cs="宋体"/>
                <w:kern w:val="0"/>
                <w:sz w:val="20"/>
                <w:szCs w:val="20"/>
              </w:rPr>
            </w:pPr>
            <w:r>
              <w:rPr>
                <w:rFonts w:hint="eastAsia" w:ascii="宋体" w:hAnsi="宋体" w:cs="宋体"/>
                <w:kern w:val="0"/>
                <w:sz w:val="20"/>
                <w:szCs w:val="20"/>
              </w:rPr>
              <w:t>200</w:t>
            </w:r>
          </w:p>
        </w:tc>
      </w:tr>
      <w:tr w14:paraId="50EB06D2">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77BC152E">
            <w:pPr>
              <w:widowControl/>
              <w:jc w:val="center"/>
              <w:rPr>
                <w:rFonts w:ascii="宋体" w:hAnsi="宋体" w:cs="宋体"/>
                <w:kern w:val="0"/>
                <w:sz w:val="20"/>
                <w:szCs w:val="20"/>
              </w:rPr>
            </w:pPr>
            <w:r>
              <w:rPr>
                <w:rFonts w:hint="eastAsia" w:ascii="宋体" w:hAnsi="宋体" w:cs="宋体"/>
                <w:kern w:val="0"/>
                <w:sz w:val="20"/>
                <w:szCs w:val="20"/>
              </w:rPr>
              <w:t>4</w:t>
            </w:r>
          </w:p>
        </w:tc>
        <w:tc>
          <w:tcPr>
            <w:tcW w:w="2941" w:type="dxa"/>
            <w:tcBorders>
              <w:top w:val="nil"/>
              <w:left w:val="nil"/>
              <w:bottom w:val="single" w:color="auto" w:sz="4" w:space="0"/>
              <w:right w:val="single" w:color="auto" w:sz="4" w:space="0"/>
            </w:tcBorders>
            <w:noWrap w:val="0"/>
            <w:vAlign w:val="center"/>
          </w:tcPr>
          <w:p w14:paraId="4CBB548C">
            <w:pPr>
              <w:widowControl/>
              <w:rPr>
                <w:rFonts w:ascii="宋体" w:hAnsi="宋体" w:cs="宋体"/>
                <w:kern w:val="0"/>
                <w:sz w:val="20"/>
                <w:szCs w:val="20"/>
              </w:rPr>
            </w:pPr>
            <w:r>
              <w:rPr>
                <w:rFonts w:hint="eastAsia" w:ascii="宋体" w:hAnsi="宋体" w:cs="宋体"/>
                <w:kern w:val="0"/>
                <w:sz w:val="20"/>
                <w:szCs w:val="20"/>
              </w:rPr>
              <w:t>电源电缆</w:t>
            </w:r>
          </w:p>
        </w:tc>
        <w:tc>
          <w:tcPr>
            <w:tcW w:w="2435" w:type="dxa"/>
            <w:tcBorders>
              <w:top w:val="nil"/>
              <w:left w:val="nil"/>
              <w:bottom w:val="single" w:color="auto" w:sz="4" w:space="0"/>
              <w:right w:val="single" w:color="auto" w:sz="4" w:space="0"/>
            </w:tcBorders>
            <w:noWrap w:val="0"/>
            <w:vAlign w:val="center"/>
          </w:tcPr>
          <w:p w14:paraId="0140E250">
            <w:pPr>
              <w:widowControl/>
              <w:rPr>
                <w:rFonts w:ascii="宋体" w:hAnsi="宋体" w:cs="宋体"/>
                <w:kern w:val="0"/>
                <w:sz w:val="20"/>
                <w:szCs w:val="20"/>
              </w:rPr>
            </w:pPr>
            <w:r>
              <w:rPr>
                <w:rFonts w:hint="eastAsia" w:ascii="宋体" w:hAnsi="宋体" w:cs="宋体"/>
                <w:kern w:val="0"/>
                <w:sz w:val="20"/>
                <w:szCs w:val="20"/>
              </w:rPr>
              <w:t>MHYVR1×4×0.43/7</w:t>
            </w:r>
          </w:p>
        </w:tc>
        <w:tc>
          <w:tcPr>
            <w:tcW w:w="1046" w:type="dxa"/>
            <w:tcBorders>
              <w:top w:val="nil"/>
              <w:left w:val="nil"/>
              <w:bottom w:val="single" w:color="auto" w:sz="4" w:space="0"/>
              <w:right w:val="single" w:color="auto" w:sz="4" w:space="0"/>
            </w:tcBorders>
            <w:noWrap w:val="0"/>
            <w:vAlign w:val="center"/>
          </w:tcPr>
          <w:p w14:paraId="77BAFAAE">
            <w:pPr>
              <w:widowControl/>
              <w:jc w:val="center"/>
              <w:rPr>
                <w:rFonts w:ascii="宋体" w:hAnsi="宋体" w:cs="宋体"/>
                <w:kern w:val="0"/>
                <w:sz w:val="20"/>
                <w:szCs w:val="20"/>
              </w:rPr>
            </w:pPr>
            <w:r>
              <w:rPr>
                <w:rFonts w:hint="eastAsia" w:ascii="宋体" w:hAnsi="宋体" w:cs="宋体"/>
                <w:kern w:val="0"/>
                <w:sz w:val="20"/>
                <w:szCs w:val="20"/>
              </w:rPr>
              <w:t>m</w:t>
            </w:r>
          </w:p>
        </w:tc>
        <w:tc>
          <w:tcPr>
            <w:tcW w:w="1105" w:type="dxa"/>
            <w:tcBorders>
              <w:top w:val="nil"/>
              <w:left w:val="nil"/>
              <w:bottom w:val="single" w:color="auto" w:sz="4" w:space="0"/>
              <w:right w:val="single" w:color="auto" w:sz="8" w:space="0"/>
            </w:tcBorders>
            <w:noWrap w:val="0"/>
            <w:vAlign w:val="center"/>
          </w:tcPr>
          <w:p w14:paraId="480EB6C2">
            <w:pPr>
              <w:widowControl/>
              <w:jc w:val="center"/>
              <w:rPr>
                <w:rFonts w:ascii="宋体" w:hAnsi="宋体" w:cs="宋体"/>
                <w:kern w:val="0"/>
                <w:sz w:val="20"/>
                <w:szCs w:val="20"/>
              </w:rPr>
            </w:pPr>
            <w:r>
              <w:rPr>
                <w:rFonts w:hint="eastAsia" w:ascii="宋体" w:hAnsi="宋体" w:cs="宋体"/>
                <w:kern w:val="0"/>
                <w:sz w:val="20"/>
                <w:szCs w:val="20"/>
              </w:rPr>
              <w:t>240</w:t>
            </w:r>
          </w:p>
        </w:tc>
      </w:tr>
      <w:tr w14:paraId="45D58290">
        <w:tblPrEx>
          <w:tblCellMar>
            <w:top w:w="0" w:type="dxa"/>
            <w:left w:w="108" w:type="dxa"/>
            <w:bottom w:w="0" w:type="dxa"/>
            <w:right w:w="108" w:type="dxa"/>
          </w:tblCellMar>
        </w:tblPrEx>
        <w:trPr>
          <w:wBefore w:w="0" w:type="dxa"/>
          <w:wAfter w:w="0" w:type="dxa"/>
          <w:trHeight w:val="287" w:hRule="atLeast"/>
        </w:trPr>
        <w:tc>
          <w:tcPr>
            <w:tcW w:w="758" w:type="dxa"/>
            <w:tcBorders>
              <w:top w:val="nil"/>
              <w:left w:val="single" w:color="auto" w:sz="8" w:space="0"/>
              <w:bottom w:val="single" w:color="auto" w:sz="4" w:space="0"/>
              <w:right w:val="single" w:color="auto" w:sz="4" w:space="0"/>
            </w:tcBorders>
            <w:noWrap w:val="0"/>
            <w:vAlign w:val="bottom"/>
          </w:tcPr>
          <w:p w14:paraId="2208A106">
            <w:pPr>
              <w:widowControl/>
              <w:jc w:val="center"/>
              <w:rPr>
                <w:rFonts w:ascii="宋体" w:hAnsi="宋体" w:cs="宋体"/>
                <w:kern w:val="0"/>
                <w:sz w:val="20"/>
                <w:szCs w:val="20"/>
              </w:rPr>
            </w:pPr>
            <w:r>
              <w:rPr>
                <w:rFonts w:hint="eastAsia" w:ascii="宋体" w:hAnsi="宋体" w:cs="宋体"/>
                <w:kern w:val="0"/>
                <w:sz w:val="20"/>
                <w:szCs w:val="20"/>
              </w:rPr>
              <w:t>5</w:t>
            </w:r>
          </w:p>
        </w:tc>
        <w:tc>
          <w:tcPr>
            <w:tcW w:w="2941" w:type="dxa"/>
            <w:tcBorders>
              <w:top w:val="nil"/>
              <w:left w:val="nil"/>
              <w:bottom w:val="single" w:color="auto" w:sz="4" w:space="0"/>
              <w:right w:val="single" w:color="auto" w:sz="4" w:space="0"/>
            </w:tcBorders>
            <w:noWrap w:val="0"/>
            <w:vAlign w:val="center"/>
          </w:tcPr>
          <w:p w14:paraId="71F6B6FC">
            <w:pPr>
              <w:widowControl/>
              <w:rPr>
                <w:rFonts w:ascii="宋体" w:hAnsi="宋体" w:cs="宋体"/>
                <w:kern w:val="0"/>
                <w:sz w:val="20"/>
                <w:szCs w:val="20"/>
              </w:rPr>
            </w:pPr>
            <w:r>
              <w:rPr>
                <w:rFonts w:hint="eastAsia" w:ascii="宋体" w:hAnsi="宋体" w:cs="宋体"/>
                <w:kern w:val="0"/>
                <w:sz w:val="20"/>
                <w:szCs w:val="20"/>
              </w:rPr>
              <w:t>接线盒</w:t>
            </w:r>
          </w:p>
        </w:tc>
        <w:tc>
          <w:tcPr>
            <w:tcW w:w="2435" w:type="dxa"/>
            <w:tcBorders>
              <w:top w:val="nil"/>
              <w:left w:val="nil"/>
              <w:bottom w:val="single" w:color="auto" w:sz="4" w:space="0"/>
              <w:right w:val="single" w:color="auto" w:sz="4" w:space="0"/>
            </w:tcBorders>
            <w:noWrap w:val="0"/>
            <w:vAlign w:val="center"/>
          </w:tcPr>
          <w:p w14:paraId="7970AD6D">
            <w:pPr>
              <w:widowControl/>
              <w:rPr>
                <w:kern w:val="0"/>
                <w:sz w:val="20"/>
                <w:szCs w:val="20"/>
              </w:rPr>
            </w:pPr>
            <w:r>
              <w:rPr>
                <w:kern w:val="0"/>
                <w:sz w:val="20"/>
                <w:szCs w:val="20"/>
              </w:rPr>
              <w:t>KLH11</w:t>
            </w:r>
          </w:p>
        </w:tc>
        <w:tc>
          <w:tcPr>
            <w:tcW w:w="1046" w:type="dxa"/>
            <w:tcBorders>
              <w:top w:val="nil"/>
              <w:left w:val="nil"/>
              <w:bottom w:val="single" w:color="auto" w:sz="4" w:space="0"/>
              <w:right w:val="single" w:color="auto" w:sz="4" w:space="0"/>
            </w:tcBorders>
            <w:noWrap w:val="0"/>
            <w:vAlign w:val="center"/>
          </w:tcPr>
          <w:p w14:paraId="58F3E4D7">
            <w:pPr>
              <w:widowControl/>
              <w:jc w:val="center"/>
              <w:rPr>
                <w:rFonts w:ascii="宋体" w:hAnsi="宋体" w:cs="宋体"/>
                <w:kern w:val="0"/>
                <w:sz w:val="20"/>
                <w:szCs w:val="20"/>
              </w:rPr>
            </w:pPr>
            <w:r>
              <w:rPr>
                <w:rFonts w:hint="eastAsia" w:ascii="宋体" w:hAnsi="宋体" w:cs="宋体"/>
                <w:kern w:val="0"/>
                <w:sz w:val="20"/>
                <w:szCs w:val="20"/>
              </w:rPr>
              <w:t>台</w:t>
            </w:r>
          </w:p>
        </w:tc>
        <w:tc>
          <w:tcPr>
            <w:tcW w:w="1105" w:type="dxa"/>
            <w:tcBorders>
              <w:top w:val="nil"/>
              <w:left w:val="nil"/>
              <w:bottom w:val="single" w:color="auto" w:sz="4" w:space="0"/>
              <w:right w:val="single" w:color="auto" w:sz="8" w:space="0"/>
            </w:tcBorders>
            <w:noWrap w:val="0"/>
            <w:vAlign w:val="center"/>
          </w:tcPr>
          <w:p w14:paraId="16B79DDA">
            <w:pPr>
              <w:widowControl/>
              <w:jc w:val="center"/>
              <w:rPr>
                <w:rFonts w:ascii="宋体" w:hAnsi="宋体" w:cs="宋体"/>
                <w:kern w:val="0"/>
                <w:sz w:val="20"/>
                <w:szCs w:val="20"/>
              </w:rPr>
            </w:pPr>
            <w:r>
              <w:rPr>
                <w:rFonts w:hint="eastAsia" w:ascii="宋体" w:hAnsi="宋体" w:cs="宋体"/>
                <w:kern w:val="0"/>
                <w:sz w:val="20"/>
                <w:szCs w:val="20"/>
              </w:rPr>
              <w:t>25</w:t>
            </w:r>
          </w:p>
        </w:tc>
      </w:tr>
    </w:tbl>
    <w:p w14:paraId="4A91E1AC">
      <w:pPr>
        <w:spacing w:before="120" w:beforeLines="50" w:after="120" w:afterLines="50" w:line="360" w:lineRule="auto"/>
        <w:ind w:firstLine="562" w:firstLineChars="200"/>
        <w:rPr>
          <w:rFonts w:hint="eastAsia" w:ascii="宋体" w:hAnsi="宋体"/>
          <w:b/>
          <w:sz w:val="28"/>
          <w:szCs w:val="28"/>
        </w:rPr>
      </w:pPr>
    </w:p>
    <w:p w14:paraId="0CDE1BC8">
      <w:pPr>
        <w:spacing w:before="120" w:beforeLines="50" w:after="120" w:afterLines="50" w:line="360" w:lineRule="auto"/>
        <w:ind w:firstLine="562" w:firstLineChars="200"/>
        <w:rPr>
          <w:rFonts w:hint="eastAsia" w:ascii="宋体" w:hAnsi="宋体"/>
          <w:b/>
          <w:sz w:val="28"/>
          <w:szCs w:val="28"/>
        </w:rPr>
      </w:pPr>
      <w:r>
        <w:rPr>
          <w:rFonts w:hint="eastAsia" w:ascii="宋体" w:hAnsi="宋体"/>
          <w:b/>
          <w:sz w:val="28"/>
          <w:szCs w:val="28"/>
        </w:rPr>
        <w:t>2、井下人员安全监测系统</w:t>
      </w:r>
    </w:p>
    <w:p w14:paraId="53F0AF09">
      <w:pPr>
        <w:spacing w:line="360" w:lineRule="auto"/>
        <w:ind w:firstLine="480" w:firstLineChars="200"/>
        <w:rPr>
          <w:rFonts w:hint="eastAsia"/>
          <w:sz w:val="24"/>
        </w:rPr>
      </w:pPr>
      <w:r>
        <w:rPr>
          <w:rFonts w:hint="eastAsia"/>
          <w:sz w:val="24"/>
        </w:rPr>
        <w:t>按《煤炭产业政策》（2008年第80号公告）的要求，设置井下人员监测系统。</w:t>
      </w:r>
    </w:p>
    <w:p w14:paraId="6315038C">
      <w:pPr>
        <w:spacing w:line="360" w:lineRule="auto"/>
        <w:ind w:firstLine="480" w:firstLineChars="200"/>
        <w:rPr>
          <w:rFonts w:hint="eastAsia"/>
          <w:sz w:val="24"/>
        </w:rPr>
      </w:pPr>
      <w:r>
        <w:rPr>
          <w:rFonts w:hint="eastAsia"/>
          <w:sz w:val="24"/>
        </w:rPr>
        <w:t>根据本矿井设有KJ90NA监测监控系统的情况，本矿井的井下人员安全监测系统，采用与KJ90NA系统配套的KJ251A矿井人员安全监测系统，系统主站与KJ90NA合用，在调度监测室设置人员安全监测系统专用终端，系统主干传输线路利用KJ90NA系统的传输线路，在其传输线路上接KJ251-F8无线监测分站，实现对人员的跟踪定位。</w:t>
      </w:r>
    </w:p>
    <w:p w14:paraId="2DBFE242">
      <w:pPr>
        <w:spacing w:line="360" w:lineRule="auto"/>
        <w:ind w:firstLine="480" w:firstLineChars="200"/>
        <w:rPr>
          <w:rFonts w:hint="eastAsia"/>
          <w:sz w:val="24"/>
        </w:rPr>
      </w:pPr>
      <w:r>
        <w:rPr>
          <w:rFonts w:hint="eastAsia"/>
          <w:sz w:val="24"/>
        </w:rPr>
        <w:t>根据KJ251A井下人员安全监测系统设备情况，在井下巷道设置KJ251-F8无线监测分站，挂接在KJ90NA监测监控系统干线上，其监测距离在30~200m范围内。</w:t>
      </w:r>
    </w:p>
    <w:p w14:paraId="030848A6">
      <w:pPr>
        <w:spacing w:line="360" w:lineRule="auto"/>
        <w:ind w:firstLine="480" w:firstLineChars="200"/>
        <w:rPr>
          <w:rFonts w:hint="eastAsia"/>
          <w:sz w:val="24"/>
        </w:rPr>
      </w:pPr>
      <w:r>
        <w:rPr>
          <w:rFonts w:hint="eastAsia"/>
          <w:sz w:val="24"/>
        </w:rPr>
        <w:t>系统实现对矿井人员的实时跟踪定位，移动目标监测查询、人员安全保障及统计考勤等功能。充分利用矿井安全监控系统平台，无须重复布线，仅需增加相应的人员跟踪定位无线数据采集基站、无线编码发射器、人员跟踪定位处理软件即可实现。矿井人员跟踪定位及考勤管理系统，能够清楚掌握每个人员在矿井下的位置及活动轨迹，可为事故抢险提供科学依据。同时，也可利用系统的日常考勤管理功能，对全矿井人员进行考勤管理。</w:t>
      </w:r>
    </w:p>
    <w:p w14:paraId="09B35CF9">
      <w:pPr>
        <w:spacing w:before="120" w:beforeLines="50" w:after="120" w:afterLines="50" w:line="360" w:lineRule="auto"/>
        <w:ind w:firstLine="562" w:firstLineChars="200"/>
        <w:rPr>
          <w:rFonts w:hint="eastAsia" w:ascii="宋体" w:hAnsi="宋体"/>
          <w:b/>
          <w:sz w:val="28"/>
          <w:szCs w:val="28"/>
        </w:rPr>
      </w:pPr>
      <w:r>
        <w:rPr>
          <w:rFonts w:hint="eastAsia" w:ascii="宋体" w:hAnsi="宋体"/>
          <w:b/>
          <w:sz w:val="28"/>
          <w:szCs w:val="28"/>
        </w:rPr>
        <w:t>3、工业电视监视系统</w:t>
      </w:r>
    </w:p>
    <w:p w14:paraId="3B0C8783">
      <w:pPr>
        <w:spacing w:line="360" w:lineRule="auto"/>
        <w:ind w:firstLine="562"/>
        <w:rPr>
          <w:rFonts w:hint="eastAsia"/>
          <w:sz w:val="24"/>
        </w:rPr>
      </w:pPr>
      <w:r>
        <w:rPr>
          <w:rFonts w:hint="eastAsia"/>
          <w:sz w:val="24"/>
        </w:rPr>
        <w:t>在调度室设置工业电视监视系统中心，设置电视墙、投影显示系统以及工业电视中心设备，在地面及井下各主要生产环节、需进行安全监视的环节设置摄像头，将现场的画面及时传送至地面调度室。根据矿井地面及井下的布置情况，本矿井初步考虑设置20个监视点。</w:t>
      </w:r>
    </w:p>
    <w:p w14:paraId="6083A2DB">
      <w:pPr>
        <w:spacing w:before="120" w:beforeLines="50" w:after="120" w:afterLines="50" w:line="360" w:lineRule="auto"/>
        <w:ind w:firstLine="562" w:firstLineChars="200"/>
        <w:rPr>
          <w:rFonts w:hint="eastAsia" w:ascii="宋体" w:hAnsi="宋体"/>
          <w:b/>
          <w:sz w:val="28"/>
          <w:szCs w:val="28"/>
        </w:rPr>
      </w:pPr>
      <w:r>
        <w:rPr>
          <w:rFonts w:hint="eastAsia" w:ascii="宋体" w:hAnsi="宋体"/>
          <w:b/>
          <w:sz w:val="28"/>
          <w:szCs w:val="28"/>
        </w:rPr>
        <w:t>4、通信与计算机管理</w:t>
      </w:r>
    </w:p>
    <w:p w14:paraId="68EB8CED">
      <w:pPr>
        <w:spacing w:line="360" w:lineRule="auto"/>
        <w:ind w:firstLine="480" w:firstLineChars="200"/>
        <w:rPr>
          <w:rFonts w:hint="eastAsia"/>
          <w:sz w:val="24"/>
        </w:rPr>
      </w:pPr>
      <w:r>
        <w:rPr>
          <w:rFonts w:hint="eastAsia"/>
          <w:sz w:val="24"/>
        </w:rPr>
        <w:t>（1）计算机管理</w:t>
      </w:r>
    </w:p>
    <w:p w14:paraId="136889C8">
      <w:pPr>
        <w:spacing w:line="360" w:lineRule="auto"/>
        <w:ind w:firstLine="480" w:firstLineChars="200"/>
        <w:rPr>
          <w:rFonts w:hint="eastAsia"/>
          <w:sz w:val="24"/>
        </w:rPr>
      </w:pPr>
      <w:r>
        <w:rPr>
          <w:rFonts w:hint="eastAsia"/>
          <w:sz w:val="24"/>
        </w:rPr>
        <w:t>组建交换式快速以太网，将各部门的计算机终端通过自适应网络交换机与服务器相连，形成企业内部局域网，以满足快速信息传送和信息共享的需要。当本地电信部门可提供的宽带网络端口时，系统可接入宽带INTERNET网。</w:t>
      </w:r>
    </w:p>
    <w:p w14:paraId="5912DB4A">
      <w:pPr>
        <w:spacing w:line="360" w:lineRule="auto"/>
        <w:ind w:firstLine="480" w:firstLineChars="200"/>
        <w:rPr>
          <w:rFonts w:hint="eastAsia"/>
          <w:sz w:val="24"/>
        </w:rPr>
      </w:pPr>
      <w:r>
        <w:rPr>
          <w:rFonts w:hint="eastAsia"/>
          <w:sz w:val="24"/>
        </w:rPr>
        <w:t>计算机信息管理系统可实现办公自动化及综合业务管理。办公自动化系统对行政办公、工作流程进行自动化处理。综合业务管理实现生产调度指挥、运销管理、设备管理、煤质管理、物资管理、档案管理、财务管理、劳资管理、安全管理及领导决策。每个子系统处理相应的业务流程并产生表单供网上查询，还可以根据需要生成报表。各业务部门均可用自己的工作站通过综合业务管理系统，根据业务流程的要求在不同的部门进行相关的数据采集、存储、统计、分析、制表等操作，运转各自的业务。</w:t>
      </w:r>
    </w:p>
    <w:p w14:paraId="1D39EDAA">
      <w:pPr>
        <w:spacing w:line="360" w:lineRule="auto"/>
        <w:ind w:firstLine="480" w:firstLineChars="200"/>
        <w:rPr>
          <w:rFonts w:hint="eastAsia"/>
          <w:sz w:val="24"/>
        </w:rPr>
      </w:pPr>
      <w:r>
        <w:rPr>
          <w:rFonts w:hint="eastAsia"/>
          <w:sz w:val="24"/>
        </w:rPr>
        <w:t>（2）矿井通信</w:t>
      </w:r>
    </w:p>
    <w:p w14:paraId="6EC63B46">
      <w:pPr>
        <w:spacing w:line="360" w:lineRule="auto"/>
        <w:ind w:firstLine="480" w:firstLineChars="200"/>
        <w:rPr>
          <w:rFonts w:hint="eastAsia"/>
          <w:sz w:val="24"/>
        </w:rPr>
      </w:pPr>
      <w:r>
        <w:rPr>
          <w:rFonts w:hint="eastAsia"/>
          <w:sz w:val="24"/>
        </w:rPr>
        <w:t>水城县已基本实现乡乡通程控电话，长途传输有光纤和微波两种方式，县内开通国际直拨电话、因特网业务和ADSL业务，农村电话现除采用光纤和微波两种传输方式外，还有ETS无线接入。</w:t>
      </w:r>
    </w:p>
    <w:p w14:paraId="39EC5891">
      <w:pPr>
        <w:spacing w:line="360" w:lineRule="auto"/>
        <w:ind w:firstLine="480" w:firstLineChars="200"/>
        <w:rPr>
          <w:rFonts w:hint="eastAsia"/>
          <w:sz w:val="24"/>
        </w:rPr>
      </w:pPr>
      <w:r>
        <w:rPr>
          <w:rFonts w:hint="eastAsia"/>
          <w:sz w:val="24"/>
        </w:rPr>
        <w:t>本矿位于贵州省</w:t>
      </w:r>
      <w:r>
        <w:rPr>
          <w:rFonts w:hint="eastAsia"/>
          <w:color w:val="0000FF"/>
          <w:sz w:val="24"/>
        </w:rPr>
        <w:t>水城县</w:t>
      </w:r>
      <w:r>
        <w:rPr>
          <w:rFonts w:hint="eastAsia"/>
          <w:sz w:val="24"/>
        </w:rPr>
        <w:t>城东偏北，数字程控通信和移动通信网已基本覆盖矿区所在的所有乡镇，故可满足矿区现代化通信的需要。</w:t>
      </w:r>
    </w:p>
    <w:p w14:paraId="6764611B">
      <w:pPr>
        <w:spacing w:line="360" w:lineRule="auto"/>
        <w:ind w:firstLine="480" w:firstLineChars="200"/>
        <w:rPr>
          <w:rFonts w:hint="eastAsia"/>
          <w:sz w:val="24"/>
        </w:rPr>
      </w:pPr>
      <w:r>
        <w:rPr>
          <w:rFonts w:hint="eastAsia"/>
          <w:sz w:val="24"/>
        </w:rPr>
        <w:t>1）矿井行政管理通信系统</w:t>
      </w:r>
    </w:p>
    <w:p w14:paraId="6DA8CC77">
      <w:pPr>
        <w:spacing w:line="360" w:lineRule="auto"/>
        <w:ind w:firstLine="480" w:firstLineChars="200"/>
        <w:rPr>
          <w:rFonts w:hint="eastAsia"/>
          <w:sz w:val="24"/>
        </w:rPr>
      </w:pPr>
      <w:r>
        <w:rPr>
          <w:rFonts w:hint="eastAsia"/>
          <w:sz w:val="24"/>
        </w:rPr>
        <w:t>基于现代通讯技术的迅猛发展和矿区所在县市通讯网的现状，矿井所在地已形成了由光纤传输的数字通信网，矿区利用市话网可方便地形成行政交换网络，故不再另行组网。设计拟将矿井行政通信纳入</w:t>
      </w:r>
      <w:r>
        <w:rPr>
          <w:rFonts w:hint="eastAsia"/>
          <w:color w:val="0000FF"/>
          <w:sz w:val="24"/>
        </w:rPr>
        <w:t>水城县</w:t>
      </w:r>
      <w:r>
        <w:rPr>
          <w:rFonts w:hint="eastAsia"/>
          <w:sz w:val="24"/>
        </w:rPr>
        <w:t>通信支部，并且采虚拟网方式，由</w:t>
      </w:r>
      <w:r>
        <w:rPr>
          <w:rFonts w:hint="eastAsia"/>
          <w:color w:val="0000FF"/>
          <w:sz w:val="24"/>
        </w:rPr>
        <w:t>水城县</w:t>
      </w:r>
      <w:r>
        <w:rPr>
          <w:rFonts w:hint="eastAsia"/>
          <w:sz w:val="24"/>
        </w:rPr>
        <w:t>通信支局接入电信公共本地网。虚拟网设备与光缆线路由本地通信支部统一规划设计，统一配置号段，虚拟网内部通话拨后四位免收通话费用，每部分机拥有七位电信网电话号码，可实现直接拨入拨出，无需总机换接。本矿行政电话作为电信公网的一部分，可以享用最新电信领域内全部业务。</w:t>
      </w:r>
    </w:p>
    <w:p w14:paraId="146BE223">
      <w:pPr>
        <w:spacing w:line="360" w:lineRule="auto"/>
        <w:ind w:firstLine="480" w:firstLineChars="200"/>
        <w:rPr>
          <w:rFonts w:hint="eastAsia"/>
          <w:sz w:val="24"/>
        </w:rPr>
      </w:pPr>
      <w:r>
        <w:rPr>
          <w:rFonts w:hint="eastAsia"/>
          <w:color w:val="0000FF"/>
          <w:sz w:val="24"/>
        </w:rPr>
        <w:t>主</w:t>
      </w:r>
      <w:r>
        <w:rPr>
          <w:rFonts w:hint="eastAsia"/>
          <w:sz w:val="24"/>
        </w:rPr>
        <w:t>斜井场地、</w:t>
      </w:r>
      <w:r>
        <w:rPr>
          <w:rFonts w:hint="eastAsia"/>
          <w:color w:val="0000FF"/>
          <w:sz w:val="24"/>
        </w:rPr>
        <w:t>副</w:t>
      </w:r>
      <w:r>
        <w:rPr>
          <w:rFonts w:hint="eastAsia"/>
          <w:sz w:val="24"/>
        </w:rPr>
        <w:t>斜井场地及原煤生产系统等行政电话统筹考虑。行政电话容量为250线。</w:t>
      </w:r>
    </w:p>
    <w:p w14:paraId="47CFBB77">
      <w:pPr>
        <w:spacing w:line="360" w:lineRule="auto"/>
        <w:ind w:firstLine="480" w:firstLineChars="200"/>
        <w:rPr>
          <w:rFonts w:hint="eastAsia"/>
          <w:sz w:val="24"/>
        </w:rPr>
      </w:pPr>
      <w:r>
        <w:rPr>
          <w:rFonts w:hint="eastAsia"/>
          <w:sz w:val="24"/>
        </w:rPr>
        <w:t>2）生产调度、电力调度通信系统</w:t>
      </w:r>
    </w:p>
    <w:p w14:paraId="0F791974">
      <w:pPr>
        <w:spacing w:line="360" w:lineRule="auto"/>
        <w:ind w:firstLine="480" w:firstLineChars="200"/>
        <w:rPr>
          <w:rFonts w:hint="eastAsia"/>
          <w:sz w:val="24"/>
        </w:rPr>
      </w:pPr>
      <w:r>
        <w:rPr>
          <w:rFonts w:hint="eastAsia"/>
          <w:sz w:val="24"/>
        </w:rPr>
        <w:t>矿井生产调度与电力调度采用交换机合一形式。矿井生产调度，选用DDK-3A矿用网络电话交换机，容量32线 ，办理矿内生产及电力调度，生产调度与行政管理通信系统进行联网。</w:t>
      </w:r>
    </w:p>
    <w:p w14:paraId="0D532655">
      <w:pPr>
        <w:spacing w:line="360" w:lineRule="auto"/>
        <w:ind w:firstLine="480" w:firstLineChars="200"/>
        <w:rPr>
          <w:rFonts w:hint="eastAsia"/>
          <w:sz w:val="24"/>
        </w:rPr>
      </w:pPr>
      <w:r>
        <w:rPr>
          <w:rFonts w:hint="eastAsia"/>
          <w:sz w:val="24"/>
        </w:rPr>
        <w:t>矿井变电所与上级变电所的电力调度采用光纤通信。</w:t>
      </w:r>
    </w:p>
    <w:p w14:paraId="5E5E6209">
      <w:pPr>
        <w:pStyle w:val="3"/>
        <w:keepLines/>
        <w:spacing w:before="240" w:after="240" w:line="360" w:lineRule="auto"/>
        <w:ind w:firstLine="0" w:firstLineChars="0"/>
        <w:jc w:val="center"/>
        <w:rPr>
          <w:rFonts w:hint="eastAsia"/>
          <w:b/>
          <w:color w:val="000000"/>
          <w:sz w:val="32"/>
          <w:szCs w:val="32"/>
        </w:rPr>
      </w:pPr>
      <w:bookmarkStart w:id="691" w:name="_Toc260915280"/>
      <w:bookmarkStart w:id="692" w:name="_Toc92630533"/>
      <w:bookmarkStart w:id="693" w:name="_Toc173869289"/>
      <w:bookmarkStart w:id="694" w:name="_Toc164260469"/>
      <w:r>
        <w:rPr>
          <w:rFonts w:hint="eastAsia"/>
          <w:b/>
          <w:color w:val="000000"/>
          <w:sz w:val="32"/>
          <w:szCs w:val="32"/>
        </w:rPr>
        <w:t>第六节　　给排水</w:t>
      </w:r>
      <w:bookmarkEnd w:id="691"/>
    </w:p>
    <w:bookmarkEnd w:id="692"/>
    <w:bookmarkEnd w:id="693"/>
    <w:bookmarkEnd w:id="694"/>
    <w:p w14:paraId="2347CA27">
      <w:pPr>
        <w:pStyle w:val="4"/>
        <w:keepLines/>
        <w:adjustRightInd w:val="0"/>
        <w:snapToGrid w:val="0"/>
        <w:spacing w:before="240" w:after="240" w:line="360" w:lineRule="auto"/>
        <w:ind w:firstLine="562" w:firstLineChars="200"/>
        <w:jc w:val="both"/>
        <w:rPr>
          <w:rFonts w:hint="eastAsia"/>
          <w:b/>
          <w:color w:val="000000"/>
          <w:kern w:val="0"/>
          <w:szCs w:val="20"/>
        </w:rPr>
      </w:pPr>
      <w:bookmarkStart w:id="695" w:name="_Toc173869290"/>
      <w:bookmarkStart w:id="696" w:name="_Toc173918965"/>
      <w:r>
        <w:rPr>
          <w:rFonts w:hint="eastAsia"/>
          <w:b/>
          <w:color w:val="000000"/>
          <w:kern w:val="0"/>
          <w:szCs w:val="20"/>
        </w:rPr>
        <w:t>一、供水水源</w:t>
      </w:r>
      <w:bookmarkEnd w:id="695"/>
      <w:bookmarkEnd w:id="696"/>
    </w:p>
    <w:p w14:paraId="71BA474A">
      <w:pPr>
        <w:spacing w:line="360" w:lineRule="auto"/>
        <w:ind w:firstLine="480" w:firstLineChars="200"/>
        <w:rPr>
          <w:rFonts w:hint="eastAsia" w:ascii="宋体" w:hAnsi="宋体"/>
          <w:bCs/>
          <w:sz w:val="24"/>
        </w:rPr>
      </w:pPr>
      <w:r>
        <w:rPr>
          <w:rFonts w:hint="eastAsia" w:ascii="宋体" w:hAnsi="宋体"/>
          <w:bCs/>
          <w:sz w:val="24"/>
        </w:rPr>
        <w:t>根据该矿井范围内水源条件，为确保该矿井生产、生活消防安全供水，该矿井生产、生活消防供水水源推荐如下：</w:t>
      </w:r>
    </w:p>
    <w:p w14:paraId="20FC1B8A">
      <w:pPr>
        <w:spacing w:line="360" w:lineRule="auto"/>
        <w:ind w:firstLine="480" w:firstLineChars="200"/>
        <w:rPr>
          <w:rFonts w:hint="eastAsia" w:ascii="宋体" w:hAnsi="宋体"/>
          <w:color w:val="000000"/>
          <w:sz w:val="24"/>
        </w:rPr>
      </w:pPr>
      <w:bookmarkStart w:id="697" w:name="_Toc173869291"/>
      <w:bookmarkStart w:id="698" w:name="_Toc173918966"/>
      <w:r>
        <w:rPr>
          <w:rFonts w:hint="eastAsia" w:ascii="宋体" w:hAnsi="宋体"/>
          <w:color w:val="000000"/>
          <w:sz w:val="24"/>
        </w:rPr>
        <w:t>1、矿井生产、生活用水</w:t>
      </w:r>
    </w:p>
    <w:p w14:paraId="7F81C658">
      <w:pPr>
        <w:spacing w:line="360" w:lineRule="auto"/>
        <w:ind w:firstLine="480" w:firstLineChars="200"/>
        <w:rPr>
          <w:rFonts w:hint="eastAsia" w:ascii="宋体" w:hAnsi="宋体"/>
          <w:sz w:val="24"/>
        </w:rPr>
      </w:pPr>
      <w:r>
        <w:rPr>
          <w:rFonts w:hint="eastAsia" w:ascii="宋体" w:hAnsi="宋体"/>
          <w:color w:val="000000"/>
          <w:sz w:val="24"/>
        </w:rPr>
        <w:t>大坪煤矿生产、生活用水水源主要引自</w:t>
      </w:r>
      <w:r>
        <w:rPr>
          <w:rFonts w:hint="eastAsia" w:ascii="宋体" w:hAnsi="宋体"/>
          <w:sz w:val="24"/>
        </w:rPr>
        <w:t>距矿井工业场地南东方向约1km处的一股泉水，泉水水质好、流量大，泉水点海拔标高约+2250m，经化验可作为生产、生活用水水源，泉水流量约14m</w:t>
      </w:r>
      <w:r>
        <w:rPr>
          <w:rFonts w:hint="eastAsia" w:ascii="宋体" w:hAnsi="宋体"/>
          <w:sz w:val="24"/>
          <w:vertAlign w:val="superscript"/>
        </w:rPr>
        <w:t>3</w:t>
      </w:r>
      <w:r>
        <w:rPr>
          <w:rFonts w:hint="eastAsia" w:ascii="宋体" w:hAnsi="宋体"/>
          <w:sz w:val="24"/>
        </w:rPr>
        <w:t>/h。矿井已在泉水点修建取水点，并已安装管路将泉水引入矿井工业场地100m</w:t>
      </w:r>
      <w:r>
        <w:rPr>
          <w:rFonts w:hint="eastAsia" w:ascii="宋体" w:hAnsi="宋体"/>
          <w:sz w:val="24"/>
          <w:vertAlign w:val="superscript"/>
        </w:rPr>
        <w:t>3</w:t>
      </w:r>
      <w:r>
        <w:rPr>
          <w:rFonts w:hint="eastAsia" w:ascii="宋体" w:hAnsi="宋体"/>
          <w:sz w:val="24"/>
        </w:rPr>
        <w:t>高位水池。</w:t>
      </w:r>
    </w:p>
    <w:p w14:paraId="465646CE">
      <w:pPr>
        <w:spacing w:line="360" w:lineRule="auto"/>
        <w:ind w:firstLine="480" w:firstLineChars="200"/>
        <w:rPr>
          <w:rFonts w:hint="eastAsia" w:ascii="宋体" w:hAnsi="宋体"/>
          <w:color w:val="000000"/>
          <w:sz w:val="24"/>
        </w:rPr>
      </w:pPr>
      <w:r>
        <w:rPr>
          <w:rFonts w:hint="eastAsia" w:ascii="宋体" w:hAnsi="宋体"/>
          <w:color w:val="000000"/>
          <w:sz w:val="24"/>
        </w:rPr>
        <w:t>2、矿井防尘、消防用水</w:t>
      </w:r>
    </w:p>
    <w:p w14:paraId="035F540F">
      <w:pPr>
        <w:spacing w:line="360" w:lineRule="auto"/>
        <w:ind w:firstLine="480" w:firstLineChars="200"/>
        <w:rPr>
          <w:rFonts w:hint="eastAsia"/>
          <w:sz w:val="24"/>
        </w:rPr>
      </w:pPr>
      <w:r>
        <w:rPr>
          <w:rFonts w:hint="eastAsia" w:ascii="宋体" w:hAnsi="宋体"/>
          <w:sz w:val="24"/>
        </w:rPr>
        <w:t>大坪煤矿防尘、消防用水水源与生产、生活用水水源为同一个水源，但矿井防尘、消防用水主要由生产、生活及井下水经处理后复用，不够时由生产、生活水池补给。</w:t>
      </w:r>
    </w:p>
    <w:p w14:paraId="0D3490C8">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二、给水工程</w:t>
      </w:r>
      <w:bookmarkEnd w:id="697"/>
      <w:bookmarkEnd w:id="698"/>
    </w:p>
    <w:p w14:paraId="3DC16517">
      <w:pPr>
        <w:spacing w:line="360" w:lineRule="auto"/>
        <w:ind w:firstLine="480" w:firstLineChars="200"/>
        <w:rPr>
          <w:rFonts w:hint="eastAsia" w:ascii="宋体" w:hAnsi="宋体"/>
          <w:color w:val="000000"/>
          <w:sz w:val="24"/>
        </w:rPr>
      </w:pPr>
      <w:r>
        <w:rPr>
          <w:rFonts w:hint="eastAsia" w:ascii="宋体" w:hAnsi="宋体"/>
          <w:color w:val="000000"/>
          <w:sz w:val="24"/>
        </w:rPr>
        <w:t>1、矿井用水量计算</w:t>
      </w:r>
    </w:p>
    <w:p w14:paraId="083CFA92">
      <w:pPr>
        <w:spacing w:line="360" w:lineRule="auto"/>
        <w:ind w:firstLine="480" w:firstLineChars="200"/>
        <w:rPr>
          <w:rFonts w:hint="eastAsia" w:ascii="宋体" w:hAnsi="宋体"/>
          <w:color w:val="000000"/>
          <w:sz w:val="24"/>
        </w:rPr>
      </w:pPr>
      <w:r>
        <w:rPr>
          <w:rFonts w:hint="eastAsia" w:ascii="宋体" w:hAnsi="宋体"/>
          <w:color w:val="000000"/>
          <w:sz w:val="24"/>
        </w:rPr>
        <w:t>该矿井生产、生活消防用水量计算系根据《煤炭工业小型矿井设计规范》（GB50399－</w:t>
      </w:r>
      <w:r>
        <w:rPr>
          <w:rFonts w:ascii="宋体" w:hAnsi="宋体"/>
          <w:color w:val="000000"/>
          <w:sz w:val="24"/>
        </w:rPr>
        <w:t>200</w:t>
      </w:r>
      <w:r>
        <w:rPr>
          <w:rFonts w:hint="eastAsia" w:ascii="宋体" w:hAnsi="宋体"/>
          <w:color w:val="000000"/>
          <w:sz w:val="24"/>
        </w:rPr>
        <w:t>6）、《煤炭工业给水排水设计规范》（MT/T5013－96）、《建筑设计防火规范》（GB50016－2006）、《建筑给水排水设计规范》（GB50015－2003）、《室外给水设计规范》（GB50013－2006）、《室外排水设计规范》（GB50215－2005）、《煤矿井下消防、洒水设计规范》（GB50383－2006）和有关规程规定等进行计算。</w:t>
      </w:r>
    </w:p>
    <w:p w14:paraId="490B6EE9">
      <w:pPr>
        <w:spacing w:line="360" w:lineRule="auto"/>
        <w:ind w:firstLine="480" w:firstLineChars="200"/>
        <w:rPr>
          <w:rFonts w:hint="eastAsia" w:ascii="宋体" w:hAnsi="宋体"/>
          <w:sz w:val="24"/>
        </w:rPr>
      </w:pPr>
      <w:r>
        <w:rPr>
          <w:rFonts w:hint="eastAsia" w:ascii="宋体" w:hAnsi="宋体"/>
          <w:sz w:val="24"/>
        </w:rPr>
        <w:t>经计算，该矿井总生产、生活消防最高日用水量约990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，其中生产用水量约375</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，生活用水量约290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，消防用水量325</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p>
    <w:p w14:paraId="15087896">
      <w:pPr>
        <w:spacing w:line="360" w:lineRule="auto"/>
        <w:ind w:firstLine="480" w:firstLineChars="200"/>
        <w:rPr>
          <w:rFonts w:hint="eastAsia" w:ascii="宋体" w:hAnsi="宋体"/>
          <w:sz w:val="24"/>
        </w:rPr>
      </w:pPr>
      <w:r>
        <w:rPr>
          <w:rFonts w:hint="eastAsia" w:ascii="宋体" w:hAnsi="宋体"/>
          <w:sz w:val="24"/>
        </w:rPr>
        <w:t>矿井生产、生活消防用水量详见用水量计算</w:t>
      </w:r>
      <w:r>
        <w:rPr>
          <w:rFonts w:hint="eastAsia" w:ascii="宋体" w:hAnsi="宋体"/>
          <w:b/>
          <w:sz w:val="24"/>
        </w:rPr>
        <w:t>表6－6－1</w:t>
      </w:r>
      <w:r>
        <w:rPr>
          <w:rFonts w:hint="eastAsia" w:ascii="宋体" w:hAnsi="宋体"/>
          <w:sz w:val="24"/>
        </w:rPr>
        <w:t>。</w:t>
      </w:r>
    </w:p>
    <w:p w14:paraId="5A939CB3">
      <w:pPr>
        <w:spacing w:line="360" w:lineRule="auto"/>
        <w:ind w:firstLine="482" w:firstLineChars="200"/>
        <w:jc w:val="center"/>
        <w:rPr>
          <w:rFonts w:ascii="宋体" w:hAnsi="宋体"/>
          <w:b/>
          <w:sz w:val="24"/>
        </w:rPr>
        <w:sectPr>
          <w:pgSz w:w="11906" w:h="16838"/>
          <w:pgMar w:top="1304" w:right="1418" w:bottom="1304" w:left="1418" w:header="1134" w:footer="992" w:gutter="0"/>
          <w:cols w:space="720" w:num="1"/>
          <w:docGrid w:linePitch="312" w:charSpace="0"/>
        </w:sectPr>
      </w:pPr>
    </w:p>
    <w:p w14:paraId="62F19A6E">
      <w:pPr>
        <w:spacing w:line="360" w:lineRule="auto"/>
        <w:ind w:firstLine="482" w:firstLineChars="200"/>
        <w:jc w:val="center"/>
        <w:rPr>
          <w:rFonts w:hint="eastAsia" w:ascii="宋体" w:hAnsi="宋体"/>
          <w:b/>
          <w:sz w:val="24"/>
        </w:rPr>
      </w:pPr>
      <w:r>
        <w:rPr>
          <w:rFonts w:hint="eastAsia" w:ascii="宋体" w:hAnsi="宋体"/>
          <w:b/>
          <w:sz w:val="24"/>
        </w:rPr>
        <w:t>表6－6－1    矿 井 用 水 量 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2633"/>
        <w:gridCol w:w="782"/>
        <w:gridCol w:w="856"/>
        <w:gridCol w:w="835"/>
        <w:gridCol w:w="1459"/>
        <w:gridCol w:w="1125"/>
        <w:gridCol w:w="1125"/>
        <w:gridCol w:w="1123"/>
        <w:gridCol w:w="1388"/>
        <w:gridCol w:w="2318"/>
      </w:tblGrid>
      <w:tr w14:paraId="6DD0A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vMerge w:val="restart"/>
            <w:noWrap w:val="0"/>
            <w:vAlign w:val="center"/>
          </w:tcPr>
          <w:p w14:paraId="523C3D14">
            <w:pPr>
              <w:spacing w:line="340" w:lineRule="exact"/>
              <w:jc w:val="center"/>
              <w:rPr>
                <w:rFonts w:hint="eastAsia" w:ascii="宋体" w:hAnsi="宋体"/>
                <w:szCs w:val="21"/>
              </w:rPr>
            </w:pPr>
            <w:r>
              <w:rPr>
                <w:rFonts w:hint="eastAsia" w:ascii="宋体" w:hAnsi="宋体"/>
                <w:szCs w:val="21"/>
              </w:rPr>
              <w:t>序号</w:t>
            </w:r>
          </w:p>
        </w:tc>
        <w:tc>
          <w:tcPr>
            <w:tcW w:w="2633" w:type="dxa"/>
            <w:vMerge w:val="restart"/>
            <w:noWrap w:val="0"/>
            <w:vAlign w:val="center"/>
          </w:tcPr>
          <w:p w14:paraId="793128B1">
            <w:pPr>
              <w:spacing w:line="340" w:lineRule="exact"/>
              <w:jc w:val="center"/>
              <w:rPr>
                <w:rFonts w:hint="eastAsia" w:ascii="宋体" w:hAnsi="宋体"/>
                <w:szCs w:val="21"/>
              </w:rPr>
            </w:pPr>
            <w:r>
              <w:rPr>
                <w:rFonts w:hint="eastAsia" w:ascii="宋体" w:hAnsi="宋体"/>
                <w:szCs w:val="21"/>
              </w:rPr>
              <w:t>用  水  项  目</w:t>
            </w:r>
          </w:p>
        </w:tc>
        <w:tc>
          <w:tcPr>
            <w:tcW w:w="782" w:type="dxa"/>
            <w:vMerge w:val="restart"/>
            <w:noWrap w:val="0"/>
            <w:vAlign w:val="center"/>
          </w:tcPr>
          <w:p w14:paraId="5F63C4E9">
            <w:pPr>
              <w:spacing w:line="340" w:lineRule="exact"/>
              <w:jc w:val="center"/>
              <w:rPr>
                <w:rFonts w:ascii="宋体" w:hAnsi="宋体"/>
                <w:szCs w:val="21"/>
              </w:rPr>
            </w:pPr>
            <w:r>
              <w:rPr>
                <w:rFonts w:hint="eastAsia" w:ascii="宋体" w:hAnsi="宋体"/>
                <w:szCs w:val="21"/>
              </w:rPr>
              <w:t>用水时间（</w:t>
            </w:r>
            <w:r>
              <w:rPr>
                <w:rFonts w:ascii="宋体" w:hAnsi="宋体"/>
                <w:szCs w:val="21"/>
              </w:rPr>
              <w:t>h</w:t>
            </w:r>
            <w:r>
              <w:rPr>
                <w:rFonts w:hint="eastAsia" w:ascii="宋体" w:hAnsi="宋体"/>
                <w:szCs w:val="21"/>
              </w:rPr>
              <w:t>）</w:t>
            </w:r>
          </w:p>
        </w:tc>
        <w:tc>
          <w:tcPr>
            <w:tcW w:w="1691" w:type="dxa"/>
            <w:gridSpan w:val="2"/>
            <w:noWrap w:val="0"/>
            <w:vAlign w:val="center"/>
          </w:tcPr>
          <w:p w14:paraId="0380DB5F">
            <w:pPr>
              <w:spacing w:line="340" w:lineRule="exact"/>
              <w:jc w:val="center"/>
              <w:rPr>
                <w:rFonts w:ascii="宋体" w:hAnsi="宋体"/>
                <w:szCs w:val="21"/>
              </w:rPr>
            </w:pPr>
            <w:r>
              <w:rPr>
                <w:rFonts w:hint="eastAsia" w:ascii="宋体" w:hAnsi="宋体"/>
                <w:szCs w:val="21"/>
              </w:rPr>
              <w:t>用 水 人 数</w:t>
            </w:r>
          </w:p>
        </w:tc>
        <w:tc>
          <w:tcPr>
            <w:tcW w:w="1459" w:type="dxa"/>
            <w:vMerge w:val="restart"/>
            <w:noWrap w:val="0"/>
            <w:vAlign w:val="center"/>
          </w:tcPr>
          <w:p w14:paraId="1EE190CF">
            <w:pPr>
              <w:spacing w:line="340" w:lineRule="exact"/>
              <w:jc w:val="center"/>
              <w:rPr>
                <w:rFonts w:hint="eastAsia" w:ascii="宋体" w:hAnsi="宋体"/>
                <w:szCs w:val="21"/>
              </w:rPr>
            </w:pPr>
            <w:r>
              <w:rPr>
                <w:rFonts w:hint="eastAsia" w:ascii="宋体" w:hAnsi="宋体"/>
                <w:szCs w:val="21"/>
              </w:rPr>
              <w:t>用水标准</w:t>
            </w:r>
          </w:p>
        </w:tc>
        <w:tc>
          <w:tcPr>
            <w:tcW w:w="4761" w:type="dxa"/>
            <w:gridSpan w:val="4"/>
            <w:noWrap w:val="0"/>
            <w:vAlign w:val="center"/>
          </w:tcPr>
          <w:p w14:paraId="3FE7866D">
            <w:pPr>
              <w:spacing w:line="340" w:lineRule="exact"/>
              <w:jc w:val="center"/>
              <w:rPr>
                <w:rFonts w:ascii="宋体" w:hAnsi="宋体"/>
                <w:szCs w:val="21"/>
              </w:rPr>
            </w:pPr>
            <w:r>
              <w:rPr>
                <w:rFonts w:hint="eastAsia" w:ascii="宋体" w:hAnsi="宋体"/>
                <w:szCs w:val="21"/>
              </w:rPr>
              <w:t>用      水      量</w:t>
            </w:r>
          </w:p>
        </w:tc>
        <w:tc>
          <w:tcPr>
            <w:tcW w:w="2318" w:type="dxa"/>
            <w:vMerge w:val="restart"/>
            <w:noWrap w:val="0"/>
            <w:vAlign w:val="center"/>
          </w:tcPr>
          <w:p w14:paraId="1D777D08">
            <w:pPr>
              <w:spacing w:line="340" w:lineRule="exact"/>
              <w:jc w:val="center"/>
              <w:rPr>
                <w:rFonts w:hint="eastAsia" w:ascii="宋体" w:hAnsi="宋体"/>
                <w:szCs w:val="21"/>
              </w:rPr>
            </w:pPr>
            <w:r>
              <w:rPr>
                <w:rFonts w:hint="eastAsia" w:ascii="宋体" w:hAnsi="宋体"/>
                <w:szCs w:val="21"/>
              </w:rPr>
              <w:t>备  注</w:t>
            </w:r>
          </w:p>
        </w:tc>
      </w:tr>
      <w:tr w14:paraId="5BF13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28" w:hRule="atLeast"/>
          <w:jc w:val="center"/>
        </w:trPr>
        <w:tc>
          <w:tcPr>
            <w:tcW w:w="561" w:type="dxa"/>
            <w:vMerge w:val="continue"/>
            <w:noWrap w:val="0"/>
            <w:vAlign w:val="center"/>
          </w:tcPr>
          <w:p w14:paraId="41198FDD">
            <w:pPr>
              <w:spacing w:line="240" w:lineRule="exact"/>
              <w:rPr>
                <w:rFonts w:ascii="宋体" w:hAnsi="宋体"/>
                <w:szCs w:val="21"/>
              </w:rPr>
            </w:pPr>
          </w:p>
        </w:tc>
        <w:tc>
          <w:tcPr>
            <w:tcW w:w="2633" w:type="dxa"/>
            <w:vMerge w:val="continue"/>
            <w:noWrap w:val="0"/>
            <w:vAlign w:val="center"/>
          </w:tcPr>
          <w:p w14:paraId="7F4D53E0">
            <w:pPr>
              <w:spacing w:line="240" w:lineRule="exact"/>
              <w:rPr>
                <w:rFonts w:hint="eastAsia" w:ascii="宋体" w:hAnsi="宋体"/>
                <w:szCs w:val="21"/>
              </w:rPr>
            </w:pPr>
          </w:p>
        </w:tc>
        <w:tc>
          <w:tcPr>
            <w:tcW w:w="782" w:type="dxa"/>
            <w:vMerge w:val="continue"/>
            <w:noWrap w:val="0"/>
            <w:vAlign w:val="center"/>
          </w:tcPr>
          <w:p w14:paraId="1FD6E9A9">
            <w:pPr>
              <w:spacing w:line="240" w:lineRule="exact"/>
              <w:rPr>
                <w:rFonts w:hint="eastAsia" w:ascii="宋体" w:hAnsi="宋体"/>
                <w:szCs w:val="21"/>
              </w:rPr>
            </w:pPr>
          </w:p>
        </w:tc>
        <w:tc>
          <w:tcPr>
            <w:tcW w:w="856" w:type="dxa"/>
            <w:noWrap w:val="0"/>
            <w:vAlign w:val="center"/>
          </w:tcPr>
          <w:p w14:paraId="44B9840B">
            <w:pPr>
              <w:spacing w:line="240" w:lineRule="exact"/>
              <w:jc w:val="center"/>
              <w:rPr>
                <w:rFonts w:hint="eastAsia" w:ascii="宋体" w:hAnsi="宋体"/>
                <w:szCs w:val="21"/>
              </w:rPr>
            </w:pPr>
            <w:r>
              <w:rPr>
                <w:rFonts w:hint="eastAsia" w:ascii="宋体" w:hAnsi="宋体"/>
                <w:szCs w:val="21"/>
              </w:rPr>
              <w:t>一昼夜</w:t>
            </w:r>
          </w:p>
        </w:tc>
        <w:tc>
          <w:tcPr>
            <w:tcW w:w="835" w:type="dxa"/>
            <w:noWrap w:val="0"/>
            <w:vAlign w:val="center"/>
          </w:tcPr>
          <w:p w14:paraId="06859D92">
            <w:pPr>
              <w:spacing w:line="240" w:lineRule="exact"/>
              <w:jc w:val="center"/>
              <w:rPr>
                <w:rFonts w:hint="eastAsia" w:ascii="宋体" w:hAnsi="宋体"/>
                <w:szCs w:val="21"/>
              </w:rPr>
            </w:pPr>
            <w:r>
              <w:rPr>
                <w:rFonts w:hint="eastAsia" w:ascii="宋体" w:hAnsi="宋体"/>
                <w:szCs w:val="21"/>
              </w:rPr>
              <w:t>最大班</w:t>
            </w:r>
          </w:p>
        </w:tc>
        <w:tc>
          <w:tcPr>
            <w:tcW w:w="1459" w:type="dxa"/>
            <w:vMerge w:val="continue"/>
            <w:noWrap w:val="0"/>
            <w:vAlign w:val="center"/>
          </w:tcPr>
          <w:p w14:paraId="5F037FDC">
            <w:pPr>
              <w:spacing w:line="240" w:lineRule="exact"/>
              <w:rPr>
                <w:rFonts w:ascii="宋体" w:hAnsi="宋体"/>
                <w:szCs w:val="21"/>
              </w:rPr>
            </w:pPr>
          </w:p>
        </w:tc>
        <w:tc>
          <w:tcPr>
            <w:tcW w:w="1125" w:type="dxa"/>
            <w:noWrap w:val="0"/>
            <w:vAlign w:val="center"/>
          </w:tcPr>
          <w:p w14:paraId="58591C7B">
            <w:pPr>
              <w:spacing w:line="240" w:lineRule="exact"/>
              <w:jc w:val="center"/>
              <w:rPr>
                <w:rFonts w:hint="eastAsia" w:ascii="宋体" w:hAnsi="宋体"/>
                <w:szCs w:val="21"/>
              </w:rPr>
            </w:pPr>
            <w:r>
              <w:rPr>
                <w:rFonts w:hint="eastAsia" w:ascii="宋体" w:hAnsi="宋体"/>
                <w:szCs w:val="21"/>
              </w:rPr>
              <w:t>一 昼 夜</w:t>
            </w:r>
          </w:p>
          <w:p w14:paraId="40F08D69">
            <w:pPr>
              <w:spacing w:line="240" w:lineRule="exact"/>
              <w:jc w:val="center"/>
              <w:rPr>
                <w:rFonts w:ascii="宋体" w:hAnsi="宋体"/>
                <w:szCs w:val="21"/>
              </w:rPr>
            </w:pPr>
            <w:r>
              <w:rPr>
                <w:rFonts w:hint="eastAsia" w:ascii="宋体" w:hAnsi="宋体"/>
                <w:szCs w:val="21"/>
              </w:rPr>
              <w:t>（</w:t>
            </w:r>
            <w:r>
              <w:rPr>
                <w:rFonts w:ascii="宋体" w:hAnsi="宋体"/>
                <w:szCs w:val="21"/>
              </w:rPr>
              <w:t>m</w:t>
            </w:r>
            <w:r>
              <w:rPr>
                <w:rFonts w:ascii="宋体" w:hAnsi="宋体"/>
                <w:szCs w:val="21"/>
                <w:vertAlign w:val="superscript"/>
              </w:rPr>
              <w:t>3</w:t>
            </w:r>
            <w:r>
              <w:rPr>
                <w:rFonts w:hint="eastAsia" w:ascii="宋体" w:hAnsi="宋体"/>
                <w:szCs w:val="21"/>
              </w:rPr>
              <w:t>）</w:t>
            </w:r>
          </w:p>
        </w:tc>
        <w:tc>
          <w:tcPr>
            <w:tcW w:w="1125" w:type="dxa"/>
            <w:noWrap w:val="0"/>
            <w:vAlign w:val="center"/>
          </w:tcPr>
          <w:p w14:paraId="4229BFF3">
            <w:pPr>
              <w:spacing w:line="240" w:lineRule="exact"/>
              <w:jc w:val="center"/>
              <w:rPr>
                <w:rFonts w:hint="eastAsia" w:ascii="宋体" w:hAnsi="宋体"/>
                <w:szCs w:val="21"/>
              </w:rPr>
            </w:pPr>
            <w:r>
              <w:rPr>
                <w:rFonts w:hint="eastAsia" w:ascii="宋体" w:hAnsi="宋体"/>
                <w:szCs w:val="21"/>
              </w:rPr>
              <w:t>小时不平</w:t>
            </w:r>
          </w:p>
          <w:p w14:paraId="04136C36">
            <w:pPr>
              <w:spacing w:line="240" w:lineRule="exact"/>
              <w:jc w:val="center"/>
              <w:rPr>
                <w:rFonts w:hint="eastAsia" w:ascii="宋体" w:hAnsi="宋体"/>
                <w:szCs w:val="21"/>
              </w:rPr>
            </w:pPr>
            <w:r>
              <w:rPr>
                <w:rFonts w:hint="eastAsia" w:ascii="宋体" w:hAnsi="宋体"/>
                <w:szCs w:val="21"/>
              </w:rPr>
              <w:t>衡系数</w:t>
            </w:r>
          </w:p>
        </w:tc>
        <w:tc>
          <w:tcPr>
            <w:tcW w:w="1123" w:type="dxa"/>
            <w:noWrap w:val="0"/>
            <w:vAlign w:val="center"/>
          </w:tcPr>
          <w:p w14:paraId="4CA88944">
            <w:pPr>
              <w:spacing w:line="240" w:lineRule="exact"/>
              <w:jc w:val="center"/>
              <w:rPr>
                <w:rFonts w:hint="eastAsia" w:ascii="宋体" w:hAnsi="宋体"/>
                <w:szCs w:val="21"/>
              </w:rPr>
            </w:pPr>
            <w:r>
              <w:rPr>
                <w:rFonts w:hint="eastAsia" w:ascii="宋体" w:hAnsi="宋体"/>
                <w:szCs w:val="21"/>
              </w:rPr>
              <w:t>最大小时</w:t>
            </w:r>
          </w:p>
          <w:p w14:paraId="77BBA2C0">
            <w:pPr>
              <w:spacing w:line="240" w:lineRule="exact"/>
              <w:jc w:val="center"/>
              <w:rPr>
                <w:rFonts w:ascii="宋体" w:hAnsi="宋体"/>
                <w:szCs w:val="21"/>
              </w:rPr>
            </w:pPr>
            <w:r>
              <w:rPr>
                <w:rFonts w:hint="eastAsia" w:ascii="宋体" w:hAnsi="宋体"/>
                <w:szCs w:val="21"/>
              </w:rPr>
              <w:t>（</w:t>
            </w:r>
            <w:r>
              <w:rPr>
                <w:rFonts w:ascii="宋体" w:hAnsi="宋体"/>
                <w:szCs w:val="21"/>
              </w:rPr>
              <w:t>m</w:t>
            </w:r>
            <w:r>
              <w:rPr>
                <w:rFonts w:ascii="宋体" w:hAnsi="宋体"/>
                <w:szCs w:val="21"/>
                <w:vertAlign w:val="superscript"/>
              </w:rPr>
              <w:t>3</w:t>
            </w:r>
            <w:r>
              <w:rPr>
                <w:rFonts w:hint="eastAsia" w:ascii="宋体" w:hAnsi="宋体"/>
                <w:szCs w:val="21"/>
              </w:rPr>
              <w:t>）</w:t>
            </w:r>
          </w:p>
        </w:tc>
        <w:tc>
          <w:tcPr>
            <w:tcW w:w="1388" w:type="dxa"/>
            <w:noWrap w:val="0"/>
            <w:vAlign w:val="center"/>
          </w:tcPr>
          <w:p w14:paraId="15BE3843">
            <w:pPr>
              <w:spacing w:line="240" w:lineRule="exact"/>
              <w:jc w:val="center"/>
              <w:rPr>
                <w:rFonts w:hint="eastAsia" w:ascii="宋体" w:hAnsi="宋体"/>
                <w:szCs w:val="21"/>
              </w:rPr>
            </w:pPr>
            <w:r>
              <w:rPr>
                <w:rFonts w:hint="eastAsia" w:ascii="宋体" w:hAnsi="宋体"/>
                <w:szCs w:val="21"/>
              </w:rPr>
              <w:t>计算流量</w:t>
            </w:r>
          </w:p>
          <w:p w14:paraId="3565659A">
            <w:pPr>
              <w:spacing w:line="240" w:lineRule="exact"/>
              <w:jc w:val="center"/>
              <w:rPr>
                <w:rFonts w:hint="eastAsia" w:ascii="宋体" w:hAnsi="宋体"/>
                <w:szCs w:val="21"/>
              </w:rPr>
            </w:pPr>
            <w:r>
              <w:rPr>
                <w:rFonts w:hint="eastAsia" w:ascii="宋体" w:hAnsi="宋体"/>
                <w:szCs w:val="21"/>
              </w:rPr>
              <w:t>（L/S）</w:t>
            </w:r>
          </w:p>
        </w:tc>
        <w:tc>
          <w:tcPr>
            <w:tcW w:w="2318" w:type="dxa"/>
            <w:vMerge w:val="continue"/>
            <w:noWrap w:val="0"/>
            <w:vAlign w:val="center"/>
          </w:tcPr>
          <w:p w14:paraId="252A7269">
            <w:pPr>
              <w:spacing w:line="240" w:lineRule="exact"/>
              <w:rPr>
                <w:rFonts w:ascii="宋体" w:hAnsi="宋体"/>
                <w:szCs w:val="21"/>
              </w:rPr>
            </w:pPr>
          </w:p>
        </w:tc>
      </w:tr>
      <w:tr w14:paraId="5E2DA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2973231F">
            <w:pPr>
              <w:spacing w:line="240" w:lineRule="exact"/>
              <w:jc w:val="center"/>
              <w:rPr>
                <w:rFonts w:hint="eastAsia" w:ascii="宋体" w:hAnsi="宋体"/>
                <w:szCs w:val="21"/>
              </w:rPr>
            </w:pPr>
            <w:r>
              <w:rPr>
                <w:rFonts w:hint="eastAsia" w:ascii="宋体" w:hAnsi="宋体"/>
                <w:szCs w:val="21"/>
              </w:rPr>
              <w:t>1</w:t>
            </w:r>
          </w:p>
        </w:tc>
        <w:tc>
          <w:tcPr>
            <w:tcW w:w="2633" w:type="dxa"/>
            <w:noWrap w:val="0"/>
            <w:vAlign w:val="center"/>
          </w:tcPr>
          <w:p w14:paraId="0D663E19">
            <w:pPr>
              <w:spacing w:line="240" w:lineRule="exact"/>
              <w:rPr>
                <w:rFonts w:ascii="宋体" w:hAnsi="宋体"/>
                <w:szCs w:val="21"/>
              </w:rPr>
            </w:pPr>
            <w:r>
              <w:rPr>
                <w:rFonts w:hint="eastAsia" w:ascii="宋体" w:hAnsi="宋体"/>
                <w:szCs w:val="21"/>
              </w:rPr>
              <w:t>日常生活用水</w:t>
            </w:r>
          </w:p>
        </w:tc>
        <w:tc>
          <w:tcPr>
            <w:tcW w:w="782" w:type="dxa"/>
            <w:noWrap w:val="0"/>
            <w:vAlign w:val="center"/>
          </w:tcPr>
          <w:p w14:paraId="3C3CE141">
            <w:pPr>
              <w:spacing w:line="240" w:lineRule="exact"/>
              <w:jc w:val="center"/>
              <w:rPr>
                <w:rFonts w:hint="eastAsia" w:ascii="宋体" w:hAnsi="宋体"/>
                <w:szCs w:val="21"/>
              </w:rPr>
            </w:pPr>
            <w:r>
              <w:rPr>
                <w:rFonts w:hint="eastAsia" w:ascii="宋体" w:hAnsi="宋体"/>
                <w:szCs w:val="21"/>
              </w:rPr>
              <w:t>24</w:t>
            </w:r>
          </w:p>
        </w:tc>
        <w:tc>
          <w:tcPr>
            <w:tcW w:w="856" w:type="dxa"/>
            <w:noWrap w:val="0"/>
            <w:vAlign w:val="center"/>
          </w:tcPr>
          <w:p w14:paraId="2814C7C7">
            <w:pPr>
              <w:spacing w:line="240" w:lineRule="exact"/>
              <w:jc w:val="center"/>
              <w:rPr>
                <w:rFonts w:hint="eastAsia" w:ascii="宋体" w:hAnsi="宋体"/>
                <w:szCs w:val="21"/>
              </w:rPr>
            </w:pPr>
            <w:r>
              <w:rPr>
                <w:rFonts w:hint="eastAsia" w:ascii="宋体" w:hAnsi="宋体"/>
                <w:szCs w:val="21"/>
              </w:rPr>
              <w:t>514</w:t>
            </w:r>
          </w:p>
        </w:tc>
        <w:tc>
          <w:tcPr>
            <w:tcW w:w="835" w:type="dxa"/>
            <w:noWrap w:val="0"/>
            <w:vAlign w:val="center"/>
          </w:tcPr>
          <w:p w14:paraId="24F7F388">
            <w:pPr>
              <w:spacing w:line="240" w:lineRule="exact"/>
              <w:jc w:val="center"/>
              <w:rPr>
                <w:rFonts w:hint="eastAsia" w:ascii="宋体" w:hAnsi="宋体"/>
                <w:szCs w:val="21"/>
              </w:rPr>
            </w:pPr>
            <w:r>
              <w:rPr>
                <w:rFonts w:hint="eastAsia" w:ascii="宋体" w:hAnsi="宋体"/>
                <w:szCs w:val="21"/>
              </w:rPr>
              <w:t>140</w:t>
            </w:r>
          </w:p>
        </w:tc>
        <w:tc>
          <w:tcPr>
            <w:tcW w:w="1459" w:type="dxa"/>
            <w:noWrap w:val="0"/>
            <w:vAlign w:val="center"/>
          </w:tcPr>
          <w:p w14:paraId="0EBE92CD">
            <w:pPr>
              <w:spacing w:line="240" w:lineRule="exact"/>
              <w:rPr>
                <w:rFonts w:hint="eastAsia" w:ascii="宋体" w:hAnsi="宋体"/>
                <w:szCs w:val="21"/>
              </w:rPr>
            </w:pPr>
            <w:r>
              <w:rPr>
                <w:rFonts w:hint="eastAsia" w:ascii="宋体" w:hAnsi="宋体"/>
                <w:szCs w:val="21"/>
              </w:rPr>
              <w:t>20</w:t>
            </w:r>
            <w:r>
              <w:rPr>
                <w:rFonts w:ascii="宋体" w:hAnsi="宋体"/>
                <w:szCs w:val="21"/>
              </w:rPr>
              <w:t>L/</w:t>
            </w:r>
            <w:r>
              <w:rPr>
                <w:rFonts w:hint="eastAsia" w:ascii="宋体" w:hAnsi="宋体"/>
                <w:szCs w:val="21"/>
              </w:rPr>
              <w:t>人.班</w:t>
            </w:r>
          </w:p>
        </w:tc>
        <w:tc>
          <w:tcPr>
            <w:tcW w:w="1125" w:type="dxa"/>
            <w:noWrap w:val="0"/>
            <w:vAlign w:val="center"/>
          </w:tcPr>
          <w:p w14:paraId="23047AF3">
            <w:pPr>
              <w:spacing w:line="240" w:lineRule="exact"/>
              <w:jc w:val="center"/>
              <w:rPr>
                <w:rFonts w:hint="eastAsia" w:ascii="宋体" w:hAnsi="宋体"/>
                <w:szCs w:val="21"/>
              </w:rPr>
            </w:pPr>
            <w:r>
              <w:rPr>
                <w:rFonts w:hint="eastAsia" w:ascii="宋体" w:hAnsi="宋体"/>
                <w:szCs w:val="21"/>
              </w:rPr>
              <w:t>10.28</w:t>
            </w:r>
          </w:p>
        </w:tc>
        <w:tc>
          <w:tcPr>
            <w:tcW w:w="1125" w:type="dxa"/>
            <w:noWrap w:val="0"/>
            <w:vAlign w:val="center"/>
          </w:tcPr>
          <w:p w14:paraId="6FF5C785">
            <w:pPr>
              <w:spacing w:line="240" w:lineRule="exact"/>
              <w:jc w:val="center"/>
              <w:rPr>
                <w:rFonts w:hint="eastAsia" w:ascii="宋体" w:hAnsi="宋体"/>
                <w:szCs w:val="21"/>
              </w:rPr>
            </w:pPr>
            <w:r>
              <w:rPr>
                <w:rFonts w:hint="eastAsia" w:ascii="宋体" w:hAnsi="宋体"/>
                <w:szCs w:val="21"/>
              </w:rPr>
              <w:t>3.0</w:t>
            </w:r>
          </w:p>
        </w:tc>
        <w:tc>
          <w:tcPr>
            <w:tcW w:w="1123" w:type="dxa"/>
            <w:noWrap w:val="0"/>
            <w:vAlign w:val="center"/>
          </w:tcPr>
          <w:p w14:paraId="7101844A">
            <w:pPr>
              <w:spacing w:line="240" w:lineRule="exact"/>
              <w:jc w:val="center"/>
              <w:rPr>
                <w:rFonts w:ascii="宋体" w:hAnsi="宋体"/>
                <w:szCs w:val="21"/>
              </w:rPr>
            </w:pPr>
            <w:r>
              <w:rPr>
                <w:rFonts w:hint="eastAsia" w:ascii="宋体" w:hAnsi="宋体"/>
                <w:szCs w:val="21"/>
              </w:rPr>
              <w:t>1.05</w:t>
            </w:r>
          </w:p>
        </w:tc>
        <w:tc>
          <w:tcPr>
            <w:tcW w:w="1388" w:type="dxa"/>
            <w:noWrap w:val="0"/>
            <w:vAlign w:val="center"/>
          </w:tcPr>
          <w:p w14:paraId="06B79647">
            <w:pPr>
              <w:spacing w:line="240" w:lineRule="exact"/>
              <w:jc w:val="center"/>
              <w:rPr>
                <w:rFonts w:hint="eastAsia" w:ascii="宋体" w:hAnsi="宋体"/>
                <w:szCs w:val="21"/>
              </w:rPr>
            </w:pPr>
            <w:r>
              <w:rPr>
                <w:rFonts w:hint="eastAsia" w:ascii="宋体" w:hAnsi="宋体"/>
                <w:szCs w:val="21"/>
              </w:rPr>
              <w:t>0.30</w:t>
            </w:r>
          </w:p>
        </w:tc>
        <w:tc>
          <w:tcPr>
            <w:tcW w:w="2318" w:type="dxa"/>
            <w:noWrap w:val="0"/>
            <w:vAlign w:val="center"/>
          </w:tcPr>
          <w:p w14:paraId="58D5E721">
            <w:pPr>
              <w:spacing w:line="240" w:lineRule="exact"/>
              <w:rPr>
                <w:rFonts w:ascii="宋体" w:hAnsi="宋体"/>
                <w:szCs w:val="21"/>
              </w:rPr>
            </w:pPr>
          </w:p>
        </w:tc>
      </w:tr>
      <w:tr w14:paraId="05E41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2C77D2B0">
            <w:pPr>
              <w:spacing w:line="240" w:lineRule="exact"/>
              <w:jc w:val="center"/>
              <w:rPr>
                <w:rFonts w:hint="eastAsia" w:ascii="宋体" w:hAnsi="宋体"/>
                <w:szCs w:val="21"/>
              </w:rPr>
            </w:pPr>
            <w:r>
              <w:rPr>
                <w:rFonts w:hint="eastAsia" w:ascii="宋体" w:hAnsi="宋体"/>
                <w:szCs w:val="21"/>
              </w:rPr>
              <w:t>2</w:t>
            </w:r>
          </w:p>
        </w:tc>
        <w:tc>
          <w:tcPr>
            <w:tcW w:w="2633" w:type="dxa"/>
            <w:noWrap w:val="0"/>
            <w:vAlign w:val="center"/>
          </w:tcPr>
          <w:p w14:paraId="7AD93423">
            <w:pPr>
              <w:spacing w:line="240" w:lineRule="exact"/>
              <w:rPr>
                <w:rFonts w:hint="eastAsia" w:ascii="宋体" w:hAnsi="宋体"/>
                <w:szCs w:val="21"/>
              </w:rPr>
            </w:pPr>
            <w:r>
              <w:rPr>
                <w:rFonts w:hint="eastAsia" w:ascii="宋体" w:hAnsi="宋体"/>
                <w:szCs w:val="21"/>
              </w:rPr>
              <w:t>浴池用水</w:t>
            </w:r>
          </w:p>
        </w:tc>
        <w:tc>
          <w:tcPr>
            <w:tcW w:w="782" w:type="dxa"/>
            <w:noWrap w:val="0"/>
            <w:vAlign w:val="center"/>
          </w:tcPr>
          <w:p w14:paraId="57E72449">
            <w:pPr>
              <w:spacing w:line="240" w:lineRule="exact"/>
              <w:jc w:val="center"/>
              <w:rPr>
                <w:rFonts w:hint="eastAsia" w:ascii="宋体" w:hAnsi="宋体"/>
                <w:szCs w:val="21"/>
              </w:rPr>
            </w:pPr>
            <w:r>
              <w:rPr>
                <w:rFonts w:hint="eastAsia" w:ascii="宋体" w:hAnsi="宋体"/>
                <w:szCs w:val="21"/>
              </w:rPr>
              <w:t>6</w:t>
            </w:r>
          </w:p>
        </w:tc>
        <w:tc>
          <w:tcPr>
            <w:tcW w:w="856" w:type="dxa"/>
            <w:noWrap w:val="0"/>
            <w:vAlign w:val="center"/>
          </w:tcPr>
          <w:p w14:paraId="0B2FEF9B">
            <w:pPr>
              <w:spacing w:line="240" w:lineRule="exact"/>
              <w:jc w:val="center"/>
              <w:rPr>
                <w:rFonts w:ascii="宋体" w:hAnsi="宋体"/>
                <w:szCs w:val="21"/>
              </w:rPr>
            </w:pPr>
          </w:p>
        </w:tc>
        <w:tc>
          <w:tcPr>
            <w:tcW w:w="835" w:type="dxa"/>
            <w:noWrap w:val="0"/>
            <w:vAlign w:val="center"/>
          </w:tcPr>
          <w:p w14:paraId="72586B23">
            <w:pPr>
              <w:spacing w:line="240" w:lineRule="exact"/>
              <w:jc w:val="center"/>
              <w:rPr>
                <w:rFonts w:ascii="宋体" w:hAnsi="宋体"/>
                <w:szCs w:val="21"/>
              </w:rPr>
            </w:pPr>
          </w:p>
        </w:tc>
        <w:tc>
          <w:tcPr>
            <w:tcW w:w="1459" w:type="dxa"/>
            <w:noWrap w:val="0"/>
            <w:vAlign w:val="center"/>
          </w:tcPr>
          <w:p w14:paraId="531DD5E2">
            <w:pPr>
              <w:spacing w:line="240" w:lineRule="exact"/>
              <w:rPr>
                <w:rFonts w:hint="eastAsia" w:ascii="宋体" w:hAnsi="宋体"/>
                <w:szCs w:val="21"/>
              </w:rPr>
            </w:pPr>
          </w:p>
        </w:tc>
        <w:tc>
          <w:tcPr>
            <w:tcW w:w="1125" w:type="dxa"/>
            <w:noWrap w:val="0"/>
            <w:vAlign w:val="center"/>
          </w:tcPr>
          <w:p w14:paraId="77895779">
            <w:pPr>
              <w:spacing w:line="240" w:lineRule="exact"/>
              <w:jc w:val="center"/>
              <w:rPr>
                <w:rFonts w:hint="eastAsia" w:ascii="宋体" w:hAnsi="宋体"/>
                <w:szCs w:val="21"/>
              </w:rPr>
            </w:pPr>
            <w:r>
              <w:rPr>
                <w:rFonts w:hint="eastAsia" w:ascii="宋体" w:hAnsi="宋体"/>
                <w:szCs w:val="21"/>
              </w:rPr>
              <w:t>56.70</w:t>
            </w:r>
          </w:p>
        </w:tc>
        <w:tc>
          <w:tcPr>
            <w:tcW w:w="1125" w:type="dxa"/>
            <w:noWrap w:val="0"/>
            <w:vAlign w:val="center"/>
          </w:tcPr>
          <w:p w14:paraId="6F894FCA">
            <w:pPr>
              <w:spacing w:line="240" w:lineRule="exact"/>
              <w:jc w:val="center"/>
              <w:rPr>
                <w:rFonts w:hint="eastAsia" w:ascii="宋体" w:hAnsi="宋体"/>
                <w:szCs w:val="21"/>
              </w:rPr>
            </w:pPr>
            <w:r>
              <w:rPr>
                <w:rFonts w:hint="eastAsia" w:ascii="宋体" w:hAnsi="宋体"/>
                <w:szCs w:val="21"/>
              </w:rPr>
              <w:t>1</w:t>
            </w:r>
          </w:p>
        </w:tc>
        <w:tc>
          <w:tcPr>
            <w:tcW w:w="1123" w:type="dxa"/>
            <w:noWrap w:val="0"/>
            <w:vAlign w:val="center"/>
          </w:tcPr>
          <w:p w14:paraId="5142D79C">
            <w:pPr>
              <w:spacing w:line="240" w:lineRule="exact"/>
              <w:jc w:val="center"/>
              <w:rPr>
                <w:rFonts w:hint="eastAsia" w:ascii="宋体" w:hAnsi="宋体"/>
                <w:szCs w:val="21"/>
              </w:rPr>
            </w:pPr>
            <w:r>
              <w:rPr>
                <w:rFonts w:hint="eastAsia" w:ascii="宋体" w:hAnsi="宋体"/>
                <w:szCs w:val="21"/>
              </w:rPr>
              <w:t>18.90</w:t>
            </w:r>
          </w:p>
        </w:tc>
        <w:tc>
          <w:tcPr>
            <w:tcW w:w="1388" w:type="dxa"/>
            <w:noWrap w:val="0"/>
            <w:vAlign w:val="center"/>
          </w:tcPr>
          <w:p w14:paraId="6319F1B9">
            <w:pPr>
              <w:spacing w:line="240" w:lineRule="exact"/>
              <w:jc w:val="center"/>
              <w:rPr>
                <w:rFonts w:hint="eastAsia" w:ascii="宋体" w:hAnsi="宋体"/>
                <w:szCs w:val="21"/>
              </w:rPr>
            </w:pPr>
            <w:r>
              <w:rPr>
                <w:rFonts w:hint="eastAsia" w:ascii="宋体" w:hAnsi="宋体"/>
                <w:szCs w:val="21"/>
              </w:rPr>
              <w:t>5.25</w:t>
            </w:r>
          </w:p>
        </w:tc>
        <w:tc>
          <w:tcPr>
            <w:tcW w:w="2318" w:type="dxa"/>
            <w:noWrap w:val="0"/>
            <w:vAlign w:val="center"/>
          </w:tcPr>
          <w:p w14:paraId="2C784ED5">
            <w:pPr>
              <w:spacing w:line="240" w:lineRule="exact"/>
              <w:rPr>
                <w:rFonts w:ascii="宋体" w:hAnsi="宋体"/>
                <w:szCs w:val="21"/>
              </w:rPr>
            </w:pPr>
            <w:r>
              <w:rPr>
                <w:rFonts w:hint="eastAsia" w:ascii="宋体" w:hAnsi="宋体"/>
                <w:szCs w:val="21"/>
              </w:rPr>
              <w:t>浴池面积27</w:t>
            </w:r>
            <w:r>
              <w:rPr>
                <w:rFonts w:ascii="宋体" w:hAnsi="宋体"/>
                <w:szCs w:val="21"/>
              </w:rPr>
              <w:t>m</w:t>
            </w:r>
            <w:r>
              <w:rPr>
                <w:rFonts w:ascii="宋体" w:hAnsi="宋体"/>
                <w:szCs w:val="21"/>
                <w:vertAlign w:val="superscript"/>
              </w:rPr>
              <w:t>2</w:t>
            </w:r>
          </w:p>
          <w:p w14:paraId="23F6439B">
            <w:pPr>
              <w:spacing w:line="240" w:lineRule="exact"/>
              <w:rPr>
                <w:rFonts w:hint="eastAsia" w:ascii="宋体" w:hAnsi="宋体"/>
                <w:szCs w:val="21"/>
              </w:rPr>
            </w:pPr>
            <w:r>
              <w:rPr>
                <w:rFonts w:hint="eastAsia" w:ascii="宋体" w:hAnsi="宋体"/>
                <w:szCs w:val="21"/>
              </w:rPr>
              <w:t>水深H=0.7</w:t>
            </w:r>
            <w:r>
              <w:rPr>
                <w:rFonts w:ascii="宋体" w:hAnsi="宋体"/>
                <w:szCs w:val="21"/>
              </w:rPr>
              <w:t>m</w:t>
            </w:r>
          </w:p>
        </w:tc>
      </w:tr>
      <w:tr w14:paraId="78F9D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414A5D9B">
            <w:pPr>
              <w:spacing w:line="240" w:lineRule="exact"/>
              <w:jc w:val="center"/>
              <w:rPr>
                <w:rFonts w:hint="eastAsia" w:ascii="宋体" w:hAnsi="宋体"/>
                <w:szCs w:val="21"/>
              </w:rPr>
            </w:pPr>
            <w:r>
              <w:rPr>
                <w:rFonts w:hint="eastAsia" w:ascii="宋体" w:hAnsi="宋体"/>
                <w:szCs w:val="21"/>
              </w:rPr>
              <w:t>3</w:t>
            </w:r>
          </w:p>
        </w:tc>
        <w:tc>
          <w:tcPr>
            <w:tcW w:w="2633" w:type="dxa"/>
            <w:noWrap w:val="0"/>
            <w:vAlign w:val="center"/>
          </w:tcPr>
          <w:p w14:paraId="19F7A316">
            <w:pPr>
              <w:spacing w:line="240" w:lineRule="exact"/>
              <w:rPr>
                <w:rFonts w:hint="eastAsia" w:ascii="宋体" w:hAnsi="宋体"/>
                <w:szCs w:val="21"/>
              </w:rPr>
            </w:pPr>
            <w:r>
              <w:rPr>
                <w:rFonts w:hint="eastAsia" w:ascii="宋体" w:hAnsi="宋体"/>
                <w:szCs w:val="21"/>
              </w:rPr>
              <w:t>淋浴用水</w:t>
            </w:r>
          </w:p>
        </w:tc>
        <w:tc>
          <w:tcPr>
            <w:tcW w:w="782" w:type="dxa"/>
            <w:noWrap w:val="0"/>
            <w:vAlign w:val="center"/>
          </w:tcPr>
          <w:p w14:paraId="696031F7">
            <w:pPr>
              <w:spacing w:line="240" w:lineRule="exact"/>
              <w:jc w:val="center"/>
              <w:rPr>
                <w:rFonts w:hint="eastAsia" w:ascii="宋体" w:hAnsi="宋体"/>
                <w:szCs w:val="21"/>
              </w:rPr>
            </w:pPr>
            <w:r>
              <w:rPr>
                <w:rFonts w:hint="eastAsia" w:ascii="宋体" w:hAnsi="宋体"/>
                <w:szCs w:val="21"/>
              </w:rPr>
              <w:t>2</w:t>
            </w:r>
          </w:p>
        </w:tc>
        <w:tc>
          <w:tcPr>
            <w:tcW w:w="856" w:type="dxa"/>
            <w:noWrap w:val="0"/>
            <w:vAlign w:val="center"/>
          </w:tcPr>
          <w:p w14:paraId="60E485CA">
            <w:pPr>
              <w:spacing w:line="240" w:lineRule="exact"/>
              <w:jc w:val="center"/>
              <w:rPr>
                <w:rFonts w:ascii="宋体" w:hAnsi="宋体"/>
                <w:szCs w:val="21"/>
              </w:rPr>
            </w:pPr>
          </w:p>
        </w:tc>
        <w:tc>
          <w:tcPr>
            <w:tcW w:w="835" w:type="dxa"/>
            <w:noWrap w:val="0"/>
            <w:vAlign w:val="center"/>
          </w:tcPr>
          <w:p w14:paraId="7446548B">
            <w:pPr>
              <w:spacing w:line="240" w:lineRule="exact"/>
              <w:jc w:val="center"/>
              <w:rPr>
                <w:rFonts w:ascii="宋体" w:hAnsi="宋体"/>
                <w:szCs w:val="21"/>
              </w:rPr>
            </w:pPr>
          </w:p>
        </w:tc>
        <w:tc>
          <w:tcPr>
            <w:tcW w:w="1459" w:type="dxa"/>
            <w:noWrap w:val="0"/>
            <w:vAlign w:val="center"/>
          </w:tcPr>
          <w:p w14:paraId="0EBC9743">
            <w:pPr>
              <w:spacing w:line="240" w:lineRule="exact"/>
              <w:rPr>
                <w:rFonts w:ascii="宋体" w:hAnsi="宋体"/>
                <w:szCs w:val="21"/>
              </w:rPr>
            </w:pPr>
            <w:r>
              <w:rPr>
                <w:rFonts w:hint="eastAsia" w:ascii="宋体" w:hAnsi="宋体"/>
                <w:szCs w:val="21"/>
              </w:rPr>
              <w:t>540L/</w:t>
            </w:r>
            <w:r>
              <w:rPr>
                <w:rFonts w:ascii="宋体" w:hAnsi="宋体"/>
                <w:szCs w:val="21"/>
              </w:rPr>
              <w:t>h</w:t>
            </w:r>
          </w:p>
        </w:tc>
        <w:tc>
          <w:tcPr>
            <w:tcW w:w="1125" w:type="dxa"/>
            <w:noWrap w:val="0"/>
            <w:vAlign w:val="center"/>
          </w:tcPr>
          <w:p w14:paraId="37556C79">
            <w:pPr>
              <w:spacing w:line="240" w:lineRule="exact"/>
              <w:jc w:val="center"/>
              <w:rPr>
                <w:rFonts w:hint="eastAsia" w:ascii="宋体" w:hAnsi="宋体"/>
                <w:szCs w:val="21"/>
              </w:rPr>
            </w:pPr>
            <w:r>
              <w:rPr>
                <w:rFonts w:hint="eastAsia" w:ascii="宋体" w:hAnsi="宋体"/>
                <w:szCs w:val="21"/>
              </w:rPr>
              <w:t>42.12</w:t>
            </w:r>
          </w:p>
        </w:tc>
        <w:tc>
          <w:tcPr>
            <w:tcW w:w="1125" w:type="dxa"/>
            <w:noWrap w:val="0"/>
            <w:vAlign w:val="center"/>
          </w:tcPr>
          <w:p w14:paraId="7D66DDA6">
            <w:pPr>
              <w:spacing w:line="240" w:lineRule="exact"/>
              <w:jc w:val="center"/>
              <w:rPr>
                <w:rFonts w:hint="eastAsia" w:ascii="宋体" w:hAnsi="宋体"/>
                <w:szCs w:val="21"/>
              </w:rPr>
            </w:pPr>
            <w:r>
              <w:rPr>
                <w:rFonts w:hint="eastAsia" w:ascii="宋体" w:hAnsi="宋体"/>
                <w:szCs w:val="21"/>
              </w:rPr>
              <w:t>1</w:t>
            </w:r>
          </w:p>
        </w:tc>
        <w:tc>
          <w:tcPr>
            <w:tcW w:w="1123" w:type="dxa"/>
            <w:noWrap w:val="0"/>
            <w:vAlign w:val="center"/>
          </w:tcPr>
          <w:p w14:paraId="5C488571">
            <w:pPr>
              <w:spacing w:line="240" w:lineRule="exact"/>
              <w:jc w:val="center"/>
              <w:rPr>
                <w:rFonts w:hint="eastAsia" w:ascii="宋体" w:hAnsi="宋体"/>
                <w:szCs w:val="21"/>
              </w:rPr>
            </w:pPr>
            <w:r>
              <w:rPr>
                <w:rFonts w:hint="eastAsia" w:ascii="宋体" w:hAnsi="宋体"/>
                <w:szCs w:val="21"/>
              </w:rPr>
              <w:t>14.04</w:t>
            </w:r>
          </w:p>
        </w:tc>
        <w:tc>
          <w:tcPr>
            <w:tcW w:w="1388" w:type="dxa"/>
            <w:noWrap w:val="0"/>
            <w:vAlign w:val="center"/>
          </w:tcPr>
          <w:p w14:paraId="51F1223C">
            <w:pPr>
              <w:spacing w:line="240" w:lineRule="exact"/>
              <w:jc w:val="center"/>
              <w:rPr>
                <w:rFonts w:hint="eastAsia" w:ascii="宋体" w:hAnsi="宋体"/>
                <w:szCs w:val="21"/>
              </w:rPr>
            </w:pPr>
            <w:r>
              <w:rPr>
                <w:rFonts w:hint="eastAsia" w:ascii="宋体" w:hAnsi="宋体"/>
                <w:szCs w:val="21"/>
              </w:rPr>
              <w:t>3.90</w:t>
            </w:r>
          </w:p>
        </w:tc>
        <w:tc>
          <w:tcPr>
            <w:tcW w:w="2318" w:type="dxa"/>
            <w:noWrap w:val="0"/>
            <w:vAlign w:val="center"/>
          </w:tcPr>
          <w:p w14:paraId="655303E0">
            <w:pPr>
              <w:spacing w:line="240" w:lineRule="exact"/>
              <w:rPr>
                <w:rFonts w:hint="eastAsia" w:ascii="宋体" w:hAnsi="宋体"/>
                <w:szCs w:val="21"/>
              </w:rPr>
            </w:pPr>
            <w:r>
              <w:rPr>
                <w:rFonts w:hint="eastAsia" w:ascii="宋体" w:hAnsi="宋体"/>
                <w:szCs w:val="21"/>
              </w:rPr>
              <w:t>淋浴器26个</w:t>
            </w:r>
          </w:p>
        </w:tc>
      </w:tr>
      <w:tr w14:paraId="52A05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5BE004B2">
            <w:pPr>
              <w:spacing w:line="240" w:lineRule="exact"/>
              <w:jc w:val="center"/>
              <w:rPr>
                <w:rFonts w:hint="eastAsia" w:ascii="宋体" w:hAnsi="宋体"/>
                <w:szCs w:val="21"/>
              </w:rPr>
            </w:pPr>
            <w:r>
              <w:rPr>
                <w:rFonts w:hint="eastAsia" w:ascii="宋体" w:hAnsi="宋体"/>
                <w:szCs w:val="21"/>
              </w:rPr>
              <w:t>4</w:t>
            </w:r>
          </w:p>
        </w:tc>
        <w:tc>
          <w:tcPr>
            <w:tcW w:w="2633" w:type="dxa"/>
            <w:noWrap w:val="0"/>
            <w:vAlign w:val="center"/>
          </w:tcPr>
          <w:p w14:paraId="7D00C37E">
            <w:pPr>
              <w:spacing w:line="240" w:lineRule="exact"/>
              <w:rPr>
                <w:rFonts w:hint="eastAsia" w:ascii="宋体" w:hAnsi="宋体"/>
                <w:szCs w:val="21"/>
              </w:rPr>
            </w:pPr>
            <w:r>
              <w:rPr>
                <w:rFonts w:hint="eastAsia" w:ascii="宋体" w:hAnsi="宋体"/>
                <w:szCs w:val="21"/>
              </w:rPr>
              <w:t>食堂用水</w:t>
            </w:r>
          </w:p>
        </w:tc>
        <w:tc>
          <w:tcPr>
            <w:tcW w:w="782" w:type="dxa"/>
            <w:noWrap w:val="0"/>
            <w:vAlign w:val="center"/>
          </w:tcPr>
          <w:p w14:paraId="2A6FB127">
            <w:pPr>
              <w:spacing w:line="240" w:lineRule="exact"/>
              <w:jc w:val="center"/>
              <w:rPr>
                <w:rFonts w:hint="eastAsia" w:ascii="宋体" w:hAnsi="宋体"/>
                <w:szCs w:val="21"/>
              </w:rPr>
            </w:pPr>
            <w:r>
              <w:rPr>
                <w:rFonts w:hint="eastAsia" w:ascii="宋体" w:hAnsi="宋体"/>
                <w:szCs w:val="21"/>
              </w:rPr>
              <w:t>20</w:t>
            </w:r>
          </w:p>
        </w:tc>
        <w:tc>
          <w:tcPr>
            <w:tcW w:w="856" w:type="dxa"/>
            <w:noWrap w:val="0"/>
            <w:vAlign w:val="center"/>
          </w:tcPr>
          <w:p w14:paraId="44BA204E">
            <w:pPr>
              <w:spacing w:line="240" w:lineRule="exact"/>
              <w:jc w:val="center"/>
              <w:rPr>
                <w:rFonts w:hint="eastAsia" w:ascii="宋体" w:hAnsi="宋体"/>
                <w:szCs w:val="21"/>
              </w:rPr>
            </w:pPr>
            <w:r>
              <w:rPr>
                <w:rFonts w:hint="eastAsia" w:ascii="宋体" w:hAnsi="宋体"/>
                <w:szCs w:val="21"/>
              </w:rPr>
              <w:t>514</w:t>
            </w:r>
          </w:p>
        </w:tc>
        <w:tc>
          <w:tcPr>
            <w:tcW w:w="835" w:type="dxa"/>
            <w:noWrap w:val="0"/>
            <w:vAlign w:val="center"/>
          </w:tcPr>
          <w:p w14:paraId="700F2661">
            <w:pPr>
              <w:spacing w:line="240" w:lineRule="exact"/>
              <w:jc w:val="center"/>
              <w:rPr>
                <w:rFonts w:hint="eastAsia" w:ascii="宋体" w:hAnsi="宋体"/>
                <w:szCs w:val="21"/>
              </w:rPr>
            </w:pPr>
            <w:r>
              <w:rPr>
                <w:rFonts w:hint="eastAsia" w:ascii="宋体" w:hAnsi="宋体"/>
                <w:szCs w:val="21"/>
              </w:rPr>
              <w:t>140</w:t>
            </w:r>
          </w:p>
        </w:tc>
        <w:tc>
          <w:tcPr>
            <w:tcW w:w="1459" w:type="dxa"/>
            <w:noWrap w:val="0"/>
            <w:vAlign w:val="center"/>
          </w:tcPr>
          <w:p w14:paraId="0FB1097B">
            <w:pPr>
              <w:spacing w:line="240" w:lineRule="exact"/>
              <w:rPr>
                <w:rFonts w:ascii="宋体" w:hAnsi="宋体"/>
                <w:szCs w:val="21"/>
              </w:rPr>
            </w:pPr>
            <w:r>
              <w:rPr>
                <w:rFonts w:hint="eastAsia" w:ascii="宋体" w:hAnsi="宋体"/>
                <w:szCs w:val="21"/>
              </w:rPr>
              <w:t>15</w:t>
            </w:r>
            <w:r>
              <w:rPr>
                <w:rFonts w:ascii="宋体" w:hAnsi="宋体"/>
                <w:szCs w:val="21"/>
              </w:rPr>
              <w:t>L/</w:t>
            </w:r>
            <w:r>
              <w:rPr>
                <w:rFonts w:hint="eastAsia" w:ascii="宋体" w:hAnsi="宋体"/>
                <w:szCs w:val="21"/>
              </w:rPr>
              <w:t>人.餐</w:t>
            </w:r>
          </w:p>
        </w:tc>
        <w:tc>
          <w:tcPr>
            <w:tcW w:w="1125" w:type="dxa"/>
            <w:noWrap w:val="0"/>
            <w:vAlign w:val="center"/>
          </w:tcPr>
          <w:p w14:paraId="456A0B39">
            <w:pPr>
              <w:spacing w:line="240" w:lineRule="exact"/>
              <w:jc w:val="center"/>
              <w:rPr>
                <w:rFonts w:hint="eastAsia" w:ascii="宋体" w:hAnsi="宋体"/>
                <w:szCs w:val="21"/>
              </w:rPr>
            </w:pPr>
            <w:r>
              <w:rPr>
                <w:rFonts w:hint="eastAsia" w:ascii="宋体" w:hAnsi="宋体"/>
                <w:szCs w:val="21"/>
              </w:rPr>
              <w:t>10.28</w:t>
            </w:r>
          </w:p>
        </w:tc>
        <w:tc>
          <w:tcPr>
            <w:tcW w:w="1125" w:type="dxa"/>
            <w:noWrap w:val="0"/>
            <w:vAlign w:val="center"/>
          </w:tcPr>
          <w:p w14:paraId="79ADB1EC">
            <w:pPr>
              <w:spacing w:line="240" w:lineRule="exact"/>
              <w:jc w:val="center"/>
              <w:rPr>
                <w:rFonts w:hint="eastAsia" w:ascii="宋体" w:hAnsi="宋体"/>
                <w:szCs w:val="21"/>
              </w:rPr>
            </w:pPr>
            <w:r>
              <w:rPr>
                <w:rFonts w:hint="eastAsia" w:ascii="宋体" w:hAnsi="宋体"/>
                <w:szCs w:val="21"/>
              </w:rPr>
              <w:t>2.0</w:t>
            </w:r>
          </w:p>
        </w:tc>
        <w:tc>
          <w:tcPr>
            <w:tcW w:w="1123" w:type="dxa"/>
            <w:noWrap w:val="0"/>
            <w:vAlign w:val="center"/>
          </w:tcPr>
          <w:p w14:paraId="2B94B9DD">
            <w:pPr>
              <w:spacing w:line="240" w:lineRule="exact"/>
              <w:jc w:val="center"/>
              <w:rPr>
                <w:rFonts w:hint="eastAsia" w:ascii="宋体" w:hAnsi="宋体"/>
                <w:szCs w:val="21"/>
              </w:rPr>
            </w:pPr>
            <w:r>
              <w:rPr>
                <w:rFonts w:hint="eastAsia" w:ascii="宋体" w:hAnsi="宋体"/>
                <w:szCs w:val="21"/>
              </w:rPr>
              <w:t>1.03</w:t>
            </w:r>
          </w:p>
        </w:tc>
        <w:tc>
          <w:tcPr>
            <w:tcW w:w="1388" w:type="dxa"/>
            <w:noWrap w:val="0"/>
            <w:vAlign w:val="center"/>
          </w:tcPr>
          <w:p w14:paraId="36F1487F">
            <w:pPr>
              <w:spacing w:line="240" w:lineRule="exact"/>
              <w:jc w:val="center"/>
              <w:rPr>
                <w:rFonts w:hint="eastAsia" w:ascii="宋体" w:hAnsi="宋体"/>
                <w:szCs w:val="21"/>
              </w:rPr>
            </w:pPr>
            <w:r>
              <w:rPr>
                <w:rFonts w:hint="eastAsia" w:ascii="宋体" w:hAnsi="宋体"/>
                <w:szCs w:val="21"/>
              </w:rPr>
              <w:t>0.29</w:t>
            </w:r>
          </w:p>
        </w:tc>
        <w:tc>
          <w:tcPr>
            <w:tcW w:w="2318" w:type="dxa"/>
            <w:noWrap w:val="0"/>
            <w:vAlign w:val="center"/>
          </w:tcPr>
          <w:p w14:paraId="7E546D95">
            <w:pPr>
              <w:spacing w:line="240" w:lineRule="exact"/>
              <w:rPr>
                <w:rFonts w:hint="eastAsia" w:ascii="宋体" w:hAnsi="宋体"/>
                <w:szCs w:val="21"/>
              </w:rPr>
            </w:pPr>
            <w:r>
              <w:rPr>
                <w:rFonts w:hint="eastAsia" w:ascii="宋体" w:hAnsi="宋体"/>
                <w:szCs w:val="21"/>
              </w:rPr>
              <w:t>按2餐/人.日计</w:t>
            </w:r>
          </w:p>
        </w:tc>
      </w:tr>
      <w:tr w14:paraId="10CD9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658E30E8">
            <w:pPr>
              <w:spacing w:line="240" w:lineRule="exact"/>
              <w:jc w:val="center"/>
              <w:rPr>
                <w:rFonts w:hint="eastAsia" w:ascii="宋体" w:hAnsi="宋体"/>
                <w:szCs w:val="21"/>
              </w:rPr>
            </w:pPr>
            <w:r>
              <w:rPr>
                <w:rFonts w:hint="eastAsia" w:ascii="宋体" w:hAnsi="宋体"/>
                <w:szCs w:val="21"/>
              </w:rPr>
              <w:t>5</w:t>
            </w:r>
          </w:p>
        </w:tc>
        <w:tc>
          <w:tcPr>
            <w:tcW w:w="2633" w:type="dxa"/>
            <w:noWrap w:val="0"/>
            <w:vAlign w:val="center"/>
          </w:tcPr>
          <w:p w14:paraId="1FF12206">
            <w:pPr>
              <w:spacing w:line="240" w:lineRule="exact"/>
              <w:rPr>
                <w:rFonts w:hint="eastAsia" w:ascii="宋体" w:hAnsi="宋体"/>
                <w:szCs w:val="21"/>
              </w:rPr>
            </w:pPr>
            <w:r>
              <w:rPr>
                <w:rFonts w:hint="eastAsia" w:ascii="宋体" w:hAnsi="宋体"/>
                <w:szCs w:val="21"/>
              </w:rPr>
              <w:t>锅炉房用水</w:t>
            </w:r>
          </w:p>
        </w:tc>
        <w:tc>
          <w:tcPr>
            <w:tcW w:w="782" w:type="dxa"/>
            <w:noWrap w:val="0"/>
            <w:vAlign w:val="center"/>
          </w:tcPr>
          <w:p w14:paraId="397829CF">
            <w:pPr>
              <w:spacing w:line="240" w:lineRule="exact"/>
              <w:jc w:val="center"/>
              <w:rPr>
                <w:rFonts w:ascii="宋体" w:hAnsi="宋体"/>
                <w:szCs w:val="21"/>
              </w:rPr>
            </w:pPr>
            <w:r>
              <w:rPr>
                <w:rFonts w:ascii="宋体" w:hAnsi="宋体"/>
                <w:szCs w:val="21"/>
              </w:rPr>
              <w:t>16</w:t>
            </w:r>
          </w:p>
        </w:tc>
        <w:tc>
          <w:tcPr>
            <w:tcW w:w="856" w:type="dxa"/>
            <w:noWrap w:val="0"/>
            <w:vAlign w:val="center"/>
          </w:tcPr>
          <w:p w14:paraId="556B9CCD">
            <w:pPr>
              <w:spacing w:line="240" w:lineRule="exact"/>
              <w:jc w:val="center"/>
              <w:rPr>
                <w:rFonts w:ascii="宋体" w:hAnsi="宋体"/>
                <w:szCs w:val="21"/>
              </w:rPr>
            </w:pPr>
          </w:p>
        </w:tc>
        <w:tc>
          <w:tcPr>
            <w:tcW w:w="835" w:type="dxa"/>
            <w:noWrap w:val="0"/>
            <w:vAlign w:val="center"/>
          </w:tcPr>
          <w:p w14:paraId="2078C214">
            <w:pPr>
              <w:spacing w:line="240" w:lineRule="exact"/>
              <w:jc w:val="center"/>
              <w:rPr>
                <w:rFonts w:ascii="宋体" w:hAnsi="宋体"/>
                <w:szCs w:val="21"/>
              </w:rPr>
            </w:pPr>
          </w:p>
        </w:tc>
        <w:tc>
          <w:tcPr>
            <w:tcW w:w="1459" w:type="dxa"/>
            <w:noWrap w:val="0"/>
            <w:vAlign w:val="center"/>
          </w:tcPr>
          <w:p w14:paraId="615F6EED">
            <w:pPr>
              <w:spacing w:line="240" w:lineRule="exact"/>
              <w:rPr>
                <w:rFonts w:ascii="宋体" w:hAnsi="宋体"/>
                <w:szCs w:val="21"/>
              </w:rPr>
            </w:pPr>
          </w:p>
        </w:tc>
        <w:tc>
          <w:tcPr>
            <w:tcW w:w="1125" w:type="dxa"/>
            <w:noWrap w:val="0"/>
            <w:vAlign w:val="center"/>
          </w:tcPr>
          <w:p w14:paraId="431392A0">
            <w:pPr>
              <w:spacing w:line="240" w:lineRule="exact"/>
              <w:jc w:val="center"/>
              <w:rPr>
                <w:rFonts w:hint="eastAsia" w:ascii="宋体" w:hAnsi="宋体"/>
                <w:szCs w:val="21"/>
              </w:rPr>
            </w:pPr>
            <w:r>
              <w:rPr>
                <w:rFonts w:hint="eastAsia" w:ascii="宋体" w:hAnsi="宋体"/>
                <w:szCs w:val="21"/>
              </w:rPr>
              <w:t>12.80</w:t>
            </w:r>
          </w:p>
        </w:tc>
        <w:tc>
          <w:tcPr>
            <w:tcW w:w="1125" w:type="dxa"/>
            <w:noWrap w:val="0"/>
            <w:vAlign w:val="center"/>
          </w:tcPr>
          <w:p w14:paraId="7FE54FBB">
            <w:pPr>
              <w:spacing w:line="240" w:lineRule="exact"/>
              <w:jc w:val="center"/>
              <w:rPr>
                <w:rFonts w:hint="eastAsia" w:ascii="宋体" w:hAnsi="宋体"/>
                <w:szCs w:val="21"/>
              </w:rPr>
            </w:pPr>
          </w:p>
        </w:tc>
        <w:tc>
          <w:tcPr>
            <w:tcW w:w="1123" w:type="dxa"/>
            <w:noWrap w:val="0"/>
            <w:vAlign w:val="center"/>
          </w:tcPr>
          <w:p w14:paraId="7957653D">
            <w:pPr>
              <w:spacing w:line="240" w:lineRule="exact"/>
              <w:jc w:val="center"/>
              <w:rPr>
                <w:rFonts w:hint="eastAsia" w:ascii="宋体" w:hAnsi="宋体"/>
                <w:szCs w:val="21"/>
              </w:rPr>
            </w:pPr>
            <w:r>
              <w:rPr>
                <w:rFonts w:hint="eastAsia" w:ascii="宋体" w:hAnsi="宋体"/>
                <w:szCs w:val="21"/>
              </w:rPr>
              <w:t>1.60</w:t>
            </w:r>
          </w:p>
        </w:tc>
        <w:tc>
          <w:tcPr>
            <w:tcW w:w="1388" w:type="dxa"/>
            <w:noWrap w:val="0"/>
            <w:vAlign w:val="center"/>
          </w:tcPr>
          <w:p w14:paraId="3954BAD0">
            <w:pPr>
              <w:spacing w:line="240" w:lineRule="exact"/>
              <w:jc w:val="center"/>
              <w:rPr>
                <w:rFonts w:ascii="宋体" w:hAnsi="宋体"/>
                <w:szCs w:val="21"/>
              </w:rPr>
            </w:pPr>
            <w:r>
              <w:rPr>
                <w:rFonts w:hint="eastAsia" w:ascii="宋体" w:hAnsi="宋体"/>
                <w:szCs w:val="21"/>
              </w:rPr>
              <w:t>0.44</w:t>
            </w:r>
          </w:p>
        </w:tc>
        <w:tc>
          <w:tcPr>
            <w:tcW w:w="2318" w:type="dxa"/>
            <w:noWrap w:val="0"/>
            <w:vAlign w:val="center"/>
          </w:tcPr>
          <w:p w14:paraId="73420346">
            <w:pPr>
              <w:spacing w:line="240" w:lineRule="exact"/>
              <w:rPr>
                <w:rFonts w:hint="eastAsia" w:ascii="宋体" w:hAnsi="宋体"/>
                <w:szCs w:val="21"/>
              </w:rPr>
            </w:pPr>
            <w:r>
              <w:rPr>
                <w:rFonts w:hint="eastAsia" w:ascii="宋体" w:hAnsi="宋体"/>
                <w:szCs w:val="21"/>
              </w:rPr>
              <w:t>按锅炉蒸发量的40％计</w:t>
            </w:r>
          </w:p>
        </w:tc>
      </w:tr>
      <w:tr w14:paraId="74E0B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793A4B1C">
            <w:pPr>
              <w:spacing w:line="240" w:lineRule="exact"/>
              <w:jc w:val="center"/>
              <w:rPr>
                <w:rFonts w:ascii="宋体" w:hAnsi="宋体"/>
                <w:szCs w:val="21"/>
              </w:rPr>
            </w:pPr>
            <w:r>
              <w:rPr>
                <w:rFonts w:ascii="宋体" w:hAnsi="宋体"/>
                <w:szCs w:val="21"/>
              </w:rPr>
              <w:t>6</w:t>
            </w:r>
          </w:p>
        </w:tc>
        <w:tc>
          <w:tcPr>
            <w:tcW w:w="2633" w:type="dxa"/>
            <w:noWrap w:val="0"/>
            <w:vAlign w:val="center"/>
          </w:tcPr>
          <w:p w14:paraId="33979782">
            <w:pPr>
              <w:spacing w:line="240" w:lineRule="exact"/>
              <w:rPr>
                <w:rFonts w:hint="eastAsia" w:ascii="宋体" w:hAnsi="宋体"/>
                <w:szCs w:val="21"/>
              </w:rPr>
            </w:pPr>
            <w:r>
              <w:rPr>
                <w:rFonts w:hint="eastAsia" w:ascii="宋体" w:hAnsi="宋体"/>
                <w:szCs w:val="21"/>
              </w:rPr>
              <w:t>洗衣房用水</w:t>
            </w:r>
          </w:p>
        </w:tc>
        <w:tc>
          <w:tcPr>
            <w:tcW w:w="782" w:type="dxa"/>
            <w:noWrap w:val="0"/>
            <w:vAlign w:val="center"/>
          </w:tcPr>
          <w:p w14:paraId="5BB5EE86">
            <w:pPr>
              <w:spacing w:line="240" w:lineRule="exact"/>
              <w:jc w:val="center"/>
              <w:rPr>
                <w:rFonts w:hint="eastAsia" w:ascii="宋体" w:hAnsi="宋体"/>
                <w:szCs w:val="21"/>
              </w:rPr>
            </w:pPr>
            <w:r>
              <w:rPr>
                <w:rFonts w:hint="eastAsia" w:ascii="宋体" w:hAnsi="宋体"/>
                <w:szCs w:val="21"/>
              </w:rPr>
              <w:t>12</w:t>
            </w:r>
          </w:p>
        </w:tc>
        <w:tc>
          <w:tcPr>
            <w:tcW w:w="856" w:type="dxa"/>
            <w:noWrap w:val="0"/>
            <w:vAlign w:val="center"/>
          </w:tcPr>
          <w:p w14:paraId="7BA29380">
            <w:pPr>
              <w:spacing w:line="240" w:lineRule="exact"/>
              <w:jc w:val="center"/>
              <w:rPr>
                <w:rFonts w:hint="eastAsia" w:ascii="宋体" w:hAnsi="宋体"/>
                <w:szCs w:val="21"/>
              </w:rPr>
            </w:pPr>
            <w:r>
              <w:rPr>
                <w:rFonts w:hint="eastAsia" w:ascii="宋体" w:hAnsi="宋体"/>
                <w:szCs w:val="21"/>
              </w:rPr>
              <w:t>458</w:t>
            </w:r>
          </w:p>
        </w:tc>
        <w:tc>
          <w:tcPr>
            <w:tcW w:w="835" w:type="dxa"/>
            <w:noWrap w:val="0"/>
            <w:vAlign w:val="center"/>
          </w:tcPr>
          <w:p w14:paraId="6D66DC19">
            <w:pPr>
              <w:spacing w:line="240" w:lineRule="exact"/>
              <w:jc w:val="center"/>
              <w:rPr>
                <w:rFonts w:ascii="宋体" w:hAnsi="宋体"/>
                <w:szCs w:val="21"/>
              </w:rPr>
            </w:pPr>
          </w:p>
        </w:tc>
        <w:tc>
          <w:tcPr>
            <w:tcW w:w="1459" w:type="dxa"/>
            <w:noWrap w:val="0"/>
            <w:vAlign w:val="center"/>
          </w:tcPr>
          <w:p w14:paraId="6FDA6984">
            <w:pPr>
              <w:spacing w:line="240" w:lineRule="exact"/>
              <w:rPr>
                <w:rFonts w:hint="eastAsia" w:ascii="宋体" w:hAnsi="宋体"/>
                <w:szCs w:val="21"/>
              </w:rPr>
            </w:pPr>
            <w:r>
              <w:rPr>
                <w:rFonts w:hint="eastAsia" w:ascii="宋体" w:hAnsi="宋体"/>
                <w:szCs w:val="21"/>
              </w:rPr>
              <w:t>60L/</w:t>
            </w:r>
            <w:r>
              <w:rPr>
                <w:rFonts w:ascii="宋体" w:hAnsi="宋体"/>
                <w:szCs w:val="21"/>
              </w:rPr>
              <w:t>kg</w:t>
            </w:r>
            <w:r>
              <w:rPr>
                <w:rFonts w:hint="eastAsia" w:ascii="宋体" w:hAnsi="宋体"/>
                <w:szCs w:val="21"/>
              </w:rPr>
              <w:t>干衣</w:t>
            </w:r>
          </w:p>
        </w:tc>
        <w:tc>
          <w:tcPr>
            <w:tcW w:w="1125" w:type="dxa"/>
            <w:noWrap w:val="0"/>
            <w:vAlign w:val="center"/>
          </w:tcPr>
          <w:p w14:paraId="162A3332">
            <w:pPr>
              <w:spacing w:line="240" w:lineRule="exact"/>
              <w:jc w:val="center"/>
              <w:rPr>
                <w:rFonts w:hint="eastAsia" w:ascii="宋体" w:hAnsi="宋体"/>
                <w:szCs w:val="21"/>
              </w:rPr>
            </w:pPr>
            <w:r>
              <w:rPr>
                <w:rFonts w:hint="eastAsia" w:ascii="宋体" w:hAnsi="宋体"/>
                <w:szCs w:val="21"/>
              </w:rPr>
              <w:t>41.22</w:t>
            </w:r>
          </w:p>
        </w:tc>
        <w:tc>
          <w:tcPr>
            <w:tcW w:w="1125" w:type="dxa"/>
            <w:noWrap w:val="0"/>
            <w:vAlign w:val="center"/>
          </w:tcPr>
          <w:p w14:paraId="27284726">
            <w:pPr>
              <w:spacing w:line="240" w:lineRule="exact"/>
              <w:jc w:val="center"/>
              <w:rPr>
                <w:rFonts w:hint="eastAsia" w:ascii="宋体" w:hAnsi="宋体"/>
                <w:szCs w:val="21"/>
              </w:rPr>
            </w:pPr>
            <w:r>
              <w:rPr>
                <w:rFonts w:hint="eastAsia" w:ascii="宋体" w:hAnsi="宋体"/>
                <w:szCs w:val="21"/>
              </w:rPr>
              <w:t>1.5</w:t>
            </w:r>
          </w:p>
        </w:tc>
        <w:tc>
          <w:tcPr>
            <w:tcW w:w="1123" w:type="dxa"/>
            <w:noWrap w:val="0"/>
            <w:vAlign w:val="center"/>
          </w:tcPr>
          <w:p w14:paraId="5C2AF50B">
            <w:pPr>
              <w:spacing w:line="240" w:lineRule="exact"/>
              <w:jc w:val="center"/>
              <w:rPr>
                <w:rFonts w:hint="eastAsia" w:ascii="宋体" w:hAnsi="宋体"/>
                <w:szCs w:val="21"/>
              </w:rPr>
            </w:pPr>
            <w:r>
              <w:rPr>
                <w:rFonts w:hint="eastAsia" w:ascii="宋体" w:hAnsi="宋体"/>
                <w:szCs w:val="21"/>
              </w:rPr>
              <w:t>5.15</w:t>
            </w:r>
          </w:p>
        </w:tc>
        <w:tc>
          <w:tcPr>
            <w:tcW w:w="1388" w:type="dxa"/>
            <w:noWrap w:val="0"/>
            <w:vAlign w:val="center"/>
          </w:tcPr>
          <w:p w14:paraId="7A546D7C">
            <w:pPr>
              <w:spacing w:line="240" w:lineRule="exact"/>
              <w:jc w:val="center"/>
              <w:rPr>
                <w:rFonts w:hint="eastAsia" w:ascii="宋体" w:hAnsi="宋体"/>
                <w:szCs w:val="21"/>
              </w:rPr>
            </w:pPr>
            <w:r>
              <w:rPr>
                <w:rFonts w:hint="eastAsia" w:ascii="宋体" w:hAnsi="宋体"/>
                <w:szCs w:val="21"/>
              </w:rPr>
              <w:t>1.43</w:t>
            </w:r>
          </w:p>
        </w:tc>
        <w:tc>
          <w:tcPr>
            <w:tcW w:w="2318" w:type="dxa"/>
            <w:noWrap w:val="0"/>
            <w:vAlign w:val="center"/>
          </w:tcPr>
          <w:p w14:paraId="2889FB54">
            <w:pPr>
              <w:spacing w:line="240" w:lineRule="exact"/>
              <w:rPr>
                <w:rFonts w:hint="eastAsia" w:ascii="宋体" w:hAnsi="宋体"/>
                <w:szCs w:val="21"/>
              </w:rPr>
            </w:pPr>
          </w:p>
        </w:tc>
      </w:tr>
      <w:tr w14:paraId="737EF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5871E2BC">
            <w:pPr>
              <w:spacing w:line="240" w:lineRule="exact"/>
              <w:jc w:val="center"/>
              <w:rPr>
                <w:rFonts w:hint="eastAsia" w:ascii="宋体" w:hAnsi="宋体"/>
                <w:szCs w:val="21"/>
              </w:rPr>
            </w:pPr>
            <w:r>
              <w:rPr>
                <w:rFonts w:hint="eastAsia" w:ascii="宋体" w:hAnsi="宋体"/>
                <w:szCs w:val="21"/>
              </w:rPr>
              <w:t>7</w:t>
            </w:r>
          </w:p>
        </w:tc>
        <w:tc>
          <w:tcPr>
            <w:tcW w:w="2633" w:type="dxa"/>
            <w:noWrap w:val="0"/>
            <w:vAlign w:val="center"/>
          </w:tcPr>
          <w:p w14:paraId="22010922">
            <w:pPr>
              <w:spacing w:line="240" w:lineRule="exact"/>
              <w:rPr>
                <w:rFonts w:hint="eastAsia" w:ascii="宋体" w:hAnsi="宋体"/>
                <w:szCs w:val="21"/>
              </w:rPr>
            </w:pPr>
            <w:r>
              <w:rPr>
                <w:rFonts w:hint="eastAsia" w:ascii="宋体" w:hAnsi="宋体"/>
                <w:szCs w:val="21"/>
              </w:rPr>
              <w:t>单身楼生活用水</w:t>
            </w:r>
          </w:p>
        </w:tc>
        <w:tc>
          <w:tcPr>
            <w:tcW w:w="782" w:type="dxa"/>
            <w:noWrap w:val="0"/>
            <w:vAlign w:val="center"/>
          </w:tcPr>
          <w:p w14:paraId="1576BA30">
            <w:pPr>
              <w:spacing w:line="240" w:lineRule="exact"/>
              <w:jc w:val="center"/>
              <w:rPr>
                <w:rFonts w:hint="eastAsia" w:ascii="宋体" w:hAnsi="宋体"/>
                <w:szCs w:val="21"/>
              </w:rPr>
            </w:pPr>
            <w:r>
              <w:rPr>
                <w:rFonts w:hint="eastAsia" w:ascii="宋体" w:hAnsi="宋体"/>
                <w:szCs w:val="21"/>
              </w:rPr>
              <w:t>24</w:t>
            </w:r>
          </w:p>
        </w:tc>
        <w:tc>
          <w:tcPr>
            <w:tcW w:w="856" w:type="dxa"/>
            <w:noWrap w:val="0"/>
            <w:vAlign w:val="center"/>
          </w:tcPr>
          <w:p w14:paraId="18FBEFB7">
            <w:pPr>
              <w:spacing w:line="240" w:lineRule="exact"/>
              <w:jc w:val="center"/>
              <w:rPr>
                <w:rFonts w:hint="eastAsia" w:ascii="宋体" w:hAnsi="宋体"/>
                <w:szCs w:val="21"/>
              </w:rPr>
            </w:pPr>
            <w:r>
              <w:rPr>
                <w:rFonts w:hint="eastAsia" w:ascii="宋体" w:hAnsi="宋体"/>
                <w:szCs w:val="21"/>
              </w:rPr>
              <w:t>514</w:t>
            </w:r>
          </w:p>
        </w:tc>
        <w:tc>
          <w:tcPr>
            <w:tcW w:w="835" w:type="dxa"/>
            <w:noWrap w:val="0"/>
            <w:vAlign w:val="center"/>
          </w:tcPr>
          <w:p w14:paraId="4F228EEE">
            <w:pPr>
              <w:spacing w:line="240" w:lineRule="exact"/>
              <w:jc w:val="center"/>
              <w:rPr>
                <w:rFonts w:ascii="宋体" w:hAnsi="宋体"/>
                <w:szCs w:val="21"/>
              </w:rPr>
            </w:pPr>
          </w:p>
        </w:tc>
        <w:tc>
          <w:tcPr>
            <w:tcW w:w="1459" w:type="dxa"/>
            <w:noWrap w:val="0"/>
            <w:vAlign w:val="center"/>
          </w:tcPr>
          <w:p w14:paraId="565BEF59">
            <w:pPr>
              <w:spacing w:line="240" w:lineRule="exact"/>
              <w:rPr>
                <w:rFonts w:ascii="宋体" w:hAnsi="宋体"/>
                <w:szCs w:val="21"/>
              </w:rPr>
            </w:pPr>
            <w:r>
              <w:rPr>
                <w:rFonts w:hint="eastAsia" w:ascii="宋体" w:hAnsi="宋体"/>
                <w:szCs w:val="21"/>
              </w:rPr>
              <w:t>150</w:t>
            </w:r>
            <w:r>
              <w:rPr>
                <w:rFonts w:ascii="宋体" w:hAnsi="宋体"/>
                <w:szCs w:val="21"/>
              </w:rPr>
              <w:t>L/</w:t>
            </w:r>
            <w:r>
              <w:rPr>
                <w:rFonts w:hint="eastAsia" w:ascii="宋体" w:hAnsi="宋体"/>
                <w:szCs w:val="21"/>
              </w:rPr>
              <w:t>人.</w:t>
            </w:r>
            <w:r>
              <w:rPr>
                <w:rFonts w:ascii="宋体" w:hAnsi="宋体"/>
                <w:szCs w:val="21"/>
              </w:rPr>
              <w:t>d</w:t>
            </w:r>
          </w:p>
        </w:tc>
        <w:tc>
          <w:tcPr>
            <w:tcW w:w="1125" w:type="dxa"/>
            <w:noWrap w:val="0"/>
            <w:vAlign w:val="center"/>
          </w:tcPr>
          <w:p w14:paraId="708E3C5A">
            <w:pPr>
              <w:spacing w:line="240" w:lineRule="exact"/>
              <w:jc w:val="center"/>
              <w:rPr>
                <w:rFonts w:hint="eastAsia" w:ascii="宋体" w:hAnsi="宋体"/>
                <w:szCs w:val="21"/>
              </w:rPr>
            </w:pPr>
            <w:r>
              <w:rPr>
                <w:rFonts w:hint="eastAsia" w:ascii="宋体" w:hAnsi="宋体"/>
                <w:szCs w:val="21"/>
              </w:rPr>
              <w:t>77.10</w:t>
            </w:r>
          </w:p>
        </w:tc>
        <w:tc>
          <w:tcPr>
            <w:tcW w:w="1125" w:type="dxa"/>
            <w:noWrap w:val="0"/>
            <w:vAlign w:val="center"/>
          </w:tcPr>
          <w:p w14:paraId="4116E22C">
            <w:pPr>
              <w:spacing w:line="240" w:lineRule="exact"/>
              <w:jc w:val="center"/>
              <w:rPr>
                <w:rFonts w:ascii="宋体" w:hAnsi="宋体"/>
                <w:szCs w:val="21"/>
              </w:rPr>
            </w:pPr>
            <w:r>
              <w:rPr>
                <w:rFonts w:ascii="宋体" w:hAnsi="宋体"/>
                <w:szCs w:val="21"/>
              </w:rPr>
              <w:t>2.5</w:t>
            </w:r>
          </w:p>
        </w:tc>
        <w:tc>
          <w:tcPr>
            <w:tcW w:w="1123" w:type="dxa"/>
            <w:noWrap w:val="0"/>
            <w:vAlign w:val="center"/>
          </w:tcPr>
          <w:p w14:paraId="28C53DA0">
            <w:pPr>
              <w:spacing w:line="240" w:lineRule="exact"/>
              <w:jc w:val="center"/>
              <w:rPr>
                <w:rFonts w:hint="eastAsia" w:ascii="宋体" w:hAnsi="宋体"/>
                <w:szCs w:val="21"/>
              </w:rPr>
            </w:pPr>
            <w:r>
              <w:rPr>
                <w:rFonts w:hint="eastAsia" w:ascii="宋体" w:hAnsi="宋体"/>
                <w:szCs w:val="21"/>
              </w:rPr>
              <w:t>8.03</w:t>
            </w:r>
          </w:p>
        </w:tc>
        <w:tc>
          <w:tcPr>
            <w:tcW w:w="1388" w:type="dxa"/>
            <w:noWrap w:val="0"/>
            <w:vAlign w:val="center"/>
          </w:tcPr>
          <w:p w14:paraId="37409845">
            <w:pPr>
              <w:spacing w:line="240" w:lineRule="exact"/>
              <w:jc w:val="center"/>
              <w:rPr>
                <w:rFonts w:hint="eastAsia" w:ascii="宋体" w:hAnsi="宋体"/>
                <w:szCs w:val="21"/>
              </w:rPr>
            </w:pPr>
            <w:r>
              <w:rPr>
                <w:rFonts w:hint="eastAsia" w:ascii="宋体" w:hAnsi="宋体"/>
                <w:szCs w:val="21"/>
              </w:rPr>
              <w:t>2.23</w:t>
            </w:r>
          </w:p>
        </w:tc>
        <w:tc>
          <w:tcPr>
            <w:tcW w:w="2318" w:type="dxa"/>
            <w:noWrap w:val="0"/>
            <w:vAlign w:val="center"/>
          </w:tcPr>
          <w:p w14:paraId="2D284AD7">
            <w:pPr>
              <w:spacing w:line="240" w:lineRule="exact"/>
              <w:rPr>
                <w:rFonts w:hint="eastAsia" w:ascii="宋体" w:hAnsi="宋体"/>
                <w:szCs w:val="21"/>
              </w:rPr>
            </w:pPr>
          </w:p>
        </w:tc>
      </w:tr>
      <w:tr w14:paraId="1EC43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79AF7D2E">
            <w:pPr>
              <w:spacing w:line="240" w:lineRule="exact"/>
              <w:jc w:val="center"/>
              <w:rPr>
                <w:rFonts w:hint="eastAsia" w:ascii="宋体" w:hAnsi="宋体"/>
                <w:szCs w:val="21"/>
              </w:rPr>
            </w:pPr>
            <w:r>
              <w:rPr>
                <w:rFonts w:hint="eastAsia" w:ascii="宋体" w:hAnsi="宋体"/>
                <w:szCs w:val="21"/>
              </w:rPr>
              <w:t>8</w:t>
            </w:r>
          </w:p>
        </w:tc>
        <w:tc>
          <w:tcPr>
            <w:tcW w:w="2633" w:type="dxa"/>
            <w:noWrap w:val="0"/>
            <w:vAlign w:val="center"/>
          </w:tcPr>
          <w:p w14:paraId="5B75AEC0">
            <w:pPr>
              <w:spacing w:line="240" w:lineRule="exact"/>
              <w:rPr>
                <w:rFonts w:hint="eastAsia" w:ascii="宋体" w:hAnsi="宋体"/>
                <w:szCs w:val="21"/>
              </w:rPr>
            </w:pPr>
            <w:r>
              <w:rPr>
                <w:rFonts w:hint="eastAsia" w:ascii="宋体" w:hAnsi="宋体"/>
                <w:szCs w:val="21"/>
              </w:rPr>
              <w:t>未预见水量</w:t>
            </w:r>
          </w:p>
        </w:tc>
        <w:tc>
          <w:tcPr>
            <w:tcW w:w="782" w:type="dxa"/>
            <w:noWrap w:val="0"/>
            <w:vAlign w:val="center"/>
          </w:tcPr>
          <w:p w14:paraId="47135919">
            <w:pPr>
              <w:spacing w:line="240" w:lineRule="exact"/>
              <w:jc w:val="center"/>
              <w:rPr>
                <w:rFonts w:ascii="宋体" w:hAnsi="宋体"/>
                <w:szCs w:val="21"/>
              </w:rPr>
            </w:pPr>
          </w:p>
        </w:tc>
        <w:tc>
          <w:tcPr>
            <w:tcW w:w="856" w:type="dxa"/>
            <w:noWrap w:val="0"/>
            <w:vAlign w:val="center"/>
          </w:tcPr>
          <w:p w14:paraId="04CFDE65">
            <w:pPr>
              <w:spacing w:line="240" w:lineRule="exact"/>
              <w:jc w:val="center"/>
              <w:rPr>
                <w:rFonts w:ascii="宋体" w:hAnsi="宋体"/>
                <w:szCs w:val="21"/>
              </w:rPr>
            </w:pPr>
          </w:p>
        </w:tc>
        <w:tc>
          <w:tcPr>
            <w:tcW w:w="835" w:type="dxa"/>
            <w:noWrap w:val="0"/>
            <w:vAlign w:val="center"/>
          </w:tcPr>
          <w:p w14:paraId="484C1873">
            <w:pPr>
              <w:spacing w:line="240" w:lineRule="exact"/>
              <w:jc w:val="center"/>
              <w:rPr>
                <w:rFonts w:ascii="宋体" w:hAnsi="宋体"/>
                <w:szCs w:val="21"/>
              </w:rPr>
            </w:pPr>
          </w:p>
        </w:tc>
        <w:tc>
          <w:tcPr>
            <w:tcW w:w="1459" w:type="dxa"/>
            <w:noWrap w:val="0"/>
            <w:vAlign w:val="center"/>
          </w:tcPr>
          <w:p w14:paraId="36F0B862">
            <w:pPr>
              <w:spacing w:line="240" w:lineRule="exact"/>
              <w:rPr>
                <w:rFonts w:ascii="宋体" w:hAnsi="宋体"/>
                <w:szCs w:val="21"/>
              </w:rPr>
            </w:pPr>
          </w:p>
        </w:tc>
        <w:tc>
          <w:tcPr>
            <w:tcW w:w="1125" w:type="dxa"/>
            <w:noWrap w:val="0"/>
            <w:vAlign w:val="center"/>
          </w:tcPr>
          <w:p w14:paraId="22762644">
            <w:pPr>
              <w:spacing w:line="240" w:lineRule="exact"/>
              <w:jc w:val="center"/>
              <w:rPr>
                <w:rFonts w:hint="eastAsia" w:ascii="宋体" w:hAnsi="宋体"/>
                <w:szCs w:val="21"/>
              </w:rPr>
            </w:pPr>
            <w:r>
              <w:rPr>
                <w:rFonts w:hint="eastAsia" w:ascii="宋体" w:hAnsi="宋体"/>
                <w:szCs w:val="21"/>
              </w:rPr>
              <w:t>37.58</w:t>
            </w:r>
          </w:p>
        </w:tc>
        <w:tc>
          <w:tcPr>
            <w:tcW w:w="1125" w:type="dxa"/>
            <w:noWrap w:val="0"/>
            <w:vAlign w:val="center"/>
          </w:tcPr>
          <w:p w14:paraId="4F16B51A">
            <w:pPr>
              <w:spacing w:line="240" w:lineRule="exact"/>
              <w:jc w:val="center"/>
              <w:rPr>
                <w:rFonts w:ascii="宋体" w:hAnsi="宋体"/>
                <w:szCs w:val="21"/>
              </w:rPr>
            </w:pPr>
          </w:p>
        </w:tc>
        <w:tc>
          <w:tcPr>
            <w:tcW w:w="1123" w:type="dxa"/>
            <w:noWrap w:val="0"/>
            <w:vAlign w:val="center"/>
          </w:tcPr>
          <w:p w14:paraId="7F336FDA">
            <w:pPr>
              <w:spacing w:line="240" w:lineRule="exact"/>
              <w:jc w:val="center"/>
              <w:rPr>
                <w:rFonts w:hint="eastAsia" w:ascii="宋体" w:hAnsi="宋体"/>
                <w:szCs w:val="21"/>
              </w:rPr>
            </w:pPr>
            <w:r>
              <w:rPr>
                <w:rFonts w:hint="eastAsia" w:ascii="宋体" w:hAnsi="宋体"/>
                <w:szCs w:val="21"/>
              </w:rPr>
              <w:t>7.47</w:t>
            </w:r>
          </w:p>
        </w:tc>
        <w:tc>
          <w:tcPr>
            <w:tcW w:w="1388" w:type="dxa"/>
            <w:noWrap w:val="0"/>
            <w:vAlign w:val="center"/>
          </w:tcPr>
          <w:p w14:paraId="035B64CA">
            <w:pPr>
              <w:spacing w:line="240" w:lineRule="exact"/>
              <w:jc w:val="center"/>
              <w:rPr>
                <w:rFonts w:hint="eastAsia" w:ascii="宋体" w:hAnsi="宋体"/>
                <w:szCs w:val="21"/>
              </w:rPr>
            </w:pPr>
            <w:r>
              <w:rPr>
                <w:rFonts w:hint="eastAsia" w:ascii="宋体" w:hAnsi="宋体"/>
                <w:szCs w:val="21"/>
              </w:rPr>
              <w:t>2.08</w:t>
            </w:r>
          </w:p>
        </w:tc>
        <w:tc>
          <w:tcPr>
            <w:tcW w:w="2318" w:type="dxa"/>
            <w:noWrap w:val="0"/>
            <w:vAlign w:val="center"/>
          </w:tcPr>
          <w:p w14:paraId="21997EBF">
            <w:pPr>
              <w:spacing w:line="240" w:lineRule="exact"/>
              <w:rPr>
                <w:rFonts w:hint="eastAsia" w:ascii="宋体" w:hAnsi="宋体"/>
                <w:szCs w:val="21"/>
              </w:rPr>
            </w:pPr>
            <w:r>
              <w:rPr>
                <w:rFonts w:hint="eastAsia" w:ascii="宋体" w:hAnsi="宋体"/>
                <w:szCs w:val="21"/>
              </w:rPr>
              <w:t>按1~7项之和的15%计</w:t>
            </w:r>
          </w:p>
        </w:tc>
      </w:tr>
      <w:tr w14:paraId="4D8DE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07EAB4A7">
            <w:pPr>
              <w:spacing w:line="240" w:lineRule="exact"/>
              <w:jc w:val="center"/>
              <w:rPr>
                <w:rFonts w:ascii="宋体" w:hAnsi="宋体"/>
                <w:szCs w:val="21"/>
              </w:rPr>
            </w:pPr>
          </w:p>
        </w:tc>
        <w:tc>
          <w:tcPr>
            <w:tcW w:w="2633" w:type="dxa"/>
            <w:noWrap w:val="0"/>
            <w:vAlign w:val="center"/>
          </w:tcPr>
          <w:p w14:paraId="601C6A80">
            <w:pPr>
              <w:spacing w:line="240" w:lineRule="exact"/>
              <w:rPr>
                <w:rFonts w:hint="eastAsia" w:ascii="宋体" w:hAnsi="宋体"/>
                <w:szCs w:val="21"/>
              </w:rPr>
            </w:pPr>
            <w:r>
              <w:rPr>
                <w:rFonts w:hint="eastAsia" w:ascii="宋体" w:hAnsi="宋体"/>
                <w:szCs w:val="21"/>
              </w:rPr>
              <w:t>小　　计</w:t>
            </w:r>
          </w:p>
        </w:tc>
        <w:tc>
          <w:tcPr>
            <w:tcW w:w="782" w:type="dxa"/>
            <w:noWrap w:val="0"/>
            <w:vAlign w:val="center"/>
          </w:tcPr>
          <w:p w14:paraId="2BF36971">
            <w:pPr>
              <w:spacing w:line="240" w:lineRule="exact"/>
              <w:jc w:val="center"/>
              <w:rPr>
                <w:rFonts w:ascii="宋体" w:hAnsi="宋体"/>
                <w:szCs w:val="21"/>
              </w:rPr>
            </w:pPr>
          </w:p>
        </w:tc>
        <w:tc>
          <w:tcPr>
            <w:tcW w:w="856" w:type="dxa"/>
            <w:noWrap w:val="0"/>
            <w:vAlign w:val="center"/>
          </w:tcPr>
          <w:p w14:paraId="268DA442">
            <w:pPr>
              <w:spacing w:line="240" w:lineRule="exact"/>
              <w:jc w:val="center"/>
              <w:rPr>
                <w:rFonts w:ascii="宋体" w:hAnsi="宋体"/>
                <w:szCs w:val="21"/>
              </w:rPr>
            </w:pPr>
          </w:p>
        </w:tc>
        <w:tc>
          <w:tcPr>
            <w:tcW w:w="835" w:type="dxa"/>
            <w:noWrap w:val="0"/>
            <w:vAlign w:val="center"/>
          </w:tcPr>
          <w:p w14:paraId="53C43DD7">
            <w:pPr>
              <w:spacing w:line="240" w:lineRule="exact"/>
              <w:jc w:val="center"/>
              <w:rPr>
                <w:rFonts w:ascii="宋体" w:hAnsi="宋体"/>
                <w:szCs w:val="21"/>
              </w:rPr>
            </w:pPr>
          </w:p>
        </w:tc>
        <w:tc>
          <w:tcPr>
            <w:tcW w:w="1459" w:type="dxa"/>
            <w:noWrap w:val="0"/>
            <w:vAlign w:val="center"/>
          </w:tcPr>
          <w:p w14:paraId="1A7B6866">
            <w:pPr>
              <w:spacing w:line="240" w:lineRule="exact"/>
              <w:rPr>
                <w:rFonts w:ascii="宋体" w:hAnsi="宋体"/>
                <w:szCs w:val="21"/>
              </w:rPr>
            </w:pPr>
          </w:p>
        </w:tc>
        <w:tc>
          <w:tcPr>
            <w:tcW w:w="1125" w:type="dxa"/>
            <w:noWrap w:val="0"/>
            <w:vAlign w:val="center"/>
          </w:tcPr>
          <w:p w14:paraId="3532BB82">
            <w:pPr>
              <w:spacing w:line="240" w:lineRule="exact"/>
              <w:jc w:val="center"/>
              <w:rPr>
                <w:rFonts w:hint="eastAsia" w:ascii="宋体" w:hAnsi="宋体"/>
                <w:szCs w:val="21"/>
              </w:rPr>
            </w:pPr>
            <w:r>
              <w:rPr>
                <w:rFonts w:hint="eastAsia" w:ascii="宋体" w:hAnsi="宋体"/>
                <w:szCs w:val="21"/>
              </w:rPr>
              <w:t>288.08</w:t>
            </w:r>
          </w:p>
        </w:tc>
        <w:tc>
          <w:tcPr>
            <w:tcW w:w="1125" w:type="dxa"/>
            <w:noWrap w:val="0"/>
            <w:vAlign w:val="center"/>
          </w:tcPr>
          <w:p w14:paraId="458EF695">
            <w:pPr>
              <w:spacing w:line="240" w:lineRule="exact"/>
              <w:jc w:val="center"/>
              <w:rPr>
                <w:rFonts w:ascii="宋体" w:hAnsi="宋体"/>
                <w:szCs w:val="21"/>
              </w:rPr>
            </w:pPr>
          </w:p>
        </w:tc>
        <w:tc>
          <w:tcPr>
            <w:tcW w:w="1123" w:type="dxa"/>
            <w:noWrap w:val="0"/>
            <w:vAlign w:val="center"/>
          </w:tcPr>
          <w:p w14:paraId="1B88577E">
            <w:pPr>
              <w:spacing w:line="240" w:lineRule="exact"/>
              <w:jc w:val="center"/>
              <w:rPr>
                <w:rFonts w:hint="eastAsia" w:ascii="宋体" w:hAnsi="宋体"/>
                <w:szCs w:val="21"/>
              </w:rPr>
            </w:pPr>
            <w:r>
              <w:rPr>
                <w:rFonts w:hint="eastAsia" w:ascii="宋体" w:hAnsi="宋体"/>
                <w:szCs w:val="21"/>
              </w:rPr>
              <w:t>57.27</w:t>
            </w:r>
          </w:p>
        </w:tc>
        <w:tc>
          <w:tcPr>
            <w:tcW w:w="1388" w:type="dxa"/>
            <w:noWrap w:val="0"/>
            <w:vAlign w:val="center"/>
          </w:tcPr>
          <w:p w14:paraId="760DE709">
            <w:pPr>
              <w:spacing w:line="240" w:lineRule="exact"/>
              <w:jc w:val="center"/>
              <w:rPr>
                <w:rFonts w:hint="eastAsia" w:ascii="宋体" w:hAnsi="宋体"/>
                <w:szCs w:val="21"/>
              </w:rPr>
            </w:pPr>
            <w:r>
              <w:rPr>
                <w:rFonts w:hint="eastAsia" w:ascii="宋体" w:hAnsi="宋体"/>
                <w:szCs w:val="21"/>
              </w:rPr>
              <w:t>15.91</w:t>
            </w:r>
          </w:p>
        </w:tc>
        <w:tc>
          <w:tcPr>
            <w:tcW w:w="2318" w:type="dxa"/>
            <w:noWrap w:val="0"/>
            <w:vAlign w:val="center"/>
          </w:tcPr>
          <w:p w14:paraId="79425D0A">
            <w:pPr>
              <w:spacing w:line="240" w:lineRule="exact"/>
              <w:rPr>
                <w:rFonts w:hint="eastAsia" w:ascii="宋体" w:hAnsi="宋体"/>
                <w:szCs w:val="21"/>
              </w:rPr>
            </w:pPr>
          </w:p>
        </w:tc>
      </w:tr>
      <w:tr w14:paraId="0C648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1BAE2176">
            <w:pPr>
              <w:spacing w:line="240" w:lineRule="exact"/>
              <w:jc w:val="center"/>
              <w:rPr>
                <w:rFonts w:ascii="宋体" w:hAnsi="宋体"/>
                <w:szCs w:val="21"/>
              </w:rPr>
            </w:pPr>
            <w:r>
              <w:rPr>
                <w:rFonts w:ascii="宋体" w:hAnsi="宋体"/>
                <w:szCs w:val="21"/>
              </w:rPr>
              <w:t>9</w:t>
            </w:r>
          </w:p>
        </w:tc>
        <w:tc>
          <w:tcPr>
            <w:tcW w:w="2633" w:type="dxa"/>
            <w:noWrap w:val="0"/>
            <w:vAlign w:val="center"/>
          </w:tcPr>
          <w:p w14:paraId="5E475015">
            <w:pPr>
              <w:spacing w:line="240" w:lineRule="exact"/>
              <w:rPr>
                <w:rFonts w:hint="eastAsia" w:ascii="宋体" w:hAnsi="宋体"/>
                <w:szCs w:val="21"/>
              </w:rPr>
            </w:pPr>
            <w:r>
              <w:rPr>
                <w:rFonts w:hint="eastAsia" w:ascii="宋体" w:hAnsi="宋体"/>
                <w:szCs w:val="21"/>
              </w:rPr>
              <w:t>瓦斯抽放站冷却补充用水</w:t>
            </w:r>
          </w:p>
        </w:tc>
        <w:tc>
          <w:tcPr>
            <w:tcW w:w="782" w:type="dxa"/>
            <w:noWrap w:val="0"/>
            <w:vAlign w:val="center"/>
          </w:tcPr>
          <w:p w14:paraId="39D1FD6D">
            <w:pPr>
              <w:spacing w:line="240" w:lineRule="exact"/>
              <w:jc w:val="center"/>
              <w:rPr>
                <w:rFonts w:hint="eastAsia" w:ascii="宋体" w:hAnsi="宋体"/>
                <w:szCs w:val="21"/>
              </w:rPr>
            </w:pPr>
            <w:r>
              <w:rPr>
                <w:rFonts w:hint="eastAsia" w:ascii="宋体" w:hAnsi="宋体"/>
                <w:szCs w:val="21"/>
              </w:rPr>
              <w:t>16</w:t>
            </w:r>
          </w:p>
        </w:tc>
        <w:tc>
          <w:tcPr>
            <w:tcW w:w="856" w:type="dxa"/>
            <w:noWrap w:val="0"/>
            <w:vAlign w:val="center"/>
          </w:tcPr>
          <w:p w14:paraId="2BAFDB01">
            <w:pPr>
              <w:spacing w:line="240" w:lineRule="exact"/>
              <w:jc w:val="center"/>
              <w:rPr>
                <w:rFonts w:ascii="宋体" w:hAnsi="宋体"/>
                <w:szCs w:val="21"/>
              </w:rPr>
            </w:pPr>
          </w:p>
        </w:tc>
        <w:tc>
          <w:tcPr>
            <w:tcW w:w="835" w:type="dxa"/>
            <w:noWrap w:val="0"/>
            <w:vAlign w:val="center"/>
          </w:tcPr>
          <w:p w14:paraId="09E49DFA">
            <w:pPr>
              <w:spacing w:line="240" w:lineRule="exact"/>
              <w:jc w:val="center"/>
              <w:rPr>
                <w:rFonts w:ascii="宋体" w:hAnsi="宋体"/>
                <w:szCs w:val="21"/>
              </w:rPr>
            </w:pPr>
          </w:p>
        </w:tc>
        <w:tc>
          <w:tcPr>
            <w:tcW w:w="1459" w:type="dxa"/>
            <w:noWrap w:val="0"/>
            <w:vAlign w:val="center"/>
          </w:tcPr>
          <w:p w14:paraId="626E4856">
            <w:pPr>
              <w:spacing w:line="240" w:lineRule="exact"/>
              <w:rPr>
                <w:rFonts w:hint="eastAsia" w:ascii="宋体" w:hAnsi="宋体"/>
                <w:szCs w:val="21"/>
              </w:rPr>
            </w:pPr>
          </w:p>
        </w:tc>
        <w:tc>
          <w:tcPr>
            <w:tcW w:w="1125" w:type="dxa"/>
            <w:noWrap w:val="0"/>
            <w:vAlign w:val="center"/>
          </w:tcPr>
          <w:p w14:paraId="2A2F71E8">
            <w:pPr>
              <w:spacing w:line="240" w:lineRule="exact"/>
              <w:jc w:val="center"/>
              <w:rPr>
                <w:rFonts w:hint="eastAsia" w:ascii="宋体" w:hAnsi="宋体"/>
                <w:szCs w:val="21"/>
              </w:rPr>
            </w:pPr>
            <w:r>
              <w:rPr>
                <w:rFonts w:hint="eastAsia" w:ascii="宋体" w:hAnsi="宋体"/>
                <w:szCs w:val="21"/>
              </w:rPr>
              <w:t>24.00</w:t>
            </w:r>
          </w:p>
        </w:tc>
        <w:tc>
          <w:tcPr>
            <w:tcW w:w="1125" w:type="dxa"/>
            <w:noWrap w:val="0"/>
            <w:vAlign w:val="center"/>
          </w:tcPr>
          <w:p w14:paraId="1337C20B">
            <w:pPr>
              <w:spacing w:line="240" w:lineRule="exact"/>
              <w:jc w:val="center"/>
              <w:rPr>
                <w:rFonts w:ascii="宋体" w:hAnsi="宋体"/>
                <w:szCs w:val="21"/>
              </w:rPr>
            </w:pPr>
          </w:p>
        </w:tc>
        <w:tc>
          <w:tcPr>
            <w:tcW w:w="1123" w:type="dxa"/>
            <w:noWrap w:val="0"/>
            <w:vAlign w:val="center"/>
          </w:tcPr>
          <w:p w14:paraId="08A9379B">
            <w:pPr>
              <w:spacing w:line="240" w:lineRule="exact"/>
              <w:jc w:val="center"/>
              <w:rPr>
                <w:rFonts w:hint="eastAsia" w:ascii="宋体" w:hAnsi="宋体"/>
                <w:szCs w:val="21"/>
              </w:rPr>
            </w:pPr>
            <w:r>
              <w:rPr>
                <w:rFonts w:hint="eastAsia" w:ascii="宋体" w:hAnsi="宋体"/>
                <w:szCs w:val="21"/>
              </w:rPr>
              <w:t>1.5</w:t>
            </w:r>
          </w:p>
        </w:tc>
        <w:tc>
          <w:tcPr>
            <w:tcW w:w="1388" w:type="dxa"/>
            <w:noWrap w:val="0"/>
            <w:vAlign w:val="center"/>
          </w:tcPr>
          <w:p w14:paraId="07416F4C">
            <w:pPr>
              <w:spacing w:line="240" w:lineRule="exact"/>
              <w:jc w:val="center"/>
              <w:rPr>
                <w:rFonts w:hint="eastAsia" w:ascii="宋体" w:hAnsi="宋体"/>
                <w:szCs w:val="21"/>
              </w:rPr>
            </w:pPr>
            <w:r>
              <w:rPr>
                <w:rFonts w:hint="eastAsia" w:ascii="宋体" w:hAnsi="宋体"/>
                <w:szCs w:val="21"/>
              </w:rPr>
              <w:t>0.42</w:t>
            </w:r>
          </w:p>
        </w:tc>
        <w:tc>
          <w:tcPr>
            <w:tcW w:w="2318" w:type="dxa"/>
            <w:vMerge w:val="restart"/>
            <w:noWrap w:val="0"/>
            <w:vAlign w:val="center"/>
          </w:tcPr>
          <w:p w14:paraId="1FDB3D6E">
            <w:pPr>
              <w:spacing w:line="280" w:lineRule="exact"/>
              <w:jc w:val="center"/>
              <w:rPr>
                <w:rFonts w:ascii="宋体" w:hAnsi="宋体"/>
                <w:szCs w:val="21"/>
              </w:rPr>
            </w:pPr>
            <w:r>
              <w:rPr>
                <w:rFonts w:hint="eastAsia" w:ascii="宋体" w:hAnsi="宋体"/>
                <w:szCs w:val="21"/>
              </w:rPr>
              <w:t>包括10%的</w:t>
            </w:r>
          </w:p>
          <w:p w14:paraId="03D64B3D">
            <w:pPr>
              <w:spacing w:line="280" w:lineRule="exact"/>
              <w:jc w:val="center"/>
              <w:rPr>
                <w:rFonts w:hint="eastAsia" w:ascii="宋体" w:hAnsi="宋体"/>
                <w:szCs w:val="21"/>
              </w:rPr>
            </w:pPr>
            <w:r>
              <w:rPr>
                <w:rFonts w:hint="eastAsia" w:ascii="宋体" w:hAnsi="宋体"/>
                <w:szCs w:val="21"/>
              </w:rPr>
              <w:t>未预见水量</w:t>
            </w:r>
          </w:p>
        </w:tc>
      </w:tr>
      <w:tr w14:paraId="143F9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6575A922">
            <w:pPr>
              <w:spacing w:line="240" w:lineRule="exact"/>
              <w:jc w:val="center"/>
              <w:rPr>
                <w:rFonts w:ascii="宋体" w:hAnsi="宋体"/>
                <w:szCs w:val="21"/>
              </w:rPr>
            </w:pPr>
            <w:r>
              <w:rPr>
                <w:rFonts w:ascii="宋体" w:hAnsi="宋体"/>
                <w:szCs w:val="21"/>
              </w:rPr>
              <w:t>10</w:t>
            </w:r>
          </w:p>
        </w:tc>
        <w:tc>
          <w:tcPr>
            <w:tcW w:w="2633" w:type="dxa"/>
            <w:noWrap w:val="0"/>
            <w:vAlign w:val="center"/>
          </w:tcPr>
          <w:p w14:paraId="657BA946">
            <w:pPr>
              <w:spacing w:line="240" w:lineRule="exact"/>
              <w:rPr>
                <w:rFonts w:hint="eastAsia" w:ascii="宋体" w:hAnsi="宋体"/>
                <w:szCs w:val="21"/>
              </w:rPr>
            </w:pPr>
            <w:r>
              <w:rPr>
                <w:rFonts w:hint="eastAsia" w:ascii="宋体" w:hAnsi="宋体"/>
                <w:szCs w:val="21"/>
              </w:rPr>
              <w:t>筛分楼生产用水</w:t>
            </w:r>
          </w:p>
        </w:tc>
        <w:tc>
          <w:tcPr>
            <w:tcW w:w="782" w:type="dxa"/>
            <w:noWrap w:val="0"/>
            <w:vAlign w:val="center"/>
          </w:tcPr>
          <w:p w14:paraId="6D540EB2">
            <w:pPr>
              <w:spacing w:line="240" w:lineRule="exact"/>
              <w:jc w:val="center"/>
              <w:rPr>
                <w:rFonts w:hint="eastAsia" w:ascii="宋体" w:hAnsi="宋体"/>
                <w:szCs w:val="21"/>
              </w:rPr>
            </w:pPr>
            <w:r>
              <w:rPr>
                <w:rFonts w:hint="eastAsia" w:ascii="宋体" w:hAnsi="宋体"/>
                <w:szCs w:val="21"/>
              </w:rPr>
              <w:t>14</w:t>
            </w:r>
          </w:p>
        </w:tc>
        <w:tc>
          <w:tcPr>
            <w:tcW w:w="856" w:type="dxa"/>
            <w:noWrap w:val="0"/>
            <w:vAlign w:val="center"/>
          </w:tcPr>
          <w:p w14:paraId="7B9C7F00">
            <w:pPr>
              <w:spacing w:line="240" w:lineRule="exact"/>
              <w:jc w:val="center"/>
              <w:rPr>
                <w:rFonts w:ascii="宋体" w:hAnsi="宋体"/>
                <w:szCs w:val="21"/>
              </w:rPr>
            </w:pPr>
          </w:p>
        </w:tc>
        <w:tc>
          <w:tcPr>
            <w:tcW w:w="835" w:type="dxa"/>
            <w:noWrap w:val="0"/>
            <w:vAlign w:val="center"/>
          </w:tcPr>
          <w:p w14:paraId="1731F532">
            <w:pPr>
              <w:spacing w:line="240" w:lineRule="exact"/>
              <w:jc w:val="center"/>
              <w:rPr>
                <w:rFonts w:ascii="宋体" w:hAnsi="宋体"/>
                <w:szCs w:val="21"/>
              </w:rPr>
            </w:pPr>
          </w:p>
        </w:tc>
        <w:tc>
          <w:tcPr>
            <w:tcW w:w="1459" w:type="dxa"/>
            <w:noWrap w:val="0"/>
            <w:vAlign w:val="center"/>
          </w:tcPr>
          <w:p w14:paraId="0AF39685">
            <w:pPr>
              <w:spacing w:line="240" w:lineRule="exact"/>
              <w:rPr>
                <w:rFonts w:hint="eastAsia" w:ascii="宋体" w:hAnsi="宋体"/>
                <w:szCs w:val="21"/>
              </w:rPr>
            </w:pPr>
            <w:r>
              <w:rPr>
                <w:rFonts w:hint="eastAsia" w:ascii="宋体" w:hAnsi="宋体"/>
                <w:szCs w:val="21"/>
              </w:rPr>
              <w:t>0.03</w:t>
            </w:r>
            <w:r>
              <w:rPr>
                <w:rFonts w:ascii="宋体" w:hAnsi="宋体"/>
                <w:szCs w:val="21"/>
              </w:rPr>
              <w:t>m</w:t>
            </w:r>
            <w:r>
              <w:rPr>
                <w:rFonts w:ascii="宋体" w:hAnsi="宋体"/>
                <w:szCs w:val="21"/>
                <w:vertAlign w:val="superscript"/>
              </w:rPr>
              <w:t>3</w:t>
            </w:r>
            <w:r>
              <w:rPr>
                <w:rFonts w:ascii="宋体" w:hAnsi="宋体"/>
                <w:szCs w:val="21"/>
              </w:rPr>
              <w:t>/t</w:t>
            </w:r>
            <w:r>
              <w:rPr>
                <w:rFonts w:hint="eastAsia" w:ascii="宋体" w:hAnsi="宋体"/>
                <w:szCs w:val="21"/>
              </w:rPr>
              <w:t>原煤</w:t>
            </w:r>
          </w:p>
        </w:tc>
        <w:tc>
          <w:tcPr>
            <w:tcW w:w="1125" w:type="dxa"/>
            <w:noWrap w:val="0"/>
            <w:vAlign w:val="center"/>
          </w:tcPr>
          <w:p w14:paraId="73626123">
            <w:pPr>
              <w:spacing w:line="240" w:lineRule="exact"/>
              <w:jc w:val="center"/>
              <w:rPr>
                <w:rFonts w:hint="eastAsia" w:ascii="宋体" w:hAnsi="宋体"/>
                <w:szCs w:val="21"/>
              </w:rPr>
            </w:pPr>
            <w:r>
              <w:rPr>
                <w:rFonts w:hint="eastAsia" w:ascii="宋体" w:hAnsi="宋体"/>
                <w:szCs w:val="21"/>
              </w:rPr>
              <w:t>32.73</w:t>
            </w:r>
          </w:p>
        </w:tc>
        <w:tc>
          <w:tcPr>
            <w:tcW w:w="1125" w:type="dxa"/>
            <w:noWrap w:val="0"/>
            <w:vAlign w:val="center"/>
          </w:tcPr>
          <w:p w14:paraId="77852AF7">
            <w:pPr>
              <w:spacing w:line="240" w:lineRule="exact"/>
              <w:jc w:val="center"/>
              <w:rPr>
                <w:rFonts w:ascii="宋体" w:hAnsi="宋体"/>
                <w:szCs w:val="21"/>
              </w:rPr>
            </w:pPr>
          </w:p>
        </w:tc>
        <w:tc>
          <w:tcPr>
            <w:tcW w:w="1123" w:type="dxa"/>
            <w:noWrap w:val="0"/>
            <w:vAlign w:val="center"/>
          </w:tcPr>
          <w:p w14:paraId="3B224CE3">
            <w:pPr>
              <w:spacing w:line="240" w:lineRule="exact"/>
              <w:jc w:val="center"/>
              <w:rPr>
                <w:rFonts w:hint="eastAsia" w:ascii="宋体" w:hAnsi="宋体"/>
                <w:szCs w:val="21"/>
              </w:rPr>
            </w:pPr>
            <w:r>
              <w:rPr>
                <w:rFonts w:hint="eastAsia" w:ascii="宋体" w:hAnsi="宋体"/>
                <w:szCs w:val="21"/>
              </w:rPr>
              <w:t>2.34</w:t>
            </w:r>
          </w:p>
        </w:tc>
        <w:tc>
          <w:tcPr>
            <w:tcW w:w="1388" w:type="dxa"/>
            <w:noWrap w:val="0"/>
            <w:vAlign w:val="center"/>
          </w:tcPr>
          <w:p w14:paraId="6CE553FD">
            <w:pPr>
              <w:spacing w:line="240" w:lineRule="exact"/>
              <w:jc w:val="center"/>
              <w:rPr>
                <w:rFonts w:hint="eastAsia" w:ascii="宋体" w:hAnsi="宋体"/>
                <w:szCs w:val="21"/>
              </w:rPr>
            </w:pPr>
            <w:r>
              <w:rPr>
                <w:rFonts w:hint="eastAsia" w:ascii="宋体" w:hAnsi="宋体"/>
                <w:szCs w:val="21"/>
              </w:rPr>
              <w:t>0.65</w:t>
            </w:r>
          </w:p>
        </w:tc>
        <w:tc>
          <w:tcPr>
            <w:tcW w:w="2318" w:type="dxa"/>
            <w:vMerge w:val="continue"/>
            <w:noWrap w:val="0"/>
            <w:vAlign w:val="center"/>
          </w:tcPr>
          <w:p w14:paraId="040103A8">
            <w:pPr>
              <w:spacing w:line="240" w:lineRule="exact"/>
              <w:jc w:val="center"/>
              <w:rPr>
                <w:rFonts w:hint="eastAsia" w:ascii="宋体" w:hAnsi="宋体"/>
                <w:szCs w:val="21"/>
              </w:rPr>
            </w:pPr>
          </w:p>
        </w:tc>
      </w:tr>
      <w:tr w14:paraId="460BF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6AC63C6B">
            <w:pPr>
              <w:spacing w:line="240" w:lineRule="exact"/>
              <w:jc w:val="center"/>
              <w:rPr>
                <w:rFonts w:ascii="宋体" w:hAnsi="宋体"/>
                <w:szCs w:val="21"/>
              </w:rPr>
            </w:pPr>
            <w:r>
              <w:rPr>
                <w:rFonts w:ascii="宋体" w:hAnsi="宋体"/>
                <w:szCs w:val="21"/>
              </w:rPr>
              <w:t>11</w:t>
            </w:r>
          </w:p>
        </w:tc>
        <w:tc>
          <w:tcPr>
            <w:tcW w:w="2633" w:type="dxa"/>
            <w:noWrap w:val="0"/>
            <w:vAlign w:val="center"/>
          </w:tcPr>
          <w:p w14:paraId="0F509A5D">
            <w:pPr>
              <w:spacing w:line="240" w:lineRule="exact"/>
              <w:rPr>
                <w:rFonts w:hint="eastAsia" w:ascii="宋体" w:hAnsi="宋体"/>
                <w:szCs w:val="21"/>
              </w:rPr>
            </w:pPr>
            <w:r>
              <w:rPr>
                <w:rFonts w:hint="eastAsia" w:ascii="宋体" w:hAnsi="宋体"/>
                <w:szCs w:val="21"/>
              </w:rPr>
              <w:t>井下防尘洒水</w:t>
            </w:r>
          </w:p>
        </w:tc>
        <w:tc>
          <w:tcPr>
            <w:tcW w:w="782" w:type="dxa"/>
            <w:noWrap w:val="0"/>
            <w:vAlign w:val="center"/>
          </w:tcPr>
          <w:p w14:paraId="15BDB006">
            <w:pPr>
              <w:spacing w:line="240" w:lineRule="exact"/>
              <w:jc w:val="center"/>
              <w:rPr>
                <w:rFonts w:hint="eastAsia" w:ascii="宋体" w:hAnsi="宋体"/>
                <w:szCs w:val="21"/>
              </w:rPr>
            </w:pPr>
            <w:r>
              <w:rPr>
                <w:rFonts w:ascii="宋体" w:hAnsi="宋体"/>
                <w:szCs w:val="21"/>
              </w:rPr>
              <w:t>1</w:t>
            </w:r>
            <w:r>
              <w:rPr>
                <w:rFonts w:hint="eastAsia" w:ascii="宋体" w:hAnsi="宋体"/>
                <w:szCs w:val="21"/>
              </w:rPr>
              <w:t>6</w:t>
            </w:r>
          </w:p>
        </w:tc>
        <w:tc>
          <w:tcPr>
            <w:tcW w:w="856" w:type="dxa"/>
            <w:noWrap w:val="0"/>
            <w:vAlign w:val="center"/>
          </w:tcPr>
          <w:p w14:paraId="51170358">
            <w:pPr>
              <w:spacing w:line="240" w:lineRule="exact"/>
              <w:jc w:val="center"/>
              <w:rPr>
                <w:rFonts w:ascii="宋体" w:hAnsi="宋体"/>
                <w:szCs w:val="21"/>
              </w:rPr>
            </w:pPr>
          </w:p>
        </w:tc>
        <w:tc>
          <w:tcPr>
            <w:tcW w:w="835" w:type="dxa"/>
            <w:noWrap w:val="0"/>
            <w:vAlign w:val="center"/>
          </w:tcPr>
          <w:p w14:paraId="260E7EFC">
            <w:pPr>
              <w:spacing w:line="240" w:lineRule="exact"/>
              <w:jc w:val="center"/>
              <w:rPr>
                <w:rFonts w:ascii="宋体" w:hAnsi="宋体"/>
                <w:szCs w:val="21"/>
              </w:rPr>
            </w:pPr>
          </w:p>
        </w:tc>
        <w:tc>
          <w:tcPr>
            <w:tcW w:w="1459" w:type="dxa"/>
            <w:noWrap w:val="0"/>
            <w:vAlign w:val="center"/>
          </w:tcPr>
          <w:p w14:paraId="74CA6C1D">
            <w:pPr>
              <w:spacing w:line="240" w:lineRule="exact"/>
              <w:rPr>
                <w:rFonts w:hint="eastAsia" w:ascii="宋体" w:hAnsi="宋体"/>
                <w:szCs w:val="21"/>
              </w:rPr>
            </w:pPr>
            <w:r>
              <w:rPr>
                <w:rFonts w:hint="eastAsia" w:ascii="宋体" w:hAnsi="宋体"/>
                <w:spacing w:val="0"/>
                <w:w w:val="77"/>
                <w:kern w:val="0"/>
                <w:szCs w:val="21"/>
                <w:fitText w:val="1092" w:id="426385555"/>
              </w:rPr>
              <w:t>消防时10.5</w:t>
            </w:r>
            <w:r>
              <w:rPr>
                <w:rFonts w:ascii="宋体" w:hAnsi="宋体"/>
                <w:spacing w:val="0"/>
                <w:w w:val="77"/>
                <w:kern w:val="0"/>
                <w:szCs w:val="21"/>
                <w:fitText w:val="1092" w:id="426385555"/>
              </w:rPr>
              <w:t>L/</w:t>
            </w:r>
            <w:r>
              <w:rPr>
                <w:rFonts w:ascii="宋体" w:hAnsi="宋体"/>
                <w:spacing w:val="3"/>
                <w:w w:val="77"/>
                <w:kern w:val="0"/>
                <w:szCs w:val="21"/>
                <w:fitText w:val="1092" w:id="426385555"/>
              </w:rPr>
              <w:t>S</w:t>
            </w:r>
          </w:p>
        </w:tc>
        <w:tc>
          <w:tcPr>
            <w:tcW w:w="1125" w:type="dxa"/>
            <w:noWrap w:val="0"/>
            <w:vAlign w:val="center"/>
          </w:tcPr>
          <w:p w14:paraId="514AE0FA">
            <w:pPr>
              <w:spacing w:line="240" w:lineRule="exact"/>
              <w:jc w:val="center"/>
              <w:rPr>
                <w:rFonts w:hint="eastAsia" w:ascii="宋体" w:hAnsi="宋体"/>
                <w:szCs w:val="21"/>
              </w:rPr>
            </w:pPr>
            <w:r>
              <w:rPr>
                <w:rFonts w:hint="eastAsia" w:ascii="宋体" w:hAnsi="宋体"/>
                <w:szCs w:val="21"/>
              </w:rPr>
              <w:t>361.62</w:t>
            </w:r>
          </w:p>
        </w:tc>
        <w:tc>
          <w:tcPr>
            <w:tcW w:w="1125" w:type="dxa"/>
            <w:noWrap w:val="0"/>
            <w:vAlign w:val="center"/>
          </w:tcPr>
          <w:p w14:paraId="3349B0AD">
            <w:pPr>
              <w:spacing w:line="240" w:lineRule="exact"/>
              <w:jc w:val="center"/>
              <w:rPr>
                <w:rFonts w:ascii="宋体" w:hAnsi="宋体"/>
                <w:szCs w:val="21"/>
              </w:rPr>
            </w:pPr>
          </w:p>
        </w:tc>
        <w:tc>
          <w:tcPr>
            <w:tcW w:w="1123" w:type="dxa"/>
            <w:noWrap w:val="0"/>
            <w:vAlign w:val="center"/>
          </w:tcPr>
          <w:p w14:paraId="1B875635">
            <w:pPr>
              <w:spacing w:line="240" w:lineRule="exact"/>
              <w:jc w:val="center"/>
              <w:rPr>
                <w:rFonts w:hint="eastAsia" w:ascii="宋体" w:hAnsi="宋体"/>
                <w:szCs w:val="21"/>
              </w:rPr>
            </w:pPr>
            <w:r>
              <w:rPr>
                <w:rFonts w:hint="eastAsia" w:ascii="宋体" w:hAnsi="宋体"/>
                <w:szCs w:val="21"/>
              </w:rPr>
              <w:t>41.13</w:t>
            </w:r>
          </w:p>
        </w:tc>
        <w:tc>
          <w:tcPr>
            <w:tcW w:w="1388" w:type="dxa"/>
            <w:noWrap w:val="0"/>
            <w:vAlign w:val="center"/>
          </w:tcPr>
          <w:p w14:paraId="716A8D04">
            <w:pPr>
              <w:spacing w:line="240" w:lineRule="exact"/>
              <w:jc w:val="center"/>
              <w:rPr>
                <w:rFonts w:hint="eastAsia" w:ascii="宋体" w:hAnsi="宋体"/>
                <w:szCs w:val="21"/>
              </w:rPr>
            </w:pPr>
            <w:r>
              <w:rPr>
                <w:rFonts w:hint="eastAsia" w:ascii="宋体" w:hAnsi="宋体"/>
                <w:szCs w:val="21"/>
              </w:rPr>
              <w:t>11.43</w:t>
            </w:r>
          </w:p>
        </w:tc>
        <w:tc>
          <w:tcPr>
            <w:tcW w:w="2318" w:type="dxa"/>
            <w:noWrap w:val="0"/>
            <w:vAlign w:val="center"/>
          </w:tcPr>
          <w:p w14:paraId="358AF272">
            <w:pPr>
              <w:spacing w:line="240" w:lineRule="exact"/>
              <w:jc w:val="center"/>
              <w:rPr>
                <w:rFonts w:ascii="宋体" w:hAnsi="宋体"/>
                <w:szCs w:val="21"/>
              </w:rPr>
            </w:pPr>
            <w:r>
              <w:rPr>
                <w:rFonts w:hint="eastAsia" w:ascii="宋体" w:hAnsi="宋体"/>
                <w:szCs w:val="21"/>
              </w:rPr>
              <w:t>包括20%的</w:t>
            </w:r>
          </w:p>
          <w:p w14:paraId="37E18999">
            <w:pPr>
              <w:spacing w:line="240" w:lineRule="exact"/>
              <w:jc w:val="center"/>
              <w:rPr>
                <w:rFonts w:hint="eastAsia" w:ascii="宋体" w:hAnsi="宋体"/>
                <w:szCs w:val="21"/>
              </w:rPr>
            </w:pPr>
            <w:r>
              <w:rPr>
                <w:rFonts w:hint="eastAsia" w:ascii="宋体" w:hAnsi="宋体"/>
                <w:szCs w:val="21"/>
              </w:rPr>
              <w:t>未预见水量</w:t>
            </w:r>
          </w:p>
        </w:tc>
      </w:tr>
      <w:tr w14:paraId="2D328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74BFB172">
            <w:pPr>
              <w:spacing w:line="240" w:lineRule="exact"/>
              <w:jc w:val="center"/>
              <w:rPr>
                <w:rFonts w:ascii="宋体" w:hAnsi="宋体"/>
                <w:szCs w:val="21"/>
              </w:rPr>
            </w:pPr>
            <w:r>
              <w:rPr>
                <w:rFonts w:ascii="宋体" w:hAnsi="宋体"/>
                <w:szCs w:val="21"/>
              </w:rPr>
              <w:t>12</w:t>
            </w:r>
          </w:p>
        </w:tc>
        <w:tc>
          <w:tcPr>
            <w:tcW w:w="2633" w:type="dxa"/>
            <w:noWrap w:val="0"/>
            <w:vAlign w:val="center"/>
          </w:tcPr>
          <w:p w14:paraId="5353F6A4">
            <w:pPr>
              <w:spacing w:line="240" w:lineRule="exact"/>
              <w:rPr>
                <w:rFonts w:hint="eastAsia" w:ascii="宋体" w:hAnsi="宋体"/>
                <w:szCs w:val="21"/>
              </w:rPr>
            </w:pPr>
            <w:r>
              <w:rPr>
                <w:rFonts w:hint="eastAsia" w:ascii="宋体" w:hAnsi="宋体"/>
                <w:szCs w:val="21"/>
              </w:rPr>
              <w:t>消防用水</w:t>
            </w:r>
          </w:p>
        </w:tc>
        <w:tc>
          <w:tcPr>
            <w:tcW w:w="782" w:type="dxa"/>
            <w:noWrap w:val="0"/>
            <w:vAlign w:val="center"/>
          </w:tcPr>
          <w:p w14:paraId="7C92F068">
            <w:pPr>
              <w:spacing w:line="240" w:lineRule="exact"/>
              <w:jc w:val="center"/>
              <w:rPr>
                <w:rFonts w:hint="eastAsia" w:ascii="宋体" w:hAnsi="宋体"/>
                <w:szCs w:val="21"/>
              </w:rPr>
            </w:pPr>
          </w:p>
        </w:tc>
        <w:tc>
          <w:tcPr>
            <w:tcW w:w="856" w:type="dxa"/>
            <w:noWrap w:val="0"/>
            <w:vAlign w:val="center"/>
          </w:tcPr>
          <w:p w14:paraId="22FD20AC">
            <w:pPr>
              <w:spacing w:line="240" w:lineRule="exact"/>
              <w:jc w:val="center"/>
              <w:rPr>
                <w:rFonts w:ascii="宋体" w:hAnsi="宋体"/>
                <w:szCs w:val="21"/>
              </w:rPr>
            </w:pPr>
          </w:p>
        </w:tc>
        <w:tc>
          <w:tcPr>
            <w:tcW w:w="835" w:type="dxa"/>
            <w:noWrap w:val="0"/>
            <w:vAlign w:val="center"/>
          </w:tcPr>
          <w:p w14:paraId="6D88AE81">
            <w:pPr>
              <w:spacing w:line="240" w:lineRule="exact"/>
              <w:jc w:val="center"/>
              <w:rPr>
                <w:rFonts w:ascii="宋体" w:hAnsi="宋体"/>
                <w:szCs w:val="21"/>
              </w:rPr>
            </w:pPr>
          </w:p>
        </w:tc>
        <w:tc>
          <w:tcPr>
            <w:tcW w:w="1459" w:type="dxa"/>
            <w:noWrap w:val="0"/>
            <w:vAlign w:val="center"/>
          </w:tcPr>
          <w:p w14:paraId="206A74D0">
            <w:pPr>
              <w:spacing w:line="240" w:lineRule="exact"/>
              <w:rPr>
                <w:rFonts w:hint="eastAsia" w:ascii="宋体" w:hAnsi="宋体"/>
                <w:szCs w:val="21"/>
              </w:rPr>
            </w:pPr>
            <w:r>
              <w:rPr>
                <w:rFonts w:hint="eastAsia" w:ascii="宋体" w:hAnsi="宋体"/>
                <w:szCs w:val="21"/>
              </w:rPr>
              <w:t>室外</w:t>
            </w:r>
            <w:r>
              <w:rPr>
                <w:rFonts w:ascii="宋体" w:hAnsi="宋体"/>
                <w:szCs w:val="21"/>
              </w:rPr>
              <w:t>20L/S</w:t>
            </w:r>
          </w:p>
          <w:p w14:paraId="5C74EA4E">
            <w:pPr>
              <w:spacing w:line="240" w:lineRule="exact"/>
              <w:rPr>
                <w:rFonts w:ascii="宋体" w:hAnsi="宋体"/>
                <w:szCs w:val="21"/>
              </w:rPr>
            </w:pPr>
            <w:r>
              <w:rPr>
                <w:rFonts w:hint="eastAsia" w:ascii="宋体" w:hAnsi="宋体"/>
                <w:szCs w:val="21"/>
              </w:rPr>
              <w:t>室内5</w:t>
            </w:r>
            <w:r>
              <w:rPr>
                <w:rFonts w:ascii="宋体" w:hAnsi="宋体"/>
                <w:szCs w:val="21"/>
              </w:rPr>
              <w:t>L/S</w:t>
            </w:r>
          </w:p>
        </w:tc>
        <w:tc>
          <w:tcPr>
            <w:tcW w:w="1125" w:type="dxa"/>
            <w:noWrap w:val="0"/>
            <w:vAlign w:val="center"/>
          </w:tcPr>
          <w:p w14:paraId="7943A280">
            <w:pPr>
              <w:spacing w:line="240" w:lineRule="exact"/>
              <w:jc w:val="center"/>
              <w:rPr>
                <w:rFonts w:hint="eastAsia" w:ascii="宋体" w:hAnsi="宋体"/>
                <w:szCs w:val="21"/>
              </w:rPr>
            </w:pPr>
            <w:r>
              <w:rPr>
                <w:rFonts w:hint="eastAsia" w:ascii="宋体" w:hAnsi="宋体"/>
                <w:szCs w:val="21"/>
              </w:rPr>
              <w:t>324</w:t>
            </w:r>
          </w:p>
        </w:tc>
        <w:tc>
          <w:tcPr>
            <w:tcW w:w="1125" w:type="dxa"/>
            <w:noWrap w:val="0"/>
            <w:vAlign w:val="center"/>
          </w:tcPr>
          <w:p w14:paraId="4205DB08">
            <w:pPr>
              <w:spacing w:line="240" w:lineRule="exact"/>
              <w:jc w:val="center"/>
              <w:rPr>
                <w:rFonts w:ascii="宋体" w:hAnsi="宋体"/>
                <w:szCs w:val="21"/>
              </w:rPr>
            </w:pPr>
          </w:p>
        </w:tc>
        <w:tc>
          <w:tcPr>
            <w:tcW w:w="1123" w:type="dxa"/>
            <w:noWrap w:val="0"/>
            <w:vAlign w:val="center"/>
          </w:tcPr>
          <w:p w14:paraId="211D2358">
            <w:pPr>
              <w:spacing w:line="240" w:lineRule="exact"/>
              <w:jc w:val="center"/>
              <w:rPr>
                <w:rFonts w:hint="eastAsia" w:ascii="宋体" w:hAnsi="宋体"/>
                <w:szCs w:val="21"/>
              </w:rPr>
            </w:pPr>
            <w:r>
              <w:rPr>
                <w:rFonts w:hint="eastAsia" w:ascii="宋体" w:hAnsi="宋体"/>
                <w:szCs w:val="21"/>
              </w:rPr>
              <w:t>6.75</w:t>
            </w:r>
          </w:p>
        </w:tc>
        <w:tc>
          <w:tcPr>
            <w:tcW w:w="1388" w:type="dxa"/>
            <w:noWrap w:val="0"/>
            <w:vAlign w:val="center"/>
          </w:tcPr>
          <w:p w14:paraId="2457D217">
            <w:pPr>
              <w:spacing w:line="240" w:lineRule="exact"/>
              <w:jc w:val="center"/>
              <w:rPr>
                <w:rFonts w:hint="eastAsia" w:ascii="宋体" w:hAnsi="宋体"/>
                <w:szCs w:val="21"/>
              </w:rPr>
            </w:pPr>
            <w:r>
              <w:rPr>
                <w:rFonts w:hint="eastAsia" w:ascii="宋体" w:hAnsi="宋体"/>
                <w:szCs w:val="21"/>
              </w:rPr>
              <w:t>1.88</w:t>
            </w:r>
          </w:p>
        </w:tc>
        <w:tc>
          <w:tcPr>
            <w:tcW w:w="2318" w:type="dxa"/>
            <w:noWrap w:val="0"/>
            <w:vAlign w:val="center"/>
          </w:tcPr>
          <w:p w14:paraId="790DC70F">
            <w:pPr>
              <w:spacing w:line="240" w:lineRule="exact"/>
              <w:rPr>
                <w:rFonts w:ascii="宋体" w:hAnsi="宋体"/>
                <w:szCs w:val="21"/>
              </w:rPr>
            </w:pPr>
            <w:r>
              <w:rPr>
                <w:rFonts w:hint="eastAsia" w:ascii="宋体" w:hAnsi="宋体"/>
                <w:szCs w:val="21"/>
              </w:rPr>
              <w:t>补充水时间按48</w:t>
            </w:r>
            <w:r>
              <w:rPr>
                <w:rFonts w:ascii="宋体" w:hAnsi="宋体"/>
                <w:szCs w:val="21"/>
              </w:rPr>
              <w:t>h</w:t>
            </w:r>
            <w:r>
              <w:rPr>
                <w:rFonts w:hint="eastAsia" w:ascii="宋体" w:hAnsi="宋体"/>
                <w:szCs w:val="21"/>
              </w:rPr>
              <w:t>计</w:t>
            </w:r>
          </w:p>
        </w:tc>
      </w:tr>
      <w:tr w14:paraId="0F663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7508CEB9">
            <w:pPr>
              <w:spacing w:line="240" w:lineRule="exact"/>
              <w:jc w:val="center"/>
              <w:rPr>
                <w:rFonts w:hint="eastAsia" w:ascii="宋体" w:hAnsi="宋体"/>
                <w:szCs w:val="21"/>
              </w:rPr>
            </w:pPr>
          </w:p>
        </w:tc>
        <w:tc>
          <w:tcPr>
            <w:tcW w:w="2633" w:type="dxa"/>
            <w:noWrap w:val="0"/>
            <w:vAlign w:val="center"/>
          </w:tcPr>
          <w:p w14:paraId="171EB56A">
            <w:pPr>
              <w:spacing w:line="240" w:lineRule="exact"/>
              <w:rPr>
                <w:rFonts w:hint="eastAsia" w:ascii="宋体" w:hAnsi="宋体"/>
                <w:szCs w:val="21"/>
              </w:rPr>
            </w:pPr>
          </w:p>
        </w:tc>
        <w:tc>
          <w:tcPr>
            <w:tcW w:w="782" w:type="dxa"/>
            <w:noWrap w:val="0"/>
            <w:vAlign w:val="center"/>
          </w:tcPr>
          <w:p w14:paraId="6767AE24">
            <w:pPr>
              <w:spacing w:line="240" w:lineRule="exact"/>
              <w:jc w:val="center"/>
              <w:rPr>
                <w:rFonts w:hint="eastAsia" w:ascii="宋体" w:hAnsi="宋体"/>
                <w:szCs w:val="21"/>
              </w:rPr>
            </w:pPr>
          </w:p>
        </w:tc>
        <w:tc>
          <w:tcPr>
            <w:tcW w:w="856" w:type="dxa"/>
            <w:noWrap w:val="0"/>
            <w:vAlign w:val="center"/>
          </w:tcPr>
          <w:p w14:paraId="493B6431">
            <w:pPr>
              <w:spacing w:line="240" w:lineRule="exact"/>
              <w:jc w:val="center"/>
              <w:rPr>
                <w:rFonts w:ascii="宋体" w:hAnsi="宋体"/>
                <w:szCs w:val="21"/>
              </w:rPr>
            </w:pPr>
          </w:p>
        </w:tc>
        <w:tc>
          <w:tcPr>
            <w:tcW w:w="835" w:type="dxa"/>
            <w:noWrap w:val="0"/>
            <w:vAlign w:val="center"/>
          </w:tcPr>
          <w:p w14:paraId="04962A35">
            <w:pPr>
              <w:spacing w:line="240" w:lineRule="exact"/>
              <w:jc w:val="center"/>
              <w:rPr>
                <w:rFonts w:ascii="宋体" w:hAnsi="宋体"/>
                <w:szCs w:val="21"/>
              </w:rPr>
            </w:pPr>
          </w:p>
        </w:tc>
        <w:tc>
          <w:tcPr>
            <w:tcW w:w="1459" w:type="dxa"/>
            <w:noWrap w:val="0"/>
            <w:vAlign w:val="center"/>
          </w:tcPr>
          <w:p w14:paraId="0B90C608">
            <w:pPr>
              <w:spacing w:line="240" w:lineRule="exact"/>
              <w:jc w:val="center"/>
              <w:rPr>
                <w:rFonts w:ascii="宋体" w:hAnsi="宋体"/>
                <w:szCs w:val="21"/>
              </w:rPr>
            </w:pPr>
          </w:p>
        </w:tc>
        <w:tc>
          <w:tcPr>
            <w:tcW w:w="1125" w:type="dxa"/>
            <w:noWrap w:val="0"/>
            <w:vAlign w:val="center"/>
          </w:tcPr>
          <w:p w14:paraId="4E2CD216">
            <w:pPr>
              <w:spacing w:line="240" w:lineRule="exact"/>
              <w:jc w:val="center"/>
              <w:rPr>
                <w:rFonts w:ascii="宋体" w:hAnsi="宋体"/>
                <w:szCs w:val="21"/>
              </w:rPr>
            </w:pPr>
          </w:p>
        </w:tc>
        <w:tc>
          <w:tcPr>
            <w:tcW w:w="1125" w:type="dxa"/>
            <w:noWrap w:val="0"/>
            <w:vAlign w:val="center"/>
          </w:tcPr>
          <w:p w14:paraId="514DA8A7">
            <w:pPr>
              <w:spacing w:line="240" w:lineRule="exact"/>
              <w:jc w:val="center"/>
              <w:rPr>
                <w:rFonts w:ascii="宋体" w:hAnsi="宋体"/>
                <w:szCs w:val="21"/>
              </w:rPr>
            </w:pPr>
          </w:p>
        </w:tc>
        <w:tc>
          <w:tcPr>
            <w:tcW w:w="1123" w:type="dxa"/>
            <w:noWrap w:val="0"/>
            <w:vAlign w:val="center"/>
          </w:tcPr>
          <w:p w14:paraId="74BA4AED">
            <w:pPr>
              <w:spacing w:line="240" w:lineRule="exact"/>
              <w:jc w:val="center"/>
              <w:rPr>
                <w:rFonts w:ascii="宋体" w:hAnsi="宋体"/>
                <w:szCs w:val="21"/>
              </w:rPr>
            </w:pPr>
          </w:p>
        </w:tc>
        <w:tc>
          <w:tcPr>
            <w:tcW w:w="1388" w:type="dxa"/>
            <w:noWrap w:val="0"/>
            <w:vAlign w:val="center"/>
          </w:tcPr>
          <w:p w14:paraId="1968A735">
            <w:pPr>
              <w:spacing w:line="240" w:lineRule="exact"/>
              <w:jc w:val="center"/>
              <w:rPr>
                <w:rFonts w:ascii="宋体" w:hAnsi="宋体"/>
                <w:szCs w:val="21"/>
              </w:rPr>
            </w:pPr>
          </w:p>
        </w:tc>
        <w:tc>
          <w:tcPr>
            <w:tcW w:w="2318" w:type="dxa"/>
            <w:noWrap w:val="0"/>
            <w:vAlign w:val="center"/>
          </w:tcPr>
          <w:p w14:paraId="5C490924">
            <w:pPr>
              <w:spacing w:line="240" w:lineRule="exact"/>
              <w:rPr>
                <w:rFonts w:hint="eastAsia" w:ascii="宋体" w:hAnsi="宋体"/>
                <w:szCs w:val="21"/>
              </w:rPr>
            </w:pPr>
          </w:p>
        </w:tc>
      </w:tr>
      <w:tr w14:paraId="3E316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8" w:hRule="atLeast"/>
          <w:jc w:val="center"/>
        </w:trPr>
        <w:tc>
          <w:tcPr>
            <w:tcW w:w="561" w:type="dxa"/>
            <w:noWrap w:val="0"/>
            <w:vAlign w:val="center"/>
          </w:tcPr>
          <w:p w14:paraId="33AA115F">
            <w:pPr>
              <w:spacing w:line="240" w:lineRule="exact"/>
              <w:jc w:val="center"/>
              <w:rPr>
                <w:rFonts w:hint="eastAsia" w:ascii="宋体" w:hAnsi="宋体"/>
                <w:szCs w:val="21"/>
              </w:rPr>
            </w:pPr>
          </w:p>
        </w:tc>
        <w:tc>
          <w:tcPr>
            <w:tcW w:w="2633" w:type="dxa"/>
            <w:noWrap w:val="0"/>
            <w:vAlign w:val="center"/>
          </w:tcPr>
          <w:p w14:paraId="0A788A59">
            <w:pPr>
              <w:spacing w:line="240" w:lineRule="exact"/>
              <w:rPr>
                <w:rFonts w:hint="eastAsia" w:ascii="宋体" w:hAnsi="宋体"/>
                <w:szCs w:val="21"/>
              </w:rPr>
            </w:pPr>
            <w:r>
              <w:rPr>
                <w:rFonts w:hint="eastAsia" w:ascii="宋体" w:hAnsi="宋体"/>
                <w:szCs w:val="21"/>
              </w:rPr>
              <w:t>合    计</w:t>
            </w:r>
          </w:p>
        </w:tc>
        <w:tc>
          <w:tcPr>
            <w:tcW w:w="782" w:type="dxa"/>
            <w:noWrap w:val="0"/>
            <w:vAlign w:val="center"/>
          </w:tcPr>
          <w:p w14:paraId="1A4320A8">
            <w:pPr>
              <w:spacing w:line="240" w:lineRule="exact"/>
              <w:jc w:val="center"/>
              <w:rPr>
                <w:rFonts w:hint="eastAsia" w:ascii="宋体" w:hAnsi="宋体"/>
                <w:szCs w:val="21"/>
              </w:rPr>
            </w:pPr>
          </w:p>
        </w:tc>
        <w:tc>
          <w:tcPr>
            <w:tcW w:w="856" w:type="dxa"/>
            <w:noWrap w:val="0"/>
            <w:vAlign w:val="center"/>
          </w:tcPr>
          <w:p w14:paraId="640DA4B0">
            <w:pPr>
              <w:spacing w:line="240" w:lineRule="exact"/>
              <w:jc w:val="center"/>
              <w:rPr>
                <w:rFonts w:ascii="宋体" w:hAnsi="宋体"/>
                <w:szCs w:val="21"/>
              </w:rPr>
            </w:pPr>
          </w:p>
        </w:tc>
        <w:tc>
          <w:tcPr>
            <w:tcW w:w="835" w:type="dxa"/>
            <w:noWrap w:val="0"/>
            <w:vAlign w:val="center"/>
          </w:tcPr>
          <w:p w14:paraId="0FCA097D">
            <w:pPr>
              <w:spacing w:line="240" w:lineRule="exact"/>
              <w:jc w:val="center"/>
              <w:rPr>
                <w:rFonts w:ascii="宋体" w:hAnsi="宋体"/>
                <w:szCs w:val="21"/>
              </w:rPr>
            </w:pPr>
          </w:p>
        </w:tc>
        <w:tc>
          <w:tcPr>
            <w:tcW w:w="1459" w:type="dxa"/>
            <w:noWrap w:val="0"/>
            <w:vAlign w:val="center"/>
          </w:tcPr>
          <w:p w14:paraId="3E2883A0">
            <w:pPr>
              <w:spacing w:line="240" w:lineRule="exact"/>
              <w:jc w:val="center"/>
              <w:rPr>
                <w:rFonts w:ascii="宋体" w:hAnsi="宋体"/>
                <w:szCs w:val="21"/>
              </w:rPr>
            </w:pPr>
          </w:p>
        </w:tc>
        <w:tc>
          <w:tcPr>
            <w:tcW w:w="1125" w:type="dxa"/>
            <w:noWrap w:val="0"/>
            <w:vAlign w:val="center"/>
          </w:tcPr>
          <w:p w14:paraId="26E722B0">
            <w:pPr>
              <w:spacing w:line="240" w:lineRule="exact"/>
              <w:jc w:val="center"/>
              <w:rPr>
                <w:rFonts w:hint="eastAsia" w:ascii="宋体" w:hAnsi="宋体"/>
                <w:szCs w:val="21"/>
              </w:rPr>
            </w:pPr>
            <w:r>
              <w:rPr>
                <w:rFonts w:hint="eastAsia" w:ascii="宋体" w:hAnsi="宋体"/>
                <w:szCs w:val="21"/>
              </w:rPr>
              <w:t>1030.42</w:t>
            </w:r>
          </w:p>
        </w:tc>
        <w:tc>
          <w:tcPr>
            <w:tcW w:w="1125" w:type="dxa"/>
            <w:noWrap w:val="0"/>
            <w:vAlign w:val="center"/>
          </w:tcPr>
          <w:p w14:paraId="32919A1D">
            <w:pPr>
              <w:spacing w:line="240" w:lineRule="exact"/>
              <w:jc w:val="center"/>
              <w:rPr>
                <w:rFonts w:ascii="宋体" w:hAnsi="宋体"/>
                <w:szCs w:val="21"/>
              </w:rPr>
            </w:pPr>
          </w:p>
        </w:tc>
        <w:tc>
          <w:tcPr>
            <w:tcW w:w="1123" w:type="dxa"/>
            <w:noWrap w:val="0"/>
            <w:vAlign w:val="center"/>
          </w:tcPr>
          <w:p w14:paraId="2441F23D">
            <w:pPr>
              <w:spacing w:line="240" w:lineRule="exact"/>
              <w:jc w:val="center"/>
              <w:rPr>
                <w:rFonts w:ascii="宋体" w:hAnsi="宋体"/>
                <w:szCs w:val="21"/>
              </w:rPr>
            </w:pPr>
            <w:r>
              <w:rPr>
                <w:rFonts w:hint="eastAsia" w:ascii="宋体" w:hAnsi="宋体"/>
                <w:szCs w:val="21"/>
              </w:rPr>
              <w:t>108.99</w:t>
            </w:r>
          </w:p>
        </w:tc>
        <w:tc>
          <w:tcPr>
            <w:tcW w:w="1388" w:type="dxa"/>
            <w:noWrap w:val="0"/>
            <w:vAlign w:val="center"/>
          </w:tcPr>
          <w:p w14:paraId="2B83ADC2">
            <w:pPr>
              <w:spacing w:line="240" w:lineRule="exact"/>
              <w:jc w:val="center"/>
              <w:rPr>
                <w:rFonts w:ascii="宋体" w:hAnsi="宋体"/>
                <w:szCs w:val="21"/>
              </w:rPr>
            </w:pPr>
            <w:r>
              <w:rPr>
                <w:rFonts w:hint="eastAsia" w:ascii="宋体" w:hAnsi="宋体"/>
                <w:szCs w:val="21"/>
              </w:rPr>
              <w:t>30.28</w:t>
            </w:r>
          </w:p>
        </w:tc>
        <w:tc>
          <w:tcPr>
            <w:tcW w:w="2318" w:type="dxa"/>
            <w:noWrap w:val="0"/>
            <w:vAlign w:val="center"/>
          </w:tcPr>
          <w:p w14:paraId="7A322B9C">
            <w:pPr>
              <w:spacing w:line="240" w:lineRule="exact"/>
              <w:rPr>
                <w:rFonts w:hint="eastAsia" w:ascii="宋体" w:hAnsi="宋体"/>
                <w:szCs w:val="21"/>
              </w:rPr>
            </w:pPr>
          </w:p>
        </w:tc>
      </w:tr>
    </w:tbl>
    <w:p w14:paraId="626C49C6">
      <w:pPr>
        <w:spacing w:line="300" w:lineRule="auto"/>
        <w:ind w:firstLine="480" w:firstLineChars="200"/>
        <w:rPr>
          <w:rFonts w:hint="eastAsia" w:ascii="宋体" w:hAnsi="宋体"/>
          <w:sz w:val="24"/>
        </w:rPr>
      </w:pPr>
      <w:r>
        <w:rPr>
          <w:rFonts w:hint="eastAsia" w:ascii="宋体" w:hAnsi="宋体"/>
          <w:sz w:val="24"/>
        </w:rPr>
        <w:t>注：1。坑木场消防用水流量为20</w:t>
      </w:r>
      <w:r>
        <w:rPr>
          <w:rFonts w:ascii="宋体" w:hAnsi="宋体"/>
          <w:sz w:val="24"/>
        </w:rPr>
        <w:t>L/S</w:t>
      </w:r>
      <w:r>
        <w:rPr>
          <w:rFonts w:hint="eastAsia" w:ascii="宋体" w:hAnsi="宋体"/>
          <w:sz w:val="24"/>
        </w:rPr>
        <w:t>，火灾延续时间按6</w:t>
      </w:r>
      <w:r>
        <w:rPr>
          <w:rFonts w:ascii="宋体" w:hAnsi="宋体"/>
          <w:sz w:val="24"/>
        </w:rPr>
        <w:t>h</w:t>
      </w:r>
      <w:r>
        <w:rPr>
          <w:rFonts w:hint="eastAsia" w:ascii="宋体" w:hAnsi="宋体"/>
          <w:sz w:val="24"/>
        </w:rPr>
        <w:t>计；室内消防用水流量5</w:t>
      </w:r>
      <w:r>
        <w:rPr>
          <w:rFonts w:ascii="宋体" w:hAnsi="宋体"/>
          <w:sz w:val="24"/>
        </w:rPr>
        <w:t>L/S</w:t>
      </w:r>
      <w:r>
        <w:rPr>
          <w:rFonts w:hint="eastAsia" w:ascii="宋体" w:hAnsi="宋体"/>
          <w:sz w:val="24"/>
        </w:rPr>
        <w:t>为坑木房室内消防用水流量，火灾延续时间按2</w:t>
      </w:r>
      <w:r>
        <w:rPr>
          <w:rFonts w:ascii="宋体" w:hAnsi="宋体"/>
          <w:sz w:val="24"/>
        </w:rPr>
        <w:t>h</w:t>
      </w:r>
      <w:r>
        <w:rPr>
          <w:rFonts w:hint="eastAsia" w:ascii="宋体" w:hAnsi="宋体"/>
          <w:sz w:val="24"/>
        </w:rPr>
        <w:t>计</w:t>
      </w:r>
    </w:p>
    <w:p w14:paraId="16A896DE">
      <w:pPr>
        <w:spacing w:line="360" w:lineRule="auto"/>
        <w:ind w:firstLine="480" w:firstLineChars="200"/>
        <w:rPr>
          <w:rFonts w:ascii="宋体" w:hAnsi="宋体"/>
          <w:color w:val="000000"/>
          <w:sz w:val="24"/>
        </w:rPr>
        <w:sectPr>
          <w:pgSz w:w="16838" w:h="11906" w:orient="landscape"/>
          <w:pgMar w:top="1304" w:right="1418" w:bottom="1304" w:left="1418" w:header="1134" w:footer="992" w:gutter="0"/>
          <w:cols w:space="720" w:num="1"/>
          <w:docGrid w:linePitch="312" w:charSpace="0"/>
        </w:sectPr>
      </w:pPr>
    </w:p>
    <w:p w14:paraId="671D51BC">
      <w:pPr>
        <w:spacing w:line="360" w:lineRule="auto"/>
        <w:ind w:firstLine="480" w:firstLineChars="200"/>
        <w:rPr>
          <w:rFonts w:hint="eastAsia" w:ascii="宋体" w:hAnsi="宋体"/>
          <w:color w:val="000000"/>
          <w:sz w:val="24"/>
        </w:rPr>
      </w:pPr>
      <w:r>
        <w:rPr>
          <w:rFonts w:hint="eastAsia" w:ascii="宋体" w:hAnsi="宋体"/>
          <w:color w:val="000000"/>
          <w:sz w:val="24"/>
        </w:rPr>
        <w:t>2、供水方式与水源地工程</w:t>
      </w:r>
    </w:p>
    <w:p w14:paraId="41F149AA">
      <w:pPr>
        <w:spacing w:line="360" w:lineRule="auto"/>
        <w:ind w:firstLine="480" w:firstLineChars="200"/>
        <w:rPr>
          <w:rFonts w:hint="eastAsia" w:ascii="宋体" w:hAnsi="宋体"/>
          <w:sz w:val="24"/>
        </w:rPr>
      </w:pPr>
      <w:r>
        <w:rPr>
          <w:rFonts w:hint="eastAsia" w:ascii="宋体" w:hAnsi="宋体"/>
          <w:sz w:val="24"/>
        </w:rPr>
        <w:t>矿井地面生产、生活用水：取</w:t>
      </w:r>
      <w:r>
        <w:rPr>
          <w:rFonts w:hint="eastAsia" w:ascii="宋体" w:hAnsi="宋体"/>
          <w:color w:val="000000"/>
          <w:sz w:val="24"/>
        </w:rPr>
        <w:t>自</w:t>
      </w:r>
      <w:r>
        <w:rPr>
          <w:rFonts w:hint="eastAsia" w:ascii="宋体" w:hAnsi="宋体"/>
          <w:sz w:val="24"/>
        </w:rPr>
        <w:t>距矿井工业场地南东方向约1km处的一股泉水，泉水水质好、流量大，泉水点海拔标高约+2250m，经化验可作为生产、生活用水水源，泉水流量约14m</w:t>
      </w:r>
      <w:r>
        <w:rPr>
          <w:rFonts w:hint="eastAsia" w:ascii="宋体" w:hAnsi="宋体"/>
          <w:sz w:val="24"/>
          <w:vertAlign w:val="superscript"/>
        </w:rPr>
        <w:t>3</w:t>
      </w:r>
      <w:r>
        <w:rPr>
          <w:rFonts w:hint="eastAsia" w:ascii="宋体" w:hAnsi="宋体"/>
          <w:sz w:val="24"/>
        </w:rPr>
        <w:t>/h</w:t>
      </w:r>
      <w:r>
        <w:rPr>
          <w:rFonts w:hint="eastAsia" w:ascii="宋体" w:hAnsi="宋体"/>
          <w:color w:val="000000"/>
          <w:sz w:val="24"/>
        </w:rPr>
        <w:t>。</w:t>
      </w:r>
      <w:r>
        <w:rPr>
          <w:rFonts w:hint="eastAsia"/>
          <w:sz w:val="24"/>
        </w:rPr>
        <w:t>安设排水管引至矿回风斜井南东面＋2020m标高</w:t>
      </w:r>
      <w:r>
        <w:rPr>
          <w:rFonts w:hint="eastAsia" w:ascii="宋体" w:hAnsi="宋体"/>
          <w:sz w:val="24"/>
        </w:rPr>
        <w:t>100</w:t>
      </w:r>
      <w:r>
        <w:rPr>
          <w:rFonts w:ascii="宋体" w:hAnsi="宋体" w:cs="宋体"/>
          <w:spacing w:val="2"/>
          <w:kern w:val="0"/>
          <w:sz w:val="24"/>
        </w:rPr>
        <w:t>m</w:t>
      </w:r>
      <w:r>
        <w:rPr>
          <w:rFonts w:ascii="宋体" w:hAnsi="宋体" w:cs="宋体"/>
          <w:spacing w:val="2"/>
          <w:kern w:val="0"/>
          <w:sz w:val="24"/>
          <w:vertAlign w:val="superscript"/>
        </w:rPr>
        <w:t>3</w:t>
      </w:r>
      <w:r>
        <w:rPr>
          <w:rFonts w:hint="eastAsia" w:ascii="宋体" w:hAnsi="宋体" w:cs="宋体"/>
          <w:spacing w:val="2"/>
          <w:kern w:val="0"/>
          <w:sz w:val="24"/>
        </w:rPr>
        <w:t>地面生产、生活用水水池，</w:t>
      </w:r>
      <w:r>
        <w:rPr>
          <w:rFonts w:hint="eastAsia" w:ascii="宋体" w:hAnsi="宋体"/>
          <w:sz w:val="24"/>
        </w:rPr>
        <w:t>地面用水地点最大标高为＋1988.0m，满足水池距地面用水最高点的几何高差为32m，并大于25m，因此，采用静压供水方式向地面用水地点供水。</w:t>
      </w:r>
    </w:p>
    <w:p w14:paraId="19ADBC2F">
      <w:pPr>
        <w:spacing w:line="360" w:lineRule="auto"/>
        <w:ind w:firstLine="480" w:firstLineChars="200"/>
        <w:rPr>
          <w:rFonts w:hint="eastAsia" w:ascii="宋体" w:hAnsi="宋体"/>
          <w:sz w:val="24"/>
        </w:rPr>
      </w:pPr>
      <w:r>
        <w:rPr>
          <w:rFonts w:hint="eastAsia" w:ascii="宋体" w:hAnsi="宋体"/>
          <w:sz w:val="24"/>
        </w:rPr>
        <w:t>矿井井下防尘、消防用水：与生产、生活用水水源为同一个水源，但矿井防尘、消防用水主要由生产、生活及井下水经处理后复用，不够时由生产、生活水池补给。</w:t>
      </w:r>
      <w:r>
        <w:rPr>
          <w:rFonts w:hint="eastAsia"/>
          <w:sz w:val="24"/>
        </w:rPr>
        <w:t>安设排水管</w:t>
      </w:r>
      <w:r>
        <w:rPr>
          <w:rFonts w:hint="eastAsia" w:ascii="宋体" w:hAnsi="宋体"/>
          <w:sz w:val="24"/>
        </w:rPr>
        <w:t>抽至＋2015m标高300m</w:t>
      </w:r>
      <w:r>
        <w:rPr>
          <w:rFonts w:hint="eastAsia" w:ascii="宋体" w:hAnsi="宋体"/>
          <w:sz w:val="24"/>
          <w:vertAlign w:val="superscript"/>
        </w:rPr>
        <w:t>3</w:t>
      </w:r>
      <w:r>
        <w:rPr>
          <w:rFonts w:hint="eastAsia" w:ascii="宋体" w:hAnsi="宋体" w:cs="宋体"/>
          <w:spacing w:val="2"/>
          <w:kern w:val="0"/>
          <w:sz w:val="24"/>
        </w:rPr>
        <w:t>地面及井下</w:t>
      </w:r>
      <w:r>
        <w:rPr>
          <w:rFonts w:hint="eastAsia" w:ascii="宋体" w:hAnsi="宋体"/>
          <w:sz w:val="24"/>
        </w:rPr>
        <w:t>防尘、消防水池（水池底标高＋2015m），井下用水点最大标高为＋1916m标高，满足水池距井下用水最高点的几何高差为99m，大于35m，因此，采用静压供水方式向井下用水地点供水。</w:t>
      </w:r>
    </w:p>
    <w:p w14:paraId="434060B0">
      <w:pPr>
        <w:tabs>
          <w:tab w:val="left" w:pos="3080"/>
        </w:tabs>
        <w:spacing w:line="360" w:lineRule="auto"/>
        <w:ind w:firstLine="480" w:firstLineChars="200"/>
        <w:rPr>
          <w:rFonts w:hint="eastAsia" w:ascii="宋体" w:hAnsi="宋体"/>
          <w:bCs/>
          <w:sz w:val="24"/>
        </w:rPr>
      </w:pPr>
      <w:r>
        <w:rPr>
          <w:rFonts w:hint="eastAsia" w:ascii="宋体" w:hAnsi="宋体"/>
          <w:sz w:val="24"/>
        </w:rPr>
        <w:t>供井下的水池300</w:t>
      </w:r>
      <w:r>
        <w:rPr>
          <w:rFonts w:ascii="宋体" w:hAnsi="宋体"/>
          <w:bCs/>
          <w:sz w:val="24"/>
        </w:rPr>
        <w:t>m</w:t>
      </w:r>
      <w:r>
        <w:rPr>
          <w:rFonts w:ascii="宋体" w:hAnsi="宋体"/>
          <w:bCs/>
          <w:sz w:val="24"/>
          <w:vertAlign w:val="superscript"/>
        </w:rPr>
        <w:t>3</w:t>
      </w:r>
      <w:r>
        <w:rPr>
          <w:rFonts w:hint="eastAsia" w:ascii="宋体" w:hAnsi="宋体"/>
          <w:sz w:val="24"/>
        </w:rPr>
        <w:t>（池底标高+2015m），由抽水站内水泵直接抽入，水泵为50DFL14.4－15×7型泵（Q=14.4</w:t>
      </w:r>
      <w:r>
        <w:rPr>
          <w:rFonts w:ascii="宋体" w:hAnsi="宋体"/>
          <w:sz w:val="24"/>
        </w:rPr>
        <w:t>m</w:t>
      </w:r>
      <w:r>
        <w:rPr>
          <w:rFonts w:ascii="宋体" w:hAnsi="宋体"/>
          <w:sz w:val="24"/>
          <w:vertAlign w:val="superscript"/>
        </w:rPr>
        <w:t>3</w:t>
      </w:r>
      <w:r>
        <w:rPr>
          <w:rFonts w:ascii="宋体" w:hAnsi="宋体"/>
          <w:sz w:val="24"/>
        </w:rPr>
        <w:t>/h</w:t>
      </w:r>
      <w:r>
        <w:rPr>
          <w:rFonts w:hint="eastAsia" w:ascii="宋体" w:hAnsi="宋体"/>
          <w:sz w:val="24"/>
        </w:rPr>
        <w:t>.台，H=87.5</w:t>
      </w:r>
      <w:r>
        <w:rPr>
          <w:rFonts w:ascii="宋体" w:hAnsi="宋体"/>
          <w:sz w:val="24"/>
        </w:rPr>
        <w:t>m</w:t>
      </w:r>
      <w:r>
        <w:rPr>
          <w:rFonts w:hint="eastAsia" w:ascii="宋体" w:hAnsi="宋体"/>
          <w:sz w:val="24"/>
        </w:rPr>
        <w:t>，N=7.5</w:t>
      </w:r>
      <w:r>
        <w:rPr>
          <w:rFonts w:ascii="宋体" w:hAnsi="宋体"/>
          <w:sz w:val="24"/>
        </w:rPr>
        <w:t>kw</w:t>
      </w:r>
      <w:r>
        <w:rPr>
          <w:rFonts w:hint="eastAsia" w:ascii="宋体" w:hAnsi="宋体"/>
          <w:sz w:val="24"/>
        </w:rPr>
        <w:t>）二台，一用一备</w:t>
      </w:r>
      <w:r>
        <w:rPr>
          <w:rFonts w:hint="eastAsia" w:ascii="宋体" w:hAnsi="宋体"/>
          <w:bCs/>
          <w:sz w:val="24"/>
        </w:rPr>
        <w:t>。</w:t>
      </w:r>
    </w:p>
    <w:p w14:paraId="3D6B2762">
      <w:pPr>
        <w:spacing w:line="360" w:lineRule="auto"/>
        <w:ind w:firstLine="480" w:firstLineChars="200"/>
        <w:rPr>
          <w:rFonts w:hint="eastAsia" w:ascii="宋体" w:hAnsi="宋体"/>
          <w:color w:val="000000"/>
          <w:sz w:val="24"/>
        </w:rPr>
      </w:pPr>
      <w:r>
        <w:rPr>
          <w:rFonts w:hint="eastAsia" w:ascii="宋体" w:hAnsi="宋体"/>
          <w:color w:val="000000"/>
          <w:sz w:val="24"/>
        </w:rPr>
        <w:t>3、室外供水工程</w:t>
      </w:r>
    </w:p>
    <w:p w14:paraId="60018675">
      <w:pPr>
        <w:spacing w:line="360" w:lineRule="auto"/>
        <w:ind w:firstLine="480" w:firstLineChars="200"/>
        <w:rPr>
          <w:rFonts w:hint="eastAsia" w:ascii="宋体" w:hAnsi="宋体"/>
          <w:sz w:val="24"/>
        </w:rPr>
      </w:pPr>
      <w:r>
        <w:rPr>
          <w:rFonts w:hint="eastAsia" w:ascii="宋体" w:hAnsi="宋体"/>
          <w:sz w:val="24"/>
        </w:rPr>
        <w:t>由</w:t>
      </w:r>
      <w:r>
        <w:rPr>
          <w:rFonts w:hint="eastAsia" w:ascii="宋体" w:hAnsi="宋体" w:cs="宋体"/>
          <w:spacing w:val="2"/>
          <w:kern w:val="0"/>
          <w:sz w:val="24"/>
        </w:rPr>
        <w:t>100</w:t>
      </w:r>
      <w:r>
        <w:rPr>
          <w:rFonts w:ascii="宋体" w:hAnsi="宋体" w:cs="宋体"/>
          <w:spacing w:val="2"/>
          <w:kern w:val="0"/>
          <w:sz w:val="24"/>
        </w:rPr>
        <w:t>m</w:t>
      </w:r>
      <w:r>
        <w:rPr>
          <w:rFonts w:ascii="宋体" w:hAnsi="宋体" w:cs="宋体"/>
          <w:spacing w:val="2"/>
          <w:kern w:val="0"/>
          <w:sz w:val="24"/>
          <w:vertAlign w:val="superscript"/>
        </w:rPr>
        <w:t>3</w:t>
      </w:r>
      <w:r>
        <w:rPr>
          <w:rFonts w:hint="eastAsia" w:ascii="宋体" w:hAnsi="宋体" w:cs="宋体"/>
          <w:spacing w:val="2"/>
          <w:kern w:val="0"/>
          <w:sz w:val="24"/>
        </w:rPr>
        <w:t>地面生产、生活</w:t>
      </w:r>
      <w:r>
        <w:rPr>
          <w:rFonts w:hint="eastAsia" w:ascii="宋体" w:hAnsi="宋体" w:cs="宋体"/>
          <w:spacing w:val="1"/>
          <w:kern w:val="0"/>
          <w:sz w:val="24"/>
        </w:rPr>
        <w:t>水池</w:t>
      </w:r>
      <w:r>
        <w:rPr>
          <w:rFonts w:hint="eastAsia" w:ascii="宋体" w:hAnsi="宋体"/>
          <w:sz w:val="24"/>
        </w:rPr>
        <w:t>敷设DN80无缝钢管二条至工业场地，以静压的方式向工业场地供水。</w:t>
      </w:r>
    </w:p>
    <w:p w14:paraId="3C6EEB61">
      <w:pPr>
        <w:spacing w:line="360" w:lineRule="auto"/>
        <w:ind w:firstLine="480" w:firstLineChars="200"/>
        <w:rPr>
          <w:rFonts w:hint="eastAsia" w:ascii="宋体" w:hAnsi="宋体"/>
          <w:b/>
          <w:sz w:val="28"/>
        </w:rPr>
      </w:pPr>
      <w:r>
        <w:rPr>
          <w:rFonts w:hint="eastAsia" w:ascii="宋体" w:hAnsi="宋体"/>
          <w:sz w:val="24"/>
        </w:rPr>
        <w:t>4、井下供水工程</w:t>
      </w:r>
    </w:p>
    <w:p w14:paraId="5CE619F6">
      <w:pPr>
        <w:tabs>
          <w:tab w:val="left" w:pos="3080"/>
        </w:tabs>
        <w:spacing w:line="360" w:lineRule="auto"/>
        <w:ind w:firstLine="480" w:firstLineChars="200"/>
        <w:rPr>
          <w:rFonts w:hint="eastAsia" w:ascii="宋体" w:hAnsi="宋体"/>
          <w:color w:val="000000"/>
          <w:sz w:val="24"/>
        </w:rPr>
      </w:pPr>
      <w:r>
        <w:rPr>
          <w:rFonts w:hint="eastAsia" w:ascii="宋体" w:hAnsi="宋体"/>
          <w:color w:val="000000"/>
          <w:sz w:val="24"/>
        </w:rPr>
        <w:t>井下供水水源一部分来自矿区范围内长年性地表水体，发源于矿区东面、流向自北向南未进入矿区的百车河</w:t>
      </w:r>
      <w:r>
        <w:rPr>
          <w:rFonts w:hint="eastAsia" w:ascii="宋体" w:hAnsi="宋体"/>
          <w:snapToGrid w:val="0"/>
          <w:kern w:val="0"/>
          <w:sz w:val="24"/>
        </w:rPr>
        <w:t>，另一部分</w:t>
      </w:r>
      <w:r>
        <w:rPr>
          <w:rFonts w:hint="eastAsia" w:ascii="宋体" w:hAnsi="宋体"/>
          <w:color w:val="000000"/>
          <w:sz w:val="24"/>
        </w:rPr>
        <w:t>为经生活污水、井下水处理站处理后的井下污水和生活污水，进入300</w:t>
      </w:r>
      <w:r>
        <w:rPr>
          <w:rFonts w:ascii="宋体" w:hAnsi="宋体"/>
          <w:color w:val="000000"/>
          <w:sz w:val="24"/>
        </w:rPr>
        <w:t>m</w:t>
      </w:r>
      <w:r>
        <w:rPr>
          <w:rFonts w:ascii="宋体" w:hAnsi="宋体"/>
          <w:color w:val="000000"/>
          <w:sz w:val="24"/>
          <w:vertAlign w:val="superscript"/>
        </w:rPr>
        <w:t>3</w:t>
      </w:r>
      <w:r>
        <w:rPr>
          <w:rFonts w:hint="eastAsia" w:ascii="宋体" w:hAnsi="宋体" w:cs="宋体"/>
          <w:spacing w:val="2"/>
          <w:kern w:val="0"/>
          <w:sz w:val="24"/>
        </w:rPr>
        <w:t>地面及井下生产、消防</w:t>
      </w:r>
      <w:r>
        <w:rPr>
          <w:rFonts w:hint="eastAsia" w:ascii="宋体" w:hAnsi="宋体" w:cs="宋体"/>
          <w:spacing w:val="1"/>
          <w:kern w:val="0"/>
          <w:sz w:val="24"/>
        </w:rPr>
        <w:t>水池</w:t>
      </w:r>
      <w:r>
        <w:rPr>
          <w:rFonts w:hint="eastAsia" w:ascii="宋体" w:hAnsi="宋体"/>
          <w:color w:val="000000"/>
          <w:sz w:val="24"/>
        </w:rPr>
        <w:t>（池底标高＋2015m标高），以静压方的式向井下管网提供消防及防尘用水。</w:t>
      </w:r>
    </w:p>
    <w:p w14:paraId="64CBC968">
      <w:pPr>
        <w:tabs>
          <w:tab w:val="left" w:pos="3080"/>
        </w:tabs>
        <w:spacing w:line="360" w:lineRule="auto"/>
        <w:ind w:firstLine="480" w:firstLineChars="200"/>
        <w:rPr>
          <w:rFonts w:hint="eastAsia" w:ascii="宋体" w:hAnsi="宋体"/>
          <w:color w:val="000000"/>
          <w:sz w:val="24"/>
        </w:rPr>
      </w:pPr>
      <w:r>
        <w:rPr>
          <w:rFonts w:hint="eastAsia" w:ascii="宋体" w:hAnsi="宋体"/>
          <w:color w:val="000000"/>
          <w:sz w:val="24"/>
        </w:rPr>
        <w:t>井下</w:t>
      </w:r>
      <w:r>
        <w:rPr>
          <w:rFonts w:hint="eastAsia" w:ascii="宋体" w:hAnsi="宋体"/>
          <w:sz w:val="24"/>
        </w:rPr>
        <w:t>防尘、消防用水</w:t>
      </w:r>
      <w:r>
        <w:rPr>
          <w:rFonts w:hint="eastAsia" w:ascii="宋体" w:hAnsi="宋体"/>
          <w:color w:val="000000"/>
          <w:sz w:val="24"/>
        </w:rPr>
        <w:t>，由工业场地地面300</w:t>
      </w:r>
      <w:r>
        <w:rPr>
          <w:rFonts w:ascii="宋体" w:hAnsi="宋体"/>
          <w:color w:val="000000"/>
          <w:sz w:val="24"/>
        </w:rPr>
        <w:t>m</w:t>
      </w:r>
      <w:r>
        <w:rPr>
          <w:rFonts w:ascii="宋体" w:hAnsi="宋体"/>
          <w:color w:val="000000"/>
          <w:sz w:val="24"/>
          <w:vertAlign w:val="superscript"/>
        </w:rPr>
        <w:t>3</w:t>
      </w:r>
      <w:r>
        <w:rPr>
          <w:rFonts w:hint="eastAsia" w:ascii="宋体" w:hAnsi="宋体"/>
          <w:sz w:val="24"/>
        </w:rPr>
        <w:t>防尘、消防</w:t>
      </w:r>
      <w:r>
        <w:rPr>
          <w:rFonts w:hint="eastAsia" w:ascii="宋体" w:hAnsi="宋体"/>
          <w:color w:val="000000"/>
          <w:sz w:val="24"/>
        </w:rPr>
        <w:t>供水管网接管DN102无缝钢管给水管供给，水量、水压由距回风斜井井口约150</w:t>
      </w:r>
      <w:r>
        <w:rPr>
          <w:rFonts w:ascii="宋体" w:hAnsi="宋体"/>
          <w:color w:val="000000"/>
          <w:sz w:val="24"/>
        </w:rPr>
        <w:t>m</w:t>
      </w:r>
      <w:r>
        <w:rPr>
          <w:rFonts w:hint="eastAsia" w:ascii="宋体" w:hAnsi="宋体"/>
          <w:color w:val="000000"/>
          <w:sz w:val="24"/>
        </w:rPr>
        <w:t>处300</w:t>
      </w:r>
      <w:r>
        <w:rPr>
          <w:rFonts w:ascii="宋体" w:hAnsi="宋体"/>
          <w:color w:val="000000"/>
          <w:sz w:val="24"/>
        </w:rPr>
        <w:t>m</w:t>
      </w:r>
      <w:r>
        <w:rPr>
          <w:rFonts w:ascii="宋体" w:hAnsi="宋体"/>
          <w:color w:val="000000"/>
          <w:sz w:val="24"/>
          <w:vertAlign w:val="superscript"/>
        </w:rPr>
        <w:t>3</w:t>
      </w:r>
      <w:r>
        <w:rPr>
          <w:rFonts w:hint="eastAsia" w:ascii="宋体" w:hAnsi="宋体"/>
          <w:color w:val="000000"/>
          <w:sz w:val="24"/>
        </w:rPr>
        <w:t>生产、消防、防尘水池（水池底标高</w:t>
      </w:r>
      <w:r>
        <w:rPr>
          <w:rFonts w:hint="eastAsia" w:ascii="宋体" w:hAnsi="宋体" w:cs="宋体"/>
          <w:color w:val="000000"/>
          <w:sz w:val="24"/>
        </w:rPr>
        <w:t>＋</w:t>
      </w:r>
      <w:r>
        <w:rPr>
          <w:rFonts w:hint="eastAsia" w:ascii="宋体" w:hAnsi="宋体"/>
          <w:color w:val="000000"/>
          <w:sz w:val="24"/>
        </w:rPr>
        <w:t>2015m）保证。</w:t>
      </w:r>
    </w:p>
    <w:p w14:paraId="753F0667">
      <w:pPr>
        <w:pStyle w:val="4"/>
        <w:keepLines/>
        <w:adjustRightInd w:val="0"/>
        <w:snapToGrid w:val="0"/>
        <w:spacing w:before="240" w:after="240" w:line="360" w:lineRule="auto"/>
        <w:ind w:firstLine="562" w:firstLineChars="200"/>
        <w:jc w:val="both"/>
        <w:rPr>
          <w:rFonts w:hint="eastAsia"/>
          <w:b/>
          <w:color w:val="000000"/>
          <w:kern w:val="0"/>
          <w:szCs w:val="20"/>
        </w:rPr>
      </w:pPr>
      <w:bookmarkStart w:id="699" w:name="_Toc173869292"/>
      <w:bookmarkStart w:id="700" w:name="_Toc173918967"/>
      <w:r>
        <w:rPr>
          <w:rFonts w:hint="eastAsia"/>
          <w:b/>
          <w:color w:val="000000"/>
          <w:kern w:val="0"/>
          <w:szCs w:val="20"/>
        </w:rPr>
        <w:t>三、排水工程</w:t>
      </w:r>
      <w:bookmarkEnd w:id="699"/>
      <w:bookmarkEnd w:id="700"/>
    </w:p>
    <w:p w14:paraId="5936096F">
      <w:pPr>
        <w:tabs>
          <w:tab w:val="left" w:pos="3080"/>
        </w:tabs>
        <w:spacing w:line="360" w:lineRule="auto"/>
        <w:ind w:firstLine="480" w:firstLineChars="200"/>
        <w:rPr>
          <w:rFonts w:hint="eastAsia" w:ascii="宋体" w:hAnsi="宋体"/>
          <w:sz w:val="24"/>
        </w:rPr>
      </w:pPr>
      <w:r>
        <w:rPr>
          <w:rFonts w:hint="eastAsia" w:ascii="宋体" w:hAnsi="宋体"/>
          <w:sz w:val="24"/>
        </w:rPr>
        <w:t>1、生产、生活污废水排放量及来源</w:t>
      </w:r>
    </w:p>
    <w:p w14:paraId="261107D8">
      <w:pPr>
        <w:tabs>
          <w:tab w:val="left" w:pos="3080"/>
        </w:tabs>
        <w:spacing w:line="360" w:lineRule="auto"/>
        <w:ind w:firstLine="480" w:firstLineChars="200"/>
        <w:rPr>
          <w:rFonts w:hint="eastAsia" w:ascii="宋体" w:hAnsi="宋体"/>
          <w:sz w:val="24"/>
        </w:rPr>
      </w:pPr>
      <w:r>
        <w:rPr>
          <w:rFonts w:hint="eastAsia" w:ascii="宋体" w:hAnsi="宋体"/>
          <w:sz w:val="24"/>
        </w:rPr>
        <w:t>该矿井生产、生活污废水主要来自矿井生产、生活及井下排水，矿井地面及井下总排水量约360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，其中矿井地面生产、生活污废水排水量约120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；井下正常排水量约240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p>
    <w:p w14:paraId="661C76DF">
      <w:pPr>
        <w:spacing w:line="360" w:lineRule="auto"/>
        <w:jc w:val="center"/>
        <w:rPr>
          <w:rFonts w:hint="eastAsia" w:ascii="宋体" w:hAnsi="宋体"/>
          <w:sz w:val="24"/>
        </w:rPr>
      </w:pPr>
      <w:r>
        <w:rPr>
          <w:rFonts w:hint="eastAsia" w:ascii="宋体" w:hAnsi="宋体"/>
          <w:sz w:val="24"/>
        </w:rPr>
        <w:t>矿井排水量表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3237"/>
        <w:gridCol w:w="2110"/>
        <w:gridCol w:w="2255"/>
      </w:tblGrid>
      <w:tr w14:paraId="5DA9F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414" w:type="dxa"/>
            <w:noWrap w:val="0"/>
            <w:vAlign w:val="center"/>
          </w:tcPr>
          <w:p w14:paraId="57D5FA6F">
            <w:pPr>
              <w:jc w:val="center"/>
              <w:rPr>
                <w:rFonts w:hint="eastAsia" w:ascii="宋体" w:hAnsi="宋体"/>
                <w:sz w:val="24"/>
              </w:rPr>
            </w:pPr>
            <w:r>
              <w:rPr>
                <w:rFonts w:hint="eastAsia" w:ascii="宋体" w:hAnsi="宋体"/>
                <w:sz w:val="24"/>
              </w:rPr>
              <w:t>序号</w:t>
            </w:r>
          </w:p>
        </w:tc>
        <w:tc>
          <w:tcPr>
            <w:tcW w:w="3237" w:type="dxa"/>
            <w:noWrap w:val="0"/>
            <w:vAlign w:val="center"/>
          </w:tcPr>
          <w:p w14:paraId="2C69BC53">
            <w:pPr>
              <w:jc w:val="center"/>
              <w:rPr>
                <w:rFonts w:hint="eastAsia" w:ascii="宋体" w:hAnsi="宋体"/>
                <w:sz w:val="24"/>
              </w:rPr>
            </w:pPr>
            <w:r>
              <w:rPr>
                <w:rFonts w:hint="eastAsia" w:ascii="宋体" w:hAnsi="宋体"/>
                <w:sz w:val="24"/>
              </w:rPr>
              <w:t>排水项目</w:t>
            </w:r>
          </w:p>
        </w:tc>
        <w:tc>
          <w:tcPr>
            <w:tcW w:w="2110" w:type="dxa"/>
            <w:noWrap w:val="0"/>
            <w:vAlign w:val="center"/>
          </w:tcPr>
          <w:p w14:paraId="03B4D7AA">
            <w:pPr>
              <w:jc w:val="center"/>
              <w:rPr>
                <w:rFonts w:hint="eastAsia" w:ascii="宋体" w:hAnsi="宋体"/>
                <w:sz w:val="24"/>
              </w:rPr>
            </w:pPr>
            <w:r>
              <w:rPr>
                <w:rFonts w:hint="eastAsia" w:ascii="宋体" w:hAnsi="宋体"/>
                <w:sz w:val="24"/>
              </w:rPr>
              <w:t>排水量</w:t>
            </w:r>
          </w:p>
        </w:tc>
        <w:tc>
          <w:tcPr>
            <w:tcW w:w="2255" w:type="dxa"/>
            <w:noWrap w:val="0"/>
            <w:vAlign w:val="center"/>
          </w:tcPr>
          <w:p w14:paraId="1091FFCC">
            <w:pPr>
              <w:jc w:val="center"/>
              <w:rPr>
                <w:rFonts w:hint="eastAsia" w:ascii="宋体" w:hAnsi="宋体"/>
                <w:sz w:val="24"/>
              </w:rPr>
            </w:pPr>
            <w:r>
              <w:rPr>
                <w:rFonts w:hint="eastAsia" w:ascii="宋体" w:hAnsi="宋体"/>
                <w:sz w:val="24"/>
              </w:rPr>
              <w:t>备注</w:t>
            </w:r>
          </w:p>
        </w:tc>
      </w:tr>
      <w:tr w14:paraId="69DBE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414" w:type="dxa"/>
            <w:noWrap w:val="0"/>
            <w:vAlign w:val="center"/>
          </w:tcPr>
          <w:p w14:paraId="5170F87C">
            <w:pPr>
              <w:jc w:val="center"/>
              <w:rPr>
                <w:rFonts w:hint="eastAsia" w:ascii="宋体" w:hAnsi="宋体"/>
                <w:sz w:val="24"/>
              </w:rPr>
            </w:pPr>
            <w:r>
              <w:rPr>
                <w:rFonts w:hint="eastAsia" w:ascii="宋体" w:hAnsi="宋体"/>
                <w:sz w:val="24"/>
              </w:rPr>
              <w:t>1</w:t>
            </w:r>
          </w:p>
        </w:tc>
        <w:tc>
          <w:tcPr>
            <w:tcW w:w="3237" w:type="dxa"/>
            <w:noWrap w:val="0"/>
            <w:vAlign w:val="center"/>
          </w:tcPr>
          <w:p w14:paraId="1B7A6A87">
            <w:pPr>
              <w:jc w:val="center"/>
              <w:rPr>
                <w:rFonts w:hint="eastAsia" w:ascii="宋体" w:hAnsi="宋体"/>
                <w:sz w:val="24"/>
              </w:rPr>
            </w:pPr>
            <w:r>
              <w:rPr>
                <w:rFonts w:hint="eastAsia" w:ascii="宋体" w:hAnsi="宋体"/>
                <w:sz w:val="24"/>
              </w:rPr>
              <w:t>地面生产、生活污废水</w:t>
            </w:r>
          </w:p>
        </w:tc>
        <w:tc>
          <w:tcPr>
            <w:tcW w:w="2110" w:type="dxa"/>
            <w:noWrap w:val="0"/>
            <w:vAlign w:val="center"/>
          </w:tcPr>
          <w:p w14:paraId="7BE718F6">
            <w:pPr>
              <w:jc w:val="center"/>
              <w:rPr>
                <w:rFonts w:hint="eastAsia" w:ascii="宋体" w:hAnsi="宋体"/>
                <w:sz w:val="24"/>
              </w:rPr>
            </w:pPr>
            <w:r>
              <w:rPr>
                <w:rFonts w:hint="eastAsia" w:ascii="宋体" w:hAnsi="宋体"/>
                <w:sz w:val="24"/>
              </w:rPr>
              <w:t>120（m</w:t>
            </w:r>
            <w:r>
              <w:rPr>
                <w:rFonts w:hint="eastAsia" w:ascii="宋体" w:hAnsi="宋体"/>
                <w:sz w:val="24"/>
                <w:vertAlign w:val="superscript"/>
              </w:rPr>
              <w:t>3</w:t>
            </w:r>
            <w:r>
              <w:rPr>
                <w:rFonts w:hint="eastAsia" w:ascii="宋体" w:hAnsi="宋体"/>
                <w:sz w:val="24"/>
              </w:rPr>
              <w:t>/d）</w:t>
            </w:r>
          </w:p>
        </w:tc>
        <w:tc>
          <w:tcPr>
            <w:tcW w:w="2255" w:type="dxa"/>
            <w:noWrap w:val="0"/>
            <w:vAlign w:val="center"/>
          </w:tcPr>
          <w:p w14:paraId="44C68186">
            <w:pPr>
              <w:jc w:val="center"/>
              <w:rPr>
                <w:rFonts w:hint="eastAsia" w:ascii="宋体" w:hAnsi="宋体"/>
                <w:sz w:val="24"/>
              </w:rPr>
            </w:pPr>
          </w:p>
        </w:tc>
      </w:tr>
      <w:tr w14:paraId="10D7E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414" w:type="dxa"/>
            <w:noWrap w:val="0"/>
            <w:vAlign w:val="center"/>
          </w:tcPr>
          <w:p w14:paraId="4775DEEA">
            <w:pPr>
              <w:jc w:val="center"/>
              <w:rPr>
                <w:rFonts w:hint="eastAsia" w:ascii="宋体" w:hAnsi="宋体"/>
                <w:sz w:val="24"/>
              </w:rPr>
            </w:pPr>
            <w:r>
              <w:rPr>
                <w:rFonts w:hint="eastAsia" w:ascii="宋体" w:hAnsi="宋体"/>
                <w:sz w:val="24"/>
              </w:rPr>
              <w:t>2</w:t>
            </w:r>
          </w:p>
        </w:tc>
        <w:tc>
          <w:tcPr>
            <w:tcW w:w="3237" w:type="dxa"/>
            <w:noWrap w:val="0"/>
            <w:vAlign w:val="center"/>
          </w:tcPr>
          <w:p w14:paraId="568E3CF1">
            <w:pPr>
              <w:jc w:val="center"/>
              <w:rPr>
                <w:rFonts w:hint="eastAsia" w:ascii="宋体" w:hAnsi="宋体"/>
                <w:sz w:val="24"/>
              </w:rPr>
            </w:pPr>
            <w:r>
              <w:rPr>
                <w:rFonts w:hint="eastAsia" w:ascii="宋体" w:hAnsi="宋体"/>
                <w:sz w:val="24"/>
              </w:rPr>
              <w:t>井下排水</w:t>
            </w:r>
          </w:p>
        </w:tc>
        <w:tc>
          <w:tcPr>
            <w:tcW w:w="2110" w:type="dxa"/>
            <w:noWrap w:val="0"/>
            <w:vAlign w:val="center"/>
          </w:tcPr>
          <w:p w14:paraId="2A453FBF">
            <w:pPr>
              <w:jc w:val="center"/>
              <w:rPr>
                <w:rFonts w:hint="eastAsia" w:ascii="宋体" w:hAnsi="宋体"/>
                <w:sz w:val="24"/>
              </w:rPr>
            </w:pPr>
            <w:r>
              <w:rPr>
                <w:rFonts w:hint="eastAsia" w:ascii="宋体" w:hAnsi="宋体"/>
                <w:sz w:val="24"/>
              </w:rPr>
              <w:t>240（m</w:t>
            </w:r>
            <w:r>
              <w:rPr>
                <w:rFonts w:hint="eastAsia" w:ascii="宋体" w:hAnsi="宋体"/>
                <w:sz w:val="24"/>
                <w:vertAlign w:val="superscript"/>
              </w:rPr>
              <w:t>3</w:t>
            </w:r>
            <w:r>
              <w:rPr>
                <w:rFonts w:hint="eastAsia" w:ascii="宋体" w:hAnsi="宋体"/>
                <w:sz w:val="24"/>
              </w:rPr>
              <w:t>/d）</w:t>
            </w:r>
          </w:p>
        </w:tc>
        <w:tc>
          <w:tcPr>
            <w:tcW w:w="2255" w:type="dxa"/>
            <w:noWrap w:val="0"/>
            <w:vAlign w:val="center"/>
          </w:tcPr>
          <w:p w14:paraId="6B4A4BD6">
            <w:pPr>
              <w:jc w:val="center"/>
              <w:rPr>
                <w:rFonts w:hint="eastAsia" w:ascii="宋体" w:hAnsi="宋体"/>
                <w:sz w:val="24"/>
              </w:rPr>
            </w:pPr>
          </w:p>
        </w:tc>
      </w:tr>
      <w:tr w14:paraId="7D75B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2" w:hRule="atLeast"/>
          <w:jc w:val="center"/>
        </w:trPr>
        <w:tc>
          <w:tcPr>
            <w:tcW w:w="1414" w:type="dxa"/>
            <w:noWrap w:val="0"/>
            <w:vAlign w:val="center"/>
          </w:tcPr>
          <w:p w14:paraId="4F28375D">
            <w:pPr>
              <w:jc w:val="center"/>
              <w:rPr>
                <w:rFonts w:hint="eastAsia" w:ascii="宋体" w:hAnsi="宋体"/>
                <w:sz w:val="24"/>
              </w:rPr>
            </w:pPr>
          </w:p>
        </w:tc>
        <w:tc>
          <w:tcPr>
            <w:tcW w:w="3237" w:type="dxa"/>
            <w:noWrap w:val="0"/>
            <w:vAlign w:val="center"/>
          </w:tcPr>
          <w:p w14:paraId="512AC8EE">
            <w:pPr>
              <w:jc w:val="center"/>
              <w:rPr>
                <w:rFonts w:hint="eastAsia" w:ascii="宋体" w:hAnsi="宋体"/>
                <w:sz w:val="24"/>
              </w:rPr>
            </w:pPr>
            <w:r>
              <w:rPr>
                <w:rFonts w:hint="eastAsia" w:ascii="宋体" w:hAnsi="宋体"/>
                <w:sz w:val="24"/>
              </w:rPr>
              <w:t>合    计</w:t>
            </w:r>
          </w:p>
        </w:tc>
        <w:tc>
          <w:tcPr>
            <w:tcW w:w="2110" w:type="dxa"/>
            <w:noWrap w:val="0"/>
            <w:vAlign w:val="center"/>
          </w:tcPr>
          <w:p w14:paraId="67988BD9">
            <w:pPr>
              <w:jc w:val="center"/>
              <w:rPr>
                <w:rFonts w:hint="eastAsia" w:ascii="宋体" w:hAnsi="宋体"/>
                <w:sz w:val="24"/>
              </w:rPr>
            </w:pPr>
            <w:r>
              <w:rPr>
                <w:rFonts w:hint="eastAsia" w:ascii="宋体" w:hAnsi="宋体"/>
                <w:sz w:val="24"/>
              </w:rPr>
              <w:t>360（m</w:t>
            </w:r>
            <w:r>
              <w:rPr>
                <w:rFonts w:hint="eastAsia" w:ascii="宋体" w:hAnsi="宋体"/>
                <w:sz w:val="24"/>
                <w:vertAlign w:val="superscript"/>
              </w:rPr>
              <w:t>3</w:t>
            </w:r>
            <w:r>
              <w:rPr>
                <w:rFonts w:hint="eastAsia" w:ascii="宋体" w:hAnsi="宋体"/>
                <w:sz w:val="24"/>
              </w:rPr>
              <w:t>/d）</w:t>
            </w:r>
          </w:p>
        </w:tc>
        <w:tc>
          <w:tcPr>
            <w:tcW w:w="2255" w:type="dxa"/>
            <w:noWrap w:val="0"/>
            <w:vAlign w:val="center"/>
          </w:tcPr>
          <w:p w14:paraId="53FB8441">
            <w:pPr>
              <w:jc w:val="center"/>
              <w:rPr>
                <w:rFonts w:hint="eastAsia" w:ascii="宋体" w:hAnsi="宋体"/>
                <w:sz w:val="24"/>
              </w:rPr>
            </w:pPr>
          </w:p>
        </w:tc>
      </w:tr>
    </w:tbl>
    <w:p w14:paraId="75E3C6D9">
      <w:pPr>
        <w:tabs>
          <w:tab w:val="left" w:pos="3080"/>
        </w:tabs>
        <w:spacing w:line="360" w:lineRule="auto"/>
        <w:ind w:firstLine="480" w:firstLineChars="200"/>
        <w:rPr>
          <w:rFonts w:hint="eastAsia" w:ascii="宋体" w:hAnsi="宋体"/>
          <w:sz w:val="24"/>
        </w:rPr>
      </w:pPr>
      <w:r>
        <w:rPr>
          <w:rFonts w:hint="eastAsia" w:ascii="宋体" w:hAnsi="宋体"/>
          <w:sz w:val="24"/>
        </w:rPr>
        <w:t>2、污废水处理</w:t>
      </w:r>
    </w:p>
    <w:p w14:paraId="5F75B39C">
      <w:pPr>
        <w:tabs>
          <w:tab w:val="left" w:pos="3080"/>
        </w:tabs>
        <w:spacing w:line="360" w:lineRule="auto"/>
        <w:ind w:firstLine="480" w:firstLineChars="200"/>
        <w:rPr>
          <w:rFonts w:hint="eastAsia" w:ascii="宋体" w:hAnsi="宋体"/>
          <w:sz w:val="24"/>
        </w:rPr>
      </w:pPr>
      <w:r>
        <w:rPr>
          <w:rFonts w:hint="eastAsia" w:ascii="宋体" w:hAnsi="宋体"/>
          <w:sz w:val="24"/>
        </w:rPr>
        <w:t>设矿井生活污水处理站，规模为5</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h，采用SWJ－5t/h型生活污水处理综合装置（二级处理）1套进行处理，处理达标后的生活粪便污水与生产废水经场地排水管网及排水沟有组织地排入纳污排水沟。</w:t>
      </w:r>
    </w:p>
    <w:p w14:paraId="74D6AB3B">
      <w:pPr>
        <w:spacing w:line="360" w:lineRule="auto"/>
        <w:ind w:firstLine="480" w:firstLineChars="200"/>
        <w:rPr>
          <w:rFonts w:hint="eastAsia" w:ascii="宋体" w:hAnsi="宋体"/>
        </w:rPr>
      </w:pPr>
      <w:r>
        <w:rPr>
          <w:rFonts w:hint="eastAsia" w:ascii="宋体" w:hAnsi="宋体"/>
          <w:sz w:val="24"/>
        </w:rPr>
        <w:t>井下水：根据矿井井下排水量，设井下水处理站，规模为10</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h，采用混凝沉淀处理工艺，经井下水处理站处理达标后的井下水主要用于矿井下消防洒水，多余部分排放。</w:t>
      </w:r>
      <w:r>
        <w:rPr>
          <w:rFonts w:hint="eastAsia" w:ascii="宋体" w:hAnsi="宋体"/>
        </w:rPr>
        <w:t xml:space="preserve"> </w:t>
      </w:r>
    </w:p>
    <w:p w14:paraId="478C01D7">
      <w:pPr>
        <w:pStyle w:val="4"/>
        <w:keepLines/>
        <w:adjustRightInd w:val="0"/>
        <w:snapToGrid w:val="0"/>
        <w:spacing w:before="240" w:after="240" w:line="360" w:lineRule="auto"/>
        <w:ind w:firstLine="562" w:firstLineChars="200"/>
        <w:jc w:val="both"/>
        <w:rPr>
          <w:rFonts w:hint="eastAsia"/>
          <w:b/>
          <w:color w:val="000000"/>
          <w:kern w:val="0"/>
          <w:szCs w:val="20"/>
        </w:rPr>
      </w:pPr>
      <w:bookmarkStart w:id="701" w:name="_Toc173918968"/>
      <w:bookmarkStart w:id="702" w:name="_Toc173869293"/>
      <w:r>
        <w:rPr>
          <w:rFonts w:hint="eastAsia"/>
          <w:b/>
          <w:color w:val="000000"/>
          <w:kern w:val="0"/>
          <w:szCs w:val="20"/>
        </w:rPr>
        <w:t>四、消防与洒水</w:t>
      </w:r>
      <w:bookmarkEnd w:id="701"/>
      <w:bookmarkEnd w:id="702"/>
    </w:p>
    <w:p w14:paraId="3A512363">
      <w:pPr>
        <w:pStyle w:val="23"/>
        <w:rPr>
          <w:rFonts w:hint="eastAsia"/>
        </w:rPr>
      </w:pPr>
      <w:r>
        <w:rPr>
          <w:rFonts w:hint="eastAsia"/>
        </w:rPr>
        <w:t>1、消防洒水系统</w:t>
      </w:r>
    </w:p>
    <w:p w14:paraId="7EFD8B32">
      <w:pPr>
        <w:pStyle w:val="23"/>
        <w:rPr>
          <w:rFonts w:hint="eastAsia"/>
        </w:rPr>
      </w:pPr>
      <w:r>
        <w:rPr>
          <w:rFonts w:hint="eastAsia"/>
        </w:rPr>
        <w:t>在回风斜井附近设300</w:t>
      </w:r>
      <w:r>
        <w:t>m</w:t>
      </w:r>
      <w:r>
        <w:rPr>
          <w:vertAlign w:val="superscript"/>
        </w:rPr>
        <w:t>3</w:t>
      </w:r>
      <w:r>
        <w:rPr>
          <w:rFonts w:hint="eastAsia"/>
        </w:rPr>
        <w:t>地面和井下消防与防尘洒水水池，水源</w:t>
      </w:r>
      <w:r>
        <w:rPr>
          <w:rFonts w:hint="eastAsia"/>
          <w:color w:val="000000"/>
        </w:rPr>
        <w:t>主要由经井下水处理站处理后的井下水进入300</w:t>
      </w:r>
      <w:r>
        <w:rPr>
          <w:color w:val="000000"/>
        </w:rPr>
        <w:t>m</w:t>
      </w:r>
      <w:r>
        <w:rPr>
          <w:color w:val="000000"/>
          <w:vertAlign w:val="superscript"/>
        </w:rPr>
        <w:t>3</w:t>
      </w:r>
      <w:r>
        <w:rPr>
          <w:rFonts w:hint="eastAsia"/>
        </w:rPr>
        <w:t>消防与防尘洒水</w:t>
      </w:r>
      <w:r>
        <w:rPr>
          <w:rFonts w:hint="eastAsia"/>
          <w:color w:val="000000"/>
        </w:rPr>
        <w:t>水池供给，</w:t>
      </w:r>
      <w:r>
        <w:rPr>
          <w:rFonts w:hint="eastAsia"/>
        </w:rPr>
        <w:t>井下消防与防尘洒水由</w:t>
      </w:r>
      <w:r>
        <w:rPr>
          <w:rFonts w:hint="eastAsia"/>
          <w:color w:val="000000"/>
        </w:rPr>
        <w:t>主斜井和回风斜井分别铺设无缝钢管</w:t>
      </w:r>
      <w:r>
        <w:rPr>
          <w:rFonts w:hint="eastAsia"/>
        </w:rPr>
        <w:t>至井下各用水点，</w:t>
      </w:r>
      <w:r>
        <w:t>井下管道采用</w:t>
      </w:r>
      <w:r>
        <w:rPr>
          <w:rFonts w:hint="eastAsia"/>
        </w:rPr>
        <w:t>消防与防尘洒水</w:t>
      </w:r>
      <w:r>
        <w:t>一的</w:t>
      </w:r>
      <w:r>
        <w:rPr>
          <w:rFonts w:hint="eastAsia"/>
        </w:rPr>
        <w:t>枝</w:t>
      </w:r>
      <w:r>
        <w:t>状</w:t>
      </w:r>
      <w:r>
        <w:rPr>
          <w:rFonts w:hint="eastAsia"/>
        </w:rPr>
        <w:t>管网</w:t>
      </w:r>
      <w:r>
        <w:t>，</w:t>
      </w:r>
      <w:r>
        <w:rPr>
          <w:rFonts w:hint="eastAsia"/>
        </w:rPr>
        <w:t>局部用水点压力太大时采用减压阀减压。</w:t>
      </w:r>
    </w:p>
    <w:p w14:paraId="0123D27C">
      <w:pPr>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水质</w:t>
      </w:r>
    </w:p>
    <w:p w14:paraId="2706A292">
      <w:pPr>
        <w:spacing w:line="360" w:lineRule="auto"/>
        <w:ind w:firstLine="480" w:firstLineChars="200"/>
        <w:rPr>
          <w:rFonts w:ascii="宋体" w:hAnsi="宋体"/>
          <w:sz w:val="24"/>
        </w:rPr>
      </w:pPr>
      <w:r>
        <w:rPr>
          <w:rFonts w:ascii="宋体" w:hAnsi="宋体"/>
          <w:sz w:val="24"/>
        </w:rPr>
        <w:t>井下排水经处理消毒后，水质完全满足以下井下消防洒水水质要求。</w:t>
      </w:r>
    </w:p>
    <w:p w14:paraId="0C15A9E0">
      <w:pPr>
        <w:spacing w:line="360" w:lineRule="auto"/>
        <w:ind w:firstLine="480" w:firstLineChars="200"/>
        <w:jc w:val="center"/>
        <w:rPr>
          <w:rFonts w:ascii="宋体" w:hAnsi="宋体"/>
          <w:sz w:val="24"/>
        </w:rPr>
      </w:pPr>
      <w:r>
        <w:rPr>
          <w:rFonts w:ascii="宋体" w:hAnsi="宋体"/>
          <w:sz w:val="24"/>
        </w:rPr>
        <w:t>防尘洒水用水水质标准</w:t>
      </w:r>
    </w:p>
    <w:tbl>
      <w:tblPr>
        <w:tblStyle w:val="6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83"/>
        <w:gridCol w:w="3829"/>
        <w:gridCol w:w="3980"/>
      </w:tblGrid>
      <w:tr w14:paraId="3CB1E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atLeast"/>
          <w:jc w:val="center"/>
        </w:trPr>
        <w:tc>
          <w:tcPr>
            <w:tcW w:w="1183" w:type="dxa"/>
            <w:noWrap w:val="0"/>
            <w:vAlign w:val="center"/>
          </w:tcPr>
          <w:p w14:paraId="432B2E97">
            <w:pPr>
              <w:jc w:val="center"/>
              <w:rPr>
                <w:rFonts w:ascii="宋体" w:hAnsi="宋体"/>
                <w:sz w:val="24"/>
              </w:rPr>
            </w:pPr>
            <w:r>
              <w:rPr>
                <w:rFonts w:ascii="宋体" w:hAnsi="宋体"/>
                <w:sz w:val="24"/>
              </w:rPr>
              <w:t>序</w:t>
            </w:r>
            <w:r>
              <w:rPr>
                <w:rFonts w:hint="eastAsia" w:ascii="宋体" w:hAnsi="宋体"/>
                <w:sz w:val="24"/>
              </w:rPr>
              <w:t xml:space="preserve"> </w:t>
            </w:r>
            <w:r>
              <w:rPr>
                <w:rFonts w:ascii="宋体" w:hAnsi="宋体"/>
                <w:sz w:val="24"/>
              </w:rPr>
              <w:t>号</w:t>
            </w:r>
          </w:p>
        </w:tc>
        <w:tc>
          <w:tcPr>
            <w:tcW w:w="3829" w:type="dxa"/>
            <w:noWrap w:val="0"/>
            <w:vAlign w:val="center"/>
          </w:tcPr>
          <w:p w14:paraId="1182151E">
            <w:pPr>
              <w:ind w:firstLine="480" w:firstLineChars="200"/>
              <w:jc w:val="center"/>
              <w:rPr>
                <w:rFonts w:ascii="宋体" w:hAnsi="宋体"/>
                <w:sz w:val="24"/>
              </w:rPr>
            </w:pPr>
            <w:r>
              <w:rPr>
                <w:rFonts w:ascii="宋体" w:hAnsi="宋体"/>
                <w:sz w:val="24"/>
              </w:rPr>
              <w:t>项</w:t>
            </w:r>
            <w:r>
              <w:rPr>
                <w:rFonts w:hint="eastAsia" w:ascii="宋体" w:hAnsi="宋体"/>
                <w:sz w:val="24"/>
              </w:rPr>
              <w:t xml:space="preserve">  </w:t>
            </w:r>
            <w:r>
              <w:rPr>
                <w:rFonts w:ascii="宋体" w:hAnsi="宋体"/>
                <w:sz w:val="24"/>
              </w:rPr>
              <w:t>目</w:t>
            </w:r>
          </w:p>
        </w:tc>
        <w:tc>
          <w:tcPr>
            <w:tcW w:w="3980" w:type="dxa"/>
            <w:noWrap w:val="0"/>
            <w:vAlign w:val="center"/>
          </w:tcPr>
          <w:p w14:paraId="6BA0BB13">
            <w:pPr>
              <w:ind w:firstLine="480" w:firstLineChars="200"/>
              <w:jc w:val="center"/>
              <w:rPr>
                <w:rFonts w:ascii="宋体" w:hAnsi="宋体"/>
                <w:sz w:val="24"/>
              </w:rPr>
            </w:pPr>
            <w:r>
              <w:rPr>
                <w:rFonts w:ascii="宋体" w:hAnsi="宋体"/>
                <w:sz w:val="24"/>
              </w:rPr>
              <w:t>标</w:t>
            </w:r>
            <w:r>
              <w:rPr>
                <w:rFonts w:hint="eastAsia" w:ascii="宋体" w:hAnsi="宋体"/>
                <w:sz w:val="24"/>
              </w:rPr>
              <w:t xml:space="preserve">  </w:t>
            </w:r>
            <w:r>
              <w:rPr>
                <w:rFonts w:ascii="宋体" w:hAnsi="宋体"/>
                <w:sz w:val="24"/>
              </w:rPr>
              <w:t>准</w:t>
            </w:r>
          </w:p>
        </w:tc>
      </w:tr>
      <w:tr w14:paraId="462E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atLeast"/>
          <w:jc w:val="center"/>
        </w:trPr>
        <w:tc>
          <w:tcPr>
            <w:tcW w:w="1183" w:type="dxa"/>
            <w:noWrap w:val="0"/>
            <w:vAlign w:val="center"/>
          </w:tcPr>
          <w:p w14:paraId="25405629">
            <w:pPr>
              <w:jc w:val="center"/>
              <w:rPr>
                <w:rFonts w:ascii="宋体" w:hAnsi="宋体"/>
                <w:sz w:val="24"/>
              </w:rPr>
            </w:pPr>
            <w:r>
              <w:rPr>
                <w:rFonts w:ascii="宋体" w:hAnsi="宋体"/>
                <w:sz w:val="24"/>
              </w:rPr>
              <w:t>1</w:t>
            </w:r>
          </w:p>
        </w:tc>
        <w:tc>
          <w:tcPr>
            <w:tcW w:w="3829" w:type="dxa"/>
            <w:noWrap w:val="0"/>
            <w:vAlign w:val="center"/>
          </w:tcPr>
          <w:p w14:paraId="3E9EFEA5">
            <w:pPr>
              <w:ind w:firstLine="480" w:firstLineChars="200"/>
              <w:jc w:val="center"/>
              <w:rPr>
                <w:rFonts w:ascii="宋体" w:hAnsi="宋体"/>
                <w:sz w:val="24"/>
              </w:rPr>
            </w:pPr>
            <w:r>
              <w:rPr>
                <w:rFonts w:ascii="宋体" w:hAnsi="宋体"/>
                <w:sz w:val="24"/>
              </w:rPr>
              <w:t>悬浮物含量</w:t>
            </w:r>
          </w:p>
        </w:tc>
        <w:tc>
          <w:tcPr>
            <w:tcW w:w="3980" w:type="dxa"/>
            <w:noWrap w:val="0"/>
            <w:vAlign w:val="center"/>
          </w:tcPr>
          <w:p w14:paraId="1CAF3CA4">
            <w:pPr>
              <w:ind w:firstLine="480" w:firstLineChars="200"/>
              <w:jc w:val="center"/>
              <w:rPr>
                <w:rFonts w:ascii="宋体" w:hAnsi="宋体"/>
                <w:sz w:val="24"/>
              </w:rPr>
            </w:pPr>
            <w:r>
              <w:rPr>
                <w:rFonts w:ascii="宋体" w:hAnsi="宋体"/>
                <w:sz w:val="24"/>
              </w:rPr>
              <w:t>不超过</w:t>
            </w:r>
            <w:r>
              <w:rPr>
                <w:rFonts w:hint="eastAsia" w:ascii="宋体" w:hAnsi="宋体"/>
                <w:sz w:val="24"/>
              </w:rPr>
              <w:t>30</w:t>
            </w:r>
            <w:r>
              <w:rPr>
                <w:rFonts w:ascii="宋体" w:hAnsi="宋体"/>
                <w:sz w:val="24"/>
              </w:rPr>
              <w:t>mg/L</w:t>
            </w:r>
          </w:p>
        </w:tc>
      </w:tr>
      <w:tr w14:paraId="549E2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atLeast"/>
          <w:jc w:val="center"/>
        </w:trPr>
        <w:tc>
          <w:tcPr>
            <w:tcW w:w="1183" w:type="dxa"/>
            <w:noWrap w:val="0"/>
            <w:vAlign w:val="center"/>
          </w:tcPr>
          <w:p w14:paraId="64964247">
            <w:pPr>
              <w:jc w:val="center"/>
              <w:rPr>
                <w:rFonts w:ascii="宋体" w:hAnsi="宋体"/>
                <w:sz w:val="24"/>
              </w:rPr>
            </w:pPr>
            <w:r>
              <w:rPr>
                <w:rFonts w:ascii="宋体" w:hAnsi="宋体"/>
                <w:sz w:val="24"/>
              </w:rPr>
              <w:t>2</w:t>
            </w:r>
          </w:p>
        </w:tc>
        <w:tc>
          <w:tcPr>
            <w:tcW w:w="3829" w:type="dxa"/>
            <w:noWrap w:val="0"/>
            <w:vAlign w:val="center"/>
          </w:tcPr>
          <w:p w14:paraId="6C8539C1">
            <w:pPr>
              <w:ind w:firstLine="480" w:firstLineChars="200"/>
              <w:jc w:val="center"/>
              <w:rPr>
                <w:rFonts w:ascii="宋体" w:hAnsi="宋体"/>
                <w:sz w:val="24"/>
              </w:rPr>
            </w:pPr>
            <w:r>
              <w:rPr>
                <w:rFonts w:ascii="宋体" w:hAnsi="宋体"/>
                <w:sz w:val="24"/>
              </w:rPr>
              <w:t>悬浮物粒度</w:t>
            </w:r>
          </w:p>
        </w:tc>
        <w:tc>
          <w:tcPr>
            <w:tcW w:w="3980" w:type="dxa"/>
            <w:noWrap w:val="0"/>
            <w:vAlign w:val="center"/>
          </w:tcPr>
          <w:p w14:paraId="0D35602E">
            <w:pPr>
              <w:ind w:firstLine="480" w:firstLineChars="200"/>
              <w:jc w:val="center"/>
              <w:rPr>
                <w:rFonts w:ascii="宋体" w:hAnsi="宋体"/>
                <w:sz w:val="24"/>
              </w:rPr>
            </w:pPr>
            <w:r>
              <w:rPr>
                <w:rFonts w:ascii="宋体" w:hAnsi="宋体"/>
                <w:sz w:val="24"/>
              </w:rPr>
              <w:t>不大于0.3mm</w:t>
            </w:r>
          </w:p>
        </w:tc>
      </w:tr>
      <w:tr w14:paraId="16DA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atLeast"/>
          <w:jc w:val="center"/>
        </w:trPr>
        <w:tc>
          <w:tcPr>
            <w:tcW w:w="1183" w:type="dxa"/>
            <w:noWrap w:val="0"/>
            <w:vAlign w:val="center"/>
          </w:tcPr>
          <w:p w14:paraId="4E3EF181">
            <w:pPr>
              <w:jc w:val="center"/>
              <w:rPr>
                <w:rFonts w:ascii="宋体" w:hAnsi="宋体"/>
                <w:sz w:val="24"/>
              </w:rPr>
            </w:pPr>
            <w:r>
              <w:rPr>
                <w:rFonts w:ascii="宋体" w:hAnsi="宋体"/>
                <w:sz w:val="24"/>
              </w:rPr>
              <w:t>3</w:t>
            </w:r>
          </w:p>
        </w:tc>
        <w:tc>
          <w:tcPr>
            <w:tcW w:w="3829" w:type="dxa"/>
            <w:noWrap w:val="0"/>
            <w:vAlign w:val="center"/>
          </w:tcPr>
          <w:p w14:paraId="43B77FF2">
            <w:pPr>
              <w:ind w:firstLine="480" w:firstLineChars="200"/>
              <w:jc w:val="center"/>
              <w:rPr>
                <w:rFonts w:ascii="宋体" w:hAnsi="宋体"/>
                <w:sz w:val="24"/>
              </w:rPr>
            </w:pPr>
            <w:r>
              <w:rPr>
                <w:rFonts w:ascii="宋体" w:hAnsi="宋体"/>
                <w:sz w:val="24"/>
              </w:rPr>
              <w:t>PH值</w:t>
            </w:r>
          </w:p>
        </w:tc>
        <w:tc>
          <w:tcPr>
            <w:tcW w:w="3980" w:type="dxa"/>
            <w:noWrap w:val="0"/>
            <w:vAlign w:val="center"/>
          </w:tcPr>
          <w:p w14:paraId="04DEEC58">
            <w:pPr>
              <w:ind w:firstLine="480" w:firstLineChars="200"/>
              <w:jc w:val="center"/>
              <w:rPr>
                <w:rFonts w:hint="eastAsia" w:ascii="宋体" w:hAnsi="宋体"/>
                <w:sz w:val="24"/>
              </w:rPr>
            </w:pPr>
            <w:r>
              <w:rPr>
                <w:rFonts w:ascii="宋体" w:hAnsi="宋体"/>
                <w:sz w:val="24"/>
              </w:rPr>
              <w:t>6～</w:t>
            </w:r>
            <w:r>
              <w:rPr>
                <w:rFonts w:hint="eastAsia" w:ascii="宋体" w:hAnsi="宋体"/>
                <w:sz w:val="24"/>
              </w:rPr>
              <w:t>9</w:t>
            </w:r>
          </w:p>
        </w:tc>
      </w:tr>
      <w:tr w14:paraId="2E1B3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atLeast"/>
          <w:jc w:val="center"/>
        </w:trPr>
        <w:tc>
          <w:tcPr>
            <w:tcW w:w="1183" w:type="dxa"/>
            <w:noWrap w:val="0"/>
            <w:vAlign w:val="center"/>
          </w:tcPr>
          <w:p w14:paraId="2B832D6F">
            <w:pPr>
              <w:jc w:val="center"/>
              <w:rPr>
                <w:rFonts w:ascii="宋体" w:hAnsi="宋体"/>
                <w:sz w:val="24"/>
              </w:rPr>
            </w:pPr>
            <w:r>
              <w:rPr>
                <w:rFonts w:ascii="宋体" w:hAnsi="宋体"/>
                <w:sz w:val="24"/>
              </w:rPr>
              <w:t>4</w:t>
            </w:r>
          </w:p>
        </w:tc>
        <w:tc>
          <w:tcPr>
            <w:tcW w:w="3829" w:type="dxa"/>
            <w:noWrap w:val="0"/>
            <w:vAlign w:val="center"/>
          </w:tcPr>
          <w:p w14:paraId="2DEA8877">
            <w:pPr>
              <w:ind w:firstLine="480" w:firstLineChars="200"/>
              <w:jc w:val="center"/>
              <w:rPr>
                <w:rFonts w:ascii="宋体" w:hAnsi="宋体"/>
                <w:sz w:val="24"/>
              </w:rPr>
            </w:pPr>
            <w:r>
              <w:rPr>
                <w:rFonts w:hint="eastAsia" w:ascii="宋体" w:hAnsi="宋体"/>
                <w:sz w:val="24"/>
              </w:rPr>
              <w:t>总</w:t>
            </w:r>
            <w:r>
              <w:rPr>
                <w:rFonts w:ascii="宋体" w:hAnsi="宋体"/>
                <w:sz w:val="24"/>
              </w:rPr>
              <w:t>大肠菌群</w:t>
            </w:r>
          </w:p>
        </w:tc>
        <w:tc>
          <w:tcPr>
            <w:tcW w:w="3980" w:type="dxa"/>
            <w:noWrap w:val="0"/>
            <w:vAlign w:val="center"/>
          </w:tcPr>
          <w:p w14:paraId="5AFB9D4F">
            <w:pPr>
              <w:ind w:firstLine="480" w:firstLineChars="200"/>
              <w:jc w:val="center"/>
              <w:rPr>
                <w:rFonts w:hint="eastAsia" w:ascii="宋体" w:hAnsi="宋体"/>
                <w:sz w:val="24"/>
              </w:rPr>
            </w:pPr>
            <w:r>
              <w:rPr>
                <w:rFonts w:hint="eastAsia" w:ascii="宋体" w:hAnsi="宋体"/>
                <w:sz w:val="24"/>
              </w:rPr>
              <w:t>每100ml水样中不得检出</w:t>
            </w:r>
          </w:p>
        </w:tc>
      </w:tr>
      <w:tr w14:paraId="0F842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2" w:hRule="atLeast"/>
          <w:jc w:val="center"/>
        </w:trPr>
        <w:tc>
          <w:tcPr>
            <w:tcW w:w="1183" w:type="dxa"/>
            <w:noWrap w:val="0"/>
            <w:vAlign w:val="center"/>
          </w:tcPr>
          <w:p w14:paraId="52AD789F">
            <w:pPr>
              <w:jc w:val="center"/>
              <w:rPr>
                <w:rFonts w:hint="eastAsia" w:ascii="宋体" w:hAnsi="宋体"/>
                <w:sz w:val="24"/>
              </w:rPr>
            </w:pPr>
            <w:r>
              <w:rPr>
                <w:rFonts w:hint="eastAsia" w:ascii="宋体" w:hAnsi="宋体"/>
                <w:sz w:val="24"/>
              </w:rPr>
              <w:t>5</w:t>
            </w:r>
          </w:p>
        </w:tc>
        <w:tc>
          <w:tcPr>
            <w:tcW w:w="3829" w:type="dxa"/>
            <w:noWrap w:val="0"/>
            <w:vAlign w:val="center"/>
          </w:tcPr>
          <w:p w14:paraId="5C7B07E0">
            <w:pPr>
              <w:ind w:firstLine="480" w:firstLineChars="200"/>
              <w:jc w:val="center"/>
              <w:rPr>
                <w:rFonts w:hint="eastAsia" w:ascii="宋体" w:hAnsi="宋体"/>
                <w:sz w:val="24"/>
              </w:rPr>
            </w:pPr>
            <w:r>
              <w:rPr>
                <w:rFonts w:hint="eastAsia" w:ascii="宋体" w:hAnsi="宋体"/>
                <w:sz w:val="24"/>
              </w:rPr>
              <w:t>粪</w:t>
            </w:r>
            <w:r>
              <w:rPr>
                <w:rFonts w:ascii="宋体" w:hAnsi="宋体"/>
                <w:sz w:val="24"/>
              </w:rPr>
              <w:t>大肠菌群</w:t>
            </w:r>
          </w:p>
        </w:tc>
        <w:tc>
          <w:tcPr>
            <w:tcW w:w="3980" w:type="dxa"/>
            <w:noWrap w:val="0"/>
            <w:vAlign w:val="center"/>
          </w:tcPr>
          <w:p w14:paraId="3396DB01">
            <w:pPr>
              <w:ind w:firstLine="480" w:firstLineChars="200"/>
              <w:jc w:val="center"/>
              <w:rPr>
                <w:rFonts w:ascii="宋体" w:hAnsi="宋体"/>
                <w:sz w:val="24"/>
              </w:rPr>
            </w:pPr>
            <w:r>
              <w:rPr>
                <w:rFonts w:hint="eastAsia" w:ascii="宋体" w:hAnsi="宋体"/>
                <w:sz w:val="24"/>
              </w:rPr>
              <w:t>每100ml水样中不得检出</w:t>
            </w:r>
          </w:p>
        </w:tc>
      </w:tr>
    </w:tbl>
    <w:p w14:paraId="66AAF221">
      <w:pPr>
        <w:spacing w:line="360" w:lineRule="auto"/>
        <w:ind w:firstLine="480" w:firstLineChars="200"/>
        <w:rPr>
          <w:rFonts w:hint="eastAsia" w:ascii="宋体" w:hAnsi="宋体"/>
          <w:sz w:val="24"/>
        </w:rPr>
      </w:pPr>
      <w:r>
        <w:rPr>
          <w:rFonts w:hint="eastAsia" w:ascii="宋体" w:hAnsi="宋体"/>
          <w:sz w:val="24"/>
        </w:rPr>
        <w:t>3、</w:t>
      </w:r>
      <w:r>
        <w:rPr>
          <w:rFonts w:ascii="宋体" w:hAnsi="宋体"/>
          <w:sz w:val="24"/>
        </w:rPr>
        <w:t>管道布置</w:t>
      </w:r>
    </w:p>
    <w:p w14:paraId="1970A6C6">
      <w:pPr>
        <w:pStyle w:val="23"/>
        <w:rPr>
          <w:rFonts w:hint="eastAsia"/>
        </w:rPr>
      </w:pPr>
      <w:r>
        <w:t>井下管道采用</w:t>
      </w:r>
      <w:r>
        <w:rPr>
          <w:rFonts w:hint="eastAsia"/>
        </w:rPr>
        <w:t>消防与防尘洒水</w:t>
      </w:r>
      <w:r>
        <w:t>合一的管道系统，利用支状管道送至各用水点和工作面，消防与洒水管路沿</w:t>
      </w:r>
      <w:r>
        <w:rPr>
          <w:rFonts w:hint="eastAsia"/>
        </w:rPr>
        <w:t>主斜井及回风斜井</w:t>
      </w:r>
      <w:r>
        <w:t>至车场、井下</w:t>
      </w:r>
      <w:r>
        <w:rPr>
          <w:rFonts w:hint="eastAsia"/>
        </w:rPr>
        <w:t>主要</w:t>
      </w:r>
      <w:r>
        <w:t>巷</w:t>
      </w:r>
      <w:r>
        <w:rPr>
          <w:rFonts w:hint="eastAsia"/>
        </w:rPr>
        <w:t>道</w:t>
      </w:r>
      <w:r>
        <w:t>、</w:t>
      </w:r>
      <w:r>
        <w:rPr>
          <w:rFonts w:hint="eastAsia"/>
        </w:rPr>
        <w:t>井筒</w:t>
      </w:r>
      <w:r>
        <w:t>、顺槽、采掘工作面等各用水地点。</w:t>
      </w:r>
    </w:p>
    <w:p w14:paraId="7DDF7536">
      <w:pPr>
        <w:pStyle w:val="23"/>
        <w:rPr>
          <w:rFonts w:hint="eastAsia"/>
        </w:rPr>
      </w:pPr>
      <w:r>
        <w:rPr>
          <w:rFonts w:hint="eastAsia"/>
        </w:rPr>
        <w:t>4、消火栓</w:t>
      </w:r>
    </w:p>
    <w:p w14:paraId="4AA151AC">
      <w:pPr>
        <w:pStyle w:val="23"/>
        <w:rPr>
          <w:rFonts w:hint="eastAsia"/>
        </w:rPr>
      </w:pPr>
      <w:r>
        <w:rPr>
          <w:rFonts w:hint="eastAsia"/>
        </w:rPr>
        <w:t>井下消防栓设在车场、采区各上、下山口等机电硐室入口、掘进巷道的入口、回采工作面进、回风巷口、刮板输送机、胶带输送机机头等处附近，在主斜井及安装有胶带输送机的巷道每隔50</w:t>
      </w:r>
      <w:r>
        <w:t>m</w:t>
      </w:r>
      <w:r>
        <w:rPr>
          <w:rFonts w:hint="eastAsia"/>
        </w:rPr>
        <w:t>，在其他巷道每隔100</w:t>
      </w:r>
      <w:r>
        <w:t>m</w:t>
      </w:r>
      <w:r>
        <w:rPr>
          <w:rFonts w:hint="eastAsia"/>
        </w:rPr>
        <w:t>设消火栓，每个消火栓流量为2.5L/S。</w:t>
      </w:r>
    </w:p>
    <w:p w14:paraId="69287EF6">
      <w:pPr>
        <w:pStyle w:val="23"/>
        <w:rPr>
          <w:rFonts w:hint="eastAsia"/>
        </w:rPr>
      </w:pPr>
      <w:r>
        <w:rPr>
          <w:rFonts w:hint="eastAsia"/>
        </w:rPr>
        <w:t>5、喷雾防尘</w:t>
      </w:r>
    </w:p>
    <w:p w14:paraId="4CF80A7E">
      <w:pPr>
        <w:pStyle w:val="23"/>
        <w:rPr>
          <w:rFonts w:hint="eastAsia"/>
        </w:rPr>
      </w:pPr>
      <w:r>
        <w:rPr>
          <w:rFonts w:hint="eastAsia"/>
        </w:rPr>
        <w:t>在溜煤眼、刮板输送机、转载机、胶带输送机等的转载点上均设置喷雾防尘装置。</w:t>
      </w:r>
    </w:p>
    <w:p w14:paraId="398F09F1">
      <w:pPr>
        <w:pStyle w:val="23"/>
        <w:rPr>
          <w:rFonts w:hint="eastAsia"/>
        </w:rPr>
      </w:pPr>
      <w:r>
        <w:rPr>
          <w:rFonts w:hint="eastAsia"/>
        </w:rPr>
        <w:t>6、给水栓</w:t>
      </w:r>
    </w:p>
    <w:p w14:paraId="2895B149">
      <w:pPr>
        <w:pStyle w:val="23"/>
        <w:rPr>
          <w:rFonts w:hint="eastAsia"/>
        </w:rPr>
      </w:pPr>
      <w:r>
        <w:t>在设有供水管道的各条大巷、</w:t>
      </w:r>
      <w:r>
        <w:rPr>
          <w:rFonts w:hint="eastAsia"/>
        </w:rPr>
        <w:t>井筒</w:t>
      </w:r>
      <w:r>
        <w:t>每隔100m应设置一个规格为DN</w:t>
      </w:r>
      <w:r>
        <w:rPr>
          <w:rFonts w:hint="eastAsia"/>
        </w:rPr>
        <w:t>25</w:t>
      </w:r>
      <w:r>
        <w:t>的给水栓；在掘进巷道中：岩巷每100m，煤巷每50m设置一个规格为DN25的给水栓；在溜煤眼、翻车机、转载点等需要冲洗巷道的位置设置一个规格为DN25的给水栓。</w:t>
      </w:r>
    </w:p>
    <w:p w14:paraId="4B5EE950">
      <w:pPr>
        <w:pStyle w:val="23"/>
        <w:rPr>
          <w:rFonts w:hint="eastAsia"/>
        </w:rPr>
      </w:pPr>
      <w:r>
        <w:rPr>
          <w:rFonts w:hint="eastAsia"/>
        </w:rPr>
        <w:t>7、风流净化水幕</w:t>
      </w:r>
    </w:p>
    <w:p w14:paraId="049EBDA7">
      <w:pPr>
        <w:pStyle w:val="23"/>
        <w:rPr>
          <w:rFonts w:hint="eastAsia"/>
        </w:rPr>
      </w:pPr>
      <w:r>
        <w:rPr>
          <w:rFonts w:hint="eastAsia"/>
        </w:rPr>
        <w:t>在回风顺槽靠近出口及距工作面50m内、装煤点下风方向15～25m处、刮板输送机顺槽及巷道、采区回风巷、承担运煤的进风巷、回风大巷、承担运煤的进风大巷、斜井等处设置一道风流净化水幕。</w:t>
      </w:r>
    </w:p>
    <w:p w14:paraId="49062972">
      <w:pPr>
        <w:pStyle w:val="23"/>
        <w:rPr>
          <w:rFonts w:hint="eastAsia"/>
        </w:rPr>
      </w:pPr>
      <w:r>
        <w:rPr>
          <w:rFonts w:hint="eastAsia"/>
        </w:rPr>
        <w:t>8、与设备的连接方式</w:t>
      </w:r>
    </w:p>
    <w:p w14:paraId="42F6CF05">
      <w:pPr>
        <w:pStyle w:val="23"/>
        <w:rPr>
          <w:rFonts w:hint="eastAsia"/>
        </w:rPr>
      </w:pPr>
      <w:r>
        <w:rPr>
          <w:rFonts w:hint="eastAsia"/>
        </w:rPr>
        <w:t>与用水设备连接时，一般改用胶管，不同用水设备其胶管的规格长度不同。</w:t>
      </w:r>
    </w:p>
    <w:p w14:paraId="32B69561">
      <w:pPr>
        <w:spacing w:line="360" w:lineRule="auto"/>
        <w:ind w:firstLine="480" w:firstLineChars="200"/>
        <w:rPr>
          <w:rFonts w:hint="eastAsia" w:ascii="宋体" w:hAnsi="宋体"/>
          <w:sz w:val="24"/>
        </w:rPr>
      </w:pPr>
      <w:r>
        <w:rPr>
          <w:rFonts w:hint="eastAsia" w:ascii="宋体" w:hAnsi="宋体"/>
          <w:sz w:val="24"/>
        </w:rPr>
        <w:t>9、管材</w:t>
      </w:r>
    </w:p>
    <w:p w14:paraId="251A3711">
      <w:pPr>
        <w:spacing w:line="360" w:lineRule="auto"/>
        <w:ind w:firstLine="480" w:firstLineChars="200"/>
        <w:rPr>
          <w:rFonts w:hint="eastAsia"/>
        </w:rPr>
      </w:pPr>
      <w:r>
        <w:rPr>
          <w:rFonts w:hint="eastAsia" w:ascii="宋体" w:hAnsi="宋体"/>
          <w:sz w:val="24"/>
        </w:rPr>
        <w:t>井下采用无缝钢管，在巷道安装的管路除阀门处用法兰连接外，其余均采用相应压力的管接头。</w:t>
      </w:r>
    </w:p>
    <w:p w14:paraId="71827372">
      <w:pPr>
        <w:pStyle w:val="3"/>
        <w:keepLines/>
        <w:spacing w:before="240" w:after="240" w:line="360" w:lineRule="auto"/>
        <w:ind w:firstLine="0" w:firstLineChars="0"/>
        <w:jc w:val="center"/>
        <w:rPr>
          <w:rFonts w:hint="eastAsia"/>
          <w:b/>
          <w:color w:val="000000"/>
          <w:sz w:val="32"/>
          <w:szCs w:val="32"/>
        </w:rPr>
      </w:pPr>
      <w:bookmarkStart w:id="703" w:name="_Toc186528709"/>
      <w:bookmarkStart w:id="704" w:name="_Toc260915281"/>
      <w:bookmarkStart w:id="705" w:name="_Toc164260470"/>
      <w:bookmarkStart w:id="706" w:name="_Toc92630534"/>
      <w:bookmarkStart w:id="707" w:name="_Toc173869294"/>
      <w:r>
        <w:rPr>
          <w:rFonts w:hint="eastAsia"/>
          <w:b/>
          <w:color w:val="000000"/>
          <w:sz w:val="32"/>
          <w:szCs w:val="32"/>
        </w:rPr>
        <w:t>第七节　　采暖通风</w:t>
      </w:r>
      <w:bookmarkEnd w:id="703"/>
      <w:bookmarkEnd w:id="704"/>
    </w:p>
    <w:bookmarkEnd w:id="705"/>
    <w:bookmarkEnd w:id="706"/>
    <w:bookmarkEnd w:id="707"/>
    <w:p w14:paraId="489B8C4F">
      <w:pPr>
        <w:pStyle w:val="4"/>
        <w:keepLines/>
        <w:adjustRightInd w:val="0"/>
        <w:snapToGrid w:val="0"/>
        <w:spacing w:before="240" w:after="240" w:line="360" w:lineRule="auto"/>
        <w:ind w:firstLine="562" w:firstLineChars="200"/>
        <w:jc w:val="both"/>
        <w:rPr>
          <w:rFonts w:hint="eastAsia"/>
          <w:b/>
          <w:color w:val="000000"/>
          <w:kern w:val="0"/>
          <w:szCs w:val="20"/>
        </w:rPr>
      </w:pPr>
      <w:bookmarkStart w:id="708" w:name="_Toc173869295"/>
      <w:bookmarkStart w:id="709" w:name="_Toc173918970"/>
      <w:r>
        <w:rPr>
          <w:rFonts w:hint="eastAsia"/>
          <w:b/>
          <w:color w:val="000000"/>
          <w:kern w:val="0"/>
          <w:szCs w:val="20"/>
        </w:rPr>
        <w:t>一、热负荷计算</w:t>
      </w:r>
      <w:bookmarkEnd w:id="708"/>
      <w:bookmarkEnd w:id="709"/>
    </w:p>
    <w:p w14:paraId="10CD9124">
      <w:pPr>
        <w:tabs>
          <w:tab w:val="left" w:pos="3080"/>
        </w:tabs>
        <w:spacing w:line="360" w:lineRule="auto"/>
        <w:ind w:firstLine="480" w:firstLineChars="200"/>
        <w:rPr>
          <w:rFonts w:hint="eastAsia" w:ascii="宋体" w:hAnsi="宋体"/>
          <w:color w:val="000000"/>
          <w:sz w:val="24"/>
        </w:rPr>
      </w:pPr>
      <w:r>
        <w:rPr>
          <w:rFonts w:hint="eastAsia" w:ascii="宋体" w:hAnsi="宋体"/>
          <w:color w:val="000000"/>
          <w:sz w:val="24"/>
        </w:rPr>
        <w:t>供热范围：主要是浴室用水加热、食堂、洗衣房等，室外计算温度为－2℃，耗热量计算见详见</w:t>
      </w:r>
      <w:r>
        <w:rPr>
          <w:rFonts w:hint="eastAsia" w:ascii="宋体" w:hAnsi="宋体"/>
          <w:b/>
          <w:color w:val="000000"/>
          <w:sz w:val="24"/>
        </w:rPr>
        <w:t>表6－7－1</w:t>
      </w:r>
    </w:p>
    <w:p w14:paraId="2BB243DE">
      <w:pPr>
        <w:tabs>
          <w:tab w:val="left" w:pos="3080"/>
        </w:tabs>
        <w:spacing w:line="360" w:lineRule="auto"/>
        <w:ind w:firstLine="482" w:firstLineChars="200"/>
        <w:jc w:val="center"/>
        <w:rPr>
          <w:rFonts w:hint="eastAsia" w:ascii="宋体" w:hAnsi="宋体"/>
          <w:b/>
          <w:color w:val="000000"/>
          <w:sz w:val="24"/>
        </w:rPr>
      </w:pPr>
      <w:r>
        <w:rPr>
          <w:rFonts w:hint="eastAsia" w:ascii="宋体" w:hAnsi="宋体"/>
          <w:b/>
          <w:color w:val="000000"/>
          <w:sz w:val="24"/>
        </w:rPr>
        <w:t>表6－7－1　    耗热量计算表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438"/>
        <w:gridCol w:w="1458"/>
        <w:gridCol w:w="1202"/>
        <w:gridCol w:w="1273"/>
        <w:gridCol w:w="1161"/>
        <w:gridCol w:w="1150"/>
        <w:gridCol w:w="924"/>
      </w:tblGrid>
      <w:tr w14:paraId="1E4DE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429" w:type="dxa"/>
            <w:noWrap w:val="0"/>
            <w:vAlign w:val="center"/>
          </w:tcPr>
          <w:p w14:paraId="61FBF262">
            <w:pPr>
              <w:jc w:val="center"/>
              <w:rPr>
                <w:rFonts w:hint="eastAsia" w:ascii="宋体" w:hAnsi="宋体"/>
                <w:szCs w:val="21"/>
              </w:rPr>
            </w:pPr>
            <w:r>
              <w:rPr>
                <w:rFonts w:hint="eastAsia" w:ascii="宋体" w:hAnsi="宋体"/>
                <w:szCs w:val="21"/>
              </w:rPr>
              <w:t>序号</w:t>
            </w:r>
          </w:p>
        </w:tc>
        <w:tc>
          <w:tcPr>
            <w:tcW w:w="1438" w:type="dxa"/>
            <w:noWrap w:val="0"/>
            <w:vAlign w:val="center"/>
          </w:tcPr>
          <w:p w14:paraId="30A9DA95">
            <w:pPr>
              <w:jc w:val="center"/>
              <w:rPr>
                <w:rFonts w:hint="eastAsia" w:ascii="宋体" w:hAnsi="宋体"/>
                <w:szCs w:val="21"/>
              </w:rPr>
            </w:pPr>
            <w:r>
              <w:rPr>
                <w:rFonts w:hint="eastAsia" w:ascii="宋体" w:hAnsi="宋体"/>
                <w:szCs w:val="21"/>
              </w:rPr>
              <w:t>建筑物名称</w:t>
            </w:r>
          </w:p>
        </w:tc>
        <w:tc>
          <w:tcPr>
            <w:tcW w:w="1458" w:type="dxa"/>
            <w:noWrap w:val="0"/>
            <w:vAlign w:val="center"/>
          </w:tcPr>
          <w:p w14:paraId="1EFAB3B2">
            <w:pPr>
              <w:jc w:val="center"/>
              <w:rPr>
                <w:rFonts w:hint="eastAsia" w:ascii="宋体" w:hAnsi="宋体"/>
                <w:szCs w:val="21"/>
              </w:rPr>
            </w:pPr>
            <w:r>
              <w:rPr>
                <w:rFonts w:hint="eastAsia" w:ascii="宋体" w:hAnsi="宋体"/>
                <w:szCs w:val="21"/>
              </w:rPr>
              <w:t>室内采暖计算温度/℃</w:t>
            </w:r>
          </w:p>
        </w:tc>
        <w:tc>
          <w:tcPr>
            <w:tcW w:w="1202" w:type="dxa"/>
            <w:noWrap w:val="0"/>
            <w:vAlign w:val="center"/>
          </w:tcPr>
          <w:p w14:paraId="21254891">
            <w:pPr>
              <w:jc w:val="center"/>
              <w:rPr>
                <w:rFonts w:hint="eastAsia" w:ascii="宋体" w:hAnsi="宋体"/>
                <w:szCs w:val="21"/>
              </w:rPr>
            </w:pPr>
            <w:r>
              <w:rPr>
                <w:rFonts w:hint="eastAsia" w:ascii="宋体" w:hAnsi="宋体"/>
                <w:szCs w:val="21"/>
              </w:rPr>
              <w:t>采暖建筑物体积/m</w:t>
            </w:r>
            <w:r>
              <w:rPr>
                <w:rFonts w:hint="eastAsia" w:ascii="宋体" w:hAnsi="宋体"/>
                <w:szCs w:val="21"/>
                <w:vertAlign w:val="superscript"/>
              </w:rPr>
              <w:t>3</w:t>
            </w:r>
          </w:p>
        </w:tc>
        <w:tc>
          <w:tcPr>
            <w:tcW w:w="1273" w:type="dxa"/>
            <w:noWrap w:val="0"/>
            <w:vAlign w:val="center"/>
          </w:tcPr>
          <w:p w14:paraId="2F3F9B05">
            <w:pPr>
              <w:jc w:val="center"/>
              <w:rPr>
                <w:rFonts w:hint="eastAsia" w:ascii="宋体" w:hAnsi="宋体"/>
                <w:szCs w:val="21"/>
              </w:rPr>
            </w:pPr>
            <w:r>
              <w:rPr>
                <w:rFonts w:hint="eastAsia" w:ascii="宋体" w:hAnsi="宋体"/>
                <w:szCs w:val="21"/>
              </w:rPr>
              <w:t>采暖热指标(W.m</w:t>
            </w:r>
            <w:r>
              <w:rPr>
                <w:rFonts w:hint="eastAsia" w:ascii="宋体" w:hAnsi="宋体"/>
                <w:szCs w:val="21"/>
                <w:vertAlign w:val="superscript"/>
              </w:rPr>
              <w:t>-3</w:t>
            </w:r>
            <w:r>
              <w:rPr>
                <w:rFonts w:hint="eastAsia" w:ascii="宋体" w:hAnsi="宋体"/>
                <w:szCs w:val="21"/>
              </w:rPr>
              <w:t>K</w:t>
            </w:r>
            <w:r>
              <w:rPr>
                <w:rFonts w:hint="eastAsia" w:ascii="宋体" w:hAnsi="宋体"/>
                <w:szCs w:val="21"/>
                <w:vertAlign w:val="superscript"/>
              </w:rPr>
              <w:t>-1</w:t>
            </w:r>
            <w:r>
              <w:rPr>
                <w:rFonts w:hint="eastAsia" w:ascii="宋体" w:hAnsi="宋体"/>
                <w:szCs w:val="21"/>
              </w:rPr>
              <w:t>)</w:t>
            </w:r>
          </w:p>
        </w:tc>
        <w:tc>
          <w:tcPr>
            <w:tcW w:w="1161" w:type="dxa"/>
            <w:noWrap w:val="0"/>
            <w:vAlign w:val="center"/>
          </w:tcPr>
          <w:p w14:paraId="054DBF95">
            <w:pPr>
              <w:jc w:val="center"/>
              <w:rPr>
                <w:rFonts w:hint="eastAsia" w:ascii="宋体" w:hAnsi="宋体"/>
                <w:szCs w:val="21"/>
              </w:rPr>
            </w:pPr>
            <w:r>
              <w:rPr>
                <w:rFonts w:hint="eastAsia" w:ascii="宋体" w:hAnsi="宋体"/>
                <w:szCs w:val="21"/>
              </w:rPr>
              <w:t>室内外温度差/℃</w:t>
            </w:r>
          </w:p>
        </w:tc>
        <w:tc>
          <w:tcPr>
            <w:tcW w:w="1150" w:type="dxa"/>
            <w:noWrap w:val="0"/>
            <w:vAlign w:val="center"/>
          </w:tcPr>
          <w:p w14:paraId="60B91549">
            <w:pPr>
              <w:jc w:val="center"/>
              <w:rPr>
                <w:rFonts w:hint="eastAsia" w:ascii="宋体" w:hAnsi="宋体"/>
                <w:szCs w:val="21"/>
              </w:rPr>
            </w:pPr>
            <w:r>
              <w:rPr>
                <w:rFonts w:hint="eastAsia" w:ascii="宋体" w:hAnsi="宋体"/>
                <w:szCs w:val="21"/>
              </w:rPr>
              <w:t>耗热量/W</w:t>
            </w:r>
          </w:p>
        </w:tc>
        <w:tc>
          <w:tcPr>
            <w:tcW w:w="924" w:type="dxa"/>
            <w:noWrap w:val="0"/>
            <w:vAlign w:val="center"/>
          </w:tcPr>
          <w:p w14:paraId="5A490427">
            <w:pPr>
              <w:jc w:val="center"/>
              <w:rPr>
                <w:rFonts w:hint="eastAsia" w:ascii="宋体" w:hAnsi="宋体"/>
                <w:szCs w:val="21"/>
              </w:rPr>
            </w:pPr>
            <w:r>
              <w:rPr>
                <w:rFonts w:hint="eastAsia" w:ascii="宋体" w:hAnsi="宋体"/>
                <w:szCs w:val="21"/>
              </w:rPr>
              <w:t>备注</w:t>
            </w:r>
          </w:p>
        </w:tc>
      </w:tr>
      <w:tr w14:paraId="42AC6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429" w:type="dxa"/>
            <w:noWrap w:val="0"/>
            <w:vAlign w:val="center"/>
          </w:tcPr>
          <w:p w14:paraId="12911B51">
            <w:pPr>
              <w:jc w:val="center"/>
              <w:rPr>
                <w:rFonts w:hint="eastAsia" w:ascii="宋体" w:hAnsi="宋体"/>
                <w:szCs w:val="21"/>
              </w:rPr>
            </w:pPr>
            <w:r>
              <w:rPr>
                <w:rFonts w:hint="eastAsia" w:ascii="宋体" w:hAnsi="宋体"/>
                <w:szCs w:val="21"/>
              </w:rPr>
              <w:t>1</w:t>
            </w:r>
          </w:p>
        </w:tc>
        <w:tc>
          <w:tcPr>
            <w:tcW w:w="1438" w:type="dxa"/>
            <w:noWrap w:val="0"/>
            <w:vAlign w:val="center"/>
          </w:tcPr>
          <w:p w14:paraId="5E71807C">
            <w:pPr>
              <w:jc w:val="center"/>
              <w:rPr>
                <w:rFonts w:hint="eastAsia" w:ascii="宋体" w:hAnsi="宋体"/>
                <w:szCs w:val="21"/>
              </w:rPr>
            </w:pPr>
            <w:r>
              <w:rPr>
                <w:rFonts w:hint="eastAsia" w:ascii="宋体" w:hAnsi="宋体"/>
                <w:szCs w:val="21"/>
              </w:rPr>
              <w:t>办公综合楼</w:t>
            </w:r>
          </w:p>
        </w:tc>
        <w:tc>
          <w:tcPr>
            <w:tcW w:w="1458" w:type="dxa"/>
            <w:noWrap w:val="0"/>
            <w:vAlign w:val="center"/>
          </w:tcPr>
          <w:p w14:paraId="43D1DBD1">
            <w:pPr>
              <w:jc w:val="center"/>
              <w:rPr>
                <w:rFonts w:hint="eastAsia" w:ascii="宋体" w:hAnsi="宋体"/>
                <w:szCs w:val="21"/>
              </w:rPr>
            </w:pPr>
            <w:r>
              <w:rPr>
                <w:rFonts w:hint="eastAsia" w:ascii="宋体" w:hAnsi="宋体"/>
                <w:szCs w:val="21"/>
              </w:rPr>
              <w:t>18</w:t>
            </w:r>
          </w:p>
        </w:tc>
        <w:tc>
          <w:tcPr>
            <w:tcW w:w="1202" w:type="dxa"/>
            <w:noWrap w:val="0"/>
            <w:vAlign w:val="center"/>
          </w:tcPr>
          <w:p w14:paraId="79387327">
            <w:pPr>
              <w:jc w:val="center"/>
              <w:rPr>
                <w:rFonts w:hint="eastAsia" w:ascii="宋体" w:hAnsi="宋体"/>
                <w:szCs w:val="21"/>
              </w:rPr>
            </w:pPr>
            <w:r>
              <w:rPr>
                <w:rFonts w:hint="eastAsia" w:ascii="宋体" w:hAnsi="宋体"/>
                <w:szCs w:val="21"/>
              </w:rPr>
              <w:t>1800</w:t>
            </w:r>
          </w:p>
        </w:tc>
        <w:tc>
          <w:tcPr>
            <w:tcW w:w="1273" w:type="dxa"/>
            <w:noWrap w:val="0"/>
            <w:vAlign w:val="center"/>
          </w:tcPr>
          <w:p w14:paraId="3DC79463">
            <w:pPr>
              <w:jc w:val="center"/>
              <w:rPr>
                <w:rFonts w:hint="eastAsia" w:ascii="宋体" w:hAnsi="宋体"/>
                <w:szCs w:val="21"/>
              </w:rPr>
            </w:pPr>
            <w:r>
              <w:rPr>
                <w:rFonts w:hint="eastAsia" w:ascii="宋体" w:hAnsi="宋体"/>
                <w:szCs w:val="21"/>
              </w:rPr>
              <w:t>23．33</w:t>
            </w:r>
          </w:p>
        </w:tc>
        <w:tc>
          <w:tcPr>
            <w:tcW w:w="1161" w:type="dxa"/>
            <w:noWrap w:val="0"/>
            <w:vAlign w:val="center"/>
          </w:tcPr>
          <w:p w14:paraId="37BBCF3B">
            <w:pPr>
              <w:jc w:val="center"/>
              <w:rPr>
                <w:rFonts w:hint="eastAsia" w:ascii="宋体" w:hAnsi="宋体"/>
                <w:szCs w:val="21"/>
              </w:rPr>
            </w:pPr>
            <w:r>
              <w:rPr>
                <w:rFonts w:hint="eastAsia" w:ascii="宋体" w:hAnsi="宋体"/>
                <w:szCs w:val="21"/>
              </w:rPr>
              <w:t>21</w:t>
            </w:r>
          </w:p>
        </w:tc>
        <w:tc>
          <w:tcPr>
            <w:tcW w:w="1150" w:type="dxa"/>
            <w:noWrap w:val="0"/>
            <w:vAlign w:val="center"/>
          </w:tcPr>
          <w:p w14:paraId="1A9F035F">
            <w:pPr>
              <w:jc w:val="center"/>
              <w:rPr>
                <w:rFonts w:hint="eastAsia" w:ascii="宋体" w:hAnsi="宋体"/>
                <w:szCs w:val="21"/>
              </w:rPr>
            </w:pPr>
            <w:r>
              <w:rPr>
                <w:rFonts w:hint="eastAsia" w:ascii="宋体" w:hAnsi="宋体"/>
                <w:szCs w:val="21"/>
              </w:rPr>
              <w:t>42000</w:t>
            </w:r>
          </w:p>
        </w:tc>
        <w:tc>
          <w:tcPr>
            <w:tcW w:w="924" w:type="dxa"/>
            <w:noWrap w:val="0"/>
            <w:vAlign w:val="center"/>
          </w:tcPr>
          <w:p w14:paraId="36207619">
            <w:pPr>
              <w:jc w:val="center"/>
              <w:rPr>
                <w:rFonts w:hint="eastAsia" w:ascii="宋体" w:hAnsi="宋体"/>
                <w:szCs w:val="21"/>
              </w:rPr>
            </w:pPr>
          </w:p>
        </w:tc>
      </w:tr>
      <w:tr w14:paraId="1EDAF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429" w:type="dxa"/>
            <w:noWrap w:val="0"/>
            <w:vAlign w:val="center"/>
          </w:tcPr>
          <w:p w14:paraId="71547B1C">
            <w:pPr>
              <w:jc w:val="center"/>
              <w:rPr>
                <w:rFonts w:hint="eastAsia" w:ascii="宋体" w:hAnsi="宋体"/>
                <w:szCs w:val="21"/>
              </w:rPr>
            </w:pPr>
            <w:r>
              <w:rPr>
                <w:rFonts w:hint="eastAsia" w:ascii="宋体" w:hAnsi="宋体"/>
                <w:szCs w:val="21"/>
              </w:rPr>
              <w:t>2</w:t>
            </w:r>
          </w:p>
        </w:tc>
        <w:tc>
          <w:tcPr>
            <w:tcW w:w="1438" w:type="dxa"/>
            <w:noWrap w:val="0"/>
            <w:vAlign w:val="center"/>
          </w:tcPr>
          <w:p w14:paraId="7D7C6F34">
            <w:pPr>
              <w:jc w:val="center"/>
              <w:rPr>
                <w:rFonts w:hint="eastAsia" w:ascii="宋体" w:hAnsi="宋体"/>
                <w:szCs w:val="21"/>
              </w:rPr>
            </w:pPr>
            <w:r>
              <w:rPr>
                <w:rFonts w:hint="eastAsia" w:ascii="宋体" w:hAnsi="宋体"/>
                <w:szCs w:val="21"/>
              </w:rPr>
              <w:t>单身职工楼</w:t>
            </w:r>
          </w:p>
        </w:tc>
        <w:tc>
          <w:tcPr>
            <w:tcW w:w="1458" w:type="dxa"/>
            <w:noWrap w:val="0"/>
            <w:vAlign w:val="center"/>
          </w:tcPr>
          <w:p w14:paraId="1EE71B05">
            <w:pPr>
              <w:jc w:val="center"/>
              <w:rPr>
                <w:rFonts w:hint="eastAsia" w:ascii="宋体" w:hAnsi="宋体"/>
                <w:szCs w:val="21"/>
              </w:rPr>
            </w:pPr>
            <w:r>
              <w:rPr>
                <w:rFonts w:hint="eastAsia" w:ascii="宋体" w:hAnsi="宋体"/>
                <w:szCs w:val="21"/>
              </w:rPr>
              <w:t>18</w:t>
            </w:r>
          </w:p>
        </w:tc>
        <w:tc>
          <w:tcPr>
            <w:tcW w:w="1202" w:type="dxa"/>
            <w:noWrap w:val="0"/>
            <w:vAlign w:val="center"/>
          </w:tcPr>
          <w:p w14:paraId="627C1063">
            <w:pPr>
              <w:jc w:val="center"/>
              <w:rPr>
                <w:rFonts w:hint="eastAsia" w:ascii="宋体" w:hAnsi="宋体"/>
                <w:szCs w:val="21"/>
              </w:rPr>
            </w:pPr>
            <w:r>
              <w:rPr>
                <w:rFonts w:hint="eastAsia" w:ascii="宋体" w:hAnsi="宋体"/>
                <w:szCs w:val="21"/>
              </w:rPr>
              <w:t>2304</w:t>
            </w:r>
          </w:p>
        </w:tc>
        <w:tc>
          <w:tcPr>
            <w:tcW w:w="1273" w:type="dxa"/>
            <w:noWrap w:val="0"/>
            <w:vAlign w:val="center"/>
          </w:tcPr>
          <w:p w14:paraId="726E7B25">
            <w:pPr>
              <w:jc w:val="center"/>
              <w:rPr>
                <w:rFonts w:hint="eastAsia" w:ascii="宋体" w:hAnsi="宋体"/>
                <w:szCs w:val="21"/>
              </w:rPr>
            </w:pPr>
            <w:r>
              <w:rPr>
                <w:rFonts w:hint="eastAsia" w:ascii="宋体" w:hAnsi="宋体"/>
                <w:szCs w:val="21"/>
              </w:rPr>
              <w:t>33．33</w:t>
            </w:r>
          </w:p>
        </w:tc>
        <w:tc>
          <w:tcPr>
            <w:tcW w:w="1161" w:type="dxa"/>
            <w:noWrap w:val="0"/>
            <w:vAlign w:val="center"/>
          </w:tcPr>
          <w:p w14:paraId="61378BE9">
            <w:pPr>
              <w:jc w:val="center"/>
              <w:rPr>
                <w:rFonts w:hint="eastAsia" w:ascii="宋体" w:hAnsi="宋体"/>
                <w:szCs w:val="21"/>
              </w:rPr>
            </w:pPr>
            <w:r>
              <w:rPr>
                <w:rFonts w:hint="eastAsia" w:ascii="宋体" w:hAnsi="宋体"/>
                <w:szCs w:val="21"/>
              </w:rPr>
              <w:t>21</w:t>
            </w:r>
          </w:p>
        </w:tc>
        <w:tc>
          <w:tcPr>
            <w:tcW w:w="1150" w:type="dxa"/>
            <w:noWrap w:val="0"/>
            <w:vAlign w:val="center"/>
          </w:tcPr>
          <w:p w14:paraId="2B26F63B">
            <w:pPr>
              <w:jc w:val="center"/>
              <w:rPr>
                <w:rFonts w:hint="eastAsia" w:ascii="宋体" w:hAnsi="宋体"/>
                <w:szCs w:val="21"/>
              </w:rPr>
            </w:pPr>
            <w:r>
              <w:rPr>
                <w:rFonts w:hint="eastAsia" w:ascii="宋体" w:hAnsi="宋体"/>
                <w:szCs w:val="21"/>
              </w:rPr>
              <w:t>76800</w:t>
            </w:r>
          </w:p>
        </w:tc>
        <w:tc>
          <w:tcPr>
            <w:tcW w:w="924" w:type="dxa"/>
            <w:noWrap w:val="0"/>
            <w:vAlign w:val="center"/>
          </w:tcPr>
          <w:p w14:paraId="083AE2D3">
            <w:pPr>
              <w:jc w:val="center"/>
              <w:rPr>
                <w:rFonts w:hint="eastAsia" w:ascii="宋体" w:hAnsi="宋体"/>
                <w:szCs w:val="21"/>
              </w:rPr>
            </w:pPr>
          </w:p>
        </w:tc>
      </w:tr>
      <w:tr w14:paraId="47BD5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429" w:type="dxa"/>
            <w:noWrap w:val="0"/>
            <w:vAlign w:val="center"/>
          </w:tcPr>
          <w:p w14:paraId="00C2AC8D">
            <w:pPr>
              <w:jc w:val="center"/>
              <w:rPr>
                <w:rFonts w:hint="eastAsia" w:ascii="宋体" w:hAnsi="宋体"/>
                <w:szCs w:val="21"/>
              </w:rPr>
            </w:pPr>
            <w:r>
              <w:rPr>
                <w:rFonts w:hint="eastAsia" w:ascii="宋体" w:hAnsi="宋体"/>
                <w:szCs w:val="21"/>
              </w:rPr>
              <w:t>3</w:t>
            </w:r>
          </w:p>
        </w:tc>
        <w:tc>
          <w:tcPr>
            <w:tcW w:w="1438" w:type="dxa"/>
            <w:noWrap w:val="0"/>
            <w:vAlign w:val="center"/>
          </w:tcPr>
          <w:p w14:paraId="351D21E4">
            <w:pPr>
              <w:jc w:val="center"/>
              <w:rPr>
                <w:rFonts w:hint="eastAsia" w:ascii="宋体" w:hAnsi="宋体"/>
                <w:szCs w:val="21"/>
              </w:rPr>
            </w:pPr>
            <w:r>
              <w:rPr>
                <w:rFonts w:hint="eastAsia" w:ascii="宋体" w:hAnsi="宋体"/>
                <w:szCs w:val="21"/>
              </w:rPr>
              <w:t>灯房及浴室</w:t>
            </w:r>
          </w:p>
        </w:tc>
        <w:tc>
          <w:tcPr>
            <w:tcW w:w="1458" w:type="dxa"/>
            <w:noWrap w:val="0"/>
            <w:vAlign w:val="center"/>
          </w:tcPr>
          <w:p w14:paraId="49D7C2D5">
            <w:pPr>
              <w:jc w:val="center"/>
              <w:rPr>
                <w:rFonts w:hint="eastAsia" w:ascii="宋体" w:hAnsi="宋体"/>
                <w:szCs w:val="21"/>
              </w:rPr>
            </w:pPr>
            <w:r>
              <w:rPr>
                <w:rFonts w:hint="eastAsia" w:ascii="宋体" w:hAnsi="宋体"/>
                <w:szCs w:val="21"/>
              </w:rPr>
              <w:t>22</w:t>
            </w:r>
          </w:p>
        </w:tc>
        <w:tc>
          <w:tcPr>
            <w:tcW w:w="1202" w:type="dxa"/>
            <w:noWrap w:val="0"/>
            <w:vAlign w:val="center"/>
          </w:tcPr>
          <w:p w14:paraId="28B30A90">
            <w:pPr>
              <w:jc w:val="center"/>
              <w:rPr>
                <w:rFonts w:hint="eastAsia" w:ascii="宋体" w:hAnsi="宋体"/>
                <w:szCs w:val="21"/>
              </w:rPr>
            </w:pPr>
            <w:r>
              <w:rPr>
                <w:rFonts w:hint="eastAsia" w:ascii="宋体" w:hAnsi="宋体"/>
                <w:szCs w:val="21"/>
              </w:rPr>
              <w:t>270</w:t>
            </w:r>
          </w:p>
        </w:tc>
        <w:tc>
          <w:tcPr>
            <w:tcW w:w="1273" w:type="dxa"/>
            <w:noWrap w:val="0"/>
            <w:vAlign w:val="center"/>
          </w:tcPr>
          <w:p w14:paraId="4CFD9D30">
            <w:pPr>
              <w:jc w:val="center"/>
              <w:rPr>
                <w:rFonts w:hint="eastAsia" w:ascii="宋体" w:hAnsi="宋体"/>
                <w:szCs w:val="21"/>
              </w:rPr>
            </w:pPr>
            <w:r>
              <w:rPr>
                <w:rFonts w:hint="eastAsia" w:ascii="宋体" w:hAnsi="宋体"/>
                <w:szCs w:val="21"/>
              </w:rPr>
              <w:t>33．33</w:t>
            </w:r>
          </w:p>
        </w:tc>
        <w:tc>
          <w:tcPr>
            <w:tcW w:w="1161" w:type="dxa"/>
            <w:noWrap w:val="0"/>
            <w:vAlign w:val="center"/>
          </w:tcPr>
          <w:p w14:paraId="27A48D49">
            <w:pPr>
              <w:jc w:val="center"/>
              <w:rPr>
                <w:rFonts w:hint="eastAsia" w:ascii="宋体" w:hAnsi="宋体"/>
                <w:szCs w:val="21"/>
              </w:rPr>
            </w:pPr>
            <w:r>
              <w:rPr>
                <w:rFonts w:hint="eastAsia" w:ascii="宋体" w:hAnsi="宋体"/>
                <w:szCs w:val="21"/>
              </w:rPr>
              <w:t>25</w:t>
            </w:r>
          </w:p>
        </w:tc>
        <w:tc>
          <w:tcPr>
            <w:tcW w:w="1150" w:type="dxa"/>
            <w:noWrap w:val="0"/>
            <w:vAlign w:val="center"/>
          </w:tcPr>
          <w:p w14:paraId="7CDEE457">
            <w:pPr>
              <w:jc w:val="center"/>
              <w:rPr>
                <w:rFonts w:hint="eastAsia" w:ascii="宋体" w:hAnsi="宋体"/>
                <w:szCs w:val="21"/>
              </w:rPr>
            </w:pPr>
            <w:r>
              <w:rPr>
                <w:rFonts w:hint="eastAsia" w:ascii="宋体" w:hAnsi="宋体"/>
                <w:szCs w:val="21"/>
              </w:rPr>
              <w:t>9000</w:t>
            </w:r>
          </w:p>
        </w:tc>
        <w:tc>
          <w:tcPr>
            <w:tcW w:w="924" w:type="dxa"/>
            <w:noWrap w:val="0"/>
            <w:vAlign w:val="center"/>
          </w:tcPr>
          <w:p w14:paraId="1F8257FB">
            <w:pPr>
              <w:jc w:val="center"/>
              <w:rPr>
                <w:rFonts w:hint="eastAsia" w:ascii="宋体" w:hAnsi="宋体"/>
                <w:szCs w:val="21"/>
              </w:rPr>
            </w:pPr>
          </w:p>
        </w:tc>
      </w:tr>
      <w:tr w14:paraId="22CC0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429" w:type="dxa"/>
            <w:noWrap w:val="0"/>
            <w:vAlign w:val="center"/>
          </w:tcPr>
          <w:p w14:paraId="6D47B22A">
            <w:pPr>
              <w:jc w:val="center"/>
              <w:rPr>
                <w:rFonts w:hint="eastAsia" w:ascii="宋体" w:hAnsi="宋体"/>
                <w:szCs w:val="21"/>
              </w:rPr>
            </w:pPr>
            <w:r>
              <w:rPr>
                <w:rFonts w:hint="eastAsia" w:ascii="宋体" w:hAnsi="宋体"/>
                <w:szCs w:val="21"/>
              </w:rPr>
              <w:t>4</w:t>
            </w:r>
          </w:p>
        </w:tc>
        <w:tc>
          <w:tcPr>
            <w:tcW w:w="1438" w:type="dxa"/>
            <w:noWrap w:val="0"/>
            <w:vAlign w:val="center"/>
          </w:tcPr>
          <w:p w14:paraId="29640CD9">
            <w:pPr>
              <w:jc w:val="center"/>
              <w:rPr>
                <w:rFonts w:hint="eastAsia" w:ascii="宋体" w:hAnsi="宋体"/>
                <w:szCs w:val="21"/>
              </w:rPr>
            </w:pPr>
            <w:r>
              <w:rPr>
                <w:rFonts w:hint="eastAsia" w:ascii="宋体" w:hAnsi="宋体"/>
                <w:szCs w:val="21"/>
              </w:rPr>
              <w:t>食堂</w:t>
            </w:r>
          </w:p>
        </w:tc>
        <w:tc>
          <w:tcPr>
            <w:tcW w:w="1458" w:type="dxa"/>
            <w:noWrap w:val="0"/>
            <w:vAlign w:val="center"/>
          </w:tcPr>
          <w:p w14:paraId="02BE684B">
            <w:pPr>
              <w:jc w:val="center"/>
              <w:rPr>
                <w:rFonts w:hint="eastAsia" w:ascii="宋体" w:hAnsi="宋体"/>
                <w:szCs w:val="21"/>
              </w:rPr>
            </w:pPr>
            <w:r>
              <w:rPr>
                <w:rFonts w:hint="eastAsia" w:ascii="宋体" w:hAnsi="宋体"/>
                <w:szCs w:val="21"/>
              </w:rPr>
              <w:t>18</w:t>
            </w:r>
          </w:p>
        </w:tc>
        <w:tc>
          <w:tcPr>
            <w:tcW w:w="1202" w:type="dxa"/>
            <w:noWrap w:val="0"/>
            <w:vAlign w:val="center"/>
          </w:tcPr>
          <w:p w14:paraId="16FD36C7">
            <w:pPr>
              <w:jc w:val="center"/>
              <w:rPr>
                <w:rFonts w:hint="eastAsia" w:ascii="宋体" w:hAnsi="宋体"/>
                <w:szCs w:val="21"/>
              </w:rPr>
            </w:pPr>
            <w:r>
              <w:rPr>
                <w:rFonts w:hint="eastAsia" w:ascii="宋体" w:hAnsi="宋体"/>
                <w:szCs w:val="21"/>
              </w:rPr>
              <w:t>600</w:t>
            </w:r>
          </w:p>
        </w:tc>
        <w:tc>
          <w:tcPr>
            <w:tcW w:w="1273" w:type="dxa"/>
            <w:noWrap w:val="0"/>
            <w:vAlign w:val="center"/>
          </w:tcPr>
          <w:p w14:paraId="26EE0827">
            <w:pPr>
              <w:jc w:val="center"/>
              <w:rPr>
                <w:rFonts w:hint="eastAsia" w:ascii="宋体" w:hAnsi="宋体"/>
                <w:szCs w:val="21"/>
              </w:rPr>
            </w:pPr>
            <w:r>
              <w:rPr>
                <w:rFonts w:hint="eastAsia" w:ascii="宋体" w:hAnsi="宋体"/>
                <w:szCs w:val="21"/>
              </w:rPr>
              <w:t>33．33</w:t>
            </w:r>
          </w:p>
        </w:tc>
        <w:tc>
          <w:tcPr>
            <w:tcW w:w="1161" w:type="dxa"/>
            <w:noWrap w:val="0"/>
            <w:vAlign w:val="center"/>
          </w:tcPr>
          <w:p w14:paraId="71EF2E4C">
            <w:pPr>
              <w:jc w:val="center"/>
              <w:rPr>
                <w:rFonts w:hint="eastAsia" w:ascii="宋体" w:hAnsi="宋体"/>
                <w:szCs w:val="21"/>
              </w:rPr>
            </w:pPr>
            <w:r>
              <w:rPr>
                <w:rFonts w:hint="eastAsia" w:ascii="宋体" w:hAnsi="宋体"/>
                <w:szCs w:val="21"/>
              </w:rPr>
              <w:t>21</w:t>
            </w:r>
          </w:p>
        </w:tc>
        <w:tc>
          <w:tcPr>
            <w:tcW w:w="1150" w:type="dxa"/>
            <w:noWrap w:val="0"/>
            <w:vAlign w:val="center"/>
          </w:tcPr>
          <w:p w14:paraId="58FA289A">
            <w:pPr>
              <w:jc w:val="center"/>
              <w:rPr>
                <w:rFonts w:hint="eastAsia" w:ascii="宋体" w:hAnsi="宋体"/>
                <w:szCs w:val="21"/>
              </w:rPr>
            </w:pPr>
            <w:r>
              <w:rPr>
                <w:rFonts w:hint="eastAsia" w:ascii="宋体" w:hAnsi="宋体"/>
                <w:szCs w:val="21"/>
              </w:rPr>
              <w:t>20000</w:t>
            </w:r>
          </w:p>
        </w:tc>
        <w:tc>
          <w:tcPr>
            <w:tcW w:w="924" w:type="dxa"/>
            <w:noWrap w:val="0"/>
            <w:vAlign w:val="center"/>
          </w:tcPr>
          <w:p w14:paraId="0BF36B4D">
            <w:pPr>
              <w:jc w:val="center"/>
              <w:rPr>
                <w:rFonts w:hint="eastAsia" w:ascii="宋体" w:hAnsi="宋体"/>
                <w:szCs w:val="21"/>
              </w:rPr>
            </w:pPr>
          </w:p>
        </w:tc>
      </w:tr>
      <w:tr w14:paraId="5E10A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jc w:val="center"/>
        </w:trPr>
        <w:tc>
          <w:tcPr>
            <w:tcW w:w="429" w:type="dxa"/>
            <w:noWrap w:val="0"/>
            <w:vAlign w:val="center"/>
          </w:tcPr>
          <w:p w14:paraId="3305C0EA">
            <w:pPr>
              <w:jc w:val="center"/>
              <w:rPr>
                <w:rFonts w:hint="eastAsia" w:ascii="宋体" w:hAnsi="宋体"/>
                <w:szCs w:val="21"/>
              </w:rPr>
            </w:pPr>
          </w:p>
        </w:tc>
        <w:tc>
          <w:tcPr>
            <w:tcW w:w="1438" w:type="dxa"/>
            <w:noWrap w:val="0"/>
            <w:vAlign w:val="center"/>
          </w:tcPr>
          <w:p w14:paraId="75CDC127">
            <w:pPr>
              <w:jc w:val="center"/>
              <w:rPr>
                <w:rFonts w:hint="eastAsia" w:ascii="宋体" w:hAnsi="宋体"/>
                <w:szCs w:val="21"/>
              </w:rPr>
            </w:pPr>
            <w:r>
              <w:rPr>
                <w:rFonts w:hint="eastAsia" w:ascii="宋体" w:hAnsi="宋体"/>
                <w:szCs w:val="21"/>
              </w:rPr>
              <w:t>合计</w:t>
            </w:r>
          </w:p>
        </w:tc>
        <w:tc>
          <w:tcPr>
            <w:tcW w:w="1458" w:type="dxa"/>
            <w:noWrap w:val="0"/>
            <w:vAlign w:val="center"/>
          </w:tcPr>
          <w:p w14:paraId="657DCBBA">
            <w:pPr>
              <w:jc w:val="center"/>
              <w:rPr>
                <w:rFonts w:hint="eastAsia" w:ascii="宋体" w:hAnsi="宋体"/>
                <w:szCs w:val="21"/>
              </w:rPr>
            </w:pPr>
          </w:p>
        </w:tc>
        <w:tc>
          <w:tcPr>
            <w:tcW w:w="1202" w:type="dxa"/>
            <w:noWrap w:val="0"/>
            <w:vAlign w:val="center"/>
          </w:tcPr>
          <w:p w14:paraId="4C4327C3">
            <w:pPr>
              <w:jc w:val="center"/>
              <w:rPr>
                <w:rFonts w:hint="eastAsia" w:ascii="宋体" w:hAnsi="宋体"/>
                <w:szCs w:val="21"/>
              </w:rPr>
            </w:pPr>
          </w:p>
        </w:tc>
        <w:tc>
          <w:tcPr>
            <w:tcW w:w="1273" w:type="dxa"/>
            <w:noWrap w:val="0"/>
            <w:vAlign w:val="center"/>
          </w:tcPr>
          <w:p w14:paraId="0F221B72">
            <w:pPr>
              <w:jc w:val="center"/>
              <w:rPr>
                <w:rFonts w:hint="eastAsia" w:ascii="宋体" w:hAnsi="宋体"/>
                <w:szCs w:val="21"/>
              </w:rPr>
            </w:pPr>
          </w:p>
        </w:tc>
        <w:tc>
          <w:tcPr>
            <w:tcW w:w="1161" w:type="dxa"/>
            <w:noWrap w:val="0"/>
            <w:vAlign w:val="center"/>
          </w:tcPr>
          <w:p w14:paraId="2F6C4433">
            <w:pPr>
              <w:jc w:val="center"/>
              <w:rPr>
                <w:rFonts w:hint="eastAsia" w:ascii="宋体" w:hAnsi="宋体"/>
                <w:szCs w:val="21"/>
              </w:rPr>
            </w:pPr>
          </w:p>
        </w:tc>
        <w:tc>
          <w:tcPr>
            <w:tcW w:w="1150" w:type="dxa"/>
            <w:noWrap w:val="0"/>
            <w:vAlign w:val="center"/>
          </w:tcPr>
          <w:p w14:paraId="39767343">
            <w:pPr>
              <w:jc w:val="center"/>
              <w:rPr>
                <w:rFonts w:hint="eastAsia" w:ascii="宋体" w:hAnsi="宋体"/>
                <w:szCs w:val="21"/>
              </w:rPr>
            </w:pPr>
            <w:r>
              <w:rPr>
                <w:rFonts w:hint="eastAsia" w:ascii="宋体" w:hAnsi="宋体"/>
                <w:szCs w:val="21"/>
              </w:rPr>
              <w:t>147800</w:t>
            </w:r>
          </w:p>
        </w:tc>
        <w:tc>
          <w:tcPr>
            <w:tcW w:w="924" w:type="dxa"/>
            <w:noWrap w:val="0"/>
            <w:vAlign w:val="center"/>
          </w:tcPr>
          <w:p w14:paraId="752EC43C">
            <w:pPr>
              <w:jc w:val="center"/>
              <w:rPr>
                <w:rFonts w:hint="eastAsia" w:ascii="宋体" w:hAnsi="宋体"/>
                <w:szCs w:val="21"/>
              </w:rPr>
            </w:pPr>
          </w:p>
        </w:tc>
      </w:tr>
    </w:tbl>
    <w:p w14:paraId="6FC1E9A5">
      <w:pPr>
        <w:pStyle w:val="4"/>
        <w:keepLines/>
        <w:adjustRightInd w:val="0"/>
        <w:snapToGrid w:val="0"/>
        <w:spacing w:before="240" w:after="240" w:line="360" w:lineRule="auto"/>
        <w:ind w:firstLine="562" w:firstLineChars="200"/>
        <w:jc w:val="both"/>
        <w:rPr>
          <w:rFonts w:hint="eastAsia"/>
          <w:b/>
          <w:color w:val="000000"/>
          <w:kern w:val="0"/>
          <w:szCs w:val="20"/>
        </w:rPr>
      </w:pPr>
      <w:bookmarkStart w:id="710" w:name="_Toc173918971"/>
      <w:bookmarkStart w:id="711" w:name="_Toc173869296"/>
      <w:r>
        <w:rPr>
          <w:rFonts w:hint="eastAsia"/>
          <w:b/>
          <w:color w:val="000000"/>
          <w:kern w:val="0"/>
          <w:szCs w:val="20"/>
        </w:rPr>
        <w:t>二、供热方式</w:t>
      </w:r>
      <w:bookmarkEnd w:id="710"/>
      <w:bookmarkEnd w:id="711"/>
    </w:p>
    <w:p w14:paraId="0E86DBDE">
      <w:pPr>
        <w:spacing w:line="360" w:lineRule="auto"/>
        <w:ind w:firstLine="480" w:firstLineChars="200"/>
        <w:rPr>
          <w:rFonts w:hint="eastAsia" w:ascii="宋体" w:hAnsi="宋体"/>
          <w:color w:val="000000"/>
          <w:sz w:val="24"/>
        </w:rPr>
      </w:pPr>
      <w:r>
        <w:rPr>
          <w:rFonts w:hint="eastAsia" w:ascii="宋体" w:hAnsi="宋体"/>
          <w:color w:val="000000"/>
          <w:sz w:val="24"/>
        </w:rPr>
        <w:t>1、采暖：主要是办公综合楼、单身公寓楼、灯房及浴室、食堂等。</w:t>
      </w:r>
    </w:p>
    <w:p w14:paraId="7799BCCB">
      <w:pPr>
        <w:spacing w:line="360" w:lineRule="auto"/>
        <w:ind w:firstLine="480" w:firstLineChars="200"/>
        <w:rPr>
          <w:rFonts w:hint="eastAsia" w:ascii="宋体" w:hAnsi="宋体"/>
          <w:color w:val="000000"/>
          <w:sz w:val="24"/>
        </w:rPr>
      </w:pPr>
      <w:r>
        <w:rPr>
          <w:rFonts w:hint="eastAsia" w:ascii="宋体" w:hAnsi="宋体"/>
          <w:color w:val="000000"/>
          <w:sz w:val="24"/>
        </w:rPr>
        <w:t>2、供热：主要是浴室用水加热、食堂、洗衣及干燥用热。</w:t>
      </w:r>
    </w:p>
    <w:p w14:paraId="22B7E994">
      <w:pPr>
        <w:pStyle w:val="4"/>
        <w:keepLines/>
        <w:adjustRightInd w:val="0"/>
        <w:snapToGrid w:val="0"/>
        <w:spacing w:before="240" w:after="240" w:line="360" w:lineRule="auto"/>
        <w:ind w:firstLine="562" w:firstLineChars="200"/>
        <w:jc w:val="both"/>
        <w:rPr>
          <w:rFonts w:hint="eastAsia"/>
          <w:b/>
          <w:color w:val="000000"/>
          <w:kern w:val="0"/>
          <w:szCs w:val="20"/>
        </w:rPr>
      </w:pPr>
      <w:bookmarkStart w:id="712" w:name="_Toc173869297"/>
      <w:bookmarkStart w:id="713" w:name="_Toc173918972"/>
      <w:r>
        <w:rPr>
          <w:rFonts w:hint="eastAsia"/>
          <w:b/>
          <w:color w:val="000000"/>
          <w:kern w:val="0"/>
          <w:szCs w:val="20"/>
        </w:rPr>
        <w:t>三、锅炉房</w:t>
      </w:r>
      <w:bookmarkEnd w:id="712"/>
      <w:bookmarkEnd w:id="713"/>
    </w:p>
    <w:p w14:paraId="70DDBB99">
      <w:pPr>
        <w:spacing w:line="360" w:lineRule="auto"/>
        <w:ind w:firstLine="480" w:firstLineChars="200"/>
        <w:rPr>
          <w:rFonts w:hint="eastAsia" w:ascii="宋体" w:hAnsi="宋体"/>
          <w:color w:val="000000"/>
          <w:sz w:val="24"/>
        </w:rPr>
      </w:pPr>
      <w:r>
        <w:rPr>
          <w:rFonts w:hint="eastAsia" w:ascii="宋体" w:hAnsi="宋体"/>
          <w:color w:val="000000"/>
          <w:sz w:val="24"/>
        </w:rPr>
        <w:t>锅炉房最大热负荷为147800W。选用DZL1－1.25WⅡ型卧式链条炉排锅炉二台。烟气经除尘器除尘后，由引风机引入烟囱排入大气，排放浓度达到国家排放标准，烟囱高度为</w:t>
      </w:r>
      <w:r>
        <w:rPr>
          <w:rFonts w:ascii="宋体" w:hAnsi="宋体"/>
          <w:color w:val="000000"/>
          <w:sz w:val="24"/>
        </w:rPr>
        <w:t>30</w:t>
      </w:r>
      <w:r>
        <w:rPr>
          <w:rFonts w:hint="eastAsia" w:ascii="宋体" w:hAnsi="宋体"/>
          <w:color w:val="000000"/>
          <w:sz w:val="24"/>
        </w:rPr>
        <w:t>m。</w:t>
      </w:r>
    </w:p>
    <w:p w14:paraId="55F77055">
      <w:pPr>
        <w:pStyle w:val="4"/>
        <w:keepLines/>
        <w:adjustRightInd w:val="0"/>
        <w:snapToGrid w:val="0"/>
        <w:spacing w:before="240" w:after="240" w:line="360" w:lineRule="auto"/>
        <w:ind w:firstLine="562" w:firstLineChars="200"/>
        <w:jc w:val="both"/>
        <w:rPr>
          <w:rFonts w:hint="eastAsia"/>
          <w:b/>
          <w:color w:val="000000"/>
          <w:kern w:val="0"/>
          <w:szCs w:val="20"/>
        </w:rPr>
      </w:pPr>
      <w:bookmarkStart w:id="714" w:name="_Toc173869298"/>
      <w:bookmarkStart w:id="715" w:name="_Toc173918973"/>
      <w:r>
        <w:rPr>
          <w:rFonts w:hint="eastAsia"/>
          <w:b/>
          <w:color w:val="000000"/>
          <w:kern w:val="0"/>
          <w:szCs w:val="20"/>
        </w:rPr>
        <w:t>四、室外供热管道</w:t>
      </w:r>
      <w:bookmarkEnd w:id="714"/>
      <w:bookmarkEnd w:id="715"/>
    </w:p>
    <w:p w14:paraId="29851FC9">
      <w:pPr>
        <w:spacing w:line="360" w:lineRule="auto"/>
        <w:ind w:firstLine="480" w:firstLineChars="200"/>
        <w:rPr>
          <w:rFonts w:hint="eastAsia" w:ascii="宋体" w:hAnsi="宋体"/>
          <w:color w:val="000000"/>
          <w:sz w:val="24"/>
        </w:rPr>
      </w:pPr>
      <w:r>
        <w:rPr>
          <w:rFonts w:hint="eastAsia" w:ascii="宋体" w:hAnsi="宋体"/>
          <w:color w:val="000000"/>
          <w:sz w:val="24"/>
        </w:rPr>
        <w:t>供热管道和回水管道采用直埋和架空两种敷设方式。管材为无缝钢管,热力管道均保温。保温材料采用聚胺脂硬质泡沫塑料，外包玻璃纤维布，再刷环氧煤沥青防腐，保温层厚度为70mm。</w:t>
      </w:r>
    </w:p>
    <w:p w14:paraId="3AC91DEF">
      <w:pPr>
        <w:pStyle w:val="3"/>
        <w:keepLines/>
        <w:spacing w:before="240" w:after="240" w:line="360" w:lineRule="auto"/>
        <w:ind w:firstLine="0" w:firstLineChars="0"/>
        <w:jc w:val="center"/>
        <w:rPr>
          <w:rFonts w:hint="eastAsia"/>
          <w:b/>
          <w:color w:val="000000"/>
          <w:sz w:val="32"/>
          <w:szCs w:val="32"/>
        </w:rPr>
      </w:pPr>
      <w:bookmarkStart w:id="716" w:name="_Toc186528710"/>
      <w:bookmarkStart w:id="717" w:name="_Toc260915282"/>
      <w:bookmarkStart w:id="718" w:name="_Toc92630535"/>
      <w:bookmarkStart w:id="719" w:name="_Toc173869299"/>
      <w:r>
        <w:rPr>
          <w:rFonts w:hint="eastAsia"/>
          <w:b/>
          <w:color w:val="000000"/>
          <w:sz w:val="32"/>
          <w:szCs w:val="32"/>
        </w:rPr>
        <w:t>第八节　　地面建筑</w:t>
      </w:r>
      <w:bookmarkEnd w:id="716"/>
      <w:bookmarkEnd w:id="717"/>
    </w:p>
    <w:bookmarkEnd w:id="718"/>
    <w:bookmarkEnd w:id="719"/>
    <w:p w14:paraId="3C6E347B">
      <w:pPr>
        <w:pStyle w:val="4"/>
        <w:keepLines/>
        <w:adjustRightInd w:val="0"/>
        <w:snapToGrid w:val="0"/>
        <w:spacing w:before="240" w:after="240" w:line="360" w:lineRule="auto"/>
        <w:ind w:firstLine="562" w:firstLineChars="200"/>
        <w:jc w:val="both"/>
        <w:rPr>
          <w:rFonts w:hint="eastAsia"/>
          <w:b/>
          <w:color w:val="000000"/>
          <w:kern w:val="0"/>
          <w:szCs w:val="20"/>
        </w:rPr>
      </w:pPr>
      <w:bookmarkStart w:id="720" w:name="_Toc173869300"/>
      <w:bookmarkStart w:id="721" w:name="_Toc173918975"/>
      <w:r>
        <w:rPr>
          <w:rFonts w:hint="eastAsia"/>
          <w:b/>
          <w:color w:val="000000"/>
          <w:kern w:val="0"/>
          <w:szCs w:val="20"/>
        </w:rPr>
        <w:t>一、原有地面建筑情况</w:t>
      </w:r>
      <w:bookmarkEnd w:id="720"/>
      <w:bookmarkEnd w:id="721"/>
    </w:p>
    <w:p w14:paraId="7EFE4146">
      <w:pPr>
        <w:spacing w:line="360" w:lineRule="auto"/>
        <w:ind w:firstLine="480" w:firstLineChars="200"/>
        <w:rPr>
          <w:rFonts w:hint="eastAsia" w:ascii="宋体" w:hAnsi="宋体"/>
          <w:sz w:val="24"/>
        </w:rPr>
      </w:pPr>
      <w:r>
        <w:rPr>
          <w:rFonts w:hint="eastAsia" w:ascii="宋体" w:hAnsi="宋体"/>
          <w:sz w:val="24"/>
        </w:rPr>
        <w:t>水城县玉舍大坪煤矿为一整合矿井，现进行开采方案设计变更，原工业场内布置有简单的机修间、材料库、任务交待室、灯房、浴室、锅炉房及办公楼等地面生产设施，由于变更后的水城县玉舍大坪煤矿工业场地是利用原工业场进行改扩建的，因此，原工业场地内的建筑在满足安全生距离的，将进行改造利用，部分建筑经改造后可作为职工宿舍，工业场地内无村寨民宅，无其它大型建筑。</w:t>
      </w:r>
    </w:p>
    <w:p w14:paraId="04835194">
      <w:pPr>
        <w:pStyle w:val="4"/>
        <w:keepLines/>
        <w:adjustRightInd w:val="0"/>
        <w:snapToGrid w:val="0"/>
        <w:spacing w:before="240" w:after="240" w:line="360" w:lineRule="auto"/>
        <w:ind w:firstLine="562" w:firstLineChars="200"/>
        <w:jc w:val="both"/>
        <w:rPr>
          <w:rFonts w:hint="eastAsia"/>
          <w:b/>
          <w:color w:val="000000"/>
          <w:kern w:val="0"/>
          <w:szCs w:val="20"/>
        </w:rPr>
      </w:pPr>
      <w:bookmarkStart w:id="722" w:name="_Toc173869301"/>
      <w:bookmarkStart w:id="723" w:name="_Toc173918976"/>
      <w:r>
        <w:rPr>
          <w:rFonts w:hint="eastAsia"/>
          <w:b/>
          <w:color w:val="000000"/>
          <w:kern w:val="0"/>
          <w:szCs w:val="20"/>
        </w:rPr>
        <w:t>二、新设工业场地建筑物与构筑物</w:t>
      </w:r>
      <w:bookmarkEnd w:id="722"/>
      <w:bookmarkEnd w:id="723"/>
    </w:p>
    <w:p w14:paraId="5FC968FB">
      <w:pPr>
        <w:spacing w:line="360" w:lineRule="auto"/>
        <w:ind w:firstLine="480" w:firstLineChars="200"/>
        <w:rPr>
          <w:rFonts w:hint="eastAsia" w:ascii="宋体" w:hAnsi="宋体"/>
          <w:color w:val="000000"/>
          <w:sz w:val="24"/>
        </w:rPr>
      </w:pPr>
      <w:r>
        <w:rPr>
          <w:rFonts w:hint="eastAsia" w:ascii="宋体" w:hAnsi="宋体"/>
          <w:color w:val="000000"/>
          <w:sz w:val="24"/>
        </w:rPr>
        <w:t>1、工业建筑物与构筑物</w:t>
      </w:r>
    </w:p>
    <w:p w14:paraId="65CD2734">
      <w:pPr>
        <w:spacing w:line="360" w:lineRule="auto"/>
        <w:ind w:firstLine="480" w:firstLineChars="200"/>
        <w:rPr>
          <w:rFonts w:hint="eastAsia" w:ascii="宋体" w:hAnsi="宋体"/>
          <w:color w:val="000000"/>
          <w:sz w:val="24"/>
        </w:rPr>
      </w:pPr>
      <w:r>
        <w:rPr>
          <w:rFonts w:hint="eastAsia" w:ascii="宋体" w:hAnsi="宋体"/>
          <w:color w:val="000000"/>
          <w:sz w:val="24"/>
        </w:rPr>
        <w:t>（1）锅炉房、通风机房、压风机房、变电所、机修车间、水源泵房等，建筑物层数均为一层，且跨度小、荷载小，根据经济合理、安全适用的原则，故采用砖混结构。</w:t>
      </w:r>
    </w:p>
    <w:p w14:paraId="0A515D3C">
      <w:pPr>
        <w:spacing w:line="360" w:lineRule="auto"/>
        <w:ind w:firstLine="480" w:firstLineChars="200"/>
        <w:rPr>
          <w:rFonts w:hint="eastAsia" w:ascii="宋体" w:hAnsi="宋体"/>
          <w:color w:val="000000"/>
          <w:sz w:val="24"/>
        </w:rPr>
      </w:pPr>
      <w:r>
        <w:rPr>
          <w:rFonts w:hint="eastAsia" w:ascii="宋体" w:hAnsi="宋体"/>
          <w:color w:val="000000"/>
          <w:sz w:val="24"/>
        </w:rPr>
        <w:t>（2）各种水池等，采用钢筋砼结构。</w:t>
      </w:r>
    </w:p>
    <w:p w14:paraId="19B99AC7">
      <w:pPr>
        <w:spacing w:line="360" w:lineRule="auto"/>
        <w:ind w:firstLine="480" w:firstLineChars="200"/>
        <w:rPr>
          <w:rFonts w:hint="eastAsia" w:ascii="宋体" w:hAnsi="宋体"/>
          <w:color w:val="000000"/>
          <w:sz w:val="24"/>
        </w:rPr>
      </w:pPr>
      <w:r>
        <w:rPr>
          <w:rFonts w:hint="eastAsia" w:ascii="宋体" w:hAnsi="宋体"/>
          <w:color w:val="000000"/>
          <w:sz w:val="24"/>
        </w:rPr>
        <w:t>2、行政与公共建筑</w:t>
      </w:r>
    </w:p>
    <w:p w14:paraId="35CBBA36">
      <w:pPr>
        <w:spacing w:line="360" w:lineRule="auto"/>
        <w:ind w:firstLine="480" w:firstLineChars="200"/>
        <w:rPr>
          <w:rFonts w:hint="eastAsia" w:ascii="宋体" w:hAnsi="宋体"/>
          <w:color w:val="000000"/>
          <w:sz w:val="24"/>
        </w:rPr>
      </w:pPr>
      <w:r>
        <w:rPr>
          <w:rFonts w:hint="eastAsia" w:ascii="宋体" w:hAnsi="宋体"/>
          <w:color w:val="000000"/>
          <w:sz w:val="24"/>
        </w:rPr>
        <w:t>（1）行政、公共建筑设置</w:t>
      </w:r>
    </w:p>
    <w:p w14:paraId="1923C557">
      <w:pPr>
        <w:spacing w:line="360" w:lineRule="auto"/>
        <w:ind w:firstLine="480" w:firstLineChars="200"/>
        <w:rPr>
          <w:rFonts w:hint="eastAsia" w:ascii="宋体" w:hAnsi="宋体"/>
          <w:color w:val="000000"/>
          <w:sz w:val="24"/>
        </w:rPr>
      </w:pPr>
      <w:r>
        <w:rPr>
          <w:rFonts w:hint="eastAsia" w:ascii="宋体" w:hAnsi="宋体"/>
          <w:color w:val="000000"/>
          <w:sz w:val="24"/>
        </w:rPr>
        <w:t>贯彻“十分珍惜和合理利用每寸土地，切实保护耕地”的基本国策，加强对建设用地的科学管理，适应矿井建设用地的需要，切实做到科学、合理、节约用地的原则，尽量设计联合建筑、多层建筑。矿井设有办公、灯房、浴室综合楼、单身公寓楼、食堂等。</w:t>
      </w:r>
    </w:p>
    <w:p w14:paraId="75403069">
      <w:pPr>
        <w:spacing w:line="360" w:lineRule="auto"/>
        <w:ind w:firstLine="480" w:firstLineChars="200"/>
        <w:rPr>
          <w:rFonts w:hint="eastAsia" w:ascii="宋体" w:hAnsi="宋体"/>
          <w:color w:val="000000"/>
          <w:sz w:val="24"/>
        </w:rPr>
      </w:pPr>
      <w:r>
        <w:rPr>
          <w:rFonts w:hint="eastAsia" w:ascii="宋体" w:hAnsi="宋体"/>
          <w:color w:val="000000"/>
          <w:sz w:val="24"/>
        </w:rPr>
        <w:t>（2）行政、公共建筑结构型式</w:t>
      </w:r>
    </w:p>
    <w:p w14:paraId="15331BC7">
      <w:pPr>
        <w:spacing w:line="360" w:lineRule="auto"/>
        <w:ind w:firstLine="480" w:firstLineChars="200"/>
        <w:rPr>
          <w:rFonts w:hint="eastAsia" w:ascii="宋体" w:hAnsi="宋体"/>
          <w:color w:val="000000"/>
          <w:sz w:val="24"/>
        </w:rPr>
      </w:pPr>
      <w:r>
        <w:rPr>
          <w:rFonts w:hint="eastAsia" w:ascii="宋体" w:hAnsi="宋体"/>
          <w:color w:val="000000"/>
          <w:sz w:val="24"/>
        </w:rPr>
        <w:t>办公、灯房、浴室综合楼等采用框架结构。</w:t>
      </w:r>
    </w:p>
    <w:p w14:paraId="26B75294">
      <w:pPr>
        <w:spacing w:line="360" w:lineRule="auto"/>
        <w:ind w:firstLine="480" w:firstLineChars="200"/>
        <w:rPr>
          <w:rFonts w:hint="eastAsia" w:ascii="宋体" w:hAnsi="宋体"/>
          <w:color w:val="000000"/>
          <w:sz w:val="24"/>
        </w:rPr>
      </w:pPr>
      <w:r>
        <w:rPr>
          <w:rFonts w:hint="eastAsia" w:ascii="宋体" w:hAnsi="宋体"/>
          <w:color w:val="000000"/>
          <w:sz w:val="24"/>
        </w:rPr>
        <w:t>单身公寓楼、食堂等采用砖混结构。</w:t>
      </w:r>
    </w:p>
    <w:p w14:paraId="28F8DD6A">
      <w:pPr>
        <w:spacing w:line="360" w:lineRule="auto"/>
        <w:ind w:firstLine="480" w:firstLineChars="200"/>
        <w:rPr>
          <w:rFonts w:hint="eastAsia" w:ascii="宋体" w:hAnsi="宋体"/>
          <w:color w:val="000000"/>
          <w:sz w:val="24"/>
        </w:rPr>
      </w:pPr>
      <w:r>
        <w:rPr>
          <w:rFonts w:hint="eastAsia" w:ascii="宋体" w:hAnsi="宋体"/>
          <w:color w:val="000000"/>
          <w:sz w:val="24"/>
        </w:rPr>
        <w:t>3、生活区</w:t>
      </w:r>
    </w:p>
    <w:p w14:paraId="653CEB1C">
      <w:pPr>
        <w:spacing w:line="360" w:lineRule="auto"/>
        <w:ind w:firstLine="480" w:firstLineChars="200"/>
        <w:rPr>
          <w:rFonts w:hint="eastAsia" w:ascii="宋体" w:hAnsi="宋体"/>
          <w:b/>
          <w:color w:val="000000"/>
          <w:sz w:val="24"/>
        </w:rPr>
      </w:pPr>
      <w:r>
        <w:rPr>
          <w:rFonts w:hint="eastAsia" w:ascii="宋体" w:hAnsi="宋体"/>
          <w:color w:val="000000"/>
          <w:sz w:val="24"/>
        </w:rPr>
        <w:t>矿井的主要文教、卫生设施、居住区和其它公共实施可依托社会。建议地方政府对包括本矿井在内的工业企业的居住区和相应公共设施结合地方城镇发展规划组织统一规划、统一建设。矿井内仅设置单身公寓、招待所，用于解决单身职工的食宿问题。新设建(构)筑物一览表详见</w:t>
      </w:r>
      <w:r>
        <w:rPr>
          <w:rFonts w:hint="eastAsia" w:ascii="宋体" w:hAnsi="宋体"/>
          <w:b/>
          <w:color w:val="000000"/>
          <w:sz w:val="24"/>
        </w:rPr>
        <w:t>表6－8－1</w:t>
      </w:r>
    </w:p>
    <w:p w14:paraId="21DDF4D3">
      <w:pPr>
        <w:spacing w:line="360" w:lineRule="auto"/>
        <w:jc w:val="center"/>
        <w:rPr>
          <w:rFonts w:hint="eastAsia" w:ascii="宋体" w:hAnsi="宋体"/>
          <w:b/>
          <w:color w:val="000000"/>
          <w:sz w:val="24"/>
        </w:rPr>
      </w:pPr>
      <w:r>
        <w:rPr>
          <w:rFonts w:hint="eastAsia" w:ascii="宋体" w:hAnsi="宋体"/>
          <w:b/>
          <w:color w:val="000000"/>
          <w:sz w:val="24"/>
        </w:rPr>
        <w:t>表6－8－1      主要建(构)筑物一览表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253"/>
        <w:gridCol w:w="714"/>
        <w:gridCol w:w="710"/>
        <w:gridCol w:w="925"/>
        <w:gridCol w:w="967"/>
        <w:gridCol w:w="1113"/>
        <w:gridCol w:w="869"/>
      </w:tblGrid>
      <w:tr w14:paraId="059C1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539564D5">
            <w:pPr>
              <w:spacing w:line="240" w:lineRule="atLeast"/>
              <w:jc w:val="center"/>
              <w:rPr>
                <w:rFonts w:hint="eastAsia" w:ascii="宋体" w:hAnsi="宋体"/>
                <w:szCs w:val="21"/>
              </w:rPr>
            </w:pPr>
            <w:r>
              <w:rPr>
                <w:rFonts w:hint="eastAsia" w:ascii="宋体" w:hAnsi="宋体"/>
                <w:szCs w:val="21"/>
              </w:rPr>
              <w:t>序号</w:t>
            </w:r>
          </w:p>
        </w:tc>
        <w:tc>
          <w:tcPr>
            <w:tcW w:w="3253" w:type="dxa"/>
            <w:noWrap w:val="0"/>
            <w:vAlign w:val="center"/>
          </w:tcPr>
          <w:p w14:paraId="1C33BCFC">
            <w:pPr>
              <w:spacing w:line="240" w:lineRule="atLeast"/>
              <w:jc w:val="center"/>
              <w:rPr>
                <w:rFonts w:hint="eastAsia" w:ascii="宋体" w:hAnsi="宋体"/>
                <w:szCs w:val="21"/>
              </w:rPr>
            </w:pPr>
            <w:r>
              <w:rPr>
                <w:rFonts w:hint="eastAsia" w:ascii="宋体" w:hAnsi="宋体"/>
                <w:szCs w:val="21"/>
              </w:rPr>
              <w:t>项目名称</w:t>
            </w:r>
          </w:p>
        </w:tc>
        <w:tc>
          <w:tcPr>
            <w:tcW w:w="714" w:type="dxa"/>
            <w:noWrap w:val="0"/>
            <w:vAlign w:val="center"/>
          </w:tcPr>
          <w:p w14:paraId="14B43641">
            <w:pPr>
              <w:spacing w:line="240" w:lineRule="atLeast"/>
              <w:jc w:val="center"/>
              <w:rPr>
                <w:rFonts w:hint="eastAsia" w:ascii="宋体" w:hAnsi="宋体"/>
                <w:szCs w:val="21"/>
              </w:rPr>
            </w:pPr>
            <w:r>
              <w:rPr>
                <w:rFonts w:hint="eastAsia" w:ascii="宋体" w:hAnsi="宋体"/>
                <w:szCs w:val="21"/>
              </w:rPr>
              <w:t>层高</w:t>
            </w:r>
          </w:p>
        </w:tc>
        <w:tc>
          <w:tcPr>
            <w:tcW w:w="710" w:type="dxa"/>
            <w:noWrap w:val="0"/>
            <w:vAlign w:val="center"/>
          </w:tcPr>
          <w:p w14:paraId="0DAFD21A">
            <w:pPr>
              <w:spacing w:line="240" w:lineRule="atLeast"/>
              <w:jc w:val="center"/>
              <w:rPr>
                <w:rFonts w:hint="eastAsia" w:ascii="宋体" w:hAnsi="宋体"/>
                <w:szCs w:val="21"/>
              </w:rPr>
            </w:pPr>
            <w:r>
              <w:rPr>
                <w:rFonts w:hint="eastAsia" w:ascii="宋体" w:hAnsi="宋体"/>
                <w:szCs w:val="21"/>
              </w:rPr>
              <w:t>层数</w:t>
            </w:r>
          </w:p>
        </w:tc>
        <w:tc>
          <w:tcPr>
            <w:tcW w:w="925" w:type="dxa"/>
            <w:noWrap w:val="0"/>
            <w:vAlign w:val="center"/>
          </w:tcPr>
          <w:p w14:paraId="243DF721">
            <w:pPr>
              <w:spacing w:line="240" w:lineRule="atLeast"/>
              <w:jc w:val="center"/>
              <w:rPr>
                <w:rFonts w:hint="eastAsia" w:ascii="宋体" w:hAnsi="宋体"/>
                <w:szCs w:val="21"/>
              </w:rPr>
            </w:pPr>
            <w:r>
              <w:rPr>
                <w:rFonts w:hint="eastAsia" w:ascii="宋体" w:hAnsi="宋体"/>
                <w:szCs w:val="21"/>
              </w:rPr>
              <w:t>建筑　面积</w:t>
            </w:r>
          </w:p>
        </w:tc>
        <w:tc>
          <w:tcPr>
            <w:tcW w:w="967" w:type="dxa"/>
            <w:noWrap w:val="0"/>
            <w:vAlign w:val="center"/>
          </w:tcPr>
          <w:p w14:paraId="53125EA8">
            <w:pPr>
              <w:spacing w:line="240" w:lineRule="atLeast"/>
              <w:jc w:val="center"/>
              <w:rPr>
                <w:rFonts w:hint="eastAsia" w:ascii="宋体" w:hAnsi="宋体"/>
                <w:szCs w:val="21"/>
              </w:rPr>
            </w:pPr>
            <w:r>
              <w:rPr>
                <w:rFonts w:hint="eastAsia" w:ascii="宋体" w:hAnsi="宋体"/>
                <w:szCs w:val="21"/>
              </w:rPr>
              <w:t>建筑</w:t>
            </w:r>
          </w:p>
          <w:p w14:paraId="7AD5CE20">
            <w:pPr>
              <w:spacing w:line="240" w:lineRule="atLeast"/>
              <w:jc w:val="center"/>
              <w:rPr>
                <w:rFonts w:hint="eastAsia" w:ascii="宋体" w:hAnsi="宋体"/>
                <w:szCs w:val="21"/>
              </w:rPr>
            </w:pPr>
            <w:r>
              <w:rPr>
                <w:rFonts w:hint="eastAsia" w:ascii="宋体" w:hAnsi="宋体"/>
                <w:szCs w:val="21"/>
              </w:rPr>
              <w:t>体积</w:t>
            </w:r>
          </w:p>
        </w:tc>
        <w:tc>
          <w:tcPr>
            <w:tcW w:w="1113" w:type="dxa"/>
            <w:noWrap w:val="0"/>
            <w:vAlign w:val="center"/>
          </w:tcPr>
          <w:p w14:paraId="2E423BC2">
            <w:pPr>
              <w:spacing w:line="240" w:lineRule="atLeast"/>
              <w:jc w:val="center"/>
              <w:rPr>
                <w:rFonts w:hint="eastAsia" w:ascii="宋体" w:hAnsi="宋体"/>
                <w:szCs w:val="21"/>
              </w:rPr>
            </w:pPr>
            <w:r>
              <w:rPr>
                <w:rFonts w:hint="eastAsia" w:ascii="宋体" w:hAnsi="宋体"/>
                <w:szCs w:val="21"/>
              </w:rPr>
              <w:t>结构</w:t>
            </w:r>
          </w:p>
          <w:p w14:paraId="0DAFC744">
            <w:pPr>
              <w:spacing w:line="240" w:lineRule="atLeast"/>
              <w:jc w:val="center"/>
              <w:rPr>
                <w:rFonts w:hint="eastAsia" w:ascii="宋体" w:hAnsi="宋体"/>
                <w:szCs w:val="21"/>
              </w:rPr>
            </w:pPr>
            <w:r>
              <w:rPr>
                <w:rFonts w:hint="eastAsia" w:ascii="宋体" w:hAnsi="宋体"/>
                <w:szCs w:val="21"/>
              </w:rPr>
              <w:t>形成</w:t>
            </w:r>
          </w:p>
        </w:tc>
        <w:tc>
          <w:tcPr>
            <w:tcW w:w="869" w:type="dxa"/>
            <w:noWrap w:val="0"/>
            <w:vAlign w:val="center"/>
          </w:tcPr>
          <w:p w14:paraId="2497F798">
            <w:pPr>
              <w:spacing w:line="240" w:lineRule="atLeast"/>
              <w:jc w:val="center"/>
              <w:rPr>
                <w:rFonts w:hint="eastAsia" w:ascii="宋体" w:hAnsi="宋体"/>
                <w:szCs w:val="21"/>
              </w:rPr>
            </w:pPr>
            <w:r>
              <w:rPr>
                <w:rFonts w:hint="eastAsia" w:ascii="宋体" w:hAnsi="宋体"/>
                <w:szCs w:val="21"/>
              </w:rPr>
              <w:t>门窗</w:t>
            </w:r>
          </w:p>
        </w:tc>
      </w:tr>
      <w:tr w14:paraId="3FED6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266C56BD">
            <w:pPr>
              <w:spacing w:line="240" w:lineRule="atLeast"/>
              <w:jc w:val="center"/>
              <w:rPr>
                <w:rFonts w:ascii="宋体" w:hAnsi="宋体"/>
                <w:szCs w:val="21"/>
              </w:rPr>
            </w:pPr>
            <w:r>
              <w:rPr>
                <w:rFonts w:ascii="宋体" w:hAnsi="宋体"/>
                <w:szCs w:val="21"/>
              </w:rPr>
              <w:t>1</w:t>
            </w:r>
          </w:p>
        </w:tc>
        <w:tc>
          <w:tcPr>
            <w:tcW w:w="3253" w:type="dxa"/>
            <w:noWrap w:val="0"/>
            <w:vAlign w:val="center"/>
          </w:tcPr>
          <w:p w14:paraId="2F60EAE3">
            <w:pPr>
              <w:spacing w:line="240" w:lineRule="atLeast"/>
              <w:rPr>
                <w:rFonts w:ascii="宋体" w:hAnsi="宋体" w:cs="宋体"/>
                <w:szCs w:val="21"/>
              </w:rPr>
            </w:pPr>
            <w:r>
              <w:rPr>
                <w:rFonts w:hint="eastAsia" w:ascii="宋体" w:hAnsi="宋体"/>
                <w:szCs w:val="21"/>
              </w:rPr>
              <w:t>办公楼、灯房、浴室等联合建筑</w:t>
            </w:r>
          </w:p>
        </w:tc>
        <w:tc>
          <w:tcPr>
            <w:tcW w:w="714" w:type="dxa"/>
            <w:noWrap w:val="0"/>
            <w:vAlign w:val="center"/>
          </w:tcPr>
          <w:p w14:paraId="17861A6D">
            <w:pPr>
              <w:spacing w:line="240" w:lineRule="atLeast"/>
              <w:jc w:val="center"/>
              <w:rPr>
                <w:rFonts w:ascii="宋体" w:hAnsi="宋体"/>
                <w:szCs w:val="21"/>
              </w:rPr>
            </w:pPr>
            <w:r>
              <w:rPr>
                <w:rFonts w:ascii="宋体" w:hAnsi="宋体"/>
                <w:szCs w:val="21"/>
              </w:rPr>
              <w:t>3.6</w:t>
            </w:r>
          </w:p>
        </w:tc>
        <w:tc>
          <w:tcPr>
            <w:tcW w:w="710" w:type="dxa"/>
            <w:noWrap w:val="0"/>
            <w:vAlign w:val="center"/>
          </w:tcPr>
          <w:p w14:paraId="1F6692AE">
            <w:pPr>
              <w:spacing w:line="240" w:lineRule="atLeast"/>
              <w:jc w:val="center"/>
              <w:rPr>
                <w:rFonts w:ascii="宋体" w:hAnsi="宋体"/>
                <w:szCs w:val="21"/>
              </w:rPr>
            </w:pPr>
            <w:r>
              <w:rPr>
                <w:rFonts w:ascii="宋体" w:hAnsi="宋体"/>
                <w:szCs w:val="21"/>
              </w:rPr>
              <w:t>5</w:t>
            </w:r>
          </w:p>
        </w:tc>
        <w:tc>
          <w:tcPr>
            <w:tcW w:w="925" w:type="dxa"/>
            <w:noWrap w:val="0"/>
            <w:vAlign w:val="center"/>
          </w:tcPr>
          <w:p w14:paraId="7E2839E1">
            <w:pPr>
              <w:spacing w:line="240" w:lineRule="atLeast"/>
              <w:jc w:val="center"/>
              <w:rPr>
                <w:rFonts w:ascii="宋体" w:hAnsi="宋体"/>
                <w:szCs w:val="21"/>
              </w:rPr>
            </w:pPr>
            <w:r>
              <w:rPr>
                <w:rFonts w:ascii="宋体" w:hAnsi="宋体"/>
                <w:szCs w:val="21"/>
              </w:rPr>
              <w:t>929</w:t>
            </w:r>
          </w:p>
        </w:tc>
        <w:tc>
          <w:tcPr>
            <w:tcW w:w="967" w:type="dxa"/>
            <w:noWrap w:val="0"/>
            <w:vAlign w:val="center"/>
          </w:tcPr>
          <w:p w14:paraId="2C88C53E">
            <w:pPr>
              <w:spacing w:line="240" w:lineRule="atLeast"/>
              <w:jc w:val="center"/>
              <w:rPr>
                <w:rFonts w:ascii="宋体" w:hAnsi="宋体"/>
                <w:szCs w:val="21"/>
              </w:rPr>
            </w:pPr>
            <w:r>
              <w:rPr>
                <w:rFonts w:ascii="宋体" w:hAnsi="宋体"/>
                <w:szCs w:val="21"/>
              </w:rPr>
              <w:t>16722</w:t>
            </w:r>
          </w:p>
        </w:tc>
        <w:tc>
          <w:tcPr>
            <w:tcW w:w="1113" w:type="dxa"/>
            <w:noWrap w:val="0"/>
            <w:vAlign w:val="center"/>
          </w:tcPr>
          <w:p w14:paraId="624F94F2">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12C79894">
            <w:pPr>
              <w:spacing w:line="240" w:lineRule="atLeast"/>
              <w:jc w:val="center"/>
              <w:rPr>
                <w:rFonts w:ascii="宋体" w:hAnsi="宋体" w:cs="宋体"/>
                <w:szCs w:val="21"/>
              </w:rPr>
            </w:pPr>
            <w:r>
              <w:rPr>
                <w:rFonts w:hint="eastAsia" w:ascii="宋体" w:hAnsi="宋体"/>
                <w:szCs w:val="21"/>
              </w:rPr>
              <w:t>木结构</w:t>
            </w:r>
          </w:p>
        </w:tc>
      </w:tr>
      <w:tr w14:paraId="3FB38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51047B57">
            <w:pPr>
              <w:spacing w:line="240" w:lineRule="atLeast"/>
              <w:jc w:val="center"/>
              <w:rPr>
                <w:rFonts w:ascii="宋体" w:hAnsi="宋体"/>
                <w:szCs w:val="21"/>
              </w:rPr>
            </w:pPr>
            <w:r>
              <w:rPr>
                <w:rFonts w:ascii="宋体" w:hAnsi="宋体"/>
                <w:szCs w:val="21"/>
              </w:rPr>
              <w:t>2</w:t>
            </w:r>
          </w:p>
        </w:tc>
        <w:tc>
          <w:tcPr>
            <w:tcW w:w="3253" w:type="dxa"/>
            <w:noWrap w:val="0"/>
            <w:vAlign w:val="center"/>
          </w:tcPr>
          <w:p w14:paraId="0151B821">
            <w:pPr>
              <w:spacing w:line="240" w:lineRule="atLeast"/>
              <w:rPr>
                <w:rFonts w:ascii="宋体" w:hAnsi="宋体" w:cs="宋体"/>
                <w:szCs w:val="21"/>
              </w:rPr>
            </w:pPr>
            <w:r>
              <w:rPr>
                <w:rFonts w:hint="eastAsia" w:ascii="宋体" w:hAnsi="宋体"/>
                <w:szCs w:val="21"/>
              </w:rPr>
              <w:t>单身楼</w:t>
            </w:r>
          </w:p>
        </w:tc>
        <w:tc>
          <w:tcPr>
            <w:tcW w:w="714" w:type="dxa"/>
            <w:noWrap w:val="0"/>
            <w:vAlign w:val="center"/>
          </w:tcPr>
          <w:p w14:paraId="68AD6D64">
            <w:pPr>
              <w:spacing w:line="240" w:lineRule="atLeast"/>
              <w:jc w:val="center"/>
              <w:rPr>
                <w:rFonts w:ascii="宋体" w:hAnsi="宋体"/>
                <w:szCs w:val="21"/>
              </w:rPr>
            </w:pPr>
            <w:r>
              <w:rPr>
                <w:rFonts w:ascii="宋体" w:hAnsi="宋体"/>
                <w:szCs w:val="21"/>
              </w:rPr>
              <w:t>3</w:t>
            </w:r>
          </w:p>
        </w:tc>
        <w:tc>
          <w:tcPr>
            <w:tcW w:w="710" w:type="dxa"/>
            <w:noWrap w:val="0"/>
            <w:vAlign w:val="center"/>
          </w:tcPr>
          <w:p w14:paraId="54CA3422">
            <w:pPr>
              <w:spacing w:line="240" w:lineRule="atLeast"/>
              <w:jc w:val="center"/>
              <w:rPr>
                <w:rFonts w:ascii="宋体" w:hAnsi="宋体"/>
                <w:szCs w:val="21"/>
              </w:rPr>
            </w:pPr>
            <w:r>
              <w:rPr>
                <w:rFonts w:ascii="宋体" w:hAnsi="宋体"/>
                <w:szCs w:val="21"/>
              </w:rPr>
              <w:t>5</w:t>
            </w:r>
          </w:p>
        </w:tc>
        <w:tc>
          <w:tcPr>
            <w:tcW w:w="925" w:type="dxa"/>
            <w:noWrap w:val="0"/>
            <w:vAlign w:val="center"/>
          </w:tcPr>
          <w:p w14:paraId="0FB946D4">
            <w:pPr>
              <w:spacing w:line="240" w:lineRule="atLeast"/>
              <w:jc w:val="center"/>
              <w:rPr>
                <w:rFonts w:ascii="宋体" w:hAnsi="宋体"/>
                <w:szCs w:val="21"/>
              </w:rPr>
            </w:pPr>
            <w:r>
              <w:rPr>
                <w:rFonts w:ascii="宋体" w:hAnsi="宋体"/>
                <w:szCs w:val="21"/>
              </w:rPr>
              <w:t>1639</w:t>
            </w:r>
          </w:p>
        </w:tc>
        <w:tc>
          <w:tcPr>
            <w:tcW w:w="967" w:type="dxa"/>
            <w:noWrap w:val="0"/>
            <w:vAlign w:val="center"/>
          </w:tcPr>
          <w:p w14:paraId="10E557B1">
            <w:pPr>
              <w:spacing w:line="240" w:lineRule="atLeast"/>
              <w:jc w:val="center"/>
              <w:rPr>
                <w:rFonts w:ascii="宋体" w:hAnsi="宋体"/>
                <w:szCs w:val="21"/>
              </w:rPr>
            </w:pPr>
            <w:r>
              <w:rPr>
                <w:rFonts w:ascii="宋体" w:hAnsi="宋体"/>
                <w:szCs w:val="21"/>
              </w:rPr>
              <w:t>24585</w:t>
            </w:r>
          </w:p>
        </w:tc>
        <w:tc>
          <w:tcPr>
            <w:tcW w:w="1113" w:type="dxa"/>
            <w:noWrap w:val="0"/>
            <w:vAlign w:val="center"/>
          </w:tcPr>
          <w:p w14:paraId="63C2E75A">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171FC371">
            <w:pPr>
              <w:spacing w:line="240" w:lineRule="atLeast"/>
              <w:jc w:val="center"/>
              <w:rPr>
                <w:rFonts w:ascii="宋体" w:hAnsi="宋体" w:cs="宋体"/>
                <w:szCs w:val="21"/>
              </w:rPr>
            </w:pPr>
            <w:r>
              <w:rPr>
                <w:rFonts w:hint="eastAsia" w:ascii="宋体" w:hAnsi="宋体"/>
                <w:szCs w:val="21"/>
              </w:rPr>
              <w:t>木结构</w:t>
            </w:r>
          </w:p>
        </w:tc>
      </w:tr>
      <w:tr w14:paraId="7FF1D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6C7A0389">
            <w:pPr>
              <w:spacing w:line="240" w:lineRule="atLeast"/>
              <w:jc w:val="center"/>
              <w:rPr>
                <w:rFonts w:ascii="宋体" w:hAnsi="宋体"/>
                <w:szCs w:val="21"/>
              </w:rPr>
            </w:pPr>
            <w:r>
              <w:rPr>
                <w:rFonts w:ascii="宋体" w:hAnsi="宋体"/>
                <w:szCs w:val="21"/>
              </w:rPr>
              <w:t>3</w:t>
            </w:r>
          </w:p>
        </w:tc>
        <w:tc>
          <w:tcPr>
            <w:tcW w:w="3253" w:type="dxa"/>
            <w:noWrap w:val="0"/>
            <w:vAlign w:val="center"/>
          </w:tcPr>
          <w:p w14:paraId="0BA97B7B">
            <w:pPr>
              <w:spacing w:line="240" w:lineRule="atLeast"/>
              <w:rPr>
                <w:rFonts w:ascii="宋体" w:hAnsi="宋体" w:cs="宋体"/>
                <w:szCs w:val="21"/>
              </w:rPr>
            </w:pPr>
            <w:r>
              <w:rPr>
                <w:rFonts w:hint="eastAsia" w:ascii="宋体" w:hAnsi="宋体"/>
                <w:szCs w:val="21"/>
              </w:rPr>
              <w:t>锅炉房</w:t>
            </w:r>
          </w:p>
        </w:tc>
        <w:tc>
          <w:tcPr>
            <w:tcW w:w="714" w:type="dxa"/>
            <w:noWrap w:val="0"/>
            <w:vAlign w:val="center"/>
          </w:tcPr>
          <w:p w14:paraId="4F4F2C70">
            <w:pPr>
              <w:spacing w:line="240" w:lineRule="atLeast"/>
              <w:jc w:val="center"/>
              <w:rPr>
                <w:rFonts w:ascii="宋体" w:hAnsi="宋体"/>
                <w:szCs w:val="21"/>
              </w:rPr>
            </w:pPr>
            <w:r>
              <w:rPr>
                <w:rFonts w:ascii="宋体" w:hAnsi="宋体"/>
                <w:szCs w:val="21"/>
              </w:rPr>
              <w:t>5.4</w:t>
            </w:r>
          </w:p>
        </w:tc>
        <w:tc>
          <w:tcPr>
            <w:tcW w:w="710" w:type="dxa"/>
            <w:noWrap w:val="0"/>
            <w:vAlign w:val="center"/>
          </w:tcPr>
          <w:p w14:paraId="7B96EB8F">
            <w:pPr>
              <w:spacing w:line="240" w:lineRule="atLeast"/>
              <w:jc w:val="center"/>
              <w:rPr>
                <w:rFonts w:ascii="宋体" w:hAnsi="宋体"/>
                <w:szCs w:val="21"/>
              </w:rPr>
            </w:pPr>
            <w:r>
              <w:rPr>
                <w:rFonts w:ascii="宋体" w:hAnsi="宋体"/>
                <w:szCs w:val="21"/>
              </w:rPr>
              <w:t>1</w:t>
            </w:r>
          </w:p>
        </w:tc>
        <w:tc>
          <w:tcPr>
            <w:tcW w:w="925" w:type="dxa"/>
            <w:noWrap w:val="0"/>
            <w:vAlign w:val="center"/>
          </w:tcPr>
          <w:p w14:paraId="4922B69A">
            <w:pPr>
              <w:spacing w:line="240" w:lineRule="atLeast"/>
              <w:jc w:val="center"/>
              <w:rPr>
                <w:rFonts w:ascii="宋体" w:hAnsi="宋体"/>
                <w:szCs w:val="21"/>
              </w:rPr>
            </w:pPr>
            <w:r>
              <w:rPr>
                <w:rFonts w:ascii="宋体" w:hAnsi="宋体"/>
                <w:szCs w:val="21"/>
              </w:rPr>
              <w:t>50</w:t>
            </w:r>
          </w:p>
        </w:tc>
        <w:tc>
          <w:tcPr>
            <w:tcW w:w="967" w:type="dxa"/>
            <w:noWrap w:val="0"/>
            <w:vAlign w:val="center"/>
          </w:tcPr>
          <w:p w14:paraId="1D46E360">
            <w:pPr>
              <w:spacing w:line="240" w:lineRule="atLeast"/>
              <w:jc w:val="center"/>
              <w:rPr>
                <w:rFonts w:ascii="宋体" w:hAnsi="宋体"/>
                <w:szCs w:val="21"/>
              </w:rPr>
            </w:pPr>
            <w:r>
              <w:rPr>
                <w:rFonts w:ascii="宋体" w:hAnsi="宋体"/>
                <w:szCs w:val="21"/>
              </w:rPr>
              <w:t>270</w:t>
            </w:r>
          </w:p>
        </w:tc>
        <w:tc>
          <w:tcPr>
            <w:tcW w:w="1113" w:type="dxa"/>
            <w:noWrap w:val="0"/>
            <w:vAlign w:val="center"/>
          </w:tcPr>
          <w:p w14:paraId="0ACF1F8C">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25921CB5">
            <w:pPr>
              <w:spacing w:line="240" w:lineRule="atLeast"/>
              <w:jc w:val="center"/>
              <w:rPr>
                <w:rFonts w:ascii="宋体" w:hAnsi="宋体" w:cs="宋体"/>
                <w:szCs w:val="21"/>
              </w:rPr>
            </w:pPr>
            <w:r>
              <w:rPr>
                <w:rFonts w:hint="eastAsia" w:ascii="宋体" w:hAnsi="宋体"/>
                <w:szCs w:val="21"/>
              </w:rPr>
              <w:t>木结构</w:t>
            </w:r>
          </w:p>
        </w:tc>
      </w:tr>
      <w:tr w14:paraId="50D99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1591A03A">
            <w:pPr>
              <w:spacing w:line="240" w:lineRule="atLeast"/>
              <w:jc w:val="center"/>
              <w:rPr>
                <w:rFonts w:ascii="宋体" w:hAnsi="宋体"/>
                <w:szCs w:val="21"/>
              </w:rPr>
            </w:pPr>
            <w:r>
              <w:rPr>
                <w:rFonts w:ascii="宋体" w:hAnsi="宋体"/>
                <w:szCs w:val="21"/>
              </w:rPr>
              <w:t>4</w:t>
            </w:r>
          </w:p>
        </w:tc>
        <w:tc>
          <w:tcPr>
            <w:tcW w:w="3253" w:type="dxa"/>
            <w:noWrap w:val="0"/>
            <w:vAlign w:val="center"/>
          </w:tcPr>
          <w:p w14:paraId="20E2074B">
            <w:pPr>
              <w:spacing w:line="240" w:lineRule="atLeast"/>
              <w:rPr>
                <w:rFonts w:ascii="宋体" w:hAnsi="宋体" w:cs="宋体"/>
                <w:szCs w:val="21"/>
              </w:rPr>
            </w:pPr>
            <w:r>
              <w:rPr>
                <w:rFonts w:hint="eastAsia" w:ascii="宋体" w:hAnsi="宋体"/>
                <w:szCs w:val="21"/>
              </w:rPr>
              <w:t>门卫</w:t>
            </w:r>
          </w:p>
        </w:tc>
        <w:tc>
          <w:tcPr>
            <w:tcW w:w="714" w:type="dxa"/>
            <w:noWrap w:val="0"/>
            <w:vAlign w:val="center"/>
          </w:tcPr>
          <w:p w14:paraId="139C5F11">
            <w:pPr>
              <w:spacing w:line="240" w:lineRule="atLeast"/>
              <w:jc w:val="center"/>
              <w:rPr>
                <w:rFonts w:ascii="宋体" w:hAnsi="宋体"/>
                <w:szCs w:val="21"/>
              </w:rPr>
            </w:pPr>
            <w:r>
              <w:rPr>
                <w:rFonts w:ascii="宋体" w:hAnsi="宋体"/>
                <w:szCs w:val="21"/>
              </w:rPr>
              <w:t>3.6</w:t>
            </w:r>
          </w:p>
        </w:tc>
        <w:tc>
          <w:tcPr>
            <w:tcW w:w="710" w:type="dxa"/>
            <w:noWrap w:val="0"/>
            <w:vAlign w:val="center"/>
          </w:tcPr>
          <w:p w14:paraId="0B7C207A">
            <w:pPr>
              <w:spacing w:line="240" w:lineRule="atLeast"/>
              <w:jc w:val="center"/>
              <w:rPr>
                <w:rFonts w:ascii="宋体" w:hAnsi="宋体"/>
                <w:szCs w:val="21"/>
              </w:rPr>
            </w:pPr>
            <w:r>
              <w:rPr>
                <w:rFonts w:ascii="宋体" w:hAnsi="宋体"/>
                <w:szCs w:val="21"/>
              </w:rPr>
              <w:t>1</w:t>
            </w:r>
          </w:p>
        </w:tc>
        <w:tc>
          <w:tcPr>
            <w:tcW w:w="925" w:type="dxa"/>
            <w:noWrap w:val="0"/>
            <w:vAlign w:val="center"/>
          </w:tcPr>
          <w:p w14:paraId="014D02BC">
            <w:pPr>
              <w:spacing w:line="240" w:lineRule="atLeast"/>
              <w:jc w:val="center"/>
              <w:rPr>
                <w:rFonts w:ascii="宋体" w:hAnsi="宋体"/>
                <w:szCs w:val="21"/>
              </w:rPr>
            </w:pPr>
            <w:r>
              <w:rPr>
                <w:rFonts w:ascii="宋体" w:hAnsi="宋体"/>
                <w:szCs w:val="21"/>
              </w:rPr>
              <w:t>15.3</w:t>
            </w:r>
          </w:p>
        </w:tc>
        <w:tc>
          <w:tcPr>
            <w:tcW w:w="967" w:type="dxa"/>
            <w:noWrap w:val="0"/>
            <w:vAlign w:val="center"/>
          </w:tcPr>
          <w:p w14:paraId="06B285C2">
            <w:pPr>
              <w:spacing w:line="240" w:lineRule="atLeast"/>
              <w:jc w:val="center"/>
              <w:rPr>
                <w:rFonts w:ascii="宋体" w:hAnsi="宋体"/>
                <w:szCs w:val="21"/>
              </w:rPr>
            </w:pPr>
            <w:r>
              <w:rPr>
                <w:rFonts w:ascii="宋体" w:hAnsi="宋体"/>
                <w:szCs w:val="21"/>
              </w:rPr>
              <w:t>55.08</w:t>
            </w:r>
          </w:p>
        </w:tc>
        <w:tc>
          <w:tcPr>
            <w:tcW w:w="1113" w:type="dxa"/>
            <w:noWrap w:val="0"/>
            <w:vAlign w:val="center"/>
          </w:tcPr>
          <w:p w14:paraId="43C2C566">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2089C235">
            <w:pPr>
              <w:spacing w:line="240" w:lineRule="atLeast"/>
              <w:jc w:val="center"/>
              <w:rPr>
                <w:rFonts w:ascii="宋体" w:hAnsi="宋体" w:cs="宋体"/>
                <w:szCs w:val="21"/>
              </w:rPr>
            </w:pPr>
            <w:r>
              <w:rPr>
                <w:rFonts w:hint="eastAsia" w:ascii="宋体" w:hAnsi="宋体"/>
                <w:szCs w:val="21"/>
              </w:rPr>
              <w:t>木结构</w:t>
            </w:r>
          </w:p>
        </w:tc>
      </w:tr>
      <w:tr w14:paraId="5AA98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4650F3C9">
            <w:pPr>
              <w:spacing w:line="240" w:lineRule="atLeast"/>
              <w:jc w:val="center"/>
              <w:rPr>
                <w:rFonts w:ascii="宋体" w:hAnsi="宋体"/>
                <w:szCs w:val="21"/>
              </w:rPr>
            </w:pPr>
            <w:r>
              <w:rPr>
                <w:rFonts w:ascii="宋体" w:hAnsi="宋体"/>
                <w:szCs w:val="21"/>
              </w:rPr>
              <w:t>5</w:t>
            </w:r>
          </w:p>
        </w:tc>
        <w:tc>
          <w:tcPr>
            <w:tcW w:w="3253" w:type="dxa"/>
            <w:noWrap w:val="0"/>
            <w:vAlign w:val="center"/>
          </w:tcPr>
          <w:p w14:paraId="32B7DD94">
            <w:pPr>
              <w:spacing w:line="240" w:lineRule="atLeast"/>
              <w:rPr>
                <w:rFonts w:ascii="宋体" w:hAnsi="宋体" w:cs="宋体"/>
                <w:szCs w:val="21"/>
              </w:rPr>
            </w:pPr>
            <w:r>
              <w:rPr>
                <w:rFonts w:hint="eastAsia" w:ascii="宋体" w:hAnsi="宋体"/>
                <w:szCs w:val="21"/>
              </w:rPr>
              <w:t>绞车房</w:t>
            </w:r>
          </w:p>
        </w:tc>
        <w:tc>
          <w:tcPr>
            <w:tcW w:w="714" w:type="dxa"/>
            <w:noWrap w:val="0"/>
            <w:vAlign w:val="center"/>
          </w:tcPr>
          <w:p w14:paraId="162A786D">
            <w:pPr>
              <w:spacing w:line="240" w:lineRule="atLeast"/>
              <w:jc w:val="center"/>
              <w:rPr>
                <w:rFonts w:ascii="宋体" w:hAnsi="宋体"/>
                <w:szCs w:val="21"/>
              </w:rPr>
            </w:pPr>
            <w:r>
              <w:rPr>
                <w:rFonts w:ascii="宋体" w:hAnsi="宋体"/>
                <w:szCs w:val="21"/>
              </w:rPr>
              <w:t>3.6</w:t>
            </w:r>
          </w:p>
        </w:tc>
        <w:tc>
          <w:tcPr>
            <w:tcW w:w="710" w:type="dxa"/>
            <w:noWrap w:val="0"/>
            <w:vAlign w:val="center"/>
          </w:tcPr>
          <w:p w14:paraId="309A996E">
            <w:pPr>
              <w:spacing w:line="240" w:lineRule="atLeast"/>
              <w:jc w:val="center"/>
              <w:rPr>
                <w:rFonts w:ascii="宋体" w:hAnsi="宋体"/>
                <w:szCs w:val="21"/>
              </w:rPr>
            </w:pPr>
            <w:r>
              <w:rPr>
                <w:rFonts w:ascii="宋体" w:hAnsi="宋体"/>
                <w:szCs w:val="21"/>
              </w:rPr>
              <w:t>1</w:t>
            </w:r>
          </w:p>
        </w:tc>
        <w:tc>
          <w:tcPr>
            <w:tcW w:w="925" w:type="dxa"/>
            <w:noWrap w:val="0"/>
            <w:vAlign w:val="center"/>
          </w:tcPr>
          <w:p w14:paraId="08FE5D76">
            <w:pPr>
              <w:spacing w:line="240" w:lineRule="atLeast"/>
              <w:jc w:val="center"/>
              <w:rPr>
                <w:rFonts w:ascii="宋体" w:hAnsi="宋体"/>
                <w:szCs w:val="21"/>
              </w:rPr>
            </w:pPr>
            <w:r>
              <w:rPr>
                <w:rFonts w:ascii="宋体" w:hAnsi="宋体"/>
                <w:szCs w:val="21"/>
              </w:rPr>
              <w:t>184</w:t>
            </w:r>
          </w:p>
        </w:tc>
        <w:tc>
          <w:tcPr>
            <w:tcW w:w="967" w:type="dxa"/>
            <w:noWrap w:val="0"/>
            <w:vAlign w:val="center"/>
          </w:tcPr>
          <w:p w14:paraId="7742E277">
            <w:pPr>
              <w:spacing w:line="240" w:lineRule="atLeast"/>
              <w:jc w:val="center"/>
              <w:rPr>
                <w:rFonts w:ascii="宋体" w:hAnsi="宋体"/>
                <w:szCs w:val="21"/>
              </w:rPr>
            </w:pPr>
            <w:r>
              <w:rPr>
                <w:rFonts w:ascii="宋体" w:hAnsi="宋体"/>
                <w:szCs w:val="21"/>
              </w:rPr>
              <w:t>662.4</w:t>
            </w:r>
          </w:p>
        </w:tc>
        <w:tc>
          <w:tcPr>
            <w:tcW w:w="1113" w:type="dxa"/>
            <w:noWrap w:val="0"/>
            <w:vAlign w:val="center"/>
          </w:tcPr>
          <w:p w14:paraId="6704B10C">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506EE8B5">
            <w:pPr>
              <w:spacing w:line="240" w:lineRule="atLeast"/>
              <w:jc w:val="center"/>
              <w:rPr>
                <w:rFonts w:ascii="宋体" w:hAnsi="宋体" w:cs="宋体"/>
                <w:szCs w:val="21"/>
              </w:rPr>
            </w:pPr>
            <w:r>
              <w:rPr>
                <w:rFonts w:hint="eastAsia" w:ascii="宋体" w:hAnsi="宋体"/>
                <w:szCs w:val="21"/>
              </w:rPr>
              <w:t>木结构</w:t>
            </w:r>
          </w:p>
        </w:tc>
      </w:tr>
      <w:tr w14:paraId="208EB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76B45B80">
            <w:pPr>
              <w:spacing w:line="240" w:lineRule="atLeast"/>
              <w:jc w:val="center"/>
              <w:rPr>
                <w:rFonts w:ascii="宋体" w:hAnsi="宋体"/>
                <w:szCs w:val="21"/>
              </w:rPr>
            </w:pPr>
            <w:r>
              <w:rPr>
                <w:rFonts w:ascii="宋体" w:hAnsi="宋体"/>
                <w:szCs w:val="21"/>
              </w:rPr>
              <w:t>6</w:t>
            </w:r>
          </w:p>
        </w:tc>
        <w:tc>
          <w:tcPr>
            <w:tcW w:w="3253" w:type="dxa"/>
            <w:noWrap w:val="0"/>
            <w:vAlign w:val="center"/>
          </w:tcPr>
          <w:p w14:paraId="11D49A27">
            <w:pPr>
              <w:spacing w:line="240" w:lineRule="atLeast"/>
              <w:rPr>
                <w:rFonts w:ascii="宋体" w:hAnsi="宋体" w:cs="宋体"/>
                <w:szCs w:val="21"/>
              </w:rPr>
            </w:pPr>
            <w:r>
              <w:rPr>
                <w:rFonts w:hint="eastAsia" w:ascii="宋体" w:hAnsi="宋体"/>
                <w:szCs w:val="21"/>
              </w:rPr>
              <w:t>器材库、消防器材库</w:t>
            </w:r>
          </w:p>
        </w:tc>
        <w:tc>
          <w:tcPr>
            <w:tcW w:w="714" w:type="dxa"/>
            <w:noWrap w:val="0"/>
            <w:vAlign w:val="center"/>
          </w:tcPr>
          <w:p w14:paraId="6C5B75D7">
            <w:pPr>
              <w:spacing w:line="240" w:lineRule="atLeast"/>
              <w:jc w:val="center"/>
              <w:rPr>
                <w:rFonts w:ascii="宋体" w:hAnsi="宋体"/>
                <w:szCs w:val="21"/>
              </w:rPr>
            </w:pPr>
            <w:r>
              <w:rPr>
                <w:rFonts w:ascii="宋体" w:hAnsi="宋体"/>
                <w:szCs w:val="21"/>
              </w:rPr>
              <w:t>3.6</w:t>
            </w:r>
          </w:p>
        </w:tc>
        <w:tc>
          <w:tcPr>
            <w:tcW w:w="710" w:type="dxa"/>
            <w:noWrap w:val="0"/>
            <w:vAlign w:val="center"/>
          </w:tcPr>
          <w:p w14:paraId="3616FE40">
            <w:pPr>
              <w:spacing w:line="240" w:lineRule="atLeast"/>
              <w:jc w:val="center"/>
              <w:rPr>
                <w:rFonts w:ascii="宋体" w:hAnsi="宋体"/>
                <w:szCs w:val="21"/>
              </w:rPr>
            </w:pPr>
            <w:r>
              <w:rPr>
                <w:rFonts w:ascii="宋体" w:hAnsi="宋体"/>
                <w:szCs w:val="21"/>
              </w:rPr>
              <w:t>1</w:t>
            </w:r>
          </w:p>
        </w:tc>
        <w:tc>
          <w:tcPr>
            <w:tcW w:w="925" w:type="dxa"/>
            <w:noWrap w:val="0"/>
            <w:vAlign w:val="center"/>
          </w:tcPr>
          <w:p w14:paraId="558EA0E8">
            <w:pPr>
              <w:spacing w:line="240" w:lineRule="atLeast"/>
              <w:jc w:val="center"/>
              <w:rPr>
                <w:rFonts w:ascii="宋体" w:hAnsi="宋体"/>
                <w:szCs w:val="21"/>
              </w:rPr>
            </w:pPr>
            <w:r>
              <w:rPr>
                <w:rFonts w:ascii="宋体" w:hAnsi="宋体"/>
                <w:szCs w:val="21"/>
              </w:rPr>
              <w:t>432</w:t>
            </w:r>
          </w:p>
        </w:tc>
        <w:tc>
          <w:tcPr>
            <w:tcW w:w="967" w:type="dxa"/>
            <w:noWrap w:val="0"/>
            <w:vAlign w:val="center"/>
          </w:tcPr>
          <w:p w14:paraId="1035A3DF">
            <w:pPr>
              <w:spacing w:line="240" w:lineRule="atLeast"/>
              <w:jc w:val="center"/>
              <w:rPr>
                <w:rFonts w:ascii="宋体" w:hAnsi="宋体"/>
                <w:szCs w:val="21"/>
              </w:rPr>
            </w:pPr>
            <w:r>
              <w:rPr>
                <w:rFonts w:ascii="宋体" w:hAnsi="宋体"/>
                <w:szCs w:val="21"/>
              </w:rPr>
              <w:t>1555.2</w:t>
            </w:r>
          </w:p>
        </w:tc>
        <w:tc>
          <w:tcPr>
            <w:tcW w:w="1113" w:type="dxa"/>
            <w:noWrap w:val="0"/>
            <w:vAlign w:val="center"/>
          </w:tcPr>
          <w:p w14:paraId="54D261E3">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1E18A1A6">
            <w:pPr>
              <w:spacing w:line="240" w:lineRule="atLeast"/>
              <w:jc w:val="center"/>
              <w:rPr>
                <w:rFonts w:ascii="宋体" w:hAnsi="宋体" w:cs="宋体"/>
                <w:szCs w:val="21"/>
              </w:rPr>
            </w:pPr>
            <w:r>
              <w:rPr>
                <w:rFonts w:hint="eastAsia" w:ascii="宋体" w:hAnsi="宋体"/>
                <w:szCs w:val="21"/>
              </w:rPr>
              <w:t>木结构</w:t>
            </w:r>
          </w:p>
        </w:tc>
      </w:tr>
      <w:tr w14:paraId="651A9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14530D47">
            <w:pPr>
              <w:spacing w:line="240" w:lineRule="atLeast"/>
              <w:jc w:val="center"/>
              <w:rPr>
                <w:rFonts w:ascii="宋体" w:hAnsi="宋体"/>
                <w:szCs w:val="21"/>
              </w:rPr>
            </w:pPr>
            <w:r>
              <w:rPr>
                <w:rFonts w:ascii="宋体" w:hAnsi="宋体"/>
                <w:szCs w:val="21"/>
              </w:rPr>
              <w:t>7</w:t>
            </w:r>
          </w:p>
        </w:tc>
        <w:tc>
          <w:tcPr>
            <w:tcW w:w="3253" w:type="dxa"/>
            <w:noWrap w:val="0"/>
            <w:vAlign w:val="center"/>
          </w:tcPr>
          <w:p w14:paraId="66A18DCC">
            <w:pPr>
              <w:spacing w:line="240" w:lineRule="atLeast"/>
              <w:rPr>
                <w:rFonts w:ascii="宋体" w:hAnsi="宋体" w:cs="宋体"/>
                <w:szCs w:val="21"/>
              </w:rPr>
            </w:pPr>
            <w:r>
              <w:rPr>
                <w:rFonts w:hint="eastAsia" w:ascii="宋体" w:hAnsi="宋体"/>
                <w:szCs w:val="21"/>
              </w:rPr>
              <w:t>机修间材料库</w:t>
            </w:r>
          </w:p>
        </w:tc>
        <w:tc>
          <w:tcPr>
            <w:tcW w:w="714" w:type="dxa"/>
            <w:noWrap w:val="0"/>
            <w:vAlign w:val="center"/>
          </w:tcPr>
          <w:p w14:paraId="1493BBAE">
            <w:pPr>
              <w:spacing w:line="240" w:lineRule="atLeast"/>
              <w:jc w:val="center"/>
              <w:rPr>
                <w:rFonts w:ascii="宋体" w:hAnsi="宋体"/>
                <w:szCs w:val="21"/>
              </w:rPr>
            </w:pPr>
            <w:r>
              <w:rPr>
                <w:rFonts w:ascii="宋体" w:hAnsi="宋体"/>
                <w:szCs w:val="21"/>
              </w:rPr>
              <w:t>4.5</w:t>
            </w:r>
          </w:p>
        </w:tc>
        <w:tc>
          <w:tcPr>
            <w:tcW w:w="710" w:type="dxa"/>
            <w:noWrap w:val="0"/>
            <w:vAlign w:val="center"/>
          </w:tcPr>
          <w:p w14:paraId="695B5CDE">
            <w:pPr>
              <w:spacing w:line="240" w:lineRule="atLeast"/>
              <w:jc w:val="center"/>
              <w:rPr>
                <w:rFonts w:ascii="宋体" w:hAnsi="宋体"/>
                <w:szCs w:val="21"/>
              </w:rPr>
            </w:pPr>
            <w:r>
              <w:rPr>
                <w:rFonts w:ascii="宋体" w:hAnsi="宋体"/>
                <w:szCs w:val="21"/>
              </w:rPr>
              <w:t>1</w:t>
            </w:r>
          </w:p>
        </w:tc>
        <w:tc>
          <w:tcPr>
            <w:tcW w:w="925" w:type="dxa"/>
            <w:noWrap w:val="0"/>
            <w:vAlign w:val="center"/>
          </w:tcPr>
          <w:p w14:paraId="0BAF304E">
            <w:pPr>
              <w:spacing w:line="240" w:lineRule="atLeast"/>
              <w:jc w:val="center"/>
              <w:rPr>
                <w:rFonts w:ascii="宋体" w:hAnsi="宋体"/>
                <w:szCs w:val="21"/>
              </w:rPr>
            </w:pPr>
            <w:r>
              <w:rPr>
                <w:rFonts w:ascii="宋体" w:hAnsi="宋体"/>
                <w:szCs w:val="21"/>
              </w:rPr>
              <w:t>432</w:t>
            </w:r>
          </w:p>
        </w:tc>
        <w:tc>
          <w:tcPr>
            <w:tcW w:w="967" w:type="dxa"/>
            <w:noWrap w:val="0"/>
            <w:vAlign w:val="center"/>
          </w:tcPr>
          <w:p w14:paraId="07456FC6">
            <w:pPr>
              <w:spacing w:line="240" w:lineRule="atLeast"/>
              <w:jc w:val="center"/>
              <w:rPr>
                <w:rFonts w:ascii="宋体" w:hAnsi="宋体"/>
                <w:szCs w:val="21"/>
              </w:rPr>
            </w:pPr>
            <w:r>
              <w:rPr>
                <w:rFonts w:ascii="宋体" w:hAnsi="宋体"/>
                <w:szCs w:val="21"/>
              </w:rPr>
              <w:t>1944</w:t>
            </w:r>
          </w:p>
        </w:tc>
        <w:tc>
          <w:tcPr>
            <w:tcW w:w="1113" w:type="dxa"/>
            <w:noWrap w:val="0"/>
            <w:vAlign w:val="center"/>
          </w:tcPr>
          <w:p w14:paraId="483859E3">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4DDD6C44">
            <w:pPr>
              <w:spacing w:line="240" w:lineRule="atLeast"/>
              <w:jc w:val="center"/>
              <w:rPr>
                <w:rFonts w:ascii="宋体" w:hAnsi="宋体" w:cs="宋体"/>
                <w:szCs w:val="21"/>
              </w:rPr>
            </w:pPr>
            <w:r>
              <w:rPr>
                <w:rFonts w:hint="eastAsia" w:ascii="宋体" w:hAnsi="宋体"/>
                <w:szCs w:val="21"/>
              </w:rPr>
              <w:t>木结构</w:t>
            </w:r>
          </w:p>
        </w:tc>
      </w:tr>
      <w:tr w14:paraId="0EEA9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4A2D6516">
            <w:pPr>
              <w:spacing w:line="240" w:lineRule="atLeast"/>
              <w:jc w:val="center"/>
              <w:rPr>
                <w:rFonts w:ascii="宋体" w:hAnsi="宋体"/>
                <w:szCs w:val="21"/>
              </w:rPr>
            </w:pPr>
            <w:r>
              <w:rPr>
                <w:rFonts w:ascii="宋体" w:hAnsi="宋体"/>
                <w:szCs w:val="21"/>
              </w:rPr>
              <w:t>8</w:t>
            </w:r>
          </w:p>
        </w:tc>
        <w:tc>
          <w:tcPr>
            <w:tcW w:w="3253" w:type="dxa"/>
            <w:noWrap w:val="0"/>
            <w:vAlign w:val="center"/>
          </w:tcPr>
          <w:p w14:paraId="677A0070">
            <w:pPr>
              <w:spacing w:line="240" w:lineRule="atLeast"/>
              <w:rPr>
                <w:rFonts w:ascii="宋体" w:hAnsi="宋体" w:cs="宋体"/>
                <w:szCs w:val="21"/>
              </w:rPr>
            </w:pPr>
            <w:r>
              <w:rPr>
                <w:rFonts w:hint="eastAsia" w:ascii="宋体" w:hAnsi="宋体"/>
                <w:szCs w:val="21"/>
              </w:rPr>
              <w:t>坑木加工房</w:t>
            </w:r>
          </w:p>
        </w:tc>
        <w:tc>
          <w:tcPr>
            <w:tcW w:w="714" w:type="dxa"/>
            <w:noWrap w:val="0"/>
            <w:vAlign w:val="center"/>
          </w:tcPr>
          <w:p w14:paraId="78C719F5">
            <w:pPr>
              <w:spacing w:line="240" w:lineRule="atLeast"/>
              <w:jc w:val="center"/>
              <w:rPr>
                <w:rFonts w:ascii="宋体" w:hAnsi="宋体"/>
                <w:szCs w:val="21"/>
              </w:rPr>
            </w:pPr>
            <w:r>
              <w:rPr>
                <w:rFonts w:ascii="宋体" w:hAnsi="宋体"/>
                <w:szCs w:val="21"/>
              </w:rPr>
              <w:t>3.6</w:t>
            </w:r>
          </w:p>
        </w:tc>
        <w:tc>
          <w:tcPr>
            <w:tcW w:w="710" w:type="dxa"/>
            <w:noWrap w:val="0"/>
            <w:vAlign w:val="center"/>
          </w:tcPr>
          <w:p w14:paraId="0CE359EF">
            <w:pPr>
              <w:spacing w:line="240" w:lineRule="atLeast"/>
              <w:jc w:val="center"/>
              <w:rPr>
                <w:rFonts w:ascii="宋体" w:hAnsi="宋体"/>
                <w:szCs w:val="21"/>
              </w:rPr>
            </w:pPr>
            <w:r>
              <w:rPr>
                <w:rFonts w:ascii="宋体" w:hAnsi="宋体"/>
                <w:szCs w:val="21"/>
              </w:rPr>
              <w:t>1</w:t>
            </w:r>
          </w:p>
        </w:tc>
        <w:tc>
          <w:tcPr>
            <w:tcW w:w="925" w:type="dxa"/>
            <w:noWrap w:val="0"/>
            <w:vAlign w:val="center"/>
          </w:tcPr>
          <w:p w14:paraId="459D5518">
            <w:pPr>
              <w:spacing w:line="240" w:lineRule="atLeast"/>
              <w:jc w:val="center"/>
              <w:rPr>
                <w:rFonts w:ascii="宋体" w:hAnsi="宋体"/>
                <w:szCs w:val="21"/>
              </w:rPr>
            </w:pPr>
            <w:r>
              <w:rPr>
                <w:rFonts w:ascii="宋体" w:hAnsi="宋体"/>
                <w:szCs w:val="21"/>
              </w:rPr>
              <w:t>135</w:t>
            </w:r>
          </w:p>
        </w:tc>
        <w:tc>
          <w:tcPr>
            <w:tcW w:w="967" w:type="dxa"/>
            <w:noWrap w:val="0"/>
            <w:vAlign w:val="center"/>
          </w:tcPr>
          <w:p w14:paraId="657DD397">
            <w:pPr>
              <w:spacing w:line="240" w:lineRule="atLeast"/>
              <w:jc w:val="center"/>
              <w:rPr>
                <w:rFonts w:ascii="宋体" w:hAnsi="宋体"/>
                <w:szCs w:val="21"/>
              </w:rPr>
            </w:pPr>
            <w:r>
              <w:rPr>
                <w:rFonts w:ascii="宋体" w:hAnsi="宋体"/>
                <w:szCs w:val="21"/>
              </w:rPr>
              <w:t>486</w:t>
            </w:r>
          </w:p>
        </w:tc>
        <w:tc>
          <w:tcPr>
            <w:tcW w:w="1113" w:type="dxa"/>
            <w:noWrap w:val="0"/>
            <w:vAlign w:val="center"/>
          </w:tcPr>
          <w:p w14:paraId="29B76F2B">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0719D4AD">
            <w:pPr>
              <w:spacing w:line="240" w:lineRule="atLeast"/>
              <w:jc w:val="center"/>
              <w:rPr>
                <w:rFonts w:ascii="宋体" w:hAnsi="宋体" w:cs="宋体"/>
                <w:szCs w:val="21"/>
              </w:rPr>
            </w:pPr>
            <w:r>
              <w:rPr>
                <w:rFonts w:hint="eastAsia" w:ascii="宋体" w:hAnsi="宋体"/>
                <w:szCs w:val="21"/>
              </w:rPr>
              <w:t>木结构</w:t>
            </w:r>
          </w:p>
        </w:tc>
      </w:tr>
      <w:tr w14:paraId="35FCD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76C17405">
            <w:pPr>
              <w:spacing w:line="240" w:lineRule="atLeast"/>
              <w:jc w:val="center"/>
              <w:rPr>
                <w:rFonts w:ascii="宋体" w:hAnsi="宋体"/>
                <w:szCs w:val="21"/>
              </w:rPr>
            </w:pPr>
            <w:r>
              <w:rPr>
                <w:rFonts w:ascii="宋体" w:hAnsi="宋体"/>
                <w:szCs w:val="21"/>
              </w:rPr>
              <w:t>9</w:t>
            </w:r>
          </w:p>
        </w:tc>
        <w:tc>
          <w:tcPr>
            <w:tcW w:w="3253" w:type="dxa"/>
            <w:noWrap w:val="0"/>
            <w:vAlign w:val="center"/>
          </w:tcPr>
          <w:p w14:paraId="2E86161C">
            <w:pPr>
              <w:spacing w:line="240" w:lineRule="atLeast"/>
              <w:rPr>
                <w:rFonts w:ascii="宋体" w:hAnsi="宋体" w:cs="宋体"/>
                <w:szCs w:val="21"/>
              </w:rPr>
            </w:pPr>
            <w:r>
              <w:rPr>
                <w:rFonts w:hint="eastAsia" w:ascii="宋体" w:hAnsi="宋体"/>
                <w:szCs w:val="21"/>
              </w:rPr>
              <w:t>压风机房</w:t>
            </w:r>
          </w:p>
        </w:tc>
        <w:tc>
          <w:tcPr>
            <w:tcW w:w="714" w:type="dxa"/>
            <w:noWrap w:val="0"/>
            <w:vAlign w:val="center"/>
          </w:tcPr>
          <w:p w14:paraId="4E0ABEF0">
            <w:pPr>
              <w:spacing w:line="240" w:lineRule="atLeast"/>
              <w:jc w:val="center"/>
              <w:rPr>
                <w:rFonts w:ascii="宋体" w:hAnsi="宋体"/>
                <w:szCs w:val="21"/>
              </w:rPr>
            </w:pPr>
            <w:r>
              <w:rPr>
                <w:rFonts w:ascii="宋体" w:hAnsi="宋体"/>
                <w:szCs w:val="21"/>
              </w:rPr>
              <w:t>3.6</w:t>
            </w:r>
          </w:p>
        </w:tc>
        <w:tc>
          <w:tcPr>
            <w:tcW w:w="710" w:type="dxa"/>
            <w:noWrap w:val="0"/>
            <w:vAlign w:val="center"/>
          </w:tcPr>
          <w:p w14:paraId="37F96B92">
            <w:pPr>
              <w:spacing w:line="240" w:lineRule="atLeast"/>
              <w:jc w:val="center"/>
              <w:rPr>
                <w:rFonts w:ascii="宋体" w:hAnsi="宋体"/>
                <w:szCs w:val="21"/>
              </w:rPr>
            </w:pPr>
            <w:r>
              <w:rPr>
                <w:rFonts w:ascii="宋体" w:hAnsi="宋体"/>
                <w:szCs w:val="21"/>
              </w:rPr>
              <w:t>1</w:t>
            </w:r>
          </w:p>
        </w:tc>
        <w:tc>
          <w:tcPr>
            <w:tcW w:w="925" w:type="dxa"/>
            <w:noWrap w:val="0"/>
            <w:vAlign w:val="center"/>
          </w:tcPr>
          <w:p w14:paraId="153F8122">
            <w:pPr>
              <w:spacing w:line="240" w:lineRule="atLeast"/>
              <w:jc w:val="center"/>
              <w:rPr>
                <w:rFonts w:ascii="宋体" w:hAnsi="宋体"/>
                <w:szCs w:val="21"/>
              </w:rPr>
            </w:pPr>
            <w:r>
              <w:rPr>
                <w:rFonts w:ascii="宋体" w:hAnsi="宋体"/>
                <w:szCs w:val="21"/>
              </w:rPr>
              <w:t>66</w:t>
            </w:r>
          </w:p>
        </w:tc>
        <w:tc>
          <w:tcPr>
            <w:tcW w:w="967" w:type="dxa"/>
            <w:noWrap w:val="0"/>
            <w:vAlign w:val="center"/>
          </w:tcPr>
          <w:p w14:paraId="7E61586C">
            <w:pPr>
              <w:spacing w:line="240" w:lineRule="atLeast"/>
              <w:jc w:val="center"/>
              <w:rPr>
                <w:rFonts w:ascii="宋体" w:hAnsi="宋体"/>
                <w:szCs w:val="21"/>
              </w:rPr>
            </w:pPr>
            <w:r>
              <w:rPr>
                <w:rFonts w:ascii="宋体" w:hAnsi="宋体"/>
                <w:szCs w:val="21"/>
              </w:rPr>
              <w:t>237.6</w:t>
            </w:r>
          </w:p>
        </w:tc>
        <w:tc>
          <w:tcPr>
            <w:tcW w:w="1113" w:type="dxa"/>
            <w:noWrap w:val="0"/>
            <w:vAlign w:val="center"/>
          </w:tcPr>
          <w:p w14:paraId="0EB6AABF">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3C4CA64E">
            <w:pPr>
              <w:spacing w:line="240" w:lineRule="atLeast"/>
              <w:jc w:val="center"/>
              <w:rPr>
                <w:rFonts w:ascii="宋体" w:hAnsi="宋体" w:cs="宋体"/>
                <w:szCs w:val="21"/>
              </w:rPr>
            </w:pPr>
            <w:r>
              <w:rPr>
                <w:rFonts w:hint="eastAsia" w:ascii="宋体" w:hAnsi="宋体"/>
                <w:szCs w:val="21"/>
              </w:rPr>
              <w:t>木结构</w:t>
            </w:r>
          </w:p>
        </w:tc>
      </w:tr>
      <w:tr w14:paraId="56667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7CEEF8D5">
            <w:pPr>
              <w:spacing w:line="240" w:lineRule="atLeast"/>
              <w:jc w:val="center"/>
              <w:rPr>
                <w:rFonts w:ascii="宋体" w:hAnsi="宋体"/>
                <w:szCs w:val="21"/>
              </w:rPr>
            </w:pPr>
            <w:r>
              <w:rPr>
                <w:rFonts w:ascii="宋体" w:hAnsi="宋体"/>
                <w:szCs w:val="21"/>
              </w:rPr>
              <w:t>10</w:t>
            </w:r>
          </w:p>
        </w:tc>
        <w:tc>
          <w:tcPr>
            <w:tcW w:w="3253" w:type="dxa"/>
            <w:noWrap w:val="0"/>
            <w:vAlign w:val="center"/>
          </w:tcPr>
          <w:p w14:paraId="485F1D29">
            <w:pPr>
              <w:spacing w:line="240" w:lineRule="atLeast"/>
              <w:rPr>
                <w:rFonts w:ascii="宋体" w:hAnsi="宋体" w:cs="宋体"/>
                <w:szCs w:val="21"/>
              </w:rPr>
            </w:pPr>
            <w:r>
              <w:rPr>
                <w:rFonts w:hint="eastAsia" w:ascii="宋体" w:hAnsi="宋体"/>
                <w:szCs w:val="21"/>
              </w:rPr>
              <w:t>风机房</w:t>
            </w:r>
          </w:p>
        </w:tc>
        <w:tc>
          <w:tcPr>
            <w:tcW w:w="714" w:type="dxa"/>
            <w:noWrap w:val="0"/>
            <w:vAlign w:val="center"/>
          </w:tcPr>
          <w:p w14:paraId="6B21B79B">
            <w:pPr>
              <w:spacing w:line="240" w:lineRule="atLeast"/>
              <w:jc w:val="center"/>
              <w:rPr>
                <w:rFonts w:ascii="宋体" w:hAnsi="宋体"/>
                <w:szCs w:val="21"/>
              </w:rPr>
            </w:pPr>
            <w:r>
              <w:rPr>
                <w:rFonts w:ascii="宋体" w:hAnsi="宋体"/>
                <w:szCs w:val="21"/>
              </w:rPr>
              <w:t>3.6</w:t>
            </w:r>
          </w:p>
        </w:tc>
        <w:tc>
          <w:tcPr>
            <w:tcW w:w="710" w:type="dxa"/>
            <w:noWrap w:val="0"/>
            <w:vAlign w:val="center"/>
          </w:tcPr>
          <w:p w14:paraId="0779DFFE">
            <w:pPr>
              <w:spacing w:line="240" w:lineRule="atLeast"/>
              <w:jc w:val="center"/>
              <w:rPr>
                <w:rFonts w:ascii="宋体" w:hAnsi="宋体"/>
                <w:szCs w:val="21"/>
              </w:rPr>
            </w:pPr>
            <w:r>
              <w:rPr>
                <w:rFonts w:ascii="宋体" w:hAnsi="宋体"/>
                <w:szCs w:val="21"/>
              </w:rPr>
              <w:t>1</w:t>
            </w:r>
          </w:p>
        </w:tc>
        <w:tc>
          <w:tcPr>
            <w:tcW w:w="925" w:type="dxa"/>
            <w:noWrap w:val="0"/>
            <w:vAlign w:val="center"/>
          </w:tcPr>
          <w:p w14:paraId="2582CBF6">
            <w:pPr>
              <w:spacing w:line="240" w:lineRule="atLeast"/>
              <w:jc w:val="center"/>
              <w:rPr>
                <w:rFonts w:ascii="宋体" w:hAnsi="宋体"/>
                <w:szCs w:val="21"/>
              </w:rPr>
            </w:pPr>
            <w:r>
              <w:rPr>
                <w:rFonts w:ascii="宋体" w:hAnsi="宋体"/>
                <w:szCs w:val="21"/>
              </w:rPr>
              <w:t>35</w:t>
            </w:r>
          </w:p>
        </w:tc>
        <w:tc>
          <w:tcPr>
            <w:tcW w:w="967" w:type="dxa"/>
            <w:noWrap w:val="0"/>
            <w:vAlign w:val="center"/>
          </w:tcPr>
          <w:p w14:paraId="5441968C">
            <w:pPr>
              <w:spacing w:line="240" w:lineRule="atLeast"/>
              <w:jc w:val="center"/>
              <w:rPr>
                <w:rFonts w:ascii="宋体" w:hAnsi="宋体"/>
                <w:szCs w:val="21"/>
              </w:rPr>
            </w:pPr>
            <w:r>
              <w:rPr>
                <w:rFonts w:ascii="宋体" w:hAnsi="宋体"/>
                <w:szCs w:val="21"/>
              </w:rPr>
              <w:t>126</w:t>
            </w:r>
          </w:p>
        </w:tc>
        <w:tc>
          <w:tcPr>
            <w:tcW w:w="1113" w:type="dxa"/>
            <w:noWrap w:val="0"/>
            <w:vAlign w:val="center"/>
          </w:tcPr>
          <w:p w14:paraId="1C22C851">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254BFE3F">
            <w:pPr>
              <w:spacing w:line="240" w:lineRule="atLeast"/>
              <w:jc w:val="center"/>
              <w:rPr>
                <w:rFonts w:ascii="宋体" w:hAnsi="宋体" w:cs="宋体"/>
                <w:szCs w:val="21"/>
              </w:rPr>
            </w:pPr>
            <w:r>
              <w:rPr>
                <w:rFonts w:hint="eastAsia" w:ascii="宋体" w:hAnsi="宋体"/>
                <w:szCs w:val="21"/>
              </w:rPr>
              <w:t>木结构</w:t>
            </w:r>
          </w:p>
        </w:tc>
      </w:tr>
      <w:tr w14:paraId="55173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2B4D1327">
            <w:pPr>
              <w:spacing w:line="240" w:lineRule="atLeast"/>
              <w:jc w:val="center"/>
              <w:rPr>
                <w:rFonts w:ascii="宋体" w:hAnsi="宋体"/>
                <w:szCs w:val="21"/>
              </w:rPr>
            </w:pPr>
            <w:r>
              <w:rPr>
                <w:rFonts w:ascii="宋体" w:hAnsi="宋体"/>
                <w:szCs w:val="21"/>
              </w:rPr>
              <w:t>11</w:t>
            </w:r>
          </w:p>
        </w:tc>
        <w:tc>
          <w:tcPr>
            <w:tcW w:w="3253" w:type="dxa"/>
            <w:noWrap w:val="0"/>
            <w:vAlign w:val="center"/>
          </w:tcPr>
          <w:p w14:paraId="1128D9AB">
            <w:pPr>
              <w:spacing w:line="240" w:lineRule="atLeast"/>
              <w:rPr>
                <w:rFonts w:ascii="宋体" w:hAnsi="宋体"/>
                <w:szCs w:val="21"/>
              </w:rPr>
            </w:pPr>
            <w:r>
              <w:rPr>
                <w:rFonts w:ascii="宋体" w:hAnsi="宋体"/>
                <w:szCs w:val="21"/>
              </w:rPr>
              <w:t>10kV</w:t>
            </w:r>
            <w:r>
              <w:rPr>
                <w:rFonts w:hint="eastAsia" w:ascii="宋体" w:hAnsi="宋体"/>
                <w:szCs w:val="21"/>
              </w:rPr>
              <w:t>变电所</w:t>
            </w:r>
          </w:p>
        </w:tc>
        <w:tc>
          <w:tcPr>
            <w:tcW w:w="714" w:type="dxa"/>
            <w:noWrap w:val="0"/>
            <w:vAlign w:val="center"/>
          </w:tcPr>
          <w:p w14:paraId="69E5A79A">
            <w:pPr>
              <w:spacing w:line="240" w:lineRule="atLeast"/>
              <w:jc w:val="center"/>
              <w:rPr>
                <w:rFonts w:ascii="宋体" w:hAnsi="宋体"/>
                <w:szCs w:val="21"/>
              </w:rPr>
            </w:pPr>
            <w:r>
              <w:rPr>
                <w:rFonts w:ascii="宋体" w:hAnsi="宋体"/>
                <w:szCs w:val="21"/>
              </w:rPr>
              <w:t>5.1</w:t>
            </w:r>
          </w:p>
        </w:tc>
        <w:tc>
          <w:tcPr>
            <w:tcW w:w="710" w:type="dxa"/>
            <w:noWrap w:val="0"/>
            <w:vAlign w:val="center"/>
          </w:tcPr>
          <w:p w14:paraId="5CB2118A">
            <w:pPr>
              <w:spacing w:line="240" w:lineRule="atLeast"/>
              <w:jc w:val="center"/>
              <w:rPr>
                <w:rFonts w:ascii="宋体" w:hAnsi="宋体"/>
                <w:szCs w:val="21"/>
              </w:rPr>
            </w:pPr>
            <w:r>
              <w:rPr>
                <w:rFonts w:ascii="宋体" w:hAnsi="宋体"/>
                <w:szCs w:val="21"/>
              </w:rPr>
              <w:t>1</w:t>
            </w:r>
          </w:p>
        </w:tc>
        <w:tc>
          <w:tcPr>
            <w:tcW w:w="925" w:type="dxa"/>
            <w:noWrap w:val="0"/>
            <w:vAlign w:val="center"/>
          </w:tcPr>
          <w:p w14:paraId="62F2E536">
            <w:pPr>
              <w:spacing w:line="240" w:lineRule="atLeast"/>
              <w:jc w:val="center"/>
              <w:rPr>
                <w:rFonts w:ascii="宋体" w:hAnsi="宋体"/>
                <w:szCs w:val="21"/>
              </w:rPr>
            </w:pPr>
            <w:r>
              <w:rPr>
                <w:rFonts w:ascii="宋体" w:hAnsi="宋体"/>
                <w:szCs w:val="21"/>
              </w:rPr>
              <w:t>360</w:t>
            </w:r>
          </w:p>
        </w:tc>
        <w:tc>
          <w:tcPr>
            <w:tcW w:w="967" w:type="dxa"/>
            <w:noWrap w:val="0"/>
            <w:vAlign w:val="center"/>
          </w:tcPr>
          <w:p w14:paraId="3D4AD105">
            <w:pPr>
              <w:spacing w:line="240" w:lineRule="atLeast"/>
              <w:jc w:val="center"/>
              <w:rPr>
                <w:rFonts w:ascii="宋体" w:hAnsi="宋体"/>
                <w:szCs w:val="21"/>
              </w:rPr>
            </w:pPr>
            <w:r>
              <w:rPr>
                <w:rFonts w:ascii="宋体" w:hAnsi="宋体"/>
                <w:szCs w:val="21"/>
              </w:rPr>
              <w:t>1836</w:t>
            </w:r>
          </w:p>
        </w:tc>
        <w:tc>
          <w:tcPr>
            <w:tcW w:w="1113" w:type="dxa"/>
            <w:noWrap w:val="0"/>
            <w:vAlign w:val="center"/>
          </w:tcPr>
          <w:p w14:paraId="3BC4F52F">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616521AF">
            <w:pPr>
              <w:spacing w:line="240" w:lineRule="atLeast"/>
              <w:jc w:val="center"/>
              <w:rPr>
                <w:rFonts w:ascii="宋体" w:hAnsi="宋体" w:cs="宋体"/>
                <w:szCs w:val="21"/>
              </w:rPr>
            </w:pPr>
            <w:r>
              <w:rPr>
                <w:rFonts w:hint="eastAsia" w:ascii="宋体" w:hAnsi="宋体"/>
                <w:szCs w:val="21"/>
              </w:rPr>
              <w:t>木结构</w:t>
            </w:r>
          </w:p>
        </w:tc>
      </w:tr>
      <w:tr w14:paraId="12A6A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138728C5">
            <w:pPr>
              <w:spacing w:line="240" w:lineRule="atLeast"/>
              <w:jc w:val="center"/>
              <w:rPr>
                <w:rFonts w:ascii="宋体" w:hAnsi="宋体"/>
                <w:szCs w:val="21"/>
              </w:rPr>
            </w:pPr>
            <w:r>
              <w:rPr>
                <w:rFonts w:ascii="宋体" w:hAnsi="宋体"/>
                <w:szCs w:val="21"/>
              </w:rPr>
              <w:t>12</w:t>
            </w:r>
          </w:p>
        </w:tc>
        <w:tc>
          <w:tcPr>
            <w:tcW w:w="3253" w:type="dxa"/>
            <w:noWrap w:val="0"/>
            <w:vAlign w:val="center"/>
          </w:tcPr>
          <w:p w14:paraId="74837A8D">
            <w:pPr>
              <w:spacing w:line="240" w:lineRule="atLeast"/>
              <w:rPr>
                <w:rFonts w:ascii="宋体" w:hAnsi="宋体" w:cs="宋体"/>
                <w:szCs w:val="21"/>
              </w:rPr>
            </w:pPr>
            <w:r>
              <w:rPr>
                <w:rFonts w:hint="eastAsia" w:ascii="宋体" w:hAnsi="宋体"/>
                <w:szCs w:val="21"/>
              </w:rPr>
              <w:t>瓦斯抽放站</w:t>
            </w:r>
          </w:p>
        </w:tc>
        <w:tc>
          <w:tcPr>
            <w:tcW w:w="714" w:type="dxa"/>
            <w:noWrap w:val="0"/>
            <w:vAlign w:val="center"/>
          </w:tcPr>
          <w:p w14:paraId="77CB983D">
            <w:pPr>
              <w:spacing w:line="240" w:lineRule="atLeast"/>
              <w:jc w:val="center"/>
              <w:rPr>
                <w:rFonts w:ascii="宋体" w:hAnsi="宋体"/>
                <w:szCs w:val="21"/>
              </w:rPr>
            </w:pPr>
            <w:r>
              <w:rPr>
                <w:rFonts w:ascii="宋体" w:hAnsi="宋体"/>
                <w:szCs w:val="21"/>
              </w:rPr>
              <w:t>5.1</w:t>
            </w:r>
          </w:p>
        </w:tc>
        <w:tc>
          <w:tcPr>
            <w:tcW w:w="710" w:type="dxa"/>
            <w:noWrap w:val="0"/>
            <w:vAlign w:val="center"/>
          </w:tcPr>
          <w:p w14:paraId="4CF40CCB">
            <w:pPr>
              <w:spacing w:line="240" w:lineRule="atLeast"/>
              <w:jc w:val="center"/>
              <w:rPr>
                <w:rFonts w:ascii="宋体" w:hAnsi="宋体"/>
                <w:szCs w:val="21"/>
              </w:rPr>
            </w:pPr>
            <w:r>
              <w:rPr>
                <w:rFonts w:ascii="宋体" w:hAnsi="宋体"/>
                <w:szCs w:val="21"/>
              </w:rPr>
              <w:t>1</w:t>
            </w:r>
          </w:p>
        </w:tc>
        <w:tc>
          <w:tcPr>
            <w:tcW w:w="925" w:type="dxa"/>
            <w:noWrap w:val="0"/>
            <w:vAlign w:val="center"/>
          </w:tcPr>
          <w:p w14:paraId="6DBD39BC">
            <w:pPr>
              <w:spacing w:line="240" w:lineRule="atLeast"/>
              <w:jc w:val="center"/>
              <w:rPr>
                <w:rFonts w:ascii="宋体" w:hAnsi="宋体"/>
                <w:szCs w:val="21"/>
              </w:rPr>
            </w:pPr>
            <w:r>
              <w:rPr>
                <w:rFonts w:ascii="宋体" w:hAnsi="宋体"/>
                <w:szCs w:val="21"/>
              </w:rPr>
              <w:t>144</w:t>
            </w:r>
          </w:p>
        </w:tc>
        <w:tc>
          <w:tcPr>
            <w:tcW w:w="967" w:type="dxa"/>
            <w:noWrap w:val="0"/>
            <w:vAlign w:val="center"/>
          </w:tcPr>
          <w:p w14:paraId="1536BF81">
            <w:pPr>
              <w:spacing w:line="240" w:lineRule="atLeast"/>
              <w:jc w:val="center"/>
              <w:rPr>
                <w:rFonts w:ascii="宋体" w:hAnsi="宋体"/>
                <w:szCs w:val="21"/>
              </w:rPr>
            </w:pPr>
            <w:r>
              <w:rPr>
                <w:rFonts w:ascii="宋体" w:hAnsi="宋体"/>
                <w:szCs w:val="21"/>
              </w:rPr>
              <w:t>734.4</w:t>
            </w:r>
          </w:p>
        </w:tc>
        <w:tc>
          <w:tcPr>
            <w:tcW w:w="1113" w:type="dxa"/>
            <w:noWrap w:val="0"/>
            <w:vAlign w:val="center"/>
          </w:tcPr>
          <w:p w14:paraId="3673FF91">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09F7F9FB">
            <w:pPr>
              <w:spacing w:line="240" w:lineRule="atLeast"/>
              <w:jc w:val="center"/>
              <w:rPr>
                <w:rFonts w:ascii="宋体" w:hAnsi="宋体" w:cs="宋体"/>
                <w:szCs w:val="21"/>
              </w:rPr>
            </w:pPr>
            <w:r>
              <w:rPr>
                <w:rFonts w:hint="eastAsia" w:ascii="宋体" w:hAnsi="宋体"/>
                <w:szCs w:val="21"/>
              </w:rPr>
              <w:t>木结构</w:t>
            </w:r>
          </w:p>
        </w:tc>
      </w:tr>
      <w:tr w14:paraId="280C5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17D2A0C9">
            <w:pPr>
              <w:spacing w:line="240" w:lineRule="atLeast"/>
              <w:jc w:val="center"/>
              <w:rPr>
                <w:rFonts w:ascii="宋体" w:hAnsi="宋体"/>
                <w:szCs w:val="21"/>
              </w:rPr>
            </w:pPr>
            <w:r>
              <w:rPr>
                <w:rFonts w:ascii="宋体" w:hAnsi="宋体"/>
                <w:szCs w:val="21"/>
              </w:rPr>
              <w:t>13</w:t>
            </w:r>
          </w:p>
        </w:tc>
        <w:tc>
          <w:tcPr>
            <w:tcW w:w="3253" w:type="dxa"/>
            <w:noWrap w:val="0"/>
            <w:vAlign w:val="center"/>
          </w:tcPr>
          <w:p w14:paraId="712B631B">
            <w:pPr>
              <w:spacing w:line="240" w:lineRule="atLeast"/>
              <w:rPr>
                <w:rFonts w:ascii="宋体" w:hAnsi="宋体" w:cs="宋体"/>
                <w:szCs w:val="21"/>
              </w:rPr>
            </w:pPr>
            <w:r>
              <w:rPr>
                <w:rFonts w:hint="eastAsia" w:ascii="宋体" w:hAnsi="宋体"/>
                <w:szCs w:val="21"/>
              </w:rPr>
              <w:t>井下水处理站</w:t>
            </w:r>
          </w:p>
        </w:tc>
        <w:tc>
          <w:tcPr>
            <w:tcW w:w="714" w:type="dxa"/>
            <w:noWrap w:val="0"/>
            <w:vAlign w:val="center"/>
          </w:tcPr>
          <w:p w14:paraId="1FBC2CC3">
            <w:pPr>
              <w:spacing w:line="240" w:lineRule="atLeast"/>
              <w:jc w:val="center"/>
              <w:rPr>
                <w:rFonts w:ascii="宋体" w:hAnsi="宋体"/>
                <w:szCs w:val="21"/>
              </w:rPr>
            </w:pPr>
            <w:r>
              <w:rPr>
                <w:rFonts w:ascii="宋体" w:hAnsi="宋体"/>
                <w:szCs w:val="21"/>
              </w:rPr>
              <w:t>　</w:t>
            </w:r>
          </w:p>
        </w:tc>
        <w:tc>
          <w:tcPr>
            <w:tcW w:w="710" w:type="dxa"/>
            <w:noWrap w:val="0"/>
            <w:vAlign w:val="center"/>
          </w:tcPr>
          <w:p w14:paraId="49C3EA05">
            <w:pPr>
              <w:spacing w:line="240" w:lineRule="atLeast"/>
              <w:jc w:val="center"/>
              <w:rPr>
                <w:rFonts w:ascii="宋体" w:hAnsi="宋体"/>
                <w:szCs w:val="21"/>
              </w:rPr>
            </w:pPr>
            <w:r>
              <w:rPr>
                <w:rFonts w:ascii="宋体" w:hAnsi="宋体"/>
                <w:szCs w:val="21"/>
              </w:rPr>
              <w:t>　</w:t>
            </w:r>
          </w:p>
        </w:tc>
        <w:tc>
          <w:tcPr>
            <w:tcW w:w="925" w:type="dxa"/>
            <w:noWrap w:val="0"/>
            <w:vAlign w:val="center"/>
          </w:tcPr>
          <w:p w14:paraId="049EA15F">
            <w:pPr>
              <w:spacing w:line="240" w:lineRule="atLeast"/>
              <w:jc w:val="center"/>
              <w:rPr>
                <w:rFonts w:ascii="宋体" w:hAnsi="宋体"/>
                <w:szCs w:val="21"/>
              </w:rPr>
            </w:pPr>
            <w:r>
              <w:rPr>
                <w:rFonts w:ascii="宋体" w:hAnsi="宋体"/>
                <w:szCs w:val="21"/>
              </w:rPr>
              <w:t>　</w:t>
            </w:r>
          </w:p>
        </w:tc>
        <w:tc>
          <w:tcPr>
            <w:tcW w:w="967" w:type="dxa"/>
            <w:noWrap w:val="0"/>
            <w:vAlign w:val="center"/>
          </w:tcPr>
          <w:p w14:paraId="17BC6169">
            <w:pPr>
              <w:spacing w:line="240" w:lineRule="atLeast"/>
              <w:jc w:val="center"/>
              <w:rPr>
                <w:rFonts w:ascii="宋体" w:hAnsi="宋体"/>
                <w:szCs w:val="21"/>
              </w:rPr>
            </w:pPr>
            <w:r>
              <w:rPr>
                <w:rFonts w:ascii="宋体" w:hAnsi="宋体"/>
                <w:szCs w:val="21"/>
              </w:rPr>
              <w:t>　</w:t>
            </w:r>
          </w:p>
        </w:tc>
        <w:tc>
          <w:tcPr>
            <w:tcW w:w="1113" w:type="dxa"/>
            <w:noWrap w:val="0"/>
            <w:vAlign w:val="center"/>
          </w:tcPr>
          <w:p w14:paraId="4C8959CA">
            <w:pPr>
              <w:spacing w:line="240" w:lineRule="atLeast"/>
              <w:jc w:val="center"/>
              <w:rPr>
                <w:rFonts w:ascii="宋体" w:hAnsi="宋体"/>
                <w:szCs w:val="21"/>
              </w:rPr>
            </w:pPr>
            <w:r>
              <w:rPr>
                <w:rFonts w:ascii="宋体" w:hAnsi="宋体"/>
                <w:szCs w:val="21"/>
              </w:rPr>
              <w:t>　</w:t>
            </w:r>
          </w:p>
        </w:tc>
        <w:tc>
          <w:tcPr>
            <w:tcW w:w="869" w:type="dxa"/>
            <w:noWrap w:val="0"/>
            <w:vAlign w:val="center"/>
          </w:tcPr>
          <w:p w14:paraId="6B91606C">
            <w:pPr>
              <w:spacing w:line="240" w:lineRule="atLeast"/>
              <w:jc w:val="center"/>
              <w:rPr>
                <w:rFonts w:ascii="宋体" w:hAnsi="宋体"/>
                <w:szCs w:val="21"/>
              </w:rPr>
            </w:pPr>
            <w:r>
              <w:rPr>
                <w:rFonts w:ascii="宋体" w:hAnsi="宋体"/>
                <w:szCs w:val="21"/>
              </w:rPr>
              <w:t>　</w:t>
            </w:r>
          </w:p>
        </w:tc>
      </w:tr>
      <w:tr w14:paraId="13F24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30B1B3F3">
            <w:pPr>
              <w:spacing w:line="240" w:lineRule="atLeast"/>
              <w:jc w:val="center"/>
              <w:rPr>
                <w:rFonts w:ascii="宋体" w:hAnsi="宋体"/>
                <w:szCs w:val="21"/>
              </w:rPr>
            </w:pPr>
            <w:r>
              <w:rPr>
                <w:rFonts w:ascii="宋体" w:hAnsi="宋体"/>
                <w:szCs w:val="21"/>
              </w:rPr>
              <w:t>14</w:t>
            </w:r>
          </w:p>
        </w:tc>
        <w:tc>
          <w:tcPr>
            <w:tcW w:w="3253" w:type="dxa"/>
            <w:noWrap w:val="0"/>
            <w:vAlign w:val="center"/>
          </w:tcPr>
          <w:p w14:paraId="1028B0BC">
            <w:pPr>
              <w:spacing w:line="240" w:lineRule="atLeast"/>
              <w:rPr>
                <w:rFonts w:ascii="宋体" w:hAnsi="宋体" w:cs="宋体"/>
                <w:szCs w:val="21"/>
              </w:rPr>
            </w:pPr>
            <w:r>
              <w:rPr>
                <w:rFonts w:hint="eastAsia" w:ascii="宋体" w:hAnsi="宋体"/>
                <w:szCs w:val="21"/>
              </w:rPr>
              <w:t>加药、值班室联合建筑</w:t>
            </w:r>
          </w:p>
        </w:tc>
        <w:tc>
          <w:tcPr>
            <w:tcW w:w="714" w:type="dxa"/>
            <w:noWrap w:val="0"/>
            <w:vAlign w:val="center"/>
          </w:tcPr>
          <w:p w14:paraId="4A0295CB">
            <w:pPr>
              <w:spacing w:line="240" w:lineRule="atLeast"/>
              <w:jc w:val="center"/>
              <w:rPr>
                <w:rFonts w:ascii="宋体" w:hAnsi="宋体"/>
                <w:szCs w:val="21"/>
              </w:rPr>
            </w:pPr>
            <w:r>
              <w:rPr>
                <w:rFonts w:ascii="宋体" w:hAnsi="宋体"/>
                <w:szCs w:val="21"/>
              </w:rPr>
              <w:t>5.4</w:t>
            </w:r>
          </w:p>
        </w:tc>
        <w:tc>
          <w:tcPr>
            <w:tcW w:w="710" w:type="dxa"/>
            <w:noWrap w:val="0"/>
            <w:vAlign w:val="center"/>
          </w:tcPr>
          <w:p w14:paraId="4ED8AE15">
            <w:pPr>
              <w:spacing w:line="240" w:lineRule="atLeast"/>
              <w:jc w:val="center"/>
              <w:rPr>
                <w:rFonts w:ascii="宋体" w:hAnsi="宋体"/>
                <w:szCs w:val="21"/>
              </w:rPr>
            </w:pPr>
            <w:r>
              <w:rPr>
                <w:rFonts w:ascii="宋体" w:hAnsi="宋体"/>
                <w:szCs w:val="21"/>
              </w:rPr>
              <w:t>　</w:t>
            </w:r>
          </w:p>
        </w:tc>
        <w:tc>
          <w:tcPr>
            <w:tcW w:w="925" w:type="dxa"/>
            <w:noWrap w:val="0"/>
            <w:vAlign w:val="center"/>
          </w:tcPr>
          <w:p w14:paraId="0D39D3F7">
            <w:pPr>
              <w:spacing w:line="240" w:lineRule="atLeast"/>
              <w:jc w:val="center"/>
              <w:rPr>
                <w:rFonts w:ascii="宋体" w:hAnsi="宋体"/>
                <w:szCs w:val="21"/>
              </w:rPr>
            </w:pPr>
            <w:r>
              <w:rPr>
                <w:rFonts w:ascii="宋体" w:hAnsi="宋体"/>
                <w:szCs w:val="21"/>
              </w:rPr>
              <w:t>66.5</w:t>
            </w:r>
          </w:p>
        </w:tc>
        <w:tc>
          <w:tcPr>
            <w:tcW w:w="967" w:type="dxa"/>
            <w:noWrap w:val="0"/>
            <w:vAlign w:val="center"/>
          </w:tcPr>
          <w:p w14:paraId="5E9CD762">
            <w:pPr>
              <w:spacing w:line="240" w:lineRule="atLeast"/>
              <w:jc w:val="center"/>
              <w:rPr>
                <w:rFonts w:ascii="宋体" w:hAnsi="宋体"/>
                <w:szCs w:val="21"/>
              </w:rPr>
            </w:pPr>
            <w:r>
              <w:rPr>
                <w:rFonts w:ascii="宋体" w:hAnsi="宋体"/>
                <w:szCs w:val="21"/>
              </w:rPr>
              <w:t>359.1</w:t>
            </w:r>
          </w:p>
        </w:tc>
        <w:tc>
          <w:tcPr>
            <w:tcW w:w="1113" w:type="dxa"/>
            <w:noWrap w:val="0"/>
            <w:vAlign w:val="center"/>
          </w:tcPr>
          <w:p w14:paraId="21E3E1FD">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22C0D3EE">
            <w:pPr>
              <w:spacing w:line="240" w:lineRule="atLeast"/>
              <w:jc w:val="center"/>
              <w:rPr>
                <w:rFonts w:ascii="宋体" w:hAnsi="宋体" w:cs="宋体"/>
                <w:szCs w:val="21"/>
              </w:rPr>
            </w:pPr>
            <w:r>
              <w:rPr>
                <w:rFonts w:hint="eastAsia" w:ascii="宋体" w:hAnsi="宋体"/>
                <w:szCs w:val="21"/>
              </w:rPr>
              <w:t>木结构</w:t>
            </w:r>
          </w:p>
        </w:tc>
      </w:tr>
      <w:tr w14:paraId="084E0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6CEC4075">
            <w:pPr>
              <w:spacing w:line="240" w:lineRule="atLeast"/>
              <w:jc w:val="center"/>
              <w:rPr>
                <w:rFonts w:ascii="宋体" w:hAnsi="宋体"/>
                <w:szCs w:val="21"/>
              </w:rPr>
            </w:pPr>
            <w:r>
              <w:rPr>
                <w:rFonts w:ascii="宋体" w:hAnsi="宋体"/>
                <w:szCs w:val="21"/>
              </w:rPr>
              <w:t>15</w:t>
            </w:r>
          </w:p>
        </w:tc>
        <w:tc>
          <w:tcPr>
            <w:tcW w:w="3253" w:type="dxa"/>
            <w:noWrap w:val="0"/>
            <w:vAlign w:val="center"/>
          </w:tcPr>
          <w:p w14:paraId="21DD7FEA">
            <w:pPr>
              <w:spacing w:line="240" w:lineRule="atLeast"/>
              <w:rPr>
                <w:rFonts w:ascii="宋体" w:hAnsi="宋体" w:cs="宋体"/>
                <w:szCs w:val="21"/>
              </w:rPr>
            </w:pPr>
            <w:r>
              <w:rPr>
                <w:rFonts w:hint="eastAsia" w:ascii="宋体" w:hAnsi="宋体"/>
                <w:szCs w:val="21"/>
              </w:rPr>
              <w:t>转输水池</w:t>
            </w:r>
          </w:p>
        </w:tc>
        <w:tc>
          <w:tcPr>
            <w:tcW w:w="714" w:type="dxa"/>
            <w:noWrap w:val="0"/>
            <w:vAlign w:val="center"/>
          </w:tcPr>
          <w:p w14:paraId="0AA0DA4C">
            <w:pPr>
              <w:spacing w:line="240" w:lineRule="atLeast"/>
              <w:jc w:val="center"/>
              <w:rPr>
                <w:rFonts w:ascii="宋体" w:hAnsi="宋体"/>
                <w:szCs w:val="21"/>
              </w:rPr>
            </w:pPr>
            <w:r>
              <w:rPr>
                <w:rFonts w:ascii="宋体" w:hAnsi="宋体"/>
                <w:szCs w:val="21"/>
              </w:rPr>
              <w:t>　</w:t>
            </w:r>
          </w:p>
        </w:tc>
        <w:tc>
          <w:tcPr>
            <w:tcW w:w="710" w:type="dxa"/>
            <w:noWrap w:val="0"/>
            <w:vAlign w:val="center"/>
          </w:tcPr>
          <w:p w14:paraId="1671766F">
            <w:pPr>
              <w:spacing w:line="240" w:lineRule="atLeast"/>
              <w:jc w:val="center"/>
              <w:rPr>
                <w:rFonts w:ascii="宋体" w:hAnsi="宋体"/>
                <w:szCs w:val="21"/>
              </w:rPr>
            </w:pPr>
            <w:r>
              <w:rPr>
                <w:rFonts w:ascii="宋体" w:hAnsi="宋体"/>
                <w:szCs w:val="21"/>
              </w:rPr>
              <w:t>　</w:t>
            </w:r>
          </w:p>
        </w:tc>
        <w:tc>
          <w:tcPr>
            <w:tcW w:w="925" w:type="dxa"/>
            <w:noWrap w:val="0"/>
            <w:vAlign w:val="center"/>
          </w:tcPr>
          <w:p w14:paraId="44D8C557">
            <w:pPr>
              <w:spacing w:line="240" w:lineRule="atLeast"/>
              <w:jc w:val="center"/>
              <w:rPr>
                <w:rFonts w:ascii="宋体" w:hAnsi="宋体"/>
                <w:szCs w:val="21"/>
              </w:rPr>
            </w:pPr>
            <w:r>
              <w:rPr>
                <w:rFonts w:ascii="宋体" w:hAnsi="宋体"/>
                <w:szCs w:val="21"/>
              </w:rPr>
              <w:t>　</w:t>
            </w:r>
          </w:p>
        </w:tc>
        <w:tc>
          <w:tcPr>
            <w:tcW w:w="967" w:type="dxa"/>
            <w:noWrap w:val="0"/>
            <w:vAlign w:val="center"/>
          </w:tcPr>
          <w:p w14:paraId="5B77737A">
            <w:pPr>
              <w:spacing w:line="240" w:lineRule="atLeast"/>
              <w:jc w:val="center"/>
              <w:rPr>
                <w:rFonts w:ascii="宋体" w:hAnsi="宋体"/>
                <w:szCs w:val="21"/>
              </w:rPr>
            </w:pPr>
            <w:r>
              <w:rPr>
                <w:rFonts w:ascii="宋体" w:hAnsi="宋体"/>
                <w:szCs w:val="21"/>
              </w:rPr>
              <w:t>10</w:t>
            </w:r>
          </w:p>
        </w:tc>
        <w:tc>
          <w:tcPr>
            <w:tcW w:w="1113" w:type="dxa"/>
            <w:noWrap w:val="0"/>
            <w:vAlign w:val="top"/>
          </w:tcPr>
          <w:p w14:paraId="109A4EC4">
            <w:pPr>
              <w:spacing w:line="240" w:lineRule="atLeast"/>
              <w:jc w:val="center"/>
              <w:rPr>
                <w:rFonts w:ascii="宋体" w:hAnsi="宋体" w:cs="宋体"/>
                <w:szCs w:val="21"/>
              </w:rPr>
            </w:pPr>
            <w:r>
              <w:rPr>
                <w:rFonts w:hint="eastAsia" w:ascii="宋体" w:hAnsi="宋体"/>
                <w:szCs w:val="21"/>
              </w:rPr>
              <w:t>浆砌片石</w:t>
            </w:r>
          </w:p>
        </w:tc>
        <w:tc>
          <w:tcPr>
            <w:tcW w:w="869" w:type="dxa"/>
            <w:noWrap w:val="0"/>
            <w:vAlign w:val="center"/>
          </w:tcPr>
          <w:p w14:paraId="69C22247">
            <w:pPr>
              <w:spacing w:line="240" w:lineRule="atLeast"/>
              <w:jc w:val="center"/>
              <w:rPr>
                <w:rFonts w:ascii="宋体" w:hAnsi="宋体"/>
                <w:szCs w:val="21"/>
              </w:rPr>
            </w:pPr>
            <w:r>
              <w:rPr>
                <w:rFonts w:ascii="宋体" w:hAnsi="宋体"/>
                <w:szCs w:val="21"/>
              </w:rPr>
              <w:t>　</w:t>
            </w:r>
          </w:p>
        </w:tc>
      </w:tr>
      <w:tr w14:paraId="3EFDB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73AA8EA8">
            <w:pPr>
              <w:spacing w:line="240" w:lineRule="atLeast"/>
              <w:jc w:val="center"/>
              <w:rPr>
                <w:rFonts w:ascii="宋体" w:hAnsi="宋体"/>
                <w:szCs w:val="21"/>
              </w:rPr>
            </w:pPr>
            <w:r>
              <w:rPr>
                <w:rFonts w:ascii="宋体" w:hAnsi="宋体"/>
                <w:szCs w:val="21"/>
              </w:rPr>
              <w:t>16</w:t>
            </w:r>
          </w:p>
        </w:tc>
        <w:tc>
          <w:tcPr>
            <w:tcW w:w="3253" w:type="dxa"/>
            <w:noWrap w:val="0"/>
            <w:vAlign w:val="center"/>
          </w:tcPr>
          <w:p w14:paraId="047BC29E">
            <w:pPr>
              <w:spacing w:line="240" w:lineRule="atLeast"/>
              <w:rPr>
                <w:rFonts w:ascii="宋体" w:hAnsi="宋体" w:cs="宋体"/>
                <w:szCs w:val="21"/>
              </w:rPr>
            </w:pPr>
            <w:r>
              <w:rPr>
                <w:rFonts w:hint="eastAsia" w:ascii="宋体" w:hAnsi="宋体"/>
                <w:szCs w:val="21"/>
              </w:rPr>
              <w:t>调节沉淀池</w:t>
            </w:r>
          </w:p>
        </w:tc>
        <w:tc>
          <w:tcPr>
            <w:tcW w:w="714" w:type="dxa"/>
            <w:noWrap w:val="0"/>
            <w:vAlign w:val="center"/>
          </w:tcPr>
          <w:p w14:paraId="75507182">
            <w:pPr>
              <w:spacing w:line="240" w:lineRule="atLeast"/>
              <w:jc w:val="center"/>
              <w:rPr>
                <w:rFonts w:ascii="宋体" w:hAnsi="宋体"/>
                <w:szCs w:val="21"/>
              </w:rPr>
            </w:pPr>
            <w:r>
              <w:rPr>
                <w:rFonts w:ascii="宋体" w:hAnsi="宋体"/>
                <w:szCs w:val="21"/>
              </w:rPr>
              <w:t>　</w:t>
            </w:r>
          </w:p>
        </w:tc>
        <w:tc>
          <w:tcPr>
            <w:tcW w:w="710" w:type="dxa"/>
            <w:noWrap w:val="0"/>
            <w:vAlign w:val="center"/>
          </w:tcPr>
          <w:p w14:paraId="550997C2">
            <w:pPr>
              <w:spacing w:line="240" w:lineRule="atLeast"/>
              <w:jc w:val="center"/>
              <w:rPr>
                <w:rFonts w:ascii="宋体" w:hAnsi="宋体"/>
                <w:szCs w:val="21"/>
              </w:rPr>
            </w:pPr>
            <w:r>
              <w:rPr>
                <w:rFonts w:ascii="宋体" w:hAnsi="宋体"/>
                <w:szCs w:val="21"/>
              </w:rPr>
              <w:t>　</w:t>
            </w:r>
          </w:p>
        </w:tc>
        <w:tc>
          <w:tcPr>
            <w:tcW w:w="925" w:type="dxa"/>
            <w:noWrap w:val="0"/>
            <w:vAlign w:val="center"/>
          </w:tcPr>
          <w:p w14:paraId="42CD10F3">
            <w:pPr>
              <w:spacing w:line="240" w:lineRule="atLeast"/>
              <w:jc w:val="center"/>
              <w:rPr>
                <w:rFonts w:ascii="宋体" w:hAnsi="宋体"/>
                <w:szCs w:val="21"/>
              </w:rPr>
            </w:pPr>
            <w:r>
              <w:rPr>
                <w:rFonts w:ascii="宋体" w:hAnsi="宋体"/>
                <w:szCs w:val="21"/>
              </w:rPr>
              <w:t>　</w:t>
            </w:r>
          </w:p>
        </w:tc>
        <w:tc>
          <w:tcPr>
            <w:tcW w:w="967" w:type="dxa"/>
            <w:noWrap w:val="0"/>
            <w:vAlign w:val="center"/>
          </w:tcPr>
          <w:p w14:paraId="575D81CD">
            <w:pPr>
              <w:spacing w:line="240" w:lineRule="atLeast"/>
              <w:jc w:val="center"/>
              <w:rPr>
                <w:rFonts w:ascii="宋体" w:hAnsi="宋体"/>
                <w:szCs w:val="21"/>
              </w:rPr>
            </w:pPr>
            <w:r>
              <w:rPr>
                <w:rFonts w:ascii="宋体" w:hAnsi="宋体"/>
                <w:szCs w:val="21"/>
              </w:rPr>
              <w:t>50</w:t>
            </w:r>
          </w:p>
        </w:tc>
        <w:tc>
          <w:tcPr>
            <w:tcW w:w="1113" w:type="dxa"/>
            <w:noWrap w:val="0"/>
            <w:vAlign w:val="top"/>
          </w:tcPr>
          <w:p w14:paraId="4647519C">
            <w:pPr>
              <w:spacing w:line="240" w:lineRule="atLeast"/>
              <w:jc w:val="center"/>
              <w:rPr>
                <w:rFonts w:ascii="宋体" w:hAnsi="宋体" w:cs="宋体"/>
                <w:szCs w:val="21"/>
              </w:rPr>
            </w:pPr>
            <w:r>
              <w:rPr>
                <w:rFonts w:hint="eastAsia" w:ascii="宋体" w:hAnsi="宋体"/>
                <w:szCs w:val="21"/>
              </w:rPr>
              <w:t>浆砌片石</w:t>
            </w:r>
          </w:p>
        </w:tc>
        <w:tc>
          <w:tcPr>
            <w:tcW w:w="869" w:type="dxa"/>
            <w:noWrap w:val="0"/>
            <w:vAlign w:val="center"/>
          </w:tcPr>
          <w:p w14:paraId="2DC1575C">
            <w:pPr>
              <w:spacing w:line="240" w:lineRule="atLeast"/>
              <w:jc w:val="center"/>
              <w:rPr>
                <w:rFonts w:ascii="宋体" w:hAnsi="宋体"/>
                <w:szCs w:val="21"/>
              </w:rPr>
            </w:pPr>
            <w:r>
              <w:rPr>
                <w:rFonts w:ascii="宋体" w:hAnsi="宋体"/>
                <w:szCs w:val="21"/>
              </w:rPr>
              <w:t>　</w:t>
            </w:r>
          </w:p>
        </w:tc>
      </w:tr>
      <w:tr w14:paraId="00456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636F672F">
            <w:pPr>
              <w:spacing w:line="240" w:lineRule="atLeast"/>
              <w:jc w:val="center"/>
              <w:rPr>
                <w:rFonts w:ascii="宋体" w:hAnsi="宋体"/>
                <w:szCs w:val="21"/>
              </w:rPr>
            </w:pPr>
            <w:r>
              <w:rPr>
                <w:rFonts w:ascii="宋体" w:hAnsi="宋体"/>
                <w:szCs w:val="21"/>
              </w:rPr>
              <w:t>17</w:t>
            </w:r>
          </w:p>
        </w:tc>
        <w:tc>
          <w:tcPr>
            <w:tcW w:w="3253" w:type="dxa"/>
            <w:noWrap w:val="0"/>
            <w:vAlign w:val="center"/>
          </w:tcPr>
          <w:p w14:paraId="00836B42">
            <w:pPr>
              <w:spacing w:line="240" w:lineRule="atLeast"/>
              <w:rPr>
                <w:rFonts w:ascii="宋体" w:hAnsi="宋体" w:cs="宋体"/>
                <w:szCs w:val="21"/>
              </w:rPr>
            </w:pPr>
            <w:r>
              <w:rPr>
                <w:rFonts w:hint="eastAsia" w:ascii="宋体" w:hAnsi="宋体"/>
                <w:szCs w:val="21"/>
              </w:rPr>
              <w:t>水力循环澄清池</w:t>
            </w:r>
          </w:p>
        </w:tc>
        <w:tc>
          <w:tcPr>
            <w:tcW w:w="714" w:type="dxa"/>
            <w:noWrap w:val="0"/>
            <w:vAlign w:val="center"/>
          </w:tcPr>
          <w:p w14:paraId="4C3D104B">
            <w:pPr>
              <w:spacing w:line="240" w:lineRule="atLeast"/>
              <w:jc w:val="center"/>
              <w:rPr>
                <w:rFonts w:ascii="宋体" w:hAnsi="宋体"/>
                <w:szCs w:val="21"/>
              </w:rPr>
            </w:pPr>
            <w:r>
              <w:rPr>
                <w:rFonts w:ascii="宋体" w:hAnsi="宋体"/>
                <w:szCs w:val="21"/>
              </w:rPr>
              <w:t>　</w:t>
            </w:r>
          </w:p>
        </w:tc>
        <w:tc>
          <w:tcPr>
            <w:tcW w:w="710" w:type="dxa"/>
            <w:noWrap w:val="0"/>
            <w:vAlign w:val="center"/>
          </w:tcPr>
          <w:p w14:paraId="75C3F646">
            <w:pPr>
              <w:spacing w:line="240" w:lineRule="atLeast"/>
              <w:jc w:val="center"/>
              <w:rPr>
                <w:rFonts w:ascii="宋体" w:hAnsi="宋体"/>
                <w:szCs w:val="21"/>
              </w:rPr>
            </w:pPr>
            <w:r>
              <w:rPr>
                <w:rFonts w:ascii="宋体" w:hAnsi="宋体"/>
                <w:szCs w:val="21"/>
              </w:rPr>
              <w:t>　</w:t>
            </w:r>
          </w:p>
        </w:tc>
        <w:tc>
          <w:tcPr>
            <w:tcW w:w="925" w:type="dxa"/>
            <w:noWrap w:val="0"/>
            <w:vAlign w:val="center"/>
          </w:tcPr>
          <w:p w14:paraId="1FB12966">
            <w:pPr>
              <w:spacing w:line="240" w:lineRule="atLeast"/>
              <w:jc w:val="center"/>
              <w:rPr>
                <w:rFonts w:ascii="宋体" w:hAnsi="宋体"/>
                <w:szCs w:val="21"/>
              </w:rPr>
            </w:pPr>
            <w:r>
              <w:rPr>
                <w:rFonts w:ascii="宋体" w:hAnsi="宋体"/>
                <w:szCs w:val="21"/>
              </w:rPr>
              <w:t>　</w:t>
            </w:r>
          </w:p>
        </w:tc>
        <w:tc>
          <w:tcPr>
            <w:tcW w:w="967" w:type="dxa"/>
            <w:noWrap w:val="0"/>
            <w:vAlign w:val="center"/>
          </w:tcPr>
          <w:p w14:paraId="5A8E97B6">
            <w:pPr>
              <w:spacing w:line="240" w:lineRule="atLeast"/>
              <w:jc w:val="center"/>
              <w:rPr>
                <w:rFonts w:ascii="宋体" w:hAnsi="宋体"/>
                <w:szCs w:val="21"/>
              </w:rPr>
            </w:pPr>
            <w:r>
              <w:rPr>
                <w:rFonts w:ascii="宋体" w:hAnsi="宋体"/>
                <w:szCs w:val="21"/>
              </w:rPr>
              <w:t>60</w:t>
            </w:r>
          </w:p>
        </w:tc>
        <w:tc>
          <w:tcPr>
            <w:tcW w:w="1113" w:type="dxa"/>
            <w:noWrap w:val="0"/>
            <w:vAlign w:val="top"/>
          </w:tcPr>
          <w:p w14:paraId="5DD4AE40">
            <w:pPr>
              <w:spacing w:line="240" w:lineRule="atLeast"/>
              <w:jc w:val="center"/>
              <w:rPr>
                <w:rFonts w:ascii="宋体" w:hAnsi="宋体" w:cs="宋体"/>
                <w:szCs w:val="21"/>
              </w:rPr>
            </w:pPr>
            <w:r>
              <w:rPr>
                <w:rFonts w:hint="eastAsia" w:ascii="宋体" w:hAnsi="宋体"/>
                <w:szCs w:val="21"/>
              </w:rPr>
              <w:t>浆砌片石</w:t>
            </w:r>
          </w:p>
        </w:tc>
        <w:tc>
          <w:tcPr>
            <w:tcW w:w="869" w:type="dxa"/>
            <w:noWrap w:val="0"/>
            <w:vAlign w:val="center"/>
          </w:tcPr>
          <w:p w14:paraId="20A8EBC4">
            <w:pPr>
              <w:spacing w:line="240" w:lineRule="atLeast"/>
              <w:jc w:val="center"/>
              <w:rPr>
                <w:rFonts w:ascii="宋体" w:hAnsi="宋体"/>
                <w:szCs w:val="21"/>
              </w:rPr>
            </w:pPr>
            <w:r>
              <w:rPr>
                <w:rFonts w:ascii="宋体" w:hAnsi="宋体"/>
                <w:szCs w:val="21"/>
              </w:rPr>
              <w:t>　</w:t>
            </w:r>
          </w:p>
        </w:tc>
      </w:tr>
      <w:tr w14:paraId="43EBC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3F1118DA">
            <w:pPr>
              <w:spacing w:line="240" w:lineRule="atLeast"/>
              <w:jc w:val="center"/>
              <w:rPr>
                <w:rFonts w:ascii="宋体" w:hAnsi="宋体"/>
                <w:szCs w:val="21"/>
              </w:rPr>
            </w:pPr>
            <w:r>
              <w:rPr>
                <w:rFonts w:ascii="宋体" w:hAnsi="宋体"/>
                <w:szCs w:val="21"/>
              </w:rPr>
              <w:t>18</w:t>
            </w:r>
          </w:p>
        </w:tc>
        <w:tc>
          <w:tcPr>
            <w:tcW w:w="3253" w:type="dxa"/>
            <w:noWrap w:val="0"/>
            <w:vAlign w:val="center"/>
          </w:tcPr>
          <w:p w14:paraId="0691E61D">
            <w:pPr>
              <w:spacing w:line="240" w:lineRule="atLeast"/>
              <w:rPr>
                <w:rFonts w:ascii="宋体" w:hAnsi="宋体" w:cs="宋体"/>
                <w:szCs w:val="21"/>
              </w:rPr>
            </w:pPr>
            <w:r>
              <w:rPr>
                <w:rFonts w:hint="eastAsia" w:ascii="宋体" w:hAnsi="宋体"/>
                <w:szCs w:val="21"/>
              </w:rPr>
              <w:t>污泥浓缩池</w:t>
            </w:r>
          </w:p>
        </w:tc>
        <w:tc>
          <w:tcPr>
            <w:tcW w:w="714" w:type="dxa"/>
            <w:noWrap w:val="0"/>
            <w:vAlign w:val="center"/>
          </w:tcPr>
          <w:p w14:paraId="0A5449FF">
            <w:pPr>
              <w:spacing w:line="240" w:lineRule="atLeast"/>
              <w:jc w:val="center"/>
              <w:rPr>
                <w:rFonts w:ascii="宋体" w:hAnsi="宋体"/>
                <w:szCs w:val="21"/>
              </w:rPr>
            </w:pPr>
            <w:r>
              <w:rPr>
                <w:rFonts w:ascii="宋体" w:hAnsi="宋体"/>
                <w:szCs w:val="21"/>
              </w:rPr>
              <w:t>　</w:t>
            </w:r>
          </w:p>
        </w:tc>
        <w:tc>
          <w:tcPr>
            <w:tcW w:w="710" w:type="dxa"/>
            <w:noWrap w:val="0"/>
            <w:vAlign w:val="center"/>
          </w:tcPr>
          <w:p w14:paraId="0DA77E11">
            <w:pPr>
              <w:spacing w:line="240" w:lineRule="atLeast"/>
              <w:jc w:val="center"/>
              <w:rPr>
                <w:rFonts w:ascii="宋体" w:hAnsi="宋体"/>
                <w:szCs w:val="21"/>
              </w:rPr>
            </w:pPr>
            <w:r>
              <w:rPr>
                <w:rFonts w:ascii="宋体" w:hAnsi="宋体"/>
                <w:szCs w:val="21"/>
              </w:rPr>
              <w:t>　</w:t>
            </w:r>
          </w:p>
        </w:tc>
        <w:tc>
          <w:tcPr>
            <w:tcW w:w="925" w:type="dxa"/>
            <w:noWrap w:val="0"/>
            <w:vAlign w:val="center"/>
          </w:tcPr>
          <w:p w14:paraId="1CF75B55">
            <w:pPr>
              <w:spacing w:line="240" w:lineRule="atLeast"/>
              <w:jc w:val="center"/>
              <w:rPr>
                <w:rFonts w:ascii="宋体" w:hAnsi="宋体"/>
                <w:szCs w:val="21"/>
              </w:rPr>
            </w:pPr>
            <w:r>
              <w:rPr>
                <w:rFonts w:ascii="宋体" w:hAnsi="宋体"/>
                <w:szCs w:val="21"/>
              </w:rPr>
              <w:t>　</w:t>
            </w:r>
          </w:p>
        </w:tc>
        <w:tc>
          <w:tcPr>
            <w:tcW w:w="967" w:type="dxa"/>
            <w:noWrap w:val="0"/>
            <w:vAlign w:val="center"/>
          </w:tcPr>
          <w:p w14:paraId="423C62A4">
            <w:pPr>
              <w:spacing w:line="240" w:lineRule="atLeast"/>
              <w:jc w:val="center"/>
              <w:rPr>
                <w:rFonts w:ascii="宋体" w:hAnsi="宋体"/>
                <w:szCs w:val="21"/>
              </w:rPr>
            </w:pPr>
            <w:r>
              <w:rPr>
                <w:rFonts w:ascii="宋体" w:hAnsi="宋体"/>
                <w:szCs w:val="21"/>
              </w:rPr>
              <w:t>100</w:t>
            </w:r>
          </w:p>
        </w:tc>
        <w:tc>
          <w:tcPr>
            <w:tcW w:w="1113" w:type="dxa"/>
            <w:noWrap w:val="0"/>
            <w:vAlign w:val="top"/>
          </w:tcPr>
          <w:p w14:paraId="21EA674F">
            <w:pPr>
              <w:spacing w:line="240" w:lineRule="atLeast"/>
              <w:jc w:val="center"/>
              <w:rPr>
                <w:rFonts w:ascii="宋体" w:hAnsi="宋体" w:cs="宋体"/>
                <w:szCs w:val="21"/>
              </w:rPr>
            </w:pPr>
            <w:r>
              <w:rPr>
                <w:rFonts w:hint="eastAsia" w:ascii="宋体" w:hAnsi="宋体"/>
                <w:szCs w:val="21"/>
              </w:rPr>
              <w:t>浆砌片石</w:t>
            </w:r>
          </w:p>
        </w:tc>
        <w:tc>
          <w:tcPr>
            <w:tcW w:w="869" w:type="dxa"/>
            <w:noWrap w:val="0"/>
            <w:vAlign w:val="center"/>
          </w:tcPr>
          <w:p w14:paraId="58E75059">
            <w:pPr>
              <w:spacing w:line="240" w:lineRule="atLeast"/>
              <w:jc w:val="center"/>
              <w:rPr>
                <w:rFonts w:ascii="宋体" w:hAnsi="宋体"/>
                <w:szCs w:val="21"/>
              </w:rPr>
            </w:pPr>
            <w:r>
              <w:rPr>
                <w:rFonts w:ascii="宋体" w:hAnsi="宋体"/>
                <w:szCs w:val="21"/>
              </w:rPr>
              <w:t>　</w:t>
            </w:r>
          </w:p>
        </w:tc>
      </w:tr>
      <w:tr w14:paraId="18A08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2EDADE86">
            <w:pPr>
              <w:spacing w:line="240" w:lineRule="atLeast"/>
              <w:jc w:val="center"/>
              <w:rPr>
                <w:rFonts w:ascii="宋体" w:hAnsi="宋体"/>
                <w:szCs w:val="21"/>
              </w:rPr>
            </w:pPr>
            <w:r>
              <w:rPr>
                <w:rFonts w:ascii="宋体" w:hAnsi="宋体"/>
                <w:szCs w:val="21"/>
              </w:rPr>
              <w:t>19</w:t>
            </w:r>
          </w:p>
        </w:tc>
        <w:tc>
          <w:tcPr>
            <w:tcW w:w="3253" w:type="dxa"/>
            <w:noWrap w:val="0"/>
            <w:vAlign w:val="center"/>
          </w:tcPr>
          <w:p w14:paraId="6796767E">
            <w:pPr>
              <w:spacing w:line="240" w:lineRule="atLeast"/>
              <w:rPr>
                <w:rFonts w:ascii="宋体" w:hAnsi="宋体" w:cs="宋体"/>
                <w:szCs w:val="21"/>
              </w:rPr>
            </w:pPr>
            <w:r>
              <w:rPr>
                <w:rFonts w:hint="eastAsia" w:ascii="宋体" w:hAnsi="宋体"/>
                <w:szCs w:val="21"/>
              </w:rPr>
              <w:t>生产、消防水池</w:t>
            </w:r>
          </w:p>
        </w:tc>
        <w:tc>
          <w:tcPr>
            <w:tcW w:w="714" w:type="dxa"/>
            <w:noWrap w:val="0"/>
            <w:vAlign w:val="center"/>
          </w:tcPr>
          <w:p w14:paraId="7A9159B7">
            <w:pPr>
              <w:spacing w:line="240" w:lineRule="atLeast"/>
              <w:jc w:val="center"/>
              <w:rPr>
                <w:rFonts w:ascii="宋体" w:hAnsi="宋体"/>
                <w:szCs w:val="21"/>
              </w:rPr>
            </w:pPr>
            <w:r>
              <w:rPr>
                <w:rFonts w:ascii="宋体" w:hAnsi="宋体"/>
                <w:szCs w:val="21"/>
              </w:rPr>
              <w:t>　</w:t>
            </w:r>
          </w:p>
        </w:tc>
        <w:tc>
          <w:tcPr>
            <w:tcW w:w="710" w:type="dxa"/>
            <w:noWrap w:val="0"/>
            <w:vAlign w:val="center"/>
          </w:tcPr>
          <w:p w14:paraId="19F32A45">
            <w:pPr>
              <w:spacing w:line="240" w:lineRule="atLeast"/>
              <w:jc w:val="center"/>
              <w:rPr>
                <w:rFonts w:ascii="宋体" w:hAnsi="宋体"/>
                <w:szCs w:val="21"/>
              </w:rPr>
            </w:pPr>
            <w:r>
              <w:rPr>
                <w:rFonts w:ascii="宋体" w:hAnsi="宋体"/>
                <w:szCs w:val="21"/>
              </w:rPr>
              <w:t>1</w:t>
            </w:r>
            <w:r>
              <w:rPr>
                <w:rFonts w:hint="eastAsia" w:ascii="宋体" w:hAnsi="宋体"/>
                <w:szCs w:val="21"/>
              </w:rPr>
              <w:t>座</w:t>
            </w:r>
          </w:p>
        </w:tc>
        <w:tc>
          <w:tcPr>
            <w:tcW w:w="925" w:type="dxa"/>
            <w:noWrap w:val="0"/>
            <w:vAlign w:val="center"/>
          </w:tcPr>
          <w:p w14:paraId="19817AB7">
            <w:pPr>
              <w:spacing w:line="240" w:lineRule="atLeast"/>
              <w:jc w:val="center"/>
              <w:rPr>
                <w:rFonts w:ascii="宋体" w:hAnsi="宋体"/>
                <w:szCs w:val="21"/>
              </w:rPr>
            </w:pPr>
            <w:r>
              <w:rPr>
                <w:rFonts w:ascii="宋体" w:hAnsi="宋体"/>
                <w:szCs w:val="21"/>
              </w:rPr>
              <w:t>　</w:t>
            </w:r>
          </w:p>
        </w:tc>
        <w:tc>
          <w:tcPr>
            <w:tcW w:w="967" w:type="dxa"/>
            <w:noWrap w:val="0"/>
            <w:vAlign w:val="center"/>
          </w:tcPr>
          <w:p w14:paraId="03A4F4DC">
            <w:pPr>
              <w:spacing w:line="240" w:lineRule="atLeast"/>
              <w:jc w:val="center"/>
              <w:rPr>
                <w:rFonts w:ascii="宋体" w:hAnsi="宋体"/>
                <w:szCs w:val="21"/>
              </w:rPr>
            </w:pPr>
            <w:r>
              <w:rPr>
                <w:rFonts w:ascii="宋体" w:hAnsi="宋体"/>
                <w:szCs w:val="21"/>
              </w:rPr>
              <w:t>400</w:t>
            </w:r>
          </w:p>
        </w:tc>
        <w:tc>
          <w:tcPr>
            <w:tcW w:w="1113" w:type="dxa"/>
            <w:noWrap w:val="0"/>
            <w:vAlign w:val="center"/>
          </w:tcPr>
          <w:p w14:paraId="3384C335">
            <w:pPr>
              <w:spacing w:line="240" w:lineRule="atLeast"/>
              <w:jc w:val="center"/>
              <w:rPr>
                <w:rFonts w:ascii="宋体" w:hAnsi="宋体" w:cs="宋体"/>
                <w:szCs w:val="21"/>
              </w:rPr>
            </w:pPr>
            <w:r>
              <w:rPr>
                <w:rFonts w:hint="eastAsia" w:ascii="宋体" w:hAnsi="宋体"/>
                <w:szCs w:val="21"/>
              </w:rPr>
              <w:t>浆砌片石</w:t>
            </w:r>
          </w:p>
        </w:tc>
        <w:tc>
          <w:tcPr>
            <w:tcW w:w="869" w:type="dxa"/>
            <w:noWrap w:val="0"/>
            <w:vAlign w:val="center"/>
          </w:tcPr>
          <w:p w14:paraId="22E5CBA4">
            <w:pPr>
              <w:spacing w:line="240" w:lineRule="atLeast"/>
              <w:jc w:val="center"/>
              <w:rPr>
                <w:rFonts w:ascii="宋体" w:hAnsi="宋体"/>
                <w:szCs w:val="21"/>
              </w:rPr>
            </w:pPr>
            <w:r>
              <w:rPr>
                <w:rFonts w:ascii="宋体" w:hAnsi="宋体"/>
                <w:szCs w:val="21"/>
              </w:rPr>
              <w:t>　</w:t>
            </w:r>
          </w:p>
        </w:tc>
      </w:tr>
      <w:tr w14:paraId="091B0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0DEA261B">
            <w:pPr>
              <w:spacing w:line="240" w:lineRule="atLeast"/>
              <w:jc w:val="center"/>
              <w:rPr>
                <w:rFonts w:ascii="宋体" w:hAnsi="宋体"/>
                <w:szCs w:val="21"/>
              </w:rPr>
            </w:pPr>
            <w:r>
              <w:rPr>
                <w:rFonts w:ascii="宋体" w:hAnsi="宋体"/>
                <w:szCs w:val="21"/>
              </w:rPr>
              <w:t>20</w:t>
            </w:r>
          </w:p>
        </w:tc>
        <w:tc>
          <w:tcPr>
            <w:tcW w:w="3253" w:type="dxa"/>
            <w:noWrap w:val="0"/>
            <w:vAlign w:val="center"/>
          </w:tcPr>
          <w:p w14:paraId="4AF70802">
            <w:pPr>
              <w:spacing w:line="240" w:lineRule="atLeast"/>
              <w:rPr>
                <w:rFonts w:ascii="宋体" w:hAnsi="宋体" w:cs="宋体"/>
                <w:szCs w:val="21"/>
              </w:rPr>
            </w:pPr>
            <w:r>
              <w:rPr>
                <w:rFonts w:hint="eastAsia" w:ascii="宋体" w:hAnsi="宋体"/>
                <w:szCs w:val="21"/>
              </w:rPr>
              <w:t>生活水池</w:t>
            </w:r>
          </w:p>
        </w:tc>
        <w:tc>
          <w:tcPr>
            <w:tcW w:w="714" w:type="dxa"/>
            <w:noWrap w:val="0"/>
            <w:vAlign w:val="center"/>
          </w:tcPr>
          <w:p w14:paraId="400E015B">
            <w:pPr>
              <w:spacing w:line="240" w:lineRule="atLeast"/>
              <w:jc w:val="center"/>
              <w:rPr>
                <w:rFonts w:ascii="宋体" w:hAnsi="宋体"/>
                <w:szCs w:val="21"/>
              </w:rPr>
            </w:pPr>
            <w:r>
              <w:rPr>
                <w:rFonts w:ascii="宋体" w:hAnsi="宋体"/>
                <w:szCs w:val="21"/>
              </w:rPr>
              <w:t>　</w:t>
            </w:r>
          </w:p>
        </w:tc>
        <w:tc>
          <w:tcPr>
            <w:tcW w:w="710" w:type="dxa"/>
            <w:noWrap w:val="0"/>
            <w:vAlign w:val="center"/>
          </w:tcPr>
          <w:p w14:paraId="0DF3FD22">
            <w:pPr>
              <w:spacing w:line="240" w:lineRule="atLeast"/>
              <w:jc w:val="center"/>
              <w:rPr>
                <w:rFonts w:ascii="宋体" w:hAnsi="宋体"/>
                <w:szCs w:val="21"/>
              </w:rPr>
            </w:pPr>
            <w:r>
              <w:rPr>
                <w:rFonts w:ascii="宋体" w:hAnsi="宋体"/>
                <w:szCs w:val="21"/>
              </w:rPr>
              <w:t>1</w:t>
            </w:r>
            <w:r>
              <w:rPr>
                <w:rFonts w:hint="eastAsia" w:ascii="宋体" w:hAnsi="宋体"/>
                <w:szCs w:val="21"/>
              </w:rPr>
              <w:t>座</w:t>
            </w:r>
          </w:p>
        </w:tc>
        <w:tc>
          <w:tcPr>
            <w:tcW w:w="925" w:type="dxa"/>
            <w:noWrap w:val="0"/>
            <w:vAlign w:val="center"/>
          </w:tcPr>
          <w:p w14:paraId="0DB28F4A">
            <w:pPr>
              <w:spacing w:line="240" w:lineRule="atLeast"/>
              <w:jc w:val="center"/>
              <w:rPr>
                <w:rFonts w:ascii="宋体" w:hAnsi="宋体"/>
                <w:szCs w:val="21"/>
              </w:rPr>
            </w:pPr>
            <w:r>
              <w:rPr>
                <w:rFonts w:ascii="宋体" w:hAnsi="宋体"/>
                <w:szCs w:val="21"/>
              </w:rPr>
              <w:t>　</w:t>
            </w:r>
          </w:p>
        </w:tc>
        <w:tc>
          <w:tcPr>
            <w:tcW w:w="967" w:type="dxa"/>
            <w:noWrap w:val="0"/>
            <w:vAlign w:val="center"/>
          </w:tcPr>
          <w:p w14:paraId="1547C88F">
            <w:pPr>
              <w:spacing w:line="240" w:lineRule="atLeast"/>
              <w:jc w:val="center"/>
              <w:rPr>
                <w:rFonts w:ascii="宋体" w:hAnsi="宋体"/>
                <w:szCs w:val="21"/>
              </w:rPr>
            </w:pPr>
            <w:r>
              <w:rPr>
                <w:rFonts w:ascii="宋体" w:hAnsi="宋体"/>
                <w:szCs w:val="21"/>
              </w:rPr>
              <w:t>250</w:t>
            </w:r>
          </w:p>
        </w:tc>
        <w:tc>
          <w:tcPr>
            <w:tcW w:w="1113" w:type="dxa"/>
            <w:noWrap w:val="0"/>
            <w:vAlign w:val="center"/>
          </w:tcPr>
          <w:p w14:paraId="1019D54C">
            <w:pPr>
              <w:spacing w:line="240" w:lineRule="atLeast"/>
              <w:jc w:val="center"/>
              <w:rPr>
                <w:rFonts w:ascii="宋体" w:hAnsi="宋体" w:cs="宋体"/>
                <w:szCs w:val="21"/>
              </w:rPr>
            </w:pPr>
            <w:r>
              <w:rPr>
                <w:rFonts w:hint="eastAsia" w:ascii="宋体" w:hAnsi="宋体"/>
                <w:szCs w:val="21"/>
              </w:rPr>
              <w:t>浆砌片石</w:t>
            </w:r>
          </w:p>
        </w:tc>
        <w:tc>
          <w:tcPr>
            <w:tcW w:w="869" w:type="dxa"/>
            <w:noWrap w:val="0"/>
            <w:vAlign w:val="center"/>
          </w:tcPr>
          <w:p w14:paraId="28E85A07">
            <w:pPr>
              <w:spacing w:line="240" w:lineRule="atLeast"/>
              <w:jc w:val="center"/>
              <w:rPr>
                <w:rFonts w:ascii="宋体" w:hAnsi="宋体"/>
                <w:szCs w:val="21"/>
              </w:rPr>
            </w:pPr>
            <w:r>
              <w:rPr>
                <w:rFonts w:ascii="宋体" w:hAnsi="宋体"/>
                <w:szCs w:val="21"/>
              </w:rPr>
              <w:t>　</w:t>
            </w:r>
          </w:p>
        </w:tc>
      </w:tr>
      <w:tr w14:paraId="5C923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71FC0941">
            <w:pPr>
              <w:spacing w:line="240" w:lineRule="atLeast"/>
              <w:jc w:val="center"/>
              <w:rPr>
                <w:rFonts w:ascii="宋体" w:hAnsi="宋体"/>
                <w:szCs w:val="21"/>
              </w:rPr>
            </w:pPr>
            <w:r>
              <w:rPr>
                <w:rFonts w:ascii="宋体" w:hAnsi="宋体"/>
                <w:szCs w:val="21"/>
              </w:rPr>
              <w:t>21</w:t>
            </w:r>
          </w:p>
        </w:tc>
        <w:tc>
          <w:tcPr>
            <w:tcW w:w="3253" w:type="dxa"/>
            <w:noWrap w:val="0"/>
            <w:vAlign w:val="center"/>
          </w:tcPr>
          <w:p w14:paraId="2C375F04">
            <w:pPr>
              <w:spacing w:line="240" w:lineRule="atLeast"/>
              <w:rPr>
                <w:rFonts w:ascii="宋体" w:hAnsi="宋体" w:cs="宋体"/>
                <w:szCs w:val="21"/>
              </w:rPr>
            </w:pPr>
            <w:r>
              <w:rPr>
                <w:rFonts w:hint="eastAsia" w:ascii="宋体" w:hAnsi="宋体"/>
                <w:szCs w:val="21"/>
              </w:rPr>
              <w:t>炸药库</w:t>
            </w:r>
          </w:p>
        </w:tc>
        <w:tc>
          <w:tcPr>
            <w:tcW w:w="714" w:type="dxa"/>
            <w:noWrap w:val="0"/>
            <w:vAlign w:val="center"/>
          </w:tcPr>
          <w:p w14:paraId="403F0645">
            <w:pPr>
              <w:spacing w:line="240" w:lineRule="atLeast"/>
              <w:jc w:val="center"/>
              <w:rPr>
                <w:rFonts w:ascii="宋体" w:hAnsi="宋体"/>
                <w:szCs w:val="21"/>
              </w:rPr>
            </w:pPr>
            <w:r>
              <w:rPr>
                <w:rFonts w:ascii="宋体" w:hAnsi="宋体"/>
                <w:szCs w:val="21"/>
              </w:rPr>
              <w:t>4</w:t>
            </w:r>
          </w:p>
        </w:tc>
        <w:tc>
          <w:tcPr>
            <w:tcW w:w="710" w:type="dxa"/>
            <w:noWrap w:val="0"/>
            <w:vAlign w:val="center"/>
          </w:tcPr>
          <w:p w14:paraId="21D7F798">
            <w:pPr>
              <w:spacing w:line="240" w:lineRule="atLeast"/>
              <w:jc w:val="center"/>
              <w:rPr>
                <w:rFonts w:ascii="宋体" w:hAnsi="宋体"/>
                <w:szCs w:val="21"/>
              </w:rPr>
            </w:pPr>
            <w:r>
              <w:rPr>
                <w:rFonts w:ascii="宋体" w:hAnsi="宋体"/>
                <w:szCs w:val="21"/>
              </w:rPr>
              <w:t>　</w:t>
            </w:r>
          </w:p>
        </w:tc>
        <w:tc>
          <w:tcPr>
            <w:tcW w:w="925" w:type="dxa"/>
            <w:noWrap w:val="0"/>
            <w:vAlign w:val="center"/>
          </w:tcPr>
          <w:p w14:paraId="199782E8">
            <w:pPr>
              <w:spacing w:line="240" w:lineRule="atLeast"/>
              <w:jc w:val="center"/>
              <w:rPr>
                <w:rFonts w:ascii="宋体" w:hAnsi="宋体"/>
                <w:szCs w:val="21"/>
              </w:rPr>
            </w:pPr>
            <w:r>
              <w:rPr>
                <w:rFonts w:ascii="宋体" w:hAnsi="宋体"/>
                <w:szCs w:val="21"/>
              </w:rPr>
              <w:t>13.6</w:t>
            </w:r>
          </w:p>
        </w:tc>
        <w:tc>
          <w:tcPr>
            <w:tcW w:w="967" w:type="dxa"/>
            <w:noWrap w:val="0"/>
            <w:vAlign w:val="center"/>
          </w:tcPr>
          <w:p w14:paraId="3452CDC9">
            <w:pPr>
              <w:spacing w:line="240" w:lineRule="atLeast"/>
              <w:jc w:val="center"/>
              <w:rPr>
                <w:rFonts w:ascii="宋体" w:hAnsi="宋体"/>
                <w:szCs w:val="21"/>
              </w:rPr>
            </w:pPr>
            <w:r>
              <w:rPr>
                <w:rFonts w:ascii="宋体" w:hAnsi="宋体"/>
                <w:szCs w:val="21"/>
              </w:rPr>
              <w:t>54</w:t>
            </w:r>
          </w:p>
        </w:tc>
        <w:tc>
          <w:tcPr>
            <w:tcW w:w="1113" w:type="dxa"/>
            <w:noWrap w:val="0"/>
            <w:vAlign w:val="center"/>
          </w:tcPr>
          <w:p w14:paraId="2FD04911">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1E93A1E3">
            <w:pPr>
              <w:spacing w:line="240" w:lineRule="atLeast"/>
              <w:jc w:val="center"/>
              <w:rPr>
                <w:rFonts w:ascii="宋体" w:hAnsi="宋体" w:cs="宋体"/>
                <w:szCs w:val="21"/>
              </w:rPr>
            </w:pPr>
            <w:r>
              <w:rPr>
                <w:rFonts w:hint="eastAsia" w:ascii="宋体" w:hAnsi="宋体"/>
                <w:szCs w:val="21"/>
              </w:rPr>
              <w:t>木结构</w:t>
            </w:r>
          </w:p>
        </w:tc>
      </w:tr>
      <w:tr w14:paraId="4599A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42FE4916">
            <w:pPr>
              <w:spacing w:line="240" w:lineRule="atLeast"/>
              <w:jc w:val="center"/>
              <w:rPr>
                <w:rFonts w:ascii="宋体" w:hAnsi="宋体"/>
                <w:szCs w:val="21"/>
              </w:rPr>
            </w:pPr>
            <w:r>
              <w:rPr>
                <w:rFonts w:ascii="宋体" w:hAnsi="宋体"/>
                <w:szCs w:val="21"/>
              </w:rPr>
              <w:t>22</w:t>
            </w:r>
          </w:p>
        </w:tc>
        <w:tc>
          <w:tcPr>
            <w:tcW w:w="3253" w:type="dxa"/>
            <w:noWrap w:val="0"/>
            <w:vAlign w:val="center"/>
          </w:tcPr>
          <w:p w14:paraId="050EE406">
            <w:pPr>
              <w:spacing w:line="240" w:lineRule="atLeast"/>
              <w:rPr>
                <w:rFonts w:ascii="宋体" w:hAnsi="宋体" w:cs="宋体"/>
                <w:szCs w:val="21"/>
              </w:rPr>
            </w:pPr>
            <w:r>
              <w:rPr>
                <w:rFonts w:hint="eastAsia" w:ascii="宋体" w:hAnsi="宋体"/>
                <w:szCs w:val="21"/>
              </w:rPr>
              <w:t>雷管库</w:t>
            </w:r>
          </w:p>
        </w:tc>
        <w:tc>
          <w:tcPr>
            <w:tcW w:w="714" w:type="dxa"/>
            <w:noWrap w:val="0"/>
            <w:vAlign w:val="center"/>
          </w:tcPr>
          <w:p w14:paraId="5F8E9DF6">
            <w:pPr>
              <w:spacing w:line="240" w:lineRule="atLeast"/>
              <w:jc w:val="center"/>
              <w:rPr>
                <w:rFonts w:ascii="宋体" w:hAnsi="宋体"/>
                <w:szCs w:val="21"/>
              </w:rPr>
            </w:pPr>
            <w:r>
              <w:rPr>
                <w:rFonts w:ascii="宋体" w:hAnsi="宋体"/>
                <w:szCs w:val="21"/>
              </w:rPr>
              <w:t>4</w:t>
            </w:r>
          </w:p>
        </w:tc>
        <w:tc>
          <w:tcPr>
            <w:tcW w:w="710" w:type="dxa"/>
            <w:noWrap w:val="0"/>
            <w:vAlign w:val="center"/>
          </w:tcPr>
          <w:p w14:paraId="5E710581">
            <w:pPr>
              <w:spacing w:line="240" w:lineRule="atLeast"/>
              <w:jc w:val="center"/>
              <w:rPr>
                <w:rFonts w:ascii="宋体" w:hAnsi="宋体"/>
                <w:szCs w:val="21"/>
              </w:rPr>
            </w:pPr>
            <w:r>
              <w:rPr>
                <w:rFonts w:ascii="宋体" w:hAnsi="宋体"/>
                <w:szCs w:val="21"/>
              </w:rPr>
              <w:t>　</w:t>
            </w:r>
          </w:p>
        </w:tc>
        <w:tc>
          <w:tcPr>
            <w:tcW w:w="925" w:type="dxa"/>
            <w:noWrap w:val="0"/>
            <w:vAlign w:val="center"/>
          </w:tcPr>
          <w:p w14:paraId="361405D9">
            <w:pPr>
              <w:spacing w:line="240" w:lineRule="atLeast"/>
              <w:jc w:val="center"/>
              <w:rPr>
                <w:rFonts w:ascii="宋体" w:hAnsi="宋体"/>
                <w:szCs w:val="21"/>
              </w:rPr>
            </w:pPr>
            <w:r>
              <w:rPr>
                <w:rFonts w:ascii="宋体" w:hAnsi="宋体"/>
                <w:szCs w:val="21"/>
              </w:rPr>
              <w:t>13.6</w:t>
            </w:r>
          </w:p>
        </w:tc>
        <w:tc>
          <w:tcPr>
            <w:tcW w:w="967" w:type="dxa"/>
            <w:noWrap w:val="0"/>
            <w:vAlign w:val="center"/>
          </w:tcPr>
          <w:p w14:paraId="0B4081F9">
            <w:pPr>
              <w:spacing w:line="240" w:lineRule="atLeast"/>
              <w:jc w:val="center"/>
              <w:rPr>
                <w:rFonts w:ascii="宋体" w:hAnsi="宋体"/>
                <w:szCs w:val="21"/>
              </w:rPr>
            </w:pPr>
            <w:r>
              <w:rPr>
                <w:rFonts w:ascii="宋体" w:hAnsi="宋体"/>
                <w:szCs w:val="21"/>
              </w:rPr>
              <w:t>54</w:t>
            </w:r>
          </w:p>
        </w:tc>
        <w:tc>
          <w:tcPr>
            <w:tcW w:w="1113" w:type="dxa"/>
            <w:noWrap w:val="0"/>
            <w:vAlign w:val="center"/>
          </w:tcPr>
          <w:p w14:paraId="3852B3C7">
            <w:pPr>
              <w:spacing w:line="240" w:lineRule="atLeast"/>
              <w:jc w:val="center"/>
              <w:rPr>
                <w:rFonts w:ascii="宋体" w:hAnsi="宋体" w:cs="宋体"/>
                <w:szCs w:val="21"/>
              </w:rPr>
            </w:pPr>
            <w:r>
              <w:rPr>
                <w:rFonts w:hint="eastAsia" w:ascii="宋体" w:hAnsi="宋体"/>
                <w:szCs w:val="21"/>
              </w:rPr>
              <w:t>砖混</w:t>
            </w:r>
          </w:p>
        </w:tc>
        <w:tc>
          <w:tcPr>
            <w:tcW w:w="869" w:type="dxa"/>
            <w:noWrap w:val="0"/>
            <w:vAlign w:val="center"/>
          </w:tcPr>
          <w:p w14:paraId="036FEEA4">
            <w:pPr>
              <w:spacing w:line="240" w:lineRule="atLeast"/>
              <w:jc w:val="center"/>
              <w:rPr>
                <w:rFonts w:ascii="宋体" w:hAnsi="宋体" w:cs="宋体"/>
                <w:szCs w:val="21"/>
              </w:rPr>
            </w:pPr>
            <w:r>
              <w:rPr>
                <w:rFonts w:hint="eastAsia" w:ascii="宋体" w:hAnsi="宋体"/>
                <w:szCs w:val="21"/>
              </w:rPr>
              <w:t>木结构</w:t>
            </w:r>
          </w:p>
        </w:tc>
      </w:tr>
      <w:tr w14:paraId="4E41D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8" w:hRule="atLeast"/>
          <w:jc w:val="center"/>
        </w:trPr>
        <w:tc>
          <w:tcPr>
            <w:tcW w:w="525" w:type="dxa"/>
            <w:noWrap w:val="0"/>
            <w:vAlign w:val="center"/>
          </w:tcPr>
          <w:p w14:paraId="386D6725">
            <w:pPr>
              <w:spacing w:line="240" w:lineRule="atLeast"/>
              <w:jc w:val="center"/>
              <w:rPr>
                <w:rFonts w:ascii="宋体" w:hAnsi="宋体"/>
                <w:szCs w:val="21"/>
              </w:rPr>
            </w:pPr>
            <w:r>
              <w:rPr>
                <w:rFonts w:ascii="宋体" w:hAnsi="宋体"/>
                <w:szCs w:val="21"/>
              </w:rPr>
              <w:t>　</w:t>
            </w:r>
          </w:p>
        </w:tc>
        <w:tc>
          <w:tcPr>
            <w:tcW w:w="3253" w:type="dxa"/>
            <w:noWrap w:val="0"/>
            <w:vAlign w:val="center"/>
          </w:tcPr>
          <w:p w14:paraId="616F8D3A">
            <w:pPr>
              <w:spacing w:line="240" w:lineRule="atLeast"/>
              <w:rPr>
                <w:rFonts w:ascii="宋体" w:hAnsi="宋体" w:cs="宋体"/>
                <w:szCs w:val="21"/>
              </w:rPr>
            </w:pPr>
            <w:r>
              <w:rPr>
                <w:rFonts w:hint="eastAsia" w:ascii="宋体" w:hAnsi="宋体"/>
                <w:szCs w:val="21"/>
              </w:rPr>
              <w:t>合</w:t>
            </w:r>
            <w:r>
              <w:rPr>
                <w:rFonts w:ascii="宋体" w:hAnsi="宋体"/>
                <w:szCs w:val="21"/>
              </w:rPr>
              <w:t xml:space="preserve">     </w:t>
            </w:r>
            <w:r>
              <w:rPr>
                <w:rFonts w:hint="eastAsia" w:ascii="宋体" w:hAnsi="宋体"/>
                <w:szCs w:val="21"/>
              </w:rPr>
              <w:t>计</w:t>
            </w:r>
          </w:p>
        </w:tc>
        <w:tc>
          <w:tcPr>
            <w:tcW w:w="714" w:type="dxa"/>
            <w:noWrap w:val="0"/>
            <w:vAlign w:val="center"/>
          </w:tcPr>
          <w:p w14:paraId="04B4964C">
            <w:pPr>
              <w:spacing w:line="240" w:lineRule="atLeast"/>
              <w:jc w:val="center"/>
              <w:rPr>
                <w:rFonts w:ascii="宋体" w:hAnsi="宋体"/>
                <w:szCs w:val="21"/>
              </w:rPr>
            </w:pPr>
            <w:r>
              <w:rPr>
                <w:rFonts w:ascii="宋体" w:hAnsi="宋体"/>
                <w:szCs w:val="21"/>
              </w:rPr>
              <w:t>　</w:t>
            </w:r>
          </w:p>
        </w:tc>
        <w:tc>
          <w:tcPr>
            <w:tcW w:w="710" w:type="dxa"/>
            <w:noWrap w:val="0"/>
            <w:vAlign w:val="center"/>
          </w:tcPr>
          <w:p w14:paraId="59F857D8">
            <w:pPr>
              <w:spacing w:line="240" w:lineRule="atLeast"/>
              <w:jc w:val="center"/>
              <w:rPr>
                <w:rFonts w:ascii="宋体" w:hAnsi="宋体"/>
                <w:szCs w:val="21"/>
              </w:rPr>
            </w:pPr>
            <w:r>
              <w:rPr>
                <w:rFonts w:ascii="宋体" w:hAnsi="宋体"/>
                <w:szCs w:val="21"/>
              </w:rPr>
              <w:t>　</w:t>
            </w:r>
          </w:p>
        </w:tc>
        <w:tc>
          <w:tcPr>
            <w:tcW w:w="925" w:type="dxa"/>
            <w:noWrap w:val="0"/>
            <w:vAlign w:val="center"/>
          </w:tcPr>
          <w:p w14:paraId="164BBD71">
            <w:pPr>
              <w:spacing w:line="240" w:lineRule="atLeast"/>
              <w:jc w:val="center"/>
              <w:rPr>
                <w:rFonts w:ascii="宋体" w:hAnsi="宋体"/>
                <w:szCs w:val="21"/>
              </w:rPr>
            </w:pPr>
            <w:r>
              <w:rPr>
                <w:rFonts w:ascii="宋体" w:hAnsi="宋体"/>
                <w:szCs w:val="21"/>
              </w:rPr>
              <w:t>3717.2</w:t>
            </w:r>
          </w:p>
        </w:tc>
        <w:tc>
          <w:tcPr>
            <w:tcW w:w="967" w:type="dxa"/>
            <w:noWrap w:val="0"/>
            <w:vAlign w:val="center"/>
          </w:tcPr>
          <w:p w14:paraId="3477097D">
            <w:pPr>
              <w:spacing w:line="240" w:lineRule="atLeast"/>
              <w:jc w:val="center"/>
              <w:rPr>
                <w:rFonts w:ascii="宋体" w:hAnsi="宋体"/>
                <w:szCs w:val="21"/>
              </w:rPr>
            </w:pPr>
            <w:r>
              <w:rPr>
                <w:rFonts w:ascii="宋体" w:hAnsi="宋体"/>
                <w:szCs w:val="21"/>
              </w:rPr>
              <w:t>20441.7</w:t>
            </w:r>
          </w:p>
        </w:tc>
        <w:tc>
          <w:tcPr>
            <w:tcW w:w="1113" w:type="dxa"/>
            <w:noWrap w:val="0"/>
            <w:vAlign w:val="center"/>
          </w:tcPr>
          <w:p w14:paraId="50E43675">
            <w:pPr>
              <w:spacing w:line="240" w:lineRule="atLeast"/>
              <w:jc w:val="center"/>
              <w:rPr>
                <w:rFonts w:ascii="宋体" w:hAnsi="宋体"/>
                <w:szCs w:val="21"/>
              </w:rPr>
            </w:pPr>
            <w:r>
              <w:rPr>
                <w:rFonts w:ascii="宋体" w:hAnsi="宋体"/>
                <w:szCs w:val="21"/>
              </w:rPr>
              <w:t>　</w:t>
            </w:r>
          </w:p>
        </w:tc>
        <w:tc>
          <w:tcPr>
            <w:tcW w:w="869" w:type="dxa"/>
            <w:noWrap w:val="0"/>
            <w:vAlign w:val="center"/>
          </w:tcPr>
          <w:p w14:paraId="1DCE26AF">
            <w:pPr>
              <w:spacing w:line="240" w:lineRule="atLeast"/>
              <w:jc w:val="center"/>
              <w:rPr>
                <w:rFonts w:ascii="宋体" w:hAnsi="宋体"/>
                <w:szCs w:val="21"/>
              </w:rPr>
            </w:pPr>
            <w:r>
              <w:rPr>
                <w:rFonts w:ascii="宋体" w:hAnsi="宋体"/>
                <w:szCs w:val="21"/>
              </w:rPr>
              <w:t>　</w:t>
            </w:r>
          </w:p>
        </w:tc>
      </w:tr>
    </w:tbl>
    <w:p w14:paraId="1879565E">
      <w:pPr>
        <w:pStyle w:val="2"/>
        <w:keepLines/>
        <w:spacing w:before="240" w:after="120" w:line="360" w:lineRule="auto"/>
        <w:ind w:firstLine="0" w:firstLineChars="0"/>
        <w:rPr>
          <w:rFonts w:hint="eastAsia" w:ascii="黑体" w:eastAsia="黑体"/>
          <w:b/>
          <w:color w:val="000000"/>
          <w:kern w:val="44"/>
          <w:sz w:val="36"/>
          <w:szCs w:val="36"/>
        </w:rPr>
      </w:pPr>
      <w:bookmarkStart w:id="724" w:name="_Toc259438192"/>
      <w:bookmarkStart w:id="725" w:name="_Toc260915283"/>
      <w:r>
        <w:rPr>
          <w:rFonts w:hint="eastAsia" w:ascii="黑体" w:eastAsia="黑体"/>
          <w:b/>
          <w:color w:val="000000"/>
          <w:kern w:val="44"/>
          <w:sz w:val="36"/>
          <w:szCs w:val="36"/>
        </w:rPr>
        <w:t>第七章　　节能减排</w:t>
      </w:r>
      <w:bookmarkEnd w:id="724"/>
      <w:bookmarkEnd w:id="725"/>
    </w:p>
    <w:p w14:paraId="5DC5F738">
      <w:pPr>
        <w:pStyle w:val="32"/>
        <w:rPr>
          <w:rFonts w:hint="eastAsia" w:ascii="宋体" w:hAnsi="宋体"/>
        </w:rPr>
      </w:pPr>
      <w:r>
        <w:rPr>
          <w:rFonts w:hint="eastAsia" w:ascii="宋体" w:hAnsi="宋体"/>
        </w:rPr>
        <w:t>本章主要变更内容：本章未变更。</w:t>
      </w:r>
    </w:p>
    <w:p w14:paraId="679FD3BF">
      <w:pPr>
        <w:pStyle w:val="3"/>
        <w:keepLines/>
        <w:spacing w:before="240" w:after="240" w:line="360" w:lineRule="auto"/>
        <w:ind w:firstLine="0" w:firstLineChars="0"/>
        <w:jc w:val="center"/>
        <w:rPr>
          <w:rFonts w:hint="eastAsia"/>
          <w:b/>
          <w:color w:val="000000"/>
          <w:sz w:val="32"/>
          <w:szCs w:val="32"/>
        </w:rPr>
      </w:pPr>
      <w:bookmarkStart w:id="726" w:name="_Toc260915284"/>
      <w:r>
        <w:rPr>
          <w:rFonts w:hint="eastAsia"/>
          <w:b/>
          <w:color w:val="000000"/>
          <w:sz w:val="32"/>
          <w:szCs w:val="32"/>
        </w:rPr>
        <w:t>第一节　　节能分析</w:t>
      </w:r>
      <w:bookmarkEnd w:id="726"/>
    </w:p>
    <w:p w14:paraId="221DDB8A">
      <w:pPr>
        <w:pStyle w:val="4"/>
        <w:keepLines/>
        <w:adjustRightInd w:val="0"/>
        <w:snapToGrid w:val="0"/>
        <w:spacing w:before="240" w:after="240" w:line="360" w:lineRule="auto"/>
        <w:ind w:firstLine="562" w:firstLineChars="200"/>
        <w:jc w:val="both"/>
        <w:rPr>
          <w:b/>
          <w:color w:val="000000"/>
          <w:kern w:val="0"/>
          <w:szCs w:val="20"/>
        </w:rPr>
      </w:pPr>
      <w:bookmarkStart w:id="727" w:name="_Toc214534181"/>
      <w:bookmarkStart w:id="728" w:name="_Toc217653665"/>
      <w:r>
        <w:rPr>
          <w:rFonts w:hint="eastAsia"/>
          <w:b/>
          <w:color w:val="000000"/>
          <w:kern w:val="0"/>
          <w:szCs w:val="20"/>
        </w:rPr>
        <w:t>一、</w:t>
      </w:r>
      <w:r>
        <w:rPr>
          <w:b/>
          <w:color w:val="000000"/>
          <w:kern w:val="0"/>
          <w:szCs w:val="20"/>
        </w:rPr>
        <w:t>概述</w:t>
      </w:r>
      <w:bookmarkEnd w:id="727"/>
      <w:bookmarkEnd w:id="728"/>
    </w:p>
    <w:p w14:paraId="48B0D903">
      <w:pPr>
        <w:spacing w:line="360" w:lineRule="auto"/>
        <w:ind w:firstLine="480" w:firstLineChars="200"/>
        <w:rPr>
          <w:rFonts w:ascii="宋体" w:hAnsi="宋体"/>
          <w:sz w:val="24"/>
        </w:rPr>
      </w:pPr>
      <w:r>
        <w:rPr>
          <w:rFonts w:ascii="宋体" w:hAnsi="宋体"/>
          <w:sz w:val="24"/>
        </w:rPr>
        <w:t>《中华人民共和国国民经济和社会发展第十一个五年规划纲要》提出了“十一五”期间单位国内生产总值能耗降低20％左右，主要污染物排放总量减少10％的约束性指标。这是贯彻落实科学发展观，构建和谐社会的重大举措；是建设资源节约型、环境友好型社会的必然选择；是推进经济结构调整，转变增长方式的必由之路；是提高人民生活质量，维护中华民族长远利益的必然要求。</w:t>
      </w:r>
    </w:p>
    <w:p w14:paraId="3636C41B">
      <w:pPr>
        <w:spacing w:line="360" w:lineRule="auto"/>
        <w:ind w:firstLine="480" w:firstLineChars="200"/>
        <w:rPr>
          <w:rFonts w:ascii="宋体" w:hAnsi="宋体"/>
          <w:sz w:val="24"/>
        </w:rPr>
      </w:pPr>
      <w:r>
        <w:rPr>
          <w:rFonts w:ascii="宋体" w:hAnsi="宋体"/>
          <w:sz w:val="24"/>
        </w:rPr>
        <w:t>国家发展改革委国家环保总局《关于印发煤炭工业节能减排工作意见的通知》，“煤炭工业节能减排工作意见”中指出，到“十一五”末，煤炭企业单位生产总值能耗比2005年下降20％，二氧化硫排放量控制在规定范围内。原煤入洗率由2005年的32％提高到50％，煤矸石、煤泥等固体废弃物综合利用率由2005年的43％提高到70％，矿井水利用率由2005年的44％提高到70％，矿井瓦斯抽采利用率达到60％。</w:t>
      </w:r>
    </w:p>
    <w:p w14:paraId="5460718F">
      <w:pPr>
        <w:spacing w:line="360" w:lineRule="auto"/>
        <w:ind w:firstLine="480" w:firstLineChars="200"/>
        <w:rPr>
          <w:rFonts w:ascii="宋体" w:hAnsi="宋体"/>
          <w:sz w:val="24"/>
        </w:rPr>
      </w:pPr>
      <w:r>
        <w:rPr>
          <w:rFonts w:ascii="宋体" w:hAnsi="宋体"/>
          <w:sz w:val="24"/>
        </w:rPr>
        <w:t>贵州省发展和改革委员会、贵州省环境保护局关于转发《国家发展改革委、国家环保总局关于印发煤炭工业节能减排工作意见的通知》的通知</w:t>
      </w:r>
      <w:r>
        <w:rPr>
          <w:rFonts w:hint="eastAsia" w:ascii="宋体" w:hAnsi="宋体"/>
          <w:sz w:val="24"/>
        </w:rPr>
        <w:t>和</w:t>
      </w:r>
      <w:r>
        <w:rPr>
          <w:rFonts w:ascii="宋体" w:hAnsi="宋体"/>
          <w:sz w:val="24"/>
        </w:rPr>
        <w:t>《煤炭工业节能减排工作意见》</w:t>
      </w:r>
      <w:r>
        <w:rPr>
          <w:rFonts w:hint="eastAsia" w:ascii="宋体" w:hAnsi="宋体"/>
          <w:sz w:val="24"/>
        </w:rPr>
        <w:t>要求，</w:t>
      </w:r>
      <w:r>
        <w:rPr>
          <w:rFonts w:ascii="宋体" w:hAnsi="宋体"/>
          <w:sz w:val="24"/>
        </w:rPr>
        <w:t>我省“十一五”末煤炭企业单位生产总值能耗比2005年下降20％，原煤入洗率达到40％，煤矸石、煤泥等固体废弃物综合利用率达到50％，矿井水利用达到50％，矿井瓦斯抽采利用率达到50％。</w:t>
      </w:r>
    </w:p>
    <w:p w14:paraId="7E9E5B5C">
      <w:pPr>
        <w:spacing w:line="360" w:lineRule="auto"/>
        <w:ind w:firstLine="480" w:firstLineChars="200"/>
        <w:rPr>
          <w:rFonts w:ascii="宋体" w:hAnsi="宋体"/>
          <w:sz w:val="24"/>
        </w:rPr>
      </w:pPr>
      <w:r>
        <w:rPr>
          <w:rFonts w:ascii="宋体" w:hAnsi="宋体"/>
          <w:sz w:val="24"/>
        </w:rPr>
        <w:t>充分认识节能减排的重要性和紧迫性，正确处理开发和节约的关系，认真贯彻落实国家节能方针，从降低能源消耗，提高经济效益出发，通过合理采用既节约能源又有经济效益的新技术、新工艺、新产品和新经验，达到以最小的能源消耗取得最大的经济效益之目的。</w:t>
      </w:r>
    </w:p>
    <w:p w14:paraId="10126000">
      <w:pPr>
        <w:pStyle w:val="4"/>
        <w:keepLines/>
        <w:adjustRightInd w:val="0"/>
        <w:snapToGrid w:val="0"/>
        <w:spacing w:before="240" w:after="240" w:line="360" w:lineRule="auto"/>
        <w:ind w:firstLine="562" w:firstLineChars="200"/>
        <w:jc w:val="both"/>
        <w:rPr>
          <w:b/>
          <w:color w:val="000000"/>
          <w:kern w:val="0"/>
          <w:szCs w:val="20"/>
        </w:rPr>
      </w:pPr>
      <w:bookmarkStart w:id="729" w:name="_Toc217653670"/>
      <w:r>
        <w:rPr>
          <w:rFonts w:hint="eastAsia"/>
          <w:b/>
          <w:color w:val="000000"/>
          <w:kern w:val="0"/>
          <w:szCs w:val="20"/>
        </w:rPr>
        <w:t>二、</w:t>
      </w:r>
      <w:r>
        <w:rPr>
          <w:b/>
          <w:color w:val="000000"/>
          <w:kern w:val="0"/>
          <w:szCs w:val="20"/>
        </w:rPr>
        <w:t>合理用能标准和节能设计规范</w:t>
      </w:r>
      <w:bookmarkEnd w:id="729"/>
    </w:p>
    <w:p w14:paraId="43D6FDED">
      <w:pPr>
        <w:spacing w:line="360" w:lineRule="auto"/>
        <w:ind w:firstLine="480" w:firstLineChars="200"/>
        <w:rPr>
          <w:rFonts w:ascii="宋体" w:hAnsi="宋体"/>
          <w:sz w:val="24"/>
        </w:rPr>
      </w:pPr>
      <w:bookmarkStart w:id="730" w:name="_Toc214534187"/>
      <w:bookmarkStart w:id="731" w:name="_Toc217651177"/>
      <w:bookmarkStart w:id="732" w:name="_Toc214940576"/>
      <w:r>
        <w:rPr>
          <w:rFonts w:hint="eastAsia" w:ascii="宋体" w:hAnsi="宋体"/>
          <w:sz w:val="24"/>
        </w:rPr>
        <w:t>1、</w:t>
      </w:r>
      <w:r>
        <w:rPr>
          <w:rFonts w:ascii="宋体" w:hAnsi="宋体"/>
          <w:sz w:val="24"/>
        </w:rPr>
        <w:t>相关法律法规和规划</w:t>
      </w:r>
      <w:bookmarkEnd w:id="730"/>
      <w:bookmarkEnd w:id="731"/>
      <w:bookmarkEnd w:id="732"/>
    </w:p>
    <w:p w14:paraId="7B70B495">
      <w:pPr>
        <w:spacing w:line="360" w:lineRule="auto"/>
        <w:ind w:firstLine="480" w:firstLineChars="200"/>
        <w:rPr>
          <w:rFonts w:ascii="宋体" w:hAnsi="宋体"/>
          <w:sz w:val="24"/>
        </w:rPr>
      </w:pPr>
      <w:r>
        <w:rPr>
          <w:rFonts w:hint="eastAsia" w:ascii="宋体" w:hAnsi="宋体"/>
          <w:snapToGrid w:val="0"/>
          <w:kern w:val="0"/>
          <w:sz w:val="24"/>
        </w:rPr>
        <w:t>（</w:t>
      </w:r>
      <w:r>
        <w:rPr>
          <w:rFonts w:hint="eastAsia" w:ascii="宋体" w:hAnsi="宋体"/>
          <w:sz w:val="24"/>
        </w:rPr>
        <w:t>1）</w:t>
      </w:r>
      <w:r>
        <w:rPr>
          <w:rFonts w:ascii="宋体" w:hAnsi="宋体"/>
          <w:sz w:val="24"/>
        </w:rPr>
        <w:t>中华人民共和国节约能源法</w:t>
      </w:r>
    </w:p>
    <w:p w14:paraId="4567D829">
      <w:pPr>
        <w:spacing w:line="360" w:lineRule="auto"/>
        <w:ind w:firstLine="480" w:firstLineChars="200"/>
        <w:rPr>
          <w:rFonts w:ascii="宋体" w:hAnsi="宋体"/>
          <w:sz w:val="24"/>
        </w:rPr>
      </w:pPr>
      <w:r>
        <w:rPr>
          <w:rFonts w:hint="eastAsia" w:ascii="宋体" w:hAnsi="宋体"/>
          <w:sz w:val="24"/>
        </w:rPr>
        <w:t>（2）</w:t>
      </w:r>
      <w:r>
        <w:rPr>
          <w:rFonts w:ascii="宋体" w:hAnsi="宋体"/>
          <w:sz w:val="24"/>
        </w:rPr>
        <w:t>中华人民共和国可再生能源法</w:t>
      </w:r>
    </w:p>
    <w:p w14:paraId="0D59B8B4">
      <w:pPr>
        <w:spacing w:line="360" w:lineRule="auto"/>
        <w:ind w:firstLine="480" w:firstLineChars="200"/>
        <w:rPr>
          <w:rFonts w:ascii="宋体" w:hAnsi="宋体"/>
          <w:sz w:val="24"/>
        </w:rPr>
      </w:pPr>
      <w:r>
        <w:rPr>
          <w:rFonts w:hint="eastAsia" w:ascii="宋体" w:hAnsi="宋体"/>
          <w:sz w:val="24"/>
        </w:rPr>
        <w:t>（3）</w:t>
      </w:r>
      <w:r>
        <w:rPr>
          <w:rFonts w:ascii="宋体" w:hAnsi="宋体"/>
          <w:sz w:val="24"/>
        </w:rPr>
        <w:t>中华人民共和国建筑法</w:t>
      </w:r>
    </w:p>
    <w:p w14:paraId="7ABFC5B1">
      <w:pPr>
        <w:spacing w:line="360" w:lineRule="auto"/>
        <w:ind w:firstLine="480" w:firstLineChars="200"/>
        <w:rPr>
          <w:rFonts w:ascii="宋体" w:hAnsi="宋体"/>
          <w:sz w:val="24"/>
        </w:rPr>
      </w:pPr>
      <w:r>
        <w:rPr>
          <w:rFonts w:hint="eastAsia" w:ascii="宋体" w:hAnsi="宋体"/>
          <w:sz w:val="24"/>
        </w:rPr>
        <w:t>（4）</w:t>
      </w:r>
      <w:r>
        <w:rPr>
          <w:rFonts w:ascii="宋体" w:hAnsi="宋体"/>
          <w:sz w:val="24"/>
        </w:rPr>
        <w:t>中华人民共和国清洁生产促进法</w:t>
      </w:r>
    </w:p>
    <w:p w14:paraId="137E5C4A">
      <w:pPr>
        <w:spacing w:line="360" w:lineRule="auto"/>
        <w:ind w:firstLine="480" w:firstLineChars="200"/>
        <w:rPr>
          <w:rFonts w:ascii="宋体" w:hAnsi="宋体"/>
          <w:sz w:val="24"/>
        </w:rPr>
      </w:pPr>
      <w:r>
        <w:rPr>
          <w:rFonts w:hint="eastAsia" w:ascii="宋体" w:hAnsi="宋体"/>
          <w:sz w:val="24"/>
        </w:rPr>
        <w:t>（5）</w:t>
      </w:r>
      <w:r>
        <w:rPr>
          <w:rFonts w:ascii="宋体" w:hAnsi="宋体"/>
          <w:sz w:val="24"/>
        </w:rPr>
        <w:t>清洁生产审核暂行办法（国家发展改革委、国家环保总局令第16号）</w:t>
      </w:r>
    </w:p>
    <w:p w14:paraId="625872B8">
      <w:pPr>
        <w:spacing w:line="360" w:lineRule="auto"/>
        <w:ind w:firstLine="480" w:firstLineChars="200"/>
        <w:rPr>
          <w:rFonts w:ascii="宋体" w:hAnsi="宋体"/>
          <w:sz w:val="24"/>
        </w:rPr>
      </w:pPr>
      <w:r>
        <w:rPr>
          <w:rFonts w:hint="eastAsia" w:ascii="宋体" w:hAnsi="宋体"/>
          <w:sz w:val="24"/>
        </w:rPr>
        <w:t>（6）</w:t>
      </w:r>
      <w:r>
        <w:rPr>
          <w:rFonts w:ascii="宋体" w:hAnsi="宋体"/>
          <w:sz w:val="24"/>
        </w:rPr>
        <w:t>重点用能单位节能管理办法  （原国家经贸委令第7号）</w:t>
      </w:r>
    </w:p>
    <w:p w14:paraId="587C5F40">
      <w:pPr>
        <w:spacing w:line="360" w:lineRule="auto"/>
        <w:ind w:firstLine="480" w:firstLineChars="200"/>
        <w:rPr>
          <w:rFonts w:ascii="宋体" w:hAnsi="宋体"/>
          <w:sz w:val="24"/>
        </w:rPr>
      </w:pPr>
      <w:r>
        <w:rPr>
          <w:rFonts w:hint="eastAsia" w:ascii="宋体" w:hAnsi="宋体"/>
          <w:sz w:val="24"/>
        </w:rPr>
        <w:t>（7）</w:t>
      </w:r>
      <w:r>
        <w:rPr>
          <w:rFonts w:ascii="宋体" w:hAnsi="宋体"/>
          <w:sz w:val="24"/>
        </w:rPr>
        <w:t>民用建筑节能管理规定（建设部部长令第76号）</w:t>
      </w:r>
    </w:p>
    <w:p w14:paraId="05A1C84B">
      <w:pPr>
        <w:spacing w:line="360" w:lineRule="auto"/>
        <w:ind w:firstLine="480" w:firstLineChars="200"/>
        <w:rPr>
          <w:rFonts w:ascii="宋体" w:hAnsi="宋体"/>
          <w:sz w:val="24"/>
        </w:rPr>
      </w:pPr>
      <w:r>
        <w:rPr>
          <w:rFonts w:hint="eastAsia" w:ascii="宋体" w:hAnsi="宋体"/>
          <w:sz w:val="24"/>
        </w:rPr>
        <w:t>（8）</w:t>
      </w:r>
      <w:r>
        <w:rPr>
          <w:rFonts w:ascii="宋体" w:hAnsi="宋体"/>
          <w:sz w:val="24"/>
        </w:rPr>
        <w:t>公路工程节能管理规定（试行）（交体法发【1997】840号）</w:t>
      </w:r>
    </w:p>
    <w:p w14:paraId="64EBD926">
      <w:pPr>
        <w:spacing w:line="360" w:lineRule="auto"/>
        <w:ind w:firstLine="480" w:firstLineChars="200"/>
        <w:rPr>
          <w:rFonts w:ascii="宋体" w:hAnsi="宋体"/>
          <w:sz w:val="24"/>
        </w:rPr>
      </w:pPr>
      <w:r>
        <w:rPr>
          <w:rFonts w:hint="eastAsia" w:ascii="宋体" w:hAnsi="宋体"/>
          <w:sz w:val="24"/>
        </w:rPr>
        <w:t>（9）</w:t>
      </w:r>
      <w:r>
        <w:rPr>
          <w:rFonts w:ascii="宋体" w:hAnsi="宋体"/>
          <w:sz w:val="24"/>
        </w:rPr>
        <w:t>节能中长期专项规划（发改环资【2004】2505号）</w:t>
      </w:r>
    </w:p>
    <w:p w14:paraId="46F9B146">
      <w:pPr>
        <w:spacing w:line="360" w:lineRule="auto"/>
        <w:ind w:firstLine="480" w:firstLineChars="200"/>
        <w:rPr>
          <w:rFonts w:ascii="宋体" w:hAnsi="宋体"/>
          <w:sz w:val="24"/>
        </w:rPr>
      </w:pPr>
      <w:bookmarkStart w:id="733" w:name="_Toc217651178"/>
      <w:bookmarkStart w:id="734" w:name="_Toc214534188"/>
      <w:bookmarkStart w:id="735" w:name="_Toc214940577"/>
      <w:r>
        <w:rPr>
          <w:rFonts w:hint="eastAsia" w:ascii="宋体" w:hAnsi="宋体"/>
          <w:sz w:val="24"/>
        </w:rPr>
        <w:t>2、</w:t>
      </w:r>
      <w:r>
        <w:rPr>
          <w:rFonts w:ascii="宋体" w:hAnsi="宋体"/>
          <w:sz w:val="24"/>
        </w:rPr>
        <w:t>产业政策和准入条件</w:t>
      </w:r>
      <w:bookmarkEnd w:id="733"/>
      <w:bookmarkEnd w:id="734"/>
      <w:bookmarkEnd w:id="735"/>
    </w:p>
    <w:p w14:paraId="3176CF79">
      <w:pPr>
        <w:spacing w:line="360" w:lineRule="auto"/>
        <w:ind w:firstLine="480" w:firstLineChars="200"/>
        <w:rPr>
          <w:rFonts w:ascii="宋体" w:hAnsi="宋体"/>
          <w:sz w:val="24"/>
        </w:rPr>
      </w:pPr>
      <w:r>
        <w:rPr>
          <w:rFonts w:hint="eastAsia" w:ascii="宋体" w:hAnsi="宋体"/>
          <w:sz w:val="24"/>
        </w:rPr>
        <w:t>（1）</w:t>
      </w:r>
      <w:r>
        <w:rPr>
          <w:rFonts w:ascii="宋体" w:hAnsi="宋体"/>
          <w:sz w:val="24"/>
        </w:rPr>
        <w:t>国务院关于发布促进产业结构调整暂行规定的通知（国发【2005】40号）</w:t>
      </w:r>
    </w:p>
    <w:p w14:paraId="47FCD2B1">
      <w:pPr>
        <w:spacing w:line="360" w:lineRule="auto"/>
        <w:ind w:firstLine="480" w:firstLineChars="200"/>
        <w:rPr>
          <w:rFonts w:ascii="宋体" w:hAnsi="宋体"/>
          <w:sz w:val="24"/>
        </w:rPr>
      </w:pPr>
      <w:r>
        <w:rPr>
          <w:rFonts w:hint="eastAsia" w:ascii="宋体" w:hAnsi="宋体"/>
          <w:sz w:val="24"/>
        </w:rPr>
        <w:t>（2）</w:t>
      </w:r>
      <w:r>
        <w:rPr>
          <w:rFonts w:ascii="宋体" w:hAnsi="宋体"/>
          <w:sz w:val="24"/>
        </w:rPr>
        <w:t>产业结构调整指导目录（2005年本）(国家发改委令 第40号 )</w:t>
      </w:r>
    </w:p>
    <w:p w14:paraId="22BB5FDC">
      <w:pPr>
        <w:spacing w:line="360" w:lineRule="auto"/>
        <w:ind w:firstLine="480" w:firstLineChars="200"/>
        <w:rPr>
          <w:rFonts w:ascii="宋体" w:hAnsi="宋体"/>
          <w:sz w:val="24"/>
        </w:rPr>
      </w:pPr>
      <w:r>
        <w:rPr>
          <w:rFonts w:hint="eastAsia" w:ascii="宋体" w:hAnsi="宋体"/>
          <w:sz w:val="24"/>
        </w:rPr>
        <w:t>（3）</w:t>
      </w:r>
      <w:r>
        <w:rPr>
          <w:rFonts w:ascii="宋体" w:hAnsi="宋体"/>
          <w:sz w:val="24"/>
        </w:rPr>
        <w:t>中国节能技术政策大纲（2006）（国家发展和改革委员会、科技部联合发布，2007年2月28日）</w:t>
      </w:r>
    </w:p>
    <w:p w14:paraId="2735D041">
      <w:pPr>
        <w:spacing w:line="360" w:lineRule="auto"/>
        <w:ind w:firstLine="480" w:firstLineChars="200"/>
        <w:rPr>
          <w:rFonts w:ascii="宋体" w:hAnsi="宋体"/>
          <w:sz w:val="24"/>
        </w:rPr>
      </w:pPr>
      <w:r>
        <w:rPr>
          <w:rFonts w:hint="eastAsia" w:ascii="宋体" w:hAnsi="宋体"/>
          <w:sz w:val="24"/>
        </w:rPr>
        <w:t>（4）</w:t>
      </w:r>
      <w:r>
        <w:rPr>
          <w:rFonts w:ascii="宋体" w:hAnsi="宋体"/>
          <w:sz w:val="24"/>
        </w:rPr>
        <w:t>煤矸石综合利用技术政策要点  （国经贸资源【1999】1005号）</w:t>
      </w:r>
    </w:p>
    <w:p w14:paraId="36560BFF">
      <w:pPr>
        <w:spacing w:line="360" w:lineRule="auto"/>
        <w:ind w:firstLine="480" w:firstLineChars="200"/>
        <w:rPr>
          <w:rFonts w:ascii="宋体" w:hAnsi="宋体"/>
          <w:sz w:val="24"/>
        </w:rPr>
      </w:pPr>
      <w:r>
        <w:rPr>
          <w:rFonts w:hint="eastAsia" w:ascii="宋体" w:hAnsi="宋体"/>
          <w:sz w:val="24"/>
        </w:rPr>
        <w:t>（5）</w:t>
      </w:r>
      <w:r>
        <w:rPr>
          <w:rFonts w:ascii="宋体" w:hAnsi="宋体"/>
          <w:sz w:val="24"/>
        </w:rPr>
        <w:t>国家鼓励发展的资源节约综合利用和环境保护技术(国家发改委2005第65号)</w:t>
      </w:r>
    </w:p>
    <w:p w14:paraId="0AE69C08">
      <w:pPr>
        <w:spacing w:line="360" w:lineRule="auto"/>
        <w:ind w:firstLine="480" w:firstLineChars="200"/>
        <w:rPr>
          <w:rFonts w:ascii="宋体" w:hAnsi="宋体"/>
          <w:sz w:val="24"/>
        </w:rPr>
      </w:pPr>
      <w:r>
        <w:rPr>
          <w:rFonts w:hint="eastAsia" w:ascii="宋体" w:hAnsi="宋体"/>
          <w:sz w:val="24"/>
        </w:rPr>
        <w:t>（6）</w:t>
      </w:r>
      <w:r>
        <w:rPr>
          <w:rFonts w:ascii="宋体" w:hAnsi="宋体"/>
          <w:sz w:val="24"/>
        </w:rPr>
        <w:t>国务院关于印发节能减排综合性工作方案的通知  （国发[2007]15号）</w:t>
      </w:r>
    </w:p>
    <w:p w14:paraId="53A95488">
      <w:pPr>
        <w:spacing w:line="360" w:lineRule="auto"/>
        <w:ind w:firstLine="480" w:firstLineChars="200"/>
        <w:rPr>
          <w:rFonts w:ascii="宋体" w:hAnsi="宋体"/>
          <w:sz w:val="24"/>
        </w:rPr>
      </w:pPr>
      <w:r>
        <w:rPr>
          <w:rFonts w:hint="eastAsia" w:ascii="宋体" w:hAnsi="宋体"/>
          <w:sz w:val="24"/>
        </w:rPr>
        <w:t>（7）</w:t>
      </w:r>
      <w:r>
        <w:rPr>
          <w:rFonts w:ascii="宋体" w:hAnsi="宋体"/>
          <w:sz w:val="24"/>
        </w:rPr>
        <w:t>国家发展改革委 国家环保总局关于印发煤炭工业节能减排工作意见的通知（发改能源[2007]1456号）</w:t>
      </w:r>
    </w:p>
    <w:p w14:paraId="6A4B05FB">
      <w:pPr>
        <w:spacing w:line="360" w:lineRule="auto"/>
        <w:ind w:firstLine="480" w:firstLineChars="200"/>
        <w:rPr>
          <w:rFonts w:ascii="宋体" w:hAnsi="宋体"/>
          <w:sz w:val="24"/>
        </w:rPr>
      </w:pPr>
      <w:r>
        <w:rPr>
          <w:rFonts w:hint="eastAsia" w:ascii="宋体" w:hAnsi="宋体"/>
          <w:sz w:val="24"/>
        </w:rPr>
        <w:t>（8）</w:t>
      </w:r>
      <w:r>
        <w:rPr>
          <w:rFonts w:ascii="宋体" w:hAnsi="宋体"/>
          <w:sz w:val="24"/>
        </w:rPr>
        <w:t>国务院关于加强节能工作的决定（国发【200</w:t>
      </w:r>
      <w:r>
        <w:rPr>
          <w:rFonts w:hint="eastAsia" w:ascii="宋体" w:hAnsi="宋体"/>
          <w:sz w:val="24"/>
        </w:rPr>
        <w:t>6</w:t>
      </w:r>
      <w:r>
        <w:rPr>
          <w:rFonts w:ascii="宋体" w:hAnsi="宋体"/>
          <w:sz w:val="24"/>
        </w:rPr>
        <w:t>】28号）</w:t>
      </w:r>
    </w:p>
    <w:p w14:paraId="4EDEB2EB">
      <w:pPr>
        <w:spacing w:line="360" w:lineRule="auto"/>
        <w:ind w:firstLine="480" w:firstLineChars="200"/>
        <w:rPr>
          <w:rFonts w:ascii="宋体" w:hAnsi="宋体"/>
          <w:sz w:val="24"/>
        </w:rPr>
      </w:pPr>
      <w:r>
        <w:rPr>
          <w:rFonts w:hint="eastAsia" w:ascii="宋体" w:hAnsi="宋体"/>
          <w:sz w:val="24"/>
        </w:rPr>
        <w:t>（9）</w:t>
      </w:r>
      <w:r>
        <w:rPr>
          <w:rFonts w:ascii="宋体" w:hAnsi="宋体"/>
          <w:sz w:val="24"/>
        </w:rPr>
        <w:t>国务院关于印发节能减排综合性工作方案的通知 （国发【200</w:t>
      </w:r>
      <w:r>
        <w:rPr>
          <w:rFonts w:hint="eastAsia" w:ascii="宋体" w:hAnsi="宋体"/>
          <w:sz w:val="24"/>
        </w:rPr>
        <w:t>7</w:t>
      </w:r>
      <w:r>
        <w:rPr>
          <w:rFonts w:ascii="宋体" w:hAnsi="宋体"/>
          <w:sz w:val="24"/>
        </w:rPr>
        <w:t>】15号）</w:t>
      </w:r>
    </w:p>
    <w:p w14:paraId="69B1D93E">
      <w:pPr>
        <w:spacing w:line="360" w:lineRule="auto"/>
        <w:ind w:firstLine="480" w:firstLineChars="200"/>
        <w:rPr>
          <w:rFonts w:ascii="宋体" w:hAnsi="宋体"/>
          <w:sz w:val="24"/>
        </w:rPr>
      </w:pPr>
      <w:r>
        <w:rPr>
          <w:rFonts w:hint="eastAsia" w:ascii="宋体" w:hAnsi="宋体"/>
          <w:sz w:val="24"/>
        </w:rPr>
        <w:t>（10）</w:t>
      </w:r>
      <w:r>
        <w:rPr>
          <w:rFonts w:ascii="宋体" w:hAnsi="宋体"/>
          <w:sz w:val="24"/>
        </w:rPr>
        <w:t>贵州省发展改革委 贵州省经济贸易委员会关于印发贵州省固定资产投资项目节能评估和审查暂行办法的通知（2007年5月22日）</w:t>
      </w:r>
    </w:p>
    <w:p w14:paraId="74DBF9F0">
      <w:pPr>
        <w:spacing w:line="360" w:lineRule="auto"/>
        <w:ind w:firstLine="480" w:firstLineChars="200"/>
        <w:rPr>
          <w:rFonts w:ascii="宋体" w:hAnsi="宋体"/>
          <w:sz w:val="24"/>
        </w:rPr>
      </w:pPr>
      <w:r>
        <w:rPr>
          <w:rFonts w:hint="eastAsia" w:ascii="宋体" w:hAnsi="宋体"/>
          <w:sz w:val="24"/>
        </w:rPr>
        <w:t>（11）</w:t>
      </w:r>
      <w:r>
        <w:rPr>
          <w:rFonts w:ascii="宋体" w:hAnsi="宋体"/>
          <w:sz w:val="24"/>
        </w:rPr>
        <w:t>贵州省“十一五”资源节约综合利用规划</w:t>
      </w:r>
    </w:p>
    <w:p w14:paraId="0DCB18F3">
      <w:pPr>
        <w:spacing w:line="360" w:lineRule="auto"/>
        <w:ind w:firstLine="480" w:firstLineChars="200"/>
        <w:rPr>
          <w:rFonts w:ascii="宋体" w:hAnsi="宋体"/>
          <w:sz w:val="24"/>
        </w:rPr>
      </w:pPr>
      <w:bookmarkStart w:id="736" w:name="_Toc217651179"/>
      <w:bookmarkStart w:id="737" w:name="_Toc214940578"/>
      <w:bookmarkStart w:id="738" w:name="_Toc214534189"/>
      <w:r>
        <w:rPr>
          <w:rFonts w:hint="eastAsia" w:ascii="宋体" w:hAnsi="宋体"/>
          <w:sz w:val="24"/>
        </w:rPr>
        <w:t>3、</w:t>
      </w:r>
      <w:r>
        <w:rPr>
          <w:rFonts w:ascii="宋体" w:hAnsi="宋体"/>
          <w:sz w:val="24"/>
        </w:rPr>
        <w:t>工业类相关标准和规范</w:t>
      </w:r>
      <w:bookmarkEnd w:id="736"/>
      <w:bookmarkEnd w:id="737"/>
      <w:bookmarkEnd w:id="738"/>
    </w:p>
    <w:p w14:paraId="33B1269B">
      <w:pPr>
        <w:spacing w:line="360" w:lineRule="auto"/>
        <w:ind w:firstLine="480" w:firstLineChars="200"/>
        <w:rPr>
          <w:rFonts w:ascii="宋体" w:hAnsi="宋体"/>
          <w:sz w:val="24"/>
        </w:rPr>
      </w:pPr>
      <w:r>
        <w:rPr>
          <w:rFonts w:hint="eastAsia" w:ascii="宋体" w:hAnsi="宋体"/>
          <w:sz w:val="24"/>
        </w:rPr>
        <w:t>（1）</w:t>
      </w:r>
      <w:r>
        <w:rPr>
          <w:rFonts w:ascii="宋体" w:hAnsi="宋体"/>
          <w:sz w:val="24"/>
        </w:rPr>
        <w:t>机械行业节能设计规范  JBJ 14-2004</w:t>
      </w:r>
    </w:p>
    <w:p w14:paraId="20AFBD90">
      <w:pPr>
        <w:spacing w:line="360" w:lineRule="auto"/>
        <w:ind w:firstLine="480" w:firstLineChars="200"/>
        <w:rPr>
          <w:rFonts w:ascii="宋体" w:hAnsi="宋体"/>
          <w:sz w:val="24"/>
        </w:rPr>
      </w:pPr>
      <w:r>
        <w:rPr>
          <w:rFonts w:hint="eastAsia" w:ascii="宋体" w:hAnsi="宋体"/>
          <w:sz w:val="24"/>
        </w:rPr>
        <w:t>（2）</w:t>
      </w:r>
      <w:r>
        <w:rPr>
          <w:rFonts w:ascii="宋体" w:hAnsi="宋体"/>
          <w:sz w:val="24"/>
        </w:rPr>
        <w:t>九种高耗电产品电耗最高限额  （国经贸资源【2000】1256号）</w:t>
      </w:r>
    </w:p>
    <w:p w14:paraId="2093919D">
      <w:pPr>
        <w:spacing w:line="360" w:lineRule="auto"/>
        <w:ind w:firstLine="480" w:firstLineChars="200"/>
        <w:rPr>
          <w:rFonts w:ascii="宋体" w:hAnsi="宋体"/>
          <w:sz w:val="24"/>
        </w:rPr>
      </w:pPr>
      <w:r>
        <w:rPr>
          <w:rFonts w:hint="eastAsia" w:ascii="宋体" w:hAnsi="宋体"/>
          <w:sz w:val="24"/>
        </w:rPr>
        <w:t>（3）</w:t>
      </w:r>
      <w:r>
        <w:rPr>
          <w:rFonts w:ascii="宋体" w:hAnsi="宋体"/>
          <w:sz w:val="24"/>
        </w:rPr>
        <w:t>节电措施经济效益计算与评价</w:t>
      </w:r>
      <w:r>
        <w:rPr>
          <w:rFonts w:hint="eastAsia" w:ascii="宋体" w:hAnsi="宋体"/>
          <w:sz w:val="24"/>
        </w:rPr>
        <w:t xml:space="preserve">  </w:t>
      </w:r>
      <w:r>
        <w:rPr>
          <w:rFonts w:ascii="宋体" w:hAnsi="宋体"/>
          <w:sz w:val="24"/>
        </w:rPr>
        <w:t>GB/T13471-1992</w:t>
      </w:r>
    </w:p>
    <w:p w14:paraId="4DC5D1D0">
      <w:pPr>
        <w:spacing w:line="360" w:lineRule="auto"/>
        <w:ind w:firstLine="480" w:firstLineChars="200"/>
        <w:rPr>
          <w:rFonts w:ascii="宋体" w:hAnsi="宋体"/>
          <w:sz w:val="24"/>
        </w:rPr>
      </w:pPr>
      <w:r>
        <w:rPr>
          <w:rFonts w:hint="eastAsia" w:ascii="宋体" w:hAnsi="宋体"/>
          <w:sz w:val="24"/>
        </w:rPr>
        <w:t>（4）</w:t>
      </w:r>
      <w:r>
        <w:rPr>
          <w:rFonts w:ascii="宋体" w:hAnsi="宋体"/>
          <w:sz w:val="24"/>
        </w:rPr>
        <w:t>通风机能效限定值及节能评价值</w:t>
      </w:r>
      <w:r>
        <w:rPr>
          <w:rFonts w:hint="eastAsia" w:ascii="宋体" w:hAnsi="宋体"/>
          <w:sz w:val="24"/>
        </w:rPr>
        <w:t xml:space="preserve">  </w:t>
      </w:r>
      <w:r>
        <w:rPr>
          <w:rFonts w:ascii="宋体" w:hAnsi="宋体"/>
          <w:sz w:val="24"/>
        </w:rPr>
        <w:t>GB 19761-2005</w:t>
      </w:r>
    </w:p>
    <w:p w14:paraId="78864F49">
      <w:pPr>
        <w:spacing w:line="360" w:lineRule="auto"/>
        <w:ind w:firstLine="480" w:firstLineChars="200"/>
        <w:rPr>
          <w:rFonts w:ascii="宋体" w:hAnsi="宋体"/>
          <w:sz w:val="24"/>
        </w:rPr>
      </w:pPr>
      <w:r>
        <w:rPr>
          <w:rFonts w:hint="eastAsia" w:ascii="宋体" w:hAnsi="宋体"/>
          <w:sz w:val="24"/>
        </w:rPr>
        <w:t>（5）</w:t>
      </w:r>
      <w:r>
        <w:rPr>
          <w:rFonts w:ascii="宋体" w:hAnsi="宋体"/>
          <w:sz w:val="24"/>
        </w:rPr>
        <w:t>公共建筑节能设计标准  GB50189-2005</w:t>
      </w:r>
    </w:p>
    <w:p w14:paraId="4942FA22">
      <w:pPr>
        <w:spacing w:line="360" w:lineRule="auto"/>
        <w:ind w:firstLine="480" w:firstLineChars="200"/>
        <w:rPr>
          <w:rFonts w:ascii="宋体" w:hAnsi="宋体"/>
          <w:sz w:val="24"/>
        </w:rPr>
      </w:pPr>
      <w:r>
        <w:rPr>
          <w:rFonts w:hint="eastAsia" w:ascii="宋体" w:hAnsi="宋体"/>
          <w:sz w:val="24"/>
        </w:rPr>
        <w:t>（6）</w:t>
      </w:r>
      <w:r>
        <w:rPr>
          <w:rFonts w:ascii="宋体" w:hAnsi="宋体"/>
          <w:sz w:val="24"/>
        </w:rPr>
        <w:t>绿色建筑评价标准GB/T50378-2006</w:t>
      </w:r>
    </w:p>
    <w:p w14:paraId="79BF6A36">
      <w:pPr>
        <w:spacing w:line="360" w:lineRule="auto"/>
        <w:ind w:firstLine="480" w:firstLineChars="200"/>
        <w:rPr>
          <w:rFonts w:ascii="宋体" w:hAnsi="宋体"/>
          <w:sz w:val="24"/>
        </w:rPr>
      </w:pPr>
      <w:r>
        <w:rPr>
          <w:rFonts w:hint="eastAsia" w:ascii="宋体" w:hAnsi="宋体"/>
          <w:sz w:val="24"/>
        </w:rPr>
        <w:t>（7）</w:t>
      </w:r>
      <w:r>
        <w:rPr>
          <w:rFonts w:ascii="宋体" w:hAnsi="宋体"/>
          <w:sz w:val="24"/>
        </w:rPr>
        <w:t>绿色建筑技术导则(建科【2005】199号)</w:t>
      </w:r>
    </w:p>
    <w:p w14:paraId="14C64978">
      <w:pPr>
        <w:spacing w:line="360" w:lineRule="auto"/>
        <w:ind w:firstLine="480" w:firstLineChars="200"/>
        <w:rPr>
          <w:rFonts w:ascii="宋体" w:hAnsi="宋体"/>
          <w:sz w:val="24"/>
        </w:rPr>
      </w:pPr>
      <w:r>
        <w:rPr>
          <w:rFonts w:hint="eastAsia" w:ascii="宋体" w:hAnsi="宋体"/>
          <w:sz w:val="24"/>
        </w:rPr>
        <w:t>（8）</w:t>
      </w:r>
      <w:r>
        <w:rPr>
          <w:rFonts w:ascii="宋体" w:hAnsi="宋体"/>
          <w:sz w:val="24"/>
        </w:rPr>
        <w:t>夏热冬冷地区居住建筑节能设计标准JCJ134-2001</w:t>
      </w:r>
    </w:p>
    <w:p w14:paraId="66E4EC48">
      <w:pPr>
        <w:spacing w:line="360" w:lineRule="auto"/>
        <w:ind w:firstLine="480" w:firstLineChars="200"/>
        <w:rPr>
          <w:rFonts w:ascii="宋体" w:hAnsi="宋体"/>
          <w:sz w:val="24"/>
        </w:rPr>
      </w:pPr>
      <w:r>
        <w:rPr>
          <w:rFonts w:hint="eastAsia" w:ascii="宋体" w:hAnsi="宋体"/>
          <w:sz w:val="24"/>
        </w:rPr>
        <w:t>（9）</w:t>
      </w:r>
      <w:r>
        <w:rPr>
          <w:rFonts w:ascii="宋体" w:hAnsi="宋体"/>
          <w:sz w:val="24"/>
        </w:rPr>
        <w:t>夏热冬暖地区居住建筑节能设计标准JCJ75-2003</w:t>
      </w:r>
    </w:p>
    <w:p w14:paraId="1E7F8EAE">
      <w:pPr>
        <w:spacing w:line="360" w:lineRule="auto"/>
        <w:ind w:firstLine="480" w:firstLineChars="200"/>
        <w:rPr>
          <w:rFonts w:ascii="宋体" w:hAnsi="宋体"/>
          <w:sz w:val="24"/>
        </w:rPr>
      </w:pPr>
      <w:r>
        <w:rPr>
          <w:rFonts w:hint="eastAsia" w:ascii="宋体" w:hAnsi="宋体"/>
          <w:sz w:val="24"/>
        </w:rPr>
        <w:t>（10）</w:t>
      </w:r>
      <w:r>
        <w:rPr>
          <w:rFonts w:ascii="宋体" w:hAnsi="宋体"/>
          <w:sz w:val="24"/>
        </w:rPr>
        <w:t>民用建筑节能设计标准（采暖居住建筑部分）JCJ26-95</w:t>
      </w:r>
    </w:p>
    <w:p w14:paraId="25C4F22D">
      <w:pPr>
        <w:spacing w:line="360" w:lineRule="auto"/>
        <w:ind w:firstLine="480" w:firstLineChars="200"/>
        <w:rPr>
          <w:rFonts w:ascii="宋体" w:hAnsi="宋体"/>
          <w:sz w:val="24"/>
        </w:rPr>
      </w:pPr>
      <w:r>
        <w:rPr>
          <w:rFonts w:hint="eastAsia" w:ascii="宋体" w:hAnsi="宋体"/>
          <w:sz w:val="24"/>
        </w:rPr>
        <w:t>（11）</w:t>
      </w:r>
      <w:r>
        <w:rPr>
          <w:rFonts w:ascii="宋体" w:hAnsi="宋体"/>
          <w:sz w:val="24"/>
        </w:rPr>
        <w:t>采暖通风与空气调节设计规范GB50019-2003</w:t>
      </w:r>
    </w:p>
    <w:p w14:paraId="3ED3B0E2">
      <w:pPr>
        <w:spacing w:line="360" w:lineRule="auto"/>
        <w:ind w:firstLine="480" w:firstLineChars="200"/>
        <w:rPr>
          <w:rFonts w:ascii="宋体" w:hAnsi="宋体"/>
          <w:sz w:val="24"/>
        </w:rPr>
      </w:pPr>
      <w:r>
        <w:rPr>
          <w:rFonts w:hint="eastAsia" w:ascii="宋体" w:hAnsi="宋体"/>
          <w:sz w:val="24"/>
        </w:rPr>
        <w:t>（12）</w:t>
      </w:r>
      <w:r>
        <w:rPr>
          <w:rFonts w:ascii="宋体" w:hAnsi="宋体"/>
          <w:sz w:val="24"/>
        </w:rPr>
        <w:t>外墙外保温工程技术规程JGJ144-2004</w:t>
      </w:r>
    </w:p>
    <w:p w14:paraId="0F2FD037">
      <w:pPr>
        <w:spacing w:line="360" w:lineRule="auto"/>
        <w:ind w:firstLine="480" w:firstLineChars="200"/>
        <w:rPr>
          <w:rFonts w:ascii="宋体" w:hAnsi="宋体"/>
          <w:sz w:val="24"/>
        </w:rPr>
      </w:pPr>
      <w:r>
        <w:rPr>
          <w:rFonts w:hint="eastAsia" w:ascii="宋体" w:hAnsi="宋体"/>
          <w:sz w:val="24"/>
        </w:rPr>
        <w:t>（13）</w:t>
      </w:r>
      <w:r>
        <w:rPr>
          <w:rFonts w:ascii="宋体" w:hAnsi="宋体"/>
          <w:sz w:val="24"/>
        </w:rPr>
        <w:t>地源热泵系统工程技术规范GB50366-2005</w:t>
      </w:r>
    </w:p>
    <w:p w14:paraId="2B842B6D">
      <w:pPr>
        <w:spacing w:line="360" w:lineRule="auto"/>
        <w:ind w:firstLine="480" w:firstLineChars="200"/>
        <w:rPr>
          <w:rFonts w:ascii="宋体" w:hAnsi="宋体"/>
          <w:sz w:val="24"/>
        </w:rPr>
      </w:pPr>
      <w:r>
        <w:rPr>
          <w:rFonts w:hint="eastAsia" w:ascii="宋体" w:hAnsi="宋体"/>
          <w:sz w:val="24"/>
        </w:rPr>
        <w:t>（14）</w:t>
      </w:r>
      <w:r>
        <w:rPr>
          <w:rFonts w:ascii="宋体" w:hAnsi="宋体"/>
          <w:sz w:val="24"/>
        </w:rPr>
        <w:t>民用建筑太阳能热水系统应用技术规范GB50364-2005</w:t>
      </w:r>
    </w:p>
    <w:p w14:paraId="2F3687EA">
      <w:pPr>
        <w:spacing w:line="360" w:lineRule="auto"/>
        <w:ind w:firstLine="480" w:firstLineChars="200"/>
        <w:rPr>
          <w:rFonts w:ascii="宋体" w:hAnsi="宋体"/>
          <w:sz w:val="24"/>
        </w:rPr>
      </w:pPr>
      <w:r>
        <w:rPr>
          <w:rFonts w:hint="eastAsia" w:ascii="宋体" w:hAnsi="宋体"/>
          <w:sz w:val="24"/>
        </w:rPr>
        <w:t>（15）</w:t>
      </w:r>
      <w:r>
        <w:rPr>
          <w:rFonts w:ascii="宋体" w:hAnsi="宋体"/>
          <w:sz w:val="24"/>
        </w:rPr>
        <w:t>民用建筑热工设计规范GB50176-93</w:t>
      </w:r>
    </w:p>
    <w:p w14:paraId="10833A6C">
      <w:pPr>
        <w:spacing w:line="360" w:lineRule="auto"/>
        <w:ind w:firstLine="480" w:firstLineChars="200"/>
        <w:rPr>
          <w:rFonts w:ascii="宋体" w:hAnsi="宋体"/>
          <w:sz w:val="24"/>
        </w:rPr>
      </w:pPr>
      <w:r>
        <w:rPr>
          <w:rFonts w:hint="eastAsia" w:ascii="宋体" w:hAnsi="宋体"/>
          <w:sz w:val="24"/>
        </w:rPr>
        <w:t>（16）</w:t>
      </w:r>
      <w:r>
        <w:rPr>
          <w:rFonts w:ascii="宋体" w:hAnsi="宋体"/>
          <w:sz w:val="24"/>
        </w:rPr>
        <w:t>建筑照明设计标准  GB50034-2004</w:t>
      </w:r>
    </w:p>
    <w:p w14:paraId="6B462576">
      <w:pPr>
        <w:spacing w:line="360" w:lineRule="auto"/>
        <w:ind w:firstLine="480" w:firstLineChars="200"/>
        <w:rPr>
          <w:rFonts w:ascii="宋体" w:hAnsi="宋体"/>
          <w:sz w:val="24"/>
        </w:rPr>
      </w:pPr>
      <w:r>
        <w:rPr>
          <w:rFonts w:hint="eastAsia" w:ascii="宋体" w:hAnsi="宋体"/>
          <w:sz w:val="24"/>
        </w:rPr>
        <w:t>（17）</w:t>
      </w:r>
      <w:r>
        <w:rPr>
          <w:rFonts w:ascii="宋体" w:hAnsi="宋体"/>
          <w:sz w:val="24"/>
        </w:rPr>
        <w:t>建筑采光设计标准  GB/T 50033-2001</w:t>
      </w:r>
    </w:p>
    <w:p w14:paraId="13DEC2CD">
      <w:pPr>
        <w:spacing w:line="360" w:lineRule="auto"/>
        <w:ind w:firstLine="480" w:firstLineChars="200"/>
        <w:rPr>
          <w:rFonts w:ascii="宋体" w:hAnsi="宋体"/>
          <w:sz w:val="24"/>
        </w:rPr>
      </w:pPr>
      <w:r>
        <w:rPr>
          <w:rFonts w:hint="eastAsia" w:ascii="宋体" w:hAnsi="宋体"/>
          <w:sz w:val="24"/>
        </w:rPr>
        <w:t>（18）</w:t>
      </w:r>
      <w:r>
        <w:rPr>
          <w:rFonts w:ascii="宋体" w:hAnsi="宋体"/>
          <w:sz w:val="24"/>
        </w:rPr>
        <w:t>采暖居住建筑节能检验标准  JGJ 132-2001</w:t>
      </w:r>
    </w:p>
    <w:p w14:paraId="41058BBF">
      <w:pPr>
        <w:spacing w:line="360" w:lineRule="auto"/>
        <w:ind w:firstLine="480" w:firstLineChars="200"/>
        <w:rPr>
          <w:rFonts w:ascii="宋体" w:hAnsi="宋体"/>
          <w:sz w:val="24"/>
        </w:rPr>
      </w:pPr>
      <w:r>
        <w:rPr>
          <w:rFonts w:hint="eastAsia" w:ascii="宋体" w:hAnsi="宋体"/>
          <w:sz w:val="24"/>
        </w:rPr>
        <w:t>（19）</w:t>
      </w:r>
      <w:r>
        <w:rPr>
          <w:rFonts w:ascii="宋体" w:hAnsi="宋体"/>
          <w:sz w:val="24"/>
        </w:rPr>
        <w:t>民用建筑电气设计规范  JGJ/T16-92</w:t>
      </w:r>
    </w:p>
    <w:p w14:paraId="3835CE01">
      <w:pPr>
        <w:spacing w:line="360" w:lineRule="auto"/>
        <w:ind w:firstLine="480" w:firstLineChars="200"/>
        <w:rPr>
          <w:rFonts w:ascii="宋体" w:hAnsi="宋体"/>
          <w:sz w:val="24"/>
        </w:rPr>
      </w:pPr>
      <w:r>
        <w:rPr>
          <w:rFonts w:hint="eastAsia" w:ascii="宋体" w:hAnsi="宋体"/>
          <w:sz w:val="24"/>
        </w:rPr>
        <w:t>（20）</w:t>
      </w:r>
      <w:r>
        <w:rPr>
          <w:rFonts w:ascii="宋体" w:hAnsi="宋体"/>
          <w:sz w:val="24"/>
        </w:rPr>
        <w:t>生活锅炉热效率及热工试验方法GB/T 10820-2002</w:t>
      </w:r>
    </w:p>
    <w:p w14:paraId="720E38D0">
      <w:pPr>
        <w:spacing w:line="360" w:lineRule="auto"/>
        <w:ind w:firstLine="480" w:firstLineChars="200"/>
        <w:rPr>
          <w:rFonts w:ascii="宋体" w:hAnsi="宋体"/>
          <w:sz w:val="24"/>
        </w:rPr>
      </w:pPr>
      <w:r>
        <w:rPr>
          <w:rFonts w:hint="eastAsia" w:ascii="宋体" w:hAnsi="宋体"/>
          <w:sz w:val="24"/>
        </w:rPr>
        <w:t>（21）</w:t>
      </w:r>
      <w:r>
        <w:rPr>
          <w:rFonts w:ascii="宋体" w:hAnsi="宋体"/>
          <w:sz w:val="24"/>
        </w:rPr>
        <w:t>空调通风系统运行管理规范  GB50365-2005</w:t>
      </w:r>
    </w:p>
    <w:p w14:paraId="18BBD7C7">
      <w:pPr>
        <w:spacing w:line="360" w:lineRule="auto"/>
        <w:ind w:firstLine="480" w:firstLineChars="200"/>
        <w:rPr>
          <w:rFonts w:ascii="宋体" w:hAnsi="宋体"/>
          <w:sz w:val="24"/>
        </w:rPr>
      </w:pPr>
      <w:r>
        <w:rPr>
          <w:rFonts w:hint="eastAsia" w:ascii="宋体" w:hAnsi="宋体"/>
          <w:sz w:val="24"/>
        </w:rPr>
        <w:t>（22）</w:t>
      </w:r>
      <w:r>
        <w:rPr>
          <w:rFonts w:ascii="宋体" w:hAnsi="宋体"/>
          <w:sz w:val="24"/>
        </w:rPr>
        <w:t>聚氨酯泡沫塑料预制保温管CJ/T3002-1992</w:t>
      </w:r>
    </w:p>
    <w:p w14:paraId="5DD89AF1">
      <w:pPr>
        <w:spacing w:line="360" w:lineRule="auto"/>
        <w:ind w:firstLine="480" w:firstLineChars="200"/>
        <w:rPr>
          <w:rFonts w:ascii="宋体" w:hAnsi="宋体"/>
          <w:sz w:val="24"/>
        </w:rPr>
      </w:pPr>
      <w:r>
        <w:rPr>
          <w:rFonts w:hint="eastAsia" w:ascii="宋体" w:hAnsi="宋体"/>
          <w:sz w:val="24"/>
        </w:rPr>
        <w:t>（23）</w:t>
      </w:r>
      <w:r>
        <w:rPr>
          <w:rFonts w:ascii="宋体" w:hAnsi="宋体"/>
          <w:sz w:val="24"/>
        </w:rPr>
        <w:t>设备及管道保温保冷技术通则  GB/T11790-1996</w:t>
      </w:r>
    </w:p>
    <w:p w14:paraId="32C4DA5C">
      <w:pPr>
        <w:spacing w:line="360" w:lineRule="auto"/>
        <w:ind w:firstLine="480" w:firstLineChars="200"/>
        <w:rPr>
          <w:rFonts w:ascii="宋体" w:hAnsi="宋体"/>
          <w:sz w:val="24"/>
        </w:rPr>
      </w:pPr>
      <w:r>
        <w:rPr>
          <w:rFonts w:hint="eastAsia" w:ascii="宋体" w:hAnsi="宋体"/>
          <w:sz w:val="24"/>
        </w:rPr>
        <w:t>（24）</w:t>
      </w:r>
      <w:r>
        <w:rPr>
          <w:rFonts w:ascii="宋体" w:hAnsi="宋体"/>
          <w:sz w:val="24"/>
        </w:rPr>
        <w:t xml:space="preserve">设备及管道保温保冷设计导则  GB/T15586-1995 </w:t>
      </w:r>
    </w:p>
    <w:p w14:paraId="384B115D">
      <w:pPr>
        <w:spacing w:line="360" w:lineRule="auto"/>
        <w:ind w:firstLine="480" w:firstLineChars="200"/>
        <w:rPr>
          <w:rFonts w:ascii="宋体" w:hAnsi="宋体"/>
          <w:sz w:val="24"/>
        </w:rPr>
      </w:pPr>
      <w:r>
        <w:rPr>
          <w:rFonts w:hint="eastAsia" w:ascii="宋体" w:hAnsi="宋体"/>
          <w:sz w:val="24"/>
        </w:rPr>
        <w:t>（25）</w:t>
      </w:r>
      <w:r>
        <w:rPr>
          <w:rFonts w:ascii="宋体" w:hAnsi="宋体"/>
          <w:sz w:val="24"/>
        </w:rPr>
        <w:t>设备及管道保冷效果的测试与评价   GB/T 16617-1996</w:t>
      </w:r>
    </w:p>
    <w:p w14:paraId="2945BE13">
      <w:pPr>
        <w:spacing w:line="360" w:lineRule="auto"/>
        <w:ind w:firstLine="480" w:firstLineChars="200"/>
        <w:rPr>
          <w:rFonts w:ascii="宋体" w:hAnsi="宋体"/>
          <w:sz w:val="24"/>
        </w:rPr>
      </w:pPr>
      <w:r>
        <w:rPr>
          <w:rFonts w:hint="eastAsia" w:ascii="宋体" w:hAnsi="宋体"/>
          <w:sz w:val="24"/>
        </w:rPr>
        <w:t>（26）</w:t>
      </w:r>
      <w:r>
        <w:rPr>
          <w:rFonts w:ascii="宋体" w:hAnsi="宋体"/>
          <w:sz w:val="24"/>
        </w:rPr>
        <w:t>设备及管道保温效果的测试与评价  GB/T 8174-1987</w:t>
      </w:r>
    </w:p>
    <w:p w14:paraId="7FEE8633">
      <w:pPr>
        <w:spacing w:line="360" w:lineRule="auto"/>
        <w:ind w:firstLine="480" w:firstLineChars="200"/>
        <w:rPr>
          <w:rFonts w:ascii="宋体" w:hAnsi="宋体"/>
          <w:sz w:val="24"/>
        </w:rPr>
      </w:pPr>
      <w:r>
        <w:rPr>
          <w:rFonts w:hint="eastAsia" w:ascii="宋体" w:hAnsi="宋体"/>
          <w:sz w:val="24"/>
        </w:rPr>
        <w:t>（27）</w:t>
      </w:r>
      <w:r>
        <w:rPr>
          <w:rFonts w:ascii="宋体" w:hAnsi="宋体"/>
          <w:sz w:val="24"/>
        </w:rPr>
        <w:t>清水离心泵能效限定值及节能评价值  GB 19762-2005</w:t>
      </w:r>
    </w:p>
    <w:p w14:paraId="4A3F8AF3">
      <w:pPr>
        <w:spacing w:line="360" w:lineRule="auto"/>
        <w:ind w:firstLine="480" w:firstLineChars="200"/>
        <w:rPr>
          <w:rFonts w:ascii="宋体" w:hAnsi="宋体"/>
          <w:sz w:val="24"/>
        </w:rPr>
      </w:pPr>
      <w:r>
        <w:rPr>
          <w:rFonts w:hint="eastAsia" w:ascii="宋体" w:hAnsi="宋体"/>
          <w:sz w:val="24"/>
        </w:rPr>
        <w:t>（28）</w:t>
      </w:r>
      <w:r>
        <w:rPr>
          <w:rFonts w:ascii="宋体" w:hAnsi="宋体"/>
          <w:sz w:val="24"/>
        </w:rPr>
        <w:t>工业用离心泵、混流泵、轴流泵与旋涡泵系统经济运行  GB/T13469-1992</w:t>
      </w:r>
    </w:p>
    <w:p w14:paraId="71EFE533">
      <w:pPr>
        <w:spacing w:line="360" w:lineRule="auto"/>
        <w:ind w:firstLine="480" w:firstLineChars="200"/>
        <w:rPr>
          <w:rFonts w:ascii="宋体" w:hAnsi="宋体"/>
          <w:sz w:val="24"/>
        </w:rPr>
      </w:pPr>
      <w:r>
        <w:rPr>
          <w:rFonts w:hint="eastAsia" w:ascii="宋体" w:hAnsi="宋体"/>
          <w:sz w:val="24"/>
        </w:rPr>
        <w:t>（29）</w:t>
      </w:r>
      <w:r>
        <w:rPr>
          <w:rFonts w:ascii="宋体" w:hAnsi="宋体"/>
          <w:sz w:val="24"/>
        </w:rPr>
        <w:t>工业设备及管道绝热工程质量检验评定标准  GB 50185-1993</w:t>
      </w:r>
    </w:p>
    <w:p w14:paraId="26C3F8C6">
      <w:pPr>
        <w:spacing w:line="360" w:lineRule="auto"/>
        <w:ind w:firstLine="480" w:firstLineChars="200"/>
        <w:rPr>
          <w:rFonts w:ascii="宋体" w:hAnsi="宋体"/>
          <w:sz w:val="24"/>
        </w:rPr>
      </w:pPr>
      <w:r>
        <w:rPr>
          <w:rFonts w:hint="eastAsia" w:ascii="宋体" w:hAnsi="宋体"/>
          <w:sz w:val="24"/>
        </w:rPr>
        <w:t>（30）</w:t>
      </w:r>
      <w:r>
        <w:rPr>
          <w:rFonts w:ascii="宋体" w:hAnsi="宋体"/>
          <w:sz w:val="24"/>
        </w:rPr>
        <w:t>工业设备及管道绝热工程设计规范  GB50264－1997</w:t>
      </w:r>
    </w:p>
    <w:p w14:paraId="6820F975">
      <w:pPr>
        <w:spacing w:line="360" w:lineRule="auto"/>
        <w:ind w:firstLine="480" w:firstLineChars="200"/>
        <w:rPr>
          <w:rFonts w:ascii="宋体" w:hAnsi="宋体"/>
          <w:sz w:val="24"/>
        </w:rPr>
      </w:pPr>
      <w:r>
        <w:rPr>
          <w:rFonts w:hint="eastAsia" w:ascii="宋体" w:hAnsi="宋体"/>
          <w:sz w:val="24"/>
        </w:rPr>
        <w:t>（31）</w:t>
      </w:r>
      <w:r>
        <w:rPr>
          <w:rFonts w:ascii="宋体" w:hAnsi="宋体"/>
          <w:sz w:val="24"/>
        </w:rPr>
        <w:t>煤炭工业矿井设计规范  GB50215-2005</w:t>
      </w:r>
    </w:p>
    <w:p w14:paraId="745F8B12">
      <w:pPr>
        <w:spacing w:line="360" w:lineRule="auto"/>
        <w:ind w:firstLine="480" w:firstLineChars="200"/>
        <w:rPr>
          <w:rFonts w:ascii="宋体" w:hAnsi="宋体"/>
          <w:sz w:val="24"/>
        </w:rPr>
      </w:pPr>
      <w:r>
        <w:rPr>
          <w:rFonts w:hint="eastAsia" w:ascii="宋体" w:hAnsi="宋体"/>
          <w:sz w:val="24"/>
        </w:rPr>
        <w:t>（32）</w:t>
      </w:r>
      <w:r>
        <w:rPr>
          <w:rFonts w:ascii="宋体" w:hAnsi="宋体"/>
          <w:sz w:val="24"/>
        </w:rPr>
        <w:t>建筑给水排水设计规范  GB50015-2003</w:t>
      </w:r>
    </w:p>
    <w:p w14:paraId="48402BB7">
      <w:pPr>
        <w:spacing w:line="360" w:lineRule="auto"/>
        <w:ind w:firstLine="480" w:firstLineChars="200"/>
        <w:rPr>
          <w:rFonts w:ascii="宋体" w:hAnsi="宋体"/>
          <w:sz w:val="24"/>
        </w:rPr>
      </w:pPr>
      <w:r>
        <w:rPr>
          <w:rFonts w:hint="eastAsia" w:ascii="宋体" w:hAnsi="宋体"/>
          <w:sz w:val="24"/>
        </w:rPr>
        <w:t>（33）</w:t>
      </w:r>
      <w:r>
        <w:rPr>
          <w:rFonts w:ascii="宋体" w:hAnsi="宋体"/>
          <w:sz w:val="24"/>
        </w:rPr>
        <w:t>室外给水设计规范  GB50013-2006</w:t>
      </w:r>
    </w:p>
    <w:p w14:paraId="32C4D81F">
      <w:pPr>
        <w:spacing w:line="360" w:lineRule="auto"/>
        <w:ind w:firstLine="480" w:firstLineChars="200"/>
        <w:rPr>
          <w:rFonts w:ascii="宋体" w:hAnsi="宋体"/>
          <w:sz w:val="24"/>
        </w:rPr>
      </w:pPr>
      <w:r>
        <w:rPr>
          <w:rFonts w:hint="eastAsia" w:ascii="宋体" w:hAnsi="宋体"/>
          <w:sz w:val="24"/>
        </w:rPr>
        <w:t>（34）</w:t>
      </w:r>
      <w:r>
        <w:rPr>
          <w:rFonts w:ascii="宋体" w:hAnsi="宋体"/>
          <w:sz w:val="24"/>
        </w:rPr>
        <w:t>室外排水设计规范  GB50014-2006</w:t>
      </w:r>
    </w:p>
    <w:p w14:paraId="1AC9F750">
      <w:pPr>
        <w:spacing w:line="360" w:lineRule="auto"/>
        <w:ind w:firstLine="480" w:firstLineChars="200"/>
        <w:rPr>
          <w:rFonts w:ascii="宋体" w:hAnsi="宋体"/>
          <w:sz w:val="24"/>
        </w:rPr>
      </w:pPr>
      <w:r>
        <w:rPr>
          <w:rFonts w:hint="eastAsia" w:ascii="宋体" w:hAnsi="宋体"/>
          <w:sz w:val="24"/>
        </w:rPr>
        <w:t>（35）</w:t>
      </w:r>
      <w:r>
        <w:rPr>
          <w:rFonts w:ascii="宋体" w:hAnsi="宋体"/>
          <w:sz w:val="24"/>
        </w:rPr>
        <w:t>煤炭洗选工程设计规范  GB50359-2005</w:t>
      </w:r>
    </w:p>
    <w:p w14:paraId="095502C2">
      <w:pPr>
        <w:spacing w:line="360" w:lineRule="auto"/>
        <w:ind w:firstLine="480" w:firstLineChars="200"/>
        <w:rPr>
          <w:rFonts w:ascii="宋体" w:hAnsi="宋体"/>
          <w:sz w:val="24"/>
        </w:rPr>
      </w:pPr>
      <w:r>
        <w:rPr>
          <w:rFonts w:hint="eastAsia" w:ascii="宋体" w:hAnsi="宋体"/>
          <w:sz w:val="24"/>
        </w:rPr>
        <w:t>（36）</w:t>
      </w:r>
      <w:r>
        <w:rPr>
          <w:rFonts w:ascii="宋体" w:hAnsi="宋体"/>
          <w:sz w:val="24"/>
        </w:rPr>
        <w:t>煤矿井下消防、洒水设计规范  GB50383-2006</w:t>
      </w:r>
    </w:p>
    <w:p w14:paraId="78F3CC60">
      <w:pPr>
        <w:pStyle w:val="4"/>
        <w:keepLines/>
        <w:adjustRightInd w:val="0"/>
        <w:snapToGrid w:val="0"/>
        <w:spacing w:before="240" w:after="240" w:line="360" w:lineRule="auto"/>
        <w:ind w:firstLine="562" w:firstLineChars="200"/>
        <w:jc w:val="both"/>
        <w:rPr>
          <w:b/>
          <w:color w:val="000000"/>
          <w:kern w:val="0"/>
          <w:szCs w:val="20"/>
        </w:rPr>
      </w:pPr>
      <w:bookmarkStart w:id="739" w:name="_Toc217653671"/>
      <w:r>
        <w:rPr>
          <w:rFonts w:hint="eastAsia"/>
          <w:b/>
          <w:color w:val="000000"/>
          <w:kern w:val="0"/>
          <w:szCs w:val="20"/>
        </w:rPr>
        <w:t>三、</w:t>
      </w:r>
      <w:r>
        <w:rPr>
          <w:b/>
          <w:color w:val="000000"/>
          <w:kern w:val="0"/>
          <w:szCs w:val="20"/>
        </w:rPr>
        <w:t>项目能源消耗种类、数量及能源使用分布情况</w:t>
      </w:r>
      <w:bookmarkEnd w:id="739"/>
    </w:p>
    <w:p w14:paraId="4D04A0A1">
      <w:pPr>
        <w:spacing w:line="360" w:lineRule="auto"/>
        <w:ind w:firstLine="480" w:firstLineChars="200"/>
        <w:rPr>
          <w:rFonts w:ascii="宋体" w:hAnsi="宋体"/>
          <w:sz w:val="24"/>
          <w:szCs w:val="20"/>
        </w:rPr>
      </w:pPr>
      <w:bookmarkStart w:id="740" w:name="_Toc217651181"/>
      <w:bookmarkStart w:id="741" w:name="_Toc217653672"/>
      <w:bookmarkStart w:id="742" w:name="_Toc214534191"/>
      <w:bookmarkStart w:id="743" w:name="_Toc214940580"/>
      <w:r>
        <w:rPr>
          <w:rFonts w:hint="eastAsia" w:ascii="宋体" w:hAnsi="宋体"/>
          <w:sz w:val="24"/>
          <w:szCs w:val="20"/>
        </w:rPr>
        <w:t>1、</w:t>
      </w:r>
      <w:r>
        <w:rPr>
          <w:rFonts w:ascii="宋体" w:hAnsi="宋体"/>
          <w:sz w:val="24"/>
          <w:szCs w:val="20"/>
        </w:rPr>
        <w:t>矿井电力使用分布情况</w:t>
      </w:r>
      <w:bookmarkEnd w:id="740"/>
      <w:bookmarkEnd w:id="741"/>
      <w:bookmarkEnd w:id="742"/>
      <w:bookmarkEnd w:id="743"/>
    </w:p>
    <w:p w14:paraId="56DC83CB">
      <w:pPr>
        <w:spacing w:line="360" w:lineRule="auto"/>
        <w:ind w:firstLine="480" w:firstLineChars="200"/>
        <w:rPr>
          <w:rFonts w:hint="eastAsia" w:ascii="宋体" w:hAnsi="宋体"/>
          <w:sz w:val="24"/>
          <w:szCs w:val="20"/>
        </w:rPr>
      </w:pPr>
      <w:r>
        <w:rPr>
          <w:rFonts w:hint="eastAsia" w:ascii="宋体" w:hAnsi="宋体"/>
          <w:sz w:val="24"/>
          <w:szCs w:val="20"/>
        </w:rPr>
        <w:t>水城县玉舍大坪煤矿位于</w:t>
      </w:r>
      <w:r>
        <w:rPr>
          <w:rFonts w:ascii="宋体" w:hAnsi="宋体"/>
          <w:sz w:val="24"/>
          <w:szCs w:val="20"/>
        </w:rPr>
        <w:t>位于水城县玉舍乡</w:t>
      </w:r>
      <w:r>
        <w:rPr>
          <w:rFonts w:hint="eastAsia" w:ascii="宋体" w:hAnsi="宋体"/>
          <w:sz w:val="24"/>
          <w:szCs w:val="20"/>
        </w:rPr>
        <w:t>，属水城矿区</w:t>
      </w:r>
      <w:r>
        <w:rPr>
          <w:rFonts w:hint="eastAsia" w:ascii="宋体" w:hAnsi="宋体"/>
          <w:spacing w:val="10"/>
          <w:sz w:val="24"/>
        </w:rPr>
        <w:t>格目底向斜之南西翼西段</w:t>
      </w:r>
      <w:r>
        <w:rPr>
          <w:rFonts w:hint="eastAsia" w:ascii="宋体" w:hAnsi="宋体"/>
          <w:sz w:val="24"/>
          <w:szCs w:val="20"/>
        </w:rPr>
        <w:t>，该片区目前主要的电源点为</w:t>
      </w:r>
      <w:r>
        <w:rPr>
          <w:rFonts w:hint="eastAsia" w:ascii="宋体" w:hAnsi="宋体"/>
          <w:spacing w:val="8"/>
          <w:sz w:val="24"/>
          <w:szCs w:val="20"/>
        </w:rPr>
        <w:t>玉舍110kV变电站</w:t>
      </w:r>
      <w:r>
        <w:rPr>
          <w:rFonts w:hint="eastAsia" w:ascii="宋体" w:hAnsi="宋体"/>
          <w:sz w:val="24"/>
          <w:szCs w:val="20"/>
        </w:rPr>
        <w:t>。为了配合格目底片区的煤炭开发，解决该片区煤矿双回路供电，距矿井约4km的玉舍110kV变电所现已开工建设，该变电所主变容量设计规模为2×63MVA，110kV电源为开断水城220kV变电所至杨梅110kV变电所的110kV线路，以一回110kV线路与响水电站相连，另以一回110kV线路与威宁石塔水电站相连。</w:t>
      </w:r>
    </w:p>
    <w:p w14:paraId="7FF05E3F">
      <w:pPr>
        <w:spacing w:line="360" w:lineRule="auto"/>
        <w:ind w:firstLine="480" w:firstLineChars="200"/>
        <w:rPr>
          <w:rFonts w:hint="eastAsia" w:ascii="宋体" w:hAnsi="宋体"/>
          <w:sz w:val="24"/>
          <w:szCs w:val="20"/>
        </w:rPr>
      </w:pPr>
      <w:r>
        <w:rPr>
          <w:rFonts w:hint="eastAsia" w:ascii="宋体" w:hAnsi="宋体"/>
          <w:sz w:val="24"/>
          <w:szCs w:val="20"/>
        </w:rPr>
        <w:t>根据本矿的地理位置和负荷情况，玉舍110kV变电所和</w:t>
      </w:r>
      <w:r>
        <w:rPr>
          <w:rFonts w:hint="eastAsia" w:ascii="宋体" w:hAnsi="宋体"/>
          <w:spacing w:val="8"/>
          <w:sz w:val="24"/>
          <w:szCs w:val="20"/>
        </w:rPr>
        <w:t>勺米35kV变电站</w:t>
      </w:r>
      <w:r>
        <w:rPr>
          <w:rFonts w:hint="eastAsia" w:ascii="宋体" w:hAnsi="宋体"/>
          <w:sz w:val="24"/>
          <w:szCs w:val="20"/>
        </w:rPr>
        <w:t>作为本矿的供电电源，电源可靠，矿井开发在电力上是有保障的。</w:t>
      </w:r>
    </w:p>
    <w:p w14:paraId="2A8348B2">
      <w:pPr>
        <w:spacing w:line="360" w:lineRule="auto"/>
        <w:ind w:firstLine="480" w:firstLineChars="200"/>
        <w:rPr>
          <w:rFonts w:ascii="宋体" w:hAnsi="宋体"/>
          <w:sz w:val="24"/>
        </w:rPr>
      </w:pPr>
      <w:bookmarkStart w:id="744" w:name="_Toc214534192"/>
      <w:bookmarkStart w:id="745" w:name="_Toc214940581"/>
      <w:bookmarkStart w:id="746" w:name="_Toc217651182"/>
      <w:bookmarkStart w:id="747" w:name="_Toc217653673"/>
      <w:r>
        <w:rPr>
          <w:rFonts w:hint="eastAsia" w:ascii="宋体" w:hAnsi="宋体"/>
          <w:sz w:val="24"/>
        </w:rPr>
        <w:t>2、</w:t>
      </w:r>
      <w:r>
        <w:rPr>
          <w:rFonts w:ascii="宋体" w:hAnsi="宋体"/>
          <w:sz w:val="24"/>
        </w:rPr>
        <w:t>矿井水源使用分布情况</w:t>
      </w:r>
      <w:bookmarkEnd w:id="744"/>
      <w:bookmarkEnd w:id="745"/>
      <w:bookmarkEnd w:id="746"/>
      <w:bookmarkEnd w:id="747"/>
    </w:p>
    <w:p w14:paraId="10F3F520">
      <w:pPr>
        <w:spacing w:line="360" w:lineRule="auto"/>
        <w:ind w:firstLine="480" w:firstLineChars="200"/>
        <w:rPr>
          <w:rFonts w:ascii="宋体" w:hAnsi="宋体"/>
          <w:sz w:val="24"/>
        </w:rPr>
      </w:pPr>
      <w:r>
        <w:rPr>
          <w:rFonts w:ascii="宋体" w:hAnsi="宋体"/>
          <w:sz w:val="24"/>
        </w:rPr>
        <w:t>供水系统消耗的能源主要是电能，用电设备主要有水源取水泵、井下水处理站提升泵及设备。</w:t>
      </w:r>
    </w:p>
    <w:p w14:paraId="135A0DF2">
      <w:pPr>
        <w:spacing w:line="360" w:lineRule="auto"/>
        <w:ind w:firstLine="480" w:firstLineChars="200"/>
        <w:rPr>
          <w:rFonts w:ascii="宋体" w:hAnsi="宋体"/>
          <w:sz w:val="24"/>
        </w:rPr>
      </w:pPr>
      <w:r>
        <w:rPr>
          <w:rFonts w:ascii="宋体" w:hAnsi="宋体"/>
          <w:sz w:val="24"/>
        </w:rPr>
        <w:t>用水对象主要为生活用水、食堂用水、洗衣用水、洗浴用水、瓦斯抽放泵房循环用水、井下生产用水、地面生产系统防尘用水、绿化及浇洒道路用水等。</w:t>
      </w:r>
    </w:p>
    <w:p w14:paraId="53E77A79">
      <w:pPr>
        <w:spacing w:line="360" w:lineRule="auto"/>
        <w:ind w:firstLine="480" w:firstLineChars="200"/>
        <w:rPr>
          <w:rFonts w:ascii="宋体" w:hAnsi="宋体"/>
          <w:sz w:val="24"/>
        </w:rPr>
      </w:pPr>
      <w:bookmarkStart w:id="748" w:name="_Toc214940582"/>
      <w:bookmarkStart w:id="749" w:name="_Toc214534193"/>
      <w:bookmarkStart w:id="750" w:name="_Toc217651183"/>
      <w:r>
        <w:rPr>
          <w:rFonts w:hint="eastAsia" w:ascii="宋体" w:hAnsi="宋体"/>
          <w:sz w:val="24"/>
        </w:rPr>
        <w:t>3、</w:t>
      </w:r>
      <w:r>
        <w:rPr>
          <w:rFonts w:ascii="宋体" w:hAnsi="宋体"/>
          <w:sz w:val="24"/>
        </w:rPr>
        <w:t>煤层气资源使用情况</w:t>
      </w:r>
      <w:bookmarkEnd w:id="748"/>
      <w:bookmarkEnd w:id="749"/>
      <w:bookmarkEnd w:id="750"/>
    </w:p>
    <w:p w14:paraId="38A645B4">
      <w:pPr>
        <w:spacing w:line="360" w:lineRule="auto"/>
        <w:ind w:firstLine="480" w:firstLineChars="200"/>
        <w:rPr>
          <w:rFonts w:ascii="宋体" w:hAnsi="宋体"/>
          <w:sz w:val="24"/>
        </w:rPr>
      </w:pPr>
      <w:r>
        <w:rPr>
          <w:rFonts w:hint="eastAsia" w:ascii="宋体" w:hAnsi="宋体"/>
          <w:sz w:val="24"/>
        </w:rPr>
        <w:t>瓦斯是一种能源，若将其排空不仅是一种浪费，而且污染大气环境，造成温室气体。必须正确认识瓦斯治理与综合利用是实现煤矿高产高效的重要途径，是实现煤炭工业安全、清洁、可持续发展的必由之路。</w:t>
      </w:r>
      <w:r>
        <w:rPr>
          <w:rFonts w:ascii="宋体" w:hAnsi="宋体"/>
          <w:sz w:val="24"/>
        </w:rPr>
        <w:t>瓦斯的主要成分甲烷（CH4）是很好的燃料，它是一种优质卫生的能源，1m</w:t>
      </w:r>
      <w:r>
        <w:rPr>
          <w:rFonts w:ascii="宋体" w:hAnsi="宋体"/>
          <w:sz w:val="24"/>
          <w:vertAlign w:val="superscript"/>
        </w:rPr>
        <w:t>3</w:t>
      </w:r>
      <w:r>
        <w:rPr>
          <w:rFonts w:ascii="宋体" w:hAnsi="宋体"/>
          <w:sz w:val="24"/>
        </w:rPr>
        <w:t>纯甲烷（浓度100%）发热量约35.19MJ，如果矿井把抽出的加以利用而不直接</w:t>
      </w:r>
      <w:r>
        <w:rPr>
          <w:rFonts w:hint="eastAsia" w:ascii="宋体" w:hAnsi="宋体"/>
          <w:sz w:val="24"/>
        </w:rPr>
        <w:t>排</w:t>
      </w:r>
      <w:r>
        <w:rPr>
          <w:rFonts w:ascii="宋体" w:hAnsi="宋体"/>
          <w:sz w:val="24"/>
        </w:rPr>
        <w:t>空，能大大降低矿井对社会能源（电力等）的需求，减少矿井的资金投入，增加矿井的经济效益。同时，瓦斯中的甲烷是一种仅次于氟利昂占第二位的重要温室气体，能破坏大气的臭氧层，根据气候变迁国际委员会研究报告，其温室效应是CO</w:t>
      </w:r>
      <w:r>
        <w:rPr>
          <w:rFonts w:ascii="宋体" w:hAnsi="宋体"/>
          <w:sz w:val="24"/>
          <w:vertAlign w:val="subscript"/>
        </w:rPr>
        <w:t>2</w:t>
      </w:r>
      <w:r>
        <w:rPr>
          <w:rFonts w:ascii="宋体" w:hAnsi="宋体"/>
          <w:sz w:val="24"/>
        </w:rPr>
        <w:t>的21倍。大量的瓦斯排入大气，使地球表面余热通过大气层向宇宙空间散发的“热阻”增大，从而增强地球表面的温室效应，导致全球变暖，破坏了地球的生态环境。</w:t>
      </w:r>
    </w:p>
    <w:p w14:paraId="3D3511E3">
      <w:pPr>
        <w:spacing w:line="360" w:lineRule="auto"/>
        <w:ind w:firstLine="480" w:firstLineChars="200"/>
        <w:rPr>
          <w:rFonts w:hint="eastAsia" w:ascii="宋体" w:hAnsi="宋体"/>
          <w:sz w:val="24"/>
        </w:rPr>
      </w:pPr>
      <w:r>
        <w:rPr>
          <w:rFonts w:ascii="宋体" w:hAnsi="宋体"/>
          <w:sz w:val="24"/>
        </w:rPr>
        <w:t>目前利用瓦斯的方式</w:t>
      </w:r>
      <w:r>
        <w:rPr>
          <w:rFonts w:hint="eastAsia" w:ascii="宋体" w:hAnsi="宋体"/>
          <w:sz w:val="24"/>
        </w:rPr>
        <w:t>有</w:t>
      </w:r>
      <w:r>
        <w:rPr>
          <w:rFonts w:ascii="宋体" w:hAnsi="宋体"/>
          <w:sz w:val="24"/>
        </w:rPr>
        <w:t>：作为工业或民用燃料直接加热、作为化工原料和燃气发电等。结合本矿实际确定本矿一期的瓦斯利用方案为：在风井场地建立瓦斯抽放站，</w:t>
      </w:r>
      <w:r>
        <w:rPr>
          <w:rFonts w:hint="eastAsia" w:ascii="宋体" w:hAnsi="宋体"/>
          <w:sz w:val="24"/>
        </w:rPr>
        <w:t>初期将</w:t>
      </w:r>
      <w:r>
        <w:rPr>
          <w:rFonts w:ascii="宋体" w:hAnsi="宋体"/>
          <w:sz w:val="24"/>
        </w:rPr>
        <w:t>矿井的高负压抽放的瓦斯一部分用于作民</w:t>
      </w:r>
      <w:r>
        <w:rPr>
          <w:rFonts w:hint="eastAsia" w:ascii="宋体" w:hAnsi="宋体"/>
          <w:sz w:val="24"/>
        </w:rPr>
        <w:t>用</w:t>
      </w:r>
      <w:r>
        <w:rPr>
          <w:rFonts w:ascii="宋体" w:hAnsi="宋体"/>
          <w:sz w:val="24"/>
        </w:rPr>
        <w:t>燃料用，</w:t>
      </w:r>
      <w:r>
        <w:rPr>
          <w:rFonts w:hint="eastAsia" w:ascii="宋体" w:hAnsi="宋体"/>
          <w:sz w:val="24"/>
        </w:rPr>
        <w:t>另</w:t>
      </w:r>
      <w:r>
        <w:rPr>
          <w:rFonts w:ascii="宋体" w:hAnsi="宋体"/>
          <w:sz w:val="24"/>
        </w:rPr>
        <w:t>一部作燃气蒸汽锅炉的燃料</w:t>
      </w:r>
      <w:r>
        <w:rPr>
          <w:rFonts w:hint="eastAsia" w:ascii="宋体" w:hAnsi="宋体"/>
          <w:sz w:val="24"/>
        </w:rPr>
        <w:t>；二期则在此基础上，进一步考虑</w:t>
      </w:r>
      <w:r>
        <w:rPr>
          <w:rFonts w:ascii="宋体" w:hAnsi="宋体"/>
          <w:sz w:val="24"/>
        </w:rPr>
        <w:t>将抽放的</w:t>
      </w:r>
      <w:r>
        <w:rPr>
          <w:rFonts w:hint="eastAsia" w:ascii="宋体" w:hAnsi="宋体"/>
          <w:sz w:val="24"/>
        </w:rPr>
        <w:t>高低负压</w:t>
      </w:r>
      <w:r>
        <w:rPr>
          <w:rFonts w:ascii="宋体" w:hAnsi="宋体"/>
          <w:sz w:val="24"/>
        </w:rPr>
        <w:t>瓦斯用于发电</w:t>
      </w:r>
      <w:r>
        <w:rPr>
          <w:rFonts w:hint="eastAsia" w:ascii="宋体" w:hAnsi="宋体"/>
          <w:sz w:val="24"/>
        </w:rPr>
        <w:t>。</w:t>
      </w:r>
    </w:p>
    <w:p w14:paraId="76854701">
      <w:pPr>
        <w:spacing w:line="360" w:lineRule="auto"/>
        <w:ind w:firstLine="480" w:firstLineChars="200"/>
        <w:rPr>
          <w:rFonts w:ascii="宋体" w:hAnsi="宋体"/>
          <w:sz w:val="24"/>
        </w:rPr>
      </w:pPr>
      <w:r>
        <w:rPr>
          <w:rFonts w:hint="eastAsia" w:ascii="宋体" w:hAnsi="宋体"/>
          <w:sz w:val="24"/>
        </w:rPr>
        <w:t>（1）</w:t>
      </w:r>
      <w:r>
        <w:rPr>
          <w:rFonts w:ascii="宋体" w:hAnsi="宋体"/>
          <w:sz w:val="24"/>
        </w:rPr>
        <w:t>估计矿井瓦斯抽放量</w:t>
      </w:r>
    </w:p>
    <w:p w14:paraId="468ABC65">
      <w:pPr>
        <w:spacing w:line="360" w:lineRule="auto"/>
        <w:ind w:firstLine="480" w:firstLineChars="200"/>
        <w:rPr>
          <w:rFonts w:ascii="宋体" w:hAnsi="宋体"/>
          <w:sz w:val="24"/>
        </w:rPr>
      </w:pPr>
      <w:r>
        <w:rPr>
          <w:rFonts w:ascii="宋体" w:hAnsi="宋体"/>
          <w:color w:val="FF0000"/>
          <w:sz w:val="24"/>
        </w:rPr>
        <w:t>抽</w:t>
      </w:r>
      <w:r>
        <w:rPr>
          <w:rFonts w:ascii="宋体" w:hAnsi="宋体"/>
          <w:sz w:val="24"/>
        </w:rPr>
        <w:t>放纯量：Q＝</w:t>
      </w:r>
      <w:r>
        <w:rPr>
          <w:rFonts w:hint="eastAsia" w:ascii="宋体" w:hAnsi="宋体"/>
          <w:sz w:val="24"/>
        </w:rPr>
        <w:t>17.8</w:t>
      </w:r>
      <w:r>
        <w:rPr>
          <w:rFonts w:ascii="宋体" w:hAnsi="宋体"/>
          <w:sz w:val="24"/>
        </w:rPr>
        <w:t>m</w:t>
      </w:r>
      <w:r>
        <w:rPr>
          <w:rFonts w:ascii="宋体" w:hAnsi="宋体"/>
          <w:sz w:val="24"/>
          <w:vertAlign w:val="superscript"/>
        </w:rPr>
        <w:t>3</w:t>
      </w:r>
      <w:r>
        <w:rPr>
          <w:rFonts w:ascii="宋体" w:hAnsi="宋体"/>
          <w:sz w:val="24"/>
        </w:rPr>
        <w:t>/min，（其中：高负压</w:t>
      </w:r>
      <w:r>
        <w:rPr>
          <w:rFonts w:hint="eastAsia" w:ascii="宋体" w:hAnsi="宋体"/>
          <w:sz w:val="24"/>
        </w:rPr>
        <w:t>10</w:t>
      </w:r>
      <w:r>
        <w:rPr>
          <w:rFonts w:ascii="宋体" w:hAnsi="宋体"/>
          <w:sz w:val="24"/>
        </w:rPr>
        <w:t>m</w:t>
      </w:r>
      <w:r>
        <w:rPr>
          <w:rFonts w:ascii="宋体" w:hAnsi="宋体"/>
          <w:sz w:val="24"/>
          <w:vertAlign w:val="superscript"/>
        </w:rPr>
        <w:t>3</w:t>
      </w:r>
      <w:r>
        <w:rPr>
          <w:rFonts w:ascii="宋体" w:hAnsi="宋体"/>
          <w:sz w:val="24"/>
        </w:rPr>
        <w:t>/min，低负压</w:t>
      </w:r>
      <w:r>
        <w:rPr>
          <w:rFonts w:hint="eastAsia" w:ascii="宋体" w:hAnsi="宋体"/>
          <w:sz w:val="24"/>
        </w:rPr>
        <w:t>7.8</w:t>
      </w:r>
      <w:r>
        <w:rPr>
          <w:rFonts w:ascii="宋体" w:hAnsi="宋体"/>
          <w:sz w:val="24"/>
        </w:rPr>
        <w:t>m</w:t>
      </w:r>
      <w:r>
        <w:rPr>
          <w:rFonts w:ascii="宋体" w:hAnsi="宋体"/>
          <w:sz w:val="24"/>
          <w:vertAlign w:val="superscript"/>
        </w:rPr>
        <w:t>3</w:t>
      </w:r>
      <w:r>
        <w:rPr>
          <w:rFonts w:ascii="宋体" w:hAnsi="宋体"/>
          <w:sz w:val="24"/>
        </w:rPr>
        <w:t>/min），抽放瓦斯浓度：高负压</w:t>
      </w:r>
      <w:r>
        <w:rPr>
          <w:rFonts w:hint="eastAsia" w:ascii="宋体" w:hAnsi="宋体"/>
          <w:sz w:val="24"/>
        </w:rPr>
        <w:t>3</w:t>
      </w:r>
      <w:r>
        <w:rPr>
          <w:rFonts w:ascii="宋体" w:hAnsi="宋体"/>
          <w:sz w:val="24"/>
        </w:rPr>
        <w:t>0％、</w:t>
      </w:r>
      <w:r>
        <w:rPr>
          <w:rFonts w:hint="eastAsia" w:ascii="宋体" w:hAnsi="宋体"/>
          <w:sz w:val="24"/>
        </w:rPr>
        <w:t>20</w:t>
      </w:r>
      <w:r>
        <w:rPr>
          <w:rFonts w:ascii="宋体" w:hAnsi="宋体"/>
          <w:sz w:val="24"/>
        </w:rPr>
        <w:t>％；</w:t>
      </w:r>
    </w:p>
    <w:p w14:paraId="62CB450D">
      <w:pPr>
        <w:spacing w:line="360" w:lineRule="auto"/>
        <w:ind w:firstLine="480" w:firstLineChars="200"/>
        <w:rPr>
          <w:rFonts w:ascii="宋体" w:hAnsi="宋体"/>
          <w:sz w:val="24"/>
        </w:rPr>
      </w:pPr>
      <w:bookmarkStart w:id="751" w:name="_Toc214534194"/>
      <w:bookmarkStart w:id="752" w:name="_Toc214940583"/>
      <w:bookmarkStart w:id="753" w:name="_Toc217653674"/>
      <w:bookmarkStart w:id="754" w:name="_Toc217651184"/>
      <w:r>
        <w:rPr>
          <w:rFonts w:hint="eastAsia" w:ascii="宋体" w:hAnsi="宋体"/>
          <w:sz w:val="24"/>
        </w:rPr>
        <w:t>（2）</w:t>
      </w:r>
      <w:r>
        <w:rPr>
          <w:rFonts w:ascii="宋体" w:hAnsi="宋体"/>
          <w:sz w:val="24"/>
        </w:rPr>
        <w:t>民用瓦斯</w:t>
      </w:r>
      <w:bookmarkEnd w:id="751"/>
      <w:bookmarkEnd w:id="752"/>
      <w:bookmarkEnd w:id="753"/>
      <w:bookmarkEnd w:id="754"/>
    </w:p>
    <w:p w14:paraId="52563ED4">
      <w:pPr>
        <w:spacing w:line="360" w:lineRule="auto"/>
        <w:ind w:firstLine="480" w:firstLineChars="200"/>
        <w:rPr>
          <w:rFonts w:ascii="宋体" w:hAnsi="宋体"/>
          <w:sz w:val="24"/>
        </w:rPr>
      </w:pPr>
      <w:r>
        <w:rPr>
          <w:rFonts w:hint="eastAsia" w:ascii="宋体" w:hAnsi="宋体"/>
          <w:sz w:val="24"/>
        </w:rPr>
        <w:t>矿井不设集中的居住区，</w:t>
      </w:r>
      <w:r>
        <w:rPr>
          <w:rFonts w:ascii="宋体" w:hAnsi="宋体"/>
          <w:sz w:val="24"/>
        </w:rPr>
        <w:t>据调查需要用气的</w:t>
      </w:r>
      <w:r>
        <w:rPr>
          <w:rFonts w:hint="eastAsia" w:ascii="宋体" w:hAnsi="宋体"/>
          <w:sz w:val="24"/>
        </w:rPr>
        <w:t>主要为职工和部分家属，</w:t>
      </w:r>
      <w:r>
        <w:rPr>
          <w:rFonts w:ascii="宋体" w:hAnsi="宋体"/>
          <w:sz w:val="24"/>
        </w:rPr>
        <w:t>大约为</w:t>
      </w:r>
      <w:r>
        <w:rPr>
          <w:rFonts w:hint="eastAsia" w:ascii="宋体" w:hAnsi="宋体"/>
          <w:sz w:val="24"/>
        </w:rPr>
        <w:t>600</w:t>
      </w:r>
      <w:r>
        <w:rPr>
          <w:rFonts w:ascii="宋体" w:hAnsi="宋体"/>
          <w:sz w:val="24"/>
        </w:rPr>
        <w:t>人。民用瓦斯</w:t>
      </w:r>
      <w:r>
        <w:rPr>
          <w:rFonts w:hint="eastAsia" w:ascii="宋体" w:hAnsi="宋体"/>
          <w:sz w:val="24"/>
        </w:rPr>
        <w:t>主要为职工食堂，</w:t>
      </w:r>
      <w:r>
        <w:rPr>
          <w:rFonts w:ascii="宋体" w:hAnsi="宋体"/>
          <w:sz w:val="24"/>
        </w:rPr>
        <w:t>按0.</w:t>
      </w:r>
      <w:r>
        <w:rPr>
          <w:rFonts w:hint="eastAsia" w:ascii="宋体" w:hAnsi="宋体"/>
          <w:sz w:val="24"/>
        </w:rPr>
        <w:t>243</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人</w:t>
      </w:r>
      <w:r>
        <w:rPr>
          <w:rFonts w:ascii="宋体" w:hAnsi="宋体"/>
          <w:sz w:val="24"/>
        </w:rPr>
        <w:t>·d) （纯量）计算，每天用瓦斯纯量约为</w:t>
      </w:r>
      <w:r>
        <w:rPr>
          <w:rFonts w:hint="eastAsia" w:ascii="宋体" w:hAnsi="宋体"/>
          <w:sz w:val="24"/>
        </w:rPr>
        <w:t>146</w:t>
      </w:r>
      <w:r>
        <w:rPr>
          <w:rFonts w:ascii="宋体" w:hAnsi="宋体"/>
          <w:sz w:val="24"/>
        </w:rPr>
        <w:t>m</w:t>
      </w:r>
      <w:r>
        <w:rPr>
          <w:rFonts w:ascii="宋体" w:hAnsi="宋体"/>
          <w:sz w:val="24"/>
          <w:vertAlign w:val="superscript"/>
        </w:rPr>
        <w:t>3</w:t>
      </w:r>
      <w:r>
        <w:rPr>
          <w:rFonts w:ascii="宋体" w:hAnsi="宋体"/>
          <w:sz w:val="24"/>
        </w:rPr>
        <w:t>，折算为浓度40%的瓦斯每天消耗量约为</w:t>
      </w:r>
      <w:r>
        <w:rPr>
          <w:rFonts w:hint="eastAsia" w:ascii="宋体" w:hAnsi="宋体"/>
          <w:sz w:val="24"/>
        </w:rPr>
        <w:t>365</w:t>
      </w:r>
      <w:r>
        <w:rPr>
          <w:rFonts w:ascii="宋体" w:hAnsi="宋体"/>
          <w:sz w:val="24"/>
        </w:rPr>
        <w:t>m</w:t>
      </w:r>
      <w:r>
        <w:rPr>
          <w:rFonts w:ascii="宋体" w:hAnsi="宋体"/>
          <w:sz w:val="24"/>
          <w:vertAlign w:val="superscript"/>
        </w:rPr>
        <w:t>3</w:t>
      </w:r>
      <w:r>
        <w:rPr>
          <w:rFonts w:ascii="宋体" w:hAnsi="宋体"/>
          <w:sz w:val="24"/>
        </w:rPr>
        <w:t>。</w:t>
      </w:r>
    </w:p>
    <w:p w14:paraId="36EC20E0">
      <w:pPr>
        <w:spacing w:line="360" w:lineRule="auto"/>
        <w:ind w:firstLine="480" w:firstLineChars="200"/>
        <w:rPr>
          <w:rFonts w:ascii="宋体" w:hAnsi="宋体"/>
          <w:sz w:val="24"/>
        </w:rPr>
      </w:pPr>
      <w:bookmarkStart w:id="755" w:name="_Toc217653675"/>
      <w:bookmarkStart w:id="756" w:name="_Toc214534195"/>
      <w:bookmarkStart w:id="757" w:name="_Toc214940584"/>
      <w:bookmarkStart w:id="758" w:name="_Toc217651185"/>
      <w:r>
        <w:rPr>
          <w:rFonts w:hint="eastAsia" w:ascii="宋体" w:hAnsi="宋体"/>
          <w:sz w:val="24"/>
        </w:rPr>
        <w:t>（3）</w:t>
      </w:r>
      <w:r>
        <w:rPr>
          <w:rFonts w:ascii="宋体" w:hAnsi="宋体"/>
          <w:sz w:val="24"/>
        </w:rPr>
        <w:t>燃气蒸汽锅炉用瓦斯</w:t>
      </w:r>
      <w:bookmarkEnd w:id="755"/>
      <w:bookmarkEnd w:id="756"/>
      <w:bookmarkEnd w:id="757"/>
      <w:bookmarkEnd w:id="758"/>
    </w:p>
    <w:p w14:paraId="54AB18A8">
      <w:pPr>
        <w:spacing w:line="360" w:lineRule="auto"/>
        <w:ind w:firstLine="480" w:firstLineChars="200"/>
        <w:rPr>
          <w:rFonts w:hint="eastAsia" w:ascii="宋体" w:hAnsi="宋体"/>
          <w:sz w:val="24"/>
        </w:rPr>
      </w:pPr>
      <w:r>
        <w:rPr>
          <w:rFonts w:ascii="宋体" w:hAnsi="宋体"/>
          <w:sz w:val="24"/>
        </w:rPr>
        <w:t>矿井安装燃气蒸汽锅炉WNS10</w:t>
      </w:r>
      <w:r>
        <w:rPr>
          <w:rFonts w:hint="eastAsia" w:ascii="宋体" w:hAnsi="宋体"/>
          <w:sz w:val="24"/>
        </w:rPr>
        <w:t>一</w:t>
      </w:r>
      <w:r>
        <w:rPr>
          <w:rFonts w:ascii="宋体" w:hAnsi="宋体"/>
          <w:sz w:val="24"/>
        </w:rPr>
        <w:t>台，燃气消耗量724m</w:t>
      </w:r>
      <w:r>
        <w:rPr>
          <w:rFonts w:ascii="宋体" w:hAnsi="宋体"/>
          <w:sz w:val="24"/>
          <w:vertAlign w:val="superscript"/>
        </w:rPr>
        <w:t>3</w:t>
      </w:r>
      <w:r>
        <w:rPr>
          <w:rFonts w:ascii="宋体" w:hAnsi="宋体"/>
          <w:sz w:val="24"/>
        </w:rPr>
        <w:t>/h(燃气发热量8.9Mcal/m</w:t>
      </w:r>
      <w:r>
        <w:rPr>
          <w:rFonts w:ascii="宋体" w:hAnsi="宋体"/>
          <w:sz w:val="24"/>
          <w:vertAlign w:val="superscript"/>
        </w:rPr>
        <w:t>3</w:t>
      </w:r>
      <w:r>
        <w:rPr>
          <w:rFonts w:ascii="宋体" w:hAnsi="宋体"/>
          <w:sz w:val="24"/>
        </w:rPr>
        <w:t>，采暖期工作16h/天，非采暖期工作12h/天)，每天消耗纯瓦斯量约为</w:t>
      </w:r>
      <w:r>
        <w:rPr>
          <w:rFonts w:hint="eastAsia" w:ascii="宋体" w:hAnsi="宋体"/>
          <w:sz w:val="24"/>
        </w:rPr>
        <w:t>9860</w:t>
      </w:r>
      <w:r>
        <w:rPr>
          <w:rFonts w:ascii="宋体" w:hAnsi="宋体"/>
          <w:sz w:val="24"/>
        </w:rPr>
        <w:t>m</w:t>
      </w:r>
      <w:r>
        <w:rPr>
          <w:rFonts w:ascii="宋体" w:hAnsi="宋体"/>
          <w:sz w:val="24"/>
          <w:vertAlign w:val="superscript"/>
        </w:rPr>
        <w:t>3</w:t>
      </w:r>
      <w:r>
        <w:rPr>
          <w:rFonts w:ascii="宋体" w:hAnsi="宋体"/>
          <w:sz w:val="24"/>
        </w:rPr>
        <w:t>，折算为浓度40%的瓦斯每天消耗量约为</w:t>
      </w:r>
      <w:r>
        <w:rPr>
          <w:rFonts w:hint="eastAsia" w:ascii="宋体" w:hAnsi="宋体"/>
          <w:sz w:val="24"/>
        </w:rPr>
        <w:t>24650</w:t>
      </w:r>
      <w:r>
        <w:rPr>
          <w:rFonts w:ascii="宋体" w:hAnsi="宋体"/>
          <w:sz w:val="24"/>
        </w:rPr>
        <w:t>m</w:t>
      </w:r>
      <w:r>
        <w:rPr>
          <w:rFonts w:ascii="宋体" w:hAnsi="宋体"/>
          <w:sz w:val="24"/>
          <w:vertAlign w:val="superscript"/>
        </w:rPr>
        <w:t>3</w:t>
      </w:r>
      <w:r>
        <w:rPr>
          <w:rFonts w:hint="eastAsia" w:ascii="宋体" w:hAnsi="宋体"/>
          <w:sz w:val="24"/>
        </w:rPr>
        <w:t>。</w:t>
      </w:r>
    </w:p>
    <w:p w14:paraId="53588934">
      <w:pPr>
        <w:pStyle w:val="24"/>
        <w:spacing w:line="360" w:lineRule="auto"/>
        <w:ind w:left="0" w:leftChars="0" w:firstLine="480" w:firstLineChars="200"/>
        <w:rPr>
          <w:rFonts w:ascii="宋体" w:hAnsi="宋体"/>
          <w:sz w:val="24"/>
        </w:rPr>
      </w:pPr>
      <w:r>
        <w:rPr>
          <w:rFonts w:hint="eastAsia" w:ascii="宋体" w:hAnsi="宋体"/>
          <w:sz w:val="24"/>
        </w:rPr>
        <w:t>上述两项，全矿初期</w:t>
      </w:r>
      <w:r>
        <w:rPr>
          <w:rFonts w:ascii="宋体" w:hAnsi="宋体"/>
          <w:sz w:val="24"/>
        </w:rPr>
        <w:t>每天消耗浓度</w:t>
      </w:r>
      <w:r>
        <w:rPr>
          <w:rFonts w:hint="eastAsia" w:ascii="宋体" w:hAnsi="宋体"/>
          <w:sz w:val="24"/>
        </w:rPr>
        <w:t>为</w:t>
      </w:r>
      <w:r>
        <w:rPr>
          <w:rFonts w:ascii="宋体" w:hAnsi="宋体"/>
          <w:sz w:val="24"/>
        </w:rPr>
        <w:t>40%的瓦斯量约为</w:t>
      </w:r>
      <w:r>
        <w:rPr>
          <w:rFonts w:hint="eastAsia" w:ascii="宋体" w:hAnsi="宋体"/>
          <w:sz w:val="24"/>
        </w:rPr>
        <w:t>25015</w:t>
      </w:r>
      <w:r>
        <w:rPr>
          <w:rFonts w:ascii="宋体" w:hAnsi="宋体"/>
          <w:sz w:val="24"/>
        </w:rPr>
        <w:t>m</w:t>
      </w:r>
      <w:r>
        <w:rPr>
          <w:rFonts w:ascii="宋体" w:hAnsi="宋体"/>
          <w:sz w:val="24"/>
          <w:vertAlign w:val="superscript"/>
        </w:rPr>
        <w:t>3</w:t>
      </w:r>
      <w:r>
        <w:rPr>
          <w:rFonts w:hint="eastAsia" w:ascii="宋体" w:hAnsi="宋体"/>
          <w:sz w:val="24"/>
        </w:rPr>
        <w:t>，而矿井高负压抽出的</w:t>
      </w:r>
      <w:r>
        <w:rPr>
          <w:rFonts w:ascii="宋体" w:hAnsi="宋体"/>
          <w:sz w:val="24"/>
        </w:rPr>
        <w:t>瓦斯量为</w:t>
      </w:r>
      <w:r>
        <w:rPr>
          <w:rFonts w:hint="eastAsia" w:ascii="宋体" w:hAnsi="宋体"/>
          <w:sz w:val="24"/>
        </w:rPr>
        <w:t>25920</w:t>
      </w:r>
      <w:r>
        <w:rPr>
          <w:rFonts w:ascii="宋体" w:hAnsi="宋体"/>
          <w:sz w:val="24"/>
        </w:rPr>
        <w:t>m</w:t>
      </w:r>
      <w:r>
        <w:rPr>
          <w:rFonts w:ascii="宋体" w:hAnsi="宋体"/>
          <w:sz w:val="24"/>
          <w:vertAlign w:val="superscript"/>
        </w:rPr>
        <w:t>3</w:t>
      </w:r>
      <w:r>
        <w:rPr>
          <w:rFonts w:hint="eastAsia" w:ascii="宋体" w:hAnsi="宋体"/>
          <w:sz w:val="24"/>
        </w:rPr>
        <w:t>。</w:t>
      </w:r>
      <w:r>
        <w:rPr>
          <w:rFonts w:hint="eastAsia" w:ascii="宋体" w:hAnsi="宋体"/>
          <w:kern w:val="0"/>
          <w:sz w:val="24"/>
          <w:szCs w:val="20"/>
        </w:rPr>
        <w:t>基本平衡。如有富余，</w:t>
      </w:r>
      <w:r>
        <w:rPr>
          <w:rFonts w:hint="eastAsia" w:ascii="宋体" w:hAnsi="宋体"/>
          <w:sz w:val="24"/>
        </w:rPr>
        <w:t>设计</w:t>
      </w:r>
      <w:r>
        <w:rPr>
          <w:rFonts w:ascii="宋体" w:hAnsi="宋体"/>
          <w:sz w:val="24"/>
        </w:rPr>
        <w:t>配螺旋导轨式储气罐20000m</w:t>
      </w:r>
      <w:r>
        <w:rPr>
          <w:rFonts w:ascii="宋体" w:hAnsi="宋体"/>
          <w:sz w:val="24"/>
          <w:vertAlign w:val="superscript"/>
        </w:rPr>
        <w:t>3</w:t>
      </w:r>
      <w:r>
        <w:rPr>
          <w:rFonts w:ascii="宋体" w:hAnsi="宋体"/>
          <w:sz w:val="24"/>
        </w:rPr>
        <w:t>一个，作燃气锅炉的用瓦斯气缓冲，保证连续、稳定供瓦斯气用。</w:t>
      </w:r>
    </w:p>
    <w:p w14:paraId="27D9DE78">
      <w:pPr>
        <w:pStyle w:val="24"/>
        <w:spacing w:line="360" w:lineRule="auto"/>
        <w:ind w:left="0" w:leftChars="0" w:firstLine="480" w:firstLineChars="200"/>
        <w:rPr>
          <w:rFonts w:ascii="宋体" w:hAnsi="宋体"/>
          <w:sz w:val="24"/>
        </w:rPr>
      </w:pPr>
      <w:r>
        <w:rPr>
          <w:rFonts w:hint="eastAsia" w:ascii="宋体" w:hAnsi="宋体"/>
          <w:sz w:val="24"/>
        </w:rPr>
        <w:t>（4）</w:t>
      </w:r>
      <w:r>
        <w:rPr>
          <w:rFonts w:ascii="宋体" w:hAnsi="宋体"/>
          <w:sz w:val="24"/>
        </w:rPr>
        <w:t>瓦斯发电</w:t>
      </w:r>
    </w:p>
    <w:p w14:paraId="5FD0DA7F">
      <w:pPr>
        <w:pStyle w:val="24"/>
        <w:spacing w:line="360" w:lineRule="auto"/>
        <w:ind w:left="0" w:leftChars="0" w:firstLine="480" w:firstLineChars="200"/>
        <w:rPr>
          <w:rFonts w:ascii="宋体" w:hAnsi="宋体"/>
          <w:sz w:val="24"/>
        </w:rPr>
      </w:pPr>
      <w:r>
        <w:rPr>
          <w:rFonts w:ascii="宋体" w:hAnsi="宋体"/>
          <w:sz w:val="24"/>
        </w:rPr>
        <w:t>按目前国内燃气内燃机的燃气消耗率为8.5MJ/（kW.h）～11.25MJ/（kW.h）计算，本矿一期</w:t>
      </w:r>
      <w:r>
        <w:rPr>
          <w:rFonts w:hint="eastAsia" w:ascii="宋体" w:hAnsi="宋体"/>
          <w:sz w:val="24"/>
        </w:rPr>
        <w:t>瓦斯利用工程完成后，视抽采的瓦斯情况，如富余量较大，则可考虑利用瓦斯发电。</w:t>
      </w:r>
    </w:p>
    <w:p w14:paraId="556314F2">
      <w:pPr>
        <w:pStyle w:val="24"/>
        <w:spacing w:line="360" w:lineRule="auto"/>
        <w:ind w:left="0" w:leftChars="0" w:firstLine="480" w:firstLineChars="200"/>
        <w:rPr>
          <w:rFonts w:ascii="宋体" w:hAnsi="宋体"/>
          <w:sz w:val="24"/>
        </w:rPr>
      </w:pPr>
      <w:bookmarkStart w:id="759" w:name="_Toc217651186"/>
      <w:bookmarkStart w:id="760" w:name="_Toc214534196"/>
      <w:bookmarkStart w:id="761" w:name="_Toc217653676"/>
      <w:bookmarkStart w:id="762" w:name="_Toc214940585"/>
      <w:r>
        <w:rPr>
          <w:rFonts w:hint="eastAsia" w:ascii="宋体" w:hAnsi="宋体"/>
          <w:sz w:val="24"/>
        </w:rPr>
        <w:t>（5）煤</w:t>
      </w:r>
      <w:r>
        <w:rPr>
          <w:rFonts w:ascii="宋体" w:hAnsi="宋体"/>
          <w:sz w:val="24"/>
        </w:rPr>
        <w:t>矸石的综合利用</w:t>
      </w:r>
      <w:bookmarkEnd w:id="759"/>
      <w:bookmarkEnd w:id="760"/>
      <w:bookmarkEnd w:id="761"/>
      <w:bookmarkEnd w:id="762"/>
    </w:p>
    <w:p w14:paraId="21DE4328">
      <w:pPr>
        <w:pStyle w:val="24"/>
        <w:spacing w:line="360" w:lineRule="auto"/>
        <w:ind w:left="0" w:leftChars="0" w:firstLine="480" w:firstLineChars="200"/>
        <w:rPr>
          <w:rFonts w:ascii="宋体" w:hAnsi="宋体"/>
          <w:sz w:val="24"/>
        </w:rPr>
      </w:pPr>
      <w:r>
        <w:rPr>
          <w:rFonts w:ascii="宋体" w:hAnsi="宋体"/>
          <w:sz w:val="24"/>
        </w:rPr>
        <w:t>煤矸石的可综合利用方案途径主要有以下几种：</w:t>
      </w:r>
    </w:p>
    <w:p w14:paraId="62F66DC1">
      <w:pPr>
        <w:pStyle w:val="24"/>
        <w:spacing w:line="360" w:lineRule="auto"/>
        <w:ind w:left="0" w:leftChars="0" w:firstLine="480" w:firstLineChars="200"/>
        <w:rPr>
          <w:rFonts w:ascii="宋体" w:hAnsi="宋体"/>
          <w:sz w:val="24"/>
        </w:rPr>
      </w:pPr>
      <w:r>
        <w:rPr>
          <w:rFonts w:ascii="宋体" w:hAnsi="宋体"/>
          <w:sz w:val="24"/>
        </w:rPr>
        <w:t>1）制砖：矸石制砖在国内已应用较多，技术较为成熟。一般煤矸石制砖，矸石成份占80％左右，煤矸石经破碎、粉磨、搅拌、压制、成型、干燥、焙烧，最后制成矸石砖。</w:t>
      </w:r>
    </w:p>
    <w:p w14:paraId="2ECCE908">
      <w:pPr>
        <w:pStyle w:val="24"/>
        <w:spacing w:line="360" w:lineRule="auto"/>
        <w:ind w:left="0" w:leftChars="0" w:firstLine="480" w:firstLineChars="200"/>
        <w:rPr>
          <w:rFonts w:ascii="宋体" w:hAnsi="宋体"/>
          <w:sz w:val="24"/>
        </w:rPr>
      </w:pPr>
      <w:r>
        <w:rPr>
          <w:rFonts w:ascii="宋体" w:hAnsi="宋体"/>
          <w:sz w:val="24"/>
        </w:rPr>
        <w:t>2）煤矸石发电：若矸石含碳量较高，则可考虑采用循环流化床锅炉进行发电，以充分利用和消耗煤矸石，特别是热值较高的洗选矸石。</w:t>
      </w:r>
    </w:p>
    <w:p w14:paraId="0A1C1E14">
      <w:pPr>
        <w:pStyle w:val="24"/>
        <w:spacing w:line="360" w:lineRule="auto"/>
        <w:ind w:left="0" w:leftChars="0" w:firstLine="480" w:firstLineChars="200"/>
        <w:rPr>
          <w:rFonts w:ascii="宋体" w:hAnsi="宋体"/>
          <w:sz w:val="24"/>
        </w:rPr>
      </w:pPr>
      <w:r>
        <w:rPr>
          <w:rFonts w:ascii="宋体" w:hAnsi="宋体"/>
          <w:sz w:val="24"/>
        </w:rPr>
        <w:t>3）作筑路和充填材料：利用矿井掘进矸石可解决矿区场地和进场公路的部分充填石材；同时，还可作为矿区沉陷区充填裂缝和修筑乡村公路的基材，以解决土地复垦和修筑乡村公路所需的基材。</w:t>
      </w:r>
    </w:p>
    <w:p w14:paraId="6947801B">
      <w:pPr>
        <w:pStyle w:val="24"/>
        <w:spacing w:line="360" w:lineRule="auto"/>
        <w:ind w:left="0" w:leftChars="0" w:firstLine="480" w:firstLineChars="200"/>
        <w:rPr>
          <w:rFonts w:ascii="宋体" w:hAnsi="宋体"/>
          <w:sz w:val="24"/>
        </w:rPr>
      </w:pPr>
      <w:r>
        <w:rPr>
          <w:rFonts w:ascii="宋体" w:hAnsi="宋体"/>
          <w:sz w:val="24"/>
        </w:rPr>
        <w:t>4）充填矿井采空区：利用煤矸石也可直接充填井下空区，既可减少地表下沉量，又可减少出井矸石量。</w:t>
      </w:r>
    </w:p>
    <w:p w14:paraId="1EDBDD36">
      <w:pPr>
        <w:pStyle w:val="24"/>
        <w:spacing w:line="360" w:lineRule="auto"/>
        <w:ind w:left="0" w:leftChars="0" w:firstLine="480" w:firstLineChars="200"/>
        <w:rPr>
          <w:rFonts w:ascii="宋体" w:hAnsi="宋体"/>
          <w:sz w:val="24"/>
        </w:rPr>
      </w:pPr>
      <w:r>
        <w:rPr>
          <w:rFonts w:hint="eastAsia" w:ascii="宋体" w:hAnsi="宋体"/>
          <w:sz w:val="24"/>
        </w:rPr>
        <w:t>本煤矿</w:t>
      </w:r>
      <w:r>
        <w:rPr>
          <w:rFonts w:ascii="宋体" w:hAnsi="宋体"/>
          <w:sz w:val="24"/>
        </w:rPr>
        <w:t>究竟适合那种综合利用途径，应在矿井建成后，根据本矿矸石的成分以及市场调查，选择合适的煤矸石综合利用方案。</w:t>
      </w:r>
    </w:p>
    <w:p w14:paraId="61AEBF81">
      <w:pPr>
        <w:pStyle w:val="4"/>
        <w:keepLines/>
        <w:adjustRightInd w:val="0"/>
        <w:snapToGrid w:val="0"/>
        <w:spacing w:before="240" w:after="240" w:line="360" w:lineRule="auto"/>
        <w:ind w:firstLine="562" w:firstLineChars="200"/>
        <w:jc w:val="both"/>
        <w:rPr>
          <w:b/>
          <w:color w:val="000000"/>
          <w:kern w:val="0"/>
          <w:szCs w:val="20"/>
        </w:rPr>
      </w:pPr>
      <w:bookmarkStart w:id="763" w:name="_Toc217653677"/>
      <w:r>
        <w:rPr>
          <w:rFonts w:hint="eastAsia"/>
          <w:b/>
          <w:color w:val="000000"/>
          <w:kern w:val="0"/>
          <w:szCs w:val="20"/>
        </w:rPr>
        <w:t>四、</w:t>
      </w:r>
      <w:r>
        <w:rPr>
          <w:b/>
          <w:color w:val="000000"/>
          <w:kern w:val="0"/>
          <w:szCs w:val="20"/>
        </w:rPr>
        <w:t>项目能耗指标计算和能耗分析</w:t>
      </w:r>
      <w:bookmarkEnd w:id="763"/>
    </w:p>
    <w:p w14:paraId="7D1376AD">
      <w:pPr>
        <w:pStyle w:val="24"/>
        <w:spacing w:line="360" w:lineRule="auto"/>
        <w:ind w:left="0" w:leftChars="0" w:firstLine="480" w:firstLineChars="200"/>
        <w:rPr>
          <w:rFonts w:ascii="宋体" w:hAnsi="宋体"/>
          <w:sz w:val="24"/>
        </w:rPr>
      </w:pPr>
      <w:bookmarkStart w:id="764" w:name="_Toc214534198"/>
      <w:bookmarkStart w:id="765" w:name="_Toc214940587"/>
      <w:bookmarkStart w:id="766" w:name="_Toc217651188"/>
      <w:r>
        <w:rPr>
          <w:rFonts w:hint="eastAsia" w:ascii="宋体" w:hAnsi="宋体"/>
          <w:sz w:val="24"/>
        </w:rPr>
        <w:t>1、</w:t>
      </w:r>
      <w:r>
        <w:rPr>
          <w:rFonts w:ascii="宋体" w:hAnsi="宋体"/>
          <w:sz w:val="24"/>
        </w:rPr>
        <w:t>电耗指标计算</w:t>
      </w:r>
      <w:r>
        <w:rPr>
          <w:rFonts w:hint="eastAsia" w:ascii="宋体" w:hAnsi="宋体"/>
          <w:sz w:val="24"/>
        </w:rPr>
        <w:t>及</w:t>
      </w:r>
      <w:r>
        <w:rPr>
          <w:rFonts w:ascii="宋体" w:hAnsi="宋体"/>
          <w:sz w:val="24"/>
        </w:rPr>
        <w:t>能耗分析</w:t>
      </w:r>
      <w:bookmarkEnd w:id="764"/>
      <w:bookmarkEnd w:id="765"/>
      <w:bookmarkEnd w:id="766"/>
    </w:p>
    <w:p w14:paraId="16327DD6">
      <w:pPr>
        <w:pStyle w:val="24"/>
        <w:spacing w:line="360" w:lineRule="auto"/>
        <w:ind w:left="0" w:leftChars="0" w:firstLine="480" w:firstLineChars="200"/>
        <w:rPr>
          <w:rFonts w:hint="eastAsia" w:ascii="宋体" w:hAnsi="宋体"/>
          <w:sz w:val="24"/>
        </w:rPr>
      </w:pPr>
      <w:r>
        <w:rPr>
          <w:rFonts w:hint="eastAsia" w:ascii="宋体" w:hAnsi="宋体"/>
          <w:sz w:val="24"/>
        </w:rPr>
        <w:t>（1）矿井供电电源及线路</w:t>
      </w:r>
    </w:p>
    <w:p w14:paraId="696E9F7E">
      <w:pPr>
        <w:pStyle w:val="24"/>
        <w:spacing w:line="360" w:lineRule="auto"/>
        <w:ind w:left="0" w:leftChars="0" w:firstLine="480" w:firstLineChars="200"/>
        <w:rPr>
          <w:rFonts w:hint="eastAsia" w:ascii="宋体" w:hAnsi="宋体"/>
          <w:sz w:val="24"/>
        </w:rPr>
      </w:pPr>
      <w:r>
        <w:rPr>
          <w:rFonts w:hint="eastAsia" w:ascii="宋体" w:hAnsi="宋体"/>
          <w:sz w:val="24"/>
        </w:rPr>
        <w:t>《煤矿安全规程》第四百四十一条要求：矿井应有两回路电源线路，当任一回路发生故障停止供电时，另一回路应能担负矿井全部负荷。所以本矿井设两回独立的供电电源及输电线路。</w:t>
      </w:r>
    </w:p>
    <w:p w14:paraId="16797016">
      <w:pPr>
        <w:pStyle w:val="24"/>
        <w:spacing w:line="360" w:lineRule="auto"/>
        <w:ind w:left="0" w:leftChars="0" w:firstLine="480" w:firstLineChars="200"/>
        <w:rPr>
          <w:rFonts w:hint="eastAsia" w:ascii="宋体" w:hAnsi="宋体"/>
          <w:sz w:val="24"/>
        </w:rPr>
      </w:pPr>
      <w:r>
        <w:rPr>
          <w:rFonts w:hint="eastAsia" w:ascii="宋体" w:hAnsi="宋体"/>
          <w:sz w:val="24"/>
        </w:rPr>
        <w:t>1）矿井供电线路</w:t>
      </w:r>
    </w:p>
    <w:p w14:paraId="32308628">
      <w:pPr>
        <w:pStyle w:val="24"/>
        <w:spacing w:line="360" w:lineRule="auto"/>
        <w:ind w:left="0" w:leftChars="0" w:firstLine="480" w:firstLineChars="200"/>
        <w:rPr>
          <w:rFonts w:hint="eastAsia" w:ascii="宋体" w:hAnsi="宋体"/>
          <w:sz w:val="24"/>
        </w:rPr>
      </w:pPr>
      <w:r>
        <w:rPr>
          <w:rFonts w:hint="eastAsia" w:ascii="宋体" w:hAnsi="宋体"/>
          <w:sz w:val="24"/>
        </w:rPr>
        <w:t>在本矿井工业场地建10kV变电所，两回10kV电源，</w:t>
      </w:r>
      <w:r>
        <w:rPr>
          <w:rFonts w:hint="eastAsia" w:ascii="宋体" w:hAnsi="宋体"/>
          <w:spacing w:val="8"/>
          <w:sz w:val="24"/>
          <w:szCs w:val="20"/>
        </w:rPr>
        <w:t>一回10kV电源引自玉舍110kV变电站，矿井距玉舍110kV变电站4km，二回10kV电源引自勺米35kV变电站，矿井距勺米35kV变电站8km。</w:t>
      </w:r>
      <w:r>
        <w:rPr>
          <w:rFonts w:hint="eastAsia" w:ascii="宋体" w:hAnsi="宋体"/>
          <w:sz w:val="24"/>
        </w:rPr>
        <w:t>按经济电流密度选择导线截面，按载流量与线路电压降进行校核。</w:t>
      </w:r>
      <w:r>
        <w:rPr>
          <w:rFonts w:hint="eastAsia" w:ascii="宋体" w:hAnsi="宋体"/>
          <w:color w:val="FF0000"/>
          <w:sz w:val="24"/>
        </w:rPr>
        <w:t>供</w:t>
      </w:r>
      <w:r>
        <w:rPr>
          <w:rFonts w:hint="eastAsia" w:ascii="宋体" w:hAnsi="宋体"/>
          <w:sz w:val="24"/>
        </w:rPr>
        <w:t>电线路导线采用LGJ-95mm</w:t>
      </w:r>
      <w:r>
        <w:rPr>
          <w:rFonts w:hint="eastAsia" w:ascii="宋体" w:hAnsi="宋体"/>
          <w:sz w:val="24"/>
          <w:vertAlign w:val="superscript"/>
        </w:rPr>
        <w:t>2</w:t>
      </w:r>
      <w:r>
        <w:rPr>
          <w:rFonts w:hint="eastAsia" w:ascii="宋体" w:hAnsi="宋体"/>
          <w:sz w:val="24"/>
        </w:rPr>
        <w:t>钢芯铝绞线，每回线路长度分别约为4km、8km。单回线路运行时，最长一回线路的电压降为3.7％Ue，满足事故时小于5％Ue的要求。这两回10kV供电线路都具备满足矿井将来再发展的能力。</w:t>
      </w:r>
    </w:p>
    <w:p w14:paraId="2C01D8FF">
      <w:pPr>
        <w:pStyle w:val="24"/>
        <w:spacing w:line="360" w:lineRule="auto"/>
        <w:ind w:left="0" w:leftChars="0" w:firstLine="480" w:firstLineChars="200"/>
        <w:rPr>
          <w:rFonts w:hint="eastAsia" w:ascii="宋体" w:hAnsi="宋体"/>
          <w:sz w:val="24"/>
        </w:rPr>
      </w:pPr>
      <w:r>
        <w:rPr>
          <w:rFonts w:hint="eastAsia" w:ascii="宋体" w:hAnsi="宋体"/>
          <w:sz w:val="24"/>
        </w:rPr>
        <w:t>两回线路同时工作不仅节省了经济投入，而且减少线路一半的电能损耗，并且提高了供电的连续性及可靠性，加强了煤矿用电的安全性。</w:t>
      </w:r>
    </w:p>
    <w:p w14:paraId="07EAEDFA">
      <w:pPr>
        <w:pStyle w:val="24"/>
        <w:spacing w:line="360" w:lineRule="auto"/>
        <w:ind w:left="0" w:leftChars="0" w:firstLine="480" w:firstLineChars="200"/>
        <w:rPr>
          <w:rFonts w:hint="eastAsia" w:ascii="宋体" w:hAnsi="宋体"/>
          <w:sz w:val="24"/>
        </w:rPr>
      </w:pPr>
      <w:r>
        <w:rPr>
          <w:rFonts w:hint="eastAsia" w:ascii="宋体" w:hAnsi="宋体"/>
          <w:sz w:val="24"/>
        </w:rPr>
        <w:t>2）矿井主变电所</w:t>
      </w:r>
    </w:p>
    <w:p w14:paraId="36D4C1F5">
      <w:pPr>
        <w:pStyle w:val="24"/>
        <w:spacing w:line="360" w:lineRule="auto"/>
        <w:ind w:left="0" w:leftChars="0" w:firstLine="480" w:firstLineChars="200"/>
        <w:rPr>
          <w:rFonts w:hint="eastAsia" w:ascii="宋体" w:hAnsi="宋体"/>
          <w:sz w:val="24"/>
        </w:rPr>
      </w:pPr>
      <w:r>
        <w:rPr>
          <w:rFonts w:hint="eastAsia" w:ascii="宋体" w:hAnsi="宋体"/>
          <w:sz w:val="24"/>
        </w:rPr>
        <w:t>矿井工业场地10kV变电所所址在进出线方便的情况下尽量靠近地面及井下负荷中心，减少了向各负荷供电的电缆长度，减少了线路电能损耗及线路电压降。</w:t>
      </w:r>
    </w:p>
    <w:p w14:paraId="149BC117">
      <w:pPr>
        <w:pStyle w:val="24"/>
        <w:spacing w:line="360" w:lineRule="auto"/>
        <w:ind w:left="0" w:leftChars="0" w:firstLine="480" w:firstLineChars="200"/>
        <w:rPr>
          <w:rFonts w:hint="eastAsia" w:ascii="宋体" w:hAnsi="宋体"/>
          <w:sz w:val="24"/>
        </w:rPr>
      </w:pPr>
      <w:r>
        <w:rPr>
          <w:rFonts w:hint="eastAsia" w:ascii="宋体" w:hAnsi="宋体"/>
          <w:sz w:val="24"/>
        </w:rPr>
        <w:t>3）矿井负荷及无功功率补偿</w:t>
      </w:r>
    </w:p>
    <w:p w14:paraId="0AF5F3C5">
      <w:pPr>
        <w:spacing w:line="360" w:lineRule="auto"/>
        <w:ind w:firstLine="480" w:firstLineChars="200"/>
        <w:rPr>
          <w:rFonts w:hint="eastAsia" w:ascii="宋体" w:hAnsi="宋体"/>
          <w:sz w:val="24"/>
        </w:rPr>
      </w:pPr>
      <w:r>
        <w:rPr>
          <w:rFonts w:hint="eastAsia" w:ascii="宋体" w:hAnsi="宋体"/>
          <w:color w:val="FF0000"/>
          <w:sz w:val="24"/>
        </w:rPr>
        <w:t>供</w:t>
      </w:r>
      <w:r>
        <w:rPr>
          <w:rFonts w:hint="eastAsia" w:ascii="宋体" w:hAnsi="宋体"/>
          <w:sz w:val="24"/>
        </w:rPr>
        <w:t>电部门要求企业的月平均功率因数达到0.9以上，而电气设备普遍功率因数偏低，所以应装设无功功率补偿设备，以提高系统的无功功率因素，并达到合理利用能源及节能的目的。</w:t>
      </w:r>
    </w:p>
    <w:p w14:paraId="07A642B6">
      <w:pPr>
        <w:spacing w:line="360" w:lineRule="auto"/>
        <w:ind w:firstLine="480" w:firstLineChars="200"/>
        <w:rPr>
          <w:rFonts w:hint="eastAsia" w:ascii="宋体" w:hAnsi="宋体"/>
          <w:sz w:val="24"/>
        </w:rPr>
      </w:pPr>
      <w:r>
        <w:rPr>
          <w:rFonts w:hint="eastAsia" w:ascii="宋体" w:hAnsi="宋体"/>
          <w:color w:val="FF0000"/>
          <w:sz w:val="24"/>
        </w:rPr>
        <w:t>本</w:t>
      </w:r>
      <w:r>
        <w:rPr>
          <w:rFonts w:hint="eastAsia" w:ascii="宋体" w:hAnsi="宋体"/>
          <w:sz w:val="24"/>
        </w:rPr>
        <w:t>煤矿采取在工业场地10kV变电所10kV侧安装无功功率动态补偿装置共补偿900kVAR，补偿后的功率因数由0.731提高到0.961。</w:t>
      </w:r>
    </w:p>
    <w:p w14:paraId="5879AE99">
      <w:pPr>
        <w:spacing w:line="360" w:lineRule="auto"/>
        <w:ind w:firstLine="480" w:firstLineChars="200"/>
        <w:rPr>
          <w:rFonts w:hint="eastAsia" w:ascii="宋体" w:hAnsi="宋体"/>
          <w:sz w:val="24"/>
        </w:rPr>
      </w:pPr>
      <w:r>
        <w:rPr>
          <w:rFonts w:hint="eastAsia" w:ascii="宋体" w:hAnsi="宋体"/>
          <w:sz w:val="24"/>
        </w:rPr>
        <w:t>（2）能耗分析</w:t>
      </w:r>
    </w:p>
    <w:p w14:paraId="353F7D1C">
      <w:pPr>
        <w:spacing w:line="360" w:lineRule="auto"/>
        <w:ind w:firstLine="480" w:firstLineChars="200"/>
        <w:rPr>
          <w:rFonts w:hint="eastAsia" w:ascii="宋体" w:hAnsi="宋体"/>
          <w:sz w:val="24"/>
        </w:rPr>
      </w:pPr>
      <w:r>
        <w:rPr>
          <w:rFonts w:hint="eastAsia" w:ascii="宋体" w:hAnsi="宋体"/>
          <w:sz w:val="24"/>
        </w:rPr>
        <w:t>煤矿电能能耗的计算通常是将各单项用电设备（井下采掘运输机械设备、四大件设备、瓦斯抽放设备、地面配电设备、煤炭洗选加工设备及高压供配电设备等）的有功功率汇总后再乘以年最大负荷利用小时数得出用电量，再除以年产煤量则是吨煤电耗。</w:t>
      </w:r>
    </w:p>
    <w:p w14:paraId="0D00D0F7">
      <w:pPr>
        <w:spacing w:line="360" w:lineRule="auto"/>
        <w:ind w:firstLine="480" w:firstLineChars="200"/>
        <w:rPr>
          <w:rFonts w:hint="eastAsia" w:ascii="宋体" w:hAnsi="宋体"/>
          <w:sz w:val="24"/>
        </w:rPr>
      </w:pPr>
      <w:r>
        <w:rPr>
          <w:rFonts w:hint="eastAsia" w:ascii="宋体" w:hAnsi="宋体"/>
          <w:sz w:val="24"/>
        </w:rPr>
        <w:t>然而煤矿自然条件千变万化，情况非常复杂。特别是开采深度、矿井涌水量、瓦斯相对涌出量以及工作面的机械化水平等与全矿用电负荷的大小密切相关。</w:t>
      </w:r>
    </w:p>
    <w:p w14:paraId="71DD577D">
      <w:pPr>
        <w:spacing w:line="360" w:lineRule="auto"/>
        <w:ind w:firstLine="480" w:firstLineChars="200"/>
        <w:rPr>
          <w:rFonts w:hint="eastAsia" w:ascii="宋体" w:hAnsi="宋体"/>
          <w:sz w:val="24"/>
        </w:rPr>
      </w:pPr>
      <w:r>
        <w:rPr>
          <w:rFonts w:hint="eastAsia" w:ascii="宋体" w:hAnsi="宋体"/>
          <w:sz w:val="24"/>
        </w:rPr>
        <w:t>对某一矿井，如保持矿井产量不变，而开采水平随开采年限的增长而不断延深，开拓方式、瓦斯、涌水量及生产工艺等各环节都会相继变化，因此该矿井的吨煤电耗也是变化的，总的趋势是逐步增加。</w:t>
      </w:r>
    </w:p>
    <w:p w14:paraId="7DEEEF4A">
      <w:pPr>
        <w:spacing w:line="360" w:lineRule="auto"/>
        <w:ind w:firstLine="480" w:firstLineChars="200"/>
        <w:rPr>
          <w:rFonts w:hint="eastAsia" w:ascii="宋体" w:hAnsi="宋体"/>
          <w:color w:val="0000FF"/>
          <w:sz w:val="24"/>
        </w:rPr>
      </w:pPr>
      <w:r>
        <w:rPr>
          <w:rFonts w:hint="eastAsia" w:ascii="宋体" w:hAnsi="宋体"/>
          <w:color w:val="0000FF"/>
          <w:sz w:val="24"/>
        </w:rPr>
        <w:t>经计算，矿井吨煤电耗为：20.95kWh/t；与同类型矿井的能耗相当。</w:t>
      </w:r>
    </w:p>
    <w:p w14:paraId="1CE3D488">
      <w:pPr>
        <w:pStyle w:val="24"/>
        <w:spacing w:before="120" w:beforeLines="50" w:line="360" w:lineRule="auto"/>
        <w:ind w:left="0" w:leftChars="0" w:firstLine="480" w:firstLineChars="200"/>
        <w:rPr>
          <w:rFonts w:ascii="宋体" w:hAnsi="宋体"/>
          <w:sz w:val="24"/>
        </w:rPr>
      </w:pPr>
      <w:bookmarkStart w:id="767" w:name="_Toc217651189"/>
      <w:bookmarkStart w:id="768" w:name="_Toc214940588"/>
      <w:bookmarkStart w:id="769" w:name="_Toc214534199"/>
      <w:r>
        <w:rPr>
          <w:rFonts w:hint="eastAsia" w:ascii="宋体" w:hAnsi="宋体"/>
          <w:sz w:val="24"/>
        </w:rPr>
        <w:t>2、</w:t>
      </w:r>
      <w:r>
        <w:rPr>
          <w:rFonts w:ascii="宋体" w:hAnsi="宋体"/>
          <w:sz w:val="24"/>
        </w:rPr>
        <w:t>矿井主要机电设备</w:t>
      </w:r>
      <w:bookmarkEnd w:id="767"/>
      <w:bookmarkEnd w:id="768"/>
      <w:bookmarkEnd w:id="769"/>
    </w:p>
    <w:p w14:paraId="7FE2F12A">
      <w:pPr>
        <w:pStyle w:val="24"/>
        <w:spacing w:line="360" w:lineRule="auto"/>
        <w:ind w:left="0" w:leftChars="0" w:firstLine="480" w:firstLineChars="200"/>
        <w:rPr>
          <w:rFonts w:ascii="宋体" w:hAnsi="宋体"/>
          <w:color w:val="0000FF"/>
          <w:sz w:val="24"/>
        </w:rPr>
      </w:pPr>
      <w:r>
        <w:rPr>
          <w:rFonts w:hint="eastAsia" w:ascii="宋体" w:hAnsi="宋体"/>
          <w:color w:val="0000FF"/>
          <w:sz w:val="24"/>
        </w:rPr>
        <w:t>（1）</w:t>
      </w:r>
      <w:r>
        <w:rPr>
          <w:rFonts w:ascii="宋体" w:hAnsi="宋体"/>
          <w:color w:val="0000FF"/>
          <w:sz w:val="24"/>
        </w:rPr>
        <w:t>提升设备</w:t>
      </w:r>
    </w:p>
    <w:p w14:paraId="5A543F1A">
      <w:pPr>
        <w:spacing w:line="360" w:lineRule="auto"/>
        <w:ind w:firstLine="480" w:firstLineChars="200"/>
        <w:rPr>
          <w:rFonts w:hint="eastAsia" w:ascii="宋体" w:hAnsi="宋体"/>
          <w:smallCaps/>
          <w:color w:val="0000FF"/>
          <w:sz w:val="24"/>
        </w:rPr>
      </w:pPr>
      <w:r>
        <w:rPr>
          <w:rFonts w:hint="eastAsia" w:ascii="宋体" w:hAnsi="宋体"/>
          <w:color w:val="0000FF"/>
          <w:sz w:val="24"/>
        </w:rPr>
        <w:t>副斜井提升设备选用</w:t>
      </w:r>
      <w:r>
        <w:rPr>
          <w:rStyle w:val="124"/>
          <w:rFonts w:hint="eastAsia" w:ascii="宋体" w:hAnsi="宋体"/>
          <w:color w:val="0000FF"/>
        </w:rPr>
        <w:t>JTP-1.6×1.2P/24</w:t>
      </w:r>
      <w:r>
        <w:rPr>
          <w:rFonts w:hint="eastAsia" w:ascii="宋体" w:hAnsi="宋体"/>
          <w:color w:val="0000FF"/>
          <w:sz w:val="24"/>
        </w:rPr>
        <w:t>型（</w:t>
      </w:r>
      <w:r>
        <w:rPr>
          <w:rFonts w:ascii="宋体" w:hAnsi="宋体"/>
          <w:color w:val="0000FF"/>
          <w:sz w:val="24"/>
        </w:rPr>
        <w:t>V</w:t>
      </w:r>
      <w:r>
        <w:rPr>
          <w:rFonts w:hint="eastAsia" w:ascii="宋体" w:hAnsi="宋体"/>
          <w:color w:val="0000FF"/>
          <w:sz w:val="24"/>
        </w:rPr>
        <w:t>m</w:t>
      </w:r>
      <w:r>
        <w:rPr>
          <w:rFonts w:ascii="宋体" w:hAnsi="宋体"/>
          <w:smallCaps/>
          <w:color w:val="0000FF"/>
          <w:sz w:val="24"/>
        </w:rPr>
        <w:t>=</w:t>
      </w:r>
      <w:r>
        <w:rPr>
          <w:rFonts w:hint="eastAsia" w:ascii="宋体" w:hAnsi="宋体"/>
          <w:smallCaps/>
          <w:color w:val="0000FF"/>
          <w:sz w:val="24"/>
        </w:rPr>
        <w:t>2</w:t>
      </w:r>
      <w:r>
        <w:rPr>
          <w:rFonts w:hint="eastAsia" w:ascii="宋体" w:hAnsi="宋体"/>
          <w:color w:val="0000FF"/>
          <w:sz w:val="24"/>
        </w:rPr>
        <w:t>m/s，配行星齿轮减速器，传动效率为0.92）</w:t>
      </w:r>
      <w:r>
        <w:rPr>
          <w:rFonts w:hint="eastAsia" w:ascii="宋体" w:hAnsi="宋体"/>
          <w:smallCaps/>
          <w:color w:val="0000FF"/>
          <w:sz w:val="24"/>
        </w:rPr>
        <w:t>提升机一台，选配YP型6极(580</w:t>
      </w:r>
      <w:r>
        <w:rPr>
          <w:rFonts w:hint="eastAsia" w:ascii="宋体" w:hAnsi="宋体"/>
          <w:color w:val="0000FF"/>
          <w:sz w:val="24"/>
        </w:rPr>
        <w:t>rPm</w:t>
      </w:r>
      <w:r>
        <w:rPr>
          <w:rFonts w:hint="eastAsia" w:ascii="宋体" w:hAnsi="宋体"/>
          <w:smallCaps/>
          <w:color w:val="0000FF"/>
          <w:sz w:val="24"/>
        </w:rPr>
        <w:t>)、110</w:t>
      </w:r>
      <w:r>
        <w:rPr>
          <w:rFonts w:hint="eastAsia" w:ascii="宋体" w:hAnsi="宋体"/>
          <w:color w:val="0000FF"/>
          <w:sz w:val="24"/>
        </w:rPr>
        <w:t>kW</w:t>
      </w:r>
      <w:r>
        <w:rPr>
          <w:rFonts w:hint="eastAsia" w:ascii="宋体" w:hAnsi="宋体"/>
          <w:smallCaps/>
          <w:color w:val="0000FF"/>
          <w:sz w:val="24"/>
        </w:rPr>
        <w:t>、380V变频调速电动机一台，其效率为0.93；选用TKD</w:t>
      </w:r>
      <w:r>
        <w:rPr>
          <w:rFonts w:ascii="宋体" w:hAnsi="宋体"/>
          <w:smallCaps/>
          <w:color w:val="0000FF"/>
          <w:sz w:val="24"/>
        </w:rPr>
        <w:t>—</w:t>
      </w:r>
      <w:r>
        <w:rPr>
          <w:rFonts w:hint="eastAsia" w:ascii="宋体" w:hAnsi="宋体"/>
          <w:smallCaps/>
          <w:color w:val="0000FF"/>
          <w:sz w:val="24"/>
        </w:rPr>
        <w:t>ZCB</w:t>
      </w:r>
      <w:r>
        <w:rPr>
          <w:rFonts w:ascii="宋体" w:hAnsi="宋体"/>
          <w:smallCaps/>
          <w:color w:val="0000FF"/>
          <w:sz w:val="24"/>
        </w:rPr>
        <w:t>—</w:t>
      </w:r>
      <w:r>
        <w:rPr>
          <w:rFonts w:hint="eastAsia" w:ascii="宋体" w:hAnsi="宋体"/>
          <w:smallCaps/>
          <w:color w:val="0000FF"/>
          <w:sz w:val="24"/>
        </w:rPr>
        <w:t>33型全数字交流变频调速电控设备一套。</w:t>
      </w:r>
    </w:p>
    <w:p w14:paraId="11D3B7B8">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选用的提升机、电动机、电控设备均为高效节能产品。</w:t>
      </w:r>
    </w:p>
    <w:p w14:paraId="26D70582">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全数字交流变频调速电控设备可实现无极调速，调速及行程跟踪精度高，停车准确，运行稳定；采用PLC保护系统，重事故保护双重化或三重化，安全性能好；控制部件采用模块化结构，组态灵活，维护方便。</w:t>
      </w:r>
    </w:p>
    <w:p w14:paraId="28F8D9AE">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生产过程中，提升应按设计能力装满车，及时清扫车底，规定人员上下井时间，提高装载率。</w:t>
      </w:r>
    </w:p>
    <w:p w14:paraId="1F743AE0">
      <w:pPr>
        <w:pStyle w:val="24"/>
        <w:spacing w:line="360" w:lineRule="auto"/>
        <w:ind w:left="0" w:leftChars="0" w:firstLine="480" w:firstLineChars="200"/>
        <w:rPr>
          <w:rFonts w:ascii="宋体" w:hAnsi="宋体"/>
          <w:color w:val="0000FF"/>
          <w:sz w:val="24"/>
        </w:rPr>
      </w:pPr>
      <w:r>
        <w:rPr>
          <w:rFonts w:hint="eastAsia" w:ascii="宋体" w:hAnsi="宋体"/>
          <w:smallCaps/>
          <w:color w:val="0000FF"/>
          <w:sz w:val="24"/>
        </w:rPr>
        <w:t>提升机尽量采用自动或半自动控制，严格按提升速度图运行，减少施闸次数降低能耗，减少设备磨损。</w:t>
      </w:r>
    </w:p>
    <w:p w14:paraId="2780150A">
      <w:pPr>
        <w:spacing w:line="360" w:lineRule="auto"/>
        <w:ind w:firstLine="480" w:firstLineChars="200"/>
        <w:rPr>
          <w:rFonts w:hint="eastAsia" w:ascii="宋体" w:hAnsi="宋体"/>
          <w:color w:val="0000FF"/>
          <w:sz w:val="24"/>
        </w:rPr>
      </w:pPr>
      <w:r>
        <w:rPr>
          <w:rFonts w:hint="eastAsia" w:ascii="宋体" w:hAnsi="宋体"/>
          <w:color w:val="0000FF"/>
          <w:sz w:val="24"/>
        </w:rPr>
        <w:t>（2）运输设备</w:t>
      </w:r>
    </w:p>
    <w:p w14:paraId="61636205">
      <w:pPr>
        <w:spacing w:line="360" w:lineRule="auto"/>
        <w:ind w:firstLine="480" w:firstLineChars="200"/>
        <w:rPr>
          <w:rFonts w:hint="eastAsia" w:ascii="宋体" w:hAnsi="宋体"/>
          <w:color w:val="0000FF"/>
          <w:sz w:val="24"/>
        </w:rPr>
      </w:pPr>
      <w:r>
        <w:rPr>
          <w:rFonts w:hint="eastAsia" w:ascii="宋体" w:hAnsi="宋体"/>
          <w:color w:val="0000FF"/>
          <w:sz w:val="24"/>
        </w:rPr>
        <w:t>井下原煤运输系统的节能措施</w:t>
      </w:r>
    </w:p>
    <w:p w14:paraId="346D57A4">
      <w:pPr>
        <w:spacing w:line="360" w:lineRule="auto"/>
        <w:ind w:firstLine="480" w:firstLineChars="200"/>
        <w:rPr>
          <w:rFonts w:hint="eastAsia" w:ascii="宋体" w:hAnsi="宋体"/>
          <w:color w:val="0000FF"/>
          <w:sz w:val="24"/>
        </w:rPr>
      </w:pPr>
      <w:r>
        <w:rPr>
          <w:rFonts w:hint="eastAsia" w:ascii="宋体" w:hAnsi="宋体"/>
          <w:color w:val="0000FF"/>
          <w:sz w:val="24"/>
        </w:rPr>
        <w:t>经运输方案比选，合理选择井下原煤运输工艺；根据矿井的生产能力及工作制度，合理确定带式输送机的基本参数（小时输送量、带宽、带速等），避免大马拉小车情况的出现。</w:t>
      </w:r>
    </w:p>
    <w:p w14:paraId="2C49A531">
      <w:pPr>
        <w:spacing w:line="360" w:lineRule="auto"/>
        <w:ind w:firstLine="480" w:firstLineChars="200"/>
        <w:rPr>
          <w:rFonts w:hint="eastAsia" w:ascii="宋体" w:hAnsi="宋体"/>
          <w:color w:val="0000FF"/>
          <w:sz w:val="24"/>
        </w:rPr>
      </w:pPr>
      <w:r>
        <w:rPr>
          <w:rFonts w:hint="eastAsia" w:ascii="宋体" w:hAnsi="宋体"/>
          <w:color w:val="0000FF"/>
          <w:sz w:val="24"/>
        </w:rPr>
        <w:t>根据计算的电动机总功率，选择合理的功率配比和单机功率，以减少配电线路的能耗。</w:t>
      </w:r>
    </w:p>
    <w:p w14:paraId="0BEB7B7D">
      <w:pPr>
        <w:spacing w:line="360" w:lineRule="auto"/>
        <w:ind w:firstLine="480" w:firstLineChars="200"/>
        <w:rPr>
          <w:rFonts w:hint="eastAsia" w:ascii="宋体" w:hAnsi="宋体"/>
          <w:color w:val="0000FF"/>
          <w:sz w:val="24"/>
        </w:rPr>
      </w:pPr>
      <w:r>
        <w:rPr>
          <w:rFonts w:hint="eastAsia" w:ascii="宋体" w:hAnsi="宋体"/>
          <w:color w:val="0000FF"/>
          <w:sz w:val="24"/>
        </w:rPr>
        <w:t>选择传递效率高的减速器及联轴器等的传动部件；配用合理的软起动装置；</w:t>
      </w:r>
    </w:p>
    <w:p w14:paraId="00A0551A">
      <w:pPr>
        <w:spacing w:line="360" w:lineRule="auto"/>
        <w:ind w:firstLine="480" w:firstLineChars="200"/>
        <w:rPr>
          <w:rFonts w:hint="eastAsia" w:ascii="宋体" w:hAnsi="宋体"/>
          <w:color w:val="0000FF"/>
          <w:sz w:val="24"/>
        </w:rPr>
      </w:pPr>
      <w:r>
        <w:rPr>
          <w:rFonts w:hint="eastAsia" w:ascii="宋体" w:hAnsi="宋体"/>
          <w:color w:val="0000FF"/>
          <w:sz w:val="24"/>
        </w:rPr>
        <w:t>加强生产管理，控制好带式输送机的运转时间，降低设备空载能耗；加强设备的维护和检修，及时更换有问题或破损的旋转部件（滚筒、托辊等），使带式输送机始终保持正常的工作状态。</w:t>
      </w:r>
    </w:p>
    <w:p w14:paraId="483E7F52">
      <w:pPr>
        <w:pStyle w:val="24"/>
        <w:spacing w:before="120" w:beforeLines="50" w:line="360" w:lineRule="auto"/>
        <w:ind w:left="0" w:leftChars="0" w:firstLine="480" w:firstLineChars="200"/>
        <w:rPr>
          <w:rFonts w:ascii="宋体" w:hAnsi="宋体"/>
          <w:color w:val="0000FF"/>
          <w:sz w:val="24"/>
        </w:rPr>
      </w:pPr>
      <w:r>
        <w:rPr>
          <w:rFonts w:hint="eastAsia" w:ascii="宋体" w:hAnsi="宋体"/>
          <w:color w:val="0000FF"/>
          <w:sz w:val="24"/>
        </w:rPr>
        <w:t>（3）</w:t>
      </w:r>
      <w:r>
        <w:rPr>
          <w:rFonts w:ascii="宋体" w:hAnsi="宋体"/>
          <w:color w:val="0000FF"/>
          <w:sz w:val="24"/>
        </w:rPr>
        <w:t>通风设备</w:t>
      </w:r>
    </w:p>
    <w:p w14:paraId="249C3171">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该矿选用高效节能的</w:t>
      </w:r>
      <w:r>
        <w:rPr>
          <w:rFonts w:hint="eastAsia" w:ascii="宋体" w:hAnsi="宋体"/>
          <w:color w:val="0000FF"/>
          <w:sz w:val="24"/>
        </w:rPr>
        <w:t>FBCDZ-8-N020B</w:t>
      </w:r>
      <w:r>
        <w:rPr>
          <w:rFonts w:hint="eastAsia" w:ascii="宋体" w:hAnsi="宋体"/>
          <w:smallCaps/>
          <w:color w:val="0000FF"/>
          <w:sz w:val="24"/>
        </w:rPr>
        <w:t>型防爆对旋式轴流通风机二台（ 一用一备），该风机高效区宽，其静压效率高达0.85，均选配</w:t>
      </w:r>
      <w:r>
        <w:rPr>
          <w:rFonts w:hint="eastAsia" w:ascii="宋体" w:hAnsi="宋体"/>
          <w:color w:val="0000FF"/>
          <w:sz w:val="24"/>
        </w:rPr>
        <w:t>YBFe315L</w:t>
      </w:r>
      <w:r>
        <w:rPr>
          <w:rFonts w:hint="eastAsia" w:ascii="宋体" w:hAnsi="宋体"/>
          <w:color w:val="0000FF"/>
          <w:sz w:val="24"/>
          <w:vertAlign w:val="subscript"/>
        </w:rPr>
        <w:t>2</w:t>
      </w:r>
      <w:r>
        <w:rPr>
          <w:rFonts w:hint="eastAsia" w:ascii="宋体" w:hAnsi="宋体"/>
          <w:color w:val="0000FF"/>
          <w:sz w:val="24"/>
        </w:rPr>
        <w:t>-8</w:t>
      </w:r>
      <w:r>
        <w:rPr>
          <w:rFonts w:hint="eastAsia" w:ascii="宋体" w:hAnsi="宋体"/>
          <w:smallCaps/>
          <w:color w:val="0000FF"/>
          <w:sz w:val="24"/>
        </w:rPr>
        <w:t>、</w:t>
      </w:r>
      <w:r>
        <w:rPr>
          <w:rFonts w:hint="eastAsia" w:ascii="宋体" w:hAnsi="宋体"/>
          <w:color w:val="0000FF"/>
          <w:sz w:val="24"/>
        </w:rPr>
        <w:t>2×110kW</w:t>
      </w:r>
      <w:r>
        <w:rPr>
          <w:rFonts w:hint="eastAsia" w:ascii="宋体" w:hAnsi="宋体"/>
          <w:smallCaps/>
          <w:color w:val="0000FF"/>
          <w:sz w:val="24"/>
        </w:rPr>
        <w:t>、660</w:t>
      </w:r>
      <w:r>
        <w:rPr>
          <w:rFonts w:ascii="宋体" w:hAnsi="宋体"/>
          <w:smallCaps/>
          <w:color w:val="0000FF"/>
          <w:sz w:val="24"/>
        </w:rPr>
        <w:t>V</w:t>
      </w:r>
      <w:r>
        <w:rPr>
          <w:rFonts w:hint="eastAsia" w:ascii="宋体" w:hAnsi="宋体"/>
          <w:smallCaps/>
          <w:color w:val="0000FF"/>
          <w:sz w:val="24"/>
        </w:rPr>
        <w:t>防爆电动机四台（一台风机配二台电机），其效率为0.93。</w:t>
      </w:r>
    </w:p>
    <w:p w14:paraId="067C32B1">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通风机电耗：风机困难时期工况点参数为：风量61</w:t>
      </w:r>
      <w:r>
        <w:rPr>
          <w:rFonts w:hint="eastAsia" w:ascii="宋体" w:hAnsi="宋体"/>
          <w:color w:val="0000FF"/>
          <w:sz w:val="24"/>
        </w:rPr>
        <w:t>m</w:t>
      </w:r>
      <w:r>
        <w:rPr>
          <w:rFonts w:hint="eastAsia" w:ascii="宋体" w:hAnsi="宋体"/>
          <w:color w:val="0000FF"/>
          <w:sz w:val="24"/>
          <w:vertAlign w:val="superscript"/>
        </w:rPr>
        <w:t>3</w:t>
      </w:r>
      <w:r>
        <w:rPr>
          <w:rFonts w:hint="eastAsia" w:ascii="宋体" w:hAnsi="宋体"/>
          <w:color w:val="0000FF"/>
          <w:sz w:val="24"/>
        </w:rPr>
        <w:t>/s</w:t>
      </w:r>
      <w:r>
        <w:rPr>
          <w:rFonts w:hint="eastAsia" w:ascii="宋体" w:hAnsi="宋体"/>
          <w:smallCaps/>
          <w:color w:val="0000FF"/>
          <w:sz w:val="24"/>
        </w:rPr>
        <w:t>、负压1790</w:t>
      </w:r>
      <w:r>
        <w:rPr>
          <w:rFonts w:hint="eastAsia" w:ascii="宋体" w:hAnsi="宋体"/>
          <w:color w:val="0000FF"/>
          <w:sz w:val="24"/>
        </w:rPr>
        <w:t>Pa</w:t>
      </w:r>
      <w:r>
        <w:rPr>
          <w:rFonts w:hint="eastAsia" w:ascii="宋体" w:hAnsi="宋体"/>
          <w:smallCaps/>
          <w:color w:val="0000FF"/>
          <w:sz w:val="24"/>
        </w:rPr>
        <w:t>、率效0.9；</w:t>
      </w:r>
    </w:p>
    <w:p w14:paraId="6D844B62">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1）消耗的功率</w:t>
      </w:r>
    </w:p>
    <w:p w14:paraId="24BAFA13">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P=61×1790</w:t>
      </w:r>
      <w:r>
        <w:rPr>
          <w:rFonts w:ascii="宋体" w:hAnsi="宋体"/>
          <w:smallCaps/>
          <w:color w:val="0000FF"/>
          <w:sz w:val="24"/>
        </w:rPr>
        <w:t>÷</w:t>
      </w:r>
      <w:r>
        <w:rPr>
          <w:rFonts w:hint="eastAsia" w:ascii="宋体" w:hAnsi="宋体"/>
          <w:smallCaps/>
          <w:color w:val="0000FF"/>
          <w:sz w:val="24"/>
        </w:rPr>
        <w:t>（102×9.8×0.85×0.98×0.9）=145.7</w:t>
      </w:r>
      <w:r>
        <w:rPr>
          <w:rFonts w:hint="eastAsia" w:ascii="宋体" w:hAnsi="宋体"/>
          <w:color w:val="0000FF"/>
          <w:sz w:val="24"/>
        </w:rPr>
        <w:t>kW</w:t>
      </w:r>
    </w:p>
    <w:p w14:paraId="3FF4374E">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2）百万立方米</w:t>
      </w:r>
      <w:r>
        <w:rPr>
          <w:rFonts w:ascii="宋体" w:hAnsi="宋体"/>
          <w:smallCaps/>
          <w:color w:val="0000FF"/>
          <w:sz w:val="24"/>
        </w:rPr>
        <w:t>•</w:t>
      </w:r>
      <w:r>
        <w:rPr>
          <w:rFonts w:hint="eastAsia" w:ascii="宋体" w:hAnsi="宋体"/>
          <w:smallCaps/>
          <w:color w:val="0000FF"/>
          <w:sz w:val="24"/>
        </w:rPr>
        <w:t>帕所需时间</w:t>
      </w:r>
    </w:p>
    <w:p w14:paraId="3EEDCDE0">
      <w:pPr>
        <w:spacing w:line="360" w:lineRule="auto"/>
        <w:ind w:firstLine="480" w:firstLineChars="200"/>
        <w:rPr>
          <w:rFonts w:hint="eastAsia" w:ascii="宋体" w:hAnsi="宋体"/>
          <w:smallCaps/>
          <w:color w:val="0000FF"/>
          <w:sz w:val="32"/>
          <w:szCs w:val="32"/>
        </w:rPr>
      </w:pPr>
      <w:r>
        <w:rPr>
          <w:rFonts w:hint="eastAsia" w:ascii="宋体" w:hAnsi="宋体"/>
          <w:smallCaps/>
          <w:color w:val="0000FF"/>
          <w:sz w:val="24"/>
        </w:rPr>
        <w:t>T=1000000</w:t>
      </w:r>
      <w:r>
        <w:rPr>
          <w:rFonts w:ascii="宋体" w:hAnsi="宋体"/>
          <w:smallCaps/>
          <w:color w:val="0000FF"/>
          <w:sz w:val="24"/>
        </w:rPr>
        <w:t>÷</w:t>
      </w:r>
      <w:r>
        <w:rPr>
          <w:rFonts w:hint="eastAsia" w:ascii="宋体" w:hAnsi="宋体"/>
          <w:smallCaps/>
          <w:color w:val="0000FF"/>
          <w:sz w:val="24"/>
        </w:rPr>
        <w:t>（61×1790×3600）=0.002543</w:t>
      </w:r>
      <w:r>
        <w:rPr>
          <w:rFonts w:hint="eastAsia" w:ascii="宋体" w:hAnsi="宋体"/>
          <w:color w:val="0000FF"/>
          <w:sz w:val="24"/>
        </w:rPr>
        <w:t>h</w:t>
      </w:r>
      <w:r>
        <w:rPr>
          <w:rFonts w:hint="eastAsia" w:ascii="宋体" w:hAnsi="宋体"/>
          <w:smallCaps/>
          <w:color w:val="0000FF"/>
          <w:sz w:val="24"/>
        </w:rPr>
        <w:t xml:space="preserve"> /10</w:t>
      </w:r>
      <w:r>
        <w:rPr>
          <w:rFonts w:hint="eastAsia" w:ascii="宋体" w:hAnsi="宋体"/>
          <w:smallCaps/>
          <w:color w:val="0000FF"/>
          <w:sz w:val="24"/>
          <w:vertAlign w:val="superscript"/>
        </w:rPr>
        <w:t>6</w:t>
      </w:r>
      <w:r>
        <w:rPr>
          <w:rFonts w:ascii="宋体" w:hAnsi="宋体"/>
          <w:smallCaps/>
          <w:color w:val="0000FF"/>
          <w:sz w:val="24"/>
        </w:rPr>
        <w:t>•</w:t>
      </w:r>
      <w:r>
        <w:rPr>
          <w:rFonts w:hint="eastAsia" w:ascii="宋体" w:hAnsi="宋体"/>
          <w:color w:val="0000FF"/>
          <w:sz w:val="24"/>
        </w:rPr>
        <w:t>m</w:t>
      </w:r>
      <w:r>
        <w:rPr>
          <w:rFonts w:hint="eastAsia" w:ascii="宋体" w:hAnsi="宋体"/>
          <w:color w:val="0000FF"/>
          <w:sz w:val="24"/>
          <w:vertAlign w:val="superscript"/>
        </w:rPr>
        <w:t>3</w:t>
      </w:r>
      <w:r>
        <w:rPr>
          <w:rFonts w:ascii="宋体" w:hAnsi="宋体"/>
          <w:smallCaps/>
          <w:color w:val="0000FF"/>
          <w:sz w:val="24"/>
        </w:rPr>
        <w:t>•</w:t>
      </w:r>
      <w:r>
        <w:rPr>
          <w:rFonts w:hint="eastAsia" w:ascii="宋体" w:hAnsi="宋体"/>
          <w:color w:val="0000FF"/>
          <w:sz w:val="24"/>
        </w:rPr>
        <w:t>Pa</w:t>
      </w:r>
    </w:p>
    <w:p w14:paraId="1E105270">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3）电耗</w:t>
      </w:r>
    </w:p>
    <w:p w14:paraId="78EAE0E7">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w=145.7×0.002543=0.3705</w:t>
      </w:r>
      <w:r>
        <w:rPr>
          <w:rFonts w:hint="eastAsia" w:ascii="宋体" w:hAnsi="宋体"/>
          <w:color w:val="0000FF"/>
          <w:sz w:val="24"/>
        </w:rPr>
        <w:t>kW</w:t>
      </w:r>
      <w:r>
        <w:rPr>
          <w:rFonts w:ascii="宋体" w:hAnsi="宋体"/>
          <w:smallCaps/>
          <w:color w:val="0000FF"/>
          <w:sz w:val="24"/>
        </w:rPr>
        <w:t>•</w:t>
      </w:r>
      <w:r>
        <w:rPr>
          <w:rFonts w:hint="eastAsia" w:ascii="宋体" w:hAnsi="宋体"/>
          <w:color w:val="0000FF"/>
          <w:sz w:val="24"/>
        </w:rPr>
        <w:t>h</w:t>
      </w:r>
      <w:r>
        <w:rPr>
          <w:rFonts w:hint="eastAsia" w:ascii="宋体" w:hAnsi="宋体"/>
          <w:smallCaps/>
          <w:color w:val="0000FF"/>
          <w:sz w:val="24"/>
        </w:rPr>
        <w:t xml:space="preserve"> /10</w:t>
      </w:r>
      <w:r>
        <w:rPr>
          <w:rFonts w:hint="eastAsia" w:ascii="宋体" w:hAnsi="宋体"/>
          <w:smallCaps/>
          <w:color w:val="0000FF"/>
          <w:sz w:val="24"/>
          <w:vertAlign w:val="superscript"/>
        </w:rPr>
        <w:t>6</w:t>
      </w:r>
      <w:r>
        <w:rPr>
          <w:rFonts w:ascii="宋体" w:hAnsi="宋体"/>
          <w:smallCaps/>
          <w:color w:val="0000FF"/>
          <w:sz w:val="24"/>
        </w:rPr>
        <w:t>•</w:t>
      </w:r>
      <w:r>
        <w:rPr>
          <w:rFonts w:hint="eastAsia" w:ascii="宋体" w:hAnsi="宋体"/>
          <w:color w:val="0000FF"/>
          <w:sz w:val="24"/>
        </w:rPr>
        <w:t>m</w:t>
      </w:r>
      <w:r>
        <w:rPr>
          <w:rFonts w:hint="eastAsia" w:ascii="宋体" w:hAnsi="宋体"/>
          <w:color w:val="0000FF"/>
          <w:sz w:val="24"/>
          <w:vertAlign w:val="superscript"/>
        </w:rPr>
        <w:t>3</w:t>
      </w:r>
      <w:r>
        <w:rPr>
          <w:rFonts w:ascii="宋体" w:hAnsi="宋体"/>
          <w:smallCaps/>
          <w:color w:val="0000FF"/>
          <w:sz w:val="24"/>
        </w:rPr>
        <w:t>•</w:t>
      </w:r>
      <w:r>
        <w:rPr>
          <w:rFonts w:hint="eastAsia" w:ascii="宋体" w:hAnsi="宋体"/>
          <w:color w:val="0000FF"/>
          <w:sz w:val="24"/>
        </w:rPr>
        <w:t>Pa</w:t>
      </w:r>
    </w:p>
    <w:p w14:paraId="7F43EB38">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经上述计算，通风机电耗小于轴流通风机的规定值0.44</w:t>
      </w:r>
      <w:r>
        <w:rPr>
          <w:rFonts w:hint="eastAsia" w:ascii="宋体" w:hAnsi="宋体"/>
          <w:color w:val="0000FF"/>
          <w:sz w:val="24"/>
        </w:rPr>
        <w:t>kW</w:t>
      </w:r>
      <w:r>
        <w:rPr>
          <w:rFonts w:ascii="宋体" w:hAnsi="宋体"/>
          <w:smallCaps/>
          <w:color w:val="0000FF"/>
          <w:sz w:val="24"/>
        </w:rPr>
        <w:t>•</w:t>
      </w:r>
      <w:r>
        <w:rPr>
          <w:rFonts w:hint="eastAsia" w:ascii="宋体" w:hAnsi="宋体"/>
          <w:color w:val="0000FF"/>
          <w:sz w:val="24"/>
        </w:rPr>
        <w:t>h</w:t>
      </w:r>
      <w:r>
        <w:rPr>
          <w:rFonts w:hint="eastAsia" w:ascii="宋体" w:hAnsi="宋体"/>
          <w:smallCaps/>
          <w:color w:val="0000FF"/>
          <w:sz w:val="24"/>
        </w:rPr>
        <w:t xml:space="preserve"> /10</w:t>
      </w:r>
      <w:r>
        <w:rPr>
          <w:rFonts w:hint="eastAsia" w:ascii="宋体" w:hAnsi="宋体"/>
          <w:smallCaps/>
          <w:color w:val="0000FF"/>
          <w:sz w:val="24"/>
          <w:vertAlign w:val="superscript"/>
        </w:rPr>
        <w:t>6</w:t>
      </w:r>
      <w:r>
        <w:rPr>
          <w:rFonts w:ascii="宋体" w:hAnsi="宋体"/>
          <w:smallCaps/>
          <w:color w:val="0000FF"/>
          <w:sz w:val="24"/>
        </w:rPr>
        <w:t>•</w:t>
      </w:r>
      <w:r>
        <w:rPr>
          <w:rFonts w:hint="eastAsia" w:ascii="宋体" w:hAnsi="宋体"/>
          <w:color w:val="0000FF"/>
          <w:sz w:val="24"/>
        </w:rPr>
        <w:t>m</w:t>
      </w:r>
      <w:r>
        <w:rPr>
          <w:rFonts w:hint="eastAsia" w:ascii="宋体" w:hAnsi="宋体"/>
          <w:color w:val="0000FF"/>
          <w:sz w:val="24"/>
          <w:vertAlign w:val="superscript"/>
        </w:rPr>
        <w:t>3</w:t>
      </w:r>
      <w:r>
        <w:rPr>
          <w:rFonts w:ascii="宋体" w:hAnsi="宋体"/>
          <w:smallCaps/>
          <w:color w:val="0000FF"/>
          <w:sz w:val="24"/>
        </w:rPr>
        <w:t>•</w:t>
      </w:r>
      <w:r>
        <w:rPr>
          <w:rFonts w:hint="eastAsia" w:ascii="宋体" w:hAnsi="宋体"/>
          <w:color w:val="0000FF"/>
          <w:sz w:val="24"/>
        </w:rPr>
        <w:t>Pa；</w:t>
      </w:r>
      <w:r>
        <w:rPr>
          <w:rFonts w:hint="eastAsia" w:ascii="宋体" w:hAnsi="宋体"/>
          <w:smallCaps/>
          <w:color w:val="0000FF"/>
          <w:sz w:val="24"/>
        </w:rPr>
        <w:t>满足节能要求。</w:t>
      </w:r>
    </w:p>
    <w:p w14:paraId="148E8479">
      <w:pPr>
        <w:pStyle w:val="24"/>
        <w:spacing w:line="360" w:lineRule="auto"/>
        <w:ind w:left="0" w:leftChars="0" w:firstLine="480" w:firstLineChars="200"/>
        <w:rPr>
          <w:rFonts w:ascii="宋体" w:hAnsi="宋体"/>
          <w:color w:val="0000FF"/>
          <w:sz w:val="24"/>
        </w:rPr>
      </w:pPr>
      <w:r>
        <w:rPr>
          <w:rFonts w:hint="eastAsia" w:ascii="宋体" w:hAnsi="宋体"/>
          <w:color w:val="0000FF"/>
          <w:sz w:val="24"/>
        </w:rPr>
        <w:t>（4）</w:t>
      </w:r>
      <w:r>
        <w:rPr>
          <w:rFonts w:ascii="宋体" w:hAnsi="宋体"/>
          <w:color w:val="0000FF"/>
          <w:sz w:val="24"/>
        </w:rPr>
        <w:t>排水设备</w:t>
      </w:r>
    </w:p>
    <w:p w14:paraId="65BCD737">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该矿选用高效耐磨节能的</w:t>
      </w:r>
      <w:r>
        <w:rPr>
          <w:rFonts w:ascii="宋体" w:hAnsi="宋体"/>
          <w:color w:val="0000FF"/>
          <w:sz w:val="24"/>
        </w:rPr>
        <w:t>D</w:t>
      </w:r>
      <w:r>
        <w:rPr>
          <w:rFonts w:hint="eastAsia" w:ascii="宋体" w:hAnsi="宋体"/>
          <w:color w:val="0000FF"/>
          <w:sz w:val="24"/>
        </w:rPr>
        <w:t>F155－67</w:t>
      </w:r>
      <w:r>
        <w:rPr>
          <w:rFonts w:ascii="宋体" w:hAnsi="宋体"/>
          <w:color w:val="0000FF"/>
          <w:sz w:val="24"/>
        </w:rPr>
        <w:t>×</w:t>
      </w:r>
      <w:r>
        <w:rPr>
          <w:rFonts w:hint="eastAsia" w:ascii="宋体" w:hAnsi="宋体"/>
          <w:color w:val="0000FF"/>
          <w:sz w:val="24"/>
        </w:rPr>
        <w:t>4</w:t>
      </w:r>
      <w:r>
        <w:rPr>
          <w:rFonts w:hint="eastAsia" w:ascii="宋体" w:hAnsi="宋体"/>
          <w:smallCaps/>
          <w:color w:val="0000FF"/>
          <w:sz w:val="24"/>
        </w:rPr>
        <w:t>型(矿上已有)矿用离心式水泵三台（正常涌水量时，一台泵工作；最大涌水量时，二台泵工作，一台泵备用检修），</w:t>
      </w:r>
      <w:r>
        <w:rPr>
          <w:rFonts w:ascii="宋体" w:hAnsi="宋体"/>
          <w:smallCaps/>
          <w:color w:val="0000FF"/>
          <w:sz w:val="24"/>
        </w:rPr>
        <w:t>D</w:t>
      </w:r>
      <w:r>
        <w:rPr>
          <w:rFonts w:hint="eastAsia" w:ascii="宋体" w:hAnsi="宋体"/>
          <w:smallCaps/>
          <w:color w:val="0000FF"/>
          <w:sz w:val="24"/>
        </w:rPr>
        <w:t>F系列水泵的研究九三年曾获煤炭部节能技术改造优秀项目一等奖。配用</w:t>
      </w:r>
      <w:r>
        <w:rPr>
          <w:rFonts w:ascii="宋体" w:hAnsi="宋体"/>
          <w:smallCaps/>
          <w:color w:val="0000FF"/>
          <w:sz w:val="24"/>
        </w:rPr>
        <w:t>YB</w:t>
      </w:r>
      <w:r>
        <w:rPr>
          <w:rFonts w:hint="eastAsia" w:ascii="宋体" w:hAnsi="宋体"/>
          <w:smallCaps/>
          <w:color w:val="0000FF"/>
          <w:sz w:val="24"/>
        </w:rPr>
        <w:t>315M1－2、185</w:t>
      </w:r>
      <w:r>
        <w:rPr>
          <w:rFonts w:hint="eastAsia" w:ascii="宋体" w:hAnsi="宋体"/>
          <w:color w:val="0000FF"/>
          <w:sz w:val="24"/>
        </w:rPr>
        <w:t>kW</w:t>
      </w:r>
      <w:r>
        <w:rPr>
          <w:rFonts w:hint="eastAsia" w:ascii="宋体" w:hAnsi="宋体"/>
          <w:smallCaps/>
          <w:color w:val="0000FF"/>
          <w:sz w:val="24"/>
        </w:rPr>
        <w:t>防爆电机，其效率为0.95。采用无底阀排水。</w:t>
      </w:r>
    </w:p>
    <w:p w14:paraId="50367A9B">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水泵电耗：水泵工况点参数为：流量185</w:t>
      </w:r>
      <w:r>
        <w:rPr>
          <w:rFonts w:hint="eastAsia" w:ascii="宋体" w:hAnsi="宋体"/>
          <w:color w:val="0000FF"/>
          <w:sz w:val="24"/>
        </w:rPr>
        <w:t>m</w:t>
      </w:r>
      <w:r>
        <w:rPr>
          <w:rFonts w:hint="eastAsia" w:ascii="宋体" w:hAnsi="宋体"/>
          <w:color w:val="0000FF"/>
          <w:sz w:val="24"/>
          <w:vertAlign w:val="superscript"/>
        </w:rPr>
        <w:t>3</w:t>
      </w:r>
      <w:r>
        <w:rPr>
          <w:rFonts w:ascii="宋体" w:hAnsi="宋体"/>
          <w:smallCaps/>
          <w:color w:val="0000FF"/>
          <w:sz w:val="24"/>
        </w:rPr>
        <w:t xml:space="preserve"> /</w:t>
      </w:r>
      <w:r>
        <w:rPr>
          <w:rFonts w:hint="eastAsia" w:ascii="宋体" w:hAnsi="宋体"/>
          <w:color w:val="0000FF"/>
          <w:sz w:val="24"/>
        </w:rPr>
        <w:t>h</w:t>
      </w:r>
      <w:r>
        <w:rPr>
          <w:rFonts w:ascii="宋体" w:hAnsi="宋体"/>
          <w:smallCaps/>
          <w:color w:val="0000FF"/>
          <w:sz w:val="24"/>
        </w:rPr>
        <w:t xml:space="preserve"> </w:t>
      </w:r>
      <w:r>
        <w:rPr>
          <w:rFonts w:hint="eastAsia" w:ascii="宋体" w:hAnsi="宋体"/>
          <w:smallCaps/>
          <w:color w:val="0000FF"/>
          <w:sz w:val="24"/>
        </w:rPr>
        <w:t>、扬程268</w:t>
      </w:r>
      <w:r>
        <w:rPr>
          <w:rFonts w:hint="eastAsia" w:ascii="宋体" w:hAnsi="宋体"/>
          <w:color w:val="0000FF"/>
          <w:sz w:val="24"/>
        </w:rPr>
        <w:t>m</w:t>
      </w:r>
      <w:r>
        <w:rPr>
          <w:rFonts w:hint="eastAsia" w:ascii="宋体" w:hAnsi="宋体"/>
          <w:smallCaps/>
          <w:color w:val="0000FF"/>
          <w:sz w:val="24"/>
        </w:rPr>
        <w:t>、效率</w:t>
      </w:r>
      <w:r>
        <w:rPr>
          <w:rFonts w:ascii="宋体" w:hAnsi="宋体"/>
          <w:smallCaps/>
          <w:color w:val="0000FF"/>
          <w:sz w:val="24"/>
        </w:rPr>
        <w:t>0.</w:t>
      </w:r>
      <w:r>
        <w:rPr>
          <w:rFonts w:hint="eastAsia" w:ascii="宋体" w:hAnsi="宋体"/>
          <w:smallCaps/>
          <w:color w:val="0000FF"/>
          <w:sz w:val="24"/>
        </w:rPr>
        <w:t>74；</w:t>
      </w:r>
    </w:p>
    <w:p w14:paraId="5D193455">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1）消耗的功率</w:t>
      </w:r>
    </w:p>
    <w:p w14:paraId="7CC2BF96">
      <w:pPr>
        <w:spacing w:line="360" w:lineRule="auto"/>
        <w:ind w:firstLine="480" w:firstLineChars="200"/>
        <w:rPr>
          <w:rFonts w:ascii="宋体" w:hAnsi="宋体"/>
          <w:smallCaps/>
          <w:color w:val="0000FF"/>
          <w:sz w:val="24"/>
        </w:rPr>
      </w:pPr>
      <w:r>
        <w:rPr>
          <w:rFonts w:hint="eastAsia" w:ascii="宋体" w:hAnsi="宋体"/>
          <w:smallCaps/>
          <w:color w:val="0000FF"/>
          <w:sz w:val="24"/>
        </w:rPr>
        <w:t>P=185×268×1030</w:t>
      </w:r>
      <w:r>
        <w:rPr>
          <w:rFonts w:ascii="宋体" w:hAnsi="宋体"/>
          <w:smallCaps/>
          <w:color w:val="0000FF"/>
          <w:sz w:val="24"/>
        </w:rPr>
        <w:t>÷</w:t>
      </w:r>
      <w:r>
        <w:rPr>
          <w:rFonts w:hint="eastAsia" w:ascii="宋体" w:hAnsi="宋体"/>
          <w:smallCaps/>
          <w:color w:val="0000FF"/>
          <w:sz w:val="24"/>
        </w:rPr>
        <w:t>（102×0.74×0.95×3600）=179.8</w:t>
      </w:r>
      <w:r>
        <w:rPr>
          <w:rFonts w:hint="eastAsia" w:ascii="宋体" w:hAnsi="宋体"/>
          <w:color w:val="0000FF"/>
          <w:sz w:val="24"/>
        </w:rPr>
        <w:t>kW</w:t>
      </w:r>
    </w:p>
    <w:p w14:paraId="52B12FD9">
      <w:pPr>
        <w:spacing w:line="360" w:lineRule="auto"/>
        <w:ind w:firstLine="480" w:firstLineChars="200"/>
        <w:rPr>
          <w:rFonts w:hint="eastAsia" w:ascii="宋体" w:hAnsi="宋体"/>
          <w:smallCaps/>
          <w:color w:val="0000FF"/>
          <w:sz w:val="24"/>
        </w:rPr>
      </w:pPr>
      <w:r>
        <w:rPr>
          <w:rFonts w:hint="eastAsia" w:ascii="宋体" w:hAnsi="宋体"/>
          <w:smallCaps/>
          <w:color w:val="0000FF"/>
          <w:sz w:val="24"/>
        </w:rPr>
        <w:t>2）吨水</w:t>
      </w:r>
      <w:r>
        <w:rPr>
          <w:rFonts w:ascii="宋体" w:hAnsi="宋体"/>
          <w:smallCaps/>
          <w:color w:val="0000FF"/>
          <w:sz w:val="24"/>
        </w:rPr>
        <w:t>•</w:t>
      </w:r>
      <w:r>
        <w:rPr>
          <w:rFonts w:hint="eastAsia" w:ascii="宋体" w:hAnsi="宋体"/>
          <w:smallCaps/>
          <w:color w:val="0000FF"/>
          <w:sz w:val="24"/>
        </w:rPr>
        <w:t>百米所需的电耗为</w:t>
      </w:r>
    </w:p>
    <w:p w14:paraId="30DA0340">
      <w:pPr>
        <w:spacing w:line="360" w:lineRule="auto"/>
        <w:ind w:firstLine="480" w:firstLineChars="200"/>
        <w:rPr>
          <w:rFonts w:ascii="宋体" w:hAnsi="宋体"/>
          <w:smallCaps/>
          <w:color w:val="0000FF"/>
          <w:sz w:val="24"/>
        </w:rPr>
      </w:pPr>
      <w:r>
        <w:rPr>
          <w:rFonts w:ascii="宋体" w:hAnsi="宋体"/>
          <w:smallCaps/>
          <w:color w:val="0000FF"/>
          <w:sz w:val="24"/>
        </w:rPr>
        <w:t>W=</w:t>
      </w:r>
      <w:r>
        <w:rPr>
          <w:rFonts w:hint="eastAsia" w:ascii="宋体" w:hAnsi="宋体"/>
          <w:smallCaps/>
          <w:color w:val="0000FF"/>
          <w:sz w:val="24"/>
        </w:rPr>
        <w:t>179.8×</w:t>
      </w:r>
      <w:r>
        <w:rPr>
          <w:rFonts w:ascii="宋体" w:hAnsi="宋体"/>
          <w:smallCaps/>
          <w:color w:val="0000FF"/>
          <w:sz w:val="24"/>
        </w:rPr>
        <w:t>100÷</w:t>
      </w:r>
      <w:r>
        <w:rPr>
          <w:rFonts w:hint="eastAsia" w:ascii="宋体" w:hAnsi="宋体"/>
          <w:smallCaps/>
          <w:color w:val="0000FF"/>
          <w:sz w:val="24"/>
        </w:rPr>
        <w:t>（185×268）</w:t>
      </w:r>
      <w:r>
        <w:rPr>
          <w:rFonts w:ascii="宋体" w:hAnsi="宋体"/>
          <w:smallCaps/>
          <w:color w:val="0000FF"/>
          <w:sz w:val="24"/>
        </w:rPr>
        <w:t>=</w:t>
      </w:r>
      <w:r>
        <w:rPr>
          <w:rFonts w:hint="eastAsia" w:ascii="宋体" w:hAnsi="宋体"/>
          <w:smallCaps/>
          <w:color w:val="0000FF"/>
          <w:sz w:val="24"/>
        </w:rPr>
        <w:t>0.3626</w:t>
      </w:r>
      <w:r>
        <w:rPr>
          <w:rFonts w:hint="eastAsia" w:ascii="宋体" w:hAnsi="宋体"/>
          <w:color w:val="0000FF"/>
          <w:sz w:val="24"/>
        </w:rPr>
        <w:t>kW</w:t>
      </w:r>
      <w:r>
        <w:rPr>
          <w:rFonts w:ascii="宋体" w:hAnsi="宋体"/>
          <w:smallCaps/>
          <w:color w:val="0000FF"/>
          <w:sz w:val="24"/>
        </w:rPr>
        <w:t>•</w:t>
      </w:r>
      <w:r>
        <w:rPr>
          <w:rFonts w:hint="eastAsia" w:ascii="宋体" w:hAnsi="宋体"/>
          <w:color w:val="0000FF"/>
          <w:sz w:val="24"/>
        </w:rPr>
        <w:t>h</w:t>
      </w:r>
    </w:p>
    <w:p w14:paraId="6CFFD291">
      <w:pPr>
        <w:spacing w:line="360" w:lineRule="auto"/>
        <w:ind w:firstLine="480" w:firstLineChars="200"/>
        <w:rPr>
          <w:rFonts w:hint="eastAsia" w:ascii="宋体" w:hAnsi="宋体"/>
          <w:color w:val="0000FF"/>
          <w:sz w:val="24"/>
        </w:rPr>
      </w:pPr>
      <w:r>
        <w:rPr>
          <w:rFonts w:hint="eastAsia" w:ascii="宋体" w:hAnsi="宋体"/>
          <w:smallCaps/>
          <w:color w:val="0000FF"/>
          <w:sz w:val="24"/>
        </w:rPr>
        <w:t>经上述计算，设计所选水泵吨水百米的电耗小于对水泵的规定值0.5</w:t>
      </w:r>
      <w:r>
        <w:rPr>
          <w:rFonts w:hint="eastAsia" w:ascii="宋体" w:hAnsi="宋体"/>
          <w:color w:val="0000FF"/>
          <w:sz w:val="24"/>
        </w:rPr>
        <w:t>kW</w:t>
      </w:r>
      <w:r>
        <w:rPr>
          <w:rFonts w:ascii="宋体" w:hAnsi="宋体"/>
          <w:smallCaps/>
          <w:color w:val="0000FF"/>
          <w:sz w:val="24"/>
        </w:rPr>
        <w:t>•</w:t>
      </w:r>
      <w:r>
        <w:rPr>
          <w:rFonts w:hint="eastAsia" w:ascii="宋体" w:hAnsi="宋体"/>
          <w:color w:val="0000FF"/>
          <w:sz w:val="24"/>
        </w:rPr>
        <w:t>h</w:t>
      </w:r>
      <w:r>
        <w:rPr>
          <w:rFonts w:hint="eastAsia" w:ascii="宋体" w:hAnsi="宋体"/>
          <w:smallCaps/>
          <w:color w:val="0000FF"/>
          <w:sz w:val="24"/>
        </w:rPr>
        <w:t>；满足节能要求。</w:t>
      </w:r>
    </w:p>
    <w:p w14:paraId="3ABAADAB">
      <w:pPr>
        <w:pStyle w:val="24"/>
        <w:spacing w:before="120" w:beforeLines="50" w:line="360" w:lineRule="auto"/>
        <w:ind w:left="0" w:leftChars="0" w:firstLine="480" w:firstLineChars="200"/>
        <w:rPr>
          <w:rFonts w:ascii="宋体" w:hAnsi="宋体"/>
          <w:color w:val="0000FF"/>
          <w:sz w:val="24"/>
        </w:rPr>
      </w:pPr>
      <w:r>
        <w:rPr>
          <w:rFonts w:hint="eastAsia" w:ascii="宋体" w:hAnsi="宋体"/>
          <w:color w:val="0000FF"/>
          <w:sz w:val="24"/>
        </w:rPr>
        <w:t>（5）</w:t>
      </w:r>
      <w:r>
        <w:rPr>
          <w:rFonts w:ascii="宋体" w:hAnsi="宋体"/>
          <w:color w:val="0000FF"/>
          <w:sz w:val="24"/>
        </w:rPr>
        <w:t>压风设备</w:t>
      </w:r>
    </w:p>
    <w:p w14:paraId="4D6032A7">
      <w:pPr>
        <w:spacing w:line="360" w:lineRule="auto"/>
        <w:ind w:firstLine="480" w:firstLineChars="200"/>
        <w:rPr>
          <w:rFonts w:hint="eastAsia" w:ascii="宋体" w:hAnsi="宋体"/>
          <w:color w:val="0000FF"/>
          <w:sz w:val="24"/>
        </w:rPr>
      </w:pPr>
      <w:r>
        <w:rPr>
          <w:rFonts w:hint="eastAsia" w:ascii="宋体" w:hAnsi="宋体"/>
          <w:smallCaps/>
          <w:color w:val="0000FF"/>
          <w:sz w:val="24"/>
        </w:rPr>
        <w:t>选用高效节能</w:t>
      </w:r>
      <w:r>
        <w:rPr>
          <w:rFonts w:hint="eastAsia" w:ascii="宋体" w:hAnsi="宋体"/>
          <w:color w:val="0000FF"/>
          <w:sz w:val="24"/>
        </w:rPr>
        <w:t>S</w:t>
      </w:r>
      <w:r>
        <w:rPr>
          <w:rFonts w:ascii="宋体" w:hAnsi="宋体"/>
          <w:color w:val="0000FF"/>
          <w:sz w:val="24"/>
        </w:rPr>
        <w:t>A</w:t>
      </w:r>
      <w:r>
        <w:rPr>
          <w:rFonts w:hint="eastAsia" w:ascii="宋体" w:hAnsi="宋体"/>
          <w:color w:val="0000FF"/>
          <w:sz w:val="24"/>
        </w:rPr>
        <w:t>75</w:t>
      </w:r>
      <w:r>
        <w:rPr>
          <w:rFonts w:ascii="宋体" w:hAnsi="宋体"/>
          <w:color w:val="0000FF"/>
          <w:sz w:val="24"/>
        </w:rPr>
        <w:t>（A）/7.5</w:t>
      </w:r>
      <w:r>
        <w:rPr>
          <w:rFonts w:hint="eastAsia" w:ascii="宋体" w:hAnsi="宋体"/>
          <w:smallCaps/>
          <w:color w:val="0000FF"/>
          <w:sz w:val="24"/>
        </w:rPr>
        <w:t>型风冷螺杆压縮机三台（二用一备），其排气量Q=14.1</w:t>
      </w:r>
      <w:r>
        <w:rPr>
          <w:rFonts w:hint="eastAsia" w:ascii="宋体" w:hAnsi="宋体"/>
          <w:color w:val="0000FF"/>
          <w:sz w:val="24"/>
        </w:rPr>
        <w:t>m</w:t>
      </w:r>
      <w:r>
        <w:rPr>
          <w:rFonts w:hint="eastAsia" w:ascii="宋体" w:hAnsi="宋体"/>
          <w:color w:val="0000FF"/>
          <w:sz w:val="24"/>
          <w:vertAlign w:val="superscript"/>
        </w:rPr>
        <w:t>3</w:t>
      </w:r>
      <w:r>
        <w:rPr>
          <w:rFonts w:hint="eastAsia" w:ascii="宋体" w:hAnsi="宋体"/>
          <w:color w:val="0000FF"/>
          <w:sz w:val="24"/>
        </w:rPr>
        <w:t>/min</w:t>
      </w:r>
      <w:r>
        <w:rPr>
          <w:rFonts w:hint="eastAsia" w:ascii="宋体" w:hAnsi="宋体"/>
          <w:smallCaps/>
          <w:color w:val="0000FF"/>
          <w:sz w:val="24"/>
        </w:rPr>
        <w:t>，排气压力0.75M</w:t>
      </w:r>
      <w:r>
        <w:rPr>
          <w:rFonts w:hint="eastAsia" w:ascii="宋体" w:hAnsi="宋体"/>
          <w:color w:val="0000FF"/>
          <w:sz w:val="24"/>
        </w:rPr>
        <w:t>Pa</w:t>
      </w:r>
      <w:r>
        <w:rPr>
          <w:rFonts w:hint="eastAsia" w:ascii="宋体" w:hAnsi="宋体"/>
          <w:smallCaps/>
          <w:color w:val="0000FF"/>
          <w:sz w:val="24"/>
        </w:rPr>
        <w:t>；配套电机75</w:t>
      </w:r>
      <w:r>
        <w:rPr>
          <w:rFonts w:hint="eastAsia" w:ascii="宋体" w:hAnsi="宋体"/>
          <w:color w:val="0000FF"/>
          <w:sz w:val="24"/>
        </w:rPr>
        <w:t>kW</w:t>
      </w:r>
      <w:r>
        <w:rPr>
          <w:rFonts w:hint="eastAsia" w:ascii="宋体" w:hAnsi="宋体"/>
          <w:smallCaps/>
          <w:color w:val="0000FF"/>
          <w:sz w:val="24"/>
        </w:rPr>
        <w:t>、380V，轴功率＜65</w:t>
      </w:r>
      <w:r>
        <w:rPr>
          <w:rFonts w:hint="eastAsia" w:ascii="宋体" w:hAnsi="宋体"/>
          <w:color w:val="0000FF"/>
          <w:sz w:val="24"/>
        </w:rPr>
        <w:t>kW</w:t>
      </w:r>
      <w:r>
        <w:rPr>
          <w:rFonts w:hint="eastAsia" w:ascii="宋体" w:hAnsi="宋体"/>
          <w:smallCaps/>
          <w:color w:val="0000FF"/>
          <w:sz w:val="24"/>
        </w:rPr>
        <w:t>，比功率为4.315</w:t>
      </w:r>
      <w:r>
        <w:rPr>
          <w:rFonts w:hint="eastAsia" w:ascii="宋体" w:hAnsi="宋体"/>
          <w:color w:val="0000FF"/>
          <w:sz w:val="24"/>
        </w:rPr>
        <w:t>kW</w:t>
      </w:r>
      <w:r>
        <w:rPr>
          <w:rFonts w:hint="eastAsia" w:ascii="宋体" w:hAnsi="宋体"/>
          <w:smallCaps/>
          <w:color w:val="0000FF"/>
          <w:sz w:val="24"/>
        </w:rPr>
        <w:t>/</w:t>
      </w:r>
      <w:r>
        <w:rPr>
          <w:rFonts w:hint="eastAsia" w:ascii="宋体" w:hAnsi="宋体"/>
          <w:color w:val="0000FF"/>
          <w:sz w:val="24"/>
        </w:rPr>
        <w:t xml:space="preserve"> m</w:t>
      </w:r>
      <w:r>
        <w:rPr>
          <w:rFonts w:hint="eastAsia" w:ascii="宋体" w:hAnsi="宋体"/>
          <w:color w:val="0000FF"/>
          <w:sz w:val="24"/>
          <w:vertAlign w:val="superscript"/>
        </w:rPr>
        <w:t>3</w:t>
      </w:r>
      <w:r>
        <w:rPr>
          <w:rFonts w:ascii="宋体" w:hAnsi="宋体"/>
          <w:smallCaps/>
          <w:color w:val="0000FF"/>
          <w:sz w:val="24"/>
        </w:rPr>
        <w:t>•</w:t>
      </w:r>
      <w:r>
        <w:rPr>
          <w:rFonts w:hint="eastAsia" w:ascii="宋体" w:hAnsi="宋体"/>
          <w:color w:val="0000FF"/>
          <w:sz w:val="24"/>
        </w:rPr>
        <w:t>min</w:t>
      </w:r>
      <w:r>
        <w:rPr>
          <w:rFonts w:hint="eastAsia" w:ascii="宋体" w:hAnsi="宋体"/>
          <w:smallCaps/>
          <w:color w:val="0000FF"/>
          <w:sz w:val="24"/>
        </w:rPr>
        <w:t>，小于规定值5.9</w:t>
      </w:r>
      <w:r>
        <w:rPr>
          <w:rFonts w:hint="eastAsia" w:ascii="宋体" w:hAnsi="宋体"/>
          <w:color w:val="0000FF"/>
          <w:sz w:val="24"/>
        </w:rPr>
        <w:t>kW</w:t>
      </w:r>
      <w:r>
        <w:rPr>
          <w:rFonts w:hint="eastAsia" w:ascii="宋体" w:hAnsi="宋体"/>
          <w:smallCaps/>
          <w:color w:val="0000FF"/>
          <w:sz w:val="24"/>
        </w:rPr>
        <w:t xml:space="preserve"> /</w:t>
      </w:r>
      <w:r>
        <w:rPr>
          <w:rFonts w:hint="eastAsia" w:ascii="宋体" w:hAnsi="宋体"/>
          <w:color w:val="0000FF"/>
          <w:sz w:val="24"/>
        </w:rPr>
        <w:t xml:space="preserve"> m</w:t>
      </w:r>
      <w:r>
        <w:rPr>
          <w:rFonts w:hint="eastAsia" w:ascii="宋体" w:hAnsi="宋体"/>
          <w:color w:val="0000FF"/>
          <w:sz w:val="24"/>
          <w:vertAlign w:val="superscript"/>
        </w:rPr>
        <w:t>3</w:t>
      </w:r>
      <w:r>
        <w:rPr>
          <w:rFonts w:hint="eastAsia" w:ascii="宋体" w:hAnsi="宋体"/>
          <w:smallCaps/>
          <w:color w:val="0000FF"/>
          <w:sz w:val="24"/>
        </w:rPr>
        <w:t xml:space="preserve"> </w:t>
      </w:r>
      <w:r>
        <w:rPr>
          <w:rFonts w:ascii="宋体" w:hAnsi="宋体"/>
          <w:smallCaps/>
          <w:color w:val="0000FF"/>
          <w:sz w:val="24"/>
        </w:rPr>
        <w:t>•</w:t>
      </w:r>
      <w:r>
        <w:rPr>
          <w:rFonts w:hint="eastAsia" w:ascii="宋体" w:hAnsi="宋体"/>
          <w:color w:val="0000FF"/>
          <w:sz w:val="24"/>
        </w:rPr>
        <w:t xml:space="preserve"> min</w:t>
      </w:r>
      <w:r>
        <w:rPr>
          <w:rFonts w:hint="eastAsia" w:ascii="宋体" w:hAnsi="宋体"/>
          <w:smallCaps/>
          <w:color w:val="0000FF"/>
          <w:sz w:val="24"/>
        </w:rPr>
        <w:t>，满足节能要求。空压机为风冷，省去冷却系统，基础投资省，振动小，机组自动化程度高。</w:t>
      </w:r>
    </w:p>
    <w:p w14:paraId="76CCA039">
      <w:pPr>
        <w:pStyle w:val="24"/>
        <w:spacing w:line="360" w:lineRule="auto"/>
        <w:ind w:left="0" w:leftChars="0" w:firstLine="480" w:firstLineChars="200"/>
        <w:rPr>
          <w:rFonts w:ascii="宋体" w:hAnsi="宋体"/>
          <w:color w:val="0000FF"/>
          <w:sz w:val="24"/>
        </w:rPr>
      </w:pPr>
      <w:r>
        <w:rPr>
          <w:rFonts w:hint="eastAsia" w:ascii="宋体" w:hAnsi="宋体"/>
          <w:color w:val="0000FF"/>
          <w:sz w:val="24"/>
        </w:rPr>
        <w:t>（6）</w:t>
      </w:r>
      <w:r>
        <w:rPr>
          <w:rFonts w:ascii="宋体" w:hAnsi="宋体"/>
          <w:color w:val="0000FF"/>
          <w:sz w:val="24"/>
        </w:rPr>
        <w:t>瓦斯抽放设备</w:t>
      </w:r>
    </w:p>
    <w:p w14:paraId="1802E756">
      <w:pPr>
        <w:spacing w:line="360" w:lineRule="auto"/>
        <w:ind w:firstLine="480" w:firstLineChars="200"/>
        <w:rPr>
          <w:rFonts w:hint="eastAsia" w:ascii="宋体" w:hAnsi="宋体"/>
          <w:color w:val="0000FF"/>
          <w:sz w:val="24"/>
        </w:rPr>
      </w:pPr>
      <w:r>
        <w:rPr>
          <w:rFonts w:hint="eastAsia" w:ascii="宋体" w:hAnsi="宋体"/>
          <w:color w:val="0000FF"/>
          <w:sz w:val="24"/>
        </w:rPr>
        <w:t>高负压选用高效节能的水环式真空泵：2BEP40型（n=390rpm）2台(一用一备)，选配防爆电动机</w:t>
      </w:r>
      <w:r>
        <w:rPr>
          <w:rFonts w:hint="eastAsia" w:hAnsi="宋体"/>
          <w:color w:val="0000FF"/>
          <w:sz w:val="24"/>
        </w:rPr>
        <w:t>YB315L1—6</w:t>
      </w:r>
      <w:r>
        <w:rPr>
          <w:rFonts w:hint="eastAsia" w:ascii="宋体" w:hAnsi="宋体"/>
          <w:color w:val="0000FF"/>
          <w:sz w:val="24"/>
        </w:rPr>
        <w:t>、110kW、～660V 两台，其效率为0.925；主管路选用DN300焊接钢管，管路系统配置合理；真空泵为水冷，采用循环水冷却方式，达到节约用水。</w:t>
      </w:r>
    </w:p>
    <w:p w14:paraId="0BF92FF2">
      <w:pPr>
        <w:spacing w:line="360" w:lineRule="auto"/>
        <w:ind w:firstLine="480" w:firstLineChars="200"/>
        <w:rPr>
          <w:rFonts w:hint="eastAsia" w:ascii="宋体" w:hAnsi="宋体"/>
          <w:color w:val="0000FF"/>
          <w:sz w:val="24"/>
        </w:rPr>
      </w:pPr>
      <w:r>
        <w:rPr>
          <w:rFonts w:hint="eastAsia" w:ascii="宋体" w:hAnsi="宋体"/>
          <w:color w:val="0000FF"/>
          <w:sz w:val="24"/>
        </w:rPr>
        <w:t>低负压选用高效节能的水环式真空泵：2BEP40型（n=440rpm）2台(一用一备)，选配防爆电动机</w:t>
      </w:r>
      <w:r>
        <w:rPr>
          <w:rFonts w:hint="eastAsia" w:hAnsi="宋体"/>
          <w:color w:val="0000FF"/>
          <w:sz w:val="24"/>
        </w:rPr>
        <w:t>YB315L2—6</w:t>
      </w:r>
      <w:r>
        <w:rPr>
          <w:rFonts w:hint="eastAsia" w:ascii="宋体" w:hAnsi="宋体"/>
          <w:color w:val="0000FF"/>
          <w:sz w:val="24"/>
        </w:rPr>
        <w:t>、132kW、～660V 两台，其效率为0.925；主管路选用DN325焊接钢管，管路系统配置合理；真空泵为水冷，采用循环水冷却方式，达到节约用水。</w:t>
      </w:r>
    </w:p>
    <w:p w14:paraId="722A8385">
      <w:pPr>
        <w:spacing w:line="360" w:lineRule="auto"/>
        <w:ind w:firstLine="480" w:firstLineChars="200"/>
        <w:rPr>
          <w:rFonts w:ascii="宋体" w:hAnsi="宋体"/>
          <w:sz w:val="24"/>
        </w:rPr>
      </w:pPr>
      <w:bookmarkStart w:id="770" w:name="_Toc217651190"/>
      <w:bookmarkStart w:id="771" w:name="_Toc217653678"/>
      <w:bookmarkStart w:id="772" w:name="_Toc214534200"/>
      <w:bookmarkStart w:id="773" w:name="_Toc214940589"/>
      <w:r>
        <w:rPr>
          <w:rFonts w:hint="eastAsia" w:ascii="宋体" w:hAnsi="宋体"/>
          <w:sz w:val="24"/>
        </w:rPr>
        <w:t>3、</w:t>
      </w:r>
      <w:r>
        <w:rPr>
          <w:rFonts w:ascii="宋体" w:hAnsi="宋体"/>
          <w:sz w:val="24"/>
        </w:rPr>
        <w:t>水耗指标计算和能耗分析</w:t>
      </w:r>
      <w:bookmarkEnd w:id="770"/>
      <w:bookmarkEnd w:id="771"/>
      <w:bookmarkEnd w:id="772"/>
      <w:bookmarkEnd w:id="773"/>
    </w:p>
    <w:p w14:paraId="6B10AB46">
      <w:pPr>
        <w:pStyle w:val="24"/>
        <w:spacing w:line="360" w:lineRule="auto"/>
        <w:ind w:left="0" w:leftChars="0" w:firstLine="480" w:firstLineChars="200"/>
        <w:rPr>
          <w:rFonts w:ascii="宋体" w:hAnsi="宋体"/>
          <w:sz w:val="24"/>
        </w:rPr>
      </w:pPr>
      <w:r>
        <w:rPr>
          <w:rFonts w:hint="eastAsia" w:ascii="宋体" w:hAnsi="宋体"/>
          <w:sz w:val="24"/>
        </w:rPr>
        <w:t>水城县玉舍大坪煤矿</w:t>
      </w:r>
      <w:r>
        <w:rPr>
          <w:rFonts w:ascii="宋体" w:hAnsi="宋体"/>
          <w:sz w:val="24"/>
        </w:rPr>
        <w:t>的各项用水量指标按以下规范选取：</w:t>
      </w:r>
    </w:p>
    <w:p w14:paraId="1A0266F8">
      <w:pPr>
        <w:pStyle w:val="24"/>
        <w:spacing w:line="360" w:lineRule="auto"/>
        <w:ind w:left="0" w:leftChars="0" w:firstLine="480" w:firstLineChars="200"/>
        <w:rPr>
          <w:rFonts w:ascii="宋体" w:hAnsi="宋体"/>
          <w:sz w:val="24"/>
        </w:rPr>
      </w:pPr>
      <w:r>
        <w:rPr>
          <w:rFonts w:ascii="宋体" w:hAnsi="宋体"/>
          <w:sz w:val="24"/>
        </w:rPr>
        <w:t>（1）《煤炭工业矿井设计规范》（GB50215－2005）</w:t>
      </w:r>
    </w:p>
    <w:p w14:paraId="5DA7AF02">
      <w:pPr>
        <w:pStyle w:val="24"/>
        <w:spacing w:line="360" w:lineRule="auto"/>
        <w:ind w:left="0" w:leftChars="0" w:firstLine="480" w:firstLineChars="200"/>
        <w:rPr>
          <w:rFonts w:ascii="宋体" w:hAnsi="宋体"/>
          <w:sz w:val="24"/>
        </w:rPr>
      </w:pPr>
      <w:r>
        <w:rPr>
          <w:rFonts w:ascii="宋体" w:hAnsi="宋体"/>
          <w:sz w:val="24"/>
        </w:rPr>
        <w:t>（2）《煤炭工业给水排水设计规范》（MT/T5013－96）</w:t>
      </w:r>
    </w:p>
    <w:p w14:paraId="147DE572">
      <w:pPr>
        <w:pStyle w:val="24"/>
        <w:spacing w:line="360" w:lineRule="auto"/>
        <w:ind w:left="0" w:leftChars="0" w:firstLine="480" w:firstLineChars="200"/>
        <w:rPr>
          <w:rFonts w:ascii="宋体" w:hAnsi="宋体"/>
          <w:sz w:val="24"/>
        </w:rPr>
      </w:pPr>
      <w:r>
        <w:rPr>
          <w:rFonts w:ascii="宋体" w:hAnsi="宋体"/>
          <w:sz w:val="24"/>
        </w:rPr>
        <w:t>（3）《建筑设计防火规范》（GB50016－2006）</w:t>
      </w:r>
    </w:p>
    <w:p w14:paraId="72D86B30">
      <w:pPr>
        <w:pStyle w:val="24"/>
        <w:spacing w:line="360" w:lineRule="auto"/>
        <w:ind w:left="0" w:leftChars="0" w:firstLine="480" w:firstLineChars="200"/>
        <w:rPr>
          <w:rFonts w:ascii="宋体" w:hAnsi="宋体"/>
          <w:sz w:val="24"/>
        </w:rPr>
      </w:pPr>
      <w:r>
        <w:rPr>
          <w:rFonts w:ascii="宋体" w:hAnsi="宋体"/>
          <w:sz w:val="24"/>
        </w:rPr>
        <w:t>（4）《建筑给水排水设计规范》（GB50015－2003）</w:t>
      </w:r>
    </w:p>
    <w:p w14:paraId="1A7B3E53">
      <w:pPr>
        <w:pStyle w:val="24"/>
        <w:spacing w:line="360" w:lineRule="auto"/>
        <w:ind w:left="0" w:leftChars="0" w:firstLine="480" w:firstLineChars="200"/>
        <w:rPr>
          <w:rFonts w:ascii="宋体" w:hAnsi="宋体"/>
          <w:sz w:val="24"/>
        </w:rPr>
      </w:pPr>
      <w:r>
        <w:rPr>
          <w:rFonts w:ascii="宋体" w:hAnsi="宋体"/>
          <w:sz w:val="24"/>
        </w:rPr>
        <w:t>（5）《室外给水设计规范》（GB50013－2006）</w:t>
      </w:r>
    </w:p>
    <w:p w14:paraId="44C82BC3">
      <w:pPr>
        <w:pStyle w:val="24"/>
        <w:spacing w:line="360" w:lineRule="auto"/>
        <w:ind w:left="0" w:leftChars="0" w:firstLine="480" w:firstLineChars="200"/>
        <w:rPr>
          <w:rFonts w:ascii="宋体" w:hAnsi="宋体"/>
          <w:sz w:val="24"/>
        </w:rPr>
      </w:pPr>
      <w:r>
        <w:rPr>
          <w:rFonts w:ascii="宋体" w:hAnsi="宋体"/>
          <w:sz w:val="24"/>
        </w:rPr>
        <w:t>（6）《室外排水设计规范》（GB50215－2005）</w:t>
      </w:r>
    </w:p>
    <w:p w14:paraId="5D1841C0">
      <w:pPr>
        <w:pStyle w:val="24"/>
        <w:spacing w:line="360" w:lineRule="auto"/>
        <w:ind w:left="0" w:leftChars="0" w:firstLine="480" w:firstLineChars="200"/>
        <w:rPr>
          <w:rFonts w:ascii="宋体" w:hAnsi="宋体"/>
          <w:sz w:val="24"/>
        </w:rPr>
      </w:pPr>
      <w:r>
        <w:rPr>
          <w:rFonts w:ascii="宋体" w:hAnsi="宋体"/>
          <w:sz w:val="24"/>
        </w:rPr>
        <w:t>（7）《煤矿井下消防、洒水设计规范》（GB50383－2006）</w:t>
      </w:r>
    </w:p>
    <w:p w14:paraId="45A798EF">
      <w:pPr>
        <w:spacing w:line="360" w:lineRule="auto"/>
        <w:ind w:firstLine="480" w:firstLineChars="200"/>
        <w:rPr>
          <w:rFonts w:hint="eastAsia" w:ascii="宋体" w:hAnsi="宋体"/>
          <w:sz w:val="24"/>
        </w:rPr>
      </w:pPr>
      <w:r>
        <w:rPr>
          <w:rFonts w:hint="eastAsia" w:ascii="宋体" w:hAnsi="宋体"/>
          <w:sz w:val="24"/>
        </w:rPr>
        <w:t>经计算，该矿井总生产、生活消防最高日用水量约990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，其中生产用水量约375</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，生活用水量约290</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，消防用水量325</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p>
    <w:p w14:paraId="3FE36301">
      <w:pPr>
        <w:pStyle w:val="24"/>
        <w:spacing w:line="360" w:lineRule="auto"/>
        <w:ind w:left="0" w:leftChars="0" w:firstLine="480" w:firstLineChars="200"/>
        <w:rPr>
          <w:rFonts w:ascii="宋体" w:hAnsi="宋体"/>
          <w:sz w:val="24"/>
        </w:rPr>
      </w:pPr>
      <w:r>
        <w:rPr>
          <w:rFonts w:hint="eastAsia" w:ascii="宋体" w:hAnsi="宋体"/>
          <w:sz w:val="24"/>
        </w:rPr>
        <w:t>井下水涌水量56.5</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h（含井下消防、洒水水量），设井下水处理站规模为60</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h，采用混凝沉淀处理工艺，经井下水处理站处理后的井下水主要做工业场地生产系统及井下生产，多余部分排放或做农灌用水。</w:t>
      </w:r>
    </w:p>
    <w:p w14:paraId="39CF7D32">
      <w:pPr>
        <w:pStyle w:val="4"/>
        <w:keepLines/>
        <w:adjustRightInd w:val="0"/>
        <w:snapToGrid w:val="0"/>
        <w:spacing w:before="240" w:after="240" w:line="360" w:lineRule="auto"/>
        <w:ind w:firstLine="562" w:firstLineChars="200"/>
        <w:jc w:val="both"/>
        <w:rPr>
          <w:b/>
          <w:color w:val="000000"/>
          <w:kern w:val="0"/>
          <w:szCs w:val="20"/>
        </w:rPr>
      </w:pPr>
      <w:bookmarkStart w:id="774" w:name="_Toc217653679"/>
      <w:r>
        <w:rPr>
          <w:rFonts w:hint="eastAsia"/>
          <w:b/>
          <w:color w:val="000000"/>
          <w:kern w:val="0"/>
          <w:szCs w:val="20"/>
        </w:rPr>
        <w:t>五、</w:t>
      </w:r>
      <w:r>
        <w:rPr>
          <w:b/>
          <w:color w:val="000000"/>
          <w:kern w:val="0"/>
          <w:szCs w:val="20"/>
        </w:rPr>
        <w:t>项目节能措施及效果分析</w:t>
      </w:r>
      <w:bookmarkEnd w:id="774"/>
    </w:p>
    <w:p w14:paraId="294C8C06">
      <w:pPr>
        <w:pStyle w:val="24"/>
        <w:spacing w:before="120" w:beforeLines="50" w:line="360" w:lineRule="auto"/>
        <w:ind w:left="0" w:leftChars="0" w:firstLine="480" w:firstLineChars="200"/>
        <w:rPr>
          <w:rFonts w:ascii="宋体" w:hAnsi="宋体"/>
          <w:sz w:val="24"/>
        </w:rPr>
      </w:pPr>
      <w:bookmarkStart w:id="775" w:name="_Toc214940591"/>
      <w:bookmarkStart w:id="776" w:name="_Toc214534202"/>
      <w:bookmarkStart w:id="777" w:name="_Toc217651192"/>
      <w:r>
        <w:rPr>
          <w:rFonts w:hint="eastAsia" w:ascii="宋体" w:hAnsi="宋体"/>
          <w:sz w:val="24"/>
        </w:rPr>
        <w:t>1、</w:t>
      </w:r>
      <w:r>
        <w:rPr>
          <w:rFonts w:ascii="宋体" w:hAnsi="宋体"/>
          <w:sz w:val="24"/>
        </w:rPr>
        <w:t>井下开采节能</w:t>
      </w:r>
      <w:bookmarkEnd w:id="775"/>
      <w:bookmarkEnd w:id="776"/>
      <w:bookmarkEnd w:id="777"/>
    </w:p>
    <w:p w14:paraId="59BFBCDE">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1）煤矿设计要符合清洁生产的要求，优先采用资源回收率高、污染排放少的清洁生产技术、工艺和设备，要有对固、液、气体废弃物、共伴生资源和余热等进行综合利用的措施，并做到达标排放。严格按照核准（审批）的煤矿建成设规模进行初步设计。</w:t>
      </w:r>
    </w:p>
    <w:p w14:paraId="0A6EBFC9">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优化矿井开拓开采部署，本矿井工作面采用走向长壁布置，巷道布置系统简单，生产运输环节少，占用设备少，既安全可靠，又使能耗较低。</w:t>
      </w:r>
    </w:p>
    <w:p w14:paraId="53BB278E">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本矿井采用</w:t>
      </w:r>
      <w:r>
        <w:rPr>
          <w:rFonts w:hint="eastAsia" w:ascii="宋体" w:hAnsi="宋体"/>
          <w:sz w:val="24"/>
        </w:rPr>
        <w:t>中央并列</w:t>
      </w:r>
      <w:r>
        <w:rPr>
          <w:rFonts w:ascii="宋体" w:hAnsi="宋体"/>
          <w:sz w:val="24"/>
        </w:rPr>
        <w:t>式通风，尽量缩短通风线路，降低通风阻力，以减少能源消耗；</w:t>
      </w:r>
    </w:p>
    <w:p w14:paraId="17889D6A">
      <w:pPr>
        <w:pStyle w:val="24"/>
        <w:spacing w:line="360" w:lineRule="auto"/>
        <w:ind w:left="0" w:leftChars="0" w:firstLine="480" w:firstLineChars="200"/>
        <w:rPr>
          <w:rFonts w:ascii="宋体" w:hAnsi="宋体"/>
          <w:sz w:val="24"/>
        </w:rPr>
      </w:pPr>
      <w:r>
        <w:rPr>
          <w:rFonts w:hint="eastAsia" w:ascii="宋体" w:hAnsi="宋体"/>
          <w:sz w:val="24"/>
        </w:rPr>
        <w:t>3）</w:t>
      </w:r>
      <w:r>
        <w:rPr>
          <w:rFonts w:ascii="宋体" w:hAnsi="宋体"/>
          <w:sz w:val="24"/>
        </w:rPr>
        <w:t>减少煤炭损失，提高资源回收率：主要采取实行无煤柱开采、减少煤柱损失等措施。</w:t>
      </w:r>
    </w:p>
    <w:p w14:paraId="3039F2C1">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 xml:space="preserve">抽采瓦斯，实现瓦斯综合利用，变害为利。 </w:t>
      </w:r>
    </w:p>
    <w:p w14:paraId="190B2C28">
      <w:pPr>
        <w:pStyle w:val="24"/>
        <w:spacing w:line="360" w:lineRule="auto"/>
        <w:ind w:left="0" w:leftChars="0" w:firstLine="480" w:firstLineChars="200"/>
        <w:rPr>
          <w:rFonts w:ascii="宋体" w:hAnsi="宋体"/>
          <w:sz w:val="24"/>
        </w:rPr>
      </w:pPr>
      <w:r>
        <w:rPr>
          <w:rFonts w:ascii="宋体" w:hAnsi="宋体"/>
          <w:sz w:val="24"/>
        </w:rPr>
        <w:t>本矿井为煤与瓦斯突出危险性矿井，矿井绝对瓦斯涌出量为</w:t>
      </w:r>
      <w:r>
        <w:rPr>
          <w:rFonts w:hint="eastAsia" w:ascii="宋体" w:hAnsi="宋体"/>
          <w:sz w:val="24"/>
        </w:rPr>
        <w:t>32.97</w:t>
      </w:r>
      <w:r>
        <w:rPr>
          <w:rFonts w:ascii="宋体" w:hAnsi="宋体"/>
          <w:sz w:val="24"/>
        </w:rPr>
        <w:t>m</w:t>
      </w:r>
      <w:r>
        <w:rPr>
          <w:rFonts w:ascii="宋体" w:hAnsi="宋体"/>
          <w:sz w:val="24"/>
          <w:vertAlign w:val="superscript"/>
        </w:rPr>
        <w:t>3</w:t>
      </w:r>
      <w:r>
        <w:rPr>
          <w:rFonts w:ascii="宋体" w:hAnsi="宋体"/>
          <w:sz w:val="24"/>
        </w:rPr>
        <w:t>/min；</w:t>
      </w:r>
    </w:p>
    <w:p w14:paraId="76510CC9">
      <w:pPr>
        <w:pStyle w:val="24"/>
        <w:spacing w:line="360" w:lineRule="auto"/>
        <w:ind w:left="0" w:leftChars="0" w:firstLine="480" w:firstLineChars="200"/>
        <w:rPr>
          <w:rFonts w:ascii="宋体" w:hAnsi="宋体"/>
          <w:sz w:val="24"/>
        </w:rPr>
      </w:pPr>
      <w:r>
        <w:rPr>
          <w:rFonts w:ascii="宋体" w:hAnsi="宋体"/>
          <w:sz w:val="24"/>
        </w:rPr>
        <w:t>设计确定本矿井设置高、低压两套瓦斯抽放系统，高负压系统主要用于预抽消突，采用“先抽后掘、先抽后采”预抽解突；低负压瓦斯抽放系统主要进行采空区和卸压抽放。矿井在先进行预抽的情况下，矿井瓦斯抽出率为</w:t>
      </w:r>
      <w:r>
        <w:rPr>
          <w:rFonts w:hint="eastAsia" w:ascii="宋体" w:hAnsi="宋体"/>
          <w:sz w:val="24"/>
        </w:rPr>
        <w:t>40</w:t>
      </w:r>
      <w:r>
        <w:rPr>
          <w:rFonts w:ascii="宋体" w:hAnsi="宋体"/>
          <w:sz w:val="24"/>
        </w:rPr>
        <w:t>％，满足煤矿瓦斯抽采基本指标（AQl026—2006)的规定。</w:t>
      </w:r>
    </w:p>
    <w:p w14:paraId="65B71F01">
      <w:pPr>
        <w:pStyle w:val="24"/>
        <w:spacing w:line="360" w:lineRule="auto"/>
        <w:ind w:left="0" w:leftChars="0" w:firstLine="480" w:firstLineChars="200"/>
        <w:rPr>
          <w:rFonts w:ascii="宋体" w:hAnsi="宋体"/>
          <w:sz w:val="24"/>
        </w:rPr>
      </w:pPr>
      <w:r>
        <w:rPr>
          <w:rFonts w:ascii="宋体" w:hAnsi="宋体"/>
          <w:sz w:val="24"/>
        </w:rPr>
        <w:t>本矿井在</w:t>
      </w:r>
      <w:r>
        <w:rPr>
          <w:rFonts w:hint="eastAsia" w:ascii="宋体" w:hAnsi="宋体"/>
          <w:sz w:val="24"/>
        </w:rPr>
        <w:t>风井</w:t>
      </w:r>
      <w:r>
        <w:rPr>
          <w:rFonts w:ascii="宋体" w:hAnsi="宋体"/>
          <w:sz w:val="24"/>
        </w:rPr>
        <w:t>场地设置</w:t>
      </w:r>
      <w:r>
        <w:rPr>
          <w:rFonts w:hint="eastAsia" w:ascii="宋体" w:hAnsi="宋体"/>
          <w:sz w:val="24"/>
        </w:rPr>
        <w:t>预留</w:t>
      </w:r>
      <w:r>
        <w:rPr>
          <w:rFonts w:ascii="宋体" w:hAnsi="宋体"/>
          <w:sz w:val="24"/>
        </w:rPr>
        <w:t>瓦斯电厂</w:t>
      </w:r>
      <w:r>
        <w:rPr>
          <w:rFonts w:hint="eastAsia" w:ascii="宋体" w:hAnsi="宋体"/>
          <w:sz w:val="24"/>
        </w:rPr>
        <w:t>位置</w:t>
      </w:r>
      <w:r>
        <w:rPr>
          <w:rFonts w:ascii="宋体" w:hAnsi="宋体"/>
          <w:sz w:val="24"/>
        </w:rPr>
        <w:t>，</w:t>
      </w:r>
      <w:r>
        <w:rPr>
          <w:rFonts w:hint="eastAsia" w:ascii="宋体" w:hAnsi="宋体"/>
          <w:sz w:val="24"/>
        </w:rPr>
        <w:t>初期瓦斯作燃气使用。</w:t>
      </w:r>
      <w:r>
        <w:rPr>
          <w:rFonts w:ascii="宋体" w:hAnsi="宋体"/>
          <w:sz w:val="24"/>
        </w:rPr>
        <w:t>抽出的瓦斯全部加以利用</w:t>
      </w:r>
      <w:r>
        <w:rPr>
          <w:rFonts w:hint="eastAsia" w:ascii="宋体" w:hAnsi="宋体"/>
          <w:sz w:val="24"/>
        </w:rPr>
        <w:t>。</w:t>
      </w:r>
      <w:r>
        <w:rPr>
          <w:rFonts w:ascii="宋体" w:hAnsi="宋体"/>
          <w:sz w:val="24"/>
        </w:rPr>
        <w:t>既节约了宝贵的煤炭资源，又大大减轻了对环境的污染，将取得良好的经济效益和环保效益。</w:t>
      </w:r>
    </w:p>
    <w:p w14:paraId="7AAE890F">
      <w:pPr>
        <w:pStyle w:val="24"/>
        <w:spacing w:line="360" w:lineRule="auto"/>
        <w:ind w:left="0" w:leftChars="0" w:firstLine="480" w:firstLineChars="200"/>
        <w:rPr>
          <w:rFonts w:hint="eastAsia" w:ascii="宋体" w:hAnsi="宋体"/>
          <w:sz w:val="24"/>
        </w:rPr>
      </w:pPr>
      <w:r>
        <w:rPr>
          <w:rFonts w:hint="eastAsia" w:ascii="宋体" w:hAnsi="宋体"/>
          <w:sz w:val="24"/>
        </w:rPr>
        <w:t>（</w:t>
      </w:r>
      <w:r>
        <w:rPr>
          <w:rFonts w:ascii="宋体" w:hAnsi="宋体"/>
          <w:sz w:val="24"/>
        </w:rPr>
        <w:t>3）矿井煤层巷道采用</w:t>
      </w:r>
      <w:r>
        <w:rPr>
          <w:rFonts w:hint="eastAsia" w:ascii="宋体" w:hAnsi="宋体"/>
          <w:sz w:val="24"/>
        </w:rPr>
        <w:t>钢带锚杆</w:t>
      </w:r>
      <w:r>
        <w:rPr>
          <w:rFonts w:ascii="宋体" w:hAnsi="宋体"/>
          <w:sz w:val="24"/>
        </w:rPr>
        <w:t>支护，尽可能减少矿井通风阻力：本矿井除斜井井筒开口段、井下巷道的构造薄弱带等采用混凝土砌碹支护以外，其他井下巷道均采用锚喷或锚网喷支护。断面形状绝大部分为半圆拱。</w:t>
      </w:r>
    </w:p>
    <w:p w14:paraId="15BC81D7">
      <w:pPr>
        <w:pStyle w:val="24"/>
        <w:spacing w:line="360" w:lineRule="auto"/>
        <w:ind w:left="0" w:leftChars="0" w:firstLine="480" w:firstLineChars="200"/>
        <w:rPr>
          <w:rFonts w:ascii="宋体" w:hAnsi="宋体"/>
          <w:sz w:val="24"/>
        </w:rPr>
      </w:pPr>
      <w:r>
        <w:rPr>
          <w:rFonts w:hint="eastAsia" w:ascii="宋体" w:hAnsi="宋体"/>
          <w:sz w:val="24"/>
        </w:rPr>
        <w:t>（4）</w:t>
      </w:r>
      <w:r>
        <w:rPr>
          <w:rFonts w:ascii="宋体" w:hAnsi="宋体"/>
          <w:sz w:val="24"/>
        </w:rPr>
        <w:t>井下煤流系统，尽量避免煤炭反向运输；尽可能实现集中生产，提高回采率；井下主运输采用带式输送机，尽可能利用位能进行起动；设计选用采掘设备均满足高效、节能要求等。</w:t>
      </w:r>
    </w:p>
    <w:p w14:paraId="1FB5BCC1">
      <w:pPr>
        <w:pStyle w:val="24"/>
        <w:spacing w:before="120" w:beforeLines="50" w:line="360" w:lineRule="auto"/>
        <w:ind w:left="0" w:leftChars="0" w:firstLine="480" w:firstLineChars="200"/>
        <w:rPr>
          <w:rFonts w:ascii="宋体" w:hAnsi="宋体"/>
          <w:sz w:val="24"/>
        </w:rPr>
      </w:pPr>
      <w:bookmarkStart w:id="778" w:name="_Toc217653680"/>
      <w:bookmarkStart w:id="779" w:name="_Toc217651193"/>
      <w:bookmarkStart w:id="780" w:name="_Toc214940592"/>
      <w:bookmarkStart w:id="781" w:name="_Toc214534203"/>
      <w:r>
        <w:rPr>
          <w:rFonts w:hint="eastAsia" w:ascii="宋体" w:hAnsi="宋体"/>
          <w:sz w:val="24"/>
        </w:rPr>
        <w:t>2、</w:t>
      </w:r>
      <w:r>
        <w:rPr>
          <w:rFonts w:ascii="宋体" w:hAnsi="宋体"/>
          <w:sz w:val="24"/>
        </w:rPr>
        <w:t>地面建筑节能</w:t>
      </w:r>
      <w:bookmarkEnd w:id="778"/>
      <w:bookmarkEnd w:id="779"/>
      <w:bookmarkEnd w:id="780"/>
      <w:bookmarkEnd w:id="781"/>
    </w:p>
    <w:p w14:paraId="7869684C">
      <w:pPr>
        <w:pStyle w:val="24"/>
        <w:spacing w:line="360" w:lineRule="auto"/>
        <w:ind w:left="0" w:leftChars="0" w:firstLine="480" w:firstLineChars="200"/>
        <w:rPr>
          <w:rFonts w:ascii="宋体" w:hAnsi="宋体"/>
          <w:sz w:val="24"/>
        </w:rPr>
      </w:pPr>
      <w:r>
        <w:rPr>
          <w:rFonts w:ascii="宋体" w:hAnsi="宋体"/>
          <w:sz w:val="24"/>
        </w:rPr>
        <w:t>为贯彻执行国家有关节约能源、保护环境的法规和政策，改善公共建筑和居住建筑的室内环境，提高冬季采暖、夏季空调的能源利用效率。推广建筑节能新技术、新工艺、新材料、新产品为原则，贯彻节约资源、提高能源利用效率，保证建筑物使用功能和改善建筑室内热工环境质量。根据煤炭工业节能减排工作意见，新建矿井的公共建筑和居住建筑必需进行建筑节能设计。</w:t>
      </w:r>
    </w:p>
    <w:p w14:paraId="6D8A3065">
      <w:pPr>
        <w:pStyle w:val="24"/>
        <w:spacing w:line="360" w:lineRule="auto"/>
        <w:ind w:left="0" w:leftChars="0" w:firstLine="480" w:firstLineChars="200"/>
        <w:rPr>
          <w:rFonts w:ascii="宋体" w:hAnsi="宋体"/>
          <w:sz w:val="24"/>
        </w:rPr>
      </w:pPr>
      <w:r>
        <w:rPr>
          <w:rFonts w:ascii="宋体" w:hAnsi="宋体"/>
          <w:sz w:val="24"/>
        </w:rPr>
        <w:t>根据《公共建筑节能设计标准》（GB 50189-2005）和《贵州省居住建筑节能设计标准》（DB22/49-2005）可知：</w:t>
      </w:r>
      <w:r>
        <w:rPr>
          <w:rFonts w:hint="eastAsia" w:ascii="宋体" w:hAnsi="宋体"/>
          <w:sz w:val="24"/>
        </w:rPr>
        <w:t>纳雍</w:t>
      </w:r>
      <w:r>
        <w:rPr>
          <w:rFonts w:ascii="宋体" w:hAnsi="宋体"/>
          <w:sz w:val="24"/>
        </w:rPr>
        <w:t>县热工分区为温和地区。建筑热工设计必须满足夏季防热要求，适当兼顾冬季保温。地面建筑节能设计包括公共建筑—矿办公楼、灯房浴室任务交待室联合建筑、食堂招待所联合建筑；居住建筑—单身公寓楼、干部公寓楼。</w:t>
      </w:r>
    </w:p>
    <w:p w14:paraId="4D6AD656">
      <w:pPr>
        <w:pStyle w:val="24"/>
        <w:spacing w:line="360" w:lineRule="auto"/>
        <w:ind w:left="0" w:leftChars="0" w:firstLine="480" w:firstLineChars="200"/>
        <w:rPr>
          <w:rFonts w:ascii="宋体" w:hAnsi="宋体"/>
          <w:sz w:val="24"/>
        </w:rPr>
      </w:pPr>
      <w:r>
        <w:rPr>
          <w:rFonts w:ascii="宋体" w:hAnsi="宋体"/>
          <w:sz w:val="24"/>
        </w:rPr>
        <w:t>通过建筑设计、建筑热工设计采用如下节能措施：</w:t>
      </w:r>
    </w:p>
    <w:p w14:paraId="660D28E6">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根据地理位置、气候条件和地形状况以及建筑物对日照、通风的要求，选择建筑物有利的朝向。建筑物的朝向宜采用南北向或接近南北向，避免东西向。建筑单体的平、立面设计，应考虑有利于夏季自然通风。同时，建筑物的主要房间宜避开冬季主导风向。</w:t>
      </w:r>
    </w:p>
    <w:p w14:paraId="2F4268A2">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2）采用合理的间距，对南北平行布置的多层居住建筑正面日照间距系数取1.1。以满足日照及自然通风的要求，并积极利用太阳能，以节约能源。</w:t>
      </w:r>
    </w:p>
    <w:p w14:paraId="64746AD7">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3）尽量减少建筑物的体形系数，建筑的平、立面不宜出现过多的凹凸，条形建筑物体形系数不宜超过0.35，点式建筑不宜超过0.40。采用联合建筑以减少外墙面、增加层数、减少屋面，以及合理加大进深等措施，达到节能的目的。</w:t>
      </w:r>
    </w:p>
    <w:p w14:paraId="3B840B26">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4）场地内室外地面应尽量减少硬质铺地地面，增加植被绿化，推广绿化屋面、进行建筑物周边场地绿化等。</w:t>
      </w:r>
    </w:p>
    <w:p w14:paraId="2FF8944A">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5）多层建筑的外窗宜采用平开窗。窗户采光选用双层隔热玻璃，使室内保温良好，尽量少用供冷和供热设备。</w:t>
      </w:r>
    </w:p>
    <w:p w14:paraId="10679031">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6）建筑物屋面、外墙的外表面宜采用浅色。</w:t>
      </w:r>
    </w:p>
    <w:p w14:paraId="4CFE6BE1">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7）屋面及外墙是直接影响建筑保温、隔热效果的重要因素。屋面宜采用各种不同构造形式的保温、隔热措施，如种植屋面、蓄水屋面。墙体采用新型墙体材料+保温隔热层的外保温隔热技术。在选择建筑材料及厚度确定方面，按照保温、隔热的要求确定。当采用轻型结构时，按照保温、隔热的要求确定保温材料的厚度。</w:t>
      </w:r>
    </w:p>
    <w:p w14:paraId="132B8078">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8）底层地坪应采用良好的保温防潮措施。</w:t>
      </w:r>
    </w:p>
    <w:p w14:paraId="1BAA14A4">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9）楼梯间应采用可开启的封闭式外窗。</w:t>
      </w:r>
    </w:p>
    <w:p w14:paraId="48441B3D">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10）场地内建筑物尽量采用联合集中布置，在联合建筑中，尽量考虑自然采光、自然通风。对于需要散热及消除有害气体的部分，可利用气楼、高窗等措施改善自然通风和自然采光条件，以利节约能源。</w:t>
      </w:r>
    </w:p>
    <w:p w14:paraId="005AAEAC">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11）建筑设计中凡涉及节能、合理利用能源、保温、防热有关技术问题，均进行综合考虑，协调处理。</w:t>
      </w:r>
    </w:p>
    <w:p w14:paraId="6B58116E">
      <w:pPr>
        <w:pStyle w:val="24"/>
        <w:spacing w:before="120" w:beforeLines="50" w:line="360" w:lineRule="auto"/>
        <w:ind w:left="0" w:leftChars="0" w:firstLine="480" w:firstLineChars="200"/>
        <w:rPr>
          <w:rFonts w:ascii="宋体" w:hAnsi="宋体"/>
          <w:sz w:val="24"/>
        </w:rPr>
      </w:pPr>
      <w:bookmarkStart w:id="782" w:name="_Toc214534204"/>
      <w:bookmarkStart w:id="783" w:name="_Toc214940593"/>
      <w:bookmarkStart w:id="784" w:name="_Toc217651194"/>
      <w:r>
        <w:rPr>
          <w:rFonts w:hint="eastAsia" w:ascii="宋体" w:hAnsi="宋体"/>
          <w:sz w:val="24"/>
        </w:rPr>
        <w:t>3、</w:t>
      </w:r>
      <w:r>
        <w:rPr>
          <w:rFonts w:ascii="宋体" w:hAnsi="宋体"/>
          <w:sz w:val="24"/>
        </w:rPr>
        <w:t>矿井供电节能</w:t>
      </w:r>
      <w:bookmarkEnd w:id="782"/>
      <w:bookmarkEnd w:id="783"/>
      <w:bookmarkEnd w:id="784"/>
    </w:p>
    <w:p w14:paraId="17C38342">
      <w:pPr>
        <w:pStyle w:val="24"/>
        <w:spacing w:line="360" w:lineRule="auto"/>
        <w:ind w:left="0" w:leftChars="0" w:firstLine="480" w:firstLineChars="200"/>
        <w:rPr>
          <w:rFonts w:hint="eastAsia" w:ascii="宋体" w:hAnsi="宋体"/>
          <w:sz w:val="24"/>
        </w:rPr>
      </w:pPr>
      <w:r>
        <w:rPr>
          <w:rFonts w:ascii="宋体" w:hAnsi="宋体"/>
          <w:sz w:val="24"/>
        </w:rPr>
        <w:t>电力调配及其他</w:t>
      </w:r>
      <w:r>
        <w:rPr>
          <w:rFonts w:hint="eastAsia" w:ascii="宋体" w:hAnsi="宋体"/>
          <w:sz w:val="24"/>
        </w:rPr>
        <w:t>：</w:t>
      </w:r>
    </w:p>
    <w:p w14:paraId="18E09E3B">
      <w:pPr>
        <w:pStyle w:val="24"/>
        <w:spacing w:line="360" w:lineRule="auto"/>
        <w:ind w:left="0" w:leftChars="0" w:firstLine="480" w:firstLineChars="200"/>
        <w:rPr>
          <w:rFonts w:ascii="宋体" w:hAnsi="宋体"/>
          <w:sz w:val="24"/>
        </w:rPr>
      </w:pPr>
      <w:r>
        <w:rPr>
          <w:rFonts w:ascii="宋体" w:hAnsi="宋体"/>
          <w:sz w:val="24"/>
        </w:rPr>
        <w:t>企业电力调配的目的就是通常所说的“平峰填谷”，使用电负荷率尽量的接近于1。从经济运行方面考虑，负荷率愈接近于1，表明设备利用程度越好，用电越经济。负荷率小于1或大于1都是运行不经济的方式。</w:t>
      </w:r>
    </w:p>
    <w:p w14:paraId="7FE015F3">
      <w:pPr>
        <w:pStyle w:val="24"/>
        <w:spacing w:line="360" w:lineRule="auto"/>
        <w:ind w:left="0" w:leftChars="0" w:firstLine="480" w:firstLineChars="200"/>
        <w:rPr>
          <w:rFonts w:ascii="宋体" w:hAnsi="宋体"/>
          <w:sz w:val="24"/>
        </w:rPr>
      </w:pPr>
      <w:r>
        <w:rPr>
          <w:rFonts w:ascii="宋体" w:hAnsi="宋体"/>
          <w:sz w:val="24"/>
        </w:rPr>
        <w:t>改变负荷率的方法，主要是压低高峰负荷和提高平均负荷，使两者之间的差别尽量减小。企业实行调整负荷的措施大体如下：</w:t>
      </w:r>
    </w:p>
    <w:p w14:paraId="666511C4">
      <w:pPr>
        <w:pStyle w:val="24"/>
        <w:spacing w:line="360" w:lineRule="auto"/>
        <w:ind w:left="0" w:leftChars="0" w:firstLine="480" w:firstLineChars="200"/>
        <w:rPr>
          <w:rFonts w:ascii="宋体" w:hAnsi="宋体"/>
          <w:sz w:val="24"/>
        </w:rPr>
      </w:pPr>
      <w:r>
        <w:rPr>
          <w:rFonts w:ascii="宋体" w:hAnsi="宋体"/>
          <w:sz w:val="24"/>
        </w:rPr>
        <w:t>降低企业（矿井）内部总高峰负荷；</w:t>
      </w:r>
    </w:p>
    <w:p w14:paraId="2A96FA78">
      <w:pPr>
        <w:pStyle w:val="24"/>
        <w:spacing w:line="360" w:lineRule="auto"/>
        <w:ind w:left="0" w:leftChars="0" w:firstLine="480" w:firstLineChars="200"/>
        <w:rPr>
          <w:rFonts w:ascii="宋体" w:hAnsi="宋体"/>
          <w:sz w:val="24"/>
        </w:rPr>
      </w:pPr>
      <w:r>
        <w:rPr>
          <w:rFonts w:ascii="宋体" w:hAnsi="宋体"/>
          <w:sz w:val="24"/>
        </w:rPr>
        <w:t>调整各区队的生产、检修班次和工作时间，实行在电力系统高峰时间让电；</w:t>
      </w:r>
    </w:p>
    <w:p w14:paraId="6B5F352A">
      <w:pPr>
        <w:pStyle w:val="24"/>
        <w:spacing w:line="360" w:lineRule="auto"/>
        <w:ind w:left="0" w:leftChars="0" w:firstLine="480" w:firstLineChars="200"/>
        <w:rPr>
          <w:rFonts w:ascii="宋体" w:hAnsi="宋体"/>
          <w:sz w:val="24"/>
        </w:rPr>
      </w:pPr>
      <w:r>
        <w:rPr>
          <w:rFonts w:ascii="宋体" w:hAnsi="宋体"/>
          <w:sz w:val="24"/>
        </w:rPr>
        <w:t>实行计划用电，高峰期电力指标下达到区队、班组等，严格控制高峰时间的电力负荷；</w:t>
      </w:r>
    </w:p>
    <w:p w14:paraId="3560B8DE">
      <w:pPr>
        <w:pStyle w:val="24"/>
        <w:spacing w:line="360" w:lineRule="auto"/>
        <w:ind w:left="0" w:leftChars="0" w:firstLine="480" w:firstLineChars="200"/>
        <w:rPr>
          <w:rFonts w:ascii="宋体" w:hAnsi="宋体"/>
          <w:sz w:val="24"/>
        </w:rPr>
      </w:pPr>
      <w:r>
        <w:rPr>
          <w:rFonts w:ascii="宋体" w:hAnsi="宋体"/>
          <w:sz w:val="24"/>
        </w:rPr>
        <w:t>安装电度表计等，合理地分配高峰电力指标等等。</w:t>
      </w:r>
    </w:p>
    <w:p w14:paraId="7A8BA280">
      <w:pPr>
        <w:pStyle w:val="24"/>
        <w:spacing w:line="360" w:lineRule="auto"/>
        <w:ind w:left="0" w:leftChars="0" w:firstLine="480" w:firstLineChars="200"/>
        <w:rPr>
          <w:rFonts w:ascii="宋体" w:hAnsi="宋体"/>
          <w:sz w:val="24"/>
        </w:rPr>
      </w:pPr>
      <w:r>
        <w:rPr>
          <w:rFonts w:ascii="宋体" w:hAnsi="宋体"/>
          <w:sz w:val="24"/>
        </w:rPr>
        <w:t>调整负荷，提高负荷率是具有全局性的一项工作，它不仅使用电单位的用电达到经济合理，而且也为整个电网的安全经济运行创造了条件，这是一项具有重要意义的工作。</w:t>
      </w:r>
    </w:p>
    <w:p w14:paraId="6165AF83">
      <w:pPr>
        <w:pStyle w:val="24"/>
        <w:spacing w:line="360" w:lineRule="auto"/>
        <w:ind w:left="0" w:leftChars="0" w:firstLine="480" w:firstLineChars="200"/>
        <w:rPr>
          <w:rFonts w:ascii="宋体" w:hAnsi="宋体"/>
          <w:sz w:val="24"/>
        </w:rPr>
      </w:pPr>
      <w:r>
        <w:rPr>
          <w:rFonts w:ascii="宋体" w:hAnsi="宋体"/>
          <w:sz w:val="24"/>
        </w:rPr>
        <w:t>供配电线路按经济电流密度选择导线截面，按载流量及电压降进行校核；选择技术、材料先进的新型节能变压器；井上、下采用高效节能照明灯具；室外照明采用定时或光电控制装置；各用户电源进线、大型固定电器设备、井下各馈出线及地面50kW以上的电器设备均装设电度计量表，便于分别计量考核。</w:t>
      </w:r>
    </w:p>
    <w:p w14:paraId="5B90BCEB">
      <w:pPr>
        <w:pStyle w:val="24"/>
        <w:spacing w:line="360" w:lineRule="auto"/>
        <w:ind w:left="0" w:leftChars="0" w:firstLine="480" w:firstLineChars="200"/>
        <w:rPr>
          <w:rFonts w:ascii="宋体" w:hAnsi="宋体"/>
          <w:sz w:val="24"/>
        </w:rPr>
      </w:pPr>
      <w:r>
        <w:rPr>
          <w:rFonts w:ascii="宋体" w:hAnsi="宋体"/>
          <w:sz w:val="24"/>
        </w:rPr>
        <w:t>职工生活用电采用集中分户装表，集体宿舍安装限电器。</w:t>
      </w:r>
    </w:p>
    <w:p w14:paraId="6C2B1D54">
      <w:pPr>
        <w:pStyle w:val="24"/>
        <w:spacing w:before="120" w:beforeLines="50" w:line="360" w:lineRule="auto"/>
        <w:ind w:left="0" w:leftChars="0" w:firstLine="480" w:firstLineChars="200"/>
        <w:rPr>
          <w:rFonts w:ascii="宋体" w:hAnsi="宋体"/>
          <w:sz w:val="24"/>
        </w:rPr>
      </w:pPr>
      <w:bookmarkStart w:id="785" w:name="_Toc214534205"/>
      <w:bookmarkStart w:id="786" w:name="_Toc214940594"/>
      <w:bookmarkStart w:id="787" w:name="_Toc217651195"/>
      <w:bookmarkStart w:id="788" w:name="_Toc217653681"/>
      <w:r>
        <w:rPr>
          <w:rFonts w:hint="eastAsia" w:ascii="宋体" w:hAnsi="宋体"/>
          <w:sz w:val="24"/>
        </w:rPr>
        <w:t>4、</w:t>
      </w:r>
      <w:r>
        <w:rPr>
          <w:rFonts w:ascii="宋体" w:hAnsi="宋体"/>
          <w:sz w:val="24"/>
        </w:rPr>
        <w:t>机械、机电节能</w:t>
      </w:r>
      <w:bookmarkEnd w:id="785"/>
      <w:bookmarkEnd w:id="786"/>
      <w:bookmarkEnd w:id="787"/>
      <w:bookmarkEnd w:id="788"/>
    </w:p>
    <w:p w14:paraId="5E4FE52D">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井下原煤输送系统节能措施</w:t>
      </w:r>
    </w:p>
    <w:p w14:paraId="55A67A0B">
      <w:pPr>
        <w:pStyle w:val="24"/>
        <w:spacing w:line="360" w:lineRule="auto"/>
        <w:ind w:left="0" w:leftChars="0" w:firstLine="480" w:firstLineChars="200"/>
        <w:rPr>
          <w:rFonts w:ascii="宋体" w:hAnsi="宋体"/>
          <w:sz w:val="24"/>
        </w:rPr>
      </w:pPr>
      <w:r>
        <w:rPr>
          <w:rFonts w:ascii="宋体" w:hAnsi="宋体"/>
          <w:sz w:val="24"/>
        </w:rPr>
        <w:t>运输设备是指从工作面到主井井口的胶带运输系统，在设备选型方面满足国家对节能环保的有关要求，经多方案比较，选用高效率、低能耗的节能型先进设备，这样既能满足工艺要求，又能达到节能需求，从而提高了企业的经济效益和社会效益。</w:t>
      </w:r>
    </w:p>
    <w:p w14:paraId="050F8348">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通过优化矿井开拓方式、采区布置等，确定合理的井下原煤输送工艺。</w:t>
      </w:r>
    </w:p>
    <w:p w14:paraId="0C73A6D3">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根据矿井生产能力、工作制度、采掘工作面配置、输送工艺等，选择合理的输送机基本参数（输送能力、带宽、带速）。</w:t>
      </w:r>
    </w:p>
    <w:p w14:paraId="0CFAC534">
      <w:pPr>
        <w:pStyle w:val="24"/>
        <w:spacing w:line="360" w:lineRule="auto"/>
        <w:ind w:left="0" w:leftChars="0" w:firstLine="480" w:firstLineChars="200"/>
        <w:rPr>
          <w:rFonts w:ascii="宋体" w:hAnsi="宋体"/>
          <w:sz w:val="24"/>
        </w:rPr>
      </w:pPr>
      <w:r>
        <w:rPr>
          <w:rFonts w:hint="eastAsia" w:ascii="宋体" w:hAnsi="宋体"/>
          <w:sz w:val="24"/>
        </w:rPr>
        <w:t>3）</w:t>
      </w:r>
      <w:r>
        <w:rPr>
          <w:rFonts w:ascii="宋体" w:hAnsi="宋体"/>
          <w:sz w:val="24"/>
        </w:rPr>
        <w:t>根据输送机工况选择合理的计算系数，计算出输送机的驱动功率，选择合理的功率配比和单机功率。</w:t>
      </w:r>
    </w:p>
    <w:p w14:paraId="3CDCEA46">
      <w:pPr>
        <w:pStyle w:val="24"/>
        <w:spacing w:line="360" w:lineRule="auto"/>
        <w:ind w:left="0" w:leftChars="0" w:firstLine="480" w:firstLineChars="200"/>
        <w:rPr>
          <w:rFonts w:ascii="宋体" w:hAnsi="宋体"/>
          <w:sz w:val="24"/>
        </w:rPr>
      </w:pPr>
      <w:r>
        <w:rPr>
          <w:rFonts w:hint="eastAsia" w:ascii="宋体" w:hAnsi="宋体"/>
          <w:sz w:val="24"/>
        </w:rPr>
        <w:t>4）</w:t>
      </w:r>
      <w:r>
        <w:rPr>
          <w:rFonts w:ascii="宋体" w:hAnsi="宋体"/>
          <w:sz w:val="24"/>
        </w:rPr>
        <w:t>根据输送机工况和计算功率选择合适的电动机类型，以减少配电电路电能损耗。</w:t>
      </w:r>
    </w:p>
    <w:p w14:paraId="6BDCC075">
      <w:pPr>
        <w:pStyle w:val="24"/>
        <w:spacing w:line="360" w:lineRule="auto"/>
        <w:ind w:left="0" w:leftChars="0" w:firstLine="480" w:firstLineChars="200"/>
        <w:rPr>
          <w:rFonts w:ascii="宋体" w:hAnsi="宋体"/>
          <w:sz w:val="24"/>
        </w:rPr>
      </w:pPr>
      <w:r>
        <w:rPr>
          <w:rFonts w:hint="eastAsia" w:ascii="宋体" w:hAnsi="宋体"/>
          <w:sz w:val="24"/>
        </w:rPr>
        <w:t>5）</w:t>
      </w:r>
      <w:r>
        <w:rPr>
          <w:rFonts w:ascii="宋体" w:hAnsi="宋体"/>
          <w:sz w:val="24"/>
        </w:rPr>
        <w:t>根据输送机工况和电动机功率，选择合理的软启动装置。</w:t>
      </w:r>
    </w:p>
    <w:p w14:paraId="6F607554">
      <w:pPr>
        <w:pStyle w:val="24"/>
        <w:spacing w:line="360" w:lineRule="auto"/>
        <w:ind w:left="0" w:leftChars="0" w:firstLine="480" w:firstLineChars="200"/>
        <w:rPr>
          <w:rFonts w:ascii="宋体" w:hAnsi="宋体"/>
          <w:sz w:val="24"/>
        </w:rPr>
      </w:pPr>
      <w:r>
        <w:rPr>
          <w:rFonts w:hint="eastAsia" w:ascii="宋体" w:hAnsi="宋体"/>
          <w:sz w:val="24"/>
        </w:rPr>
        <w:t>6）</w:t>
      </w:r>
      <w:r>
        <w:rPr>
          <w:rFonts w:ascii="宋体" w:hAnsi="宋体"/>
          <w:sz w:val="24"/>
        </w:rPr>
        <w:t>选择传递效率高的减速机、联轴器等传动部件。</w:t>
      </w:r>
    </w:p>
    <w:p w14:paraId="3270620A">
      <w:pPr>
        <w:pStyle w:val="24"/>
        <w:spacing w:line="360" w:lineRule="auto"/>
        <w:ind w:left="0" w:leftChars="0" w:firstLine="480" w:firstLineChars="200"/>
        <w:rPr>
          <w:rFonts w:ascii="宋体" w:hAnsi="宋体"/>
          <w:sz w:val="24"/>
        </w:rPr>
      </w:pPr>
      <w:r>
        <w:rPr>
          <w:rFonts w:hint="eastAsia" w:ascii="宋体" w:hAnsi="宋体"/>
          <w:sz w:val="24"/>
        </w:rPr>
        <w:t>7）</w:t>
      </w:r>
      <w:r>
        <w:rPr>
          <w:rFonts w:ascii="宋体" w:hAnsi="宋体"/>
          <w:sz w:val="24"/>
        </w:rPr>
        <w:t>加强生产管理，合理安排输送系统的运转时间，降低设备空载能耗。</w:t>
      </w:r>
    </w:p>
    <w:p w14:paraId="4C8A98C9">
      <w:pPr>
        <w:pStyle w:val="24"/>
        <w:spacing w:line="360" w:lineRule="auto"/>
        <w:ind w:left="0" w:leftChars="0" w:firstLine="480" w:firstLineChars="200"/>
        <w:rPr>
          <w:rFonts w:ascii="宋体" w:hAnsi="宋体"/>
          <w:sz w:val="24"/>
        </w:rPr>
      </w:pPr>
      <w:r>
        <w:rPr>
          <w:rFonts w:hint="eastAsia" w:ascii="宋体" w:hAnsi="宋体"/>
          <w:sz w:val="24"/>
        </w:rPr>
        <w:t>8）</w:t>
      </w:r>
      <w:r>
        <w:rPr>
          <w:rFonts w:ascii="宋体" w:hAnsi="宋体"/>
          <w:sz w:val="24"/>
        </w:rPr>
        <w:t>加强设备的检修维护，及时更换破损的设备零部件，使系统中各设备始终保持良好的工作状态。</w:t>
      </w:r>
    </w:p>
    <w:p w14:paraId="74B075B6">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提升设备节能措施</w:t>
      </w:r>
    </w:p>
    <w:p w14:paraId="3102116E">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采用直联转动和电力电子调速计算。</w:t>
      </w:r>
    </w:p>
    <w:p w14:paraId="599DF0FA">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采用自动化或半自动化操作，按规定速度图工作。</w:t>
      </w:r>
    </w:p>
    <w:p w14:paraId="28893DF8">
      <w:pPr>
        <w:pStyle w:val="24"/>
        <w:spacing w:line="360" w:lineRule="auto"/>
        <w:ind w:left="0" w:leftChars="0" w:firstLine="480" w:firstLineChars="200"/>
        <w:rPr>
          <w:rFonts w:ascii="宋体" w:hAnsi="宋体"/>
          <w:sz w:val="24"/>
        </w:rPr>
      </w:pPr>
      <w:r>
        <w:rPr>
          <w:rFonts w:hint="eastAsia" w:ascii="宋体" w:hAnsi="宋体"/>
          <w:sz w:val="24"/>
        </w:rPr>
        <w:t>3）</w:t>
      </w:r>
      <w:r>
        <w:rPr>
          <w:rFonts w:ascii="宋体" w:hAnsi="宋体"/>
          <w:sz w:val="24"/>
        </w:rPr>
        <w:t>降低加、减速阶段的损耗，合理选择提升最大速度。</w:t>
      </w:r>
    </w:p>
    <w:p w14:paraId="586945F1">
      <w:pPr>
        <w:pStyle w:val="24"/>
        <w:spacing w:line="360" w:lineRule="auto"/>
        <w:ind w:left="0" w:leftChars="0" w:firstLine="480" w:firstLineChars="200"/>
        <w:rPr>
          <w:rFonts w:ascii="宋体" w:hAnsi="宋体"/>
          <w:sz w:val="24"/>
        </w:rPr>
      </w:pPr>
      <w:r>
        <w:rPr>
          <w:rFonts w:hint="eastAsia" w:ascii="宋体" w:hAnsi="宋体"/>
          <w:sz w:val="24"/>
        </w:rPr>
        <w:t>4）</w:t>
      </w:r>
      <w:r>
        <w:rPr>
          <w:rFonts w:ascii="宋体" w:hAnsi="宋体"/>
          <w:sz w:val="24"/>
        </w:rPr>
        <w:t>加强对传动装置的维护，保持高传动效率。</w:t>
      </w:r>
    </w:p>
    <w:p w14:paraId="1AB3A8B9">
      <w:pPr>
        <w:pStyle w:val="24"/>
        <w:spacing w:line="360" w:lineRule="auto"/>
        <w:ind w:left="0" w:leftChars="0" w:firstLine="480" w:firstLineChars="200"/>
        <w:rPr>
          <w:rFonts w:ascii="宋体" w:hAnsi="宋体"/>
          <w:sz w:val="24"/>
        </w:rPr>
      </w:pPr>
      <w:r>
        <w:rPr>
          <w:rFonts w:hint="eastAsia" w:ascii="宋体" w:hAnsi="宋体"/>
          <w:sz w:val="24"/>
        </w:rPr>
        <w:t>5）</w:t>
      </w:r>
      <w:r>
        <w:rPr>
          <w:rFonts w:ascii="宋体" w:hAnsi="宋体"/>
          <w:sz w:val="24"/>
        </w:rPr>
        <w:t>加强对矿车的清扫，使有效装载量最大。</w:t>
      </w:r>
    </w:p>
    <w:p w14:paraId="467ACE48">
      <w:pPr>
        <w:pStyle w:val="24"/>
        <w:spacing w:line="360" w:lineRule="auto"/>
        <w:ind w:left="0" w:leftChars="0" w:firstLine="480" w:firstLineChars="200"/>
        <w:rPr>
          <w:rFonts w:ascii="宋体" w:hAnsi="宋体"/>
          <w:sz w:val="24"/>
        </w:rPr>
      </w:pPr>
      <w:r>
        <w:rPr>
          <w:rFonts w:hint="eastAsia" w:ascii="宋体" w:hAnsi="宋体"/>
          <w:sz w:val="24"/>
        </w:rPr>
        <w:t>6）</w:t>
      </w:r>
      <w:r>
        <w:rPr>
          <w:rFonts w:ascii="宋体" w:hAnsi="宋体"/>
          <w:sz w:val="24"/>
        </w:rPr>
        <w:t>减少提升阻力，定期清扫轨道，斜井轨道接头应保持平直。</w:t>
      </w:r>
    </w:p>
    <w:p w14:paraId="3E1B17C2">
      <w:pPr>
        <w:pStyle w:val="24"/>
        <w:spacing w:line="360" w:lineRule="auto"/>
        <w:ind w:left="0" w:leftChars="0" w:firstLine="480" w:firstLineChars="200"/>
        <w:rPr>
          <w:rFonts w:ascii="宋体" w:hAnsi="宋体"/>
          <w:sz w:val="24"/>
        </w:rPr>
      </w:pPr>
      <w:r>
        <w:rPr>
          <w:rFonts w:hint="eastAsia" w:ascii="宋体" w:hAnsi="宋体"/>
          <w:sz w:val="24"/>
        </w:rPr>
        <w:t>7）</w:t>
      </w:r>
      <w:r>
        <w:rPr>
          <w:rFonts w:ascii="宋体" w:hAnsi="宋体"/>
          <w:sz w:val="24"/>
        </w:rPr>
        <w:t>避免提升机空载运行。</w:t>
      </w:r>
    </w:p>
    <w:p w14:paraId="24EBA594">
      <w:pPr>
        <w:pStyle w:val="24"/>
        <w:spacing w:line="360" w:lineRule="auto"/>
        <w:ind w:left="0" w:leftChars="0" w:firstLine="480" w:firstLineChars="200"/>
        <w:rPr>
          <w:rFonts w:ascii="宋体" w:hAnsi="宋体"/>
          <w:sz w:val="24"/>
        </w:rPr>
      </w:pPr>
      <w:r>
        <w:rPr>
          <w:rFonts w:ascii="宋体" w:hAnsi="宋体"/>
          <w:sz w:val="24"/>
        </w:rPr>
        <w:t>本矿井排矸斜井、轨道斜巷提升机电控均采用变频调速装置，可以节省能源。</w:t>
      </w:r>
    </w:p>
    <w:p w14:paraId="071918B3">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3）通风系统</w:t>
      </w:r>
    </w:p>
    <w:p w14:paraId="1E8B86F3">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通风机：</w:t>
      </w:r>
    </w:p>
    <w:p w14:paraId="3F6FC22B">
      <w:pPr>
        <w:pStyle w:val="24"/>
        <w:spacing w:line="360" w:lineRule="auto"/>
        <w:ind w:left="0" w:leftChars="0" w:firstLine="480" w:firstLineChars="200"/>
        <w:rPr>
          <w:rFonts w:ascii="宋体" w:hAnsi="宋体"/>
          <w:sz w:val="24"/>
        </w:rPr>
      </w:pPr>
      <w:r>
        <w:rPr>
          <w:rFonts w:ascii="宋体" w:hAnsi="宋体"/>
          <w:sz w:val="24"/>
        </w:rPr>
        <w:t>运行的风机要在高效率下运行，按不同情况采用以下措施：</w:t>
      </w:r>
    </w:p>
    <w:p w14:paraId="132DD063">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将轴流式通风机直叶片改造成扭曲叶片，提高效率。</w:t>
      </w:r>
    </w:p>
    <w:p w14:paraId="682EB6D3">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调整轴流式风机风叶叶顶与轮壳间的径向间隔，径向间隙不应超过叶片长度的1%。</w:t>
      </w:r>
    </w:p>
    <w:p w14:paraId="5A0002C0">
      <w:pPr>
        <w:pStyle w:val="24"/>
        <w:spacing w:line="360" w:lineRule="auto"/>
        <w:ind w:left="0" w:leftChars="0" w:firstLine="480" w:firstLineChars="200"/>
        <w:rPr>
          <w:rFonts w:ascii="宋体" w:hAnsi="宋体"/>
          <w:sz w:val="24"/>
        </w:rPr>
      </w:pPr>
      <w:r>
        <w:rPr>
          <w:rFonts w:ascii="宋体" w:hAnsi="宋体"/>
          <w:sz w:val="24"/>
        </w:rPr>
        <w:t>③</w:t>
      </w:r>
      <w:r>
        <w:rPr>
          <w:rFonts w:hint="eastAsia" w:ascii="宋体" w:hAnsi="宋体"/>
          <w:sz w:val="24"/>
        </w:rPr>
        <w:t xml:space="preserve"> </w:t>
      </w:r>
      <w:r>
        <w:rPr>
          <w:rFonts w:ascii="宋体" w:hAnsi="宋体"/>
          <w:sz w:val="24"/>
        </w:rPr>
        <w:t>根据运行情况，实时改变轴流式风机轮叶角度，适应运行特性。</w:t>
      </w:r>
    </w:p>
    <w:p w14:paraId="3FF9F2DE">
      <w:pPr>
        <w:pStyle w:val="24"/>
        <w:spacing w:line="360" w:lineRule="auto"/>
        <w:ind w:left="0" w:leftChars="0" w:firstLine="480" w:firstLineChars="200"/>
        <w:rPr>
          <w:rFonts w:ascii="宋体" w:hAnsi="宋体"/>
          <w:sz w:val="24"/>
        </w:rPr>
      </w:pPr>
      <w:r>
        <w:rPr>
          <w:rFonts w:ascii="宋体" w:hAnsi="宋体"/>
          <w:sz w:val="24"/>
        </w:rPr>
        <w:t>④</w:t>
      </w:r>
      <w:r>
        <w:rPr>
          <w:rFonts w:hint="eastAsia" w:ascii="宋体" w:hAnsi="宋体"/>
          <w:sz w:val="24"/>
        </w:rPr>
        <w:t xml:space="preserve"> </w:t>
      </w:r>
      <w:r>
        <w:rPr>
          <w:rFonts w:ascii="宋体" w:hAnsi="宋体"/>
          <w:sz w:val="24"/>
        </w:rPr>
        <w:t>减少轴流式风机工作轮段数或减少叶片数，适应运行特性。</w:t>
      </w:r>
    </w:p>
    <w:p w14:paraId="393F3315">
      <w:pPr>
        <w:pStyle w:val="24"/>
        <w:spacing w:line="360" w:lineRule="auto"/>
        <w:ind w:left="0" w:leftChars="0" w:firstLine="480" w:firstLineChars="200"/>
        <w:rPr>
          <w:rFonts w:ascii="宋体" w:hAnsi="宋体"/>
          <w:sz w:val="24"/>
        </w:rPr>
      </w:pPr>
      <w:r>
        <w:rPr>
          <w:rFonts w:ascii="宋体" w:hAnsi="宋体"/>
          <w:sz w:val="24"/>
        </w:rPr>
        <w:t>⑤</w:t>
      </w:r>
      <w:r>
        <w:rPr>
          <w:rFonts w:hint="eastAsia" w:ascii="宋体" w:hAnsi="宋体"/>
          <w:sz w:val="24"/>
        </w:rPr>
        <w:t xml:space="preserve"> </w:t>
      </w:r>
      <w:r>
        <w:rPr>
          <w:rFonts w:ascii="宋体" w:hAnsi="宋体"/>
          <w:sz w:val="24"/>
        </w:rPr>
        <w:t>调整前导流器，调整风机压力。</w:t>
      </w:r>
    </w:p>
    <w:p w14:paraId="1B985C32">
      <w:pPr>
        <w:pStyle w:val="24"/>
        <w:spacing w:line="360" w:lineRule="auto"/>
        <w:ind w:left="0" w:leftChars="0" w:firstLine="480" w:firstLineChars="200"/>
        <w:rPr>
          <w:rFonts w:ascii="宋体" w:hAnsi="宋体"/>
          <w:sz w:val="24"/>
        </w:rPr>
      </w:pPr>
      <w:r>
        <w:rPr>
          <w:rFonts w:ascii="宋体" w:hAnsi="宋体"/>
          <w:sz w:val="24"/>
        </w:rPr>
        <w:t>⑥</w:t>
      </w:r>
      <w:r>
        <w:rPr>
          <w:rFonts w:hint="eastAsia" w:ascii="宋体" w:hAnsi="宋体"/>
          <w:sz w:val="24"/>
        </w:rPr>
        <w:t xml:space="preserve"> </w:t>
      </w:r>
      <w:r>
        <w:rPr>
          <w:rFonts w:ascii="宋体" w:hAnsi="宋体"/>
          <w:sz w:val="24"/>
        </w:rPr>
        <w:t>采用扩散器，充分利用风机动力。</w:t>
      </w:r>
    </w:p>
    <w:p w14:paraId="38A1E4DD">
      <w:pPr>
        <w:pStyle w:val="24"/>
        <w:spacing w:line="360" w:lineRule="auto"/>
        <w:ind w:left="0" w:leftChars="0" w:firstLine="480" w:firstLineChars="200"/>
        <w:rPr>
          <w:rFonts w:ascii="宋体" w:hAnsi="宋体"/>
          <w:sz w:val="24"/>
        </w:rPr>
      </w:pPr>
      <w:r>
        <w:rPr>
          <w:rFonts w:ascii="宋体" w:hAnsi="宋体"/>
          <w:sz w:val="24"/>
        </w:rPr>
        <w:t>⑦</w:t>
      </w:r>
      <w:r>
        <w:rPr>
          <w:rFonts w:hint="eastAsia" w:ascii="宋体" w:hAnsi="宋体"/>
          <w:sz w:val="24"/>
        </w:rPr>
        <w:t xml:space="preserve"> </w:t>
      </w:r>
      <w:r>
        <w:rPr>
          <w:rFonts w:ascii="宋体" w:hAnsi="宋体"/>
          <w:sz w:val="24"/>
        </w:rPr>
        <w:t>尽可能不用闸门调整风压。</w:t>
      </w:r>
    </w:p>
    <w:p w14:paraId="07B60161">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风道系统：</w:t>
      </w:r>
    </w:p>
    <w:p w14:paraId="50F4166D">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减少漏风，如风门、风桥、翻车硐室要严密，防止漏风。</w:t>
      </w:r>
    </w:p>
    <w:p w14:paraId="28F89A75">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减少通风网络阻力，如加强通风管理，使巷道风流畅通，不使矿车长期滞留在主通风道中。</w:t>
      </w:r>
    </w:p>
    <w:p w14:paraId="61AEF004">
      <w:pPr>
        <w:pStyle w:val="24"/>
        <w:spacing w:line="360" w:lineRule="auto"/>
        <w:ind w:left="0" w:leftChars="0" w:firstLine="480" w:firstLineChars="200"/>
        <w:rPr>
          <w:rFonts w:ascii="宋体" w:hAnsi="宋体"/>
          <w:sz w:val="24"/>
        </w:rPr>
      </w:pPr>
      <w:r>
        <w:rPr>
          <w:rFonts w:hint="eastAsia" w:ascii="宋体" w:hAnsi="宋体"/>
          <w:sz w:val="24"/>
        </w:rPr>
        <w:t>3）</w:t>
      </w:r>
      <w:r>
        <w:rPr>
          <w:rFonts w:ascii="宋体" w:hAnsi="宋体"/>
          <w:sz w:val="24"/>
        </w:rPr>
        <w:t>电动机：</w:t>
      </w:r>
    </w:p>
    <w:p w14:paraId="3BBD73FC">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电动机的负载率应选择在高效范围内。</w:t>
      </w:r>
    </w:p>
    <w:p w14:paraId="6C528CEF">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风机的运行工况阶段性变化时，可分期安装不同容量电动机，在电网容量允许直接启动时，应采用鼠笼型电动机。</w:t>
      </w:r>
    </w:p>
    <w:p w14:paraId="62CF3699">
      <w:pPr>
        <w:pStyle w:val="24"/>
        <w:spacing w:line="360" w:lineRule="auto"/>
        <w:ind w:left="0" w:leftChars="0" w:firstLine="480" w:firstLineChars="200"/>
        <w:rPr>
          <w:rFonts w:ascii="宋体" w:hAnsi="宋体"/>
          <w:sz w:val="24"/>
        </w:rPr>
      </w:pPr>
      <w:r>
        <w:rPr>
          <w:rFonts w:ascii="宋体" w:hAnsi="宋体"/>
          <w:sz w:val="24"/>
        </w:rPr>
        <w:t>③</w:t>
      </w:r>
      <w:r>
        <w:rPr>
          <w:rFonts w:hint="eastAsia" w:ascii="宋体" w:hAnsi="宋体"/>
          <w:sz w:val="24"/>
        </w:rPr>
        <w:t xml:space="preserve"> </w:t>
      </w:r>
      <w:r>
        <w:rPr>
          <w:rFonts w:ascii="宋体" w:hAnsi="宋体"/>
          <w:sz w:val="24"/>
        </w:rPr>
        <w:t>对工况变化较多的风机，建议采用电力电子调节和液压风叶调节技术。</w:t>
      </w:r>
    </w:p>
    <w:p w14:paraId="731D2807">
      <w:pPr>
        <w:pStyle w:val="24"/>
        <w:spacing w:line="360" w:lineRule="auto"/>
        <w:ind w:left="0" w:leftChars="0" w:firstLine="480" w:firstLineChars="200"/>
        <w:rPr>
          <w:rFonts w:ascii="宋体" w:hAnsi="宋体"/>
          <w:sz w:val="24"/>
        </w:rPr>
      </w:pPr>
      <w:r>
        <w:rPr>
          <w:rFonts w:ascii="宋体" w:hAnsi="宋体"/>
          <w:sz w:val="24"/>
        </w:rPr>
        <w:t>本矿井通风机采用变频调速装置，节省能源。</w:t>
      </w:r>
    </w:p>
    <w:p w14:paraId="6B851D9F">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4）压风系统</w:t>
      </w:r>
    </w:p>
    <w:p w14:paraId="470C5101">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空压机：</w:t>
      </w:r>
    </w:p>
    <w:p w14:paraId="180F219F">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采用高效率的压风机。</w:t>
      </w:r>
    </w:p>
    <w:p w14:paraId="6E39F530">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配备自动控制装置，自动开停，避免空运转，或实行计划供风、集中供风，及时开机时间。</w:t>
      </w:r>
    </w:p>
    <w:p w14:paraId="4CDA7D70">
      <w:pPr>
        <w:pStyle w:val="24"/>
        <w:spacing w:line="360" w:lineRule="auto"/>
        <w:ind w:left="0" w:leftChars="0" w:firstLine="480" w:firstLineChars="200"/>
        <w:rPr>
          <w:rFonts w:ascii="宋体" w:hAnsi="宋体"/>
          <w:sz w:val="24"/>
        </w:rPr>
      </w:pPr>
      <w:r>
        <w:rPr>
          <w:rFonts w:ascii="宋体" w:hAnsi="宋体"/>
          <w:sz w:val="24"/>
        </w:rPr>
        <w:t>③</w:t>
      </w:r>
      <w:r>
        <w:rPr>
          <w:rFonts w:hint="eastAsia" w:ascii="宋体" w:hAnsi="宋体"/>
          <w:sz w:val="24"/>
        </w:rPr>
        <w:t xml:space="preserve"> </w:t>
      </w:r>
      <w:r>
        <w:rPr>
          <w:rFonts w:ascii="宋体" w:hAnsi="宋体"/>
          <w:sz w:val="24"/>
        </w:rPr>
        <w:t>及时清洗吸、排气阀及虑风器。</w:t>
      </w:r>
    </w:p>
    <w:p w14:paraId="6EA90149">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管网系统：</w:t>
      </w:r>
    </w:p>
    <w:p w14:paraId="10EA311F">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合理选用压风管径，管内流速在10m/s左右，最远端的压风损失不超过1.47×105Pa。</w:t>
      </w:r>
    </w:p>
    <w:p w14:paraId="6A4DC196">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管路敷设应符合规定，有条件应采用焊接。</w:t>
      </w:r>
    </w:p>
    <w:p w14:paraId="10F74EAE">
      <w:pPr>
        <w:pStyle w:val="24"/>
        <w:spacing w:line="360" w:lineRule="auto"/>
        <w:ind w:left="0" w:leftChars="0" w:firstLine="480" w:firstLineChars="200"/>
        <w:rPr>
          <w:rFonts w:ascii="宋体" w:hAnsi="宋体"/>
          <w:sz w:val="24"/>
        </w:rPr>
      </w:pPr>
      <w:r>
        <w:rPr>
          <w:rFonts w:ascii="宋体" w:hAnsi="宋体"/>
          <w:sz w:val="24"/>
        </w:rPr>
        <w:t>③</w:t>
      </w:r>
      <w:r>
        <w:rPr>
          <w:rFonts w:hint="eastAsia" w:ascii="宋体" w:hAnsi="宋体"/>
          <w:sz w:val="24"/>
        </w:rPr>
        <w:t xml:space="preserve"> </w:t>
      </w:r>
      <w:r>
        <w:rPr>
          <w:rFonts w:ascii="宋体" w:hAnsi="宋体"/>
          <w:sz w:val="24"/>
        </w:rPr>
        <w:t>加强维护，防止管路漏风，及时补堵漏风管路。</w:t>
      </w:r>
    </w:p>
    <w:p w14:paraId="1D35C9E9">
      <w:pPr>
        <w:pStyle w:val="24"/>
        <w:spacing w:line="360" w:lineRule="auto"/>
        <w:ind w:left="0" w:leftChars="0" w:firstLine="480" w:firstLineChars="200"/>
        <w:rPr>
          <w:rFonts w:ascii="宋体" w:hAnsi="宋体"/>
          <w:sz w:val="24"/>
        </w:rPr>
      </w:pPr>
      <w:r>
        <w:rPr>
          <w:rFonts w:hint="eastAsia" w:ascii="宋体" w:hAnsi="宋体"/>
          <w:sz w:val="24"/>
        </w:rPr>
        <w:t xml:space="preserve">④ </w:t>
      </w:r>
      <w:r>
        <w:rPr>
          <w:rFonts w:ascii="宋体" w:hAnsi="宋体"/>
          <w:sz w:val="24"/>
        </w:rPr>
        <w:t>管路低凹处安装油水分离器。</w:t>
      </w:r>
    </w:p>
    <w:p w14:paraId="3A2478D2">
      <w:pPr>
        <w:pStyle w:val="24"/>
        <w:spacing w:line="360" w:lineRule="auto"/>
        <w:ind w:left="0" w:leftChars="0" w:firstLine="480" w:firstLineChars="200"/>
        <w:rPr>
          <w:rFonts w:ascii="宋体" w:hAnsi="宋体"/>
          <w:sz w:val="24"/>
        </w:rPr>
      </w:pPr>
      <w:r>
        <w:rPr>
          <w:rFonts w:hint="eastAsia" w:ascii="宋体" w:hAnsi="宋体"/>
          <w:sz w:val="24"/>
        </w:rPr>
        <w:t>3）</w:t>
      </w:r>
      <w:r>
        <w:rPr>
          <w:rFonts w:ascii="宋体" w:hAnsi="宋体"/>
          <w:sz w:val="24"/>
        </w:rPr>
        <w:t>风动工具：</w:t>
      </w:r>
    </w:p>
    <w:p w14:paraId="434D38CB">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注意使用与维修，提高风动工具效率。</w:t>
      </w:r>
    </w:p>
    <w:p w14:paraId="5F353F0C">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尽可能用电动工具或液压设备代替风动工具。</w:t>
      </w:r>
    </w:p>
    <w:p w14:paraId="4355F4A7">
      <w:pPr>
        <w:pStyle w:val="24"/>
        <w:spacing w:line="360" w:lineRule="auto"/>
        <w:ind w:left="0" w:leftChars="0" w:firstLine="480" w:firstLineChars="200"/>
        <w:rPr>
          <w:rFonts w:ascii="宋体" w:hAnsi="宋体"/>
          <w:sz w:val="24"/>
        </w:rPr>
      </w:pPr>
      <w:r>
        <w:rPr>
          <w:rFonts w:ascii="宋体" w:hAnsi="宋体"/>
          <w:sz w:val="24"/>
        </w:rPr>
        <w:t>③</w:t>
      </w:r>
      <w:r>
        <w:rPr>
          <w:rFonts w:hint="eastAsia" w:ascii="宋体" w:hAnsi="宋体"/>
          <w:sz w:val="24"/>
        </w:rPr>
        <w:t xml:space="preserve"> </w:t>
      </w:r>
      <w:r>
        <w:rPr>
          <w:rFonts w:ascii="宋体" w:hAnsi="宋体"/>
          <w:sz w:val="24"/>
        </w:rPr>
        <w:t>避免空载或轻载允许。</w:t>
      </w:r>
    </w:p>
    <w:p w14:paraId="6EC97FBA">
      <w:pPr>
        <w:pStyle w:val="24"/>
        <w:spacing w:line="360" w:lineRule="auto"/>
        <w:ind w:left="0" w:leftChars="0" w:firstLine="480" w:firstLineChars="200"/>
        <w:rPr>
          <w:rFonts w:ascii="宋体" w:hAnsi="宋体"/>
          <w:sz w:val="24"/>
        </w:rPr>
      </w:pPr>
      <w:r>
        <w:rPr>
          <w:rFonts w:hint="eastAsia" w:ascii="宋体" w:hAnsi="宋体"/>
          <w:sz w:val="24"/>
        </w:rPr>
        <w:t>（5</w:t>
      </w:r>
      <w:r>
        <w:rPr>
          <w:rFonts w:ascii="宋体" w:hAnsi="宋体"/>
          <w:sz w:val="24"/>
        </w:rPr>
        <w:t>）瓦斯抽放系统</w:t>
      </w:r>
    </w:p>
    <w:p w14:paraId="744DB2BF">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真空泵：</w:t>
      </w:r>
    </w:p>
    <w:p w14:paraId="341F92B0">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选择高效率真空泵，使真空泵运行在高效工作区。</w:t>
      </w:r>
    </w:p>
    <w:p w14:paraId="0C5E2D74">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要在有关部位安装流量、温度、压力等仪表，监视系统运行情况。</w:t>
      </w:r>
    </w:p>
    <w:p w14:paraId="56618126">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管网系统：</w:t>
      </w:r>
    </w:p>
    <w:p w14:paraId="033BD989">
      <w:pPr>
        <w:pStyle w:val="24"/>
        <w:spacing w:line="360" w:lineRule="auto"/>
        <w:ind w:left="0" w:leftChars="0" w:firstLine="480" w:firstLineChars="200"/>
        <w:rPr>
          <w:rFonts w:ascii="宋体" w:hAnsi="宋体"/>
          <w:sz w:val="24"/>
        </w:rPr>
      </w:pPr>
      <w:r>
        <w:rPr>
          <w:rFonts w:ascii="宋体" w:hAnsi="宋体"/>
          <w:sz w:val="24"/>
        </w:rPr>
        <w:t>①</w:t>
      </w:r>
      <w:r>
        <w:rPr>
          <w:rFonts w:hint="eastAsia" w:ascii="宋体" w:hAnsi="宋体"/>
          <w:sz w:val="24"/>
        </w:rPr>
        <w:t xml:space="preserve"> </w:t>
      </w:r>
      <w:r>
        <w:rPr>
          <w:rFonts w:ascii="宋体" w:hAnsi="宋体"/>
          <w:sz w:val="24"/>
        </w:rPr>
        <w:t>分离使用管路放水装置，降低管路的阻力。</w:t>
      </w:r>
    </w:p>
    <w:p w14:paraId="160F9E03">
      <w:pPr>
        <w:pStyle w:val="24"/>
        <w:spacing w:line="360" w:lineRule="auto"/>
        <w:ind w:left="0" w:leftChars="0" w:firstLine="480" w:firstLineChars="200"/>
        <w:rPr>
          <w:rFonts w:ascii="宋体" w:hAnsi="宋体"/>
          <w:sz w:val="24"/>
        </w:rPr>
      </w:pPr>
      <w:r>
        <w:rPr>
          <w:rFonts w:ascii="宋体" w:hAnsi="宋体"/>
          <w:sz w:val="24"/>
        </w:rPr>
        <w:t>②</w:t>
      </w:r>
      <w:r>
        <w:rPr>
          <w:rFonts w:hint="eastAsia" w:ascii="宋体" w:hAnsi="宋体"/>
          <w:sz w:val="24"/>
        </w:rPr>
        <w:t xml:space="preserve"> </w:t>
      </w:r>
      <w:r>
        <w:rPr>
          <w:rFonts w:ascii="宋体" w:hAnsi="宋体"/>
          <w:sz w:val="24"/>
        </w:rPr>
        <w:t>合理选择瓦斯管路管径，流速控制在10</w:t>
      </w:r>
      <w:r>
        <w:rPr>
          <w:rFonts w:hint="eastAsia" w:ascii="宋体" w:hAnsi="宋体"/>
          <w:sz w:val="24"/>
        </w:rPr>
        <w:t>—</w:t>
      </w:r>
      <w:r>
        <w:rPr>
          <w:rFonts w:ascii="宋体" w:hAnsi="宋体"/>
          <w:sz w:val="24"/>
        </w:rPr>
        <w:t>15m/s左右。有条件的地点，管路采用焊接，减少突变管径，减少弯头。</w:t>
      </w:r>
    </w:p>
    <w:p w14:paraId="6114B45E">
      <w:pPr>
        <w:pStyle w:val="24"/>
        <w:spacing w:line="360" w:lineRule="auto"/>
        <w:ind w:left="0" w:leftChars="0" w:firstLine="480" w:firstLineChars="200"/>
        <w:rPr>
          <w:rFonts w:ascii="宋体" w:hAnsi="宋体"/>
          <w:sz w:val="24"/>
        </w:rPr>
      </w:pPr>
      <w:r>
        <w:rPr>
          <w:rFonts w:ascii="宋体" w:hAnsi="宋体"/>
          <w:sz w:val="24"/>
        </w:rPr>
        <w:t>瓦斯抽放设备，均选用高效节能新产品,配套的抽放管路都以经济流速选配，使得真空泵都能运行在较为经济的流速内；真空泵为水冷，采用循环水冷却方式，达到节约用水。</w:t>
      </w:r>
    </w:p>
    <w:p w14:paraId="0DA3D105">
      <w:pPr>
        <w:pStyle w:val="24"/>
        <w:spacing w:line="360" w:lineRule="auto"/>
        <w:ind w:left="0" w:leftChars="0" w:firstLine="480" w:firstLineChars="200"/>
        <w:rPr>
          <w:rFonts w:ascii="宋体" w:hAnsi="宋体"/>
          <w:sz w:val="24"/>
        </w:rPr>
      </w:pPr>
      <w:bookmarkStart w:id="789" w:name="_Toc217653682"/>
      <w:bookmarkStart w:id="790" w:name="_Toc214534206"/>
      <w:bookmarkStart w:id="791" w:name="_Toc217651196"/>
      <w:bookmarkStart w:id="792" w:name="_Toc214940595"/>
      <w:r>
        <w:rPr>
          <w:rFonts w:hint="eastAsia" w:ascii="宋体" w:hAnsi="宋体"/>
          <w:sz w:val="24"/>
        </w:rPr>
        <w:t>5、</w:t>
      </w:r>
      <w:r>
        <w:rPr>
          <w:rFonts w:ascii="宋体" w:hAnsi="宋体"/>
          <w:sz w:val="24"/>
        </w:rPr>
        <w:t>给排水、暖通及环保节能</w:t>
      </w:r>
      <w:bookmarkEnd w:id="789"/>
      <w:bookmarkEnd w:id="790"/>
      <w:bookmarkEnd w:id="791"/>
      <w:bookmarkEnd w:id="792"/>
    </w:p>
    <w:p w14:paraId="19CBF8FF">
      <w:pPr>
        <w:pStyle w:val="24"/>
        <w:spacing w:line="360" w:lineRule="auto"/>
        <w:ind w:left="0" w:leftChars="0" w:firstLine="480" w:firstLineChars="200"/>
        <w:rPr>
          <w:rFonts w:ascii="宋体" w:hAnsi="宋体"/>
          <w:sz w:val="24"/>
        </w:rPr>
      </w:pPr>
      <w:r>
        <w:rPr>
          <w:rFonts w:hint="eastAsia" w:ascii="宋体" w:hAnsi="宋体"/>
          <w:sz w:val="24"/>
        </w:rPr>
        <w:t>（</w:t>
      </w:r>
      <w:r>
        <w:rPr>
          <w:rFonts w:ascii="宋体" w:hAnsi="宋体"/>
          <w:sz w:val="24"/>
        </w:rPr>
        <w:t>1）矿井给水排水系统设计及设备选型方面节能的具体措施</w:t>
      </w:r>
    </w:p>
    <w:p w14:paraId="7981131C">
      <w:pPr>
        <w:spacing w:line="360" w:lineRule="auto"/>
        <w:ind w:firstLine="480" w:firstLineChars="200"/>
        <w:rPr>
          <w:rFonts w:hint="eastAsia" w:ascii="宋体" w:hAnsi="宋体"/>
          <w:bCs/>
          <w:sz w:val="24"/>
        </w:rPr>
      </w:pPr>
      <w:r>
        <w:rPr>
          <w:rFonts w:hint="eastAsia" w:ascii="宋体" w:hAnsi="宋体"/>
          <w:bCs/>
          <w:sz w:val="24"/>
        </w:rPr>
        <w:t>利用地形设置高位水池，避免水泵的频繁启动和空转；</w:t>
      </w:r>
    </w:p>
    <w:p w14:paraId="4B7267A4">
      <w:pPr>
        <w:spacing w:line="360" w:lineRule="auto"/>
        <w:ind w:firstLine="480" w:firstLineChars="200"/>
        <w:rPr>
          <w:rFonts w:hint="eastAsia" w:ascii="宋体" w:hAnsi="宋体"/>
          <w:bCs/>
          <w:sz w:val="24"/>
        </w:rPr>
      </w:pPr>
      <w:r>
        <w:rPr>
          <w:rFonts w:hint="eastAsia" w:ascii="宋体" w:hAnsi="宋体"/>
          <w:bCs/>
          <w:sz w:val="24"/>
        </w:rPr>
        <w:t>采用内壁光滑的供水管材，选用合理的经济流速，减少管道的水头损失；</w:t>
      </w:r>
    </w:p>
    <w:p w14:paraId="5FC51511">
      <w:pPr>
        <w:spacing w:line="360" w:lineRule="auto"/>
        <w:ind w:firstLine="480" w:firstLineChars="200"/>
        <w:rPr>
          <w:rFonts w:hint="eastAsia" w:ascii="宋体" w:hAnsi="宋体"/>
          <w:bCs/>
          <w:sz w:val="24"/>
        </w:rPr>
      </w:pPr>
      <w:r>
        <w:rPr>
          <w:rFonts w:hint="eastAsia" w:ascii="宋体" w:hAnsi="宋体"/>
          <w:bCs/>
          <w:sz w:val="24"/>
        </w:rPr>
        <w:t>瓦斯抽放站、瓦斯电厂冷却水采用循环水工艺，减少新鲜水使用量；</w:t>
      </w:r>
    </w:p>
    <w:p w14:paraId="077FFDD5">
      <w:pPr>
        <w:spacing w:line="360" w:lineRule="auto"/>
        <w:ind w:firstLine="480" w:firstLineChars="200"/>
        <w:rPr>
          <w:rFonts w:hint="eastAsia" w:ascii="宋体" w:hAnsi="宋体"/>
          <w:bCs/>
          <w:sz w:val="24"/>
        </w:rPr>
      </w:pPr>
      <w:r>
        <w:rPr>
          <w:rFonts w:hint="eastAsia" w:ascii="宋体" w:hAnsi="宋体"/>
          <w:bCs/>
          <w:sz w:val="24"/>
        </w:rPr>
        <w:t>选用高效新型节能水泵，同时工况点应在水泵性能曲线的高效区；</w:t>
      </w:r>
    </w:p>
    <w:p w14:paraId="0BC83DCC">
      <w:pPr>
        <w:spacing w:line="360" w:lineRule="auto"/>
        <w:ind w:firstLine="480" w:firstLineChars="200"/>
        <w:rPr>
          <w:rFonts w:hint="eastAsia" w:ascii="宋体" w:hAnsi="宋体"/>
          <w:sz w:val="24"/>
        </w:rPr>
      </w:pPr>
      <w:r>
        <w:rPr>
          <w:rFonts w:hint="eastAsia" w:ascii="宋体" w:hAnsi="宋体"/>
          <w:bCs/>
          <w:sz w:val="24"/>
        </w:rPr>
        <w:t>对高扬程水泵出口采用</w:t>
      </w:r>
      <w:r>
        <w:rPr>
          <w:rFonts w:hint="eastAsia" w:ascii="宋体" w:hAnsi="宋体"/>
          <w:sz w:val="24"/>
        </w:rPr>
        <w:t>多功能水泵控制阀，防止水锤损坏水泵电机，可</w:t>
      </w:r>
      <w:r>
        <w:rPr>
          <w:rFonts w:hint="eastAsia" w:ascii="宋体" w:hAnsi="宋体"/>
          <w:bCs/>
          <w:sz w:val="24"/>
        </w:rPr>
        <w:t>节损设备费用</w:t>
      </w:r>
      <w:r>
        <w:rPr>
          <w:rFonts w:hint="eastAsia" w:ascii="宋体" w:hAnsi="宋体"/>
          <w:sz w:val="24"/>
        </w:rPr>
        <w:t>；</w:t>
      </w:r>
    </w:p>
    <w:p w14:paraId="05CB1025">
      <w:pPr>
        <w:spacing w:line="360" w:lineRule="auto"/>
        <w:ind w:firstLine="480" w:firstLineChars="200"/>
        <w:rPr>
          <w:rFonts w:hint="eastAsia" w:ascii="宋体" w:hAnsi="宋体"/>
          <w:sz w:val="24"/>
        </w:rPr>
      </w:pPr>
      <w:r>
        <w:rPr>
          <w:rFonts w:hint="eastAsia" w:ascii="宋体" w:hAnsi="宋体"/>
          <w:sz w:val="24"/>
        </w:rPr>
        <w:t>对热水管道系统进行保温，采用高效能保温材料，减少热量损失；</w:t>
      </w:r>
    </w:p>
    <w:p w14:paraId="7AFCBF01">
      <w:pPr>
        <w:spacing w:line="360" w:lineRule="auto"/>
        <w:ind w:firstLine="480" w:firstLineChars="200"/>
        <w:rPr>
          <w:rFonts w:hint="eastAsia" w:ascii="宋体" w:hAnsi="宋体"/>
          <w:sz w:val="24"/>
        </w:rPr>
      </w:pPr>
      <w:r>
        <w:rPr>
          <w:rFonts w:hint="eastAsia" w:ascii="宋体" w:hAnsi="宋体"/>
          <w:sz w:val="24"/>
        </w:rPr>
        <w:t>对供水系统安装计量装置，从管理上达到节水节能的要求；</w:t>
      </w:r>
    </w:p>
    <w:p w14:paraId="4E5A9098">
      <w:pPr>
        <w:pStyle w:val="24"/>
        <w:spacing w:line="360" w:lineRule="auto"/>
        <w:ind w:left="0" w:leftChars="0" w:firstLine="480" w:firstLineChars="200"/>
        <w:rPr>
          <w:rFonts w:ascii="宋体" w:hAnsi="宋体"/>
          <w:sz w:val="24"/>
        </w:rPr>
      </w:pPr>
      <w:r>
        <w:rPr>
          <w:rFonts w:hint="eastAsia" w:ascii="宋体" w:hAnsi="宋体"/>
          <w:sz w:val="24"/>
        </w:rPr>
        <w:t>使用节水型卫生器具，除节水效果外，其节能效果也是比较显著的。目前使用节水型器具主要有以下几点；减少马桶冲洗水量：目前，我国普遍采用冲水量≥9L的坐便器，耗水量大。若全部使用冲水量≤6L的马桶且采用两挡冲洗阀门，则单是楼可节水12%，食堂可节水4%，办公楼可节水27%。厨房、淋浴、洗涤盆、洗浴水嘴和盥洗室的面盆龙头若采用充气水嘴，可节水且不减少水柱的直径，充气率一般可在15%左右，即节水率在15%左右。节能效果根建筑物高度成正比，建筑物越高，节能效果越显著。</w:t>
      </w:r>
    </w:p>
    <w:p w14:paraId="2D322FFB">
      <w:pPr>
        <w:pStyle w:val="24"/>
        <w:spacing w:before="120" w:beforeLines="50"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）减少水污染物排放的措施</w:t>
      </w:r>
    </w:p>
    <w:p w14:paraId="06B6065E">
      <w:pPr>
        <w:pStyle w:val="24"/>
        <w:spacing w:line="360" w:lineRule="auto"/>
        <w:ind w:left="0" w:leftChars="0" w:firstLine="480" w:firstLineChars="200"/>
        <w:rPr>
          <w:rFonts w:ascii="宋体" w:hAnsi="宋体"/>
          <w:sz w:val="24"/>
        </w:rPr>
      </w:pPr>
      <w:r>
        <w:rPr>
          <w:rFonts w:ascii="宋体" w:hAnsi="宋体"/>
          <w:sz w:val="24"/>
        </w:rPr>
        <w:t>矿井供水系统采用分质供水，矿井水经处理后作为消防、生产、除尘、绿化用水等，富余回用于附近的农田灌溉等；矿井水利用率提高到50%；</w:t>
      </w:r>
    </w:p>
    <w:p w14:paraId="0E360E60">
      <w:pPr>
        <w:pStyle w:val="24"/>
        <w:spacing w:line="360" w:lineRule="auto"/>
        <w:ind w:left="0" w:leftChars="0" w:firstLine="480" w:firstLineChars="200"/>
        <w:rPr>
          <w:rFonts w:ascii="宋体" w:hAnsi="宋体"/>
          <w:sz w:val="24"/>
        </w:rPr>
      </w:pPr>
      <w:r>
        <w:rPr>
          <w:rFonts w:ascii="宋体" w:hAnsi="宋体"/>
          <w:sz w:val="24"/>
        </w:rPr>
        <w:t>生活污水经处理后作为中水回用于绿化和浇洒道路用水等；</w:t>
      </w:r>
    </w:p>
    <w:p w14:paraId="1944B01D">
      <w:pPr>
        <w:pStyle w:val="24"/>
        <w:spacing w:line="360" w:lineRule="auto"/>
        <w:ind w:left="0" w:leftChars="0" w:firstLine="480" w:firstLineChars="200"/>
        <w:rPr>
          <w:rFonts w:ascii="宋体" w:hAnsi="宋体"/>
          <w:sz w:val="24"/>
        </w:rPr>
      </w:pPr>
      <w:r>
        <w:rPr>
          <w:rFonts w:hint="eastAsia" w:ascii="宋体" w:hAnsi="宋体"/>
          <w:sz w:val="24"/>
        </w:rPr>
        <w:t>（3</w:t>
      </w:r>
      <w:r>
        <w:rPr>
          <w:rFonts w:ascii="宋体" w:hAnsi="宋体"/>
          <w:sz w:val="24"/>
        </w:rPr>
        <w:t>）供暖系统</w:t>
      </w:r>
    </w:p>
    <w:p w14:paraId="39B83B14">
      <w:pPr>
        <w:pStyle w:val="24"/>
        <w:spacing w:line="360" w:lineRule="auto"/>
        <w:ind w:left="0" w:leftChars="0" w:firstLine="480" w:firstLineChars="200"/>
        <w:rPr>
          <w:rFonts w:ascii="宋体" w:hAnsi="宋体"/>
          <w:sz w:val="24"/>
        </w:rPr>
      </w:pPr>
      <w:r>
        <w:rPr>
          <w:rFonts w:hint="eastAsia" w:ascii="宋体" w:hAnsi="宋体"/>
          <w:sz w:val="24"/>
        </w:rPr>
        <w:t>1）</w:t>
      </w:r>
      <w:r>
        <w:rPr>
          <w:rFonts w:ascii="宋体" w:hAnsi="宋体"/>
          <w:sz w:val="24"/>
        </w:rPr>
        <w:t>煤耗指标分析</w:t>
      </w:r>
    </w:p>
    <w:p w14:paraId="0E4DE5D4">
      <w:pPr>
        <w:pStyle w:val="24"/>
        <w:spacing w:line="360" w:lineRule="auto"/>
        <w:ind w:left="0" w:leftChars="0" w:firstLine="480" w:firstLineChars="200"/>
        <w:rPr>
          <w:rFonts w:ascii="宋体" w:hAnsi="宋体"/>
          <w:sz w:val="24"/>
        </w:rPr>
      </w:pPr>
      <w:r>
        <w:rPr>
          <w:rFonts w:hint="eastAsia" w:ascii="宋体" w:hAnsi="宋体"/>
          <w:sz w:val="24"/>
        </w:rPr>
        <w:t>矿井</w:t>
      </w:r>
      <w:r>
        <w:rPr>
          <w:rFonts w:ascii="宋体" w:hAnsi="宋体"/>
          <w:sz w:val="24"/>
        </w:rPr>
        <w:t>选用的燃气蒸汽锅炉均由国家机械工业部、劳动部批准的定点生产锅炉的骨干企业生产，WNS10锅炉被评为国家重大新产品及中国名牌产品。拟采用的锅炉热效率较高，燃料消耗量较低。WNS10燃气蒸汽锅炉热效率为92％，燃料消耗量为715Nm</w:t>
      </w:r>
      <w:r>
        <w:rPr>
          <w:rFonts w:ascii="宋体" w:hAnsi="宋体"/>
          <w:sz w:val="24"/>
          <w:vertAlign w:val="superscript"/>
        </w:rPr>
        <w:t>3</w:t>
      </w:r>
      <w:r>
        <w:rPr>
          <w:rFonts w:ascii="宋体" w:hAnsi="宋体"/>
          <w:sz w:val="24"/>
        </w:rPr>
        <w:t>/h。</w:t>
      </w:r>
    </w:p>
    <w:p w14:paraId="37261EBC">
      <w:pPr>
        <w:pStyle w:val="24"/>
        <w:spacing w:line="360" w:lineRule="auto"/>
        <w:ind w:left="0" w:leftChars="0" w:firstLine="480" w:firstLineChars="200"/>
        <w:rPr>
          <w:rFonts w:ascii="宋体" w:hAnsi="宋体"/>
          <w:sz w:val="24"/>
        </w:rPr>
      </w:pPr>
      <w:r>
        <w:rPr>
          <w:rFonts w:hint="eastAsia" w:ascii="宋体" w:hAnsi="宋体"/>
          <w:sz w:val="24"/>
        </w:rPr>
        <w:t>2）</w:t>
      </w:r>
      <w:r>
        <w:rPr>
          <w:rFonts w:ascii="宋体" w:hAnsi="宋体"/>
          <w:sz w:val="24"/>
        </w:rPr>
        <w:t>节煤措施</w:t>
      </w:r>
    </w:p>
    <w:p w14:paraId="7996B195">
      <w:pPr>
        <w:pStyle w:val="24"/>
        <w:spacing w:line="360" w:lineRule="auto"/>
        <w:ind w:left="0" w:leftChars="0" w:firstLine="480" w:firstLineChars="200"/>
        <w:rPr>
          <w:rFonts w:ascii="宋体" w:hAnsi="宋体"/>
          <w:sz w:val="24"/>
        </w:rPr>
      </w:pPr>
      <w:r>
        <w:rPr>
          <w:rFonts w:ascii="宋体" w:hAnsi="宋体"/>
          <w:sz w:val="24"/>
        </w:rPr>
        <w:t>为节约能源，设计中采取了以下措施：</w:t>
      </w:r>
    </w:p>
    <w:p w14:paraId="7EBB2627">
      <w:pPr>
        <w:pStyle w:val="24"/>
        <w:spacing w:line="360" w:lineRule="auto"/>
        <w:ind w:left="0" w:leftChars="0" w:firstLine="480" w:firstLineChars="200"/>
        <w:rPr>
          <w:rFonts w:ascii="宋体" w:hAnsi="宋体"/>
          <w:sz w:val="24"/>
        </w:rPr>
      </w:pPr>
      <w:r>
        <w:rPr>
          <w:rFonts w:ascii="宋体" w:hAnsi="宋体"/>
          <w:sz w:val="24"/>
        </w:rPr>
        <w:fldChar w:fldCharType="begin"/>
      </w:r>
      <w:r>
        <w:rPr>
          <w:rFonts w:ascii="宋体" w:hAnsi="宋体"/>
          <w:sz w:val="24"/>
        </w:rPr>
        <w:instrText xml:space="preserve"> = 1 \* GB3 </w:instrText>
      </w:r>
      <w:r>
        <w:rPr>
          <w:rFonts w:ascii="宋体" w:hAnsi="宋体"/>
          <w:sz w:val="24"/>
        </w:rPr>
        <w:fldChar w:fldCharType="separate"/>
      </w:r>
      <w:r>
        <w:rPr>
          <w:rFonts w:ascii="宋体" w:hAnsi="宋体"/>
          <w:sz w:val="24"/>
        </w:rPr>
        <w:t>①</w:t>
      </w:r>
      <w:r>
        <w:rPr>
          <w:rFonts w:ascii="宋体" w:hAnsi="宋体"/>
          <w:sz w:val="24"/>
        </w:rPr>
        <w:fldChar w:fldCharType="end"/>
      </w:r>
      <w:r>
        <w:rPr>
          <w:rFonts w:hint="eastAsia" w:ascii="宋体" w:hAnsi="宋体"/>
          <w:sz w:val="24"/>
        </w:rPr>
        <w:t xml:space="preserve"> </w:t>
      </w:r>
      <w:r>
        <w:rPr>
          <w:rFonts w:ascii="宋体" w:hAnsi="宋体"/>
          <w:sz w:val="24"/>
        </w:rPr>
        <w:t>采用集中供热。</w:t>
      </w:r>
    </w:p>
    <w:p w14:paraId="5B31B4CF">
      <w:pPr>
        <w:pStyle w:val="24"/>
        <w:spacing w:line="360" w:lineRule="auto"/>
        <w:ind w:left="0" w:leftChars="0" w:firstLine="480" w:firstLineChars="200"/>
        <w:rPr>
          <w:rFonts w:ascii="宋体" w:hAnsi="宋体"/>
          <w:sz w:val="24"/>
        </w:rPr>
      </w:pPr>
      <w:r>
        <w:rPr>
          <w:rFonts w:ascii="宋体" w:hAnsi="宋体"/>
          <w:sz w:val="24"/>
        </w:rPr>
        <w:fldChar w:fldCharType="begin"/>
      </w:r>
      <w:r>
        <w:rPr>
          <w:rFonts w:ascii="宋体" w:hAnsi="宋体"/>
          <w:sz w:val="24"/>
        </w:rPr>
        <w:instrText xml:space="preserve"> = 2 \* GB3 </w:instrText>
      </w:r>
      <w:r>
        <w:rPr>
          <w:rFonts w:ascii="宋体" w:hAnsi="宋体"/>
          <w:sz w:val="24"/>
        </w:rPr>
        <w:fldChar w:fldCharType="separate"/>
      </w:r>
      <w:r>
        <w:rPr>
          <w:rFonts w:ascii="宋体" w:hAnsi="宋体"/>
          <w:sz w:val="24"/>
        </w:rPr>
        <w:t>②</w:t>
      </w:r>
      <w:r>
        <w:rPr>
          <w:rFonts w:ascii="宋体" w:hAnsi="宋体"/>
          <w:sz w:val="24"/>
        </w:rPr>
        <w:fldChar w:fldCharType="end"/>
      </w:r>
      <w:r>
        <w:rPr>
          <w:rFonts w:hint="eastAsia" w:ascii="宋体" w:hAnsi="宋体"/>
          <w:sz w:val="24"/>
        </w:rPr>
        <w:t xml:space="preserve"> </w:t>
      </w:r>
      <w:r>
        <w:rPr>
          <w:rFonts w:ascii="宋体" w:hAnsi="宋体"/>
          <w:sz w:val="24"/>
        </w:rPr>
        <w:t>选用机械工业部推广的节能锅炉，提高锅炉热效率，降低成本。</w:t>
      </w:r>
    </w:p>
    <w:p w14:paraId="118B657D">
      <w:pPr>
        <w:pStyle w:val="24"/>
        <w:spacing w:line="360" w:lineRule="auto"/>
        <w:ind w:left="0" w:leftChars="0" w:firstLine="480" w:firstLineChars="200"/>
        <w:rPr>
          <w:rFonts w:ascii="宋体" w:hAnsi="宋体"/>
          <w:sz w:val="24"/>
        </w:rPr>
      </w:pPr>
      <w:r>
        <w:rPr>
          <w:rFonts w:ascii="宋体" w:hAnsi="宋体"/>
          <w:sz w:val="24"/>
        </w:rPr>
        <w:fldChar w:fldCharType="begin"/>
      </w:r>
      <w:r>
        <w:rPr>
          <w:rFonts w:ascii="宋体" w:hAnsi="宋体"/>
          <w:sz w:val="24"/>
        </w:rPr>
        <w:instrText xml:space="preserve"> = 3 \* GB3 </w:instrText>
      </w:r>
      <w:r>
        <w:rPr>
          <w:rFonts w:ascii="宋体" w:hAnsi="宋体"/>
          <w:sz w:val="24"/>
        </w:rPr>
        <w:fldChar w:fldCharType="separate"/>
      </w:r>
      <w:r>
        <w:rPr>
          <w:rFonts w:ascii="宋体" w:hAnsi="宋体"/>
          <w:sz w:val="24"/>
        </w:rPr>
        <w:t>③</w:t>
      </w:r>
      <w:r>
        <w:rPr>
          <w:rFonts w:ascii="宋体" w:hAnsi="宋体"/>
          <w:sz w:val="24"/>
        </w:rPr>
        <w:fldChar w:fldCharType="end"/>
      </w:r>
      <w:r>
        <w:rPr>
          <w:rFonts w:hint="eastAsia" w:ascii="宋体" w:hAnsi="宋体"/>
          <w:sz w:val="24"/>
        </w:rPr>
        <w:t xml:space="preserve"> </w:t>
      </w:r>
      <w:r>
        <w:rPr>
          <w:rFonts w:ascii="宋体" w:hAnsi="宋体"/>
          <w:sz w:val="24"/>
        </w:rPr>
        <w:t>加强对锅炉房及热网的运行管理，合理安排用户用热时间，均衡供热。并建立健全热力管网定期巡回检查和维修制度，及时处理跑、冒、滴、漏，减少热损失。</w:t>
      </w:r>
    </w:p>
    <w:p w14:paraId="21D26710">
      <w:pPr>
        <w:pStyle w:val="24"/>
        <w:spacing w:line="360" w:lineRule="auto"/>
        <w:ind w:left="0" w:leftChars="0" w:firstLine="480" w:firstLineChars="200"/>
        <w:rPr>
          <w:rFonts w:ascii="宋体" w:hAnsi="宋体"/>
          <w:sz w:val="24"/>
        </w:rPr>
      </w:pPr>
      <w:r>
        <w:rPr>
          <w:rFonts w:ascii="宋体" w:hAnsi="宋体"/>
          <w:sz w:val="24"/>
        </w:rPr>
        <w:fldChar w:fldCharType="begin"/>
      </w:r>
      <w:r>
        <w:rPr>
          <w:rFonts w:ascii="宋体" w:hAnsi="宋体"/>
          <w:sz w:val="24"/>
        </w:rPr>
        <w:instrText xml:space="preserve"> = 4 \* GB3 </w:instrText>
      </w:r>
      <w:r>
        <w:rPr>
          <w:rFonts w:ascii="宋体" w:hAnsi="宋体"/>
          <w:sz w:val="24"/>
        </w:rPr>
        <w:fldChar w:fldCharType="separate"/>
      </w:r>
      <w:r>
        <w:rPr>
          <w:rFonts w:ascii="宋体" w:hAnsi="宋体"/>
          <w:sz w:val="24"/>
        </w:rPr>
        <w:t>④</w:t>
      </w:r>
      <w:r>
        <w:rPr>
          <w:rFonts w:ascii="宋体" w:hAnsi="宋体"/>
          <w:sz w:val="24"/>
        </w:rPr>
        <w:fldChar w:fldCharType="end"/>
      </w:r>
      <w:r>
        <w:rPr>
          <w:rFonts w:hint="eastAsia" w:ascii="宋体" w:hAnsi="宋体"/>
          <w:sz w:val="24"/>
        </w:rPr>
        <w:t xml:space="preserve"> </w:t>
      </w:r>
      <w:r>
        <w:rPr>
          <w:rFonts w:ascii="宋体" w:hAnsi="宋体"/>
          <w:sz w:val="24"/>
        </w:rPr>
        <w:t>热力管网敷设和保温施工，要按照国家有关规定执行，严格保证质量。</w:t>
      </w:r>
    </w:p>
    <w:p w14:paraId="7EE36240">
      <w:pPr>
        <w:pStyle w:val="24"/>
        <w:spacing w:line="360" w:lineRule="auto"/>
        <w:ind w:left="0" w:leftChars="0" w:firstLine="480" w:firstLineChars="200"/>
        <w:rPr>
          <w:rFonts w:ascii="宋体" w:hAnsi="宋体"/>
          <w:sz w:val="24"/>
        </w:rPr>
      </w:pPr>
      <w:r>
        <w:rPr>
          <w:rFonts w:ascii="宋体" w:hAnsi="宋体"/>
          <w:sz w:val="24"/>
        </w:rPr>
        <w:fldChar w:fldCharType="begin"/>
      </w:r>
      <w:r>
        <w:rPr>
          <w:rFonts w:ascii="宋体" w:hAnsi="宋体"/>
          <w:sz w:val="24"/>
        </w:rPr>
        <w:instrText xml:space="preserve"> = 5 \* GB3 </w:instrText>
      </w:r>
      <w:r>
        <w:rPr>
          <w:rFonts w:ascii="宋体" w:hAnsi="宋体"/>
          <w:sz w:val="24"/>
        </w:rPr>
        <w:fldChar w:fldCharType="separate"/>
      </w:r>
      <w:r>
        <w:rPr>
          <w:rFonts w:ascii="宋体" w:hAnsi="宋体"/>
          <w:sz w:val="24"/>
        </w:rPr>
        <w:t>⑤</w:t>
      </w:r>
      <w:r>
        <w:rPr>
          <w:rFonts w:ascii="宋体" w:hAnsi="宋体"/>
          <w:sz w:val="24"/>
        </w:rPr>
        <w:fldChar w:fldCharType="end"/>
      </w:r>
      <w:r>
        <w:rPr>
          <w:rFonts w:hint="eastAsia" w:ascii="宋体" w:hAnsi="宋体"/>
          <w:sz w:val="24"/>
        </w:rPr>
        <w:t xml:space="preserve"> </w:t>
      </w:r>
      <w:r>
        <w:rPr>
          <w:rFonts w:ascii="宋体" w:hAnsi="宋体"/>
          <w:sz w:val="24"/>
        </w:rPr>
        <w:t>将散热器的表面涂料由传统的银粉漆改为非金属涂料，可提高散热器能力13%</w:t>
      </w:r>
      <w:r>
        <w:rPr>
          <w:rFonts w:hint="eastAsia" w:ascii="宋体" w:hAnsi="宋体"/>
          <w:sz w:val="24"/>
        </w:rPr>
        <w:t>～</w:t>
      </w:r>
      <w:r>
        <w:rPr>
          <w:rFonts w:ascii="宋体" w:hAnsi="宋体"/>
          <w:sz w:val="24"/>
        </w:rPr>
        <w:t>16%。</w:t>
      </w:r>
    </w:p>
    <w:p w14:paraId="2070D8D7">
      <w:pPr>
        <w:pStyle w:val="24"/>
        <w:spacing w:line="360" w:lineRule="auto"/>
        <w:ind w:left="0" w:leftChars="0" w:firstLine="480" w:firstLineChars="200"/>
        <w:rPr>
          <w:rFonts w:ascii="宋体" w:hAnsi="宋体"/>
          <w:sz w:val="24"/>
        </w:rPr>
      </w:pPr>
      <w:r>
        <w:rPr>
          <w:rFonts w:ascii="宋体" w:hAnsi="宋体"/>
          <w:sz w:val="24"/>
        </w:rPr>
        <w:fldChar w:fldCharType="begin"/>
      </w:r>
      <w:r>
        <w:rPr>
          <w:rFonts w:ascii="宋体" w:hAnsi="宋体"/>
          <w:sz w:val="24"/>
        </w:rPr>
        <w:instrText xml:space="preserve"> = 6 \* GB3 </w:instrText>
      </w:r>
      <w:r>
        <w:rPr>
          <w:rFonts w:ascii="宋体" w:hAnsi="宋体"/>
          <w:sz w:val="24"/>
        </w:rPr>
        <w:fldChar w:fldCharType="separate"/>
      </w:r>
      <w:r>
        <w:rPr>
          <w:rFonts w:ascii="宋体" w:hAnsi="宋体"/>
          <w:sz w:val="24"/>
        </w:rPr>
        <w:t>⑥</w:t>
      </w:r>
      <w:r>
        <w:rPr>
          <w:rFonts w:ascii="宋体" w:hAnsi="宋体"/>
          <w:sz w:val="24"/>
        </w:rPr>
        <w:fldChar w:fldCharType="end"/>
      </w:r>
      <w:r>
        <w:rPr>
          <w:rFonts w:hint="eastAsia" w:ascii="宋体" w:hAnsi="宋体"/>
          <w:sz w:val="24"/>
        </w:rPr>
        <w:t xml:space="preserve"> </w:t>
      </w:r>
      <w:r>
        <w:rPr>
          <w:rFonts w:ascii="宋体" w:hAnsi="宋体"/>
          <w:sz w:val="24"/>
        </w:rPr>
        <w:t>待瓦斯抽放稳定后，对矿井瓦斯应充分利用，使民用燃料燃气化，也改善了环境。</w:t>
      </w:r>
    </w:p>
    <w:p w14:paraId="0CE3687C">
      <w:pPr>
        <w:pStyle w:val="24"/>
        <w:spacing w:line="360" w:lineRule="auto"/>
        <w:ind w:left="0" w:leftChars="0" w:firstLine="480" w:firstLineChars="200"/>
        <w:rPr>
          <w:rFonts w:ascii="宋体" w:hAnsi="宋体"/>
          <w:sz w:val="24"/>
        </w:rPr>
      </w:pPr>
      <w:r>
        <w:rPr>
          <w:rFonts w:hint="eastAsia" w:ascii="宋体" w:hAnsi="宋体"/>
          <w:sz w:val="24"/>
        </w:rPr>
        <w:t>6、</w:t>
      </w:r>
      <w:r>
        <w:rPr>
          <w:rFonts w:ascii="宋体" w:hAnsi="宋体"/>
          <w:sz w:val="24"/>
        </w:rPr>
        <w:t>环保工程</w:t>
      </w:r>
    </w:p>
    <w:p w14:paraId="12170AA9">
      <w:pPr>
        <w:pStyle w:val="24"/>
        <w:spacing w:line="360" w:lineRule="auto"/>
        <w:ind w:left="0" w:leftChars="0" w:firstLine="480" w:firstLineChars="200"/>
        <w:rPr>
          <w:rFonts w:ascii="宋体" w:hAnsi="宋体"/>
          <w:sz w:val="24"/>
        </w:rPr>
      </w:pPr>
      <w:r>
        <w:rPr>
          <w:rFonts w:ascii="宋体" w:hAnsi="宋体"/>
          <w:sz w:val="24"/>
        </w:rPr>
        <w:t>对各种污染物的防治均采用优化方案，坚持综合利用，化害为利的原则，采用低能耗的处理工艺处理废气废水，能回收利用的尽量回收利用。</w:t>
      </w:r>
    </w:p>
    <w:p w14:paraId="67D40957">
      <w:pPr>
        <w:pStyle w:val="3"/>
        <w:keepLines/>
        <w:spacing w:before="240" w:after="240" w:line="360" w:lineRule="auto"/>
        <w:ind w:firstLine="0" w:firstLineChars="0"/>
        <w:jc w:val="center"/>
        <w:rPr>
          <w:b/>
          <w:color w:val="000000"/>
          <w:sz w:val="32"/>
          <w:szCs w:val="32"/>
        </w:rPr>
      </w:pPr>
      <w:bookmarkStart w:id="793" w:name="_Toc260915285"/>
      <w:r>
        <w:rPr>
          <w:rFonts w:hint="eastAsia"/>
          <w:b/>
          <w:color w:val="000000"/>
          <w:sz w:val="32"/>
          <w:szCs w:val="32"/>
        </w:rPr>
        <w:t>第二节　　减排分析</w:t>
      </w:r>
      <w:bookmarkEnd w:id="793"/>
    </w:p>
    <w:p w14:paraId="13B6F35C">
      <w:pPr>
        <w:pStyle w:val="4"/>
        <w:keepLines/>
        <w:adjustRightInd w:val="0"/>
        <w:snapToGrid w:val="0"/>
        <w:spacing w:before="240" w:after="240" w:line="360" w:lineRule="auto"/>
        <w:ind w:firstLine="562" w:firstLineChars="200"/>
        <w:jc w:val="both"/>
        <w:rPr>
          <w:b/>
          <w:color w:val="000000"/>
          <w:kern w:val="0"/>
          <w:szCs w:val="20"/>
        </w:rPr>
      </w:pPr>
      <w:bookmarkStart w:id="794" w:name="_Toc217653684"/>
      <w:bookmarkStart w:id="795" w:name="_Toc214534208"/>
      <w:bookmarkStart w:id="796" w:name="_Toc214940597"/>
      <w:bookmarkStart w:id="797" w:name="_Toc217651198"/>
      <w:r>
        <w:rPr>
          <w:rFonts w:hint="eastAsia"/>
          <w:b/>
          <w:color w:val="000000"/>
          <w:kern w:val="0"/>
          <w:szCs w:val="20"/>
        </w:rPr>
        <w:t>一、</w:t>
      </w:r>
      <w:r>
        <w:rPr>
          <w:b/>
          <w:color w:val="000000"/>
          <w:kern w:val="0"/>
          <w:szCs w:val="20"/>
        </w:rPr>
        <w:t>矿井水减排分析</w:t>
      </w:r>
      <w:bookmarkEnd w:id="794"/>
      <w:bookmarkEnd w:id="795"/>
      <w:bookmarkEnd w:id="796"/>
      <w:bookmarkEnd w:id="797"/>
    </w:p>
    <w:p w14:paraId="26ACA018">
      <w:pPr>
        <w:pStyle w:val="24"/>
        <w:spacing w:line="360" w:lineRule="auto"/>
        <w:ind w:left="0" w:leftChars="0" w:firstLine="480" w:firstLineChars="200"/>
        <w:rPr>
          <w:rFonts w:hint="eastAsia" w:ascii="宋体" w:hAnsi="宋体"/>
          <w:bCs/>
          <w:sz w:val="24"/>
        </w:rPr>
      </w:pPr>
      <w:bookmarkStart w:id="798" w:name="_Toc214940598"/>
      <w:bookmarkStart w:id="799" w:name="_Toc214534209"/>
      <w:r>
        <w:rPr>
          <w:rFonts w:hint="eastAsia" w:ascii="宋体" w:hAnsi="宋体"/>
          <w:sz w:val="24"/>
        </w:rPr>
        <w:t>根据有关地质资料</w:t>
      </w:r>
      <w:r>
        <w:rPr>
          <w:rFonts w:hint="eastAsia" w:ascii="宋体" w:hAnsi="宋体"/>
          <w:bCs/>
          <w:sz w:val="24"/>
        </w:rPr>
        <w:t>，该矿井下正常排水量</w:t>
      </w:r>
      <w:r>
        <w:rPr>
          <w:rFonts w:hint="eastAsia" w:ascii="宋体" w:hAnsi="宋体"/>
          <w:sz w:val="24"/>
        </w:rPr>
        <w:t>56.5</w:t>
      </w:r>
      <w:r>
        <w:rPr>
          <w:rFonts w:ascii="宋体" w:hAnsi="宋体"/>
          <w:sz w:val="24"/>
        </w:rPr>
        <w:t>m</w:t>
      </w:r>
      <w:r>
        <w:rPr>
          <w:rFonts w:ascii="宋体" w:hAnsi="宋体"/>
          <w:sz w:val="24"/>
          <w:vertAlign w:val="superscript"/>
        </w:rPr>
        <w:t>3</w:t>
      </w:r>
      <w:r>
        <w:rPr>
          <w:rFonts w:ascii="宋体" w:hAnsi="宋体"/>
          <w:sz w:val="24"/>
        </w:rPr>
        <w:t>/h</w:t>
      </w:r>
      <w:r>
        <w:rPr>
          <w:rFonts w:hint="eastAsia" w:ascii="宋体" w:hAnsi="宋体"/>
          <w:sz w:val="24"/>
        </w:rPr>
        <w:t>，即约1356</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d，</w:t>
      </w:r>
      <w:r>
        <w:rPr>
          <w:rFonts w:hint="eastAsia" w:ascii="宋体" w:hAnsi="宋体"/>
          <w:bCs/>
          <w:sz w:val="24"/>
        </w:rPr>
        <w:t>大于</w:t>
      </w:r>
      <w:r>
        <w:rPr>
          <w:rFonts w:hint="eastAsia" w:ascii="宋体" w:hAnsi="宋体"/>
          <w:sz w:val="24"/>
          <w:lang w:val="zh-CN"/>
        </w:rPr>
        <w:t>工业场地生产生产循环补充用水及井下防尘</w:t>
      </w:r>
      <w:r>
        <w:rPr>
          <w:rFonts w:hint="eastAsia" w:ascii="宋体" w:hAnsi="宋体"/>
          <w:bCs/>
          <w:sz w:val="24"/>
        </w:rPr>
        <w:t>洒水用水量（</w:t>
      </w:r>
      <w:r>
        <w:rPr>
          <w:rFonts w:hint="eastAsia" w:ascii="宋体" w:hAnsi="宋体"/>
          <w:sz w:val="24"/>
        </w:rPr>
        <w:t>约合325</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d）</w:t>
      </w:r>
      <w:r>
        <w:rPr>
          <w:rFonts w:hint="eastAsia" w:ascii="宋体" w:hAnsi="宋体"/>
          <w:bCs/>
          <w:sz w:val="24"/>
        </w:rPr>
        <w:t>，很难做到零排放。经井下水处理站处理后的井下水，除做上述用水外，多余部分水</w:t>
      </w:r>
      <w:r>
        <w:rPr>
          <w:rFonts w:hint="eastAsia" w:ascii="宋体" w:hAnsi="宋体"/>
          <w:sz w:val="24"/>
        </w:rPr>
        <w:t>用于农灌用水或</w:t>
      </w:r>
      <w:r>
        <w:rPr>
          <w:rFonts w:hint="eastAsia" w:ascii="宋体" w:hAnsi="宋体"/>
          <w:bCs/>
          <w:sz w:val="24"/>
        </w:rPr>
        <w:t>排放。该矿井生活污水排量</w:t>
      </w:r>
      <w:r>
        <w:rPr>
          <w:rFonts w:hint="eastAsia" w:ascii="宋体" w:hAnsi="宋体"/>
          <w:sz w:val="24"/>
        </w:rPr>
        <w:t>8.54</w:t>
      </w:r>
      <w:r>
        <w:rPr>
          <w:rFonts w:ascii="宋体" w:hAnsi="宋体"/>
          <w:sz w:val="24"/>
        </w:rPr>
        <w:t>m</w:t>
      </w:r>
      <w:r>
        <w:rPr>
          <w:rFonts w:ascii="宋体" w:hAnsi="宋体"/>
          <w:sz w:val="24"/>
          <w:vertAlign w:val="superscript"/>
        </w:rPr>
        <w:t>3</w:t>
      </w:r>
      <w:r>
        <w:rPr>
          <w:rFonts w:ascii="宋体" w:hAnsi="宋体"/>
          <w:sz w:val="24"/>
        </w:rPr>
        <w:t>/h</w:t>
      </w:r>
      <w:r>
        <w:rPr>
          <w:rFonts w:hint="eastAsia" w:ascii="宋体" w:hAnsi="宋体"/>
          <w:sz w:val="24"/>
        </w:rPr>
        <w:t>，即约205</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d，经矿井工业场地生活污水处理站处理</w:t>
      </w:r>
      <w:r>
        <w:rPr>
          <w:rFonts w:hint="eastAsia" w:ascii="宋体" w:hAnsi="宋体"/>
          <w:bCs/>
          <w:sz w:val="24"/>
        </w:rPr>
        <w:t>达标后生活污水，建议</w:t>
      </w:r>
      <w:r>
        <w:rPr>
          <w:rFonts w:hint="eastAsia" w:ascii="宋体" w:hAnsi="宋体"/>
          <w:sz w:val="24"/>
        </w:rPr>
        <w:t>做该矿井工业场地浇洒道路和绿化或农灌用水</w:t>
      </w:r>
      <w:r>
        <w:rPr>
          <w:rFonts w:hint="eastAsia" w:ascii="宋体" w:hAnsi="宋体"/>
          <w:bCs/>
          <w:sz w:val="24"/>
        </w:rPr>
        <w:t>，尽量做到零排放，实现矿井建设环保化。</w:t>
      </w:r>
    </w:p>
    <w:p w14:paraId="04024646">
      <w:pPr>
        <w:pStyle w:val="24"/>
        <w:spacing w:line="360" w:lineRule="auto"/>
        <w:ind w:left="0" w:leftChars="0" w:firstLine="480" w:firstLineChars="200"/>
        <w:rPr>
          <w:rFonts w:ascii="宋体" w:hAnsi="宋体"/>
          <w:sz w:val="24"/>
        </w:rPr>
      </w:pPr>
      <w:r>
        <w:rPr>
          <w:rFonts w:hint="eastAsia" w:ascii="宋体" w:hAnsi="宋体"/>
          <w:sz w:val="24"/>
          <w:lang w:val="zh-CN"/>
        </w:rPr>
        <w:t>工业场地生产循环补充用水及井下防尘</w:t>
      </w:r>
      <w:r>
        <w:rPr>
          <w:rFonts w:hint="eastAsia" w:ascii="宋体" w:hAnsi="宋体"/>
          <w:bCs/>
          <w:sz w:val="24"/>
        </w:rPr>
        <w:t>洒水用水量（</w:t>
      </w:r>
      <w:r>
        <w:rPr>
          <w:rFonts w:hint="eastAsia" w:ascii="宋体" w:hAnsi="宋体"/>
          <w:sz w:val="24"/>
        </w:rPr>
        <w:t>约合325</w:t>
      </w:r>
      <w:r>
        <w:rPr>
          <w:rFonts w:ascii="宋体" w:hAnsi="宋体"/>
          <w:sz w:val="24"/>
        </w:rPr>
        <w:t>m</w:t>
      </w:r>
      <w:r>
        <w:rPr>
          <w:rFonts w:ascii="宋体" w:hAnsi="宋体"/>
          <w:sz w:val="24"/>
          <w:vertAlign w:val="superscript"/>
        </w:rPr>
        <w:t>3</w:t>
      </w:r>
      <w:r>
        <w:rPr>
          <w:rFonts w:ascii="宋体" w:hAnsi="宋体"/>
          <w:sz w:val="24"/>
        </w:rPr>
        <w:t>/</w:t>
      </w:r>
      <w:r>
        <w:rPr>
          <w:rFonts w:hint="eastAsia" w:ascii="宋体" w:hAnsi="宋体"/>
          <w:sz w:val="24"/>
        </w:rPr>
        <w:t>d），</w:t>
      </w:r>
      <w:r>
        <w:rPr>
          <w:rFonts w:hint="eastAsia" w:ascii="宋体" w:hAnsi="宋体"/>
          <w:bCs/>
          <w:sz w:val="24"/>
        </w:rPr>
        <w:t>水源主要为经井下水处理站处理后的井下水。矿井水重复利用率约为10％，如果井下排水量比预测的要小，矿井水重复利用率还会增加。</w:t>
      </w:r>
    </w:p>
    <w:p w14:paraId="00D16259">
      <w:pPr>
        <w:pStyle w:val="4"/>
        <w:keepLines/>
        <w:adjustRightInd w:val="0"/>
        <w:snapToGrid w:val="0"/>
        <w:spacing w:before="240" w:after="240" w:line="360" w:lineRule="auto"/>
        <w:ind w:firstLine="562" w:firstLineChars="200"/>
        <w:jc w:val="both"/>
        <w:rPr>
          <w:b/>
          <w:color w:val="000000"/>
          <w:kern w:val="0"/>
          <w:szCs w:val="20"/>
        </w:rPr>
      </w:pPr>
      <w:bookmarkStart w:id="800" w:name="_Toc217651199"/>
      <w:bookmarkStart w:id="801" w:name="_Toc217653685"/>
      <w:r>
        <w:rPr>
          <w:rFonts w:hint="eastAsia"/>
          <w:b/>
          <w:color w:val="000000"/>
          <w:kern w:val="0"/>
          <w:szCs w:val="20"/>
        </w:rPr>
        <w:t>二、</w:t>
      </w:r>
      <w:r>
        <w:rPr>
          <w:b/>
          <w:color w:val="000000"/>
          <w:kern w:val="0"/>
          <w:szCs w:val="20"/>
        </w:rPr>
        <w:t>矿井瓦斯减排分析</w:t>
      </w:r>
      <w:bookmarkEnd w:id="798"/>
      <w:bookmarkEnd w:id="799"/>
      <w:bookmarkEnd w:id="800"/>
      <w:bookmarkEnd w:id="801"/>
    </w:p>
    <w:p w14:paraId="1435DEEB">
      <w:pPr>
        <w:pStyle w:val="15"/>
        <w:spacing w:line="360" w:lineRule="auto"/>
        <w:ind w:firstLine="480"/>
        <w:rPr>
          <w:rFonts w:ascii="宋体" w:hAnsi="宋体"/>
          <w:color w:val="FF0000"/>
          <w:sz w:val="24"/>
          <w:szCs w:val="24"/>
        </w:rPr>
      </w:pPr>
      <w:r>
        <w:rPr>
          <w:rFonts w:hint="eastAsia" w:ascii="宋体" w:hAnsi="宋体"/>
          <w:color w:val="FF0000"/>
          <w:sz w:val="24"/>
          <w:szCs w:val="24"/>
        </w:rPr>
        <w:t>本煤矿</w:t>
      </w:r>
      <w:r>
        <w:rPr>
          <w:rFonts w:ascii="宋体" w:hAnsi="宋体"/>
          <w:color w:val="FF0000"/>
          <w:sz w:val="24"/>
          <w:szCs w:val="24"/>
        </w:rPr>
        <w:t>年瓦斯抽放纯量为</w:t>
      </w:r>
      <w:r>
        <w:rPr>
          <w:rFonts w:hint="eastAsia" w:ascii="宋体" w:hAnsi="宋体"/>
          <w:color w:val="FF0000"/>
          <w:sz w:val="24"/>
          <w:szCs w:val="24"/>
        </w:rPr>
        <w:t>4.5</w:t>
      </w:r>
      <w:r>
        <w:rPr>
          <w:rFonts w:ascii="宋体" w:hAnsi="宋体"/>
          <w:color w:val="FF0000"/>
          <w:sz w:val="24"/>
          <w:szCs w:val="24"/>
        </w:rPr>
        <w:t>×10</w:t>
      </w:r>
      <w:r>
        <w:rPr>
          <w:rFonts w:hint="eastAsia" w:ascii="宋体" w:hAnsi="宋体"/>
          <w:color w:val="FF0000"/>
          <w:sz w:val="24"/>
          <w:szCs w:val="24"/>
          <w:vertAlign w:val="superscript"/>
        </w:rPr>
        <w:t>6</w:t>
      </w:r>
      <w:r>
        <w:rPr>
          <w:rFonts w:ascii="宋体" w:hAnsi="宋体"/>
          <w:color w:val="FF0000"/>
          <w:sz w:val="24"/>
          <w:szCs w:val="24"/>
        </w:rPr>
        <w:t>m</w:t>
      </w:r>
      <w:r>
        <w:rPr>
          <w:rFonts w:ascii="宋体" w:hAnsi="宋体"/>
          <w:color w:val="FF0000"/>
          <w:sz w:val="24"/>
          <w:szCs w:val="24"/>
          <w:vertAlign w:val="superscript"/>
        </w:rPr>
        <w:t>3</w:t>
      </w:r>
      <w:r>
        <w:rPr>
          <w:rFonts w:ascii="宋体" w:hAnsi="宋体"/>
          <w:color w:val="FF0000"/>
          <w:sz w:val="24"/>
          <w:szCs w:val="24"/>
        </w:rPr>
        <w:t>/a，设计拟</w:t>
      </w:r>
      <w:r>
        <w:rPr>
          <w:rFonts w:hint="eastAsia" w:ascii="宋体" w:hAnsi="宋体"/>
          <w:color w:val="FF0000"/>
          <w:sz w:val="24"/>
          <w:szCs w:val="24"/>
        </w:rPr>
        <w:t>初期</w:t>
      </w:r>
      <w:r>
        <w:rPr>
          <w:rFonts w:ascii="宋体" w:hAnsi="宋体"/>
          <w:color w:val="FF0000"/>
          <w:sz w:val="24"/>
          <w:szCs w:val="24"/>
        </w:rPr>
        <w:t>利用矿井瓦斯作为</w:t>
      </w:r>
      <w:r>
        <w:rPr>
          <w:rFonts w:hint="eastAsia" w:ascii="宋体" w:hAnsi="宋体"/>
          <w:color w:val="FF0000"/>
          <w:sz w:val="24"/>
          <w:szCs w:val="24"/>
        </w:rPr>
        <w:t>矿井食堂和</w:t>
      </w:r>
      <w:r>
        <w:rPr>
          <w:rFonts w:ascii="宋体" w:hAnsi="宋体"/>
          <w:color w:val="FF0000"/>
          <w:sz w:val="24"/>
          <w:szCs w:val="24"/>
        </w:rPr>
        <w:t>燃气锅炉气源，利用量为</w:t>
      </w:r>
      <w:r>
        <w:rPr>
          <w:rFonts w:hint="eastAsia" w:ascii="宋体" w:hAnsi="宋体"/>
          <w:color w:val="FF0000"/>
          <w:sz w:val="24"/>
          <w:szCs w:val="24"/>
        </w:rPr>
        <w:t>3.1</w:t>
      </w:r>
      <w:r>
        <w:rPr>
          <w:rFonts w:ascii="宋体" w:hAnsi="宋体"/>
          <w:color w:val="FF0000"/>
          <w:sz w:val="24"/>
          <w:szCs w:val="24"/>
        </w:rPr>
        <w:t>×10</w:t>
      </w:r>
      <w:r>
        <w:rPr>
          <w:rFonts w:hint="eastAsia" w:ascii="宋体" w:hAnsi="宋体"/>
          <w:color w:val="FF0000"/>
          <w:sz w:val="24"/>
          <w:szCs w:val="24"/>
          <w:vertAlign w:val="superscript"/>
        </w:rPr>
        <w:t>6</w:t>
      </w:r>
      <w:r>
        <w:rPr>
          <w:rFonts w:ascii="宋体" w:hAnsi="宋体"/>
          <w:color w:val="FF0000"/>
          <w:sz w:val="24"/>
          <w:szCs w:val="24"/>
        </w:rPr>
        <w:t>m</w:t>
      </w:r>
      <w:r>
        <w:rPr>
          <w:rFonts w:ascii="宋体" w:hAnsi="宋体"/>
          <w:color w:val="FF0000"/>
          <w:sz w:val="24"/>
          <w:szCs w:val="24"/>
          <w:vertAlign w:val="superscript"/>
        </w:rPr>
        <w:t>3</w:t>
      </w:r>
      <w:r>
        <w:rPr>
          <w:rFonts w:ascii="宋体" w:hAnsi="宋体"/>
          <w:color w:val="FF0000"/>
          <w:sz w:val="24"/>
          <w:szCs w:val="24"/>
        </w:rPr>
        <w:t>/a；利用率为</w:t>
      </w:r>
      <w:r>
        <w:rPr>
          <w:rFonts w:hint="eastAsia" w:ascii="宋体" w:hAnsi="宋体"/>
          <w:color w:val="FF0000"/>
          <w:sz w:val="24"/>
          <w:szCs w:val="24"/>
        </w:rPr>
        <w:t>68.8</w:t>
      </w:r>
      <w:r>
        <w:rPr>
          <w:rFonts w:ascii="宋体" w:hAnsi="宋体"/>
          <w:color w:val="FF0000"/>
          <w:sz w:val="24"/>
          <w:szCs w:val="24"/>
        </w:rPr>
        <w:t>％，满足贵州省要求“十一五”末矿井瓦斯抽采利用率需达到60％的要求。</w:t>
      </w:r>
    </w:p>
    <w:p w14:paraId="6727522A">
      <w:pPr>
        <w:pStyle w:val="15"/>
        <w:spacing w:line="360" w:lineRule="auto"/>
        <w:ind w:firstLine="480"/>
        <w:rPr>
          <w:rFonts w:ascii="宋体" w:hAnsi="宋体"/>
          <w:color w:val="FF0000"/>
          <w:sz w:val="24"/>
          <w:szCs w:val="24"/>
        </w:rPr>
      </w:pPr>
      <w:r>
        <w:rPr>
          <w:rFonts w:ascii="宋体" w:hAnsi="宋体"/>
          <w:color w:val="FF0000"/>
          <w:sz w:val="24"/>
          <w:szCs w:val="24"/>
        </w:rPr>
        <w:t>估算年削减瓦斯排放量为</w:t>
      </w:r>
      <w:r>
        <w:rPr>
          <w:rFonts w:hint="eastAsia" w:ascii="宋体" w:hAnsi="宋体"/>
          <w:color w:val="FF0000"/>
          <w:sz w:val="24"/>
          <w:szCs w:val="24"/>
        </w:rPr>
        <w:t>3.1</w:t>
      </w:r>
      <w:r>
        <w:rPr>
          <w:rFonts w:ascii="宋体" w:hAnsi="宋体"/>
          <w:color w:val="FF0000"/>
          <w:sz w:val="24"/>
          <w:szCs w:val="24"/>
        </w:rPr>
        <w:t>×10</w:t>
      </w:r>
      <w:r>
        <w:rPr>
          <w:rFonts w:hint="eastAsia" w:ascii="宋体" w:hAnsi="宋体"/>
          <w:color w:val="FF0000"/>
          <w:sz w:val="24"/>
          <w:szCs w:val="24"/>
          <w:vertAlign w:val="superscript"/>
        </w:rPr>
        <w:t>6</w:t>
      </w:r>
      <w:r>
        <w:rPr>
          <w:rFonts w:ascii="宋体" w:hAnsi="宋体"/>
          <w:color w:val="FF0000"/>
          <w:sz w:val="24"/>
          <w:szCs w:val="24"/>
        </w:rPr>
        <w:t>m</w:t>
      </w:r>
      <w:r>
        <w:rPr>
          <w:rFonts w:ascii="宋体" w:hAnsi="宋体"/>
          <w:color w:val="FF0000"/>
          <w:sz w:val="24"/>
          <w:szCs w:val="24"/>
          <w:vertAlign w:val="superscript"/>
        </w:rPr>
        <w:t>3</w:t>
      </w:r>
      <w:r>
        <w:rPr>
          <w:rFonts w:ascii="宋体" w:hAnsi="宋体"/>
          <w:color w:val="FF0000"/>
          <w:sz w:val="24"/>
          <w:szCs w:val="24"/>
        </w:rPr>
        <w:t>/a，相当于节约标准煤</w:t>
      </w:r>
      <w:r>
        <w:rPr>
          <w:rFonts w:hint="eastAsia" w:ascii="宋体" w:hAnsi="宋体"/>
          <w:color w:val="FF0000"/>
          <w:sz w:val="24"/>
          <w:szCs w:val="24"/>
        </w:rPr>
        <w:t>1</w:t>
      </w:r>
      <w:r>
        <w:rPr>
          <w:rFonts w:ascii="宋体" w:hAnsi="宋体"/>
          <w:color w:val="FF0000"/>
          <w:sz w:val="24"/>
          <w:szCs w:val="24"/>
        </w:rPr>
        <w:t>.</w:t>
      </w:r>
      <w:r>
        <w:rPr>
          <w:rFonts w:hint="eastAsia" w:ascii="宋体" w:hAnsi="宋体"/>
          <w:color w:val="FF0000"/>
          <w:sz w:val="24"/>
          <w:szCs w:val="24"/>
        </w:rPr>
        <w:t>91</w:t>
      </w:r>
      <w:r>
        <w:rPr>
          <w:rFonts w:ascii="宋体" w:hAnsi="宋体"/>
          <w:color w:val="FF0000"/>
          <w:sz w:val="24"/>
          <w:szCs w:val="24"/>
        </w:rPr>
        <w:t>万t，年减排SO2和烟尘分别为</w:t>
      </w:r>
      <w:r>
        <w:rPr>
          <w:rFonts w:hint="eastAsia" w:ascii="宋体" w:hAnsi="宋体"/>
          <w:color w:val="FF0000"/>
          <w:sz w:val="24"/>
          <w:szCs w:val="24"/>
        </w:rPr>
        <w:t>355</w:t>
      </w:r>
      <w:r>
        <w:rPr>
          <w:rFonts w:ascii="宋体" w:hAnsi="宋体"/>
          <w:color w:val="FF0000"/>
          <w:sz w:val="24"/>
          <w:szCs w:val="24"/>
        </w:rPr>
        <w:t>.1t和</w:t>
      </w:r>
      <w:r>
        <w:rPr>
          <w:rFonts w:hint="eastAsia" w:ascii="宋体" w:hAnsi="宋体"/>
          <w:color w:val="FF0000"/>
          <w:sz w:val="24"/>
          <w:szCs w:val="24"/>
        </w:rPr>
        <w:t>282</w:t>
      </w:r>
      <w:r>
        <w:rPr>
          <w:rFonts w:ascii="宋体" w:hAnsi="宋体"/>
          <w:color w:val="FF0000"/>
          <w:sz w:val="24"/>
          <w:szCs w:val="24"/>
        </w:rPr>
        <w:t>.8t，年减排CO2温室气体</w:t>
      </w:r>
      <w:r>
        <w:rPr>
          <w:rFonts w:hint="eastAsia" w:ascii="宋体" w:hAnsi="宋体"/>
          <w:color w:val="FF0000"/>
          <w:sz w:val="24"/>
          <w:szCs w:val="24"/>
        </w:rPr>
        <w:t>78</w:t>
      </w:r>
      <w:r>
        <w:rPr>
          <w:rFonts w:ascii="宋体" w:hAnsi="宋体"/>
          <w:color w:val="FF0000"/>
          <w:sz w:val="24"/>
          <w:szCs w:val="24"/>
        </w:rPr>
        <w:t>00.7t，年减排灰渣</w:t>
      </w:r>
      <w:r>
        <w:rPr>
          <w:rFonts w:hint="eastAsia" w:ascii="宋体" w:hAnsi="宋体"/>
          <w:color w:val="FF0000"/>
          <w:sz w:val="24"/>
          <w:szCs w:val="24"/>
        </w:rPr>
        <w:t>48</w:t>
      </w:r>
      <w:r>
        <w:rPr>
          <w:rFonts w:ascii="宋体" w:hAnsi="宋体"/>
          <w:color w:val="FF0000"/>
          <w:sz w:val="24"/>
          <w:szCs w:val="24"/>
        </w:rPr>
        <w:t>8.6t。</w:t>
      </w:r>
    </w:p>
    <w:p w14:paraId="16D24E40">
      <w:pPr>
        <w:pStyle w:val="4"/>
        <w:keepLines/>
        <w:adjustRightInd w:val="0"/>
        <w:snapToGrid w:val="0"/>
        <w:spacing w:before="240" w:after="240" w:line="360" w:lineRule="auto"/>
        <w:ind w:firstLine="562" w:firstLineChars="200"/>
        <w:jc w:val="both"/>
        <w:rPr>
          <w:b/>
          <w:color w:val="000000"/>
          <w:kern w:val="0"/>
          <w:szCs w:val="20"/>
        </w:rPr>
      </w:pPr>
      <w:bookmarkStart w:id="802" w:name="_Toc214940599"/>
      <w:bookmarkStart w:id="803" w:name="_Toc214534210"/>
      <w:bookmarkStart w:id="804" w:name="_Toc217653686"/>
      <w:bookmarkStart w:id="805" w:name="_Toc217651200"/>
      <w:r>
        <w:rPr>
          <w:rFonts w:hint="eastAsia"/>
          <w:b/>
          <w:color w:val="000000"/>
          <w:kern w:val="0"/>
          <w:szCs w:val="20"/>
        </w:rPr>
        <w:t>三</w:t>
      </w:r>
      <w:r>
        <w:rPr>
          <w:b/>
          <w:color w:val="000000"/>
          <w:kern w:val="0"/>
          <w:szCs w:val="20"/>
        </w:rPr>
        <w:t>、煤矸石减排分析</w:t>
      </w:r>
      <w:bookmarkEnd w:id="802"/>
      <w:bookmarkEnd w:id="803"/>
      <w:bookmarkEnd w:id="804"/>
      <w:bookmarkEnd w:id="805"/>
    </w:p>
    <w:p w14:paraId="4D20C215">
      <w:pPr>
        <w:pStyle w:val="15"/>
        <w:spacing w:line="360" w:lineRule="auto"/>
        <w:ind w:firstLine="480"/>
        <w:rPr>
          <w:rFonts w:ascii="宋体" w:hAnsi="宋体"/>
          <w:sz w:val="24"/>
          <w:szCs w:val="24"/>
        </w:rPr>
      </w:pPr>
      <w:r>
        <w:rPr>
          <w:rFonts w:hint="eastAsia" w:ascii="宋体" w:hAnsi="宋体"/>
          <w:sz w:val="24"/>
          <w:szCs w:val="24"/>
        </w:rPr>
        <w:t>本煤矿</w:t>
      </w:r>
      <w:r>
        <w:rPr>
          <w:rFonts w:ascii="宋体" w:hAnsi="宋体"/>
          <w:sz w:val="24"/>
          <w:szCs w:val="24"/>
        </w:rPr>
        <w:t>矸石排放量为</w:t>
      </w:r>
      <w:r>
        <w:rPr>
          <w:rFonts w:hint="eastAsia" w:ascii="宋体" w:hAnsi="宋体"/>
          <w:sz w:val="24"/>
          <w:szCs w:val="24"/>
        </w:rPr>
        <w:t>1.5</w:t>
      </w:r>
      <w:r>
        <w:rPr>
          <w:rFonts w:ascii="宋体" w:hAnsi="宋体"/>
          <w:sz w:val="24"/>
          <w:szCs w:val="24"/>
        </w:rPr>
        <w:t>万t/a</w:t>
      </w:r>
      <w:r>
        <w:rPr>
          <w:rFonts w:hint="eastAsia" w:ascii="宋体" w:hAnsi="宋体"/>
          <w:sz w:val="24"/>
          <w:szCs w:val="24"/>
        </w:rPr>
        <w:t>。</w:t>
      </w:r>
      <w:r>
        <w:rPr>
          <w:rFonts w:ascii="宋体" w:hAnsi="宋体"/>
          <w:sz w:val="24"/>
          <w:szCs w:val="24"/>
        </w:rPr>
        <w:t>贵州省要求“十一五”末矿井煤矸石综合利用率要达到50％以上</w:t>
      </w:r>
      <w:r>
        <w:rPr>
          <w:rFonts w:hint="eastAsia" w:ascii="宋体" w:hAnsi="宋体"/>
          <w:sz w:val="24"/>
          <w:szCs w:val="24"/>
        </w:rPr>
        <w:t>，</w:t>
      </w:r>
      <w:r>
        <w:rPr>
          <w:rFonts w:ascii="宋体" w:hAnsi="宋体"/>
          <w:sz w:val="24"/>
          <w:szCs w:val="24"/>
        </w:rPr>
        <w:t>必须按照煤矿发展循环经济的特点，根据矿井矸石的组分</w:t>
      </w:r>
      <w:r>
        <w:rPr>
          <w:rFonts w:hint="eastAsia" w:ascii="宋体" w:hAnsi="宋体"/>
          <w:sz w:val="24"/>
          <w:szCs w:val="24"/>
        </w:rPr>
        <w:t>进行</w:t>
      </w:r>
      <w:r>
        <w:rPr>
          <w:rFonts w:ascii="宋体" w:hAnsi="宋体"/>
          <w:sz w:val="24"/>
          <w:szCs w:val="24"/>
        </w:rPr>
        <w:t>综合利用，可减少矸石的外排量，节约占地，同时也可消除排矸场对环境可能造成的各种污染影响。</w:t>
      </w:r>
    </w:p>
    <w:p w14:paraId="4C085F0E">
      <w:pPr>
        <w:pStyle w:val="3"/>
        <w:keepLines/>
        <w:spacing w:before="240" w:after="240" w:line="360" w:lineRule="auto"/>
        <w:ind w:firstLine="0" w:firstLineChars="0"/>
        <w:jc w:val="center"/>
        <w:rPr>
          <w:b/>
          <w:color w:val="000000"/>
          <w:sz w:val="32"/>
          <w:szCs w:val="32"/>
        </w:rPr>
      </w:pPr>
      <w:bookmarkStart w:id="806" w:name="_Toc534508370"/>
      <w:bookmarkStart w:id="807" w:name="_Toc534625363"/>
      <w:bookmarkStart w:id="808" w:name="_Toc260915286"/>
      <w:r>
        <w:rPr>
          <w:rFonts w:hint="eastAsia"/>
          <w:b/>
          <w:color w:val="000000"/>
          <w:sz w:val="32"/>
          <w:szCs w:val="32"/>
        </w:rPr>
        <w:t>第三节　　</w:t>
      </w:r>
      <w:r>
        <w:rPr>
          <w:b/>
          <w:color w:val="000000"/>
          <w:sz w:val="32"/>
          <w:szCs w:val="32"/>
        </w:rPr>
        <w:t>节水分析</w:t>
      </w:r>
      <w:bookmarkEnd w:id="806"/>
      <w:bookmarkEnd w:id="807"/>
      <w:bookmarkEnd w:id="808"/>
    </w:p>
    <w:p w14:paraId="58C9D633">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一、用水指标分析</w:t>
      </w:r>
    </w:p>
    <w:p w14:paraId="52218B27">
      <w:pPr>
        <w:spacing w:line="360" w:lineRule="auto"/>
        <w:ind w:firstLine="480" w:firstLineChars="200"/>
        <w:rPr>
          <w:rFonts w:ascii="宋体" w:hAnsi="宋体"/>
          <w:sz w:val="24"/>
        </w:rPr>
      </w:pPr>
      <w:r>
        <w:rPr>
          <w:rFonts w:hint="eastAsia" w:ascii="宋体" w:hAnsi="宋体"/>
          <w:sz w:val="24"/>
        </w:rPr>
        <w:t>1、</w:t>
      </w:r>
      <w:r>
        <w:rPr>
          <w:rFonts w:ascii="宋体" w:hAnsi="宋体"/>
          <w:sz w:val="24"/>
        </w:rPr>
        <w:t>工业广场生活用水标准按照《建筑给水排水设计规范》GB50015-2003中的居住用水定额计算。符合国家的相关要求，既满足生活要求，也满足了建设节约型社会的要求。</w:t>
      </w:r>
    </w:p>
    <w:p w14:paraId="48F3E4D8">
      <w:pPr>
        <w:spacing w:line="360" w:lineRule="auto"/>
        <w:ind w:firstLine="480" w:firstLineChars="200"/>
        <w:rPr>
          <w:rFonts w:hint="eastAsia" w:ascii="宋体" w:hAnsi="宋体"/>
          <w:sz w:val="24"/>
        </w:rPr>
      </w:pPr>
      <w:r>
        <w:rPr>
          <w:rFonts w:hint="eastAsia" w:ascii="宋体" w:hAnsi="宋体"/>
          <w:sz w:val="24"/>
        </w:rPr>
        <w:t>2、</w:t>
      </w:r>
      <w:r>
        <w:rPr>
          <w:rFonts w:ascii="宋体" w:hAnsi="宋体"/>
          <w:sz w:val="24"/>
        </w:rPr>
        <w:t>井下生产用水主要是井下</w:t>
      </w:r>
      <w:r>
        <w:rPr>
          <w:rFonts w:hint="eastAsia" w:ascii="宋体" w:hAnsi="宋体"/>
          <w:sz w:val="24"/>
        </w:rPr>
        <w:t>防尘</w:t>
      </w:r>
      <w:r>
        <w:rPr>
          <w:rFonts w:ascii="宋体" w:hAnsi="宋体"/>
          <w:sz w:val="24"/>
        </w:rPr>
        <w:t>洒水，用水量按照《工业供水定额（试行）》中的用水定额计算</w:t>
      </w:r>
      <w:r>
        <w:rPr>
          <w:rFonts w:hint="eastAsia" w:ascii="宋体" w:hAnsi="宋体"/>
          <w:sz w:val="24"/>
        </w:rPr>
        <w:t>，</w:t>
      </w:r>
      <w:r>
        <w:rPr>
          <w:rFonts w:ascii="宋体" w:hAnsi="宋体"/>
          <w:sz w:val="24"/>
        </w:rPr>
        <w:t>因为新技术的大量使用和工人素质的提高用水定额取值</w:t>
      </w:r>
      <w:r>
        <w:rPr>
          <w:rFonts w:hint="eastAsia" w:ascii="宋体" w:hAnsi="宋体"/>
          <w:sz w:val="24"/>
        </w:rPr>
        <w:t>约为</w:t>
      </w:r>
      <w:r>
        <w:rPr>
          <w:rFonts w:ascii="宋体" w:hAnsi="宋体"/>
          <w:sz w:val="24"/>
        </w:rPr>
        <w:t>0.</w:t>
      </w:r>
      <w:r>
        <w:rPr>
          <w:rFonts w:hint="eastAsia" w:ascii="宋体" w:hAnsi="宋体"/>
          <w:sz w:val="24"/>
        </w:rPr>
        <w:t>015</w:t>
      </w:r>
      <w:r>
        <w:rPr>
          <w:rFonts w:ascii="宋体" w:hAnsi="宋体"/>
          <w:sz w:val="24"/>
        </w:rPr>
        <w:t>m</w:t>
      </w:r>
      <w:r>
        <w:rPr>
          <w:rFonts w:ascii="宋体" w:hAnsi="宋体"/>
          <w:sz w:val="24"/>
          <w:vertAlign w:val="superscript"/>
        </w:rPr>
        <w:t>3</w:t>
      </w:r>
      <w:r>
        <w:rPr>
          <w:rFonts w:ascii="宋体" w:hAnsi="宋体"/>
          <w:sz w:val="24"/>
        </w:rPr>
        <w:t>/t煤</w:t>
      </w:r>
      <w:r>
        <w:rPr>
          <w:rFonts w:hint="eastAsia" w:ascii="宋体" w:hAnsi="宋体"/>
          <w:sz w:val="24"/>
        </w:rPr>
        <w:t>•d</w:t>
      </w:r>
      <w:r>
        <w:rPr>
          <w:rFonts w:ascii="宋体" w:hAnsi="宋体"/>
          <w:sz w:val="24"/>
        </w:rPr>
        <w:t>，既满足生产要求，也满足了节约的要求。</w:t>
      </w:r>
    </w:p>
    <w:p w14:paraId="7A322018">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二、节水措施</w:t>
      </w:r>
    </w:p>
    <w:p w14:paraId="78210164">
      <w:pPr>
        <w:spacing w:line="360" w:lineRule="auto"/>
        <w:ind w:firstLine="480" w:firstLineChars="200"/>
        <w:rPr>
          <w:rFonts w:ascii="宋体" w:hAnsi="宋体"/>
          <w:bCs/>
          <w:sz w:val="24"/>
        </w:rPr>
      </w:pPr>
      <w:r>
        <w:rPr>
          <w:rFonts w:hint="eastAsia" w:ascii="宋体" w:hAnsi="宋体"/>
          <w:bCs/>
          <w:sz w:val="24"/>
        </w:rPr>
        <w:t>1、</w:t>
      </w:r>
      <w:r>
        <w:rPr>
          <w:rFonts w:ascii="宋体" w:hAnsi="宋体"/>
          <w:bCs/>
          <w:sz w:val="24"/>
        </w:rPr>
        <w:t>根据不同的用水性质，采用分质供水。</w:t>
      </w:r>
    </w:p>
    <w:p w14:paraId="254F36EF">
      <w:pPr>
        <w:spacing w:line="360" w:lineRule="auto"/>
        <w:ind w:firstLine="480" w:firstLineChars="200"/>
        <w:rPr>
          <w:rFonts w:ascii="宋体" w:hAnsi="宋体"/>
          <w:sz w:val="24"/>
        </w:rPr>
      </w:pPr>
      <w:r>
        <w:rPr>
          <w:rFonts w:hint="eastAsia" w:ascii="宋体" w:hAnsi="宋体"/>
          <w:sz w:val="24"/>
        </w:rPr>
        <w:t>2、</w:t>
      </w:r>
      <w:r>
        <w:rPr>
          <w:rFonts w:ascii="宋体" w:hAnsi="宋体"/>
          <w:sz w:val="24"/>
        </w:rPr>
        <w:t>井下消防洒水，地面生产系统防尘洒水</w:t>
      </w:r>
      <w:r>
        <w:rPr>
          <w:rFonts w:ascii="宋体" w:hAnsi="宋体"/>
          <w:sz w:val="24"/>
          <w:lang w:val="zh-CN"/>
        </w:rPr>
        <w:t>、瓦斯电厂、瓦斯抽放站生产补充均</w:t>
      </w:r>
      <w:r>
        <w:rPr>
          <w:rFonts w:ascii="宋体" w:hAnsi="宋体"/>
          <w:sz w:val="24"/>
        </w:rPr>
        <w:t>利用经井下水处理站处理达标后的井下水，提高水资源的重复使用率。</w:t>
      </w:r>
    </w:p>
    <w:p w14:paraId="4B419A07">
      <w:pPr>
        <w:spacing w:line="360" w:lineRule="auto"/>
        <w:ind w:firstLine="480" w:firstLineChars="200"/>
        <w:rPr>
          <w:rFonts w:hint="eastAsia" w:ascii="宋体" w:hAnsi="宋体"/>
          <w:sz w:val="24"/>
        </w:rPr>
      </w:pPr>
      <w:r>
        <w:rPr>
          <w:rFonts w:hint="eastAsia" w:ascii="宋体" w:hAnsi="宋体"/>
          <w:sz w:val="24"/>
        </w:rPr>
        <w:t>3、</w:t>
      </w:r>
      <w:r>
        <w:rPr>
          <w:rFonts w:ascii="宋体" w:hAnsi="宋体"/>
          <w:sz w:val="24"/>
        </w:rPr>
        <w:t>选用节水型卫生洁具、节水型卫生洁具阀门及水嘴，做到人走水关</w:t>
      </w:r>
      <w:r>
        <w:rPr>
          <w:rFonts w:hint="eastAsia" w:ascii="宋体" w:hAnsi="宋体"/>
          <w:sz w:val="24"/>
        </w:rPr>
        <w:t>。</w:t>
      </w:r>
    </w:p>
    <w:p w14:paraId="4F91545B">
      <w:pPr>
        <w:pStyle w:val="32"/>
        <w:ind w:firstLine="480" w:firstLineChars="200"/>
        <w:rPr>
          <w:rFonts w:hint="eastAsia" w:ascii="宋体" w:hAnsi="宋体"/>
        </w:rPr>
      </w:pPr>
      <w:r>
        <w:rPr>
          <w:rFonts w:hint="eastAsia" w:ascii="宋体" w:hAnsi="宋体"/>
        </w:rPr>
        <w:t>4、</w:t>
      </w:r>
      <w:r>
        <w:rPr>
          <w:rFonts w:ascii="宋体" w:hAnsi="宋体"/>
        </w:rPr>
        <w:t>加强生活公共用水管理。大力堵塞跑、冒、滴、漏，降低自来水管网漏失率</w:t>
      </w:r>
      <w:r>
        <w:rPr>
          <w:rFonts w:hint="eastAsia" w:ascii="宋体" w:hAnsi="宋体"/>
        </w:rPr>
        <w:t>。</w:t>
      </w:r>
    </w:p>
    <w:p w14:paraId="49605C3A">
      <w:pPr>
        <w:pStyle w:val="32"/>
        <w:ind w:firstLine="480" w:firstLineChars="200"/>
        <w:rPr>
          <w:rFonts w:hint="eastAsia" w:ascii="宋体" w:hAnsi="宋体"/>
        </w:rPr>
      </w:pPr>
      <w:r>
        <w:rPr>
          <w:rFonts w:hint="eastAsia" w:ascii="宋体" w:hAnsi="宋体"/>
        </w:rPr>
        <w:t>5、供水系统采用生活、消防分别设置成环状管网的形式。</w:t>
      </w:r>
    </w:p>
    <w:p w14:paraId="181E7AEA">
      <w:pPr>
        <w:pStyle w:val="32"/>
        <w:ind w:firstLine="480" w:firstLineChars="200"/>
        <w:rPr>
          <w:rFonts w:hint="eastAsia" w:ascii="宋体" w:hAnsi="宋体"/>
        </w:rPr>
      </w:pPr>
      <w:r>
        <w:rPr>
          <w:rFonts w:hint="eastAsia" w:ascii="宋体" w:hAnsi="宋体"/>
        </w:rPr>
        <w:t>6、使用</w:t>
      </w:r>
      <w:r>
        <w:rPr>
          <w:rFonts w:ascii="宋体" w:hAnsi="宋体"/>
        </w:rPr>
        <w:t>节水型</w:t>
      </w:r>
      <w:r>
        <w:rPr>
          <w:rFonts w:hint="eastAsia" w:ascii="宋体" w:hAnsi="宋体"/>
        </w:rPr>
        <w:t>卫生</w:t>
      </w:r>
      <w:r>
        <w:rPr>
          <w:rFonts w:ascii="宋体" w:hAnsi="宋体"/>
        </w:rPr>
        <w:t>器具</w:t>
      </w:r>
      <w:r>
        <w:rPr>
          <w:rFonts w:hint="eastAsia" w:ascii="宋体" w:hAnsi="宋体"/>
        </w:rPr>
        <w:t>。</w:t>
      </w:r>
    </w:p>
    <w:p w14:paraId="3A06B333">
      <w:pPr>
        <w:spacing w:line="360" w:lineRule="auto"/>
        <w:ind w:firstLine="480" w:firstLineChars="200"/>
        <w:rPr>
          <w:rFonts w:hint="eastAsia" w:ascii="宋体" w:hAnsi="宋体"/>
          <w:sz w:val="24"/>
        </w:rPr>
      </w:pPr>
      <w:r>
        <w:rPr>
          <w:rFonts w:hint="eastAsia" w:ascii="宋体" w:hAnsi="宋体"/>
          <w:sz w:val="24"/>
        </w:rPr>
        <w:t>7、提高全民节水意识，加强节水知识教育。</w:t>
      </w:r>
    </w:p>
    <w:p w14:paraId="57D190DA">
      <w:pPr>
        <w:spacing w:line="360" w:lineRule="auto"/>
        <w:ind w:firstLine="480" w:firstLineChars="200"/>
        <w:rPr>
          <w:rFonts w:hint="eastAsia" w:ascii="宋体" w:hAnsi="宋体"/>
          <w:sz w:val="24"/>
        </w:rPr>
      </w:pPr>
    </w:p>
    <w:p w14:paraId="44195360">
      <w:pPr>
        <w:spacing w:line="360" w:lineRule="auto"/>
        <w:ind w:firstLine="480" w:firstLineChars="200"/>
        <w:rPr>
          <w:rFonts w:hint="eastAsia" w:ascii="宋体" w:hAnsi="宋体"/>
          <w:sz w:val="24"/>
        </w:rPr>
      </w:pPr>
    </w:p>
    <w:p w14:paraId="442D61EB">
      <w:pPr>
        <w:spacing w:line="360" w:lineRule="auto"/>
        <w:ind w:firstLine="480" w:firstLineChars="200"/>
        <w:rPr>
          <w:rFonts w:hint="eastAsia" w:ascii="宋体" w:hAnsi="宋体"/>
          <w:sz w:val="24"/>
        </w:rPr>
      </w:pPr>
    </w:p>
    <w:p w14:paraId="1577FA3E">
      <w:pPr>
        <w:spacing w:line="360" w:lineRule="auto"/>
        <w:ind w:firstLine="480" w:firstLineChars="200"/>
        <w:rPr>
          <w:rFonts w:hint="eastAsia" w:ascii="宋体" w:hAnsi="宋体"/>
          <w:sz w:val="24"/>
        </w:rPr>
      </w:pPr>
    </w:p>
    <w:p w14:paraId="460CBB34">
      <w:pPr>
        <w:spacing w:line="360" w:lineRule="auto"/>
        <w:ind w:firstLine="480" w:firstLineChars="200"/>
        <w:rPr>
          <w:rFonts w:hint="eastAsia" w:ascii="宋体" w:hAnsi="宋体"/>
          <w:sz w:val="24"/>
        </w:rPr>
      </w:pPr>
    </w:p>
    <w:p w14:paraId="39719367">
      <w:pPr>
        <w:spacing w:line="360" w:lineRule="auto"/>
        <w:ind w:firstLine="480" w:firstLineChars="200"/>
        <w:rPr>
          <w:rFonts w:ascii="宋体" w:hAnsi="宋体"/>
          <w:sz w:val="24"/>
        </w:rPr>
        <w:sectPr>
          <w:pgSz w:w="11906" w:h="16838"/>
          <w:pgMar w:top="1304" w:right="1418" w:bottom="1304" w:left="1418" w:header="1134" w:footer="992" w:gutter="0"/>
          <w:cols w:space="720" w:num="1"/>
          <w:docGrid w:linePitch="312" w:charSpace="0"/>
        </w:sectPr>
      </w:pPr>
    </w:p>
    <w:p w14:paraId="788ECFBF">
      <w:pPr>
        <w:pStyle w:val="2"/>
        <w:keepLines/>
        <w:spacing w:before="240" w:after="120" w:line="360" w:lineRule="auto"/>
        <w:ind w:firstLine="0" w:firstLineChars="0"/>
        <w:rPr>
          <w:rFonts w:hint="eastAsia" w:ascii="黑体" w:eastAsia="黑体"/>
          <w:b/>
          <w:color w:val="000000"/>
          <w:kern w:val="44"/>
          <w:sz w:val="36"/>
          <w:szCs w:val="36"/>
        </w:rPr>
      </w:pPr>
      <w:bookmarkStart w:id="809" w:name="_Toc186528712"/>
      <w:bookmarkStart w:id="810" w:name="_Toc260915287"/>
      <w:bookmarkStart w:id="811" w:name="_Toc259438193"/>
      <w:bookmarkStart w:id="812" w:name="_Toc173869302"/>
      <w:bookmarkStart w:id="813" w:name="_Toc92630536"/>
      <w:r>
        <w:rPr>
          <w:rFonts w:hint="eastAsia" w:ascii="黑体" w:eastAsia="黑体"/>
          <w:b/>
          <w:color w:val="000000"/>
          <w:kern w:val="44"/>
          <w:sz w:val="36"/>
          <w:szCs w:val="36"/>
        </w:rPr>
        <w:t>第八章　　环境保护与水土保持</w:t>
      </w:r>
      <w:bookmarkEnd w:id="809"/>
      <w:bookmarkEnd w:id="810"/>
      <w:bookmarkEnd w:id="811"/>
    </w:p>
    <w:bookmarkEnd w:id="812"/>
    <w:bookmarkEnd w:id="813"/>
    <w:p w14:paraId="5199F03F">
      <w:pPr>
        <w:spacing w:line="360" w:lineRule="auto"/>
        <w:ind w:firstLine="480" w:firstLineChars="200"/>
        <w:rPr>
          <w:rFonts w:hint="eastAsia" w:ascii="宋体" w:hAnsi="宋体"/>
          <w:sz w:val="24"/>
        </w:rPr>
      </w:pPr>
      <w:bookmarkStart w:id="814" w:name="_Toc186528713"/>
      <w:bookmarkStart w:id="815" w:name="_Toc158715713"/>
      <w:bookmarkStart w:id="816" w:name="_Toc173869303"/>
      <w:bookmarkStart w:id="817" w:name="_Toc92630537"/>
      <w:r>
        <w:rPr>
          <w:rFonts w:hint="eastAsia" w:ascii="宋体" w:hAnsi="宋体"/>
          <w:sz w:val="24"/>
        </w:rPr>
        <w:t>本章主要变更内容：本章未变更。</w:t>
      </w:r>
    </w:p>
    <w:p w14:paraId="34CED2CF">
      <w:pPr>
        <w:pStyle w:val="3"/>
        <w:keepLines/>
        <w:spacing w:before="240" w:after="240" w:line="360" w:lineRule="auto"/>
        <w:ind w:firstLine="0" w:firstLineChars="0"/>
        <w:jc w:val="center"/>
        <w:rPr>
          <w:rFonts w:hint="eastAsia"/>
          <w:b/>
          <w:color w:val="000000"/>
          <w:sz w:val="32"/>
          <w:szCs w:val="32"/>
        </w:rPr>
      </w:pPr>
      <w:bookmarkStart w:id="818" w:name="_Toc260915288"/>
      <w:r>
        <w:rPr>
          <w:rFonts w:hint="eastAsia"/>
          <w:b/>
          <w:color w:val="000000"/>
          <w:sz w:val="32"/>
          <w:szCs w:val="32"/>
        </w:rPr>
        <w:t>第一节　　环境现状</w:t>
      </w:r>
      <w:bookmarkEnd w:id="814"/>
      <w:bookmarkEnd w:id="818"/>
    </w:p>
    <w:bookmarkEnd w:id="815"/>
    <w:bookmarkEnd w:id="816"/>
    <w:bookmarkEnd w:id="817"/>
    <w:p w14:paraId="396CF4E2">
      <w:pPr>
        <w:pStyle w:val="4"/>
        <w:keepLines/>
        <w:adjustRightInd w:val="0"/>
        <w:snapToGrid w:val="0"/>
        <w:spacing w:before="240" w:after="240" w:line="360" w:lineRule="auto"/>
        <w:ind w:firstLine="562" w:firstLineChars="200"/>
        <w:jc w:val="both"/>
        <w:rPr>
          <w:rFonts w:hint="eastAsia"/>
          <w:b/>
          <w:color w:val="000000"/>
          <w:kern w:val="0"/>
          <w:szCs w:val="20"/>
        </w:rPr>
      </w:pPr>
      <w:bookmarkStart w:id="819" w:name="_Toc173918979"/>
      <w:bookmarkStart w:id="820" w:name="_Toc173869304"/>
      <w:r>
        <w:rPr>
          <w:rFonts w:hint="eastAsia"/>
          <w:b/>
          <w:color w:val="000000"/>
          <w:kern w:val="0"/>
          <w:szCs w:val="20"/>
        </w:rPr>
        <w:t>一、自然环境</w:t>
      </w:r>
      <w:bookmarkEnd w:id="819"/>
      <w:bookmarkEnd w:id="820"/>
    </w:p>
    <w:p w14:paraId="45024CC3">
      <w:pPr>
        <w:spacing w:line="360" w:lineRule="auto"/>
        <w:ind w:firstLine="480" w:firstLineChars="200"/>
        <w:rPr>
          <w:rFonts w:hint="eastAsia" w:ascii="宋体" w:hAnsi="宋体"/>
          <w:snapToGrid w:val="0"/>
          <w:kern w:val="0"/>
          <w:sz w:val="24"/>
        </w:rPr>
      </w:pPr>
      <w:bookmarkStart w:id="821" w:name="_Toc157422096"/>
      <w:bookmarkStart w:id="822" w:name="_Toc157329986"/>
      <w:bookmarkStart w:id="823" w:name="_Toc156709510"/>
      <w:r>
        <w:rPr>
          <w:rFonts w:hint="eastAsia" w:ascii="宋体" w:hAnsi="宋体"/>
          <w:snapToGrid w:val="0"/>
          <w:kern w:val="0"/>
          <w:sz w:val="24"/>
        </w:rPr>
        <w:t>1、地形地貌</w:t>
      </w:r>
    </w:p>
    <w:p w14:paraId="0E62ED2B">
      <w:pPr>
        <w:spacing w:line="360" w:lineRule="auto"/>
        <w:ind w:firstLine="480" w:firstLineChars="200"/>
        <w:rPr>
          <w:rFonts w:hint="eastAsia" w:ascii="宋体" w:hAnsi="宋体"/>
          <w:sz w:val="24"/>
          <w:szCs w:val="20"/>
        </w:rPr>
      </w:pPr>
      <w:r>
        <w:rPr>
          <w:rFonts w:hint="eastAsia" w:ascii="宋体" w:hAnsi="宋体"/>
          <w:sz w:val="24"/>
          <w:szCs w:val="20"/>
        </w:rPr>
        <w:t>矿区地处云贵高原东部，属中高山溶蚀、侵蚀、剥蚀高—中山地貌，地形切割强烈，最高海拨2265.5米（矿区东面山峰），最低海拨1947.1米（矿区南西面沟谷中），最大高差314.8米。矿区北、东部高，南、西部低，山脉走向呈北西西-南东东向延展。总观全区，其地貌景观受地层岩性、地质构造控制比较明显，地形上多为山峦斜坡，其间发育有一系列较大冲沟，坡度一般20-40度。</w:t>
      </w:r>
    </w:p>
    <w:p w14:paraId="3CFFA985">
      <w:pPr>
        <w:spacing w:line="360" w:lineRule="auto"/>
        <w:ind w:firstLine="480" w:firstLineChars="200"/>
        <w:rPr>
          <w:rFonts w:hint="eastAsia" w:ascii="宋体" w:hAnsi="宋体"/>
          <w:snapToGrid w:val="0"/>
          <w:kern w:val="0"/>
          <w:sz w:val="24"/>
        </w:rPr>
      </w:pPr>
      <w:r>
        <w:rPr>
          <w:rFonts w:hint="eastAsia" w:ascii="宋体" w:hAnsi="宋体"/>
          <w:snapToGrid w:val="0"/>
          <w:kern w:val="0"/>
          <w:sz w:val="24"/>
        </w:rPr>
        <w:t>2、气象</w:t>
      </w:r>
      <w:bookmarkEnd w:id="821"/>
      <w:bookmarkEnd w:id="822"/>
      <w:bookmarkEnd w:id="823"/>
      <w:r>
        <w:rPr>
          <w:rFonts w:hint="eastAsia" w:ascii="宋体" w:hAnsi="宋体"/>
          <w:snapToGrid w:val="0"/>
          <w:kern w:val="0"/>
          <w:sz w:val="24"/>
        </w:rPr>
        <w:t>及气候</w:t>
      </w:r>
    </w:p>
    <w:p w14:paraId="27FF33BC">
      <w:pPr>
        <w:spacing w:line="360" w:lineRule="auto"/>
        <w:ind w:firstLine="480" w:firstLineChars="200"/>
        <w:rPr>
          <w:rFonts w:hint="eastAsia" w:ascii="宋体" w:hAnsi="宋体"/>
          <w:snapToGrid w:val="0"/>
          <w:kern w:val="0"/>
          <w:sz w:val="24"/>
        </w:rPr>
      </w:pPr>
      <w:r>
        <w:rPr>
          <w:rFonts w:hint="eastAsia" w:ascii="宋体" w:hAnsi="宋体"/>
          <w:sz w:val="24"/>
        </w:rPr>
        <w:t>本区属中亚热带季风气候区，年平均气温为13℃，最高34</w:t>
      </w:r>
      <w:r>
        <w:rPr>
          <w:rFonts w:ascii="宋体" w:hAnsi="宋体"/>
          <w:sz w:val="24"/>
        </w:rPr>
        <w:t>.1</w:t>
      </w:r>
      <w:r>
        <w:rPr>
          <w:rFonts w:hint="eastAsia" w:ascii="宋体" w:hAnsi="宋体"/>
          <w:sz w:val="24"/>
        </w:rPr>
        <w:t>℃、最低-9</w:t>
      </w:r>
      <w:r>
        <w:rPr>
          <w:rFonts w:ascii="宋体" w:hAnsi="宋体"/>
          <w:sz w:val="24"/>
        </w:rPr>
        <w:t>.6</w:t>
      </w:r>
      <w:r>
        <w:rPr>
          <w:rFonts w:hint="eastAsia" w:ascii="宋体" w:hAnsi="宋体"/>
          <w:sz w:val="24"/>
        </w:rPr>
        <w:t>℃。年平均降雨量1243mm，多集中在6-8月，此段时间内降雨量累计可达670-680</w:t>
      </w:r>
      <w:r>
        <w:rPr>
          <w:rFonts w:ascii="宋体" w:hAnsi="宋体"/>
          <w:sz w:val="24"/>
        </w:rPr>
        <w:t>mm</w:t>
      </w:r>
      <w:r>
        <w:rPr>
          <w:rFonts w:hint="eastAsia" w:ascii="宋体" w:hAnsi="宋体"/>
          <w:sz w:val="24"/>
        </w:rPr>
        <w:t>。平均风速为</w:t>
      </w:r>
      <w:r>
        <w:rPr>
          <w:rFonts w:ascii="宋体" w:hAnsi="宋体"/>
          <w:sz w:val="24"/>
        </w:rPr>
        <w:t>2.3m/s</w:t>
      </w:r>
      <w:r>
        <w:rPr>
          <w:rFonts w:hint="eastAsia" w:ascii="宋体" w:hAnsi="宋体"/>
          <w:sz w:val="24"/>
        </w:rPr>
        <w:t>，最高风速为20</w:t>
      </w:r>
      <w:r>
        <w:rPr>
          <w:rFonts w:ascii="宋体" w:hAnsi="宋体"/>
          <w:sz w:val="24"/>
        </w:rPr>
        <w:t>.0m/s</w:t>
      </w:r>
      <w:r>
        <w:rPr>
          <w:rFonts w:hint="eastAsia" w:ascii="宋体" w:hAnsi="宋体"/>
          <w:sz w:val="24"/>
        </w:rPr>
        <w:t>，</w:t>
      </w:r>
      <w:r>
        <w:rPr>
          <w:rFonts w:hint="eastAsia" w:ascii="宋体" w:hAnsi="宋体"/>
          <w:snapToGrid w:val="0"/>
          <w:kern w:val="0"/>
          <w:sz w:val="24"/>
        </w:rPr>
        <w:t>多为东风。</w:t>
      </w:r>
    </w:p>
    <w:p w14:paraId="2340EC10">
      <w:pPr>
        <w:spacing w:line="360" w:lineRule="auto"/>
        <w:ind w:firstLine="480" w:firstLineChars="200"/>
        <w:rPr>
          <w:rFonts w:hint="eastAsia" w:ascii="宋体" w:hAnsi="宋体"/>
          <w:snapToGrid w:val="0"/>
          <w:kern w:val="0"/>
          <w:sz w:val="24"/>
        </w:rPr>
      </w:pPr>
      <w:r>
        <w:rPr>
          <w:rFonts w:hint="eastAsia" w:ascii="宋体" w:hAnsi="宋体"/>
          <w:color w:val="000000"/>
          <w:sz w:val="24"/>
        </w:rPr>
        <w:t>3、</w:t>
      </w:r>
      <w:bookmarkStart w:id="824" w:name="_Toc173869305"/>
      <w:bookmarkStart w:id="825" w:name="_Toc173918980"/>
      <w:r>
        <w:rPr>
          <w:rFonts w:hint="eastAsia" w:ascii="宋体" w:hAnsi="宋体"/>
          <w:snapToGrid w:val="0"/>
          <w:kern w:val="0"/>
          <w:sz w:val="24"/>
        </w:rPr>
        <w:t>水系</w:t>
      </w:r>
    </w:p>
    <w:p w14:paraId="15577BAC">
      <w:pPr>
        <w:spacing w:line="360" w:lineRule="auto"/>
        <w:ind w:firstLine="480" w:firstLineChars="200"/>
        <w:rPr>
          <w:rFonts w:hint="eastAsia" w:ascii="宋体" w:hAnsi="宋体"/>
          <w:color w:val="000000"/>
          <w:sz w:val="24"/>
        </w:rPr>
      </w:pPr>
      <w:r>
        <w:rPr>
          <w:rFonts w:hint="eastAsia" w:ascii="宋体" w:hAnsi="宋体"/>
          <w:color w:val="000000"/>
          <w:sz w:val="24"/>
        </w:rPr>
        <w:t>矿区地处珠江流域北盘江水系。矿区内地表水系不发育，季节性流水的冲沟较多，有季节性流量变化大的源头性水流特征。矿区内无长年性地表水流，主要受季节性的水流影响。矿区属碎屑岩侵蚀和溶蚀地貌，南高北低，洪瀑期间的地表水由高点向低处排泄汇集流向当地的河流，最终汇入北盘江。</w:t>
      </w:r>
    </w:p>
    <w:p w14:paraId="52BEA939">
      <w:pPr>
        <w:spacing w:line="360" w:lineRule="auto"/>
        <w:ind w:firstLine="480" w:firstLineChars="200"/>
        <w:rPr>
          <w:rFonts w:hint="eastAsia" w:ascii="宋体" w:hAnsi="宋体"/>
          <w:color w:val="000000"/>
          <w:sz w:val="24"/>
        </w:rPr>
      </w:pPr>
      <w:r>
        <w:rPr>
          <w:rFonts w:hint="eastAsia" w:ascii="宋体" w:hAnsi="宋体"/>
          <w:color w:val="000000"/>
          <w:sz w:val="24"/>
        </w:rPr>
        <w:t>4、地震</w:t>
      </w:r>
    </w:p>
    <w:p w14:paraId="07D33EA3">
      <w:pPr>
        <w:spacing w:line="360" w:lineRule="auto"/>
        <w:ind w:firstLine="480" w:firstLineChars="200"/>
        <w:rPr>
          <w:rFonts w:hint="eastAsia" w:ascii="宋体" w:hAnsi="宋体"/>
          <w:color w:val="000000"/>
          <w:sz w:val="24"/>
        </w:rPr>
      </w:pPr>
      <w:r>
        <w:rPr>
          <w:rFonts w:hint="eastAsia" w:ascii="宋体" w:hAnsi="宋体"/>
          <w:color w:val="000000"/>
          <w:sz w:val="24"/>
        </w:rPr>
        <w:t>该区未做过地震基本列度鉴定，亦没有地震资料记载，根据贵州省城乡建设环境保护厅1993年4月颁布的贵州省地震烈度区划图（1990），本区地震烈度小于Ⅵ度。</w:t>
      </w:r>
    </w:p>
    <w:p w14:paraId="4F43575E">
      <w:pPr>
        <w:spacing w:line="360" w:lineRule="auto"/>
        <w:ind w:firstLine="480" w:firstLineChars="200"/>
        <w:rPr>
          <w:rFonts w:hint="eastAsia" w:ascii="宋体" w:hAnsi="宋体"/>
          <w:sz w:val="24"/>
        </w:rPr>
      </w:pPr>
      <w:r>
        <w:rPr>
          <w:rFonts w:hint="eastAsia" w:ascii="宋体" w:hAnsi="宋体"/>
          <w:sz w:val="24"/>
        </w:rPr>
        <w:t>5、土壤</w:t>
      </w:r>
    </w:p>
    <w:p w14:paraId="5CB7CF81">
      <w:pPr>
        <w:spacing w:line="360" w:lineRule="auto"/>
        <w:ind w:firstLine="480" w:firstLineChars="200"/>
        <w:rPr>
          <w:rFonts w:hint="eastAsia" w:ascii="宋体" w:hAnsi="宋体"/>
          <w:sz w:val="24"/>
        </w:rPr>
      </w:pPr>
      <w:r>
        <w:rPr>
          <w:rFonts w:hint="eastAsia" w:ascii="宋体" w:hAnsi="宋体"/>
          <w:sz w:val="24"/>
        </w:rPr>
        <w:t>水城县土地总面积为4056km</w:t>
      </w:r>
      <w:r>
        <w:rPr>
          <w:rFonts w:hint="eastAsia" w:ascii="宋体" w:hAnsi="宋体"/>
          <w:sz w:val="24"/>
          <w:vertAlign w:val="superscript"/>
        </w:rPr>
        <w:t>2</w:t>
      </w:r>
      <w:r>
        <w:rPr>
          <w:rFonts w:hint="eastAsia" w:ascii="宋体" w:hAnsi="宋体"/>
          <w:sz w:val="24"/>
        </w:rPr>
        <w:t>，土壤类型主要为：黄棕壤、黄壤、石灰土、紫色土、沼泽土、潮土、水稻土7个土类、21个亚类、56个土属、89个土种，顺源矿井井田及附近区域土壤主要为黄壤和紫色土。</w:t>
      </w:r>
    </w:p>
    <w:p w14:paraId="7802C68A">
      <w:pPr>
        <w:spacing w:line="360" w:lineRule="auto"/>
        <w:ind w:firstLine="480" w:firstLineChars="200"/>
        <w:rPr>
          <w:rFonts w:hint="eastAsia" w:ascii="宋体" w:hAnsi="宋体"/>
          <w:sz w:val="24"/>
        </w:rPr>
      </w:pPr>
      <w:r>
        <w:rPr>
          <w:rFonts w:hint="eastAsia" w:ascii="宋体" w:hAnsi="宋体"/>
          <w:sz w:val="24"/>
        </w:rPr>
        <w:t>6、植被及生物多样性</w:t>
      </w:r>
    </w:p>
    <w:p w14:paraId="054D59EE">
      <w:pPr>
        <w:spacing w:line="360" w:lineRule="auto"/>
        <w:ind w:firstLine="480" w:firstLineChars="200"/>
        <w:rPr>
          <w:rFonts w:hint="eastAsia" w:ascii="宋体" w:hAnsi="宋体"/>
          <w:sz w:val="24"/>
        </w:rPr>
      </w:pPr>
      <w:r>
        <w:rPr>
          <w:rFonts w:hint="eastAsia" w:ascii="宋体" w:hAnsi="宋体"/>
          <w:sz w:val="24"/>
        </w:rPr>
        <w:t>（1）森林植被</w:t>
      </w:r>
    </w:p>
    <w:p w14:paraId="035DA077">
      <w:pPr>
        <w:spacing w:line="360" w:lineRule="auto"/>
        <w:ind w:firstLine="480" w:firstLineChars="200"/>
        <w:rPr>
          <w:rFonts w:hint="eastAsia" w:ascii="宋体" w:hAnsi="宋体"/>
          <w:sz w:val="24"/>
        </w:rPr>
      </w:pPr>
      <w:r>
        <w:rPr>
          <w:rFonts w:hint="eastAsia" w:ascii="宋体" w:hAnsi="宋体"/>
          <w:sz w:val="24"/>
        </w:rPr>
        <w:t>水城县植被属中亚热带云贵高原半干性常绿阔叶林地带，滇黔边缘高原山地常绿栎林、云南松林植物区。从植被群落组合及分布来看，由于地理位置和气候、水文条件的影响，全县总体以云南植物区系为主，但由于地处过渡性地带，境内从东到西，从南到北，具有明显的由南亚热带植物组合向中亚热带常绿栎林、落叶混交林植物组合过渡的特征，而且植物垂直带谱比较发育。</w:t>
      </w:r>
    </w:p>
    <w:p w14:paraId="194C5C46">
      <w:pPr>
        <w:spacing w:line="360" w:lineRule="auto"/>
        <w:ind w:firstLine="480" w:firstLineChars="200"/>
        <w:rPr>
          <w:rFonts w:hint="eastAsia" w:ascii="宋体" w:hAnsi="宋体"/>
          <w:sz w:val="24"/>
        </w:rPr>
      </w:pPr>
      <w:r>
        <w:rPr>
          <w:rFonts w:hint="eastAsia" w:ascii="宋体" w:hAnsi="宋体"/>
          <w:sz w:val="24"/>
        </w:rPr>
        <w:t>树种主要有：华山松、云南松、杉木等。</w:t>
      </w:r>
    </w:p>
    <w:p w14:paraId="6737396D">
      <w:pPr>
        <w:spacing w:line="360" w:lineRule="auto"/>
        <w:ind w:firstLine="480" w:firstLineChars="200"/>
        <w:rPr>
          <w:rFonts w:hint="eastAsia" w:ascii="宋体" w:hAnsi="宋体"/>
          <w:sz w:val="24"/>
        </w:rPr>
      </w:pPr>
      <w:r>
        <w:rPr>
          <w:rFonts w:hint="eastAsia" w:ascii="宋体" w:hAnsi="宋体"/>
          <w:sz w:val="24"/>
        </w:rPr>
        <w:t>经济林木主要有：漆树、油桐、棕榈、板栗、核桃等。</w:t>
      </w:r>
    </w:p>
    <w:p w14:paraId="07A3E8E1">
      <w:pPr>
        <w:spacing w:line="360" w:lineRule="auto"/>
        <w:ind w:firstLine="480" w:firstLineChars="200"/>
        <w:rPr>
          <w:rFonts w:hint="eastAsia" w:ascii="宋体" w:hAnsi="宋体"/>
          <w:sz w:val="24"/>
        </w:rPr>
      </w:pPr>
      <w:r>
        <w:rPr>
          <w:rFonts w:hint="eastAsia" w:ascii="宋体" w:hAnsi="宋体"/>
          <w:sz w:val="24"/>
        </w:rPr>
        <w:t>（2）草场植被由于境内气候温和，雨量充沛，野草长势良好。牧草种类繁多，已鉴定的有29科、95属、163科，主要有禾本科、菊科、豆科、莎草科等。</w:t>
      </w:r>
    </w:p>
    <w:p w14:paraId="25495BD3">
      <w:pPr>
        <w:spacing w:line="360" w:lineRule="auto"/>
        <w:ind w:firstLine="480" w:firstLineChars="200"/>
        <w:rPr>
          <w:rFonts w:hint="eastAsia" w:ascii="宋体" w:hAnsi="宋体"/>
          <w:sz w:val="24"/>
        </w:rPr>
      </w:pPr>
      <w:r>
        <w:rPr>
          <w:rFonts w:hint="eastAsia" w:ascii="宋体" w:hAnsi="宋体"/>
          <w:sz w:val="24"/>
        </w:rPr>
        <w:t>（3）农田植被</w:t>
      </w:r>
    </w:p>
    <w:p w14:paraId="159187E1">
      <w:pPr>
        <w:spacing w:line="360" w:lineRule="auto"/>
        <w:ind w:firstLine="480" w:firstLineChars="200"/>
        <w:rPr>
          <w:rFonts w:ascii="宋体" w:hAnsi="宋体"/>
          <w:sz w:val="24"/>
        </w:rPr>
      </w:pPr>
      <w:r>
        <w:rPr>
          <w:rFonts w:ascii="宋体" w:hAnsi="宋体"/>
          <w:sz w:val="24"/>
        </w:rPr>
        <w:t>主要粮食作物：水稻、玉米、马铃薯等。</w:t>
      </w:r>
    </w:p>
    <w:p w14:paraId="05E79B61">
      <w:pPr>
        <w:spacing w:line="360" w:lineRule="auto"/>
        <w:ind w:firstLine="480" w:firstLineChars="200"/>
        <w:rPr>
          <w:rFonts w:ascii="宋体" w:hAnsi="宋体"/>
          <w:sz w:val="24"/>
        </w:rPr>
      </w:pPr>
      <w:r>
        <w:rPr>
          <w:rFonts w:ascii="宋体" w:hAnsi="宋体"/>
          <w:sz w:val="24"/>
        </w:rPr>
        <w:t>主要经济作物：油菜、烤烟、茶叶、麻类等。</w:t>
      </w:r>
    </w:p>
    <w:p w14:paraId="67AEAC0C">
      <w:pPr>
        <w:spacing w:line="360" w:lineRule="auto"/>
        <w:ind w:firstLine="480" w:firstLineChars="200"/>
        <w:rPr>
          <w:rFonts w:ascii="宋体" w:hAnsi="宋体"/>
          <w:sz w:val="24"/>
        </w:rPr>
      </w:pPr>
      <w:r>
        <w:rPr>
          <w:rFonts w:ascii="宋体" w:hAnsi="宋体"/>
          <w:sz w:val="24"/>
        </w:rPr>
        <w:t>主要蔬菜作物：白菜类、绿叶菜类、薯芋类、根菜类、葱蒜类、瓜类、豆类等。</w:t>
      </w:r>
    </w:p>
    <w:p w14:paraId="0CDFAE7D">
      <w:pPr>
        <w:spacing w:line="360" w:lineRule="auto"/>
        <w:ind w:firstLine="480" w:firstLineChars="200"/>
        <w:rPr>
          <w:rFonts w:ascii="宋体" w:hAnsi="宋体"/>
          <w:sz w:val="24"/>
        </w:rPr>
      </w:pPr>
      <w:r>
        <w:rPr>
          <w:rFonts w:hint="eastAsia" w:ascii="宋体" w:hAnsi="宋体"/>
          <w:sz w:val="24"/>
        </w:rPr>
        <w:t>（4）</w:t>
      </w:r>
      <w:r>
        <w:rPr>
          <w:rFonts w:ascii="宋体" w:hAnsi="宋体"/>
          <w:sz w:val="24"/>
        </w:rPr>
        <w:t>动物</w:t>
      </w:r>
    </w:p>
    <w:p w14:paraId="17857F80">
      <w:pPr>
        <w:spacing w:line="360" w:lineRule="auto"/>
        <w:ind w:firstLine="480" w:firstLineChars="200"/>
        <w:rPr>
          <w:rFonts w:ascii="宋体" w:hAnsi="宋体"/>
          <w:sz w:val="24"/>
        </w:rPr>
      </w:pPr>
      <w:r>
        <w:rPr>
          <w:rFonts w:ascii="宋体" w:hAnsi="宋体"/>
          <w:sz w:val="24"/>
        </w:rPr>
        <w:t>野生动物：区内因原生植被殆尽，现仅有次生植被，野生动物已大部分绝迹，仅有蛇类、两栖类、鱼类、虫类等动物。</w:t>
      </w:r>
    </w:p>
    <w:p w14:paraId="650E64D0">
      <w:pPr>
        <w:spacing w:line="360" w:lineRule="auto"/>
        <w:ind w:firstLine="480" w:firstLineChars="200"/>
        <w:rPr>
          <w:rFonts w:ascii="宋体" w:hAnsi="宋体"/>
          <w:sz w:val="24"/>
        </w:rPr>
      </w:pPr>
      <w:r>
        <w:rPr>
          <w:rFonts w:ascii="宋体" w:hAnsi="宋体"/>
          <w:sz w:val="24"/>
        </w:rPr>
        <w:t>饲养动物：区内有牛、羊、马、猪、鸡、鸭、鹅、兔、蜂等。</w:t>
      </w:r>
    </w:p>
    <w:p w14:paraId="7333F92E">
      <w:pPr>
        <w:spacing w:line="360" w:lineRule="auto"/>
        <w:ind w:firstLine="480" w:firstLineChars="200"/>
        <w:rPr>
          <w:rFonts w:hint="eastAsia" w:ascii="宋体" w:hAnsi="宋体"/>
          <w:sz w:val="24"/>
        </w:rPr>
      </w:pPr>
      <w:r>
        <w:rPr>
          <w:rFonts w:hint="eastAsia" w:ascii="宋体" w:hAnsi="宋体"/>
          <w:sz w:val="24"/>
        </w:rPr>
        <w:t>7、自然景观及人文景观</w:t>
      </w:r>
    </w:p>
    <w:p w14:paraId="480BC008">
      <w:pPr>
        <w:spacing w:line="360" w:lineRule="auto"/>
        <w:ind w:firstLine="480" w:firstLineChars="200"/>
        <w:rPr>
          <w:rFonts w:hint="eastAsia" w:ascii="宋体" w:hAnsi="宋体"/>
          <w:sz w:val="24"/>
        </w:rPr>
      </w:pPr>
      <w:r>
        <w:rPr>
          <w:rFonts w:hint="eastAsia" w:ascii="宋体" w:hAnsi="宋体"/>
          <w:sz w:val="24"/>
        </w:rPr>
        <w:t>区内无受特殊保护的自然景观及人文景观。</w:t>
      </w:r>
    </w:p>
    <w:p w14:paraId="28B24B3E">
      <w:pPr>
        <w:pStyle w:val="4"/>
        <w:keepLines/>
        <w:adjustRightInd w:val="0"/>
        <w:snapToGrid w:val="0"/>
        <w:spacing w:before="240" w:after="240" w:line="360" w:lineRule="auto"/>
        <w:ind w:firstLine="562" w:firstLineChars="200"/>
        <w:jc w:val="both"/>
        <w:rPr>
          <w:b/>
          <w:color w:val="000000"/>
          <w:kern w:val="0"/>
          <w:szCs w:val="20"/>
        </w:rPr>
      </w:pPr>
      <w:r>
        <w:rPr>
          <w:rFonts w:hint="eastAsia"/>
          <w:b/>
          <w:color w:val="000000"/>
          <w:kern w:val="0"/>
          <w:szCs w:val="20"/>
        </w:rPr>
        <w:t>二、</w:t>
      </w:r>
      <w:r>
        <w:rPr>
          <w:b/>
          <w:color w:val="000000"/>
          <w:kern w:val="0"/>
          <w:szCs w:val="20"/>
        </w:rPr>
        <w:t>社会环境</w:t>
      </w:r>
    </w:p>
    <w:p w14:paraId="5B24E9B6">
      <w:pPr>
        <w:spacing w:line="360" w:lineRule="auto"/>
        <w:ind w:firstLine="480" w:firstLineChars="200"/>
        <w:rPr>
          <w:rFonts w:hint="eastAsia" w:ascii="宋体" w:hAnsi="宋体"/>
          <w:sz w:val="24"/>
        </w:rPr>
      </w:pPr>
      <w:r>
        <w:rPr>
          <w:rFonts w:ascii="宋体" w:hAnsi="宋体"/>
          <w:sz w:val="24"/>
        </w:rPr>
        <w:t>当地居民有</w:t>
      </w:r>
      <w:r>
        <w:rPr>
          <w:rFonts w:hint="eastAsia" w:ascii="宋体" w:hAnsi="宋体"/>
          <w:sz w:val="24"/>
        </w:rPr>
        <w:t>彝、</w:t>
      </w:r>
      <w:r>
        <w:rPr>
          <w:rFonts w:ascii="宋体" w:hAnsi="宋体"/>
          <w:sz w:val="24"/>
        </w:rPr>
        <w:t>汉、苗族等。以农业为主，农作物有水稻、玉米、小麦、洋芋等；经济作物有烤烟、苡仁米、油菜等。工业经济基础薄弱,地方经济、文化较落后，劳动力资源丰富。区内为并网电源，电力资源充足，能满足当地生产生活需求；水源</w:t>
      </w:r>
      <w:r>
        <w:rPr>
          <w:rFonts w:hint="eastAsia" w:ascii="宋体" w:hAnsi="宋体"/>
          <w:sz w:val="24"/>
        </w:rPr>
        <w:t>较</w:t>
      </w:r>
      <w:r>
        <w:rPr>
          <w:rFonts w:ascii="宋体" w:hAnsi="宋体"/>
          <w:sz w:val="24"/>
        </w:rPr>
        <w:t>丰富，</w:t>
      </w:r>
      <w:r>
        <w:rPr>
          <w:rFonts w:hint="eastAsia" w:ascii="宋体" w:hAnsi="宋体"/>
          <w:sz w:val="24"/>
        </w:rPr>
        <w:t>但</w:t>
      </w:r>
      <w:r>
        <w:rPr>
          <w:rFonts w:ascii="宋体" w:hAnsi="宋体"/>
          <w:sz w:val="24"/>
        </w:rPr>
        <w:t>每年11月至次年3月</w:t>
      </w:r>
      <w:r>
        <w:rPr>
          <w:rFonts w:hint="eastAsia" w:ascii="宋体" w:hAnsi="宋体"/>
          <w:sz w:val="24"/>
        </w:rPr>
        <w:t>枯</w:t>
      </w:r>
      <w:r>
        <w:rPr>
          <w:rFonts w:ascii="宋体" w:hAnsi="宋体"/>
          <w:sz w:val="24"/>
        </w:rPr>
        <w:t>水季节</w:t>
      </w:r>
      <w:r>
        <w:rPr>
          <w:rFonts w:hint="eastAsia" w:ascii="宋体" w:hAnsi="宋体"/>
          <w:sz w:val="24"/>
        </w:rPr>
        <w:t>,</w:t>
      </w:r>
      <w:r>
        <w:rPr>
          <w:rFonts w:ascii="宋体" w:hAnsi="宋体"/>
          <w:sz w:val="24"/>
        </w:rPr>
        <w:t>生产生活用水相对比较困难。植被中等发育，水土流失较严重。</w:t>
      </w:r>
    </w:p>
    <w:p w14:paraId="2BE6FC23">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三、环境质量及水土保持现状</w:t>
      </w:r>
    </w:p>
    <w:bookmarkEnd w:id="824"/>
    <w:bookmarkEnd w:id="825"/>
    <w:p w14:paraId="7107AA4C">
      <w:pPr>
        <w:spacing w:line="360" w:lineRule="auto"/>
        <w:ind w:firstLine="480" w:firstLineChars="200"/>
        <w:rPr>
          <w:rFonts w:hint="eastAsia" w:ascii="宋体" w:hAnsi="宋体"/>
          <w:color w:val="000000"/>
          <w:sz w:val="24"/>
        </w:rPr>
      </w:pPr>
      <w:bookmarkStart w:id="826" w:name="_Toc186528714"/>
      <w:bookmarkStart w:id="827" w:name="_Toc158715714"/>
      <w:bookmarkStart w:id="828" w:name="_Toc92630538"/>
      <w:bookmarkStart w:id="829" w:name="_Toc173869307"/>
      <w:r>
        <w:rPr>
          <w:rFonts w:hint="eastAsia" w:ascii="宋体" w:hAnsi="宋体"/>
          <w:color w:val="000000"/>
          <w:sz w:val="24"/>
        </w:rPr>
        <w:t>1、环境质量现状</w:t>
      </w:r>
    </w:p>
    <w:p w14:paraId="22BC6D52">
      <w:pPr>
        <w:spacing w:line="360" w:lineRule="auto"/>
        <w:ind w:firstLine="480" w:firstLineChars="200"/>
        <w:rPr>
          <w:rFonts w:hint="eastAsia" w:ascii="宋体" w:hAnsi="宋体"/>
          <w:color w:val="000000"/>
          <w:sz w:val="24"/>
        </w:rPr>
      </w:pPr>
      <w:r>
        <w:rPr>
          <w:rFonts w:hint="eastAsia" w:ascii="宋体" w:hAnsi="宋体"/>
          <w:color w:val="000000"/>
          <w:sz w:val="24"/>
        </w:rPr>
        <w:t>（1）水环境</w:t>
      </w:r>
    </w:p>
    <w:p w14:paraId="55408C6B">
      <w:pPr>
        <w:spacing w:line="360" w:lineRule="auto"/>
        <w:ind w:firstLine="480" w:firstLineChars="200"/>
        <w:rPr>
          <w:rFonts w:hint="eastAsia" w:ascii="宋体" w:hAnsi="宋体"/>
          <w:color w:val="000000"/>
          <w:sz w:val="24"/>
        </w:rPr>
      </w:pPr>
      <w:r>
        <w:rPr>
          <w:rFonts w:hint="eastAsia" w:ascii="宋体" w:hAnsi="宋体"/>
          <w:color w:val="000000"/>
          <w:sz w:val="24"/>
        </w:rPr>
        <w:t>大坪煤矿污废水的受纳水体为本矿东部边界的北盘江，目前已受到区内煤矿污废水的污染，基本能满足《地表水环境质量标准》（GB3838—2002）Ⅲ类标准要求。</w:t>
      </w:r>
    </w:p>
    <w:p w14:paraId="5AD244E0">
      <w:pPr>
        <w:spacing w:line="360" w:lineRule="auto"/>
        <w:ind w:firstLine="480" w:firstLineChars="200"/>
        <w:rPr>
          <w:rFonts w:hint="eastAsia" w:ascii="宋体" w:hAnsi="宋体"/>
          <w:color w:val="000000"/>
          <w:sz w:val="24"/>
        </w:rPr>
      </w:pPr>
      <w:r>
        <w:rPr>
          <w:rFonts w:hint="eastAsia" w:ascii="宋体" w:hAnsi="宋体"/>
          <w:color w:val="000000"/>
          <w:sz w:val="24"/>
        </w:rPr>
        <w:t>（2）环境空气</w:t>
      </w:r>
    </w:p>
    <w:p w14:paraId="779AFF81">
      <w:pPr>
        <w:spacing w:line="360" w:lineRule="auto"/>
        <w:ind w:firstLine="480" w:firstLineChars="200"/>
        <w:rPr>
          <w:rFonts w:hint="eastAsia" w:ascii="宋体" w:hAnsi="宋体"/>
          <w:color w:val="000000"/>
          <w:sz w:val="24"/>
        </w:rPr>
      </w:pPr>
      <w:r>
        <w:rPr>
          <w:rFonts w:hint="eastAsia" w:ascii="宋体" w:hAnsi="宋体"/>
          <w:color w:val="000000"/>
          <w:sz w:val="24"/>
        </w:rPr>
        <w:t>目前矿区及附近区域仍以农业生产为主，尚无大中型工业企业，环境空气质量较好，能满足《环境空气质量标准》（GB3095—1996）二级标准要求。</w:t>
      </w:r>
    </w:p>
    <w:p w14:paraId="36B310F7">
      <w:pPr>
        <w:spacing w:line="360" w:lineRule="auto"/>
        <w:ind w:firstLine="480" w:firstLineChars="200"/>
        <w:rPr>
          <w:rFonts w:hint="eastAsia" w:ascii="宋体" w:hAnsi="宋体"/>
          <w:color w:val="000000"/>
          <w:sz w:val="24"/>
        </w:rPr>
      </w:pPr>
      <w:r>
        <w:rPr>
          <w:rFonts w:hint="eastAsia" w:ascii="宋体" w:hAnsi="宋体"/>
          <w:color w:val="000000"/>
          <w:sz w:val="24"/>
        </w:rPr>
        <w:t>（3）声环境</w:t>
      </w:r>
    </w:p>
    <w:p w14:paraId="4A01A0A2">
      <w:pPr>
        <w:spacing w:line="360" w:lineRule="auto"/>
        <w:ind w:firstLine="480" w:firstLineChars="200"/>
        <w:rPr>
          <w:rFonts w:hint="eastAsia" w:ascii="宋体" w:hAnsi="宋体"/>
          <w:color w:val="000000"/>
          <w:sz w:val="24"/>
        </w:rPr>
      </w:pPr>
      <w:r>
        <w:rPr>
          <w:rFonts w:hint="eastAsia" w:ascii="宋体" w:hAnsi="宋体"/>
          <w:color w:val="000000"/>
          <w:sz w:val="24"/>
        </w:rPr>
        <w:t>拟建矿井工业场地附近仅有少量村民居住，属较宁静的农村地区，声环境质量也满足《城市区域环境噪声标准》（GB3096—93）2类标准要求。</w:t>
      </w:r>
    </w:p>
    <w:p w14:paraId="1289FA0D">
      <w:pPr>
        <w:spacing w:line="360" w:lineRule="auto"/>
        <w:ind w:firstLine="480" w:firstLineChars="200"/>
        <w:rPr>
          <w:rFonts w:hint="eastAsia" w:ascii="宋体" w:hAnsi="宋体"/>
          <w:color w:val="000000"/>
          <w:sz w:val="24"/>
        </w:rPr>
      </w:pPr>
      <w:r>
        <w:rPr>
          <w:rFonts w:hint="eastAsia" w:ascii="宋体" w:hAnsi="宋体"/>
          <w:color w:val="000000"/>
          <w:sz w:val="24"/>
        </w:rPr>
        <w:t>2、水土保持现状</w:t>
      </w:r>
    </w:p>
    <w:p w14:paraId="2380402B">
      <w:pPr>
        <w:spacing w:line="360" w:lineRule="auto"/>
        <w:ind w:firstLine="480" w:firstLineChars="200"/>
        <w:rPr>
          <w:rFonts w:hint="eastAsia" w:ascii="宋体" w:hAnsi="宋体"/>
          <w:color w:val="000000"/>
          <w:sz w:val="24"/>
        </w:rPr>
      </w:pPr>
      <w:r>
        <w:rPr>
          <w:rFonts w:hint="eastAsia" w:ascii="宋体" w:hAnsi="宋体"/>
          <w:color w:val="000000"/>
          <w:sz w:val="24"/>
        </w:rPr>
        <w:t>根据《水城特区综合农业区划》，区内植被资源遭到破坏，水土流失严重。大量的水土流失，带来了不良后果：一是山上的土地越种越薄，岩石露头多，低产面积增大。二是山下的良田好土被水打沙壅，基本农田面积减少。三是塘库淤积，河床抬高。四是水源枯竭，水利设施失效，保灌面积减少，不少地区人畜饮水越来越困难。</w:t>
      </w:r>
    </w:p>
    <w:p w14:paraId="0EC9C654">
      <w:pPr>
        <w:pStyle w:val="3"/>
        <w:keepLines/>
        <w:spacing w:before="240" w:after="240" w:line="360" w:lineRule="auto"/>
        <w:ind w:firstLine="0" w:firstLineChars="0"/>
        <w:jc w:val="center"/>
        <w:rPr>
          <w:rFonts w:hint="eastAsia"/>
          <w:b/>
          <w:color w:val="000000"/>
          <w:sz w:val="32"/>
          <w:szCs w:val="32"/>
        </w:rPr>
      </w:pPr>
      <w:bookmarkStart w:id="830" w:name="_Toc260915289"/>
      <w:r>
        <w:rPr>
          <w:rFonts w:hint="eastAsia"/>
          <w:b/>
          <w:color w:val="000000"/>
          <w:sz w:val="32"/>
          <w:szCs w:val="32"/>
        </w:rPr>
        <w:t>第二节　　环境保护与水土保持执行标准</w:t>
      </w:r>
      <w:bookmarkEnd w:id="826"/>
      <w:bookmarkEnd w:id="830"/>
    </w:p>
    <w:bookmarkEnd w:id="827"/>
    <w:bookmarkEnd w:id="828"/>
    <w:bookmarkEnd w:id="829"/>
    <w:p w14:paraId="7E1987FF">
      <w:pPr>
        <w:pStyle w:val="4"/>
        <w:keepLines/>
        <w:adjustRightInd w:val="0"/>
        <w:snapToGrid w:val="0"/>
        <w:spacing w:before="240" w:after="240" w:line="360" w:lineRule="auto"/>
        <w:ind w:firstLine="562" w:firstLineChars="200"/>
        <w:jc w:val="both"/>
        <w:rPr>
          <w:rFonts w:hint="eastAsia"/>
          <w:b/>
          <w:color w:val="000000"/>
          <w:kern w:val="0"/>
          <w:szCs w:val="20"/>
        </w:rPr>
      </w:pPr>
      <w:bookmarkStart w:id="831" w:name="_Toc173869308"/>
      <w:bookmarkStart w:id="832" w:name="_Toc173918983"/>
      <w:r>
        <w:rPr>
          <w:rFonts w:hint="eastAsia"/>
          <w:b/>
          <w:color w:val="000000"/>
          <w:kern w:val="0"/>
          <w:szCs w:val="20"/>
        </w:rPr>
        <w:t>一、环境标准</w:t>
      </w:r>
      <w:bookmarkEnd w:id="831"/>
      <w:bookmarkEnd w:id="832"/>
    </w:p>
    <w:p w14:paraId="19FF2A32">
      <w:pPr>
        <w:spacing w:line="360" w:lineRule="auto"/>
        <w:ind w:firstLine="480" w:firstLineChars="200"/>
        <w:rPr>
          <w:rFonts w:hint="eastAsia" w:ascii="宋体" w:hAnsi="宋体"/>
          <w:color w:val="000000"/>
          <w:sz w:val="24"/>
        </w:rPr>
      </w:pPr>
      <w:r>
        <w:rPr>
          <w:rFonts w:hint="eastAsia" w:ascii="宋体" w:hAnsi="宋体"/>
          <w:color w:val="000000"/>
          <w:sz w:val="24"/>
        </w:rPr>
        <w:t>1、环境空气：《环境空气质量标准》（GB3095—1996）中二级标准。</w:t>
      </w:r>
    </w:p>
    <w:p w14:paraId="4BD9050E">
      <w:pPr>
        <w:spacing w:line="360" w:lineRule="auto"/>
        <w:ind w:firstLine="480" w:firstLineChars="200"/>
        <w:rPr>
          <w:rFonts w:hint="eastAsia" w:ascii="宋体" w:hAnsi="宋体"/>
          <w:color w:val="000000"/>
          <w:sz w:val="24"/>
        </w:rPr>
      </w:pPr>
      <w:r>
        <w:rPr>
          <w:rFonts w:hint="eastAsia" w:ascii="宋体" w:hAnsi="宋体"/>
          <w:color w:val="000000"/>
          <w:sz w:val="24"/>
        </w:rPr>
        <w:t>2、地表水：《地表水环境质量标准》（GB3838—2002）中Ⅲ类标准。</w:t>
      </w:r>
    </w:p>
    <w:p w14:paraId="5780FC1B">
      <w:pPr>
        <w:spacing w:line="360" w:lineRule="auto"/>
        <w:ind w:firstLine="480" w:firstLineChars="200"/>
        <w:rPr>
          <w:rFonts w:hint="eastAsia" w:ascii="宋体" w:hAnsi="宋体"/>
          <w:color w:val="000000"/>
          <w:sz w:val="24"/>
        </w:rPr>
      </w:pPr>
      <w:r>
        <w:rPr>
          <w:rFonts w:hint="eastAsia" w:ascii="宋体" w:hAnsi="宋体"/>
          <w:color w:val="000000"/>
          <w:sz w:val="24"/>
        </w:rPr>
        <w:t>3、地下水：《地下水质量标准》（GB/T14848—93）中Ⅱ类标准。</w:t>
      </w:r>
    </w:p>
    <w:p w14:paraId="4062F364">
      <w:pPr>
        <w:spacing w:line="360" w:lineRule="auto"/>
        <w:ind w:firstLine="480" w:firstLineChars="200"/>
        <w:rPr>
          <w:rFonts w:hint="eastAsia" w:ascii="宋体" w:hAnsi="宋体"/>
          <w:color w:val="000000"/>
          <w:sz w:val="24"/>
        </w:rPr>
      </w:pPr>
      <w:r>
        <w:rPr>
          <w:rFonts w:hint="eastAsia" w:ascii="宋体" w:hAnsi="宋体"/>
          <w:color w:val="000000"/>
          <w:sz w:val="24"/>
        </w:rPr>
        <w:t>4、噪声：《城市区域环境噪声标准》（GB3096—1993）中Ⅱ类标准。</w:t>
      </w:r>
    </w:p>
    <w:p w14:paraId="0FDFBFE0">
      <w:pPr>
        <w:pStyle w:val="4"/>
        <w:keepLines/>
        <w:adjustRightInd w:val="0"/>
        <w:snapToGrid w:val="0"/>
        <w:spacing w:before="240" w:after="240" w:line="360" w:lineRule="auto"/>
        <w:ind w:firstLine="562" w:firstLineChars="200"/>
        <w:jc w:val="both"/>
        <w:rPr>
          <w:rFonts w:hint="eastAsia"/>
          <w:b/>
          <w:color w:val="000000"/>
          <w:kern w:val="0"/>
          <w:szCs w:val="20"/>
        </w:rPr>
      </w:pPr>
      <w:bookmarkStart w:id="833" w:name="_Toc173918984"/>
      <w:bookmarkStart w:id="834" w:name="_Toc173869309"/>
      <w:r>
        <w:rPr>
          <w:rFonts w:hint="eastAsia"/>
          <w:b/>
          <w:color w:val="000000"/>
          <w:kern w:val="0"/>
          <w:szCs w:val="20"/>
        </w:rPr>
        <w:t>二、排放标准</w:t>
      </w:r>
      <w:bookmarkEnd w:id="833"/>
      <w:bookmarkEnd w:id="834"/>
    </w:p>
    <w:p w14:paraId="60367725">
      <w:pPr>
        <w:spacing w:line="360" w:lineRule="auto"/>
        <w:ind w:firstLine="480" w:firstLineChars="200"/>
        <w:rPr>
          <w:rFonts w:hint="eastAsia" w:ascii="宋体" w:hAnsi="宋体"/>
          <w:color w:val="000000"/>
          <w:sz w:val="24"/>
        </w:rPr>
      </w:pPr>
      <w:r>
        <w:rPr>
          <w:rFonts w:hint="eastAsia" w:ascii="宋体" w:hAnsi="宋体"/>
          <w:color w:val="000000"/>
          <w:sz w:val="24"/>
        </w:rPr>
        <w:t xml:space="preserve">1、《煤炭工业污染物排放标准》（GB20426－2006）； </w:t>
      </w:r>
    </w:p>
    <w:p w14:paraId="40575518">
      <w:pPr>
        <w:spacing w:line="360" w:lineRule="auto"/>
        <w:ind w:firstLine="480" w:firstLineChars="200"/>
        <w:rPr>
          <w:rFonts w:hint="eastAsia" w:ascii="宋体" w:hAnsi="宋体"/>
          <w:color w:val="000000"/>
          <w:sz w:val="24"/>
        </w:rPr>
      </w:pPr>
      <w:r>
        <w:rPr>
          <w:rFonts w:hint="eastAsia" w:ascii="宋体" w:hAnsi="宋体"/>
          <w:color w:val="000000"/>
          <w:sz w:val="24"/>
        </w:rPr>
        <w:t>2、污废水：《污水综合排放标准》（GB8978－1996）一级标准；</w:t>
      </w:r>
    </w:p>
    <w:p w14:paraId="6DA79BA3">
      <w:pPr>
        <w:spacing w:line="360" w:lineRule="auto"/>
        <w:ind w:firstLine="480" w:firstLineChars="200"/>
        <w:rPr>
          <w:rFonts w:hint="eastAsia" w:ascii="宋体" w:hAnsi="宋体"/>
          <w:color w:val="000000"/>
          <w:sz w:val="24"/>
        </w:rPr>
      </w:pPr>
      <w:r>
        <w:rPr>
          <w:rFonts w:hint="eastAsia" w:ascii="宋体" w:hAnsi="宋体"/>
          <w:color w:val="000000"/>
          <w:sz w:val="24"/>
        </w:rPr>
        <w:t>3、锅炉烟气：《锅炉大气污染物排放标准》（GB13271－2001）二类区、Ⅱ时段标准。</w:t>
      </w:r>
    </w:p>
    <w:p w14:paraId="062A5F2D">
      <w:pPr>
        <w:spacing w:line="360" w:lineRule="auto"/>
        <w:ind w:firstLine="480" w:firstLineChars="200"/>
        <w:rPr>
          <w:rFonts w:hint="eastAsia" w:ascii="宋体" w:hAnsi="宋体"/>
          <w:color w:val="000000"/>
          <w:sz w:val="24"/>
        </w:rPr>
      </w:pPr>
      <w:r>
        <w:rPr>
          <w:rFonts w:hint="eastAsia" w:ascii="宋体" w:hAnsi="宋体"/>
          <w:color w:val="000000"/>
          <w:sz w:val="24"/>
        </w:rPr>
        <w:t>4、噪声：《工业企业厂界噪声标准》（GB12348―90）Ⅱ类标准；施工期执行《建筑施工场界噪声限值》（GB12523—90）。</w:t>
      </w:r>
    </w:p>
    <w:p w14:paraId="50D48AD5">
      <w:pPr>
        <w:spacing w:line="360" w:lineRule="auto"/>
        <w:ind w:firstLine="480" w:firstLineChars="200"/>
        <w:rPr>
          <w:rFonts w:hint="eastAsia" w:ascii="宋体" w:hAnsi="宋体"/>
          <w:color w:val="000000"/>
          <w:sz w:val="24"/>
        </w:rPr>
      </w:pPr>
      <w:r>
        <w:rPr>
          <w:rFonts w:hint="eastAsia" w:ascii="宋体" w:hAnsi="宋体"/>
          <w:color w:val="000000"/>
          <w:sz w:val="24"/>
        </w:rPr>
        <w:t>5、固体废物：《危险废物鉴别标准》（GB5085.3—1996）；《一般工业固体废物贮存、处置场污染控制标准》（GB18599—2001）。</w:t>
      </w:r>
    </w:p>
    <w:p w14:paraId="192B928F">
      <w:pPr>
        <w:pStyle w:val="4"/>
        <w:keepLines/>
        <w:adjustRightInd w:val="0"/>
        <w:snapToGrid w:val="0"/>
        <w:spacing w:before="240" w:after="240" w:line="360" w:lineRule="auto"/>
        <w:ind w:firstLine="562" w:firstLineChars="200"/>
        <w:jc w:val="both"/>
        <w:rPr>
          <w:rFonts w:hint="eastAsia"/>
          <w:b/>
          <w:color w:val="000000"/>
          <w:kern w:val="0"/>
          <w:szCs w:val="20"/>
        </w:rPr>
      </w:pPr>
      <w:bookmarkStart w:id="835" w:name="_Toc173918985"/>
      <w:bookmarkStart w:id="836" w:name="_Toc173869310"/>
      <w:r>
        <w:rPr>
          <w:rFonts w:hint="eastAsia"/>
          <w:b/>
          <w:color w:val="000000"/>
          <w:kern w:val="0"/>
          <w:szCs w:val="20"/>
        </w:rPr>
        <w:t>三、水土保持标准</w:t>
      </w:r>
      <w:bookmarkEnd w:id="835"/>
      <w:bookmarkEnd w:id="836"/>
    </w:p>
    <w:p w14:paraId="05B3603A">
      <w:pPr>
        <w:spacing w:line="360" w:lineRule="auto"/>
        <w:ind w:firstLine="480" w:firstLineChars="200"/>
        <w:rPr>
          <w:rFonts w:hint="eastAsia" w:ascii="宋体" w:hAnsi="宋体"/>
          <w:color w:val="000000"/>
          <w:sz w:val="24"/>
        </w:rPr>
      </w:pPr>
      <w:r>
        <w:rPr>
          <w:rFonts w:hint="eastAsia" w:ascii="宋体" w:hAnsi="宋体"/>
          <w:color w:val="000000"/>
          <w:sz w:val="24"/>
        </w:rPr>
        <w:t>1、《水土保持综合治理 规划通则》（GB/T15772-1995）；</w:t>
      </w:r>
    </w:p>
    <w:p w14:paraId="643CB612">
      <w:pPr>
        <w:spacing w:line="360" w:lineRule="auto"/>
        <w:ind w:firstLine="480" w:firstLineChars="200"/>
        <w:rPr>
          <w:rFonts w:hint="eastAsia" w:ascii="宋体" w:hAnsi="宋体"/>
          <w:color w:val="000000"/>
          <w:sz w:val="24"/>
        </w:rPr>
      </w:pPr>
      <w:r>
        <w:rPr>
          <w:rFonts w:hint="eastAsia" w:ascii="宋体" w:hAnsi="宋体"/>
          <w:color w:val="000000"/>
          <w:sz w:val="24"/>
        </w:rPr>
        <w:t>2、《水土保持综合治理 技术规范》（GB/T16453-1996）；</w:t>
      </w:r>
    </w:p>
    <w:p w14:paraId="0A71E749">
      <w:pPr>
        <w:spacing w:line="360" w:lineRule="auto"/>
        <w:ind w:firstLine="480" w:firstLineChars="200"/>
        <w:rPr>
          <w:rFonts w:hint="eastAsia" w:ascii="宋体" w:hAnsi="宋体"/>
          <w:color w:val="000000"/>
          <w:sz w:val="24"/>
        </w:rPr>
      </w:pPr>
      <w:r>
        <w:rPr>
          <w:rFonts w:hint="eastAsia" w:ascii="宋体" w:hAnsi="宋体"/>
          <w:color w:val="000000"/>
          <w:sz w:val="24"/>
        </w:rPr>
        <w:t>3、《土壤侵蚀分类分级标准》（SL190-96）。</w:t>
      </w:r>
    </w:p>
    <w:p w14:paraId="33E31D27">
      <w:pPr>
        <w:pStyle w:val="3"/>
        <w:keepLines/>
        <w:spacing w:before="240" w:after="240" w:line="360" w:lineRule="auto"/>
        <w:ind w:firstLine="0" w:firstLineChars="0"/>
        <w:jc w:val="center"/>
        <w:rPr>
          <w:rFonts w:hint="eastAsia"/>
          <w:b/>
          <w:color w:val="000000"/>
          <w:sz w:val="32"/>
          <w:szCs w:val="32"/>
        </w:rPr>
      </w:pPr>
      <w:bookmarkStart w:id="837" w:name="_Toc260915290"/>
      <w:bookmarkStart w:id="838" w:name="_Toc186528715"/>
      <w:bookmarkStart w:id="839" w:name="_Toc173869311"/>
      <w:bookmarkStart w:id="840" w:name="_Toc158715715"/>
      <w:bookmarkStart w:id="841" w:name="_Toc92630539"/>
      <w:r>
        <w:rPr>
          <w:rFonts w:hint="eastAsia"/>
          <w:b/>
          <w:color w:val="000000"/>
          <w:sz w:val="32"/>
          <w:szCs w:val="32"/>
        </w:rPr>
        <w:t>第三节　　项目建设和生产对环境的影响</w:t>
      </w:r>
      <w:bookmarkEnd w:id="837"/>
      <w:bookmarkEnd w:id="838"/>
    </w:p>
    <w:bookmarkEnd w:id="839"/>
    <w:bookmarkEnd w:id="840"/>
    <w:bookmarkEnd w:id="841"/>
    <w:p w14:paraId="5E18DE9F">
      <w:pPr>
        <w:pStyle w:val="4"/>
        <w:keepLines/>
        <w:adjustRightInd w:val="0"/>
        <w:snapToGrid w:val="0"/>
        <w:spacing w:before="240" w:after="240" w:line="360" w:lineRule="auto"/>
        <w:ind w:firstLine="562" w:firstLineChars="200"/>
        <w:jc w:val="both"/>
        <w:rPr>
          <w:rFonts w:hint="eastAsia"/>
          <w:b/>
          <w:color w:val="000000"/>
          <w:kern w:val="0"/>
          <w:szCs w:val="20"/>
        </w:rPr>
      </w:pPr>
      <w:bookmarkStart w:id="842" w:name="_Toc173918987"/>
      <w:bookmarkStart w:id="843" w:name="_Toc173869312"/>
      <w:r>
        <w:rPr>
          <w:rFonts w:hint="eastAsia"/>
          <w:b/>
          <w:color w:val="000000"/>
          <w:kern w:val="0"/>
          <w:szCs w:val="20"/>
        </w:rPr>
        <w:t>一、项目建设期环境影响分析</w:t>
      </w:r>
      <w:bookmarkEnd w:id="842"/>
      <w:bookmarkEnd w:id="843"/>
    </w:p>
    <w:p w14:paraId="090AD7B1">
      <w:pPr>
        <w:spacing w:line="360" w:lineRule="auto"/>
        <w:ind w:firstLine="480" w:firstLineChars="200"/>
        <w:rPr>
          <w:rFonts w:hint="eastAsia" w:ascii="宋体" w:hAnsi="宋体"/>
          <w:color w:val="000000"/>
          <w:sz w:val="24"/>
        </w:rPr>
      </w:pPr>
      <w:r>
        <w:rPr>
          <w:rFonts w:hint="eastAsia" w:ascii="宋体" w:hAnsi="宋体"/>
          <w:color w:val="000000"/>
          <w:sz w:val="24"/>
        </w:rPr>
        <w:t>从煤炭建设项目的普遍特征和本项目的具体情况初步分析，水城县玉舍大坪煤矿施工期间对环境产生的影响主要表现在以下几方面：</w:t>
      </w:r>
    </w:p>
    <w:p w14:paraId="3C9E472A">
      <w:pPr>
        <w:spacing w:line="360" w:lineRule="auto"/>
        <w:ind w:firstLine="480" w:firstLineChars="200"/>
        <w:rPr>
          <w:rFonts w:hint="eastAsia" w:ascii="宋体" w:hAnsi="宋体"/>
          <w:color w:val="000000"/>
          <w:sz w:val="24"/>
        </w:rPr>
      </w:pPr>
      <w:r>
        <w:rPr>
          <w:rFonts w:hint="eastAsia" w:ascii="宋体" w:hAnsi="宋体"/>
          <w:color w:val="000000"/>
          <w:sz w:val="24"/>
        </w:rPr>
        <w:t>1、使施工区植被破坏、水土流失加剧</w:t>
      </w:r>
    </w:p>
    <w:p w14:paraId="3D284C36">
      <w:pPr>
        <w:spacing w:line="360" w:lineRule="auto"/>
        <w:ind w:firstLine="480" w:firstLineChars="200"/>
        <w:rPr>
          <w:rFonts w:hint="eastAsia" w:ascii="宋体" w:hAnsi="宋体"/>
          <w:color w:val="000000"/>
          <w:sz w:val="24"/>
        </w:rPr>
      </w:pPr>
      <w:r>
        <w:rPr>
          <w:rFonts w:hint="eastAsia" w:ascii="宋体" w:hAnsi="宋体"/>
          <w:color w:val="000000"/>
          <w:sz w:val="24"/>
        </w:rPr>
        <w:t>施工期间矿井工业场地、风井场地、排矸场、进场公路的建设，因开挖地表使原有植被受到破坏，不仅削弱了该区原有水土保持能力，而且在施工中挖方与弃方将引起新的水土流失。将使施工区内植被遭到破坏、水土流失加剧。</w:t>
      </w:r>
    </w:p>
    <w:p w14:paraId="2BEB6747">
      <w:pPr>
        <w:spacing w:line="360" w:lineRule="auto"/>
        <w:ind w:firstLine="480" w:firstLineChars="200"/>
        <w:rPr>
          <w:rFonts w:hint="eastAsia" w:ascii="宋体" w:hAnsi="宋体"/>
          <w:color w:val="000000"/>
          <w:sz w:val="24"/>
        </w:rPr>
      </w:pPr>
      <w:r>
        <w:rPr>
          <w:rFonts w:hint="eastAsia" w:ascii="宋体" w:hAnsi="宋体"/>
          <w:color w:val="000000"/>
          <w:sz w:val="24"/>
        </w:rPr>
        <w:t>2、施工噪声对周围环境的影响</w:t>
      </w:r>
    </w:p>
    <w:p w14:paraId="36C9A6C7">
      <w:pPr>
        <w:spacing w:line="360" w:lineRule="auto"/>
        <w:ind w:firstLine="480" w:firstLineChars="200"/>
        <w:rPr>
          <w:rFonts w:hint="eastAsia" w:ascii="宋体" w:hAnsi="宋体"/>
          <w:color w:val="000000"/>
          <w:sz w:val="24"/>
        </w:rPr>
      </w:pPr>
      <w:r>
        <w:rPr>
          <w:rFonts w:hint="eastAsia" w:ascii="宋体" w:hAnsi="宋体"/>
          <w:color w:val="000000"/>
          <w:sz w:val="24"/>
        </w:rPr>
        <w:t>由于矿井工业场地和风井场地附近有居民居住，建筑材料的运输、施工机械作业产生的噪声会对附近居民点产生一定影响。</w:t>
      </w:r>
    </w:p>
    <w:p w14:paraId="324161D4">
      <w:pPr>
        <w:spacing w:line="360" w:lineRule="auto"/>
        <w:ind w:firstLine="480" w:firstLineChars="200"/>
        <w:rPr>
          <w:rFonts w:hint="eastAsia" w:ascii="宋体" w:hAnsi="宋体"/>
          <w:color w:val="000000"/>
          <w:sz w:val="24"/>
        </w:rPr>
      </w:pPr>
      <w:r>
        <w:rPr>
          <w:rFonts w:hint="eastAsia" w:ascii="宋体" w:hAnsi="宋体"/>
          <w:color w:val="000000"/>
          <w:sz w:val="24"/>
        </w:rPr>
        <w:t>3、施工环境空气影响分析</w:t>
      </w:r>
    </w:p>
    <w:p w14:paraId="759B974D">
      <w:pPr>
        <w:spacing w:line="360" w:lineRule="auto"/>
        <w:ind w:firstLine="480" w:firstLineChars="200"/>
        <w:rPr>
          <w:rFonts w:hint="eastAsia" w:ascii="宋体" w:hAnsi="宋体"/>
          <w:color w:val="000000"/>
          <w:sz w:val="24"/>
        </w:rPr>
      </w:pPr>
      <w:r>
        <w:rPr>
          <w:rFonts w:hint="eastAsia" w:ascii="宋体" w:hAnsi="宋体"/>
          <w:color w:val="000000"/>
          <w:sz w:val="24"/>
        </w:rPr>
        <w:t>施工期间施工材料和设备在装、运、卸过程中产生的粉尘及施工机械排放的尾气，施工人员炊事燃煤排烟，会对施工区周围大气环境产生一定的影响，其影响范围略大于工业场地范围，属可逆影响。</w:t>
      </w:r>
    </w:p>
    <w:p w14:paraId="5760773D">
      <w:pPr>
        <w:spacing w:line="360" w:lineRule="auto"/>
        <w:ind w:firstLine="480" w:firstLineChars="200"/>
        <w:rPr>
          <w:rFonts w:hint="eastAsia" w:ascii="宋体" w:hAnsi="宋体"/>
          <w:color w:val="000000"/>
          <w:sz w:val="24"/>
        </w:rPr>
      </w:pPr>
      <w:r>
        <w:rPr>
          <w:rFonts w:hint="eastAsia" w:ascii="宋体" w:hAnsi="宋体"/>
          <w:color w:val="000000"/>
          <w:sz w:val="24"/>
        </w:rPr>
        <w:t>4、对水环境的影响</w:t>
      </w:r>
    </w:p>
    <w:p w14:paraId="04850B0F">
      <w:pPr>
        <w:spacing w:line="360" w:lineRule="auto"/>
        <w:ind w:firstLine="480" w:firstLineChars="200"/>
        <w:rPr>
          <w:rFonts w:hint="eastAsia" w:ascii="宋体" w:hAnsi="宋体"/>
          <w:color w:val="000000"/>
          <w:sz w:val="24"/>
        </w:rPr>
      </w:pPr>
      <w:r>
        <w:rPr>
          <w:rFonts w:hint="eastAsia" w:ascii="宋体" w:hAnsi="宋体"/>
          <w:color w:val="000000"/>
          <w:sz w:val="24"/>
        </w:rPr>
        <w:t>由于施工期间污水处理设施尚未建成，施工过程中产生的生活污水、矿井井下排水，将对地表水环境产生不良影响。</w:t>
      </w:r>
    </w:p>
    <w:p w14:paraId="05231066">
      <w:pPr>
        <w:pStyle w:val="4"/>
        <w:keepLines/>
        <w:adjustRightInd w:val="0"/>
        <w:snapToGrid w:val="0"/>
        <w:spacing w:before="240" w:after="240" w:line="360" w:lineRule="auto"/>
        <w:ind w:firstLine="562" w:firstLineChars="200"/>
        <w:jc w:val="both"/>
        <w:rPr>
          <w:rFonts w:hint="eastAsia"/>
          <w:b/>
          <w:color w:val="000000"/>
          <w:kern w:val="0"/>
          <w:szCs w:val="20"/>
        </w:rPr>
      </w:pPr>
      <w:bookmarkStart w:id="844" w:name="_Toc173918988"/>
      <w:bookmarkStart w:id="845" w:name="_Toc173869313"/>
      <w:r>
        <w:rPr>
          <w:rFonts w:hint="eastAsia"/>
          <w:b/>
          <w:color w:val="000000"/>
          <w:kern w:val="0"/>
          <w:szCs w:val="20"/>
        </w:rPr>
        <w:t>二、项目生产营运期环境影响因素</w:t>
      </w:r>
      <w:bookmarkEnd w:id="844"/>
      <w:bookmarkEnd w:id="845"/>
    </w:p>
    <w:p w14:paraId="44363390">
      <w:pPr>
        <w:spacing w:line="360" w:lineRule="auto"/>
        <w:ind w:firstLine="480" w:firstLineChars="200"/>
        <w:rPr>
          <w:rFonts w:hint="eastAsia" w:ascii="宋体" w:hAnsi="宋体"/>
          <w:color w:val="000000"/>
          <w:sz w:val="24"/>
        </w:rPr>
      </w:pPr>
      <w:r>
        <w:rPr>
          <w:rFonts w:hint="eastAsia" w:ascii="宋体" w:hAnsi="宋体"/>
          <w:color w:val="000000"/>
          <w:sz w:val="24"/>
        </w:rPr>
        <w:t>1、生态环境影响分析</w:t>
      </w:r>
    </w:p>
    <w:p w14:paraId="287D75A6">
      <w:pPr>
        <w:spacing w:line="360" w:lineRule="auto"/>
        <w:ind w:firstLine="480" w:firstLineChars="200"/>
        <w:rPr>
          <w:rFonts w:hint="eastAsia" w:ascii="宋体" w:hAnsi="宋体"/>
          <w:color w:val="000000"/>
          <w:sz w:val="24"/>
        </w:rPr>
      </w:pPr>
      <w:r>
        <w:rPr>
          <w:rFonts w:hint="eastAsia" w:ascii="宋体" w:hAnsi="宋体"/>
          <w:color w:val="000000"/>
          <w:sz w:val="24"/>
        </w:rPr>
        <w:t>（1）区域城镇化</w:t>
      </w:r>
    </w:p>
    <w:p w14:paraId="62D1495A">
      <w:pPr>
        <w:spacing w:line="360" w:lineRule="auto"/>
        <w:ind w:firstLine="480" w:firstLineChars="200"/>
        <w:rPr>
          <w:rFonts w:hint="eastAsia" w:ascii="宋体" w:hAnsi="宋体"/>
          <w:color w:val="000000"/>
          <w:sz w:val="24"/>
        </w:rPr>
      </w:pPr>
      <w:r>
        <w:rPr>
          <w:rFonts w:hint="eastAsia" w:ascii="宋体" w:hAnsi="宋体"/>
          <w:color w:val="000000"/>
          <w:sz w:val="24"/>
        </w:rPr>
        <w:t>随着矿井的建设，矿井工业场地所在地将成为大量人口和物资的集散地，使工业场地附近区域城镇化。区域城镇化对环境的影响有两方面：有利影响主要表现在交通、文化教育、医疗卫生等基础设施将会得到很大程度的改善，使区内居民生活水平得到提高。不利影响主要表现在：由于人类活动的集中，使环境污染进一步集中和加剧。区域城镇化也将使周边农村产业结构发生变化。</w:t>
      </w:r>
    </w:p>
    <w:p w14:paraId="24912945">
      <w:pPr>
        <w:spacing w:line="360" w:lineRule="auto"/>
        <w:ind w:firstLine="480" w:firstLineChars="200"/>
        <w:rPr>
          <w:rFonts w:hint="eastAsia" w:ascii="宋体" w:hAnsi="宋体"/>
          <w:color w:val="000000"/>
          <w:sz w:val="24"/>
        </w:rPr>
      </w:pPr>
      <w:r>
        <w:rPr>
          <w:rFonts w:hint="eastAsia" w:ascii="宋体" w:hAnsi="宋体"/>
          <w:color w:val="000000"/>
          <w:sz w:val="24"/>
        </w:rPr>
        <w:t>（2）建设占地对生态环境的影响</w:t>
      </w:r>
    </w:p>
    <w:p w14:paraId="2956AAD7">
      <w:pPr>
        <w:spacing w:line="360" w:lineRule="auto"/>
        <w:ind w:firstLine="480" w:firstLineChars="200"/>
        <w:rPr>
          <w:rFonts w:hint="eastAsia" w:ascii="宋体" w:hAnsi="宋体"/>
          <w:color w:val="000000"/>
          <w:sz w:val="24"/>
        </w:rPr>
      </w:pPr>
      <w:r>
        <w:rPr>
          <w:rFonts w:hint="eastAsia" w:ascii="宋体" w:hAnsi="宋体"/>
          <w:color w:val="000000"/>
          <w:sz w:val="24"/>
        </w:rPr>
        <w:t>水城县玉舍大坪煤矿工业场地、风井场地、进场公路用地主要是旱地，占地使得原有农田植被消失，改变了土地的使用性质，使农业生态系统发生变化，在对生态系统的物理性方面，产生长期的不可逆影响。但工业场地占地，对水土保持则是有利的，由于占地区域内地面坡度变缓、地面建筑和砼路面覆盖了大部分地面，空隙地均采取了绿化措施，从而使占地区域内水土流失得到控制。矿井排矸场所占用土地主要为旱地，排矸场将使占地区域内的植被遭到彻底破坏，使区域水土流失加重。</w:t>
      </w:r>
    </w:p>
    <w:p w14:paraId="2B87B113">
      <w:pPr>
        <w:spacing w:line="360" w:lineRule="auto"/>
        <w:ind w:firstLine="480" w:firstLineChars="200"/>
        <w:rPr>
          <w:rFonts w:hint="eastAsia" w:ascii="宋体" w:hAnsi="宋体"/>
          <w:color w:val="000000"/>
          <w:sz w:val="24"/>
        </w:rPr>
      </w:pPr>
      <w:r>
        <w:rPr>
          <w:rFonts w:hint="eastAsia" w:ascii="宋体" w:hAnsi="宋体"/>
          <w:color w:val="000000"/>
          <w:sz w:val="24"/>
        </w:rPr>
        <w:t>（3）地表沉陷对生态环境的影响</w:t>
      </w:r>
    </w:p>
    <w:p w14:paraId="215F905C">
      <w:pPr>
        <w:spacing w:line="360" w:lineRule="auto"/>
        <w:ind w:firstLine="480" w:firstLineChars="200"/>
        <w:rPr>
          <w:rFonts w:hint="eastAsia" w:ascii="宋体" w:hAnsi="宋体"/>
          <w:color w:val="000000"/>
          <w:sz w:val="24"/>
        </w:rPr>
      </w:pPr>
      <w:r>
        <w:rPr>
          <w:rFonts w:hint="eastAsia" w:ascii="宋体" w:hAnsi="宋体"/>
          <w:color w:val="000000"/>
          <w:sz w:val="24"/>
        </w:rPr>
        <w:t>因煤层开采引起的地表沉陷、地下水疏干等可能导致植被减少、农业减产、水土流失加剧等生态环境问题；社会、经济活动可能导致植被减少、地下水资源影响、土地、村庄、人口变迁等导致当地农业生态环境的不良影响等。</w:t>
      </w:r>
    </w:p>
    <w:p w14:paraId="1D7C8562">
      <w:pPr>
        <w:spacing w:line="360" w:lineRule="auto"/>
        <w:ind w:firstLine="480" w:firstLineChars="200"/>
        <w:rPr>
          <w:rFonts w:hint="eastAsia" w:ascii="宋体" w:hAnsi="宋体"/>
          <w:color w:val="000000"/>
          <w:sz w:val="24"/>
        </w:rPr>
      </w:pPr>
      <w:r>
        <w:rPr>
          <w:rFonts w:hint="eastAsia" w:ascii="宋体" w:hAnsi="宋体"/>
          <w:color w:val="000000"/>
          <w:sz w:val="24"/>
        </w:rPr>
        <w:t>1）对地形地貌的影响</w:t>
      </w:r>
    </w:p>
    <w:p w14:paraId="6C37C07B">
      <w:pPr>
        <w:spacing w:line="360" w:lineRule="auto"/>
        <w:ind w:firstLine="480" w:firstLineChars="200"/>
        <w:rPr>
          <w:rFonts w:hint="eastAsia" w:ascii="宋体" w:hAnsi="宋体"/>
          <w:color w:val="000000"/>
          <w:sz w:val="24"/>
        </w:rPr>
      </w:pPr>
      <w:r>
        <w:rPr>
          <w:rFonts w:hint="eastAsia" w:ascii="宋体" w:hAnsi="宋体"/>
          <w:color w:val="000000"/>
          <w:sz w:val="24"/>
        </w:rPr>
        <w:t>本矿井主要采用井下开采，地表最终变形一般分布在采区边界附近，充分采动区地表最终变形很小，但在采动过程中产生较大的动态变形，矿区内大部分区域主要受此动态变形的影响。煤层开采后，地表除产生连续性移动与变形外，局部还会出现各种非连续性地表破坏现象，如裂缝、崩滑等。</w:t>
      </w:r>
    </w:p>
    <w:p w14:paraId="3C47A599">
      <w:pPr>
        <w:spacing w:line="360" w:lineRule="auto"/>
        <w:ind w:firstLine="480" w:firstLineChars="200"/>
        <w:rPr>
          <w:rFonts w:hint="eastAsia" w:ascii="宋体" w:hAnsi="宋体"/>
          <w:color w:val="000000"/>
          <w:sz w:val="24"/>
        </w:rPr>
      </w:pPr>
      <w:r>
        <w:rPr>
          <w:rFonts w:hint="eastAsia" w:ascii="宋体" w:hAnsi="宋体"/>
          <w:color w:val="000000"/>
          <w:sz w:val="24"/>
        </w:rPr>
        <w:t>2）对地面建构筑物的影响</w:t>
      </w:r>
    </w:p>
    <w:p w14:paraId="42B4DEC5">
      <w:pPr>
        <w:spacing w:line="360" w:lineRule="auto"/>
        <w:ind w:firstLine="480" w:firstLineChars="200"/>
        <w:rPr>
          <w:rFonts w:hint="eastAsia" w:ascii="宋体" w:hAnsi="宋体"/>
          <w:color w:val="000000"/>
          <w:sz w:val="24"/>
        </w:rPr>
      </w:pPr>
      <w:r>
        <w:rPr>
          <w:rFonts w:hint="eastAsia" w:ascii="宋体" w:hAnsi="宋体"/>
          <w:color w:val="000000"/>
          <w:sz w:val="24"/>
        </w:rPr>
        <w:t>煤层开采产生的地表沉陷对其上的工业场地及重要建构筑物将产生一定的影响。</w:t>
      </w:r>
    </w:p>
    <w:p w14:paraId="7442E723">
      <w:pPr>
        <w:spacing w:line="360" w:lineRule="auto"/>
        <w:ind w:firstLine="480" w:firstLineChars="200"/>
        <w:rPr>
          <w:rFonts w:hint="eastAsia" w:ascii="宋体" w:hAnsi="宋体"/>
          <w:color w:val="000000"/>
          <w:sz w:val="24"/>
        </w:rPr>
      </w:pPr>
      <w:r>
        <w:rPr>
          <w:rFonts w:hint="eastAsia" w:ascii="宋体" w:hAnsi="宋体"/>
          <w:color w:val="000000"/>
          <w:sz w:val="24"/>
        </w:rPr>
        <w:t>3）对地下水资源的影响</w:t>
      </w:r>
    </w:p>
    <w:p w14:paraId="45538AC6">
      <w:pPr>
        <w:spacing w:line="360" w:lineRule="auto"/>
        <w:ind w:firstLine="480" w:firstLineChars="200"/>
        <w:rPr>
          <w:rFonts w:hint="eastAsia" w:ascii="宋体" w:hAnsi="宋体"/>
          <w:color w:val="000000"/>
          <w:sz w:val="24"/>
        </w:rPr>
      </w:pPr>
      <w:r>
        <w:rPr>
          <w:rFonts w:hint="eastAsia" w:ascii="宋体" w:hAnsi="宋体"/>
          <w:color w:val="000000"/>
          <w:sz w:val="24"/>
        </w:rPr>
        <w:t>本矿井建设对地下水水质影响较小；井下煤层开采对上部含水层的水位和水量在浅部影响程度较大，在中、深部影响程度较小。</w:t>
      </w:r>
    </w:p>
    <w:p w14:paraId="091FA3B8">
      <w:pPr>
        <w:spacing w:line="360" w:lineRule="auto"/>
        <w:ind w:firstLine="480" w:firstLineChars="200"/>
        <w:rPr>
          <w:rFonts w:hint="eastAsia" w:ascii="宋体" w:hAnsi="宋体"/>
          <w:color w:val="000000"/>
          <w:sz w:val="24"/>
        </w:rPr>
      </w:pPr>
      <w:r>
        <w:rPr>
          <w:rFonts w:hint="eastAsia" w:ascii="宋体" w:hAnsi="宋体"/>
          <w:color w:val="000000"/>
          <w:sz w:val="24"/>
        </w:rPr>
        <w:t>4）对农业生产的影响</w:t>
      </w:r>
    </w:p>
    <w:p w14:paraId="432E82FE">
      <w:pPr>
        <w:spacing w:line="360" w:lineRule="auto"/>
        <w:ind w:firstLine="480" w:firstLineChars="200"/>
        <w:rPr>
          <w:rFonts w:hint="eastAsia" w:ascii="宋体" w:hAnsi="宋体"/>
          <w:color w:val="000000"/>
          <w:sz w:val="24"/>
        </w:rPr>
      </w:pPr>
      <w:r>
        <w:rPr>
          <w:rFonts w:hint="eastAsia" w:ascii="宋体" w:hAnsi="宋体"/>
          <w:color w:val="000000"/>
          <w:sz w:val="24"/>
        </w:rPr>
        <w:t>采煤引起的地表沉陷对农业生产的影响，主要来自以下几个方面：在煤层埋藏浅部，地表产生的裂缝及塌陷坑，将造成农田分割、破碎、田坎垮塌、稻田水漏失等；煤层开采过程中发生的危岩崩塌等，会使农田毁坏、局部水土流失加重。</w:t>
      </w:r>
    </w:p>
    <w:p w14:paraId="61073298">
      <w:pPr>
        <w:spacing w:line="360" w:lineRule="auto"/>
        <w:ind w:firstLine="480" w:firstLineChars="200"/>
        <w:rPr>
          <w:rFonts w:hint="eastAsia" w:ascii="宋体" w:hAnsi="宋体"/>
          <w:color w:val="000000"/>
          <w:sz w:val="24"/>
        </w:rPr>
      </w:pPr>
      <w:r>
        <w:rPr>
          <w:rFonts w:hint="eastAsia" w:ascii="宋体" w:hAnsi="宋体"/>
          <w:color w:val="000000"/>
          <w:sz w:val="24"/>
        </w:rPr>
        <w:t>2、水环境影响因素分析</w:t>
      </w:r>
    </w:p>
    <w:p w14:paraId="55D83A9D">
      <w:pPr>
        <w:spacing w:line="360" w:lineRule="auto"/>
        <w:ind w:firstLine="480" w:firstLineChars="200"/>
        <w:rPr>
          <w:rFonts w:hint="eastAsia" w:ascii="宋体" w:hAnsi="宋体"/>
          <w:color w:val="000000"/>
          <w:sz w:val="24"/>
        </w:rPr>
      </w:pPr>
      <w:r>
        <w:rPr>
          <w:rFonts w:hint="eastAsia" w:ascii="宋体" w:hAnsi="宋体"/>
          <w:color w:val="000000"/>
          <w:sz w:val="24"/>
        </w:rPr>
        <w:t>矿井井下排水、工业场地生产、生活污废水排放对水环境将产生一定的影响。污废水中主要污染物是悬浮物、BOD5、COD等。</w:t>
      </w:r>
    </w:p>
    <w:p w14:paraId="60358D3F">
      <w:pPr>
        <w:spacing w:line="360" w:lineRule="auto"/>
        <w:ind w:firstLine="480" w:firstLineChars="200"/>
        <w:rPr>
          <w:rFonts w:hint="eastAsia" w:ascii="宋体" w:hAnsi="宋体"/>
          <w:color w:val="000000"/>
          <w:sz w:val="24"/>
        </w:rPr>
      </w:pPr>
      <w:r>
        <w:rPr>
          <w:rFonts w:hint="eastAsia" w:ascii="宋体" w:hAnsi="宋体"/>
          <w:color w:val="000000"/>
          <w:sz w:val="24"/>
        </w:rPr>
        <w:t>3、固体废物环境影响因素分析</w:t>
      </w:r>
    </w:p>
    <w:p w14:paraId="4738070A">
      <w:pPr>
        <w:spacing w:line="360" w:lineRule="auto"/>
        <w:ind w:firstLine="480" w:firstLineChars="200"/>
        <w:rPr>
          <w:rFonts w:hint="eastAsia" w:ascii="宋体" w:hAnsi="宋体"/>
          <w:color w:val="000000"/>
          <w:sz w:val="24"/>
        </w:rPr>
      </w:pPr>
      <w:r>
        <w:rPr>
          <w:rFonts w:hint="eastAsia" w:ascii="宋体" w:hAnsi="宋体"/>
          <w:color w:val="000000"/>
          <w:sz w:val="24"/>
        </w:rPr>
        <w:t>煤矸石及井下水处理站煤泥、锅炉炉渣、生活垃圾等固体废物排放对周围环境产生一定的影响。</w:t>
      </w:r>
    </w:p>
    <w:p w14:paraId="46D44C85">
      <w:pPr>
        <w:spacing w:line="360" w:lineRule="auto"/>
        <w:ind w:firstLine="480" w:firstLineChars="200"/>
        <w:rPr>
          <w:rFonts w:hint="eastAsia" w:ascii="宋体" w:hAnsi="宋体"/>
          <w:color w:val="000000"/>
          <w:sz w:val="24"/>
        </w:rPr>
      </w:pPr>
      <w:r>
        <w:rPr>
          <w:rFonts w:hint="eastAsia" w:ascii="宋体" w:hAnsi="宋体"/>
          <w:color w:val="000000"/>
          <w:sz w:val="24"/>
        </w:rPr>
        <w:t>4、环境空气影响因素分析</w:t>
      </w:r>
    </w:p>
    <w:p w14:paraId="62DB2CFE">
      <w:pPr>
        <w:spacing w:line="360" w:lineRule="auto"/>
        <w:ind w:firstLine="480" w:firstLineChars="200"/>
        <w:rPr>
          <w:rFonts w:hint="eastAsia" w:ascii="宋体" w:hAnsi="宋体"/>
          <w:color w:val="000000"/>
          <w:sz w:val="24"/>
        </w:rPr>
      </w:pPr>
      <w:r>
        <w:rPr>
          <w:rFonts w:hint="eastAsia" w:ascii="宋体" w:hAnsi="宋体"/>
          <w:color w:val="000000"/>
          <w:sz w:val="24"/>
        </w:rPr>
        <w:t>矿井锅炉烟气、复合式干法分选机分选过程及原煤储、装、运过程中产生的粉尘、矿井抽放的瓦斯排放、井下作业也将产生一定量的粉尘，这些大气污染源对环境空气和人体健康产生一定的影响。</w:t>
      </w:r>
    </w:p>
    <w:p w14:paraId="343E4650">
      <w:pPr>
        <w:spacing w:line="360" w:lineRule="auto"/>
        <w:ind w:firstLine="480" w:firstLineChars="200"/>
        <w:rPr>
          <w:rFonts w:hint="eastAsia" w:ascii="宋体" w:hAnsi="宋体"/>
          <w:color w:val="000000"/>
          <w:sz w:val="24"/>
        </w:rPr>
      </w:pPr>
      <w:r>
        <w:rPr>
          <w:rFonts w:hint="eastAsia" w:ascii="宋体" w:hAnsi="宋体"/>
          <w:color w:val="000000"/>
          <w:sz w:val="24"/>
        </w:rPr>
        <w:t>5、声环境影响因素分析</w:t>
      </w:r>
    </w:p>
    <w:p w14:paraId="70C43CD4">
      <w:pPr>
        <w:spacing w:line="360" w:lineRule="auto"/>
        <w:ind w:firstLine="480" w:firstLineChars="200"/>
        <w:rPr>
          <w:rFonts w:hint="eastAsia" w:ascii="宋体" w:hAnsi="宋体"/>
          <w:color w:val="000000"/>
          <w:sz w:val="24"/>
        </w:rPr>
      </w:pPr>
      <w:r>
        <w:rPr>
          <w:rFonts w:hint="eastAsia" w:ascii="宋体" w:hAnsi="宋体"/>
          <w:color w:val="000000"/>
          <w:sz w:val="24"/>
        </w:rPr>
        <w:t>矿井高噪声源主要有：矿井通风机房、瓦斯泵房、绞车房、机修车间、锅炉房、坑木加工房以及井下采掘机械等，它们所产生的噪声声压级一般都大于85</w:t>
      </w:r>
      <w:r>
        <w:rPr>
          <w:rFonts w:ascii="宋体" w:hAnsi="宋体"/>
          <w:color w:val="000000"/>
          <w:sz w:val="24"/>
        </w:rPr>
        <w:t>dB(A)</w:t>
      </w:r>
      <w:r>
        <w:rPr>
          <w:rFonts w:hint="eastAsia" w:ascii="宋体" w:hAnsi="宋体"/>
          <w:color w:val="000000"/>
          <w:sz w:val="24"/>
        </w:rPr>
        <w:t>。矿井生产设备产生的高噪声污染对声环境产生一定的影响。</w:t>
      </w:r>
    </w:p>
    <w:p w14:paraId="2C3CBA84">
      <w:pPr>
        <w:pStyle w:val="3"/>
        <w:keepLines/>
        <w:spacing w:before="240" w:after="240" w:line="360" w:lineRule="auto"/>
        <w:ind w:firstLine="0" w:firstLineChars="0"/>
        <w:jc w:val="center"/>
        <w:rPr>
          <w:rFonts w:hint="eastAsia"/>
          <w:b/>
          <w:color w:val="000000"/>
          <w:sz w:val="32"/>
          <w:szCs w:val="32"/>
        </w:rPr>
      </w:pPr>
      <w:bookmarkStart w:id="846" w:name="_Toc186528716"/>
      <w:bookmarkStart w:id="847" w:name="_Toc260915291"/>
      <w:bookmarkStart w:id="848" w:name="_Toc173869314"/>
      <w:bookmarkStart w:id="849" w:name="_Toc158715716"/>
      <w:bookmarkStart w:id="850" w:name="_Toc92630540"/>
      <w:r>
        <w:rPr>
          <w:rFonts w:hint="eastAsia"/>
          <w:b/>
          <w:color w:val="000000"/>
          <w:sz w:val="32"/>
          <w:szCs w:val="32"/>
        </w:rPr>
        <w:t>第四节　　环境保护与水土保持措施</w:t>
      </w:r>
      <w:bookmarkEnd w:id="846"/>
      <w:bookmarkEnd w:id="847"/>
    </w:p>
    <w:bookmarkEnd w:id="848"/>
    <w:bookmarkEnd w:id="849"/>
    <w:bookmarkEnd w:id="850"/>
    <w:p w14:paraId="693FD89F">
      <w:pPr>
        <w:pStyle w:val="4"/>
        <w:keepLines/>
        <w:adjustRightInd w:val="0"/>
        <w:snapToGrid w:val="0"/>
        <w:spacing w:before="240" w:after="240" w:line="360" w:lineRule="auto"/>
        <w:ind w:firstLine="562" w:firstLineChars="200"/>
        <w:jc w:val="both"/>
        <w:rPr>
          <w:rFonts w:hint="eastAsia"/>
          <w:b/>
          <w:color w:val="000000"/>
          <w:kern w:val="0"/>
          <w:szCs w:val="20"/>
        </w:rPr>
      </w:pPr>
      <w:bookmarkStart w:id="851" w:name="_Toc173869315"/>
      <w:bookmarkStart w:id="852" w:name="_Toc173918990"/>
      <w:r>
        <w:rPr>
          <w:rFonts w:hint="eastAsia"/>
          <w:b/>
          <w:color w:val="000000"/>
          <w:kern w:val="0"/>
          <w:szCs w:val="20"/>
        </w:rPr>
        <w:t>一、施工期间污染治理措施</w:t>
      </w:r>
      <w:bookmarkEnd w:id="851"/>
      <w:bookmarkEnd w:id="852"/>
    </w:p>
    <w:p w14:paraId="3E614790">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1、施工期间生态恢复和水土保持措施</w:t>
      </w:r>
    </w:p>
    <w:p w14:paraId="131385F8">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矿井建设期间，由于掘岩石巷道，将排放一定量的矸石，掘进矸石部分用于工业场地填方，其余定点堆放于矿井排矸场。</w:t>
      </w:r>
    </w:p>
    <w:p w14:paraId="2F0678F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工业场地平场期间，场地开挖后及时做好挡墙和护坡，并植树或种草；平场后应及时修好排水沟和挡墙，对护坡绿化，空地要尽早整治绿化。</w:t>
      </w:r>
    </w:p>
    <w:p w14:paraId="61F2EBEB">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由于本工程施工期间地面土建工程量不大，只要施工期间尽量减少破坏植被，并注意随挖随填，及时填压夯实，使水土流失降低到最小程度，则施工对生态环境的影响较小。</w:t>
      </w:r>
    </w:p>
    <w:p w14:paraId="6E7EA8D6">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2、施工期噪声防治措施</w:t>
      </w:r>
    </w:p>
    <w:p w14:paraId="3A1BDBE4">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应尽量安排好工业场地、风井场地等的施工作业时间，避免夜间施工，减少施工噪声对周围居民生活的影响。</w:t>
      </w:r>
    </w:p>
    <w:p w14:paraId="74337685">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3、施工期间环境空气治理措施</w:t>
      </w:r>
    </w:p>
    <w:p w14:paraId="37E5A195">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施工期间施工材料和设备在装、运、卸过程中产生的粉尘主要采取洒水防尘和加盖篷布等措施，施工人员炊事燃煤尽量燃用低硫煤。</w:t>
      </w:r>
    </w:p>
    <w:p w14:paraId="5138007F">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4、施工期间废水及垃圾污染治理措施</w:t>
      </w:r>
    </w:p>
    <w:p w14:paraId="2184F781">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施工期间场地采用旱厕所，旱厕所粪便送往附近农田旱地作肥料使用，少量生活垃圾定点处理。施工期间施工废水和井巷掘进过程排放的井下水采用沉淀处理后用于拌砂浆和施工场地防尘洒水，其余排放。</w:t>
      </w:r>
    </w:p>
    <w:p w14:paraId="6B9FBE8D">
      <w:pPr>
        <w:pStyle w:val="4"/>
        <w:keepLines/>
        <w:adjustRightInd w:val="0"/>
        <w:snapToGrid w:val="0"/>
        <w:spacing w:before="240" w:after="240" w:line="360" w:lineRule="auto"/>
        <w:ind w:firstLine="562" w:firstLineChars="200"/>
        <w:jc w:val="both"/>
        <w:rPr>
          <w:rFonts w:hint="eastAsia"/>
          <w:b/>
          <w:color w:val="000000"/>
          <w:kern w:val="0"/>
          <w:szCs w:val="20"/>
        </w:rPr>
      </w:pPr>
      <w:bookmarkStart w:id="853" w:name="_Toc173918991"/>
      <w:bookmarkStart w:id="854" w:name="_Toc173869316"/>
      <w:r>
        <w:rPr>
          <w:rFonts w:hint="eastAsia"/>
          <w:b/>
          <w:color w:val="000000"/>
          <w:kern w:val="0"/>
          <w:szCs w:val="20"/>
        </w:rPr>
        <w:t>二、营运期污染防治措施</w:t>
      </w:r>
      <w:bookmarkEnd w:id="853"/>
      <w:bookmarkEnd w:id="854"/>
    </w:p>
    <w:p w14:paraId="736FE389">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1、水污染防治措施</w:t>
      </w:r>
    </w:p>
    <w:p w14:paraId="0DFA183A">
      <w:pPr>
        <w:spacing w:line="360" w:lineRule="auto"/>
        <w:ind w:firstLine="480" w:firstLineChars="200"/>
        <w:rPr>
          <w:rFonts w:hint="eastAsia" w:ascii="宋体" w:hAnsi="宋体"/>
          <w:sz w:val="24"/>
        </w:rPr>
      </w:pPr>
      <w:r>
        <w:rPr>
          <w:rFonts w:hint="eastAsia" w:ascii="宋体" w:hAnsi="宋体"/>
          <w:sz w:val="24"/>
        </w:rPr>
        <w:t>（1）矿井井下排水</w:t>
      </w:r>
    </w:p>
    <w:p w14:paraId="5223F3F2">
      <w:pPr>
        <w:spacing w:line="360" w:lineRule="auto"/>
        <w:ind w:firstLine="480" w:firstLineChars="200"/>
        <w:rPr>
          <w:rFonts w:hint="eastAsia" w:ascii="宋体" w:hAnsi="宋体"/>
          <w:sz w:val="24"/>
        </w:rPr>
      </w:pPr>
      <w:r>
        <w:rPr>
          <w:rFonts w:hint="eastAsia" w:ascii="宋体" w:hAnsi="宋体"/>
          <w:sz w:val="24"/>
        </w:rPr>
        <w:t>矿井井下正常涌水量为56.5m</w:t>
      </w:r>
      <w:r>
        <w:rPr>
          <w:rFonts w:hint="eastAsia" w:ascii="宋体" w:hAnsi="宋体"/>
          <w:sz w:val="24"/>
          <w:vertAlign w:val="superscript"/>
        </w:rPr>
        <w:t>3</w:t>
      </w:r>
      <w:r>
        <w:rPr>
          <w:rFonts w:hint="eastAsia" w:ascii="宋体" w:hAnsi="宋体"/>
          <w:sz w:val="24"/>
        </w:rPr>
        <w:t>/h。根据类比资料矿井水中主要污染物为悬浮物，设计拟采用混凝沉淀的处理工艺，对矿井水进行处理，处理后的矿井水可达到《煤炭工业污染物排放标准》（GB20426-2006）的要求，部分矿井水经消毒后用于矿井瓦斯抽放站及井下的防尘洒水，剩余部分外排。矿井水处理站的规模为60m</w:t>
      </w:r>
      <w:r>
        <w:rPr>
          <w:rFonts w:hint="eastAsia" w:ascii="宋体" w:hAnsi="宋体"/>
          <w:sz w:val="24"/>
          <w:vertAlign w:val="superscript"/>
        </w:rPr>
        <w:t>3</w:t>
      </w:r>
      <w:r>
        <w:rPr>
          <w:rFonts w:hint="eastAsia" w:ascii="宋体" w:hAnsi="宋体"/>
          <w:sz w:val="24"/>
        </w:rPr>
        <w:t>/h。矿井水处理工艺流程见</w:t>
      </w:r>
      <w:r>
        <w:rPr>
          <w:rFonts w:hint="eastAsia" w:ascii="宋体" w:hAnsi="宋体"/>
          <w:b/>
          <w:sz w:val="24"/>
        </w:rPr>
        <w:t>图8－4－1</w:t>
      </w:r>
      <w:r>
        <w:rPr>
          <w:rFonts w:hint="eastAsia" w:ascii="宋体" w:hAnsi="宋体"/>
          <w:sz w:val="24"/>
        </w:rPr>
        <w:t>。</w:t>
      </w:r>
    </w:p>
    <w:p w14:paraId="37FB0F48">
      <w:pPr>
        <w:spacing w:line="360" w:lineRule="auto"/>
        <w:ind w:firstLine="480" w:firstLineChars="200"/>
        <w:rPr>
          <w:rFonts w:hint="eastAsia" w:ascii="宋体" w:hAnsi="宋体"/>
          <w:sz w:val="24"/>
        </w:rPr>
      </w:pPr>
      <w:r>
        <w:rPr>
          <w:rFonts w:hint="eastAsia" w:ascii="宋体" w:hAnsi="宋体"/>
          <w:sz w:val="24"/>
        </w:rPr>
        <w:t>（2）场地生产、生活污废水</w:t>
      </w:r>
    </w:p>
    <w:p w14:paraId="2AB9C177">
      <w:pPr>
        <w:adjustRightInd w:val="0"/>
        <w:snapToGrid w:val="0"/>
        <w:spacing w:line="360" w:lineRule="auto"/>
        <w:ind w:firstLine="480" w:firstLineChars="200"/>
        <w:rPr>
          <w:rFonts w:hint="eastAsia" w:ascii="宋体" w:hAnsi="宋体"/>
          <w:color w:val="000000"/>
          <w:sz w:val="24"/>
        </w:rPr>
      </w:pPr>
      <w:r>
        <w:rPr>
          <w:rFonts w:hint="eastAsia" w:ascii="宋体" w:hAnsi="宋体"/>
          <w:sz w:val="24"/>
        </w:rPr>
        <w:t>矿井工业场地生产、生活污废水按用水量的85％计，预计其排放量约为120m</w:t>
      </w:r>
      <w:r>
        <w:rPr>
          <w:rFonts w:hint="eastAsia" w:ascii="宋体" w:hAnsi="宋体"/>
          <w:sz w:val="24"/>
          <w:vertAlign w:val="superscript"/>
        </w:rPr>
        <w:t>3</w:t>
      </w:r>
      <w:r>
        <w:rPr>
          <w:rFonts w:hint="eastAsia" w:ascii="宋体" w:hAnsi="宋体"/>
          <w:sz w:val="24"/>
        </w:rPr>
        <w:t>/d。工业场地生产、生活污废水主要由灯房浴室废水、机修车间废水、食堂废水、办公楼和单身楼生活污水等构成，其主要污染物是悬浮物和有机物。污废水中食堂和机修车间废水采用隔油池预处理，办公楼及单身楼生活污水采用化粪池预处理，以上污废水预处理后与浴室废水一起进入SWJ－5t/h型生活污水处理综合装置进行二级生化处理，处理后的污废水可达到《污水综合排放标准》（GB8978—1996）的要求。生活污水处理站规模为5m</w:t>
      </w:r>
      <w:r>
        <w:rPr>
          <w:rFonts w:hint="eastAsia" w:ascii="宋体" w:hAnsi="宋体"/>
          <w:sz w:val="24"/>
          <w:vertAlign w:val="superscript"/>
        </w:rPr>
        <w:t>3</w:t>
      </w:r>
      <w:r>
        <w:rPr>
          <w:rFonts w:hint="eastAsia" w:ascii="宋体" w:hAnsi="宋体"/>
          <w:sz w:val="24"/>
        </w:rPr>
        <w:t>/h。生产、生活污废水处理工艺流程见</w:t>
      </w:r>
      <w:r>
        <w:rPr>
          <w:rFonts w:hint="eastAsia" w:ascii="宋体" w:hAnsi="宋体"/>
          <w:b/>
          <w:sz w:val="24"/>
        </w:rPr>
        <w:t>图8－4－2</w:t>
      </w:r>
      <w:r>
        <w:rPr>
          <w:rFonts w:hint="eastAsia" w:ascii="宋体" w:hAnsi="宋体"/>
          <w:sz w:val="24"/>
        </w:rPr>
        <w:t>。</w:t>
      </w:r>
    </w:p>
    <w:p w14:paraId="7837D01F">
      <w:pPr>
        <w:adjustRightInd w:val="0"/>
        <w:snapToGrid w:val="0"/>
        <w:spacing w:line="360" w:lineRule="auto"/>
        <w:jc w:val="center"/>
        <w:rPr>
          <w:rFonts w:hint="eastAsia" w:ascii="宋体" w:hAnsi="宋体"/>
          <w:color w:val="000000"/>
          <w:sz w:val="24"/>
        </w:rPr>
      </w:pPr>
      <w:r>
        <w:rPr>
          <w:rFonts w:hint="eastAsia" w:ascii="宋体" w:hAnsi="宋体"/>
          <w:color w:val="000000"/>
          <w:sz w:val="24"/>
        </w:rPr>
        <w:drawing>
          <wp:inline distT="0" distB="0" distL="114300" distR="114300">
            <wp:extent cx="5408930" cy="2479040"/>
            <wp:effectExtent l="0" t="0" r="1270" b="16510"/>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pic:cNvPicPr>
                  </pic:nvPicPr>
                  <pic:blipFill>
                    <a:blip r:embed="rId240"/>
                    <a:srcRect l="-647" t="2193" b="3725"/>
                    <a:stretch>
                      <a:fillRect/>
                    </a:stretch>
                  </pic:blipFill>
                  <pic:spPr>
                    <a:xfrm>
                      <a:off x="0" y="0"/>
                      <a:ext cx="5408930" cy="2479040"/>
                    </a:xfrm>
                    <a:prstGeom prst="rect">
                      <a:avLst/>
                    </a:prstGeom>
                    <a:noFill/>
                    <a:ln>
                      <a:noFill/>
                    </a:ln>
                  </pic:spPr>
                </pic:pic>
              </a:graphicData>
            </a:graphic>
          </wp:inline>
        </w:drawing>
      </w:r>
    </w:p>
    <w:p w14:paraId="3D218A60">
      <w:pPr>
        <w:spacing w:line="360" w:lineRule="auto"/>
        <w:jc w:val="center"/>
        <w:rPr>
          <w:rFonts w:hint="eastAsia" w:ascii="宋体" w:hAnsi="宋体"/>
          <w:b/>
          <w:color w:val="000000"/>
          <w:sz w:val="24"/>
        </w:rPr>
      </w:pPr>
      <w:r>
        <w:rPr>
          <w:rFonts w:hint="eastAsia" w:ascii="宋体" w:hAnsi="宋体"/>
          <w:b/>
          <w:color w:val="000000"/>
          <w:sz w:val="24"/>
        </w:rPr>
        <w:t>图8－4－1　　井下水处理工艺流程图</w:t>
      </w:r>
    </w:p>
    <w:p w14:paraId="77321C7C">
      <w:pPr>
        <w:spacing w:line="360" w:lineRule="auto"/>
        <w:jc w:val="center"/>
        <w:rPr>
          <w:rFonts w:hint="eastAsia" w:ascii="宋体" w:hAnsi="宋体"/>
          <w:b/>
          <w:color w:val="000000"/>
          <w:sz w:val="24"/>
        </w:rPr>
      </w:pPr>
      <w:r>
        <w:rPr>
          <w:rFonts w:hint="eastAsia" w:ascii="宋体" w:hAnsi="宋体"/>
          <w:b/>
          <w:color w:val="000000"/>
          <w:sz w:val="24"/>
        </w:rPr>
        <w:drawing>
          <wp:inline distT="0" distB="0" distL="114300" distR="114300">
            <wp:extent cx="5382260" cy="2065020"/>
            <wp:effectExtent l="0" t="0" r="8890" b="11430"/>
            <wp:docPr id="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pic:cNvPicPr>
                      <a:picLocks noChangeAspect="1"/>
                    </pic:cNvPicPr>
                  </pic:nvPicPr>
                  <pic:blipFill>
                    <a:blip r:embed="rId241"/>
                    <a:srcRect t="-1370" b="420"/>
                    <a:stretch>
                      <a:fillRect/>
                    </a:stretch>
                  </pic:blipFill>
                  <pic:spPr>
                    <a:xfrm>
                      <a:off x="0" y="0"/>
                      <a:ext cx="5382260" cy="2065020"/>
                    </a:xfrm>
                    <a:prstGeom prst="rect">
                      <a:avLst/>
                    </a:prstGeom>
                    <a:noFill/>
                    <a:ln>
                      <a:noFill/>
                    </a:ln>
                  </pic:spPr>
                </pic:pic>
              </a:graphicData>
            </a:graphic>
          </wp:inline>
        </w:drawing>
      </w:r>
    </w:p>
    <w:p w14:paraId="3F670B56">
      <w:pPr>
        <w:spacing w:line="360" w:lineRule="auto"/>
        <w:ind w:right="2160"/>
        <w:jc w:val="right"/>
        <w:rPr>
          <w:rFonts w:hint="eastAsia" w:ascii="宋体" w:hAnsi="宋体"/>
          <w:b/>
          <w:color w:val="000000"/>
          <w:sz w:val="24"/>
        </w:rPr>
      </w:pPr>
      <w:r>
        <w:rPr>
          <w:rFonts w:hint="eastAsia" w:ascii="宋体" w:hAnsi="宋体"/>
          <w:b/>
          <w:color w:val="000000"/>
          <w:sz w:val="24"/>
        </w:rPr>
        <w:t>图8－4－2　　生活污水处理工艺流程图</w:t>
      </w:r>
    </w:p>
    <w:p w14:paraId="3A63F192">
      <w:pPr>
        <w:spacing w:line="360" w:lineRule="auto"/>
        <w:ind w:firstLine="480" w:firstLineChars="200"/>
        <w:rPr>
          <w:rFonts w:hint="eastAsia" w:ascii="宋体" w:hAnsi="宋体"/>
          <w:color w:val="000000"/>
          <w:sz w:val="24"/>
        </w:rPr>
      </w:pPr>
      <w:r>
        <w:rPr>
          <w:rFonts w:hint="eastAsia" w:ascii="宋体" w:hAnsi="宋体"/>
          <w:color w:val="000000"/>
          <w:sz w:val="24"/>
        </w:rPr>
        <w:t>矿井污废水处理达标后，经场地排水沟排至附近的季节性干沟。污废水及其污染物产生量、削减量及排放量详见</w:t>
      </w:r>
      <w:r>
        <w:rPr>
          <w:rFonts w:hint="eastAsia" w:ascii="宋体" w:hAnsi="宋体"/>
          <w:b/>
          <w:color w:val="000000"/>
          <w:sz w:val="24"/>
        </w:rPr>
        <w:t>表8－4－1</w:t>
      </w:r>
      <w:r>
        <w:rPr>
          <w:rFonts w:hint="eastAsia" w:ascii="宋体" w:hAnsi="宋体"/>
          <w:color w:val="000000"/>
          <w:sz w:val="24"/>
        </w:rPr>
        <w:t>和</w:t>
      </w:r>
      <w:r>
        <w:rPr>
          <w:rFonts w:hint="eastAsia" w:ascii="宋体" w:hAnsi="宋体"/>
          <w:b/>
          <w:color w:val="000000"/>
          <w:sz w:val="24"/>
        </w:rPr>
        <w:t>表8－4－2</w:t>
      </w:r>
      <w:r>
        <w:rPr>
          <w:rFonts w:hint="eastAsia" w:ascii="宋体" w:hAnsi="宋体"/>
          <w:color w:val="000000"/>
          <w:sz w:val="24"/>
        </w:rPr>
        <w:t>。</w:t>
      </w:r>
    </w:p>
    <w:p w14:paraId="0F5A91CC">
      <w:pPr>
        <w:spacing w:line="360" w:lineRule="auto"/>
        <w:jc w:val="center"/>
        <w:rPr>
          <w:rFonts w:hint="eastAsia" w:ascii="宋体" w:hAnsi="宋体"/>
          <w:b/>
          <w:color w:val="000000"/>
          <w:sz w:val="24"/>
        </w:rPr>
      </w:pPr>
      <w:r>
        <w:rPr>
          <w:rFonts w:hint="eastAsia" w:ascii="宋体" w:hAnsi="宋体"/>
          <w:b/>
          <w:color w:val="000000"/>
          <w:sz w:val="24"/>
        </w:rPr>
        <w:t>表8－4－1  　  污废水产生量、削减量及排放量估算表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00"/>
        <w:gridCol w:w="1901"/>
        <w:gridCol w:w="1816"/>
        <w:gridCol w:w="2124"/>
      </w:tblGrid>
      <w:tr w14:paraId="33B42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3200" w:type="dxa"/>
            <w:noWrap w:val="0"/>
            <w:vAlign w:val="center"/>
          </w:tcPr>
          <w:p w14:paraId="2FD97F0B">
            <w:pPr>
              <w:jc w:val="center"/>
              <w:rPr>
                <w:rFonts w:hint="eastAsia" w:ascii="宋体" w:hAnsi="宋体"/>
                <w:sz w:val="24"/>
              </w:rPr>
            </w:pPr>
            <w:r>
              <w:rPr>
                <w:rFonts w:hint="eastAsia" w:ascii="宋体" w:hAnsi="宋体"/>
                <w:sz w:val="24"/>
              </w:rPr>
              <w:t>污    染    源</w:t>
            </w:r>
          </w:p>
        </w:tc>
        <w:tc>
          <w:tcPr>
            <w:tcW w:w="1901" w:type="dxa"/>
            <w:noWrap w:val="0"/>
            <w:vAlign w:val="center"/>
          </w:tcPr>
          <w:p w14:paraId="08A5A9F0">
            <w:pPr>
              <w:jc w:val="center"/>
              <w:rPr>
                <w:rFonts w:ascii="宋体" w:hAnsi="宋体"/>
                <w:sz w:val="24"/>
              </w:rPr>
            </w:pPr>
            <w:r>
              <w:rPr>
                <w:rFonts w:hint="eastAsia" w:ascii="宋体" w:hAnsi="宋体"/>
                <w:sz w:val="24"/>
              </w:rPr>
              <w:t>产生量（</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p>
        </w:tc>
        <w:tc>
          <w:tcPr>
            <w:tcW w:w="1816" w:type="dxa"/>
            <w:noWrap w:val="0"/>
            <w:vAlign w:val="center"/>
          </w:tcPr>
          <w:p w14:paraId="61CC665B">
            <w:pPr>
              <w:jc w:val="center"/>
              <w:rPr>
                <w:rFonts w:ascii="宋体" w:hAnsi="宋体"/>
                <w:sz w:val="24"/>
              </w:rPr>
            </w:pPr>
            <w:r>
              <w:rPr>
                <w:rFonts w:hint="eastAsia" w:ascii="宋体" w:hAnsi="宋体"/>
                <w:sz w:val="24"/>
              </w:rPr>
              <w:t>削减量（</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p>
        </w:tc>
        <w:tc>
          <w:tcPr>
            <w:tcW w:w="2124" w:type="dxa"/>
            <w:noWrap w:val="0"/>
            <w:vAlign w:val="center"/>
          </w:tcPr>
          <w:p w14:paraId="7DB2A771">
            <w:pPr>
              <w:jc w:val="center"/>
              <w:rPr>
                <w:rFonts w:ascii="宋体" w:hAnsi="宋体"/>
                <w:sz w:val="24"/>
              </w:rPr>
            </w:pPr>
            <w:r>
              <w:rPr>
                <w:rFonts w:hint="eastAsia" w:ascii="宋体" w:hAnsi="宋体"/>
                <w:sz w:val="24"/>
              </w:rPr>
              <w:t>排放量（</w:t>
            </w:r>
            <w:r>
              <w:rPr>
                <w:rFonts w:ascii="宋体" w:hAnsi="宋体"/>
                <w:sz w:val="24"/>
              </w:rPr>
              <w:t>m</w:t>
            </w:r>
            <w:r>
              <w:rPr>
                <w:rFonts w:ascii="宋体" w:hAnsi="宋体"/>
                <w:sz w:val="24"/>
                <w:vertAlign w:val="superscript"/>
              </w:rPr>
              <w:t>3</w:t>
            </w:r>
            <w:r>
              <w:rPr>
                <w:rFonts w:ascii="宋体" w:hAnsi="宋体"/>
                <w:sz w:val="24"/>
              </w:rPr>
              <w:t>/d</w:t>
            </w:r>
            <w:r>
              <w:rPr>
                <w:rFonts w:hint="eastAsia" w:ascii="宋体" w:hAnsi="宋体"/>
                <w:sz w:val="24"/>
              </w:rPr>
              <w:t>）</w:t>
            </w:r>
          </w:p>
        </w:tc>
      </w:tr>
      <w:tr w14:paraId="0BB2E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3200" w:type="dxa"/>
            <w:noWrap w:val="0"/>
            <w:vAlign w:val="center"/>
          </w:tcPr>
          <w:p w14:paraId="3A6641B7">
            <w:pPr>
              <w:jc w:val="center"/>
              <w:rPr>
                <w:rFonts w:hint="eastAsia" w:ascii="宋体" w:hAnsi="宋体"/>
                <w:sz w:val="24"/>
              </w:rPr>
            </w:pPr>
            <w:r>
              <w:rPr>
                <w:rFonts w:hint="eastAsia" w:ascii="宋体" w:hAnsi="宋体"/>
                <w:sz w:val="24"/>
              </w:rPr>
              <w:t>矿井井下排水</w:t>
            </w:r>
          </w:p>
        </w:tc>
        <w:tc>
          <w:tcPr>
            <w:tcW w:w="1901" w:type="dxa"/>
            <w:noWrap w:val="0"/>
            <w:vAlign w:val="center"/>
          </w:tcPr>
          <w:p w14:paraId="50F3E0FC">
            <w:pPr>
              <w:jc w:val="center"/>
              <w:rPr>
                <w:rFonts w:hint="eastAsia" w:ascii="宋体" w:hAnsi="宋体"/>
                <w:sz w:val="24"/>
              </w:rPr>
            </w:pPr>
            <w:r>
              <w:rPr>
                <w:rFonts w:hint="eastAsia" w:ascii="宋体" w:hAnsi="宋体"/>
                <w:sz w:val="24"/>
              </w:rPr>
              <w:t>960</w:t>
            </w:r>
          </w:p>
        </w:tc>
        <w:tc>
          <w:tcPr>
            <w:tcW w:w="1816" w:type="dxa"/>
            <w:noWrap w:val="0"/>
            <w:vAlign w:val="center"/>
          </w:tcPr>
          <w:p w14:paraId="79B43680">
            <w:pPr>
              <w:pStyle w:val="45"/>
              <w:rPr>
                <w:rFonts w:hint="eastAsia" w:ascii="宋体" w:hAnsi="宋体"/>
                <w:szCs w:val="24"/>
              </w:rPr>
            </w:pPr>
            <w:r>
              <w:rPr>
                <w:rFonts w:hint="eastAsia" w:ascii="宋体" w:hAnsi="宋体"/>
                <w:szCs w:val="24"/>
              </w:rPr>
              <w:t>350</w:t>
            </w:r>
          </w:p>
        </w:tc>
        <w:tc>
          <w:tcPr>
            <w:tcW w:w="2124" w:type="dxa"/>
            <w:noWrap w:val="0"/>
            <w:vAlign w:val="center"/>
          </w:tcPr>
          <w:p w14:paraId="605593A0">
            <w:pPr>
              <w:jc w:val="center"/>
              <w:rPr>
                <w:rFonts w:hint="eastAsia" w:ascii="宋体" w:hAnsi="宋体"/>
                <w:sz w:val="24"/>
              </w:rPr>
            </w:pPr>
            <w:r>
              <w:rPr>
                <w:rFonts w:hint="eastAsia" w:ascii="宋体" w:hAnsi="宋体"/>
                <w:sz w:val="24"/>
              </w:rPr>
              <w:t>610</w:t>
            </w:r>
          </w:p>
        </w:tc>
      </w:tr>
      <w:tr w14:paraId="6CC95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3200" w:type="dxa"/>
            <w:noWrap w:val="0"/>
            <w:vAlign w:val="center"/>
          </w:tcPr>
          <w:p w14:paraId="736A65D5">
            <w:pPr>
              <w:jc w:val="center"/>
              <w:rPr>
                <w:rFonts w:hint="eastAsia" w:ascii="宋体" w:hAnsi="宋体"/>
                <w:sz w:val="24"/>
              </w:rPr>
            </w:pPr>
            <w:r>
              <w:rPr>
                <w:rFonts w:hint="eastAsia" w:ascii="宋体" w:hAnsi="宋体"/>
                <w:sz w:val="24"/>
              </w:rPr>
              <w:t>工业场地生产生活污废水</w:t>
            </w:r>
          </w:p>
        </w:tc>
        <w:tc>
          <w:tcPr>
            <w:tcW w:w="1901" w:type="dxa"/>
            <w:noWrap w:val="0"/>
            <w:vAlign w:val="center"/>
          </w:tcPr>
          <w:p w14:paraId="5E37DAC7">
            <w:pPr>
              <w:jc w:val="center"/>
              <w:rPr>
                <w:rFonts w:hint="eastAsia" w:ascii="宋体" w:hAnsi="宋体"/>
                <w:sz w:val="24"/>
              </w:rPr>
            </w:pPr>
            <w:r>
              <w:rPr>
                <w:rFonts w:hint="eastAsia" w:ascii="宋体" w:hAnsi="宋体"/>
                <w:sz w:val="24"/>
              </w:rPr>
              <w:t>120</w:t>
            </w:r>
          </w:p>
        </w:tc>
        <w:tc>
          <w:tcPr>
            <w:tcW w:w="1816" w:type="dxa"/>
            <w:noWrap w:val="0"/>
            <w:vAlign w:val="center"/>
          </w:tcPr>
          <w:p w14:paraId="7DE38E8D">
            <w:pPr>
              <w:jc w:val="center"/>
              <w:rPr>
                <w:rFonts w:hint="eastAsia" w:ascii="宋体" w:hAnsi="宋体"/>
                <w:sz w:val="24"/>
              </w:rPr>
            </w:pPr>
            <w:r>
              <w:rPr>
                <w:rFonts w:hint="eastAsia" w:ascii="宋体" w:hAnsi="宋体"/>
                <w:sz w:val="24"/>
              </w:rPr>
              <w:t>0</w:t>
            </w:r>
          </w:p>
        </w:tc>
        <w:tc>
          <w:tcPr>
            <w:tcW w:w="2124" w:type="dxa"/>
            <w:noWrap w:val="0"/>
            <w:vAlign w:val="center"/>
          </w:tcPr>
          <w:p w14:paraId="39256579">
            <w:pPr>
              <w:pStyle w:val="45"/>
              <w:rPr>
                <w:rFonts w:hint="eastAsia" w:ascii="宋体" w:hAnsi="宋体"/>
                <w:szCs w:val="24"/>
              </w:rPr>
            </w:pPr>
            <w:r>
              <w:rPr>
                <w:rFonts w:hint="eastAsia" w:ascii="宋体" w:hAnsi="宋体"/>
                <w:szCs w:val="24"/>
              </w:rPr>
              <w:t>120</w:t>
            </w:r>
          </w:p>
        </w:tc>
      </w:tr>
      <w:tr w14:paraId="130399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3200" w:type="dxa"/>
            <w:noWrap w:val="0"/>
            <w:vAlign w:val="center"/>
          </w:tcPr>
          <w:p w14:paraId="345C7500">
            <w:pPr>
              <w:jc w:val="center"/>
              <w:rPr>
                <w:rFonts w:hint="eastAsia" w:ascii="宋体" w:hAnsi="宋体"/>
                <w:sz w:val="24"/>
              </w:rPr>
            </w:pPr>
            <w:r>
              <w:rPr>
                <w:rFonts w:hint="eastAsia" w:ascii="宋体" w:hAnsi="宋体"/>
                <w:sz w:val="24"/>
              </w:rPr>
              <w:t>合        计</w:t>
            </w:r>
          </w:p>
        </w:tc>
        <w:tc>
          <w:tcPr>
            <w:tcW w:w="1901" w:type="dxa"/>
            <w:noWrap w:val="0"/>
            <w:vAlign w:val="center"/>
          </w:tcPr>
          <w:p w14:paraId="1BABC31A">
            <w:pPr>
              <w:jc w:val="center"/>
              <w:rPr>
                <w:rFonts w:hint="eastAsia" w:ascii="宋体" w:hAnsi="宋体"/>
                <w:sz w:val="24"/>
              </w:rPr>
            </w:pPr>
            <w:r>
              <w:rPr>
                <w:rFonts w:hint="eastAsia" w:ascii="宋体" w:hAnsi="宋体"/>
                <w:sz w:val="24"/>
              </w:rPr>
              <w:t>1080</w:t>
            </w:r>
          </w:p>
        </w:tc>
        <w:tc>
          <w:tcPr>
            <w:tcW w:w="1816" w:type="dxa"/>
            <w:noWrap w:val="0"/>
            <w:vAlign w:val="center"/>
          </w:tcPr>
          <w:p w14:paraId="0B1D9695">
            <w:pPr>
              <w:jc w:val="center"/>
              <w:rPr>
                <w:rFonts w:hint="eastAsia" w:ascii="宋体" w:hAnsi="宋体"/>
                <w:sz w:val="24"/>
              </w:rPr>
            </w:pPr>
            <w:r>
              <w:rPr>
                <w:rFonts w:hint="eastAsia" w:ascii="宋体" w:hAnsi="宋体"/>
                <w:sz w:val="24"/>
              </w:rPr>
              <w:t>350</w:t>
            </w:r>
          </w:p>
        </w:tc>
        <w:tc>
          <w:tcPr>
            <w:tcW w:w="2124" w:type="dxa"/>
            <w:noWrap w:val="0"/>
            <w:vAlign w:val="center"/>
          </w:tcPr>
          <w:p w14:paraId="42B04FE2">
            <w:pPr>
              <w:jc w:val="center"/>
              <w:rPr>
                <w:rFonts w:hint="eastAsia" w:ascii="宋体" w:hAnsi="宋体"/>
                <w:sz w:val="24"/>
              </w:rPr>
            </w:pPr>
            <w:r>
              <w:rPr>
                <w:rFonts w:hint="eastAsia" w:ascii="宋体" w:hAnsi="宋体"/>
                <w:sz w:val="24"/>
              </w:rPr>
              <w:t>730</w:t>
            </w:r>
          </w:p>
        </w:tc>
      </w:tr>
    </w:tbl>
    <w:p w14:paraId="4C373F70">
      <w:pPr>
        <w:spacing w:line="360" w:lineRule="auto"/>
        <w:jc w:val="center"/>
        <w:rPr>
          <w:rFonts w:hint="eastAsia" w:ascii="宋体" w:hAnsi="宋体"/>
          <w:b/>
          <w:color w:val="000000"/>
          <w:sz w:val="24"/>
        </w:rPr>
      </w:pPr>
      <w:r>
        <w:rPr>
          <w:rFonts w:hint="eastAsia" w:ascii="宋体" w:hAnsi="宋体"/>
          <w:b/>
          <w:color w:val="000000"/>
          <w:sz w:val="24"/>
        </w:rPr>
        <w:t>表8－4－2     水污染物产生量、削减量及排放量表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1"/>
        <w:gridCol w:w="630"/>
        <w:gridCol w:w="1063"/>
        <w:gridCol w:w="1142"/>
        <w:gridCol w:w="1171"/>
        <w:gridCol w:w="1422"/>
        <w:gridCol w:w="1305"/>
        <w:gridCol w:w="1255"/>
      </w:tblGrid>
      <w:tr w14:paraId="5009A3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1661" w:type="dxa"/>
            <w:gridSpan w:val="2"/>
            <w:noWrap w:val="0"/>
            <w:vAlign w:val="top"/>
          </w:tcPr>
          <w:p w14:paraId="19D5A5EF">
            <w:pPr>
              <w:jc w:val="center"/>
              <w:rPr>
                <w:rFonts w:hint="eastAsia" w:ascii="宋体" w:hAnsi="宋体"/>
                <w:color w:val="000000"/>
              </w:rPr>
            </w:pPr>
            <w:r>
              <w:rPr>
                <w:rFonts w:hint="eastAsia" w:ascii="宋体" w:hAnsi="宋体"/>
                <w:color w:val="000000"/>
              </w:rPr>
              <w:t>污染源及主要污染物</w:t>
            </w:r>
          </w:p>
        </w:tc>
        <w:tc>
          <w:tcPr>
            <w:tcW w:w="1063" w:type="dxa"/>
            <w:noWrap w:val="0"/>
            <w:vAlign w:val="top"/>
          </w:tcPr>
          <w:p w14:paraId="351E09AE">
            <w:pPr>
              <w:jc w:val="center"/>
              <w:rPr>
                <w:rFonts w:hint="eastAsia" w:ascii="宋体" w:hAnsi="宋体"/>
                <w:color w:val="000000"/>
              </w:rPr>
            </w:pPr>
            <w:r>
              <w:rPr>
                <w:rFonts w:hint="eastAsia" w:ascii="宋体" w:hAnsi="宋体"/>
                <w:color w:val="000000"/>
              </w:rPr>
              <w:t>产生量</w:t>
            </w:r>
          </w:p>
          <w:p w14:paraId="02056AE2">
            <w:pPr>
              <w:jc w:val="center"/>
              <w:rPr>
                <w:rFonts w:hint="eastAsia" w:ascii="宋体" w:hAnsi="宋体"/>
                <w:color w:val="000000"/>
              </w:rPr>
            </w:pPr>
            <w:r>
              <w:rPr>
                <w:rFonts w:hint="eastAsia" w:ascii="宋体" w:hAnsi="宋体"/>
                <w:color w:val="000000"/>
              </w:rPr>
              <w:t>（</w:t>
            </w:r>
            <w:r>
              <w:rPr>
                <w:rFonts w:ascii="宋体" w:hAnsi="宋体"/>
                <w:color w:val="000000"/>
              </w:rPr>
              <w:t>t/a</w:t>
            </w:r>
            <w:r>
              <w:rPr>
                <w:rFonts w:hint="eastAsia" w:ascii="宋体" w:hAnsi="宋体"/>
                <w:color w:val="000000"/>
              </w:rPr>
              <w:t>）</w:t>
            </w:r>
          </w:p>
        </w:tc>
        <w:tc>
          <w:tcPr>
            <w:tcW w:w="1142" w:type="dxa"/>
            <w:noWrap w:val="0"/>
            <w:vAlign w:val="top"/>
          </w:tcPr>
          <w:p w14:paraId="68FD7AA1">
            <w:pPr>
              <w:jc w:val="center"/>
              <w:rPr>
                <w:rFonts w:hint="eastAsia" w:ascii="宋体" w:hAnsi="宋体"/>
                <w:color w:val="000000"/>
              </w:rPr>
            </w:pPr>
            <w:r>
              <w:rPr>
                <w:rFonts w:hint="eastAsia" w:ascii="宋体" w:hAnsi="宋体"/>
                <w:color w:val="000000"/>
              </w:rPr>
              <w:t>产生浓度</w:t>
            </w:r>
          </w:p>
          <w:p w14:paraId="2F338F1F">
            <w:pPr>
              <w:jc w:val="center"/>
              <w:rPr>
                <w:rFonts w:hint="eastAsia" w:ascii="宋体" w:hAnsi="宋体"/>
                <w:color w:val="000000"/>
              </w:rPr>
            </w:pPr>
            <w:r>
              <w:rPr>
                <w:rFonts w:hint="eastAsia" w:ascii="宋体" w:hAnsi="宋体"/>
                <w:color w:val="000000"/>
              </w:rPr>
              <w:t>（</w:t>
            </w:r>
            <w:r>
              <w:rPr>
                <w:rFonts w:ascii="宋体" w:hAnsi="宋体"/>
                <w:color w:val="000000"/>
              </w:rPr>
              <w:t>mg/</w:t>
            </w:r>
            <w:r>
              <w:rPr>
                <w:rFonts w:hint="eastAsia" w:ascii="宋体" w:hAnsi="宋体"/>
                <w:color w:val="000000"/>
              </w:rPr>
              <w:t>L）</w:t>
            </w:r>
          </w:p>
        </w:tc>
        <w:tc>
          <w:tcPr>
            <w:tcW w:w="1171" w:type="dxa"/>
            <w:noWrap w:val="0"/>
            <w:vAlign w:val="top"/>
          </w:tcPr>
          <w:p w14:paraId="2EF18C74">
            <w:pPr>
              <w:jc w:val="center"/>
              <w:rPr>
                <w:rFonts w:hint="eastAsia" w:ascii="宋体" w:hAnsi="宋体"/>
                <w:color w:val="000000"/>
              </w:rPr>
            </w:pPr>
            <w:r>
              <w:rPr>
                <w:rFonts w:hint="eastAsia" w:ascii="宋体" w:hAnsi="宋体"/>
                <w:color w:val="000000"/>
              </w:rPr>
              <w:t>削减量</w:t>
            </w:r>
          </w:p>
          <w:p w14:paraId="0697B9C9">
            <w:pPr>
              <w:jc w:val="center"/>
              <w:rPr>
                <w:rFonts w:hint="eastAsia" w:ascii="宋体" w:hAnsi="宋体"/>
                <w:color w:val="000000"/>
              </w:rPr>
            </w:pPr>
            <w:r>
              <w:rPr>
                <w:rFonts w:hint="eastAsia" w:ascii="宋体" w:hAnsi="宋体"/>
                <w:color w:val="000000"/>
              </w:rPr>
              <w:t>（</w:t>
            </w:r>
            <w:r>
              <w:rPr>
                <w:rFonts w:ascii="宋体" w:hAnsi="宋体"/>
                <w:color w:val="000000"/>
              </w:rPr>
              <w:t>t/a</w:t>
            </w:r>
            <w:r>
              <w:rPr>
                <w:rFonts w:hint="eastAsia" w:ascii="宋体" w:hAnsi="宋体"/>
                <w:color w:val="000000"/>
              </w:rPr>
              <w:t>）</w:t>
            </w:r>
          </w:p>
        </w:tc>
        <w:tc>
          <w:tcPr>
            <w:tcW w:w="1422" w:type="dxa"/>
            <w:noWrap w:val="0"/>
            <w:vAlign w:val="top"/>
          </w:tcPr>
          <w:p w14:paraId="1186534A">
            <w:pPr>
              <w:jc w:val="center"/>
              <w:rPr>
                <w:rFonts w:hint="eastAsia" w:ascii="宋体" w:hAnsi="宋体"/>
                <w:color w:val="000000"/>
              </w:rPr>
            </w:pPr>
            <w:r>
              <w:rPr>
                <w:rFonts w:hint="eastAsia" w:ascii="宋体" w:hAnsi="宋体"/>
                <w:color w:val="000000"/>
              </w:rPr>
              <w:t>削减浓度</w:t>
            </w:r>
          </w:p>
          <w:p w14:paraId="7679FCBB">
            <w:pPr>
              <w:jc w:val="center"/>
              <w:rPr>
                <w:rFonts w:hint="eastAsia" w:ascii="宋体" w:hAnsi="宋体"/>
                <w:color w:val="000000"/>
              </w:rPr>
            </w:pPr>
            <w:r>
              <w:rPr>
                <w:rFonts w:hint="eastAsia" w:ascii="宋体" w:hAnsi="宋体"/>
                <w:color w:val="000000"/>
              </w:rPr>
              <w:t>（</w:t>
            </w:r>
            <w:r>
              <w:rPr>
                <w:rFonts w:ascii="宋体" w:hAnsi="宋体"/>
                <w:color w:val="000000"/>
              </w:rPr>
              <w:t>mg/</w:t>
            </w:r>
            <w:r>
              <w:rPr>
                <w:rFonts w:hint="eastAsia" w:ascii="宋体" w:hAnsi="宋体"/>
                <w:color w:val="000000"/>
              </w:rPr>
              <w:t>L）</w:t>
            </w:r>
          </w:p>
        </w:tc>
        <w:tc>
          <w:tcPr>
            <w:tcW w:w="1305" w:type="dxa"/>
            <w:noWrap w:val="0"/>
            <w:vAlign w:val="top"/>
          </w:tcPr>
          <w:p w14:paraId="621FDB5B">
            <w:pPr>
              <w:jc w:val="center"/>
              <w:rPr>
                <w:rFonts w:hint="eastAsia" w:ascii="宋体" w:hAnsi="宋体"/>
                <w:color w:val="000000"/>
              </w:rPr>
            </w:pPr>
            <w:r>
              <w:rPr>
                <w:rFonts w:hint="eastAsia" w:ascii="宋体" w:hAnsi="宋体"/>
                <w:color w:val="000000"/>
              </w:rPr>
              <w:t>排放量</w:t>
            </w:r>
          </w:p>
          <w:p w14:paraId="1370B2BB">
            <w:pPr>
              <w:jc w:val="center"/>
              <w:rPr>
                <w:rFonts w:hint="eastAsia" w:ascii="宋体" w:hAnsi="宋体"/>
                <w:color w:val="000000"/>
              </w:rPr>
            </w:pPr>
            <w:r>
              <w:rPr>
                <w:rFonts w:hint="eastAsia" w:ascii="宋体" w:hAnsi="宋体"/>
                <w:color w:val="000000"/>
              </w:rPr>
              <w:t>（</w:t>
            </w:r>
            <w:r>
              <w:rPr>
                <w:rFonts w:ascii="宋体" w:hAnsi="宋体"/>
                <w:color w:val="000000"/>
              </w:rPr>
              <w:t>t/a</w:t>
            </w:r>
            <w:r>
              <w:rPr>
                <w:rFonts w:hint="eastAsia" w:ascii="宋体" w:hAnsi="宋体"/>
                <w:color w:val="000000"/>
              </w:rPr>
              <w:t>）</w:t>
            </w:r>
          </w:p>
        </w:tc>
        <w:tc>
          <w:tcPr>
            <w:tcW w:w="1255" w:type="dxa"/>
            <w:noWrap w:val="0"/>
            <w:vAlign w:val="top"/>
          </w:tcPr>
          <w:p w14:paraId="79853786">
            <w:pPr>
              <w:jc w:val="center"/>
              <w:rPr>
                <w:rFonts w:hint="eastAsia" w:ascii="宋体" w:hAnsi="宋体"/>
                <w:color w:val="000000"/>
              </w:rPr>
            </w:pPr>
            <w:r>
              <w:rPr>
                <w:rFonts w:hint="eastAsia" w:ascii="宋体" w:hAnsi="宋体"/>
                <w:color w:val="000000"/>
              </w:rPr>
              <w:t>排放浓度</w:t>
            </w:r>
          </w:p>
          <w:p w14:paraId="7876BFC1">
            <w:pPr>
              <w:jc w:val="center"/>
              <w:rPr>
                <w:rFonts w:hint="eastAsia" w:ascii="宋体" w:hAnsi="宋体"/>
                <w:color w:val="000000"/>
              </w:rPr>
            </w:pPr>
            <w:r>
              <w:rPr>
                <w:rFonts w:hint="eastAsia" w:ascii="宋体" w:hAnsi="宋体"/>
                <w:color w:val="000000"/>
              </w:rPr>
              <w:t>（</w:t>
            </w:r>
            <w:r>
              <w:rPr>
                <w:rFonts w:ascii="宋体" w:hAnsi="宋体"/>
                <w:color w:val="000000"/>
              </w:rPr>
              <w:t>mg/</w:t>
            </w:r>
            <w:r>
              <w:rPr>
                <w:rFonts w:hint="eastAsia" w:ascii="宋体" w:hAnsi="宋体"/>
                <w:color w:val="000000"/>
              </w:rPr>
              <w:t>L）</w:t>
            </w:r>
          </w:p>
        </w:tc>
      </w:tr>
      <w:tr w14:paraId="6E550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1031" w:type="dxa"/>
            <w:noWrap w:val="0"/>
            <w:vAlign w:val="center"/>
          </w:tcPr>
          <w:p w14:paraId="0A658B67">
            <w:pPr>
              <w:jc w:val="center"/>
              <w:rPr>
                <w:rFonts w:hint="eastAsia" w:ascii="宋体" w:hAnsi="宋体"/>
                <w:color w:val="000000"/>
              </w:rPr>
            </w:pPr>
            <w:r>
              <w:rPr>
                <w:rFonts w:hint="eastAsia" w:ascii="宋体" w:hAnsi="宋体"/>
                <w:color w:val="000000"/>
              </w:rPr>
              <w:t>井 下</w:t>
            </w:r>
          </w:p>
          <w:p w14:paraId="203443FE">
            <w:pPr>
              <w:jc w:val="center"/>
              <w:rPr>
                <w:rFonts w:hint="eastAsia" w:ascii="宋体" w:hAnsi="宋体"/>
                <w:color w:val="000000"/>
              </w:rPr>
            </w:pPr>
            <w:r>
              <w:rPr>
                <w:rFonts w:hint="eastAsia" w:ascii="宋体" w:hAnsi="宋体"/>
                <w:color w:val="000000"/>
              </w:rPr>
              <w:t>排 水</w:t>
            </w:r>
          </w:p>
        </w:tc>
        <w:tc>
          <w:tcPr>
            <w:tcW w:w="630" w:type="dxa"/>
            <w:noWrap w:val="0"/>
            <w:vAlign w:val="center"/>
          </w:tcPr>
          <w:p w14:paraId="3A9C790F">
            <w:pPr>
              <w:jc w:val="center"/>
              <w:rPr>
                <w:rFonts w:hint="eastAsia" w:ascii="宋体" w:hAnsi="宋体"/>
                <w:color w:val="000000"/>
              </w:rPr>
            </w:pPr>
            <w:r>
              <w:rPr>
                <w:rFonts w:hint="eastAsia" w:ascii="宋体" w:hAnsi="宋体"/>
                <w:color w:val="000000"/>
              </w:rPr>
              <w:t>SS</w:t>
            </w:r>
          </w:p>
        </w:tc>
        <w:tc>
          <w:tcPr>
            <w:tcW w:w="1063" w:type="dxa"/>
            <w:noWrap w:val="0"/>
            <w:vAlign w:val="center"/>
          </w:tcPr>
          <w:p w14:paraId="0E570E2C">
            <w:pPr>
              <w:jc w:val="center"/>
              <w:rPr>
                <w:rFonts w:hint="eastAsia" w:ascii="宋体" w:hAnsi="宋体"/>
                <w:color w:val="000000"/>
              </w:rPr>
            </w:pPr>
            <w:r>
              <w:rPr>
                <w:rFonts w:hint="eastAsia" w:ascii="宋体" w:hAnsi="宋体"/>
                <w:color w:val="000000"/>
              </w:rPr>
              <w:t>815.47</w:t>
            </w:r>
          </w:p>
        </w:tc>
        <w:tc>
          <w:tcPr>
            <w:tcW w:w="1142" w:type="dxa"/>
            <w:noWrap w:val="0"/>
            <w:vAlign w:val="center"/>
          </w:tcPr>
          <w:p w14:paraId="103AB777">
            <w:pPr>
              <w:jc w:val="center"/>
              <w:rPr>
                <w:rFonts w:ascii="宋体" w:hAnsi="宋体"/>
                <w:color w:val="000000"/>
              </w:rPr>
            </w:pPr>
            <w:r>
              <w:rPr>
                <w:rFonts w:ascii="宋体" w:hAnsi="宋体"/>
                <w:color w:val="000000"/>
              </w:rPr>
              <w:t>500</w:t>
            </w:r>
          </w:p>
        </w:tc>
        <w:tc>
          <w:tcPr>
            <w:tcW w:w="1171" w:type="dxa"/>
            <w:noWrap w:val="0"/>
            <w:vAlign w:val="center"/>
          </w:tcPr>
          <w:p w14:paraId="47449AFE">
            <w:pPr>
              <w:jc w:val="center"/>
              <w:rPr>
                <w:rFonts w:hint="eastAsia" w:ascii="宋体" w:hAnsi="宋体"/>
                <w:color w:val="000000"/>
              </w:rPr>
            </w:pPr>
            <w:r>
              <w:rPr>
                <w:rFonts w:hint="eastAsia" w:ascii="宋体" w:hAnsi="宋体"/>
                <w:color w:val="000000"/>
              </w:rPr>
              <w:t>82.63</w:t>
            </w:r>
          </w:p>
        </w:tc>
        <w:tc>
          <w:tcPr>
            <w:tcW w:w="1422" w:type="dxa"/>
            <w:noWrap w:val="0"/>
            <w:vAlign w:val="center"/>
          </w:tcPr>
          <w:p w14:paraId="270A5156">
            <w:pPr>
              <w:jc w:val="center"/>
              <w:rPr>
                <w:rFonts w:hint="eastAsia" w:ascii="宋体" w:hAnsi="宋体"/>
                <w:color w:val="000000"/>
              </w:rPr>
            </w:pPr>
            <w:r>
              <w:rPr>
                <w:rFonts w:hint="eastAsia" w:ascii="宋体" w:hAnsi="宋体"/>
                <w:color w:val="000000"/>
              </w:rPr>
              <w:t>450</w:t>
            </w:r>
          </w:p>
        </w:tc>
        <w:tc>
          <w:tcPr>
            <w:tcW w:w="1305" w:type="dxa"/>
            <w:noWrap w:val="0"/>
            <w:vAlign w:val="center"/>
          </w:tcPr>
          <w:p w14:paraId="6C56B968">
            <w:pPr>
              <w:jc w:val="center"/>
              <w:rPr>
                <w:rFonts w:hint="eastAsia" w:ascii="宋体" w:hAnsi="宋体"/>
                <w:color w:val="000000"/>
              </w:rPr>
            </w:pPr>
            <w:r>
              <w:rPr>
                <w:rFonts w:hint="eastAsia" w:ascii="宋体" w:hAnsi="宋体"/>
                <w:color w:val="000000"/>
              </w:rPr>
              <w:t>4.97</w:t>
            </w:r>
          </w:p>
        </w:tc>
        <w:tc>
          <w:tcPr>
            <w:tcW w:w="1255" w:type="dxa"/>
            <w:noWrap w:val="0"/>
            <w:vAlign w:val="center"/>
          </w:tcPr>
          <w:p w14:paraId="223EE646">
            <w:pPr>
              <w:jc w:val="center"/>
              <w:rPr>
                <w:rFonts w:ascii="宋体" w:hAnsi="宋体"/>
                <w:color w:val="000000"/>
              </w:rPr>
            </w:pPr>
            <w:r>
              <w:rPr>
                <w:rFonts w:ascii="宋体" w:hAnsi="宋体"/>
                <w:color w:val="000000"/>
              </w:rPr>
              <w:t>50</w:t>
            </w:r>
          </w:p>
        </w:tc>
      </w:tr>
      <w:tr w14:paraId="219A3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1031" w:type="dxa"/>
            <w:vMerge w:val="restart"/>
            <w:noWrap w:val="0"/>
            <w:vAlign w:val="center"/>
          </w:tcPr>
          <w:p w14:paraId="54C6EDDE">
            <w:pPr>
              <w:pStyle w:val="216"/>
              <w:rPr>
                <w:rFonts w:hint="eastAsia"/>
                <w:color w:val="000000"/>
              </w:rPr>
            </w:pPr>
            <w:r>
              <w:rPr>
                <w:rFonts w:hint="eastAsia"/>
                <w:color w:val="000000"/>
              </w:rPr>
              <w:t>工业场地生产生活污废  水</w:t>
            </w:r>
          </w:p>
        </w:tc>
        <w:tc>
          <w:tcPr>
            <w:tcW w:w="630" w:type="dxa"/>
            <w:noWrap w:val="0"/>
            <w:vAlign w:val="center"/>
          </w:tcPr>
          <w:p w14:paraId="5D09D5A5">
            <w:pPr>
              <w:pStyle w:val="38"/>
              <w:pBdr>
                <w:bottom w:val="none" w:color="auto" w:sz="0" w:space="0"/>
              </w:pBdr>
              <w:tabs>
                <w:tab w:val="clear" w:pos="4153"/>
                <w:tab w:val="clear" w:pos="8306"/>
              </w:tabs>
              <w:rPr>
                <w:rFonts w:hint="eastAsia" w:ascii="宋体" w:hAnsi="宋体"/>
                <w:color w:val="000000"/>
                <w:sz w:val="21"/>
              </w:rPr>
            </w:pPr>
            <w:r>
              <w:rPr>
                <w:rFonts w:hint="eastAsia" w:ascii="宋体" w:hAnsi="宋体"/>
                <w:color w:val="000000"/>
                <w:sz w:val="21"/>
              </w:rPr>
              <w:t>SS</w:t>
            </w:r>
          </w:p>
        </w:tc>
        <w:tc>
          <w:tcPr>
            <w:tcW w:w="1063" w:type="dxa"/>
            <w:noWrap w:val="0"/>
            <w:vAlign w:val="center"/>
          </w:tcPr>
          <w:p w14:paraId="121CB9F3">
            <w:pPr>
              <w:jc w:val="center"/>
              <w:rPr>
                <w:rFonts w:hint="eastAsia" w:ascii="宋体" w:hAnsi="宋体"/>
                <w:color w:val="000000"/>
              </w:rPr>
            </w:pPr>
            <w:r>
              <w:rPr>
                <w:rFonts w:hint="eastAsia" w:ascii="宋体" w:hAnsi="宋体"/>
                <w:color w:val="000000"/>
              </w:rPr>
              <w:t>8.03</w:t>
            </w:r>
          </w:p>
        </w:tc>
        <w:tc>
          <w:tcPr>
            <w:tcW w:w="1142" w:type="dxa"/>
            <w:noWrap w:val="0"/>
            <w:vAlign w:val="center"/>
          </w:tcPr>
          <w:p w14:paraId="4E2FA220">
            <w:pPr>
              <w:jc w:val="center"/>
              <w:rPr>
                <w:rFonts w:ascii="宋体" w:hAnsi="宋体"/>
                <w:color w:val="000000"/>
              </w:rPr>
            </w:pPr>
            <w:r>
              <w:rPr>
                <w:rFonts w:ascii="宋体" w:hAnsi="宋体"/>
                <w:color w:val="000000"/>
              </w:rPr>
              <w:t>200</w:t>
            </w:r>
          </w:p>
        </w:tc>
        <w:tc>
          <w:tcPr>
            <w:tcW w:w="1171" w:type="dxa"/>
            <w:noWrap w:val="0"/>
            <w:vAlign w:val="center"/>
          </w:tcPr>
          <w:p w14:paraId="3B066B77">
            <w:pPr>
              <w:jc w:val="center"/>
              <w:rPr>
                <w:rFonts w:hint="eastAsia" w:ascii="宋体" w:hAnsi="宋体"/>
                <w:color w:val="000000"/>
              </w:rPr>
            </w:pPr>
            <w:r>
              <w:rPr>
                <w:rFonts w:hint="eastAsia" w:ascii="宋体" w:hAnsi="宋体"/>
                <w:color w:val="000000"/>
              </w:rPr>
              <w:t>7.23</w:t>
            </w:r>
          </w:p>
        </w:tc>
        <w:tc>
          <w:tcPr>
            <w:tcW w:w="1422" w:type="dxa"/>
            <w:noWrap w:val="0"/>
            <w:vAlign w:val="center"/>
          </w:tcPr>
          <w:p w14:paraId="655D3C8F">
            <w:pPr>
              <w:jc w:val="center"/>
              <w:rPr>
                <w:rFonts w:ascii="宋体" w:hAnsi="宋体"/>
                <w:color w:val="000000"/>
              </w:rPr>
            </w:pPr>
            <w:r>
              <w:rPr>
                <w:rFonts w:ascii="宋体" w:hAnsi="宋体"/>
                <w:color w:val="000000"/>
              </w:rPr>
              <w:t>180</w:t>
            </w:r>
          </w:p>
        </w:tc>
        <w:tc>
          <w:tcPr>
            <w:tcW w:w="1305" w:type="dxa"/>
            <w:noWrap w:val="0"/>
            <w:vAlign w:val="center"/>
          </w:tcPr>
          <w:p w14:paraId="61268400">
            <w:pPr>
              <w:jc w:val="center"/>
              <w:rPr>
                <w:rFonts w:hint="eastAsia" w:ascii="宋体" w:hAnsi="宋体"/>
                <w:color w:val="000000"/>
              </w:rPr>
            </w:pPr>
            <w:r>
              <w:rPr>
                <w:rFonts w:hint="eastAsia" w:ascii="宋体" w:hAnsi="宋体"/>
                <w:color w:val="000000"/>
              </w:rPr>
              <w:t>0.80</w:t>
            </w:r>
          </w:p>
        </w:tc>
        <w:tc>
          <w:tcPr>
            <w:tcW w:w="1255" w:type="dxa"/>
            <w:noWrap w:val="0"/>
            <w:vAlign w:val="center"/>
          </w:tcPr>
          <w:p w14:paraId="722A1DB2">
            <w:pPr>
              <w:jc w:val="center"/>
              <w:rPr>
                <w:rFonts w:ascii="宋体" w:hAnsi="宋体"/>
                <w:color w:val="000000"/>
              </w:rPr>
            </w:pPr>
            <w:r>
              <w:rPr>
                <w:rFonts w:ascii="宋体" w:hAnsi="宋体"/>
                <w:color w:val="000000"/>
              </w:rPr>
              <w:t>20</w:t>
            </w:r>
          </w:p>
        </w:tc>
      </w:tr>
      <w:tr w14:paraId="5FD3B9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1031" w:type="dxa"/>
            <w:vMerge w:val="continue"/>
            <w:noWrap w:val="0"/>
            <w:vAlign w:val="top"/>
          </w:tcPr>
          <w:p w14:paraId="689360D6">
            <w:pPr>
              <w:jc w:val="center"/>
              <w:rPr>
                <w:rFonts w:hint="eastAsia" w:ascii="宋体" w:hAnsi="宋体"/>
                <w:color w:val="000000"/>
              </w:rPr>
            </w:pPr>
          </w:p>
        </w:tc>
        <w:tc>
          <w:tcPr>
            <w:tcW w:w="630" w:type="dxa"/>
            <w:noWrap w:val="0"/>
            <w:vAlign w:val="center"/>
          </w:tcPr>
          <w:p w14:paraId="02EC3341">
            <w:pPr>
              <w:pStyle w:val="38"/>
              <w:pBdr>
                <w:bottom w:val="none" w:color="auto" w:sz="0" w:space="0"/>
              </w:pBdr>
              <w:tabs>
                <w:tab w:val="clear" w:pos="4153"/>
                <w:tab w:val="clear" w:pos="8306"/>
              </w:tabs>
              <w:rPr>
                <w:rFonts w:hint="eastAsia" w:ascii="宋体" w:hAnsi="宋体"/>
                <w:color w:val="000000"/>
                <w:sz w:val="21"/>
              </w:rPr>
            </w:pPr>
            <w:r>
              <w:rPr>
                <w:rFonts w:hint="eastAsia" w:ascii="宋体" w:hAnsi="宋体"/>
                <w:color w:val="000000"/>
                <w:sz w:val="21"/>
              </w:rPr>
              <w:t>COD</w:t>
            </w:r>
          </w:p>
        </w:tc>
        <w:tc>
          <w:tcPr>
            <w:tcW w:w="1063" w:type="dxa"/>
            <w:noWrap w:val="0"/>
            <w:vAlign w:val="center"/>
          </w:tcPr>
          <w:p w14:paraId="6D1678C2">
            <w:pPr>
              <w:jc w:val="center"/>
              <w:rPr>
                <w:rFonts w:hint="eastAsia" w:ascii="宋体" w:hAnsi="宋体"/>
                <w:color w:val="000000"/>
              </w:rPr>
            </w:pPr>
            <w:r>
              <w:rPr>
                <w:rFonts w:hint="eastAsia" w:ascii="宋体" w:hAnsi="宋体"/>
                <w:color w:val="000000"/>
              </w:rPr>
              <w:t>10.04</w:t>
            </w:r>
          </w:p>
        </w:tc>
        <w:tc>
          <w:tcPr>
            <w:tcW w:w="1142" w:type="dxa"/>
            <w:noWrap w:val="0"/>
            <w:vAlign w:val="center"/>
          </w:tcPr>
          <w:p w14:paraId="5E523891">
            <w:pPr>
              <w:jc w:val="center"/>
              <w:rPr>
                <w:rFonts w:ascii="宋体" w:hAnsi="宋体"/>
                <w:color w:val="000000"/>
              </w:rPr>
            </w:pPr>
            <w:r>
              <w:rPr>
                <w:rFonts w:ascii="宋体" w:hAnsi="宋体"/>
                <w:color w:val="000000"/>
              </w:rPr>
              <w:t>250</w:t>
            </w:r>
          </w:p>
        </w:tc>
        <w:tc>
          <w:tcPr>
            <w:tcW w:w="1171" w:type="dxa"/>
            <w:noWrap w:val="0"/>
            <w:vAlign w:val="center"/>
          </w:tcPr>
          <w:p w14:paraId="02E33ACE">
            <w:pPr>
              <w:jc w:val="center"/>
              <w:rPr>
                <w:rFonts w:hint="eastAsia" w:ascii="宋体" w:hAnsi="宋体"/>
                <w:color w:val="000000"/>
              </w:rPr>
            </w:pPr>
            <w:r>
              <w:rPr>
                <w:rFonts w:hint="eastAsia" w:ascii="宋体" w:hAnsi="宋体"/>
                <w:color w:val="000000"/>
              </w:rPr>
              <w:t>6.02</w:t>
            </w:r>
          </w:p>
        </w:tc>
        <w:tc>
          <w:tcPr>
            <w:tcW w:w="1422" w:type="dxa"/>
            <w:noWrap w:val="0"/>
            <w:vAlign w:val="center"/>
          </w:tcPr>
          <w:p w14:paraId="6780E54D">
            <w:pPr>
              <w:jc w:val="center"/>
              <w:rPr>
                <w:rFonts w:ascii="宋体" w:hAnsi="宋体"/>
                <w:color w:val="000000"/>
              </w:rPr>
            </w:pPr>
            <w:r>
              <w:rPr>
                <w:rFonts w:ascii="宋体" w:hAnsi="宋体"/>
                <w:color w:val="000000"/>
              </w:rPr>
              <w:t>150</w:t>
            </w:r>
          </w:p>
        </w:tc>
        <w:tc>
          <w:tcPr>
            <w:tcW w:w="1305" w:type="dxa"/>
            <w:noWrap w:val="0"/>
            <w:vAlign w:val="center"/>
          </w:tcPr>
          <w:p w14:paraId="7735C7B3">
            <w:pPr>
              <w:jc w:val="center"/>
              <w:rPr>
                <w:rFonts w:hint="eastAsia" w:ascii="宋体" w:hAnsi="宋体"/>
                <w:color w:val="000000"/>
              </w:rPr>
            </w:pPr>
            <w:r>
              <w:rPr>
                <w:rFonts w:hint="eastAsia" w:ascii="宋体" w:hAnsi="宋体"/>
                <w:color w:val="000000"/>
              </w:rPr>
              <w:t>4.02</w:t>
            </w:r>
          </w:p>
        </w:tc>
        <w:tc>
          <w:tcPr>
            <w:tcW w:w="1255" w:type="dxa"/>
            <w:noWrap w:val="0"/>
            <w:vAlign w:val="center"/>
          </w:tcPr>
          <w:p w14:paraId="6A9CFFD1">
            <w:pPr>
              <w:jc w:val="center"/>
              <w:rPr>
                <w:rFonts w:ascii="宋体" w:hAnsi="宋体"/>
                <w:color w:val="000000"/>
              </w:rPr>
            </w:pPr>
            <w:r>
              <w:rPr>
                <w:rFonts w:ascii="宋体" w:hAnsi="宋体"/>
                <w:color w:val="000000"/>
              </w:rPr>
              <w:t>100</w:t>
            </w:r>
          </w:p>
        </w:tc>
      </w:tr>
      <w:tr w14:paraId="7976B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cantSplit/>
          <w:trHeight w:val="312" w:hRule="atLeast"/>
          <w:jc w:val="center"/>
        </w:trPr>
        <w:tc>
          <w:tcPr>
            <w:tcW w:w="1031" w:type="dxa"/>
            <w:vMerge w:val="continue"/>
            <w:noWrap w:val="0"/>
            <w:vAlign w:val="top"/>
          </w:tcPr>
          <w:p w14:paraId="75A601B7">
            <w:pPr>
              <w:jc w:val="center"/>
              <w:rPr>
                <w:rFonts w:hint="eastAsia" w:ascii="宋体" w:hAnsi="宋体"/>
                <w:color w:val="000000"/>
              </w:rPr>
            </w:pPr>
          </w:p>
        </w:tc>
        <w:tc>
          <w:tcPr>
            <w:tcW w:w="630" w:type="dxa"/>
            <w:noWrap w:val="0"/>
            <w:vAlign w:val="center"/>
          </w:tcPr>
          <w:p w14:paraId="10A3A53C">
            <w:pPr>
              <w:pStyle w:val="38"/>
              <w:pBdr>
                <w:bottom w:val="none" w:color="auto" w:sz="0" w:space="0"/>
              </w:pBdr>
              <w:tabs>
                <w:tab w:val="clear" w:pos="4153"/>
                <w:tab w:val="clear" w:pos="8306"/>
              </w:tabs>
              <w:rPr>
                <w:rFonts w:hint="eastAsia" w:ascii="宋体" w:hAnsi="宋体"/>
                <w:color w:val="000000"/>
                <w:sz w:val="21"/>
              </w:rPr>
            </w:pPr>
            <w:r>
              <w:rPr>
                <w:rFonts w:hint="eastAsia" w:ascii="宋体" w:hAnsi="宋体"/>
                <w:color w:val="000000"/>
                <w:sz w:val="21"/>
              </w:rPr>
              <w:t>BOD</w:t>
            </w:r>
            <w:r>
              <w:rPr>
                <w:rFonts w:hint="eastAsia" w:ascii="宋体" w:hAnsi="宋体"/>
                <w:color w:val="000000"/>
                <w:sz w:val="21"/>
                <w:vertAlign w:val="subscript"/>
              </w:rPr>
              <w:t>5</w:t>
            </w:r>
          </w:p>
        </w:tc>
        <w:tc>
          <w:tcPr>
            <w:tcW w:w="1063" w:type="dxa"/>
            <w:noWrap w:val="0"/>
            <w:vAlign w:val="center"/>
          </w:tcPr>
          <w:p w14:paraId="7E38144B">
            <w:pPr>
              <w:jc w:val="center"/>
              <w:rPr>
                <w:rFonts w:hint="eastAsia" w:ascii="宋体" w:hAnsi="宋体"/>
                <w:color w:val="000000"/>
              </w:rPr>
            </w:pPr>
            <w:r>
              <w:rPr>
                <w:rFonts w:hint="eastAsia" w:ascii="宋体" w:hAnsi="宋体"/>
                <w:color w:val="000000"/>
              </w:rPr>
              <w:t>3.21</w:t>
            </w:r>
          </w:p>
        </w:tc>
        <w:tc>
          <w:tcPr>
            <w:tcW w:w="1142" w:type="dxa"/>
            <w:noWrap w:val="0"/>
            <w:vAlign w:val="center"/>
          </w:tcPr>
          <w:p w14:paraId="30E68B8E">
            <w:pPr>
              <w:jc w:val="center"/>
              <w:rPr>
                <w:rFonts w:ascii="宋体" w:hAnsi="宋体"/>
                <w:color w:val="000000"/>
              </w:rPr>
            </w:pPr>
            <w:r>
              <w:rPr>
                <w:rFonts w:ascii="宋体" w:hAnsi="宋体"/>
                <w:color w:val="000000"/>
              </w:rPr>
              <w:t>80</w:t>
            </w:r>
          </w:p>
        </w:tc>
        <w:tc>
          <w:tcPr>
            <w:tcW w:w="1171" w:type="dxa"/>
            <w:noWrap w:val="0"/>
            <w:vAlign w:val="center"/>
          </w:tcPr>
          <w:p w14:paraId="23B05D68">
            <w:pPr>
              <w:jc w:val="center"/>
              <w:rPr>
                <w:rFonts w:hint="eastAsia" w:ascii="宋体" w:hAnsi="宋体"/>
                <w:color w:val="000000"/>
              </w:rPr>
            </w:pPr>
            <w:r>
              <w:rPr>
                <w:rFonts w:hint="eastAsia" w:ascii="宋体" w:hAnsi="宋体"/>
                <w:color w:val="000000"/>
              </w:rPr>
              <w:t>2.41</w:t>
            </w:r>
          </w:p>
        </w:tc>
        <w:tc>
          <w:tcPr>
            <w:tcW w:w="1422" w:type="dxa"/>
            <w:noWrap w:val="0"/>
            <w:vAlign w:val="center"/>
          </w:tcPr>
          <w:p w14:paraId="3F00FC5D">
            <w:pPr>
              <w:jc w:val="center"/>
              <w:rPr>
                <w:rFonts w:ascii="宋体" w:hAnsi="宋体"/>
                <w:color w:val="000000"/>
              </w:rPr>
            </w:pPr>
            <w:r>
              <w:rPr>
                <w:rFonts w:ascii="宋体" w:hAnsi="宋体"/>
                <w:color w:val="000000"/>
              </w:rPr>
              <w:t>60</w:t>
            </w:r>
          </w:p>
        </w:tc>
        <w:tc>
          <w:tcPr>
            <w:tcW w:w="1305" w:type="dxa"/>
            <w:noWrap w:val="0"/>
            <w:vAlign w:val="center"/>
          </w:tcPr>
          <w:p w14:paraId="73FDACA1">
            <w:pPr>
              <w:jc w:val="center"/>
              <w:rPr>
                <w:rFonts w:hint="eastAsia" w:ascii="宋体" w:hAnsi="宋体"/>
                <w:color w:val="000000"/>
              </w:rPr>
            </w:pPr>
            <w:r>
              <w:rPr>
                <w:rFonts w:hint="eastAsia" w:ascii="宋体" w:hAnsi="宋体"/>
                <w:color w:val="000000"/>
              </w:rPr>
              <w:t>0.80</w:t>
            </w:r>
          </w:p>
        </w:tc>
        <w:tc>
          <w:tcPr>
            <w:tcW w:w="1255" w:type="dxa"/>
            <w:noWrap w:val="0"/>
            <w:vAlign w:val="center"/>
          </w:tcPr>
          <w:p w14:paraId="1C16AFE8">
            <w:pPr>
              <w:jc w:val="center"/>
              <w:rPr>
                <w:rFonts w:ascii="宋体" w:hAnsi="宋体"/>
                <w:color w:val="000000"/>
              </w:rPr>
            </w:pPr>
            <w:r>
              <w:rPr>
                <w:rFonts w:ascii="宋体" w:hAnsi="宋体"/>
                <w:color w:val="000000"/>
              </w:rPr>
              <w:t>20</w:t>
            </w:r>
          </w:p>
        </w:tc>
      </w:tr>
    </w:tbl>
    <w:p w14:paraId="3E1CD5CA">
      <w:pPr>
        <w:spacing w:line="360" w:lineRule="auto"/>
        <w:ind w:firstLine="480" w:firstLineChars="200"/>
        <w:rPr>
          <w:rFonts w:hint="eastAsia" w:ascii="宋体" w:hAnsi="宋体"/>
          <w:color w:val="000000"/>
          <w:sz w:val="24"/>
        </w:rPr>
      </w:pPr>
      <w:r>
        <w:rPr>
          <w:rFonts w:hint="eastAsia" w:ascii="宋体" w:hAnsi="宋体"/>
          <w:color w:val="000000"/>
          <w:sz w:val="24"/>
        </w:rPr>
        <w:t>2、大气污染治理措施</w:t>
      </w:r>
    </w:p>
    <w:p w14:paraId="3D646D4F">
      <w:pPr>
        <w:spacing w:line="360" w:lineRule="auto"/>
        <w:ind w:firstLine="480" w:firstLineChars="200"/>
        <w:rPr>
          <w:rFonts w:hint="eastAsia" w:ascii="宋体" w:hAnsi="宋体"/>
          <w:color w:val="000000"/>
          <w:sz w:val="24"/>
        </w:rPr>
      </w:pPr>
      <w:r>
        <w:rPr>
          <w:rFonts w:hint="eastAsia" w:ascii="宋体" w:hAnsi="宋体"/>
          <w:color w:val="000000"/>
          <w:sz w:val="24"/>
        </w:rPr>
        <w:t>（1）锅炉燃煤烟气</w:t>
      </w:r>
    </w:p>
    <w:p w14:paraId="78446457">
      <w:pPr>
        <w:spacing w:line="360" w:lineRule="auto"/>
        <w:ind w:firstLine="480" w:firstLineChars="200"/>
        <w:rPr>
          <w:rFonts w:hint="eastAsia" w:ascii="宋体" w:hAnsi="宋体"/>
          <w:color w:val="000000"/>
          <w:sz w:val="24"/>
        </w:rPr>
      </w:pPr>
      <w:r>
        <w:rPr>
          <w:rFonts w:hint="eastAsia" w:ascii="宋体" w:hAnsi="宋体"/>
          <w:color w:val="000000"/>
          <w:sz w:val="24"/>
        </w:rPr>
        <w:t>工业场地</w:t>
      </w:r>
      <w:r>
        <w:rPr>
          <w:rFonts w:ascii="宋体" w:hAnsi="宋体"/>
          <w:color w:val="000000"/>
          <w:sz w:val="24"/>
        </w:rPr>
        <w:t>锅炉房</w:t>
      </w:r>
      <w:r>
        <w:rPr>
          <w:rFonts w:hint="eastAsia" w:ascii="宋体" w:hAnsi="宋体"/>
          <w:color w:val="000000"/>
          <w:sz w:val="24"/>
        </w:rPr>
        <w:t>选用D</w:t>
      </w:r>
      <w:r>
        <w:rPr>
          <w:rFonts w:ascii="宋体" w:hAnsi="宋体"/>
          <w:color w:val="000000"/>
          <w:sz w:val="24"/>
        </w:rPr>
        <w:t>ZL</w:t>
      </w:r>
      <w:r>
        <w:rPr>
          <w:rFonts w:hint="eastAsia" w:ascii="宋体" w:hAnsi="宋体"/>
          <w:color w:val="000000"/>
          <w:sz w:val="24"/>
        </w:rPr>
        <w:t>1</w:t>
      </w:r>
      <w:r>
        <w:rPr>
          <w:rFonts w:ascii="宋体" w:hAnsi="宋体"/>
          <w:color w:val="000000"/>
          <w:sz w:val="24"/>
        </w:rPr>
        <w:t>-1</w:t>
      </w:r>
      <w:r>
        <w:rPr>
          <w:rFonts w:hint="eastAsia" w:ascii="宋体" w:hAnsi="宋体"/>
          <w:color w:val="000000"/>
          <w:sz w:val="24"/>
        </w:rPr>
        <w:t>.25WⅡ型锅炉2台。采暖期2台运行，每天运行16小时，耗煤量为0.32t/h；非采暖期1台运行，每天运行12小时，耗煤量为0.16t/h。锅炉燃用M13原煤时，配备DCⅡ-2型烟气除尘脱硫净化器后SO2排放可达标，此时锅炉大气污染物产生及排放情况详见</w:t>
      </w:r>
      <w:r>
        <w:rPr>
          <w:rFonts w:hint="eastAsia" w:ascii="宋体" w:hAnsi="宋体"/>
          <w:b/>
          <w:color w:val="000000"/>
          <w:sz w:val="24"/>
        </w:rPr>
        <w:t>表8－4－3</w:t>
      </w:r>
      <w:r>
        <w:rPr>
          <w:rFonts w:hint="eastAsia" w:ascii="宋体" w:hAnsi="宋体"/>
          <w:color w:val="000000"/>
          <w:sz w:val="24"/>
        </w:rPr>
        <w:t>。因此，建议矿井改变供热方式，采用空气源热水机组解决矿井的供热问题。</w:t>
      </w:r>
    </w:p>
    <w:p w14:paraId="2F84EB69">
      <w:pPr>
        <w:spacing w:line="360" w:lineRule="auto"/>
        <w:jc w:val="center"/>
        <w:rPr>
          <w:rFonts w:hint="eastAsia" w:ascii="宋体" w:hAnsi="宋体"/>
          <w:color w:val="000000"/>
          <w:sz w:val="24"/>
        </w:rPr>
      </w:pPr>
      <w:r>
        <w:rPr>
          <w:rFonts w:hint="eastAsia" w:ascii="宋体" w:hAnsi="宋体"/>
          <w:b/>
          <w:color w:val="000000"/>
          <w:sz w:val="24"/>
        </w:rPr>
        <w:t>表8－4－3     锅炉大气污染物产生及排放情况     浓度单位：mg/Nm</w:t>
      </w:r>
      <w:r>
        <w:rPr>
          <w:rFonts w:hint="eastAsia" w:ascii="宋体" w:hAnsi="宋体"/>
          <w:b/>
          <w:color w:val="000000"/>
          <w:sz w:val="24"/>
          <w:vertAlign w:val="superscript"/>
        </w:rPr>
        <w:t>3</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55"/>
        <w:gridCol w:w="897"/>
        <w:gridCol w:w="912"/>
        <w:gridCol w:w="919"/>
        <w:gridCol w:w="705"/>
        <w:gridCol w:w="810"/>
        <w:gridCol w:w="1065"/>
        <w:gridCol w:w="951"/>
        <w:gridCol w:w="918"/>
        <w:gridCol w:w="775"/>
      </w:tblGrid>
      <w:tr w14:paraId="493F3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wAfter w:w="0" w:type="dxa"/>
          <w:cantSplit/>
          <w:trHeight w:val="387" w:hRule="atLeast"/>
          <w:jc w:val="center"/>
        </w:trPr>
        <w:tc>
          <w:tcPr>
            <w:tcW w:w="1055" w:type="dxa"/>
            <w:vMerge w:val="restart"/>
            <w:noWrap w:val="0"/>
            <w:vAlign w:val="center"/>
          </w:tcPr>
          <w:p w14:paraId="69C13AED">
            <w:pPr>
              <w:ind w:firstLine="105" w:firstLineChars="50"/>
              <w:jc w:val="center"/>
              <w:rPr>
                <w:rFonts w:hint="eastAsia" w:ascii="宋体" w:hAnsi="宋体"/>
                <w:color w:val="000000"/>
              </w:rPr>
            </w:pPr>
            <w:r>
              <w:rPr>
                <w:rFonts w:hint="eastAsia" w:ascii="宋体" w:hAnsi="宋体"/>
                <w:color w:val="000000"/>
              </w:rPr>
              <w:t>项　 目</w:t>
            </w:r>
          </w:p>
        </w:tc>
        <w:tc>
          <w:tcPr>
            <w:tcW w:w="897" w:type="dxa"/>
            <w:vMerge w:val="restart"/>
            <w:noWrap w:val="0"/>
            <w:vAlign w:val="center"/>
          </w:tcPr>
          <w:p w14:paraId="24A93CA1">
            <w:pPr>
              <w:jc w:val="center"/>
              <w:rPr>
                <w:rFonts w:hint="eastAsia" w:ascii="宋体" w:hAnsi="宋体"/>
                <w:color w:val="000000"/>
              </w:rPr>
            </w:pPr>
            <w:r>
              <w:rPr>
                <w:rFonts w:hint="eastAsia" w:ascii="宋体" w:hAnsi="宋体"/>
                <w:color w:val="000000"/>
              </w:rPr>
              <w:t>耗煤量</w:t>
            </w:r>
          </w:p>
          <w:p w14:paraId="2CB99A29">
            <w:pPr>
              <w:jc w:val="center"/>
              <w:rPr>
                <w:rFonts w:hint="eastAsia" w:ascii="宋体" w:hAnsi="宋体"/>
                <w:color w:val="000000"/>
              </w:rPr>
            </w:pPr>
            <w:r>
              <w:rPr>
                <w:rFonts w:hint="eastAsia" w:ascii="宋体" w:hAnsi="宋体"/>
                <w:color w:val="000000"/>
              </w:rPr>
              <w:t>(t/h)</w:t>
            </w:r>
          </w:p>
        </w:tc>
        <w:tc>
          <w:tcPr>
            <w:tcW w:w="3346" w:type="dxa"/>
            <w:gridSpan w:val="4"/>
            <w:noWrap w:val="0"/>
            <w:vAlign w:val="center"/>
          </w:tcPr>
          <w:p w14:paraId="506DC102">
            <w:pPr>
              <w:jc w:val="center"/>
              <w:rPr>
                <w:rFonts w:ascii="宋体" w:hAnsi="宋体"/>
                <w:color w:val="000000"/>
              </w:rPr>
            </w:pPr>
            <w:r>
              <w:rPr>
                <w:rFonts w:hint="eastAsia" w:ascii="宋体" w:hAnsi="宋体"/>
                <w:color w:val="000000"/>
              </w:rPr>
              <w:t>烟　　　尘</w:t>
            </w:r>
          </w:p>
        </w:tc>
        <w:tc>
          <w:tcPr>
            <w:tcW w:w="3709" w:type="dxa"/>
            <w:gridSpan w:val="4"/>
            <w:noWrap w:val="0"/>
            <w:vAlign w:val="center"/>
          </w:tcPr>
          <w:p w14:paraId="2330A62A">
            <w:pPr>
              <w:jc w:val="center"/>
              <w:rPr>
                <w:rFonts w:hint="eastAsia" w:ascii="宋体" w:hAnsi="宋体"/>
                <w:color w:val="000000"/>
              </w:rPr>
            </w:pPr>
            <w:r>
              <w:rPr>
                <w:rFonts w:hint="eastAsia" w:ascii="宋体" w:hAnsi="宋体"/>
                <w:color w:val="000000"/>
              </w:rPr>
              <w:t>SO</w:t>
            </w:r>
            <w:r>
              <w:rPr>
                <w:rFonts w:hint="eastAsia" w:ascii="宋体" w:hAnsi="宋体"/>
                <w:color w:val="000000"/>
                <w:vertAlign w:val="subscript"/>
              </w:rPr>
              <w:t>2</w:t>
            </w:r>
          </w:p>
        </w:tc>
      </w:tr>
      <w:tr w14:paraId="4FCD9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cantSplit/>
          <w:trHeight w:val="387" w:hRule="atLeast"/>
          <w:jc w:val="center"/>
        </w:trPr>
        <w:tc>
          <w:tcPr>
            <w:tcW w:w="1055" w:type="dxa"/>
            <w:vMerge w:val="continue"/>
            <w:noWrap w:val="0"/>
            <w:vAlign w:val="center"/>
          </w:tcPr>
          <w:p w14:paraId="7327DDC8">
            <w:pPr>
              <w:jc w:val="center"/>
              <w:rPr>
                <w:rFonts w:hint="eastAsia" w:ascii="宋体" w:hAnsi="宋体"/>
                <w:color w:val="000000"/>
              </w:rPr>
            </w:pPr>
          </w:p>
        </w:tc>
        <w:tc>
          <w:tcPr>
            <w:tcW w:w="897" w:type="dxa"/>
            <w:vMerge w:val="continue"/>
            <w:noWrap w:val="0"/>
            <w:vAlign w:val="center"/>
          </w:tcPr>
          <w:p w14:paraId="7D7E2B40">
            <w:pPr>
              <w:jc w:val="center"/>
              <w:rPr>
                <w:rFonts w:hint="eastAsia" w:ascii="宋体" w:hAnsi="宋体"/>
                <w:color w:val="000000"/>
              </w:rPr>
            </w:pPr>
          </w:p>
        </w:tc>
        <w:tc>
          <w:tcPr>
            <w:tcW w:w="912" w:type="dxa"/>
            <w:noWrap w:val="0"/>
            <w:vAlign w:val="center"/>
          </w:tcPr>
          <w:p w14:paraId="51CD09E7">
            <w:pPr>
              <w:jc w:val="center"/>
              <w:rPr>
                <w:rFonts w:hint="eastAsia" w:ascii="宋体" w:hAnsi="宋体"/>
                <w:color w:val="000000"/>
              </w:rPr>
            </w:pPr>
            <w:r>
              <w:rPr>
                <w:rFonts w:hint="eastAsia" w:ascii="宋体" w:hAnsi="宋体"/>
                <w:color w:val="000000"/>
              </w:rPr>
              <w:t>产生量</w:t>
            </w:r>
          </w:p>
          <w:p w14:paraId="1678018D">
            <w:pPr>
              <w:jc w:val="center"/>
              <w:rPr>
                <w:rFonts w:ascii="宋体" w:hAnsi="宋体"/>
                <w:color w:val="000000"/>
              </w:rPr>
            </w:pPr>
            <w:r>
              <w:rPr>
                <w:rFonts w:hint="eastAsia" w:ascii="宋体" w:hAnsi="宋体"/>
                <w:color w:val="000000"/>
              </w:rPr>
              <w:t>（kg/h）</w:t>
            </w:r>
          </w:p>
        </w:tc>
        <w:tc>
          <w:tcPr>
            <w:tcW w:w="919" w:type="dxa"/>
            <w:noWrap w:val="0"/>
            <w:vAlign w:val="center"/>
          </w:tcPr>
          <w:p w14:paraId="5DA9DAE6">
            <w:pPr>
              <w:jc w:val="center"/>
              <w:rPr>
                <w:rFonts w:hint="eastAsia" w:ascii="宋体" w:hAnsi="宋体"/>
                <w:color w:val="000000"/>
              </w:rPr>
            </w:pPr>
            <w:r>
              <w:rPr>
                <w:rFonts w:hint="eastAsia" w:ascii="宋体" w:hAnsi="宋体"/>
                <w:color w:val="000000"/>
              </w:rPr>
              <w:t>排放量</w:t>
            </w:r>
          </w:p>
          <w:p w14:paraId="25B2A5DA">
            <w:pPr>
              <w:jc w:val="center"/>
              <w:rPr>
                <w:rFonts w:ascii="宋体" w:hAnsi="宋体"/>
                <w:color w:val="000000"/>
              </w:rPr>
            </w:pPr>
            <w:r>
              <w:rPr>
                <w:rFonts w:hint="eastAsia" w:ascii="宋体" w:hAnsi="宋体"/>
                <w:color w:val="000000"/>
              </w:rPr>
              <w:t>（kg/h）</w:t>
            </w:r>
          </w:p>
        </w:tc>
        <w:tc>
          <w:tcPr>
            <w:tcW w:w="705" w:type="dxa"/>
            <w:noWrap w:val="0"/>
            <w:vAlign w:val="center"/>
          </w:tcPr>
          <w:p w14:paraId="37DB87BF">
            <w:pPr>
              <w:jc w:val="center"/>
              <w:rPr>
                <w:rFonts w:hint="eastAsia" w:ascii="宋体" w:hAnsi="宋体"/>
                <w:color w:val="000000"/>
              </w:rPr>
            </w:pPr>
            <w:r>
              <w:rPr>
                <w:rFonts w:hint="eastAsia" w:ascii="宋体" w:hAnsi="宋体"/>
                <w:color w:val="000000"/>
              </w:rPr>
              <w:t>排放</w:t>
            </w:r>
          </w:p>
          <w:p w14:paraId="64A4467B">
            <w:pPr>
              <w:jc w:val="center"/>
              <w:rPr>
                <w:rFonts w:ascii="宋体" w:hAnsi="宋体"/>
                <w:color w:val="000000"/>
              </w:rPr>
            </w:pPr>
            <w:r>
              <w:rPr>
                <w:rFonts w:hint="eastAsia" w:ascii="宋体" w:hAnsi="宋体"/>
                <w:color w:val="000000"/>
              </w:rPr>
              <w:t>浓度</w:t>
            </w:r>
          </w:p>
        </w:tc>
        <w:tc>
          <w:tcPr>
            <w:tcW w:w="810" w:type="dxa"/>
            <w:noWrap w:val="0"/>
            <w:vAlign w:val="center"/>
          </w:tcPr>
          <w:p w14:paraId="548EE43B">
            <w:pPr>
              <w:jc w:val="center"/>
              <w:rPr>
                <w:rFonts w:hint="eastAsia" w:ascii="宋体" w:hAnsi="宋体"/>
                <w:color w:val="000000"/>
              </w:rPr>
            </w:pPr>
            <w:r>
              <w:rPr>
                <w:rFonts w:hint="eastAsia" w:ascii="宋体" w:hAnsi="宋体"/>
                <w:color w:val="000000"/>
              </w:rPr>
              <w:t>排放</w:t>
            </w:r>
          </w:p>
          <w:p w14:paraId="24B00DB7">
            <w:pPr>
              <w:jc w:val="center"/>
              <w:rPr>
                <w:rFonts w:hint="eastAsia" w:ascii="宋体" w:hAnsi="宋体"/>
                <w:color w:val="000000"/>
              </w:rPr>
            </w:pPr>
            <w:r>
              <w:rPr>
                <w:rFonts w:hint="eastAsia" w:ascii="宋体" w:hAnsi="宋体"/>
                <w:color w:val="000000"/>
              </w:rPr>
              <w:t>标准</w:t>
            </w:r>
          </w:p>
        </w:tc>
        <w:tc>
          <w:tcPr>
            <w:tcW w:w="1065" w:type="dxa"/>
            <w:noWrap w:val="0"/>
            <w:vAlign w:val="center"/>
          </w:tcPr>
          <w:p w14:paraId="43F17258">
            <w:pPr>
              <w:jc w:val="center"/>
              <w:rPr>
                <w:rFonts w:hint="eastAsia" w:ascii="宋体" w:hAnsi="宋体"/>
                <w:color w:val="000000"/>
              </w:rPr>
            </w:pPr>
            <w:r>
              <w:rPr>
                <w:rFonts w:hint="eastAsia" w:ascii="宋体" w:hAnsi="宋体"/>
                <w:color w:val="000000"/>
              </w:rPr>
              <w:t>产生量</w:t>
            </w:r>
          </w:p>
          <w:p w14:paraId="485E7559">
            <w:pPr>
              <w:jc w:val="center"/>
              <w:rPr>
                <w:rFonts w:ascii="宋体" w:hAnsi="宋体"/>
                <w:color w:val="000000"/>
              </w:rPr>
            </w:pPr>
            <w:r>
              <w:rPr>
                <w:rFonts w:hint="eastAsia" w:ascii="宋体" w:hAnsi="宋体"/>
                <w:color w:val="000000"/>
              </w:rPr>
              <w:t>（kg/h）</w:t>
            </w:r>
          </w:p>
        </w:tc>
        <w:tc>
          <w:tcPr>
            <w:tcW w:w="951" w:type="dxa"/>
            <w:noWrap w:val="0"/>
            <w:vAlign w:val="center"/>
          </w:tcPr>
          <w:p w14:paraId="27CF1B9D">
            <w:pPr>
              <w:jc w:val="center"/>
              <w:rPr>
                <w:rFonts w:hint="eastAsia" w:ascii="宋体" w:hAnsi="宋体"/>
                <w:color w:val="000000"/>
              </w:rPr>
            </w:pPr>
            <w:r>
              <w:rPr>
                <w:rFonts w:hint="eastAsia" w:ascii="宋体" w:hAnsi="宋体"/>
                <w:color w:val="000000"/>
              </w:rPr>
              <w:t>排放量</w:t>
            </w:r>
          </w:p>
          <w:p w14:paraId="730D9EB2">
            <w:pPr>
              <w:jc w:val="center"/>
              <w:rPr>
                <w:rFonts w:ascii="宋体" w:hAnsi="宋体"/>
                <w:color w:val="000000"/>
              </w:rPr>
            </w:pPr>
            <w:r>
              <w:rPr>
                <w:rFonts w:hint="eastAsia" w:ascii="宋体" w:hAnsi="宋体"/>
                <w:color w:val="000000"/>
              </w:rPr>
              <w:t>（kg/h）</w:t>
            </w:r>
          </w:p>
        </w:tc>
        <w:tc>
          <w:tcPr>
            <w:tcW w:w="918" w:type="dxa"/>
            <w:noWrap w:val="0"/>
            <w:vAlign w:val="center"/>
          </w:tcPr>
          <w:p w14:paraId="128182AC">
            <w:pPr>
              <w:jc w:val="center"/>
              <w:rPr>
                <w:rFonts w:hint="eastAsia" w:ascii="宋体" w:hAnsi="宋体"/>
                <w:color w:val="000000"/>
              </w:rPr>
            </w:pPr>
            <w:r>
              <w:rPr>
                <w:rFonts w:hint="eastAsia" w:ascii="宋体" w:hAnsi="宋体"/>
                <w:color w:val="000000"/>
              </w:rPr>
              <w:t>排放</w:t>
            </w:r>
          </w:p>
          <w:p w14:paraId="117C8827">
            <w:pPr>
              <w:jc w:val="center"/>
              <w:rPr>
                <w:rFonts w:ascii="宋体" w:hAnsi="宋体"/>
                <w:color w:val="000000"/>
              </w:rPr>
            </w:pPr>
            <w:r>
              <w:rPr>
                <w:rFonts w:hint="eastAsia" w:ascii="宋体" w:hAnsi="宋体"/>
                <w:color w:val="000000"/>
              </w:rPr>
              <w:t>浓度</w:t>
            </w:r>
          </w:p>
        </w:tc>
        <w:tc>
          <w:tcPr>
            <w:tcW w:w="775" w:type="dxa"/>
            <w:noWrap w:val="0"/>
            <w:vAlign w:val="center"/>
          </w:tcPr>
          <w:p w14:paraId="659C980C">
            <w:pPr>
              <w:jc w:val="center"/>
              <w:rPr>
                <w:rFonts w:hint="eastAsia" w:ascii="宋体" w:hAnsi="宋体"/>
                <w:color w:val="000000"/>
              </w:rPr>
            </w:pPr>
            <w:r>
              <w:rPr>
                <w:rFonts w:hint="eastAsia" w:ascii="宋体" w:hAnsi="宋体"/>
                <w:color w:val="000000"/>
              </w:rPr>
              <w:t>排放</w:t>
            </w:r>
          </w:p>
          <w:p w14:paraId="458047C3">
            <w:pPr>
              <w:jc w:val="center"/>
              <w:rPr>
                <w:rFonts w:hint="eastAsia" w:ascii="宋体" w:hAnsi="宋体"/>
                <w:color w:val="000000"/>
              </w:rPr>
            </w:pPr>
            <w:r>
              <w:rPr>
                <w:rFonts w:hint="eastAsia" w:ascii="宋体" w:hAnsi="宋体"/>
                <w:color w:val="000000"/>
              </w:rPr>
              <w:t>标准</w:t>
            </w:r>
          </w:p>
        </w:tc>
      </w:tr>
      <w:tr w14:paraId="4ABF0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cantSplit/>
          <w:trHeight w:val="387" w:hRule="atLeast"/>
          <w:jc w:val="center"/>
        </w:trPr>
        <w:tc>
          <w:tcPr>
            <w:tcW w:w="1055" w:type="dxa"/>
            <w:noWrap w:val="0"/>
            <w:vAlign w:val="center"/>
          </w:tcPr>
          <w:p w14:paraId="34AC0E9C">
            <w:pPr>
              <w:jc w:val="center"/>
              <w:rPr>
                <w:rFonts w:hint="eastAsia" w:ascii="宋体" w:hAnsi="宋体"/>
                <w:color w:val="000000"/>
              </w:rPr>
            </w:pPr>
            <w:r>
              <w:rPr>
                <w:rFonts w:hint="eastAsia" w:ascii="宋体" w:hAnsi="宋体"/>
                <w:color w:val="000000"/>
              </w:rPr>
              <w:t>采暖期</w:t>
            </w:r>
          </w:p>
        </w:tc>
        <w:tc>
          <w:tcPr>
            <w:tcW w:w="897" w:type="dxa"/>
            <w:noWrap w:val="0"/>
            <w:vAlign w:val="center"/>
          </w:tcPr>
          <w:p w14:paraId="0983A3D9">
            <w:pPr>
              <w:jc w:val="center"/>
              <w:rPr>
                <w:rFonts w:hint="eastAsia" w:ascii="宋体" w:hAnsi="宋体"/>
                <w:color w:val="000000"/>
              </w:rPr>
            </w:pPr>
            <w:r>
              <w:rPr>
                <w:rFonts w:hint="eastAsia" w:ascii="宋体" w:hAnsi="宋体"/>
                <w:color w:val="000000"/>
              </w:rPr>
              <w:t>0.32</w:t>
            </w:r>
          </w:p>
        </w:tc>
        <w:tc>
          <w:tcPr>
            <w:tcW w:w="912" w:type="dxa"/>
            <w:noWrap w:val="0"/>
            <w:vAlign w:val="center"/>
          </w:tcPr>
          <w:p w14:paraId="6A7FDDD1">
            <w:pPr>
              <w:jc w:val="center"/>
              <w:rPr>
                <w:rFonts w:hint="eastAsia" w:ascii="宋体" w:hAnsi="宋体"/>
                <w:color w:val="000000"/>
              </w:rPr>
            </w:pPr>
            <w:r>
              <w:rPr>
                <w:rFonts w:hint="eastAsia" w:ascii="宋体" w:hAnsi="宋体"/>
                <w:color w:val="000000"/>
              </w:rPr>
              <w:t>8.64</w:t>
            </w:r>
          </w:p>
        </w:tc>
        <w:tc>
          <w:tcPr>
            <w:tcW w:w="919" w:type="dxa"/>
            <w:noWrap w:val="0"/>
            <w:vAlign w:val="center"/>
          </w:tcPr>
          <w:p w14:paraId="28216483">
            <w:pPr>
              <w:jc w:val="center"/>
              <w:rPr>
                <w:rFonts w:hint="eastAsia" w:ascii="宋体" w:hAnsi="宋体"/>
                <w:color w:val="000000"/>
              </w:rPr>
            </w:pPr>
            <w:r>
              <w:rPr>
                <w:rFonts w:hint="eastAsia" w:ascii="宋体" w:hAnsi="宋体"/>
                <w:color w:val="000000"/>
              </w:rPr>
              <w:t>0.44</w:t>
            </w:r>
          </w:p>
        </w:tc>
        <w:tc>
          <w:tcPr>
            <w:tcW w:w="705" w:type="dxa"/>
            <w:noWrap w:val="0"/>
            <w:vAlign w:val="center"/>
          </w:tcPr>
          <w:p w14:paraId="4782CBA9">
            <w:pPr>
              <w:jc w:val="center"/>
              <w:rPr>
                <w:rFonts w:hint="eastAsia" w:ascii="宋体" w:hAnsi="宋体"/>
                <w:color w:val="000000"/>
              </w:rPr>
            </w:pPr>
            <w:r>
              <w:rPr>
                <w:rFonts w:hint="eastAsia" w:ascii="宋体" w:hAnsi="宋体"/>
                <w:color w:val="000000"/>
              </w:rPr>
              <w:t>90</w:t>
            </w:r>
          </w:p>
        </w:tc>
        <w:tc>
          <w:tcPr>
            <w:tcW w:w="810" w:type="dxa"/>
            <w:noWrap w:val="0"/>
            <w:vAlign w:val="center"/>
          </w:tcPr>
          <w:p w14:paraId="7A3489BF">
            <w:pPr>
              <w:jc w:val="center"/>
              <w:rPr>
                <w:rFonts w:hint="eastAsia" w:ascii="宋体" w:hAnsi="宋体"/>
                <w:color w:val="000000"/>
              </w:rPr>
            </w:pPr>
            <w:r>
              <w:rPr>
                <w:rFonts w:hint="eastAsia" w:ascii="宋体" w:hAnsi="宋体"/>
                <w:color w:val="000000"/>
              </w:rPr>
              <w:t>200</w:t>
            </w:r>
          </w:p>
        </w:tc>
        <w:tc>
          <w:tcPr>
            <w:tcW w:w="1065" w:type="dxa"/>
            <w:noWrap w:val="0"/>
            <w:vAlign w:val="center"/>
          </w:tcPr>
          <w:p w14:paraId="780B4EE8">
            <w:pPr>
              <w:jc w:val="center"/>
              <w:rPr>
                <w:rFonts w:hint="eastAsia" w:ascii="宋体" w:hAnsi="宋体"/>
                <w:color w:val="000000"/>
              </w:rPr>
            </w:pPr>
            <w:r>
              <w:rPr>
                <w:rFonts w:hint="eastAsia" w:ascii="宋体" w:hAnsi="宋体"/>
                <w:color w:val="000000"/>
              </w:rPr>
              <w:t>12.80</w:t>
            </w:r>
          </w:p>
        </w:tc>
        <w:tc>
          <w:tcPr>
            <w:tcW w:w="951" w:type="dxa"/>
            <w:noWrap w:val="0"/>
            <w:vAlign w:val="center"/>
          </w:tcPr>
          <w:p w14:paraId="514B59A4">
            <w:pPr>
              <w:jc w:val="center"/>
              <w:rPr>
                <w:rFonts w:hint="eastAsia" w:ascii="宋体" w:hAnsi="宋体"/>
                <w:color w:val="000000"/>
              </w:rPr>
            </w:pPr>
            <w:r>
              <w:rPr>
                <w:rFonts w:hint="eastAsia" w:ascii="宋体" w:hAnsi="宋体"/>
                <w:color w:val="000000"/>
              </w:rPr>
              <w:t>5.12</w:t>
            </w:r>
          </w:p>
        </w:tc>
        <w:tc>
          <w:tcPr>
            <w:tcW w:w="918" w:type="dxa"/>
            <w:noWrap w:val="0"/>
            <w:vAlign w:val="center"/>
          </w:tcPr>
          <w:p w14:paraId="3EE72A98">
            <w:pPr>
              <w:jc w:val="center"/>
              <w:rPr>
                <w:rFonts w:hint="eastAsia" w:ascii="宋体" w:hAnsi="宋体"/>
                <w:color w:val="000000"/>
              </w:rPr>
            </w:pPr>
            <w:r>
              <w:rPr>
                <w:rFonts w:hint="eastAsia" w:ascii="宋体" w:hAnsi="宋体"/>
                <w:color w:val="000000"/>
              </w:rPr>
              <w:t>1067</w:t>
            </w:r>
          </w:p>
        </w:tc>
        <w:tc>
          <w:tcPr>
            <w:tcW w:w="775" w:type="dxa"/>
            <w:noWrap w:val="0"/>
            <w:vAlign w:val="center"/>
          </w:tcPr>
          <w:p w14:paraId="4BD786FE">
            <w:pPr>
              <w:jc w:val="center"/>
              <w:rPr>
                <w:rFonts w:hint="eastAsia" w:ascii="宋体" w:hAnsi="宋体"/>
                <w:color w:val="000000"/>
              </w:rPr>
            </w:pPr>
            <w:r>
              <w:rPr>
                <w:rFonts w:hint="eastAsia" w:ascii="宋体" w:hAnsi="宋体"/>
                <w:color w:val="000000"/>
              </w:rPr>
              <w:t>900</w:t>
            </w:r>
          </w:p>
        </w:tc>
      </w:tr>
      <w:tr w14:paraId="7F711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cantSplit/>
          <w:trHeight w:val="387" w:hRule="atLeast"/>
          <w:jc w:val="center"/>
        </w:trPr>
        <w:tc>
          <w:tcPr>
            <w:tcW w:w="1055" w:type="dxa"/>
            <w:noWrap w:val="0"/>
            <w:vAlign w:val="center"/>
          </w:tcPr>
          <w:p w14:paraId="1377B49D">
            <w:pPr>
              <w:jc w:val="center"/>
              <w:rPr>
                <w:rFonts w:hint="eastAsia" w:ascii="宋体" w:hAnsi="宋体"/>
                <w:color w:val="000000"/>
              </w:rPr>
            </w:pPr>
            <w:r>
              <w:rPr>
                <w:rFonts w:hint="eastAsia" w:ascii="宋体" w:hAnsi="宋体"/>
                <w:color w:val="000000"/>
              </w:rPr>
              <w:t>非采暖期</w:t>
            </w:r>
          </w:p>
        </w:tc>
        <w:tc>
          <w:tcPr>
            <w:tcW w:w="897" w:type="dxa"/>
            <w:noWrap w:val="0"/>
            <w:vAlign w:val="center"/>
          </w:tcPr>
          <w:p w14:paraId="01D8A3D9">
            <w:pPr>
              <w:jc w:val="center"/>
              <w:rPr>
                <w:rFonts w:hint="eastAsia" w:ascii="宋体" w:hAnsi="宋体"/>
                <w:color w:val="000000"/>
              </w:rPr>
            </w:pPr>
            <w:r>
              <w:rPr>
                <w:rFonts w:hint="eastAsia" w:ascii="宋体" w:hAnsi="宋体"/>
                <w:color w:val="000000"/>
              </w:rPr>
              <w:t>0.16</w:t>
            </w:r>
          </w:p>
        </w:tc>
        <w:tc>
          <w:tcPr>
            <w:tcW w:w="912" w:type="dxa"/>
            <w:noWrap w:val="0"/>
            <w:vAlign w:val="center"/>
          </w:tcPr>
          <w:p w14:paraId="6C238C93">
            <w:pPr>
              <w:jc w:val="center"/>
              <w:rPr>
                <w:rFonts w:hint="eastAsia" w:ascii="宋体" w:hAnsi="宋体"/>
                <w:color w:val="000000"/>
              </w:rPr>
            </w:pPr>
            <w:r>
              <w:rPr>
                <w:rFonts w:hint="eastAsia" w:ascii="宋体" w:hAnsi="宋体"/>
                <w:color w:val="000000"/>
              </w:rPr>
              <w:t>4.32</w:t>
            </w:r>
          </w:p>
        </w:tc>
        <w:tc>
          <w:tcPr>
            <w:tcW w:w="919" w:type="dxa"/>
            <w:noWrap w:val="0"/>
            <w:vAlign w:val="center"/>
          </w:tcPr>
          <w:p w14:paraId="4AB3B2A4">
            <w:pPr>
              <w:jc w:val="center"/>
              <w:rPr>
                <w:rFonts w:hint="eastAsia" w:ascii="宋体" w:hAnsi="宋体"/>
                <w:color w:val="000000"/>
              </w:rPr>
            </w:pPr>
            <w:r>
              <w:rPr>
                <w:rFonts w:hint="eastAsia" w:ascii="宋体" w:hAnsi="宋体"/>
                <w:color w:val="000000"/>
              </w:rPr>
              <w:t>0.22</w:t>
            </w:r>
          </w:p>
        </w:tc>
        <w:tc>
          <w:tcPr>
            <w:tcW w:w="705" w:type="dxa"/>
            <w:noWrap w:val="0"/>
            <w:vAlign w:val="center"/>
          </w:tcPr>
          <w:p w14:paraId="75A756E2">
            <w:pPr>
              <w:jc w:val="center"/>
              <w:rPr>
                <w:rFonts w:hint="eastAsia" w:ascii="宋体" w:hAnsi="宋体"/>
                <w:color w:val="000000"/>
              </w:rPr>
            </w:pPr>
            <w:r>
              <w:rPr>
                <w:rFonts w:hint="eastAsia" w:ascii="宋体" w:hAnsi="宋体"/>
                <w:color w:val="000000"/>
              </w:rPr>
              <w:t>90</w:t>
            </w:r>
          </w:p>
        </w:tc>
        <w:tc>
          <w:tcPr>
            <w:tcW w:w="810" w:type="dxa"/>
            <w:noWrap w:val="0"/>
            <w:vAlign w:val="center"/>
          </w:tcPr>
          <w:p w14:paraId="755D5554">
            <w:pPr>
              <w:jc w:val="center"/>
              <w:rPr>
                <w:rFonts w:hint="eastAsia" w:ascii="宋体" w:hAnsi="宋体"/>
                <w:color w:val="000000"/>
              </w:rPr>
            </w:pPr>
            <w:r>
              <w:rPr>
                <w:rFonts w:hint="eastAsia" w:ascii="宋体" w:hAnsi="宋体"/>
                <w:color w:val="000000"/>
              </w:rPr>
              <w:t>200</w:t>
            </w:r>
          </w:p>
        </w:tc>
        <w:tc>
          <w:tcPr>
            <w:tcW w:w="1065" w:type="dxa"/>
            <w:noWrap w:val="0"/>
            <w:vAlign w:val="center"/>
          </w:tcPr>
          <w:p w14:paraId="2BD0CD1F">
            <w:pPr>
              <w:jc w:val="center"/>
              <w:rPr>
                <w:rFonts w:hint="eastAsia" w:ascii="宋体" w:hAnsi="宋体"/>
                <w:color w:val="000000"/>
              </w:rPr>
            </w:pPr>
            <w:r>
              <w:rPr>
                <w:rFonts w:hint="eastAsia" w:ascii="宋体" w:hAnsi="宋体"/>
                <w:color w:val="000000"/>
              </w:rPr>
              <w:t>6.40</w:t>
            </w:r>
          </w:p>
        </w:tc>
        <w:tc>
          <w:tcPr>
            <w:tcW w:w="951" w:type="dxa"/>
            <w:noWrap w:val="0"/>
            <w:vAlign w:val="center"/>
          </w:tcPr>
          <w:p w14:paraId="4291D0F6">
            <w:pPr>
              <w:jc w:val="center"/>
              <w:rPr>
                <w:rFonts w:hint="eastAsia" w:ascii="宋体" w:hAnsi="宋体"/>
                <w:color w:val="000000"/>
              </w:rPr>
            </w:pPr>
            <w:r>
              <w:rPr>
                <w:rFonts w:hint="eastAsia" w:ascii="宋体" w:hAnsi="宋体"/>
                <w:color w:val="000000"/>
              </w:rPr>
              <w:t>2.56</w:t>
            </w:r>
          </w:p>
        </w:tc>
        <w:tc>
          <w:tcPr>
            <w:tcW w:w="918" w:type="dxa"/>
            <w:noWrap w:val="0"/>
            <w:vAlign w:val="center"/>
          </w:tcPr>
          <w:p w14:paraId="7A249C43">
            <w:pPr>
              <w:jc w:val="center"/>
              <w:rPr>
                <w:rFonts w:hint="eastAsia" w:ascii="宋体" w:hAnsi="宋体"/>
                <w:color w:val="000000"/>
              </w:rPr>
            </w:pPr>
            <w:r>
              <w:rPr>
                <w:rFonts w:hint="eastAsia" w:ascii="宋体" w:hAnsi="宋体"/>
                <w:color w:val="000000"/>
              </w:rPr>
              <w:t>1067</w:t>
            </w:r>
          </w:p>
        </w:tc>
        <w:tc>
          <w:tcPr>
            <w:tcW w:w="775" w:type="dxa"/>
            <w:noWrap w:val="0"/>
            <w:vAlign w:val="center"/>
          </w:tcPr>
          <w:p w14:paraId="73629BCC">
            <w:pPr>
              <w:jc w:val="center"/>
              <w:rPr>
                <w:rFonts w:hint="eastAsia" w:ascii="宋体" w:hAnsi="宋体"/>
                <w:color w:val="000000"/>
              </w:rPr>
            </w:pPr>
            <w:r>
              <w:rPr>
                <w:rFonts w:hint="eastAsia" w:ascii="宋体" w:hAnsi="宋体"/>
                <w:color w:val="000000"/>
              </w:rPr>
              <w:t>900</w:t>
            </w:r>
          </w:p>
        </w:tc>
      </w:tr>
      <w:tr w14:paraId="48372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cantSplit/>
          <w:trHeight w:val="387" w:hRule="atLeast"/>
          <w:jc w:val="center"/>
        </w:trPr>
        <w:tc>
          <w:tcPr>
            <w:tcW w:w="1055" w:type="dxa"/>
            <w:noWrap w:val="0"/>
            <w:vAlign w:val="center"/>
          </w:tcPr>
          <w:p w14:paraId="45B7B8C2">
            <w:pPr>
              <w:jc w:val="center"/>
              <w:rPr>
                <w:rFonts w:hint="eastAsia" w:ascii="宋体" w:hAnsi="宋体"/>
                <w:color w:val="000000"/>
              </w:rPr>
            </w:pPr>
            <w:r>
              <w:rPr>
                <w:rFonts w:hint="eastAsia" w:ascii="宋体" w:hAnsi="宋体"/>
                <w:color w:val="000000"/>
              </w:rPr>
              <w:t>全　年</w:t>
            </w:r>
          </w:p>
        </w:tc>
        <w:tc>
          <w:tcPr>
            <w:tcW w:w="897" w:type="dxa"/>
            <w:noWrap w:val="0"/>
            <w:vAlign w:val="center"/>
          </w:tcPr>
          <w:p w14:paraId="6FB97714">
            <w:pPr>
              <w:jc w:val="center"/>
              <w:rPr>
                <w:rFonts w:hint="eastAsia" w:ascii="宋体" w:hAnsi="宋体"/>
                <w:color w:val="000000"/>
              </w:rPr>
            </w:pPr>
            <w:r>
              <w:rPr>
                <w:rFonts w:hint="eastAsia" w:ascii="宋体" w:hAnsi="宋体"/>
                <w:color w:val="000000"/>
              </w:rPr>
              <w:t>1027.2t</w:t>
            </w:r>
          </w:p>
        </w:tc>
        <w:tc>
          <w:tcPr>
            <w:tcW w:w="912" w:type="dxa"/>
            <w:noWrap w:val="0"/>
            <w:vAlign w:val="center"/>
          </w:tcPr>
          <w:p w14:paraId="1D242E01">
            <w:pPr>
              <w:jc w:val="center"/>
              <w:rPr>
                <w:rFonts w:hint="eastAsia" w:ascii="宋体" w:hAnsi="宋体"/>
                <w:color w:val="000000"/>
              </w:rPr>
            </w:pPr>
            <w:r>
              <w:rPr>
                <w:rFonts w:hint="eastAsia" w:ascii="宋体" w:hAnsi="宋体"/>
                <w:color w:val="000000"/>
              </w:rPr>
              <w:t>27.73t</w:t>
            </w:r>
          </w:p>
        </w:tc>
        <w:tc>
          <w:tcPr>
            <w:tcW w:w="919" w:type="dxa"/>
            <w:noWrap w:val="0"/>
            <w:vAlign w:val="center"/>
          </w:tcPr>
          <w:p w14:paraId="3DD46D9B">
            <w:pPr>
              <w:jc w:val="center"/>
              <w:rPr>
                <w:rFonts w:hint="eastAsia" w:ascii="宋体" w:hAnsi="宋体"/>
                <w:color w:val="000000"/>
              </w:rPr>
            </w:pPr>
            <w:r>
              <w:rPr>
                <w:rFonts w:hint="eastAsia" w:ascii="宋体" w:hAnsi="宋体"/>
                <w:color w:val="000000"/>
              </w:rPr>
              <w:t>1.42t</w:t>
            </w:r>
          </w:p>
        </w:tc>
        <w:tc>
          <w:tcPr>
            <w:tcW w:w="705" w:type="dxa"/>
            <w:noWrap w:val="0"/>
            <w:vAlign w:val="center"/>
          </w:tcPr>
          <w:p w14:paraId="546454DE">
            <w:pPr>
              <w:jc w:val="center"/>
              <w:rPr>
                <w:rFonts w:hint="eastAsia" w:ascii="宋体" w:hAnsi="宋体"/>
                <w:color w:val="000000"/>
              </w:rPr>
            </w:pPr>
          </w:p>
        </w:tc>
        <w:tc>
          <w:tcPr>
            <w:tcW w:w="810" w:type="dxa"/>
            <w:noWrap w:val="0"/>
            <w:vAlign w:val="center"/>
          </w:tcPr>
          <w:p w14:paraId="7DC6300D">
            <w:pPr>
              <w:jc w:val="center"/>
              <w:rPr>
                <w:rFonts w:hint="eastAsia" w:ascii="宋体" w:hAnsi="宋体"/>
                <w:color w:val="000000"/>
              </w:rPr>
            </w:pPr>
          </w:p>
        </w:tc>
        <w:tc>
          <w:tcPr>
            <w:tcW w:w="1065" w:type="dxa"/>
            <w:noWrap w:val="0"/>
            <w:vAlign w:val="center"/>
          </w:tcPr>
          <w:p w14:paraId="3D9C4DB3">
            <w:pPr>
              <w:jc w:val="center"/>
              <w:rPr>
                <w:rFonts w:hint="eastAsia" w:ascii="宋体" w:hAnsi="宋体"/>
                <w:color w:val="000000"/>
              </w:rPr>
            </w:pPr>
            <w:r>
              <w:rPr>
                <w:rFonts w:hint="eastAsia" w:ascii="宋体" w:hAnsi="宋体"/>
                <w:color w:val="000000"/>
              </w:rPr>
              <w:t>41.09t</w:t>
            </w:r>
          </w:p>
        </w:tc>
        <w:tc>
          <w:tcPr>
            <w:tcW w:w="951" w:type="dxa"/>
            <w:noWrap w:val="0"/>
            <w:vAlign w:val="center"/>
          </w:tcPr>
          <w:p w14:paraId="2D3656E7">
            <w:pPr>
              <w:jc w:val="center"/>
              <w:rPr>
                <w:rFonts w:hint="eastAsia" w:ascii="宋体" w:hAnsi="宋体"/>
                <w:color w:val="000000"/>
              </w:rPr>
            </w:pPr>
            <w:r>
              <w:rPr>
                <w:rFonts w:hint="eastAsia" w:ascii="宋体" w:hAnsi="宋体"/>
                <w:color w:val="000000"/>
              </w:rPr>
              <w:t>16.44t</w:t>
            </w:r>
          </w:p>
        </w:tc>
        <w:tc>
          <w:tcPr>
            <w:tcW w:w="918" w:type="dxa"/>
            <w:noWrap w:val="0"/>
            <w:vAlign w:val="center"/>
          </w:tcPr>
          <w:p w14:paraId="68375590">
            <w:pPr>
              <w:jc w:val="center"/>
              <w:rPr>
                <w:rFonts w:ascii="宋体" w:hAnsi="宋体"/>
                <w:color w:val="000000"/>
              </w:rPr>
            </w:pPr>
          </w:p>
        </w:tc>
        <w:tc>
          <w:tcPr>
            <w:tcW w:w="775" w:type="dxa"/>
            <w:noWrap w:val="0"/>
            <w:vAlign w:val="center"/>
          </w:tcPr>
          <w:p w14:paraId="7BFC78E1">
            <w:pPr>
              <w:jc w:val="center"/>
              <w:rPr>
                <w:rFonts w:hint="eastAsia" w:ascii="宋体" w:hAnsi="宋体"/>
                <w:color w:val="000000"/>
              </w:rPr>
            </w:pPr>
          </w:p>
        </w:tc>
      </w:tr>
    </w:tbl>
    <w:p w14:paraId="123DA5E2">
      <w:pPr>
        <w:spacing w:line="360" w:lineRule="auto"/>
        <w:ind w:firstLine="480" w:firstLineChars="200"/>
        <w:rPr>
          <w:rFonts w:hint="eastAsia" w:ascii="宋体" w:hAnsi="宋体"/>
          <w:color w:val="000000"/>
          <w:sz w:val="24"/>
        </w:rPr>
      </w:pPr>
      <w:r>
        <w:rPr>
          <w:rFonts w:hint="eastAsia" w:ascii="宋体" w:hAnsi="宋体"/>
          <w:color w:val="000000"/>
          <w:sz w:val="24"/>
        </w:rPr>
        <w:t>（2）工业场地及排矸场防尘</w:t>
      </w:r>
    </w:p>
    <w:p w14:paraId="75099CBC">
      <w:pPr>
        <w:spacing w:line="360" w:lineRule="auto"/>
        <w:ind w:firstLine="480" w:firstLineChars="200"/>
        <w:rPr>
          <w:rFonts w:hint="eastAsia" w:ascii="宋体" w:hAnsi="宋体"/>
          <w:color w:val="000000"/>
          <w:sz w:val="24"/>
        </w:rPr>
      </w:pPr>
      <w:r>
        <w:rPr>
          <w:rFonts w:hint="eastAsia" w:ascii="宋体" w:hAnsi="宋体"/>
          <w:color w:val="000000"/>
          <w:sz w:val="24"/>
        </w:rPr>
        <w:t>矿井原煤在储装运时，将产生煤粉尘。原煤从主井口至原煤地面储煤场及原煤外运过程中可能对环境产生污染。对厂区内露天储煤场环保要求采用喷淋洒水的抑尘措施，同时在贮煤场四周种植高大树木形成隔尘绿化带；对运煤汽车要求采取加盖蓬布、控制装载量等措施，以控制煤尘对环境的污染。</w:t>
      </w:r>
    </w:p>
    <w:p w14:paraId="08366687">
      <w:pPr>
        <w:spacing w:line="360" w:lineRule="auto"/>
        <w:ind w:firstLine="480" w:firstLineChars="200"/>
        <w:rPr>
          <w:rFonts w:hint="eastAsia" w:ascii="宋体" w:hAnsi="宋体"/>
          <w:color w:val="000000"/>
          <w:sz w:val="24"/>
        </w:rPr>
      </w:pPr>
      <w:r>
        <w:rPr>
          <w:rFonts w:hint="eastAsia" w:ascii="宋体" w:hAnsi="宋体"/>
          <w:color w:val="000000"/>
          <w:sz w:val="24"/>
        </w:rPr>
        <w:t>排矸场要求采用高压水枪喷雾措施，以防止扬尘产生；对道路扬尘，要求采取定期洒水的措施来抑制路面扬尘；根据《煤炭工业污染物排放标准》（GB20426-2006）要求，煤炭工业作业场所无组织排放监控点浓度不得超出表</w:t>
      </w:r>
      <w:r>
        <w:rPr>
          <w:rFonts w:hint="eastAsia" w:ascii="宋体" w:hAnsi="宋体"/>
          <w:b/>
          <w:color w:val="000000"/>
          <w:sz w:val="24"/>
        </w:rPr>
        <w:t>8－4－4</w:t>
      </w:r>
      <w:r>
        <w:rPr>
          <w:rFonts w:hint="eastAsia" w:ascii="宋体" w:hAnsi="宋体"/>
          <w:color w:val="000000"/>
          <w:sz w:val="24"/>
        </w:rPr>
        <w:t>所规定的排放限值。</w:t>
      </w:r>
    </w:p>
    <w:p w14:paraId="2373D81D">
      <w:pPr>
        <w:spacing w:line="360" w:lineRule="auto"/>
        <w:ind w:firstLine="200"/>
        <w:jc w:val="center"/>
        <w:rPr>
          <w:rFonts w:hint="eastAsia" w:ascii="宋体" w:hAnsi="宋体"/>
          <w:b/>
          <w:color w:val="000000"/>
          <w:sz w:val="24"/>
        </w:rPr>
      </w:pPr>
      <w:r>
        <w:rPr>
          <w:rFonts w:hint="eastAsia" w:ascii="宋体" w:hAnsi="宋体"/>
          <w:b/>
          <w:color w:val="000000"/>
          <w:sz w:val="24"/>
        </w:rPr>
        <w:t>表8－4－4     煤炭工业无组织排放限值</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423"/>
        <w:gridCol w:w="2909"/>
        <w:gridCol w:w="3448"/>
      </w:tblGrid>
      <w:tr w14:paraId="598B0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3" w:hRule="atLeast"/>
          <w:jc w:val="center"/>
        </w:trPr>
        <w:tc>
          <w:tcPr>
            <w:tcW w:w="1260" w:type="dxa"/>
            <w:vMerge w:val="restart"/>
            <w:noWrap w:val="0"/>
            <w:vAlign w:val="center"/>
          </w:tcPr>
          <w:p w14:paraId="1A858FFD">
            <w:pPr>
              <w:pStyle w:val="15"/>
              <w:adjustRightInd w:val="0"/>
              <w:snapToGrid w:val="0"/>
              <w:ind w:firstLine="0" w:firstLineChars="0"/>
              <w:jc w:val="center"/>
              <w:rPr>
                <w:rFonts w:hint="eastAsia" w:ascii="宋体" w:hAnsi="宋体"/>
                <w:color w:val="000000"/>
                <w:sz w:val="21"/>
                <w:szCs w:val="21"/>
              </w:rPr>
            </w:pPr>
            <w:r>
              <w:rPr>
                <w:rFonts w:hint="eastAsia" w:ascii="宋体" w:hAnsi="宋体"/>
                <w:color w:val="000000"/>
                <w:sz w:val="21"/>
                <w:szCs w:val="21"/>
              </w:rPr>
              <w:t>污染物</w:t>
            </w:r>
          </w:p>
        </w:tc>
        <w:tc>
          <w:tcPr>
            <w:tcW w:w="1423" w:type="dxa"/>
            <w:vMerge w:val="restart"/>
            <w:noWrap w:val="0"/>
            <w:vAlign w:val="center"/>
          </w:tcPr>
          <w:p w14:paraId="5E9A1185">
            <w:pPr>
              <w:pStyle w:val="15"/>
              <w:adjustRightInd w:val="0"/>
              <w:snapToGrid w:val="0"/>
              <w:ind w:firstLine="0" w:firstLineChars="0"/>
              <w:jc w:val="center"/>
              <w:rPr>
                <w:rFonts w:hint="eastAsia" w:ascii="宋体" w:hAnsi="宋体"/>
                <w:color w:val="000000"/>
                <w:sz w:val="21"/>
                <w:szCs w:val="21"/>
              </w:rPr>
            </w:pPr>
            <w:r>
              <w:rPr>
                <w:rFonts w:hint="eastAsia" w:ascii="宋体" w:hAnsi="宋体"/>
                <w:color w:val="000000"/>
                <w:sz w:val="21"/>
                <w:szCs w:val="21"/>
              </w:rPr>
              <w:t>监控点</w:t>
            </w:r>
          </w:p>
        </w:tc>
        <w:tc>
          <w:tcPr>
            <w:tcW w:w="6357" w:type="dxa"/>
            <w:gridSpan w:val="2"/>
            <w:noWrap w:val="0"/>
            <w:vAlign w:val="center"/>
          </w:tcPr>
          <w:p w14:paraId="35E3CDDD">
            <w:pPr>
              <w:pStyle w:val="15"/>
              <w:adjustRightInd w:val="0"/>
              <w:snapToGrid w:val="0"/>
              <w:jc w:val="center"/>
              <w:rPr>
                <w:rFonts w:hint="eastAsia" w:ascii="宋体" w:hAnsi="宋体"/>
                <w:color w:val="000000"/>
                <w:sz w:val="21"/>
                <w:szCs w:val="21"/>
              </w:rPr>
            </w:pPr>
            <w:r>
              <w:rPr>
                <w:rFonts w:hint="eastAsia" w:ascii="宋体" w:hAnsi="宋体"/>
                <w:color w:val="000000"/>
                <w:sz w:val="21"/>
                <w:szCs w:val="21"/>
              </w:rPr>
              <w:t>作　　 业　　 场　　 所</w:t>
            </w:r>
          </w:p>
        </w:tc>
      </w:tr>
      <w:tr w14:paraId="105DE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3" w:hRule="atLeast"/>
          <w:jc w:val="center"/>
        </w:trPr>
        <w:tc>
          <w:tcPr>
            <w:tcW w:w="1260" w:type="dxa"/>
            <w:vMerge w:val="continue"/>
            <w:noWrap w:val="0"/>
            <w:vAlign w:val="center"/>
          </w:tcPr>
          <w:p w14:paraId="4ECC4D2C">
            <w:pPr>
              <w:pStyle w:val="15"/>
              <w:adjustRightInd w:val="0"/>
              <w:snapToGrid w:val="0"/>
              <w:jc w:val="center"/>
              <w:rPr>
                <w:rFonts w:hint="eastAsia" w:ascii="宋体" w:hAnsi="宋体"/>
                <w:color w:val="000000"/>
                <w:sz w:val="21"/>
                <w:szCs w:val="21"/>
              </w:rPr>
            </w:pPr>
          </w:p>
        </w:tc>
        <w:tc>
          <w:tcPr>
            <w:tcW w:w="1423" w:type="dxa"/>
            <w:vMerge w:val="continue"/>
            <w:noWrap w:val="0"/>
            <w:vAlign w:val="center"/>
          </w:tcPr>
          <w:p w14:paraId="5AA28AD3">
            <w:pPr>
              <w:pStyle w:val="15"/>
              <w:adjustRightInd w:val="0"/>
              <w:snapToGrid w:val="0"/>
              <w:jc w:val="center"/>
              <w:rPr>
                <w:rFonts w:hint="eastAsia" w:ascii="宋体" w:hAnsi="宋体"/>
                <w:color w:val="000000"/>
                <w:sz w:val="21"/>
                <w:szCs w:val="21"/>
              </w:rPr>
            </w:pPr>
          </w:p>
        </w:tc>
        <w:tc>
          <w:tcPr>
            <w:tcW w:w="2909" w:type="dxa"/>
            <w:noWrap w:val="0"/>
            <w:vAlign w:val="center"/>
          </w:tcPr>
          <w:p w14:paraId="34CAB0FB">
            <w:pPr>
              <w:pStyle w:val="15"/>
              <w:adjustRightInd w:val="0"/>
              <w:snapToGrid w:val="0"/>
              <w:ind w:firstLine="0" w:firstLineChars="0"/>
              <w:jc w:val="center"/>
              <w:rPr>
                <w:rFonts w:hint="eastAsia" w:ascii="宋体" w:hAnsi="宋体"/>
                <w:color w:val="000000"/>
                <w:sz w:val="21"/>
                <w:szCs w:val="21"/>
              </w:rPr>
            </w:pPr>
            <w:r>
              <w:rPr>
                <w:rFonts w:hint="eastAsia" w:ascii="宋体" w:hAnsi="宋体"/>
                <w:color w:val="000000"/>
                <w:sz w:val="21"/>
                <w:szCs w:val="21"/>
              </w:rPr>
              <w:t>煤炭工业所属装卸场所</w:t>
            </w:r>
          </w:p>
        </w:tc>
        <w:tc>
          <w:tcPr>
            <w:tcW w:w="3448" w:type="dxa"/>
            <w:noWrap w:val="0"/>
            <w:vAlign w:val="center"/>
          </w:tcPr>
          <w:p w14:paraId="54561AAE">
            <w:pPr>
              <w:pStyle w:val="15"/>
              <w:adjustRightInd w:val="0"/>
              <w:snapToGrid w:val="0"/>
              <w:ind w:firstLine="0" w:firstLineChars="0"/>
              <w:jc w:val="center"/>
              <w:rPr>
                <w:rFonts w:hint="eastAsia" w:ascii="宋体" w:hAnsi="宋体"/>
                <w:color w:val="000000"/>
                <w:sz w:val="21"/>
                <w:szCs w:val="21"/>
              </w:rPr>
            </w:pPr>
            <w:r>
              <w:rPr>
                <w:rFonts w:hint="eastAsia" w:ascii="宋体" w:hAnsi="宋体"/>
                <w:color w:val="000000"/>
                <w:sz w:val="21"/>
                <w:szCs w:val="21"/>
              </w:rPr>
              <w:t>煤炭贮存场所、煤矸石堆置场</w:t>
            </w:r>
          </w:p>
        </w:tc>
      </w:tr>
      <w:tr w14:paraId="27EB73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3" w:hRule="atLeast"/>
          <w:jc w:val="center"/>
        </w:trPr>
        <w:tc>
          <w:tcPr>
            <w:tcW w:w="1260" w:type="dxa"/>
            <w:vMerge w:val="continue"/>
            <w:noWrap w:val="0"/>
            <w:vAlign w:val="center"/>
          </w:tcPr>
          <w:p w14:paraId="73E3D822">
            <w:pPr>
              <w:pStyle w:val="15"/>
              <w:adjustRightInd w:val="0"/>
              <w:snapToGrid w:val="0"/>
              <w:jc w:val="center"/>
              <w:rPr>
                <w:rFonts w:hint="eastAsia" w:ascii="宋体" w:hAnsi="宋体"/>
                <w:color w:val="000000"/>
                <w:sz w:val="21"/>
                <w:szCs w:val="21"/>
              </w:rPr>
            </w:pPr>
          </w:p>
        </w:tc>
        <w:tc>
          <w:tcPr>
            <w:tcW w:w="1423" w:type="dxa"/>
            <w:vMerge w:val="continue"/>
            <w:noWrap w:val="0"/>
            <w:vAlign w:val="center"/>
          </w:tcPr>
          <w:p w14:paraId="27D100FF">
            <w:pPr>
              <w:pStyle w:val="15"/>
              <w:adjustRightInd w:val="0"/>
              <w:snapToGrid w:val="0"/>
              <w:jc w:val="center"/>
              <w:rPr>
                <w:rFonts w:hint="eastAsia" w:ascii="宋体" w:hAnsi="宋体"/>
                <w:color w:val="000000"/>
                <w:sz w:val="21"/>
                <w:szCs w:val="21"/>
              </w:rPr>
            </w:pPr>
          </w:p>
        </w:tc>
        <w:tc>
          <w:tcPr>
            <w:tcW w:w="2909" w:type="dxa"/>
            <w:noWrap w:val="0"/>
            <w:vAlign w:val="center"/>
          </w:tcPr>
          <w:p w14:paraId="615222EC">
            <w:pPr>
              <w:pStyle w:val="15"/>
              <w:adjustRightInd w:val="0"/>
              <w:snapToGrid w:val="0"/>
              <w:ind w:firstLine="0" w:firstLineChars="0"/>
              <w:rPr>
                <w:rFonts w:hint="eastAsia" w:ascii="宋体" w:hAnsi="宋体"/>
                <w:color w:val="000000"/>
                <w:sz w:val="21"/>
                <w:szCs w:val="21"/>
              </w:rPr>
            </w:pPr>
            <w:r>
              <w:rPr>
                <w:rFonts w:hint="eastAsia" w:ascii="宋体" w:hAnsi="宋体"/>
                <w:color w:val="000000"/>
                <w:sz w:val="21"/>
                <w:szCs w:val="21"/>
              </w:rPr>
              <w:t>无组织排放限值/（mg/Nm</w:t>
            </w:r>
            <w:r>
              <w:rPr>
                <w:rFonts w:hint="eastAsia" w:ascii="宋体" w:hAnsi="宋体"/>
                <w:color w:val="000000"/>
                <w:sz w:val="21"/>
                <w:szCs w:val="21"/>
                <w:vertAlign w:val="superscript"/>
              </w:rPr>
              <w:t>3</w:t>
            </w:r>
            <w:r>
              <w:rPr>
                <w:rFonts w:hint="eastAsia" w:ascii="宋体" w:hAnsi="宋体"/>
                <w:color w:val="000000"/>
                <w:sz w:val="21"/>
                <w:szCs w:val="21"/>
              </w:rPr>
              <w:t>）(监控点与参考点浓度差值）</w:t>
            </w:r>
          </w:p>
        </w:tc>
        <w:tc>
          <w:tcPr>
            <w:tcW w:w="3448" w:type="dxa"/>
            <w:noWrap w:val="0"/>
            <w:vAlign w:val="top"/>
          </w:tcPr>
          <w:p w14:paraId="5BBA74E8">
            <w:pPr>
              <w:pStyle w:val="15"/>
              <w:adjustRightInd w:val="0"/>
              <w:snapToGrid w:val="0"/>
              <w:ind w:firstLine="0" w:firstLineChars="0"/>
              <w:rPr>
                <w:rFonts w:hint="eastAsia" w:ascii="宋体" w:hAnsi="宋体"/>
                <w:color w:val="000000"/>
                <w:sz w:val="21"/>
                <w:szCs w:val="21"/>
              </w:rPr>
            </w:pPr>
            <w:r>
              <w:rPr>
                <w:rFonts w:hint="eastAsia" w:ascii="宋体" w:hAnsi="宋体"/>
                <w:color w:val="000000"/>
                <w:sz w:val="21"/>
                <w:szCs w:val="21"/>
              </w:rPr>
              <w:t>无组织排放限值/（mg/Nm</w:t>
            </w:r>
            <w:r>
              <w:rPr>
                <w:rFonts w:hint="eastAsia" w:ascii="宋体" w:hAnsi="宋体"/>
                <w:color w:val="000000"/>
                <w:sz w:val="21"/>
                <w:szCs w:val="21"/>
                <w:vertAlign w:val="superscript"/>
              </w:rPr>
              <w:t>3</w:t>
            </w:r>
            <w:r>
              <w:rPr>
                <w:rFonts w:hint="eastAsia" w:ascii="宋体" w:hAnsi="宋体"/>
                <w:color w:val="000000"/>
                <w:sz w:val="21"/>
                <w:szCs w:val="21"/>
              </w:rPr>
              <w:t>（监控点与参考点浓度差值）</w:t>
            </w:r>
          </w:p>
        </w:tc>
      </w:tr>
      <w:tr w14:paraId="2BC03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3" w:hRule="atLeast"/>
          <w:jc w:val="center"/>
        </w:trPr>
        <w:tc>
          <w:tcPr>
            <w:tcW w:w="1260" w:type="dxa"/>
            <w:noWrap w:val="0"/>
            <w:vAlign w:val="center"/>
          </w:tcPr>
          <w:p w14:paraId="57731438">
            <w:pPr>
              <w:pStyle w:val="15"/>
              <w:adjustRightInd w:val="0"/>
              <w:snapToGrid w:val="0"/>
              <w:ind w:firstLine="0" w:firstLineChars="0"/>
              <w:jc w:val="center"/>
              <w:rPr>
                <w:rFonts w:hint="eastAsia" w:ascii="宋体" w:hAnsi="宋体"/>
                <w:color w:val="000000"/>
                <w:sz w:val="21"/>
                <w:szCs w:val="21"/>
              </w:rPr>
            </w:pPr>
            <w:r>
              <w:rPr>
                <w:rFonts w:hint="eastAsia" w:ascii="宋体" w:hAnsi="宋体"/>
                <w:color w:val="000000"/>
                <w:sz w:val="21"/>
                <w:szCs w:val="21"/>
              </w:rPr>
              <w:t>颗粒物</w:t>
            </w:r>
          </w:p>
        </w:tc>
        <w:tc>
          <w:tcPr>
            <w:tcW w:w="1423" w:type="dxa"/>
            <w:vMerge w:val="restart"/>
            <w:noWrap w:val="0"/>
            <w:vAlign w:val="center"/>
          </w:tcPr>
          <w:p w14:paraId="4572CC2E">
            <w:pPr>
              <w:pStyle w:val="15"/>
              <w:adjustRightInd w:val="0"/>
              <w:snapToGrid w:val="0"/>
              <w:ind w:firstLine="0" w:firstLineChars="0"/>
              <w:rPr>
                <w:rFonts w:hint="eastAsia" w:ascii="宋体" w:hAnsi="宋体"/>
                <w:color w:val="000000"/>
                <w:sz w:val="21"/>
                <w:szCs w:val="21"/>
              </w:rPr>
            </w:pPr>
            <w:r>
              <w:rPr>
                <w:rFonts w:hint="eastAsia" w:ascii="宋体" w:hAnsi="宋体"/>
                <w:color w:val="000000"/>
                <w:sz w:val="21"/>
                <w:szCs w:val="21"/>
              </w:rPr>
              <w:t>周界外浓度最高点</w:t>
            </w:r>
            <w:r>
              <w:rPr>
                <w:rFonts w:hint="eastAsia" w:ascii="宋体" w:hAnsi="宋体"/>
                <w:color w:val="000000"/>
                <w:sz w:val="21"/>
                <w:szCs w:val="21"/>
                <w:vertAlign w:val="superscript"/>
              </w:rPr>
              <w:t>（1）</w:t>
            </w:r>
          </w:p>
        </w:tc>
        <w:tc>
          <w:tcPr>
            <w:tcW w:w="2909" w:type="dxa"/>
            <w:noWrap w:val="0"/>
            <w:vAlign w:val="center"/>
          </w:tcPr>
          <w:p w14:paraId="7C6B2C79">
            <w:pPr>
              <w:pStyle w:val="15"/>
              <w:adjustRightInd w:val="0"/>
              <w:snapToGrid w:val="0"/>
              <w:jc w:val="center"/>
              <w:rPr>
                <w:rFonts w:hint="eastAsia" w:ascii="宋体" w:hAnsi="宋体"/>
                <w:color w:val="000000"/>
                <w:sz w:val="21"/>
                <w:szCs w:val="21"/>
              </w:rPr>
            </w:pPr>
            <w:r>
              <w:rPr>
                <w:rFonts w:hint="eastAsia" w:ascii="宋体" w:hAnsi="宋体"/>
                <w:color w:val="000000"/>
                <w:sz w:val="21"/>
                <w:szCs w:val="21"/>
              </w:rPr>
              <w:t>1.0</w:t>
            </w:r>
          </w:p>
        </w:tc>
        <w:tc>
          <w:tcPr>
            <w:tcW w:w="3448" w:type="dxa"/>
            <w:noWrap w:val="0"/>
            <w:vAlign w:val="center"/>
          </w:tcPr>
          <w:p w14:paraId="2FEB835B">
            <w:pPr>
              <w:pStyle w:val="15"/>
              <w:adjustRightInd w:val="0"/>
              <w:snapToGrid w:val="0"/>
              <w:jc w:val="center"/>
              <w:rPr>
                <w:rFonts w:hint="eastAsia" w:ascii="宋体" w:hAnsi="宋体"/>
                <w:color w:val="000000"/>
                <w:sz w:val="21"/>
                <w:szCs w:val="21"/>
              </w:rPr>
            </w:pPr>
            <w:r>
              <w:rPr>
                <w:rFonts w:hint="eastAsia" w:ascii="宋体" w:hAnsi="宋体"/>
                <w:color w:val="000000"/>
                <w:sz w:val="21"/>
                <w:szCs w:val="21"/>
              </w:rPr>
              <w:t>1.0</w:t>
            </w:r>
          </w:p>
        </w:tc>
      </w:tr>
      <w:tr w14:paraId="34C96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3" w:hRule="atLeast"/>
          <w:jc w:val="center"/>
        </w:trPr>
        <w:tc>
          <w:tcPr>
            <w:tcW w:w="1260" w:type="dxa"/>
            <w:noWrap w:val="0"/>
            <w:vAlign w:val="center"/>
          </w:tcPr>
          <w:p w14:paraId="227C602C">
            <w:pPr>
              <w:pStyle w:val="15"/>
              <w:adjustRightInd w:val="0"/>
              <w:snapToGrid w:val="0"/>
              <w:ind w:firstLine="0" w:firstLineChars="0"/>
              <w:jc w:val="center"/>
              <w:rPr>
                <w:rFonts w:hint="eastAsia" w:ascii="宋体" w:hAnsi="宋体"/>
                <w:color w:val="000000"/>
                <w:sz w:val="21"/>
                <w:szCs w:val="21"/>
              </w:rPr>
            </w:pPr>
            <w:r>
              <w:rPr>
                <w:rFonts w:hint="eastAsia" w:ascii="宋体" w:hAnsi="宋体"/>
                <w:color w:val="000000"/>
                <w:sz w:val="21"/>
                <w:szCs w:val="21"/>
              </w:rPr>
              <w:t>二氧化硫</w:t>
            </w:r>
          </w:p>
        </w:tc>
        <w:tc>
          <w:tcPr>
            <w:tcW w:w="1423" w:type="dxa"/>
            <w:vMerge w:val="continue"/>
            <w:noWrap w:val="0"/>
            <w:vAlign w:val="center"/>
          </w:tcPr>
          <w:p w14:paraId="139A8373">
            <w:pPr>
              <w:pStyle w:val="15"/>
              <w:adjustRightInd w:val="0"/>
              <w:snapToGrid w:val="0"/>
              <w:jc w:val="center"/>
              <w:rPr>
                <w:rFonts w:hint="eastAsia" w:ascii="宋体" w:hAnsi="宋体"/>
                <w:color w:val="000000"/>
                <w:sz w:val="21"/>
                <w:szCs w:val="21"/>
              </w:rPr>
            </w:pPr>
          </w:p>
        </w:tc>
        <w:tc>
          <w:tcPr>
            <w:tcW w:w="2909" w:type="dxa"/>
            <w:noWrap w:val="0"/>
            <w:vAlign w:val="center"/>
          </w:tcPr>
          <w:p w14:paraId="3611FBB6">
            <w:pPr>
              <w:pStyle w:val="15"/>
              <w:adjustRightInd w:val="0"/>
              <w:snapToGrid w:val="0"/>
              <w:jc w:val="center"/>
              <w:rPr>
                <w:rFonts w:hint="eastAsia" w:ascii="宋体" w:hAnsi="宋体"/>
                <w:color w:val="000000"/>
                <w:sz w:val="21"/>
                <w:szCs w:val="21"/>
              </w:rPr>
            </w:pPr>
            <w:r>
              <w:rPr>
                <w:rFonts w:hint="eastAsia" w:ascii="宋体" w:hAnsi="宋体"/>
                <w:color w:val="000000"/>
                <w:sz w:val="21"/>
                <w:szCs w:val="21"/>
              </w:rPr>
              <w:t>—</w:t>
            </w:r>
          </w:p>
        </w:tc>
        <w:tc>
          <w:tcPr>
            <w:tcW w:w="3448" w:type="dxa"/>
            <w:noWrap w:val="0"/>
            <w:vAlign w:val="center"/>
          </w:tcPr>
          <w:p w14:paraId="4D246BA3">
            <w:pPr>
              <w:pStyle w:val="15"/>
              <w:adjustRightInd w:val="0"/>
              <w:snapToGrid w:val="0"/>
              <w:jc w:val="center"/>
              <w:rPr>
                <w:rFonts w:hint="eastAsia" w:ascii="宋体" w:hAnsi="宋体"/>
                <w:color w:val="000000"/>
                <w:sz w:val="21"/>
                <w:szCs w:val="21"/>
              </w:rPr>
            </w:pPr>
            <w:r>
              <w:rPr>
                <w:rFonts w:hint="eastAsia" w:ascii="宋体" w:hAnsi="宋体"/>
                <w:color w:val="000000"/>
                <w:sz w:val="21"/>
                <w:szCs w:val="21"/>
              </w:rPr>
              <w:t>0.4</w:t>
            </w:r>
          </w:p>
        </w:tc>
      </w:tr>
      <w:tr w14:paraId="4414B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13" w:hRule="atLeast"/>
          <w:jc w:val="center"/>
        </w:trPr>
        <w:tc>
          <w:tcPr>
            <w:tcW w:w="9040" w:type="dxa"/>
            <w:gridSpan w:val="4"/>
            <w:noWrap w:val="0"/>
            <w:vAlign w:val="center"/>
          </w:tcPr>
          <w:p w14:paraId="7AB720E2">
            <w:pPr>
              <w:pStyle w:val="15"/>
              <w:adjustRightInd w:val="0"/>
              <w:snapToGrid w:val="0"/>
              <w:ind w:firstLine="0" w:firstLineChars="0"/>
              <w:rPr>
                <w:rFonts w:hint="eastAsia" w:ascii="宋体" w:hAnsi="宋体"/>
                <w:color w:val="000000"/>
                <w:sz w:val="21"/>
                <w:szCs w:val="21"/>
              </w:rPr>
            </w:pPr>
            <w:r>
              <w:rPr>
                <w:rFonts w:hint="eastAsia" w:ascii="宋体" w:hAnsi="宋体"/>
                <w:color w:val="000000"/>
                <w:sz w:val="21"/>
                <w:szCs w:val="21"/>
              </w:rPr>
              <w:t>注（1）：周界外浓度最高点一般应设置于无组织排放源下风向的单位周界外10m范围外，若预计无组织的最大落地浓度点越出10m范围，可将监控点移至该预计浓度最高点</w:t>
            </w:r>
          </w:p>
        </w:tc>
      </w:tr>
    </w:tbl>
    <w:p w14:paraId="67564F31">
      <w:pPr>
        <w:spacing w:line="360" w:lineRule="auto"/>
        <w:ind w:firstLine="480" w:firstLineChars="200"/>
        <w:rPr>
          <w:rFonts w:hint="eastAsia" w:ascii="宋体" w:hAnsi="宋体"/>
          <w:color w:val="000000"/>
          <w:sz w:val="24"/>
        </w:rPr>
      </w:pPr>
      <w:r>
        <w:rPr>
          <w:rFonts w:hint="eastAsia" w:ascii="宋体" w:hAnsi="宋体"/>
          <w:color w:val="000000"/>
          <w:sz w:val="24"/>
        </w:rPr>
        <w:t>3、固体废物污染防治措施</w:t>
      </w:r>
    </w:p>
    <w:p w14:paraId="1364B4D6">
      <w:pPr>
        <w:spacing w:line="360" w:lineRule="auto"/>
        <w:ind w:firstLine="480" w:firstLineChars="200"/>
        <w:rPr>
          <w:rFonts w:hint="eastAsia" w:ascii="宋体" w:hAnsi="宋体"/>
          <w:color w:val="000000"/>
          <w:sz w:val="24"/>
        </w:rPr>
      </w:pPr>
      <w:r>
        <w:rPr>
          <w:rFonts w:hint="eastAsia" w:ascii="宋体" w:hAnsi="宋体"/>
          <w:color w:val="000000"/>
          <w:sz w:val="24"/>
        </w:rPr>
        <w:t>（1）煤矸石污染防治措施</w:t>
      </w:r>
    </w:p>
    <w:p w14:paraId="505F272C">
      <w:pPr>
        <w:spacing w:line="360" w:lineRule="auto"/>
        <w:ind w:firstLine="480" w:firstLineChars="200"/>
        <w:rPr>
          <w:rFonts w:hint="eastAsia" w:ascii="宋体" w:hAnsi="宋体"/>
          <w:color w:val="000000"/>
          <w:sz w:val="24"/>
        </w:rPr>
      </w:pPr>
      <w:r>
        <w:rPr>
          <w:rFonts w:hint="eastAsia" w:ascii="宋体" w:hAnsi="宋体"/>
          <w:color w:val="000000"/>
          <w:sz w:val="24"/>
        </w:rPr>
        <w:t>矿井生产</w:t>
      </w:r>
      <w:r>
        <w:rPr>
          <w:rFonts w:ascii="宋体" w:hAnsi="宋体"/>
          <w:color w:val="000000"/>
          <w:sz w:val="24"/>
        </w:rPr>
        <w:t>期</w:t>
      </w:r>
      <w:r>
        <w:rPr>
          <w:rFonts w:hint="eastAsia" w:ascii="宋体" w:hAnsi="宋体"/>
          <w:color w:val="000000"/>
          <w:sz w:val="24"/>
        </w:rPr>
        <w:t>矸石产生量为1.5万吨/年。设计主要考虑</w:t>
      </w:r>
      <w:r>
        <w:rPr>
          <w:rFonts w:ascii="宋体" w:hAnsi="宋体"/>
          <w:color w:val="000000"/>
          <w:sz w:val="24"/>
        </w:rPr>
        <w:t>运至</w:t>
      </w:r>
      <w:r>
        <w:rPr>
          <w:rFonts w:hint="eastAsia" w:ascii="宋体" w:hAnsi="宋体"/>
          <w:color w:val="000000"/>
          <w:sz w:val="24"/>
        </w:rPr>
        <w:t>排矸场临时存放。</w:t>
      </w:r>
      <w:r>
        <w:rPr>
          <w:rFonts w:ascii="宋体" w:hAnsi="宋体"/>
          <w:color w:val="000000"/>
          <w:sz w:val="24"/>
        </w:rPr>
        <w:t>为防止矸石堆放对环境造成污染，</w:t>
      </w:r>
      <w:r>
        <w:rPr>
          <w:rFonts w:hint="eastAsia" w:ascii="宋体" w:hAnsi="宋体"/>
          <w:color w:val="000000"/>
          <w:sz w:val="24"/>
        </w:rPr>
        <w:t>环保要求排矸场</w:t>
      </w:r>
      <w:r>
        <w:rPr>
          <w:rFonts w:ascii="宋体" w:hAnsi="宋体"/>
          <w:color w:val="000000"/>
          <w:sz w:val="24"/>
        </w:rPr>
        <w:t>设置排水沟和防洪挡墙</w:t>
      </w:r>
      <w:r>
        <w:rPr>
          <w:rFonts w:hint="eastAsia" w:ascii="宋体" w:hAnsi="宋体"/>
          <w:color w:val="000000"/>
          <w:sz w:val="24"/>
        </w:rPr>
        <w:t>，矸石场淋溶水经沉淀池处理后排放，同时，还应注意干燥少雨季节的防尘措施，待条件成熟后对矸石进行综合利用。</w:t>
      </w:r>
    </w:p>
    <w:p w14:paraId="114CFA48">
      <w:pPr>
        <w:spacing w:line="360" w:lineRule="auto"/>
        <w:ind w:firstLine="480" w:firstLineChars="200"/>
        <w:rPr>
          <w:rFonts w:hint="eastAsia" w:ascii="宋体" w:hAnsi="宋体"/>
          <w:color w:val="000000"/>
          <w:sz w:val="24"/>
        </w:rPr>
      </w:pPr>
      <w:r>
        <w:rPr>
          <w:rFonts w:hint="eastAsia" w:ascii="宋体" w:hAnsi="宋体"/>
          <w:color w:val="000000"/>
          <w:sz w:val="24"/>
        </w:rPr>
        <w:t>（2）其它固体废物</w:t>
      </w:r>
    </w:p>
    <w:p w14:paraId="3C019777">
      <w:pPr>
        <w:spacing w:line="360" w:lineRule="auto"/>
        <w:ind w:firstLine="480" w:firstLineChars="200"/>
        <w:rPr>
          <w:rFonts w:ascii="宋体" w:hAnsi="宋体"/>
          <w:color w:val="000000"/>
          <w:sz w:val="24"/>
        </w:rPr>
      </w:pPr>
      <w:r>
        <w:rPr>
          <w:rFonts w:hint="eastAsia" w:ascii="宋体" w:hAnsi="宋体"/>
          <w:color w:val="000000"/>
          <w:sz w:val="24"/>
        </w:rPr>
        <w:t>锅炉炉渣产生量为150</w:t>
      </w:r>
      <w:r>
        <w:rPr>
          <w:rFonts w:ascii="宋体" w:hAnsi="宋体"/>
          <w:color w:val="000000"/>
          <w:sz w:val="24"/>
        </w:rPr>
        <w:t>t/a，</w:t>
      </w:r>
      <w:r>
        <w:rPr>
          <w:rFonts w:hint="eastAsia" w:ascii="宋体" w:hAnsi="宋体"/>
          <w:color w:val="000000"/>
          <w:sz w:val="24"/>
        </w:rPr>
        <w:t>设计拟采用小矿车</w:t>
      </w:r>
      <w:r>
        <w:rPr>
          <w:rFonts w:ascii="宋体" w:hAnsi="宋体"/>
          <w:color w:val="000000"/>
          <w:sz w:val="24"/>
        </w:rPr>
        <w:t>运往</w:t>
      </w:r>
      <w:r>
        <w:rPr>
          <w:rFonts w:hint="eastAsia" w:ascii="宋体" w:hAnsi="宋体"/>
          <w:color w:val="000000"/>
          <w:sz w:val="24"/>
        </w:rPr>
        <w:t>排</w:t>
      </w:r>
      <w:r>
        <w:rPr>
          <w:rFonts w:ascii="宋体" w:hAnsi="宋体"/>
          <w:color w:val="000000"/>
          <w:sz w:val="24"/>
        </w:rPr>
        <w:t>矸场，与矸石一同处理。矸石</w:t>
      </w:r>
      <w:r>
        <w:rPr>
          <w:rFonts w:hint="eastAsia" w:ascii="宋体" w:hAnsi="宋体"/>
          <w:color w:val="000000"/>
          <w:sz w:val="24"/>
        </w:rPr>
        <w:t>在</w:t>
      </w:r>
      <w:r>
        <w:rPr>
          <w:rFonts w:ascii="宋体" w:hAnsi="宋体"/>
          <w:color w:val="000000"/>
          <w:sz w:val="24"/>
        </w:rPr>
        <w:t>填埋时，炉渣可以做为隔绝矸石与空气接触的覆盖层。</w:t>
      </w:r>
    </w:p>
    <w:p w14:paraId="220018EA">
      <w:pPr>
        <w:spacing w:line="360" w:lineRule="auto"/>
        <w:ind w:firstLine="480" w:firstLineChars="200"/>
        <w:rPr>
          <w:rFonts w:hint="eastAsia" w:ascii="宋体" w:hAnsi="宋体"/>
          <w:color w:val="000000"/>
          <w:sz w:val="24"/>
        </w:rPr>
      </w:pPr>
      <w:r>
        <w:rPr>
          <w:rFonts w:ascii="宋体" w:hAnsi="宋体"/>
          <w:color w:val="000000"/>
          <w:sz w:val="24"/>
        </w:rPr>
        <w:t>生活垃圾</w:t>
      </w:r>
      <w:r>
        <w:rPr>
          <w:rFonts w:hint="eastAsia" w:ascii="宋体" w:hAnsi="宋体"/>
          <w:color w:val="000000"/>
          <w:sz w:val="24"/>
        </w:rPr>
        <w:t>产生量为90t/a，设计要求在</w:t>
      </w:r>
      <w:r>
        <w:rPr>
          <w:rFonts w:ascii="宋体" w:hAnsi="宋体"/>
          <w:color w:val="000000"/>
          <w:sz w:val="24"/>
        </w:rPr>
        <w:t>主要建筑物及作业场所</w:t>
      </w:r>
      <w:r>
        <w:rPr>
          <w:rFonts w:hint="eastAsia" w:ascii="宋体" w:hAnsi="宋体"/>
          <w:color w:val="000000"/>
          <w:sz w:val="24"/>
        </w:rPr>
        <w:t>设</w:t>
      </w:r>
      <w:r>
        <w:rPr>
          <w:rFonts w:ascii="宋体" w:hAnsi="宋体"/>
          <w:color w:val="000000"/>
          <w:sz w:val="24"/>
        </w:rPr>
        <w:t>置垃圾桶，定点收集垃圾</w:t>
      </w:r>
      <w:r>
        <w:rPr>
          <w:rFonts w:hint="eastAsia" w:ascii="宋体" w:hAnsi="宋体"/>
          <w:color w:val="000000"/>
          <w:sz w:val="24"/>
        </w:rPr>
        <w:t>，并与当地环卫部门签署协议，交由当地环卫部门处置。</w:t>
      </w:r>
    </w:p>
    <w:p w14:paraId="517EE01E">
      <w:pPr>
        <w:spacing w:line="360" w:lineRule="auto"/>
        <w:ind w:firstLine="480" w:firstLineChars="200"/>
        <w:rPr>
          <w:rFonts w:hint="eastAsia" w:ascii="宋体" w:hAnsi="宋体"/>
          <w:color w:val="000000"/>
          <w:sz w:val="24"/>
        </w:rPr>
      </w:pPr>
      <w:r>
        <w:rPr>
          <w:rFonts w:hint="eastAsia" w:ascii="宋体" w:hAnsi="宋体"/>
          <w:color w:val="000000"/>
          <w:sz w:val="24"/>
        </w:rPr>
        <w:t>4、噪声控制措施</w:t>
      </w:r>
    </w:p>
    <w:p w14:paraId="46F2DAE7">
      <w:pPr>
        <w:spacing w:line="360" w:lineRule="auto"/>
        <w:ind w:firstLine="480" w:firstLineChars="200"/>
        <w:rPr>
          <w:rFonts w:hint="eastAsia" w:ascii="宋体" w:hAnsi="宋体"/>
          <w:color w:val="000000"/>
          <w:sz w:val="24"/>
        </w:rPr>
      </w:pPr>
      <w:r>
        <w:rPr>
          <w:rFonts w:hint="eastAsia" w:ascii="宋体" w:hAnsi="宋体"/>
          <w:color w:val="000000"/>
          <w:sz w:val="24"/>
        </w:rPr>
        <w:t>要求设计在设备选型时，首先选择高效低噪设备；对于通风机、压风机、瓦斯泵、锅炉房引风机等产生的空气动力噪声，要求在风机进出气管上安装消声器的措施进行降噪；对于在其它不易采取消声、隔声措施的高噪声源附近工作的人员，则采取佩带防声耳塞、防声耳罩等个体防护措施。</w:t>
      </w:r>
    </w:p>
    <w:p w14:paraId="6726BCDE">
      <w:pPr>
        <w:spacing w:line="360" w:lineRule="auto"/>
        <w:ind w:firstLine="480" w:firstLineChars="200"/>
        <w:rPr>
          <w:rFonts w:hint="eastAsia" w:ascii="宋体" w:hAnsi="宋体"/>
          <w:color w:val="000000"/>
          <w:sz w:val="24"/>
        </w:rPr>
      </w:pPr>
      <w:r>
        <w:rPr>
          <w:rFonts w:hint="eastAsia" w:ascii="宋体" w:hAnsi="宋体"/>
          <w:color w:val="000000"/>
          <w:sz w:val="24"/>
        </w:rPr>
        <w:t>采取以上措施后可保证工作人员在噪声值低于85 dB（A）的环境中工作，工业场地场界噪声要求满足《工业企业厂界噪声标准》（GB12348—90）的Ⅱ类区标准要求。</w:t>
      </w:r>
    </w:p>
    <w:p w14:paraId="5D9085F5">
      <w:pPr>
        <w:spacing w:line="360" w:lineRule="auto"/>
        <w:ind w:firstLine="480" w:firstLineChars="200"/>
        <w:rPr>
          <w:rFonts w:hint="eastAsia" w:ascii="宋体" w:hAnsi="宋体"/>
          <w:color w:val="000000"/>
          <w:sz w:val="24"/>
        </w:rPr>
      </w:pPr>
      <w:r>
        <w:rPr>
          <w:rFonts w:hint="eastAsia" w:ascii="宋体" w:hAnsi="宋体"/>
          <w:color w:val="000000"/>
          <w:sz w:val="24"/>
        </w:rPr>
        <w:t>5、“三废”综合利用</w:t>
      </w:r>
    </w:p>
    <w:p w14:paraId="1CF01BE3">
      <w:pPr>
        <w:spacing w:line="360" w:lineRule="auto"/>
        <w:ind w:firstLine="480" w:firstLineChars="200"/>
        <w:rPr>
          <w:rFonts w:hint="eastAsia" w:ascii="宋体" w:hAnsi="宋体"/>
          <w:color w:val="000000"/>
          <w:sz w:val="24"/>
        </w:rPr>
      </w:pPr>
      <w:r>
        <w:rPr>
          <w:rFonts w:hint="eastAsia" w:ascii="宋体" w:hAnsi="宋体"/>
          <w:color w:val="000000"/>
          <w:sz w:val="24"/>
        </w:rPr>
        <w:t>（1）矿井水复用</w:t>
      </w:r>
    </w:p>
    <w:p w14:paraId="03F8991D">
      <w:pPr>
        <w:spacing w:line="360" w:lineRule="auto"/>
        <w:ind w:firstLine="480" w:firstLineChars="200"/>
        <w:rPr>
          <w:rFonts w:hint="eastAsia" w:ascii="宋体" w:hAnsi="宋体"/>
          <w:color w:val="000000"/>
          <w:sz w:val="24"/>
        </w:rPr>
      </w:pPr>
      <w:r>
        <w:rPr>
          <w:rFonts w:hint="eastAsia" w:ascii="宋体" w:hAnsi="宋体"/>
          <w:color w:val="000000"/>
          <w:sz w:val="24"/>
        </w:rPr>
        <w:t>矿井水经处理后，分别用于井下防尘洒水、瓦斯抽放站冷却补充水共为180m</w:t>
      </w:r>
      <w:r>
        <w:rPr>
          <w:rFonts w:hint="eastAsia" w:ascii="宋体" w:hAnsi="宋体"/>
          <w:color w:val="000000"/>
          <w:sz w:val="24"/>
          <w:vertAlign w:val="superscript"/>
        </w:rPr>
        <w:t>3</w:t>
      </w:r>
      <w:r>
        <w:rPr>
          <w:rFonts w:hint="eastAsia" w:ascii="宋体" w:hAnsi="宋体"/>
          <w:color w:val="000000"/>
          <w:sz w:val="24"/>
        </w:rPr>
        <w:t>/d，矿井水复用率为井下正常涌水量的50.0%。</w:t>
      </w:r>
    </w:p>
    <w:p w14:paraId="34750A2E">
      <w:pPr>
        <w:spacing w:line="360" w:lineRule="auto"/>
        <w:ind w:firstLine="480" w:firstLineChars="200"/>
        <w:rPr>
          <w:rFonts w:hint="eastAsia" w:ascii="宋体" w:hAnsi="宋体"/>
          <w:color w:val="000000"/>
          <w:sz w:val="24"/>
        </w:rPr>
      </w:pPr>
      <w:r>
        <w:rPr>
          <w:rFonts w:hint="eastAsia" w:ascii="宋体" w:hAnsi="宋体"/>
          <w:color w:val="000000"/>
          <w:sz w:val="24"/>
        </w:rPr>
        <w:t>6、工业场地绿化</w:t>
      </w:r>
    </w:p>
    <w:p w14:paraId="0480778A">
      <w:pPr>
        <w:spacing w:line="360" w:lineRule="auto"/>
        <w:ind w:firstLine="480" w:firstLineChars="200"/>
        <w:rPr>
          <w:rFonts w:hint="eastAsia" w:ascii="宋体" w:hAnsi="宋体"/>
          <w:color w:val="000000"/>
          <w:sz w:val="24"/>
        </w:rPr>
      </w:pPr>
      <w:r>
        <w:rPr>
          <w:rFonts w:hint="eastAsia" w:ascii="宋体" w:hAnsi="宋体"/>
          <w:color w:val="000000"/>
          <w:sz w:val="24"/>
        </w:rPr>
        <w:t>（1）绿化布置原则</w:t>
      </w:r>
    </w:p>
    <w:p w14:paraId="3E11C026">
      <w:pPr>
        <w:spacing w:line="360" w:lineRule="auto"/>
        <w:ind w:firstLine="480" w:firstLineChars="200"/>
        <w:rPr>
          <w:rFonts w:hint="eastAsia" w:ascii="宋体" w:hAnsi="宋体"/>
          <w:color w:val="000000"/>
          <w:sz w:val="24"/>
        </w:rPr>
      </w:pPr>
      <w:r>
        <w:rPr>
          <w:rFonts w:hint="eastAsia" w:ascii="宋体" w:hAnsi="宋体"/>
          <w:color w:val="000000"/>
          <w:sz w:val="24"/>
        </w:rPr>
        <w:t>1）厂前区绿化</w:t>
      </w:r>
    </w:p>
    <w:p w14:paraId="45074DF2">
      <w:pPr>
        <w:spacing w:line="360" w:lineRule="auto"/>
        <w:ind w:firstLine="480" w:firstLineChars="200"/>
        <w:rPr>
          <w:rFonts w:hint="eastAsia" w:ascii="宋体" w:hAnsi="宋体"/>
          <w:color w:val="000000"/>
          <w:sz w:val="24"/>
        </w:rPr>
      </w:pPr>
      <w:r>
        <w:rPr>
          <w:rFonts w:hint="eastAsia" w:ascii="宋体" w:hAnsi="宋体"/>
          <w:color w:val="000000"/>
          <w:sz w:val="24"/>
        </w:rPr>
        <w:t>厂前区是工业场地的重点绿化区段之一，其绿化布置应与场前区总平面布置紧密结合，种植树种以树形美观、装饰性强、观赏价值高的乔木和灌木为主，适当配置花坛、绿篱等。</w:t>
      </w:r>
    </w:p>
    <w:p w14:paraId="19BC6BD4">
      <w:pPr>
        <w:spacing w:line="360" w:lineRule="auto"/>
        <w:ind w:firstLine="480" w:firstLineChars="200"/>
        <w:rPr>
          <w:rFonts w:hint="eastAsia" w:ascii="宋体" w:hAnsi="宋体"/>
          <w:color w:val="000000"/>
          <w:sz w:val="24"/>
        </w:rPr>
      </w:pPr>
      <w:r>
        <w:rPr>
          <w:rFonts w:hint="eastAsia" w:ascii="宋体" w:hAnsi="宋体"/>
          <w:color w:val="000000"/>
          <w:sz w:val="24"/>
        </w:rPr>
        <w:t>2）生产区绿化</w:t>
      </w:r>
    </w:p>
    <w:p w14:paraId="707E3667">
      <w:pPr>
        <w:spacing w:line="360" w:lineRule="auto"/>
        <w:ind w:firstLine="480" w:firstLineChars="200"/>
        <w:rPr>
          <w:rFonts w:hint="eastAsia" w:ascii="宋体" w:hAnsi="宋体"/>
          <w:color w:val="000000"/>
          <w:sz w:val="24"/>
        </w:rPr>
      </w:pPr>
      <w:r>
        <w:rPr>
          <w:rFonts w:hint="eastAsia" w:ascii="宋体" w:hAnsi="宋体"/>
          <w:color w:val="000000"/>
          <w:sz w:val="24"/>
        </w:rPr>
        <w:t>生产区多为散发粉尘、噪声及有害气体区段，以种植具有抗性和防护性的树种为主。</w:t>
      </w:r>
    </w:p>
    <w:p w14:paraId="51214275">
      <w:pPr>
        <w:spacing w:line="360" w:lineRule="auto"/>
        <w:ind w:firstLine="480" w:firstLineChars="200"/>
        <w:rPr>
          <w:rFonts w:hint="eastAsia" w:ascii="宋体" w:hAnsi="宋体"/>
          <w:color w:val="000000"/>
          <w:sz w:val="24"/>
        </w:rPr>
      </w:pPr>
      <w:r>
        <w:rPr>
          <w:rFonts w:hint="eastAsia" w:ascii="宋体" w:hAnsi="宋体"/>
          <w:color w:val="000000"/>
          <w:sz w:val="24"/>
        </w:rPr>
        <w:t>3）生活区及行政办公区绿化</w:t>
      </w:r>
    </w:p>
    <w:p w14:paraId="12935682">
      <w:pPr>
        <w:spacing w:line="360" w:lineRule="auto"/>
        <w:ind w:firstLine="480" w:firstLineChars="200"/>
        <w:rPr>
          <w:rFonts w:hint="eastAsia" w:ascii="宋体" w:hAnsi="宋体"/>
          <w:color w:val="000000"/>
          <w:sz w:val="24"/>
        </w:rPr>
      </w:pPr>
      <w:r>
        <w:rPr>
          <w:rFonts w:hint="eastAsia" w:ascii="宋体" w:hAnsi="宋体"/>
          <w:color w:val="000000"/>
          <w:sz w:val="24"/>
        </w:rPr>
        <w:t>生活区及行政办公区绿化以美化环境、改善小气候为主，宜选择树形整齐、美观、枝叶繁茂的树种，适当配置乔、灌木及花卉。</w:t>
      </w:r>
    </w:p>
    <w:p w14:paraId="77A91E9C">
      <w:pPr>
        <w:spacing w:line="360" w:lineRule="auto"/>
        <w:ind w:firstLine="480" w:firstLineChars="200"/>
        <w:rPr>
          <w:rFonts w:hint="eastAsia" w:ascii="宋体" w:hAnsi="宋体"/>
          <w:color w:val="000000"/>
          <w:sz w:val="24"/>
        </w:rPr>
      </w:pPr>
      <w:r>
        <w:rPr>
          <w:rFonts w:hint="eastAsia" w:ascii="宋体" w:hAnsi="宋体"/>
          <w:color w:val="000000"/>
          <w:sz w:val="24"/>
        </w:rPr>
        <w:t>2）绿化系数</w:t>
      </w:r>
    </w:p>
    <w:p w14:paraId="6D59DF44">
      <w:pPr>
        <w:spacing w:line="360" w:lineRule="auto"/>
        <w:ind w:firstLine="480" w:firstLineChars="200"/>
        <w:rPr>
          <w:rFonts w:hint="eastAsia" w:ascii="宋体" w:hAnsi="宋体"/>
          <w:color w:val="000000"/>
          <w:sz w:val="24"/>
        </w:rPr>
      </w:pPr>
      <w:r>
        <w:rPr>
          <w:rFonts w:hint="eastAsia" w:ascii="宋体" w:hAnsi="宋体"/>
          <w:color w:val="000000"/>
          <w:sz w:val="24"/>
        </w:rPr>
        <w:t>根据《煤炭工业环境保护设计规范》，结合本矿井工业场地和风井场地总平面布置，工业场地绿化系数应大于25%。</w:t>
      </w:r>
    </w:p>
    <w:p w14:paraId="10233E81">
      <w:pPr>
        <w:pStyle w:val="4"/>
        <w:keepLines/>
        <w:adjustRightInd w:val="0"/>
        <w:snapToGrid w:val="0"/>
        <w:spacing w:before="240" w:after="240" w:line="360" w:lineRule="auto"/>
        <w:ind w:firstLine="562" w:firstLineChars="200"/>
        <w:jc w:val="both"/>
        <w:rPr>
          <w:rFonts w:hint="eastAsia"/>
          <w:b/>
          <w:color w:val="000000"/>
          <w:kern w:val="0"/>
          <w:szCs w:val="20"/>
        </w:rPr>
      </w:pPr>
      <w:bookmarkStart w:id="855" w:name="_Toc173869317"/>
      <w:bookmarkStart w:id="856" w:name="_Toc173918992"/>
      <w:r>
        <w:rPr>
          <w:rFonts w:hint="eastAsia"/>
          <w:b/>
          <w:color w:val="000000"/>
          <w:kern w:val="0"/>
          <w:szCs w:val="20"/>
        </w:rPr>
        <w:t>三、水土保持措施</w:t>
      </w:r>
      <w:bookmarkEnd w:id="855"/>
      <w:bookmarkEnd w:id="856"/>
    </w:p>
    <w:p w14:paraId="24DCA328">
      <w:pPr>
        <w:spacing w:line="360" w:lineRule="auto"/>
        <w:ind w:firstLine="480" w:firstLineChars="200"/>
        <w:rPr>
          <w:rFonts w:hint="eastAsia" w:ascii="宋体" w:hAnsi="宋体"/>
          <w:color w:val="000000"/>
          <w:sz w:val="24"/>
        </w:rPr>
      </w:pPr>
      <w:r>
        <w:rPr>
          <w:rFonts w:hint="eastAsia" w:ascii="宋体" w:hAnsi="宋体"/>
          <w:color w:val="000000"/>
          <w:sz w:val="24"/>
        </w:rPr>
        <w:t>矿开发对水土流失的贡献，主要来自于地表形态的变化和植被破坏以及煤矸石的堆弃，对此设计拟采取以下治理措施：</w:t>
      </w:r>
    </w:p>
    <w:p w14:paraId="7318D0FB">
      <w:pPr>
        <w:spacing w:line="360" w:lineRule="auto"/>
        <w:ind w:firstLine="480" w:firstLineChars="200"/>
        <w:rPr>
          <w:rFonts w:hint="eastAsia" w:ascii="宋体" w:hAnsi="宋体"/>
          <w:color w:val="000000"/>
          <w:sz w:val="24"/>
        </w:rPr>
      </w:pPr>
      <w:r>
        <w:rPr>
          <w:rFonts w:hint="eastAsia" w:ascii="宋体" w:hAnsi="宋体"/>
          <w:color w:val="000000"/>
          <w:sz w:val="24"/>
        </w:rPr>
        <w:t>1、塌陷区治理</w:t>
      </w:r>
    </w:p>
    <w:p w14:paraId="32D4C569">
      <w:pPr>
        <w:spacing w:line="360" w:lineRule="auto"/>
        <w:ind w:firstLine="480" w:firstLineChars="200"/>
        <w:rPr>
          <w:rFonts w:hint="eastAsia" w:ascii="宋体" w:hAnsi="宋体"/>
          <w:color w:val="000000"/>
          <w:sz w:val="24"/>
        </w:rPr>
      </w:pPr>
      <w:r>
        <w:rPr>
          <w:rFonts w:hint="eastAsia" w:ascii="宋体" w:hAnsi="宋体"/>
          <w:color w:val="000000"/>
          <w:sz w:val="24"/>
        </w:rPr>
        <w:t>（1）做好前期勘察工作</w:t>
      </w:r>
    </w:p>
    <w:p w14:paraId="38C6601F">
      <w:pPr>
        <w:spacing w:line="360" w:lineRule="auto"/>
        <w:ind w:firstLine="480" w:firstLineChars="200"/>
        <w:rPr>
          <w:rFonts w:hint="eastAsia" w:ascii="宋体" w:hAnsi="宋体"/>
          <w:color w:val="000000"/>
          <w:sz w:val="24"/>
        </w:rPr>
      </w:pPr>
      <w:r>
        <w:rPr>
          <w:rFonts w:hint="eastAsia" w:ascii="宋体" w:hAnsi="宋体"/>
          <w:color w:val="000000"/>
          <w:sz w:val="24"/>
        </w:rPr>
        <w:t>在各采区开采前，对本区的上覆地层特征、地质构造及影响地表变形的主要因素要有一个全面的调查，对可能发生滑坡、崩塌的地点要做到心中有数，根据井下采煤计划制定采取措施时机，制定预报措施，避免滑坡、崩塌造成人员伤亡。</w:t>
      </w:r>
    </w:p>
    <w:p w14:paraId="5EA2029A">
      <w:pPr>
        <w:spacing w:line="360" w:lineRule="auto"/>
        <w:ind w:firstLine="480" w:firstLineChars="200"/>
        <w:rPr>
          <w:rFonts w:hint="eastAsia" w:ascii="宋体" w:hAnsi="宋体"/>
          <w:color w:val="000000"/>
          <w:sz w:val="24"/>
        </w:rPr>
      </w:pPr>
      <w:r>
        <w:rPr>
          <w:rFonts w:hint="eastAsia" w:ascii="宋体" w:hAnsi="宋体"/>
          <w:color w:val="000000"/>
          <w:sz w:val="24"/>
        </w:rPr>
        <w:t>（2）地表活动期采取的措施</w:t>
      </w:r>
    </w:p>
    <w:p w14:paraId="6FC66E7F">
      <w:pPr>
        <w:spacing w:line="360" w:lineRule="auto"/>
        <w:ind w:firstLine="480" w:firstLineChars="200"/>
        <w:rPr>
          <w:rFonts w:hint="eastAsia" w:ascii="宋体" w:hAnsi="宋体"/>
          <w:color w:val="000000"/>
          <w:sz w:val="24"/>
        </w:rPr>
      </w:pPr>
      <w:r>
        <w:rPr>
          <w:rFonts w:hint="eastAsia" w:ascii="宋体" w:hAnsi="宋体"/>
          <w:color w:val="000000"/>
          <w:sz w:val="24"/>
        </w:rPr>
        <w:t>在采动过程中，定期巡视，对受采动影响产生的裂缝，根据裂缝宽度大小进行治理：小裂缝及时充填平整即可，大裂缝待地表活动影响基本结束后再治理；对可能发生崩塌、滑坡处采取疏水、排水、削坡减载等多种方法增加稳定性，防止崩塌或滑坡的产生。</w:t>
      </w:r>
    </w:p>
    <w:p w14:paraId="5F70161A">
      <w:pPr>
        <w:spacing w:line="360" w:lineRule="auto"/>
        <w:ind w:firstLine="480" w:firstLineChars="200"/>
        <w:rPr>
          <w:rFonts w:hint="eastAsia" w:ascii="宋体" w:hAnsi="宋体"/>
          <w:color w:val="000000"/>
          <w:sz w:val="24"/>
        </w:rPr>
      </w:pPr>
      <w:r>
        <w:rPr>
          <w:rFonts w:hint="eastAsia" w:ascii="宋体" w:hAnsi="宋体"/>
          <w:color w:val="000000"/>
          <w:sz w:val="24"/>
        </w:rPr>
        <w:t>（3）地表活动停止后的措施</w:t>
      </w:r>
    </w:p>
    <w:p w14:paraId="5BE16146">
      <w:pPr>
        <w:spacing w:line="360" w:lineRule="auto"/>
        <w:ind w:firstLine="480" w:firstLineChars="200"/>
        <w:rPr>
          <w:rFonts w:hint="eastAsia" w:ascii="宋体" w:hAnsi="宋体"/>
          <w:color w:val="000000"/>
          <w:sz w:val="24"/>
        </w:rPr>
      </w:pPr>
      <w:r>
        <w:rPr>
          <w:rFonts w:hint="eastAsia" w:ascii="宋体" w:hAnsi="宋体"/>
          <w:color w:val="000000"/>
          <w:sz w:val="24"/>
        </w:rPr>
        <w:t>采动影响结束后，对塌方、滑坡体进行护坡工程，对于农田因塌陷和裂缝造成弃耕的，在地表变形稳定后，结合农田基本建设，进行土地复垦。</w:t>
      </w:r>
    </w:p>
    <w:p w14:paraId="0F697CD5">
      <w:pPr>
        <w:spacing w:line="360" w:lineRule="auto"/>
        <w:ind w:firstLine="480" w:firstLineChars="200"/>
        <w:rPr>
          <w:rFonts w:hint="eastAsia" w:ascii="宋体" w:hAnsi="宋体"/>
          <w:color w:val="000000"/>
          <w:sz w:val="24"/>
        </w:rPr>
      </w:pPr>
      <w:r>
        <w:rPr>
          <w:rFonts w:hint="eastAsia" w:ascii="宋体" w:hAnsi="宋体"/>
          <w:color w:val="000000"/>
          <w:sz w:val="24"/>
        </w:rPr>
        <w:t>2、防止排矸场水土流失</w:t>
      </w:r>
    </w:p>
    <w:p w14:paraId="3CB51611">
      <w:pPr>
        <w:spacing w:line="360" w:lineRule="auto"/>
        <w:ind w:firstLine="480" w:firstLineChars="200"/>
        <w:rPr>
          <w:rFonts w:hint="eastAsia" w:ascii="宋体" w:hAnsi="宋体"/>
          <w:color w:val="000000"/>
          <w:sz w:val="24"/>
        </w:rPr>
      </w:pPr>
      <w:r>
        <w:rPr>
          <w:rFonts w:hint="eastAsia" w:ascii="宋体" w:hAnsi="宋体"/>
          <w:color w:val="000000"/>
          <w:sz w:val="24"/>
        </w:rPr>
        <w:t>首先，在排矸场周围设置排水沟，下游设防流失的挡矸墙；在排矸过程中，采取分层压实的措施，同时在排矸场周围营造5～10</w:t>
      </w:r>
      <w:r>
        <w:rPr>
          <w:rFonts w:ascii="宋体" w:hAnsi="宋体"/>
          <w:color w:val="000000"/>
          <w:sz w:val="24"/>
        </w:rPr>
        <w:t>m</w:t>
      </w:r>
      <w:r>
        <w:rPr>
          <w:rFonts w:hint="eastAsia" w:ascii="宋体" w:hAnsi="宋体"/>
          <w:color w:val="000000"/>
          <w:sz w:val="24"/>
        </w:rPr>
        <w:t>宽的防护林带；排矸场期满后进行林草复垦。</w:t>
      </w:r>
    </w:p>
    <w:p w14:paraId="65347F9B">
      <w:pPr>
        <w:pStyle w:val="3"/>
        <w:keepLines/>
        <w:spacing w:before="240" w:after="240" w:line="360" w:lineRule="auto"/>
        <w:ind w:firstLine="0" w:firstLineChars="0"/>
        <w:jc w:val="center"/>
        <w:rPr>
          <w:rFonts w:hint="eastAsia"/>
          <w:b/>
          <w:color w:val="000000"/>
          <w:sz w:val="32"/>
          <w:szCs w:val="32"/>
        </w:rPr>
      </w:pPr>
      <w:bookmarkStart w:id="857" w:name="_Toc186528717"/>
      <w:bookmarkStart w:id="858" w:name="_Toc260915292"/>
      <w:bookmarkStart w:id="859" w:name="_Toc173869318"/>
      <w:bookmarkStart w:id="860" w:name="_Toc92630541"/>
      <w:bookmarkStart w:id="861" w:name="_Toc164260480"/>
      <w:r>
        <w:rPr>
          <w:rFonts w:hint="eastAsia"/>
          <w:b/>
          <w:color w:val="000000"/>
          <w:sz w:val="32"/>
          <w:szCs w:val="32"/>
        </w:rPr>
        <w:t>第五节　　环境保护与水土保持投资</w:t>
      </w:r>
      <w:bookmarkEnd w:id="857"/>
      <w:bookmarkEnd w:id="858"/>
    </w:p>
    <w:bookmarkEnd w:id="859"/>
    <w:bookmarkEnd w:id="860"/>
    <w:bookmarkEnd w:id="861"/>
    <w:p w14:paraId="5C9B8171">
      <w:pPr>
        <w:pStyle w:val="4"/>
        <w:keepLines/>
        <w:adjustRightInd w:val="0"/>
        <w:snapToGrid w:val="0"/>
        <w:spacing w:before="240" w:after="240" w:line="360" w:lineRule="auto"/>
        <w:ind w:firstLine="562" w:firstLineChars="200"/>
        <w:jc w:val="both"/>
        <w:rPr>
          <w:rFonts w:hint="eastAsia"/>
          <w:b/>
          <w:color w:val="000000"/>
          <w:kern w:val="0"/>
          <w:szCs w:val="20"/>
        </w:rPr>
      </w:pPr>
      <w:bookmarkStart w:id="862" w:name="_Toc173918994"/>
      <w:bookmarkStart w:id="863" w:name="_Toc173869319"/>
      <w:r>
        <w:rPr>
          <w:rFonts w:hint="eastAsia"/>
          <w:b/>
          <w:color w:val="000000"/>
          <w:kern w:val="0"/>
          <w:szCs w:val="20"/>
        </w:rPr>
        <w:t>一、环境保护投资</w:t>
      </w:r>
      <w:bookmarkEnd w:id="862"/>
      <w:bookmarkEnd w:id="863"/>
    </w:p>
    <w:p w14:paraId="1DE67D60">
      <w:pPr>
        <w:spacing w:line="360" w:lineRule="auto"/>
        <w:ind w:firstLine="480" w:firstLineChars="200"/>
        <w:rPr>
          <w:rFonts w:hint="eastAsia" w:ascii="宋体" w:hAnsi="宋体"/>
          <w:sz w:val="24"/>
        </w:rPr>
      </w:pPr>
      <w:r>
        <w:rPr>
          <w:rFonts w:hint="eastAsia" w:ascii="宋体" w:hAnsi="宋体"/>
          <w:sz w:val="24"/>
        </w:rPr>
        <w:t>矿井环境保护投资是指与污染防治有关的工程投资，大坪煤矿环保专项投资总额为145.71万元，占矿井总投资的8.1%。矿井环保专项投资见</w:t>
      </w:r>
      <w:r>
        <w:rPr>
          <w:rFonts w:hint="eastAsia" w:ascii="宋体" w:hAnsi="宋体"/>
          <w:b/>
          <w:sz w:val="24"/>
        </w:rPr>
        <w:t>表8－5－1</w:t>
      </w:r>
      <w:r>
        <w:rPr>
          <w:rFonts w:hint="eastAsia" w:ascii="宋体" w:hAnsi="宋体"/>
          <w:sz w:val="24"/>
        </w:rPr>
        <w:t>。</w:t>
      </w:r>
    </w:p>
    <w:p w14:paraId="66547E99">
      <w:pPr>
        <w:spacing w:line="360" w:lineRule="auto"/>
        <w:jc w:val="center"/>
        <w:rPr>
          <w:rFonts w:hint="eastAsia" w:ascii="宋体" w:hAnsi="宋体"/>
          <w:sz w:val="24"/>
        </w:rPr>
      </w:pPr>
      <w:r>
        <w:rPr>
          <w:rFonts w:hint="eastAsia" w:ascii="宋体" w:hAnsi="宋体"/>
          <w:sz w:val="24"/>
        </w:rPr>
        <w:t>表8－5－1    环保专项投资概算表</w:t>
      </w:r>
    </w:p>
    <w:tbl>
      <w:tblPr>
        <w:tblStyle w:val="62"/>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125"/>
        <w:gridCol w:w="1887"/>
        <w:gridCol w:w="1811"/>
        <w:gridCol w:w="1610"/>
        <w:gridCol w:w="1592"/>
      </w:tblGrid>
      <w:tr w14:paraId="183FEC6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vMerge w:val="restart"/>
            <w:noWrap w:val="0"/>
            <w:vAlign w:val="center"/>
          </w:tcPr>
          <w:p w14:paraId="5F60DA77">
            <w:pPr>
              <w:jc w:val="center"/>
              <w:rPr>
                <w:rFonts w:ascii="宋体" w:hAnsi="宋体"/>
                <w:sz w:val="24"/>
              </w:rPr>
            </w:pPr>
            <w:r>
              <w:rPr>
                <w:rFonts w:hint="eastAsia" w:ascii="宋体" w:hAnsi="宋体"/>
                <w:sz w:val="24"/>
              </w:rPr>
              <w:t>项</w:t>
            </w:r>
            <w:r>
              <w:rPr>
                <w:rFonts w:ascii="宋体" w:hAnsi="宋体"/>
                <w:sz w:val="24"/>
              </w:rPr>
              <w:t xml:space="preserve">  </w:t>
            </w:r>
            <w:r>
              <w:rPr>
                <w:rFonts w:hint="eastAsia" w:ascii="宋体" w:hAnsi="宋体"/>
                <w:sz w:val="24"/>
              </w:rPr>
              <w:t>目</w:t>
            </w:r>
          </w:p>
        </w:tc>
        <w:tc>
          <w:tcPr>
            <w:tcW w:w="5308" w:type="dxa"/>
            <w:gridSpan w:val="3"/>
            <w:noWrap w:val="0"/>
            <w:vAlign w:val="center"/>
          </w:tcPr>
          <w:p w14:paraId="02639502">
            <w:pPr>
              <w:jc w:val="center"/>
              <w:rPr>
                <w:rFonts w:ascii="宋体" w:hAnsi="宋体"/>
                <w:sz w:val="24"/>
              </w:rPr>
            </w:pPr>
            <w:r>
              <w:rPr>
                <w:rFonts w:hint="eastAsia" w:ascii="宋体" w:hAnsi="宋体"/>
                <w:sz w:val="24"/>
              </w:rPr>
              <w:t>投</w:t>
            </w:r>
            <w:r>
              <w:rPr>
                <w:rFonts w:ascii="宋体" w:hAnsi="宋体"/>
                <w:sz w:val="24"/>
              </w:rPr>
              <w:t xml:space="preserve"> </w:t>
            </w:r>
            <w:r>
              <w:rPr>
                <w:rFonts w:hint="eastAsia" w:ascii="宋体" w:hAnsi="宋体"/>
                <w:sz w:val="24"/>
              </w:rPr>
              <w:t>资</w:t>
            </w:r>
            <w:r>
              <w:rPr>
                <w:rFonts w:ascii="宋体" w:hAnsi="宋体"/>
                <w:sz w:val="24"/>
              </w:rPr>
              <w:t xml:space="preserve"> </w:t>
            </w:r>
            <w:r>
              <w:rPr>
                <w:rFonts w:hint="eastAsia" w:ascii="宋体" w:hAnsi="宋体"/>
                <w:sz w:val="24"/>
              </w:rPr>
              <w:t>估</w:t>
            </w:r>
            <w:r>
              <w:rPr>
                <w:rFonts w:ascii="宋体" w:hAnsi="宋体"/>
                <w:sz w:val="24"/>
              </w:rPr>
              <w:t xml:space="preserve"> </w:t>
            </w:r>
            <w:r>
              <w:rPr>
                <w:rFonts w:hint="eastAsia" w:ascii="宋体" w:hAnsi="宋体"/>
                <w:sz w:val="24"/>
              </w:rPr>
              <w:t>算（万元）</w:t>
            </w:r>
          </w:p>
        </w:tc>
        <w:tc>
          <w:tcPr>
            <w:tcW w:w="1592" w:type="dxa"/>
            <w:vMerge w:val="restart"/>
            <w:noWrap w:val="0"/>
            <w:vAlign w:val="center"/>
          </w:tcPr>
          <w:p w14:paraId="72367806">
            <w:pPr>
              <w:jc w:val="center"/>
              <w:rPr>
                <w:rFonts w:ascii="宋体" w:hAnsi="宋体"/>
                <w:sz w:val="24"/>
              </w:rPr>
            </w:pPr>
            <w:r>
              <w:rPr>
                <w:rFonts w:hint="eastAsia" w:ascii="宋体" w:hAnsi="宋体"/>
                <w:sz w:val="24"/>
              </w:rPr>
              <w:t>小计（万元）</w:t>
            </w:r>
          </w:p>
        </w:tc>
      </w:tr>
      <w:tr w14:paraId="0C26B65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vMerge w:val="continue"/>
            <w:noWrap w:val="0"/>
            <w:vAlign w:val="center"/>
          </w:tcPr>
          <w:p w14:paraId="31172247">
            <w:pPr>
              <w:rPr>
                <w:rFonts w:ascii="宋体" w:hAnsi="宋体"/>
                <w:sz w:val="24"/>
              </w:rPr>
            </w:pPr>
          </w:p>
        </w:tc>
        <w:tc>
          <w:tcPr>
            <w:tcW w:w="1887" w:type="dxa"/>
            <w:noWrap w:val="0"/>
            <w:vAlign w:val="center"/>
          </w:tcPr>
          <w:p w14:paraId="27FA856D">
            <w:pPr>
              <w:jc w:val="center"/>
              <w:rPr>
                <w:rFonts w:ascii="宋体" w:hAnsi="宋体"/>
                <w:sz w:val="24"/>
              </w:rPr>
            </w:pPr>
            <w:r>
              <w:rPr>
                <w:rFonts w:hint="eastAsia" w:ascii="宋体" w:hAnsi="宋体"/>
                <w:sz w:val="24"/>
              </w:rPr>
              <w:t>土建工程费</w:t>
            </w:r>
          </w:p>
        </w:tc>
        <w:tc>
          <w:tcPr>
            <w:tcW w:w="1811" w:type="dxa"/>
            <w:noWrap w:val="0"/>
            <w:vAlign w:val="center"/>
          </w:tcPr>
          <w:p w14:paraId="78B4FFC5">
            <w:pPr>
              <w:jc w:val="center"/>
              <w:rPr>
                <w:rFonts w:ascii="宋体" w:hAnsi="宋体"/>
                <w:sz w:val="24"/>
              </w:rPr>
            </w:pPr>
            <w:r>
              <w:rPr>
                <w:rFonts w:hint="eastAsia" w:ascii="宋体" w:hAnsi="宋体"/>
                <w:sz w:val="24"/>
              </w:rPr>
              <w:t>设备及材料</w:t>
            </w:r>
          </w:p>
        </w:tc>
        <w:tc>
          <w:tcPr>
            <w:tcW w:w="1610" w:type="dxa"/>
            <w:noWrap w:val="0"/>
            <w:vAlign w:val="center"/>
          </w:tcPr>
          <w:p w14:paraId="0FAF75B7">
            <w:pPr>
              <w:jc w:val="center"/>
              <w:rPr>
                <w:rFonts w:ascii="宋体" w:hAnsi="宋体"/>
                <w:sz w:val="24"/>
              </w:rPr>
            </w:pPr>
            <w:r>
              <w:rPr>
                <w:rFonts w:hint="eastAsia" w:ascii="宋体" w:hAnsi="宋体"/>
                <w:sz w:val="24"/>
              </w:rPr>
              <w:t>安装工程</w:t>
            </w:r>
          </w:p>
        </w:tc>
        <w:tc>
          <w:tcPr>
            <w:tcW w:w="1592" w:type="dxa"/>
            <w:vMerge w:val="continue"/>
            <w:noWrap w:val="0"/>
            <w:vAlign w:val="center"/>
          </w:tcPr>
          <w:p w14:paraId="3D76C016">
            <w:pPr>
              <w:rPr>
                <w:rFonts w:ascii="宋体" w:hAnsi="宋体"/>
                <w:sz w:val="24"/>
              </w:rPr>
            </w:pPr>
          </w:p>
        </w:tc>
      </w:tr>
      <w:tr w14:paraId="3C3D696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6F240B2E">
            <w:pPr>
              <w:rPr>
                <w:rFonts w:ascii="宋体" w:hAnsi="宋体"/>
                <w:sz w:val="24"/>
              </w:rPr>
            </w:pPr>
            <w:r>
              <w:rPr>
                <w:rFonts w:hint="eastAsia" w:ascii="宋体" w:hAnsi="宋体"/>
                <w:sz w:val="24"/>
              </w:rPr>
              <w:t>井下水处理站</w:t>
            </w:r>
          </w:p>
        </w:tc>
        <w:tc>
          <w:tcPr>
            <w:tcW w:w="1887" w:type="dxa"/>
            <w:noWrap w:val="0"/>
            <w:vAlign w:val="center"/>
          </w:tcPr>
          <w:p w14:paraId="17A47246">
            <w:pPr>
              <w:rPr>
                <w:rFonts w:hint="eastAsia" w:ascii="宋体" w:hAnsi="宋体"/>
                <w:sz w:val="24"/>
              </w:rPr>
            </w:pPr>
            <w:r>
              <w:rPr>
                <w:rFonts w:hint="eastAsia" w:ascii="宋体" w:hAnsi="宋体"/>
                <w:sz w:val="24"/>
              </w:rPr>
              <w:t>10.02</w:t>
            </w:r>
          </w:p>
        </w:tc>
        <w:tc>
          <w:tcPr>
            <w:tcW w:w="1811" w:type="dxa"/>
            <w:noWrap w:val="0"/>
            <w:vAlign w:val="center"/>
          </w:tcPr>
          <w:p w14:paraId="0DC6CC48">
            <w:pPr>
              <w:jc w:val="center"/>
              <w:rPr>
                <w:rFonts w:hint="eastAsia" w:ascii="宋体" w:hAnsi="宋体"/>
                <w:sz w:val="24"/>
              </w:rPr>
            </w:pPr>
            <w:r>
              <w:rPr>
                <w:rFonts w:hint="eastAsia" w:ascii="宋体" w:hAnsi="宋体"/>
                <w:sz w:val="24"/>
              </w:rPr>
              <w:t>26.55</w:t>
            </w:r>
          </w:p>
        </w:tc>
        <w:tc>
          <w:tcPr>
            <w:tcW w:w="1610" w:type="dxa"/>
            <w:noWrap w:val="0"/>
            <w:vAlign w:val="center"/>
          </w:tcPr>
          <w:p w14:paraId="13506FAE">
            <w:pPr>
              <w:jc w:val="center"/>
              <w:rPr>
                <w:rFonts w:hint="eastAsia" w:ascii="宋体" w:hAnsi="宋体"/>
                <w:sz w:val="24"/>
              </w:rPr>
            </w:pPr>
            <w:r>
              <w:rPr>
                <w:rFonts w:hint="eastAsia" w:ascii="宋体" w:hAnsi="宋体"/>
                <w:sz w:val="24"/>
              </w:rPr>
              <w:t>1.43</w:t>
            </w:r>
          </w:p>
        </w:tc>
        <w:tc>
          <w:tcPr>
            <w:tcW w:w="1592" w:type="dxa"/>
            <w:noWrap w:val="0"/>
            <w:vAlign w:val="center"/>
          </w:tcPr>
          <w:p w14:paraId="25E11246">
            <w:pPr>
              <w:jc w:val="center"/>
              <w:rPr>
                <w:rFonts w:hint="eastAsia" w:ascii="宋体" w:hAnsi="宋体"/>
                <w:sz w:val="24"/>
              </w:rPr>
            </w:pPr>
            <w:r>
              <w:rPr>
                <w:rFonts w:hint="eastAsia" w:ascii="宋体" w:hAnsi="宋体"/>
                <w:sz w:val="24"/>
              </w:rPr>
              <w:t>38.0</w:t>
            </w:r>
          </w:p>
        </w:tc>
      </w:tr>
      <w:tr w14:paraId="53BE465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21D0A0C4">
            <w:pPr>
              <w:rPr>
                <w:rFonts w:ascii="宋体" w:hAnsi="宋体"/>
                <w:sz w:val="24"/>
              </w:rPr>
            </w:pPr>
            <w:r>
              <w:rPr>
                <w:rFonts w:hint="eastAsia" w:ascii="宋体" w:hAnsi="宋体"/>
                <w:sz w:val="24"/>
              </w:rPr>
              <w:t>生活污水处理站</w:t>
            </w:r>
          </w:p>
        </w:tc>
        <w:tc>
          <w:tcPr>
            <w:tcW w:w="1887" w:type="dxa"/>
            <w:noWrap w:val="0"/>
            <w:vAlign w:val="center"/>
          </w:tcPr>
          <w:p w14:paraId="4D347404">
            <w:pPr>
              <w:rPr>
                <w:rFonts w:hint="eastAsia" w:ascii="宋体" w:hAnsi="宋体"/>
                <w:sz w:val="24"/>
              </w:rPr>
            </w:pPr>
            <w:r>
              <w:rPr>
                <w:rFonts w:hint="eastAsia" w:ascii="宋体" w:hAnsi="宋体"/>
                <w:sz w:val="24"/>
              </w:rPr>
              <w:t>10.00</w:t>
            </w:r>
          </w:p>
        </w:tc>
        <w:tc>
          <w:tcPr>
            <w:tcW w:w="1811" w:type="dxa"/>
            <w:noWrap w:val="0"/>
            <w:vAlign w:val="center"/>
          </w:tcPr>
          <w:p w14:paraId="474C18F3">
            <w:pPr>
              <w:jc w:val="center"/>
              <w:rPr>
                <w:rFonts w:hint="eastAsia" w:ascii="宋体" w:hAnsi="宋体"/>
                <w:sz w:val="24"/>
              </w:rPr>
            </w:pPr>
            <w:r>
              <w:rPr>
                <w:rFonts w:hint="eastAsia" w:ascii="宋体" w:hAnsi="宋体"/>
                <w:sz w:val="24"/>
              </w:rPr>
              <w:t>32.59</w:t>
            </w:r>
          </w:p>
        </w:tc>
        <w:tc>
          <w:tcPr>
            <w:tcW w:w="1610" w:type="dxa"/>
            <w:noWrap w:val="0"/>
            <w:vAlign w:val="center"/>
          </w:tcPr>
          <w:p w14:paraId="25278835">
            <w:pPr>
              <w:jc w:val="center"/>
              <w:rPr>
                <w:rFonts w:hint="eastAsia" w:ascii="宋体" w:hAnsi="宋体"/>
                <w:sz w:val="24"/>
              </w:rPr>
            </w:pPr>
          </w:p>
        </w:tc>
        <w:tc>
          <w:tcPr>
            <w:tcW w:w="1592" w:type="dxa"/>
            <w:noWrap w:val="0"/>
            <w:vAlign w:val="center"/>
          </w:tcPr>
          <w:p w14:paraId="3008838F">
            <w:pPr>
              <w:jc w:val="center"/>
              <w:rPr>
                <w:rFonts w:hint="eastAsia" w:ascii="宋体" w:hAnsi="宋体"/>
                <w:sz w:val="24"/>
              </w:rPr>
            </w:pPr>
            <w:r>
              <w:rPr>
                <w:rFonts w:hint="eastAsia" w:ascii="宋体" w:hAnsi="宋体"/>
                <w:sz w:val="24"/>
              </w:rPr>
              <w:t>42.59</w:t>
            </w:r>
          </w:p>
        </w:tc>
      </w:tr>
      <w:tr w14:paraId="681805F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7495EF6D">
            <w:pPr>
              <w:rPr>
                <w:rFonts w:ascii="宋体" w:hAnsi="宋体"/>
                <w:sz w:val="24"/>
              </w:rPr>
            </w:pPr>
            <w:r>
              <w:rPr>
                <w:rFonts w:hint="eastAsia" w:ascii="宋体" w:hAnsi="宋体"/>
                <w:sz w:val="24"/>
              </w:rPr>
              <w:t>锅炉脱硫除尘</w:t>
            </w:r>
          </w:p>
        </w:tc>
        <w:tc>
          <w:tcPr>
            <w:tcW w:w="1887" w:type="dxa"/>
            <w:noWrap w:val="0"/>
            <w:vAlign w:val="center"/>
          </w:tcPr>
          <w:p w14:paraId="5DC19C66">
            <w:pPr>
              <w:rPr>
                <w:rFonts w:ascii="宋体" w:hAnsi="宋体"/>
                <w:sz w:val="24"/>
              </w:rPr>
            </w:pPr>
          </w:p>
        </w:tc>
        <w:tc>
          <w:tcPr>
            <w:tcW w:w="1811" w:type="dxa"/>
            <w:noWrap w:val="0"/>
            <w:vAlign w:val="center"/>
          </w:tcPr>
          <w:p w14:paraId="56866074">
            <w:pPr>
              <w:rPr>
                <w:rFonts w:ascii="宋体" w:hAnsi="宋体"/>
                <w:sz w:val="24"/>
              </w:rPr>
            </w:pPr>
          </w:p>
        </w:tc>
        <w:tc>
          <w:tcPr>
            <w:tcW w:w="1610" w:type="dxa"/>
            <w:noWrap w:val="0"/>
            <w:vAlign w:val="center"/>
          </w:tcPr>
          <w:p w14:paraId="60D54105">
            <w:pPr>
              <w:rPr>
                <w:rFonts w:ascii="宋体" w:hAnsi="宋体"/>
                <w:sz w:val="24"/>
              </w:rPr>
            </w:pPr>
          </w:p>
        </w:tc>
        <w:tc>
          <w:tcPr>
            <w:tcW w:w="1592" w:type="dxa"/>
            <w:noWrap w:val="0"/>
            <w:vAlign w:val="center"/>
          </w:tcPr>
          <w:p w14:paraId="31824B92">
            <w:pPr>
              <w:jc w:val="center"/>
              <w:rPr>
                <w:rFonts w:hint="eastAsia" w:ascii="宋体" w:hAnsi="宋体"/>
                <w:sz w:val="24"/>
              </w:rPr>
            </w:pPr>
            <w:r>
              <w:rPr>
                <w:rFonts w:hint="eastAsia" w:ascii="宋体" w:hAnsi="宋体"/>
                <w:sz w:val="24"/>
              </w:rPr>
              <w:t>6.0</w:t>
            </w:r>
          </w:p>
        </w:tc>
      </w:tr>
      <w:tr w14:paraId="1DAA87F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2D358F1E">
            <w:pPr>
              <w:rPr>
                <w:rFonts w:ascii="宋体" w:hAnsi="宋体"/>
                <w:sz w:val="24"/>
              </w:rPr>
            </w:pPr>
            <w:r>
              <w:rPr>
                <w:rFonts w:hint="eastAsia" w:ascii="宋体" w:hAnsi="宋体"/>
                <w:sz w:val="24"/>
              </w:rPr>
              <w:t>噪声治理</w:t>
            </w:r>
          </w:p>
        </w:tc>
        <w:tc>
          <w:tcPr>
            <w:tcW w:w="1887" w:type="dxa"/>
            <w:noWrap w:val="0"/>
            <w:vAlign w:val="center"/>
          </w:tcPr>
          <w:p w14:paraId="40D5D0B9">
            <w:pPr>
              <w:rPr>
                <w:rFonts w:ascii="宋体" w:hAnsi="宋体"/>
                <w:sz w:val="24"/>
              </w:rPr>
            </w:pPr>
          </w:p>
        </w:tc>
        <w:tc>
          <w:tcPr>
            <w:tcW w:w="1811" w:type="dxa"/>
            <w:noWrap w:val="0"/>
            <w:vAlign w:val="center"/>
          </w:tcPr>
          <w:p w14:paraId="4B0E914A">
            <w:pPr>
              <w:rPr>
                <w:rFonts w:ascii="宋体" w:hAnsi="宋体"/>
                <w:sz w:val="24"/>
              </w:rPr>
            </w:pPr>
          </w:p>
        </w:tc>
        <w:tc>
          <w:tcPr>
            <w:tcW w:w="1610" w:type="dxa"/>
            <w:noWrap w:val="0"/>
            <w:vAlign w:val="center"/>
          </w:tcPr>
          <w:p w14:paraId="7C259520">
            <w:pPr>
              <w:rPr>
                <w:rFonts w:ascii="宋体" w:hAnsi="宋体"/>
                <w:sz w:val="24"/>
              </w:rPr>
            </w:pPr>
          </w:p>
        </w:tc>
        <w:tc>
          <w:tcPr>
            <w:tcW w:w="1592" w:type="dxa"/>
            <w:noWrap w:val="0"/>
            <w:vAlign w:val="center"/>
          </w:tcPr>
          <w:p w14:paraId="628C16CA">
            <w:pPr>
              <w:jc w:val="center"/>
              <w:rPr>
                <w:rFonts w:hint="eastAsia" w:ascii="宋体" w:hAnsi="宋体"/>
                <w:sz w:val="24"/>
              </w:rPr>
            </w:pPr>
            <w:r>
              <w:rPr>
                <w:rFonts w:hint="eastAsia" w:ascii="宋体" w:hAnsi="宋体"/>
                <w:sz w:val="24"/>
              </w:rPr>
              <w:t>11.0</w:t>
            </w:r>
          </w:p>
        </w:tc>
      </w:tr>
      <w:tr w14:paraId="586FB4F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4E35D78A">
            <w:pPr>
              <w:rPr>
                <w:rFonts w:ascii="宋体" w:hAnsi="宋体"/>
                <w:sz w:val="24"/>
              </w:rPr>
            </w:pPr>
            <w:r>
              <w:rPr>
                <w:rFonts w:hint="eastAsia" w:ascii="宋体" w:hAnsi="宋体"/>
                <w:sz w:val="24"/>
              </w:rPr>
              <w:t>绿</w:t>
            </w:r>
            <w:r>
              <w:rPr>
                <w:rFonts w:ascii="宋体" w:hAnsi="宋体"/>
                <w:sz w:val="24"/>
              </w:rPr>
              <w:t xml:space="preserve">  </w:t>
            </w:r>
            <w:r>
              <w:rPr>
                <w:rFonts w:hint="eastAsia" w:ascii="宋体" w:hAnsi="宋体"/>
                <w:sz w:val="24"/>
              </w:rPr>
              <w:t>化</w:t>
            </w:r>
          </w:p>
        </w:tc>
        <w:tc>
          <w:tcPr>
            <w:tcW w:w="1887" w:type="dxa"/>
            <w:noWrap w:val="0"/>
            <w:vAlign w:val="center"/>
          </w:tcPr>
          <w:p w14:paraId="3318DD3C">
            <w:pPr>
              <w:rPr>
                <w:rFonts w:ascii="宋体" w:hAnsi="宋体"/>
                <w:sz w:val="24"/>
              </w:rPr>
            </w:pPr>
          </w:p>
        </w:tc>
        <w:tc>
          <w:tcPr>
            <w:tcW w:w="1811" w:type="dxa"/>
            <w:noWrap w:val="0"/>
            <w:vAlign w:val="center"/>
          </w:tcPr>
          <w:p w14:paraId="48D931D9">
            <w:pPr>
              <w:rPr>
                <w:rFonts w:ascii="宋体" w:hAnsi="宋体"/>
                <w:sz w:val="24"/>
              </w:rPr>
            </w:pPr>
          </w:p>
        </w:tc>
        <w:tc>
          <w:tcPr>
            <w:tcW w:w="1610" w:type="dxa"/>
            <w:noWrap w:val="0"/>
            <w:vAlign w:val="center"/>
          </w:tcPr>
          <w:p w14:paraId="46EE3A99">
            <w:pPr>
              <w:rPr>
                <w:rFonts w:ascii="宋体" w:hAnsi="宋体"/>
                <w:sz w:val="24"/>
              </w:rPr>
            </w:pPr>
          </w:p>
        </w:tc>
        <w:tc>
          <w:tcPr>
            <w:tcW w:w="1592" w:type="dxa"/>
            <w:noWrap w:val="0"/>
            <w:vAlign w:val="center"/>
          </w:tcPr>
          <w:p w14:paraId="24E09B9C">
            <w:pPr>
              <w:jc w:val="center"/>
              <w:rPr>
                <w:rFonts w:hint="eastAsia" w:ascii="宋体" w:hAnsi="宋体"/>
                <w:sz w:val="24"/>
              </w:rPr>
            </w:pPr>
            <w:r>
              <w:rPr>
                <w:rFonts w:hint="eastAsia" w:ascii="宋体" w:hAnsi="宋体"/>
                <w:sz w:val="24"/>
              </w:rPr>
              <w:t>29.33</w:t>
            </w:r>
          </w:p>
        </w:tc>
      </w:tr>
      <w:tr w14:paraId="75CCC24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4A845890">
            <w:pPr>
              <w:rPr>
                <w:rFonts w:hint="eastAsia" w:ascii="宋体" w:hAnsi="宋体"/>
                <w:sz w:val="24"/>
              </w:rPr>
            </w:pPr>
            <w:r>
              <w:rPr>
                <w:rFonts w:hint="eastAsia" w:ascii="宋体" w:hAnsi="宋体"/>
                <w:sz w:val="24"/>
              </w:rPr>
              <w:t>环境影响评价费</w:t>
            </w:r>
          </w:p>
        </w:tc>
        <w:tc>
          <w:tcPr>
            <w:tcW w:w="1887" w:type="dxa"/>
            <w:noWrap w:val="0"/>
            <w:vAlign w:val="center"/>
          </w:tcPr>
          <w:p w14:paraId="137AF8F3">
            <w:pPr>
              <w:rPr>
                <w:rFonts w:ascii="宋体" w:hAnsi="宋体"/>
                <w:sz w:val="24"/>
              </w:rPr>
            </w:pPr>
          </w:p>
        </w:tc>
        <w:tc>
          <w:tcPr>
            <w:tcW w:w="1811" w:type="dxa"/>
            <w:noWrap w:val="0"/>
            <w:vAlign w:val="center"/>
          </w:tcPr>
          <w:p w14:paraId="0DF8F42F">
            <w:pPr>
              <w:rPr>
                <w:rFonts w:ascii="宋体" w:hAnsi="宋体"/>
                <w:sz w:val="24"/>
              </w:rPr>
            </w:pPr>
          </w:p>
        </w:tc>
        <w:tc>
          <w:tcPr>
            <w:tcW w:w="1610" w:type="dxa"/>
            <w:noWrap w:val="0"/>
            <w:vAlign w:val="center"/>
          </w:tcPr>
          <w:p w14:paraId="6B12FF06">
            <w:pPr>
              <w:rPr>
                <w:rFonts w:ascii="宋体" w:hAnsi="宋体"/>
                <w:sz w:val="24"/>
              </w:rPr>
            </w:pPr>
          </w:p>
        </w:tc>
        <w:tc>
          <w:tcPr>
            <w:tcW w:w="1592" w:type="dxa"/>
            <w:noWrap w:val="0"/>
            <w:vAlign w:val="center"/>
          </w:tcPr>
          <w:p w14:paraId="1FFF8979">
            <w:pPr>
              <w:jc w:val="center"/>
              <w:rPr>
                <w:rFonts w:hint="eastAsia" w:ascii="宋体" w:hAnsi="宋体"/>
                <w:sz w:val="24"/>
              </w:rPr>
            </w:pPr>
            <w:r>
              <w:rPr>
                <w:rFonts w:hint="eastAsia" w:ascii="宋体" w:hAnsi="宋体"/>
                <w:sz w:val="24"/>
              </w:rPr>
              <w:t>18.79</w:t>
            </w:r>
          </w:p>
        </w:tc>
      </w:tr>
      <w:tr w14:paraId="52A407F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0" w:hRule="atLeast"/>
          <w:jc w:val="center"/>
        </w:trPr>
        <w:tc>
          <w:tcPr>
            <w:tcW w:w="2125" w:type="dxa"/>
            <w:noWrap w:val="0"/>
            <w:vAlign w:val="center"/>
          </w:tcPr>
          <w:p w14:paraId="1B6F89BA">
            <w:pPr>
              <w:rPr>
                <w:rFonts w:ascii="宋体" w:hAnsi="宋体"/>
                <w:sz w:val="24"/>
              </w:rPr>
            </w:pPr>
            <w:r>
              <w:rPr>
                <w:rFonts w:hint="eastAsia" w:ascii="宋体" w:hAnsi="宋体"/>
                <w:sz w:val="24"/>
              </w:rPr>
              <w:t>合</w:t>
            </w:r>
            <w:r>
              <w:rPr>
                <w:rFonts w:ascii="宋体" w:hAnsi="宋体"/>
                <w:sz w:val="24"/>
              </w:rPr>
              <w:t xml:space="preserve">     </w:t>
            </w:r>
            <w:r>
              <w:rPr>
                <w:rFonts w:hint="eastAsia" w:ascii="宋体" w:hAnsi="宋体"/>
                <w:sz w:val="24"/>
              </w:rPr>
              <w:t>计</w:t>
            </w:r>
          </w:p>
        </w:tc>
        <w:tc>
          <w:tcPr>
            <w:tcW w:w="1887" w:type="dxa"/>
            <w:noWrap w:val="0"/>
            <w:vAlign w:val="center"/>
          </w:tcPr>
          <w:p w14:paraId="68F217F8">
            <w:pPr>
              <w:rPr>
                <w:rFonts w:ascii="宋体" w:hAnsi="宋体"/>
                <w:sz w:val="24"/>
              </w:rPr>
            </w:pPr>
          </w:p>
        </w:tc>
        <w:tc>
          <w:tcPr>
            <w:tcW w:w="1811" w:type="dxa"/>
            <w:noWrap w:val="0"/>
            <w:vAlign w:val="center"/>
          </w:tcPr>
          <w:p w14:paraId="792CCE8B">
            <w:pPr>
              <w:rPr>
                <w:rFonts w:ascii="宋体" w:hAnsi="宋体"/>
                <w:sz w:val="24"/>
              </w:rPr>
            </w:pPr>
          </w:p>
        </w:tc>
        <w:tc>
          <w:tcPr>
            <w:tcW w:w="1610" w:type="dxa"/>
            <w:noWrap w:val="0"/>
            <w:vAlign w:val="center"/>
          </w:tcPr>
          <w:p w14:paraId="16D337B0">
            <w:pPr>
              <w:rPr>
                <w:rFonts w:ascii="宋体" w:hAnsi="宋体"/>
                <w:sz w:val="24"/>
              </w:rPr>
            </w:pPr>
          </w:p>
        </w:tc>
        <w:tc>
          <w:tcPr>
            <w:tcW w:w="1592" w:type="dxa"/>
            <w:noWrap w:val="0"/>
            <w:vAlign w:val="center"/>
          </w:tcPr>
          <w:p w14:paraId="16771222">
            <w:pPr>
              <w:jc w:val="center"/>
              <w:rPr>
                <w:rFonts w:hint="eastAsia" w:ascii="宋体" w:hAnsi="宋体"/>
                <w:sz w:val="24"/>
              </w:rPr>
            </w:pPr>
            <w:r>
              <w:rPr>
                <w:rFonts w:hint="eastAsia" w:ascii="宋体" w:hAnsi="宋体"/>
                <w:sz w:val="24"/>
              </w:rPr>
              <w:t>145.71</w:t>
            </w:r>
          </w:p>
        </w:tc>
      </w:tr>
    </w:tbl>
    <w:p w14:paraId="766AB384">
      <w:pPr>
        <w:pStyle w:val="4"/>
        <w:keepLines/>
        <w:adjustRightInd w:val="0"/>
        <w:snapToGrid w:val="0"/>
        <w:spacing w:before="240" w:after="240" w:line="360" w:lineRule="auto"/>
        <w:ind w:firstLine="562" w:firstLineChars="200"/>
        <w:jc w:val="both"/>
        <w:rPr>
          <w:rFonts w:hint="eastAsia"/>
          <w:b/>
          <w:color w:val="000000"/>
          <w:kern w:val="0"/>
          <w:szCs w:val="20"/>
        </w:rPr>
      </w:pPr>
      <w:bookmarkStart w:id="864" w:name="_Toc173918995"/>
      <w:bookmarkStart w:id="865" w:name="_Toc173869320"/>
      <w:r>
        <w:rPr>
          <w:rFonts w:hint="eastAsia"/>
          <w:b/>
          <w:color w:val="000000"/>
          <w:kern w:val="0"/>
          <w:szCs w:val="20"/>
        </w:rPr>
        <w:t>二、水土保持投资</w:t>
      </w:r>
      <w:bookmarkEnd w:id="864"/>
      <w:bookmarkEnd w:id="865"/>
    </w:p>
    <w:p w14:paraId="274846B1">
      <w:pPr>
        <w:spacing w:line="360" w:lineRule="auto"/>
        <w:ind w:firstLine="480" w:firstLineChars="200"/>
        <w:rPr>
          <w:rFonts w:hint="eastAsia" w:ascii="宋体" w:hAnsi="宋体"/>
          <w:color w:val="000000"/>
          <w:sz w:val="24"/>
        </w:rPr>
      </w:pPr>
      <w:r>
        <w:rPr>
          <w:rFonts w:hint="eastAsia" w:ascii="宋体" w:hAnsi="宋体"/>
          <w:color w:val="000000"/>
          <w:sz w:val="24"/>
        </w:rPr>
        <w:t>水城县玉舍大坪煤矿水土保持方案尚未编制，水土保持投资以经审查后的水土保持方案为准。</w:t>
      </w:r>
    </w:p>
    <w:p w14:paraId="36E4E8BE">
      <w:pPr>
        <w:pStyle w:val="3"/>
        <w:keepLines/>
        <w:spacing w:before="240" w:after="240" w:line="360" w:lineRule="auto"/>
        <w:ind w:firstLine="0" w:firstLineChars="0"/>
        <w:jc w:val="center"/>
        <w:rPr>
          <w:rFonts w:hint="eastAsia"/>
          <w:b/>
          <w:color w:val="000000"/>
          <w:sz w:val="32"/>
          <w:szCs w:val="32"/>
        </w:rPr>
      </w:pPr>
      <w:bookmarkStart w:id="866" w:name="_Toc186528718"/>
      <w:bookmarkStart w:id="867" w:name="_Toc260915293"/>
      <w:bookmarkStart w:id="868" w:name="_Toc164260481"/>
      <w:bookmarkStart w:id="869" w:name="_Toc92630542"/>
      <w:bookmarkStart w:id="870" w:name="_Toc173869321"/>
      <w:r>
        <w:rPr>
          <w:rFonts w:hint="eastAsia"/>
          <w:b/>
          <w:color w:val="000000"/>
          <w:sz w:val="32"/>
          <w:szCs w:val="32"/>
        </w:rPr>
        <w:t>第六节　　环境影响评价</w:t>
      </w:r>
      <w:bookmarkEnd w:id="866"/>
      <w:bookmarkEnd w:id="867"/>
    </w:p>
    <w:bookmarkEnd w:id="868"/>
    <w:bookmarkEnd w:id="869"/>
    <w:bookmarkEnd w:id="870"/>
    <w:p w14:paraId="458DDE5E">
      <w:pPr>
        <w:spacing w:line="360" w:lineRule="auto"/>
        <w:ind w:firstLine="480" w:firstLineChars="200"/>
        <w:rPr>
          <w:rFonts w:hint="eastAsia" w:ascii="宋体" w:hAnsi="宋体"/>
          <w:color w:val="000000"/>
          <w:sz w:val="24"/>
        </w:rPr>
      </w:pPr>
      <w:r>
        <w:rPr>
          <w:rFonts w:hint="eastAsia" w:ascii="宋体" w:hAnsi="宋体"/>
          <w:color w:val="000000"/>
          <w:sz w:val="24"/>
        </w:rPr>
        <w:t>水城县玉舍大坪煤矿的建设无疑会对当地环境产生一定的影响，其影响可分为自然环境影响和社会环境影响两部分。对自然环境的影响主要表现为：废水、废气、固体废物对环境的污染以及采煤引起的地表沉陷对地下水资源等产生的一系列不利影响，这些不利影响的程度与矿井建设所采取的污染治理及环境管理措施密切相关。对社会环境的影响主要表现为：煤炭资源开发对区域煤炭资源有序开发、区域经济、交通、文化教育、人民生活的发展与改善等方面的有利影响。</w:t>
      </w:r>
    </w:p>
    <w:p w14:paraId="1CFF6304">
      <w:pPr>
        <w:spacing w:line="360" w:lineRule="auto"/>
        <w:ind w:firstLine="480" w:firstLineChars="200"/>
        <w:rPr>
          <w:rFonts w:hint="eastAsia" w:ascii="宋体" w:hAnsi="宋体"/>
          <w:color w:val="000000"/>
          <w:sz w:val="24"/>
        </w:rPr>
      </w:pPr>
      <w:r>
        <w:rPr>
          <w:rFonts w:hint="eastAsia" w:ascii="宋体" w:hAnsi="宋体"/>
          <w:color w:val="000000"/>
          <w:sz w:val="24"/>
        </w:rPr>
        <w:t>根据中华人民共和国《环境影响评价法》、国务院253号令《建设项目环境保护管理条例》和国家环境保护总局环发【2004】164号《关于加强建设项目环境影响评价分级审批的通知》，本矿应编制环境影响报告书（表）。因此，建设单位应按有关规定委托有评价资质的单位编制环境影响报告书（表）。同时，还必须严格按环境保护“三同时”制度执行，加强生产和环境管理，使煤炭资源开发产生的不利影响得到有效控制。</w:t>
      </w:r>
    </w:p>
    <w:p w14:paraId="1A237CF7">
      <w:pPr>
        <w:pStyle w:val="4"/>
        <w:keepLines/>
        <w:adjustRightInd w:val="0"/>
        <w:snapToGrid w:val="0"/>
        <w:spacing w:before="240" w:after="240" w:line="360" w:lineRule="auto"/>
        <w:ind w:firstLine="562" w:firstLineChars="200"/>
        <w:jc w:val="both"/>
        <w:rPr>
          <w:rFonts w:hint="eastAsia"/>
          <w:b/>
          <w:color w:val="000000"/>
          <w:kern w:val="0"/>
          <w:szCs w:val="20"/>
        </w:rPr>
      </w:pPr>
      <w:bookmarkStart w:id="871" w:name="_Toc160120635"/>
      <w:r>
        <w:rPr>
          <w:rFonts w:hint="eastAsia"/>
          <w:b/>
          <w:color w:val="000000"/>
          <w:kern w:val="0"/>
          <w:szCs w:val="20"/>
        </w:rPr>
        <w:t>一、矿山地质环境报告</w:t>
      </w:r>
      <w:bookmarkEnd w:id="871"/>
    </w:p>
    <w:p w14:paraId="4BB7FCF0">
      <w:pPr>
        <w:spacing w:line="360" w:lineRule="auto"/>
        <w:ind w:firstLine="480" w:firstLineChars="200"/>
        <w:rPr>
          <w:rFonts w:hint="eastAsia" w:ascii="宋体" w:hAnsi="宋体"/>
          <w:sz w:val="24"/>
        </w:rPr>
      </w:pPr>
      <w:r>
        <w:rPr>
          <w:rFonts w:hint="eastAsia" w:ascii="宋体" w:hAnsi="宋体"/>
          <w:sz w:val="24"/>
        </w:rPr>
        <w:t>通过现状评估、预测评估及综合评估，对本矿区地质灾害危险性作出如下结论：</w:t>
      </w:r>
    </w:p>
    <w:p w14:paraId="12B1F4AA">
      <w:pPr>
        <w:spacing w:line="360" w:lineRule="auto"/>
        <w:ind w:firstLine="480" w:firstLineChars="200"/>
        <w:rPr>
          <w:rFonts w:ascii="宋体" w:hAnsi="宋体"/>
          <w:color w:val="000000"/>
          <w:sz w:val="24"/>
        </w:rPr>
      </w:pPr>
      <w:r>
        <w:rPr>
          <w:rFonts w:hint="eastAsia" w:ascii="宋体" w:hAnsi="宋体"/>
          <w:color w:val="000000"/>
          <w:sz w:val="24"/>
        </w:rPr>
        <w:t>1、大坪煤矿为计划年产30万吨原煤的小型矿山，属一般性工业建设项目，按照建设用地地质灾害危险性评估分级进行分级。</w:t>
      </w:r>
    </w:p>
    <w:p w14:paraId="31C6587D">
      <w:pPr>
        <w:spacing w:line="360" w:lineRule="auto"/>
        <w:ind w:firstLine="480" w:firstLineChars="200"/>
        <w:rPr>
          <w:rFonts w:ascii="宋体" w:hAnsi="宋体"/>
          <w:color w:val="000000"/>
          <w:sz w:val="24"/>
        </w:rPr>
      </w:pPr>
      <w:r>
        <w:rPr>
          <w:rFonts w:hint="eastAsia" w:ascii="宋体" w:hAnsi="宋体"/>
          <w:color w:val="000000"/>
          <w:sz w:val="24"/>
        </w:rPr>
        <w:t>2、评估区地质构造复杂程度为中等类型，地形地貌较复杂，岩性条件、水文地质条件中等，人为活动为修路、开小煤窑，龙潭页岩、粉砂岩工程地质性质为不良，为此，评估区地质环境条件复杂程度为简单类型。</w:t>
      </w:r>
    </w:p>
    <w:p w14:paraId="13C3D103">
      <w:pPr>
        <w:spacing w:line="360" w:lineRule="auto"/>
        <w:ind w:firstLine="480" w:firstLineChars="200"/>
        <w:rPr>
          <w:rFonts w:ascii="宋体" w:hAnsi="宋体"/>
          <w:color w:val="000000"/>
          <w:sz w:val="24"/>
        </w:rPr>
      </w:pPr>
      <w:r>
        <w:rPr>
          <w:rFonts w:hint="eastAsia" w:ascii="宋体" w:hAnsi="宋体"/>
          <w:color w:val="000000"/>
          <w:sz w:val="24"/>
        </w:rPr>
        <w:t>3、评估区现状调查未发现滑坡、泥石流、地面开裂、塌陷等地质灾害，存在古崩塌形成的贯穿矿区的两条陡岩峭壁。矿区现状地质灾害为较发育，矿区遭受现状地质灾害的危险性较小；但矿山建设用地地面工程有遭受岩体崩塌危害的危险性较大。</w:t>
      </w:r>
    </w:p>
    <w:p w14:paraId="1ED24484">
      <w:pPr>
        <w:spacing w:line="360" w:lineRule="auto"/>
        <w:ind w:firstLine="480" w:firstLineChars="200"/>
        <w:rPr>
          <w:rFonts w:ascii="宋体" w:hAnsi="宋体"/>
          <w:color w:val="000000"/>
          <w:sz w:val="24"/>
        </w:rPr>
      </w:pPr>
      <w:r>
        <w:rPr>
          <w:rFonts w:hint="eastAsia" w:ascii="宋体" w:hAnsi="宋体"/>
          <w:color w:val="000000"/>
          <w:sz w:val="24"/>
        </w:rPr>
        <w:t>4、预测评估表明，地下采煤活动，可能在煤层项板上部小于采煤安全厚度的地面诱发、遭受山体滑坡、泥石流、山体崩塌、地裂缝、局部塌陷等地质灾害危险可能性大，对地面村寨的居民住房、生命财产安全构成威胁，危害程度大，特别对斜坡下方建设用地内的工程及人员生命财产威协更大，危害程度大。矿坑采煤可导致项板上部形成大量崩落裂隙造成上部地面雨水下渗或</w:t>
      </w:r>
      <w:r>
        <w:rPr>
          <w:rFonts w:ascii="宋体" w:hAnsi="宋体"/>
          <w:color w:val="000000"/>
          <w:sz w:val="24"/>
        </w:rPr>
        <w:t>P</w:t>
      </w:r>
      <w:r>
        <w:rPr>
          <w:rFonts w:ascii="宋体" w:hAnsi="宋体"/>
          <w:color w:val="000000"/>
          <w:sz w:val="24"/>
          <w:vertAlign w:val="subscript"/>
        </w:rPr>
        <w:t>3</w:t>
      </w:r>
      <w:r>
        <w:rPr>
          <w:rFonts w:ascii="宋体" w:hAnsi="宋体"/>
          <w:color w:val="000000"/>
          <w:sz w:val="24"/>
        </w:rPr>
        <w:t>c</w:t>
      </w:r>
      <w:r>
        <w:rPr>
          <w:rFonts w:hint="eastAsia" w:ascii="宋体" w:hAnsi="宋体"/>
          <w:color w:val="000000"/>
          <w:sz w:val="24"/>
        </w:rPr>
        <w:t>中岩溶水下渗灌入矿坑，威胁坑内作业人员及财产安全，其可能性及危险性较大，危害程度大。矿山建设用地地面工程包括主井口、堆煤场、各个房屋建筑和公路都处于矿区采煤可能诱发从而可能遭受岩体崩塌、滑坡等灾害威胁之下，危险性大，遭受地质灾害危害的可能性大，危害程度大。</w:t>
      </w:r>
    </w:p>
    <w:p w14:paraId="22DB9609">
      <w:pPr>
        <w:spacing w:line="360" w:lineRule="auto"/>
        <w:ind w:firstLine="480" w:firstLineChars="200"/>
        <w:rPr>
          <w:rFonts w:ascii="宋体" w:hAnsi="宋体"/>
          <w:color w:val="000000"/>
          <w:sz w:val="24"/>
        </w:rPr>
      </w:pPr>
      <w:r>
        <w:rPr>
          <w:rFonts w:hint="eastAsia" w:ascii="宋体" w:hAnsi="宋体"/>
          <w:color w:val="000000"/>
          <w:sz w:val="24"/>
        </w:rPr>
        <w:t>5、经综合评估，矿区内地面可能诱发遭受地质灾害危害的可能性，只有采取措施保证地面不诱发、遭受地质灾害的前提下，地下才适宜建井采煤，对于井田内村寨住户，应考虑予以搬迁。地质灾害危险性小于</w:t>
      </w:r>
      <w:r>
        <w:rPr>
          <w:rFonts w:ascii="宋体" w:hAnsi="宋体"/>
          <w:color w:val="000000"/>
          <w:sz w:val="24"/>
        </w:rPr>
        <w:t>(III)</w:t>
      </w:r>
      <w:r>
        <w:rPr>
          <w:rFonts w:hint="eastAsia" w:ascii="宋体" w:hAnsi="宋体"/>
          <w:color w:val="000000"/>
          <w:sz w:val="24"/>
        </w:rPr>
        <w:t>的，地下采煤，在地面诱发、遭受地质灾害的危险性小，适宜采煤生产。</w:t>
      </w:r>
    </w:p>
    <w:p w14:paraId="38F5A05A">
      <w:pPr>
        <w:spacing w:line="360" w:lineRule="auto"/>
        <w:ind w:firstLine="480" w:firstLineChars="200"/>
        <w:rPr>
          <w:rFonts w:hint="eastAsia" w:ascii="宋体" w:hAnsi="宋体"/>
          <w:sz w:val="24"/>
        </w:rPr>
      </w:pPr>
      <w:r>
        <w:rPr>
          <w:rFonts w:hint="eastAsia" w:ascii="宋体" w:hAnsi="宋体"/>
          <w:sz w:val="24"/>
        </w:rPr>
        <w:t>矿区建设用地未处于地质灾害危险性大区，没有遭受崩塌、滑坡等地质灾害伤害的危险，对地面建设工程及矿山设备、各类居住人员的生命财产安全不构成威胁，危害程度不大。</w:t>
      </w:r>
    </w:p>
    <w:p w14:paraId="22420F1B">
      <w:pPr>
        <w:spacing w:line="360" w:lineRule="auto"/>
        <w:ind w:firstLine="480" w:firstLineChars="200"/>
        <w:rPr>
          <w:rFonts w:ascii="宋体" w:hAnsi="宋体"/>
          <w:color w:val="000000"/>
          <w:sz w:val="24"/>
        </w:rPr>
      </w:pPr>
      <w:r>
        <w:rPr>
          <w:rFonts w:hint="eastAsia" w:ascii="宋体" w:hAnsi="宋体"/>
          <w:color w:val="000000"/>
          <w:sz w:val="24"/>
        </w:rPr>
        <w:t>地质灾害危险性方面提出的建议：</w:t>
      </w:r>
    </w:p>
    <w:p w14:paraId="68F466F6">
      <w:pPr>
        <w:spacing w:line="360" w:lineRule="auto"/>
        <w:ind w:firstLine="480" w:firstLineChars="200"/>
        <w:rPr>
          <w:rFonts w:ascii="宋体" w:hAnsi="宋体"/>
          <w:color w:val="000000"/>
          <w:sz w:val="24"/>
        </w:rPr>
      </w:pPr>
      <w:r>
        <w:rPr>
          <w:rFonts w:ascii="宋体" w:hAnsi="宋体"/>
          <w:color w:val="000000"/>
          <w:sz w:val="24"/>
        </w:rPr>
        <w:t>1</w:t>
      </w:r>
      <w:r>
        <w:rPr>
          <w:rFonts w:hint="eastAsia" w:ascii="宋体" w:hAnsi="宋体"/>
          <w:color w:val="000000"/>
          <w:sz w:val="24"/>
        </w:rPr>
        <w:t>、矿山开拓方案设计必须充分考虑安全因数，除加强巷道通风、防水及时支护加强顶底板管理措施外，应考虑防止采空区大面积垮塌或用回填采空区、留足保安柱等防治地面诱发、遭受地质灾害的严格措施。</w:t>
      </w:r>
    </w:p>
    <w:p w14:paraId="30168688">
      <w:pPr>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、加强地面地质灾害监测，应建立专门机构，随时在可能发生崩塌、滑坡、地裂缝的陡岩、陡边坡分布地带巡视监测，一旦发现迹象，及时采取防治处理措施或撤离疏散可能受伤害人员至安全地带。</w:t>
      </w:r>
    </w:p>
    <w:p w14:paraId="67581AE0">
      <w:pPr>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矿山建设用地地面工程造成的不稳定边坡，应及时在雨季来临前修保坎、护坡，修排水沟等治理防范可能发生的土层坍滑危害。但总体上建设用地是处于崩塌、滑坡地质灾害危险性、可能性大的区域，从长远安全角度考虑，建议撤离危险性大的区域，在地形较平缓，离陡岩较远，比较安全的地段另选场址，变更开拓巷道和工业、生活办公场地。</w:t>
      </w:r>
    </w:p>
    <w:p w14:paraId="709D5EC3">
      <w:pPr>
        <w:spacing w:line="360" w:lineRule="auto"/>
        <w:ind w:firstLine="480" w:firstLineChars="200"/>
        <w:rPr>
          <w:rFonts w:hint="eastAsia" w:ascii="宋体" w:hAnsi="宋体"/>
          <w:color w:val="000000"/>
          <w:sz w:val="24"/>
        </w:rPr>
      </w:pPr>
      <w:r>
        <w:rPr>
          <w:rFonts w:ascii="宋体" w:hAnsi="宋体"/>
          <w:color w:val="000000"/>
          <w:kern w:val="0"/>
          <w:sz w:val="24"/>
        </w:rPr>
        <w:t>4</w:t>
      </w:r>
      <w:r>
        <w:rPr>
          <w:rFonts w:hint="eastAsia" w:ascii="宋体" w:hAnsi="宋体"/>
          <w:color w:val="000000"/>
          <w:spacing w:val="-35"/>
          <w:kern w:val="0"/>
          <w:sz w:val="24"/>
        </w:rPr>
        <w:t>、</w:t>
      </w:r>
      <w:r>
        <w:rPr>
          <w:rFonts w:hint="eastAsia" w:ascii="宋体" w:hAnsi="宋体"/>
          <w:color w:val="000000"/>
          <w:kern w:val="0"/>
          <w:sz w:val="24"/>
        </w:rPr>
        <w:t>矿区处于地质灾害危险性大区内的村寨住户</w:t>
      </w:r>
      <w:r>
        <w:rPr>
          <w:rFonts w:hint="eastAsia" w:ascii="宋体" w:hAnsi="宋体"/>
          <w:color w:val="000000"/>
          <w:spacing w:val="-35"/>
          <w:kern w:val="0"/>
          <w:sz w:val="24"/>
        </w:rPr>
        <w:t>，</w:t>
      </w:r>
      <w:r>
        <w:rPr>
          <w:rFonts w:hint="eastAsia" w:ascii="宋体" w:hAnsi="宋体"/>
          <w:color w:val="000000"/>
          <w:kern w:val="0"/>
          <w:sz w:val="24"/>
        </w:rPr>
        <w:t>因住房</w:t>
      </w:r>
      <w:r>
        <w:rPr>
          <w:rFonts w:hint="eastAsia" w:ascii="宋体" w:hAnsi="宋体"/>
          <w:color w:val="000000"/>
          <w:spacing w:val="-35"/>
          <w:kern w:val="0"/>
          <w:sz w:val="24"/>
        </w:rPr>
        <w:t>、</w:t>
      </w:r>
      <w:r>
        <w:rPr>
          <w:rFonts w:hint="eastAsia" w:ascii="宋体" w:hAnsi="宋体"/>
          <w:color w:val="000000"/>
          <w:kern w:val="0"/>
          <w:sz w:val="24"/>
        </w:rPr>
        <w:t>人口较多</w:t>
      </w:r>
      <w:r>
        <w:rPr>
          <w:rFonts w:hint="eastAsia" w:ascii="宋体" w:hAnsi="宋体"/>
          <w:color w:val="000000"/>
          <w:spacing w:val="-35"/>
          <w:kern w:val="0"/>
          <w:sz w:val="24"/>
        </w:rPr>
        <w:t>，</w:t>
      </w:r>
      <w:r>
        <w:rPr>
          <w:rFonts w:hint="eastAsia" w:ascii="宋体" w:hAnsi="宋体"/>
          <w:color w:val="000000"/>
          <w:kern w:val="0"/>
          <w:sz w:val="24"/>
        </w:rPr>
        <w:t>设计留设煤柱开采</w:t>
      </w:r>
      <w:r>
        <w:rPr>
          <w:rFonts w:hint="eastAsia" w:ascii="宋体" w:hAnsi="宋体"/>
          <w:color w:val="000000"/>
          <w:spacing w:val="-23"/>
          <w:kern w:val="0"/>
          <w:sz w:val="24"/>
        </w:rPr>
        <w:t>。</w:t>
      </w:r>
      <w:r>
        <w:rPr>
          <w:rFonts w:hint="eastAsia" w:ascii="宋体" w:hAnsi="宋体"/>
          <w:color w:val="000000"/>
          <w:sz w:val="24"/>
        </w:rPr>
        <w:t>地面村庄煤柱按处煤柱边缘的住房外推20米后,根据</w:t>
      </w:r>
      <w:r>
        <w:rPr>
          <w:rFonts w:hint="eastAsia" w:ascii="宋体" w:hAnsi="宋体"/>
          <w:sz w:val="24"/>
          <w:lang w:val="zh-CN"/>
        </w:rPr>
        <w:t>该矿煤层倾角和硬质露岩，矿井</w:t>
      </w:r>
      <w:r>
        <w:rPr>
          <w:rFonts w:hint="eastAsia" w:ascii="宋体" w:hAnsi="宋体"/>
          <w:color w:val="000000"/>
          <w:kern w:val="0"/>
          <w:sz w:val="24"/>
        </w:rPr>
        <w:t>采动</w:t>
      </w:r>
      <w:r>
        <w:rPr>
          <w:rFonts w:hint="eastAsia" w:ascii="宋体" w:hAnsi="宋体"/>
          <w:color w:val="000000"/>
          <w:sz w:val="24"/>
        </w:rPr>
        <w:t>后移动角δ=γ=65º，β=δ-0.7a</w:t>
      </w:r>
      <w:r>
        <w:rPr>
          <w:rFonts w:hint="eastAsia" w:ascii="宋体" w:hAnsi="宋体"/>
          <w:sz w:val="24"/>
          <w:lang w:val="zh-CN"/>
        </w:rPr>
        <w:t>，据此估算保护煤柱</w:t>
      </w:r>
      <w:r>
        <w:rPr>
          <w:rFonts w:hint="eastAsia" w:ascii="宋体" w:hAnsi="宋体"/>
          <w:color w:val="000000"/>
          <w:kern w:val="0"/>
          <w:sz w:val="24"/>
        </w:rPr>
        <w:t>。</w:t>
      </w:r>
    </w:p>
    <w:p w14:paraId="33350A62">
      <w:pPr>
        <w:pStyle w:val="4"/>
        <w:keepLines/>
        <w:adjustRightInd w:val="0"/>
        <w:snapToGrid w:val="0"/>
        <w:spacing w:before="240" w:after="240" w:line="360" w:lineRule="auto"/>
        <w:ind w:firstLine="562" w:firstLineChars="200"/>
        <w:jc w:val="both"/>
        <w:rPr>
          <w:rFonts w:hint="eastAsia"/>
          <w:b/>
          <w:color w:val="000000"/>
          <w:kern w:val="0"/>
          <w:szCs w:val="20"/>
        </w:rPr>
      </w:pPr>
      <w:bookmarkStart w:id="872" w:name="_Toc160120636"/>
      <w:r>
        <w:rPr>
          <w:rFonts w:hint="eastAsia"/>
          <w:b/>
          <w:color w:val="000000"/>
          <w:kern w:val="0"/>
          <w:szCs w:val="20"/>
        </w:rPr>
        <w:t>二、矿山环境影响报告书、水土保持和土地复垦方案</w:t>
      </w:r>
      <w:bookmarkEnd w:id="872"/>
    </w:p>
    <w:p w14:paraId="2838AEB9">
      <w:pPr>
        <w:spacing w:line="360" w:lineRule="auto"/>
        <w:ind w:firstLine="480" w:firstLineChars="200"/>
        <w:rPr>
          <w:rFonts w:hint="eastAsia" w:ascii="宋体" w:hAnsi="宋体"/>
          <w:color w:val="000000"/>
          <w:sz w:val="24"/>
        </w:rPr>
      </w:pPr>
      <w:r>
        <w:rPr>
          <w:rFonts w:hint="eastAsia" w:ascii="宋体" w:hAnsi="宋体"/>
          <w:color w:val="000000"/>
          <w:sz w:val="24"/>
        </w:rPr>
        <w:t>项目在建设过程中要严格执行环境保护“三同时”制度，且要达到以下要求：</w:t>
      </w:r>
    </w:p>
    <w:p w14:paraId="202576BF">
      <w:pPr>
        <w:spacing w:line="360" w:lineRule="auto"/>
        <w:ind w:firstLine="480" w:firstLineChars="200"/>
        <w:rPr>
          <w:rFonts w:hint="eastAsia" w:ascii="宋体" w:hAnsi="宋体"/>
          <w:color w:val="000000"/>
          <w:sz w:val="24"/>
        </w:rPr>
      </w:pPr>
      <w:r>
        <w:rPr>
          <w:rFonts w:hint="eastAsia" w:ascii="宋体" w:hAnsi="宋体"/>
          <w:color w:val="000000"/>
          <w:sz w:val="24"/>
        </w:rPr>
        <w:t>1、矿井水要经过处理达到《污水综合排放标准》（GB8978-1996）一级标准后排放，并尽量回收用于生产；工业场地废水、生活污水经处理达到《污水综合排放标准》（GB8978-1996）一级标准后排放。</w:t>
      </w:r>
    </w:p>
    <w:p w14:paraId="40B746AA">
      <w:pPr>
        <w:spacing w:line="360" w:lineRule="auto"/>
        <w:ind w:firstLine="480" w:firstLineChars="200"/>
        <w:rPr>
          <w:rFonts w:hint="eastAsia" w:ascii="宋体" w:hAnsi="宋体"/>
          <w:color w:val="000000"/>
          <w:sz w:val="24"/>
        </w:rPr>
      </w:pPr>
      <w:r>
        <w:rPr>
          <w:rFonts w:hint="eastAsia" w:ascii="宋体" w:hAnsi="宋体"/>
          <w:color w:val="000000"/>
          <w:sz w:val="24"/>
        </w:rPr>
        <w:t>2、煤矸石要有专门堆放场，对煤矸石堆放场须修筑挡土墙和排水沟，实行雨污分流，污水排入废水处理池进行处理。</w:t>
      </w:r>
    </w:p>
    <w:p w14:paraId="7344B6F3">
      <w:pPr>
        <w:spacing w:line="360" w:lineRule="auto"/>
        <w:ind w:firstLine="480" w:firstLineChars="200"/>
        <w:rPr>
          <w:rFonts w:hint="eastAsia" w:ascii="宋体" w:hAnsi="宋体"/>
          <w:color w:val="000000"/>
          <w:sz w:val="24"/>
        </w:rPr>
      </w:pPr>
      <w:r>
        <w:rPr>
          <w:rFonts w:hint="eastAsia" w:ascii="宋体" w:hAnsi="宋体"/>
          <w:color w:val="000000"/>
          <w:sz w:val="24"/>
        </w:rPr>
        <w:t>3、重视防尘工作，地面储煤场必须采取洒水防尘措施，尽量减轻粉尘对环境的影响。</w:t>
      </w:r>
    </w:p>
    <w:p w14:paraId="56660AEB">
      <w:pPr>
        <w:spacing w:line="360" w:lineRule="auto"/>
        <w:ind w:firstLine="480" w:firstLineChars="200"/>
        <w:rPr>
          <w:rFonts w:hint="eastAsia" w:ascii="宋体" w:hAnsi="宋体"/>
          <w:color w:val="000000"/>
          <w:sz w:val="24"/>
        </w:rPr>
      </w:pPr>
      <w:r>
        <w:rPr>
          <w:rFonts w:hint="eastAsia" w:ascii="宋体" w:hAnsi="宋体"/>
          <w:color w:val="000000"/>
          <w:sz w:val="24"/>
        </w:rPr>
        <w:t>4、采取措施，做好矿区植被保护和恢复，提高矿区生活环境质量，矸石场堆到一定高度后须覆土绿化。</w:t>
      </w:r>
    </w:p>
    <w:p w14:paraId="69E111A1">
      <w:pPr>
        <w:spacing w:line="360" w:lineRule="auto"/>
        <w:ind w:firstLine="480" w:firstLineChars="200"/>
        <w:rPr>
          <w:rFonts w:hint="eastAsia" w:ascii="宋体" w:hAnsi="宋体"/>
          <w:color w:val="000000"/>
          <w:sz w:val="24"/>
        </w:rPr>
      </w:pPr>
      <w:r>
        <w:rPr>
          <w:rFonts w:hint="eastAsia" w:ascii="宋体" w:hAnsi="宋体"/>
          <w:color w:val="000000"/>
          <w:sz w:val="24"/>
        </w:rPr>
        <w:t>5、加强企业内部环境管理和监测工作，防止地质灾害的发生。</w:t>
      </w:r>
    </w:p>
    <w:p w14:paraId="7E84159E">
      <w:pPr>
        <w:pStyle w:val="4"/>
        <w:keepLines/>
        <w:adjustRightInd w:val="0"/>
        <w:snapToGrid w:val="0"/>
        <w:spacing w:before="240" w:after="240" w:line="360" w:lineRule="auto"/>
        <w:ind w:firstLine="562" w:firstLineChars="200"/>
        <w:jc w:val="both"/>
        <w:rPr>
          <w:rFonts w:hint="eastAsia"/>
          <w:b/>
          <w:color w:val="000000"/>
          <w:kern w:val="0"/>
          <w:szCs w:val="20"/>
        </w:rPr>
      </w:pPr>
      <w:bookmarkStart w:id="873" w:name="_Toc160120637"/>
      <w:r>
        <w:rPr>
          <w:rFonts w:hint="eastAsia"/>
          <w:b/>
          <w:color w:val="000000"/>
          <w:kern w:val="0"/>
          <w:szCs w:val="20"/>
        </w:rPr>
        <w:t>三、矿山环境保护措施</w:t>
      </w:r>
      <w:bookmarkEnd w:id="873"/>
    </w:p>
    <w:p w14:paraId="4CFC9BE7">
      <w:pPr>
        <w:spacing w:line="360" w:lineRule="auto"/>
        <w:ind w:firstLine="480" w:firstLineChars="200"/>
        <w:rPr>
          <w:rFonts w:hint="eastAsia" w:ascii="宋体" w:hAnsi="宋体"/>
          <w:color w:val="000000"/>
          <w:sz w:val="24"/>
        </w:rPr>
      </w:pPr>
      <w:r>
        <w:rPr>
          <w:rFonts w:hint="eastAsia" w:ascii="宋体" w:hAnsi="宋体"/>
          <w:color w:val="000000"/>
          <w:sz w:val="24"/>
        </w:rPr>
        <w:t>1、环境质量及污染物排放标准</w:t>
      </w:r>
    </w:p>
    <w:p w14:paraId="521E87A6">
      <w:pPr>
        <w:spacing w:line="360" w:lineRule="auto"/>
        <w:ind w:firstLine="480" w:firstLineChars="200"/>
        <w:rPr>
          <w:rFonts w:hint="eastAsia" w:ascii="宋体" w:hAnsi="宋体"/>
          <w:color w:val="000000"/>
          <w:sz w:val="24"/>
        </w:rPr>
      </w:pPr>
      <w:r>
        <w:rPr>
          <w:rFonts w:hint="eastAsia" w:ascii="宋体" w:hAnsi="宋体"/>
          <w:color w:val="000000"/>
          <w:sz w:val="24"/>
        </w:rPr>
        <w:t>（1）矿井水和工业场地废水经治理后应达到《污水综合排放标准》(GB9876-1996)一级标准后排放。</w:t>
      </w:r>
    </w:p>
    <w:p w14:paraId="009B348B">
      <w:pPr>
        <w:spacing w:line="360" w:lineRule="auto"/>
        <w:ind w:firstLine="480" w:firstLineChars="200"/>
        <w:rPr>
          <w:rFonts w:hint="eastAsia" w:ascii="宋体" w:hAnsi="宋体"/>
          <w:color w:val="000000"/>
          <w:sz w:val="24"/>
        </w:rPr>
      </w:pPr>
      <w:r>
        <w:rPr>
          <w:rFonts w:hint="eastAsia" w:ascii="宋体" w:hAnsi="宋体"/>
          <w:color w:val="000000"/>
          <w:sz w:val="24"/>
        </w:rPr>
        <w:t>（2）燃煤锅炉废气应治理达到《锅炉大气污染物排放标准》(GB13271-2001)二类区（Ⅱ时段）标准后排放，除尘废水循环使用不外排。</w:t>
      </w:r>
    </w:p>
    <w:p w14:paraId="5B21CBD0">
      <w:pPr>
        <w:spacing w:line="360" w:lineRule="auto"/>
        <w:ind w:firstLine="480" w:firstLineChars="200"/>
        <w:rPr>
          <w:rFonts w:hint="eastAsia" w:ascii="宋体" w:hAnsi="宋体"/>
          <w:color w:val="000000"/>
          <w:sz w:val="24"/>
        </w:rPr>
      </w:pPr>
      <w:r>
        <w:rPr>
          <w:rFonts w:hint="eastAsia" w:ascii="宋体" w:hAnsi="宋体"/>
          <w:color w:val="000000"/>
          <w:sz w:val="24"/>
        </w:rPr>
        <w:t>（3）施工期和营运期应采取措施防止水土流失和生态破坏。对弃土弃石、煤矸石等固废应设置规范化场地防止二次污染；采取有效措施防止运输过程中的扬尘。</w:t>
      </w:r>
    </w:p>
    <w:p w14:paraId="0BF4CD46">
      <w:pPr>
        <w:spacing w:line="360" w:lineRule="auto"/>
        <w:ind w:firstLine="480" w:firstLineChars="200"/>
        <w:rPr>
          <w:rFonts w:hint="eastAsia" w:ascii="宋体" w:hAnsi="宋体"/>
          <w:color w:val="000000"/>
          <w:sz w:val="24"/>
        </w:rPr>
      </w:pPr>
      <w:r>
        <w:rPr>
          <w:rFonts w:hint="eastAsia" w:ascii="宋体" w:hAnsi="宋体"/>
          <w:color w:val="000000"/>
          <w:sz w:val="24"/>
        </w:rPr>
        <w:t>（4）为防治噪声污染，设备选型时应选用高效低噪声设备。采取可行的减振降噪措施，确保施工及营运期噪声分别达到《建筑施工场界噪声限值》(GB12493-90)和《工业企业厂界噪声标准》(GB12348-90)二类标准。</w:t>
      </w:r>
    </w:p>
    <w:p w14:paraId="799BCE6D">
      <w:pPr>
        <w:spacing w:line="360" w:lineRule="auto"/>
        <w:ind w:firstLine="480" w:firstLineChars="200"/>
        <w:rPr>
          <w:rFonts w:hint="eastAsia" w:ascii="宋体" w:hAnsi="宋体"/>
          <w:color w:val="000000"/>
          <w:sz w:val="24"/>
        </w:rPr>
      </w:pPr>
      <w:r>
        <w:rPr>
          <w:rFonts w:hint="eastAsia" w:ascii="宋体" w:hAnsi="宋体"/>
          <w:color w:val="000000"/>
          <w:sz w:val="24"/>
        </w:rPr>
        <w:t>（5）加强矿区生态环境保护，尽量减少煤矿开采对地表形态的破坏，防止地质灾害和水土流失的发生。采取生态恢复措施，搞好矿区绿化工作。</w:t>
      </w:r>
    </w:p>
    <w:p w14:paraId="5AA045EE">
      <w:pPr>
        <w:spacing w:line="360" w:lineRule="auto"/>
        <w:ind w:firstLine="480" w:firstLineChars="200"/>
        <w:rPr>
          <w:rFonts w:hint="eastAsia" w:ascii="宋体" w:hAnsi="宋体"/>
          <w:color w:val="000000"/>
          <w:sz w:val="24"/>
        </w:rPr>
      </w:pPr>
      <w:r>
        <w:rPr>
          <w:rFonts w:hint="eastAsia" w:ascii="宋体" w:hAnsi="宋体"/>
          <w:color w:val="000000"/>
          <w:sz w:val="24"/>
        </w:rPr>
        <w:t>（6）锅炉炉渣、除尘渣、生活垃圾等固废应及时收集，运往指定的堆放场所。应积极开展煤矸石的综合利用，变废为宝。</w:t>
      </w:r>
    </w:p>
    <w:p w14:paraId="32B0F7BB">
      <w:pPr>
        <w:spacing w:line="360" w:lineRule="auto"/>
        <w:ind w:firstLine="480" w:firstLineChars="200"/>
        <w:rPr>
          <w:rFonts w:hint="eastAsia" w:ascii="宋体" w:hAnsi="宋体"/>
          <w:color w:val="000000"/>
          <w:sz w:val="24"/>
        </w:rPr>
      </w:pPr>
      <w:r>
        <w:rPr>
          <w:rFonts w:hint="eastAsia" w:ascii="宋体" w:hAnsi="宋体"/>
          <w:color w:val="000000"/>
          <w:sz w:val="24"/>
        </w:rPr>
        <w:t>2、工业场地绿化</w:t>
      </w:r>
    </w:p>
    <w:p w14:paraId="260B70D1">
      <w:pPr>
        <w:spacing w:line="360" w:lineRule="auto"/>
        <w:ind w:firstLine="480" w:firstLineChars="200"/>
        <w:rPr>
          <w:rFonts w:hint="eastAsia" w:ascii="宋体" w:hAnsi="宋体"/>
          <w:color w:val="000000"/>
          <w:sz w:val="24"/>
        </w:rPr>
      </w:pPr>
      <w:r>
        <w:rPr>
          <w:rFonts w:hint="eastAsia" w:ascii="宋体" w:hAnsi="宋体"/>
          <w:color w:val="000000"/>
          <w:sz w:val="24"/>
        </w:rPr>
        <w:t>工业场地是撒发粉尘、噪声和有害气体的主要地段。绿色植物能够制造氧气、吸收二氧化碳和有害物质，同时还具有降尘、滞尘、衰减噪声、监测环境、改善小气候和美化环境等功能。因此，在不影响生产的前提条件下，应尽量提高绿化系数。在进场公路两旁种植适宜当地生长条件的骨干树种，如女贞、泡桐、香樟等，辅以四季常青的灌木，如夹竹桃、万年青等。在锅炉房附近，应针对粉尘、SO</w:t>
      </w:r>
      <w:r>
        <w:rPr>
          <w:rFonts w:hint="eastAsia" w:ascii="宋体" w:hAnsi="宋体"/>
          <w:color w:val="000000"/>
          <w:sz w:val="24"/>
          <w:vertAlign w:val="subscript"/>
        </w:rPr>
        <w:t>2</w:t>
      </w:r>
      <w:r>
        <w:rPr>
          <w:rFonts w:hint="eastAsia" w:ascii="宋体" w:hAnsi="宋体"/>
          <w:color w:val="000000"/>
          <w:sz w:val="24"/>
        </w:rPr>
        <w:t>、CO等有害物质，种植抗逆性强的树种，如大叶冬青、夹竹桃、丝棉木等。</w:t>
      </w:r>
    </w:p>
    <w:p w14:paraId="6484B557">
      <w:pPr>
        <w:spacing w:line="360" w:lineRule="auto"/>
        <w:ind w:firstLine="480" w:firstLineChars="200"/>
        <w:rPr>
          <w:rFonts w:hint="eastAsia" w:ascii="宋体" w:hAnsi="宋体"/>
          <w:color w:val="000000"/>
          <w:sz w:val="24"/>
        </w:rPr>
      </w:pPr>
      <w:r>
        <w:rPr>
          <w:rFonts w:hint="eastAsia" w:ascii="宋体" w:hAnsi="宋体"/>
          <w:color w:val="000000"/>
          <w:sz w:val="24"/>
        </w:rPr>
        <w:t>3、矸石处理与综合利用</w:t>
      </w:r>
    </w:p>
    <w:p w14:paraId="1E0855FA">
      <w:pPr>
        <w:spacing w:line="360" w:lineRule="auto"/>
        <w:ind w:firstLine="480" w:firstLineChars="200"/>
        <w:rPr>
          <w:rFonts w:hint="eastAsia" w:ascii="宋体" w:hAnsi="宋体"/>
          <w:sz w:val="24"/>
        </w:rPr>
      </w:pPr>
      <w:r>
        <w:rPr>
          <w:rFonts w:hint="eastAsia" w:ascii="宋体" w:hAnsi="宋体"/>
          <w:sz w:val="24"/>
        </w:rPr>
        <w:t>矿井排放矸石按5％计，即</w:t>
      </w:r>
      <w:r>
        <w:rPr>
          <w:rFonts w:ascii="宋体" w:hAnsi="宋体"/>
          <w:sz w:val="24"/>
        </w:rPr>
        <w:t>1.5万吨/年</w:t>
      </w:r>
      <w:r>
        <w:rPr>
          <w:rFonts w:hint="eastAsia" w:ascii="宋体" w:hAnsi="宋体"/>
          <w:sz w:val="24"/>
        </w:rPr>
        <w:t>。出井矸石通过窄轨铁路或运至位于副斜井口南面的排矸场地堆放。</w:t>
      </w:r>
    </w:p>
    <w:p w14:paraId="7DE7C140">
      <w:pPr>
        <w:spacing w:line="360" w:lineRule="auto"/>
        <w:ind w:firstLine="480" w:firstLineChars="200"/>
        <w:rPr>
          <w:rFonts w:hint="eastAsia" w:ascii="宋体" w:hAnsi="宋体"/>
          <w:color w:val="000000"/>
          <w:sz w:val="24"/>
        </w:rPr>
      </w:pPr>
      <w:r>
        <w:rPr>
          <w:rFonts w:hint="eastAsia" w:ascii="宋体" w:hAnsi="宋体"/>
          <w:color w:val="000000"/>
          <w:sz w:val="24"/>
        </w:rPr>
        <w:t>区内具有工业价值矿产可以供综合利用。</w:t>
      </w:r>
    </w:p>
    <w:p w14:paraId="0FC45F8A">
      <w:pPr>
        <w:spacing w:line="360" w:lineRule="auto"/>
        <w:ind w:firstLine="480" w:firstLineChars="200"/>
        <w:rPr>
          <w:rFonts w:hint="eastAsia" w:ascii="宋体" w:hAnsi="宋体"/>
          <w:color w:val="000000"/>
          <w:sz w:val="24"/>
        </w:rPr>
      </w:pPr>
      <w:r>
        <w:rPr>
          <w:rFonts w:hint="eastAsia" w:ascii="宋体" w:hAnsi="宋体"/>
          <w:color w:val="000000"/>
          <w:sz w:val="24"/>
        </w:rPr>
        <w:t>4、塌陷区治理</w:t>
      </w:r>
    </w:p>
    <w:p w14:paraId="10CF2121">
      <w:pPr>
        <w:pStyle w:val="21"/>
        <w:spacing w:line="360" w:lineRule="auto"/>
        <w:ind w:firstLine="480" w:firstLineChars="200"/>
        <w:rPr>
          <w:rFonts w:hint="eastAsia" w:ascii="宋体" w:hAnsi="宋体"/>
          <w:color w:val="000000"/>
          <w:sz w:val="24"/>
        </w:rPr>
      </w:pPr>
      <w:r>
        <w:rPr>
          <w:rFonts w:hint="eastAsia" w:ascii="宋体" w:hAnsi="宋体"/>
          <w:color w:val="000000"/>
          <w:sz w:val="24"/>
        </w:rPr>
        <w:t>矿区范围内地形起伏较大，开采煤层埋藏不深，采空区塌陷引起的地表轻微变形可能会导致地面陡峭地段发生山体崩塌、滑坡和泥石流等地质灾害。由于矿区范围内的村寨已留设保护煤柱，开采引起的山体崩塌、滑坡和泥石流等地质灾害对居民的生产、生活不会构成较大威胁。但仍须建立对矿区地表的形变监测制度，对井下开采可能引起的地表陡峭地段山体崩塌、滑坡等地质灾害应采取相应的预防措施。如在地面</w:t>
      </w:r>
      <w:r>
        <w:rPr>
          <w:rFonts w:hint="eastAsia" w:ascii="宋体" w:hAnsi="宋体"/>
          <w:sz w:val="24"/>
        </w:rPr>
        <w:t>陡峭地段、岩层松软地段预先进行锚杆、锚钉或修筑挡墙加固；在地表仅发生轻微变形、产生微小裂缝地段，也应及时进行填堵等。</w:t>
      </w:r>
    </w:p>
    <w:p w14:paraId="4CFA6C38">
      <w:pPr>
        <w:spacing w:line="360" w:lineRule="auto"/>
        <w:ind w:firstLine="480" w:firstLineChars="200"/>
        <w:rPr>
          <w:rFonts w:hint="eastAsia" w:ascii="宋体" w:hAnsi="宋体"/>
          <w:color w:val="000000"/>
          <w:sz w:val="24"/>
        </w:rPr>
      </w:pPr>
      <w:r>
        <w:rPr>
          <w:rFonts w:hint="eastAsia" w:ascii="宋体" w:hAnsi="宋体"/>
          <w:color w:val="000000"/>
          <w:sz w:val="24"/>
        </w:rPr>
        <w:t>5、消烟、除尘和消音措施</w:t>
      </w:r>
    </w:p>
    <w:p w14:paraId="57581D07">
      <w:pPr>
        <w:spacing w:line="360" w:lineRule="auto"/>
        <w:ind w:firstLine="480" w:firstLineChars="200"/>
        <w:rPr>
          <w:rFonts w:hint="eastAsia" w:ascii="宋体" w:hAnsi="宋体"/>
          <w:color w:val="000000"/>
          <w:sz w:val="24"/>
        </w:rPr>
      </w:pPr>
      <w:r>
        <w:rPr>
          <w:rFonts w:hint="eastAsia" w:ascii="宋体" w:hAnsi="宋体"/>
          <w:color w:val="000000"/>
          <w:sz w:val="24"/>
        </w:rPr>
        <w:t>（1）锅炉烟尘</w:t>
      </w:r>
    </w:p>
    <w:p w14:paraId="55348732">
      <w:pPr>
        <w:spacing w:line="360" w:lineRule="auto"/>
        <w:ind w:firstLine="480" w:firstLineChars="200"/>
        <w:rPr>
          <w:rFonts w:hint="eastAsia" w:ascii="宋体" w:hAnsi="宋体"/>
          <w:color w:val="000000"/>
          <w:sz w:val="24"/>
        </w:rPr>
      </w:pPr>
      <w:r>
        <w:rPr>
          <w:rFonts w:hint="eastAsia" w:ascii="宋体" w:hAnsi="宋体"/>
          <w:color w:val="000000"/>
          <w:sz w:val="24"/>
        </w:rPr>
        <w:t>本设计只对职工浴室、更衣室设置集中采暖装置，设计选用一台DZL1-1.0-W型卧式快装螺纹管链条锅炉，总蒸发量1.0t/h。锅炉燃煤烟尘采用</w:t>
      </w:r>
      <w:r>
        <w:rPr>
          <w:rFonts w:ascii="宋体" w:hAnsi="宋体"/>
          <w:color w:val="000000"/>
          <w:sz w:val="24"/>
        </w:rPr>
        <w:t>TLCC-2</w:t>
      </w:r>
      <w:r>
        <w:rPr>
          <w:rFonts w:hint="eastAsia" w:ascii="宋体" w:hAnsi="宋体"/>
          <w:color w:val="000000"/>
          <w:sz w:val="24"/>
        </w:rPr>
        <w:t>型工业锅炉烟尘器处理后，由30m高的烟囱排入大气。</w:t>
      </w:r>
    </w:p>
    <w:p w14:paraId="3078AA5E">
      <w:pPr>
        <w:spacing w:line="360" w:lineRule="auto"/>
        <w:ind w:firstLine="480" w:firstLineChars="200"/>
        <w:rPr>
          <w:rFonts w:hint="eastAsia" w:ascii="宋体" w:hAnsi="宋体"/>
          <w:color w:val="000000"/>
          <w:sz w:val="24"/>
        </w:rPr>
      </w:pPr>
      <w:r>
        <w:rPr>
          <w:rFonts w:hint="eastAsia" w:ascii="宋体" w:hAnsi="宋体"/>
          <w:color w:val="000000"/>
          <w:sz w:val="24"/>
        </w:rPr>
        <w:t>（2）贮煤场防尘措施</w:t>
      </w:r>
    </w:p>
    <w:p w14:paraId="7233F4DE">
      <w:pPr>
        <w:spacing w:line="360" w:lineRule="auto"/>
        <w:ind w:firstLine="480" w:firstLineChars="200"/>
        <w:rPr>
          <w:rFonts w:hint="eastAsia" w:ascii="宋体" w:hAnsi="宋体"/>
          <w:sz w:val="24"/>
        </w:rPr>
      </w:pPr>
      <w:r>
        <w:rPr>
          <w:rFonts w:hint="eastAsia" w:ascii="宋体" w:hAnsi="宋体"/>
          <w:sz w:val="24"/>
        </w:rPr>
        <w:t>地面贮煤场设在主斜井井口南西面90m处。由于当地平均风速较低，雨量充沛，平均相对湿度较大，因此贮煤场扬尘一般情况对周围环境影响不大，只在干燥少雨季节需要洒水除尘，本方案在地面储煤场周围设置有洒水除尘水龙头。</w:t>
      </w:r>
    </w:p>
    <w:p w14:paraId="3385F9B2">
      <w:pPr>
        <w:spacing w:line="360" w:lineRule="auto"/>
        <w:ind w:firstLine="480" w:firstLineChars="200"/>
        <w:rPr>
          <w:rFonts w:hint="eastAsia" w:ascii="宋体" w:hAnsi="宋体"/>
          <w:color w:val="000000"/>
          <w:sz w:val="24"/>
        </w:rPr>
      </w:pPr>
      <w:r>
        <w:rPr>
          <w:rFonts w:hint="eastAsia" w:ascii="宋体" w:hAnsi="宋体"/>
          <w:color w:val="000000"/>
          <w:sz w:val="24"/>
        </w:rPr>
        <w:t>（3）消音措施</w:t>
      </w:r>
    </w:p>
    <w:p w14:paraId="46B45637">
      <w:pPr>
        <w:spacing w:line="360" w:lineRule="auto"/>
        <w:ind w:firstLine="480" w:firstLineChars="200"/>
        <w:rPr>
          <w:rFonts w:hint="eastAsia" w:ascii="宋体" w:hAnsi="宋体"/>
          <w:color w:val="000000"/>
          <w:sz w:val="24"/>
        </w:rPr>
      </w:pPr>
      <w:r>
        <w:rPr>
          <w:rFonts w:hint="eastAsia" w:ascii="宋体" w:hAnsi="宋体"/>
          <w:color w:val="000000"/>
          <w:sz w:val="24"/>
        </w:rPr>
        <w:t>矿井工业场地噪音源主要是锅炉房、机修车间及坑木加工房、锅炉房的噪声，均符合《工业企业噪声卫生标准》不超过85dB(A)之规定。主要通风机房内噪声来自风机，设计选用高效低噪声风机，其噪声低于38dB(A)，符合《工业企业噪声卫生标准》不超过85dB(A)之规定。</w:t>
      </w:r>
    </w:p>
    <w:p w14:paraId="5A14CF5B">
      <w:pPr>
        <w:spacing w:line="360" w:lineRule="auto"/>
        <w:ind w:firstLine="480" w:firstLineChars="200"/>
        <w:rPr>
          <w:rFonts w:hint="eastAsia" w:ascii="宋体" w:hAnsi="宋体"/>
          <w:color w:val="000000"/>
          <w:sz w:val="24"/>
        </w:rPr>
      </w:pPr>
      <w:r>
        <w:rPr>
          <w:rFonts w:hint="eastAsia" w:ascii="宋体" w:hAnsi="宋体"/>
          <w:color w:val="000000"/>
          <w:sz w:val="24"/>
        </w:rPr>
        <w:t>6、重大改迁、保护工程</w:t>
      </w:r>
    </w:p>
    <w:p w14:paraId="3813B915">
      <w:pPr>
        <w:spacing w:line="360" w:lineRule="auto"/>
        <w:ind w:firstLine="480" w:firstLineChars="200"/>
        <w:rPr>
          <w:rFonts w:hint="eastAsia" w:ascii="宋体" w:hAnsi="宋体"/>
          <w:color w:val="000000"/>
          <w:sz w:val="24"/>
        </w:rPr>
      </w:pPr>
      <w:r>
        <w:rPr>
          <w:rFonts w:hint="eastAsia" w:ascii="宋体" w:hAnsi="宋体"/>
          <w:color w:val="000000"/>
          <w:sz w:val="24"/>
        </w:rPr>
        <w:t>矿区范围内无大型河流、建（构）筑物、水库和铁路和村寨，矿井开采不涉及地面建（构）筑物、河流、水库、铁路和高压电源线路等大型建（构）筑物改迁问题。</w:t>
      </w:r>
    </w:p>
    <w:p w14:paraId="1AD4F460">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四、矿山闭坑</w:t>
      </w:r>
    </w:p>
    <w:p w14:paraId="7CE822DC">
      <w:pPr>
        <w:spacing w:line="360" w:lineRule="auto"/>
        <w:ind w:firstLine="480" w:firstLineChars="200"/>
        <w:rPr>
          <w:rFonts w:hint="eastAsia" w:ascii="宋体" w:hAnsi="宋体"/>
          <w:color w:val="000000"/>
          <w:sz w:val="24"/>
        </w:rPr>
      </w:pPr>
      <w:r>
        <w:rPr>
          <w:rFonts w:hint="eastAsia" w:ascii="宋体" w:hAnsi="宋体"/>
          <w:color w:val="000000"/>
          <w:sz w:val="24"/>
        </w:rPr>
        <w:t>矿井开采结束后，对井口进行封闭，对开采造成坑洼地带进行充填，对不用的工业、生活设施拆除，对工业场地进行种树绿化。</w:t>
      </w:r>
    </w:p>
    <w:p w14:paraId="2C964B48">
      <w:pPr>
        <w:spacing w:line="360" w:lineRule="auto"/>
        <w:ind w:firstLine="480" w:firstLineChars="200"/>
        <w:rPr>
          <w:rFonts w:hint="eastAsia" w:ascii="宋体" w:hAnsi="宋体"/>
          <w:color w:val="000000"/>
          <w:sz w:val="24"/>
        </w:rPr>
      </w:pPr>
    </w:p>
    <w:p w14:paraId="3B1B7D5A">
      <w:pPr>
        <w:spacing w:line="360" w:lineRule="auto"/>
        <w:ind w:firstLine="480" w:firstLineChars="200"/>
        <w:rPr>
          <w:rFonts w:hint="eastAsia" w:ascii="宋体" w:hAnsi="宋体"/>
          <w:color w:val="000000"/>
          <w:sz w:val="24"/>
        </w:rPr>
      </w:pPr>
    </w:p>
    <w:p w14:paraId="3FC94C3E">
      <w:pPr>
        <w:spacing w:line="360" w:lineRule="auto"/>
        <w:ind w:firstLine="480" w:firstLineChars="200"/>
        <w:rPr>
          <w:rFonts w:hint="eastAsia" w:ascii="宋体" w:hAnsi="宋体"/>
          <w:color w:val="000000"/>
          <w:sz w:val="24"/>
        </w:rPr>
      </w:pPr>
    </w:p>
    <w:p w14:paraId="18BE530B">
      <w:pPr>
        <w:spacing w:line="360" w:lineRule="auto"/>
        <w:ind w:firstLine="480" w:firstLineChars="200"/>
        <w:rPr>
          <w:rFonts w:hint="eastAsia" w:ascii="宋体" w:hAnsi="宋体"/>
          <w:color w:val="000000"/>
          <w:sz w:val="24"/>
        </w:rPr>
      </w:pPr>
    </w:p>
    <w:p w14:paraId="3884772D">
      <w:pPr>
        <w:spacing w:line="360" w:lineRule="auto"/>
        <w:ind w:firstLine="480" w:firstLineChars="200"/>
        <w:rPr>
          <w:rFonts w:hint="eastAsia" w:ascii="宋体" w:hAnsi="宋体"/>
          <w:color w:val="000000"/>
          <w:sz w:val="24"/>
        </w:rPr>
      </w:pPr>
    </w:p>
    <w:p w14:paraId="1A4A7FCE">
      <w:pPr>
        <w:spacing w:line="360" w:lineRule="auto"/>
        <w:ind w:firstLine="480" w:firstLineChars="200"/>
        <w:rPr>
          <w:rFonts w:hint="eastAsia" w:ascii="宋体" w:hAnsi="宋体"/>
          <w:color w:val="000000"/>
          <w:sz w:val="24"/>
        </w:rPr>
      </w:pPr>
    </w:p>
    <w:p w14:paraId="2044278C">
      <w:pPr>
        <w:spacing w:line="360" w:lineRule="auto"/>
        <w:ind w:firstLine="480" w:firstLineChars="200"/>
        <w:rPr>
          <w:rFonts w:hint="eastAsia" w:ascii="宋体" w:hAnsi="宋体"/>
          <w:color w:val="000000"/>
          <w:sz w:val="24"/>
        </w:rPr>
      </w:pPr>
    </w:p>
    <w:p w14:paraId="0976ABAF">
      <w:pPr>
        <w:spacing w:line="360" w:lineRule="auto"/>
        <w:ind w:firstLine="480" w:firstLineChars="200"/>
        <w:rPr>
          <w:rFonts w:hint="eastAsia" w:ascii="宋体" w:hAnsi="宋体"/>
          <w:color w:val="000000"/>
          <w:sz w:val="24"/>
        </w:rPr>
      </w:pPr>
    </w:p>
    <w:p w14:paraId="54D7387E">
      <w:pPr>
        <w:spacing w:line="360" w:lineRule="auto"/>
        <w:ind w:firstLine="480" w:firstLineChars="200"/>
        <w:rPr>
          <w:rFonts w:hint="eastAsia" w:ascii="宋体" w:hAnsi="宋体"/>
          <w:color w:val="000000"/>
          <w:sz w:val="24"/>
        </w:rPr>
      </w:pPr>
    </w:p>
    <w:p w14:paraId="19E9C0A5">
      <w:pPr>
        <w:spacing w:line="360" w:lineRule="auto"/>
        <w:ind w:firstLine="480" w:firstLineChars="200"/>
        <w:rPr>
          <w:rFonts w:hint="eastAsia" w:ascii="宋体" w:hAnsi="宋体"/>
          <w:color w:val="000000"/>
          <w:sz w:val="24"/>
        </w:rPr>
      </w:pPr>
    </w:p>
    <w:p w14:paraId="52180F16">
      <w:pPr>
        <w:spacing w:line="360" w:lineRule="auto"/>
        <w:ind w:firstLine="480" w:firstLineChars="200"/>
        <w:rPr>
          <w:rFonts w:hint="eastAsia" w:ascii="宋体" w:hAnsi="宋体"/>
          <w:color w:val="000000"/>
          <w:sz w:val="24"/>
        </w:rPr>
      </w:pPr>
    </w:p>
    <w:p w14:paraId="12202B40">
      <w:pPr>
        <w:spacing w:line="360" w:lineRule="auto"/>
        <w:ind w:firstLine="480" w:firstLineChars="200"/>
        <w:rPr>
          <w:rFonts w:ascii="宋体" w:hAnsi="宋体"/>
          <w:color w:val="000000"/>
          <w:sz w:val="24"/>
        </w:rPr>
        <w:sectPr>
          <w:pgSz w:w="11906" w:h="16838"/>
          <w:pgMar w:top="1304" w:right="1418" w:bottom="1304" w:left="1418" w:header="1134" w:footer="992" w:gutter="0"/>
          <w:cols w:space="720" w:num="1"/>
          <w:docGrid w:linePitch="312" w:charSpace="0"/>
        </w:sectPr>
      </w:pPr>
    </w:p>
    <w:p w14:paraId="3D315B0D">
      <w:pPr>
        <w:pStyle w:val="2"/>
        <w:keepLines/>
        <w:spacing w:before="240" w:after="120" w:line="360" w:lineRule="auto"/>
        <w:ind w:firstLine="0" w:firstLineChars="0"/>
        <w:rPr>
          <w:rFonts w:hint="eastAsia" w:ascii="黑体" w:eastAsia="黑体"/>
          <w:b/>
          <w:color w:val="000000"/>
          <w:kern w:val="44"/>
          <w:sz w:val="36"/>
          <w:szCs w:val="36"/>
        </w:rPr>
      </w:pPr>
      <w:bookmarkStart w:id="874" w:name="_Toc259438194"/>
      <w:bookmarkStart w:id="875" w:name="_Toc260915294"/>
      <w:bookmarkStart w:id="876" w:name="_Toc173869322"/>
      <w:bookmarkStart w:id="877" w:name="_Toc92630543"/>
      <w:r>
        <w:rPr>
          <w:rFonts w:hint="eastAsia" w:ascii="黑体" w:eastAsia="黑体"/>
          <w:b/>
          <w:color w:val="000000"/>
          <w:kern w:val="44"/>
          <w:sz w:val="36"/>
          <w:szCs w:val="36"/>
        </w:rPr>
        <w:t>第九章　　项目实施计划</w:t>
      </w:r>
      <w:bookmarkEnd w:id="874"/>
      <w:bookmarkEnd w:id="875"/>
    </w:p>
    <w:bookmarkEnd w:id="876"/>
    <w:bookmarkEnd w:id="877"/>
    <w:p w14:paraId="16DDF085">
      <w:pPr>
        <w:spacing w:line="360" w:lineRule="auto"/>
        <w:ind w:firstLine="480" w:firstLineChars="200"/>
        <w:rPr>
          <w:rFonts w:hint="eastAsia" w:ascii="宋体" w:hAnsi="宋体"/>
          <w:color w:val="000000"/>
          <w:sz w:val="24"/>
        </w:rPr>
      </w:pPr>
      <w:bookmarkStart w:id="878" w:name="_Toc158715727"/>
      <w:bookmarkStart w:id="879" w:name="_Toc92630544"/>
      <w:bookmarkStart w:id="880" w:name="_Toc173869323"/>
      <w:r>
        <w:rPr>
          <w:rFonts w:hint="eastAsia" w:ascii="宋体" w:hAnsi="宋体"/>
          <w:color w:val="000000"/>
          <w:sz w:val="24"/>
        </w:rPr>
        <w:t>本章主要变更内容：1、建井工期变更。</w:t>
      </w:r>
    </w:p>
    <w:p w14:paraId="63E595E4">
      <w:pPr>
        <w:pStyle w:val="3"/>
        <w:keepLines/>
        <w:spacing w:before="240" w:after="240" w:line="360" w:lineRule="auto"/>
        <w:ind w:firstLine="0" w:firstLineChars="0"/>
        <w:jc w:val="center"/>
        <w:rPr>
          <w:rFonts w:hint="eastAsia"/>
          <w:b/>
          <w:color w:val="000000"/>
          <w:sz w:val="32"/>
          <w:szCs w:val="32"/>
        </w:rPr>
      </w:pPr>
      <w:bookmarkStart w:id="881" w:name="_Toc260915295"/>
      <w:r>
        <w:rPr>
          <w:rFonts w:hint="eastAsia"/>
          <w:b/>
          <w:color w:val="000000"/>
          <w:sz w:val="32"/>
          <w:szCs w:val="32"/>
        </w:rPr>
        <w:t>第一节　　建井工期</w:t>
      </w:r>
      <w:bookmarkEnd w:id="881"/>
    </w:p>
    <w:bookmarkEnd w:id="878"/>
    <w:bookmarkEnd w:id="879"/>
    <w:bookmarkEnd w:id="880"/>
    <w:p w14:paraId="23707F39">
      <w:pPr>
        <w:pStyle w:val="4"/>
        <w:keepLines/>
        <w:adjustRightInd w:val="0"/>
        <w:snapToGrid w:val="0"/>
        <w:spacing w:before="240" w:after="240" w:line="360" w:lineRule="auto"/>
        <w:ind w:firstLine="562" w:firstLineChars="200"/>
        <w:jc w:val="both"/>
        <w:rPr>
          <w:rFonts w:hint="eastAsia"/>
          <w:b/>
          <w:color w:val="000000"/>
          <w:kern w:val="0"/>
          <w:szCs w:val="20"/>
        </w:rPr>
      </w:pPr>
      <w:bookmarkStart w:id="882" w:name="_Toc173918999"/>
      <w:bookmarkStart w:id="883" w:name="_Toc173869324"/>
      <w:r>
        <w:rPr>
          <w:rFonts w:hint="eastAsia"/>
          <w:b/>
          <w:color w:val="000000"/>
          <w:kern w:val="0"/>
          <w:szCs w:val="20"/>
        </w:rPr>
        <w:t>一、项目实施前期工作</w:t>
      </w:r>
      <w:bookmarkEnd w:id="882"/>
      <w:bookmarkEnd w:id="883"/>
    </w:p>
    <w:p w14:paraId="46770E91">
      <w:pPr>
        <w:spacing w:line="360" w:lineRule="auto"/>
        <w:ind w:firstLine="480" w:firstLineChars="200"/>
        <w:rPr>
          <w:rFonts w:hint="eastAsia" w:ascii="宋体" w:hAnsi="宋体"/>
          <w:color w:val="000000"/>
          <w:sz w:val="24"/>
        </w:rPr>
      </w:pPr>
      <w:r>
        <w:rPr>
          <w:rFonts w:hint="eastAsia" w:ascii="宋体" w:hAnsi="宋体"/>
          <w:color w:val="000000"/>
          <w:sz w:val="24"/>
        </w:rPr>
        <w:t>施工准备期2个月，准备期的主要工作内容为：</w:t>
      </w:r>
    </w:p>
    <w:p w14:paraId="25283414">
      <w:pPr>
        <w:spacing w:line="360" w:lineRule="auto"/>
        <w:ind w:firstLine="480" w:firstLineChars="200"/>
        <w:rPr>
          <w:rFonts w:hint="eastAsia" w:ascii="宋体" w:hAnsi="宋体"/>
          <w:color w:val="000000"/>
          <w:sz w:val="24"/>
        </w:rPr>
      </w:pPr>
      <w:r>
        <w:rPr>
          <w:rFonts w:hint="eastAsia" w:ascii="宋体" w:hAnsi="宋体"/>
          <w:color w:val="000000"/>
          <w:sz w:val="24"/>
        </w:rPr>
        <w:t>1、研究本区的煤田地质、工程地质、水文地质及气象资料。</w:t>
      </w:r>
    </w:p>
    <w:p w14:paraId="309B603F">
      <w:pPr>
        <w:spacing w:line="360" w:lineRule="auto"/>
        <w:ind w:firstLine="480" w:firstLineChars="200"/>
        <w:rPr>
          <w:rFonts w:hint="eastAsia" w:ascii="宋体" w:hAnsi="宋体"/>
          <w:color w:val="000000"/>
          <w:sz w:val="24"/>
        </w:rPr>
      </w:pPr>
      <w:r>
        <w:rPr>
          <w:rFonts w:hint="eastAsia" w:ascii="宋体" w:hAnsi="宋体"/>
          <w:color w:val="000000"/>
          <w:sz w:val="24"/>
        </w:rPr>
        <w:t>2、学习有关技术文件，设计单位与施工单位作施工图交底，弄清设计意图，编制施工组织设计。</w:t>
      </w:r>
    </w:p>
    <w:p w14:paraId="14CA894B">
      <w:pPr>
        <w:spacing w:line="360" w:lineRule="auto"/>
        <w:ind w:firstLine="480" w:firstLineChars="200"/>
        <w:rPr>
          <w:rFonts w:hint="eastAsia" w:ascii="宋体" w:hAnsi="宋体"/>
          <w:color w:val="000000"/>
          <w:sz w:val="24"/>
        </w:rPr>
      </w:pPr>
      <w:r>
        <w:rPr>
          <w:rFonts w:hint="eastAsia" w:ascii="宋体" w:hAnsi="宋体"/>
          <w:color w:val="000000"/>
          <w:sz w:val="24"/>
        </w:rPr>
        <w:t>3、根据矿区三角网，测绘施工场区地形图，标定井口基桩。</w:t>
      </w:r>
    </w:p>
    <w:p w14:paraId="7AF4A629">
      <w:pPr>
        <w:spacing w:line="360" w:lineRule="auto"/>
        <w:ind w:firstLine="480" w:firstLineChars="200"/>
        <w:rPr>
          <w:rFonts w:hint="eastAsia" w:ascii="宋体" w:hAnsi="宋体"/>
          <w:color w:val="000000"/>
          <w:sz w:val="24"/>
        </w:rPr>
      </w:pPr>
      <w:r>
        <w:rPr>
          <w:rFonts w:hint="eastAsia" w:ascii="宋体" w:hAnsi="宋体"/>
          <w:color w:val="000000"/>
          <w:sz w:val="24"/>
        </w:rPr>
        <w:t>4、完成“五通一平”工作。</w:t>
      </w:r>
    </w:p>
    <w:p w14:paraId="2DF24424">
      <w:pPr>
        <w:spacing w:line="360" w:lineRule="auto"/>
        <w:ind w:firstLine="480" w:firstLineChars="200"/>
        <w:rPr>
          <w:rFonts w:hint="eastAsia" w:ascii="宋体" w:hAnsi="宋体"/>
          <w:color w:val="000000"/>
          <w:sz w:val="24"/>
        </w:rPr>
      </w:pPr>
      <w:r>
        <w:rPr>
          <w:rFonts w:hint="eastAsia" w:ascii="宋体" w:hAnsi="宋体"/>
          <w:color w:val="000000"/>
          <w:sz w:val="24"/>
        </w:rPr>
        <w:t>5、根据近年来的气候特点，作好防洪工作。</w:t>
      </w:r>
    </w:p>
    <w:p w14:paraId="4B9C1A0D">
      <w:pPr>
        <w:spacing w:line="360" w:lineRule="auto"/>
        <w:ind w:firstLine="480" w:firstLineChars="200"/>
        <w:rPr>
          <w:rFonts w:hint="eastAsia" w:ascii="宋体" w:hAnsi="宋体"/>
          <w:color w:val="000000"/>
          <w:sz w:val="24"/>
        </w:rPr>
      </w:pPr>
      <w:r>
        <w:rPr>
          <w:rFonts w:hint="eastAsia" w:ascii="宋体" w:hAnsi="宋体"/>
          <w:color w:val="000000"/>
          <w:sz w:val="24"/>
        </w:rPr>
        <w:t>6、合理安排利用永久设施，减少大临工程。</w:t>
      </w:r>
    </w:p>
    <w:p w14:paraId="218262A1">
      <w:pPr>
        <w:spacing w:line="360" w:lineRule="auto"/>
        <w:ind w:firstLine="480" w:firstLineChars="200"/>
        <w:rPr>
          <w:rFonts w:hint="eastAsia" w:ascii="宋体" w:hAnsi="宋体"/>
          <w:color w:val="000000"/>
          <w:sz w:val="24"/>
        </w:rPr>
      </w:pPr>
      <w:r>
        <w:rPr>
          <w:rFonts w:hint="eastAsia" w:ascii="宋体" w:hAnsi="宋体"/>
          <w:color w:val="000000"/>
          <w:sz w:val="24"/>
        </w:rPr>
        <w:t>7、落实施工所需的材料、设备及施工队伍，保证开工后二个月的三材用量。</w:t>
      </w:r>
    </w:p>
    <w:p w14:paraId="30B415E1">
      <w:pPr>
        <w:pStyle w:val="4"/>
        <w:keepLines/>
        <w:adjustRightInd w:val="0"/>
        <w:snapToGrid w:val="0"/>
        <w:spacing w:before="240" w:after="240" w:line="360" w:lineRule="auto"/>
        <w:ind w:firstLine="562" w:firstLineChars="200"/>
        <w:jc w:val="both"/>
        <w:rPr>
          <w:rFonts w:hint="eastAsia"/>
          <w:b/>
          <w:color w:val="000000"/>
          <w:kern w:val="0"/>
          <w:szCs w:val="20"/>
        </w:rPr>
      </w:pPr>
      <w:bookmarkStart w:id="884" w:name="_Toc173919000"/>
      <w:bookmarkStart w:id="885" w:name="_Toc173869325"/>
      <w:r>
        <w:rPr>
          <w:rFonts w:hint="eastAsia"/>
          <w:b/>
          <w:color w:val="000000"/>
          <w:kern w:val="0"/>
          <w:szCs w:val="20"/>
        </w:rPr>
        <w:t>二、建设方式</w:t>
      </w:r>
      <w:bookmarkEnd w:id="884"/>
      <w:bookmarkEnd w:id="885"/>
    </w:p>
    <w:p w14:paraId="4A6731E2">
      <w:pPr>
        <w:spacing w:line="360" w:lineRule="auto"/>
        <w:ind w:firstLine="480" w:firstLineChars="200"/>
        <w:rPr>
          <w:rFonts w:hint="eastAsia" w:ascii="宋体" w:hAnsi="宋体"/>
          <w:color w:val="000000"/>
          <w:sz w:val="24"/>
        </w:rPr>
      </w:pPr>
      <w:r>
        <w:rPr>
          <w:rFonts w:hint="eastAsia" w:ascii="宋体" w:hAnsi="宋体"/>
          <w:color w:val="000000"/>
          <w:sz w:val="24"/>
        </w:rPr>
        <w:t>矿井建设方式为：一次建成投产。</w:t>
      </w:r>
    </w:p>
    <w:p w14:paraId="329214B5">
      <w:pPr>
        <w:spacing w:line="360" w:lineRule="auto"/>
        <w:ind w:firstLine="480" w:firstLineChars="200"/>
        <w:rPr>
          <w:rFonts w:ascii="宋体" w:hAnsi="宋体"/>
          <w:color w:val="000000"/>
          <w:sz w:val="24"/>
        </w:rPr>
      </w:pPr>
      <w:r>
        <w:rPr>
          <w:rFonts w:hint="eastAsia" w:ascii="宋体" w:hAnsi="宋体"/>
          <w:color w:val="000000"/>
          <w:sz w:val="24"/>
        </w:rPr>
        <w:t>矿井开拓方式为斜井开拓，一个采区生产，矿井共有三个出露地表的井筒,现矿井一采区开拓系统已经形成，主要为扩巷维修。</w:t>
      </w:r>
    </w:p>
    <w:p w14:paraId="1FC0FA73">
      <w:pPr>
        <w:spacing w:line="360" w:lineRule="auto"/>
        <w:ind w:firstLine="480" w:firstLineChars="200"/>
        <w:rPr>
          <w:rFonts w:hint="eastAsia" w:ascii="宋体" w:hAnsi="宋体"/>
          <w:color w:val="000000"/>
          <w:sz w:val="24"/>
        </w:rPr>
      </w:pPr>
      <w:r>
        <w:rPr>
          <w:rFonts w:hint="eastAsia" w:ascii="宋体" w:hAnsi="宋体"/>
          <w:sz w:val="24"/>
        </w:rPr>
        <w:t>矿井自开工建设</w:t>
      </w:r>
      <w:r>
        <w:rPr>
          <w:rFonts w:hint="eastAsia" w:ascii="宋体" w:hAnsi="宋体"/>
          <w:color w:val="FF0000"/>
          <w:sz w:val="24"/>
        </w:rPr>
        <w:t>15个月</w:t>
      </w:r>
      <w:r>
        <w:rPr>
          <w:rFonts w:hint="eastAsia" w:ascii="宋体" w:hAnsi="宋体"/>
          <w:sz w:val="24"/>
        </w:rPr>
        <w:t>后移交一个炮</w:t>
      </w:r>
      <w:r>
        <w:rPr>
          <w:rFonts w:hint="eastAsia" w:ascii="宋体" w:hAnsi="宋体"/>
          <w:color w:val="000000"/>
          <w:sz w:val="24"/>
        </w:rPr>
        <w:t>采工作面，工作面走向长约700m，当采区生产出煤时，地面生产系统及井上、下的所有设施须按设计要求全部建成并投入使用。</w:t>
      </w:r>
    </w:p>
    <w:p w14:paraId="181DECA4">
      <w:pPr>
        <w:pStyle w:val="4"/>
        <w:keepLines/>
        <w:adjustRightInd w:val="0"/>
        <w:snapToGrid w:val="0"/>
        <w:spacing w:before="240" w:after="240" w:line="360" w:lineRule="auto"/>
        <w:ind w:firstLine="562" w:firstLineChars="200"/>
        <w:jc w:val="both"/>
        <w:rPr>
          <w:rFonts w:hint="eastAsia"/>
          <w:b/>
          <w:color w:val="000000"/>
          <w:kern w:val="0"/>
          <w:szCs w:val="20"/>
        </w:rPr>
      </w:pPr>
      <w:bookmarkStart w:id="886" w:name="_Toc173919001"/>
      <w:bookmarkStart w:id="887" w:name="_Toc173869326"/>
      <w:r>
        <w:rPr>
          <w:rFonts w:hint="eastAsia"/>
          <w:b/>
          <w:color w:val="000000"/>
          <w:kern w:val="0"/>
          <w:szCs w:val="20"/>
        </w:rPr>
        <w:t>三、项目实施进度安排</w:t>
      </w:r>
      <w:bookmarkEnd w:id="886"/>
      <w:bookmarkEnd w:id="887"/>
    </w:p>
    <w:p w14:paraId="2923469D">
      <w:pPr>
        <w:spacing w:line="360" w:lineRule="auto"/>
        <w:ind w:firstLine="480" w:firstLineChars="200"/>
        <w:rPr>
          <w:rFonts w:hint="eastAsia" w:ascii="宋体" w:hAnsi="宋体"/>
          <w:color w:val="000000"/>
          <w:sz w:val="24"/>
        </w:rPr>
      </w:pPr>
      <w:r>
        <w:rPr>
          <w:rFonts w:hint="eastAsia" w:ascii="宋体" w:hAnsi="宋体"/>
          <w:color w:val="000000"/>
          <w:sz w:val="24"/>
        </w:rPr>
        <w:t>根据矿井的具体条件及目前国内施工水平，拟定矿井的平均成巷指标如下：</w:t>
      </w:r>
    </w:p>
    <w:p w14:paraId="2BFA67D4">
      <w:pPr>
        <w:spacing w:line="360" w:lineRule="auto"/>
        <w:ind w:firstLine="480" w:firstLineChars="200"/>
        <w:rPr>
          <w:rFonts w:ascii="宋体" w:hAnsi="宋体"/>
          <w:color w:val="000000"/>
          <w:sz w:val="24"/>
          <w:u w:val="single"/>
        </w:rPr>
      </w:pPr>
      <w:r>
        <w:rPr>
          <w:rFonts w:hint="eastAsia" w:ascii="宋体" w:hAnsi="宋体"/>
          <w:color w:val="000000"/>
          <w:sz w:val="24"/>
          <w:u w:val="single"/>
        </w:rPr>
        <w:t>扩巷及维修巷道                       120m/月</w:t>
      </w:r>
    </w:p>
    <w:p w14:paraId="7D860DF2">
      <w:pPr>
        <w:spacing w:line="360" w:lineRule="auto"/>
        <w:ind w:firstLine="480" w:firstLineChars="200"/>
        <w:rPr>
          <w:rFonts w:ascii="宋体" w:hAnsi="宋体"/>
          <w:color w:val="000000"/>
          <w:sz w:val="24"/>
        </w:rPr>
      </w:pPr>
      <w:r>
        <w:rPr>
          <w:rFonts w:hint="eastAsia" w:ascii="宋体" w:hAnsi="宋体"/>
          <w:color w:val="000000"/>
          <w:sz w:val="24"/>
        </w:rPr>
        <w:t>岩石平巷                             130m/月</w:t>
      </w:r>
    </w:p>
    <w:p w14:paraId="491DC6CE">
      <w:pPr>
        <w:spacing w:line="360" w:lineRule="auto"/>
        <w:ind w:firstLine="480" w:firstLineChars="200"/>
        <w:rPr>
          <w:rFonts w:hint="eastAsia" w:ascii="宋体" w:hAnsi="宋体"/>
          <w:color w:val="000000"/>
          <w:sz w:val="24"/>
        </w:rPr>
      </w:pPr>
      <w:r>
        <w:rPr>
          <w:rFonts w:hint="eastAsia" w:ascii="宋体" w:hAnsi="宋体"/>
          <w:color w:val="000000"/>
          <w:sz w:val="24"/>
        </w:rPr>
        <w:t>岩石斜巷                             100m/月</w:t>
      </w:r>
    </w:p>
    <w:p w14:paraId="4FDB69D7">
      <w:pPr>
        <w:spacing w:line="360" w:lineRule="auto"/>
        <w:ind w:firstLine="480" w:firstLineChars="200"/>
        <w:rPr>
          <w:rFonts w:hint="eastAsia" w:ascii="宋体" w:hAnsi="宋体"/>
          <w:color w:val="000000"/>
          <w:sz w:val="24"/>
        </w:rPr>
      </w:pPr>
      <w:r>
        <w:rPr>
          <w:rFonts w:hint="eastAsia" w:ascii="宋体" w:hAnsi="宋体"/>
          <w:color w:val="000000"/>
          <w:sz w:val="24"/>
        </w:rPr>
        <w:t>煤层平巷                             180m/月</w:t>
      </w:r>
    </w:p>
    <w:p w14:paraId="5B6D96DF">
      <w:pPr>
        <w:spacing w:line="360" w:lineRule="auto"/>
        <w:ind w:firstLine="480" w:firstLineChars="200"/>
        <w:rPr>
          <w:rFonts w:hint="eastAsia" w:ascii="宋体" w:hAnsi="宋体"/>
          <w:color w:val="000000"/>
          <w:sz w:val="24"/>
        </w:rPr>
      </w:pPr>
      <w:r>
        <w:rPr>
          <w:rFonts w:hint="eastAsia" w:ascii="宋体" w:hAnsi="宋体"/>
          <w:color w:val="000000"/>
          <w:sz w:val="24"/>
        </w:rPr>
        <w:t>煤层斜巷                             200m/月</w:t>
      </w:r>
    </w:p>
    <w:p w14:paraId="2AFA03A5">
      <w:pPr>
        <w:spacing w:line="360" w:lineRule="auto"/>
        <w:ind w:firstLine="480" w:firstLineChars="200"/>
        <w:rPr>
          <w:rFonts w:hint="eastAsia" w:ascii="宋体" w:hAnsi="宋体"/>
          <w:color w:val="000000"/>
          <w:sz w:val="24"/>
        </w:rPr>
      </w:pPr>
      <w:r>
        <w:rPr>
          <w:rFonts w:hint="eastAsia" w:ascii="宋体" w:hAnsi="宋体"/>
          <w:color w:val="000000"/>
          <w:sz w:val="24"/>
        </w:rPr>
        <w:t>开切眼                               250m/月</w:t>
      </w:r>
    </w:p>
    <w:p w14:paraId="2C2C81AE">
      <w:pPr>
        <w:spacing w:line="360" w:lineRule="auto"/>
        <w:ind w:firstLine="480" w:firstLineChars="200"/>
        <w:rPr>
          <w:rFonts w:hint="eastAsia" w:ascii="宋体" w:hAnsi="宋体"/>
          <w:color w:val="000000"/>
          <w:sz w:val="24"/>
        </w:rPr>
      </w:pPr>
      <w:r>
        <w:rPr>
          <w:rFonts w:hint="eastAsia" w:ascii="宋体" w:hAnsi="宋体"/>
          <w:color w:val="000000"/>
          <w:sz w:val="24"/>
        </w:rPr>
        <w:t>矿井共有三个井筒，为加快施工进度，缩短建井工期，设计推荐二个掘进队同时开工，同时设置两个巷修队同步进行巷道扩巷、维修，关键线路为：</w:t>
      </w:r>
    </w:p>
    <w:p w14:paraId="25C96A73">
      <w:pPr>
        <w:spacing w:line="360" w:lineRule="auto"/>
        <w:ind w:firstLine="480" w:firstLineChars="200"/>
        <w:rPr>
          <w:rFonts w:hint="eastAsia" w:ascii="宋体" w:hAnsi="宋体"/>
          <w:sz w:val="24"/>
        </w:rPr>
      </w:pPr>
      <w:r>
        <w:rPr>
          <w:rFonts w:hint="eastAsia" w:ascii="宋体" w:hAnsi="宋体"/>
          <w:sz w:val="24"/>
        </w:rPr>
        <w:t>① （巷修队1）主斜井→联络巷→联络斜巷→水泵房、管子道→水仓→131运输石门→133轨道石门；</w:t>
      </w:r>
    </w:p>
    <w:p w14:paraId="5DBB1558">
      <w:pPr>
        <w:spacing w:line="360" w:lineRule="auto"/>
        <w:ind w:firstLine="480" w:firstLineChars="200"/>
        <w:rPr>
          <w:rFonts w:hint="eastAsia" w:ascii="宋体" w:hAnsi="宋体"/>
          <w:sz w:val="24"/>
        </w:rPr>
      </w:pPr>
      <w:r>
        <w:rPr>
          <w:rFonts w:hint="eastAsia" w:ascii="宋体" w:hAnsi="宋体"/>
          <w:sz w:val="24"/>
        </w:rPr>
        <w:t>② （巷修队2）副斜井及车场→回风斜井→132回风石门；</w:t>
      </w:r>
    </w:p>
    <w:p w14:paraId="346F4088">
      <w:pPr>
        <w:spacing w:line="360" w:lineRule="auto"/>
        <w:ind w:firstLine="480" w:firstLineChars="200"/>
        <w:rPr>
          <w:rFonts w:hint="eastAsia" w:ascii="宋体" w:hAnsi="宋体"/>
          <w:sz w:val="24"/>
        </w:rPr>
      </w:pPr>
      <w:r>
        <w:rPr>
          <w:rFonts w:hint="eastAsia" w:ascii="宋体" w:hAnsi="宋体"/>
          <w:sz w:val="24"/>
        </w:rPr>
        <w:t>③ 11015回风顺槽→133轨道石门→11015运输顺槽及切眼；</w:t>
      </w:r>
    </w:p>
    <w:p w14:paraId="4F8B8D1A">
      <w:pPr>
        <w:spacing w:line="360" w:lineRule="auto"/>
        <w:ind w:firstLine="480" w:firstLineChars="200"/>
        <w:rPr>
          <w:rFonts w:hint="eastAsia" w:ascii="宋体" w:hAnsi="宋体"/>
          <w:sz w:val="24"/>
        </w:rPr>
      </w:pPr>
      <w:r>
        <w:rPr>
          <w:rFonts w:hint="eastAsia" w:ascii="宋体" w:hAnsi="宋体"/>
          <w:sz w:val="24"/>
        </w:rPr>
        <w:t>④ 132回风石门→132轨道石门及133回风石门→回风联络巷及回风联络斜巷→其他巷道。</w:t>
      </w:r>
    </w:p>
    <w:p w14:paraId="5C791406">
      <w:pPr>
        <w:spacing w:line="360" w:lineRule="auto"/>
        <w:ind w:firstLine="480" w:firstLineChars="200"/>
        <w:rPr>
          <w:rFonts w:hint="eastAsia" w:ascii="宋体" w:hAnsi="宋体"/>
          <w:sz w:val="24"/>
          <w:u w:val="single"/>
        </w:rPr>
      </w:pPr>
      <w:r>
        <w:rPr>
          <w:rFonts w:hint="eastAsia" w:ascii="宋体" w:hAnsi="宋体"/>
          <w:sz w:val="24"/>
          <w:u w:val="single"/>
        </w:rPr>
        <w:t>根据三类工程综合进度</w:t>
      </w:r>
      <w:r>
        <w:rPr>
          <w:rFonts w:hint="eastAsia" w:ascii="宋体" w:hAnsi="宋体"/>
          <w:b/>
          <w:sz w:val="24"/>
          <w:u w:val="single"/>
        </w:rPr>
        <w:t>表9—1—1</w:t>
      </w:r>
      <w:r>
        <w:rPr>
          <w:rFonts w:hint="eastAsia" w:ascii="宋体" w:hAnsi="宋体"/>
          <w:sz w:val="24"/>
          <w:u w:val="single"/>
        </w:rPr>
        <w:t>可知，本矿井的建井工期为15个月（含准备期2个月、系统工程1个月、</w:t>
      </w:r>
      <w:r>
        <w:rPr>
          <w:rFonts w:hint="eastAsia" w:ascii="仿宋_GB2312"/>
          <w:sz w:val="24"/>
          <w:u w:val="single"/>
        </w:rPr>
        <w:t>矿井</w:t>
      </w:r>
      <w:r>
        <w:rPr>
          <w:rFonts w:hint="eastAsia" w:ascii="宋体" w:hAnsi="宋体"/>
          <w:sz w:val="24"/>
          <w:u w:val="single"/>
        </w:rPr>
        <w:t>瓦斯抽采时间2个月及联合试运转2个月）。</w:t>
      </w:r>
    </w:p>
    <w:p w14:paraId="776F2B90">
      <w:pPr>
        <w:pStyle w:val="4"/>
        <w:keepLines/>
        <w:adjustRightInd w:val="0"/>
        <w:snapToGrid w:val="0"/>
        <w:spacing w:before="240" w:after="240" w:line="360" w:lineRule="auto"/>
        <w:ind w:firstLine="562" w:firstLineChars="200"/>
        <w:jc w:val="both"/>
        <w:rPr>
          <w:b/>
          <w:color w:val="000000"/>
          <w:kern w:val="0"/>
          <w:szCs w:val="20"/>
        </w:rPr>
      </w:pPr>
      <w:bookmarkStart w:id="888" w:name="_Toc518492091"/>
      <w:bookmarkStart w:id="889" w:name="_Toc476477231"/>
      <w:bookmarkStart w:id="890" w:name="_Toc124326611"/>
      <w:bookmarkStart w:id="891" w:name="_Toc130908929"/>
      <w:bookmarkStart w:id="892" w:name="_Toc173869327"/>
      <w:bookmarkStart w:id="893" w:name="_Toc72661346"/>
      <w:bookmarkStart w:id="894" w:name="_Toc163720045"/>
      <w:bookmarkStart w:id="895" w:name="_Toc92630545"/>
      <w:bookmarkStart w:id="896" w:name="_Toc29266863"/>
      <w:bookmarkStart w:id="897" w:name="_Toc130961997"/>
      <w:bookmarkStart w:id="898" w:name="_Toc173919002"/>
      <w:bookmarkStart w:id="899" w:name="_Toc4959302"/>
      <w:bookmarkStart w:id="900" w:name="_Toc484467133"/>
      <w:r>
        <w:rPr>
          <w:rFonts w:hint="eastAsia"/>
          <w:b/>
          <w:color w:val="000000"/>
          <w:kern w:val="0"/>
          <w:szCs w:val="20"/>
        </w:rPr>
        <w:t>四、产量递增计划</w:t>
      </w:r>
      <w:bookmarkEnd w:id="888"/>
      <w:bookmarkEnd w:id="889"/>
      <w:bookmarkEnd w:id="890"/>
      <w:bookmarkEnd w:id="891"/>
      <w:bookmarkEnd w:id="892"/>
      <w:bookmarkEnd w:id="893"/>
      <w:bookmarkEnd w:id="894"/>
      <w:bookmarkEnd w:id="895"/>
      <w:bookmarkEnd w:id="896"/>
      <w:bookmarkEnd w:id="897"/>
      <w:bookmarkEnd w:id="898"/>
      <w:bookmarkEnd w:id="899"/>
      <w:bookmarkEnd w:id="900"/>
    </w:p>
    <w:p w14:paraId="4C14CA4B">
      <w:pPr>
        <w:pStyle w:val="23"/>
        <w:rPr>
          <w:rFonts w:hint="eastAsia"/>
        </w:rPr>
      </w:pPr>
      <w:r>
        <w:rPr>
          <w:rFonts w:hint="eastAsia"/>
        </w:rPr>
        <w:t>矿井所采煤层稳定，构造复杂程度属简单类型，开采技术条件一般，本地有着生产经验丰富的劳动力资源，同时由于矿井生产能力较小，故矿井当年移交，当年达产。</w:t>
      </w:r>
    </w:p>
    <w:p w14:paraId="116DCEBE">
      <w:pPr>
        <w:pStyle w:val="23"/>
        <w:rPr>
          <w:rFonts w:hint="eastAsia"/>
        </w:rPr>
      </w:pPr>
    </w:p>
    <w:p w14:paraId="4C9A2F37">
      <w:pPr>
        <w:pStyle w:val="23"/>
        <w:rPr>
          <w:rFonts w:hint="eastAsia"/>
        </w:rPr>
      </w:pPr>
    </w:p>
    <w:p w14:paraId="0C35FDF2">
      <w:pPr>
        <w:pStyle w:val="23"/>
        <w:rPr>
          <w:rFonts w:hint="eastAsia"/>
        </w:rPr>
      </w:pPr>
    </w:p>
    <w:p w14:paraId="097DFB54">
      <w:pPr>
        <w:pStyle w:val="23"/>
        <w:rPr>
          <w:rFonts w:hint="eastAsia"/>
        </w:rPr>
      </w:pPr>
    </w:p>
    <w:p w14:paraId="666339F2">
      <w:pPr>
        <w:pStyle w:val="23"/>
        <w:rPr>
          <w:rFonts w:hint="eastAsia"/>
        </w:rPr>
      </w:pPr>
    </w:p>
    <w:p w14:paraId="3F5EBCC6">
      <w:pPr>
        <w:pStyle w:val="23"/>
        <w:rPr>
          <w:rFonts w:hint="eastAsia"/>
        </w:rPr>
      </w:pPr>
    </w:p>
    <w:p w14:paraId="5F4A4996">
      <w:pPr>
        <w:pStyle w:val="23"/>
        <w:rPr>
          <w:rFonts w:hint="eastAsia"/>
        </w:rPr>
      </w:pPr>
    </w:p>
    <w:p w14:paraId="247A5E84">
      <w:pPr>
        <w:pStyle w:val="23"/>
        <w:rPr>
          <w:rFonts w:hint="eastAsia"/>
        </w:rPr>
      </w:pPr>
    </w:p>
    <w:p w14:paraId="7B22BD17">
      <w:pPr>
        <w:pStyle w:val="23"/>
        <w:rPr>
          <w:rFonts w:hint="eastAsia"/>
        </w:rPr>
      </w:pPr>
    </w:p>
    <w:p w14:paraId="7889A54E">
      <w:pPr>
        <w:pStyle w:val="23"/>
        <w:rPr>
          <w:rFonts w:hint="eastAsia"/>
        </w:rPr>
      </w:pPr>
    </w:p>
    <w:p w14:paraId="6138077E">
      <w:pPr>
        <w:pStyle w:val="23"/>
        <w:rPr>
          <w:rFonts w:hint="eastAsia"/>
        </w:rPr>
      </w:pPr>
    </w:p>
    <w:p w14:paraId="728E24D5">
      <w:pPr>
        <w:spacing w:line="360" w:lineRule="auto"/>
        <w:ind w:firstLine="480" w:firstLineChars="200"/>
        <w:rPr>
          <w:rFonts w:hint="eastAsia" w:ascii="宋体" w:hAnsi="宋体"/>
          <w:sz w:val="24"/>
        </w:rPr>
      </w:pPr>
    </w:p>
    <w:p w14:paraId="30969300">
      <w:pPr>
        <w:spacing w:line="360" w:lineRule="auto"/>
        <w:ind w:firstLine="480" w:firstLineChars="200"/>
        <w:rPr>
          <w:rFonts w:hint="eastAsia" w:ascii="宋体" w:hAnsi="宋体"/>
          <w:sz w:val="24"/>
        </w:rPr>
      </w:pPr>
    </w:p>
    <w:p w14:paraId="428A5534">
      <w:pPr>
        <w:spacing w:line="360" w:lineRule="auto"/>
        <w:ind w:firstLine="480" w:firstLineChars="200"/>
        <w:rPr>
          <w:rFonts w:ascii="宋体" w:hAnsi="宋体"/>
          <w:sz w:val="24"/>
        </w:rPr>
        <w:sectPr>
          <w:pgSz w:w="11906" w:h="16838"/>
          <w:pgMar w:top="1304" w:right="1418" w:bottom="1304" w:left="1418" w:header="1134" w:footer="992" w:gutter="0"/>
          <w:cols w:space="720" w:num="1"/>
          <w:docGrid w:linePitch="312" w:charSpace="0"/>
        </w:sectPr>
      </w:pPr>
    </w:p>
    <w:p w14:paraId="250D36A6">
      <w:pPr>
        <w:spacing w:line="360" w:lineRule="auto"/>
        <w:rPr>
          <w:rFonts w:hint="eastAsia"/>
        </w:rPr>
      </w:pPr>
      <w:r>
        <w:drawing>
          <wp:inline distT="0" distB="0" distL="114300" distR="114300">
            <wp:extent cx="8886825" cy="5779770"/>
            <wp:effectExtent l="0" t="0" r="9525" b="0"/>
            <wp:docPr id="6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5"/>
                    <pic:cNvPicPr>
                      <a:picLocks noChangeAspect="1"/>
                    </pic:cNvPicPr>
                  </pic:nvPicPr>
                  <pic:blipFill>
                    <a:blip r:embed="rId242"/>
                    <a:srcRect l="18652" t="21863" r="23099" b="-447"/>
                    <a:stretch>
                      <a:fillRect/>
                    </a:stretch>
                  </pic:blipFill>
                  <pic:spPr>
                    <a:xfrm>
                      <a:off x="0" y="0"/>
                      <a:ext cx="8886825" cy="5779770"/>
                    </a:xfrm>
                    <a:prstGeom prst="rect">
                      <a:avLst/>
                    </a:prstGeom>
                    <a:noFill/>
                    <a:ln>
                      <a:noFill/>
                    </a:ln>
                  </pic:spPr>
                </pic:pic>
              </a:graphicData>
            </a:graphic>
          </wp:inline>
        </w:drawing>
      </w:r>
    </w:p>
    <w:p w14:paraId="7D9D382E">
      <w:pPr>
        <w:spacing w:before="240" w:beforeLines="100" w:line="360" w:lineRule="auto"/>
        <w:ind w:firstLine="482" w:firstLineChars="200"/>
        <w:rPr>
          <w:rFonts w:ascii="宋体" w:hAnsi="宋体"/>
          <w:b/>
          <w:sz w:val="24"/>
        </w:rPr>
        <w:sectPr>
          <w:pgSz w:w="16838" w:h="11906" w:orient="landscape"/>
          <w:pgMar w:top="1304" w:right="1418" w:bottom="1304" w:left="1418" w:header="1134" w:footer="992" w:gutter="0"/>
          <w:cols w:space="720" w:num="1"/>
          <w:docGrid w:linePitch="312" w:charSpace="0"/>
        </w:sectPr>
      </w:pPr>
    </w:p>
    <w:p w14:paraId="1F6C4BDE">
      <w:pPr>
        <w:pStyle w:val="2"/>
        <w:keepLines/>
        <w:spacing w:before="240" w:after="120" w:line="360" w:lineRule="auto"/>
        <w:ind w:firstLine="0" w:firstLineChars="0"/>
        <w:rPr>
          <w:rFonts w:ascii="黑体" w:eastAsia="黑体"/>
          <w:b/>
          <w:color w:val="000000"/>
          <w:kern w:val="44"/>
          <w:sz w:val="36"/>
          <w:szCs w:val="36"/>
        </w:rPr>
      </w:pPr>
      <w:bookmarkStart w:id="901" w:name="_Toc259438195"/>
      <w:bookmarkStart w:id="902" w:name="_Toc260915296"/>
      <w:bookmarkStart w:id="903" w:name="_Toc208917133"/>
      <w:bookmarkStart w:id="904" w:name="_Toc92630546"/>
      <w:bookmarkStart w:id="905" w:name="_Toc173869328"/>
      <w:r>
        <w:rPr>
          <w:rFonts w:hint="eastAsia" w:ascii="黑体" w:eastAsia="黑体"/>
          <w:b/>
          <w:color w:val="000000"/>
          <w:kern w:val="44"/>
          <w:sz w:val="36"/>
          <w:szCs w:val="36"/>
        </w:rPr>
        <w:t>第十章　　</w:t>
      </w:r>
      <w:r>
        <w:rPr>
          <w:rFonts w:ascii="黑体" w:eastAsia="黑体"/>
          <w:b/>
          <w:color w:val="000000"/>
          <w:kern w:val="44"/>
          <w:sz w:val="36"/>
          <w:szCs w:val="36"/>
        </w:rPr>
        <w:t>技术经济</w:t>
      </w:r>
      <w:bookmarkEnd w:id="901"/>
      <w:bookmarkEnd w:id="902"/>
      <w:bookmarkEnd w:id="903"/>
    </w:p>
    <w:bookmarkEnd w:id="904"/>
    <w:bookmarkEnd w:id="905"/>
    <w:p w14:paraId="647301C3">
      <w:pPr>
        <w:tabs>
          <w:tab w:val="left" w:pos="3375"/>
        </w:tabs>
        <w:autoSpaceDE w:val="0"/>
        <w:autoSpaceDN w:val="0"/>
        <w:spacing w:line="360" w:lineRule="auto"/>
        <w:ind w:firstLine="480" w:firstLineChars="200"/>
        <w:textAlignment w:val="bottom"/>
        <w:rPr>
          <w:rFonts w:hint="eastAsia" w:ascii="宋体" w:hAnsi="宋体"/>
          <w:color w:val="000000"/>
          <w:sz w:val="24"/>
        </w:rPr>
      </w:pPr>
      <w:bookmarkStart w:id="906" w:name="_Toc208917134"/>
      <w:bookmarkStart w:id="907" w:name="_Toc92630547"/>
      <w:bookmarkStart w:id="908" w:name="_Toc173869329"/>
      <w:r>
        <w:rPr>
          <w:rFonts w:hint="eastAsia" w:ascii="宋体" w:hAnsi="宋体"/>
          <w:color w:val="000000"/>
          <w:sz w:val="24"/>
        </w:rPr>
        <w:t>本章主要变更内容：1、本章对项目投资进行变更。</w:t>
      </w:r>
    </w:p>
    <w:p w14:paraId="6C9354A9">
      <w:pPr>
        <w:pStyle w:val="3"/>
        <w:keepLines/>
        <w:spacing w:before="240" w:after="240" w:line="360" w:lineRule="auto"/>
        <w:ind w:firstLine="0" w:firstLineChars="0"/>
        <w:jc w:val="center"/>
        <w:rPr>
          <w:rFonts w:hint="eastAsia"/>
          <w:b/>
          <w:color w:val="000000"/>
          <w:sz w:val="32"/>
          <w:szCs w:val="32"/>
        </w:rPr>
      </w:pPr>
      <w:bookmarkStart w:id="909" w:name="_Toc260915297"/>
      <w:r>
        <w:rPr>
          <w:rFonts w:hint="eastAsia"/>
          <w:b/>
          <w:color w:val="000000"/>
          <w:sz w:val="32"/>
          <w:szCs w:val="32"/>
        </w:rPr>
        <w:t>第一节　　组织机构及人力资源配置</w:t>
      </w:r>
      <w:bookmarkEnd w:id="906"/>
      <w:bookmarkEnd w:id="909"/>
    </w:p>
    <w:bookmarkEnd w:id="907"/>
    <w:bookmarkEnd w:id="908"/>
    <w:p w14:paraId="5199D7EC">
      <w:pPr>
        <w:pStyle w:val="4"/>
        <w:keepLines/>
        <w:adjustRightInd w:val="0"/>
        <w:snapToGrid w:val="0"/>
        <w:spacing w:before="240" w:after="240" w:line="360" w:lineRule="auto"/>
        <w:ind w:firstLine="562" w:firstLineChars="200"/>
        <w:jc w:val="both"/>
        <w:rPr>
          <w:rFonts w:hint="eastAsia"/>
          <w:b/>
          <w:color w:val="000000"/>
          <w:kern w:val="0"/>
          <w:szCs w:val="20"/>
        </w:rPr>
      </w:pPr>
      <w:bookmarkStart w:id="910" w:name="_Toc173919005"/>
      <w:bookmarkStart w:id="911" w:name="_Toc173869330"/>
      <w:r>
        <w:rPr>
          <w:rFonts w:hint="eastAsia"/>
          <w:b/>
          <w:color w:val="000000"/>
          <w:kern w:val="0"/>
          <w:szCs w:val="20"/>
        </w:rPr>
        <w:t>一、组织机构</w:t>
      </w:r>
      <w:bookmarkEnd w:id="910"/>
      <w:bookmarkEnd w:id="911"/>
    </w:p>
    <w:p w14:paraId="6B573030">
      <w:pPr>
        <w:tabs>
          <w:tab w:val="left" w:pos="3375"/>
        </w:tabs>
        <w:autoSpaceDE w:val="0"/>
        <w:autoSpaceDN w:val="0"/>
        <w:spacing w:line="360" w:lineRule="auto"/>
        <w:ind w:firstLine="480" w:firstLineChars="200"/>
        <w:textAlignment w:val="bottom"/>
        <w:rPr>
          <w:rFonts w:hint="eastAsia" w:ascii="宋体" w:hAnsi="宋体"/>
          <w:color w:val="000000"/>
          <w:sz w:val="24"/>
        </w:rPr>
      </w:pPr>
      <w:r>
        <w:rPr>
          <w:rFonts w:hint="eastAsia" w:ascii="宋体" w:hAnsi="宋体"/>
          <w:color w:val="000000"/>
          <w:sz w:val="24"/>
        </w:rPr>
        <w:t>1、项目法人组建方案</w:t>
      </w:r>
    </w:p>
    <w:p w14:paraId="0475BB1A">
      <w:pPr>
        <w:tabs>
          <w:tab w:val="left" w:pos="3375"/>
        </w:tabs>
        <w:autoSpaceDE w:val="0"/>
        <w:autoSpaceDN w:val="0"/>
        <w:spacing w:line="360" w:lineRule="auto"/>
        <w:ind w:firstLine="480" w:firstLineChars="200"/>
        <w:textAlignment w:val="bottom"/>
        <w:rPr>
          <w:rFonts w:hint="eastAsia" w:ascii="宋体" w:hAnsi="宋体"/>
          <w:color w:val="000000"/>
          <w:sz w:val="24"/>
        </w:rPr>
      </w:pPr>
      <w:r>
        <w:rPr>
          <w:rFonts w:hint="eastAsia" w:ascii="宋体" w:hAnsi="宋体"/>
          <w:color w:val="000000"/>
          <w:sz w:val="24"/>
        </w:rPr>
        <w:t>按照《中华人民共和国公司法》规定，组建项目法人，由项目法人负责该矿井的建设实施及筹措建设资金。</w:t>
      </w:r>
    </w:p>
    <w:p w14:paraId="7335C1AB">
      <w:pPr>
        <w:tabs>
          <w:tab w:val="left" w:pos="3375"/>
        </w:tabs>
        <w:autoSpaceDE w:val="0"/>
        <w:autoSpaceDN w:val="0"/>
        <w:spacing w:line="360" w:lineRule="auto"/>
        <w:ind w:firstLine="480" w:firstLineChars="200"/>
        <w:textAlignment w:val="bottom"/>
        <w:rPr>
          <w:rFonts w:hint="eastAsia" w:ascii="宋体" w:hAnsi="宋体"/>
          <w:color w:val="000000"/>
          <w:sz w:val="24"/>
        </w:rPr>
      </w:pPr>
      <w:r>
        <w:rPr>
          <w:rFonts w:hint="eastAsia" w:ascii="宋体" w:hAnsi="宋体"/>
          <w:color w:val="000000"/>
          <w:sz w:val="24"/>
        </w:rPr>
        <w:t>2、管理机构组织方案</w:t>
      </w:r>
    </w:p>
    <w:p w14:paraId="4110C0F1">
      <w:pPr>
        <w:spacing w:line="360" w:lineRule="auto"/>
        <w:ind w:firstLine="480" w:firstLineChars="200"/>
        <w:rPr>
          <w:rFonts w:hint="eastAsia" w:ascii="宋体" w:hAnsi="宋体"/>
          <w:sz w:val="24"/>
        </w:rPr>
      </w:pPr>
      <w:bookmarkStart w:id="912" w:name="_Toc534625385"/>
      <w:r>
        <w:rPr>
          <w:rFonts w:hint="eastAsia" w:ascii="宋体" w:hAnsi="宋体"/>
          <w:sz w:val="24"/>
        </w:rPr>
        <w:t>主要由矿长、生产副矿长、安全副矿长、机电副矿长、矿总工程师、会计师组成。</w:t>
      </w:r>
    </w:p>
    <w:p w14:paraId="2C2B14FB">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二、人力资源配置</w:t>
      </w:r>
      <w:bookmarkEnd w:id="912"/>
    </w:p>
    <w:p w14:paraId="4C0F4B50">
      <w:pPr>
        <w:tabs>
          <w:tab w:val="left" w:pos="3375"/>
        </w:tabs>
        <w:autoSpaceDE w:val="0"/>
        <w:autoSpaceDN w:val="0"/>
        <w:spacing w:line="360" w:lineRule="auto"/>
        <w:ind w:firstLine="480" w:firstLineChars="200"/>
        <w:textAlignment w:val="bottom"/>
        <w:rPr>
          <w:rFonts w:hint="eastAsia" w:ascii="宋体" w:hAnsi="宋体"/>
          <w:color w:val="000000"/>
          <w:sz w:val="24"/>
        </w:rPr>
      </w:pPr>
      <w:r>
        <w:rPr>
          <w:rFonts w:hint="eastAsia" w:ascii="宋体" w:hAnsi="宋体"/>
          <w:color w:val="000000"/>
          <w:sz w:val="24"/>
        </w:rPr>
        <w:t>1、生产作业班次</w:t>
      </w:r>
    </w:p>
    <w:p w14:paraId="1AE4D612">
      <w:pPr>
        <w:spacing w:line="360" w:lineRule="auto"/>
        <w:ind w:firstLine="480" w:firstLineChars="200"/>
        <w:rPr>
          <w:rFonts w:hint="eastAsia" w:ascii="宋体" w:hAnsi="宋体"/>
          <w:sz w:val="24"/>
        </w:rPr>
      </w:pPr>
      <w:r>
        <w:rPr>
          <w:rFonts w:hint="eastAsia" w:ascii="宋体" w:hAnsi="宋体"/>
          <w:sz w:val="24"/>
        </w:rPr>
        <w:t>矿井</w:t>
      </w:r>
      <w:r>
        <w:rPr>
          <w:rFonts w:ascii="宋体" w:hAnsi="宋体"/>
          <w:sz w:val="24"/>
        </w:rPr>
        <w:t>设计</w:t>
      </w:r>
      <w:r>
        <w:rPr>
          <w:rFonts w:hint="eastAsia" w:ascii="宋体" w:hAnsi="宋体"/>
          <w:sz w:val="24"/>
        </w:rPr>
        <w:t>年工作日为330</w:t>
      </w:r>
      <w:r>
        <w:rPr>
          <w:rFonts w:ascii="宋体" w:hAnsi="宋体"/>
          <w:sz w:val="24"/>
        </w:rPr>
        <w:t>天，日工作制度</w:t>
      </w:r>
      <w:r>
        <w:rPr>
          <w:rFonts w:hint="eastAsia" w:ascii="宋体" w:hAnsi="宋体"/>
          <w:sz w:val="24"/>
        </w:rPr>
        <w:t>：井下工人按“四·六”</w:t>
      </w:r>
      <w:r>
        <w:rPr>
          <w:rFonts w:ascii="宋体" w:hAnsi="宋体"/>
          <w:sz w:val="24"/>
        </w:rPr>
        <w:t>工作</w:t>
      </w:r>
      <w:r>
        <w:rPr>
          <w:rFonts w:hint="eastAsia" w:ascii="宋体" w:hAnsi="宋体"/>
          <w:sz w:val="24"/>
        </w:rPr>
        <w:t>制；地面工人及其他人员按“三·八”工作</w:t>
      </w:r>
      <w:r>
        <w:rPr>
          <w:rFonts w:ascii="宋体" w:hAnsi="宋体"/>
          <w:sz w:val="24"/>
        </w:rPr>
        <w:t>制</w:t>
      </w:r>
      <w:r>
        <w:rPr>
          <w:rFonts w:hint="eastAsia" w:ascii="宋体" w:hAnsi="宋体"/>
          <w:sz w:val="24"/>
        </w:rPr>
        <w:t>；井下工人</w:t>
      </w:r>
      <w:r>
        <w:rPr>
          <w:rFonts w:ascii="宋体" w:hAnsi="宋体"/>
          <w:sz w:val="24"/>
        </w:rPr>
        <w:t>每天</w:t>
      </w:r>
      <w:r>
        <w:rPr>
          <w:rFonts w:hint="eastAsia" w:ascii="宋体" w:hAnsi="宋体"/>
          <w:sz w:val="24"/>
        </w:rPr>
        <w:t>四</w:t>
      </w:r>
      <w:r>
        <w:rPr>
          <w:rFonts w:ascii="宋体" w:hAnsi="宋体"/>
          <w:sz w:val="24"/>
        </w:rPr>
        <w:t>班作</w:t>
      </w:r>
      <w:r>
        <w:rPr>
          <w:rFonts w:hint="eastAsia" w:ascii="宋体" w:hAnsi="宋体"/>
          <w:sz w:val="24"/>
        </w:rPr>
        <w:t>业，三班生产一班准备，每班工作六小时，地面工人</w:t>
      </w:r>
      <w:r>
        <w:rPr>
          <w:rFonts w:ascii="宋体" w:hAnsi="宋体"/>
          <w:sz w:val="24"/>
        </w:rPr>
        <w:t>每天</w:t>
      </w:r>
      <w:r>
        <w:rPr>
          <w:rFonts w:hint="eastAsia" w:ascii="宋体" w:hAnsi="宋体"/>
          <w:sz w:val="24"/>
        </w:rPr>
        <w:t>三</w:t>
      </w:r>
      <w:r>
        <w:rPr>
          <w:rFonts w:ascii="宋体" w:hAnsi="宋体"/>
          <w:sz w:val="24"/>
        </w:rPr>
        <w:t>班作</w:t>
      </w:r>
      <w:r>
        <w:rPr>
          <w:rFonts w:hint="eastAsia" w:ascii="宋体" w:hAnsi="宋体"/>
          <w:sz w:val="24"/>
        </w:rPr>
        <w:t>业，每班工作八小时。</w:t>
      </w:r>
    </w:p>
    <w:p w14:paraId="3EF12E5C">
      <w:pPr>
        <w:tabs>
          <w:tab w:val="left" w:pos="3375"/>
        </w:tabs>
        <w:autoSpaceDE w:val="0"/>
        <w:autoSpaceDN w:val="0"/>
        <w:spacing w:line="360" w:lineRule="auto"/>
        <w:ind w:firstLine="480" w:firstLineChars="200"/>
        <w:textAlignment w:val="bottom"/>
        <w:rPr>
          <w:rFonts w:hint="eastAsia" w:ascii="宋体" w:hAnsi="宋体"/>
          <w:color w:val="000000"/>
          <w:sz w:val="24"/>
        </w:rPr>
      </w:pPr>
      <w:r>
        <w:rPr>
          <w:rFonts w:hint="eastAsia" w:ascii="宋体" w:hAnsi="宋体"/>
          <w:color w:val="000000"/>
          <w:sz w:val="24"/>
        </w:rPr>
        <w:t>2、劳动定员与技能素质要求</w:t>
      </w:r>
    </w:p>
    <w:p w14:paraId="72F88C61">
      <w:pPr>
        <w:tabs>
          <w:tab w:val="left" w:pos="3375"/>
        </w:tabs>
        <w:autoSpaceDE w:val="0"/>
        <w:autoSpaceDN w:val="0"/>
        <w:spacing w:line="360" w:lineRule="auto"/>
        <w:ind w:firstLine="480" w:firstLineChars="200"/>
        <w:textAlignment w:val="bottom"/>
        <w:rPr>
          <w:rFonts w:hint="eastAsia" w:ascii="宋体" w:hAnsi="宋体"/>
          <w:color w:val="000000"/>
          <w:sz w:val="24"/>
        </w:rPr>
      </w:pPr>
      <w:r>
        <w:rPr>
          <w:rFonts w:hint="eastAsia" w:ascii="宋体" w:hAnsi="宋体"/>
          <w:color w:val="000000"/>
          <w:sz w:val="24"/>
        </w:rPr>
        <w:t>（1）劳动定员</w:t>
      </w:r>
    </w:p>
    <w:p w14:paraId="5E7AD62C">
      <w:pPr>
        <w:autoSpaceDE w:val="0"/>
        <w:autoSpaceDN w:val="0"/>
        <w:adjustRightInd w:val="0"/>
        <w:spacing w:line="360" w:lineRule="auto"/>
        <w:ind w:firstLine="480" w:firstLineChars="200"/>
        <w:textAlignment w:val="bottom"/>
        <w:rPr>
          <w:rFonts w:hint="eastAsia" w:ascii="宋体" w:hAnsi="宋体"/>
          <w:color w:val="000000"/>
          <w:sz w:val="24"/>
        </w:rPr>
      </w:pPr>
      <w:r>
        <w:rPr>
          <w:rFonts w:ascii="宋体" w:hAnsi="宋体"/>
          <w:color w:val="000000"/>
          <w:sz w:val="24"/>
        </w:rPr>
        <w:t>根据</w:t>
      </w:r>
      <w:r>
        <w:rPr>
          <w:rFonts w:hint="eastAsia" w:ascii="宋体" w:hAnsi="宋体"/>
          <w:color w:val="000000"/>
          <w:sz w:val="24"/>
        </w:rPr>
        <w:t>国家标准（GB50399－2006）2007年05月01日实施的</w:t>
      </w:r>
      <w:r>
        <w:rPr>
          <w:rFonts w:ascii="宋体" w:hAnsi="宋体"/>
          <w:color w:val="000000"/>
          <w:sz w:val="24"/>
        </w:rPr>
        <w:t>《煤炭工业小型矿井设计</w:t>
      </w:r>
      <w:r>
        <w:rPr>
          <w:rFonts w:hint="eastAsia" w:ascii="宋体" w:hAnsi="宋体"/>
          <w:color w:val="000000"/>
          <w:sz w:val="24"/>
        </w:rPr>
        <w:t>规范</w:t>
      </w:r>
      <w:r>
        <w:rPr>
          <w:rFonts w:ascii="宋体" w:hAnsi="宋体"/>
          <w:color w:val="000000"/>
          <w:sz w:val="24"/>
        </w:rPr>
        <w:t>》</w:t>
      </w:r>
      <w:r>
        <w:rPr>
          <w:rFonts w:hint="eastAsia" w:ascii="宋体" w:hAnsi="宋体"/>
          <w:color w:val="000000"/>
          <w:sz w:val="24"/>
        </w:rPr>
        <w:t>和</w:t>
      </w:r>
      <w:r>
        <w:rPr>
          <w:rFonts w:ascii="宋体" w:hAnsi="宋体"/>
          <w:color w:val="000000"/>
          <w:sz w:val="24"/>
        </w:rPr>
        <w:t>其他有关文件规定，按照矿井设计井型，年工作制度、全员效率，结合本矿的管理制度</w:t>
      </w:r>
      <w:r>
        <w:rPr>
          <w:rFonts w:hint="eastAsia" w:ascii="宋体" w:hAnsi="宋体"/>
          <w:color w:val="000000"/>
          <w:sz w:val="24"/>
        </w:rPr>
        <w:t>进行</w:t>
      </w:r>
      <w:r>
        <w:rPr>
          <w:rFonts w:ascii="宋体" w:hAnsi="宋体"/>
          <w:color w:val="000000"/>
          <w:sz w:val="24"/>
        </w:rPr>
        <w:t>估算</w:t>
      </w:r>
      <w:r>
        <w:rPr>
          <w:rFonts w:hint="eastAsia" w:ascii="宋体" w:hAnsi="宋体"/>
          <w:color w:val="000000"/>
          <w:sz w:val="24"/>
        </w:rPr>
        <w:t>。</w:t>
      </w:r>
    </w:p>
    <w:p w14:paraId="47FB0C46">
      <w:pPr>
        <w:autoSpaceDE w:val="0"/>
        <w:autoSpaceDN w:val="0"/>
        <w:adjustRightInd w:val="0"/>
        <w:spacing w:line="360" w:lineRule="auto"/>
        <w:ind w:firstLine="480" w:firstLineChars="200"/>
        <w:textAlignment w:val="bottom"/>
        <w:rPr>
          <w:rFonts w:hint="eastAsia" w:ascii="宋体" w:hAnsi="宋体"/>
          <w:sz w:val="24"/>
        </w:rPr>
      </w:pPr>
      <w:r>
        <w:rPr>
          <w:rFonts w:hint="eastAsia" w:ascii="宋体" w:hAnsi="宋体"/>
          <w:color w:val="000000"/>
          <w:sz w:val="24"/>
        </w:rPr>
        <w:t>原则上按照煤炭企业现代化管理的要求，根据国家标准（GB50399－2006）2007年05月01日实施的</w:t>
      </w:r>
      <w:r>
        <w:rPr>
          <w:rFonts w:ascii="宋体" w:hAnsi="宋体"/>
          <w:color w:val="000000"/>
          <w:sz w:val="24"/>
        </w:rPr>
        <w:t>《煤炭工业小型矿井设计</w:t>
      </w:r>
      <w:r>
        <w:rPr>
          <w:rFonts w:hint="eastAsia" w:ascii="宋体" w:hAnsi="宋体"/>
          <w:color w:val="000000"/>
          <w:sz w:val="24"/>
        </w:rPr>
        <w:t>规范</w:t>
      </w:r>
      <w:r>
        <w:rPr>
          <w:rFonts w:ascii="宋体" w:hAnsi="宋体"/>
          <w:color w:val="000000"/>
          <w:sz w:val="24"/>
        </w:rPr>
        <w:t>》有关规定</w:t>
      </w:r>
      <w:r>
        <w:rPr>
          <w:rFonts w:hint="eastAsia" w:ascii="宋体" w:hAnsi="宋体"/>
          <w:color w:val="000000"/>
          <w:sz w:val="24"/>
        </w:rPr>
        <w:t>，</w:t>
      </w:r>
      <w:r>
        <w:rPr>
          <w:rFonts w:ascii="宋体" w:hAnsi="宋体"/>
          <w:color w:val="000000"/>
          <w:sz w:val="24"/>
        </w:rPr>
        <w:t>劳动定员</w:t>
      </w:r>
      <w:r>
        <w:rPr>
          <w:rFonts w:hint="eastAsia" w:ascii="宋体" w:hAnsi="宋体"/>
          <w:color w:val="000000"/>
          <w:sz w:val="24"/>
        </w:rPr>
        <w:t>在籍系数为：井下</w:t>
      </w:r>
      <w:r>
        <w:rPr>
          <w:rFonts w:hint="eastAsia" w:ascii="宋体" w:hAnsi="宋体"/>
          <w:sz w:val="24"/>
        </w:rPr>
        <w:t>工人在籍系数1.40、地面工人在籍系数1.30、其他人员在籍系数1.00。</w:t>
      </w:r>
    </w:p>
    <w:p w14:paraId="2D8722A1">
      <w:pPr>
        <w:autoSpaceDE w:val="0"/>
        <w:autoSpaceDN w:val="0"/>
        <w:adjustRightInd w:val="0"/>
        <w:spacing w:line="360" w:lineRule="auto"/>
        <w:ind w:firstLine="480" w:firstLineChars="200"/>
        <w:textAlignment w:val="bottom"/>
        <w:rPr>
          <w:rFonts w:hint="eastAsia" w:ascii="宋体" w:hAnsi="宋体"/>
          <w:color w:val="000000"/>
          <w:sz w:val="24"/>
        </w:rPr>
      </w:pPr>
      <w:r>
        <w:rPr>
          <w:rFonts w:ascii="宋体" w:hAnsi="宋体"/>
          <w:color w:val="000000"/>
          <w:sz w:val="24"/>
        </w:rPr>
        <w:t>估算</w:t>
      </w:r>
      <w:r>
        <w:rPr>
          <w:rFonts w:hint="eastAsia" w:ascii="宋体" w:hAnsi="宋体"/>
          <w:color w:val="000000"/>
          <w:sz w:val="24"/>
        </w:rPr>
        <w:t xml:space="preserve">结果，矿井在籍总人数352人，出勤人数256人，其中：井下工人出勤人数155人，地面工人出勤人数45人，管理人员23人；服务人员19人，其他人员14人。详见劳动定员汇总详见 </w:t>
      </w:r>
      <w:r>
        <w:rPr>
          <w:rFonts w:hint="eastAsia" w:ascii="宋体" w:hAnsi="宋体"/>
          <w:b/>
          <w:color w:val="000000"/>
          <w:sz w:val="24"/>
        </w:rPr>
        <w:t>表10－1－1</w:t>
      </w:r>
      <w:r>
        <w:rPr>
          <w:rFonts w:hint="eastAsia" w:ascii="宋体" w:hAnsi="宋体"/>
          <w:color w:val="000000"/>
          <w:sz w:val="24"/>
        </w:rPr>
        <w:t>。</w:t>
      </w:r>
    </w:p>
    <w:p w14:paraId="3D973806">
      <w:pPr>
        <w:tabs>
          <w:tab w:val="left" w:pos="3375"/>
        </w:tabs>
        <w:autoSpaceDE w:val="0"/>
        <w:autoSpaceDN w:val="0"/>
        <w:spacing w:line="500" w:lineRule="exact"/>
        <w:ind w:firstLine="480" w:firstLineChars="200"/>
        <w:textAlignment w:val="bottom"/>
        <w:rPr>
          <w:rFonts w:hint="eastAsia" w:ascii="宋体" w:hAnsi="宋体"/>
          <w:color w:val="000000"/>
          <w:sz w:val="24"/>
        </w:rPr>
      </w:pPr>
      <w:r>
        <w:rPr>
          <w:rFonts w:hint="eastAsia" w:ascii="宋体" w:hAnsi="宋体"/>
          <w:color w:val="000000"/>
          <w:sz w:val="24"/>
        </w:rPr>
        <w:t>（2）技能素质要求</w:t>
      </w:r>
    </w:p>
    <w:p w14:paraId="7BD8A8E6">
      <w:pPr>
        <w:tabs>
          <w:tab w:val="left" w:pos="3375"/>
        </w:tabs>
        <w:spacing w:line="500" w:lineRule="exact"/>
        <w:ind w:firstLine="480" w:firstLineChars="200"/>
        <w:textAlignment w:val="bottom"/>
        <w:rPr>
          <w:rFonts w:ascii="宋体" w:hAnsi="宋体"/>
          <w:bCs/>
          <w:sz w:val="24"/>
        </w:rPr>
      </w:pPr>
      <w:r>
        <w:rPr>
          <w:rFonts w:hint="eastAsia" w:ascii="宋体" w:hAnsi="宋体"/>
          <w:bCs/>
          <w:sz w:val="24"/>
        </w:rPr>
        <w:t>根据矿井机械化设备配置程度，其管理人员及工人要适应现代化管理和生产要求必须具备较高的管理水平和技能。</w:t>
      </w:r>
    </w:p>
    <w:p w14:paraId="0C4188D7">
      <w:pPr>
        <w:tabs>
          <w:tab w:val="left" w:pos="3375"/>
        </w:tabs>
        <w:spacing w:line="500" w:lineRule="exact"/>
        <w:ind w:firstLine="480" w:firstLineChars="200"/>
        <w:textAlignment w:val="bottom"/>
        <w:rPr>
          <w:rFonts w:ascii="宋体" w:hAnsi="宋体"/>
          <w:bCs/>
          <w:sz w:val="24"/>
        </w:rPr>
      </w:pPr>
      <w:r>
        <w:rPr>
          <w:rFonts w:ascii="宋体" w:hAnsi="宋体"/>
          <w:bCs/>
          <w:sz w:val="24"/>
        </w:rPr>
        <w:t>1</w:t>
      </w:r>
      <w:r>
        <w:rPr>
          <w:rFonts w:hint="eastAsia" w:ascii="宋体" w:hAnsi="宋体"/>
          <w:bCs/>
          <w:sz w:val="24"/>
        </w:rPr>
        <w:t>）矿级领导应具有大专以上学历，并从事煤矿生产管理一定的年限，具有丰富的实践经验。</w:t>
      </w:r>
    </w:p>
    <w:p w14:paraId="663A49F0">
      <w:pPr>
        <w:tabs>
          <w:tab w:val="left" w:pos="3375"/>
        </w:tabs>
        <w:spacing w:line="500" w:lineRule="exact"/>
        <w:ind w:firstLine="480" w:firstLineChars="200"/>
        <w:textAlignment w:val="bottom"/>
        <w:rPr>
          <w:rFonts w:ascii="宋体" w:hAnsi="宋体"/>
          <w:bCs/>
          <w:sz w:val="24"/>
        </w:rPr>
      </w:pPr>
      <w:r>
        <w:rPr>
          <w:rFonts w:ascii="宋体" w:hAnsi="宋体"/>
          <w:bCs/>
          <w:sz w:val="24"/>
        </w:rPr>
        <w:t>2</w:t>
      </w:r>
      <w:r>
        <w:rPr>
          <w:rFonts w:hint="eastAsia" w:ascii="宋体" w:hAnsi="宋体"/>
          <w:bCs/>
          <w:sz w:val="24"/>
        </w:rPr>
        <w:t>）矿机关和队级工程技术人员必须是具备大学本科或大专学历、具有实践经验的“复合型”人才。</w:t>
      </w:r>
    </w:p>
    <w:p w14:paraId="5C3EA68E">
      <w:pPr>
        <w:tabs>
          <w:tab w:val="left" w:pos="3375"/>
        </w:tabs>
        <w:spacing w:line="500" w:lineRule="exact"/>
        <w:ind w:firstLine="480" w:firstLineChars="200"/>
        <w:textAlignment w:val="bottom"/>
        <w:rPr>
          <w:rFonts w:ascii="宋体" w:hAnsi="宋体"/>
          <w:bCs/>
          <w:sz w:val="24"/>
        </w:rPr>
      </w:pPr>
      <w:r>
        <w:rPr>
          <w:rFonts w:ascii="宋体" w:hAnsi="宋体"/>
          <w:bCs/>
          <w:sz w:val="24"/>
        </w:rPr>
        <w:t>3</w:t>
      </w:r>
      <w:r>
        <w:rPr>
          <w:rFonts w:hint="eastAsia" w:ascii="宋体" w:hAnsi="宋体"/>
          <w:bCs/>
          <w:sz w:val="24"/>
        </w:rPr>
        <w:t>）工长、各种主要设备司机及机电、机械维修人员必须具备大专以上学历，并具有丰富的实际工作经验，不但精通本工种技术，而且亦能承担相近工种的一般工作。</w:t>
      </w:r>
    </w:p>
    <w:p w14:paraId="4D42C0D7">
      <w:pPr>
        <w:adjustRightInd w:val="0"/>
        <w:spacing w:line="500" w:lineRule="exact"/>
        <w:ind w:firstLine="480" w:firstLineChars="200"/>
        <w:textAlignment w:val="bottom"/>
        <w:rPr>
          <w:rFonts w:hint="eastAsia" w:ascii="宋体" w:hAnsi="宋体"/>
          <w:sz w:val="24"/>
        </w:rPr>
      </w:pPr>
      <w:r>
        <w:rPr>
          <w:rFonts w:ascii="宋体" w:hAnsi="宋体"/>
          <w:bCs/>
          <w:sz w:val="24"/>
        </w:rPr>
        <w:t>4</w:t>
      </w:r>
      <w:r>
        <w:rPr>
          <w:rFonts w:hint="eastAsia" w:ascii="宋体" w:hAnsi="宋体"/>
          <w:bCs/>
          <w:sz w:val="24"/>
        </w:rPr>
        <w:t>）技术工种的工人必须经过岗前培训，达到技校毕业水平，考核合格的方能上岗。</w:t>
      </w:r>
    </w:p>
    <w:p w14:paraId="0BBACE50">
      <w:pPr>
        <w:tabs>
          <w:tab w:val="left" w:pos="3375"/>
        </w:tabs>
        <w:autoSpaceDE w:val="0"/>
        <w:autoSpaceDN w:val="0"/>
        <w:spacing w:line="500" w:lineRule="exact"/>
        <w:ind w:firstLine="482" w:firstLineChars="200"/>
        <w:jc w:val="center"/>
        <w:textAlignment w:val="bottom"/>
        <w:rPr>
          <w:rFonts w:hint="eastAsia" w:ascii="宋体" w:hAnsi="宋体"/>
          <w:b/>
          <w:color w:val="000000"/>
          <w:sz w:val="24"/>
        </w:rPr>
      </w:pPr>
      <w:r>
        <w:rPr>
          <w:rFonts w:hint="eastAsia" w:ascii="宋体" w:hAnsi="宋体"/>
          <w:b/>
          <w:color w:val="000000"/>
          <w:sz w:val="24"/>
        </w:rPr>
        <w:t>表10－1－1     劳动定员汇总表</w:t>
      </w:r>
    </w:p>
    <w:tbl>
      <w:tblPr>
        <w:tblStyle w:val="62"/>
        <w:tblW w:w="0" w:type="auto"/>
        <w:jc w:val="center"/>
        <w:tblLayout w:type="fixed"/>
        <w:tblCellMar>
          <w:top w:w="0" w:type="dxa"/>
          <w:left w:w="0" w:type="dxa"/>
          <w:bottom w:w="0" w:type="dxa"/>
          <w:right w:w="0" w:type="dxa"/>
        </w:tblCellMar>
      </w:tblPr>
      <w:tblGrid>
        <w:gridCol w:w="669"/>
        <w:gridCol w:w="1460"/>
        <w:gridCol w:w="1080"/>
        <w:gridCol w:w="1080"/>
        <w:gridCol w:w="1080"/>
        <w:gridCol w:w="781"/>
        <w:gridCol w:w="840"/>
        <w:gridCol w:w="914"/>
        <w:gridCol w:w="1122"/>
      </w:tblGrid>
      <w:tr w14:paraId="1C4EE1BA">
        <w:trPr>
          <w:wBefore w:w="0" w:type="dxa"/>
          <w:wAfter w:w="0" w:type="dxa"/>
          <w:trHeight w:val="425"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center"/>
          </w:tcPr>
          <w:p w14:paraId="52365DCE">
            <w:pPr>
              <w:jc w:val="center"/>
              <w:rPr>
                <w:rFonts w:ascii="宋体" w:hAnsi="宋体" w:cs="宋体"/>
                <w:sz w:val="24"/>
              </w:rPr>
            </w:pPr>
            <w:r>
              <w:rPr>
                <w:rFonts w:hint="eastAsia" w:ascii="宋体" w:hAnsi="宋体"/>
                <w:sz w:val="24"/>
              </w:rPr>
              <w:t>序号</w:t>
            </w:r>
          </w:p>
        </w:tc>
        <w:tc>
          <w:tcPr>
            <w:tcW w:w="1460" w:type="dxa"/>
            <w:tcBorders>
              <w:top w:val="single" w:color="auto" w:sz="4" w:space="0"/>
              <w:left w:val="nil"/>
              <w:bottom w:val="single" w:color="auto" w:sz="4" w:space="0"/>
              <w:right w:val="single" w:color="auto" w:sz="4" w:space="0"/>
            </w:tcBorders>
            <w:noWrap w:val="0"/>
            <w:vAlign w:val="center"/>
          </w:tcPr>
          <w:p w14:paraId="3975C741">
            <w:pPr>
              <w:jc w:val="center"/>
              <w:rPr>
                <w:rFonts w:ascii="宋体" w:hAnsi="宋体" w:cs="宋体"/>
                <w:sz w:val="24"/>
              </w:rPr>
            </w:pPr>
            <w:r>
              <w:rPr>
                <w:rFonts w:hint="eastAsia" w:ascii="宋体" w:hAnsi="宋体"/>
                <w:sz w:val="24"/>
              </w:rPr>
              <w:t>人员类别</w:t>
            </w:r>
          </w:p>
        </w:tc>
        <w:tc>
          <w:tcPr>
            <w:tcW w:w="4021" w:type="dxa"/>
            <w:gridSpan w:val="4"/>
            <w:tcBorders>
              <w:top w:val="single" w:color="auto" w:sz="4" w:space="0"/>
              <w:left w:val="nil"/>
              <w:bottom w:val="single" w:color="auto" w:sz="4" w:space="0"/>
              <w:right w:val="single" w:color="auto" w:sz="4" w:space="0"/>
            </w:tcBorders>
            <w:noWrap w:val="0"/>
            <w:vAlign w:val="center"/>
          </w:tcPr>
          <w:p w14:paraId="4EDCE2BB">
            <w:pPr>
              <w:jc w:val="center"/>
              <w:rPr>
                <w:rFonts w:ascii="宋体" w:hAnsi="宋体" w:cs="宋体"/>
                <w:sz w:val="24"/>
              </w:rPr>
            </w:pPr>
            <w:r>
              <w:rPr>
                <w:rFonts w:hint="eastAsia" w:ascii="宋体" w:hAnsi="宋体"/>
                <w:sz w:val="24"/>
              </w:rPr>
              <w:t>各班出勤人数（人）</w:t>
            </w:r>
          </w:p>
        </w:tc>
        <w:tc>
          <w:tcPr>
            <w:tcW w:w="840" w:type="dxa"/>
            <w:vMerge w:val="restart"/>
            <w:tcBorders>
              <w:top w:val="single" w:color="auto" w:sz="4" w:space="0"/>
              <w:left w:val="single" w:color="auto" w:sz="4" w:space="0"/>
              <w:bottom w:val="single" w:color="auto" w:sz="4" w:space="0"/>
              <w:right w:val="single" w:color="auto" w:sz="4" w:space="0"/>
            </w:tcBorders>
            <w:noWrap w:val="0"/>
            <w:vAlign w:val="center"/>
          </w:tcPr>
          <w:p w14:paraId="7D4F8360">
            <w:pPr>
              <w:jc w:val="center"/>
              <w:rPr>
                <w:rFonts w:ascii="宋体" w:hAnsi="宋体" w:cs="宋体"/>
                <w:sz w:val="24"/>
              </w:rPr>
            </w:pPr>
            <w:r>
              <w:rPr>
                <w:rFonts w:hint="eastAsia" w:ascii="宋体" w:hAnsi="宋体"/>
                <w:sz w:val="24"/>
              </w:rPr>
              <w:t>合计</w:t>
            </w:r>
          </w:p>
        </w:tc>
        <w:tc>
          <w:tcPr>
            <w:tcW w:w="914" w:type="dxa"/>
            <w:vMerge w:val="restart"/>
            <w:tcBorders>
              <w:top w:val="single" w:color="auto" w:sz="4" w:space="0"/>
              <w:left w:val="single" w:color="auto" w:sz="4" w:space="0"/>
              <w:bottom w:val="single" w:color="auto" w:sz="4" w:space="0"/>
              <w:right w:val="single" w:color="auto" w:sz="4" w:space="0"/>
            </w:tcBorders>
            <w:noWrap w:val="0"/>
            <w:vAlign w:val="center"/>
          </w:tcPr>
          <w:p w14:paraId="2372442B">
            <w:pPr>
              <w:jc w:val="center"/>
              <w:rPr>
                <w:rFonts w:ascii="宋体" w:hAnsi="宋体" w:cs="宋体"/>
                <w:sz w:val="24"/>
              </w:rPr>
            </w:pPr>
            <w:r>
              <w:rPr>
                <w:rFonts w:hint="eastAsia" w:ascii="宋体" w:hAnsi="宋体"/>
                <w:sz w:val="24"/>
              </w:rPr>
              <w:t>在册系数</w:t>
            </w:r>
          </w:p>
        </w:tc>
        <w:tc>
          <w:tcPr>
            <w:tcW w:w="1122" w:type="dxa"/>
            <w:vMerge w:val="restart"/>
            <w:tcBorders>
              <w:top w:val="single" w:color="auto" w:sz="4" w:space="0"/>
              <w:left w:val="single" w:color="auto" w:sz="4" w:space="0"/>
              <w:bottom w:val="single" w:color="auto" w:sz="4" w:space="0"/>
              <w:right w:val="single" w:color="auto" w:sz="4" w:space="0"/>
            </w:tcBorders>
            <w:noWrap w:val="0"/>
            <w:vAlign w:val="center"/>
          </w:tcPr>
          <w:p w14:paraId="5338A547">
            <w:pPr>
              <w:jc w:val="center"/>
              <w:rPr>
                <w:rFonts w:ascii="宋体" w:hAnsi="宋体" w:cs="宋体"/>
                <w:sz w:val="24"/>
              </w:rPr>
            </w:pPr>
            <w:r>
              <w:rPr>
                <w:rFonts w:hint="eastAsia" w:ascii="宋体" w:hAnsi="宋体"/>
                <w:sz w:val="24"/>
              </w:rPr>
              <w:t>在册人数</w:t>
            </w:r>
          </w:p>
        </w:tc>
      </w:tr>
      <w:tr w14:paraId="6BAE160B">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39E324DC">
            <w:pPr>
              <w:jc w:val="center"/>
              <w:rPr>
                <w:rFonts w:ascii="宋体" w:hAnsi="宋体" w:cs="宋体"/>
                <w:sz w:val="24"/>
              </w:rPr>
            </w:pPr>
          </w:p>
        </w:tc>
        <w:tc>
          <w:tcPr>
            <w:tcW w:w="1460" w:type="dxa"/>
            <w:tcBorders>
              <w:top w:val="nil"/>
              <w:left w:val="nil"/>
              <w:bottom w:val="single" w:color="auto" w:sz="4" w:space="0"/>
              <w:right w:val="single" w:color="auto" w:sz="4" w:space="0"/>
            </w:tcBorders>
            <w:noWrap w:val="0"/>
            <w:vAlign w:val="center"/>
          </w:tcPr>
          <w:p w14:paraId="2744EE64">
            <w:pPr>
              <w:jc w:val="center"/>
              <w:rPr>
                <w:rFonts w:ascii="宋体" w:hAnsi="宋体" w:cs="宋体"/>
                <w:sz w:val="24"/>
              </w:rPr>
            </w:pPr>
          </w:p>
        </w:tc>
        <w:tc>
          <w:tcPr>
            <w:tcW w:w="1080" w:type="dxa"/>
            <w:tcBorders>
              <w:top w:val="nil"/>
              <w:left w:val="nil"/>
              <w:bottom w:val="single" w:color="auto" w:sz="4" w:space="0"/>
              <w:right w:val="single" w:color="auto" w:sz="4" w:space="0"/>
            </w:tcBorders>
            <w:noWrap w:val="0"/>
            <w:vAlign w:val="center"/>
          </w:tcPr>
          <w:p w14:paraId="457C7914">
            <w:pPr>
              <w:jc w:val="center"/>
              <w:rPr>
                <w:rFonts w:ascii="宋体" w:hAnsi="宋体" w:cs="宋体"/>
                <w:sz w:val="24"/>
              </w:rPr>
            </w:pPr>
            <w:r>
              <w:rPr>
                <w:rFonts w:hint="eastAsia" w:ascii="宋体" w:hAnsi="宋体"/>
                <w:sz w:val="24"/>
              </w:rPr>
              <w:t>一班</w:t>
            </w:r>
          </w:p>
        </w:tc>
        <w:tc>
          <w:tcPr>
            <w:tcW w:w="1080" w:type="dxa"/>
            <w:tcBorders>
              <w:top w:val="nil"/>
              <w:left w:val="nil"/>
              <w:bottom w:val="single" w:color="auto" w:sz="4" w:space="0"/>
              <w:right w:val="single" w:color="auto" w:sz="4" w:space="0"/>
            </w:tcBorders>
            <w:noWrap w:val="0"/>
            <w:vAlign w:val="center"/>
          </w:tcPr>
          <w:p w14:paraId="53F398DA">
            <w:pPr>
              <w:jc w:val="center"/>
              <w:rPr>
                <w:rFonts w:ascii="宋体" w:hAnsi="宋体" w:cs="宋体"/>
                <w:sz w:val="24"/>
              </w:rPr>
            </w:pPr>
            <w:r>
              <w:rPr>
                <w:rFonts w:hint="eastAsia" w:ascii="宋体" w:hAnsi="宋体"/>
                <w:sz w:val="24"/>
              </w:rPr>
              <w:t>二班</w:t>
            </w:r>
          </w:p>
        </w:tc>
        <w:tc>
          <w:tcPr>
            <w:tcW w:w="1080" w:type="dxa"/>
            <w:tcBorders>
              <w:top w:val="nil"/>
              <w:left w:val="nil"/>
              <w:bottom w:val="single" w:color="auto" w:sz="4" w:space="0"/>
              <w:right w:val="single" w:color="auto" w:sz="4" w:space="0"/>
            </w:tcBorders>
            <w:noWrap w:val="0"/>
            <w:vAlign w:val="center"/>
          </w:tcPr>
          <w:p w14:paraId="71ADCFA9">
            <w:pPr>
              <w:jc w:val="center"/>
              <w:rPr>
                <w:rFonts w:ascii="宋体" w:hAnsi="宋体" w:cs="宋体"/>
                <w:sz w:val="24"/>
              </w:rPr>
            </w:pPr>
            <w:r>
              <w:rPr>
                <w:rFonts w:hint="eastAsia" w:ascii="宋体" w:hAnsi="宋体"/>
                <w:sz w:val="24"/>
              </w:rPr>
              <w:t>三班</w:t>
            </w:r>
          </w:p>
        </w:tc>
        <w:tc>
          <w:tcPr>
            <w:tcW w:w="781" w:type="dxa"/>
            <w:tcBorders>
              <w:top w:val="nil"/>
              <w:left w:val="nil"/>
              <w:bottom w:val="single" w:color="auto" w:sz="4" w:space="0"/>
              <w:right w:val="single" w:color="auto" w:sz="4" w:space="0"/>
            </w:tcBorders>
            <w:noWrap w:val="0"/>
            <w:vAlign w:val="center"/>
          </w:tcPr>
          <w:p w14:paraId="520421AB">
            <w:pPr>
              <w:jc w:val="center"/>
              <w:rPr>
                <w:rFonts w:ascii="宋体" w:hAnsi="宋体" w:cs="宋体"/>
                <w:sz w:val="24"/>
              </w:rPr>
            </w:pPr>
            <w:r>
              <w:rPr>
                <w:rFonts w:hint="eastAsia" w:ascii="宋体" w:hAnsi="宋体"/>
                <w:sz w:val="24"/>
              </w:rPr>
              <w:t>四班</w:t>
            </w:r>
          </w:p>
        </w:tc>
        <w:tc>
          <w:tcPr>
            <w:tcW w:w="840" w:type="dxa"/>
            <w:vMerge w:val="continue"/>
            <w:tcBorders>
              <w:top w:val="single" w:color="auto" w:sz="4" w:space="0"/>
              <w:left w:val="single" w:color="auto" w:sz="4" w:space="0"/>
              <w:bottom w:val="single" w:color="auto" w:sz="4" w:space="0"/>
              <w:right w:val="single" w:color="auto" w:sz="4" w:space="0"/>
            </w:tcBorders>
            <w:noWrap w:val="0"/>
            <w:vAlign w:val="center"/>
          </w:tcPr>
          <w:p w14:paraId="54200AF1">
            <w:pPr>
              <w:jc w:val="center"/>
              <w:rPr>
                <w:rFonts w:ascii="宋体" w:hAnsi="宋体" w:cs="宋体"/>
                <w:sz w:val="24"/>
              </w:rPr>
            </w:pPr>
          </w:p>
        </w:tc>
        <w:tc>
          <w:tcPr>
            <w:tcW w:w="914" w:type="dxa"/>
            <w:vMerge w:val="continue"/>
            <w:tcBorders>
              <w:top w:val="single" w:color="auto" w:sz="4" w:space="0"/>
              <w:left w:val="single" w:color="auto" w:sz="4" w:space="0"/>
              <w:bottom w:val="single" w:color="auto" w:sz="4" w:space="0"/>
              <w:right w:val="single" w:color="auto" w:sz="4" w:space="0"/>
            </w:tcBorders>
            <w:noWrap w:val="0"/>
            <w:vAlign w:val="center"/>
          </w:tcPr>
          <w:p w14:paraId="3D575BD4">
            <w:pPr>
              <w:jc w:val="center"/>
              <w:rPr>
                <w:rFonts w:ascii="宋体" w:hAnsi="宋体" w:cs="宋体"/>
                <w:sz w:val="24"/>
              </w:rPr>
            </w:pPr>
          </w:p>
        </w:tc>
        <w:tc>
          <w:tcPr>
            <w:tcW w:w="1122" w:type="dxa"/>
            <w:vMerge w:val="continue"/>
            <w:tcBorders>
              <w:top w:val="single" w:color="auto" w:sz="4" w:space="0"/>
              <w:left w:val="single" w:color="auto" w:sz="4" w:space="0"/>
              <w:bottom w:val="single" w:color="auto" w:sz="4" w:space="0"/>
              <w:right w:val="single" w:color="auto" w:sz="4" w:space="0"/>
            </w:tcBorders>
            <w:noWrap w:val="0"/>
            <w:vAlign w:val="center"/>
          </w:tcPr>
          <w:p w14:paraId="229B2637">
            <w:pPr>
              <w:jc w:val="center"/>
              <w:rPr>
                <w:rFonts w:ascii="宋体" w:hAnsi="宋体" w:cs="宋体"/>
                <w:sz w:val="24"/>
              </w:rPr>
            </w:pPr>
          </w:p>
        </w:tc>
      </w:tr>
      <w:tr w14:paraId="51436EDB">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13BABE30">
            <w:pPr>
              <w:jc w:val="center"/>
              <w:rPr>
                <w:rFonts w:ascii="宋体" w:hAnsi="宋体" w:cs="宋体"/>
                <w:sz w:val="24"/>
              </w:rPr>
            </w:pPr>
            <w:r>
              <w:rPr>
                <w:rFonts w:hint="eastAsia" w:ascii="宋体" w:hAnsi="宋体"/>
                <w:sz w:val="24"/>
              </w:rPr>
              <w:t>一</w:t>
            </w:r>
          </w:p>
        </w:tc>
        <w:tc>
          <w:tcPr>
            <w:tcW w:w="1460" w:type="dxa"/>
            <w:tcBorders>
              <w:top w:val="nil"/>
              <w:left w:val="nil"/>
              <w:bottom w:val="single" w:color="auto" w:sz="4" w:space="0"/>
              <w:right w:val="single" w:color="auto" w:sz="4" w:space="0"/>
            </w:tcBorders>
            <w:noWrap w:val="0"/>
            <w:vAlign w:val="center"/>
          </w:tcPr>
          <w:p w14:paraId="3EF84393">
            <w:pPr>
              <w:jc w:val="center"/>
              <w:rPr>
                <w:rFonts w:ascii="宋体" w:hAnsi="宋体" w:cs="宋体"/>
                <w:sz w:val="24"/>
              </w:rPr>
            </w:pPr>
            <w:r>
              <w:rPr>
                <w:rFonts w:hint="eastAsia" w:ascii="宋体" w:hAnsi="宋体"/>
                <w:sz w:val="24"/>
              </w:rPr>
              <w:t>生产工人</w:t>
            </w:r>
          </w:p>
        </w:tc>
        <w:tc>
          <w:tcPr>
            <w:tcW w:w="1080" w:type="dxa"/>
            <w:tcBorders>
              <w:top w:val="nil"/>
              <w:left w:val="nil"/>
              <w:bottom w:val="single" w:color="auto" w:sz="4" w:space="0"/>
              <w:right w:val="single" w:color="auto" w:sz="4" w:space="0"/>
            </w:tcBorders>
            <w:noWrap w:val="0"/>
            <w:vAlign w:val="center"/>
          </w:tcPr>
          <w:p w14:paraId="1EA701DF">
            <w:pPr>
              <w:jc w:val="center"/>
              <w:rPr>
                <w:rFonts w:ascii="宋体" w:hAnsi="宋体"/>
                <w:sz w:val="24"/>
              </w:rPr>
            </w:pPr>
            <w:r>
              <w:rPr>
                <w:rFonts w:ascii="宋体" w:hAnsi="宋体"/>
                <w:sz w:val="24"/>
              </w:rPr>
              <w:t>56</w:t>
            </w:r>
          </w:p>
        </w:tc>
        <w:tc>
          <w:tcPr>
            <w:tcW w:w="1080" w:type="dxa"/>
            <w:tcBorders>
              <w:top w:val="nil"/>
              <w:left w:val="nil"/>
              <w:bottom w:val="single" w:color="auto" w:sz="4" w:space="0"/>
              <w:right w:val="single" w:color="auto" w:sz="4" w:space="0"/>
            </w:tcBorders>
            <w:noWrap w:val="0"/>
            <w:vAlign w:val="center"/>
          </w:tcPr>
          <w:p w14:paraId="4BE7DFBA">
            <w:pPr>
              <w:jc w:val="center"/>
              <w:rPr>
                <w:rFonts w:ascii="宋体" w:hAnsi="宋体"/>
                <w:sz w:val="24"/>
              </w:rPr>
            </w:pPr>
            <w:r>
              <w:rPr>
                <w:rFonts w:ascii="宋体" w:hAnsi="宋体"/>
                <w:sz w:val="24"/>
              </w:rPr>
              <w:t>53</w:t>
            </w:r>
          </w:p>
        </w:tc>
        <w:tc>
          <w:tcPr>
            <w:tcW w:w="1080" w:type="dxa"/>
            <w:tcBorders>
              <w:top w:val="nil"/>
              <w:left w:val="nil"/>
              <w:bottom w:val="single" w:color="auto" w:sz="4" w:space="0"/>
              <w:right w:val="single" w:color="auto" w:sz="4" w:space="0"/>
            </w:tcBorders>
            <w:noWrap w:val="0"/>
            <w:vAlign w:val="center"/>
          </w:tcPr>
          <w:p w14:paraId="4DC32320">
            <w:pPr>
              <w:jc w:val="center"/>
              <w:rPr>
                <w:rFonts w:ascii="宋体" w:hAnsi="宋体"/>
                <w:sz w:val="24"/>
              </w:rPr>
            </w:pPr>
            <w:r>
              <w:rPr>
                <w:rFonts w:ascii="宋体" w:hAnsi="宋体"/>
                <w:sz w:val="24"/>
              </w:rPr>
              <w:t>53</w:t>
            </w:r>
          </w:p>
        </w:tc>
        <w:tc>
          <w:tcPr>
            <w:tcW w:w="781" w:type="dxa"/>
            <w:tcBorders>
              <w:top w:val="nil"/>
              <w:left w:val="nil"/>
              <w:bottom w:val="single" w:color="auto" w:sz="4" w:space="0"/>
              <w:right w:val="single" w:color="auto" w:sz="4" w:space="0"/>
            </w:tcBorders>
            <w:noWrap w:val="0"/>
            <w:vAlign w:val="center"/>
          </w:tcPr>
          <w:p w14:paraId="62AEF76A">
            <w:pPr>
              <w:jc w:val="center"/>
              <w:rPr>
                <w:rFonts w:ascii="宋体" w:hAnsi="宋体"/>
                <w:sz w:val="24"/>
              </w:rPr>
            </w:pPr>
            <w:r>
              <w:rPr>
                <w:rFonts w:ascii="宋体" w:hAnsi="宋体"/>
                <w:sz w:val="24"/>
              </w:rPr>
              <w:t>38</w:t>
            </w:r>
          </w:p>
        </w:tc>
        <w:tc>
          <w:tcPr>
            <w:tcW w:w="840" w:type="dxa"/>
            <w:tcBorders>
              <w:top w:val="nil"/>
              <w:left w:val="nil"/>
              <w:bottom w:val="single" w:color="auto" w:sz="4" w:space="0"/>
              <w:right w:val="single" w:color="auto" w:sz="4" w:space="0"/>
            </w:tcBorders>
            <w:noWrap w:val="0"/>
            <w:vAlign w:val="center"/>
          </w:tcPr>
          <w:p w14:paraId="0BE41413">
            <w:pPr>
              <w:jc w:val="center"/>
              <w:rPr>
                <w:rFonts w:ascii="宋体" w:hAnsi="宋体" w:cs="宋体"/>
                <w:sz w:val="24"/>
              </w:rPr>
            </w:pPr>
            <w:r>
              <w:rPr>
                <w:rFonts w:hint="eastAsia" w:ascii="宋体" w:hAnsi="宋体"/>
                <w:sz w:val="24"/>
              </w:rPr>
              <w:t>200</w:t>
            </w:r>
          </w:p>
        </w:tc>
        <w:tc>
          <w:tcPr>
            <w:tcW w:w="914" w:type="dxa"/>
            <w:tcBorders>
              <w:top w:val="nil"/>
              <w:left w:val="nil"/>
              <w:bottom w:val="single" w:color="auto" w:sz="4" w:space="0"/>
              <w:right w:val="single" w:color="auto" w:sz="4" w:space="0"/>
            </w:tcBorders>
            <w:noWrap w:val="0"/>
            <w:vAlign w:val="center"/>
          </w:tcPr>
          <w:p w14:paraId="55BB5C35">
            <w:pPr>
              <w:jc w:val="center"/>
              <w:rPr>
                <w:rFonts w:ascii="宋体" w:hAnsi="宋体" w:cs="宋体"/>
                <w:sz w:val="24"/>
              </w:rPr>
            </w:pPr>
          </w:p>
        </w:tc>
        <w:tc>
          <w:tcPr>
            <w:tcW w:w="1122" w:type="dxa"/>
            <w:tcBorders>
              <w:top w:val="nil"/>
              <w:left w:val="nil"/>
              <w:bottom w:val="single" w:color="auto" w:sz="4" w:space="0"/>
              <w:right w:val="single" w:color="auto" w:sz="4" w:space="0"/>
            </w:tcBorders>
            <w:noWrap w:val="0"/>
            <w:vAlign w:val="center"/>
          </w:tcPr>
          <w:p w14:paraId="2FAC1F1D">
            <w:pPr>
              <w:jc w:val="center"/>
              <w:rPr>
                <w:rFonts w:ascii="宋体" w:hAnsi="宋体" w:cs="宋体"/>
                <w:sz w:val="24"/>
              </w:rPr>
            </w:pPr>
            <w:r>
              <w:rPr>
                <w:rFonts w:hint="eastAsia" w:ascii="宋体" w:hAnsi="宋体"/>
                <w:sz w:val="24"/>
              </w:rPr>
              <w:t>296</w:t>
            </w:r>
          </w:p>
        </w:tc>
      </w:tr>
      <w:tr w14:paraId="22543AA6">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2B085DAD">
            <w:pPr>
              <w:jc w:val="center"/>
              <w:rPr>
                <w:rFonts w:ascii="宋体" w:hAnsi="宋体" w:cs="宋体"/>
                <w:sz w:val="24"/>
              </w:rPr>
            </w:pPr>
          </w:p>
        </w:tc>
        <w:tc>
          <w:tcPr>
            <w:tcW w:w="1460" w:type="dxa"/>
            <w:tcBorders>
              <w:top w:val="nil"/>
              <w:left w:val="nil"/>
              <w:bottom w:val="single" w:color="auto" w:sz="4" w:space="0"/>
              <w:right w:val="single" w:color="auto" w:sz="4" w:space="0"/>
            </w:tcBorders>
            <w:noWrap w:val="0"/>
            <w:vAlign w:val="center"/>
          </w:tcPr>
          <w:p w14:paraId="76222998">
            <w:pPr>
              <w:jc w:val="center"/>
              <w:rPr>
                <w:rFonts w:ascii="宋体" w:hAnsi="宋体" w:cs="宋体"/>
                <w:sz w:val="24"/>
              </w:rPr>
            </w:pPr>
            <w:r>
              <w:rPr>
                <w:rFonts w:hint="eastAsia" w:ascii="宋体" w:hAnsi="宋体"/>
                <w:sz w:val="24"/>
              </w:rPr>
              <w:t>其中：井下</w:t>
            </w:r>
          </w:p>
        </w:tc>
        <w:tc>
          <w:tcPr>
            <w:tcW w:w="1080" w:type="dxa"/>
            <w:tcBorders>
              <w:top w:val="nil"/>
              <w:left w:val="nil"/>
              <w:bottom w:val="single" w:color="auto" w:sz="4" w:space="0"/>
              <w:right w:val="single" w:color="auto" w:sz="4" w:space="0"/>
            </w:tcBorders>
            <w:noWrap w:val="0"/>
            <w:vAlign w:val="center"/>
          </w:tcPr>
          <w:p w14:paraId="0CF349CC">
            <w:pPr>
              <w:jc w:val="center"/>
              <w:rPr>
                <w:rFonts w:ascii="宋体" w:hAnsi="宋体"/>
                <w:sz w:val="24"/>
              </w:rPr>
            </w:pPr>
            <w:r>
              <w:rPr>
                <w:rFonts w:ascii="宋体" w:hAnsi="宋体"/>
                <w:sz w:val="24"/>
              </w:rPr>
              <w:t>41</w:t>
            </w:r>
          </w:p>
        </w:tc>
        <w:tc>
          <w:tcPr>
            <w:tcW w:w="1080" w:type="dxa"/>
            <w:tcBorders>
              <w:top w:val="nil"/>
              <w:left w:val="nil"/>
              <w:bottom w:val="single" w:color="auto" w:sz="4" w:space="0"/>
              <w:right w:val="single" w:color="auto" w:sz="4" w:space="0"/>
            </w:tcBorders>
            <w:noWrap w:val="0"/>
            <w:vAlign w:val="center"/>
          </w:tcPr>
          <w:p w14:paraId="79057AC9">
            <w:pPr>
              <w:jc w:val="center"/>
              <w:rPr>
                <w:rFonts w:ascii="宋体" w:hAnsi="宋体"/>
                <w:sz w:val="24"/>
              </w:rPr>
            </w:pPr>
            <w:r>
              <w:rPr>
                <w:rFonts w:ascii="宋体" w:hAnsi="宋体"/>
                <w:sz w:val="24"/>
              </w:rPr>
              <w:t>38</w:t>
            </w:r>
          </w:p>
        </w:tc>
        <w:tc>
          <w:tcPr>
            <w:tcW w:w="1080" w:type="dxa"/>
            <w:tcBorders>
              <w:top w:val="nil"/>
              <w:left w:val="nil"/>
              <w:bottom w:val="single" w:color="auto" w:sz="4" w:space="0"/>
              <w:right w:val="single" w:color="auto" w:sz="4" w:space="0"/>
            </w:tcBorders>
            <w:noWrap w:val="0"/>
            <w:vAlign w:val="center"/>
          </w:tcPr>
          <w:p w14:paraId="661E82A7">
            <w:pPr>
              <w:jc w:val="center"/>
              <w:rPr>
                <w:rFonts w:ascii="宋体" w:hAnsi="宋体"/>
                <w:sz w:val="24"/>
              </w:rPr>
            </w:pPr>
            <w:r>
              <w:rPr>
                <w:rFonts w:ascii="宋体" w:hAnsi="宋体"/>
                <w:sz w:val="24"/>
              </w:rPr>
              <w:t>38</w:t>
            </w:r>
          </w:p>
        </w:tc>
        <w:tc>
          <w:tcPr>
            <w:tcW w:w="781" w:type="dxa"/>
            <w:tcBorders>
              <w:top w:val="nil"/>
              <w:left w:val="nil"/>
              <w:bottom w:val="single" w:color="auto" w:sz="4" w:space="0"/>
              <w:right w:val="single" w:color="auto" w:sz="4" w:space="0"/>
            </w:tcBorders>
            <w:noWrap w:val="0"/>
            <w:vAlign w:val="center"/>
          </w:tcPr>
          <w:p w14:paraId="36AD9C8B">
            <w:pPr>
              <w:jc w:val="center"/>
              <w:rPr>
                <w:rFonts w:ascii="宋体" w:hAnsi="宋体"/>
                <w:sz w:val="24"/>
              </w:rPr>
            </w:pPr>
            <w:r>
              <w:rPr>
                <w:rFonts w:ascii="宋体" w:hAnsi="宋体"/>
                <w:sz w:val="24"/>
              </w:rPr>
              <w:t>38</w:t>
            </w:r>
          </w:p>
        </w:tc>
        <w:tc>
          <w:tcPr>
            <w:tcW w:w="840" w:type="dxa"/>
            <w:tcBorders>
              <w:top w:val="nil"/>
              <w:left w:val="nil"/>
              <w:bottom w:val="single" w:color="auto" w:sz="4" w:space="0"/>
              <w:right w:val="single" w:color="auto" w:sz="4" w:space="0"/>
            </w:tcBorders>
            <w:noWrap w:val="0"/>
            <w:vAlign w:val="center"/>
          </w:tcPr>
          <w:p w14:paraId="2CC9F6AC">
            <w:pPr>
              <w:jc w:val="center"/>
              <w:rPr>
                <w:rFonts w:ascii="宋体" w:hAnsi="宋体" w:cs="宋体"/>
                <w:sz w:val="24"/>
              </w:rPr>
            </w:pPr>
            <w:r>
              <w:rPr>
                <w:rFonts w:hint="eastAsia" w:ascii="宋体" w:hAnsi="宋体"/>
                <w:sz w:val="24"/>
              </w:rPr>
              <w:t>155</w:t>
            </w:r>
          </w:p>
        </w:tc>
        <w:tc>
          <w:tcPr>
            <w:tcW w:w="914" w:type="dxa"/>
            <w:tcBorders>
              <w:top w:val="nil"/>
              <w:left w:val="nil"/>
              <w:bottom w:val="single" w:color="auto" w:sz="4" w:space="0"/>
              <w:right w:val="single" w:color="auto" w:sz="4" w:space="0"/>
            </w:tcBorders>
            <w:noWrap w:val="0"/>
            <w:vAlign w:val="center"/>
          </w:tcPr>
          <w:p w14:paraId="77A881AB">
            <w:pPr>
              <w:jc w:val="center"/>
              <w:rPr>
                <w:rFonts w:ascii="宋体" w:hAnsi="宋体" w:cs="宋体"/>
                <w:sz w:val="24"/>
              </w:rPr>
            </w:pPr>
            <w:r>
              <w:rPr>
                <w:rFonts w:hint="eastAsia" w:ascii="宋体" w:hAnsi="宋体"/>
                <w:sz w:val="24"/>
              </w:rPr>
              <w:t>1.50</w:t>
            </w:r>
          </w:p>
        </w:tc>
        <w:tc>
          <w:tcPr>
            <w:tcW w:w="1122" w:type="dxa"/>
            <w:tcBorders>
              <w:top w:val="nil"/>
              <w:left w:val="nil"/>
              <w:bottom w:val="single" w:color="auto" w:sz="4" w:space="0"/>
              <w:right w:val="single" w:color="auto" w:sz="4" w:space="0"/>
            </w:tcBorders>
            <w:noWrap w:val="0"/>
            <w:vAlign w:val="center"/>
          </w:tcPr>
          <w:p w14:paraId="167FB002">
            <w:pPr>
              <w:jc w:val="center"/>
              <w:rPr>
                <w:rFonts w:ascii="宋体" w:hAnsi="宋体" w:cs="宋体"/>
                <w:sz w:val="24"/>
              </w:rPr>
            </w:pPr>
            <w:r>
              <w:rPr>
                <w:rFonts w:hint="eastAsia" w:ascii="宋体" w:hAnsi="宋体"/>
                <w:sz w:val="24"/>
              </w:rPr>
              <w:t>233</w:t>
            </w:r>
          </w:p>
        </w:tc>
      </w:tr>
      <w:tr w14:paraId="539EF044">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20C229F0">
            <w:pPr>
              <w:jc w:val="center"/>
              <w:rPr>
                <w:rFonts w:ascii="宋体" w:hAnsi="宋体" w:cs="宋体"/>
                <w:sz w:val="24"/>
              </w:rPr>
            </w:pPr>
          </w:p>
        </w:tc>
        <w:tc>
          <w:tcPr>
            <w:tcW w:w="1460" w:type="dxa"/>
            <w:tcBorders>
              <w:top w:val="nil"/>
              <w:left w:val="nil"/>
              <w:bottom w:val="single" w:color="auto" w:sz="4" w:space="0"/>
              <w:right w:val="single" w:color="auto" w:sz="4" w:space="0"/>
            </w:tcBorders>
            <w:noWrap w:val="0"/>
            <w:vAlign w:val="center"/>
          </w:tcPr>
          <w:p w14:paraId="54243800">
            <w:pPr>
              <w:jc w:val="center"/>
              <w:rPr>
                <w:rFonts w:ascii="宋体" w:hAnsi="宋体" w:cs="宋体"/>
                <w:sz w:val="24"/>
              </w:rPr>
            </w:pPr>
            <w:r>
              <w:rPr>
                <w:rFonts w:hint="eastAsia" w:ascii="宋体" w:hAnsi="宋体"/>
                <w:sz w:val="24"/>
              </w:rPr>
              <w:t>地面</w:t>
            </w:r>
          </w:p>
        </w:tc>
        <w:tc>
          <w:tcPr>
            <w:tcW w:w="1080" w:type="dxa"/>
            <w:tcBorders>
              <w:top w:val="nil"/>
              <w:left w:val="nil"/>
              <w:bottom w:val="single" w:color="auto" w:sz="4" w:space="0"/>
              <w:right w:val="single" w:color="auto" w:sz="4" w:space="0"/>
            </w:tcBorders>
            <w:noWrap w:val="0"/>
            <w:vAlign w:val="center"/>
          </w:tcPr>
          <w:p w14:paraId="351BAFE4">
            <w:pPr>
              <w:jc w:val="center"/>
              <w:rPr>
                <w:rFonts w:ascii="宋体" w:hAnsi="宋体"/>
                <w:sz w:val="24"/>
              </w:rPr>
            </w:pPr>
            <w:r>
              <w:rPr>
                <w:rFonts w:ascii="宋体" w:hAnsi="宋体"/>
                <w:sz w:val="24"/>
              </w:rPr>
              <w:t>15</w:t>
            </w:r>
          </w:p>
        </w:tc>
        <w:tc>
          <w:tcPr>
            <w:tcW w:w="1080" w:type="dxa"/>
            <w:tcBorders>
              <w:top w:val="nil"/>
              <w:left w:val="nil"/>
              <w:bottom w:val="single" w:color="auto" w:sz="4" w:space="0"/>
              <w:right w:val="single" w:color="auto" w:sz="4" w:space="0"/>
            </w:tcBorders>
            <w:noWrap w:val="0"/>
            <w:vAlign w:val="center"/>
          </w:tcPr>
          <w:p w14:paraId="5F2DCCB0">
            <w:pPr>
              <w:jc w:val="center"/>
              <w:rPr>
                <w:rFonts w:ascii="宋体" w:hAnsi="宋体"/>
                <w:sz w:val="24"/>
              </w:rPr>
            </w:pPr>
            <w:r>
              <w:rPr>
                <w:rFonts w:ascii="宋体" w:hAnsi="宋体"/>
                <w:sz w:val="24"/>
              </w:rPr>
              <w:t>15</w:t>
            </w:r>
          </w:p>
        </w:tc>
        <w:tc>
          <w:tcPr>
            <w:tcW w:w="1080" w:type="dxa"/>
            <w:tcBorders>
              <w:top w:val="nil"/>
              <w:left w:val="nil"/>
              <w:bottom w:val="single" w:color="auto" w:sz="4" w:space="0"/>
              <w:right w:val="single" w:color="auto" w:sz="4" w:space="0"/>
            </w:tcBorders>
            <w:noWrap w:val="0"/>
            <w:vAlign w:val="center"/>
          </w:tcPr>
          <w:p w14:paraId="44204004">
            <w:pPr>
              <w:jc w:val="center"/>
              <w:rPr>
                <w:rFonts w:ascii="宋体" w:hAnsi="宋体"/>
                <w:sz w:val="24"/>
              </w:rPr>
            </w:pPr>
            <w:r>
              <w:rPr>
                <w:rFonts w:ascii="宋体" w:hAnsi="宋体"/>
                <w:sz w:val="24"/>
              </w:rPr>
              <w:t>15</w:t>
            </w:r>
          </w:p>
        </w:tc>
        <w:tc>
          <w:tcPr>
            <w:tcW w:w="781" w:type="dxa"/>
            <w:tcBorders>
              <w:top w:val="nil"/>
              <w:left w:val="nil"/>
              <w:bottom w:val="single" w:color="auto" w:sz="4" w:space="0"/>
              <w:right w:val="single" w:color="auto" w:sz="4" w:space="0"/>
            </w:tcBorders>
            <w:noWrap w:val="0"/>
            <w:vAlign w:val="center"/>
          </w:tcPr>
          <w:p w14:paraId="4494606B">
            <w:pPr>
              <w:jc w:val="center"/>
              <w:rPr>
                <w:rFonts w:ascii="宋体" w:hAnsi="宋体"/>
                <w:sz w:val="24"/>
              </w:rPr>
            </w:pPr>
          </w:p>
        </w:tc>
        <w:tc>
          <w:tcPr>
            <w:tcW w:w="840" w:type="dxa"/>
            <w:tcBorders>
              <w:top w:val="nil"/>
              <w:left w:val="nil"/>
              <w:bottom w:val="single" w:color="auto" w:sz="4" w:space="0"/>
              <w:right w:val="single" w:color="auto" w:sz="4" w:space="0"/>
            </w:tcBorders>
            <w:noWrap w:val="0"/>
            <w:vAlign w:val="center"/>
          </w:tcPr>
          <w:p w14:paraId="5FE8D04D">
            <w:pPr>
              <w:jc w:val="center"/>
              <w:rPr>
                <w:rFonts w:ascii="宋体" w:hAnsi="宋体" w:cs="宋体"/>
                <w:sz w:val="24"/>
              </w:rPr>
            </w:pPr>
            <w:r>
              <w:rPr>
                <w:rFonts w:hint="eastAsia" w:ascii="宋体" w:hAnsi="宋体"/>
                <w:sz w:val="24"/>
              </w:rPr>
              <w:t>45</w:t>
            </w:r>
          </w:p>
        </w:tc>
        <w:tc>
          <w:tcPr>
            <w:tcW w:w="914" w:type="dxa"/>
            <w:tcBorders>
              <w:top w:val="nil"/>
              <w:left w:val="nil"/>
              <w:bottom w:val="single" w:color="auto" w:sz="4" w:space="0"/>
              <w:right w:val="single" w:color="auto" w:sz="4" w:space="0"/>
            </w:tcBorders>
            <w:noWrap w:val="0"/>
            <w:vAlign w:val="center"/>
          </w:tcPr>
          <w:p w14:paraId="4AD4C44A">
            <w:pPr>
              <w:jc w:val="center"/>
              <w:rPr>
                <w:rFonts w:ascii="宋体" w:hAnsi="宋体" w:cs="宋体"/>
                <w:sz w:val="24"/>
              </w:rPr>
            </w:pPr>
            <w:r>
              <w:rPr>
                <w:rFonts w:hint="eastAsia" w:ascii="宋体" w:hAnsi="宋体"/>
                <w:sz w:val="24"/>
              </w:rPr>
              <w:t>1.40</w:t>
            </w:r>
          </w:p>
        </w:tc>
        <w:tc>
          <w:tcPr>
            <w:tcW w:w="1122" w:type="dxa"/>
            <w:tcBorders>
              <w:top w:val="nil"/>
              <w:left w:val="nil"/>
              <w:bottom w:val="single" w:color="auto" w:sz="4" w:space="0"/>
              <w:right w:val="single" w:color="auto" w:sz="4" w:space="0"/>
            </w:tcBorders>
            <w:noWrap w:val="0"/>
            <w:vAlign w:val="center"/>
          </w:tcPr>
          <w:p w14:paraId="2D5ED626">
            <w:pPr>
              <w:jc w:val="center"/>
              <w:rPr>
                <w:rFonts w:ascii="宋体" w:hAnsi="宋体" w:cs="宋体"/>
                <w:sz w:val="24"/>
              </w:rPr>
            </w:pPr>
            <w:r>
              <w:rPr>
                <w:rFonts w:hint="eastAsia" w:ascii="宋体" w:hAnsi="宋体"/>
                <w:sz w:val="24"/>
              </w:rPr>
              <w:t>63</w:t>
            </w:r>
          </w:p>
        </w:tc>
      </w:tr>
      <w:tr w14:paraId="40B848C7">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1D340B69">
            <w:pPr>
              <w:jc w:val="center"/>
              <w:rPr>
                <w:rFonts w:ascii="宋体" w:hAnsi="宋体" w:cs="宋体"/>
                <w:sz w:val="24"/>
              </w:rPr>
            </w:pPr>
            <w:r>
              <w:rPr>
                <w:rFonts w:hint="eastAsia" w:ascii="宋体" w:hAnsi="宋体"/>
                <w:sz w:val="24"/>
              </w:rPr>
              <w:t>二</w:t>
            </w:r>
          </w:p>
        </w:tc>
        <w:tc>
          <w:tcPr>
            <w:tcW w:w="1460" w:type="dxa"/>
            <w:tcBorders>
              <w:top w:val="nil"/>
              <w:left w:val="nil"/>
              <w:bottom w:val="single" w:color="auto" w:sz="4" w:space="0"/>
              <w:right w:val="single" w:color="auto" w:sz="4" w:space="0"/>
            </w:tcBorders>
            <w:noWrap w:val="0"/>
            <w:vAlign w:val="center"/>
          </w:tcPr>
          <w:p w14:paraId="3157F7C7">
            <w:pPr>
              <w:jc w:val="center"/>
              <w:rPr>
                <w:rFonts w:ascii="宋体" w:hAnsi="宋体" w:cs="宋体"/>
                <w:sz w:val="24"/>
              </w:rPr>
            </w:pPr>
            <w:r>
              <w:rPr>
                <w:rFonts w:hint="eastAsia" w:ascii="宋体" w:hAnsi="宋体"/>
                <w:sz w:val="24"/>
              </w:rPr>
              <w:t>管理人员</w:t>
            </w:r>
          </w:p>
        </w:tc>
        <w:tc>
          <w:tcPr>
            <w:tcW w:w="1080" w:type="dxa"/>
            <w:tcBorders>
              <w:top w:val="nil"/>
              <w:left w:val="nil"/>
              <w:bottom w:val="single" w:color="auto" w:sz="4" w:space="0"/>
              <w:right w:val="single" w:color="auto" w:sz="4" w:space="0"/>
            </w:tcBorders>
            <w:noWrap w:val="0"/>
            <w:vAlign w:val="center"/>
          </w:tcPr>
          <w:p w14:paraId="61B940D7">
            <w:pPr>
              <w:jc w:val="center"/>
              <w:rPr>
                <w:rFonts w:ascii="宋体" w:hAnsi="宋体"/>
                <w:sz w:val="24"/>
              </w:rPr>
            </w:pPr>
            <w:r>
              <w:rPr>
                <w:rFonts w:ascii="宋体" w:hAnsi="宋体"/>
                <w:sz w:val="24"/>
              </w:rPr>
              <w:t>9</w:t>
            </w:r>
          </w:p>
        </w:tc>
        <w:tc>
          <w:tcPr>
            <w:tcW w:w="1080" w:type="dxa"/>
            <w:tcBorders>
              <w:top w:val="nil"/>
              <w:left w:val="nil"/>
              <w:bottom w:val="single" w:color="auto" w:sz="4" w:space="0"/>
              <w:right w:val="single" w:color="auto" w:sz="4" w:space="0"/>
            </w:tcBorders>
            <w:noWrap w:val="0"/>
            <w:vAlign w:val="center"/>
          </w:tcPr>
          <w:p w14:paraId="719DA4B5">
            <w:pPr>
              <w:jc w:val="center"/>
              <w:rPr>
                <w:rFonts w:ascii="宋体" w:hAnsi="宋体"/>
                <w:sz w:val="24"/>
              </w:rPr>
            </w:pPr>
            <w:r>
              <w:rPr>
                <w:rFonts w:ascii="宋体" w:hAnsi="宋体"/>
                <w:sz w:val="24"/>
              </w:rPr>
              <w:t>7</w:t>
            </w:r>
          </w:p>
        </w:tc>
        <w:tc>
          <w:tcPr>
            <w:tcW w:w="1080" w:type="dxa"/>
            <w:tcBorders>
              <w:top w:val="nil"/>
              <w:left w:val="nil"/>
              <w:bottom w:val="single" w:color="auto" w:sz="4" w:space="0"/>
              <w:right w:val="single" w:color="auto" w:sz="4" w:space="0"/>
            </w:tcBorders>
            <w:noWrap w:val="0"/>
            <w:vAlign w:val="center"/>
          </w:tcPr>
          <w:p w14:paraId="76BFA6E0">
            <w:pPr>
              <w:jc w:val="center"/>
              <w:rPr>
                <w:rFonts w:ascii="宋体" w:hAnsi="宋体"/>
                <w:sz w:val="24"/>
              </w:rPr>
            </w:pPr>
            <w:r>
              <w:rPr>
                <w:rFonts w:ascii="宋体" w:hAnsi="宋体"/>
                <w:sz w:val="24"/>
              </w:rPr>
              <w:t>7</w:t>
            </w:r>
          </w:p>
        </w:tc>
        <w:tc>
          <w:tcPr>
            <w:tcW w:w="781" w:type="dxa"/>
            <w:tcBorders>
              <w:top w:val="nil"/>
              <w:left w:val="nil"/>
              <w:bottom w:val="single" w:color="auto" w:sz="4" w:space="0"/>
              <w:right w:val="single" w:color="auto" w:sz="4" w:space="0"/>
            </w:tcBorders>
            <w:noWrap w:val="0"/>
            <w:vAlign w:val="center"/>
          </w:tcPr>
          <w:p w14:paraId="2615F580">
            <w:pPr>
              <w:jc w:val="center"/>
              <w:rPr>
                <w:rFonts w:ascii="宋体" w:hAnsi="宋体"/>
                <w:sz w:val="24"/>
              </w:rPr>
            </w:pPr>
          </w:p>
        </w:tc>
        <w:tc>
          <w:tcPr>
            <w:tcW w:w="840" w:type="dxa"/>
            <w:tcBorders>
              <w:top w:val="nil"/>
              <w:left w:val="nil"/>
              <w:bottom w:val="single" w:color="auto" w:sz="4" w:space="0"/>
              <w:right w:val="single" w:color="auto" w:sz="4" w:space="0"/>
            </w:tcBorders>
            <w:noWrap w:val="0"/>
            <w:vAlign w:val="center"/>
          </w:tcPr>
          <w:p w14:paraId="451F4094">
            <w:pPr>
              <w:jc w:val="center"/>
              <w:rPr>
                <w:rFonts w:ascii="宋体" w:hAnsi="宋体" w:cs="宋体"/>
                <w:sz w:val="24"/>
              </w:rPr>
            </w:pPr>
            <w:r>
              <w:rPr>
                <w:rFonts w:hint="eastAsia" w:ascii="宋体" w:hAnsi="宋体"/>
                <w:sz w:val="24"/>
              </w:rPr>
              <w:t>23</w:t>
            </w:r>
          </w:p>
        </w:tc>
        <w:tc>
          <w:tcPr>
            <w:tcW w:w="914" w:type="dxa"/>
            <w:tcBorders>
              <w:top w:val="nil"/>
              <w:left w:val="nil"/>
              <w:bottom w:val="single" w:color="auto" w:sz="4" w:space="0"/>
              <w:right w:val="single" w:color="auto" w:sz="4" w:space="0"/>
            </w:tcBorders>
            <w:noWrap w:val="0"/>
            <w:vAlign w:val="center"/>
          </w:tcPr>
          <w:p w14:paraId="56D426CB">
            <w:pPr>
              <w:jc w:val="center"/>
              <w:rPr>
                <w:rFonts w:ascii="宋体" w:hAnsi="宋体" w:cs="宋体"/>
                <w:sz w:val="24"/>
              </w:rPr>
            </w:pPr>
          </w:p>
        </w:tc>
        <w:tc>
          <w:tcPr>
            <w:tcW w:w="1122" w:type="dxa"/>
            <w:tcBorders>
              <w:top w:val="nil"/>
              <w:left w:val="nil"/>
              <w:bottom w:val="single" w:color="auto" w:sz="4" w:space="0"/>
              <w:right w:val="single" w:color="auto" w:sz="4" w:space="0"/>
            </w:tcBorders>
            <w:noWrap w:val="0"/>
            <w:vAlign w:val="center"/>
          </w:tcPr>
          <w:p w14:paraId="67B4A2AF">
            <w:pPr>
              <w:jc w:val="center"/>
              <w:rPr>
                <w:rFonts w:ascii="宋体" w:hAnsi="宋体" w:cs="宋体"/>
                <w:sz w:val="24"/>
              </w:rPr>
            </w:pPr>
            <w:r>
              <w:rPr>
                <w:rFonts w:hint="eastAsia" w:ascii="宋体" w:hAnsi="宋体"/>
                <w:sz w:val="24"/>
              </w:rPr>
              <w:t>23</w:t>
            </w:r>
          </w:p>
        </w:tc>
      </w:tr>
      <w:tr w14:paraId="622E9D66">
        <w:tblPrEx>
          <w:tblCellMar>
            <w:top w:w="0" w:type="dxa"/>
            <w:left w:w="0" w:type="dxa"/>
            <w:bottom w:w="0" w:type="dxa"/>
            <w:right w:w="0" w:type="dxa"/>
          </w:tblCellMar>
        </w:tblPrEx>
        <w:trPr>
          <w:wBefore w:w="0" w:type="dxa"/>
          <w:wAfter w:w="0" w:type="dxa"/>
          <w:trHeight w:val="425" w:hRule="atLeast"/>
          <w:jc w:val="center"/>
        </w:trPr>
        <w:tc>
          <w:tcPr>
            <w:tcW w:w="2129" w:type="dxa"/>
            <w:gridSpan w:val="2"/>
            <w:tcBorders>
              <w:top w:val="single" w:color="auto" w:sz="4" w:space="0"/>
              <w:left w:val="single" w:color="auto" w:sz="4" w:space="0"/>
              <w:bottom w:val="single" w:color="auto" w:sz="4" w:space="0"/>
              <w:right w:val="single" w:color="auto" w:sz="4" w:space="0"/>
            </w:tcBorders>
            <w:noWrap w:val="0"/>
            <w:vAlign w:val="center"/>
          </w:tcPr>
          <w:p w14:paraId="5FE04EC8">
            <w:pPr>
              <w:jc w:val="center"/>
              <w:rPr>
                <w:rFonts w:ascii="宋体" w:hAnsi="宋体" w:cs="宋体"/>
                <w:sz w:val="24"/>
              </w:rPr>
            </w:pPr>
            <w:r>
              <w:rPr>
                <w:rFonts w:hint="eastAsia" w:ascii="宋体" w:hAnsi="宋体"/>
                <w:sz w:val="24"/>
              </w:rPr>
              <w:t>原煤生产人员合计</w:t>
            </w:r>
          </w:p>
        </w:tc>
        <w:tc>
          <w:tcPr>
            <w:tcW w:w="1080" w:type="dxa"/>
            <w:tcBorders>
              <w:top w:val="nil"/>
              <w:left w:val="nil"/>
              <w:bottom w:val="single" w:color="auto" w:sz="4" w:space="0"/>
              <w:right w:val="single" w:color="auto" w:sz="4" w:space="0"/>
            </w:tcBorders>
            <w:noWrap w:val="0"/>
            <w:vAlign w:val="center"/>
          </w:tcPr>
          <w:p w14:paraId="16937AA2">
            <w:pPr>
              <w:jc w:val="center"/>
              <w:rPr>
                <w:rFonts w:hint="eastAsia" w:ascii="宋体" w:hAnsi="宋体"/>
                <w:sz w:val="24"/>
              </w:rPr>
            </w:pPr>
            <w:r>
              <w:rPr>
                <w:rFonts w:hint="eastAsia" w:ascii="宋体" w:hAnsi="宋体"/>
                <w:sz w:val="24"/>
              </w:rPr>
              <w:t>65</w:t>
            </w:r>
          </w:p>
        </w:tc>
        <w:tc>
          <w:tcPr>
            <w:tcW w:w="1080" w:type="dxa"/>
            <w:tcBorders>
              <w:top w:val="nil"/>
              <w:left w:val="nil"/>
              <w:bottom w:val="single" w:color="auto" w:sz="4" w:space="0"/>
              <w:right w:val="single" w:color="auto" w:sz="4" w:space="0"/>
            </w:tcBorders>
            <w:noWrap w:val="0"/>
            <w:vAlign w:val="center"/>
          </w:tcPr>
          <w:p w14:paraId="1177CC02">
            <w:pPr>
              <w:jc w:val="center"/>
              <w:rPr>
                <w:rFonts w:hint="eastAsia" w:ascii="宋体" w:hAnsi="宋体"/>
                <w:sz w:val="24"/>
              </w:rPr>
            </w:pPr>
            <w:r>
              <w:rPr>
                <w:rFonts w:hint="eastAsia" w:ascii="宋体" w:hAnsi="宋体"/>
                <w:sz w:val="24"/>
              </w:rPr>
              <w:t>60</w:t>
            </w:r>
          </w:p>
        </w:tc>
        <w:tc>
          <w:tcPr>
            <w:tcW w:w="1080" w:type="dxa"/>
            <w:tcBorders>
              <w:top w:val="nil"/>
              <w:left w:val="nil"/>
              <w:bottom w:val="single" w:color="auto" w:sz="4" w:space="0"/>
              <w:right w:val="single" w:color="auto" w:sz="4" w:space="0"/>
            </w:tcBorders>
            <w:noWrap w:val="0"/>
            <w:vAlign w:val="center"/>
          </w:tcPr>
          <w:p w14:paraId="67CBAC64">
            <w:pPr>
              <w:jc w:val="center"/>
              <w:rPr>
                <w:rFonts w:hint="eastAsia" w:ascii="宋体" w:hAnsi="宋体"/>
                <w:sz w:val="24"/>
              </w:rPr>
            </w:pPr>
            <w:r>
              <w:rPr>
                <w:rFonts w:hint="eastAsia" w:ascii="宋体" w:hAnsi="宋体"/>
                <w:sz w:val="24"/>
              </w:rPr>
              <w:t>60</w:t>
            </w:r>
          </w:p>
        </w:tc>
        <w:tc>
          <w:tcPr>
            <w:tcW w:w="781" w:type="dxa"/>
            <w:tcBorders>
              <w:top w:val="nil"/>
              <w:left w:val="nil"/>
              <w:bottom w:val="single" w:color="auto" w:sz="4" w:space="0"/>
              <w:right w:val="single" w:color="auto" w:sz="4" w:space="0"/>
            </w:tcBorders>
            <w:noWrap w:val="0"/>
            <w:vAlign w:val="center"/>
          </w:tcPr>
          <w:p w14:paraId="75187505">
            <w:pPr>
              <w:jc w:val="center"/>
              <w:rPr>
                <w:rFonts w:ascii="宋体" w:hAnsi="宋体"/>
                <w:sz w:val="24"/>
              </w:rPr>
            </w:pPr>
            <w:r>
              <w:rPr>
                <w:rFonts w:ascii="宋体" w:hAnsi="宋体"/>
                <w:sz w:val="24"/>
              </w:rPr>
              <w:t>38</w:t>
            </w:r>
          </w:p>
        </w:tc>
        <w:tc>
          <w:tcPr>
            <w:tcW w:w="840" w:type="dxa"/>
            <w:tcBorders>
              <w:top w:val="nil"/>
              <w:left w:val="nil"/>
              <w:bottom w:val="single" w:color="auto" w:sz="4" w:space="0"/>
              <w:right w:val="single" w:color="auto" w:sz="4" w:space="0"/>
            </w:tcBorders>
            <w:noWrap w:val="0"/>
            <w:vAlign w:val="center"/>
          </w:tcPr>
          <w:p w14:paraId="10BE5D2C">
            <w:pPr>
              <w:jc w:val="center"/>
              <w:rPr>
                <w:rFonts w:ascii="宋体" w:hAnsi="宋体" w:cs="宋体"/>
                <w:sz w:val="24"/>
              </w:rPr>
            </w:pPr>
            <w:r>
              <w:rPr>
                <w:rFonts w:hint="eastAsia" w:ascii="宋体" w:hAnsi="宋体"/>
                <w:sz w:val="24"/>
              </w:rPr>
              <w:t>223</w:t>
            </w:r>
          </w:p>
        </w:tc>
        <w:tc>
          <w:tcPr>
            <w:tcW w:w="914" w:type="dxa"/>
            <w:tcBorders>
              <w:top w:val="nil"/>
              <w:left w:val="nil"/>
              <w:bottom w:val="single" w:color="auto" w:sz="4" w:space="0"/>
              <w:right w:val="single" w:color="auto" w:sz="4" w:space="0"/>
            </w:tcBorders>
            <w:noWrap w:val="0"/>
            <w:vAlign w:val="center"/>
          </w:tcPr>
          <w:p w14:paraId="305E3C34">
            <w:pPr>
              <w:jc w:val="center"/>
              <w:rPr>
                <w:rFonts w:ascii="宋体" w:hAnsi="宋体" w:cs="宋体"/>
                <w:sz w:val="24"/>
              </w:rPr>
            </w:pPr>
          </w:p>
        </w:tc>
        <w:tc>
          <w:tcPr>
            <w:tcW w:w="1122" w:type="dxa"/>
            <w:tcBorders>
              <w:top w:val="nil"/>
              <w:left w:val="nil"/>
              <w:bottom w:val="single" w:color="auto" w:sz="4" w:space="0"/>
              <w:right w:val="single" w:color="auto" w:sz="4" w:space="0"/>
            </w:tcBorders>
            <w:noWrap w:val="0"/>
            <w:vAlign w:val="center"/>
          </w:tcPr>
          <w:p w14:paraId="5167E9D9">
            <w:pPr>
              <w:jc w:val="center"/>
              <w:rPr>
                <w:rFonts w:ascii="宋体" w:hAnsi="宋体" w:cs="宋体"/>
                <w:sz w:val="24"/>
              </w:rPr>
            </w:pPr>
            <w:r>
              <w:rPr>
                <w:rFonts w:hint="eastAsia" w:ascii="宋体" w:hAnsi="宋体"/>
                <w:sz w:val="24"/>
              </w:rPr>
              <w:t>319</w:t>
            </w:r>
          </w:p>
        </w:tc>
      </w:tr>
      <w:tr w14:paraId="4972737F">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58547EE9">
            <w:pPr>
              <w:jc w:val="center"/>
              <w:rPr>
                <w:rFonts w:ascii="宋体" w:hAnsi="宋体" w:cs="宋体"/>
                <w:sz w:val="24"/>
              </w:rPr>
            </w:pPr>
            <w:r>
              <w:rPr>
                <w:rFonts w:hint="eastAsia" w:ascii="宋体" w:hAnsi="宋体"/>
                <w:sz w:val="24"/>
              </w:rPr>
              <w:t>三</w:t>
            </w:r>
          </w:p>
        </w:tc>
        <w:tc>
          <w:tcPr>
            <w:tcW w:w="1460" w:type="dxa"/>
            <w:tcBorders>
              <w:top w:val="nil"/>
              <w:left w:val="nil"/>
              <w:bottom w:val="single" w:color="auto" w:sz="4" w:space="0"/>
              <w:right w:val="single" w:color="auto" w:sz="4" w:space="0"/>
            </w:tcBorders>
            <w:noWrap w:val="0"/>
            <w:vAlign w:val="center"/>
          </w:tcPr>
          <w:p w14:paraId="36D6E12E">
            <w:pPr>
              <w:jc w:val="center"/>
              <w:rPr>
                <w:rFonts w:ascii="宋体" w:hAnsi="宋体" w:cs="宋体"/>
                <w:sz w:val="24"/>
              </w:rPr>
            </w:pPr>
            <w:r>
              <w:rPr>
                <w:rFonts w:hint="eastAsia" w:ascii="宋体" w:hAnsi="宋体"/>
                <w:sz w:val="24"/>
              </w:rPr>
              <w:t>服务人员</w:t>
            </w:r>
          </w:p>
        </w:tc>
        <w:tc>
          <w:tcPr>
            <w:tcW w:w="1080" w:type="dxa"/>
            <w:tcBorders>
              <w:top w:val="nil"/>
              <w:left w:val="nil"/>
              <w:bottom w:val="single" w:color="auto" w:sz="4" w:space="0"/>
              <w:right w:val="single" w:color="auto" w:sz="4" w:space="0"/>
            </w:tcBorders>
            <w:noWrap w:val="0"/>
            <w:vAlign w:val="center"/>
          </w:tcPr>
          <w:p w14:paraId="17E25A8F">
            <w:pPr>
              <w:jc w:val="center"/>
              <w:rPr>
                <w:rFonts w:ascii="宋体" w:hAnsi="宋体"/>
                <w:sz w:val="24"/>
              </w:rPr>
            </w:pPr>
            <w:r>
              <w:rPr>
                <w:rFonts w:ascii="宋体" w:hAnsi="宋体"/>
                <w:sz w:val="24"/>
              </w:rPr>
              <w:t>9</w:t>
            </w:r>
          </w:p>
        </w:tc>
        <w:tc>
          <w:tcPr>
            <w:tcW w:w="1080" w:type="dxa"/>
            <w:tcBorders>
              <w:top w:val="nil"/>
              <w:left w:val="nil"/>
              <w:bottom w:val="single" w:color="auto" w:sz="4" w:space="0"/>
              <w:right w:val="single" w:color="auto" w:sz="4" w:space="0"/>
            </w:tcBorders>
            <w:noWrap w:val="0"/>
            <w:vAlign w:val="center"/>
          </w:tcPr>
          <w:p w14:paraId="55F53C1C">
            <w:pPr>
              <w:jc w:val="center"/>
              <w:rPr>
                <w:rFonts w:ascii="宋体" w:hAnsi="宋体"/>
                <w:sz w:val="24"/>
              </w:rPr>
            </w:pPr>
            <w:r>
              <w:rPr>
                <w:rFonts w:ascii="宋体" w:hAnsi="宋体"/>
                <w:sz w:val="24"/>
              </w:rPr>
              <w:t>5</w:t>
            </w:r>
          </w:p>
        </w:tc>
        <w:tc>
          <w:tcPr>
            <w:tcW w:w="1080" w:type="dxa"/>
            <w:tcBorders>
              <w:top w:val="nil"/>
              <w:left w:val="nil"/>
              <w:bottom w:val="single" w:color="auto" w:sz="4" w:space="0"/>
              <w:right w:val="single" w:color="auto" w:sz="4" w:space="0"/>
            </w:tcBorders>
            <w:noWrap w:val="0"/>
            <w:vAlign w:val="center"/>
          </w:tcPr>
          <w:p w14:paraId="792B29AA">
            <w:pPr>
              <w:jc w:val="center"/>
              <w:rPr>
                <w:rFonts w:ascii="宋体" w:hAnsi="宋体"/>
                <w:sz w:val="24"/>
              </w:rPr>
            </w:pPr>
            <w:r>
              <w:rPr>
                <w:rFonts w:ascii="宋体" w:hAnsi="宋体"/>
                <w:sz w:val="24"/>
              </w:rPr>
              <w:t>5</w:t>
            </w:r>
          </w:p>
        </w:tc>
        <w:tc>
          <w:tcPr>
            <w:tcW w:w="781" w:type="dxa"/>
            <w:tcBorders>
              <w:top w:val="nil"/>
              <w:left w:val="nil"/>
              <w:bottom w:val="single" w:color="auto" w:sz="4" w:space="0"/>
              <w:right w:val="single" w:color="auto" w:sz="4" w:space="0"/>
            </w:tcBorders>
            <w:noWrap w:val="0"/>
            <w:vAlign w:val="center"/>
          </w:tcPr>
          <w:p w14:paraId="26E6792B">
            <w:pPr>
              <w:jc w:val="center"/>
              <w:rPr>
                <w:rFonts w:ascii="宋体" w:hAnsi="宋体"/>
                <w:sz w:val="24"/>
              </w:rPr>
            </w:pPr>
          </w:p>
        </w:tc>
        <w:tc>
          <w:tcPr>
            <w:tcW w:w="840" w:type="dxa"/>
            <w:tcBorders>
              <w:top w:val="nil"/>
              <w:left w:val="nil"/>
              <w:bottom w:val="single" w:color="auto" w:sz="4" w:space="0"/>
              <w:right w:val="single" w:color="auto" w:sz="4" w:space="0"/>
            </w:tcBorders>
            <w:noWrap w:val="0"/>
            <w:vAlign w:val="center"/>
          </w:tcPr>
          <w:p w14:paraId="5EAEFE44">
            <w:pPr>
              <w:jc w:val="center"/>
              <w:rPr>
                <w:rFonts w:ascii="宋体" w:hAnsi="宋体" w:cs="宋体"/>
                <w:sz w:val="24"/>
              </w:rPr>
            </w:pPr>
            <w:r>
              <w:rPr>
                <w:rFonts w:hint="eastAsia" w:ascii="宋体" w:hAnsi="宋体"/>
                <w:sz w:val="24"/>
              </w:rPr>
              <w:t>19</w:t>
            </w:r>
          </w:p>
        </w:tc>
        <w:tc>
          <w:tcPr>
            <w:tcW w:w="914" w:type="dxa"/>
            <w:tcBorders>
              <w:top w:val="nil"/>
              <w:left w:val="nil"/>
              <w:bottom w:val="single" w:color="auto" w:sz="4" w:space="0"/>
              <w:right w:val="single" w:color="auto" w:sz="4" w:space="0"/>
            </w:tcBorders>
            <w:noWrap w:val="0"/>
            <w:vAlign w:val="center"/>
          </w:tcPr>
          <w:p w14:paraId="29B08E28">
            <w:pPr>
              <w:jc w:val="center"/>
              <w:rPr>
                <w:rFonts w:ascii="宋体" w:hAnsi="宋体" w:cs="宋体"/>
                <w:sz w:val="24"/>
              </w:rPr>
            </w:pPr>
          </w:p>
        </w:tc>
        <w:tc>
          <w:tcPr>
            <w:tcW w:w="1122" w:type="dxa"/>
            <w:tcBorders>
              <w:top w:val="nil"/>
              <w:left w:val="nil"/>
              <w:bottom w:val="single" w:color="auto" w:sz="4" w:space="0"/>
              <w:right w:val="single" w:color="auto" w:sz="4" w:space="0"/>
            </w:tcBorders>
            <w:noWrap w:val="0"/>
            <w:vAlign w:val="center"/>
          </w:tcPr>
          <w:p w14:paraId="418F8123">
            <w:pPr>
              <w:jc w:val="center"/>
              <w:rPr>
                <w:rFonts w:ascii="宋体" w:hAnsi="宋体" w:cs="宋体"/>
                <w:sz w:val="24"/>
              </w:rPr>
            </w:pPr>
            <w:r>
              <w:rPr>
                <w:rFonts w:hint="eastAsia" w:ascii="宋体" w:hAnsi="宋体"/>
                <w:sz w:val="24"/>
              </w:rPr>
              <w:t>19</w:t>
            </w:r>
          </w:p>
        </w:tc>
      </w:tr>
      <w:tr w14:paraId="223E87FD">
        <w:tblPrEx>
          <w:tblCellMar>
            <w:top w:w="0" w:type="dxa"/>
            <w:left w:w="0" w:type="dxa"/>
            <w:bottom w:w="0" w:type="dxa"/>
            <w:right w:w="0" w:type="dxa"/>
          </w:tblCellMar>
        </w:tblPrEx>
        <w:trPr>
          <w:wBefore w:w="0" w:type="dxa"/>
          <w:wAfter w:w="0" w:type="dxa"/>
          <w:trHeight w:val="425" w:hRule="atLeast"/>
          <w:jc w:val="center"/>
        </w:trPr>
        <w:tc>
          <w:tcPr>
            <w:tcW w:w="669" w:type="dxa"/>
            <w:tcBorders>
              <w:top w:val="nil"/>
              <w:left w:val="single" w:color="auto" w:sz="4" w:space="0"/>
              <w:bottom w:val="single" w:color="auto" w:sz="4" w:space="0"/>
              <w:right w:val="single" w:color="auto" w:sz="4" w:space="0"/>
            </w:tcBorders>
            <w:noWrap w:val="0"/>
            <w:vAlign w:val="center"/>
          </w:tcPr>
          <w:p w14:paraId="05BC4AC2">
            <w:pPr>
              <w:jc w:val="center"/>
              <w:rPr>
                <w:rFonts w:ascii="宋体" w:hAnsi="宋体" w:cs="宋体"/>
                <w:sz w:val="24"/>
              </w:rPr>
            </w:pPr>
            <w:r>
              <w:rPr>
                <w:rFonts w:hint="eastAsia" w:ascii="宋体" w:hAnsi="宋体"/>
                <w:sz w:val="24"/>
              </w:rPr>
              <w:t>四</w:t>
            </w:r>
          </w:p>
        </w:tc>
        <w:tc>
          <w:tcPr>
            <w:tcW w:w="1460" w:type="dxa"/>
            <w:tcBorders>
              <w:top w:val="nil"/>
              <w:left w:val="nil"/>
              <w:bottom w:val="single" w:color="auto" w:sz="4" w:space="0"/>
              <w:right w:val="single" w:color="auto" w:sz="4" w:space="0"/>
            </w:tcBorders>
            <w:noWrap w:val="0"/>
            <w:vAlign w:val="center"/>
          </w:tcPr>
          <w:p w14:paraId="69FEFFA4">
            <w:pPr>
              <w:jc w:val="center"/>
              <w:rPr>
                <w:rFonts w:ascii="宋体" w:hAnsi="宋体" w:cs="宋体"/>
                <w:sz w:val="24"/>
              </w:rPr>
            </w:pPr>
            <w:r>
              <w:rPr>
                <w:rFonts w:hint="eastAsia" w:ascii="宋体" w:hAnsi="宋体"/>
                <w:sz w:val="24"/>
              </w:rPr>
              <w:t>其他人员</w:t>
            </w:r>
          </w:p>
        </w:tc>
        <w:tc>
          <w:tcPr>
            <w:tcW w:w="1080" w:type="dxa"/>
            <w:tcBorders>
              <w:top w:val="nil"/>
              <w:left w:val="nil"/>
              <w:bottom w:val="single" w:color="auto" w:sz="4" w:space="0"/>
              <w:right w:val="single" w:color="auto" w:sz="4" w:space="0"/>
            </w:tcBorders>
            <w:noWrap w:val="0"/>
            <w:vAlign w:val="center"/>
          </w:tcPr>
          <w:p w14:paraId="3309D1B1">
            <w:pPr>
              <w:jc w:val="center"/>
              <w:rPr>
                <w:rFonts w:ascii="宋体" w:hAnsi="宋体"/>
                <w:sz w:val="24"/>
              </w:rPr>
            </w:pPr>
            <w:r>
              <w:rPr>
                <w:rFonts w:ascii="宋体" w:hAnsi="宋体"/>
                <w:sz w:val="24"/>
              </w:rPr>
              <w:t>5</w:t>
            </w:r>
          </w:p>
        </w:tc>
        <w:tc>
          <w:tcPr>
            <w:tcW w:w="1080" w:type="dxa"/>
            <w:tcBorders>
              <w:top w:val="nil"/>
              <w:left w:val="nil"/>
              <w:bottom w:val="single" w:color="auto" w:sz="4" w:space="0"/>
              <w:right w:val="single" w:color="auto" w:sz="4" w:space="0"/>
            </w:tcBorders>
            <w:noWrap w:val="0"/>
            <w:vAlign w:val="center"/>
          </w:tcPr>
          <w:p w14:paraId="11347FB4">
            <w:pPr>
              <w:jc w:val="center"/>
              <w:rPr>
                <w:rFonts w:ascii="宋体" w:hAnsi="宋体"/>
                <w:sz w:val="24"/>
              </w:rPr>
            </w:pPr>
            <w:r>
              <w:rPr>
                <w:rFonts w:ascii="宋体" w:hAnsi="宋体"/>
                <w:sz w:val="24"/>
              </w:rPr>
              <w:t>3</w:t>
            </w:r>
          </w:p>
        </w:tc>
        <w:tc>
          <w:tcPr>
            <w:tcW w:w="1080" w:type="dxa"/>
            <w:tcBorders>
              <w:top w:val="nil"/>
              <w:left w:val="nil"/>
              <w:bottom w:val="single" w:color="auto" w:sz="4" w:space="0"/>
              <w:right w:val="single" w:color="auto" w:sz="4" w:space="0"/>
            </w:tcBorders>
            <w:noWrap w:val="0"/>
            <w:vAlign w:val="center"/>
          </w:tcPr>
          <w:p w14:paraId="4DC965D2">
            <w:pPr>
              <w:jc w:val="center"/>
              <w:rPr>
                <w:rFonts w:ascii="宋体" w:hAnsi="宋体"/>
                <w:sz w:val="24"/>
              </w:rPr>
            </w:pPr>
            <w:r>
              <w:rPr>
                <w:rFonts w:ascii="宋体" w:hAnsi="宋体"/>
                <w:sz w:val="24"/>
              </w:rPr>
              <w:t>3</w:t>
            </w:r>
          </w:p>
        </w:tc>
        <w:tc>
          <w:tcPr>
            <w:tcW w:w="781" w:type="dxa"/>
            <w:tcBorders>
              <w:top w:val="nil"/>
              <w:left w:val="nil"/>
              <w:bottom w:val="single" w:color="auto" w:sz="4" w:space="0"/>
              <w:right w:val="single" w:color="auto" w:sz="4" w:space="0"/>
            </w:tcBorders>
            <w:noWrap w:val="0"/>
            <w:vAlign w:val="center"/>
          </w:tcPr>
          <w:p w14:paraId="3F19035A">
            <w:pPr>
              <w:jc w:val="center"/>
              <w:rPr>
                <w:rFonts w:ascii="宋体" w:hAnsi="宋体"/>
                <w:sz w:val="24"/>
              </w:rPr>
            </w:pPr>
            <w:r>
              <w:rPr>
                <w:rFonts w:ascii="宋体" w:hAnsi="宋体"/>
                <w:sz w:val="24"/>
              </w:rPr>
              <w:t>3</w:t>
            </w:r>
          </w:p>
        </w:tc>
        <w:tc>
          <w:tcPr>
            <w:tcW w:w="840" w:type="dxa"/>
            <w:tcBorders>
              <w:top w:val="nil"/>
              <w:left w:val="nil"/>
              <w:bottom w:val="single" w:color="auto" w:sz="4" w:space="0"/>
              <w:right w:val="single" w:color="auto" w:sz="4" w:space="0"/>
            </w:tcBorders>
            <w:noWrap w:val="0"/>
            <w:vAlign w:val="center"/>
          </w:tcPr>
          <w:p w14:paraId="607AC578">
            <w:pPr>
              <w:jc w:val="center"/>
              <w:rPr>
                <w:rFonts w:ascii="宋体" w:hAnsi="宋体" w:cs="宋体"/>
                <w:sz w:val="24"/>
              </w:rPr>
            </w:pPr>
            <w:r>
              <w:rPr>
                <w:rFonts w:hint="eastAsia" w:ascii="宋体" w:hAnsi="宋体"/>
                <w:sz w:val="24"/>
              </w:rPr>
              <w:t>14</w:t>
            </w:r>
          </w:p>
        </w:tc>
        <w:tc>
          <w:tcPr>
            <w:tcW w:w="914" w:type="dxa"/>
            <w:tcBorders>
              <w:top w:val="nil"/>
              <w:left w:val="nil"/>
              <w:bottom w:val="single" w:color="auto" w:sz="4" w:space="0"/>
              <w:right w:val="single" w:color="auto" w:sz="4" w:space="0"/>
            </w:tcBorders>
            <w:noWrap w:val="0"/>
            <w:vAlign w:val="center"/>
          </w:tcPr>
          <w:p w14:paraId="0CD32B9A">
            <w:pPr>
              <w:jc w:val="center"/>
              <w:rPr>
                <w:rFonts w:ascii="宋体" w:hAnsi="宋体" w:cs="宋体"/>
                <w:sz w:val="24"/>
              </w:rPr>
            </w:pPr>
          </w:p>
        </w:tc>
        <w:tc>
          <w:tcPr>
            <w:tcW w:w="1122" w:type="dxa"/>
            <w:tcBorders>
              <w:top w:val="nil"/>
              <w:left w:val="nil"/>
              <w:bottom w:val="single" w:color="auto" w:sz="4" w:space="0"/>
              <w:right w:val="single" w:color="auto" w:sz="4" w:space="0"/>
            </w:tcBorders>
            <w:noWrap w:val="0"/>
            <w:vAlign w:val="center"/>
          </w:tcPr>
          <w:p w14:paraId="744F39AB">
            <w:pPr>
              <w:jc w:val="center"/>
              <w:rPr>
                <w:rFonts w:ascii="宋体" w:hAnsi="宋体" w:cs="宋体"/>
                <w:sz w:val="24"/>
              </w:rPr>
            </w:pPr>
            <w:r>
              <w:rPr>
                <w:rFonts w:hint="eastAsia" w:ascii="宋体" w:hAnsi="宋体"/>
                <w:sz w:val="24"/>
              </w:rPr>
              <w:t>14</w:t>
            </w:r>
          </w:p>
        </w:tc>
      </w:tr>
      <w:tr w14:paraId="17C78BDD">
        <w:tblPrEx>
          <w:tblCellMar>
            <w:top w:w="0" w:type="dxa"/>
            <w:left w:w="0" w:type="dxa"/>
            <w:bottom w:w="0" w:type="dxa"/>
            <w:right w:w="0" w:type="dxa"/>
          </w:tblCellMar>
        </w:tblPrEx>
        <w:trPr>
          <w:wBefore w:w="0" w:type="dxa"/>
          <w:wAfter w:w="0" w:type="dxa"/>
          <w:trHeight w:val="425" w:hRule="atLeast"/>
          <w:jc w:val="center"/>
        </w:trPr>
        <w:tc>
          <w:tcPr>
            <w:tcW w:w="2129" w:type="dxa"/>
            <w:gridSpan w:val="2"/>
            <w:tcBorders>
              <w:top w:val="single" w:color="auto" w:sz="4" w:space="0"/>
              <w:left w:val="single" w:color="auto" w:sz="4" w:space="0"/>
              <w:bottom w:val="single" w:color="auto" w:sz="4" w:space="0"/>
              <w:right w:val="single" w:color="auto" w:sz="4" w:space="0"/>
            </w:tcBorders>
            <w:noWrap w:val="0"/>
            <w:vAlign w:val="center"/>
          </w:tcPr>
          <w:p w14:paraId="14EDA424">
            <w:pPr>
              <w:jc w:val="center"/>
              <w:rPr>
                <w:rFonts w:ascii="宋体" w:hAnsi="宋体" w:cs="宋体"/>
                <w:sz w:val="24"/>
              </w:rPr>
            </w:pPr>
            <w:r>
              <w:rPr>
                <w:rFonts w:hint="eastAsia" w:ascii="宋体" w:hAnsi="宋体"/>
                <w:sz w:val="24"/>
              </w:rPr>
              <w:t>全矿定员合计</w:t>
            </w:r>
          </w:p>
        </w:tc>
        <w:tc>
          <w:tcPr>
            <w:tcW w:w="1080" w:type="dxa"/>
            <w:tcBorders>
              <w:top w:val="nil"/>
              <w:left w:val="nil"/>
              <w:bottom w:val="single" w:color="auto" w:sz="4" w:space="0"/>
              <w:right w:val="single" w:color="auto" w:sz="4" w:space="0"/>
            </w:tcBorders>
            <w:noWrap w:val="0"/>
            <w:vAlign w:val="center"/>
          </w:tcPr>
          <w:p w14:paraId="5F305B7B">
            <w:pPr>
              <w:jc w:val="center"/>
              <w:rPr>
                <w:rFonts w:hint="eastAsia" w:ascii="宋体" w:hAnsi="宋体"/>
                <w:sz w:val="24"/>
              </w:rPr>
            </w:pPr>
            <w:r>
              <w:rPr>
                <w:rFonts w:hint="eastAsia" w:ascii="宋体" w:hAnsi="宋体"/>
                <w:sz w:val="24"/>
              </w:rPr>
              <w:t>79</w:t>
            </w:r>
          </w:p>
        </w:tc>
        <w:tc>
          <w:tcPr>
            <w:tcW w:w="1080" w:type="dxa"/>
            <w:tcBorders>
              <w:top w:val="nil"/>
              <w:left w:val="nil"/>
              <w:bottom w:val="single" w:color="auto" w:sz="4" w:space="0"/>
              <w:right w:val="single" w:color="auto" w:sz="4" w:space="0"/>
            </w:tcBorders>
            <w:noWrap w:val="0"/>
            <w:vAlign w:val="center"/>
          </w:tcPr>
          <w:p w14:paraId="285755DC">
            <w:pPr>
              <w:jc w:val="center"/>
              <w:rPr>
                <w:rFonts w:hint="eastAsia" w:ascii="宋体" w:hAnsi="宋体"/>
                <w:sz w:val="24"/>
              </w:rPr>
            </w:pPr>
            <w:r>
              <w:rPr>
                <w:rFonts w:hint="eastAsia" w:ascii="宋体" w:hAnsi="宋体"/>
                <w:sz w:val="24"/>
              </w:rPr>
              <w:t>68</w:t>
            </w:r>
          </w:p>
        </w:tc>
        <w:tc>
          <w:tcPr>
            <w:tcW w:w="1080" w:type="dxa"/>
            <w:tcBorders>
              <w:top w:val="nil"/>
              <w:left w:val="nil"/>
              <w:bottom w:val="single" w:color="auto" w:sz="4" w:space="0"/>
              <w:right w:val="single" w:color="auto" w:sz="4" w:space="0"/>
            </w:tcBorders>
            <w:noWrap w:val="0"/>
            <w:vAlign w:val="center"/>
          </w:tcPr>
          <w:p w14:paraId="7A272EEB">
            <w:pPr>
              <w:jc w:val="center"/>
              <w:rPr>
                <w:rFonts w:hint="eastAsia" w:ascii="宋体" w:hAnsi="宋体"/>
                <w:sz w:val="24"/>
              </w:rPr>
            </w:pPr>
            <w:r>
              <w:rPr>
                <w:rFonts w:hint="eastAsia" w:ascii="宋体" w:hAnsi="宋体"/>
                <w:sz w:val="24"/>
              </w:rPr>
              <w:t>68</w:t>
            </w:r>
          </w:p>
        </w:tc>
        <w:tc>
          <w:tcPr>
            <w:tcW w:w="781" w:type="dxa"/>
            <w:tcBorders>
              <w:top w:val="nil"/>
              <w:left w:val="nil"/>
              <w:bottom w:val="single" w:color="auto" w:sz="4" w:space="0"/>
              <w:right w:val="single" w:color="auto" w:sz="4" w:space="0"/>
            </w:tcBorders>
            <w:noWrap w:val="0"/>
            <w:vAlign w:val="center"/>
          </w:tcPr>
          <w:p w14:paraId="35AFFA22">
            <w:pPr>
              <w:jc w:val="center"/>
              <w:rPr>
                <w:rFonts w:ascii="宋体" w:hAnsi="宋体"/>
                <w:sz w:val="24"/>
              </w:rPr>
            </w:pPr>
            <w:r>
              <w:rPr>
                <w:rFonts w:ascii="宋体" w:hAnsi="宋体"/>
                <w:sz w:val="24"/>
              </w:rPr>
              <w:t>41</w:t>
            </w:r>
          </w:p>
        </w:tc>
        <w:tc>
          <w:tcPr>
            <w:tcW w:w="840" w:type="dxa"/>
            <w:tcBorders>
              <w:top w:val="nil"/>
              <w:left w:val="nil"/>
              <w:bottom w:val="single" w:color="auto" w:sz="4" w:space="0"/>
              <w:right w:val="single" w:color="auto" w:sz="4" w:space="0"/>
            </w:tcBorders>
            <w:noWrap w:val="0"/>
            <w:vAlign w:val="center"/>
          </w:tcPr>
          <w:p w14:paraId="03F82B09">
            <w:pPr>
              <w:jc w:val="center"/>
              <w:rPr>
                <w:rFonts w:ascii="宋体" w:hAnsi="宋体" w:cs="宋体"/>
                <w:sz w:val="24"/>
              </w:rPr>
            </w:pPr>
            <w:r>
              <w:rPr>
                <w:rFonts w:hint="eastAsia" w:ascii="宋体" w:hAnsi="宋体"/>
                <w:sz w:val="24"/>
              </w:rPr>
              <w:t>256</w:t>
            </w:r>
          </w:p>
        </w:tc>
        <w:tc>
          <w:tcPr>
            <w:tcW w:w="914" w:type="dxa"/>
            <w:tcBorders>
              <w:top w:val="nil"/>
              <w:left w:val="nil"/>
              <w:bottom w:val="single" w:color="auto" w:sz="4" w:space="0"/>
              <w:right w:val="single" w:color="auto" w:sz="4" w:space="0"/>
            </w:tcBorders>
            <w:noWrap w:val="0"/>
            <w:vAlign w:val="center"/>
          </w:tcPr>
          <w:p w14:paraId="4373F3C4">
            <w:pPr>
              <w:jc w:val="center"/>
              <w:rPr>
                <w:rFonts w:ascii="宋体" w:hAnsi="宋体" w:cs="宋体"/>
                <w:sz w:val="24"/>
              </w:rPr>
            </w:pPr>
          </w:p>
        </w:tc>
        <w:tc>
          <w:tcPr>
            <w:tcW w:w="1122" w:type="dxa"/>
            <w:tcBorders>
              <w:top w:val="nil"/>
              <w:left w:val="nil"/>
              <w:bottom w:val="single" w:color="auto" w:sz="4" w:space="0"/>
              <w:right w:val="single" w:color="auto" w:sz="4" w:space="0"/>
            </w:tcBorders>
            <w:noWrap w:val="0"/>
            <w:vAlign w:val="center"/>
          </w:tcPr>
          <w:p w14:paraId="4AC6E67C">
            <w:pPr>
              <w:jc w:val="center"/>
              <w:rPr>
                <w:rFonts w:ascii="宋体" w:hAnsi="宋体" w:cs="宋体"/>
                <w:sz w:val="24"/>
              </w:rPr>
            </w:pPr>
            <w:r>
              <w:rPr>
                <w:rFonts w:hint="eastAsia" w:ascii="宋体" w:hAnsi="宋体"/>
                <w:sz w:val="24"/>
              </w:rPr>
              <w:t>352</w:t>
            </w:r>
          </w:p>
        </w:tc>
      </w:tr>
    </w:tbl>
    <w:p w14:paraId="0302C35C">
      <w:pPr>
        <w:tabs>
          <w:tab w:val="left" w:pos="3375"/>
        </w:tabs>
        <w:spacing w:line="500" w:lineRule="exact"/>
        <w:ind w:firstLine="480" w:firstLineChars="200"/>
        <w:textAlignment w:val="bottom"/>
        <w:rPr>
          <w:rFonts w:hint="eastAsia" w:ascii="宋体" w:hAnsi="宋体"/>
          <w:bCs/>
          <w:sz w:val="24"/>
        </w:rPr>
      </w:pPr>
      <w:r>
        <w:rPr>
          <w:rFonts w:hint="eastAsia" w:ascii="宋体" w:hAnsi="宋体"/>
          <w:bCs/>
          <w:sz w:val="24"/>
        </w:rPr>
        <w:t>（3）全员效率</w:t>
      </w:r>
    </w:p>
    <w:p w14:paraId="05EAF027">
      <w:pPr>
        <w:tabs>
          <w:tab w:val="left" w:pos="3375"/>
        </w:tabs>
        <w:spacing w:line="500" w:lineRule="exact"/>
        <w:ind w:firstLine="480" w:firstLineChars="200"/>
        <w:textAlignment w:val="bottom"/>
        <w:rPr>
          <w:rFonts w:ascii="宋体" w:hAnsi="宋体"/>
          <w:bCs/>
          <w:sz w:val="24"/>
        </w:rPr>
      </w:pPr>
      <w:r>
        <w:rPr>
          <w:rFonts w:hint="eastAsia" w:ascii="宋体" w:hAnsi="宋体"/>
          <w:bCs/>
          <w:sz w:val="24"/>
        </w:rPr>
        <w:t>根据矿井劳动定员配备计算结果，按照矿井年设计生产能力</w:t>
      </w:r>
      <w:r>
        <w:rPr>
          <w:rFonts w:ascii="宋体" w:hAnsi="宋体"/>
          <w:bCs/>
          <w:sz w:val="24"/>
        </w:rPr>
        <w:t>30</w:t>
      </w:r>
      <w:r>
        <w:rPr>
          <w:rFonts w:hint="eastAsia" w:ascii="宋体" w:hAnsi="宋体"/>
          <w:bCs/>
          <w:sz w:val="24"/>
        </w:rPr>
        <w:t>万吨</w:t>
      </w:r>
      <w:r>
        <w:rPr>
          <w:rFonts w:ascii="宋体" w:hAnsi="宋体"/>
          <w:bCs/>
          <w:sz w:val="24"/>
        </w:rPr>
        <w:t>/</w:t>
      </w:r>
      <w:r>
        <w:rPr>
          <w:rFonts w:hint="eastAsia" w:ascii="宋体" w:hAnsi="宋体"/>
          <w:bCs/>
          <w:sz w:val="24"/>
        </w:rPr>
        <w:t>年，计算全员效率的矿井计效原煤生产人员出勤人数233人，年工作日</w:t>
      </w:r>
      <w:r>
        <w:rPr>
          <w:rFonts w:ascii="宋体" w:hAnsi="宋体"/>
          <w:bCs/>
          <w:sz w:val="24"/>
        </w:rPr>
        <w:t>330</w:t>
      </w:r>
      <w:r>
        <w:rPr>
          <w:rFonts w:hint="eastAsia" w:ascii="宋体" w:hAnsi="宋体"/>
          <w:bCs/>
          <w:sz w:val="24"/>
        </w:rPr>
        <w:t>天。</w:t>
      </w:r>
    </w:p>
    <w:p w14:paraId="721C9A9B">
      <w:pPr>
        <w:tabs>
          <w:tab w:val="left" w:pos="3375"/>
        </w:tabs>
        <w:spacing w:line="500" w:lineRule="exact"/>
        <w:ind w:firstLine="480" w:firstLineChars="200"/>
        <w:textAlignment w:val="bottom"/>
        <w:rPr>
          <w:rFonts w:hint="eastAsia" w:ascii="宋体" w:hAnsi="宋体"/>
          <w:bCs/>
          <w:sz w:val="24"/>
        </w:rPr>
      </w:pPr>
      <w:r>
        <w:rPr>
          <w:rFonts w:hint="eastAsia" w:ascii="宋体" w:hAnsi="宋体"/>
          <w:bCs/>
          <w:sz w:val="24"/>
        </w:rPr>
        <w:t>按此计算矿井原煤生产人员效率（全员效率）为：</w:t>
      </w:r>
    </w:p>
    <w:tbl>
      <w:tblPr>
        <w:tblStyle w:val="62"/>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00"/>
        <w:gridCol w:w="720"/>
        <w:gridCol w:w="1624"/>
        <w:gridCol w:w="1491"/>
      </w:tblGrid>
      <w:tr w14:paraId="30B8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10" w:hRule="atLeast"/>
        </w:trPr>
        <w:tc>
          <w:tcPr>
            <w:tcW w:w="1980" w:type="dxa"/>
            <w:vMerge w:val="restart"/>
            <w:tcBorders>
              <w:top w:val="nil"/>
              <w:left w:val="nil"/>
              <w:bottom w:val="nil"/>
              <w:right w:val="nil"/>
            </w:tcBorders>
            <w:noWrap w:val="0"/>
            <w:vAlign w:val="center"/>
          </w:tcPr>
          <w:p w14:paraId="22BFF43C">
            <w:pPr>
              <w:tabs>
                <w:tab w:val="left" w:pos="3375"/>
              </w:tabs>
              <w:textAlignment w:val="bottom"/>
              <w:rPr>
                <w:rFonts w:ascii="宋体" w:hAnsi="宋体"/>
                <w:bCs/>
                <w:sz w:val="24"/>
              </w:rPr>
            </w:pPr>
            <w:r>
              <w:rPr>
                <w:rFonts w:hint="eastAsia" w:ascii="宋体" w:hAnsi="宋体"/>
                <w:bCs/>
                <w:sz w:val="24"/>
              </w:rPr>
              <w:t>矿井全员效率＝</w:t>
            </w:r>
          </w:p>
        </w:tc>
        <w:tc>
          <w:tcPr>
            <w:tcW w:w="1800" w:type="dxa"/>
            <w:tcBorders>
              <w:top w:val="nil"/>
              <w:left w:val="nil"/>
              <w:bottom w:val="single" w:color="auto" w:sz="4" w:space="0"/>
              <w:right w:val="nil"/>
            </w:tcBorders>
            <w:noWrap w:val="0"/>
            <w:vAlign w:val="center"/>
          </w:tcPr>
          <w:p w14:paraId="7D19D7EF">
            <w:pPr>
              <w:tabs>
                <w:tab w:val="left" w:pos="3375"/>
              </w:tabs>
              <w:ind w:firstLine="120" w:firstLineChars="50"/>
              <w:textAlignment w:val="bottom"/>
              <w:rPr>
                <w:rFonts w:ascii="宋体" w:hAnsi="宋体"/>
                <w:bCs/>
                <w:sz w:val="24"/>
              </w:rPr>
            </w:pPr>
            <w:r>
              <w:rPr>
                <w:rFonts w:hint="eastAsia" w:ascii="宋体" w:hAnsi="宋体"/>
                <w:bCs/>
                <w:sz w:val="24"/>
              </w:rPr>
              <w:t>设计日产量</w:t>
            </w:r>
          </w:p>
        </w:tc>
        <w:tc>
          <w:tcPr>
            <w:tcW w:w="720" w:type="dxa"/>
            <w:vMerge w:val="restart"/>
            <w:tcBorders>
              <w:top w:val="nil"/>
              <w:left w:val="nil"/>
              <w:right w:val="nil"/>
            </w:tcBorders>
            <w:noWrap w:val="0"/>
            <w:vAlign w:val="center"/>
          </w:tcPr>
          <w:p w14:paraId="332B2EE2">
            <w:pPr>
              <w:tabs>
                <w:tab w:val="left" w:pos="1460"/>
              </w:tabs>
              <w:jc w:val="center"/>
              <w:textAlignment w:val="bottom"/>
              <w:rPr>
                <w:rFonts w:ascii="宋体" w:hAnsi="宋体"/>
                <w:bCs/>
                <w:sz w:val="28"/>
                <w:szCs w:val="28"/>
              </w:rPr>
            </w:pPr>
            <w:r>
              <w:rPr>
                <w:rFonts w:hint="eastAsia" w:ascii="宋体" w:hAnsi="宋体"/>
                <w:bCs/>
                <w:sz w:val="24"/>
              </w:rPr>
              <w:t>＝</w:t>
            </w:r>
          </w:p>
        </w:tc>
        <w:tc>
          <w:tcPr>
            <w:tcW w:w="1624" w:type="dxa"/>
            <w:tcBorders>
              <w:top w:val="nil"/>
              <w:left w:val="nil"/>
              <w:bottom w:val="single" w:color="auto" w:sz="4" w:space="0"/>
              <w:right w:val="nil"/>
            </w:tcBorders>
            <w:noWrap w:val="0"/>
            <w:vAlign w:val="center"/>
          </w:tcPr>
          <w:p w14:paraId="2116C245">
            <w:pPr>
              <w:tabs>
                <w:tab w:val="left" w:pos="3375"/>
              </w:tabs>
              <w:textAlignment w:val="bottom"/>
              <w:rPr>
                <w:rFonts w:ascii="宋体" w:hAnsi="宋体"/>
                <w:bCs/>
                <w:sz w:val="24"/>
              </w:rPr>
            </w:pPr>
            <w:r>
              <w:rPr>
                <w:rFonts w:ascii="宋体" w:hAnsi="宋体"/>
                <w:bCs/>
                <w:sz w:val="24"/>
              </w:rPr>
              <w:t>300000/330</w:t>
            </w:r>
          </w:p>
        </w:tc>
        <w:tc>
          <w:tcPr>
            <w:tcW w:w="1491" w:type="dxa"/>
            <w:vMerge w:val="restart"/>
            <w:tcBorders>
              <w:top w:val="nil"/>
              <w:left w:val="nil"/>
              <w:bottom w:val="nil"/>
              <w:right w:val="nil"/>
            </w:tcBorders>
            <w:noWrap w:val="0"/>
            <w:vAlign w:val="center"/>
          </w:tcPr>
          <w:p w14:paraId="2A75D641">
            <w:pPr>
              <w:tabs>
                <w:tab w:val="left" w:pos="3375"/>
              </w:tabs>
              <w:textAlignment w:val="bottom"/>
              <w:rPr>
                <w:rFonts w:ascii="宋体" w:hAnsi="宋体"/>
                <w:bCs/>
                <w:sz w:val="24"/>
              </w:rPr>
            </w:pPr>
            <w:r>
              <w:rPr>
                <w:rFonts w:hint="eastAsia" w:ascii="宋体" w:hAnsi="宋体"/>
                <w:bCs/>
                <w:sz w:val="24"/>
              </w:rPr>
              <w:t>＝4</w:t>
            </w:r>
            <w:r>
              <w:rPr>
                <w:rFonts w:ascii="宋体" w:hAnsi="宋体"/>
                <w:bCs/>
                <w:sz w:val="24"/>
              </w:rPr>
              <w:t>.</w:t>
            </w:r>
            <w:r>
              <w:rPr>
                <w:rFonts w:hint="eastAsia" w:ascii="宋体" w:hAnsi="宋体"/>
                <w:bCs/>
                <w:sz w:val="24"/>
              </w:rPr>
              <w:t>0</w:t>
            </w:r>
            <w:r>
              <w:rPr>
                <w:rFonts w:ascii="宋体" w:hAnsi="宋体"/>
                <w:bCs/>
                <w:sz w:val="24"/>
              </w:rPr>
              <w:t>8t/</w:t>
            </w:r>
            <w:r>
              <w:rPr>
                <w:rFonts w:hint="eastAsia" w:ascii="宋体" w:hAnsi="宋体"/>
                <w:bCs/>
                <w:sz w:val="24"/>
              </w:rPr>
              <w:t>工</w:t>
            </w:r>
          </w:p>
        </w:tc>
      </w:tr>
      <w:tr w14:paraId="7DD4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10" w:hRule="atLeast"/>
        </w:trPr>
        <w:tc>
          <w:tcPr>
            <w:tcW w:w="1980" w:type="dxa"/>
            <w:vMerge w:val="continue"/>
            <w:tcBorders>
              <w:top w:val="nil"/>
              <w:left w:val="nil"/>
              <w:bottom w:val="nil"/>
              <w:right w:val="nil"/>
            </w:tcBorders>
            <w:noWrap w:val="0"/>
            <w:vAlign w:val="center"/>
          </w:tcPr>
          <w:p w14:paraId="327F6E12">
            <w:pPr>
              <w:widowControl/>
              <w:jc w:val="left"/>
              <w:rPr>
                <w:rFonts w:ascii="宋体" w:hAnsi="宋体"/>
                <w:bCs/>
                <w:sz w:val="24"/>
              </w:rPr>
            </w:pPr>
          </w:p>
        </w:tc>
        <w:tc>
          <w:tcPr>
            <w:tcW w:w="1800" w:type="dxa"/>
            <w:tcBorders>
              <w:top w:val="single" w:color="auto" w:sz="4" w:space="0"/>
              <w:left w:val="nil"/>
              <w:bottom w:val="nil"/>
              <w:right w:val="nil"/>
            </w:tcBorders>
            <w:noWrap w:val="0"/>
            <w:vAlign w:val="center"/>
          </w:tcPr>
          <w:p w14:paraId="215CC372">
            <w:pPr>
              <w:tabs>
                <w:tab w:val="left" w:pos="3375"/>
              </w:tabs>
              <w:textAlignment w:val="bottom"/>
              <w:rPr>
                <w:rFonts w:ascii="宋体" w:hAnsi="宋体"/>
                <w:bCs/>
                <w:sz w:val="24"/>
              </w:rPr>
            </w:pPr>
            <w:r>
              <w:rPr>
                <w:rFonts w:hint="eastAsia" w:ascii="宋体" w:hAnsi="宋体"/>
                <w:bCs/>
                <w:sz w:val="24"/>
              </w:rPr>
              <w:t>原煤生产人员</w:t>
            </w:r>
          </w:p>
        </w:tc>
        <w:tc>
          <w:tcPr>
            <w:tcW w:w="720" w:type="dxa"/>
            <w:vMerge w:val="continue"/>
            <w:tcBorders>
              <w:left w:val="nil"/>
              <w:bottom w:val="nil"/>
              <w:right w:val="nil"/>
            </w:tcBorders>
            <w:noWrap w:val="0"/>
            <w:vAlign w:val="center"/>
          </w:tcPr>
          <w:p w14:paraId="43F16CD6">
            <w:pPr>
              <w:widowControl/>
              <w:jc w:val="left"/>
              <w:rPr>
                <w:rFonts w:ascii="宋体" w:hAnsi="宋体"/>
                <w:bCs/>
                <w:sz w:val="28"/>
                <w:szCs w:val="28"/>
              </w:rPr>
            </w:pPr>
          </w:p>
        </w:tc>
        <w:tc>
          <w:tcPr>
            <w:tcW w:w="1624" w:type="dxa"/>
            <w:tcBorders>
              <w:top w:val="single" w:color="auto" w:sz="4" w:space="0"/>
              <w:left w:val="nil"/>
              <w:bottom w:val="nil"/>
              <w:right w:val="nil"/>
            </w:tcBorders>
            <w:noWrap w:val="0"/>
            <w:vAlign w:val="center"/>
          </w:tcPr>
          <w:p w14:paraId="433D8B96">
            <w:pPr>
              <w:tabs>
                <w:tab w:val="left" w:pos="3375"/>
              </w:tabs>
              <w:ind w:firstLine="480" w:firstLineChars="200"/>
              <w:textAlignment w:val="bottom"/>
              <w:rPr>
                <w:rFonts w:hint="eastAsia" w:ascii="宋体" w:hAnsi="宋体"/>
                <w:bCs/>
                <w:sz w:val="24"/>
              </w:rPr>
            </w:pPr>
            <w:r>
              <w:rPr>
                <w:rFonts w:hint="eastAsia" w:ascii="宋体" w:hAnsi="宋体"/>
                <w:bCs/>
                <w:sz w:val="24"/>
              </w:rPr>
              <w:t>223</w:t>
            </w:r>
          </w:p>
        </w:tc>
        <w:tc>
          <w:tcPr>
            <w:tcW w:w="1491" w:type="dxa"/>
            <w:vMerge w:val="continue"/>
            <w:tcBorders>
              <w:top w:val="nil"/>
              <w:left w:val="nil"/>
              <w:bottom w:val="nil"/>
              <w:right w:val="nil"/>
            </w:tcBorders>
            <w:noWrap w:val="0"/>
            <w:vAlign w:val="center"/>
          </w:tcPr>
          <w:p w14:paraId="1EDD86B5">
            <w:pPr>
              <w:widowControl/>
              <w:jc w:val="left"/>
              <w:rPr>
                <w:rFonts w:ascii="宋体" w:hAnsi="宋体"/>
                <w:bCs/>
                <w:sz w:val="24"/>
              </w:rPr>
            </w:pPr>
          </w:p>
        </w:tc>
      </w:tr>
    </w:tbl>
    <w:p w14:paraId="48182F06">
      <w:pPr>
        <w:tabs>
          <w:tab w:val="left" w:pos="3375"/>
        </w:tabs>
        <w:spacing w:line="500" w:lineRule="exact"/>
        <w:ind w:firstLine="480" w:firstLineChars="200"/>
        <w:textAlignment w:val="bottom"/>
        <w:rPr>
          <w:rFonts w:hint="eastAsia" w:ascii="宋体" w:hAnsi="宋体"/>
          <w:bCs/>
          <w:sz w:val="24"/>
        </w:rPr>
      </w:pPr>
      <w:r>
        <w:rPr>
          <w:rFonts w:hint="eastAsia" w:ascii="宋体" w:hAnsi="宋体"/>
          <w:bCs/>
          <w:sz w:val="24"/>
        </w:rPr>
        <w:t>从以上劳动定员配备估算结果来看，全矿井职工在藉总人数352人，按照矿井设计机械化设备配备程度，与类似矿井劳动定员相比，该矿井劳动定员配备是合适的。</w:t>
      </w:r>
    </w:p>
    <w:p w14:paraId="7D6AC7D6">
      <w:pPr>
        <w:pStyle w:val="3"/>
        <w:keepLines/>
        <w:spacing w:before="240" w:after="240" w:line="360" w:lineRule="auto"/>
        <w:ind w:firstLine="0" w:firstLineChars="0"/>
        <w:jc w:val="center"/>
        <w:rPr>
          <w:b/>
          <w:color w:val="000000"/>
          <w:sz w:val="32"/>
          <w:szCs w:val="32"/>
        </w:rPr>
      </w:pPr>
      <w:bookmarkStart w:id="913" w:name="_Toc260915298"/>
      <w:bookmarkStart w:id="914" w:name="_Toc534625386"/>
      <w:r>
        <w:rPr>
          <w:rFonts w:hint="eastAsia"/>
          <w:b/>
          <w:color w:val="000000"/>
          <w:sz w:val="32"/>
          <w:szCs w:val="32"/>
        </w:rPr>
        <w:t>第二节　　投资估算及资金筹措</w:t>
      </w:r>
      <w:bookmarkEnd w:id="913"/>
      <w:bookmarkEnd w:id="914"/>
    </w:p>
    <w:p w14:paraId="68279B18">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一、投资估算</w:t>
      </w:r>
    </w:p>
    <w:p w14:paraId="1AF87CA4">
      <w:pPr>
        <w:spacing w:line="360" w:lineRule="auto"/>
        <w:ind w:firstLine="480" w:firstLineChars="200"/>
        <w:rPr>
          <w:rFonts w:hint="eastAsia" w:ascii="宋体" w:hAnsi="宋体"/>
          <w:sz w:val="24"/>
        </w:rPr>
      </w:pPr>
      <w:r>
        <w:rPr>
          <w:rFonts w:hint="eastAsia" w:ascii="宋体" w:hAnsi="宋体"/>
          <w:sz w:val="24"/>
        </w:rPr>
        <w:t>投资估算范围：包括矿井达到设计生产能力时所需的井巷工程费、土建工程费、设备及工器具购置费、安装工程费、工程建设其他费用、工程建设基本预备费和流动资金。</w:t>
      </w:r>
    </w:p>
    <w:p w14:paraId="4D308CE4">
      <w:pPr>
        <w:spacing w:line="360" w:lineRule="auto"/>
        <w:ind w:firstLine="480" w:firstLineChars="200"/>
        <w:rPr>
          <w:rFonts w:hint="eastAsia" w:ascii="宋体" w:hAnsi="宋体"/>
          <w:sz w:val="24"/>
        </w:rPr>
      </w:pPr>
      <w:r>
        <w:rPr>
          <w:rFonts w:hint="eastAsia" w:ascii="宋体" w:hAnsi="宋体"/>
          <w:sz w:val="24"/>
        </w:rPr>
        <w:t>1、固定资产投资估算</w:t>
      </w:r>
    </w:p>
    <w:p w14:paraId="56E8B022">
      <w:pPr>
        <w:spacing w:line="360" w:lineRule="auto"/>
        <w:ind w:firstLine="480" w:firstLineChars="200"/>
        <w:rPr>
          <w:rFonts w:hint="eastAsia" w:ascii="宋体" w:hAnsi="宋体"/>
          <w:sz w:val="24"/>
        </w:rPr>
      </w:pPr>
      <w:r>
        <w:rPr>
          <w:rFonts w:hint="eastAsia" w:ascii="宋体" w:hAnsi="宋体"/>
          <w:sz w:val="24"/>
        </w:rPr>
        <w:t>（1）估算原则及依据</w:t>
      </w:r>
    </w:p>
    <w:p w14:paraId="19E576BC">
      <w:pPr>
        <w:spacing w:line="360" w:lineRule="auto"/>
        <w:ind w:firstLine="480" w:firstLineChars="200"/>
        <w:rPr>
          <w:rFonts w:hint="eastAsia" w:ascii="宋体" w:hAnsi="宋体"/>
          <w:sz w:val="24"/>
        </w:rPr>
      </w:pPr>
      <w:r>
        <w:rPr>
          <w:rFonts w:hint="eastAsia" w:ascii="宋体" w:hAnsi="宋体"/>
          <w:sz w:val="24"/>
        </w:rPr>
        <w:t>原则上按照现行煤炭工程造价标准及有关文件规定，根据矿井设计年生产能力、矿井开拓方式、采煤方法，设计提供的主要工程量及设备数量，参照类似矿井投资估算水平进行估算。</w:t>
      </w:r>
    </w:p>
    <w:p w14:paraId="7B0D2CF6">
      <w:pPr>
        <w:spacing w:line="360" w:lineRule="auto"/>
        <w:ind w:firstLine="480" w:firstLineChars="200"/>
        <w:rPr>
          <w:rFonts w:hint="eastAsia" w:ascii="宋体" w:hAnsi="宋体"/>
          <w:sz w:val="24"/>
        </w:rPr>
      </w:pPr>
      <w:r>
        <w:rPr>
          <w:rFonts w:hint="eastAsia" w:ascii="宋体" w:hAnsi="宋体"/>
          <w:sz w:val="24"/>
        </w:rPr>
        <w:t>投资估算基准年为2009年。</w:t>
      </w:r>
    </w:p>
    <w:p w14:paraId="02A4E64D">
      <w:pPr>
        <w:spacing w:line="360" w:lineRule="auto"/>
        <w:ind w:firstLine="480" w:firstLineChars="200"/>
        <w:rPr>
          <w:rFonts w:hint="eastAsia" w:ascii="宋体" w:hAnsi="宋体"/>
          <w:sz w:val="24"/>
        </w:rPr>
      </w:pPr>
      <w:r>
        <w:rPr>
          <w:rFonts w:hint="eastAsia" w:ascii="宋体" w:hAnsi="宋体"/>
          <w:sz w:val="24"/>
        </w:rPr>
        <w:t>（2）投资估算结果</w:t>
      </w:r>
    </w:p>
    <w:p w14:paraId="0D5E589E">
      <w:pPr>
        <w:spacing w:line="360" w:lineRule="auto"/>
        <w:ind w:firstLine="480" w:firstLineChars="200"/>
        <w:rPr>
          <w:rFonts w:ascii="宋体" w:hAnsi="宋体"/>
          <w:bCs/>
          <w:sz w:val="24"/>
        </w:rPr>
      </w:pPr>
      <w:r>
        <w:rPr>
          <w:rFonts w:hint="eastAsia" w:ascii="宋体" w:hAnsi="宋体"/>
          <w:bCs/>
          <w:sz w:val="24"/>
        </w:rPr>
        <w:t>经估算，矿井固定资产总投资为8981.62万元，吨煤投资299.39元，其中：矿建工程2987.56万元，占总投资的33.26%，土建工程906.11万元，占总投资的10.09%，设备及工器具购置3698.55万元，占总投资的41.18%，安装工程466.49万元，占总投资的</w:t>
      </w:r>
      <w:r>
        <w:rPr>
          <w:rFonts w:hint="eastAsia" w:ascii="宋体" w:hAnsi="宋体"/>
          <w:sz w:val="24"/>
        </w:rPr>
        <w:t>5.19</w:t>
      </w:r>
      <w:r>
        <w:rPr>
          <w:rFonts w:hint="eastAsia" w:ascii="宋体" w:hAnsi="宋体"/>
          <w:bCs/>
          <w:sz w:val="24"/>
        </w:rPr>
        <w:t>%，工程建设其他费用</w:t>
      </w:r>
      <w:r>
        <w:rPr>
          <w:rFonts w:hint="eastAsia" w:ascii="宋体" w:hAnsi="宋体"/>
          <w:sz w:val="24"/>
        </w:rPr>
        <w:t>922.91</w:t>
      </w:r>
      <w:r>
        <w:rPr>
          <w:rFonts w:hint="eastAsia" w:ascii="宋体" w:hAnsi="宋体"/>
          <w:bCs/>
          <w:sz w:val="24"/>
        </w:rPr>
        <w:t>万元，占总投资的</w:t>
      </w:r>
      <w:r>
        <w:rPr>
          <w:rFonts w:hint="eastAsia" w:ascii="宋体" w:hAnsi="宋体"/>
          <w:sz w:val="24"/>
        </w:rPr>
        <w:t>10.28</w:t>
      </w:r>
      <w:r>
        <w:rPr>
          <w:rFonts w:hint="eastAsia" w:ascii="宋体" w:hAnsi="宋体"/>
          <w:bCs/>
          <w:sz w:val="24"/>
        </w:rPr>
        <w:t>%。</w:t>
      </w:r>
    </w:p>
    <w:p w14:paraId="3E016FAD">
      <w:pPr>
        <w:spacing w:line="360" w:lineRule="auto"/>
        <w:ind w:firstLine="480" w:firstLineChars="200"/>
        <w:rPr>
          <w:rFonts w:hint="eastAsia" w:ascii="宋体" w:hAnsi="宋体"/>
          <w:sz w:val="24"/>
        </w:rPr>
      </w:pPr>
      <w:r>
        <w:rPr>
          <w:rFonts w:hint="eastAsia" w:ascii="宋体" w:hAnsi="宋体"/>
          <w:sz w:val="24"/>
        </w:rPr>
        <w:t xml:space="preserve">投资估算构成比例及分析详见 </w:t>
      </w:r>
      <w:r>
        <w:rPr>
          <w:rFonts w:hint="eastAsia" w:ascii="宋体" w:hAnsi="宋体"/>
          <w:b/>
          <w:sz w:val="24"/>
        </w:rPr>
        <w:t>表</w:t>
      </w:r>
      <w:r>
        <w:rPr>
          <w:rFonts w:hint="eastAsia" w:ascii="宋体" w:hAnsi="宋体"/>
          <w:b/>
          <w:color w:val="000000"/>
          <w:sz w:val="24"/>
        </w:rPr>
        <w:t>10－2－1</w:t>
      </w:r>
      <w:r>
        <w:rPr>
          <w:rFonts w:hint="eastAsia" w:ascii="宋体" w:hAnsi="宋体"/>
          <w:sz w:val="24"/>
        </w:rPr>
        <w:t>。</w:t>
      </w:r>
    </w:p>
    <w:p w14:paraId="3D7414F5">
      <w:pPr>
        <w:spacing w:line="360" w:lineRule="auto"/>
        <w:jc w:val="center"/>
        <w:rPr>
          <w:rFonts w:hint="eastAsia" w:ascii="宋体" w:hAnsi="宋体"/>
          <w:b/>
          <w:color w:val="000000"/>
          <w:sz w:val="24"/>
        </w:rPr>
      </w:pPr>
      <w:r>
        <w:rPr>
          <w:rFonts w:hint="eastAsia" w:ascii="宋体" w:hAnsi="宋体"/>
          <w:b/>
          <w:color w:val="000000"/>
          <w:sz w:val="24"/>
        </w:rPr>
        <w:t>表10－2－1</w:t>
      </w:r>
      <w:r>
        <w:rPr>
          <w:rFonts w:ascii="宋体" w:hAnsi="宋体"/>
          <w:b/>
          <w:color w:val="000000"/>
          <w:sz w:val="24"/>
        </w:rPr>
        <w:t xml:space="preserve">  </w:t>
      </w:r>
      <w:r>
        <w:rPr>
          <w:rFonts w:hint="eastAsia" w:ascii="宋体" w:hAnsi="宋体"/>
          <w:b/>
          <w:color w:val="000000"/>
          <w:sz w:val="24"/>
        </w:rPr>
        <w:t xml:space="preserve"> 矿井固定资产投资构成比例及分析表     单位：万元</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33"/>
        <w:gridCol w:w="1824"/>
        <w:gridCol w:w="1089"/>
        <w:gridCol w:w="1089"/>
        <w:gridCol w:w="1089"/>
        <w:gridCol w:w="1089"/>
        <w:gridCol w:w="1089"/>
        <w:gridCol w:w="1089"/>
      </w:tblGrid>
      <w:tr w14:paraId="1FDD1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633" w:type="dxa"/>
            <w:noWrap w:val="0"/>
            <w:vAlign w:val="center"/>
          </w:tcPr>
          <w:p w14:paraId="25FF0867">
            <w:pPr>
              <w:jc w:val="center"/>
              <w:rPr>
                <w:rFonts w:ascii="宋体" w:hAnsi="宋体"/>
                <w:color w:val="000000"/>
                <w:szCs w:val="21"/>
              </w:rPr>
            </w:pPr>
            <w:r>
              <w:rPr>
                <w:rFonts w:hint="eastAsia" w:ascii="宋体" w:hAnsi="宋体"/>
                <w:color w:val="000000"/>
                <w:szCs w:val="21"/>
              </w:rPr>
              <w:t>序号</w:t>
            </w:r>
          </w:p>
        </w:tc>
        <w:tc>
          <w:tcPr>
            <w:tcW w:w="1824" w:type="dxa"/>
            <w:noWrap w:val="0"/>
            <w:vAlign w:val="center"/>
          </w:tcPr>
          <w:p w14:paraId="7A83AE65">
            <w:pPr>
              <w:jc w:val="center"/>
              <w:rPr>
                <w:rFonts w:ascii="宋体" w:hAnsi="宋体"/>
                <w:color w:val="000000"/>
                <w:szCs w:val="21"/>
              </w:rPr>
            </w:pPr>
            <w:r>
              <w:rPr>
                <w:rFonts w:hint="eastAsia" w:ascii="宋体" w:hAnsi="宋体"/>
                <w:color w:val="000000"/>
                <w:szCs w:val="21"/>
              </w:rPr>
              <w:t>项</w:t>
            </w:r>
            <w:r>
              <w:rPr>
                <w:rFonts w:ascii="宋体" w:hAnsi="宋体"/>
                <w:color w:val="000000"/>
                <w:szCs w:val="21"/>
              </w:rPr>
              <w:t xml:space="preserve">   </w:t>
            </w:r>
            <w:r>
              <w:rPr>
                <w:rFonts w:hint="eastAsia" w:ascii="宋体" w:hAnsi="宋体"/>
                <w:color w:val="000000"/>
                <w:szCs w:val="21"/>
              </w:rPr>
              <w:t>目</w:t>
            </w:r>
          </w:p>
        </w:tc>
        <w:tc>
          <w:tcPr>
            <w:tcW w:w="1089" w:type="dxa"/>
            <w:noWrap w:val="0"/>
            <w:vAlign w:val="center"/>
          </w:tcPr>
          <w:p w14:paraId="12399F14">
            <w:pPr>
              <w:jc w:val="center"/>
              <w:rPr>
                <w:rFonts w:ascii="宋体" w:hAnsi="宋体"/>
                <w:color w:val="000000"/>
                <w:szCs w:val="21"/>
              </w:rPr>
            </w:pPr>
            <w:r>
              <w:rPr>
                <w:rFonts w:hint="eastAsia" w:ascii="宋体" w:hAnsi="宋体"/>
                <w:color w:val="000000"/>
                <w:szCs w:val="21"/>
              </w:rPr>
              <w:t>井巷工程</w:t>
            </w:r>
          </w:p>
        </w:tc>
        <w:tc>
          <w:tcPr>
            <w:tcW w:w="1089" w:type="dxa"/>
            <w:noWrap w:val="0"/>
            <w:vAlign w:val="center"/>
          </w:tcPr>
          <w:p w14:paraId="5515CB73">
            <w:pPr>
              <w:jc w:val="center"/>
              <w:rPr>
                <w:rFonts w:hint="eastAsia" w:ascii="宋体" w:hAnsi="宋体"/>
                <w:color w:val="000000"/>
                <w:szCs w:val="21"/>
              </w:rPr>
            </w:pPr>
            <w:r>
              <w:rPr>
                <w:rFonts w:hint="eastAsia" w:ascii="宋体" w:hAnsi="宋体"/>
                <w:color w:val="000000"/>
                <w:szCs w:val="21"/>
              </w:rPr>
              <w:t>土建工程</w:t>
            </w:r>
          </w:p>
        </w:tc>
        <w:tc>
          <w:tcPr>
            <w:tcW w:w="1089" w:type="dxa"/>
            <w:noWrap w:val="0"/>
            <w:vAlign w:val="center"/>
          </w:tcPr>
          <w:p w14:paraId="55174DA9">
            <w:pPr>
              <w:jc w:val="center"/>
              <w:rPr>
                <w:rFonts w:ascii="宋体" w:hAnsi="宋体"/>
                <w:color w:val="000000"/>
                <w:szCs w:val="21"/>
              </w:rPr>
            </w:pPr>
            <w:r>
              <w:rPr>
                <w:rFonts w:hint="eastAsia" w:ascii="宋体" w:hAnsi="宋体"/>
                <w:color w:val="000000"/>
                <w:szCs w:val="21"/>
              </w:rPr>
              <w:t>设备及工</w:t>
            </w:r>
          </w:p>
          <w:p w14:paraId="21747738">
            <w:pPr>
              <w:jc w:val="center"/>
              <w:rPr>
                <w:rFonts w:ascii="宋体" w:hAnsi="宋体"/>
                <w:color w:val="000000"/>
                <w:szCs w:val="21"/>
              </w:rPr>
            </w:pPr>
            <w:r>
              <w:rPr>
                <w:rFonts w:hint="eastAsia" w:ascii="宋体" w:hAnsi="宋体"/>
                <w:color w:val="000000"/>
                <w:szCs w:val="21"/>
              </w:rPr>
              <w:t>器具购置</w:t>
            </w:r>
          </w:p>
        </w:tc>
        <w:tc>
          <w:tcPr>
            <w:tcW w:w="1089" w:type="dxa"/>
            <w:noWrap w:val="0"/>
            <w:vAlign w:val="center"/>
          </w:tcPr>
          <w:p w14:paraId="77AE1C18">
            <w:pPr>
              <w:jc w:val="center"/>
              <w:rPr>
                <w:rFonts w:ascii="宋体" w:hAnsi="宋体"/>
                <w:color w:val="000000"/>
                <w:szCs w:val="21"/>
              </w:rPr>
            </w:pPr>
            <w:r>
              <w:rPr>
                <w:rFonts w:hint="eastAsia" w:ascii="宋体" w:hAnsi="宋体"/>
                <w:color w:val="000000"/>
                <w:szCs w:val="21"/>
              </w:rPr>
              <w:t>安装工程</w:t>
            </w:r>
          </w:p>
        </w:tc>
        <w:tc>
          <w:tcPr>
            <w:tcW w:w="1089" w:type="dxa"/>
            <w:noWrap w:val="0"/>
            <w:vAlign w:val="center"/>
          </w:tcPr>
          <w:p w14:paraId="3F321EE2">
            <w:pPr>
              <w:jc w:val="center"/>
              <w:rPr>
                <w:rFonts w:ascii="宋体" w:hAnsi="宋体"/>
                <w:color w:val="000000"/>
                <w:szCs w:val="21"/>
              </w:rPr>
            </w:pPr>
            <w:r>
              <w:rPr>
                <w:rFonts w:hint="eastAsia" w:ascii="宋体" w:hAnsi="宋体"/>
                <w:color w:val="000000"/>
                <w:szCs w:val="21"/>
              </w:rPr>
              <w:t>工程建设其他费用</w:t>
            </w:r>
          </w:p>
        </w:tc>
        <w:tc>
          <w:tcPr>
            <w:tcW w:w="1089" w:type="dxa"/>
            <w:noWrap w:val="0"/>
            <w:vAlign w:val="center"/>
          </w:tcPr>
          <w:p w14:paraId="666B50CF">
            <w:pPr>
              <w:jc w:val="center"/>
              <w:rPr>
                <w:rFonts w:ascii="宋体" w:hAnsi="宋体"/>
                <w:color w:val="000000"/>
                <w:szCs w:val="21"/>
              </w:rPr>
            </w:pPr>
            <w:r>
              <w:rPr>
                <w:rFonts w:hint="eastAsia" w:ascii="宋体" w:hAnsi="宋体"/>
                <w:color w:val="000000"/>
                <w:szCs w:val="21"/>
              </w:rPr>
              <w:t>合</w:t>
            </w:r>
            <w:r>
              <w:rPr>
                <w:rFonts w:ascii="宋体" w:hAnsi="宋体"/>
                <w:color w:val="000000"/>
                <w:szCs w:val="21"/>
              </w:rPr>
              <w:t xml:space="preserve">  </w:t>
            </w:r>
            <w:r>
              <w:rPr>
                <w:rFonts w:hint="eastAsia" w:ascii="宋体" w:hAnsi="宋体"/>
                <w:color w:val="000000"/>
                <w:szCs w:val="21"/>
              </w:rPr>
              <w:t>计</w:t>
            </w:r>
          </w:p>
        </w:tc>
      </w:tr>
      <w:tr w14:paraId="0ED08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633" w:type="dxa"/>
            <w:noWrap w:val="0"/>
            <w:vAlign w:val="center"/>
          </w:tcPr>
          <w:p w14:paraId="17F45E1B">
            <w:pPr>
              <w:jc w:val="center"/>
              <w:rPr>
                <w:rFonts w:ascii="宋体" w:hAnsi="宋体"/>
                <w:color w:val="000000"/>
                <w:szCs w:val="21"/>
              </w:rPr>
            </w:pPr>
            <w:r>
              <w:rPr>
                <w:rFonts w:ascii="宋体" w:hAnsi="宋体"/>
                <w:color w:val="000000"/>
                <w:szCs w:val="21"/>
              </w:rPr>
              <w:t>1</w:t>
            </w:r>
          </w:p>
        </w:tc>
        <w:tc>
          <w:tcPr>
            <w:tcW w:w="1824" w:type="dxa"/>
            <w:noWrap w:val="0"/>
            <w:vAlign w:val="center"/>
          </w:tcPr>
          <w:p w14:paraId="59937A8B">
            <w:pPr>
              <w:jc w:val="center"/>
              <w:rPr>
                <w:rFonts w:ascii="宋体" w:hAnsi="宋体"/>
                <w:color w:val="000000"/>
                <w:szCs w:val="21"/>
              </w:rPr>
            </w:pPr>
            <w:r>
              <w:rPr>
                <w:rFonts w:hint="eastAsia" w:ascii="宋体" w:hAnsi="宋体"/>
                <w:color w:val="000000"/>
                <w:szCs w:val="21"/>
              </w:rPr>
              <w:t>固定资产投资</w:t>
            </w:r>
          </w:p>
        </w:tc>
        <w:tc>
          <w:tcPr>
            <w:tcW w:w="1089" w:type="dxa"/>
            <w:noWrap w:val="0"/>
            <w:vAlign w:val="center"/>
          </w:tcPr>
          <w:p w14:paraId="5FABC83E">
            <w:pPr>
              <w:jc w:val="center"/>
              <w:rPr>
                <w:rFonts w:hint="eastAsia" w:ascii="宋体" w:hAnsi="宋体"/>
                <w:color w:val="000000"/>
                <w:szCs w:val="21"/>
              </w:rPr>
            </w:pPr>
            <w:r>
              <w:rPr>
                <w:rFonts w:hint="eastAsia" w:ascii="宋体" w:hAnsi="宋体"/>
                <w:color w:val="000000"/>
                <w:szCs w:val="21"/>
              </w:rPr>
              <w:t>2987.56</w:t>
            </w:r>
          </w:p>
        </w:tc>
        <w:tc>
          <w:tcPr>
            <w:tcW w:w="1089" w:type="dxa"/>
            <w:noWrap w:val="0"/>
            <w:vAlign w:val="center"/>
          </w:tcPr>
          <w:p w14:paraId="0679C454">
            <w:pPr>
              <w:jc w:val="center"/>
              <w:rPr>
                <w:rFonts w:hint="eastAsia" w:ascii="宋体" w:hAnsi="宋体"/>
                <w:color w:val="000000"/>
                <w:szCs w:val="21"/>
              </w:rPr>
            </w:pPr>
            <w:r>
              <w:rPr>
                <w:rFonts w:hint="eastAsia" w:ascii="宋体" w:hAnsi="宋体"/>
                <w:color w:val="000000"/>
                <w:szCs w:val="21"/>
              </w:rPr>
              <w:t>906.11</w:t>
            </w:r>
          </w:p>
        </w:tc>
        <w:tc>
          <w:tcPr>
            <w:tcW w:w="1089" w:type="dxa"/>
            <w:noWrap w:val="0"/>
            <w:vAlign w:val="center"/>
          </w:tcPr>
          <w:p w14:paraId="103BD82F">
            <w:pPr>
              <w:jc w:val="center"/>
              <w:rPr>
                <w:rFonts w:hint="eastAsia" w:ascii="宋体" w:hAnsi="宋体"/>
                <w:color w:val="000000"/>
                <w:szCs w:val="21"/>
              </w:rPr>
            </w:pPr>
            <w:r>
              <w:rPr>
                <w:rFonts w:hint="eastAsia" w:ascii="宋体" w:hAnsi="宋体"/>
                <w:color w:val="000000"/>
                <w:szCs w:val="21"/>
              </w:rPr>
              <w:t>3698.55</w:t>
            </w:r>
          </w:p>
        </w:tc>
        <w:tc>
          <w:tcPr>
            <w:tcW w:w="1089" w:type="dxa"/>
            <w:noWrap w:val="0"/>
            <w:vAlign w:val="center"/>
          </w:tcPr>
          <w:p w14:paraId="3997F3E8">
            <w:pPr>
              <w:jc w:val="center"/>
              <w:rPr>
                <w:rFonts w:hint="eastAsia" w:ascii="宋体" w:hAnsi="宋体"/>
                <w:color w:val="000000"/>
                <w:szCs w:val="21"/>
              </w:rPr>
            </w:pPr>
            <w:r>
              <w:rPr>
                <w:rFonts w:hint="eastAsia" w:ascii="宋体" w:hAnsi="宋体"/>
                <w:color w:val="000000"/>
                <w:szCs w:val="21"/>
              </w:rPr>
              <w:t>466.49</w:t>
            </w:r>
          </w:p>
        </w:tc>
        <w:tc>
          <w:tcPr>
            <w:tcW w:w="1089" w:type="dxa"/>
            <w:noWrap w:val="0"/>
            <w:vAlign w:val="center"/>
          </w:tcPr>
          <w:p w14:paraId="07359A21">
            <w:pPr>
              <w:jc w:val="center"/>
              <w:rPr>
                <w:rFonts w:hint="eastAsia" w:ascii="宋体" w:hAnsi="宋体"/>
                <w:color w:val="000000"/>
                <w:szCs w:val="21"/>
              </w:rPr>
            </w:pPr>
            <w:r>
              <w:rPr>
                <w:rFonts w:hint="eastAsia" w:ascii="宋体" w:hAnsi="宋体"/>
                <w:color w:val="000000"/>
                <w:szCs w:val="21"/>
              </w:rPr>
              <w:t>922.91</w:t>
            </w:r>
          </w:p>
        </w:tc>
        <w:tc>
          <w:tcPr>
            <w:tcW w:w="1089" w:type="dxa"/>
            <w:noWrap w:val="0"/>
            <w:vAlign w:val="center"/>
          </w:tcPr>
          <w:p w14:paraId="5D1F25CB">
            <w:pPr>
              <w:jc w:val="center"/>
              <w:rPr>
                <w:rFonts w:hint="eastAsia" w:ascii="宋体" w:hAnsi="宋体"/>
                <w:color w:val="000000"/>
                <w:szCs w:val="21"/>
              </w:rPr>
            </w:pPr>
            <w:r>
              <w:rPr>
                <w:rFonts w:hint="eastAsia" w:ascii="宋体" w:hAnsi="宋体"/>
                <w:color w:val="000000"/>
                <w:szCs w:val="21"/>
              </w:rPr>
              <w:t>8981.62</w:t>
            </w:r>
          </w:p>
        </w:tc>
      </w:tr>
      <w:tr w14:paraId="40C0E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633" w:type="dxa"/>
            <w:noWrap w:val="0"/>
            <w:vAlign w:val="center"/>
          </w:tcPr>
          <w:p w14:paraId="681EE9D9">
            <w:pPr>
              <w:jc w:val="center"/>
              <w:rPr>
                <w:rFonts w:hint="eastAsia" w:ascii="宋体" w:hAnsi="宋体"/>
                <w:color w:val="000000"/>
                <w:szCs w:val="21"/>
              </w:rPr>
            </w:pPr>
            <w:r>
              <w:rPr>
                <w:rFonts w:hint="eastAsia" w:ascii="宋体" w:hAnsi="宋体"/>
                <w:color w:val="000000"/>
                <w:szCs w:val="21"/>
              </w:rPr>
              <w:t>2</w:t>
            </w:r>
          </w:p>
        </w:tc>
        <w:tc>
          <w:tcPr>
            <w:tcW w:w="1824" w:type="dxa"/>
            <w:noWrap w:val="0"/>
            <w:vAlign w:val="center"/>
          </w:tcPr>
          <w:p w14:paraId="15B2ED54">
            <w:pPr>
              <w:jc w:val="center"/>
              <w:rPr>
                <w:rFonts w:hint="eastAsia" w:ascii="宋体" w:hAnsi="宋体"/>
                <w:color w:val="000000"/>
                <w:szCs w:val="21"/>
              </w:rPr>
            </w:pPr>
            <w:r>
              <w:rPr>
                <w:rFonts w:hint="eastAsia" w:ascii="宋体" w:hAnsi="宋体"/>
                <w:color w:val="000000"/>
                <w:szCs w:val="21"/>
              </w:rPr>
              <w:t>吨煤投资（元/吨</w:t>
            </w:r>
            <w:r>
              <w:rPr>
                <w:rFonts w:ascii="宋体" w:hAnsi="宋体"/>
                <w:color w:val="000000"/>
                <w:szCs w:val="21"/>
              </w:rPr>
              <w:t>）</w:t>
            </w:r>
          </w:p>
        </w:tc>
        <w:tc>
          <w:tcPr>
            <w:tcW w:w="1089" w:type="dxa"/>
            <w:noWrap w:val="0"/>
            <w:vAlign w:val="center"/>
          </w:tcPr>
          <w:p w14:paraId="4499BF81">
            <w:pPr>
              <w:jc w:val="center"/>
              <w:rPr>
                <w:rFonts w:hint="eastAsia" w:ascii="宋体" w:hAnsi="宋体"/>
                <w:color w:val="000000"/>
                <w:szCs w:val="21"/>
              </w:rPr>
            </w:pPr>
            <w:r>
              <w:rPr>
                <w:rFonts w:hint="eastAsia" w:ascii="宋体" w:hAnsi="宋体"/>
                <w:color w:val="000000"/>
                <w:szCs w:val="21"/>
              </w:rPr>
              <w:t>99.59</w:t>
            </w:r>
          </w:p>
        </w:tc>
        <w:tc>
          <w:tcPr>
            <w:tcW w:w="1089" w:type="dxa"/>
            <w:noWrap w:val="0"/>
            <w:vAlign w:val="center"/>
          </w:tcPr>
          <w:p w14:paraId="707E729B">
            <w:pPr>
              <w:jc w:val="center"/>
              <w:rPr>
                <w:rFonts w:hint="eastAsia" w:ascii="宋体" w:hAnsi="宋体"/>
                <w:color w:val="000000"/>
                <w:szCs w:val="21"/>
              </w:rPr>
            </w:pPr>
            <w:r>
              <w:rPr>
                <w:rFonts w:hint="eastAsia" w:ascii="宋体" w:hAnsi="宋体"/>
                <w:color w:val="000000"/>
                <w:szCs w:val="21"/>
              </w:rPr>
              <w:t>30.20</w:t>
            </w:r>
          </w:p>
        </w:tc>
        <w:tc>
          <w:tcPr>
            <w:tcW w:w="1089" w:type="dxa"/>
            <w:noWrap w:val="0"/>
            <w:vAlign w:val="center"/>
          </w:tcPr>
          <w:p w14:paraId="1F15ACB2">
            <w:pPr>
              <w:jc w:val="center"/>
              <w:rPr>
                <w:rFonts w:hint="eastAsia" w:ascii="宋体" w:hAnsi="宋体"/>
                <w:color w:val="000000"/>
                <w:szCs w:val="21"/>
              </w:rPr>
            </w:pPr>
            <w:r>
              <w:rPr>
                <w:rFonts w:hint="eastAsia" w:ascii="宋体" w:hAnsi="宋体"/>
                <w:color w:val="000000"/>
                <w:szCs w:val="21"/>
              </w:rPr>
              <w:t>123.29</w:t>
            </w:r>
          </w:p>
        </w:tc>
        <w:tc>
          <w:tcPr>
            <w:tcW w:w="1089" w:type="dxa"/>
            <w:noWrap w:val="0"/>
            <w:vAlign w:val="center"/>
          </w:tcPr>
          <w:p w14:paraId="720AFAE4">
            <w:pPr>
              <w:jc w:val="center"/>
              <w:rPr>
                <w:rFonts w:hint="eastAsia" w:ascii="宋体" w:hAnsi="宋体"/>
                <w:color w:val="000000"/>
                <w:szCs w:val="21"/>
              </w:rPr>
            </w:pPr>
            <w:r>
              <w:rPr>
                <w:rFonts w:hint="eastAsia" w:ascii="宋体" w:hAnsi="宋体"/>
                <w:color w:val="000000"/>
                <w:szCs w:val="21"/>
              </w:rPr>
              <w:t>15.55</w:t>
            </w:r>
          </w:p>
        </w:tc>
        <w:tc>
          <w:tcPr>
            <w:tcW w:w="1089" w:type="dxa"/>
            <w:noWrap w:val="0"/>
            <w:vAlign w:val="center"/>
          </w:tcPr>
          <w:p w14:paraId="45188CAE">
            <w:pPr>
              <w:jc w:val="center"/>
              <w:rPr>
                <w:rFonts w:hint="eastAsia" w:ascii="宋体" w:hAnsi="宋体"/>
                <w:color w:val="000000"/>
                <w:szCs w:val="21"/>
              </w:rPr>
            </w:pPr>
            <w:r>
              <w:rPr>
                <w:rFonts w:hint="eastAsia" w:ascii="宋体" w:hAnsi="宋体"/>
                <w:color w:val="000000"/>
                <w:szCs w:val="21"/>
              </w:rPr>
              <w:t>30.76</w:t>
            </w:r>
          </w:p>
        </w:tc>
        <w:tc>
          <w:tcPr>
            <w:tcW w:w="1089" w:type="dxa"/>
            <w:noWrap w:val="0"/>
            <w:vAlign w:val="center"/>
          </w:tcPr>
          <w:p w14:paraId="27B4E927">
            <w:pPr>
              <w:jc w:val="center"/>
              <w:rPr>
                <w:rFonts w:hint="eastAsia" w:ascii="宋体" w:hAnsi="宋体"/>
                <w:color w:val="000000"/>
                <w:szCs w:val="21"/>
              </w:rPr>
            </w:pPr>
            <w:r>
              <w:rPr>
                <w:rFonts w:hint="eastAsia" w:ascii="宋体" w:hAnsi="宋体"/>
                <w:color w:val="000000"/>
                <w:szCs w:val="21"/>
              </w:rPr>
              <w:t>299.39</w:t>
            </w:r>
          </w:p>
        </w:tc>
      </w:tr>
      <w:tr w14:paraId="79CEE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wBefore w:w="0" w:type="dxa"/>
          <w:wAfter w:w="0" w:type="dxa"/>
          <w:trHeight w:val="369" w:hRule="atLeast"/>
          <w:jc w:val="center"/>
        </w:trPr>
        <w:tc>
          <w:tcPr>
            <w:tcW w:w="633" w:type="dxa"/>
            <w:noWrap w:val="0"/>
            <w:vAlign w:val="center"/>
          </w:tcPr>
          <w:p w14:paraId="051486A0">
            <w:pPr>
              <w:jc w:val="center"/>
              <w:rPr>
                <w:rFonts w:hint="eastAsia" w:ascii="宋体" w:hAnsi="宋体"/>
                <w:color w:val="000000"/>
                <w:szCs w:val="21"/>
              </w:rPr>
            </w:pPr>
            <w:r>
              <w:rPr>
                <w:rFonts w:hint="eastAsia" w:ascii="宋体" w:hAnsi="宋体"/>
                <w:color w:val="000000"/>
                <w:szCs w:val="21"/>
              </w:rPr>
              <w:t>3</w:t>
            </w:r>
          </w:p>
        </w:tc>
        <w:tc>
          <w:tcPr>
            <w:tcW w:w="1824" w:type="dxa"/>
            <w:noWrap w:val="0"/>
            <w:vAlign w:val="center"/>
          </w:tcPr>
          <w:p w14:paraId="362C95E9">
            <w:pPr>
              <w:jc w:val="center"/>
              <w:rPr>
                <w:rFonts w:hint="eastAsia" w:ascii="宋体" w:hAnsi="宋体"/>
                <w:color w:val="000000"/>
                <w:szCs w:val="21"/>
              </w:rPr>
            </w:pPr>
            <w:r>
              <w:rPr>
                <w:rFonts w:hint="eastAsia" w:ascii="宋体" w:hAnsi="宋体"/>
                <w:color w:val="000000"/>
                <w:szCs w:val="21"/>
              </w:rPr>
              <w:t>投资比例(%)</w:t>
            </w:r>
          </w:p>
        </w:tc>
        <w:tc>
          <w:tcPr>
            <w:tcW w:w="1089" w:type="dxa"/>
            <w:noWrap w:val="0"/>
            <w:vAlign w:val="center"/>
          </w:tcPr>
          <w:p w14:paraId="27016DE2">
            <w:pPr>
              <w:jc w:val="center"/>
              <w:rPr>
                <w:rFonts w:hint="eastAsia" w:ascii="宋体" w:hAnsi="宋体"/>
                <w:color w:val="000000"/>
                <w:szCs w:val="21"/>
              </w:rPr>
            </w:pPr>
            <w:r>
              <w:rPr>
                <w:rFonts w:hint="eastAsia" w:ascii="宋体" w:hAnsi="宋体"/>
                <w:color w:val="000000"/>
                <w:szCs w:val="21"/>
              </w:rPr>
              <w:t>33.26</w:t>
            </w:r>
          </w:p>
        </w:tc>
        <w:tc>
          <w:tcPr>
            <w:tcW w:w="1089" w:type="dxa"/>
            <w:noWrap w:val="0"/>
            <w:vAlign w:val="center"/>
          </w:tcPr>
          <w:p w14:paraId="4BCB5C6D">
            <w:pPr>
              <w:jc w:val="center"/>
              <w:rPr>
                <w:rFonts w:hint="eastAsia" w:ascii="宋体" w:hAnsi="宋体"/>
                <w:color w:val="000000"/>
                <w:szCs w:val="21"/>
              </w:rPr>
            </w:pPr>
            <w:r>
              <w:rPr>
                <w:rFonts w:hint="eastAsia" w:ascii="宋体" w:hAnsi="宋体"/>
                <w:color w:val="000000"/>
                <w:szCs w:val="21"/>
              </w:rPr>
              <w:t>10.09</w:t>
            </w:r>
          </w:p>
        </w:tc>
        <w:tc>
          <w:tcPr>
            <w:tcW w:w="1089" w:type="dxa"/>
            <w:noWrap w:val="0"/>
            <w:vAlign w:val="center"/>
          </w:tcPr>
          <w:p w14:paraId="2B34565C">
            <w:pPr>
              <w:jc w:val="center"/>
              <w:rPr>
                <w:rFonts w:hint="eastAsia" w:ascii="宋体" w:hAnsi="宋体"/>
                <w:color w:val="000000"/>
                <w:szCs w:val="21"/>
              </w:rPr>
            </w:pPr>
            <w:r>
              <w:rPr>
                <w:rFonts w:hint="eastAsia" w:ascii="宋体" w:hAnsi="宋体"/>
                <w:color w:val="000000"/>
                <w:szCs w:val="21"/>
              </w:rPr>
              <w:t>41.18</w:t>
            </w:r>
          </w:p>
        </w:tc>
        <w:tc>
          <w:tcPr>
            <w:tcW w:w="1089" w:type="dxa"/>
            <w:noWrap w:val="0"/>
            <w:vAlign w:val="center"/>
          </w:tcPr>
          <w:p w14:paraId="14A5F988">
            <w:pPr>
              <w:jc w:val="center"/>
              <w:rPr>
                <w:rFonts w:hint="eastAsia" w:ascii="宋体" w:hAnsi="宋体"/>
                <w:color w:val="000000"/>
                <w:szCs w:val="21"/>
              </w:rPr>
            </w:pPr>
            <w:r>
              <w:rPr>
                <w:rFonts w:hint="eastAsia" w:ascii="宋体" w:hAnsi="宋体"/>
                <w:color w:val="000000"/>
                <w:szCs w:val="21"/>
              </w:rPr>
              <w:t>5.19</w:t>
            </w:r>
          </w:p>
        </w:tc>
        <w:tc>
          <w:tcPr>
            <w:tcW w:w="1089" w:type="dxa"/>
            <w:noWrap w:val="0"/>
            <w:vAlign w:val="center"/>
          </w:tcPr>
          <w:p w14:paraId="00D0BEF6">
            <w:pPr>
              <w:jc w:val="center"/>
              <w:rPr>
                <w:rFonts w:hint="eastAsia" w:ascii="宋体" w:hAnsi="宋体"/>
                <w:color w:val="000000"/>
                <w:szCs w:val="21"/>
              </w:rPr>
            </w:pPr>
            <w:r>
              <w:rPr>
                <w:rFonts w:hint="eastAsia" w:ascii="宋体" w:hAnsi="宋体"/>
                <w:color w:val="000000"/>
                <w:szCs w:val="21"/>
              </w:rPr>
              <w:t>10.28</w:t>
            </w:r>
          </w:p>
        </w:tc>
        <w:tc>
          <w:tcPr>
            <w:tcW w:w="1089" w:type="dxa"/>
            <w:noWrap w:val="0"/>
            <w:vAlign w:val="center"/>
          </w:tcPr>
          <w:p w14:paraId="6F23B3EC">
            <w:pPr>
              <w:jc w:val="center"/>
              <w:rPr>
                <w:rFonts w:hint="eastAsia" w:ascii="宋体" w:hAnsi="宋体"/>
                <w:color w:val="000000"/>
                <w:szCs w:val="21"/>
              </w:rPr>
            </w:pPr>
            <w:r>
              <w:rPr>
                <w:rFonts w:hint="eastAsia" w:ascii="宋体" w:hAnsi="宋体"/>
                <w:color w:val="000000"/>
                <w:szCs w:val="21"/>
              </w:rPr>
              <w:t>100.00</w:t>
            </w:r>
          </w:p>
        </w:tc>
      </w:tr>
    </w:tbl>
    <w:p w14:paraId="6E363C61">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二、流动资金估算</w:t>
      </w:r>
    </w:p>
    <w:p w14:paraId="0E1423D3">
      <w:pPr>
        <w:pStyle w:val="89"/>
        <w:ind w:firstLine="480" w:firstLineChars="200"/>
        <w:rPr>
          <w:rFonts w:hint="eastAsia" w:hAnsi="宋体"/>
        </w:rPr>
      </w:pPr>
      <w:r>
        <w:rPr>
          <w:rFonts w:hint="eastAsia" w:hAnsi="宋体"/>
        </w:rPr>
        <w:t>按照1996年原煤炭工业部颁发的《煤炭工业建设项目经济评价方法与参数》的规定，参照类似矿井流动资金周转情况及占用量，矿井流动资金采用分项详细估算法进行。</w:t>
      </w:r>
    </w:p>
    <w:p w14:paraId="7E09C779">
      <w:pPr>
        <w:pStyle w:val="89"/>
        <w:ind w:firstLine="480" w:firstLineChars="200"/>
        <w:rPr>
          <w:rFonts w:hint="eastAsia" w:hAnsi="宋体"/>
        </w:rPr>
      </w:pPr>
      <w:r>
        <w:rPr>
          <w:rFonts w:hint="eastAsia" w:hAnsi="宋体"/>
        </w:rPr>
        <w:t>矿井达到设计生产能力时，估算需要流动资金1284.0万元，吨煤流动资金为42.8元/</w:t>
      </w:r>
      <w:r>
        <w:rPr>
          <w:rFonts w:hAnsi="宋体"/>
        </w:rPr>
        <w:t>t</w:t>
      </w:r>
      <w:r>
        <w:rPr>
          <w:rFonts w:hint="eastAsia" w:hAnsi="宋体"/>
        </w:rPr>
        <w:t>。根据有关规定，流动资金需要有30%为铺底流动资金，即385.2万元，由企业自筹解决。</w:t>
      </w:r>
    </w:p>
    <w:p w14:paraId="5FFE0417">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三、总投资</w:t>
      </w:r>
    </w:p>
    <w:p w14:paraId="2787ADEE">
      <w:pPr>
        <w:pStyle w:val="89"/>
        <w:ind w:firstLine="480" w:firstLineChars="200"/>
        <w:rPr>
          <w:rFonts w:hint="eastAsia" w:hAnsi="宋体"/>
        </w:rPr>
      </w:pPr>
      <w:r>
        <w:rPr>
          <w:rFonts w:hint="eastAsia" w:hAnsi="宋体"/>
        </w:rPr>
        <w:t>本建设项目总投资为8981.62+1284.0=10265.62(万元)，单位投资342.19元/</w:t>
      </w:r>
      <w:r>
        <w:rPr>
          <w:rFonts w:hAnsi="宋体"/>
        </w:rPr>
        <w:t>t</w:t>
      </w:r>
      <w:r>
        <w:rPr>
          <w:rFonts w:hint="eastAsia" w:hAnsi="宋体"/>
        </w:rPr>
        <w:t>。</w:t>
      </w:r>
    </w:p>
    <w:p w14:paraId="7D62B3D0">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四、资本金筹措</w:t>
      </w:r>
    </w:p>
    <w:p w14:paraId="201B8F63">
      <w:pPr>
        <w:spacing w:line="360" w:lineRule="auto"/>
        <w:ind w:firstLine="480" w:firstLineChars="200"/>
        <w:rPr>
          <w:rFonts w:hint="eastAsia" w:ascii="宋体" w:hAnsi="宋体"/>
          <w:sz w:val="24"/>
        </w:rPr>
      </w:pPr>
      <w:r>
        <w:rPr>
          <w:rFonts w:hint="eastAsia" w:ascii="宋体" w:hAnsi="宋体"/>
          <w:sz w:val="24"/>
        </w:rPr>
        <w:t>根据资金来源情况，本项目固定资产投资由企业自筹解决。</w:t>
      </w:r>
    </w:p>
    <w:p w14:paraId="44D3FD60">
      <w:pPr>
        <w:pStyle w:val="3"/>
        <w:keepLines/>
        <w:spacing w:before="240" w:after="240" w:line="360" w:lineRule="auto"/>
        <w:ind w:firstLine="0" w:firstLineChars="0"/>
        <w:jc w:val="center"/>
        <w:rPr>
          <w:rFonts w:hint="eastAsia"/>
          <w:b/>
          <w:color w:val="000000"/>
          <w:sz w:val="32"/>
          <w:szCs w:val="32"/>
        </w:rPr>
      </w:pPr>
      <w:bookmarkStart w:id="915" w:name="_Toc260915299"/>
      <w:bookmarkStart w:id="916" w:name="_Toc534625387"/>
      <w:r>
        <w:rPr>
          <w:rFonts w:hint="eastAsia"/>
          <w:b/>
          <w:color w:val="000000"/>
          <w:sz w:val="32"/>
          <w:szCs w:val="32"/>
        </w:rPr>
        <w:t>第三节　　经济效益初步测算及分析</w:t>
      </w:r>
      <w:bookmarkEnd w:id="915"/>
      <w:bookmarkEnd w:id="916"/>
    </w:p>
    <w:p w14:paraId="3489058D">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一、经济效益测算</w:t>
      </w:r>
    </w:p>
    <w:p w14:paraId="117CF0D2">
      <w:pPr>
        <w:spacing w:line="360" w:lineRule="auto"/>
        <w:ind w:firstLine="480" w:firstLineChars="200"/>
        <w:rPr>
          <w:rFonts w:hint="eastAsia" w:ascii="宋体" w:hAnsi="宋体"/>
          <w:sz w:val="24"/>
        </w:rPr>
      </w:pPr>
      <w:r>
        <w:rPr>
          <w:rFonts w:hint="eastAsia" w:ascii="宋体" w:hAnsi="宋体"/>
          <w:sz w:val="24"/>
        </w:rPr>
        <w:t>测算方法：按照国家计委、建设部2006年颁发的《建设项目经济评价方法和参数(第三版)》及国家现行财税制度规定进行测算。</w:t>
      </w:r>
    </w:p>
    <w:p w14:paraId="1332798F">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二、生产成本费用估算</w:t>
      </w:r>
    </w:p>
    <w:p w14:paraId="42BB52DF">
      <w:pPr>
        <w:spacing w:line="360" w:lineRule="auto"/>
        <w:ind w:firstLine="480" w:firstLineChars="200"/>
        <w:rPr>
          <w:rFonts w:ascii="宋体" w:hAnsi="宋体"/>
          <w:sz w:val="24"/>
        </w:rPr>
      </w:pPr>
      <w:r>
        <w:rPr>
          <w:rFonts w:hint="eastAsia" w:ascii="宋体" w:hAnsi="宋体"/>
          <w:sz w:val="24"/>
        </w:rPr>
        <w:t>生产成本根据原煤炭部煤基函字[1997]第156号文《关于下发矿井原煤设计成本计算方法的通知》及其他有关规定，并结合本矿井实际情况进行估算。主要估算依据如下：</w:t>
      </w:r>
    </w:p>
    <w:p w14:paraId="19BB6756">
      <w:pPr>
        <w:autoSpaceDE w:val="0"/>
        <w:autoSpaceDN w:val="0"/>
        <w:spacing w:line="360" w:lineRule="auto"/>
        <w:ind w:firstLine="480" w:firstLineChars="200"/>
        <w:textAlignment w:val="bottom"/>
        <w:rPr>
          <w:rFonts w:ascii="宋体" w:hAnsi="宋体"/>
          <w:color w:val="000000"/>
          <w:sz w:val="24"/>
        </w:rPr>
      </w:pPr>
      <w:r>
        <w:rPr>
          <w:rFonts w:hint="eastAsia" w:ascii="宋体" w:hAnsi="宋体"/>
          <w:color w:val="000000"/>
          <w:sz w:val="24"/>
        </w:rPr>
        <w:t>1、</w:t>
      </w:r>
      <w:r>
        <w:rPr>
          <w:rFonts w:ascii="宋体" w:hAnsi="宋体"/>
          <w:color w:val="000000"/>
          <w:sz w:val="24"/>
        </w:rPr>
        <w:t>经营成本</w:t>
      </w:r>
    </w:p>
    <w:p w14:paraId="253C88BD">
      <w:pPr>
        <w:spacing w:line="360" w:lineRule="auto"/>
        <w:ind w:firstLine="480" w:firstLineChars="200"/>
        <w:rPr>
          <w:rFonts w:ascii="宋体" w:hAnsi="宋体"/>
          <w:sz w:val="24"/>
        </w:rPr>
      </w:pPr>
      <w:r>
        <w:rPr>
          <w:rFonts w:hint="eastAsia" w:ascii="宋体" w:hAnsi="宋体" w:cs="宋体"/>
          <w:sz w:val="24"/>
        </w:rPr>
        <w:t>（1）</w:t>
      </w:r>
      <w:r>
        <w:rPr>
          <w:rStyle w:val="157"/>
          <w:rFonts w:hint="eastAsia" w:ascii="宋体" w:hAnsi="宋体"/>
          <w:lang w:val="zh-CN"/>
        </w:rPr>
        <w:t>材料费：按照现行材料价格，参照类似矿井材料消耗量进行估算。</w:t>
      </w:r>
    </w:p>
    <w:p w14:paraId="527D2111">
      <w:pPr>
        <w:spacing w:line="360" w:lineRule="auto"/>
        <w:ind w:firstLine="480" w:firstLineChars="200"/>
        <w:rPr>
          <w:rFonts w:ascii="宋体" w:hAnsi="宋体"/>
          <w:sz w:val="24"/>
        </w:rPr>
      </w:pPr>
      <w:r>
        <w:rPr>
          <w:rFonts w:hint="eastAsia" w:ascii="宋体" w:hAnsi="宋体"/>
          <w:sz w:val="24"/>
        </w:rPr>
        <w:t>（2）</w:t>
      </w:r>
      <w:r>
        <w:rPr>
          <w:rStyle w:val="157"/>
          <w:rFonts w:hint="eastAsia" w:ascii="宋体" w:hAnsi="宋体"/>
          <w:lang w:val="zh-CN"/>
        </w:rPr>
        <w:t>动力费：按照现行综合电价及设计电耗计算。</w:t>
      </w:r>
    </w:p>
    <w:p w14:paraId="4BFA68B2">
      <w:pPr>
        <w:spacing w:line="360" w:lineRule="auto"/>
        <w:ind w:firstLine="480" w:firstLineChars="200"/>
        <w:rPr>
          <w:rFonts w:ascii="宋体" w:hAnsi="宋体"/>
          <w:sz w:val="24"/>
        </w:rPr>
      </w:pPr>
      <w:r>
        <w:rPr>
          <w:rFonts w:hint="eastAsia" w:ascii="宋体" w:hAnsi="宋体" w:cs="宋体"/>
          <w:sz w:val="24"/>
        </w:rPr>
        <w:t>（3）</w:t>
      </w:r>
      <w:r>
        <w:rPr>
          <w:rStyle w:val="157"/>
          <w:rFonts w:hint="eastAsia" w:ascii="宋体" w:hAnsi="宋体"/>
          <w:lang w:val="zh-CN"/>
        </w:rPr>
        <w:t>直接工资：根据配备劳动定员，参照类似企业工资水平估算。</w:t>
      </w:r>
    </w:p>
    <w:p w14:paraId="47332AE6">
      <w:pPr>
        <w:spacing w:line="360" w:lineRule="auto"/>
        <w:ind w:firstLine="480" w:firstLineChars="200"/>
        <w:rPr>
          <w:rFonts w:ascii="宋体" w:hAnsi="宋体"/>
          <w:sz w:val="24"/>
        </w:rPr>
      </w:pPr>
      <w:r>
        <w:rPr>
          <w:rFonts w:hint="eastAsia" w:ascii="宋体" w:hAnsi="宋体" w:cs="宋体"/>
          <w:sz w:val="24"/>
        </w:rPr>
        <w:t>（4）</w:t>
      </w:r>
      <w:r>
        <w:rPr>
          <w:rStyle w:val="157"/>
          <w:rFonts w:hint="eastAsia" w:ascii="宋体" w:hAnsi="宋体"/>
          <w:lang w:val="zh-CN"/>
        </w:rPr>
        <w:t>职工福利费：按直接工资的</w:t>
      </w:r>
      <w:r>
        <w:rPr>
          <w:rFonts w:ascii="宋体" w:hAnsi="宋体"/>
          <w:sz w:val="24"/>
        </w:rPr>
        <w:t>14%</w:t>
      </w:r>
      <w:r>
        <w:rPr>
          <w:rStyle w:val="157"/>
          <w:rFonts w:hint="eastAsia" w:ascii="宋体" w:hAnsi="宋体"/>
          <w:lang w:val="zh-CN"/>
        </w:rPr>
        <w:t>计算。</w:t>
      </w:r>
    </w:p>
    <w:p w14:paraId="1773323A">
      <w:pPr>
        <w:spacing w:line="360" w:lineRule="auto"/>
        <w:ind w:firstLine="480" w:firstLineChars="200"/>
        <w:rPr>
          <w:rFonts w:ascii="宋体" w:hAnsi="宋体"/>
          <w:sz w:val="24"/>
        </w:rPr>
      </w:pPr>
      <w:r>
        <w:rPr>
          <w:rFonts w:hint="eastAsia" w:ascii="宋体" w:hAnsi="宋体" w:cs="宋体"/>
          <w:sz w:val="24"/>
        </w:rPr>
        <w:t>（5）</w:t>
      </w:r>
      <w:r>
        <w:rPr>
          <w:rStyle w:val="157"/>
          <w:rFonts w:hint="eastAsia" w:ascii="宋体" w:hAnsi="宋体"/>
          <w:lang w:val="zh-CN"/>
        </w:rPr>
        <w:t>修理费：按固定资产原值的提取率计算，设备</w:t>
      </w:r>
      <w:r>
        <w:rPr>
          <w:rFonts w:ascii="宋体" w:hAnsi="宋体"/>
          <w:sz w:val="24"/>
        </w:rPr>
        <w:t>2.5</w:t>
      </w:r>
      <w:r>
        <w:rPr>
          <w:rStyle w:val="157"/>
          <w:rFonts w:hint="eastAsia" w:ascii="宋体" w:hAnsi="宋体"/>
          <w:lang w:val="zh-CN"/>
        </w:rPr>
        <w:t>％。</w:t>
      </w:r>
    </w:p>
    <w:p w14:paraId="01B0E293">
      <w:pPr>
        <w:spacing w:line="360" w:lineRule="auto"/>
        <w:ind w:firstLine="480" w:firstLineChars="200"/>
        <w:rPr>
          <w:rFonts w:ascii="宋体" w:hAnsi="宋体"/>
          <w:sz w:val="24"/>
        </w:rPr>
      </w:pPr>
      <w:r>
        <w:rPr>
          <w:rFonts w:hint="eastAsia" w:ascii="宋体" w:hAnsi="宋体" w:cs="宋体"/>
          <w:sz w:val="24"/>
        </w:rPr>
        <w:t>（6）</w:t>
      </w:r>
      <w:r>
        <w:rPr>
          <w:rStyle w:val="157"/>
          <w:rFonts w:hint="eastAsia" w:ascii="宋体" w:hAnsi="宋体"/>
          <w:lang w:val="zh-CN"/>
        </w:rPr>
        <w:t>地面塌陷费：参照类似矿井管理费水平估算。</w:t>
      </w:r>
    </w:p>
    <w:p w14:paraId="703DF4A7">
      <w:pPr>
        <w:spacing w:line="360" w:lineRule="auto"/>
        <w:ind w:firstLine="480" w:firstLineChars="200"/>
        <w:rPr>
          <w:rFonts w:ascii="宋体" w:hAnsi="宋体"/>
          <w:sz w:val="24"/>
        </w:rPr>
      </w:pPr>
      <w:r>
        <w:rPr>
          <w:rFonts w:hint="eastAsia" w:ascii="宋体" w:hAnsi="宋体"/>
          <w:sz w:val="24"/>
        </w:rPr>
        <w:t>（7）</w:t>
      </w:r>
      <w:r>
        <w:rPr>
          <w:rStyle w:val="157"/>
          <w:rFonts w:hint="eastAsia" w:ascii="宋体" w:hAnsi="宋体"/>
          <w:lang w:val="zh-CN"/>
        </w:rPr>
        <w:t>其他支出：包括劳动保险等费用（按原煤设计成本工资的</w:t>
      </w:r>
      <w:r>
        <w:rPr>
          <w:rFonts w:ascii="宋体" w:hAnsi="宋体"/>
          <w:sz w:val="24"/>
        </w:rPr>
        <w:t>27.6</w:t>
      </w:r>
      <w:r>
        <w:rPr>
          <w:rStyle w:val="157"/>
          <w:rFonts w:hint="eastAsia" w:ascii="宋体" w:hAnsi="宋体"/>
          <w:lang w:val="zh-CN"/>
        </w:rPr>
        <w:t>％计算）、纳入经营成本的维简费（按财政部、国家发展改革委、国家煤矿安全监察局文件财建</w:t>
      </w:r>
      <w:r>
        <w:rPr>
          <w:rFonts w:ascii="宋体" w:hAnsi="宋体"/>
          <w:sz w:val="24"/>
        </w:rPr>
        <w:t>[2004]119</w:t>
      </w:r>
      <w:r>
        <w:rPr>
          <w:rStyle w:val="157"/>
          <w:rFonts w:hint="eastAsia" w:ascii="宋体" w:hAnsi="宋体"/>
          <w:lang w:val="zh-CN"/>
        </w:rPr>
        <w:t>号文的</w:t>
      </w:r>
      <w:r>
        <w:rPr>
          <w:rFonts w:ascii="宋体" w:hAnsi="宋体"/>
          <w:sz w:val="24"/>
        </w:rPr>
        <w:t>50%</w:t>
      </w:r>
      <w:r>
        <w:rPr>
          <w:rStyle w:val="157"/>
          <w:rFonts w:hint="eastAsia" w:ascii="宋体" w:hAnsi="宋体"/>
          <w:lang w:val="zh-CN"/>
        </w:rPr>
        <w:t>计算）、矿产资源补偿费（按国务院</w:t>
      </w:r>
      <w:r>
        <w:rPr>
          <w:rFonts w:ascii="宋体" w:hAnsi="宋体"/>
          <w:sz w:val="24"/>
        </w:rPr>
        <w:t>1994</w:t>
      </w:r>
      <w:r>
        <w:rPr>
          <w:rStyle w:val="157"/>
          <w:rFonts w:hint="eastAsia" w:ascii="宋体" w:hAnsi="宋体"/>
          <w:lang w:val="zh-CN"/>
        </w:rPr>
        <w:t>年第</w:t>
      </w:r>
      <w:r>
        <w:rPr>
          <w:rFonts w:ascii="宋体" w:hAnsi="宋体"/>
          <w:sz w:val="24"/>
        </w:rPr>
        <w:t>150</w:t>
      </w:r>
      <w:r>
        <w:rPr>
          <w:rStyle w:val="157"/>
          <w:rFonts w:hint="eastAsia" w:ascii="宋体" w:hAnsi="宋体"/>
          <w:lang w:val="zh-CN"/>
        </w:rPr>
        <w:t>号令《矿产资源补偿费征收管理规定》计算）、其它费用（参照类似矿井单位产量占用其它费用计取）。</w:t>
      </w:r>
    </w:p>
    <w:p w14:paraId="315A970C">
      <w:pPr>
        <w:spacing w:line="360" w:lineRule="auto"/>
        <w:ind w:firstLine="480" w:firstLineChars="200"/>
        <w:rPr>
          <w:rFonts w:ascii="宋体" w:hAnsi="宋体"/>
          <w:sz w:val="24"/>
        </w:rPr>
      </w:pPr>
      <w:r>
        <w:rPr>
          <w:rFonts w:hint="eastAsia" w:ascii="宋体" w:hAnsi="宋体" w:cs="宋体"/>
          <w:sz w:val="24"/>
        </w:rPr>
        <w:t>（8）</w:t>
      </w:r>
      <w:r>
        <w:rPr>
          <w:rStyle w:val="157"/>
          <w:rFonts w:hint="eastAsia" w:ascii="宋体" w:hAnsi="宋体"/>
          <w:lang w:val="zh-CN"/>
        </w:rPr>
        <w:t>煤炭生产安全费：按财政部、国家发展改革委、国家煤矿安全监察局文件财建</w:t>
      </w:r>
      <w:r>
        <w:rPr>
          <w:rFonts w:hint="eastAsia" w:ascii="宋体" w:hAnsi="宋体"/>
          <w:color w:val="000000"/>
          <w:sz w:val="24"/>
        </w:rPr>
        <w:t>【2004】</w:t>
      </w:r>
      <w:r>
        <w:rPr>
          <w:rFonts w:ascii="宋体" w:hAnsi="宋体"/>
          <w:sz w:val="24"/>
        </w:rPr>
        <w:t>119</w:t>
      </w:r>
      <w:r>
        <w:rPr>
          <w:rStyle w:val="157"/>
          <w:rFonts w:hint="eastAsia" w:ascii="宋体" w:hAnsi="宋体"/>
          <w:lang w:val="zh-CN"/>
        </w:rPr>
        <w:t>号文的规定计算。</w:t>
      </w:r>
    </w:p>
    <w:p w14:paraId="40AB988B">
      <w:pPr>
        <w:autoSpaceDE w:val="0"/>
        <w:autoSpaceDN w:val="0"/>
        <w:spacing w:line="360" w:lineRule="auto"/>
        <w:ind w:firstLine="480" w:firstLineChars="200"/>
        <w:textAlignment w:val="bottom"/>
        <w:rPr>
          <w:rFonts w:ascii="宋体" w:hAnsi="宋体"/>
          <w:color w:val="000000"/>
          <w:sz w:val="24"/>
        </w:rPr>
      </w:pPr>
      <w:r>
        <w:rPr>
          <w:rFonts w:hint="eastAsia" w:ascii="宋体" w:hAnsi="宋体"/>
          <w:color w:val="000000"/>
          <w:sz w:val="24"/>
        </w:rPr>
        <w:t>2、</w:t>
      </w:r>
      <w:r>
        <w:rPr>
          <w:rFonts w:ascii="宋体" w:hAnsi="宋体"/>
          <w:color w:val="000000"/>
          <w:sz w:val="24"/>
        </w:rPr>
        <w:t>折旧费、摊销费</w:t>
      </w:r>
      <w:r>
        <w:rPr>
          <w:rFonts w:hint="eastAsia" w:ascii="宋体" w:hAnsi="宋体"/>
          <w:color w:val="000000"/>
          <w:sz w:val="24"/>
        </w:rPr>
        <w:t>、维简费、井巷工程基金、</w:t>
      </w:r>
      <w:r>
        <w:rPr>
          <w:rFonts w:ascii="宋体" w:hAnsi="宋体"/>
          <w:color w:val="000000"/>
          <w:sz w:val="24"/>
        </w:rPr>
        <w:t>财务费用</w:t>
      </w:r>
    </w:p>
    <w:p w14:paraId="5B4E5BBD">
      <w:pPr>
        <w:spacing w:line="360" w:lineRule="auto"/>
        <w:ind w:firstLine="480" w:firstLineChars="200"/>
        <w:rPr>
          <w:rFonts w:ascii="宋体" w:hAnsi="宋体"/>
          <w:sz w:val="24"/>
        </w:rPr>
      </w:pPr>
      <w:r>
        <w:rPr>
          <w:rFonts w:hint="eastAsia" w:ascii="宋体" w:hAnsi="宋体" w:cs="宋体"/>
          <w:sz w:val="24"/>
        </w:rPr>
        <w:t>（1）</w:t>
      </w:r>
      <w:r>
        <w:rPr>
          <w:rStyle w:val="157"/>
          <w:rFonts w:hint="eastAsia" w:ascii="宋体" w:hAnsi="宋体"/>
          <w:lang w:val="zh-CN"/>
        </w:rPr>
        <w:t>折旧费：按直线折旧法计算。折旧年限：地面建、构筑物</w:t>
      </w:r>
      <w:r>
        <w:rPr>
          <w:rFonts w:ascii="宋体" w:hAnsi="宋体"/>
          <w:sz w:val="24"/>
        </w:rPr>
        <w:t>17</w:t>
      </w:r>
      <w:r>
        <w:rPr>
          <w:rStyle w:val="157"/>
          <w:rFonts w:hint="eastAsia" w:ascii="宋体" w:hAnsi="宋体"/>
          <w:lang w:val="zh-CN"/>
        </w:rPr>
        <w:t>年，一般采掘设备</w:t>
      </w:r>
      <w:r>
        <w:rPr>
          <w:rFonts w:ascii="宋体" w:hAnsi="宋体"/>
          <w:sz w:val="24"/>
        </w:rPr>
        <w:t>10</w:t>
      </w:r>
      <w:r>
        <w:rPr>
          <w:rStyle w:val="157"/>
          <w:rFonts w:hint="eastAsia" w:ascii="宋体" w:hAnsi="宋体"/>
          <w:lang w:val="zh-CN"/>
        </w:rPr>
        <w:t>年，其他设备</w:t>
      </w:r>
      <w:r>
        <w:rPr>
          <w:rFonts w:ascii="宋体" w:hAnsi="宋体"/>
          <w:sz w:val="24"/>
        </w:rPr>
        <w:t>15</w:t>
      </w:r>
      <w:r>
        <w:rPr>
          <w:rStyle w:val="157"/>
          <w:rFonts w:hint="eastAsia" w:ascii="宋体" w:hAnsi="宋体"/>
          <w:lang w:val="zh-CN"/>
        </w:rPr>
        <w:t>年，净残值率取</w:t>
      </w:r>
      <w:r>
        <w:rPr>
          <w:rFonts w:ascii="宋体" w:hAnsi="宋体"/>
          <w:sz w:val="24"/>
        </w:rPr>
        <w:t>5%</w:t>
      </w:r>
      <w:r>
        <w:rPr>
          <w:rStyle w:val="157"/>
          <w:rFonts w:hint="eastAsia" w:ascii="宋体" w:hAnsi="宋体"/>
          <w:lang w:val="zh-CN"/>
        </w:rPr>
        <w:t>。</w:t>
      </w:r>
    </w:p>
    <w:p w14:paraId="5DE82FE5">
      <w:pPr>
        <w:spacing w:line="360" w:lineRule="auto"/>
        <w:ind w:firstLine="480" w:firstLineChars="200"/>
        <w:rPr>
          <w:rFonts w:ascii="宋体" w:hAnsi="宋体"/>
          <w:sz w:val="24"/>
        </w:rPr>
      </w:pPr>
      <w:r>
        <w:rPr>
          <w:rFonts w:hint="eastAsia" w:ascii="宋体" w:hAnsi="宋体" w:cs="宋体"/>
          <w:sz w:val="24"/>
        </w:rPr>
        <w:t>（2）</w:t>
      </w:r>
      <w:r>
        <w:rPr>
          <w:rStyle w:val="157"/>
          <w:rFonts w:hint="eastAsia" w:ascii="宋体" w:hAnsi="宋体"/>
          <w:lang w:val="zh-CN"/>
        </w:rPr>
        <w:t>摊销费：无形资产及递延资产按</w:t>
      </w:r>
      <w:r>
        <w:rPr>
          <w:rFonts w:ascii="宋体" w:hAnsi="宋体"/>
          <w:sz w:val="24"/>
        </w:rPr>
        <w:t>10</w:t>
      </w:r>
      <w:r>
        <w:rPr>
          <w:rStyle w:val="157"/>
          <w:rFonts w:hint="eastAsia" w:ascii="宋体" w:hAnsi="宋体"/>
          <w:lang w:val="zh-CN"/>
        </w:rPr>
        <w:t>年平均摊销。</w:t>
      </w:r>
    </w:p>
    <w:p w14:paraId="30B0DE12">
      <w:pPr>
        <w:spacing w:line="360" w:lineRule="auto"/>
        <w:ind w:firstLine="480" w:firstLineChars="200"/>
        <w:rPr>
          <w:rFonts w:ascii="宋体" w:hAnsi="宋体"/>
          <w:sz w:val="24"/>
        </w:rPr>
      </w:pPr>
      <w:r>
        <w:rPr>
          <w:rFonts w:hint="eastAsia" w:ascii="宋体" w:hAnsi="宋体" w:cs="宋体"/>
          <w:sz w:val="24"/>
        </w:rPr>
        <w:t>（3）</w:t>
      </w:r>
      <w:r>
        <w:rPr>
          <w:rStyle w:val="157"/>
          <w:rFonts w:hint="eastAsia" w:ascii="宋体" w:hAnsi="宋体"/>
          <w:lang w:val="zh-CN"/>
        </w:rPr>
        <w:t>维简费：按财政部、国家发展改革委、国家煤矿安全监察局文件财建</w:t>
      </w:r>
      <w:r>
        <w:rPr>
          <w:rFonts w:ascii="宋体" w:hAnsi="宋体"/>
          <w:sz w:val="24"/>
        </w:rPr>
        <w:t>[2004]119</w:t>
      </w:r>
      <w:r>
        <w:rPr>
          <w:rStyle w:val="157"/>
          <w:rFonts w:hint="eastAsia" w:ascii="宋体" w:hAnsi="宋体"/>
          <w:lang w:val="zh-CN"/>
        </w:rPr>
        <w:t>号文的</w:t>
      </w:r>
      <w:r>
        <w:rPr>
          <w:rFonts w:ascii="宋体" w:hAnsi="宋体"/>
          <w:sz w:val="24"/>
        </w:rPr>
        <w:t>50%</w:t>
      </w:r>
      <w:r>
        <w:rPr>
          <w:rStyle w:val="157"/>
          <w:rFonts w:hint="eastAsia" w:ascii="宋体" w:hAnsi="宋体"/>
          <w:lang w:val="zh-CN"/>
        </w:rPr>
        <w:t>计列</w:t>
      </w:r>
      <w:r>
        <w:rPr>
          <w:rFonts w:hint="eastAsia" w:ascii="宋体" w:hAnsi="宋体"/>
          <w:sz w:val="24"/>
        </w:rPr>
        <w:t>（</w:t>
      </w:r>
      <w:r>
        <w:rPr>
          <w:rStyle w:val="157"/>
          <w:rFonts w:hint="eastAsia" w:ascii="宋体" w:hAnsi="宋体"/>
          <w:lang w:val="zh-CN"/>
        </w:rPr>
        <w:t>另</w:t>
      </w:r>
      <w:r>
        <w:rPr>
          <w:rFonts w:ascii="宋体" w:hAnsi="宋体"/>
          <w:sz w:val="24"/>
        </w:rPr>
        <w:t>50%</w:t>
      </w:r>
      <w:r>
        <w:rPr>
          <w:rStyle w:val="157"/>
          <w:rFonts w:hint="eastAsia" w:ascii="宋体" w:hAnsi="宋体"/>
          <w:lang w:val="zh-CN"/>
        </w:rPr>
        <w:t>并入经营成本的管理费内</w:t>
      </w:r>
      <w:r>
        <w:rPr>
          <w:rFonts w:hint="eastAsia" w:ascii="宋体" w:hAnsi="宋体"/>
          <w:sz w:val="24"/>
        </w:rPr>
        <w:t>）</w:t>
      </w:r>
      <w:r>
        <w:rPr>
          <w:rStyle w:val="157"/>
          <w:rFonts w:hint="eastAsia" w:ascii="宋体" w:hAnsi="宋体"/>
          <w:lang w:val="zh-CN"/>
        </w:rPr>
        <w:t>。</w:t>
      </w:r>
    </w:p>
    <w:p w14:paraId="378CA289">
      <w:pPr>
        <w:spacing w:line="360" w:lineRule="auto"/>
        <w:ind w:firstLine="480" w:firstLineChars="200"/>
        <w:rPr>
          <w:rFonts w:ascii="宋体" w:hAnsi="宋体"/>
          <w:sz w:val="24"/>
        </w:rPr>
      </w:pPr>
      <w:r>
        <w:rPr>
          <w:rFonts w:hint="eastAsia" w:ascii="宋体" w:hAnsi="宋体" w:cs="宋体"/>
          <w:sz w:val="24"/>
        </w:rPr>
        <w:t>（4）</w:t>
      </w:r>
      <w:r>
        <w:rPr>
          <w:rStyle w:val="157"/>
          <w:rFonts w:hint="eastAsia" w:ascii="宋体" w:hAnsi="宋体"/>
          <w:lang w:val="zh-CN"/>
        </w:rPr>
        <w:t>井巷工程基金：按</w:t>
      </w:r>
      <w:r>
        <w:rPr>
          <w:rFonts w:ascii="宋体" w:hAnsi="宋体"/>
          <w:sz w:val="24"/>
        </w:rPr>
        <w:t>2.5</w:t>
      </w:r>
      <w:r>
        <w:rPr>
          <w:rStyle w:val="157"/>
          <w:rFonts w:hint="eastAsia" w:ascii="宋体" w:hAnsi="宋体"/>
          <w:lang w:val="zh-CN"/>
        </w:rPr>
        <w:t>元</w:t>
      </w:r>
      <w:r>
        <w:rPr>
          <w:rFonts w:ascii="宋体" w:hAnsi="宋体"/>
          <w:sz w:val="24"/>
        </w:rPr>
        <w:t>/t</w:t>
      </w:r>
      <w:r>
        <w:rPr>
          <w:rStyle w:val="157"/>
          <w:rFonts w:hint="eastAsia" w:ascii="宋体" w:hAnsi="宋体"/>
          <w:lang w:val="zh-CN"/>
        </w:rPr>
        <w:t>计算。</w:t>
      </w:r>
    </w:p>
    <w:p w14:paraId="154C0408">
      <w:pPr>
        <w:spacing w:line="360" w:lineRule="auto"/>
        <w:ind w:firstLine="480" w:firstLineChars="200"/>
        <w:rPr>
          <w:rFonts w:ascii="宋体" w:hAnsi="宋体"/>
          <w:sz w:val="24"/>
        </w:rPr>
      </w:pPr>
      <w:r>
        <w:rPr>
          <w:rFonts w:hint="eastAsia" w:ascii="宋体" w:hAnsi="宋体" w:cs="宋体"/>
          <w:sz w:val="24"/>
        </w:rPr>
        <w:t>（5）</w:t>
      </w:r>
      <w:r>
        <w:rPr>
          <w:rStyle w:val="157"/>
          <w:rFonts w:hint="eastAsia" w:ascii="宋体" w:hAnsi="宋体"/>
          <w:lang w:val="zh-CN"/>
        </w:rPr>
        <w:t>财务费用：包括流动资金借款利息。</w:t>
      </w:r>
    </w:p>
    <w:p w14:paraId="383CDAD3">
      <w:pPr>
        <w:spacing w:line="360" w:lineRule="auto"/>
        <w:ind w:firstLine="480" w:firstLineChars="200"/>
        <w:rPr>
          <w:rFonts w:ascii="宋体" w:hAnsi="宋体"/>
          <w:sz w:val="24"/>
        </w:rPr>
      </w:pPr>
      <w:r>
        <w:rPr>
          <w:rStyle w:val="157"/>
          <w:rFonts w:hint="eastAsia" w:ascii="宋体" w:hAnsi="宋体"/>
          <w:lang w:val="zh-CN"/>
        </w:rPr>
        <w:t xml:space="preserve">矿井生产成本估算见 </w:t>
      </w:r>
      <w:r>
        <w:rPr>
          <w:rStyle w:val="157"/>
          <w:rFonts w:hint="eastAsia" w:ascii="宋体" w:hAnsi="宋体"/>
          <w:b/>
          <w:lang w:val="zh-CN"/>
        </w:rPr>
        <w:t>表</w:t>
      </w:r>
      <w:r>
        <w:rPr>
          <w:rFonts w:hint="eastAsia" w:ascii="宋体" w:hAnsi="宋体"/>
          <w:b/>
          <w:sz w:val="24"/>
        </w:rPr>
        <w:t>10-3-1</w:t>
      </w:r>
      <w:r>
        <w:rPr>
          <w:rStyle w:val="157"/>
          <w:rFonts w:hint="eastAsia" w:ascii="宋体" w:hAnsi="宋体"/>
          <w:lang w:val="zh-CN"/>
        </w:rPr>
        <w:t>。</w:t>
      </w:r>
    </w:p>
    <w:p w14:paraId="7F8EF438">
      <w:pPr>
        <w:pStyle w:val="89"/>
        <w:ind w:firstLine="480" w:firstLineChars="200"/>
        <w:rPr>
          <w:rFonts w:hint="eastAsia" w:hAnsi="宋体"/>
        </w:rPr>
      </w:pPr>
      <w:r>
        <w:rPr>
          <w:rFonts w:hint="eastAsia" w:hAnsi="宋体"/>
        </w:rPr>
        <w:t>估算总成本费为5837.1万元，单位成本费用为194.57元/t；经营成本4347.3元，单位经营成本费用为144.91元/t。总成本费用中包括井巷工程基金、维简费的50%、管理费、工商管理费、育林费、排污费及农业发展基金等。</w:t>
      </w:r>
    </w:p>
    <w:p w14:paraId="6E7B0501">
      <w:pPr>
        <w:pStyle w:val="89"/>
        <w:ind w:firstLine="0"/>
        <w:jc w:val="center"/>
        <w:rPr>
          <w:rStyle w:val="157"/>
          <w:rFonts w:hint="eastAsia" w:ascii="宋体" w:hAnsi="宋体"/>
          <w:b/>
          <w:lang w:val="zh-CN"/>
        </w:rPr>
      </w:pPr>
      <w:r>
        <w:rPr>
          <w:rStyle w:val="157"/>
          <w:rFonts w:hint="eastAsia" w:ascii="宋体" w:hAnsi="宋体"/>
          <w:b/>
          <w:lang w:val="zh-CN"/>
        </w:rPr>
        <w:t>表10-3-1      矿井原煤单位设计成本计算表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02"/>
        <w:gridCol w:w="2936"/>
        <w:gridCol w:w="1780"/>
        <w:gridCol w:w="1580"/>
        <w:gridCol w:w="1535"/>
      </w:tblGrid>
      <w:tr w14:paraId="1FB1E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vMerge w:val="restart"/>
            <w:noWrap w:val="0"/>
            <w:tcMar>
              <w:top w:w="15" w:type="dxa"/>
              <w:left w:w="15" w:type="dxa"/>
              <w:bottom w:w="0" w:type="dxa"/>
              <w:right w:w="15" w:type="dxa"/>
            </w:tcMar>
            <w:vAlign w:val="center"/>
          </w:tcPr>
          <w:p w14:paraId="2E75225B">
            <w:pPr>
              <w:jc w:val="center"/>
              <w:rPr>
                <w:rFonts w:ascii="宋体" w:hAnsi="宋体" w:cs="宋体"/>
                <w:sz w:val="24"/>
              </w:rPr>
            </w:pPr>
            <w:r>
              <w:rPr>
                <w:rFonts w:hint="eastAsia" w:ascii="宋体" w:hAnsi="宋体"/>
                <w:sz w:val="24"/>
              </w:rPr>
              <w:t>序号</w:t>
            </w:r>
          </w:p>
        </w:tc>
        <w:tc>
          <w:tcPr>
            <w:tcW w:w="2936" w:type="dxa"/>
            <w:vMerge w:val="restart"/>
            <w:noWrap w:val="0"/>
            <w:tcMar>
              <w:top w:w="15" w:type="dxa"/>
              <w:left w:w="15" w:type="dxa"/>
              <w:bottom w:w="0" w:type="dxa"/>
              <w:right w:w="15" w:type="dxa"/>
            </w:tcMar>
            <w:vAlign w:val="center"/>
          </w:tcPr>
          <w:p w14:paraId="2635EFAE">
            <w:pPr>
              <w:jc w:val="center"/>
              <w:rPr>
                <w:rFonts w:ascii="宋体" w:hAnsi="宋体" w:cs="宋体"/>
                <w:sz w:val="24"/>
              </w:rPr>
            </w:pPr>
            <w:r>
              <w:rPr>
                <w:rFonts w:hint="eastAsia" w:ascii="宋体" w:hAnsi="宋体"/>
                <w:sz w:val="24"/>
              </w:rPr>
              <w:t>成   本    项    目</w:t>
            </w:r>
          </w:p>
        </w:tc>
        <w:tc>
          <w:tcPr>
            <w:tcW w:w="1780" w:type="dxa"/>
            <w:noWrap w:val="0"/>
            <w:tcMar>
              <w:top w:w="15" w:type="dxa"/>
              <w:left w:w="15" w:type="dxa"/>
              <w:bottom w:w="0" w:type="dxa"/>
              <w:right w:w="15" w:type="dxa"/>
            </w:tcMar>
            <w:vAlign w:val="center"/>
          </w:tcPr>
          <w:p w14:paraId="3AA2F11F">
            <w:pPr>
              <w:jc w:val="center"/>
              <w:rPr>
                <w:rFonts w:ascii="宋体" w:hAnsi="宋体" w:cs="宋体"/>
                <w:sz w:val="24"/>
              </w:rPr>
            </w:pPr>
            <w:r>
              <w:rPr>
                <w:rFonts w:hint="eastAsia" w:ascii="宋体" w:hAnsi="宋体"/>
                <w:sz w:val="24"/>
              </w:rPr>
              <w:t>单位成本</w:t>
            </w:r>
          </w:p>
        </w:tc>
        <w:tc>
          <w:tcPr>
            <w:tcW w:w="3115" w:type="dxa"/>
            <w:gridSpan w:val="2"/>
            <w:noWrap w:val="0"/>
            <w:tcMar>
              <w:top w:w="15" w:type="dxa"/>
              <w:left w:w="15" w:type="dxa"/>
              <w:bottom w:w="0" w:type="dxa"/>
              <w:right w:w="15" w:type="dxa"/>
            </w:tcMar>
            <w:vAlign w:val="center"/>
          </w:tcPr>
          <w:p w14:paraId="55466E82">
            <w:pPr>
              <w:jc w:val="center"/>
              <w:rPr>
                <w:rFonts w:ascii="宋体" w:hAnsi="宋体" w:cs="宋体"/>
                <w:sz w:val="24"/>
              </w:rPr>
            </w:pPr>
            <w:r>
              <w:rPr>
                <w:rFonts w:hint="eastAsia" w:ascii="宋体" w:hAnsi="宋体"/>
                <w:sz w:val="24"/>
              </w:rPr>
              <w:t>其    中：</w:t>
            </w:r>
          </w:p>
        </w:tc>
      </w:tr>
      <w:tr w14:paraId="2B08C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vMerge w:val="continue"/>
            <w:noWrap w:val="0"/>
            <w:vAlign w:val="center"/>
          </w:tcPr>
          <w:p w14:paraId="67D0758A">
            <w:pPr>
              <w:rPr>
                <w:rFonts w:ascii="宋体" w:hAnsi="宋体" w:cs="宋体"/>
                <w:sz w:val="24"/>
              </w:rPr>
            </w:pPr>
          </w:p>
        </w:tc>
        <w:tc>
          <w:tcPr>
            <w:tcW w:w="2936" w:type="dxa"/>
            <w:vMerge w:val="continue"/>
            <w:noWrap w:val="0"/>
            <w:vAlign w:val="center"/>
          </w:tcPr>
          <w:p w14:paraId="0A32374C">
            <w:pPr>
              <w:rPr>
                <w:rFonts w:ascii="宋体" w:hAnsi="宋体" w:cs="宋体"/>
                <w:sz w:val="24"/>
              </w:rPr>
            </w:pPr>
          </w:p>
        </w:tc>
        <w:tc>
          <w:tcPr>
            <w:tcW w:w="1780" w:type="dxa"/>
            <w:noWrap w:val="0"/>
            <w:tcMar>
              <w:top w:w="15" w:type="dxa"/>
              <w:left w:w="15" w:type="dxa"/>
              <w:bottom w:w="0" w:type="dxa"/>
              <w:right w:w="15" w:type="dxa"/>
            </w:tcMar>
            <w:vAlign w:val="center"/>
          </w:tcPr>
          <w:p w14:paraId="3890FD00">
            <w:pPr>
              <w:jc w:val="center"/>
              <w:rPr>
                <w:rFonts w:ascii="宋体" w:hAnsi="宋体" w:cs="宋体"/>
                <w:sz w:val="24"/>
              </w:rPr>
            </w:pPr>
            <w:r>
              <w:rPr>
                <w:rFonts w:hint="eastAsia" w:ascii="宋体" w:hAnsi="宋体"/>
                <w:sz w:val="24"/>
              </w:rPr>
              <w:t>（元</w:t>
            </w:r>
            <w:r>
              <w:rPr>
                <w:rFonts w:ascii="宋体" w:hAnsi="宋体"/>
                <w:sz w:val="24"/>
              </w:rPr>
              <w:t>/吨</w:t>
            </w:r>
            <w:r>
              <w:rPr>
                <w:rFonts w:hint="eastAsia" w:ascii="宋体" w:hAnsi="宋体"/>
                <w:sz w:val="24"/>
              </w:rPr>
              <w:t>）</w:t>
            </w:r>
          </w:p>
        </w:tc>
        <w:tc>
          <w:tcPr>
            <w:tcW w:w="1580" w:type="dxa"/>
            <w:noWrap w:val="0"/>
            <w:tcMar>
              <w:top w:w="15" w:type="dxa"/>
              <w:left w:w="15" w:type="dxa"/>
              <w:bottom w:w="0" w:type="dxa"/>
              <w:right w:w="15" w:type="dxa"/>
            </w:tcMar>
            <w:vAlign w:val="center"/>
          </w:tcPr>
          <w:p w14:paraId="282992AF">
            <w:pPr>
              <w:jc w:val="center"/>
              <w:rPr>
                <w:rFonts w:ascii="宋体" w:hAnsi="宋体" w:cs="宋体"/>
                <w:sz w:val="24"/>
              </w:rPr>
            </w:pPr>
            <w:r>
              <w:rPr>
                <w:rFonts w:hint="eastAsia" w:ascii="宋体" w:hAnsi="宋体"/>
                <w:sz w:val="24"/>
              </w:rPr>
              <w:t>固定成本</w:t>
            </w:r>
          </w:p>
        </w:tc>
        <w:tc>
          <w:tcPr>
            <w:tcW w:w="1535" w:type="dxa"/>
            <w:noWrap w:val="0"/>
            <w:tcMar>
              <w:top w:w="15" w:type="dxa"/>
              <w:left w:w="15" w:type="dxa"/>
              <w:bottom w:w="0" w:type="dxa"/>
              <w:right w:w="15" w:type="dxa"/>
            </w:tcMar>
            <w:vAlign w:val="center"/>
          </w:tcPr>
          <w:p w14:paraId="51C1457B">
            <w:pPr>
              <w:jc w:val="center"/>
              <w:rPr>
                <w:rFonts w:ascii="宋体" w:hAnsi="宋体" w:cs="宋体"/>
                <w:sz w:val="24"/>
              </w:rPr>
            </w:pPr>
            <w:r>
              <w:rPr>
                <w:rFonts w:hint="eastAsia" w:ascii="宋体" w:hAnsi="宋体"/>
                <w:sz w:val="24"/>
              </w:rPr>
              <w:t>可变成本</w:t>
            </w:r>
          </w:p>
        </w:tc>
      </w:tr>
      <w:tr w14:paraId="6C8A5A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2A61AE75">
            <w:pPr>
              <w:jc w:val="center"/>
              <w:rPr>
                <w:rFonts w:ascii="宋体" w:hAnsi="宋体" w:cs="宋体"/>
                <w:sz w:val="24"/>
              </w:rPr>
            </w:pPr>
            <w:r>
              <w:rPr>
                <w:rFonts w:hint="eastAsia" w:ascii="宋体" w:hAnsi="宋体"/>
                <w:sz w:val="24"/>
              </w:rPr>
              <w:t>一</w:t>
            </w:r>
          </w:p>
        </w:tc>
        <w:tc>
          <w:tcPr>
            <w:tcW w:w="2936" w:type="dxa"/>
            <w:noWrap w:val="0"/>
            <w:tcMar>
              <w:top w:w="15" w:type="dxa"/>
              <w:left w:w="15" w:type="dxa"/>
              <w:bottom w:w="0" w:type="dxa"/>
              <w:right w:w="15" w:type="dxa"/>
            </w:tcMar>
            <w:vAlign w:val="center"/>
          </w:tcPr>
          <w:p w14:paraId="4E845DDA">
            <w:pPr>
              <w:rPr>
                <w:rFonts w:ascii="宋体" w:hAnsi="宋体" w:cs="宋体"/>
                <w:sz w:val="24"/>
              </w:rPr>
            </w:pPr>
            <w:r>
              <w:rPr>
                <w:rFonts w:hint="eastAsia" w:ascii="宋体" w:hAnsi="宋体"/>
                <w:sz w:val="24"/>
              </w:rPr>
              <w:t>经营成本</w:t>
            </w:r>
          </w:p>
        </w:tc>
        <w:tc>
          <w:tcPr>
            <w:tcW w:w="1780" w:type="dxa"/>
            <w:noWrap w:val="0"/>
            <w:tcMar>
              <w:top w:w="15" w:type="dxa"/>
              <w:left w:w="15" w:type="dxa"/>
              <w:bottom w:w="0" w:type="dxa"/>
              <w:right w:w="15" w:type="dxa"/>
            </w:tcMar>
            <w:vAlign w:val="center"/>
          </w:tcPr>
          <w:p w14:paraId="28C96298">
            <w:pPr>
              <w:jc w:val="center"/>
              <w:rPr>
                <w:rFonts w:ascii="宋体" w:hAnsi="宋体" w:cs="宋体"/>
                <w:sz w:val="24"/>
              </w:rPr>
            </w:pPr>
            <w:r>
              <w:rPr>
                <w:rFonts w:hint="eastAsia" w:ascii="宋体" w:hAnsi="宋体"/>
                <w:sz w:val="24"/>
              </w:rPr>
              <w:t xml:space="preserve">142.17 </w:t>
            </w:r>
          </w:p>
        </w:tc>
        <w:tc>
          <w:tcPr>
            <w:tcW w:w="1580" w:type="dxa"/>
            <w:noWrap w:val="0"/>
            <w:tcMar>
              <w:top w:w="15" w:type="dxa"/>
              <w:left w:w="15" w:type="dxa"/>
              <w:bottom w:w="0" w:type="dxa"/>
              <w:right w:w="15" w:type="dxa"/>
            </w:tcMar>
            <w:vAlign w:val="center"/>
          </w:tcPr>
          <w:p w14:paraId="103A2BB8">
            <w:pPr>
              <w:jc w:val="center"/>
              <w:rPr>
                <w:rFonts w:ascii="宋体" w:hAnsi="宋体" w:cs="宋体"/>
                <w:sz w:val="24"/>
              </w:rPr>
            </w:pPr>
            <w:r>
              <w:rPr>
                <w:rFonts w:hint="eastAsia" w:ascii="宋体" w:hAnsi="宋体"/>
                <w:sz w:val="24"/>
              </w:rPr>
              <w:t xml:space="preserve">105.50 </w:t>
            </w:r>
          </w:p>
        </w:tc>
        <w:tc>
          <w:tcPr>
            <w:tcW w:w="1535" w:type="dxa"/>
            <w:noWrap w:val="0"/>
            <w:tcMar>
              <w:top w:w="15" w:type="dxa"/>
              <w:left w:w="15" w:type="dxa"/>
              <w:bottom w:w="0" w:type="dxa"/>
              <w:right w:w="15" w:type="dxa"/>
            </w:tcMar>
            <w:vAlign w:val="center"/>
          </w:tcPr>
          <w:p w14:paraId="69823560">
            <w:pPr>
              <w:jc w:val="center"/>
              <w:rPr>
                <w:rFonts w:ascii="宋体" w:hAnsi="宋体" w:cs="宋体"/>
                <w:sz w:val="24"/>
              </w:rPr>
            </w:pPr>
            <w:r>
              <w:rPr>
                <w:rFonts w:hint="eastAsia" w:ascii="宋体" w:hAnsi="宋体"/>
                <w:sz w:val="24"/>
              </w:rPr>
              <w:t xml:space="preserve">36.67 </w:t>
            </w:r>
          </w:p>
        </w:tc>
      </w:tr>
      <w:tr w14:paraId="0C8F7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54D2B9C4">
            <w:pPr>
              <w:jc w:val="center"/>
              <w:rPr>
                <w:rFonts w:ascii="宋体" w:hAnsi="宋体" w:cs="宋体"/>
                <w:sz w:val="24"/>
              </w:rPr>
            </w:pPr>
            <w:r>
              <w:rPr>
                <w:rFonts w:hint="eastAsia" w:ascii="宋体" w:hAnsi="宋体"/>
                <w:sz w:val="24"/>
              </w:rPr>
              <w:t>1</w:t>
            </w:r>
          </w:p>
        </w:tc>
        <w:tc>
          <w:tcPr>
            <w:tcW w:w="2936" w:type="dxa"/>
            <w:noWrap w:val="0"/>
            <w:tcMar>
              <w:top w:w="15" w:type="dxa"/>
              <w:left w:w="15" w:type="dxa"/>
              <w:bottom w:w="0" w:type="dxa"/>
              <w:right w:w="15" w:type="dxa"/>
            </w:tcMar>
            <w:vAlign w:val="center"/>
          </w:tcPr>
          <w:p w14:paraId="4B9BA694">
            <w:pPr>
              <w:rPr>
                <w:rFonts w:ascii="宋体" w:hAnsi="宋体" w:cs="宋体"/>
                <w:sz w:val="24"/>
              </w:rPr>
            </w:pPr>
            <w:r>
              <w:rPr>
                <w:rFonts w:hint="eastAsia" w:ascii="宋体" w:hAnsi="宋体"/>
                <w:sz w:val="24"/>
              </w:rPr>
              <w:t>直接材料费</w:t>
            </w:r>
          </w:p>
        </w:tc>
        <w:tc>
          <w:tcPr>
            <w:tcW w:w="1780" w:type="dxa"/>
            <w:noWrap w:val="0"/>
            <w:tcMar>
              <w:top w:w="15" w:type="dxa"/>
              <w:left w:w="15" w:type="dxa"/>
              <w:bottom w:w="0" w:type="dxa"/>
              <w:right w:w="15" w:type="dxa"/>
            </w:tcMar>
            <w:vAlign w:val="center"/>
          </w:tcPr>
          <w:p w14:paraId="412E17E7">
            <w:pPr>
              <w:jc w:val="center"/>
              <w:rPr>
                <w:rFonts w:ascii="宋体" w:hAnsi="宋体" w:cs="宋体"/>
                <w:sz w:val="24"/>
              </w:rPr>
            </w:pPr>
            <w:r>
              <w:rPr>
                <w:rFonts w:hint="eastAsia" w:ascii="宋体" w:hAnsi="宋体"/>
                <w:sz w:val="24"/>
              </w:rPr>
              <w:t xml:space="preserve">76.83 </w:t>
            </w:r>
          </w:p>
        </w:tc>
        <w:tc>
          <w:tcPr>
            <w:tcW w:w="1580" w:type="dxa"/>
            <w:noWrap w:val="0"/>
            <w:tcMar>
              <w:top w:w="15" w:type="dxa"/>
              <w:left w:w="15" w:type="dxa"/>
              <w:bottom w:w="0" w:type="dxa"/>
              <w:right w:w="15" w:type="dxa"/>
            </w:tcMar>
            <w:vAlign w:val="center"/>
          </w:tcPr>
          <w:p w14:paraId="1A54F847">
            <w:pPr>
              <w:jc w:val="center"/>
              <w:rPr>
                <w:rFonts w:ascii="宋体" w:hAnsi="宋体" w:cs="宋体"/>
                <w:sz w:val="24"/>
              </w:rPr>
            </w:pPr>
            <w:r>
              <w:rPr>
                <w:rFonts w:hint="eastAsia" w:ascii="宋体" w:hAnsi="宋体"/>
                <w:sz w:val="24"/>
              </w:rPr>
              <w:t xml:space="preserve">50.88 </w:t>
            </w:r>
          </w:p>
        </w:tc>
        <w:tc>
          <w:tcPr>
            <w:tcW w:w="1535" w:type="dxa"/>
            <w:noWrap w:val="0"/>
            <w:tcMar>
              <w:top w:w="15" w:type="dxa"/>
              <w:left w:w="15" w:type="dxa"/>
              <w:bottom w:w="0" w:type="dxa"/>
              <w:right w:w="15" w:type="dxa"/>
            </w:tcMar>
            <w:vAlign w:val="center"/>
          </w:tcPr>
          <w:p w14:paraId="593368FC">
            <w:pPr>
              <w:jc w:val="center"/>
              <w:rPr>
                <w:rFonts w:ascii="宋体" w:hAnsi="宋体" w:cs="宋体"/>
                <w:sz w:val="24"/>
              </w:rPr>
            </w:pPr>
            <w:r>
              <w:rPr>
                <w:rFonts w:hint="eastAsia" w:ascii="宋体" w:hAnsi="宋体"/>
                <w:sz w:val="24"/>
              </w:rPr>
              <w:t xml:space="preserve">25.96 </w:t>
            </w:r>
          </w:p>
        </w:tc>
      </w:tr>
      <w:tr w14:paraId="4CA14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6E1BB7BC">
            <w:pPr>
              <w:jc w:val="center"/>
              <w:rPr>
                <w:rFonts w:ascii="宋体" w:hAnsi="宋体" w:cs="宋体"/>
                <w:sz w:val="24"/>
              </w:rPr>
            </w:pPr>
            <w:r>
              <w:rPr>
                <w:rFonts w:hint="eastAsia" w:ascii="宋体" w:hAnsi="宋体"/>
                <w:sz w:val="24"/>
              </w:rPr>
              <w:t>1.1</w:t>
            </w:r>
          </w:p>
        </w:tc>
        <w:tc>
          <w:tcPr>
            <w:tcW w:w="2936" w:type="dxa"/>
            <w:noWrap w:val="0"/>
            <w:tcMar>
              <w:top w:w="15" w:type="dxa"/>
              <w:left w:w="15" w:type="dxa"/>
              <w:bottom w:w="0" w:type="dxa"/>
              <w:right w:w="15" w:type="dxa"/>
            </w:tcMar>
            <w:vAlign w:val="center"/>
          </w:tcPr>
          <w:p w14:paraId="61FD98DC">
            <w:pPr>
              <w:rPr>
                <w:rFonts w:ascii="宋体" w:hAnsi="宋体" w:cs="宋体"/>
                <w:sz w:val="24"/>
              </w:rPr>
            </w:pPr>
            <w:r>
              <w:rPr>
                <w:rFonts w:hint="eastAsia" w:ascii="宋体" w:hAnsi="宋体"/>
                <w:sz w:val="24"/>
              </w:rPr>
              <w:t>材料</w:t>
            </w:r>
          </w:p>
        </w:tc>
        <w:tc>
          <w:tcPr>
            <w:tcW w:w="1780" w:type="dxa"/>
            <w:noWrap w:val="0"/>
            <w:tcMar>
              <w:top w:w="15" w:type="dxa"/>
              <w:left w:w="15" w:type="dxa"/>
              <w:bottom w:w="0" w:type="dxa"/>
              <w:right w:w="15" w:type="dxa"/>
            </w:tcMar>
            <w:vAlign w:val="center"/>
          </w:tcPr>
          <w:p w14:paraId="47FFB09B">
            <w:pPr>
              <w:jc w:val="center"/>
              <w:rPr>
                <w:rFonts w:ascii="宋体" w:hAnsi="宋体" w:cs="宋体"/>
                <w:sz w:val="24"/>
              </w:rPr>
            </w:pPr>
            <w:r>
              <w:rPr>
                <w:rFonts w:hint="eastAsia" w:ascii="宋体" w:hAnsi="宋体"/>
                <w:sz w:val="24"/>
              </w:rPr>
              <w:t xml:space="preserve">37.52 </w:t>
            </w:r>
          </w:p>
        </w:tc>
        <w:tc>
          <w:tcPr>
            <w:tcW w:w="1580" w:type="dxa"/>
            <w:noWrap w:val="0"/>
            <w:tcMar>
              <w:top w:w="15" w:type="dxa"/>
              <w:left w:w="15" w:type="dxa"/>
              <w:bottom w:w="0" w:type="dxa"/>
              <w:right w:w="15" w:type="dxa"/>
            </w:tcMar>
            <w:vAlign w:val="center"/>
          </w:tcPr>
          <w:p w14:paraId="6FC56EFA">
            <w:pPr>
              <w:jc w:val="center"/>
              <w:rPr>
                <w:rFonts w:ascii="宋体" w:hAnsi="宋体" w:cs="宋体"/>
                <w:sz w:val="24"/>
              </w:rPr>
            </w:pPr>
            <w:r>
              <w:rPr>
                <w:rFonts w:hint="eastAsia" w:ascii="宋体" w:hAnsi="宋体"/>
                <w:sz w:val="24"/>
              </w:rPr>
              <w:t xml:space="preserve">20.64 </w:t>
            </w:r>
          </w:p>
        </w:tc>
        <w:tc>
          <w:tcPr>
            <w:tcW w:w="1535" w:type="dxa"/>
            <w:noWrap w:val="0"/>
            <w:tcMar>
              <w:top w:w="15" w:type="dxa"/>
              <w:left w:w="15" w:type="dxa"/>
              <w:bottom w:w="0" w:type="dxa"/>
              <w:right w:w="15" w:type="dxa"/>
            </w:tcMar>
            <w:vAlign w:val="center"/>
          </w:tcPr>
          <w:p w14:paraId="695C30AE">
            <w:pPr>
              <w:jc w:val="center"/>
              <w:rPr>
                <w:rFonts w:ascii="宋体" w:hAnsi="宋体" w:cs="宋体"/>
                <w:sz w:val="24"/>
              </w:rPr>
            </w:pPr>
            <w:r>
              <w:rPr>
                <w:rFonts w:hint="eastAsia" w:ascii="宋体" w:hAnsi="宋体"/>
                <w:sz w:val="24"/>
              </w:rPr>
              <w:t xml:space="preserve">16.88 </w:t>
            </w:r>
          </w:p>
        </w:tc>
      </w:tr>
      <w:tr w14:paraId="63072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4EDEA5D6">
            <w:pPr>
              <w:jc w:val="center"/>
              <w:rPr>
                <w:rFonts w:ascii="宋体" w:hAnsi="宋体" w:cs="宋体"/>
                <w:sz w:val="24"/>
              </w:rPr>
            </w:pPr>
            <w:r>
              <w:rPr>
                <w:rFonts w:hint="eastAsia" w:ascii="宋体" w:hAnsi="宋体"/>
                <w:sz w:val="24"/>
              </w:rPr>
              <w:t>1.2</w:t>
            </w:r>
          </w:p>
        </w:tc>
        <w:tc>
          <w:tcPr>
            <w:tcW w:w="2936" w:type="dxa"/>
            <w:noWrap w:val="0"/>
            <w:tcMar>
              <w:top w:w="15" w:type="dxa"/>
              <w:left w:w="15" w:type="dxa"/>
              <w:bottom w:w="0" w:type="dxa"/>
              <w:right w:w="15" w:type="dxa"/>
            </w:tcMar>
            <w:vAlign w:val="center"/>
          </w:tcPr>
          <w:p w14:paraId="244F6AF5">
            <w:pPr>
              <w:rPr>
                <w:rFonts w:ascii="宋体" w:hAnsi="宋体" w:cs="宋体"/>
                <w:sz w:val="24"/>
              </w:rPr>
            </w:pPr>
            <w:r>
              <w:rPr>
                <w:rFonts w:hint="eastAsia" w:ascii="宋体" w:hAnsi="宋体"/>
                <w:sz w:val="24"/>
              </w:rPr>
              <w:t>动力</w:t>
            </w:r>
          </w:p>
        </w:tc>
        <w:tc>
          <w:tcPr>
            <w:tcW w:w="1780" w:type="dxa"/>
            <w:noWrap w:val="0"/>
            <w:tcMar>
              <w:top w:w="15" w:type="dxa"/>
              <w:left w:w="15" w:type="dxa"/>
              <w:bottom w:w="0" w:type="dxa"/>
              <w:right w:w="15" w:type="dxa"/>
            </w:tcMar>
            <w:vAlign w:val="center"/>
          </w:tcPr>
          <w:p w14:paraId="427E535E">
            <w:pPr>
              <w:jc w:val="center"/>
              <w:rPr>
                <w:rFonts w:ascii="宋体" w:hAnsi="宋体" w:cs="宋体"/>
                <w:sz w:val="24"/>
              </w:rPr>
            </w:pPr>
            <w:r>
              <w:rPr>
                <w:rFonts w:hint="eastAsia" w:ascii="宋体" w:hAnsi="宋体"/>
                <w:sz w:val="24"/>
              </w:rPr>
              <w:t xml:space="preserve">39.31 </w:t>
            </w:r>
          </w:p>
        </w:tc>
        <w:tc>
          <w:tcPr>
            <w:tcW w:w="1580" w:type="dxa"/>
            <w:noWrap w:val="0"/>
            <w:tcMar>
              <w:top w:w="15" w:type="dxa"/>
              <w:left w:w="15" w:type="dxa"/>
              <w:bottom w:w="0" w:type="dxa"/>
              <w:right w:w="15" w:type="dxa"/>
            </w:tcMar>
            <w:vAlign w:val="center"/>
          </w:tcPr>
          <w:p w14:paraId="248F2AC6">
            <w:pPr>
              <w:jc w:val="center"/>
              <w:rPr>
                <w:rFonts w:ascii="宋体" w:hAnsi="宋体" w:cs="宋体"/>
                <w:sz w:val="24"/>
              </w:rPr>
            </w:pPr>
            <w:r>
              <w:rPr>
                <w:rFonts w:hint="eastAsia" w:ascii="宋体" w:hAnsi="宋体"/>
                <w:sz w:val="24"/>
              </w:rPr>
              <w:t xml:space="preserve">30.24 </w:t>
            </w:r>
          </w:p>
        </w:tc>
        <w:tc>
          <w:tcPr>
            <w:tcW w:w="1535" w:type="dxa"/>
            <w:noWrap w:val="0"/>
            <w:tcMar>
              <w:top w:w="15" w:type="dxa"/>
              <w:left w:w="15" w:type="dxa"/>
              <w:bottom w:w="0" w:type="dxa"/>
              <w:right w:w="15" w:type="dxa"/>
            </w:tcMar>
            <w:vAlign w:val="center"/>
          </w:tcPr>
          <w:p w14:paraId="6F2CDC7D">
            <w:pPr>
              <w:jc w:val="center"/>
              <w:rPr>
                <w:rFonts w:ascii="宋体" w:hAnsi="宋体" w:cs="宋体"/>
                <w:sz w:val="24"/>
              </w:rPr>
            </w:pPr>
            <w:r>
              <w:rPr>
                <w:rFonts w:hint="eastAsia" w:ascii="宋体" w:hAnsi="宋体"/>
                <w:sz w:val="24"/>
              </w:rPr>
              <w:t xml:space="preserve">9.07 </w:t>
            </w:r>
          </w:p>
        </w:tc>
      </w:tr>
      <w:tr w14:paraId="62820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197C537B">
            <w:pPr>
              <w:jc w:val="center"/>
              <w:rPr>
                <w:rFonts w:ascii="宋体" w:hAnsi="宋体" w:cs="宋体"/>
                <w:sz w:val="24"/>
              </w:rPr>
            </w:pPr>
            <w:r>
              <w:rPr>
                <w:rFonts w:hint="eastAsia" w:ascii="宋体" w:hAnsi="宋体"/>
                <w:sz w:val="24"/>
              </w:rPr>
              <w:t>2</w:t>
            </w:r>
          </w:p>
        </w:tc>
        <w:tc>
          <w:tcPr>
            <w:tcW w:w="2936" w:type="dxa"/>
            <w:noWrap w:val="0"/>
            <w:tcMar>
              <w:top w:w="15" w:type="dxa"/>
              <w:left w:w="15" w:type="dxa"/>
              <w:bottom w:w="0" w:type="dxa"/>
              <w:right w:w="15" w:type="dxa"/>
            </w:tcMar>
            <w:vAlign w:val="center"/>
          </w:tcPr>
          <w:p w14:paraId="18D057CC">
            <w:pPr>
              <w:rPr>
                <w:rFonts w:ascii="宋体" w:hAnsi="宋体" w:cs="宋体"/>
                <w:sz w:val="24"/>
              </w:rPr>
            </w:pPr>
            <w:r>
              <w:rPr>
                <w:rFonts w:hint="eastAsia" w:ascii="宋体" w:hAnsi="宋体"/>
                <w:sz w:val="24"/>
              </w:rPr>
              <w:t>直接工资</w:t>
            </w:r>
          </w:p>
        </w:tc>
        <w:tc>
          <w:tcPr>
            <w:tcW w:w="1780" w:type="dxa"/>
            <w:noWrap w:val="0"/>
            <w:tcMar>
              <w:top w:w="15" w:type="dxa"/>
              <w:left w:w="15" w:type="dxa"/>
              <w:bottom w:w="0" w:type="dxa"/>
              <w:right w:w="15" w:type="dxa"/>
            </w:tcMar>
            <w:vAlign w:val="center"/>
          </w:tcPr>
          <w:p w14:paraId="3A41A781">
            <w:pPr>
              <w:jc w:val="center"/>
              <w:rPr>
                <w:rFonts w:ascii="宋体" w:hAnsi="宋体" w:cs="宋体"/>
                <w:sz w:val="24"/>
              </w:rPr>
            </w:pPr>
            <w:r>
              <w:rPr>
                <w:rFonts w:hint="eastAsia" w:ascii="宋体" w:hAnsi="宋体"/>
                <w:sz w:val="24"/>
              </w:rPr>
              <w:t xml:space="preserve">42.00 </w:t>
            </w:r>
          </w:p>
        </w:tc>
        <w:tc>
          <w:tcPr>
            <w:tcW w:w="1580" w:type="dxa"/>
            <w:noWrap w:val="0"/>
            <w:tcMar>
              <w:top w:w="15" w:type="dxa"/>
              <w:left w:w="15" w:type="dxa"/>
              <w:bottom w:w="0" w:type="dxa"/>
              <w:right w:w="15" w:type="dxa"/>
            </w:tcMar>
            <w:vAlign w:val="center"/>
          </w:tcPr>
          <w:p w14:paraId="4C860EA2">
            <w:pPr>
              <w:jc w:val="center"/>
              <w:rPr>
                <w:rFonts w:ascii="宋体" w:hAnsi="宋体" w:cs="宋体"/>
                <w:sz w:val="24"/>
              </w:rPr>
            </w:pPr>
            <w:r>
              <w:rPr>
                <w:rFonts w:hint="eastAsia" w:ascii="宋体" w:hAnsi="宋体"/>
                <w:sz w:val="24"/>
              </w:rPr>
              <w:t xml:space="preserve">35.00 </w:t>
            </w:r>
          </w:p>
        </w:tc>
        <w:tc>
          <w:tcPr>
            <w:tcW w:w="1535" w:type="dxa"/>
            <w:noWrap w:val="0"/>
            <w:tcMar>
              <w:top w:w="15" w:type="dxa"/>
              <w:left w:w="15" w:type="dxa"/>
              <w:bottom w:w="0" w:type="dxa"/>
              <w:right w:w="15" w:type="dxa"/>
            </w:tcMar>
            <w:vAlign w:val="center"/>
          </w:tcPr>
          <w:p w14:paraId="23A8A5AC">
            <w:pPr>
              <w:jc w:val="center"/>
              <w:rPr>
                <w:rFonts w:ascii="宋体" w:hAnsi="宋体" w:cs="宋体"/>
                <w:sz w:val="24"/>
              </w:rPr>
            </w:pPr>
            <w:r>
              <w:rPr>
                <w:rFonts w:hint="eastAsia" w:ascii="宋体" w:hAnsi="宋体"/>
                <w:sz w:val="24"/>
              </w:rPr>
              <w:t xml:space="preserve">7.00 </w:t>
            </w:r>
          </w:p>
        </w:tc>
      </w:tr>
      <w:tr w14:paraId="2025E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3D923F4F">
            <w:pPr>
              <w:jc w:val="center"/>
              <w:rPr>
                <w:rFonts w:ascii="宋体" w:hAnsi="宋体" w:cs="宋体"/>
                <w:sz w:val="24"/>
              </w:rPr>
            </w:pPr>
            <w:r>
              <w:rPr>
                <w:rFonts w:hint="eastAsia" w:ascii="宋体" w:hAnsi="宋体"/>
                <w:sz w:val="24"/>
              </w:rPr>
              <w:t>3</w:t>
            </w:r>
          </w:p>
        </w:tc>
        <w:tc>
          <w:tcPr>
            <w:tcW w:w="2936" w:type="dxa"/>
            <w:noWrap w:val="0"/>
            <w:tcMar>
              <w:top w:w="15" w:type="dxa"/>
              <w:left w:w="15" w:type="dxa"/>
              <w:bottom w:w="0" w:type="dxa"/>
              <w:right w:w="15" w:type="dxa"/>
            </w:tcMar>
            <w:vAlign w:val="center"/>
          </w:tcPr>
          <w:p w14:paraId="6F5026B3">
            <w:pPr>
              <w:rPr>
                <w:rFonts w:ascii="宋体" w:hAnsi="宋体" w:cs="宋体"/>
                <w:sz w:val="24"/>
              </w:rPr>
            </w:pPr>
            <w:r>
              <w:rPr>
                <w:rFonts w:hint="eastAsia" w:ascii="宋体" w:hAnsi="宋体"/>
                <w:sz w:val="24"/>
              </w:rPr>
              <w:t>其他直接支出</w:t>
            </w:r>
          </w:p>
        </w:tc>
        <w:tc>
          <w:tcPr>
            <w:tcW w:w="1780" w:type="dxa"/>
            <w:noWrap w:val="0"/>
            <w:tcMar>
              <w:top w:w="15" w:type="dxa"/>
              <w:left w:w="15" w:type="dxa"/>
              <w:bottom w:w="0" w:type="dxa"/>
              <w:right w:w="15" w:type="dxa"/>
            </w:tcMar>
            <w:vAlign w:val="center"/>
          </w:tcPr>
          <w:p w14:paraId="00F6E42B">
            <w:pPr>
              <w:jc w:val="center"/>
              <w:rPr>
                <w:rFonts w:ascii="宋体" w:hAnsi="宋体" w:cs="宋体"/>
                <w:sz w:val="24"/>
              </w:rPr>
            </w:pPr>
            <w:r>
              <w:rPr>
                <w:rFonts w:hint="eastAsia" w:ascii="宋体" w:hAnsi="宋体"/>
                <w:sz w:val="24"/>
              </w:rPr>
              <w:t xml:space="preserve">5.74 </w:t>
            </w:r>
          </w:p>
        </w:tc>
        <w:tc>
          <w:tcPr>
            <w:tcW w:w="1580" w:type="dxa"/>
            <w:noWrap w:val="0"/>
            <w:tcMar>
              <w:top w:w="15" w:type="dxa"/>
              <w:left w:w="15" w:type="dxa"/>
              <w:bottom w:w="0" w:type="dxa"/>
              <w:right w:w="15" w:type="dxa"/>
            </w:tcMar>
            <w:vAlign w:val="center"/>
          </w:tcPr>
          <w:p w14:paraId="3B18CACD">
            <w:pPr>
              <w:jc w:val="center"/>
              <w:rPr>
                <w:rFonts w:ascii="宋体" w:hAnsi="宋体" w:cs="宋体"/>
                <w:sz w:val="24"/>
              </w:rPr>
            </w:pPr>
            <w:r>
              <w:rPr>
                <w:rFonts w:hint="eastAsia" w:ascii="宋体" w:hAnsi="宋体"/>
                <w:sz w:val="24"/>
              </w:rPr>
              <w:t xml:space="preserve">5.74 </w:t>
            </w:r>
          </w:p>
        </w:tc>
        <w:tc>
          <w:tcPr>
            <w:tcW w:w="1535" w:type="dxa"/>
            <w:noWrap w:val="0"/>
            <w:tcMar>
              <w:top w:w="15" w:type="dxa"/>
              <w:left w:w="15" w:type="dxa"/>
              <w:bottom w:w="0" w:type="dxa"/>
              <w:right w:w="15" w:type="dxa"/>
            </w:tcMar>
            <w:vAlign w:val="center"/>
          </w:tcPr>
          <w:p w14:paraId="5976920D">
            <w:pPr>
              <w:jc w:val="center"/>
              <w:rPr>
                <w:rFonts w:ascii="宋体" w:hAnsi="宋体" w:cs="宋体"/>
                <w:sz w:val="24"/>
              </w:rPr>
            </w:pPr>
            <w:r>
              <w:rPr>
                <w:rFonts w:hint="eastAsia" w:ascii="宋体" w:hAnsi="宋体"/>
                <w:sz w:val="24"/>
              </w:rPr>
              <w:t>　</w:t>
            </w:r>
          </w:p>
        </w:tc>
      </w:tr>
      <w:tr w14:paraId="49DFD1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0B67EDA9">
            <w:pPr>
              <w:jc w:val="center"/>
              <w:rPr>
                <w:rFonts w:ascii="宋体" w:hAnsi="宋体" w:cs="宋体"/>
                <w:sz w:val="24"/>
              </w:rPr>
            </w:pPr>
            <w:r>
              <w:rPr>
                <w:rFonts w:hint="eastAsia" w:ascii="宋体" w:hAnsi="宋体"/>
                <w:sz w:val="24"/>
              </w:rPr>
              <w:t>4</w:t>
            </w:r>
          </w:p>
        </w:tc>
        <w:tc>
          <w:tcPr>
            <w:tcW w:w="2936" w:type="dxa"/>
            <w:noWrap w:val="0"/>
            <w:tcMar>
              <w:top w:w="15" w:type="dxa"/>
              <w:left w:w="15" w:type="dxa"/>
              <w:bottom w:w="0" w:type="dxa"/>
              <w:right w:w="15" w:type="dxa"/>
            </w:tcMar>
            <w:vAlign w:val="center"/>
          </w:tcPr>
          <w:p w14:paraId="689337AF">
            <w:pPr>
              <w:rPr>
                <w:rFonts w:ascii="宋体" w:hAnsi="宋体" w:cs="宋体"/>
                <w:sz w:val="24"/>
              </w:rPr>
            </w:pPr>
            <w:r>
              <w:rPr>
                <w:rFonts w:hint="eastAsia" w:ascii="宋体" w:hAnsi="宋体"/>
                <w:sz w:val="24"/>
              </w:rPr>
              <w:t>维修费</w:t>
            </w:r>
          </w:p>
        </w:tc>
        <w:tc>
          <w:tcPr>
            <w:tcW w:w="1780" w:type="dxa"/>
            <w:noWrap w:val="0"/>
            <w:tcMar>
              <w:top w:w="15" w:type="dxa"/>
              <w:left w:w="15" w:type="dxa"/>
              <w:bottom w:w="0" w:type="dxa"/>
              <w:right w:w="15" w:type="dxa"/>
            </w:tcMar>
            <w:vAlign w:val="center"/>
          </w:tcPr>
          <w:p w14:paraId="072C66E1">
            <w:pPr>
              <w:jc w:val="center"/>
              <w:rPr>
                <w:rFonts w:ascii="宋体" w:hAnsi="宋体" w:cs="宋体"/>
                <w:sz w:val="24"/>
              </w:rPr>
            </w:pPr>
            <w:r>
              <w:rPr>
                <w:rFonts w:hint="eastAsia" w:ascii="宋体" w:hAnsi="宋体"/>
                <w:sz w:val="24"/>
              </w:rPr>
              <w:t xml:space="preserve">4.80 </w:t>
            </w:r>
          </w:p>
        </w:tc>
        <w:tc>
          <w:tcPr>
            <w:tcW w:w="1580" w:type="dxa"/>
            <w:noWrap w:val="0"/>
            <w:tcMar>
              <w:top w:w="15" w:type="dxa"/>
              <w:left w:w="15" w:type="dxa"/>
              <w:bottom w:w="0" w:type="dxa"/>
              <w:right w:w="15" w:type="dxa"/>
            </w:tcMar>
            <w:vAlign w:val="center"/>
          </w:tcPr>
          <w:p w14:paraId="61C0C829">
            <w:pPr>
              <w:jc w:val="center"/>
              <w:rPr>
                <w:rFonts w:ascii="宋体" w:hAnsi="宋体" w:cs="宋体"/>
                <w:sz w:val="24"/>
              </w:rPr>
            </w:pPr>
            <w:r>
              <w:rPr>
                <w:rFonts w:hint="eastAsia" w:ascii="宋体" w:hAnsi="宋体"/>
                <w:sz w:val="24"/>
              </w:rPr>
              <w:t xml:space="preserve">4.80 </w:t>
            </w:r>
          </w:p>
        </w:tc>
        <w:tc>
          <w:tcPr>
            <w:tcW w:w="1535" w:type="dxa"/>
            <w:noWrap w:val="0"/>
            <w:tcMar>
              <w:top w:w="15" w:type="dxa"/>
              <w:left w:w="15" w:type="dxa"/>
              <w:bottom w:w="0" w:type="dxa"/>
              <w:right w:w="15" w:type="dxa"/>
            </w:tcMar>
            <w:vAlign w:val="center"/>
          </w:tcPr>
          <w:p w14:paraId="6154633F">
            <w:pPr>
              <w:jc w:val="center"/>
              <w:rPr>
                <w:rFonts w:ascii="宋体" w:hAnsi="宋体" w:cs="宋体"/>
                <w:sz w:val="24"/>
              </w:rPr>
            </w:pPr>
            <w:r>
              <w:rPr>
                <w:rFonts w:hint="eastAsia" w:ascii="宋体" w:hAnsi="宋体"/>
                <w:sz w:val="24"/>
              </w:rPr>
              <w:t>　</w:t>
            </w:r>
          </w:p>
        </w:tc>
      </w:tr>
      <w:tr w14:paraId="0A44F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2DE2B2FA">
            <w:pPr>
              <w:jc w:val="center"/>
              <w:rPr>
                <w:rFonts w:ascii="宋体" w:hAnsi="宋体" w:cs="宋体"/>
                <w:sz w:val="24"/>
              </w:rPr>
            </w:pPr>
            <w:r>
              <w:rPr>
                <w:rFonts w:hint="eastAsia" w:ascii="宋体" w:hAnsi="宋体"/>
                <w:sz w:val="24"/>
              </w:rPr>
              <w:t>5</w:t>
            </w:r>
          </w:p>
        </w:tc>
        <w:tc>
          <w:tcPr>
            <w:tcW w:w="2936" w:type="dxa"/>
            <w:noWrap w:val="0"/>
            <w:tcMar>
              <w:top w:w="15" w:type="dxa"/>
              <w:left w:w="15" w:type="dxa"/>
              <w:bottom w:w="0" w:type="dxa"/>
              <w:right w:w="15" w:type="dxa"/>
            </w:tcMar>
            <w:vAlign w:val="center"/>
          </w:tcPr>
          <w:p w14:paraId="77F2FD36">
            <w:pPr>
              <w:rPr>
                <w:rFonts w:ascii="宋体" w:hAnsi="宋体" w:cs="宋体"/>
                <w:sz w:val="24"/>
              </w:rPr>
            </w:pPr>
            <w:r>
              <w:rPr>
                <w:rFonts w:hint="eastAsia" w:ascii="宋体" w:hAnsi="宋体"/>
                <w:sz w:val="24"/>
              </w:rPr>
              <w:t>管理费</w:t>
            </w:r>
          </w:p>
        </w:tc>
        <w:tc>
          <w:tcPr>
            <w:tcW w:w="1780" w:type="dxa"/>
            <w:noWrap w:val="0"/>
            <w:tcMar>
              <w:top w:w="15" w:type="dxa"/>
              <w:left w:w="15" w:type="dxa"/>
              <w:bottom w:w="0" w:type="dxa"/>
              <w:right w:w="15" w:type="dxa"/>
            </w:tcMar>
            <w:vAlign w:val="center"/>
          </w:tcPr>
          <w:p w14:paraId="58664341">
            <w:pPr>
              <w:jc w:val="center"/>
              <w:rPr>
                <w:rFonts w:ascii="宋体" w:hAnsi="宋体" w:cs="宋体"/>
                <w:sz w:val="24"/>
              </w:rPr>
            </w:pPr>
            <w:r>
              <w:rPr>
                <w:rFonts w:hint="eastAsia" w:ascii="宋体" w:hAnsi="宋体"/>
                <w:sz w:val="24"/>
              </w:rPr>
              <w:t>12.8</w:t>
            </w:r>
          </w:p>
        </w:tc>
        <w:tc>
          <w:tcPr>
            <w:tcW w:w="1580" w:type="dxa"/>
            <w:noWrap w:val="0"/>
            <w:tcMar>
              <w:top w:w="15" w:type="dxa"/>
              <w:left w:w="15" w:type="dxa"/>
              <w:bottom w:w="0" w:type="dxa"/>
              <w:right w:w="15" w:type="dxa"/>
            </w:tcMar>
            <w:vAlign w:val="center"/>
          </w:tcPr>
          <w:p w14:paraId="09496A49">
            <w:pPr>
              <w:jc w:val="center"/>
              <w:rPr>
                <w:rFonts w:ascii="宋体" w:hAnsi="宋体" w:cs="宋体"/>
                <w:sz w:val="24"/>
              </w:rPr>
            </w:pPr>
            <w:r>
              <w:rPr>
                <w:rFonts w:hint="eastAsia" w:ascii="宋体" w:hAnsi="宋体"/>
                <w:sz w:val="24"/>
              </w:rPr>
              <w:t>9.09</w:t>
            </w:r>
          </w:p>
        </w:tc>
        <w:tc>
          <w:tcPr>
            <w:tcW w:w="1535" w:type="dxa"/>
            <w:noWrap w:val="0"/>
            <w:tcMar>
              <w:top w:w="15" w:type="dxa"/>
              <w:left w:w="15" w:type="dxa"/>
              <w:bottom w:w="0" w:type="dxa"/>
              <w:right w:w="15" w:type="dxa"/>
            </w:tcMar>
            <w:vAlign w:val="center"/>
          </w:tcPr>
          <w:p w14:paraId="50780952">
            <w:pPr>
              <w:jc w:val="center"/>
              <w:rPr>
                <w:rFonts w:ascii="宋体" w:hAnsi="宋体" w:cs="宋体"/>
                <w:sz w:val="24"/>
              </w:rPr>
            </w:pPr>
            <w:r>
              <w:rPr>
                <w:rFonts w:hint="eastAsia" w:ascii="宋体" w:hAnsi="宋体"/>
                <w:sz w:val="24"/>
              </w:rPr>
              <w:t>3.71</w:t>
            </w:r>
          </w:p>
        </w:tc>
      </w:tr>
      <w:tr w14:paraId="26805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11710E08">
            <w:pPr>
              <w:jc w:val="center"/>
              <w:rPr>
                <w:rFonts w:ascii="宋体" w:hAnsi="宋体" w:cs="宋体"/>
                <w:sz w:val="24"/>
              </w:rPr>
            </w:pPr>
            <w:r>
              <w:rPr>
                <w:rFonts w:hint="eastAsia" w:ascii="宋体" w:hAnsi="宋体"/>
                <w:sz w:val="24"/>
              </w:rPr>
              <w:t>二</w:t>
            </w:r>
          </w:p>
        </w:tc>
        <w:tc>
          <w:tcPr>
            <w:tcW w:w="2936" w:type="dxa"/>
            <w:noWrap w:val="0"/>
            <w:tcMar>
              <w:top w:w="15" w:type="dxa"/>
              <w:left w:w="15" w:type="dxa"/>
              <w:bottom w:w="0" w:type="dxa"/>
              <w:right w:w="15" w:type="dxa"/>
            </w:tcMar>
            <w:vAlign w:val="center"/>
          </w:tcPr>
          <w:p w14:paraId="26FC9186">
            <w:pPr>
              <w:rPr>
                <w:rFonts w:ascii="宋体" w:hAnsi="宋体" w:cs="宋体"/>
                <w:sz w:val="24"/>
              </w:rPr>
            </w:pPr>
            <w:r>
              <w:rPr>
                <w:rFonts w:hint="eastAsia" w:ascii="宋体" w:hAnsi="宋体"/>
                <w:sz w:val="24"/>
              </w:rPr>
              <w:t>折旧费</w:t>
            </w:r>
          </w:p>
        </w:tc>
        <w:tc>
          <w:tcPr>
            <w:tcW w:w="1780" w:type="dxa"/>
            <w:noWrap w:val="0"/>
            <w:tcMar>
              <w:top w:w="15" w:type="dxa"/>
              <w:left w:w="15" w:type="dxa"/>
              <w:bottom w:w="0" w:type="dxa"/>
              <w:right w:w="15" w:type="dxa"/>
            </w:tcMar>
            <w:vAlign w:val="center"/>
          </w:tcPr>
          <w:p w14:paraId="10E6912E">
            <w:pPr>
              <w:jc w:val="center"/>
              <w:rPr>
                <w:rFonts w:ascii="宋体" w:hAnsi="宋体" w:cs="宋体"/>
                <w:sz w:val="24"/>
              </w:rPr>
            </w:pPr>
            <w:r>
              <w:rPr>
                <w:rFonts w:hint="eastAsia" w:ascii="宋体" w:hAnsi="宋体"/>
                <w:sz w:val="24"/>
              </w:rPr>
              <w:t xml:space="preserve">26.40 </w:t>
            </w:r>
          </w:p>
        </w:tc>
        <w:tc>
          <w:tcPr>
            <w:tcW w:w="1580" w:type="dxa"/>
            <w:noWrap w:val="0"/>
            <w:tcMar>
              <w:top w:w="15" w:type="dxa"/>
              <w:left w:w="15" w:type="dxa"/>
              <w:bottom w:w="0" w:type="dxa"/>
              <w:right w:w="15" w:type="dxa"/>
            </w:tcMar>
            <w:vAlign w:val="center"/>
          </w:tcPr>
          <w:p w14:paraId="4744B512">
            <w:pPr>
              <w:jc w:val="center"/>
              <w:rPr>
                <w:rFonts w:ascii="宋体" w:hAnsi="宋体" w:cs="宋体"/>
                <w:sz w:val="24"/>
              </w:rPr>
            </w:pPr>
            <w:r>
              <w:rPr>
                <w:rFonts w:hint="eastAsia" w:ascii="宋体" w:hAnsi="宋体"/>
                <w:sz w:val="24"/>
              </w:rPr>
              <w:t xml:space="preserve">26.40 </w:t>
            </w:r>
          </w:p>
        </w:tc>
        <w:tc>
          <w:tcPr>
            <w:tcW w:w="1535" w:type="dxa"/>
            <w:noWrap w:val="0"/>
            <w:tcMar>
              <w:top w:w="15" w:type="dxa"/>
              <w:left w:w="15" w:type="dxa"/>
              <w:bottom w:w="0" w:type="dxa"/>
              <w:right w:w="15" w:type="dxa"/>
            </w:tcMar>
            <w:vAlign w:val="center"/>
          </w:tcPr>
          <w:p w14:paraId="5BFE875A">
            <w:pPr>
              <w:jc w:val="center"/>
              <w:rPr>
                <w:rFonts w:ascii="宋体" w:hAnsi="宋体" w:cs="宋体"/>
                <w:sz w:val="24"/>
              </w:rPr>
            </w:pPr>
            <w:r>
              <w:rPr>
                <w:rFonts w:hint="eastAsia" w:ascii="宋体" w:hAnsi="宋体"/>
                <w:sz w:val="24"/>
              </w:rPr>
              <w:t>　</w:t>
            </w:r>
          </w:p>
        </w:tc>
      </w:tr>
      <w:tr w14:paraId="26682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6EE69D74">
            <w:pPr>
              <w:jc w:val="center"/>
              <w:rPr>
                <w:rFonts w:ascii="宋体" w:hAnsi="宋体" w:cs="宋体"/>
                <w:sz w:val="24"/>
              </w:rPr>
            </w:pPr>
            <w:r>
              <w:rPr>
                <w:rFonts w:hint="eastAsia" w:ascii="宋体" w:hAnsi="宋体"/>
                <w:sz w:val="24"/>
              </w:rPr>
              <w:t>三</w:t>
            </w:r>
          </w:p>
        </w:tc>
        <w:tc>
          <w:tcPr>
            <w:tcW w:w="2936" w:type="dxa"/>
            <w:noWrap w:val="0"/>
            <w:tcMar>
              <w:top w:w="15" w:type="dxa"/>
              <w:left w:w="15" w:type="dxa"/>
              <w:bottom w:w="0" w:type="dxa"/>
              <w:right w:w="15" w:type="dxa"/>
            </w:tcMar>
            <w:vAlign w:val="center"/>
          </w:tcPr>
          <w:p w14:paraId="4B9D14C5">
            <w:pPr>
              <w:rPr>
                <w:rFonts w:ascii="宋体" w:hAnsi="宋体" w:cs="宋体"/>
                <w:sz w:val="24"/>
              </w:rPr>
            </w:pPr>
            <w:r>
              <w:rPr>
                <w:rFonts w:hint="eastAsia" w:ascii="宋体" w:hAnsi="宋体"/>
                <w:sz w:val="24"/>
              </w:rPr>
              <w:t>井巷工程基金</w:t>
            </w:r>
          </w:p>
        </w:tc>
        <w:tc>
          <w:tcPr>
            <w:tcW w:w="1780" w:type="dxa"/>
            <w:noWrap w:val="0"/>
            <w:tcMar>
              <w:top w:w="15" w:type="dxa"/>
              <w:left w:w="15" w:type="dxa"/>
              <w:bottom w:w="0" w:type="dxa"/>
              <w:right w:w="15" w:type="dxa"/>
            </w:tcMar>
            <w:vAlign w:val="center"/>
          </w:tcPr>
          <w:p w14:paraId="52ED0AA2">
            <w:pPr>
              <w:jc w:val="center"/>
              <w:rPr>
                <w:rFonts w:ascii="宋体" w:hAnsi="宋体" w:cs="宋体"/>
                <w:sz w:val="24"/>
              </w:rPr>
            </w:pPr>
            <w:r>
              <w:rPr>
                <w:rFonts w:hint="eastAsia" w:ascii="宋体" w:hAnsi="宋体"/>
                <w:sz w:val="24"/>
              </w:rPr>
              <w:t>2.5</w:t>
            </w:r>
          </w:p>
        </w:tc>
        <w:tc>
          <w:tcPr>
            <w:tcW w:w="1580" w:type="dxa"/>
            <w:noWrap w:val="0"/>
            <w:tcMar>
              <w:top w:w="15" w:type="dxa"/>
              <w:left w:w="15" w:type="dxa"/>
              <w:bottom w:w="0" w:type="dxa"/>
              <w:right w:w="15" w:type="dxa"/>
            </w:tcMar>
            <w:vAlign w:val="center"/>
          </w:tcPr>
          <w:p w14:paraId="3582BDDB">
            <w:pPr>
              <w:jc w:val="center"/>
              <w:rPr>
                <w:rFonts w:ascii="宋体" w:hAnsi="宋体" w:cs="宋体"/>
                <w:sz w:val="24"/>
              </w:rPr>
            </w:pPr>
            <w:r>
              <w:rPr>
                <w:rFonts w:hint="eastAsia" w:ascii="宋体" w:hAnsi="宋体"/>
                <w:sz w:val="24"/>
              </w:rPr>
              <w:t>　</w:t>
            </w:r>
          </w:p>
        </w:tc>
        <w:tc>
          <w:tcPr>
            <w:tcW w:w="1535" w:type="dxa"/>
            <w:noWrap w:val="0"/>
            <w:tcMar>
              <w:top w:w="15" w:type="dxa"/>
              <w:left w:w="15" w:type="dxa"/>
              <w:bottom w:w="0" w:type="dxa"/>
              <w:right w:w="15" w:type="dxa"/>
            </w:tcMar>
            <w:vAlign w:val="center"/>
          </w:tcPr>
          <w:p w14:paraId="1FDFA27F">
            <w:pPr>
              <w:jc w:val="center"/>
              <w:rPr>
                <w:rFonts w:ascii="宋体" w:hAnsi="宋体" w:cs="宋体"/>
                <w:sz w:val="24"/>
              </w:rPr>
            </w:pPr>
            <w:r>
              <w:rPr>
                <w:rFonts w:hint="eastAsia" w:ascii="宋体" w:hAnsi="宋体"/>
                <w:sz w:val="24"/>
              </w:rPr>
              <w:t>2.5</w:t>
            </w:r>
          </w:p>
        </w:tc>
      </w:tr>
      <w:tr w14:paraId="4A80E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5AFF634D">
            <w:pPr>
              <w:jc w:val="center"/>
              <w:rPr>
                <w:rFonts w:ascii="宋体" w:hAnsi="宋体" w:cs="宋体"/>
                <w:sz w:val="24"/>
              </w:rPr>
            </w:pPr>
            <w:r>
              <w:rPr>
                <w:rFonts w:hint="eastAsia" w:ascii="宋体" w:hAnsi="宋体"/>
                <w:sz w:val="24"/>
              </w:rPr>
              <w:t>四</w:t>
            </w:r>
          </w:p>
        </w:tc>
        <w:tc>
          <w:tcPr>
            <w:tcW w:w="2936" w:type="dxa"/>
            <w:noWrap w:val="0"/>
            <w:tcMar>
              <w:top w:w="15" w:type="dxa"/>
              <w:left w:w="15" w:type="dxa"/>
              <w:bottom w:w="0" w:type="dxa"/>
              <w:right w:w="15" w:type="dxa"/>
            </w:tcMar>
            <w:vAlign w:val="center"/>
          </w:tcPr>
          <w:p w14:paraId="18B1A2C5">
            <w:pPr>
              <w:rPr>
                <w:rFonts w:ascii="宋体" w:hAnsi="宋体" w:cs="宋体"/>
                <w:sz w:val="24"/>
              </w:rPr>
            </w:pPr>
            <w:r>
              <w:rPr>
                <w:rFonts w:hint="eastAsia" w:ascii="宋体" w:hAnsi="宋体"/>
                <w:sz w:val="24"/>
              </w:rPr>
              <w:t>维简费</w:t>
            </w:r>
          </w:p>
        </w:tc>
        <w:tc>
          <w:tcPr>
            <w:tcW w:w="1780" w:type="dxa"/>
            <w:noWrap w:val="0"/>
            <w:tcMar>
              <w:top w:w="15" w:type="dxa"/>
              <w:left w:w="15" w:type="dxa"/>
              <w:bottom w:w="0" w:type="dxa"/>
              <w:right w:w="15" w:type="dxa"/>
            </w:tcMar>
            <w:vAlign w:val="center"/>
          </w:tcPr>
          <w:p w14:paraId="6AB1668C">
            <w:pPr>
              <w:jc w:val="center"/>
              <w:rPr>
                <w:rFonts w:ascii="宋体" w:hAnsi="宋体" w:cs="宋体"/>
                <w:sz w:val="24"/>
              </w:rPr>
            </w:pPr>
            <w:r>
              <w:rPr>
                <w:rFonts w:hint="eastAsia" w:ascii="宋体" w:hAnsi="宋体"/>
                <w:sz w:val="24"/>
              </w:rPr>
              <w:t>10.5</w:t>
            </w:r>
          </w:p>
        </w:tc>
        <w:tc>
          <w:tcPr>
            <w:tcW w:w="1580" w:type="dxa"/>
            <w:noWrap w:val="0"/>
            <w:tcMar>
              <w:top w:w="15" w:type="dxa"/>
              <w:left w:w="15" w:type="dxa"/>
              <w:bottom w:w="0" w:type="dxa"/>
              <w:right w:w="15" w:type="dxa"/>
            </w:tcMar>
            <w:vAlign w:val="center"/>
          </w:tcPr>
          <w:p w14:paraId="02ACD082">
            <w:pPr>
              <w:jc w:val="center"/>
              <w:rPr>
                <w:rFonts w:ascii="宋体" w:hAnsi="宋体" w:cs="宋体"/>
                <w:sz w:val="24"/>
              </w:rPr>
            </w:pPr>
            <w:r>
              <w:rPr>
                <w:rFonts w:hint="eastAsia" w:ascii="宋体" w:hAnsi="宋体"/>
                <w:sz w:val="24"/>
              </w:rPr>
              <w:t>　</w:t>
            </w:r>
          </w:p>
        </w:tc>
        <w:tc>
          <w:tcPr>
            <w:tcW w:w="1535" w:type="dxa"/>
            <w:noWrap w:val="0"/>
            <w:tcMar>
              <w:top w:w="15" w:type="dxa"/>
              <w:left w:w="15" w:type="dxa"/>
              <w:bottom w:w="0" w:type="dxa"/>
              <w:right w:w="15" w:type="dxa"/>
            </w:tcMar>
            <w:vAlign w:val="center"/>
          </w:tcPr>
          <w:p w14:paraId="026116D7">
            <w:pPr>
              <w:jc w:val="center"/>
              <w:rPr>
                <w:rFonts w:ascii="宋体" w:hAnsi="宋体" w:cs="宋体"/>
                <w:sz w:val="24"/>
              </w:rPr>
            </w:pPr>
            <w:r>
              <w:rPr>
                <w:rFonts w:hint="eastAsia" w:ascii="宋体" w:hAnsi="宋体"/>
                <w:sz w:val="24"/>
              </w:rPr>
              <w:t>10.5</w:t>
            </w:r>
          </w:p>
        </w:tc>
      </w:tr>
      <w:tr w14:paraId="579ADF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720A7722">
            <w:pPr>
              <w:jc w:val="center"/>
              <w:rPr>
                <w:rFonts w:ascii="宋体" w:hAnsi="宋体" w:cs="宋体"/>
                <w:sz w:val="24"/>
              </w:rPr>
            </w:pPr>
            <w:r>
              <w:rPr>
                <w:rFonts w:hint="eastAsia" w:ascii="宋体" w:hAnsi="宋体"/>
                <w:sz w:val="24"/>
              </w:rPr>
              <w:t>五</w:t>
            </w:r>
          </w:p>
        </w:tc>
        <w:tc>
          <w:tcPr>
            <w:tcW w:w="2936" w:type="dxa"/>
            <w:noWrap w:val="0"/>
            <w:tcMar>
              <w:top w:w="15" w:type="dxa"/>
              <w:left w:w="15" w:type="dxa"/>
              <w:bottom w:w="0" w:type="dxa"/>
              <w:right w:w="15" w:type="dxa"/>
            </w:tcMar>
            <w:vAlign w:val="center"/>
          </w:tcPr>
          <w:p w14:paraId="50B77A3A">
            <w:pPr>
              <w:rPr>
                <w:rFonts w:ascii="宋体" w:hAnsi="宋体" w:cs="宋体"/>
                <w:sz w:val="24"/>
              </w:rPr>
            </w:pPr>
            <w:r>
              <w:rPr>
                <w:rFonts w:hint="eastAsia" w:ascii="宋体" w:hAnsi="宋体"/>
                <w:sz w:val="24"/>
              </w:rPr>
              <w:t>摊销费</w:t>
            </w:r>
          </w:p>
        </w:tc>
        <w:tc>
          <w:tcPr>
            <w:tcW w:w="1780" w:type="dxa"/>
            <w:noWrap w:val="0"/>
            <w:tcMar>
              <w:top w:w="15" w:type="dxa"/>
              <w:left w:w="15" w:type="dxa"/>
              <w:bottom w:w="0" w:type="dxa"/>
              <w:right w:w="15" w:type="dxa"/>
            </w:tcMar>
            <w:vAlign w:val="center"/>
          </w:tcPr>
          <w:p w14:paraId="7DA122C1">
            <w:pPr>
              <w:jc w:val="center"/>
              <w:rPr>
                <w:rFonts w:ascii="宋体" w:hAnsi="宋体" w:cs="宋体"/>
                <w:sz w:val="24"/>
              </w:rPr>
            </w:pPr>
            <w:r>
              <w:rPr>
                <w:rFonts w:hint="eastAsia" w:ascii="宋体" w:hAnsi="宋体"/>
                <w:sz w:val="24"/>
              </w:rPr>
              <w:t xml:space="preserve">3.00 </w:t>
            </w:r>
          </w:p>
        </w:tc>
        <w:tc>
          <w:tcPr>
            <w:tcW w:w="1580" w:type="dxa"/>
            <w:noWrap w:val="0"/>
            <w:tcMar>
              <w:top w:w="15" w:type="dxa"/>
              <w:left w:w="15" w:type="dxa"/>
              <w:bottom w:w="0" w:type="dxa"/>
              <w:right w:w="15" w:type="dxa"/>
            </w:tcMar>
            <w:vAlign w:val="center"/>
          </w:tcPr>
          <w:p w14:paraId="367856AF">
            <w:pPr>
              <w:jc w:val="center"/>
              <w:rPr>
                <w:rFonts w:ascii="宋体" w:hAnsi="宋体" w:cs="宋体"/>
                <w:sz w:val="24"/>
              </w:rPr>
            </w:pPr>
            <w:r>
              <w:rPr>
                <w:rFonts w:hint="eastAsia" w:ascii="宋体" w:hAnsi="宋体"/>
                <w:sz w:val="24"/>
              </w:rPr>
              <w:t xml:space="preserve">3.00 </w:t>
            </w:r>
          </w:p>
        </w:tc>
        <w:tc>
          <w:tcPr>
            <w:tcW w:w="1535" w:type="dxa"/>
            <w:noWrap w:val="0"/>
            <w:tcMar>
              <w:top w:w="15" w:type="dxa"/>
              <w:left w:w="15" w:type="dxa"/>
              <w:bottom w:w="0" w:type="dxa"/>
              <w:right w:w="15" w:type="dxa"/>
            </w:tcMar>
            <w:vAlign w:val="center"/>
          </w:tcPr>
          <w:p w14:paraId="506420FC">
            <w:pPr>
              <w:jc w:val="center"/>
              <w:rPr>
                <w:rFonts w:ascii="宋体" w:hAnsi="宋体" w:cs="宋体"/>
                <w:sz w:val="24"/>
              </w:rPr>
            </w:pPr>
            <w:r>
              <w:rPr>
                <w:rFonts w:hint="eastAsia" w:ascii="宋体" w:hAnsi="宋体"/>
                <w:sz w:val="24"/>
              </w:rPr>
              <w:t>　</w:t>
            </w:r>
          </w:p>
        </w:tc>
      </w:tr>
      <w:tr w14:paraId="057D8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43B519BC">
            <w:pPr>
              <w:jc w:val="center"/>
              <w:rPr>
                <w:rFonts w:ascii="宋体" w:hAnsi="宋体" w:cs="宋体"/>
                <w:sz w:val="24"/>
              </w:rPr>
            </w:pPr>
            <w:r>
              <w:rPr>
                <w:rFonts w:hint="eastAsia" w:ascii="宋体" w:hAnsi="宋体"/>
                <w:sz w:val="24"/>
              </w:rPr>
              <w:t>六</w:t>
            </w:r>
          </w:p>
        </w:tc>
        <w:tc>
          <w:tcPr>
            <w:tcW w:w="2936" w:type="dxa"/>
            <w:noWrap w:val="0"/>
            <w:tcMar>
              <w:top w:w="15" w:type="dxa"/>
              <w:left w:w="15" w:type="dxa"/>
              <w:bottom w:w="0" w:type="dxa"/>
              <w:right w:w="15" w:type="dxa"/>
            </w:tcMar>
            <w:vAlign w:val="center"/>
          </w:tcPr>
          <w:p w14:paraId="7D7F97AF">
            <w:pPr>
              <w:rPr>
                <w:rFonts w:ascii="宋体" w:hAnsi="宋体" w:cs="宋体"/>
                <w:sz w:val="24"/>
              </w:rPr>
            </w:pPr>
            <w:r>
              <w:rPr>
                <w:rFonts w:hint="eastAsia" w:ascii="宋体" w:hAnsi="宋体"/>
                <w:sz w:val="24"/>
              </w:rPr>
              <w:t>安全费用</w:t>
            </w:r>
          </w:p>
        </w:tc>
        <w:tc>
          <w:tcPr>
            <w:tcW w:w="1780" w:type="dxa"/>
            <w:noWrap w:val="0"/>
            <w:tcMar>
              <w:top w:w="15" w:type="dxa"/>
              <w:left w:w="15" w:type="dxa"/>
              <w:bottom w:w="0" w:type="dxa"/>
              <w:right w:w="15" w:type="dxa"/>
            </w:tcMar>
            <w:vAlign w:val="center"/>
          </w:tcPr>
          <w:p w14:paraId="443B7470">
            <w:pPr>
              <w:jc w:val="center"/>
              <w:rPr>
                <w:rFonts w:ascii="宋体" w:hAnsi="宋体" w:cs="宋体"/>
                <w:sz w:val="24"/>
              </w:rPr>
            </w:pPr>
            <w:r>
              <w:rPr>
                <w:rFonts w:hint="eastAsia" w:ascii="宋体" w:hAnsi="宋体"/>
                <w:sz w:val="24"/>
              </w:rPr>
              <w:t xml:space="preserve">10.00 </w:t>
            </w:r>
          </w:p>
        </w:tc>
        <w:tc>
          <w:tcPr>
            <w:tcW w:w="1580" w:type="dxa"/>
            <w:noWrap w:val="0"/>
            <w:tcMar>
              <w:top w:w="15" w:type="dxa"/>
              <w:left w:w="15" w:type="dxa"/>
              <w:bottom w:w="0" w:type="dxa"/>
              <w:right w:w="15" w:type="dxa"/>
            </w:tcMar>
            <w:vAlign w:val="center"/>
          </w:tcPr>
          <w:p w14:paraId="32C6E082">
            <w:pPr>
              <w:jc w:val="center"/>
              <w:rPr>
                <w:rFonts w:ascii="宋体" w:hAnsi="宋体" w:cs="宋体"/>
                <w:sz w:val="24"/>
              </w:rPr>
            </w:pPr>
            <w:r>
              <w:rPr>
                <w:rFonts w:hint="eastAsia" w:ascii="宋体" w:hAnsi="宋体"/>
                <w:sz w:val="24"/>
              </w:rPr>
              <w:t xml:space="preserve">10.00 </w:t>
            </w:r>
          </w:p>
        </w:tc>
        <w:tc>
          <w:tcPr>
            <w:tcW w:w="1535" w:type="dxa"/>
            <w:noWrap w:val="0"/>
            <w:tcMar>
              <w:top w:w="15" w:type="dxa"/>
              <w:left w:w="15" w:type="dxa"/>
              <w:bottom w:w="0" w:type="dxa"/>
              <w:right w:w="15" w:type="dxa"/>
            </w:tcMar>
            <w:vAlign w:val="center"/>
          </w:tcPr>
          <w:p w14:paraId="10B54BDF">
            <w:pPr>
              <w:jc w:val="center"/>
              <w:rPr>
                <w:rFonts w:ascii="宋体" w:hAnsi="宋体" w:cs="宋体"/>
                <w:sz w:val="24"/>
              </w:rPr>
            </w:pPr>
            <w:r>
              <w:rPr>
                <w:rFonts w:hint="eastAsia" w:ascii="宋体" w:hAnsi="宋体"/>
                <w:sz w:val="24"/>
              </w:rPr>
              <w:t>　</w:t>
            </w:r>
          </w:p>
        </w:tc>
      </w:tr>
      <w:tr w14:paraId="5D37AE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0C68A2FD">
            <w:pPr>
              <w:jc w:val="center"/>
              <w:rPr>
                <w:rFonts w:ascii="宋体" w:hAnsi="宋体" w:cs="宋体"/>
                <w:sz w:val="24"/>
              </w:rPr>
            </w:pPr>
            <w:r>
              <w:rPr>
                <w:rFonts w:hint="eastAsia" w:ascii="宋体" w:hAnsi="宋体"/>
                <w:sz w:val="24"/>
              </w:rPr>
              <w:t>七</w:t>
            </w:r>
          </w:p>
        </w:tc>
        <w:tc>
          <w:tcPr>
            <w:tcW w:w="2936" w:type="dxa"/>
            <w:noWrap w:val="0"/>
            <w:tcMar>
              <w:top w:w="15" w:type="dxa"/>
              <w:left w:w="15" w:type="dxa"/>
              <w:bottom w:w="0" w:type="dxa"/>
              <w:right w:w="15" w:type="dxa"/>
            </w:tcMar>
            <w:vAlign w:val="center"/>
          </w:tcPr>
          <w:p w14:paraId="7AD866FE">
            <w:pPr>
              <w:rPr>
                <w:rFonts w:ascii="宋体" w:hAnsi="宋体" w:cs="宋体"/>
                <w:sz w:val="24"/>
              </w:rPr>
            </w:pPr>
            <w:r>
              <w:rPr>
                <w:rFonts w:hint="eastAsia" w:ascii="宋体" w:hAnsi="宋体"/>
                <w:sz w:val="24"/>
              </w:rPr>
              <w:t>财务费用</w:t>
            </w:r>
          </w:p>
        </w:tc>
        <w:tc>
          <w:tcPr>
            <w:tcW w:w="1780" w:type="dxa"/>
            <w:noWrap w:val="0"/>
            <w:tcMar>
              <w:top w:w="15" w:type="dxa"/>
              <w:left w:w="15" w:type="dxa"/>
              <w:bottom w:w="0" w:type="dxa"/>
              <w:right w:w="15" w:type="dxa"/>
            </w:tcMar>
            <w:vAlign w:val="center"/>
          </w:tcPr>
          <w:p w14:paraId="065929B0">
            <w:pPr>
              <w:jc w:val="center"/>
              <w:rPr>
                <w:rFonts w:ascii="宋体" w:hAnsi="宋体" w:cs="宋体"/>
                <w:sz w:val="24"/>
              </w:rPr>
            </w:pPr>
            <w:r>
              <w:rPr>
                <w:rFonts w:hint="eastAsia" w:ascii="宋体" w:hAnsi="宋体"/>
                <w:sz w:val="24"/>
              </w:rPr>
              <w:t>　</w:t>
            </w:r>
          </w:p>
        </w:tc>
        <w:tc>
          <w:tcPr>
            <w:tcW w:w="1580" w:type="dxa"/>
            <w:noWrap w:val="0"/>
            <w:tcMar>
              <w:top w:w="15" w:type="dxa"/>
              <w:left w:w="15" w:type="dxa"/>
              <w:bottom w:w="0" w:type="dxa"/>
              <w:right w:w="15" w:type="dxa"/>
            </w:tcMar>
            <w:vAlign w:val="center"/>
          </w:tcPr>
          <w:p w14:paraId="7F01DBAA">
            <w:pPr>
              <w:jc w:val="center"/>
              <w:rPr>
                <w:rFonts w:ascii="宋体" w:hAnsi="宋体" w:cs="宋体"/>
                <w:sz w:val="24"/>
              </w:rPr>
            </w:pPr>
            <w:r>
              <w:rPr>
                <w:rFonts w:hint="eastAsia" w:ascii="宋体" w:hAnsi="宋体"/>
                <w:sz w:val="24"/>
              </w:rPr>
              <w:t>　</w:t>
            </w:r>
          </w:p>
        </w:tc>
        <w:tc>
          <w:tcPr>
            <w:tcW w:w="1535" w:type="dxa"/>
            <w:noWrap w:val="0"/>
            <w:tcMar>
              <w:top w:w="15" w:type="dxa"/>
              <w:left w:w="15" w:type="dxa"/>
              <w:bottom w:w="0" w:type="dxa"/>
              <w:right w:w="15" w:type="dxa"/>
            </w:tcMar>
            <w:vAlign w:val="center"/>
          </w:tcPr>
          <w:p w14:paraId="079B77FD">
            <w:pPr>
              <w:jc w:val="center"/>
              <w:rPr>
                <w:rFonts w:ascii="宋体" w:hAnsi="宋体" w:cs="宋体"/>
                <w:sz w:val="24"/>
              </w:rPr>
            </w:pPr>
            <w:r>
              <w:rPr>
                <w:rFonts w:hint="eastAsia" w:ascii="宋体" w:hAnsi="宋体"/>
                <w:sz w:val="24"/>
              </w:rPr>
              <w:t>　</w:t>
            </w:r>
          </w:p>
        </w:tc>
      </w:tr>
      <w:tr w14:paraId="2F887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5F628ACC">
            <w:pPr>
              <w:jc w:val="center"/>
              <w:rPr>
                <w:rFonts w:ascii="宋体" w:hAnsi="宋体" w:cs="宋体"/>
                <w:sz w:val="24"/>
              </w:rPr>
            </w:pPr>
            <w:r>
              <w:rPr>
                <w:rFonts w:hint="eastAsia" w:ascii="宋体" w:hAnsi="宋体"/>
                <w:sz w:val="24"/>
              </w:rPr>
              <w:t>1</w:t>
            </w:r>
          </w:p>
        </w:tc>
        <w:tc>
          <w:tcPr>
            <w:tcW w:w="2936" w:type="dxa"/>
            <w:noWrap w:val="0"/>
            <w:tcMar>
              <w:top w:w="15" w:type="dxa"/>
              <w:left w:w="15" w:type="dxa"/>
              <w:bottom w:w="0" w:type="dxa"/>
              <w:right w:w="15" w:type="dxa"/>
            </w:tcMar>
            <w:vAlign w:val="center"/>
          </w:tcPr>
          <w:p w14:paraId="5BC9B0EF">
            <w:pPr>
              <w:rPr>
                <w:rFonts w:ascii="宋体" w:hAnsi="宋体" w:cs="宋体"/>
                <w:sz w:val="24"/>
              </w:rPr>
            </w:pPr>
            <w:r>
              <w:rPr>
                <w:rFonts w:hint="eastAsia" w:ascii="宋体" w:hAnsi="宋体"/>
                <w:sz w:val="24"/>
              </w:rPr>
              <w:t>流动资金贷款利息</w:t>
            </w:r>
          </w:p>
        </w:tc>
        <w:tc>
          <w:tcPr>
            <w:tcW w:w="1780" w:type="dxa"/>
            <w:noWrap w:val="0"/>
            <w:tcMar>
              <w:top w:w="15" w:type="dxa"/>
              <w:left w:w="15" w:type="dxa"/>
              <w:bottom w:w="0" w:type="dxa"/>
              <w:right w:w="15" w:type="dxa"/>
            </w:tcMar>
            <w:vAlign w:val="center"/>
          </w:tcPr>
          <w:p w14:paraId="471DA966">
            <w:pPr>
              <w:jc w:val="center"/>
              <w:rPr>
                <w:rFonts w:ascii="宋体" w:hAnsi="宋体" w:cs="宋体"/>
                <w:sz w:val="24"/>
              </w:rPr>
            </w:pPr>
            <w:r>
              <w:rPr>
                <w:rFonts w:hint="eastAsia" w:ascii="宋体" w:hAnsi="宋体"/>
                <w:sz w:val="24"/>
              </w:rPr>
              <w:t>　</w:t>
            </w:r>
          </w:p>
        </w:tc>
        <w:tc>
          <w:tcPr>
            <w:tcW w:w="1580" w:type="dxa"/>
            <w:noWrap w:val="0"/>
            <w:tcMar>
              <w:top w:w="15" w:type="dxa"/>
              <w:left w:w="15" w:type="dxa"/>
              <w:bottom w:w="0" w:type="dxa"/>
              <w:right w:w="15" w:type="dxa"/>
            </w:tcMar>
            <w:vAlign w:val="center"/>
          </w:tcPr>
          <w:p w14:paraId="1024B10F">
            <w:pPr>
              <w:jc w:val="center"/>
              <w:rPr>
                <w:rFonts w:ascii="宋体" w:hAnsi="宋体" w:cs="宋体"/>
                <w:sz w:val="24"/>
              </w:rPr>
            </w:pPr>
            <w:r>
              <w:rPr>
                <w:rFonts w:hint="eastAsia" w:ascii="宋体" w:hAnsi="宋体"/>
                <w:sz w:val="24"/>
              </w:rPr>
              <w:t>　</w:t>
            </w:r>
          </w:p>
        </w:tc>
        <w:tc>
          <w:tcPr>
            <w:tcW w:w="1535" w:type="dxa"/>
            <w:noWrap w:val="0"/>
            <w:tcMar>
              <w:top w:w="15" w:type="dxa"/>
              <w:left w:w="15" w:type="dxa"/>
              <w:bottom w:w="0" w:type="dxa"/>
              <w:right w:w="15" w:type="dxa"/>
            </w:tcMar>
            <w:vAlign w:val="center"/>
          </w:tcPr>
          <w:p w14:paraId="6EDE571D">
            <w:pPr>
              <w:jc w:val="center"/>
              <w:rPr>
                <w:rFonts w:ascii="宋体" w:hAnsi="宋体" w:cs="宋体"/>
                <w:sz w:val="24"/>
              </w:rPr>
            </w:pPr>
            <w:r>
              <w:rPr>
                <w:rFonts w:hint="eastAsia" w:ascii="宋体" w:hAnsi="宋体"/>
                <w:sz w:val="24"/>
              </w:rPr>
              <w:t>　</w:t>
            </w:r>
          </w:p>
        </w:tc>
      </w:tr>
      <w:tr w14:paraId="12290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5448DF0B">
            <w:pPr>
              <w:jc w:val="center"/>
              <w:rPr>
                <w:rFonts w:ascii="宋体" w:hAnsi="宋体" w:cs="宋体"/>
                <w:sz w:val="24"/>
              </w:rPr>
            </w:pPr>
            <w:r>
              <w:rPr>
                <w:rFonts w:hint="eastAsia" w:ascii="宋体" w:hAnsi="宋体"/>
                <w:sz w:val="24"/>
              </w:rPr>
              <w:t>2</w:t>
            </w:r>
          </w:p>
        </w:tc>
        <w:tc>
          <w:tcPr>
            <w:tcW w:w="2936" w:type="dxa"/>
            <w:noWrap w:val="0"/>
            <w:tcMar>
              <w:top w:w="15" w:type="dxa"/>
              <w:left w:w="15" w:type="dxa"/>
              <w:bottom w:w="0" w:type="dxa"/>
              <w:right w:w="15" w:type="dxa"/>
            </w:tcMar>
            <w:vAlign w:val="center"/>
          </w:tcPr>
          <w:p w14:paraId="5E03D25A">
            <w:pPr>
              <w:rPr>
                <w:rFonts w:ascii="宋体" w:hAnsi="宋体" w:cs="宋体"/>
                <w:sz w:val="24"/>
              </w:rPr>
            </w:pPr>
            <w:r>
              <w:rPr>
                <w:rFonts w:hint="eastAsia" w:ascii="宋体" w:hAnsi="宋体"/>
                <w:sz w:val="24"/>
              </w:rPr>
              <w:t>生产期基建投资贷款利息</w:t>
            </w:r>
          </w:p>
        </w:tc>
        <w:tc>
          <w:tcPr>
            <w:tcW w:w="1780" w:type="dxa"/>
            <w:noWrap w:val="0"/>
            <w:tcMar>
              <w:top w:w="15" w:type="dxa"/>
              <w:left w:w="15" w:type="dxa"/>
              <w:bottom w:w="0" w:type="dxa"/>
              <w:right w:w="15" w:type="dxa"/>
            </w:tcMar>
            <w:vAlign w:val="center"/>
          </w:tcPr>
          <w:p w14:paraId="6B34BB03">
            <w:pPr>
              <w:jc w:val="center"/>
              <w:rPr>
                <w:rFonts w:ascii="宋体" w:hAnsi="宋体" w:cs="宋体"/>
                <w:sz w:val="24"/>
              </w:rPr>
            </w:pPr>
            <w:r>
              <w:rPr>
                <w:rFonts w:hint="eastAsia" w:ascii="宋体" w:hAnsi="宋体"/>
                <w:sz w:val="24"/>
              </w:rPr>
              <w:t>　</w:t>
            </w:r>
          </w:p>
        </w:tc>
        <w:tc>
          <w:tcPr>
            <w:tcW w:w="1580" w:type="dxa"/>
            <w:noWrap w:val="0"/>
            <w:tcMar>
              <w:top w:w="15" w:type="dxa"/>
              <w:left w:w="15" w:type="dxa"/>
              <w:bottom w:w="0" w:type="dxa"/>
              <w:right w:w="15" w:type="dxa"/>
            </w:tcMar>
            <w:vAlign w:val="center"/>
          </w:tcPr>
          <w:p w14:paraId="69AD1781">
            <w:pPr>
              <w:jc w:val="center"/>
              <w:rPr>
                <w:rFonts w:ascii="宋体" w:hAnsi="宋体" w:cs="宋体"/>
                <w:sz w:val="24"/>
              </w:rPr>
            </w:pPr>
            <w:r>
              <w:rPr>
                <w:rFonts w:hint="eastAsia" w:ascii="宋体" w:hAnsi="宋体"/>
                <w:sz w:val="24"/>
              </w:rPr>
              <w:t>　</w:t>
            </w:r>
          </w:p>
        </w:tc>
        <w:tc>
          <w:tcPr>
            <w:tcW w:w="1535" w:type="dxa"/>
            <w:noWrap w:val="0"/>
            <w:tcMar>
              <w:top w:w="15" w:type="dxa"/>
              <w:left w:w="15" w:type="dxa"/>
              <w:bottom w:w="0" w:type="dxa"/>
              <w:right w:w="15" w:type="dxa"/>
            </w:tcMar>
            <w:vAlign w:val="center"/>
          </w:tcPr>
          <w:p w14:paraId="263D7F2F">
            <w:pPr>
              <w:jc w:val="center"/>
              <w:rPr>
                <w:rFonts w:ascii="宋体" w:hAnsi="宋体" w:cs="宋体"/>
                <w:sz w:val="24"/>
              </w:rPr>
            </w:pPr>
            <w:r>
              <w:rPr>
                <w:rFonts w:hint="eastAsia" w:ascii="宋体" w:hAnsi="宋体"/>
                <w:sz w:val="24"/>
              </w:rPr>
              <w:t>　</w:t>
            </w:r>
          </w:p>
        </w:tc>
      </w:tr>
      <w:tr w14:paraId="0317F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wBefore w:w="0" w:type="dxa"/>
          <w:wAfter w:w="0" w:type="dxa"/>
          <w:trHeight w:val="369" w:hRule="atLeast"/>
          <w:jc w:val="center"/>
        </w:trPr>
        <w:tc>
          <w:tcPr>
            <w:tcW w:w="1202" w:type="dxa"/>
            <w:noWrap w:val="0"/>
            <w:tcMar>
              <w:top w:w="15" w:type="dxa"/>
              <w:left w:w="15" w:type="dxa"/>
              <w:bottom w:w="0" w:type="dxa"/>
              <w:right w:w="15" w:type="dxa"/>
            </w:tcMar>
            <w:vAlign w:val="center"/>
          </w:tcPr>
          <w:p w14:paraId="536DD02E">
            <w:pPr>
              <w:jc w:val="center"/>
              <w:rPr>
                <w:rFonts w:ascii="宋体" w:hAnsi="宋体" w:cs="宋体"/>
                <w:sz w:val="24"/>
              </w:rPr>
            </w:pPr>
            <w:r>
              <w:rPr>
                <w:rFonts w:hint="eastAsia" w:ascii="宋体" w:hAnsi="宋体"/>
                <w:sz w:val="24"/>
              </w:rPr>
              <w:t>　</w:t>
            </w:r>
          </w:p>
        </w:tc>
        <w:tc>
          <w:tcPr>
            <w:tcW w:w="2936" w:type="dxa"/>
            <w:noWrap w:val="0"/>
            <w:tcMar>
              <w:top w:w="15" w:type="dxa"/>
              <w:left w:w="15" w:type="dxa"/>
              <w:bottom w:w="0" w:type="dxa"/>
              <w:right w:w="15" w:type="dxa"/>
            </w:tcMar>
            <w:vAlign w:val="center"/>
          </w:tcPr>
          <w:p w14:paraId="33621E8D">
            <w:pPr>
              <w:rPr>
                <w:rFonts w:ascii="宋体" w:hAnsi="宋体" w:cs="宋体"/>
                <w:sz w:val="24"/>
              </w:rPr>
            </w:pPr>
            <w:r>
              <w:rPr>
                <w:rFonts w:hint="eastAsia" w:ascii="宋体" w:hAnsi="宋体"/>
                <w:sz w:val="24"/>
              </w:rPr>
              <w:t>生产成本合计</w:t>
            </w:r>
          </w:p>
        </w:tc>
        <w:tc>
          <w:tcPr>
            <w:tcW w:w="1780" w:type="dxa"/>
            <w:noWrap w:val="0"/>
            <w:tcMar>
              <w:top w:w="15" w:type="dxa"/>
              <w:left w:w="15" w:type="dxa"/>
              <w:bottom w:w="0" w:type="dxa"/>
              <w:right w:w="15" w:type="dxa"/>
            </w:tcMar>
            <w:vAlign w:val="center"/>
          </w:tcPr>
          <w:p w14:paraId="7A4CADF6">
            <w:pPr>
              <w:jc w:val="center"/>
              <w:rPr>
                <w:rFonts w:ascii="宋体" w:hAnsi="宋体" w:cs="宋体"/>
                <w:sz w:val="24"/>
              </w:rPr>
            </w:pPr>
            <w:r>
              <w:rPr>
                <w:rFonts w:hint="eastAsia" w:ascii="宋体" w:hAnsi="宋体"/>
                <w:sz w:val="24"/>
              </w:rPr>
              <w:t xml:space="preserve">194.57 </w:t>
            </w:r>
          </w:p>
        </w:tc>
        <w:tc>
          <w:tcPr>
            <w:tcW w:w="1580" w:type="dxa"/>
            <w:noWrap w:val="0"/>
            <w:tcMar>
              <w:top w:w="15" w:type="dxa"/>
              <w:left w:w="15" w:type="dxa"/>
              <w:bottom w:w="0" w:type="dxa"/>
              <w:right w:w="15" w:type="dxa"/>
            </w:tcMar>
            <w:vAlign w:val="center"/>
          </w:tcPr>
          <w:p w14:paraId="72328252">
            <w:pPr>
              <w:jc w:val="center"/>
              <w:rPr>
                <w:rFonts w:ascii="宋体" w:hAnsi="宋体" w:cs="宋体"/>
                <w:sz w:val="24"/>
              </w:rPr>
            </w:pPr>
            <w:r>
              <w:rPr>
                <w:rFonts w:hint="eastAsia" w:ascii="宋体" w:hAnsi="宋体"/>
                <w:sz w:val="24"/>
              </w:rPr>
              <w:t xml:space="preserve">144.91 </w:t>
            </w:r>
          </w:p>
        </w:tc>
        <w:tc>
          <w:tcPr>
            <w:tcW w:w="1535" w:type="dxa"/>
            <w:noWrap w:val="0"/>
            <w:tcMar>
              <w:top w:w="15" w:type="dxa"/>
              <w:left w:w="15" w:type="dxa"/>
              <w:bottom w:w="0" w:type="dxa"/>
              <w:right w:w="15" w:type="dxa"/>
            </w:tcMar>
            <w:vAlign w:val="center"/>
          </w:tcPr>
          <w:p w14:paraId="5F788387">
            <w:pPr>
              <w:jc w:val="center"/>
              <w:rPr>
                <w:rFonts w:ascii="宋体" w:hAnsi="宋体" w:cs="宋体"/>
                <w:sz w:val="24"/>
              </w:rPr>
            </w:pPr>
            <w:r>
              <w:rPr>
                <w:rFonts w:hint="eastAsia" w:ascii="宋体" w:hAnsi="宋体"/>
                <w:sz w:val="24"/>
              </w:rPr>
              <w:t xml:space="preserve">49.67 </w:t>
            </w:r>
          </w:p>
        </w:tc>
      </w:tr>
    </w:tbl>
    <w:p w14:paraId="28849366">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三、产品销售收入、税金及附加估算</w:t>
      </w:r>
    </w:p>
    <w:p w14:paraId="65B4D18C">
      <w:pPr>
        <w:spacing w:line="360" w:lineRule="auto"/>
        <w:ind w:firstLine="480" w:firstLineChars="200"/>
        <w:rPr>
          <w:rFonts w:hint="eastAsia" w:ascii="宋体" w:hAnsi="宋体"/>
          <w:sz w:val="24"/>
        </w:rPr>
      </w:pPr>
      <w:r>
        <w:rPr>
          <w:rFonts w:hint="eastAsia" w:ascii="宋体" w:hAnsi="宋体"/>
          <w:sz w:val="24"/>
        </w:rPr>
        <w:t>1、销售收入估算</w:t>
      </w:r>
    </w:p>
    <w:p w14:paraId="3EAE3C9F">
      <w:pPr>
        <w:spacing w:line="360" w:lineRule="auto"/>
        <w:ind w:firstLine="480" w:firstLineChars="200"/>
        <w:rPr>
          <w:rFonts w:hint="eastAsia" w:ascii="宋体" w:hAnsi="宋体"/>
          <w:bCs/>
          <w:sz w:val="24"/>
        </w:rPr>
      </w:pPr>
      <w:r>
        <w:rPr>
          <w:rFonts w:hint="eastAsia" w:ascii="宋体" w:hAnsi="宋体"/>
          <w:bCs/>
          <w:sz w:val="24"/>
        </w:rPr>
        <w:t>矿井达到设计生产能力后，年产量</w:t>
      </w:r>
      <w:r>
        <w:rPr>
          <w:rFonts w:ascii="宋体" w:hAnsi="宋体"/>
          <w:bCs/>
          <w:sz w:val="24"/>
        </w:rPr>
        <w:t>30</w:t>
      </w:r>
      <w:r>
        <w:rPr>
          <w:rFonts w:hint="eastAsia" w:ascii="宋体" w:hAnsi="宋体"/>
          <w:bCs/>
          <w:sz w:val="24"/>
        </w:rPr>
        <w:t>万吨，销售产品为原煤，按照目前煤炭市场行情及当地煤炭实际销售价格，售价为350元</w:t>
      </w:r>
      <w:r>
        <w:rPr>
          <w:rFonts w:ascii="宋体" w:hAnsi="宋体"/>
          <w:bCs/>
          <w:sz w:val="24"/>
        </w:rPr>
        <w:t>/吨</w:t>
      </w:r>
      <w:r>
        <w:rPr>
          <w:rFonts w:hint="eastAsia" w:ascii="宋体" w:hAnsi="宋体"/>
          <w:bCs/>
          <w:sz w:val="24"/>
        </w:rPr>
        <w:t>，计算年销售收入为10500万元。</w:t>
      </w:r>
    </w:p>
    <w:p w14:paraId="443CECB1">
      <w:pPr>
        <w:spacing w:line="360" w:lineRule="auto"/>
        <w:ind w:firstLine="480" w:firstLineChars="200"/>
        <w:rPr>
          <w:rFonts w:hint="eastAsia" w:ascii="宋体" w:hAnsi="宋体"/>
          <w:sz w:val="24"/>
        </w:rPr>
      </w:pPr>
      <w:r>
        <w:rPr>
          <w:rFonts w:hint="eastAsia" w:ascii="宋体" w:hAnsi="宋体"/>
          <w:sz w:val="24"/>
        </w:rPr>
        <w:t>2、税金及附加估算</w:t>
      </w:r>
    </w:p>
    <w:p w14:paraId="264D796D">
      <w:pPr>
        <w:spacing w:line="360" w:lineRule="auto"/>
        <w:ind w:firstLine="480" w:firstLineChars="200"/>
        <w:rPr>
          <w:rFonts w:ascii="宋体" w:hAnsi="宋体"/>
          <w:sz w:val="24"/>
        </w:rPr>
      </w:pPr>
      <w:r>
        <w:rPr>
          <w:rFonts w:hint="eastAsia" w:ascii="宋体" w:hAnsi="宋体"/>
          <w:sz w:val="24"/>
        </w:rPr>
        <w:t>销售税金包括增值税、城市维护建设税、教育费附加，资源税。</w:t>
      </w:r>
    </w:p>
    <w:p w14:paraId="11A1C670">
      <w:pPr>
        <w:spacing w:line="360" w:lineRule="auto"/>
        <w:ind w:firstLine="480" w:firstLineChars="200"/>
        <w:rPr>
          <w:rFonts w:ascii="宋体" w:hAnsi="宋体"/>
          <w:sz w:val="24"/>
        </w:rPr>
      </w:pPr>
      <w:r>
        <w:rPr>
          <w:rFonts w:hint="eastAsia" w:ascii="宋体" w:hAnsi="宋体"/>
          <w:sz w:val="24"/>
        </w:rPr>
        <w:t>（1）增值税：应纳税额=销项税额-进项税额，煤炭产品销项税率为13%，其他产品销项税率为17%，成本中的原材料、燃料及动力等的进项税率为17%。</w:t>
      </w:r>
    </w:p>
    <w:p w14:paraId="097FDD17">
      <w:pPr>
        <w:spacing w:line="360" w:lineRule="auto"/>
        <w:ind w:firstLine="480" w:firstLineChars="200"/>
        <w:rPr>
          <w:rFonts w:hint="eastAsia" w:ascii="宋体" w:hAnsi="宋体"/>
          <w:sz w:val="24"/>
        </w:rPr>
      </w:pPr>
      <w:r>
        <w:rPr>
          <w:rFonts w:hint="eastAsia" w:ascii="宋体" w:hAnsi="宋体"/>
          <w:sz w:val="24"/>
        </w:rPr>
        <w:t>（2）城乡维护建设税：以增值税、消费税、营业税额为计税依据，其税率为1%。</w:t>
      </w:r>
    </w:p>
    <w:p w14:paraId="6D57DDDB">
      <w:pPr>
        <w:spacing w:line="360" w:lineRule="auto"/>
        <w:ind w:firstLine="480" w:firstLineChars="200"/>
        <w:rPr>
          <w:rFonts w:hint="eastAsia" w:ascii="宋体" w:hAnsi="宋体"/>
          <w:sz w:val="24"/>
        </w:rPr>
      </w:pPr>
      <w:r>
        <w:rPr>
          <w:rFonts w:hint="eastAsia" w:ascii="宋体" w:hAnsi="宋体"/>
          <w:sz w:val="24"/>
        </w:rPr>
        <w:t>（3）教育费附加：以纳税人实际缴纳的增值税、消费税、营业税为计税依据，税率为3%。</w:t>
      </w:r>
    </w:p>
    <w:p w14:paraId="4AF3558C">
      <w:pPr>
        <w:spacing w:line="360" w:lineRule="auto"/>
        <w:ind w:firstLine="480" w:firstLineChars="200"/>
        <w:rPr>
          <w:rFonts w:hint="eastAsia" w:ascii="宋体" w:hAnsi="宋体"/>
          <w:sz w:val="24"/>
        </w:rPr>
      </w:pPr>
      <w:r>
        <w:rPr>
          <w:rFonts w:hint="eastAsia" w:ascii="宋体" w:hAnsi="宋体"/>
          <w:sz w:val="24"/>
        </w:rPr>
        <w:t>（4）资源税：按每吨煤2.5元计算。</w:t>
      </w:r>
    </w:p>
    <w:p w14:paraId="6832437D">
      <w:pPr>
        <w:spacing w:line="360" w:lineRule="auto"/>
        <w:ind w:firstLine="480" w:firstLineChars="200"/>
        <w:rPr>
          <w:rFonts w:hint="eastAsia" w:ascii="宋体" w:hAnsi="宋体"/>
          <w:sz w:val="24"/>
        </w:rPr>
      </w:pPr>
      <w:r>
        <w:rPr>
          <w:rFonts w:hint="eastAsia" w:ascii="宋体" w:hAnsi="宋体"/>
          <w:sz w:val="24"/>
        </w:rPr>
        <w:t>（5）所得税：按国家税法规定为利润总额的25%。</w:t>
      </w:r>
    </w:p>
    <w:p w14:paraId="5B6B42F0">
      <w:pPr>
        <w:spacing w:line="360" w:lineRule="auto"/>
        <w:ind w:firstLine="480" w:firstLineChars="200"/>
        <w:rPr>
          <w:rFonts w:hint="eastAsia" w:ascii="宋体" w:hAnsi="宋体"/>
          <w:sz w:val="24"/>
        </w:rPr>
      </w:pPr>
      <w:r>
        <w:rPr>
          <w:rFonts w:hint="eastAsia" w:ascii="宋体" w:hAnsi="宋体"/>
          <w:sz w:val="24"/>
        </w:rPr>
        <w:t>根据以上各项规定，计算年销售税金及附加为515.1万元；所得税率25%，计算所得税1785万元。</w:t>
      </w:r>
    </w:p>
    <w:p w14:paraId="37DFC196">
      <w:pPr>
        <w:spacing w:line="360" w:lineRule="auto"/>
        <w:ind w:firstLine="480" w:firstLineChars="200"/>
        <w:rPr>
          <w:rFonts w:hint="eastAsia" w:ascii="宋体" w:hAnsi="宋体"/>
          <w:sz w:val="24"/>
        </w:rPr>
      </w:pPr>
      <w:r>
        <w:rPr>
          <w:rFonts w:hint="eastAsia" w:ascii="宋体" w:hAnsi="宋体"/>
          <w:sz w:val="24"/>
        </w:rPr>
        <w:t>3、利润估算</w:t>
      </w:r>
    </w:p>
    <w:p w14:paraId="47751318">
      <w:pPr>
        <w:pStyle w:val="89"/>
        <w:rPr>
          <w:rFonts w:hint="eastAsia" w:hAnsi="宋体"/>
        </w:rPr>
      </w:pPr>
      <w:r>
        <w:rPr>
          <w:rFonts w:hint="eastAsia" w:hAnsi="宋体"/>
        </w:rPr>
        <w:t>按矿井达到设计生产能力(30万吨/a</w:t>
      </w:r>
      <w:r>
        <w:rPr>
          <w:rFonts w:hAnsi="宋体"/>
        </w:rPr>
        <w:t>)</w:t>
      </w:r>
      <w:r>
        <w:rPr>
          <w:rFonts w:hint="eastAsia" w:hAnsi="宋体"/>
        </w:rPr>
        <w:t>后正常生产年份，计算年利润总额为4662.9万元，上缴所得税1785万元，税后利润2877.9万元。</w:t>
      </w:r>
    </w:p>
    <w:p w14:paraId="178026F4">
      <w:pPr>
        <w:pStyle w:val="89"/>
        <w:rPr>
          <w:rFonts w:hAnsi="宋体"/>
        </w:rPr>
      </w:pPr>
      <w:r>
        <w:rPr>
          <w:rFonts w:hint="eastAsia" w:hAnsi="宋体"/>
        </w:rPr>
        <w:t>在利润分配中，每年按可分配利润的10%提取盈余公积金。</w:t>
      </w:r>
    </w:p>
    <w:p w14:paraId="06047B35">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四、财务评价指标</w:t>
      </w:r>
    </w:p>
    <w:p w14:paraId="7F7ACD49">
      <w:pPr>
        <w:spacing w:line="360" w:lineRule="auto"/>
        <w:ind w:firstLine="480" w:firstLineChars="200"/>
        <w:rPr>
          <w:rFonts w:hint="eastAsia" w:ascii="宋体" w:hAnsi="宋体"/>
          <w:sz w:val="24"/>
        </w:rPr>
      </w:pPr>
      <w:r>
        <w:rPr>
          <w:rFonts w:hint="eastAsia" w:ascii="宋体" w:hAnsi="宋体"/>
          <w:sz w:val="24"/>
        </w:rPr>
        <w:t xml:space="preserve">财务评价指标见主要财务评价指标表 </w:t>
      </w:r>
      <w:r>
        <w:rPr>
          <w:rStyle w:val="157"/>
          <w:rFonts w:hint="eastAsia" w:ascii="宋体" w:hAnsi="宋体"/>
          <w:b/>
          <w:lang w:val="zh-CN"/>
        </w:rPr>
        <w:t>表10-3-2</w:t>
      </w:r>
      <w:r>
        <w:rPr>
          <w:rFonts w:hint="eastAsia" w:ascii="宋体" w:hAnsi="宋体"/>
          <w:sz w:val="24"/>
        </w:rPr>
        <w:t>。</w:t>
      </w:r>
    </w:p>
    <w:p w14:paraId="2C390827">
      <w:pPr>
        <w:spacing w:line="360" w:lineRule="auto"/>
        <w:jc w:val="center"/>
        <w:rPr>
          <w:rFonts w:hint="eastAsia" w:ascii="宋体" w:hAnsi="宋体"/>
          <w:b/>
          <w:sz w:val="24"/>
        </w:rPr>
      </w:pPr>
      <w:r>
        <w:rPr>
          <w:rStyle w:val="157"/>
          <w:rFonts w:hint="eastAsia" w:ascii="宋体" w:hAnsi="宋体"/>
          <w:b/>
          <w:lang w:val="zh-CN"/>
        </w:rPr>
        <w:t>表10-3-2</w:t>
      </w:r>
      <w:r>
        <w:rPr>
          <w:rFonts w:hint="eastAsia" w:ascii="宋体" w:hAnsi="宋体"/>
          <w:b/>
          <w:sz w:val="24"/>
        </w:rPr>
        <w:t xml:space="preserve">              主要财务评价指标表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8"/>
        <w:gridCol w:w="4240"/>
        <w:gridCol w:w="1895"/>
        <w:gridCol w:w="1895"/>
      </w:tblGrid>
      <w:tr w14:paraId="373F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vMerge w:val="restart"/>
            <w:noWrap w:val="0"/>
            <w:vAlign w:val="center"/>
          </w:tcPr>
          <w:p w14:paraId="1861BDA5">
            <w:pPr>
              <w:jc w:val="center"/>
              <w:rPr>
                <w:rFonts w:ascii="宋体" w:hAnsi="宋体" w:cs="宋体"/>
                <w:sz w:val="24"/>
              </w:rPr>
            </w:pPr>
            <w:r>
              <w:rPr>
                <w:rFonts w:hint="eastAsia" w:ascii="宋体" w:hAnsi="宋体"/>
                <w:sz w:val="24"/>
              </w:rPr>
              <w:t>序号</w:t>
            </w:r>
          </w:p>
        </w:tc>
        <w:tc>
          <w:tcPr>
            <w:tcW w:w="4240" w:type="dxa"/>
            <w:vMerge w:val="restart"/>
            <w:noWrap w:val="0"/>
            <w:vAlign w:val="center"/>
          </w:tcPr>
          <w:p w14:paraId="26EE1ADA">
            <w:pPr>
              <w:jc w:val="center"/>
              <w:rPr>
                <w:rFonts w:ascii="宋体" w:hAnsi="宋体" w:cs="宋体"/>
                <w:sz w:val="24"/>
              </w:rPr>
            </w:pPr>
            <w:r>
              <w:rPr>
                <w:rFonts w:hint="eastAsia" w:ascii="宋体" w:hAnsi="宋体"/>
                <w:sz w:val="24"/>
              </w:rPr>
              <w:t>项    目</w:t>
            </w:r>
          </w:p>
        </w:tc>
        <w:tc>
          <w:tcPr>
            <w:tcW w:w="3790" w:type="dxa"/>
            <w:gridSpan w:val="2"/>
            <w:noWrap w:val="0"/>
            <w:vAlign w:val="center"/>
          </w:tcPr>
          <w:p w14:paraId="7EA47DA7">
            <w:pPr>
              <w:jc w:val="center"/>
              <w:rPr>
                <w:rFonts w:ascii="宋体" w:hAnsi="宋体" w:cs="宋体"/>
                <w:sz w:val="24"/>
              </w:rPr>
            </w:pPr>
            <w:r>
              <w:rPr>
                <w:rFonts w:hint="eastAsia" w:ascii="宋体" w:hAnsi="宋体"/>
                <w:sz w:val="24"/>
              </w:rPr>
              <w:t>指标</w:t>
            </w:r>
          </w:p>
        </w:tc>
      </w:tr>
      <w:tr w14:paraId="75EC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vMerge w:val="continue"/>
            <w:noWrap w:val="0"/>
            <w:vAlign w:val="center"/>
          </w:tcPr>
          <w:p w14:paraId="6E47EB7D">
            <w:pPr>
              <w:rPr>
                <w:rFonts w:ascii="宋体" w:hAnsi="宋体" w:cs="宋体"/>
                <w:sz w:val="24"/>
              </w:rPr>
            </w:pPr>
          </w:p>
        </w:tc>
        <w:tc>
          <w:tcPr>
            <w:tcW w:w="4240" w:type="dxa"/>
            <w:vMerge w:val="continue"/>
            <w:noWrap w:val="0"/>
            <w:vAlign w:val="center"/>
          </w:tcPr>
          <w:p w14:paraId="648D12B4">
            <w:pPr>
              <w:rPr>
                <w:rFonts w:ascii="宋体" w:hAnsi="宋体" w:cs="宋体"/>
                <w:sz w:val="24"/>
              </w:rPr>
            </w:pPr>
          </w:p>
        </w:tc>
        <w:tc>
          <w:tcPr>
            <w:tcW w:w="1895" w:type="dxa"/>
            <w:noWrap w:val="0"/>
            <w:vAlign w:val="center"/>
          </w:tcPr>
          <w:p w14:paraId="6DA9A33D">
            <w:pPr>
              <w:jc w:val="center"/>
              <w:rPr>
                <w:rFonts w:ascii="宋体" w:hAnsi="宋体" w:cs="宋体"/>
                <w:sz w:val="24"/>
              </w:rPr>
            </w:pPr>
            <w:r>
              <w:rPr>
                <w:rFonts w:hint="eastAsia" w:ascii="宋体" w:hAnsi="宋体"/>
                <w:sz w:val="24"/>
              </w:rPr>
              <w:t>税后</w:t>
            </w:r>
          </w:p>
        </w:tc>
        <w:tc>
          <w:tcPr>
            <w:tcW w:w="1895" w:type="dxa"/>
            <w:noWrap w:val="0"/>
            <w:vAlign w:val="center"/>
          </w:tcPr>
          <w:p w14:paraId="7BA21F76">
            <w:pPr>
              <w:jc w:val="center"/>
              <w:rPr>
                <w:rFonts w:ascii="宋体" w:hAnsi="宋体" w:cs="宋体"/>
                <w:sz w:val="24"/>
              </w:rPr>
            </w:pPr>
            <w:r>
              <w:rPr>
                <w:rFonts w:hint="eastAsia" w:ascii="宋体" w:hAnsi="宋体"/>
                <w:sz w:val="24"/>
              </w:rPr>
              <w:t>税前</w:t>
            </w:r>
          </w:p>
        </w:tc>
      </w:tr>
      <w:tr w14:paraId="72AA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noWrap w:val="0"/>
            <w:vAlign w:val="center"/>
          </w:tcPr>
          <w:p w14:paraId="21FB1E29">
            <w:pPr>
              <w:jc w:val="center"/>
              <w:rPr>
                <w:rFonts w:ascii="宋体" w:hAnsi="宋体" w:cs="宋体"/>
                <w:sz w:val="24"/>
              </w:rPr>
            </w:pPr>
            <w:r>
              <w:rPr>
                <w:rFonts w:hint="eastAsia" w:ascii="宋体" w:hAnsi="宋体"/>
                <w:sz w:val="24"/>
              </w:rPr>
              <w:t>1</w:t>
            </w:r>
          </w:p>
        </w:tc>
        <w:tc>
          <w:tcPr>
            <w:tcW w:w="4240" w:type="dxa"/>
            <w:noWrap w:val="0"/>
            <w:vAlign w:val="center"/>
          </w:tcPr>
          <w:p w14:paraId="32E32AD4">
            <w:pPr>
              <w:rPr>
                <w:rFonts w:ascii="宋体" w:hAnsi="宋体" w:cs="宋体"/>
                <w:sz w:val="24"/>
              </w:rPr>
            </w:pPr>
            <w:r>
              <w:rPr>
                <w:rFonts w:hint="eastAsia" w:ascii="宋体" w:hAnsi="宋体"/>
                <w:sz w:val="24"/>
              </w:rPr>
              <w:t>财务内部收益率(%)</w:t>
            </w:r>
          </w:p>
        </w:tc>
        <w:tc>
          <w:tcPr>
            <w:tcW w:w="1895" w:type="dxa"/>
            <w:noWrap w:val="0"/>
            <w:vAlign w:val="center"/>
          </w:tcPr>
          <w:p w14:paraId="5BC0DF9E">
            <w:pPr>
              <w:jc w:val="right"/>
              <w:rPr>
                <w:rFonts w:ascii="宋体" w:hAnsi="宋体" w:cs="宋体"/>
                <w:sz w:val="24"/>
              </w:rPr>
            </w:pPr>
            <w:r>
              <w:rPr>
                <w:rFonts w:hint="eastAsia" w:ascii="宋体" w:hAnsi="宋体"/>
                <w:sz w:val="24"/>
              </w:rPr>
              <w:t>28.76%</w:t>
            </w:r>
          </w:p>
        </w:tc>
        <w:tc>
          <w:tcPr>
            <w:tcW w:w="1895" w:type="dxa"/>
            <w:noWrap w:val="0"/>
            <w:vAlign w:val="center"/>
          </w:tcPr>
          <w:p w14:paraId="4A4CA5B4">
            <w:pPr>
              <w:jc w:val="right"/>
              <w:rPr>
                <w:rFonts w:ascii="宋体" w:hAnsi="宋体" w:cs="宋体"/>
                <w:sz w:val="24"/>
              </w:rPr>
            </w:pPr>
            <w:r>
              <w:rPr>
                <w:rFonts w:hint="eastAsia" w:ascii="宋体" w:hAnsi="宋体"/>
                <w:sz w:val="24"/>
              </w:rPr>
              <w:t>37.68%</w:t>
            </w:r>
          </w:p>
        </w:tc>
      </w:tr>
      <w:tr w14:paraId="4CA9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noWrap w:val="0"/>
            <w:vAlign w:val="center"/>
          </w:tcPr>
          <w:p w14:paraId="01871D99">
            <w:pPr>
              <w:jc w:val="center"/>
              <w:rPr>
                <w:rFonts w:ascii="宋体" w:hAnsi="宋体" w:cs="宋体"/>
                <w:sz w:val="24"/>
              </w:rPr>
            </w:pPr>
            <w:r>
              <w:rPr>
                <w:rFonts w:hint="eastAsia" w:ascii="宋体" w:hAnsi="宋体"/>
                <w:sz w:val="24"/>
              </w:rPr>
              <w:t>2</w:t>
            </w:r>
          </w:p>
        </w:tc>
        <w:tc>
          <w:tcPr>
            <w:tcW w:w="4240" w:type="dxa"/>
            <w:noWrap w:val="0"/>
            <w:vAlign w:val="center"/>
          </w:tcPr>
          <w:p w14:paraId="475B072F">
            <w:pPr>
              <w:rPr>
                <w:rFonts w:ascii="宋体" w:hAnsi="宋体" w:cs="宋体"/>
                <w:sz w:val="24"/>
              </w:rPr>
            </w:pPr>
            <w:r>
              <w:rPr>
                <w:rFonts w:hint="eastAsia" w:ascii="宋体" w:hAnsi="宋体"/>
                <w:sz w:val="24"/>
              </w:rPr>
              <w:t>净现值(万元)</w:t>
            </w:r>
          </w:p>
        </w:tc>
        <w:tc>
          <w:tcPr>
            <w:tcW w:w="1895" w:type="dxa"/>
            <w:noWrap w:val="0"/>
            <w:vAlign w:val="center"/>
          </w:tcPr>
          <w:p w14:paraId="38DA6851">
            <w:pPr>
              <w:jc w:val="right"/>
              <w:rPr>
                <w:rFonts w:ascii="宋体" w:hAnsi="宋体" w:cs="宋体"/>
                <w:sz w:val="24"/>
              </w:rPr>
            </w:pPr>
            <w:r>
              <w:rPr>
                <w:rFonts w:hint="eastAsia" w:ascii="宋体" w:hAnsi="宋体"/>
                <w:sz w:val="24"/>
              </w:rPr>
              <w:t>10860.46</w:t>
            </w:r>
          </w:p>
        </w:tc>
        <w:tc>
          <w:tcPr>
            <w:tcW w:w="1895" w:type="dxa"/>
            <w:noWrap w:val="0"/>
            <w:vAlign w:val="center"/>
          </w:tcPr>
          <w:p w14:paraId="2C777041">
            <w:pPr>
              <w:jc w:val="right"/>
              <w:rPr>
                <w:rFonts w:ascii="宋体" w:hAnsi="宋体" w:cs="宋体"/>
                <w:sz w:val="24"/>
              </w:rPr>
            </w:pPr>
            <w:r>
              <w:rPr>
                <w:rFonts w:hint="eastAsia" w:ascii="宋体" w:hAnsi="宋体"/>
                <w:sz w:val="24"/>
              </w:rPr>
              <w:t>14968.55</w:t>
            </w:r>
          </w:p>
        </w:tc>
      </w:tr>
      <w:tr w14:paraId="3D47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noWrap w:val="0"/>
            <w:vAlign w:val="center"/>
          </w:tcPr>
          <w:p w14:paraId="11D2420D">
            <w:pPr>
              <w:jc w:val="center"/>
              <w:rPr>
                <w:rFonts w:ascii="宋体" w:hAnsi="宋体" w:cs="宋体"/>
                <w:sz w:val="24"/>
              </w:rPr>
            </w:pPr>
            <w:r>
              <w:rPr>
                <w:rFonts w:hint="eastAsia" w:ascii="宋体" w:hAnsi="宋体"/>
                <w:sz w:val="24"/>
              </w:rPr>
              <w:t>3</w:t>
            </w:r>
          </w:p>
        </w:tc>
        <w:tc>
          <w:tcPr>
            <w:tcW w:w="4240" w:type="dxa"/>
            <w:noWrap w:val="0"/>
            <w:vAlign w:val="center"/>
          </w:tcPr>
          <w:p w14:paraId="0F59F7A9">
            <w:pPr>
              <w:rPr>
                <w:rFonts w:ascii="宋体" w:hAnsi="宋体" w:cs="宋体"/>
                <w:sz w:val="24"/>
              </w:rPr>
            </w:pPr>
            <w:r>
              <w:rPr>
                <w:rFonts w:hint="eastAsia" w:ascii="宋体" w:hAnsi="宋体"/>
                <w:sz w:val="24"/>
              </w:rPr>
              <w:t>动态投资回收期(年)</w:t>
            </w:r>
          </w:p>
        </w:tc>
        <w:tc>
          <w:tcPr>
            <w:tcW w:w="1895" w:type="dxa"/>
            <w:noWrap w:val="0"/>
            <w:vAlign w:val="center"/>
          </w:tcPr>
          <w:p w14:paraId="0AC9FD0F">
            <w:pPr>
              <w:jc w:val="right"/>
              <w:rPr>
                <w:rFonts w:ascii="宋体" w:hAnsi="宋体" w:cs="宋体"/>
                <w:sz w:val="24"/>
              </w:rPr>
            </w:pPr>
            <w:r>
              <w:rPr>
                <w:rFonts w:hint="eastAsia" w:ascii="宋体" w:hAnsi="宋体"/>
                <w:sz w:val="24"/>
              </w:rPr>
              <w:t>5.4</w:t>
            </w:r>
          </w:p>
        </w:tc>
        <w:tc>
          <w:tcPr>
            <w:tcW w:w="1895" w:type="dxa"/>
            <w:noWrap w:val="0"/>
            <w:vAlign w:val="center"/>
          </w:tcPr>
          <w:p w14:paraId="4E1F98E7">
            <w:pPr>
              <w:jc w:val="right"/>
              <w:rPr>
                <w:rFonts w:ascii="宋体" w:hAnsi="宋体" w:cs="宋体"/>
                <w:sz w:val="24"/>
              </w:rPr>
            </w:pPr>
            <w:r>
              <w:rPr>
                <w:rFonts w:hint="eastAsia" w:ascii="宋体" w:hAnsi="宋体"/>
                <w:sz w:val="24"/>
              </w:rPr>
              <w:t>4.2</w:t>
            </w:r>
          </w:p>
        </w:tc>
      </w:tr>
      <w:tr w14:paraId="5A29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noWrap w:val="0"/>
            <w:vAlign w:val="center"/>
          </w:tcPr>
          <w:p w14:paraId="6A1E53F2">
            <w:pPr>
              <w:jc w:val="center"/>
              <w:rPr>
                <w:rFonts w:ascii="宋体" w:hAnsi="宋体" w:cs="宋体"/>
                <w:sz w:val="24"/>
              </w:rPr>
            </w:pPr>
            <w:r>
              <w:rPr>
                <w:rFonts w:hint="eastAsia" w:ascii="宋体" w:hAnsi="宋体"/>
                <w:sz w:val="24"/>
              </w:rPr>
              <w:t>5</w:t>
            </w:r>
          </w:p>
        </w:tc>
        <w:tc>
          <w:tcPr>
            <w:tcW w:w="4240" w:type="dxa"/>
            <w:noWrap w:val="0"/>
            <w:vAlign w:val="center"/>
          </w:tcPr>
          <w:p w14:paraId="1F8A3833">
            <w:pPr>
              <w:rPr>
                <w:rFonts w:ascii="宋体" w:hAnsi="宋体" w:cs="宋体"/>
                <w:sz w:val="24"/>
              </w:rPr>
            </w:pPr>
            <w:r>
              <w:rPr>
                <w:rFonts w:hint="eastAsia" w:ascii="宋体" w:hAnsi="宋体"/>
                <w:sz w:val="24"/>
              </w:rPr>
              <w:t>投资利润率（%）</w:t>
            </w:r>
          </w:p>
        </w:tc>
        <w:tc>
          <w:tcPr>
            <w:tcW w:w="3790" w:type="dxa"/>
            <w:gridSpan w:val="2"/>
            <w:noWrap w:val="0"/>
            <w:vAlign w:val="center"/>
          </w:tcPr>
          <w:p w14:paraId="785AEBEB">
            <w:pPr>
              <w:jc w:val="center"/>
              <w:rPr>
                <w:rFonts w:ascii="宋体" w:hAnsi="宋体" w:cs="宋体"/>
                <w:sz w:val="24"/>
              </w:rPr>
            </w:pPr>
            <w:r>
              <w:rPr>
                <w:rFonts w:hint="eastAsia" w:ascii="宋体" w:hAnsi="宋体"/>
                <w:sz w:val="24"/>
              </w:rPr>
              <w:t>27.37</w:t>
            </w:r>
          </w:p>
        </w:tc>
      </w:tr>
      <w:tr w14:paraId="0B24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7" w:hRule="atLeast"/>
          <w:jc w:val="center"/>
        </w:trPr>
        <w:tc>
          <w:tcPr>
            <w:tcW w:w="958" w:type="dxa"/>
            <w:noWrap w:val="0"/>
            <w:vAlign w:val="center"/>
          </w:tcPr>
          <w:p w14:paraId="2461B5F4">
            <w:pPr>
              <w:jc w:val="center"/>
              <w:rPr>
                <w:rFonts w:ascii="宋体" w:hAnsi="宋体" w:cs="宋体"/>
                <w:sz w:val="24"/>
              </w:rPr>
            </w:pPr>
            <w:r>
              <w:rPr>
                <w:rFonts w:hint="eastAsia" w:ascii="宋体" w:hAnsi="宋体"/>
                <w:sz w:val="24"/>
              </w:rPr>
              <w:t>6</w:t>
            </w:r>
          </w:p>
        </w:tc>
        <w:tc>
          <w:tcPr>
            <w:tcW w:w="4240" w:type="dxa"/>
            <w:noWrap w:val="0"/>
            <w:vAlign w:val="center"/>
          </w:tcPr>
          <w:p w14:paraId="411B8B92">
            <w:pPr>
              <w:rPr>
                <w:rFonts w:ascii="宋体" w:hAnsi="宋体" w:cs="宋体"/>
                <w:sz w:val="24"/>
              </w:rPr>
            </w:pPr>
            <w:r>
              <w:rPr>
                <w:rFonts w:hint="eastAsia" w:ascii="宋体" w:hAnsi="宋体"/>
                <w:sz w:val="24"/>
              </w:rPr>
              <w:t>投资利税率（%）</w:t>
            </w:r>
          </w:p>
        </w:tc>
        <w:tc>
          <w:tcPr>
            <w:tcW w:w="3790" w:type="dxa"/>
            <w:gridSpan w:val="2"/>
            <w:noWrap w:val="0"/>
            <w:vAlign w:val="center"/>
          </w:tcPr>
          <w:p w14:paraId="0325420B">
            <w:pPr>
              <w:jc w:val="center"/>
              <w:rPr>
                <w:rFonts w:ascii="宋体" w:hAnsi="宋体" w:cs="宋体"/>
                <w:sz w:val="24"/>
              </w:rPr>
            </w:pPr>
            <w:r>
              <w:rPr>
                <w:rFonts w:hint="eastAsia" w:ascii="宋体" w:hAnsi="宋体"/>
                <w:sz w:val="24"/>
              </w:rPr>
              <w:t>40.54</w:t>
            </w:r>
          </w:p>
        </w:tc>
      </w:tr>
    </w:tbl>
    <w:p w14:paraId="7E018FF7">
      <w:pPr>
        <w:pStyle w:val="4"/>
        <w:keepLines/>
        <w:adjustRightInd w:val="0"/>
        <w:snapToGrid w:val="0"/>
        <w:spacing w:before="240" w:after="240" w:line="460" w:lineRule="exact"/>
        <w:ind w:firstLine="562" w:firstLineChars="200"/>
        <w:jc w:val="both"/>
        <w:rPr>
          <w:rFonts w:hint="eastAsia"/>
          <w:b/>
          <w:color w:val="000000"/>
          <w:kern w:val="0"/>
          <w:szCs w:val="20"/>
        </w:rPr>
      </w:pPr>
      <w:r>
        <w:rPr>
          <w:rFonts w:hint="eastAsia"/>
          <w:b/>
          <w:color w:val="000000"/>
          <w:kern w:val="0"/>
          <w:szCs w:val="20"/>
        </w:rPr>
        <w:t>五、不确定性分析</w:t>
      </w:r>
    </w:p>
    <w:p w14:paraId="6FCC835F">
      <w:pPr>
        <w:spacing w:line="460" w:lineRule="exact"/>
        <w:ind w:firstLine="480" w:firstLineChars="200"/>
        <w:rPr>
          <w:rFonts w:hint="eastAsia" w:ascii="宋体" w:hAnsi="宋体"/>
          <w:sz w:val="24"/>
        </w:rPr>
      </w:pPr>
      <w:r>
        <w:rPr>
          <w:rFonts w:hint="eastAsia" w:ascii="宋体" w:hAnsi="宋体"/>
          <w:sz w:val="24"/>
        </w:rPr>
        <w:t>1、盈亏平衡分析</w:t>
      </w:r>
    </w:p>
    <w:p w14:paraId="7B013762">
      <w:pPr>
        <w:pStyle w:val="89"/>
        <w:spacing w:line="460" w:lineRule="exact"/>
        <w:ind w:firstLine="480" w:firstLineChars="200"/>
        <w:rPr>
          <w:rFonts w:hint="eastAsia"/>
        </w:rPr>
      </w:pPr>
      <w:r>
        <w:rPr>
          <w:rFonts w:hint="eastAsia"/>
        </w:rPr>
        <w:t>通过计算，按矿井投产后正常年份(以3年为例)的年销售收入为10500万元，年固定总成本为3812.04万元，可变成本为1408.62万元，年销售及附加税为1785万元，由此计算项目盈亏平衡点如下：</w:t>
      </w:r>
    </w:p>
    <w:p w14:paraId="57AD4877">
      <w:pPr>
        <w:pStyle w:val="89"/>
        <w:spacing w:line="460" w:lineRule="exact"/>
        <w:ind w:firstLine="480" w:firstLineChars="200"/>
        <w:rPr>
          <w:rFonts w:hint="eastAsia"/>
        </w:rPr>
      </w:pPr>
      <w:r>
        <w:rPr>
          <w:rFonts w:hint="eastAsia"/>
        </w:rPr>
        <w:t>BEP(生产能力利用率)=年固定总成本/(年销售收入-年可变总成本-年销售及附加税)×100%=52.17%</w:t>
      </w:r>
    </w:p>
    <w:p w14:paraId="2EA13266">
      <w:pPr>
        <w:pStyle w:val="89"/>
        <w:spacing w:line="460" w:lineRule="exact"/>
        <w:ind w:firstLine="480" w:firstLineChars="200"/>
        <w:rPr>
          <w:rFonts w:hint="eastAsia"/>
        </w:rPr>
      </w:pPr>
      <w:r>
        <w:rPr>
          <w:rFonts w:hint="eastAsia"/>
        </w:rPr>
        <w:t>BEP(产量)=30×52.17%=15.65万吨。</w:t>
      </w:r>
    </w:p>
    <w:p w14:paraId="7D037D09">
      <w:pPr>
        <w:pStyle w:val="89"/>
        <w:spacing w:line="460" w:lineRule="exact"/>
        <w:ind w:firstLine="480" w:firstLineChars="200"/>
        <w:rPr>
          <w:rFonts w:hint="eastAsia"/>
        </w:rPr>
      </w:pPr>
      <w:r>
        <w:rPr>
          <w:rFonts w:hint="eastAsia"/>
        </w:rPr>
        <w:t>从盈亏平衡点计算来看，矿井生产能力利用率为52.17%，当产量达到15.65万吨时，企业即可以保本，产量盈亏平衡点不高，说明本项目盈利余地大、矿井建设具有一定的抗风险能力。</w:t>
      </w:r>
    </w:p>
    <w:p w14:paraId="227A0F7D">
      <w:pPr>
        <w:spacing w:line="460" w:lineRule="exact"/>
        <w:ind w:firstLine="480" w:firstLineChars="200"/>
        <w:rPr>
          <w:rFonts w:hint="eastAsia" w:ascii="宋体" w:hAnsi="宋体"/>
          <w:sz w:val="24"/>
        </w:rPr>
      </w:pPr>
      <w:r>
        <w:rPr>
          <w:rFonts w:hint="eastAsia" w:ascii="宋体" w:hAnsi="宋体"/>
          <w:sz w:val="24"/>
        </w:rPr>
        <w:t>2、敏感性分析</w:t>
      </w:r>
    </w:p>
    <w:p w14:paraId="52218133">
      <w:pPr>
        <w:pStyle w:val="89"/>
        <w:spacing w:line="460" w:lineRule="exact"/>
        <w:ind w:firstLine="480" w:firstLineChars="200"/>
        <w:rPr>
          <w:rFonts w:hint="eastAsia"/>
        </w:rPr>
      </w:pPr>
      <w:r>
        <w:rPr>
          <w:rFonts w:hint="eastAsia"/>
        </w:rPr>
        <w:t xml:space="preserve">本项目在计算期内可能发生变化的因素有销售价格、固定资产投资和经营成本等。通过计算分析单个因素分别在±20%、±15%、±10%、±5%变化时对技术经济平衡指标的影响程度，可知本项目对产品销售价格变化反应最为敏感。敏感性分析见 </w:t>
      </w:r>
      <w:r>
        <w:rPr>
          <w:rFonts w:hint="eastAsia"/>
          <w:b/>
        </w:rPr>
        <w:t>表10-3-3</w:t>
      </w:r>
      <w:r>
        <w:rPr>
          <w:rFonts w:hint="eastAsia"/>
        </w:rPr>
        <w:t>。</w:t>
      </w:r>
    </w:p>
    <w:p w14:paraId="0B71E995">
      <w:pPr>
        <w:pStyle w:val="89"/>
        <w:spacing w:line="460" w:lineRule="exact"/>
        <w:ind w:firstLine="0"/>
        <w:jc w:val="center"/>
        <w:rPr>
          <w:rFonts w:hint="eastAsia"/>
          <w:b/>
        </w:rPr>
      </w:pPr>
      <w:r>
        <w:rPr>
          <w:rFonts w:hint="eastAsia"/>
          <w:b/>
        </w:rPr>
        <w:t>表10-3-3       敏感性分析表（税后）</w:t>
      </w:r>
    </w:p>
    <w:p w14:paraId="5BE3497C">
      <w:pPr>
        <w:pStyle w:val="89"/>
        <w:ind w:firstLine="24"/>
        <w:rPr>
          <w:rFonts w:hint="eastAsia"/>
        </w:rPr>
      </w:pPr>
      <w:r>
        <w:drawing>
          <wp:inline distT="0" distB="0" distL="114300" distR="114300">
            <wp:extent cx="5754370" cy="1642110"/>
            <wp:effectExtent l="0" t="0" r="17780" b="15240"/>
            <wp:docPr id="63"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5"/>
                    <pic:cNvPicPr>
                      <a:picLocks noChangeAspect="1"/>
                    </pic:cNvPicPr>
                  </pic:nvPicPr>
                  <pic:blipFill>
                    <a:blip r:embed="rId243"/>
                    <a:srcRect t="12660"/>
                    <a:stretch>
                      <a:fillRect/>
                    </a:stretch>
                  </pic:blipFill>
                  <pic:spPr>
                    <a:xfrm>
                      <a:off x="0" y="0"/>
                      <a:ext cx="5754370" cy="1642110"/>
                    </a:xfrm>
                    <a:prstGeom prst="rect">
                      <a:avLst/>
                    </a:prstGeom>
                    <a:noFill/>
                    <a:ln>
                      <a:noFill/>
                    </a:ln>
                  </pic:spPr>
                </pic:pic>
              </a:graphicData>
            </a:graphic>
          </wp:inline>
        </w:drawing>
      </w:r>
    </w:p>
    <w:p w14:paraId="7127C7E2">
      <w:pPr>
        <w:pStyle w:val="89"/>
        <w:rPr>
          <w:rFonts w:hint="eastAsia"/>
        </w:rPr>
      </w:pPr>
      <w:r>
        <w:rPr>
          <w:rFonts w:hint="eastAsia"/>
        </w:rPr>
        <w:t>在项目可行区域内，各因素在±20%的幅度内变化，项目未出现负值，仍具有一定的效益。因此本项目具有一定的抗风险能力。</w:t>
      </w:r>
    </w:p>
    <w:p w14:paraId="0C22275F">
      <w:pPr>
        <w:pStyle w:val="4"/>
        <w:keepLines/>
        <w:adjustRightInd w:val="0"/>
        <w:snapToGrid w:val="0"/>
        <w:spacing w:before="240" w:after="240" w:line="360" w:lineRule="auto"/>
        <w:ind w:firstLine="562" w:firstLineChars="200"/>
        <w:jc w:val="both"/>
        <w:rPr>
          <w:rFonts w:hint="eastAsia"/>
          <w:b/>
          <w:color w:val="000000"/>
          <w:kern w:val="0"/>
          <w:szCs w:val="20"/>
        </w:rPr>
      </w:pPr>
      <w:r>
        <w:rPr>
          <w:rFonts w:hint="eastAsia"/>
          <w:b/>
          <w:color w:val="000000"/>
          <w:kern w:val="0"/>
          <w:szCs w:val="20"/>
        </w:rPr>
        <w:t>六、经济效益初步分析</w:t>
      </w:r>
    </w:p>
    <w:p w14:paraId="3F27D6F5">
      <w:pPr>
        <w:spacing w:line="360" w:lineRule="auto"/>
        <w:ind w:firstLine="480" w:firstLineChars="200"/>
        <w:rPr>
          <w:rFonts w:ascii="宋体" w:hAnsi="宋体"/>
          <w:sz w:val="24"/>
        </w:rPr>
        <w:sectPr>
          <w:pgSz w:w="11906" w:h="16838"/>
          <w:pgMar w:top="1304" w:right="1418" w:bottom="1304" w:left="1418" w:header="1134" w:footer="992" w:gutter="0"/>
          <w:cols w:space="720" w:num="1"/>
          <w:docGrid w:linePitch="312" w:charSpace="0"/>
        </w:sectPr>
      </w:pPr>
      <w:r>
        <w:rPr>
          <w:rFonts w:hint="eastAsia" w:ascii="宋体" w:hAnsi="宋体"/>
          <w:sz w:val="24"/>
        </w:rPr>
        <w:t>从以上财务评价指标表中可看出，各项财务评价指标较好，税后财务内部收益率26</w:t>
      </w:r>
      <w:r>
        <w:rPr>
          <w:rFonts w:ascii="宋体" w:hAnsi="宋体"/>
          <w:sz w:val="24"/>
        </w:rPr>
        <w:t>%</w:t>
      </w:r>
      <w:r>
        <w:rPr>
          <w:rFonts w:hint="eastAsia" w:ascii="宋体" w:hAnsi="宋体"/>
          <w:sz w:val="24"/>
        </w:rPr>
        <w:t>，大于行业基准收益率10%，投资回收期较短，投资利润率、利税率较高，矿井建设有较好的经济效益，而且对地方经济的发展具有积极的促进作用，因此，该矿井建设在经济上是可行的。</w:t>
      </w:r>
    </w:p>
    <w:p w14:paraId="7527370F">
      <w:pPr>
        <w:pStyle w:val="2"/>
        <w:keepLines/>
        <w:spacing w:before="240" w:after="120" w:line="360" w:lineRule="auto"/>
        <w:ind w:firstLine="0" w:firstLineChars="0"/>
        <w:jc w:val="both"/>
        <w:rPr>
          <w:rFonts w:hint="eastAsia" w:ascii="黑体" w:eastAsia="黑体"/>
          <w:b/>
          <w:color w:val="000000"/>
          <w:kern w:val="44"/>
          <w:sz w:val="36"/>
          <w:szCs w:val="36"/>
        </w:rPr>
      </w:pPr>
      <w:bookmarkStart w:id="917" w:name="_Toc173869347"/>
      <w:bookmarkStart w:id="918" w:name="_Toc260915300"/>
      <w:bookmarkStart w:id="919" w:name="_Toc92630551"/>
      <w:r>
        <w:rPr>
          <w:rFonts w:hint="eastAsia" w:ascii="黑体" w:eastAsia="黑体"/>
          <w:b/>
          <w:color w:val="000000"/>
          <w:kern w:val="44"/>
          <w:sz w:val="36"/>
          <w:szCs w:val="36"/>
        </w:rPr>
        <w:t>附表：主要技术经济指标表</w:t>
      </w:r>
      <w:bookmarkEnd w:id="917"/>
      <w:bookmarkEnd w:id="918"/>
      <w:bookmarkEnd w:id="919"/>
    </w:p>
    <w:p w14:paraId="55D10B5F">
      <w:pPr>
        <w:spacing w:line="360" w:lineRule="auto"/>
        <w:jc w:val="center"/>
        <w:rPr>
          <w:rFonts w:hint="eastAsia" w:ascii="宋体" w:hAnsi="宋体"/>
          <w:color w:val="000000"/>
          <w:sz w:val="28"/>
        </w:rPr>
      </w:pPr>
      <w:r>
        <w:rPr>
          <w:rFonts w:hint="eastAsia" w:ascii="宋体" w:hAnsi="宋体"/>
          <w:color w:val="000000"/>
          <w:sz w:val="28"/>
        </w:rPr>
        <w:t>主要技术经济指标表</w:t>
      </w:r>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2"/>
        <w:gridCol w:w="3369"/>
        <w:gridCol w:w="1107"/>
        <w:gridCol w:w="1758"/>
        <w:gridCol w:w="1692"/>
      </w:tblGrid>
      <w:tr w14:paraId="6A5F9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18FF4CAB">
            <w:pPr>
              <w:jc w:val="center"/>
              <w:rPr>
                <w:rFonts w:hint="eastAsia" w:ascii="宋体" w:hAnsi="宋体"/>
                <w:color w:val="000000"/>
              </w:rPr>
            </w:pPr>
            <w:r>
              <w:rPr>
                <w:rFonts w:hint="eastAsia" w:ascii="宋体" w:hAnsi="宋体"/>
                <w:color w:val="000000"/>
              </w:rPr>
              <w:t>序  号</w:t>
            </w:r>
          </w:p>
        </w:tc>
        <w:tc>
          <w:tcPr>
            <w:tcW w:w="3369" w:type="dxa"/>
            <w:noWrap w:val="0"/>
            <w:vAlign w:val="center"/>
          </w:tcPr>
          <w:p w14:paraId="70BE41D3">
            <w:pPr>
              <w:jc w:val="center"/>
              <w:rPr>
                <w:rFonts w:hint="eastAsia" w:ascii="宋体" w:hAnsi="宋体"/>
                <w:color w:val="000000"/>
              </w:rPr>
            </w:pPr>
            <w:r>
              <w:rPr>
                <w:rFonts w:hint="eastAsia" w:ascii="宋体" w:hAnsi="宋体"/>
                <w:color w:val="000000"/>
              </w:rPr>
              <w:t>指  标  名  称</w:t>
            </w:r>
          </w:p>
        </w:tc>
        <w:tc>
          <w:tcPr>
            <w:tcW w:w="1107" w:type="dxa"/>
            <w:noWrap w:val="0"/>
            <w:vAlign w:val="center"/>
          </w:tcPr>
          <w:p w14:paraId="6C671245">
            <w:pPr>
              <w:jc w:val="center"/>
              <w:rPr>
                <w:rFonts w:hint="eastAsia" w:ascii="宋体" w:hAnsi="宋体"/>
                <w:color w:val="000000"/>
              </w:rPr>
            </w:pPr>
            <w:r>
              <w:rPr>
                <w:rFonts w:hint="eastAsia" w:ascii="宋体" w:hAnsi="宋体"/>
                <w:color w:val="000000"/>
              </w:rPr>
              <w:t>单位</w:t>
            </w:r>
          </w:p>
        </w:tc>
        <w:tc>
          <w:tcPr>
            <w:tcW w:w="1758" w:type="dxa"/>
            <w:noWrap w:val="0"/>
            <w:vAlign w:val="center"/>
          </w:tcPr>
          <w:p w14:paraId="024D315D">
            <w:pPr>
              <w:jc w:val="center"/>
              <w:rPr>
                <w:rFonts w:hint="eastAsia" w:ascii="宋体" w:hAnsi="宋体"/>
                <w:color w:val="000000"/>
              </w:rPr>
            </w:pPr>
            <w:r>
              <w:rPr>
                <w:rFonts w:hint="eastAsia" w:ascii="宋体" w:hAnsi="宋体"/>
                <w:color w:val="000000"/>
              </w:rPr>
              <w:t>指标</w:t>
            </w:r>
          </w:p>
        </w:tc>
        <w:tc>
          <w:tcPr>
            <w:tcW w:w="1692" w:type="dxa"/>
            <w:noWrap w:val="0"/>
            <w:vAlign w:val="center"/>
          </w:tcPr>
          <w:p w14:paraId="0AE5A71F">
            <w:pPr>
              <w:jc w:val="center"/>
              <w:rPr>
                <w:rFonts w:hint="eastAsia" w:ascii="宋体" w:hAnsi="宋体"/>
                <w:color w:val="000000"/>
              </w:rPr>
            </w:pPr>
            <w:r>
              <w:rPr>
                <w:rFonts w:hint="eastAsia" w:ascii="宋体" w:hAnsi="宋体"/>
                <w:color w:val="000000"/>
              </w:rPr>
              <w:t>备  注</w:t>
            </w:r>
          </w:p>
        </w:tc>
      </w:tr>
      <w:tr w14:paraId="6F3719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7DD6FB0C">
            <w:pPr>
              <w:rPr>
                <w:rFonts w:hint="eastAsia" w:ascii="宋体" w:hAnsi="宋体"/>
                <w:color w:val="000000"/>
              </w:rPr>
            </w:pPr>
            <w:r>
              <w:rPr>
                <w:rFonts w:hint="eastAsia" w:ascii="宋体" w:hAnsi="宋体"/>
                <w:color w:val="000000"/>
              </w:rPr>
              <w:t>1</w:t>
            </w:r>
          </w:p>
        </w:tc>
        <w:tc>
          <w:tcPr>
            <w:tcW w:w="3369" w:type="dxa"/>
            <w:noWrap w:val="0"/>
            <w:vAlign w:val="center"/>
          </w:tcPr>
          <w:p w14:paraId="02C04A90">
            <w:pPr>
              <w:jc w:val="center"/>
              <w:rPr>
                <w:rFonts w:hint="eastAsia" w:ascii="宋体" w:hAnsi="宋体"/>
                <w:color w:val="000000"/>
              </w:rPr>
            </w:pPr>
            <w:r>
              <w:rPr>
                <w:rFonts w:hint="eastAsia" w:ascii="宋体" w:hAnsi="宋体"/>
                <w:color w:val="000000"/>
              </w:rPr>
              <w:t>井田范围</w:t>
            </w:r>
          </w:p>
        </w:tc>
        <w:tc>
          <w:tcPr>
            <w:tcW w:w="1107" w:type="dxa"/>
            <w:noWrap w:val="0"/>
            <w:vAlign w:val="center"/>
          </w:tcPr>
          <w:p w14:paraId="0D693C68">
            <w:pPr>
              <w:jc w:val="center"/>
              <w:rPr>
                <w:rFonts w:hint="eastAsia" w:ascii="宋体" w:hAnsi="宋体"/>
                <w:color w:val="000000"/>
              </w:rPr>
            </w:pPr>
          </w:p>
        </w:tc>
        <w:tc>
          <w:tcPr>
            <w:tcW w:w="1758" w:type="dxa"/>
            <w:noWrap w:val="0"/>
            <w:vAlign w:val="center"/>
          </w:tcPr>
          <w:p w14:paraId="0B36F8E6">
            <w:pPr>
              <w:jc w:val="center"/>
              <w:rPr>
                <w:rFonts w:hint="eastAsia" w:ascii="宋体" w:hAnsi="宋体"/>
                <w:color w:val="000000"/>
              </w:rPr>
            </w:pPr>
          </w:p>
        </w:tc>
        <w:tc>
          <w:tcPr>
            <w:tcW w:w="1692" w:type="dxa"/>
            <w:noWrap w:val="0"/>
            <w:vAlign w:val="center"/>
          </w:tcPr>
          <w:p w14:paraId="2521E622">
            <w:pPr>
              <w:rPr>
                <w:rFonts w:hint="eastAsia" w:ascii="宋体" w:hAnsi="宋体"/>
                <w:color w:val="000000"/>
              </w:rPr>
            </w:pPr>
          </w:p>
        </w:tc>
      </w:tr>
      <w:tr w14:paraId="2EC06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11274811">
            <w:pPr>
              <w:jc w:val="left"/>
              <w:rPr>
                <w:rFonts w:hint="eastAsia" w:ascii="宋体" w:hAnsi="宋体"/>
                <w:color w:val="000000"/>
              </w:rPr>
            </w:pPr>
            <w:r>
              <w:rPr>
                <w:rFonts w:hint="eastAsia" w:ascii="宋体" w:hAnsi="宋体"/>
                <w:color w:val="000000"/>
              </w:rPr>
              <w:t>1.1</w:t>
            </w:r>
          </w:p>
        </w:tc>
        <w:tc>
          <w:tcPr>
            <w:tcW w:w="3369" w:type="dxa"/>
            <w:noWrap w:val="0"/>
            <w:vAlign w:val="center"/>
          </w:tcPr>
          <w:p w14:paraId="1AC3CBAA">
            <w:pPr>
              <w:ind w:firstLine="415" w:firstLineChars="198"/>
              <w:rPr>
                <w:rFonts w:hint="eastAsia" w:ascii="宋体" w:hAnsi="宋体"/>
                <w:color w:val="000000"/>
                <w:szCs w:val="21"/>
              </w:rPr>
            </w:pPr>
            <w:r>
              <w:rPr>
                <w:rFonts w:hint="eastAsia" w:ascii="宋体" w:hAnsi="宋体"/>
                <w:color w:val="000000"/>
                <w:szCs w:val="21"/>
              </w:rPr>
              <w:t>井田</w:t>
            </w:r>
            <w:r>
              <w:rPr>
                <w:rFonts w:hint="eastAsia"/>
                <w:snapToGrid w:val="0"/>
                <w:kern w:val="0"/>
                <w:szCs w:val="28"/>
              </w:rPr>
              <w:t>走向长约</w:t>
            </w:r>
          </w:p>
        </w:tc>
        <w:tc>
          <w:tcPr>
            <w:tcW w:w="1107" w:type="dxa"/>
            <w:noWrap w:val="0"/>
            <w:vAlign w:val="center"/>
          </w:tcPr>
          <w:p w14:paraId="3689B96B">
            <w:pPr>
              <w:jc w:val="center"/>
              <w:rPr>
                <w:rFonts w:hint="eastAsia" w:ascii="宋体" w:hAnsi="宋体"/>
                <w:color w:val="000000"/>
              </w:rPr>
            </w:pPr>
            <w:r>
              <w:rPr>
                <w:rFonts w:hint="eastAsia" w:ascii="宋体" w:hAnsi="宋体"/>
                <w:color w:val="000000"/>
              </w:rPr>
              <w:t>km</w:t>
            </w:r>
          </w:p>
        </w:tc>
        <w:tc>
          <w:tcPr>
            <w:tcW w:w="1758" w:type="dxa"/>
            <w:noWrap w:val="0"/>
            <w:vAlign w:val="center"/>
          </w:tcPr>
          <w:p w14:paraId="152F5C2E">
            <w:pPr>
              <w:jc w:val="center"/>
              <w:rPr>
                <w:rFonts w:hint="eastAsia" w:ascii="宋体" w:hAnsi="宋体"/>
                <w:color w:val="000000"/>
              </w:rPr>
            </w:pPr>
            <w:r>
              <w:rPr>
                <w:rFonts w:hint="eastAsia" w:ascii="宋体" w:hAnsi="宋体"/>
                <w:color w:val="000000"/>
              </w:rPr>
              <w:t>1.8</w:t>
            </w:r>
          </w:p>
        </w:tc>
        <w:tc>
          <w:tcPr>
            <w:tcW w:w="1692" w:type="dxa"/>
            <w:noWrap w:val="0"/>
            <w:vAlign w:val="center"/>
          </w:tcPr>
          <w:p w14:paraId="51D6C981">
            <w:pPr>
              <w:rPr>
                <w:rFonts w:hint="eastAsia" w:ascii="宋体" w:hAnsi="宋体"/>
                <w:color w:val="000000"/>
              </w:rPr>
            </w:pPr>
          </w:p>
        </w:tc>
      </w:tr>
      <w:tr w14:paraId="54F05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188F3680">
            <w:pPr>
              <w:rPr>
                <w:rFonts w:hint="eastAsia" w:ascii="宋体" w:hAnsi="宋体"/>
                <w:color w:val="000000"/>
              </w:rPr>
            </w:pPr>
            <w:r>
              <w:rPr>
                <w:rFonts w:hint="eastAsia" w:ascii="宋体" w:hAnsi="宋体"/>
                <w:color w:val="000000"/>
              </w:rPr>
              <w:t>1.2</w:t>
            </w:r>
          </w:p>
        </w:tc>
        <w:tc>
          <w:tcPr>
            <w:tcW w:w="3369" w:type="dxa"/>
            <w:noWrap w:val="0"/>
            <w:vAlign w:val="center"/>
          </w:tcPr>
          <w:p w14:paraId="708F01BC">
            <w:pPr>
              <w:ind w:firstLine="415" w:firstLineChars="198"/>
              <w:rPr>
                <w:rFonts w:hint="eastAsia" w:ascii="宋体" w:hAnsi="宋体"/>
                <w:color w:val="000000"/>
                <w:szCs w:val="21"/>
              </w:rPr>
            </w:pPr>
            <w:r>
              <w:rPr>
                <w:rFonts w:hint="eastAsia" w:ascii="宋体" w:hAnsi="宋体"/>
                <w:color w:val="000000"/>
                <w:szCs w:val="21"/>
              </w:rPr>
              <w:t>井田</w:t>
            </w:r>
            <w:r>
              <w:rPr>
                <w:rFonts w:hint="eastAsia"/>
                <w:snapToGrid w:val="0"/>
                <w:kern w:val="0"/>
                <w:szCs w:val="28"/>
              </w:rPr>
              <w:t>倾向宽约</w:t>
            </w:r>
          </w:p>
        </w:tc>
        <w:tc>
          <w:tcPr>
            <w:tcW w:w="1107" w:type="dxa"/>
            <w:noWrap w:val="0"/>
            <w:vAlign w:val="center"/>
          </w:tcPr>
          <w:p w14:paraId="5836019F">
            <w:pPr>
              <w:jc w:val="center"/>
              <w:rPr>
                <w:rFonts w:hint="eastAsia" w:ascii="宋体" w:hAnsi="宋体"/>
                <w:color w:val="000000"/>
              </w:rPr>
            </w:pPr>
            <w:r>
              <w:rPr>
                <w:rFonts w:hint="eastAsia" w:ascii="宋体" w:hAnsi="宋体"/>
                <w:color w:val="000000"/>
              </w:rPr>
              <w:t>km</w:t>
            </w:r>
          </w:p>
        </w:tc>
        <w:tc>
          <w:tcPr>
            <w:tcW w:w="1758" w:type="dxa"/>
            <w:noWrap w:val="0"/>
            <w:vAlign w:val="center"/>
          </w:tcPr>
          <w:p w14:paraId="2A9D7C0F">
            <w:pPr>
              <w:jc w:val="center"/>
              <w:rPr>
                <w:rFonts w:hint="eastAsia" w:ascii="宋体" w:hAnsi="宋体"/>
                <w:color w:val="000000"/>
              </w:rPr>
            </w:pPr>
            <w:r>
              <w:rPr>
                <w:rFonts w:hint="eastAsia" w:ascii="宋体" w:hAnsi="宋体"/>
                <w:color w:val="000000"/>
              </w:rPr>
              <w:t>0.7</w:t>
            </w:r>
          </w:p>
        </w:tc>
        <w:tc>
          <w:tcPr>
            <w:tcW w:w="1692" w:type="dxa"/>
            <w:noWrap w:val="0"/>
            <w:vAlign w:val="center"/>
          </w:tcPr>
          <w:p w14:paraId="0A353F06">
            <w:pPr>
              <w:rPr>
                <w:rFonts w:hint="eastAsia" w:ascii="宋体" w:hAnsi="宋体"/>
                <w:color w:val="000000"/>
              </w:rPr>
            </w:pPr>
          </w:p>
        </w:tc>
      </w:tr>
      <w:tr w14:paraId="64A0B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F8764A8">
            <w:pPr>
              <w:rPr>
                <w:rFonts w:hint="eastAsia" w:ascii="宋体" w:hAnsi="宋体"/>
                <w:color w:val="000000"/>
              </w:rPr>
            </w:pPr>
            <w:r>
              <w:rPr>
                <w:rFonts w:hint="eastAsia" w:ascii="宋体" w:hAnsi="宋体"/>
                <w:color w:val="000000"/>
              </w:rPr>
              <w:t>1.3</w:t>
            </w:r>
          </w:p>
        </w:tc>
        <w:tc>
          <w:tcPr>
            <w:tcW w:w="3369" w:type="dxa"/>
            <w:noWrap w:val="0"/>
            <w:vAlign w:val="center"/>
          </w:tcPr>
          <w:p w14:paraId="5D628A5D">
            <w:pPr>
              <w:ind w:firstLine="415" w:firstLineChars="198"/>
              <w:rPr>
                <w:rFonts w:hint="eastAsia" w:ascii="宋体" w:hAnsi="宋体"/>
                <w:color w:val="000000"/>
              </w:rPr>
            </w:pPr>
            <w:r>
              <w:rPr>
                <w:rFonts w:hint="eastAsia" w:ascii="宋体" w:hAnsi="宋体"/>
                <w:color w:val="000000"/>
              </w:rPr>
              <w:t>井田面积</w:t>
            </w:r>
          </w:p>
        </w:tc>
        <w:tc>
          <w:tcPr>
            <w:tcW w:w="1107" w:type="dxa"/>
            <w:noWrap w:val="0"/>
            <w:vAlign w:val="center"/>
          </w:tcPr>
          <w:p w14:paraId="49D9469C">
            <w:pPr>
              <w:jc w:val="center"/>
              <w:rPr>
                <w:rFonts w:hint="eastAsia" w:ascii="宋体" w:hAnsi="宋体"/>
                <w:color w:val="000000"/>
              </w:rPr>
            </w:pPr>
            <w:r>
              <w:rPr>
                <w:rFonts w:hint="eastAsia" w:ascii="宋体" w:hAnsi="宋体"/>
                <w:color w:val="000000"/>
              </w:rPr>
              <w:t>km</w:t>
            </w:r>
            <w:r>
              <w:rPr>
                <w:rFonts w:hint="eastAsia" w:ascii="宋体" w:hAnsi="宋体"/>
                <w:color w:val="000000"/>
                <w:szCs w:val="21"/>
                <w:vertAlign w:val="superscript"/>
              </w:rPr>
              <w:t>2</w:t>
            </w:r>
          </w:p>
        </w:tc>
        <w:tc>
          <w:tcPr>
            <w:tcW w:w="1758" w:type="dxa"/>
            <w:noWrap w:val="0"/>
            <w:vAlign w:val="center"/>
          </w:tcPr>
          <w:p w14:paraId="004D9FB7">
            <w:pPr>
              <w:jc w:val="center"/>
              <w:rPr>
                <w:rFonts w:hint="eastAsia" w:ascii="宋体" w:hAnsi="宋体"/>
                <w:color w:val="000000"/>
              </w:rPr>
            </w:pPr>
            <w:r>
              <w:rPr>
                <w:rFonts w:hint="eastAsia" w:ascii="宋体" w:hAnsi="宋体"/>
                <w:color w:val="000000"/>
              </w:rPr>
              <w:t>1.2268</w:t>
            </w:r>
          </w:p>
        </w:tc>
        <w:tc>
          <w:tcPr>
            <w:tcW w:w="1692" w:type="dxa"/>
            <w:noWrap w:val="0"/>
            <w:vAlign w:val="center"/>
          </w:tcPr>
          <w:p w14:paraId="03D5867C">
            <w:pPr>
              <w:rPr>
                <w:rFonts w:hint="eastAsia" w:ascii="宋体" w:hAnsi="宋体"/>
                <w:color w:val="000000"/>
              </w:rPr>
            </w:pPr>
          </w:p>
        </w:tc>
      </w:tr>
      <w:tr w14:paraId="47363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6A5D9B4">
            <w:pPr>
              <w:rPr>
                <w:rFonts w:hint="eastAsia" w:ascii="宋体" w:hAnsi="宋体"/>
                <w:color w:val="000000"/>
              </w:rPr>
            </w:pPr>
            <w:r>
              <w:rPr>
                <w:rFonts w:hint="eastAsia" w:ascii="宋体" w:hAnsi="宋体"/>
                <w:color w:val="000000"/>
              </w:rPr>
              <w:t>2</w:t>
            </w:r>
          </w:p>
        </w:tc>
        <w:tc>
          <w:tcPr>
            <w:tcW w:w="3369" w:type="dxa"/>
            <w:noWrap w:val="0"/>
            <w:vAlign w:val="center"/>
          </w:tcPr>
          <w:p w14:paraId="7F2B07A3">
            <w:pPr>
              <w:rPr>
                <w:rFonts w:hint="eastAsia" w:ascii="宋体" w:hAnsi="宋体"/>
                <w:color w:val="000000"/>
              </w:rPr>
            </w:pPr>
            <w:r>
              <w:rPr>
                <w:rFonts w:hint="eastAsia" w:ascii="宋体" w:hAnsi="宋体"/>
                <w:color w:val="000000"/>
              </w:rPr>
              <w:t>煤层</w:t>
            </w:r>
          </w:p>
        </w:tc>
        <w:tc>
          <w:tcPr>
            <w:tcW w:w="1107" w:type="dxa"/>
            <w:noWrap w:val="0"/>
            <w:vAlign w:val="center"/>
          </w:tcPr>
          <w:p w14:paraId="45D468E7">
            <w:pPr>
              <w:jc w:val="center"/>
              <w:rPr>
                <w:rFonts w:hint="eastAsia" w:ascii="宋体" w:hAnsi="宋体"/>
                <w:color w:val="000000"/>
              </w:rPr>
            </w:pPr>
          </w:p>
        </w:tc>
        <w:tc>
          <w:tcPr>
            <w:tcW w:w="1758" w:type="dxa"/>
            <w:noWrap w:val="0"/>
            <w:vAlign w:val="center"/>
          </w:tcPr>
          <w:p w14:paraId="1FF826AE">
            <w:pPr>
              <w:jc w:val="center"/>
              <w:rPr>
                <w:rFonts w:hint="eastAsia" w:ascii="宋体" w:hAnsi="宋体"/>
                <w:color w:val="000000"/>
              </w:rPr>
            </w:pPr>
          </w:p>
        </w:tc>
        <w:tc>
          <w:tcPr>
            <w:tcW w:w="1692" w:type="dxa"/>
            <w:noWrap w:val="0"/>
            <w:vAlign w:val="center"/>
          </w:tcPr>
          <w:p w14:paraId="26A7E7B4">
            <w:pPr>
              <w:rPr>
                <w:rFonts w:hint="eastAsia" w:ascii="宋体" w:hAnsi="宋体"/>
                <w:color w:val="000000"/>
              </w:rPr>
            </w:pPr>
          </w:p>
        </w:tc>
      </w:tr>
      <w:tr w14:paraId="0EF66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CC3DC4A">
            <w:pPr>
              <w:rPr>
                <w:rFonts w:hint="eastAsia" w:ascii="宋体" w:hAnsi="宋体"/>
                <w:color w:val="000000"/>
              </w:rPr>
            </w:pPr>
            <w:r>
              <w:rPr>
                <w:rFonts w:hint="eastAsia" w:ascii="宋体" w:hAnsi="宋体"/>
                <w:color w:val="000000"/>
              </w:rPr>
              <w:t>2.1</w:t>
            </w:r>
          </w:p>
        </w:tc>
        <w:tc>
          <w:tcPr>
            <w:tcW w:w="3369" w:type="dxa"/>
            <w:noWrap w:val="0"/>
            <w:vAlign w:val="center"/>
          </w:tcPr>
          <w:p w14:paraId="4694BA92">
            <w:pPr>
              <w:ind w:firstLine="435"/>
              <w:rPr>
                <w:rFonts w:hint="eastAsia" w:ascii="宋体" w:hAnsi="宋体"/>
                <w:color w:val="000000"/>
              </w:rPr>
            </w:pPr>
            <w:r>
              <w:rPr>
                <w:rFonts w:hint="eastAsia" w:ascii="宋体" w:hAnsi="宋体"/>
                <w:color w:val="000000"/>
              </w:rPr>
              <w:t>可采煤层数</w:t>
            </w:r>
          </w:p>
        </w:tc>
        <w:tc>
          <w:tcPr>
            <w:tcW w:w="1107" w:type="dxa"/>
            <w:noWrap w:val="0"/>
            <w:vAlign w:val="center"/>
          </w:tcPr>
          <w:p w14:paraId="25DBE632">
            <w:pPr>
              <w:jc w:val="center"/>
              <w:rPr>
                <w:rFonts w:hint="eastAsia" w:ascii="宋体" w:hAnsi="宋体"/>
                <w:color w:val="000000"/>
              </w:rPr>
            </w:pPr>
            <w:r>
              <w:rPr>
                <w:rFonts w:hint="eastAsia" w:ascii="宋体" w:hAnsi="宋体"/>
                <w:color w:val="000000"/>
              </w:rPr>
              <w:t>层</w:t>
            </w:r>
          </w:p>
        </w:tc>
        <w:tc>
          <w:tcPr>
            <w:tcW w:w="1758" w:type="dxa"/>
            <w:noWrap w:val="0"/>
            <w:vAlign w:val="center"/>
          </w:tcPr>
          <w:p w14:paraId="29F3F306">
            <w:pPr>
              <w:jc w:val="center"/>
              <w:rPr>
                <w:rFonts w:hint="eastAsia" w:ascii="宋体" w:hAnsi="宋体"/>
                <w:color w:val="000000"/>
              </w:rPr>
            </w:pPr>
            <w:r>
              <w:rPr>
                <w:rFonts w:hint="eastAsia" w:ascii="宋体" w:hAnsi="宋体"/>
                <w:color w:val="000000"/>
              </w:rPr>
              <w:t>11</w:t>
            </w:r>
          </w:p>
        </w:tc>
        <w:tc>
          <w:tcPr>
            <w:tcW w:w="1692" w:type="dxa"/>
            <w:noWrap w:val="0"/>
            <w:vAlign w:val="center"/>
          </w:tcPr>
          <w:p w14:paraId="358B10D0">
            <w:pPr>
              <w:rPr>
                <w:rFonts w:hint="eastAsia" w:ascii="宋体" w:hAnsi="宋体"/>
                <w:color w:val="000000"/>
              </w:rPr>
            </w:pPr>
          </w:p>
        </w:tc>
      </w:tr>
      <w:tr w14:paraId="70DC5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123A715">
            <w:pPr>
              <w:rPr>
                <w:rFonts w:hint="eastAsia" w:ascii="宋体" w:hAnsi="宋体"/>
                <w:color w:val="000000"/>
              </w:rPr>
            </w:pPr>
            <w:r>
              <w:rPr>
                <w:rFonts w:hint="eastAsia" w:ascii="宋体" w:hAnsi="宋体"/>
                <w:color w:val="000000"/>
              </w:rPr>
              <w:t>2.2</w:t>
            </w:r>
          </w:p>
        </w:tc>
        <w:tc>
          <w:tcPr>
            <w:tcW w:w="3369" w:type="dxa"/>
            <w:noWrap w:val="0"/>
            <w:vAlign w:val="center"/>
          </w:tcPr>
          <w:p w14:paraId="7DF2EFFA">
            <w:pPr>
              <w:ind w:firstLine="435"/>
              <w:rPr>
                <w:rFonts w:hint="eastAsia" w:ascii="宋体" w:hAnsi="宋体"/>
                <w:color w:val="000000"/>
              </w:rPr>
            </w:pPr>
            <w:r>
              <w:rPr>
                <w:rFonts w:hint="eastAsia" w:ascii="宋体" w:hAnsi="宋体"/>
                <w:color w:val="000000"/>
              </w:rPr>
              <w:t>可采煤层平均总厚度</w:t>
            </w:r>
          </w:p>
        </w:tc>
        <w:tc>
          <w:tcPr>
            <w:tcW w:w="1107" w:type="dxa"/>
            <w:noWrap w:val="0"/>
            <w:vAlign w:val="center"/>
          </w:tcPr>
          <w:p w14:paraId="2EC6DA11">
            <w:pPr>
              <w:jc w:val="center"/>
              <w:rPr>
                <w:rFonts w:hint="eastAsia" w:ascii="宋体" w:hAnsi="宋体"/>
                <w:color w:val="000000"/>
              </w:rPr>
            </w:pPr>
            <w:r>
              <w:rPr>
                <w:rFonts w:hint="eastAsia" w:ascii="宋体" w:hAnsi="宋体"/>
                <w:color w:val="000000"/>
              </w:rPr>
              <w:t>m</w:t>
            </w:r>
          </w:p>
        </w:tc>
        <w:tc>
          <w:tcPr>
            <w:tcW w:w="1758" w:type="dxa"/>
            <w:noWrap w:val="0"/>
            <w:vAlign w:val="center"/>
          </w:tcPr>
          <w:p w14:paraId="7FECC502">
            <w:pPr>
              <w:jc w:val="center"/>
              <w:rPr>
                <w:rFonts w:hint="eastAsia" w:ascii="宋体" w:hAnsi="宋体"/>
                <w:color w:val="000000"/>
              </w:rPr>
            </w:pPr>
            <w:r>
              <w:rPr>
                <w:rFonts w:hint="eastAsia" w:ascii="宋体" w:hAnsi="宋体"/>
                <w:color w:val="000000"/>
              </w:rPr>
              <w:t>17.89</w:t>
            </w:r>
          </w:p>
        </w:tc>
        <w:tc>
          <w:tcPr>
            <w:tcW w:w="1692" w:type="dxa"/>
            <w:noWrap w:val="0"/>
            <w:vAlign w:val="center"/>
          </w:tcPr>
          <w:p w14:paraId="6655AE7B">
            <w:pPr>
              <w:rPr>
                <w:rFonts w:hint="eastAsia" w:ascii="宋体" w:hAnsi="宋体"/>
                <w:color w:val="000000"/>
              </w:rPr>
            </w:pPr>
          </w:p>
        </w:tc>
      </w:tr>
      <w:tr w14:paraId="1B398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78BB638C">
            <w:pPr>
              <w:rPr>
                <w:rFonts w:hint="eastAsia" w:ascii="宋体" w:hAnsi="宋体"/>
                <w:color w:val="000000"/>
              </w:rPr>
            </w:pPr>
            <w:r>
              <w:rPr>
                <w:rFonts w:hint="eastAsia" w:ascii="宋体" w:hAnsi="宋体"/>
                <w:color w:val="000000"/>
              </w:rPr>
              <w:t>2.3</w:t>
            </w:r>
          </w:p>
        </w:tc>
        <w:tc>
          <w:tcPr>
            <w:tcW w:w="3369" w:type="dxa"/>
            <w:noWrap w:val="0"/>
            <w:vAlign w:val="center"/>
          </w:tcPr>
          <w:p w14:paraId="30A5FD7E">
            <w:pPr>
              <w:ind w:firstLine="435"/>
              <w:rPr>
                <w:rFonts w:hint="eastAsia" w:ascii="宋体" w:hAnsi="宋体"/>
                <w:color w:val="000000"/>
              </w:rPr>
            </w:pPr>
            <w:r>
              <w:rPr>
                <w:rFonts w:hint="eastAsia" w:ascii="宋体" w:hAnsi="宋体"/>
                <w:color w:val="000000"/>
              </w:rPr>
              <w:t>首采煤层平均厚度</w:t>
            </w:r>
          </w:p>
        </w:tc>
        <w:tc>
          <w:tcPr>
            <w:tcW w:w="1107" w:type="dxa"/>
            <w:noWrap w:val="0"/>
            <w:vAlign w:val="center"/>
          </w:tcPr>
          <w:p w14:paraId="58BCA3D8">
            <w:pPr>
              <w:jc w:val="center"/>
              <w:rPr>
                <w:rFonts w:hint="eastAsia" w:ascii="宋体" w:hAnsi="宋体"/>
                <w:color w:val="000000"/>
              </w:rPr>
            </w:pPr>
            <w:r>
              <w:rPr>
                <w:rFonts w:hint="eastAsia" w:ascii="宋体" w:hAnsi="宋体"/>
                <w:color w:val="000000"/>
              </w:rPr>
              <w:t>m</w:t>
            </w:r>
          </w:p>
        </w:tc>
        <w:tc>
          <w:tcPr>
            <w:tcW w:w="1758" w:type="dxa"/>
            <w:noWrap w:val="0"/>
            <w:vAlign w:val="center"/>
          </w:tcPr>
          <w:p w14:paraId="0AE7EF69">
            <w:pPr>
              <w:jc w:val="center"/>
              <w:rPr>
                <w:rFonts w:hint="eastAsia" w:ascii="宋体" w:hAnsi="宋体"/>
                <w:color w:val="000000"/>
              </w:rPr>
            </w:pPr>
            <w:r>
              <w:rPr>
                <w:rFonts w:hint="eastAsia" w:ascii="宋体" w:hAnsi="宋体"/>
                <w:color w:val="000000"/>
              </w:rPr>
              <w:t>2.3</w:t>
            </w:r>
          </w:p>
        </w:tc>
        <w:tc>
          <w:tcPr>
            <w:tcW w:w="1692" w:type="dxa"/>
            <w:noWrap w:val="0"/>
            <w:vAlign w:val="center"/>
          </w:tcPr>
          <w:p w14:paraId="6344E231">
            <w:pPr>
              <w:rPr>
                <w:rFonts w:hint="eastAsia" w:ascii="宋体" w:hAnsi="宋体"/>
                <w:color w:val="000000"/>
              </w:rPr>
            </w:pPr>
          </w:p>
        </w:tc>
      </w:tr>
      <w:tr w14:paraId="2B79F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B06AA5C">
            <w:pPr>
              <w:rPr>
                <w:rFonts w:hint="eastAsia" w:ascii="宋体" w:hAnsi="宋体"/>
                <w:color w:val="000000"/>
              </w:rPr>
            </w:pPr>
            <w:r>
              <w:rPr>
                <w:rFonts w:hint="eastAsia" w:ascii="宋体" w:hAnsi="宋体"/>
                <w:color w:val="000000"/>
              </w:rPr>
              <w:t>2.4</w:t>
            </w:r>
          </w:p>
        </w:tc>
        <w:tc>
          <w:tcPr>
            <w:tcW w:w="3369" w:type="dxa"/>
            <w:noWrap w:val="0"/>
            <w:vAlign w:val="center"/>
          </w:tcPr>
          <w:p w14:paraId="37BE4400">
            <w:pPr>
              <w:ind w:firstLine="435"/>
              <w:rPr>
                <w:rFonts w:hint="eastAsia" w:ascii="宋体" w:hAnsi="宋体"/>
                <w:color w:val="000000"/>
              </w:rPr>
            </w:pPr>
            <w:r>
              <w:rPr>
                <w:rFonts w:hint="eastAsia" w:ascii="宋体" w:hAnsi="宋体"/>
                <w:color w:val="000000"/>
              </w:rPr>
              <w:t>煤层倾角</w:t>
            </w:r>
          </w:p>
        </w:tc>
        <w:tc>
          <w:tcPr>
            <w:tcW w:w="1107" w:type="dxa"/>
            <w:noWrap w:val="0"/>
            <w:vAlign w:val="center"/>
          </w:tcPr>
          <w:p w14:paraId="4A3589A7">
            <w:pPr>
              <w:jc w:val="center"/>
              <w:rPr>
                <w:rFonts w:hint="eastAsia" w:ascii="宋体" w:hAnsi="宋体"/>
                <w:color w:val="000000"/>
              </w:rPr>
            </w:pPr>
            <w:r>
              <w:rPr>
                <w:rFonts w:hint="eastAsia" w:ascii="宋体" w:hAnsi="宋体"/>
                <w:color w:val="000000"/>
              </w:rPr>
              <w:t>(°)</w:t>
            </w:r>
          </w:p>
        </w:tc>
        <w:tc>
          <w:tcPr>
            <w:tcW w:w="1758" w:type="dxa"/>
            <w:noWrap w:val="0"/>
            <w:vAlign w:val="center"/>
          </w:tcPr>
          <w:p w14:paraId="4111BA9C">
            <w:pPr>
              <w:jc w:val="center"/>
              <w:rPr>
                <w:rFonts w:hint="eastAsia" w:ascii="宋体" w:hAnsi="宋体"/>
                <w:color w:val="000000"/>
              </w:rPr>
            </w:pPr>
            <w:r>
              <w:rPr>
                <w:rFonts w:hint="eastAsia" w:ascii="宋体" w:hAnsi="宋体"/>
                <w:color w:val="000000"/>
              </w:rPr>
              <w:t>30</w:t>
            </w:r>
          </w:p>
        </w:tc>
        <w:tc>
          <w:tcPr>
            <w:tcW w:w="1692" w:type="dxa"/>
            <w:noWrap w:val="0"/>
            <w:vAlign w:val="center"/>
          </w:tcPr>
          <w:p w14:paraId="3CE4463C">
            <w:pPr>
              <w:rPr>
                <w:rFonts w:hint="eastAsia" w:ascii="宋体" w:hAnsi="宋体"/>
                <w:color w:val="000000"/>
              </w:rPr>
            </w:pPr>
          </w:p>
        </w:tc>
      </w:tr>
      <w:tr w14:paraId="1B9A2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8722095">
            <w:pPr>
              <w:rPr>
                <w:rFonts w:hint="eastAsia" w:ascii="宋体" w:hAnsi="宋体"/>
                <w:color w:val="000000"/>
              </w:rPr>
            </w:pPr>
            <w:r>
              <w:rPr>
                <w:rFonts w:hint="eastAsia" w:ascii="宋体" w:hAnsi="宋体"/>
                <w:color w:val="000000"/>
              </w:rPr>
              <w:t>3</w:t>
            </w:r>
          </w:p>
        </w:tc>
        <w:tc>
          <w:tcPr>
            <w:tcW w:w="3369" w:type="dxa"/>
            <w:noWrap w:val="0"/>
            <w:vAlign w:val="center"/>
          </w:tcPr>
          <w:p w14:paraId="12BFEE6A">
            <w:pPr>
              <w:rPr>
                <w:rFonts w:hint="eastAsia" w:ascii="宋体" w:hAnsi="宋体"/>
                <w:color w:val="000000"/>
              </w:rPr>
            </w:pPr>
            <w:r>
              <w:rPr>
                <w:rFonts w:hint="eastAsia" w:ascii="宋体" w:hAnsi="宋体"/>
                <w:color w:val="000000"/>
              </w:rPr>
              <w:t>资源/储量</w:t>
            </w:r>
          </w:p>
        </w:tc>
        <w:tc>
          <w:tcPr>
            <w:tcW w:w="1107" w:type="dxa"/>
            <w:noWrap w:val="0"/>
            <w:vAlign w:val="center"/>
          </w:tcPr>
          <w:p w14:paraId="1D49BD27">
            <w:pPr>
              <w:jc w:val="center"/>
              <w:rPr>
                <w:rFonts w:hint="eastAsia" w:ascii="宋体" w:hAnsi="宋体"/>
                <w:color w:val="000000"/>
              </w:rPr>
            </w:pPr>
          </w:p>
        </w:tc>
        <w:tc>
          <w:tcPr>
            <w:tcW w:w="1758" w:type="dxa"/>
            <w:noWrap w:val="0"/>
            <w:vAlign w:val="center"/>
          </w:tcPr>
          <w:p w14:paraId="36ECB799">
            <w:pPr>
              <w:jc w:val="center"/>
              <w:rPr>
                <w:rFonts w:hint="eastAsia" w:ascii="宋体" w:hAnsi="宋体"/>
                <w:color w:val="000000"/>
              </w:rPr>
            </w:pPr>
          </w:p>
        </w:tc>
        <w:tc>
          <w:tcPr>
            <w:tcW w:w="1692" w:type="dxa"/>
            <w:noWrap w:val="0"/>
            <w:vAlign w:val="center"/>
          </w:tcPr>
          <w:p w14:paraId="315927C0">
            <w:pPr>
              <w:rPr>
                <w:rFonts w:hint="eastAsia" w:ascii="宋体" w:hAnsi="宋体"/>
                <w:color w:val="000000"/>
              </w:rPr>
            </w:pPr>
          </w:p>
        </w:tc>
      </w:tr>
      <w:tr w14:paraId="5D068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7B6CB2A">
            <w:pPr>
              <w:rPr>
                <w:rFonts w:hint="eastAsia" w:ascii="宋体" w:hAnsi="宋体"/>
                <w:color w:val="000000"/>
              </w:rPr>
            </w:pPr>
            <w:r>
              <w:rPr>
                <w:rFonts w:hint="eastAsia" w:ascii="宋体" w:hAnsi="宋体"/>
                <w:color w:val="000000"/>
              </w:rPr>
              <w:t>3.1</w:t>
            </w:r>
          </w:p>
        </w:tc>
        <w:tc>
          <w:tcPr>
            <w:tcW w:w="3369" w:type="dxa"/>
            <w:noWrap w:val="0"/>
            <w:vAlign w:val="center"/>
          </w:tcPr>
          <w:p w14:paraId="115FB91F">
            <w:pPr>
              <w:ind w:firstLine="435"/>
              <w:rPr>
                <w:rFonts w:hint="eastAsia" w:ascii="宋体" w:hAnsi="宋体"/>
                <w:color w:val="000000"/>
              </w:rPr>
            </w:pPr>
            <w:r>
              <w:rPr>
                <w:rFonts w:hint="eastAsia" w:ascii="宋体" w:hAnsi="宋体"/>
                <w:color w:val="000000"/>
              </w:rPr>
              <w:t>工业资源量</w:t>
            </w:r>
          </w:p>
        </w:tc>
        <w:tc>
          <w:tcPr>
            <w:tcW w:w="1107" w:type="dxa"/>
            <w:noWrap w:val="0"/>
            <w:vAlign w:val="center"/>
          </w:tcPr>
          <w:p w14:paraId="081831E4">
            <w:pPr>
              <w:jc w:val="center"/>
              <w:rPr>
                <w:rFonts w:hint="eastAsia" w:ascii="宋体" w:hAnsi="宋体"/>
                <w:color w:val="000000"/>
              </w:rPr>
            </w:pPr>
            <w:r>
              <w:rPr>
                <w:rFonts w:hint="eastAsia" w:ascii="宋体" w:hAnsi="宋体"/>
                <w:color w:val="000000"/>
              </w:rPr>
              <w:t>万吨</w:t>
            </w:r>
          </w:p>
        </w:tc>
        <w:tc>
          <w:tcPr>
            <w:tcW w:w="1758" w:type="dxa"/>
            <w:noWrap w:val="0"/>
            <w:vAlign w:val="center"/>
          </w:tcPr>
          <w:p w14:paraId="62ABA882">
            <w:pPr>
              <w:jc w:val="center"/>
              <w:rPr>
                <w:rFonts w:hint="eastAsia" w:ascii="宋体" w:hAnsi="宋体"/>
                <w:color w:val="000000"/>
              </w:rPr>
            </w:pPr>
            <w:r>
              <w:rPr>
                <w:rFonts w:hint="eastAsia" w:ascii="宋体" w:hAnsi="宋体"/>
                <w:color w:val="000000"/>
              </w:rPr>
              <w:t>1158.26</w:t>
            </w:r>
          </w:p>
        </w:tc>
        <w:tc>
          <w:tcPr>
            <w:tcW w:w="1692" w:type="dxa"/>
            <w:noWrap w:val="0"/>
            <w:vAlign w:val="center"/>
          </w:tcPr>
          <w:p w14:paraId="4D602B92">
            <w:pPr>
              <w:rPr>
                <w:rFonts w:hint="eastAsia" w:ascii="宋体" w:hAnsi="宋体"/>
                <w:color w:val="000000"/>
              </w:rPr>
            </w:pPr>
          </w:p>
        </w:tc>
      </w:tr>
      <w:tr w14:paraId="27B745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F3BC1D6">
            <w:pPr>
              <w:rPr>
                <w:rFonts w:hint="eastAsia" w:ascii="宋体" w:hAnsi="宋体"/>
                <w:color w:val="000000"/>
              </w:rPr>
            </w:pPr>
            <w:r>
              <w:rPr>
                <w:rFonts w:hint="eastAsia" w:ascii="宋体" w:hAnsi="宋体"/>
                <w:color w:val="000000"/>
              </w:rPr>
              <w:t>3.2</w:t>
            </w:r>
          </w:p>
        </w:tc>
        <w:tc>
          <w:tcPr>
            <w:tcW w:w="3369" w:type="dxa"/>
            <w:noWrap w:val="0"/>
            <w:vAlign w:val="center"/>
          </w:tcPr>
          <w:p w14:paraId="1E05263C">
            <w:pPr>
              <w:ind w:firstLine="435"/>
              <w:rPr>
                <w:rFonts w:hint="eastAsia" w:ascii="宋体" w:hAnsi="宋体"/>
                <w:color w:val="000000"/>
              </w:rPr>
            </w:pPr>
            <w:r>
              <w:rPr>
                <w:rFonts w:hint="eastAsia" w:ascii="宋体" w:hAnsi="宋体"/>
                <w:color w:val="000000"/>
              </w:rPr>
              <w:t>利用储量</w:t>
            </w:r>
          </w:p>
        </w:tc>
        <w:tc>
          <w:tcPr>
            <w:tcW w:w="1107" w:type="dxa"/>
            <w:noWrap w:val="0"/>
            <w:vAlign w:val="center"/>
          </w:tcPr>
          <w:p w14:paraId="39CBA132">
            <w:pPr>
              <w:jc w:val="center"/>
              <w:rPr>
                <w:rFonts w:hint="eastAsia" w:ascii="宋体" w:hAnsi="宋体"/>
                <w:color w:val="000000"/>
              </w:rPr>
            </w:pPr>
            <w:r>
              <w:rPr>
                <w:rFonts w:hint="eastAsia" w:ascii="宋体" w:hAnsi="宋体"/>
                <w:color w:val="000000"/>
              </w:rPr>
              <w:t>万吨</w:t>
            </w:r>
          </w:p>
        </w:tc>
        <w:tc>
          <w:tcPr>
            <w:tcW w:w="1758" w:type="dxa"/>
            <w:noWrap w:val="0"/>
            <w:vAlign w:val="center"/>
          </w:tcPr>
          <w:p w14:paraId="572D21A3">
            <w:pPr>
              <w:jc w:val="center"/>
              <w:rPr>
                <w:rFonts w:hint="eastAsia" w:ascii="宋体" w:hAnsi="宋体"/>
                <w:color w:val="000000"/>
              </w:rPr>
            </w:pPr>
            <w:r>
              <w:rPr>
                <w:rFonts w:hint="eastAsia" w:ascii="宋体" w:hAnsi="宋体"/>
                <w:color w:val="000000"/>
              </w:rPr>
              <w:t>999.02</w:t>
            </w:r>
          </w:p>
        </w:tc>
        <w:tc>
          <w:tcPr>
            <w:tcW w:w="1692" w:type="dxa"/>
            <w:noWrap w:val="0"/>
            <w:vAlign w:val="center"/>
          </w:tcPr>
          <w:p w14:paraId="020BDD2F">
            <w:pPr>
              <w:rPr>
                <w:rFonts w:hint="eastAsia" w:ascii="宋体" w:hAnsi="宋体"/>
                <w:color w:val="000000"/>
              </w:rPr>
            </w:pPr>
          </w:p>
        </w:tc>
      </w:tr>
      <w:tr w14:paraId="7B8F9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6EAC5F1">
            <w:pPr>
              <w:rPr>
                <w:rFonts w:hint="eastAsia" w:ascii="宋体" w:hAnsi="宋体"/>
                <w:color w:val="000000"/>
              </w:rPr>
            </w:pPr>
            <w:r>
              <w:rPr>
                <w:rFonts w:hint="eastAsia" w:ascii="宋体" w:hAnsi="宋体"/>
                <w:color w:val="000000"/>
              </w:rPr>
              <w:t>3.3</w:t>
            </w:r>
          </w:p>
        </w:tc>
        <w:tc>
          <w:tcPr>
            <w:tcW w:w="3369" w:type="dxa"/>
            <w:noWrap w:val="0"/>
            <w:vAlign w:val="center"/>
          </w:tcPr>
          <w:p w14:paraId="2BB277C2">
            <w:pPr>
              <w:ind w:firstLine="435"/>
              <w:rPr>
                <w:rFonts w:hint="eastAsia" w:ascii="宋体" w:hAnsi="宋体"/>
                <w:color w:val="000000"/>
              </w:rPr>
            </w:pPr>
            <w:r>
              <w:rPr>
                <w:rFonts w:hint="eastAsia" w:ascii="宋体" w:hAnsi="宋体"/>
                <w:color w:val="000000"/>
              </w:rPr>
              <w:t>可采储量</w:t>
            </w:r>
          </w:p>
        </w:tc>
        <w:tc>
          <w:tcPr>
            <w:tcW w:w="1107" w:type="dxa"/>
            <w:noWrap w:val="0"/>
            <w:vAlign w:val="center"/>
          </w:tcPr>
          <w:p w14:paraId="3457D14C">
            <w:pPr>
              <w:jc w:val="center"/>
              <w:rPr>
                <w:rFonts w:hint="eastAsia" w:ascii="宋体" w:hAnsi="宋体"/>
                <w:color w:val="000000"/>
              </w:rPr>
            </w:pPr>
            <w:r>
              <w:rPr>
                <w:rFonts w:hint="eastAsia" w:ascii="宋体" w:hAnsi="宋体"/>
                <w:color w:val="000000"/>
              </w:rPr>
              <w:t>万吨</w:t>
            </w:r>
          </w:p>
        </w:tc>
        <w:tc>
          <w:tcPr>
            <w:tcW w:w="1758" w:type="dxa"/>
            <w:noWrap w:val="0"/>
            <w:vAlign w:val="center"/>
          </w:tcPr>
          <w:p w14:paraId="12CDB854">
            <w:pPr>
              <w:jc w:val="center"/>
              <w:rPr>
                <w:rFonts w:hint="eastAsia" w:ascii="宋体" w:hAnsi="宋体"/>
                <w:color w:val="000000"/>
              </w:rPr>
            </w:pPr>
            <w:r>
              <w:rPr>
                <w:rFonts w:hint="eastAsia" w:ascii="宋体" w:hAnsi="宋体"/>
                <w:color w:val="000000"/>
              </w:rPr>
              <w:t>737.94</w:t>
            </w:r>
          </w:p>
        </w:tc>
        <w:tc>
          <w:tcPr>
            <w:tcW w:w="1692" w:type="dxa"/>
            <w:noWrap w:val="0"/>
            <w:vAlign w:val="center"/>
          </w:tcPr>
          <w:p w14:paraId="43909352">
            <w:pPr>
              <w:rPr>
                <w:rFonts w:hint="eastAsia" w:ascii="宋体" w:hAnsi="宋体"/>
                <w:color w:val="000000"/>
              </w:rPr>
            </w:pPr>
          </w:p>
        </w:tc>
      </w:tr>
      <w:tr w14:paraId="03F86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A459ECE">
            <w:pPr>
              <w:rPr>
                <w:rFonts w:hint="eastAsia" w:ascii="宋体" w:hAnsi="宋体"/>
                <w:color w:val="000000"/>
              </w:rPr>
            </w:pPr>
            <w:r>
              <w:rPr>
                <w:rFonts w:hint="eastAsia" w:ascii="宋体" w:hAnsi="宋体"/>
                <w:color w:val="000000"/>
              </w:rPr>
              <w:t>4</w:t>
            </w:r>
          </w:p>
        </w:tc>
        <w:tc>
          <w:tcPr>
            <w:tcW w:w="3369" w:type="dxa"/>
            <w:noWrap w:val="0"/>
            <w:vAlign w:val="center"/>
          </w:tcPr>
          <w:p w14:paraId="690B12EB">
            <w:pPr>
              <w:rPr>
                <w:rFonts w:hint="eastAsia" w:ascii="宋体" w:hAnsi="宋体"/>
                <w:color w:val="000000"/>
              </w:rPr>
            </w:pPr>
            <w:r>
              <w:rPr>
                <w:rFonts w:hint="eastAsia" w:ascii="宋体" w:hAnsi="宋体"/>
                <w:color w:val="000000"/>
              </w:rPr>
              <w:t>煤类</w:t>
            </w:r>
          </w:p>
        </w:tc>
        <w:tc>
          <w:tcPr>
            <w:tcW w:w="1107" w:type="dxa"/>
            <w:noWrap w:val="0"/>
            <w:vAlign w:val="center"/>
          </w:tcPr>
          <w:p w14:paraId="022468E9">
            <w:pPr>
              <w:jc w:val="center"/>
              <w:rPr>
                <w:rFonts w:hint="eastAsia" w:ascii="宋体" w:hAnsi="宋体"/>
                <w:color w:val="000000"/>
              </w:rPr>
            </w:pPr>
          </w:p>
        </w:tc>
        <w:tc>
          <w:tcPr>
            <w:tcW w:w="1758" w:type="dxa"/>
            <w:noWrap w:val="0"/>
            <w:vAlign w:val="center"/>
          </w:tcPr>
          <w:p w14:paraId="11A93B97">
            <w:pPr>
              <w:jc w:val="center"/>
              <w:rPr>
                <w:rFonts w:hint="eastAsia" w:ascii="宋体" w:hAnsi="宋体"/>
                <w:color w:val="000000"/>
                <w:szCs w:val="21"/>
              </w:rPr>
            </w:pPr>
            <w:r>
              <w:rPr>
                <w:rFonts w:hint="eastAsia"/>
              </w:rPr>
              <w:t>贫煤、无烟煤</w:t>
            </w:r>
          </w:p>
        </w:tc>
        <w:tc>
          <w:tcPr>
            <w:tcW w:w="1692" w:type="dxa"/>
            <w:noWrap w:val="0"/>
            <w:vAlign w:val="center"/>
          </w:tcPr>
          <w:p w14:paraId="724A9E56">
            <w:pPr>
              <w:rPr>
                <w:rFonts w:hint="eastAsia" w:ascii="宋体" w:hAnsi="宋体"/>
                <w:color w:val="000000"/>
                <w:szCs w:val="21"/>
              </w:rPr>
            </w:pPr>
          </w:p>
        </w:tc>
      </w:tr>
      <w:tr w14:paraId="7A12B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31663649">
            <w:pPr>
              <w:rPr>
                <w:rFonts w:hint="eastAsia" w:ascii="宋体" w:hAnsi="宋体"/>
                <w:color w:val="000000"/>
              </w:rPr>
            </w:pPr>
            <w:r>
              <w:rPr>
                <w:rFonts w:hint="eastAsia" w:ascii="宋体" w:hAnsi="宋体"/>
                <w:color w:val="000000"/>
              </w:rPr>
              <w:t>5</w:t>
            </w:r>
          </w:p>
        </w:tc>
        <w:tc>
          <w:tcPr>
            <w:tcW w:w="3369" w:type="dxa"/>
            <w:noWrap w:val="0"/>
            <w:vAlign w:val="center"/>
          </w:tcPr>
          <w:p w14:paraId="673C8F41">
            <w:pPr>
              <w:rPr>
                <w:rFonts w:hint="eastAsia" w:ascii="宋体" w:hAnsi="宋体"/>
                <w:color w:val="000000"/>
              </w:rPr>
            </w:pPr>
            <w:r>
              <w:rPr>
                <w:rFonts w:hint="eastAsia" w:ascii="宋体" w:hAnsi="宋体"/>
                <w:color w:val="000000"/>
              </w:rPr>
              <w:t>煤质</w:t>
            </w:r>
          </w:p>
        </w:tc>
        <w:tc>
          <w:tcPr>
            <w:tcW w:w="1107" w:type="dxa"/>
            <w:noWrap w:val="0"/>
            <w:vAlign w:val="center"/>
          </w:tcPr>
          <w:p w14:paraId="146ACD55">
            <w:pPr>
              <w:jc w:val="center"/>
              <w:rPr>
                <w:rFonts w:hint="eastAsia" w:ascii="宋体" w:hAnsi="宋体"/>
                <w:color w:val="000000"/>
              </w:rPr>
            </w:pPr>
          </w:p>
        </w:tc>
        <w:tc>
          <w:tcPr>
            <w:tcW w:w="1758" w:type="dxa"/>
            <w:noWrap w:val="0"/>
            <w:vAlign w:val="center"/>
          </w:tcPr>
          <w:p w14:paraId="385EB008">
            <w:pPr>
              <w:jc w:val="center"/>
              <w:rPr>
                <w:rFonts w:hint="eastAsia" w:ascii="宋体" w:hAnsi="宋体"/>
                <w:color w:val="000000"/>
              </w:rPr>
            </w:pPr>
          </w:p>
        </w:tc>
        <w:tc>
          <w:tcPr>
            <w:tcW w:w="1692" w:type="dxa"/>
            <w:noWrap w:val="0"/>
            <w:vAlign w:val="center"/>
          </w:tcPr>
          <w:p w14:paraId="48F84B52">
            <w:pPr>
              <w:rPr>
                <w:rFonts w:hint="eastAsia" w:ascii="宋体" w:hAnsi="宋体"/>
                <w:color w:val="000000"/>
              </w:rPr>
            </w:pPr>
          </w:p>
        </w:tc>
      </w:tr>
      <w:tr w14:paraId="729D7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8FEEB4B">
            <w:pPr>
              <w:rPr>
                <w:rFonts w:hint="eastAsia" w:ascii="宋体" w:hAnsi="宋体"/>
                <w:color w:val="000000"/>
              </w:rPr>
            </w:pPr>
            <w:r>
              <w:rPr>
                <w:rFonts w:hint="eastAsia" w:ascii="宋体" w:hAnsi="宋体"/>
                <w:color w:val="000000"/>
              </w:rPr>
              <w:t>5.1</w:t>
            </w:r>
          </w:p>
        </w:tc>
        <w:tc>
          <w:tcPr>
            <w:tcW w:w="3369" w:type="dxa"/>
            <w:noWrap w:val="0"/>
            <w:vAlign w:val="center"/>
          </w:tcPr>
          <w:p w14:paraId="71CCE356">
            <w:pPr>
              <w:ind w:firstLine="435"/>
              <w:rPr>
                <w:rFonts w:hint="eastAsia" w:ascii="宋体" w:hAnsi="宋体"/>
                <w:color w:val="000000"/>
              </w:rPr>
            </w:pPr>
            <w:r>
              <w:rPr>
                <w:rFonts w:hint="eastAsia" w:ascii="宋体" w:hAnsi="宋体"/>
                <w:color w:val="000000"/>
              </w:rPr>
              <w:t>灰分（原煤）</w:t>
            </w:r>
          </w:p>
        </w:tc>
        <w:tc>
          <w:tcPr>
            <w:tcW w:w="1107" w:type="dxa"/>
            <w:noWrap w:val="0"/>
            <w:vAlign w:val="center"/>
          </w:tcPr>
          <w:p w14:paraId="1631E2A2">
            <w:pPr>
              <w:jc w:val="center"/>
              <w:rPr>
                <w:rFonts w:hint="eastAsia" w:ascii="宋体" w:hAnsi="宋体"/>
                <w:color w:val="000000"/>
              </w:rPr>
            </w:pPr>
            <w:r>
              <w:rPr>
                <w:rFonts w:hint="eastAsia" w:ascii="宋体" w:hAnsi="宋体"/>
                <w:color w:val="000000"/>
              </w:rPr>
              <w:t>%</w:t>
            </w:r>
          </w:p>
        </w:tc>
        <w:tc>
          <w:tcPr>
            <w:tcW w:w="3450" w:type="dxa"/>
            <w:gridSpan w:val="2"/>
            <w:noWrap w:val="0"/>
            <w:vAlign w:val="center"/>
          </w:tcPr>
          <w:p w14:paraId="4B21A54C">
            <w:pPr>
              <w:rPr>
                <w:rFonts w:hint="eastAsia" w:ascii="宋体" w:hAnsi="宋体"/>
                <w:color w:val="000000"/>
              </w:rPr>
            </w:pPr>
          </w:p>
        </w:tc>
      </w:tr>
      <w:tr w14:paraId="6313F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767D971D">
            <w:pPr>
              <w:rPr>
                <w:rFonts w:hint="eastAsia" w:ascii="宋体" w:hAnsi="宋体"/>
                <w:color w:val="000000"/>
              </w:rPr>
            </w:pPr>
            <w:r>
              <w:rPr>
                <w:rFonts w:hint="eastAsia" w:ascii="宋体" w:hAnsi="宋体"/>
                <w:color w:val="000000"/>
              </w:rPr>
              <w:t>5.2</w:t>
            </w:r>
          </w:p>
        </w:tc>
        <w:tc>
          <w:tcPr>
            <w:tcW w:w="3369" w:type="dxa"/>
            <w:noWrap w:val="0"/>
            <w:vAlign w:val="center"/>
          </w:tcPr>
          <w:p w14:paraId="5ABDD204">
            <w:pPr>
              <w:ind w:firstLine="435"/>
              <w:rPr>
                <w:rFonts w:hint="eastAsia" w:ascii="宋体" w:hAnsi="宋体"/>
                <w:color w:val="000000"/>
              </w:rPr>
            </w:pPr>
            <w:r>
              <w:rPr>
                <w:rFonts w:hint="eastAsia" w:ascii="宋体" w:hAnsi="宋体"/>
                <w:color w:val="000000"/>
              </w:rPr>
              <w:t>硫分（原煤）</w:t>
            </w:r>
          </w:p>
        </w:tc>
        <w:tc>
          <w:tcPr>
            <w:tcW w:w="1107" w:type="dxa"/>
            <w:noWrap w:val="0"/>
            <w:vAlign w:val="center"/>
          </w:tcPr>
          <w:p w14:paraId="165884B0">
            <w:pPr>
              <w:jc w:val="center"/>
              <w:rPr>
                <w:rFonts w:hint="eastAsia" w:ascii="宋体" w:hAnsi="宋体"/>
                <w:color w:val="000000"/>
              </w:rPr>
            </w:pPr>
            <w:r>
              <w:rPr>
                <w:rFonts w:hint="eastAsia" w:ascii="宋体" w:hAnsi="宋体"/>
                <w:color w:val="000000"/>
              </w:rPr>
              <w:t>%</w:t>
            </w:r>
          </w:p>
        </w:tc>
        <w:tc>
          <w:tcPr>
            <w:tcW w:w="3450" w:type="dxa"/>
            <w:gridSpan w:val="2"/>
            <w:noWrap w:val="0"/>
            <w:vAlign w:val="center"/>
          </w:tcPr>
          <w:p w14:paraId="53BFF1A4">
            <w:pPr>
              <w:rPr>
                <w:rFonts w:hint="eastAsia" w:ascii="宋体" w:hAnsi="宋体"/>
                <w:color w:val="000000"/>
              </w:rPr>
            </w:pPr>
          </w:p>
        </w:tc>
      </w:tr>
      <w:tr w14:paraId="78001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9E86006">
            <w:pPr>
              <w:rPr>
                <w:rFonts w:hint="eastAsia" w:ascii="宋体" w:hAnsi="宋体"/>
                <w:color w:val="000000"/>
              </w:rPr>
            </w:pPr>
            <w:r>
              <w:rPr>
                <w:rFonts w:hint="eastAsia" w:ascii="宋体" w:hAnsi="宋体"/>
                <w:color w:val="000000"/>
              </w:rPr>
              <w:t>5.3</w:t>
            </w:r>
          </w:p>
        </w:tc>
        <w:tc>
          <w:tcPr>
            <w:tcW w:w="3369" w:type="dxa"/>
            <w:noWrap w:val="0"/>
            <w:vAlign w:val="center"/>
          </w:tcPr>
          <w:p w14:paraId="526E3EDA">
            <w:pPr>
              <w:ind w:firstLine="435"/>
              <w:rPr>
                <w:rFonts w:hint="eastAsia" w:ascii="宋体" w:hAnsi="宋体"/>
                <w:color w:val="000000"/>
              </w:rPr>
            </w:pPr>
            <w:r>
              <w:rPr>
                <w:rFonts w:hint="eastAsia" w:ascii="宋体" w:hAnsi="宋体"/>
                <w:color w:val="000000"/>
              </w:rPr>
              <w:t>原煤挥发分</w:t>
            </w:r>
          </w:p>
        </w:tc>
        <w:tc>
          <w:tcPr>
            <w:tcW w:w="1107" w:type="dxa"/>
            <w:noWrap w:val="0"/>
            <w:vAlign w:val="center"/>
          </w:tcPr>
          <w:p w14:paraId="09D02085">
            <w:pPr>
              <w:jc w:val="center"/>
              <w:rPr>
                <w:rFonts w:hint="eastAsia" w:ascii="宋体" w:hAnsi="宋体"/>
                <w:color w:val="000000"/>
              </w:rPr>
            </w:pPr>
            <w:r>
              <w:rPr>
                <w:rFonts w:hint="eastAsia" w:ascii="宋体" w:hAnsi="宋体"/>
                <w:color w:val="000000"/>
              </w:rPr>
              <w:t>%</w:t>
            </w:r>
          </w:p>
        </w:tc>
        <w:tc>
          <w:tcPr>
            <w:tcW w:w="3450" w:type="dxa"/>
            <w:gridSpan w:val="2"/>
            <w:noWrap w:val="0"/>
            <w:vAlign w:val="center"/>
          </w:tcPr>
          <w:p w14:paraId="266B67C3">
            <w:pPr>
              <w:rPr>
                <w:rFonts w:hint="eastAsia" w:ascii="宋体" w:hAnsi="宋体"/>
                <w:color w:val="000000"/>
              </w:rPr>
            </w:pPr>
          </w:p>
        </w:tc>
      </w:tr>
      <w:tr w14:paraId="08FAF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131821E4">
            <w:pPr>
              <w:rPr>
                <w:rFonts w:hint="eastAsia" w:ascii="宋体" w:hAnsi="宋体"/>
                <w:color w:val="000000"/>
              </w:rPr>
            </w:pPr>
            <w:r>
              <w:rPr>
                <w:rFonts w:hint="eastAsia" w:ascii="宋体" w:hAnsi="宋体"/>
                <w:color w:val="000000"/>
              </w:rPr>
              <w:t>5.4</w:t>
            </w:r>
          </w:p>
        </w:tc>
        <w:tc>
          <w:tcPr>
            <w:tcW w:w="3369" w:type="dxa"/>
            <w:noWrap w:val="0"/>
            <w:vAlign w:val="center"/>
          </w:tcPr>
          <w:p w14:paraId="6B4EA6AA">
            <w:pPr>
              <w:ind w:firstLine="435"/>
              <w:rPr>
                <w:rFonts w:hint="eastAsia" w:ascii="宋体" w:hAnsi="宋体"/>
                <w:color w:val="000000"/>
              </w:rPr>
            </w:pPr>
            <w:r>
              <w:rPr>
                <w:rFonts w:hint="eastAsia" w:ascii="宋体" w:hAnsi="宋体"/>
                <w:color w:val="000000"/>
              </w:rPr>
              <w:t>发热量</w:t>
            </w:r>
          </w:p>
        </w:tc>
        <w:tc>
          <w:tcPr>
            <w:tcW w:w="1107" w:type="dxa"/>
            <w:noWrap w:val="0"/>
            <w:vAlign w:val="center"/>
          </w:tcPr>
          <w:p w14:paraId="381EB42B">
            <w:pPr>
              <w:jc w:val="center"/>
              <w:rPr>
                <w:rFonts w:hint="eastAsia" w:ascii="宋体" w:hAnsi="宋体"/>
                <w:color w:val="000000"/>
              </w:rPr>
            </w:pPr>
            <w:r>
              <w:rPr>
                <w:rFonts w:hint="eastAsia" w:ascii="宋体" w:hAnsi="宋体"/>
                <w:color w:val="000000"/>
              </w:rPr>
              <w:t>MJ/kg</w:t>
            </w:r>
          </w:p>
        </w:tc>
        <w:tc>
          <w:tcPr>
            <w:tcW w:w="3450" w:type="dxa"/>
            <w:gridSpan w:val="2"/>
            <w:noWrap w:val="0"/>
            <w:vAlign w:val="center"/>
          </w:tcPr>
          <w:p w14:paraId="404D4D14">
            <w:pPr>
              <w:rPr>
                <w:rFonts w:hint="eastAsia" w:ascii="宋体" w:hAnsi="宋体"/>
                <w:color w:val="000000"/>
              </w:rPr>
            </w:pPr>
          </w:p>
        </w:tc>
      </w:tr>
      <w:tr w14:paraId="4534F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76CFDD6">
            <w:pPr>
              <w:rPr>
                <w:rFonts w:hint="eastAsia" w:ascii="宋体" w:hAnsi="宋体"/>
                <w:color w:val="000000"/>
              </w:rPr>
            </w:pPr>
            <w:r>
              <w:rPr>
                <w:rFonts w:hint="eastAsia" w:ascii="宋体" w:hAnsi="宋体"/>
                <w:color w:val="000000"/>
              </w:rPr>
              <w:t>6</w:t>
            </w:r>
          </w:p>
        </w:tc>
        <w:tc>
          <w:tcPr>
            <w:tcW w:w="3369" w:type="dxa"/>
            <w:noWrap w:val="0"/>
            <w:vAlign w:val="center"/>
          </w:tcPr>
          <w:p w14:paraId="29E7998A">
            <w:pPr>
              <w:rPr>
                <w:rFonts w:hint="eastAsia" w:ascii="宋体" w:hAnsi="宋体"/>
                <w:color w:val="000000"/>
              </w:rPr>
            </w:pPr>
            <w:r>
              <w:rPr>
                <w:rFonts w:hint="eastAsia" w:ascii="宋体" w:hAnsi="宋体"/>
                <w:color w:val="000000"/>
              </w:rPr>
              <w:t>矿井设计生产能力</w:t>
            </w:r>
          </w:p>
        </w:tc>
        <w:tc>
          <w:tcPr>
            <w:tcW w:w="1107" w:type="dxa"/>
            <w:noWrap w:val="0"/>
            <w:vAlign w:val="center"/>
          </w:tcPr>
          <w:p w14:paraId="330F5E42">
            <w:pPr>
              <w:jc w:val="center"/>
              <w:rPr>
                <w:rFonts w:hint="eastAsia" w:ascii="宋体" w:hAnsi="宋体"/>
                <w:color w:val="000000"/>
              </w:rPr>
            </w:pPr>
          </w:p>
        </w:tc>
        <w:tc>
          <w:tcPr>
            <w:tcW w:w="1758" w:type="dxa"/>
            <w:noWrap w:val="0"/>
            <w:vAlign w:val="center"/>
          </w:tcPr>
          <w:p w14:paraId="6D3E2D82">
            <w:pPr>
              <w:jc w:val="center"/>
              <w:rPr>
                <w:rFonts w:hint="eastAsia" w:ascii="宋体" w:hAnsi="宋体"/>
                <w:color w:val="000000"/>
              </w:rPr>
            </w:pPr>
          </w:p>
        </w:tc>
        <w:tc>
          <w:tcPr>
            <w:tcW w:w="1692" w:type="dxa"/>
            <w:noWrap w:val="0"/>
            <w:vAlign w:val="center"/>
          </w:tcPr>
          <w:p w14:paraId="5FCB80AB">
            <w:pPr>
              <w:rPr>
                <w:rFonts w:hint="eastAsia" w:ascii="宋体" w:hAnsi="宋体"/>
                <w:color w:val="000000"/>
              </w:rPr>
            </w:pPr>
          </w:p>
        </w:tc>
      </w:tr>
      <w:tr w14:paraId="434D6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18850FEB">
            <w:pPr>
              <w:rPr>
                <w:rFonts w:hint="eastAsia" w:ascii="宋体" w:hAnsi="宋体"/>
                <w:color w:val="000000"/>
              </w:rPr>
            </w:pPr>
            <w:r>
              <w:rPr>
                <w:rFonts w:hint="eastAsia" w:ascii="宋体" w:hAnsi="宋体"/>
                <w:color w:val="000000"/>
              </w:rPr>
              <w:t>6.1</w:t>
            </w:r>
          </w:p>
        </w:tc>
        <w:tc>
          <w:tcPr>
            <w:tcW w:w="3369" w:type="dxa"/>
            <w:noWrap w:val="0"/>
            <w:vAlign w:val="center"/>
          </w:tcPr>
          <w:p w14:paraId="220509EB">
            <w:pPr>
              <w:ind w:firstLine="435"/>
              <w:rPr>
                <w:rFonts w:hint="eastAsia" w:ascii="宋体" w:hAnsi="宋体"/>
                <w:color w:val="000000"/>
              </w:rPr>
            </w:pPr>
            <w:r>
              <w:rPr>
                <w:rFonts w:hint="eastAsia" w:ascii="宋体" w:hAnsi="宋体"/>
                <w:color w:val="000000"/>
              </w:rPr>
              <w:t>年生产能力</w:t>
            </w:r>
          </w:p>
        </w:tc>
        <w:tc>
          <w:tcPr>
            <w:tcW w:w="1107" w:type="dxa"/>
            <w:noWrap w:val="0"/>
            <w:vAlign w:val="center"/>
          </w:tcPr>
          <w:p w14:paraId="3A1FD320">
            <w:pPr>
              <w:jc w:val="center"/>
              <w:rPr>
                <w:rFonts w:hint="eastAsia" w:ascii="宋体" w:hAnsi="宋体"/>
                <w:color w:val="000000"/>
              </w:rPr>
            </w:pPr>
            <w:r>
              <w:rPr>
                <w:rFonts w:hint="eastAsia" w:ascii="宋体" w:hAnsi="宋体"/>
                <w:color w:val="000000"/>
              </w:rPr>
              <w:t>万吨/年</w:t>
            </w:r>
          </w:p>
        </w:tc>
        <w:tc>
          <w:tcPr>
            <w:tcW w:w="1758" w:type="dxa"/>
            <w:noWrap w:val="0"/>
            <w:vAlign w:val="center"/>
          </w:tcPr>
          <w:p w14:paraId="25A0E820">
            <w:pPr>
              <w:jc w:val="center"/>
              <w:rPr>
                <w:rFonts w:hint="eastAsia" w:ascii="宋体" w:hAnsi="宋体"/>
                <w:color w:val="000000"/>
              </w:rPr>
            </w:pPr>
            <w:r>
              <w:rPr>
                <w:rFonts w:hint="eastAsia" w:ascii="宋体" w:hAnsi="宋体"/>
                <w:color w:val="000000"/>
              </w:rPr>
              <w:t>30</w:t>
            </w:r>
          </w:p>
        </w:tc>
        <w:tc>
          <w:tcPr>
            <w:tcW w:w="1692" w:type="dxa"/>
            <w:noWrap w:val="0"/>
            <w:vAlign w:val="center"/>
          </w:tcPr>
          <w:p w14:paraId="10B6BD10">
            <w:pPr>
              <w:rPr>
                <w:rFonts w:hint="eastAsia" w:ascii="宋体" w:hAnsi="宋体"/>
                <w:color w:val="000000"/>
              </w:rPr>
            </w:pPr>
          </w:p>
        </w:tc>
      </w:tr>
      <w:tr w14:paraId="797AE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D99DA5E">
            <w:pPr>
              <w:rPr>
                <w:rFonts w:hint="eastAsia" w:ascii="宋体" w:hAnsi="宋体"/>
                <w:color w:val="000000"/>
              </w:rPr>
            </w:pPr>
            <w:r>
              <w:rPr>
                <w:rFonts w:hint="eastAsia" w:ascii="宋体" w:hAnsi="宋体"/>
                <w:color w:val="000000"/>
              </w:rPr>
              <w:t>6.2</w:t>
            </w:r>
          </w:p>
        </w:tc>
        <w:tc>
          <w:tcPr>
            <w:tcW w:w="3369" w:type="dxa"/>
            <w:noWrap w:val="0"/>
            <w:vAlign w:val="center"/>
          </w:tcPr>
          <w:p w14:paraId="24087086">
            <w:pPr>
              <w:ind w:firstLine="435"/>
              <w:rPr>
                <w:rFonts w:hint="eastAsia" w:ascii="宋体" w:hAnsi="宋体"/>
                <w:color w:val="000000"/>
              </w:rPr>
            </w:pPr>
            <w:r>
              <w:rPr>
                <w:rFonts w:hint="eastAsia" w:ascii="宋体" w:hAnsi="宋体"/>
                <w:color w:val="000000"/>
              </w:rPr>
              <w:t>日生产能力</w:t>
            </w:r>
          </w:p>
        </w:tc>
        <w:tc>
          <w:tcPr>
            <w:tcW w:w="1107" w:type="dxa"/>
            <w:noWrap w:val="0"/>
            <w:vAlign w:val="center"/>
          </w:tcPr>
          <w:p w14:paraId="3D1D66C9">
            <w:pPr>
              <w:jc w:val="center"/>
              <w:rPr>
                <w:rFonts w:hint="eastAsia" w:ascii="宋体" w:hAnsi="宋体"/>
                <w:color w:val="000000"/>
              </w:rPr>
            </w:pPr>
            <w:r>
              <w:rPr>
                <w:rFonts w:hint="eastAsia" w:ascii="宋体" w:hAnsi="宋体"/>
                <w:color w:val="000000"/>
              </w:rPr>
              <w:t>t/d</w:t>
            </w:r>
          </w:p>
        </w:tc>
        <w:tc>
          <w:tcPr>
            <w:tcW w:w="1758" w:type="dxa"/>
            <w:noWrap w:val="0"/>
            <w:vAlign w:val="center"/>
          </w:tcPr>
          <w:p w14:paraId="767E66F2">
            <w:pPr>
              <w:jc w:val="center"/>
              <w:rPr>
                <w:rFonts w:hint="eastAsia" w:ascii="宋体" w:hAnsi="宋体"/>
                <w:color w:val="000000"/>
              </w:rPr>
            </w:pPr>
            <w:r>
              <w:rPr>
                <w:rFonts w:hint="eastAsia" w:ascii="宋体" w:hAnsi="宋体"/>
                <w:color w:val="000000"/>
              </w:rPr>
              <w:t>909</w:t>
            </w:r>
          </w:p>
        </w:tc>
        <w:tc>
          <w:tcPr>
            <w:tcW w:w="1692" w:type="dxa"/>
            <w:noWrap w:val="0"/>
            <w:vAlign w:val="center"/>
          </w:tcPr>
          <w:p w14:paraId="10D35FE6">
            <w:pPr>
              <w:rPr>
                <w:rFonts w:hint="eastAsia" w:ascii="宋体" w:hAnsi="宋体"/>
                <w:color w:val="000000"/>
              </w:rPr>
            </w:pPr>
          </w:p>
        </w:tc>
      </w:tr>
      <w:tr w14:paraId="4CF852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CEA556F">
            <w:pPr>
              <w:rPr>
                <w:rFonts w:hint="eastAsia" w:ascii="宋体" w:hAnsi="宋体"/>
                <w:color w:val="000000"/>
              </w:rPr>
            </w:pPr>
            <w:r>
              <w:rPr>
                <w:rFonts w:hint="eastAsia" w:ascii="宋体" w:hAnsi="宋体"/>
                <w:color w:val="000000"/>
              </w:rPr>
              <w:t>7</w:t>
            </w:r>
          </w:p>
        </w:tc>
        <w:tc>
          <w:tcPr>
            <w:tcW w:w="3369" w:type="dxa"/>
            <w:noWrap w:val="0"/>
            <w:vAlign w:val="center"/>
          </w:tcPr>
          <w:p w14:paraId="3C3CDD3D">
            <w:pPr>
              <w:rPr>
                <w:rFonts w:hint="eastAsia" w:ascii="宋体" w:hAnsi="宋体"/>
                <w:color w:val="000000"/>
              </w:rPr>
            </w:pPr>
            <w:r>
              <w:rPr>
                <w:rFonts w:hint="eastAsia" w:ascii="宋体" w:hAnsi="宋体"/>
                <w:color w:val="000000"/>
              </w:rPr>
              <w:t>矿井服务年限</w:t>
            </w:r>
          </w:p>
        </w:tc>
        <w:tc>
          <w:tcPr>
            <w:tcW w:w="1107" w:type="dxa"/>
            <w:noWrap w:val="0"/>
            <w:vAlign w:val="center"/>
          </w:tcPr>
          <w:p w14:paraId="3E756A79">
            <w:pPr>
              <w:jc w:val="center"/>
              <w:rPr>
                <w:rFonts w:hint="eastAsia" w:ascii="宋体" w:hAnsi="宋体"/>
                <w:color w:val="000000"/>
              </w:rPr>
            </w:pPr>
          </w:p>
        </w:tc>
        <w:tc>
          <w:tcPr>
            <w:tcW w:w="1758" w:type="dxa"/>
            <w:noWrap w:val="0"/>
            <w:vAlign w:val="center"/>
          </w:tcPr>
          <w:p w14:paraId="3E46C3EC">
            <w:pPr>
              <w:jc w:val="center"/>
              <w:rPr>
                <w:rFonts w:hint="eastAsia" w:ascii="宋体" w:hAnsi="宋体"/>
                <w:color w:val="000000"/>
              </w:rPr>
            </w:pPr>
          </w:p>
        </w:tc>
        <w:tc>
          <w:tcPr>
            <w:tcW w:w="1692" w:type="dxa"/>
            <w:noWrap w:val="0"/>
            <w:vAlign w:val="center"/>
          </w:tcPr>
          <w:p w14:paraId="14E8FC39">
            <w:pPr>
              <w:rPr>
                <w:rFonts w:hint="eastAsia" w:ascii="宋体" w:hAnsi="宋体"/>
                <w:color w:val="000000"/>
              </w:rPr>
            </w:pPr>
          </w:p>
        </w:tc>
      </w:tr>
      <w:tr w14:paraId="6E816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B16994B">
            <w:pPr>
              <w:rPr>
                <w:rFonts w:hint="eastAsia" w:ascii="宋体" w:hAnsi="宋体"/>
                <w:color w:val="000000"/>
              </w:rPr>
            </w:pPr>
            <w:r>
              <w:rPr>
                <w:rFonts w:hint="eastAsia" w:ascii="宋体" w:hAnsi="宋体"/>
                <w:color w:val="000000"/>
              </w:rPr>
              <w:t>7.1</w:t>
            </w:r>
          </w:p>
        </w:tc>
        <w:tc>
          <w:tcPr>
            <w:tcW w:w="3369" w:type="dxa"/>
            <w:noWrap w:val="0"/>
            <w:vAlign w:val="center"/>
          </w:tcPr>
          <w:p w14:paraId="08999AE9">
            <w:pPr>
              <w:ind w:firstLine="435"/>
              <w:rPr>
                <w:rFonts w:hint="eastAsia" w:ascii="宋体" w:hAnsi="宋体"/>
                <w:color w:val="000000"/>
              </w:rPr>
            </w:pPr>
            <w:r>
              <w:rPr>
                <w:rFonts w:hint="eastAsia" w:ascii="宋体" w:hAnsi="宋体"/>
                <w:color w:val="000000"/>
              </w:rPr>
              <w:t>设计生产年限</w:t>
            </w:r>
          </w:p>
        </w:tc>
        <w:tc>
          <w:tcPr>
            <w:tcW w:w="1107" w:type="dxa"/>
            <w:noWrap w:val="0"/>
            <w:vAlign w:val="center"/>
          </w:tcPr>
          <w:p w14:paraId="01AF0520">
            <w:pPr>
              <w:jc w:val="center"/>
              <w:rPr>
                <w:rFonts w:hint="eastAsia" w:ascii="宋体" w:hAnsi="宋体"/>
                <w:color w:val="000000"/>
              </w:rPr>
            </w:pPr>
            <w:r>
              <w:rPr>
                <w:rFonts w:hint="eastAsia" w:ascii="宋体" w:hAnsi="宋体"/>
                <w:color w:val="000000"/>
              </w:rPr>
              <w:t>a</w:t>
            </w:r>
          </w:p>
        </w:tc>
        <w:tc>
          <w:tcPr>
            <w:tcW w:w="1758" w:type="dxa"/>
            <w:noWrap w:val="0"/>
            <w:vAlign w:val="center"/>
          </w:tcPr>
          <w:p w14:paraId="41B4D4D3">
            <w:pPr>
              <w:jc w:val="center"/>
              <w:rPr>
                <w:rFonts w:hint="eastAsia" w:ascii="宋体" w:hAnsi="宋体"/>
                <w:color w:val="000000"/>
              </w:rPr>
            </w:pPr>
            <w:r>
              <w:rPr>
                <w:rFonts w:hint="eastAsia" w:ascii="宋体" w:hAnsi="宋体"/>
                <w:color w:val="000000"/>
              </w:rPr>
              <w:t>17.6</w:t>
            </w:r>
          </w:p>
        </w:tc>
        <w:tc>
          <w:tcPr>
            <w:tcW w:w="1692" w:type="dxa"/>
            <w:noWrap w:val="0"/>
            <w:vAlign w:val="center"/>
          </w:tcPr>
          <w:p w14:paraId="50E89F0B">
            <w:pPr>
              <w:rPr>
                <w:rFonts w:hint="eastAsia" w:ascii="宋体" w:hAnsi="宋体"/>
                <w:color w:val="000000"/>
              </w:rPr>
            </w:pPr>
          </w:p>
        </w:tc>
      </w:tr>
      <w:tr w14:paraId="7A79F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A12D7A3">
            <w:pPr>
              <w:rPr>
                <w:rFonts w:hint="eastAsia" w:ascii="宋体" w:hAnsi="宋体"/>
                <w:color w:val="000000"/>
              </w:rPr>
            </w:pPr>
            <w:r>
              <w:rPr>
                <w:rFonts w:hint="eastAsia" w:ascii="宋体" w:hAnsi="宋体"/>
                <w:color w:val="000000"/>
              </w:rPr>
              <w:t>8</w:t>
            </w:r>
          </w:p>
        </w:tc>
        <w:tc>
          <w:tcPr>
            <w:tcW w:w="3369" w:type="dxa"/>
            <w:noWrap w:val="0"/>
            <w:vAlign w:val="center"/>
          </w:tcPr>
          <w:p w14:paraId="21E5F8DF">
            <w:pPr>
              <w:rPr>
                <w:rFonts w:hint="eastAsia" w:ascii="宋体" w:hAnsi="宋体"/>
                <w:color w:val="000000"/>
              </w:rPr>
            </w:pPr>
            <w:r>
              <w:rPr>
                <w:rFonts w:hint="eastAsia" w:ascii="宋体" w:hAnsi="宋体"/>
                <w:color w:val="000000"/>
              </w:rPr>
              <w:t>矿井设计工作制度</w:t>
            </w:r>
          </w:p>
        </w:tc>
        <w:tc>
          <w:tcPr>
            <w:tcW w:w="1107" w:type="dxa"/>
            <w:noWrap w:val="0"/>
            <w:vAlign w:val="center"/>
          </w:tcPr>
          <w:p w14:paraId="14BF8D0A">
            <w:pPr>
              <w:jc w:val="center"/>
              <w:rPr>
                <w:rFonts w:hint="eastAsia" w:ascii="宋体" w:hAnsi="宋体"/>
                <w:color w:val="000000"/>
              </w:rPr>
            </w:pPr>
          </w:p>
        </w:tc>
        <w:tc>
          <w:tcPr>
            <w:tcW w:w="1758" w:type="dxa"/>
            <w:noWrap w:val="0"/>
            <w:vAlign w:val="center"/>
          </w:tcPr>
          <w:p w14:paraId="4D7D732F">
            <w:pPr>
              <w:jc w:val="center"/>
              <w:rPr>
                <w:rFonts w:hint="eastAsia" w:ascii="宋体" w:hAnsi="宋体"/>
                <w:color w:val="000000"/>
              </w:rPr>
            </w:pPr>
          </w:p>
        </w:tc>
        <w:tc>
          <w:tcPr>
            <w:tcW w:w="1692" w:type="dxa"/>
            <w:noWrap w:val="0"/>
            <w:vAlign w:val="center"/>
          </w:tcPr>
          <w:p w14:paraId="694A0957">
            <w:pPr>
              <w:rPr>
                <w:rFonts w:hint="eastAsia" w:ascii="宋体" w:hAnsi="宋体"/>
                <w:color w:val="000000"/>
              </w:rPr>
            </w:pPr>
          </w:p>
        </w:tc>
      </w:tr>
      <w:tr w14:paraId="48159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8197604">
            <w:pPr>
              <w:rPr>
                <w:rFonts w:hint="eastAsia" w:ascii="宋体" w:hAnsi="宋体"/>
                <w:color w:val="000000"/>
              </w:rPr>
            </w:pPr>
            <w:r>
              <w:rPr>
                <w:rFonts w:hint="eastAsia" w:ascii="宋体" w:hAnsi="宋体"/>
                <w:color w:val="000000"/>
              </w:rPr>
              <w:t>8.1</w:t>
            </w:r>
          </w:p>
        </w:tc>
        <w:tc>
          <w:tcPr>
            <w:tcW w:w="3369" w:type="dxa"/>
            <w:noWrap w:val="0"/>
            <w:vAlign w:val="center"/>
          </w:tcPr>
          <w:p w14:paraId="147B08A3">
            <w:pPr>
              <w:ind w:firstLine="435"/>
              <w:rPr>
                <w:rFonts w:hint="eastAsia" w:ascii="宋体" w:hAnsi="宋体"/>
                <w:color w:val="000000"/>
              </w:rPr>
            </w:pPr>
            <w:r>
              <w:rPr>
                <w:rFonts w:hint="eastAsia" w:ascii="宋体" w:hAnsi="宋体"/>
                <w:color w:val="000000"/>
              </w:rPr>
              <w:t>年工作天数</w:t>
            </w:r>
          </w:p>
        </w:tc>
        <w:tc>
          <w:tcPr>
            <w:tcW w:w="1107" w:type="dxa"/>
            <w:noWrap w:val="0"/>
            <w:vAlign w:val="center"/>
          </w:tcPr>
          <w:p w14:paraId="31BE32B1">
            <w:pPr>
              <w:jc w:val="center"/>
              <w:rPr>
                <w:rFonts w:hint="eastAsia" w:ascii="宋体" w:hAnsi="宋体"/>
                <w:color w:val="000000"/>
              </w:rPr>
            </w:pPr>
            <w:r>
              <w:rPr>
                <w:rFonts w:hint="eastAsia" w:ascii="宋体" w:hAnsi="宋体"/>
                <w:color w:val="000000"/>
              </w:rPr>
              <w:t>d</w:t>
            </w:r>
          </w:p>
        </w:tc>
        <w:tc>
          <w:tcPr>
            <w:tcW w:w="1758" w:type="dxa"/>
            <w:noWrap w:val="0"/>
            <w:vAlign w:val="center"/>
          </w:tcPr>
          <w:p w14:paraId="630096A8">
            <w:pPr>
              <w:jc w:val="center"/>
              <w:rPr>
                <w:rFonts w:hint="eastAsia" w:ascii="宋体" w:hAnsi="宋体"/>
                <w:color w:val="000000"/>
              </w:rPr>
            </w:pPr>
            <w:r>
              <w:rPr>
                <w:rFonts w:hint="eastAsia" w:ascii="宋体" w:hAnsi="宋体"/>
                <w:color w:val="000000"/>
              </w:rPr>
              <w:t>330</w:t>
            </w:r>
          </w:p>
        </w:tc>
        <w:tc>
          <w:tcPr>
            <w:tcW w:w="1692" w:type="dxa"/>
            <w:noWrap w:val="0"/>
            <w:vAlign w:val="center"/>
          </w:tcPr>
          <w:p w14:paraId="719D3B39">
            <w:pPr>
              <w:rPr>
                <w:rFonts w:hint="eastAsia" w:ascii="宋体" w:hAnsi="宋体"/>
                <w:color w:val="000000"/>
              </w:rPr>
            </w:pPr>
          </w:p>
        </w:tc>
      </w:tr>
      <w:tr w14:paraId="4911C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5498623">
            <w:pPr>
              <w:rPr>
                <w:rFonts w:hint="eastAsia" w:ascii="宋体" w:hAnsi="宋体"/>
                <w:color w:val="000000"/>
              </w:rPr>
            </w:pPr>
            <w:r>
              <w:rPr>
                <w:rFonts w:hint="eastAsia" w:ascii="宋体" w:hAnsi="宋体"/>
                <w:color w:val="000000"/>
              </w:rPr>
              <w:t>8.2</w:t>
            </w:r>
          </w:p>
        </w:tc>
        <w:tc>
          <w:tcPr>
            <w:tcW w:w="3369" w:type="dxa"/>
            <w:noWrap w:val="0"/>
            <w:vAlign w:val="center"/>
          </w:tcPr>
          <w:p w14:paraId="271314C9">
            <w:pPr>
              <w:ind w:firstLine="435"/>
              <w:rPr>
                <w:rFonts w:hint="eastAsia" w:ascii="宋体" w:hAnsi="宋体"/>
                <w:color w:val="000000"/>
              </w:rPr>
            </w:pPr>
            <w:r>
              <w:rPr>
                <w:rFonts w:hint="eastAsia" w:ascii="宋体" w:hAnsi="宋体"/>
                <w:color w:val="000000"/>
              </w:rPr>
              <w:t>日工作班数</w:t>
            </w:r>
          </w:p>
        </w:tc>
        <w:tc>
          <w:tcPr>
            <w:tcW w:w="1107" w:type="dxa"/>
            <w:noWrap w:val="0"/>
            <w:vAlign w:val="center"/>
          </w:tcPr>
          <w:p w14:paraId="36197988">
            <w:pPr>
              <w:jc w:val="center"/>
              <w:rPr>
                <w:rFonts w:hint="eastAsia" w:ascii="宋体" w:hAnsi="宋体"/>
                <w:color w:val="000000"/>
              </w:rPr>
            </w:pPr>
            <w:r>
              <w:rPr>
                <w:rFonts w:hint="eastAsia" w:ascii="宋体" w:hAnsi="宋体"/>
                <w:color w:val="000000"/>
              </w:rPr>
              <w:t>班</w:t>
            </w:r>
          </w:p>
        </w:tc>
        <w:tc>
          <w:tcPr>
            <w:tcW w:w="1758" w:type="dxa"/>
            <w:noWrap w:val="0"/>
            <w:vAlign w:val="center"/>
          </w:tcPr>
          <w:p w14:paraId="7F5AF54E">
            <w:pPr>
              <w:jc w:val="center"/>
              <w:rPr>
                <w:rFonts w:hint="eastAsia" w:ascii="宋体" w:hAnsi="宋体"/>
                <w:color w:val="000000"/>
              </w:rPr>
            </w:pPr>
            <w:r>
              <w:rPr>
                <w:rFonts w:hint="eastAsia" w:ascii="宋体" w:hAnsi="宋体"/>
                <w:color w:val="000000"/>
              </w:rPr>
              <w:t>4</w:t>
            </w:r>
          </w:p>
        </w:tc>
        <w:tc>
          <w:tcPr>
            <w:tcW w:w="1692" w:type="dxa"/>
            <w:noWrap w:val="0"/>
            <w:vAlign w:val="center"/>
          </w:tcPr>
          <w:p w14:paraId="3E2CB211">
            <w:pPr>
              <w:rPr>
                <w:rFonts w:hint="eastAsia" w:ascii="宋体" w:hAnsi="宋体"/>
                <w:color w:val="000000"/>
              </w:rPr>
            </w:pPr>
          </w:p>
        </w:tc>
      </w:tr>
      <w:tr w14:paraId="3DCB3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42C733E">
            <w:pPr>
              <w:rPr>
                <w:rFonts w:hint="eastAsia" w:ascii="宋体" w:hAnsi="宋体"/>
                <w:color w:val="000000"/>
              </w:rPr>
            </w:pPr>
            <w:r>
              <w:rPr>
                <w:rFonts w:hint="eastAsia" w:ascii="宋体" w:hAnsi="宋体"/>
                <w:color w:val="000000"/>
              </w:rPr>
              <w:t>9</w:t>
            </w:r>
          </w:p>
        </w:tc>
        <w:tc>
          <w:tcPr>
            <w:tcW w:w="3369" w:type="dxa"/>
            <w:noWrap w:val="0"/>
            <w:vAlign w:val="center"/>
          </w:tcPr>
          <w:p w14:paraId="1C8EA828">
            <w:pPr>
              <w:rPr>
                <w:rFonts w:hint="eastAsia" w:ascii="宋体" w:hAnsi="宋体"/>
                <w:color w:val="000000"/>
              </w:rPr>
            </w:pPr>
            <w:r>
              <w:rPr>
                <w:rFonts w:hint="eastAsia" w:ascii="宋体" w:hAnsi="宋体"/>
                <w:color w:val="000000"/>
              </w:rPr>
              <w:t>井田开拓</w:t>
            </w:r>
          </w:p>
        </w:tc>
        <w:tc>
          <w:tcPr>
            <w:tcW w:w="1107" w:type="dxa"/>
            <w:noWrap w:val="0"/>
            <w:vAlign w:val="center"/>
          </w:tcPr>
          <w:p w14:paraId="03530724">
            <w:pPr>
              <w:jc w:val="center"/>
              <w:rPr>
                <w:rFonts w:hint="eastAsia" w:ascii="宋体" w:hAnsi="宋体"/>
                <w:color w:val="000000"/>
              </w:rPr>
            </w:pPr>
          </w:p>
        </w:tc>
        <w:tc>
          <w:tcPr>
            <w:tcW w:w="1758" w:type="dxa"/>
            <w:noWrap w:val="0"/>
            <w:vAlign w:val="center"/>
          </w:tcPr>
          <w:p w14:paraId="58AA32D2">
            <w:pPr>
              <w:jc w:val="center"/>
              <w:rPr>
                <w:rFonts w:hint="eastAsia" w:ascii="宋体" w:hAnsi="宋体"/>
                <w:color w:val="000000"/>
              </w:rPr>
            </w:pPr>
          </w:p>
        </w:tc>
        <w:tc>
          <w:tcPr>
            <w:tcW w:w="1692" w:type="dxa"/>
            <w:noWrap w:val="0"/>
            <w:vAlign w:val="center"/>
          </w:tcPr>
          <w:p w14:paraId="3BF13D6A">
            <w:pPr>
              <w:rPr>
                <w:rFonts w:hint="eastAsia" w:ascii="宋体" w:hAnsi="宋体"/>
                <w:color w:val="000000"/>
              </w:rPr>
            </w:pPr>
          </w:p>
        </w:tc>
      </w:tr>
      <w:tr w14:paraId="3D188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44F5196">
            <w:pPr>
              <w:rPr>
                <w:rFonts w:hint="eastAsia" w:ascii="宋体" w:hAnsi="宋体"/>
                <w:color w:val="000000"/>
              </w:rPr>
            </w:pPr>
            <w:r>
              <w:rPr>
                <w:rFonts w:hint="eastAsia" w:ascii="宋体" w:hAnsi="宋体"/>
                <w:color w:val="000000"/>
              </w:rPr>
              <w:t>9.1</w:t>
            </w:r>
          </w:p>
        </w:tc>
        <w:tc>
          <w:tcPr>
            <w:tcW w:w="3369" w:type="dxa"/>
            <w:noWrap w:val="0"/>
            <w:vAlign w:val="center"/>
          </w:tcPr>
          <w:p w14:paraId="5AA5DB13">
            <w:pPr>
              <w:ind w:firstLine="435"/>
              <w:rPr>
                <w:rFonts w:hint="eastAsia" w:ascii="宋体" w:hAnsi="宋体"/>
                <w:color w:val="000000"/>
              </w:rPr>
            </w:pPr>
            <w:r>
              <w:rPr>
                <w:rFonts w:hint="eastAsia" w:ascii="宋体" w:hAnsi="宋体"/>
                <w:color w:val="000000"/>
              </w:rPr>
              <w:t>开拓方式</w:t>
            </w:r>
          </w:p>
        </w:tc>
        <w:tc>
          <w:tcPr>
            <w:tcW w:w="1107" w:type="dxa"/>
            <w:noWrap w:val="0"/>
            <w:vAlign w:val="center"/>
          </w:tcPr>
          <w:p w14:paraId="4B973125">
            <w:pPr>
              <w:jc w:val="center"/>
              <w:rPr>
                <w:rFonts w:hint="eastAsia" w:ascii="宋体" w:hAnsi="宋体"/>
                <w:color w:val="000000"/>
              </w:rPr>
            </w:pPr>
            <w:r>
              <w:rPr>
                <w:rFonts w:hint="eastAsia" w:ascii="宋体" w:hAnsi="宋体"/>
                <w:color w:val="000000"/>
              </w:rPr>
              <w:t>—</w:t>
            </w:r>
          </w:p>
        </w:tc>
        <w:tc>
          <w:tcPr>
            <w:tcW w:w="1758" w:type="dxa"/>
            <w:noWrap w:val="0"/>
            <w:vAlign w:val="center"/>
          </w:tcPr>
          <w:p w14:paraId="2D2E75A1">
            <w:pPr>
              <w:jc w:val="center"/>
              <w:rPr>
                <w:rFonts w:hint="eastAsia" w:ascii="宋体" w:hAnsi="宋体"/>
                <w:color w:val="000000"/>
              </w:rPr>
            </w:pPr>
            <w:r>
              <w:rPr>
                <w:rFonts w:hint="eastAsia" w:ascii="宋体" w:hAnsi="宋体"/>
                <w:color w:val="000000"/>
              </w:rPr>
              <w:t>斜井开拓</w:t>
            </w:r>
          </w:p>
        </w:tc>
        <w:tc>
          <w:tcPr>
            <w:tcW w:w="1692" w:type="dxa"/>
            <w:noWrap w:val="0"/>
            <w:vAlign w:val="center"/>
          </w:tcPr>
          <w:p w14:paraId="78A29B80">
            <w:pPr>
              <w:rPr>
                <w:rFonts w:hint="eastAsia" w:ascii="宋体" w:hAnsi="宋体"/>
                <w:color w:val="000000"/>
              </w:rPr>
            </w:pPr>
          </w:p>
        </w:tc>
      </w:tr>
      <w:tr w14:paraId="5EF0D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35AA09A9">
            <w:pPr>
              <w:rPr>
                <w:rFonts w:hint="eastAsia" w:ascii="宋体" w:hAnsi="宋体"/>
                <w:color w:val="000000"/>
              </w:rPr>
            </w:pPr>
            <w:r>
              <w:rPr>
                <w:rFonts w:hint="eastAsia" w:ascii="宋体" w:hAnsi="宋体"/>
                <w:color w:val="000000"/>
              </w:rPr>
              <w:t>9.2</w:t>
            </w:r>
          </w:p>
        </w:tc>
        <w:tc>
          <w:tcPr>
            <w:tcW w:w="3369" w:type="dxa"/>
            <w:noWrap w:val="0"/>
            <w:vAlign w:val="center"/>
          </w:tcPr>
          <w:p w14:paraId="4DAEB618">
            <w:pPr>
              <w:ind w:firstLine="435"/>
              <w:rPr>
                <w:rFonts w:hint="eastAsia" w:ascii="宋体" w:hAnsi="宋体"/>
                <w:color w:val="000000"/>
              </w:rPr>
            </w:pPr>
            <w:r>
              <w:rPr>
                <w:rFonts w:hint="eastAsia" w:ascii="宋体" w:hAnsi="宋体"/>
                <w:color w:val="000000"/>
              </w:rPr>
              <w:t>水平数目</w:t>
            </w:r>
          </w:p>
        </w:tc>
        <w:tc>
          <w:tcPr>
            <w:tcW w:w="1107" w:type="dxa"/>
            <w:noWrap w:val="0"/>
            <w:vAlign w:val="center"/>
          </w:tcPr>
          <w:p w14:paraId="2E7DEA1D">
            <w:pPr>
              <w:jc w:val="center"/>
              <w:rPr>
                <w:rFonts w:hint="eastAsia" w:ascii="宋体" w:hAnsi="宋体"/>
                <w:color w:val="000000"/>
              </w:rPr>
            </w:pPr>
            <w:r>
              <w:rPr>
                <w:rFonts w:hint="eastAsia" w:ascii="宋体" w:hAnsi="宋体"/>
                <w:color w:val="000000"/>
              </w:rPr>
              <w:t>个</w:t>
            </w:r>
          </w:p>
        </w:tc>
        <w:tc>
          <w:tcPr>
            <w:tcW w:w="1758" w:type="dxa"/>
            <w:noWrap w:val="0"/>
            <w:vAlign w:val="center"/>
          </w:tcPr>
          <w:p w14:paraId="1DFF081B">
            <w:pPr>
              <w:jc w:val="center"/>
              <w:rPr>
                <w:rFonts w:hint="eastAsia" w:ascii="宋体" w:hAnsi="宋体"/>
                <w:color w:val="000000"/>
              </w:rPr>
            </w:pPr>
            <w:r>
              <w:rPr>
                <w:rFonts w:hint="eastAsia" w:ascii="宋体" w:hAnsi="宋体"/>
                <w:color w:val="000000"/>
              </w:rPr>
              <w:t>两</w:t>
            </w:r>
          </w:p>
        </w:tc>
        <w:tc>
          <w:tcPr>
            <w:tcW w:w="1692" w:type="dxa"/>
            <w:noWrap w:val="0"/>
            <w:vAlign w:val="center"/>
          </w:tcPr>
          <w:p w14:paraId="6C2818F0">
            <w:pPr>
              <w:rPr>
                <w:rFonts w:hint="eastAsia" w:ascii="宋体" w:hAnsi="宋体"/>
                <w:color w:val="000000"/>
              </w:rPr>
            </w:pPr>
          </w:p>
        </w:tc>
      </w:tr>
      <w:tr w14:paraId="7B5F0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C65B354">
            <w:pPr>
              <w:rPr>
                <w:rFonts w:hint="eastAsia" w:ascii="宋体" w:hAnsi="宋体"/>
                <w:color w:val="000000"/>
              </w:rPr>
            </w:pPr>
            <w:r>
              <w:rPr>
                <w:rFonts w:hint="eastAsia" w:ascii="宋体" w:hAnsi="宋体"/>
                <w:color w:val="000000"/>
              </w:rPr>
              <w:t>9.3</w:t>
            </w:r>
          </w:p>
        </w:tc>
        <w:tc>
          <w:tcPr>
            <w:tcW w:w="3369" w:type="dxa"/>
            <w:noWrap w:val="0"/>
            <w:vAlign w:val="center"/>
          </w:tcPr>
          <w:p w14:paraId="47B53984">
            <w:pPr>
              <w:ind w:firstLine="435"/>
              <w:rPr>
                <w:rFonts w:hint="eastAsia" w:ascii="宋体" w:hAnsi="宋体"/>
                <w:color w:val="000000"/>
              </w:rPr>
            </w:pPr>
            <w:r>
              <w:rPr>
                <w:rFonts w:hint="eastAsia" w:ascii="宋体" w:hAnsi="宋体"/>
                <w:color w:val="000000"/>
              </w:rPr>
              <w:t>第一水平标高</w:t>
            </w:r>
          </w:p>
        </w:tc>
        <w:tc>
          <w:tcPr>
            <w:tcW w:w="1107" w:type="dxa"/>
            <w:noWrap w:val="0"/>
            <w:vAlign w:val="center"/>
          </w:tcPr>
          <w:p w14:paraId="0335ADFD">
            <w:pPr>
              <w:jc w:val="center"/>
              <w:rPr>
                <w:rFonts w:hint="eastAsia" w:ascii="宋体" w:hAnsi="宋体"/>
                <w:color w:val="000000"/>
              </w:rPr>
            </w:pPr>
            <w:r>
              <w:rPr>
                <w:rFonts w:hint="eastAsia" w:ascii="宋体" w:hAnsi="宋体"/>
                <w:color w:val="000000"/>
              </w:rPr>
              <w:t>m</w:t>
            </w:r>
          </w:p>
        </w:tc>
        <w:tc>
          <w:tcPr>
            <w:tcW w:w="1758" w:type="dxa"/>
            <w:noWrap w:val="0"/>
            <w:vAlign w:val="center"/>
          </w:tcPr>
          <w:p w14:paraId="3F9C43B4">
            <w:pPr>
              <w:jc w:val="center"/>
              <w:rPr>
                <w:rFonts w:hint="eastAsia" w:ascii="宋体" w:hAnsi="宋体"/>
                <w:color w:val="000000"/>
              </w:rPr>
            </w:pPr>
            <w:r>
              <w:rPr>
                <w:rFonts w:hint="eastAsia" w:ascii="宋体" w:hAnsi="宋体"/>
                <w:color w:val="000000"/>
              </w:rPr>
              <w:t>＋1835</w:t>
            </w:r>
          </w:p>
        </w:tc>
        <w:tc>
          <w:tcPr>
            <w:tcW w:w="1692" w:type="dxa"/>
            <w:noWrap w:val="0"/>
            <w:vAlign w:val="center"/>
          </w:tcPr>
          <w:p w14:paraId="1F017A48">
            <w:pPr>
              <w:rPr>
                <w:rFonts w:hint="eastAsia" w:ascii="宋体" w:hAnsi="宋体"/>
                <w:color w:val="000000"/>
              </w:rPr>
            </w:pPr>
          </w:p>
        </w:tc>
      </w:tr>
      <w:tr w14:paraId="341C1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C579CD6">
            <w:pPr>
              <w:rPr>
                <w:rFonts w:hint="eastAsia" w:ascii="宋体" w:hAnsi="宋体"/>
                <w:color w:val="000000"/>
              </w:rPr>
            </w:pPr>
            <w:r>
              <w:rPr>
                <w:rFonts w:hint="eastAsia" w:ascii="宋体" w:hAnsi="宋体"/>
                <w:color w:val="000000"/>
              </w:rPr>
              <w:t>9.4</w:t>
            </w:r>
          </w:p>
        </w:tc>
        <w:tc>
          <w:tcPr>
            <w:tcW w:w="3369" w:type="dxa"/>
            <w:noWrap w:val="0"/>
            <w:vAlign w:val="center"/>
          </w:tcPr>
          <w:p w14:paraId="36A15EBF">
            <w:pPr>
              <w:ind w:firstLine="435"/>
              <w:rPr>
                <w:rFonts w:hint="eastAsia" w:ascii="宋体" w:hAnsi="宋体"/>
                <w:color w:val="000000"/>
              </w:rPr>
            </w:pPr>
            <w:r>
              <w:rPr>
                <w:rFonts w:hint="eastAsia" w:ascii="宋体" w:hAnsi="宋体"/>
                <w:color w:val="000000"/>
              </w:rPr>
              <w:t>第二水平标高</w:t>
            </w:r>
          </w:p>
        </w:tc>
        <w:tc>
          <w:tcPr>
            <w:tcW w:w="1107" w:type="dxa"/>
            <w:noWrap w:val="0"/>
            <w:vAlign w:val="center"/>
          </w:tcPr>
          <w:p w14:paraId="6A68BC84">
            <w:pPr>
              <w:jc w:val="center"/>
              <w:rPr>
                <w:rFonts w:hint="eastAsia" w:ascii="宋体" w:hAnsi="宋体"/>
                <w:color w:val="000000"/>
              </w:rPr>
            </w:pPr>
            <w:r>
              <w:rPr>
                <w:rFonts w:hint="eastAsia" w:ascii="宋体" w:hAnsi="宋体"/>
                <w:color w:val="000000"/>
              </w:rPr>
              <w:t>m</w:t>
            </w:r>
          </w:p>
        </w:tc>
        <w:tc>
          <w:tcPr>
            <w:tcW w:w="1758" w:type="dxa"/>
            <w:noWrap w:val="0"/>
            <w:vAlign w:val="center"/>
          </w:tcPr>
          <w:p w14:paraId="055D861A">
            <w:pPr>
              <w:jc w:val="center"/>
              <w:rPr>
                <w:rFonts w:hint="eastAsia" w:ascii="宋体" w:hAnsi="宋体"/>
                <w:color w:val="000000"/>
              </w:rPr>
            </w:pPr>
            <w:r>
              <w:rPr>
                <w:rFonts w:hint="eastAsia" w:ascii="宋体" w:hAnsi="宋体"/>
                <w:color w:val="000000"/>
              </w:rPr>
              <w:t>+1658</w:t>
            </w:r>
          </w:p>
        </w:tc>
        <w:tc>
          <w:tcPr>
            <w:tcW w:w="1692" w:type="dxa"/>
            <w:noWrap w:val="0"/>
            <w:vAlign w:val="center"/>
          </w:tcPr>
          <w:p w14:paraId="2381F827">
            <w:pPr>
              <w:rPr>
                <w:rFonts w:hint="eastAsia" w:ascii="宋体" w:hAnsi="宋体"/>
                <w:color w:val="000000"/>
              </w:rPr>
            </w:pPr>
          </w:p>
        </w:tc>
      </w:tr>
      <w:tr w14:paraId="4CFA3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0F90B21">
            <w:pPr>
              <w:rPr>
                <w:rFonts w:hint="eastAsia" w:ascii="宋体" w:hAnsi="宋体"/>
                <w:color w:val="000000"/>
              </w:rPr>
            </w:pPr>
            <w:r>
              <w:rPr>
                <w:rFonts w:hint="eastAsia" w:ascii="宋体" w:hAnsi="宋体"/>
                <w:color w:val="000000"/>
              </w:rPr>
              <w:t>10</w:t>
            </w:r>
          </w:p>
        </w:tc>
        <w:tc>
          <w:tcPr>
            <w:tcW w:w="3369" w:type="dxa"/>
            <w:noWrap w:val="0"/>
            <w:vAlign w:val="center"/>
          </w:tcPr>
          <w:p w14:paraId="67F554E6">
            <w:pPr>
              <w:rPr>
                <w:rFonts w:hint="eastAsia" w:ascii="宋体" w:hAnsi="宋体"/>
                <w:color w:val="000000"/>
              </w:rPr>
            </w:pPr>
            <w:r>
              <w:rPr>
                <w:rFonts w:hint="eastAsia" w:ascii="宋体" w:hAnsi="宋体"/>
                <w:color w:val="000000"/>
              </w:rPr>
              <w:t>采区</w:t>
            </w:r>
          </w:p>
        </w:tc>
        <w:tc>
          <w:tcPr>
            <w:tcW w:w="1107" w:type="dxa"/>
            <w:noWrap w:val="0"/>
            <w:vAlign w:val="center"/>
          </w:tcPr>
          <w:p w14:paraId="027575E9">
            <w:pPr>
              <w:jc w:val="center"/>
              <w:rPr>
                <w:rFonts w:hint="eastAsia" w:ascii="宋体" w:hAnsi="宋体"/>
                <w:color w:val="000000"/>
              </w:rPr>
            </w:pPr>
            <w:r>
              <w:rPr>
                <w:rFonts w:hint="eastAsia" w:ascii="宋体" w:hAnsi="宋体"/>
                <w:color w:val="000000"/>
              </w:rPr>
              <w:t>个</w:t>
            </w:r>
          </w:p>
        </w:tc>
        <w:tc>
          <w:tcPr>
            <w:tcW w:w="1758" w:type="dxa"/>
            <w:noWrap w:val="0"/>
            <w:vAlign w:val="center"/>
          </w:tcPr>
          <w:p w14:paraId="220EFB9B">
            <w:pPr>
              <w:jc w:val="center"/>
              <w:rPr>
                <w:rFonts w:hint="eastAsia" w:ascii="宋体" w:hAnsi="宋体"/>
                <w:color w:val="000000"/>
              </w:rPr>
            </w:pPr>
            <w:r>
              <w:rPr>
                <w:rFonts w:hint="eastAsia" w:ascii="宋体" w:hAnsi="宋体"/>
                <w:color w:val="000000"/>
              </w:rPr>
              <w:t>五</w:t>
            </w:r>
          </w:p>
        </w:tc>
        <w:tc>
          <w:tcPr>
            <w:tcW w:w="1692" w:type="dxa"/>
            <w:noWrap w:val="0"/>
            <w:vAlign w:val="center"/>
          </w:tcPr>
          <w:p w14:paraId="13900356">
            <w:pPr>
              <w:rPr>
                <w:rFonts w:hint="eastAsia" w:ascii="宋体" w:hAnsi="宋体"/>
                <w:color w:val="000000"/>
              </w:rPr>
            </w:pPr>
            <w:r>
              <w:rPr>
                <w:rFonts w:hint="eastAsia" w:ascii="宋体" w:hAnsi="宋体"/>
                <w:color w:val="000000"/>
              </w:rPr>
              <w:t>一个采区生产</w:t>
            </w:r>
          </w:p>
        </w:tc>
      </w:tr>
      <w:tr w14:paraId="1FA875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CE71212">
            <w:pPr>
              <w:rPr>
                <w:rFonts w:hint="eastAsia" w:ascii="宋体" w:hAnsi="宋体"/>
                <w:color w:val="000000"/>
              </w:rPr>
            </w:pPr>
            <w:r>
              <w:rPr>
                <w:rFonts w:hint="eastAsia" w:ascii="宋体" w:hAnsi="宋体"/>
                <w:color w:val="000000"/>
              </w:rPr>
              <w:t>10.1</w:t>
            </w:r>
          </w:p>
        </w:tc>
        <w:tc>
          <w:tcPr>
            <w:tcW w:w="3369" w:type="dxa"/>
            <w:noWrap w:val="0"/>
            <w:vAlign w:val="center"/>
          </w:tcPr>
          <w:p w14:paraId="33EA4806">
            <w:pPr>
              <w:ind w:firstLine="435"/>
              <w:rPr>
                <w:rFonts w:hint="eastAsia" w:ascii="宋体" w:hAnsi="宋体"/>
                <w:color w:val="000000"/>
              </w:rPr>
            </w:pPr>
            <w:r>
              <w:rPr>
                <w:rFonts w:hint="eastAsia" w:ascii="宋体" w:hAnsi="宋体"/>
                <w:color w:val="000000"/>
              </w:rPr>
              <w:t>回采工作面个数</w:t>
            </w:r>
          </w:p>
        </w:tc>
        <w:tc>
          <w:tcPr>
            <w:tcW w:w="1107" w:type="dxa"/>
            <w:noWrap w:val="0"/>
            <w:vAlign w:val="center"/>
          </w:tcPr>
          <w:p w14:paraId="7E484ECF">
            <w:pPr>
              <w:jc w:val="center"/>
              <w:rPr>
                <w:rFonts w:hint="eastAsia" w:ascii="宋体" w:hAnsi="宋体"/>
                <w:color w:val="000000"/>
              </w:rPr>
            </w:pPr>
            <w:r>
              <w:rPr>
                <w:rFonts w:hint="eastAsia" w:ascii="宋体" w:hAnsi="宋体"/>
                <w:color w:val="000000"/>
              </w:rPr>
              <w:t>个</w:t>
            </w:r>
          </w:p>
        </w:tc>
        <w:tc>
          <w:tcPr>
            <w:tcW w:w="1758" w:type="dxa"/>
            <w:noWrap w:val="0"/>
            <w:vAlign w:val="center"/>
          </w:tcPr>
          <w:p w14:paraId="68AE6DD7">
            <w:pPr>
              <w:jc w:val="center"/>
              <w:rPr>
                <w:rFonts w:hint="eastAsia" w:ascii="宋体" w:hAnsi="宋体"/>
                <w:color w:val="000000"/>
              </w:rPr>
            </w:pPr>
            <w:r>
              <w:rPr>
                <w:rFonts w:hint="eastAsia" w:ascii="宋体" w:hAnsi="宋体"/>
                <w:color w:val="000000"/>
              </w:rPr>
              <w:t>1</w:t>
            </w:r>
          </w:p>
        </w:tc>
        <w:tc>
          <w:tcPr>
            <w:tcW w:w="1692" w:type="dxa"/>
            <w:noWrap w:val="0"/>
            <w:vAlign w:val="center"/>
          </w:tcPr>
          <w:p w14:paraId="77009E21">
            <w:pPr>
              <w:rPr>
                <w:rFonts w:hint="eastAsia" w:ascii="宋体" w:hAnsi="宋体"/>
                <w:color w:val="000000"/>
              </w:rPr>
            </w:pPr>
          </w:p>
        </w:tc>
      </w:tr>
      <w:tr w14:paraId="17C86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12E1F1C">
            <w:pPr>
              <w:rPr>
                <w:rFonts w:hint="eastAsia" w:ascii="宋体" w:hAnsi="宋体"/>
                <w:color w:val="000000"/>
              </w:rPr>
            </w:pPr>
            <w:r>
              <w:rPr>
                <w:rFonts w:hint="eastAsia" w:ascii="宋体" w:hAnsi="宋体"/>
                <w:color w:val="000000"/>
              </w:rPr>
              <w:t>10.2</w:t>
            </w:r>
          </w:p>
        </w:tc>
        <w:tc>
          <w:tcPr>
            <w:tcW w:w="3369" w:type="dxa"/>
            <w:noWrap w:val="0"/>
            <w:vAlign w:val="center"/>
          </w:tcPr>
          <w:p w14:paraId="0ACFA629">
            <w:pPr>
              <w:ind w:firstLine="435"/>
              <w:rPr>
                <w:rFonts w:hint="eastAsia" w:ascii="宋体" w:hAnsi="宋体"/>
                <w:color w:val="000000"/>
              </w:rPr>
            </w:pPr>
            <w:r>
              <w:rPr>
                <w:rFonts w:hint="eastAsia" w:ascii="宋体" w:hAnsi="宋体"/>
                <w:color w:val="000000"/>
              </w:rPr>
              <w:t>掘进工作面个数</w:t>
            </w:r>
          </w:p>
        </w:tc>
        <w:tc>
          <w:tcPr>
            <w:tcW w:w="1107" w:type="dxa"/>
            <w:noWrap w:val="0"/>
            <w:vAlign w:val="center"/>
          </w:tcPr>
          <w:p w14:paraId="3AB121D9">
            <w:pPr>
              <w:jc w:val="center"/>
              <w:rPr>
                <w:rFonts w:hint="eastAsia" w:ascii="宋体" w:hAnsi="宋体"/>
                <w:color w:val="000000"/>
              </w:rPr>
            </w:pPr>
            <w:r>
              <w:rPr>
                <w:rFonts w:hint="eastAsia" w:ascii="宋体" w:hAnsi="宋体"/>
                <w:color w:val="000000"/>
              </w:rPr>
              <w:t>个</w:t>
            </w:r>
          </w:p>
        </w:tc>
        <w:tc>
          <w:tcPr>
            <w:tcW w:w="1758" w:type="dxa"/>
            <w:noWrap w:val="0"/>
            <w:vAlign w:val="center"/>
          </w:tcPr>
          <w:p w14:paraId="6A4C39C9">
            <w:pPr>
              <w:jc w:val="center"/>
              <w:rPr>
                <w:rFonts w:hint="eastAsia" w:ascii="宋体" w:hAnsi="宋体"/>
                <w:color w:val="000000"/>
              </w:rPr>
            </w:pPr>
            <w:r>
              <w:rPr>
                <w:rFonts w:hint="eastAsia" w:ascii="宋体" w:hAnsi="宋体"/>
                <w:color w:val="000000"/>
              </w:rPr>
              <w:t>2</w:t>
            </w:r>
          </w:p>
        </w:tc>
        <w:tc>
          <w:tcPr>
            <w:tcW w:w="1692" w:type="dxa"/>
            <w:noWrap w:val="0"/>
            <w:vAlign w:val="center"/>
          </w:tcPr>
          <w:p w14:paraId="5A956371">
            <w:pPr>
              <w:rPr>
                <w:rFonts w:hint="eastAsia" w:ascii="宋体" w:hAnsi="宋体"/>
                <w:color w:val="000000"/>
              </w:rPr>
            </w:pPr>
          </w:p>
        </w:tc>
      </w:tr>
      <w:tr w14:paraId="15588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7A223915">
            <w:pPr>
              <w:rPr>
                <w:rFonts w:hint="eastAsia" w:ascii="宋体" w:hAnsi="宋体"/>
                <w:color w:val="000000"/>
              </w:rPr>
            </w:pPr>
            <w:r>
              <w:rPr>
                <w:rFonts w:hint="eastAsia" w:ascii="宋体" w:hAnsi="宋体"/>
                <w:color w:val="000000"/>
              </w:rPr>
              <w:t>10.3</w:t>
            </w:r>
          </w:p>
        </w:tc>
        <w:tc>
          <w:tcPr>
            <w:tcW w:w="3369" w:type="dxa"/>
            <w:noWrap w:val="0"/>
            <w:vAlign w:val="center"/>
          </w:tcPr>
          <w:p w14:paraId="7951C831">
            <w:pPr>
              <w:ind w:firstLine="435"/>
              <w:rPr>
                <w:rFonts w:hint="eastAsia" w:ascii="宋体" w:hAnsi="宋体"/>
                <w:color w:val="000000"/>
              </w:rPr>
            </w:pPr>
            <w:r>
              <w:rPr>
                <w:rFonts w:hint="eastAsia" w:ascii="宋体" w:hAnsi="宋体"/>
                <w:color w:val="000000"/>
              </w:rPr>
              <w:t>采煤方法</w:t>
            </w:r>
          </w:p>
        </w:tc>
        <w:tc>
          <w:tcPr>
            <w:tcW w:w="1107" w:type="dxa"/>
            <w:noWrap w:val="0"/>
            <w:vAlign w:val="center"/>
          </w:tcPr>
          <w:p w14:paraId="2691C717">
            <w:pPr>
              <w:jc w:val="center"/>
              <w:rPr>
                <w:rFonts w:hint="eastAsia" w:ascii="宋体" w:hAnsi="宋体"/>
                <w:color w:val="000000"/>
              </w:rPr>
            </w:pPr>
            <w:r>
              <w:rPr>
                <w:rFonts w:hint="eastAsia" w:ascii="宋体" w:hAnsi="宋体"/>
                <w:color w:val="000000"/>
              </w:rPr>
              <w:t>—</w:t>
            </w:r>
          </w:p>
        </w:tc>
        <w:tc>
          <w:tcPr>
            <w:tcW w:w="1758" w:type="dxa"/>
            <w:noWrap w:val="0"/>
            <w:vAlign w:val="center"/>
          </w:tcPr>
          <w:p w14:paraId="4C016679">
            <w:pPr>
              <w:jc w:val="center"/>
              <w:rPr>
                <w:rFonts w:hint="eastAsia" w:ascii="宋体" w:hAnsi="宋体"/>
                <w:color w:val="000000"/>
              </w:rPr>
            </w:pPr>
            <w:r>
              <w:rPr>
                <w:rFonts w:hint="eastAsia" w:ascii="宋体" w:hAnsi="宋体"/>
                <w:color w:val="000000"/>
              </w:rPr>
              <w:t>走向长壁</w:t>
            </w:r>
          </w:p>
        </w:tc>
        <w:tc>
          <w:tcPr>
            <w:tcW w:w="1692" w:type="dxa"/>
            <w:noWrap w:val="0"/>
            <w:vAlign w:val="center"/>
          </w:tcPr>
          <w:p w14:paraId="058CA14A">
            <w:pPr>
              <w:rPr>
                <w:rFonts w:hint="eastAsia" w:ascii="宋体" w:hAnsi="宋体"/>
                <w:color w:val="000000"/>
              </w:rPr>
            </w:pPr>
          </w:p>
        </w:tc>
      </w:tr>
      <w:tr w14:paraId="28F02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16D49791">
            <w:pPr>
              <w:rPr>
                <w:rFonts w:hint="eastAsia" w:ascii="宋体" w:hAnsi="宋体"/>
                <w:color w:val="000000"/>
              </w:rPr>
            </w:pPr>
            <w:r>
              <w:rPr>
                <w:rFonts w:hint="eastAsia" w:ascii="宋体" w:hAnsi="宋体"/>
                <w:color w:val="000000"/>
              </w:rPr>
              <w:t>10.4</w:t>
            </w:r>
          </w:p>
        </w:tc>
        <w:tc>
          <w:tcPr>
            <w:tcW w:w="3369" w:type="dxa"/>
            <w:noWrap w:val="0"/>
            <w:vAlign w:val="center"/>
          </w:tcPr>
          <w:p w14:paraId="16AF21B9">
            <w:pPr>
              <w:ind w:firstLine="435"/>
              <w:rPr>
                <w:rFonts w:hint="eastAsia" w:ascii="宋体" w:hAnsi="宋体"/>
                <w:color w:val="000000"/>
              </w:rPr>
            </w:pPr>
            <w:r>
              <w:rPr>
                <w:rFonts w:hint="eastAsia" w:ascii="宋体" w:hAnsi="宋体"/>
                <w:color w:val="000000"/>
              </w:rPr>
              <w:t>主要采煤设备</w:t>
            </w:r>
          </w:p>
        </w:tc>
        <w:tc>
          <w:tcPr>
            <w:tcW w:w="1107" w:type="dxa"/>
            <w:noWrap w:val="0"/>
            <w:vAlign w:val="center"/>
          </w:tcPr>
          <w:p w14:paraId="26FC0302">
            <w:pPr>
              <w:jc w:val="center"/>
              <w:rPr>
                <w:rFonts w:hint="eastAsia" w:ascii="宋体" w:hAnsi="宋体"/>
                <w:color w:val="000000"/>
              </w:rPr>
            </w:pPr>
          </w:p>
        </w:tc>
        <w:tc>
          <w:tcPr>
            <w:tcW w:w="1758" w:type="dxa"/>
            <w:noWrap w:val="0"/>
            <w:vAlign w:val="center"/>
          </w:tcPr>
          <w:p w14:paraId="72950042">
            <w:pPr>
              <w:jc w:val="center"/>
              <w:rPr>
                <w:rFonts w:hint="eastAsia" w:ascii="宋体" w:hAnsi="宋体"/>
                <w:color w:val="000000"/>
              </w:rPr>
            </w:pPr>
          </w:p>
        </w:tc>
        <w:tc>
          <w:tcPr>
            <w:tcW w:w="1692" w:type="dxa"/>
            <w:noWrap w:val="0"/>
            <w:vAlign w:val="center"/>
          </w:tcPr>
          <w:p w14:paraId="1C9F4463">
            <w:pPr>
              <w:rPr>
                <w:rFonts w:hint="eastAsia" w:ascii="宋体" w:hAnsi="宋体"/>
                <w:color w:val="000000"/>
              </w:rPr>
            </w:pPr>
          </w:p>
        </w:tc>
      </w:tr>
      <w:tr w14:paraId="4B098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F13F75A">
            <w:pPr>
              <w:rPr>
                <w:rFonts w:hint="eastAsia" w:ascii="宋体" w:hAnsi="宋体"/>
                <w:color w:val="000000"/>
              </w:rPr>
            </w:pPr>
            <w:r>
              <w:rPr>
                <w:rFonts w:hint="eastAsia" w:ascii="宋体" w:hAnsi="宋体"/>
                <w:color w:val="000000"/>
              </w:rPr>
              <w:t>10.4.1</w:t>
            </w:r>
          </w:p>
        </w:tc>
        <w:tc>
          <w:tcPr>
            <w:tcW w:w="3369" w:type="dxa"/>
            <w:noWrap w:val="0"/>
            <w:vAlign w:val="center"/>
          </w:tcPr>
          <w:p w14:paraId="51C01C60">
            <w:pPr>
              <w:ind w:firstLine="420" w:firstLineChars="200"/>
              <w:rPr>
                <w:rFonts w:hint="eastAsia" w:ascii="宋体" w:hAnsi="宋体"/>
                <w:color w:val="000000"/>
              </w:rPr>
            </w:pPr>
            <w:r>
              <w:rPr>
                <w:rFonts w:hint="eastAsia" w:ascii="宋体" w:hAnsi="宋体"/>
                <w:color w:val="000000"/>
              </w:rPr>
              <w:t>支架</w:t>
            </w:r>
          </w:p>
        </w:tc>
        <w:tc>
          <w:tcPr>
            <w:tcW w:w="1107" w:type="dxa"/>
            <w:noWrap w:val="0"/>
            <w:vAlign w:val="center"/>
          </w:tcPr>
          <w:p w14:paraId="4A8A0B85">
            <w:pPr>
              <w:jc w:val="center"/>
              <w:rPr>
                <w:rFonts w:hint="eastAsia" w:ascii="宋体" w:hAnsi="宋体"/>
                <w:color w:val="000000"/>
              </w:rPr>
            </w:pPr>
            <w:r>
              <w:rPr>
                <w:rFonts w:hint="eastAsia" w:ascii="宋体" w:hAnsi="宋体"/>
                <w:color w:val="000000"/>
              </w:rPr>
              <w:t>根</w:t>
            </w:r>
          </w:p>
        </w:tc>
        <w:tc>
          <w:tcPr>
            <w:tcW w:w="1758" w:type="dxa"/>
            <w:noWrap w:val="0"/>
            <w:vAlign w:val="center"/>
          </w:tcPr>
          <w:p w14:paraId="356DD0AC">
            <w:pPr>
              <w:jc w:val="center"/>
              <w:rPr>
                <w:rFonts w:hint="eastAsia" w:ascii="宋体" w:hAnsi="宋体"/>
                <w:color w:val="000000"/>
              </w:rPr>
            </w:pPr>
            <w:r>
              <w:rPr>
                <w:rFonts w:hint="eastAsia" w:ascii="宋体" w:hAnsi="宋体"/>
                <w:color w:val="000000"/>
              </w:rPr>
              <w:t>924</w:t>
            </w:r>
          </w:p>
        </w:tc>
        <w:tc>
          <w:tcPr>
            <w:tcW w:w="1692" w:type="dxa"/>
            <w:noWrap w:val="0"/>
            <w:vAlign w:val="center"/>
          </w:tcPr>
          <w:p w14:paraId="622BBE2C">
            <w:pPr>
              <w:rPr>
                <w:rFonts w:hint="eastAsia" w:ascii="宋体" w:hAnsi="宋体"/>
                <w:color w:val="000000"/>
              </w:rPr>
            </w:pPr>
            <w:r>
              <w:rPr>
                <w:rFonts w:hint="eastAsia" w:ascii="宋体" w:hAnsi="宋体"/>
                <w:color w:val="000000"/>
              </w:rPr>
              <w:t>单体</w:t>
            </w:r>
          </w:p>
        </w:tc>
      </w:tr>
      <w:tr w14:paraId="5D4B9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FC53EB5">
            <w:pPr>
              <w:rPr>
                <w:rFonts w:hint="eastAsia" w:ascii="宋体" w:hAnsi="宋体"/>
                <w:color w:val="000000"/>
              </w:rPr>
            </w:pPr>
            <w:r>
              <w:rPr>
                <w:rFonts w:hint="eastAsia" w:ascii="宋体" w:hAnsi="宋体"/>
                <w:color w:val="000000"/>
              </w:rPr>
              <w:t>10.4.2</w:t>
            </w:r>
          </w:p>
        </w:tc>
        <w:tc>
          <w:tcPr>
            <w:tcW w:w="3369" w:type="dxa"/>
            <w:noWrap w:val="0"/>
            <w:vAlign w:val="center"/>
          </w:tcPr>
          <w:p w14:paraId="6EFFF0B5">
            <w:pPr>
              <w:ind w:firstLine="420" w:firstLineChars="200"/>
              <w:rPr>
                <w:rFonts w:hint="eastAsia" w:ascii="宋体" w:hAnsi="宋体"/>
                <w:color w:val="000000"/>
              </w:rPr>
            </w:pPr>
            <w:r>
              <w:rPr>
                <w:rFonts w:hint="eastAsia" w:ascii="宋体" w:hAnsi="宋体"/>
                <w:color w:val="000000"/>
              </w:rPr>
              <w:t>运输设备</w:t>
            </w:r>
          </w:p>
        </w:tc>
        <w:tc>
          <w:tcPr>
            <w:tcW w:w="1107" w:type="dxa"/>
            <w:noWrap w:val="0"/>
            <w:vAlign w:val="center"/>
          </w:tcPr>
          <w:p w14:paraId="6493B3C4">
            <w:pPr>
              <w:jc w:val="center"/>
              <w:rPr>
                <w:rFonts w:hint="eastAsia" w:ascii="宋体" w:hAnsi="宋体"/>
                <w:color w:val="000000"/>
              </w:rPr>
            </w:pPr>
            <w:r>
              <w:rPr>
                <w:rFonts w:hint="eastAsia" w:ascii="宋体" w:hAnsi="宋体"/>
                <w:color w:val="000000"/>
              </w:rPr>
              <w:t>台</w:t>
            </w:r>
          </w:p>
        </w:tc>
        <w:tc>
          <w:tcPr>
            <w:tcW w:w="1758" w:type="dxa"/>
            <w:noWrap w:val="0"/>
            <w:vAlign w:val="center"/>
          </w:tcPr>
          <w:p w14:paraId="04BCC97D">
            <w:pPr>
              <w:jc w:val="center"/>
              <w:rPr>
                <w:rFonts w:hint="eastAsia" w:ascii="宋体" w:hAnsi="宋体"/>
                <w:color w:val="000000"/>
              </w:rPr>
            </w:pPr>
            <w:r>
              <w:rPr>
                <w:rFonts w:hint="eastAsia" w:ascii="宋体" w:hAnsi="宋体"/>
                <w:color w:val="000000"/>
              </w:rPr>
              <w:t>120</w:t>
            </w:r>
          </w:p>
        </w:tc>
        <w:tc>
          <w:tcPr>
            <w:tcW w:w="1692" w:type="dxa"/>
            <w:noWrap w:val="0"/>
            <w:vAlign w:val="center"/>
          </w:tcPr>
          <w:p w14:paraId="21FE7229">
            <w:pPr>
              <w:rPr>
                <w:rFonts w:hint="eastAsia" w:ascii="宋体" w:hAnsi="宋体"/>
                <w:color w:val="000000"/>
              </w:rPr>
            </w:pPr>
            <w:r>
              <w:rPr>
                <w:rFonts w:hint="eastAsia" w:ascii="宋体" w:hAnsi="宋体"/>
                <w:color w:val="000000"/>
              </w:rPr>
              <w:t>刮板机</w:t>
            </w:r>
          </w:p>
        </w:tc>
      </w:tr>
      <w:tr w14:paraId="36264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7154A12">
            <w:pPr>
              <w:rPr>
                <w:rFonts w:hint="eastAsia" w:ascii="宋体" w:hAnsi="宋体"/>
                <w:color w:val="000000"/>
              </w:rPr>
            </w:pPr>
            <w:r>
              <w:rPr>
                <w:rFonts w:hint="eastAsia" w:ascii="宋体" w:hAnsi="宋体"/>
                <w:color w:val="000000"/>
              </w:rPr>
              <w:t>11</w:t>
            </w:r>
          </w:p>
        </w:tc>
        <w:tc>
          <w:tcPr>
            <w:tcW w:w="3369" w:type="dxa"/>
            <w:noWrap w:val="0"/>
            <w:vAlign w:val="center"/>
          </w:tcPr>
          <w:p w14:paraId="218630DF">
            <w:pPr>
              <w:rPr>
                <w:rFonts w:hint="eastAsia" w:ascii="宋体" w:hAnsi="宋体"/>
                <w:color w:val="000000"/>
              </w:rPr>
            </w:pPr>
            <w:r>
              <w:rPr>
                <w:rFonts w:hint="eastAsia" w:ascii="宋体" w:hAnsi="宋体"/>
                <w:color w:val="000000"/>
              </w:rPr>
              <w:t>矿井主要设备</w:t>
            </w:r>
          </w:p>
        </w:tc>
        <w:tc>
          <w:tcPr>
            <w:tcW w:w="1107" w:type="dxa"/>
            <w:noWrap w:val="0"/>
            <w:vAlign w:val="center"/>
          </w:tcPr>
          <w:p w14:paraId="7526612D">
            <w:pPr>
              <w:jc w:val="center"/>
              <w:rPr>
                <w:rFonts w:hint="eastAsia" w:ascii="宋体" w:hAnsi="宋体"/>
                <w:color w:val="000000"/>
              </w:rPr>
            </w:pPr>
          </w:p>
        </w:tc>
        <w:tc>
          <w:tcPr>
            <w:tcW w:w="1758" w:type="dxa"/>
            <w:noWrap w:val="0"/>
            <w:vAlign w:val="center"/>
          </w:tcPr>
          <w:p w14:paraId="502EF010">
            <w:pPr>
              <w:jc w:val="center"/>
              <w:rPr>
                <w:rFonts w:hint="eastAsia" w:ascii="宋体" w:hAnsi="宋体"/>
                <w:color w:val="000000"/>
              </w:rPr>
            </w:pPr>
          </w:p>
        </w:tc>
        <w:tc>
          <w:tcPr>
            <w:tcW w:w="1692" w:type="dxa"/>
            <w:noWrap w:val="0"/>
            <w:vAlign w:val="center"/>
          </w:tcPr>
          <w:p w14:paraId="1BF09062">
            <w:pPr>
              <w:rPr>
                <w:rFonts w:hint="eastAsia" w:ascii="宋体" w:hAnsi="宋体"/>
                <w:color w:val="000000"/>
              </w:rPr>
            </w:pPr>
          </w:p>
        </w:tc>
      </w:tr>
      <w:tr w14:paraId="76C40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67C4AB5">
            <w:pPr>
              <w:rPr>
                <w:rFonts w:hint="eastAsia" w:ascii="宋体" w:hAnsi="宋体"/>
                <w:color w:val="000000"/>
              </w:rPr>
            </w:pPr>
            <w:r>
              <w:rPr>
                <w:rFonts w:hint="eastAsia" w:ascii="宋体" w:hAnsi="宋体"/>
                <w:color w:val="000000"/>
              </w:rPr>
              <w:t>11.1</w:t>
            </w:r>
          </w:p>
        </w:tc>
        <w:tc>
          <w:tcPr>
            <w:tcW w:w="3369" w:type="dxa"/>
            <w:noWrap w:val="0"/>
            <w:vAlign w:val="center"/>
          </w:tcPr>
          <w:p w14:paraId="1DC9E134">
            <w:pPr>
              <w:ind w:firstLine="435"/>
              <w:rPr>
                <w:rFonts w:hint="eastAsia" w:ascii="宋体" w:hAnsi="宋体"/>
                <w:color w:val="000000"/>
              </w:rPr>
            </w:pPr>
            <w:r>
              <w:rPr>
                <w:rFonts w:hint="eastAsia" w:ascii="宋体" w:hAnsi="宋体"/>
                <w:color w:val="000000"/>
              </w:rPr>
              <w:t>主斜井运输设备</w:t>
            </w:r>
          </w:p>
        </w:tc>
        <w:tc>
          <w:tcPr>
            <w:tcW w:w="1107" w:type="dxa"/>
            <w:noWrap w:val="0"/>
            <w:vAlign w:val="center"/>
          </w:tcPr>
          <w:p w14:paraId="375F2E3D">
            <w:pPr>
              <w:jc w:val="center"/>
              <w:rPr>
                <w:rFonts w:hint="eastAsia" w:ascii="宋体" w:hAnsi="宋体"/>
                <w:color w:val="000000"/>
              </w:rPr>
            </w:pPr>
            <w:r>
              <w:rPr>
                <w:rFonts w:hint="eastAsia" w:ascii="宋体" w:hAnsi="宋体"/>
                <w:color w:val="000000"/>
              </w:rPr>
              <w:t>台</w:t>
            </w:r>
          </w:p>
        </w:tc>
        <w:tc>
          <w:tcPr>
            <w:tcW w:w="1758" w:type="dxa"/>
            <w:noWrap w:val="0"/>
            <w:vAlign w:val="center"/>
          </w:tcPr>
          <w:p w14:paraId="529C3421">
            <w:pPr>
              <w:jc w:val="center"/>
              <w:rPr>
                <w:rFonts w:hint="eastAsia" w:ascii="宋体" w:hAnsi="宋体"/>
                <w:szCs w:val="21"/>
              </w:rPr>
            </w:pPr>
            <w:r>
              <w:rPr>
                <w:rFonts w:hint="eastAsia" w:ascii="宋体" w:hAnsi="宋体"/>
                <w:szCs w:val="21"/>
              </w:rPr>
              <w:t>1</w:t>
            </w:r>
          </w:p>
        </w:tc>
        <w:tc>
          <w:tcPr>
            <w:tcW w:w="1692" w:type="dxa"/>
            <w:noWrap w:val="0"/>
            <w:vAlign w:val="center"/>
          </w:tcPr>
          <w:p w14:paraId="6DDD3E3B">
            <w:pPr>
              <w:rPr>
                <w:rFonts w:hint="eastAsia" w:ascii="宋体" w:hAnsi="宋体"/>
                <w:szCs w:val="21"/>
              </w:rPr>
            </w:pPr>
            <w:r>
              <w:rPr>
                <w:rFonts w:hint="eastAsia" w:ascii="宋体" w:hAnsi="宋体"/>
                <w:szCs w:val="21"/>
              </w:rPr>
              <w:t>胶带输送机</w:t>
            </w:r>
          </w:p>
        </w:tc>
      </w:tr>
      <w:tr w14:paraId="75BF7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BFDB2C4">
            <w:pPr>
              <w:rPr>
                <w:rFonts w:hint="eastAsia" w:ascii="宋体" w:hAnsi="宋体"/>
                <w:color w:val="000000"/>
              </w:rPr>
            </w:pPr>
            <w:r>
              <w:rPr>
                <w:rFonts w:hint="eastAsia" w:ascii="宋体" w:hAnsi="宋体"/>
                <w:color w:val="000000"/>
              </w:rPr>
              <w:t>11.2</w:t>
            </w:r>
          </w:p>
        </w:tc>
        <w:tc>
          <w:tcPr>
            <w:tcW w:w="3369" w:type="dxa"/>
            <w:noWrap w:val="0"/>
            <w:vAlign w:val="center"/>
          </w:tcPr>
          <w:p w14:paraId="26E99066">
            <w:pPr>
              <w:ind w:firstLine="435"/>
              <w:rPr>
                <w:rFonts w:hint="eastAsia" w:ascii="宋体" w:hAnsi="宋体"/>
                <w:color w:val="000000"/>
              </w:rPr>
            </w:pPr>
            <w:r>
              <w:rPr>
                <w:rFonts w:hint="eastAsia" w:ascii="宋体" w:hAnsi="宋体"/>
                <w:color w:val="000000"/>
              </w:rPr>
              <w:t>副斜井</w:t>
            </w:r>
          </w:p>
        </w:tc>
        <w:tc>
          <w:tcPr>
            <w:tcW w:w="1107" w:type="dxa"/>
            <w:noWrap w:val="0"/>
            <w:vAlign w:val="center"/>
          </w:tcPr>
          <w:p w14:paraId="782C08E9">
            <w:pPr>
              <w:jc w:val="center"/>
              <w:rPr>
                <w:rFonts w:hint="eastAsia" w:ascii="宋体" w:hAnsi="宋体"/>
                <w:color w:val="000000"/>
              </w:rPr>
            </w:pPr>
            <w:r>
              <w:rPr>
                <w:rFonts w:hint="eastAsia" w:ascii="宋体" w:hAnsi="宋体"/>
                <w:color w:val="000000"/>
              </w:rPr>
              <w:t>台</w:t>
            </w:r>
          </w:p>
        </w:tc>
        <w:tc>
          <w:tcPr>
            <w:tcW w:w="1758" w:type="dxa"/>
            <w:noWrap w:val="0"/>
            <w:vAlign w:val="center"/>
          </w:tcPr>
          <w:p w14:paraId="586BF885">
            <w:pPr>
              <w:jc w:val="center"/>
              <w:rPr>
                <w:rFonts w:hint="eastAsia" w:ascii="宋体" w:hAnsi="宋体"/>
                <w:color w:val="000000"/>
              </w:rPr>
            </w:pPr>
            <w:r>
              <w:rPr>
                <w:rFonts w:hint="eastAsia" w:ascii="宋体" w:hAnsi="宋体"/>
                <w:color w:val="000000"/>
              </w:rPr>
              <w:t>1</w:t>
            </w:r>
          </w:p>
        </w:tc>
        <w:tc>
          <w:tcPr>
            <w:tcW w:w="1692" w:type="dxa"/>
            <w:noWrap w:val="0"/>
            <w:vAlign w:val="center"/>
          </w:tcPr>
          <w:p w14:paraId="2F736C77">
            <w:pPr>
              <w:rPr>
                <w:rFonts w:hint="eastAsia" w:ascii="宋体" w:hAnsi="宋体"/>
                <w:color w:val="000000"/>
              </w:rPr>
            </w:pPr>
            <w:r>
              <w:rPr>
                <w:rFonts w:hint="eastAsia" w:ascii="宋体" w:hAnsi="宋体"/>
                <w:color w:val="000000"/>
              </w:rPr>
              <w:t>单滚筒绞车</w:t>
            </w:r>
          </w:p>
        </w:tc>
      </w:tr>
      <w:tr w14:paraId="5DE78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60EA5ED">
            <w:pPr>
              <w:rPr>
                <w:rFonts w:hint="eastAsia" w:ascii="宋体" w:hAnsi="宋体"/>
                <w:color w:val="000000"/>
              </w:rPr>
            </w:pPr>
            <w:r>
              <w:rPr>
                <w:rFonts w:hint="eastAsia" w:ascii="宋体" w:hAnsi="宋体"/>
                <w:color w:val="000000"/>
              </w:rPr>
              <w:t>11.3</w:t>
            </w:r>
          </w:p>
        </w:tc>
        <w:tc>
          <w:tcPr>
            <w:tcW w:w="3369" w:type="dxa"/>
            <w:noWrap w:val="0"/>
            <w:vAlign w:val="center"/>
          </w:tcPr>
          <w:p w14:paraId="022E9522">
            <w:pPr>
              <w:ind w:firstLine="435"/>
              <w:rPr>
                <w:rFonts w:hint="eastAsia" w:ascii="宋体" w:hAnsi="宋体"/>
                <w:color w:val="000000"/>
              </w:rPr>
            </w:pPr>
            <w:r>
              <w:rPr>
                <w:rFonts w:hint="eastAsia" w:ascii="宋体" w:hAnsi="宋体"/>
                <w:color w:val="000000"/>
              </w:rPr>
              <w:t>通风设备</w:t>
            </w:r>
          </w:p>
        </w:tc>
        <w:tc>
          <w:tcPr>
            <w:tcW w:w="1107" w:type="dxa"/>
            <w:noWrap w:val="0"/>
            <w:vAlign w:val="center"/>
          </w:tcPr>
          <w:p w14:paraId="4317A2BA">
            <w:pPr>
              <w:jc w:val="center"/>
              <w:rPr>
                <w:rFonts w:hint="eastAsia" w:ascii="宋体" w:hAnsi="宋体"/>
                <w:color w:val="000000"/>
              </w:rPr>
            </w:pPr>
            <w:r>
              <w:rPr>
                <w:rFonts w:hint="eastAsia" w:ascii="宋体" w:hAnsi="宋体"/>
                <w:color w:val="000000"/>
              </w:rPr>
              <w:t>台</w:t>
            </w:r>
          </w:p>
        </w:tc>
        <w:tc>
          <w:tcPr>
            <w:tcW w:w="1758" w:type="dxa"/>
            <w:noWrap w:val="0"/>
            <w:vAlign w:val="center"/>
          </w:tcPr>
          <w:p w14:paraId="77CDE294">
            <w:pPr>
              <w:jc w:val="center"/>
              <w:rPr>
                <w:rFonts w:hint="eastAsia" w:ascii="宋体" w:hAnsi="宋体"/>
                <w:color w:val="000000"/>
              </w:rPr>
            </w:pPr>
            <w:r>
              <w:rPr>
                <w:rFonts w:hint="eastAsia" w:ascii="宋体" w:hAnsi="宋体"/>
                <w:color w:val="000000"/>
              </w:rPr>
              <w:t>2</w:t>
            </w:r>
          </w:p>
        </w:tc>
        <w:tc>
          <w:tcPr>
            <w:tcW w:w="1692" w:type="dxa"/>
            <w:noWrap w:val="0"/>
            <w:vAlign w:val="center"/>
          </w:tcPr>
          <w:p w14:paraId="0AC91B81">
            <w:pPr>
              <w:rPr>
                <w:rFonts w:hint="eastAsia" w:ascii="宋体" w:hAnsi="宋体"/>
                <w:color w:val="000000"/>
              </w:rPr>
            </w:pPr>
          </w:p>
        </w:tc>
      </w:tr>
      <w:tr w14:paraId="0393A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4BB82C3">
            <w:pPr>
              <w:rPr>
                <w:rFonts w:hint="eastAsia" w:ascii="宋体" w:hAnsi="宋体"/>
                <w:color w:val="000000"/>
              </w:rPr>
            </w:pPr>
            <w:r>
              <w:rPr>
                <w:rFonts w:hint="eastAsia" w:ascii="宋体" w:hAnsi="宋体"/>
                <w:color w:val="000000"/>
              </w:rPr>
              <w:t>11.4</w:t>
            </w:r>
          </w:p>
        </w:tc>
        <w:tc>
          <w:tcPr>
            <w:tcW w:w="3369" w:type="dxa"/>
            <w:noWrap w:val="0"/>
            <w:vAlign w:val="center"/>
          </w:tcPr>
          <w:p w14:paraId="20EE8172">
            <w:pPr>
              <w:ind w:firstLine="435"/>
              <w:rPr>
                <w:rFonts w:hint="eastAsia" w:ascii="宋体" w:hAnsi="宋体"/>
                <w:color w:val="000000"/>
              </w:rPr>
            </w:pPr>
            <w:r>
              <w:rPr>
                <w:rFonts w:hint="eastAsia" w:ascii="宋体" w:hAnsi="宋体"/>
                <w:color w:val="000000"/>
              </w:rPr>
              <w:t>压风设备</w:t>
            </w:r>
          </w:p>
        </w:tc>
        <w:tc>
          <w:tcPr>
            <w:tcW w:w="1107" w:type="dxa"/>
            <w:noWrap w:val="0"/>
            <w:vAlign w:val="center"/>
          </w:tcPr>
          <w:p w14:paraId="3EC8A776">
            <w:pPr>
              <w:jc w:val="center"/>
              <w:rPr>
                <w:rFonts w:hint="eastAsia" w:ascii="宋体" w:hAnsi="宋体"/>
                <w:color w:val="000000"/>
              </w:rPr>
            </w:pPr>
            <w:r>
              <w:rPr>
                <w:rFonts w:hint="eastAsia" w:ascii="宋体" w:hAnsi="宋体"/>
                <w:color w:val="000000"/>
              </w:rPr>
              <w:t>台</w:t>
            </w:r>
          </w:p>
        </w:tc>
        <w:tc>
          <w:tcPr>
            <w:tcW w:w="1758" w:type="dxa"/>
            <w:noWrap w:val="0"/>
            <w:vAlign w:val="center"/>
          </w:tcPr>
          <w:p w14:paraId="4D6F0544">
            <w:pPr>
              <w:jc w:val="center"/>
              <w:rPr>
                <w:rFonts w:hint="eastAsia" w:ascii="宋体" w:hAnsi="宋体"/>
                <w:color w:val="000000"/>
              </w:rPr>
            </w:pPr>
            <w:r>
              <w:rPr>
                <w:rFonts w:hint="eastAsia" w:ascii="宋体" w:hAnsi="宋体"/>
                <w:color w:val="000000"/>
              </w:rPr>
              <w:t>2</w:t>
            </w:r>
          </w:p>
        </w:tc>
        <w:tc>
          <w:tcPr>
            <w:tcW w:w="1692" w:type="dxa"/>
            <w:noWrap w:val="0"/>
            <w:vAlign w:val="center"/>
          </w:tcPr>
          <w:p w14:paraId="050715B5">
            <w:pPr>
              <w:rPr>
                <w:rFonts w:hint="eastAsia" w:ascii="宋体" w:hAnsi="宋体"/>
                <w:color w:val="000000"/>
              </w:rPr>
            </w:pPr>
          </w:p>
        </w:tc>
      </w:tr>
      <w:tr w14:paraId="4DA6A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04BC557">
            <w:pPr>
              <w:rPr>
                <w:rFonts w:hint="eastAsia" w:ascii="宋体" w:hAnsi="宋体"/>
                <w:color w:val="000000"/>
              </w:rPr>
            </w:pPr>
            <w:r>
              <w:rPr>
                <w:rFonts w:hint="eastAsia" w:ascii="宋体" w:hAnsi="宋体"/>
                <w:color w:val="000000"/>
              </w:rPr>
              <w:t>11.5</w:t>
            </w:r>
          </w:p>
        </w:tc>
        <w:tc>
          <w:tcPr>
            <w:tcW w:w="3369" w:type="dxa"/>
            <w:noWrap w:val="0"/>
            <w:vAlign w:val="center"/>
          </w:tcPr>
          <w:p w14:paraId="2B243991">
            <w:pPr>
              <w:ind w:firstLine="435"/>
              <w:rPr>
                <w:rFonts w:hint="eastAsia" w:ascii="宋体" w:hAnsi="宋体"/>
                <w:color w:val="000000"/>
              </w:rPr>
            </w:pPr>
            <w:r>
              <w:rPr>
                <w:rFonts w:hint="eastAsia" w:ascii="宋体" w:hAnsi="宋体"/>
                <w:color w:val="000000"/>
              </w:rPr>
              <w:t>排水设备</w:t>
            </w:r>
          </w:p>
        </w:tc>
        <w:tc>
          <w:tcPr>
            <w:tcW w:w="1107" w:type="dxa"/>
            <w:noWrap w:val="0"/>
            <w:vAlign w:val="center"/>
          </w:tcPr>
          <w:p w14:paraId="347868AC">
            <w:pPr>
              <w:jc w:val="center"/>
              <w:rPr>
                <w:rFonts w:hint="eastAsia" w:ascii="宋体" w:hAnsi="宋体"/>
                <w:color w:val="000000"/>
              </w:rPr>
            </w:pPr>
            <w:r>
              <w:rPr>
                <w:rFonts w:hint="eastAsia" w:ascii="宋体" w:hAnsi="宋体"/>
                <w:color w:val="000000"/>
              </w:rPr>
              <w:t>台</w:t>
            </w:r>
          </w:p>
        </w:tc>
        <w:tc>
          <w:tcPr>
            <w:tcW w:w="1758" w:type="dxa"/>
            <w:noWrap w:val="0"/>
            <w:vAlign w:val="center"/>
          </w:tcPr>
          <w:p w14:paraId="07812B07">
            <w:pPr>
              <w:jc w:val="center"/>
              <w:rPr>
                <w:rFonts w:hint="eastAsia" w:ascii="宋体" w:hAnsi="宋体"/>
                <w:color w:val="000000"/>
              </w:rPr>
            </w:pPr>
            <w:r>
              <w:rPr>
                <w:rFonts w:hint="eastAsia" w:ascii="宋体" w:hAnsi="宋体"/>
                <w:color w:val="000000"/>
              </w:rPr>
              <w:t>3</w:t>
            </w:r>
          </w:p>
        </w:tc>
        <w:tc>
          <w:tcPr>
            <w:tcW w:w="1692" w:type="dxa"/>
            <w:noWrap w:val="0"/>
            <w:vAlign w:val="center"/>
          </w:tcPr>
          <w:p w14:paraId="13CEE4A0">
            <w:pPr>
              <w:rPr>
                <w:rFonts w:hint="eastAsia" w:ascii="宋体" w:hAnsi="宋体"/>
                <w:color w:val="000000"/>
              </w:rPr>
            </w:pPr>
          </w:p>
        </w:tc>
      </w:tr>
      <w:tr w14:paraId="65D12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20413D85">
            <w:pPr>
              <w:rPr>
                <w:rFonts w:hint="eastAsia" w:ascii="宋体" w:hAnsi="宋体"/>
                <w:color w:val="000000"/>
              </w:rPr>
            </w:pPr>
            <w:r>
              <w:rPr>
                <w:rFonts w:hint="eastAsia" w:ascii="宋体" w:hAnsi="宋体"/>
                <w:color w:val="000000"/>
              </w:rPr>
              <w:t>12</w:t>
            </w:r>
          </w:p>
        </w:tc>
        <w:tc>
          <w:tcPr>
            <w:tcW w:w="3369" w:type="dxa"/>
            <w:noWrap w:val="0"/>
            <w:vAlign w:val="center"/>
          </w:tcPr>
          <w:p w14:paraId="664DFE93">
            <w:pPr>
              <w:rPr>
                <w:rFonts w:hint="eastAsia" w:ascii="宋体" w:hAnsi="宋体"/>
                <w:color w:val="000000"/>
              </w:rPr>
            </w:pPr>
            <w:r>
              <w:rPr>
                <w:rFonts w:hint="eastAsia" w:ascii="宋体" w:hAnsi="宋体"/>
                <w:color w:val="000000"/>
              </w:rPr>
              <w:t>地面运输</w:t>
            </w:r>
          </w:p>
        </w:tc>
        <w:tc>
          <w:tcPr>
            <w:tcW w:w="1107" w:type="dxa"/>
            <w:noWrap w:val="0"/>
            <w:vAlign w:val="center"/>
          </w:tcPr>
          <w:p w14:paraId="65DE50F4">
            <w:pPr>
              <w:jc w:val="center"/>
              <w:rPr>
                <w:rFonts w:hint="eastAsia" w:ascii="宋体" w:hAnsi="宋体"/>
                <w:color w:val="000000"/>
              </w:rPr>
            </w:pPr>
          </w:p>
        </w:tc>
        <w:tc>
          <w:tcPr>
            <w:tcW w:w="1758" w:type="dxa"/>
            <w:noWrap w:val="0"/>
            <w:vAlign w:val="center"/>
          </w:tcPr>
          <w:p w14:paraId="38C79ED2">
            <w:pPr>
              <w:jc w:val="center"/>
              <w:rPr>
                <w:rFonts w:hint="eastAsia" w:ascii="宋体" w:hAnsi="宋体"/>
                <w:color w:val="000000"/>
              </w:rPr>
            </w:pPr>
          </w:p>
        </w:tc>
        <w:tc>
          <w:tcPr>
            <w:tcW w:w="1692" w:type="dxa"/>
            <w:noWrap w:val="0"/>
            <w:vAlign w:val="center"/>
          </w:tcPr>
          <w:p w14:paraId="5BBF52AE">
            <w:pPr>
              <w:rPr>
                <w:rFonts w:hint="eastAsia" w:ascii="宋体" w:hAnsi="宋体"/>
                <w:color w:val="000000"/>
              </w:rPr>
            </w:pPr>
          </w:p>
        </w:tc>
      </w:tr>
      <w:tr w14:paraId="18202F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AD87D8B">
            <w:pPr>
              <w:rPr>
                <w:rFonts w:hint="eastAsia" w:ascii="宋体" w:hAnsi="宋体"/>
                <w:color w:val="000000"/>
              </w:rPr>
            </w:pPr>
            <w:r>
              <w:rPr>
                <w:rFonts w:hint="eastAsia" w:ascii="宋体" w:hAnsi="宋体"/>
                <w:color w:val="000000"/>
              </w:rPr>
              <w:t>12.1</w:t>
            </w:r>
          </w:p>
        </w:tc>
        <w:tc>
          <w:tcPr>
            <w:tcW w:w="3369" w:type="dxa"/>
            <w:noWrap w:val="0"/>
            <w:vAlign w:val="center"/>
          </w:tcPr>
          <w:p w14:paraId="2902A4F7">
            <w:pPr>
              <w:ind w:firstLine="420" w:firstLineChars="200"/>
              <w:rPr>
                <w:rFonts w:hint="eastAsia" w:ascii="宋体" w:hAnsi="宋体"/>
                <w:color w:val="000000"/>
              </w:rPr>
            </w:pPr>
            <w:r>
              <w:rPr>
                <w:rFonts w:hint="eastAsia" w:ascii="宋体" w:hAnsi="宋体"/>
                <w:color w:val="000000"/>
              </w:rPr>
              <w:t>场外公路长度</w:t>
            </w:r>
          </w:p>
        </w:tc>
        <w:tc>
          <w:tcPr>
            <w:tcW w:w="1107" w:type="dxa"/>
            <w:noWrap w:val="0"/>
            <w:vAlign w:val="center"/>
          </w:tcPr>
          <w:p w14:paraId="5180FA1A">
            <w:pPr>
              <w:jc w:val="center"/>
              <w:rPr>
                <w:rFonts w:hint="eastAsia" w:ascii="宋体" w:hAnsi="宋体"/>
                <w:color w:val="000000"/>
              </w:rPr>
            </w:pPr>
            <w:r>
              <w:rPr>
                <w:rFonts w:hint="eastAsia" w:ascii="宋体" w:hAnsi="宋体"/>
                <w:color w:val="000000"/>
              </w:rPr>
              <w:t>km</w:t>
            </w:r>
          </w:p>
        </w:tc>
        <w:tc>
          <w:tcPr>
            <w:tcW w:w="1758" w:type="dxa"/>
            <w:noWrap w:val="0"/>
            <w:vAlign w:val="center"/>
          </w:tcPr>
          <w:p w14:paraId="3C62E42E">
            <w:pPr>
              <w:jc w:val="center"/>
              <w:rPr>
                <w:rFonts w:hint="eastAsia" w:ascii="宋体" w:hAnsi="宋体"/>
                <w:color w:val="000000"/>
              </w:rPr>
            </w:pPr>
            <w:r>
              <w:rPr>
                <w:rFonts w:hint="eastAsia" w:ascii="宋体" w:hAnsi="宋体"/>
                <w:color w:val="000000"/>
              </w:rPr>
              <w:t>1</w:t>
            </w:r>
          </w:p>
        </w:tc>
        <w:tc>
          <w:tcPr>
            <w:tcW w:w="1692" w:type="dxa"/>
            <w:noWrap w:val="0"/>
            <w:vAlign w:val="center"/>
          </w:tcPr>
          <w:p w14:paraId="524DD8CB">
            <w:pPr>
              <w:rPr>
                <w:rFonts w:hint="eastAsia" w:ascii="宋体" w:hAnsi="宋体"/>
                <w:color w:val="000000"/>
              </w:rPr>
            </w:pPr>
          </w:p>
        </w:tc>
      </w:tr>
      <w:tr w14:paraId="4A9A3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767EC32">
            <w:pPr>
              <w:rPr>
                <w:rFonts w:hint="eastAsia" w:ascii="宋体" w:hAnsi="宋体"/>
                <w:color w:val="000000"/>
              </w:rPr>
            </w:pPr>
            <w:r>
              <w:rPr>
                <w:rFonts w:hint="eastAsia" w:ascii="宋体" w:hAnsi="宋体"/>
                <w:color w:val="000000"/>
              </w:rPr>
              <w:t>13</w:t>
            </w:r>
          </w:p>
        </w:tc>
        <w:tc>
          <w:tcPr>
            <w:tcW w:w="3369" w:type="dxa"/>
            <w:noWrap w:val="0"/>
            <w:vAlign w:val="center"/>
          </w:tcPr>
          <w:p w14:paraId="7A84749B">
            <w:pPr>
              <w:rPr>
                <w:rFonts w:hint="eastAsia" w:ascii="宋体" w:hAnsi="宋体"/>
                <w:color w:val="000000"/>
              </w:rPr>
            </w:pPr>
            <w:r>
              <w:rPr>
                <w:rFonts w:hint="eastAsia" w:ascii="宋体" w:hAnsi="宋体"/>
                <w:color w:val="000000"/>
              </w:rPr>
              <w:t>建设用地</w:t>
            </w:r>
          </w:p>
        </w:tc>
        <w:tc>
          <w:tcPr>
            <w:tcW w:w="1107" w:type="dxa"/>
            <w:noWrap w:val="0"/>
            <w:vAlign w:val="center"/>
          </w:tcPr>
          <w:p w14:paraId="21CED58F">
            <w:pPr>
              <w:jc w:val="center"/>
              <w:rPr>
                <w:rFonts w:hint="eastAsia" w:ascii="宋体" w:hAnsi="宋体"/>
                <w:color w:val="000000"/>
              </w:rPr>
            </w:pPr>
          </w:p>
        </w:tc>
        <w:tc>
          <w:tcPr>
            <w:tcW w:w="1758" w:type="dxa"/>
            <w:noWrap w:val="0"/>
            <w:vAlign w:val="center"/>
          </w:tcPr>
          <w:p w14:paraId="1F12FC33">
            <w:pPr>
              <w:jc w:val="center"/>
              <w:rPr>
                <w:rFonts w:hint="eastAsia" w:ascii="宋体" w:hAnsi="宋体"/>
                <w:color w:val="000000"/>
              </w:rPr>
            </w:pPr>
          </w:p>
        </w:tc>
        <w:tc>
          <w:tcPr>
            <w:tcW w:w="1692" w:type="dxa"/>
            <w:noWrap w:val="0"/>
            <w:vAlign w:val="center"/>
          </w:tcPr>
          <w:p w14:paraId="6C3CCD86">
            <w:pPr>
              <w:rPr>
                <w:rFonts w:hint="eastAsia" w:ascii="宋体" w:hAnsi="宋体"/>
                <w:color w:val="000000"/>
              </w:rPr>
            </w:pPr>
          </w:p>
        </w:tc>
      </w:tr>
      <w:tr w14:paraId="3AA3E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97B5764">
            <w:pPr>
              <w:rPr>
                <w:rFonts w:hint="eastAsia" w:ascii="宋体" w:hAnsi="宋体"/>
                <w:color w:val="000000"/>
              </w:rPr>
            </w:pPr>
            <w:r>
              <w:rPr>
                <w:rFonts w:hint="eastAsia" w:ascii="宋体" w:hAnsi="宋体"/>
                <w:color w:val="000000"/>
              </w:rPr>
              <w:t>13.1</w:t>
            </w:r>
          </w:p>
        </w:tc>
        <w:tc>
          <w:tcPr>
            <w:tcW w:w="3369" w:type="dxa"/>
            <w:noWrap w:val="0"/>
            <w:vAlign w:val="center"/>
          </w:tcPr>
          <w:p w14:paraId="3EB93BEF">
            <w:pPr>
              <w:ind w:firstLine="420" w:firstLineChars="200"/>
              <w:rPr>
                <w:rFonts w:hint="eastAsia" w:ascii="宋体" w:hAnsi="宋体"/>
              </w:rPr>
            </w:pPr>
            <w:r>
              <w:rPr>
                <w:rFonts w:hint="eastAsia" w:ascii="宋体" w:hAnsi="宋体"/>
              </w:rPr>
              <w:t>用地总面积</w:t>
            </w:r>
          </w:p>
        </w:tc>
        <w:tc>
          <w:tcPr>
            <w:tcW w:w="1107" w:type="dxa"/>
            <w:noWrap w:val="0"/>
            <w:vAlign w:val="center"/>
          </w:tcPr>
          <w:p w14:paraId="05EAB2FD">
            <w:pPr>
              <w:jc w:val="center"/>
              <w:rPr>
                <w:rFonts w:hint="eastAsia" w:ascii="宋体" w:hAnsi="宋体"/>
              </w:rPr>
            </w:pPr>
            <w:r>
              <w:rPr>
                <w:rFonts w:hint="eastAsia" w:ascii="宋体" w:hAnsi="宋体"/>
              </w:rPr>
              <w:t>hm</w:t>
            </w:r>
            <w:r>
              <w:rPr>
                <w:rFonts w:hint="eastAsia" w:ascii="宋体" w:hAnsi="宋体"/>
                <w:szCs w:val="21"/>
                <w:vertAlign w:val="superscript"/>
              </w:rPr>
              <w:t>2</w:t>
            </w:r>
          </w:p>
        </w:tc>
        <w:tc>
          <w:tcPr>
            <w:tcW w:w="1758" w:type="dxa"/>
            <w:noWrap w:val="0"/>
            <w:vAlign w:val="center"/>
          </w:tcPr>
          <w:p w14:paraId="5D518843">
            <w:pPr>
              <w:jc w:val="center"/>
              <w:rPr>
                <w:rFonts w:hint="eastAsia" w:ascii="宋体" w:hAnsi="宋体"/>
              </w:rPr>
            </w:pPr>
            <w:r>
              <w:rPr>
                <w:rFonts w:hint="eastAsia" w:ascii="宋体" w:hAnsi="宋体"/>
              </w:rPr>
              <w:t>3.0</w:t>
            </w:r>
          </w:p>
        </w:tc>
        <w:tc>
          <w:tcPr>
            <w:tcW w:w="1692" w:type="dxa"/>
            <w:noWrap w:val="0"/>
            <w:vAlign w:val="center"/>
          </w:tcPr>
          <w:p w14:paraId="6323F620">
            <w:pPr>
              <w:rPr>
                <w:rFonts w:hint="eastAsia" w:ascii="宋体" w:hAnsi="宋体"/>
                <w:color w:val="000000"/>
              </w:rPr>
            </w:pPr>
          </w:p>
        </w:tc>
      </w:tr>
      <w:tr w14:paraId="1D022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3D69189D">
            <w:pPr>
              <w:rPr>
                <w:rFonts w:hint="eastAsia" w:ascii="宋体" w:hAnsi="宋体"/>
                <w:color w:val="000000"/>
              </w:rPr>
            </w:pPr>
            <w:r>
              <w:rPr>
                <w:rFonts w:hint="eastAsia" w:ascii="宋体" w:hAnsi="宋体"/>
                <w:color w:val="000000"/>
              </w:rPr>
              <w:t>13.1.1</w:t>
            </w:r>
          </w:p>
        </w:tc>
        <w:tc>
          <w:tcPr>
            <w:tcW w:w="3369" w:type="dxa"/>
            <w:noWrap w:val="0"/>
            <w:vAlign w:val="center"/>
          </w:tcPr>
          <w:p w14:paraId="26A84B24">
            <w:pPr>
              <w:ind w:firstLine="420" w:firstLineChars="200"/>
              <w:rPr>
                <w:rFonts w:hint="eastAsia" w:ascii="宋体" w:hAnsi="宋体"/>
              </w:rPr>
            </w:pPr>
            <w:r>
              <w:rPr>
                <w:rFonts w:hint="eastAsia" w:ascii="宋体" w:hAnsi="宋体"/>
              </w:rPr>
              <w:t>其中：工业场地</w:t>
            </w:r>
          </w:p>
        </w:tc>
        <w:tc>
          <w:tcPr>
            <w:tcW w:w="1107" w:type="dxa"/>
            <w:noWrap w:val="0"/>
            <w:vAlign w:val="center"/>
          </w:tcPr>
          <w:p w14:paraId="15D8C95F">
            <w:pPr>
              <w:jc w:val="center"/>
              <w:rPr>
                <w:rFonts w:hint="eastAsia" w:ascii="宋体" w:hAnsi="宋体"/>
              </w:rPr>
            </w:pPr>
            <w:r>
              <w:rPr>
                <w:rFonts w:hint="eastAsia" w:ascii="宋体" w:hAnsi="宋体"/>
              </w:rPr>
              <w:t>hm</w:t>
            </w:r>
            <w:r>
              <w:rPr>
                <w:rFonts w:hint="eastAsia" w:ascii="宋体" w:hAnsi="宋体"/>
                <w:szCs w:val="21"/>
                <w:vertAlign w:val="superscript"/>
              </w:rPr>
              <w:t>2</w:t>
            </w:r>
          </w:p>
        </w:tc>
        <w:tc>
          <w:tcPr>
            <w:tcW w:w="1758" w:type="dxa"/>
            <w:noWrap w:val="0"/>
            <w:vAlign w:val="center"/>
          </w:tcPr>
          <w:p w14:paraId="5C69CB1E">
            <w:pPr>
              <w:jc w:val="center"/>
              <w:rPr>
                <w:rFonts w:hint="eastAsia" w:ascii="宋体" w:hAnsi="宋体"/>
              </w:rPr>
            </w:pPr>
            <w:r>
              <w:rPr>
                <w:rFonts w:hint="eastAsia" w:ascii="宋体" w:hAnsi="宋体"/>
              </w:rPr>
              <w:t>1.78</w:t>
            </w:r>
          </w:p>
        </w:tc>
        <w:tc>
          <w:tcPr>
            <w:tcW w:w="1692" w:type="dxa"/>
            <w:noWrap w:val="0"/>
            <w:vAlign w:val="center"/>
          </w:tcPr>
          <w:p w14:paraId="5577D812">
            <w:pPr>
              <w:rPr>
                <w:rFonts w:hint="eastAsia" w:ascii="宋体" w:hAnsi="宋体"/>
                <w:color w:val="000000"/>
              </w:rPr>
            </w:pPr>
          </w:p>
        </w:tc>
      </w:tr>
      <w:tr w14:paraId="529B5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7D34800">
            <w:pPr>
              <w:rPr>
                <w:rFonts w:hint="eastAsia" w:ascii="宋体" w:hAnsi="宋体"/>
                <w:color w:val="000000"/>
              </w:rPr>
            </w:pPr>
            <w:r>
              <w:rPr>
                <w:rFonts w:hint="eastAsia" w:ascii="宋体" w:hAnsi="宋体"/>
                <w:color w:val="000000"/>
              </w:rPr>
              <w:t>13.1.2</w:t>
            </w:r>
          </w:p>
        </w:tc>
        <w:tc>
          <w:tcPr>
            <w:tcW w:w="3369" w:type="dxa"/>
            <w:noWrap w:val="0"/>
            <w:vAlign w:val="center"/>
          </w:tcPr>
          <w:p w14:paraId="07AFD0A5">
            <w:pPr>
              <w:ind w:firstLine="1050" w:firstLineChars="500"/>
              <w:rPr>
                <w:rFonts w:hint="eastAsia" w:ascii="宋体" w:hAnsi="宋体"/>
              </w:rPr>
            </w:pPr>
            <w:r>
              <w:rPr>
                <w:rFonts w:hint="eastAsia" w:ascii="宋体" w:hAnsi="宋体"/>
              </w:rPr>
              <w:t>风井场地</w:t>
            </w:r>
          </w:p>
        </w:tc>
        <w:tc>
          <w:tcPr>
            <w:tcW w:w="1107" w:type="dxa"/>
            <w:noWrap w:val="0"/>
            <w:vAlign w:val="center"/>
          </w:tcPr>
          <w:p w14:paraId="32895E34">
            <w:pPr>
              <w:jc w:val="center"/>
              <w:rPr>
                <w:rFonts w:hint="eastAsia" w:ascii="宋体" w:hAnsi="宋体"/>
              </w:rPr>
            </w:pPr>
            <w:r>
              <w:rPr>
                <w:rFonts w:hint="eastAsia" w:ascii="宋体" w:hAnsi="宋体"/>
              </w:rPr>
              <w:t>hm</w:t>
            </w:r>
            <w:r>
              <w:rPr>
                <w:rFonts w:hint="eastAsia" w:ascii="宋体" w:hAnsi="宋体"/>
                <w:szCs w:val="21"/>
                <w:vertAlign w:val="superscript"/>
              </w:rPr>
              <w:t>2</w:t>
            </w:r>
          </w:p>
        </w:tc>
        <w:tc>
          <w:tcPr>
            <w:tcW w:w="1758" w:type="dxa"/>
            <w:noWrap w:val="0"/>
            <w:vAlign w:val="center"/>
          </w:tcPr>
          <w:p w14:paraId="315C492F">
            <w:pPr>
              <w:jc w:val="center"/>
              <w:rPr>
                <w:rFonts w:hint="eastAsia" w:ascii="宋体" w:hAnsi="宋体"/>
              </w:rPr>
            </w:pPr>
            <w:r>
              <w:rPr>
                <w:rFonts w:hint="eastAsia" w:ascii="宋体" w:hAnsi="宋体"/>
              </w:rPr>
              <w:t>0.2</w:t>
            </w:r>
          </w:p>
        </w:tc>
        <w:tc>
          <w:tcPr>
            <w:tcW w:w="1692" w:type="dxa"/>
            <w:noWrap w:val="0"/>
            <w:vAlign w:val="center"/>
          </w:tcPr>
          <w:p w14:paraId="21A3EA06">
            <w:pPr>
              <w:rPr>
                <w:rFonts w:hint="eastAsia" w:ascii="宋体" w:hAnsi="宋体"/>
                <w:color w:val="000000"/>
              </w:rPr>
            </w:pPr>
          </w:p>
        </w:tc>
      </w:tr>
      <w:tr w14:paraId="5D94BB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41F0111">
            <w:pPr>
              <w:rPr>
                <w:rFonts w:hint="eastAsia" w:ascii="宋体" w:hAnsi="宋体"/>
                <w:color w:val="000000"/>
              </w:rPr>
            </w:pPr>
            <w:r>
              <w:rPr>
                <w:rFonts w:hint="eastAsia" w:ascii="宋体" w:hAnsi="宋体"/>
                <w:color w:val="000000"/>
              </w:rPr>
              <w:t>14</w:t>
            </w:r>
          </w:p>
        </w:tc>
        <w:tc>
          <w:tcPr>
            <w:tcW w:w="3369" w:type="dxa"/>
            <w:noWrap w:val="0"/>
            <w:vAlign w:val="center"/>
          </w:tcPr>
          <w:p w14:paraId="6A55F05E">
            <w:pPr>
              <w:rPr>
                <w:rFonts w:hint="eastAsia" w:ascii="宋体" w:hAnsi="宋体"/>
                <w:color w:val="000000"/>
              </w:rPr>
            </w:pPr>
            <w:r>
              <w:rPr>
                <w:rFonts w:hint="eastAsia" w:ascii="宋体" w:hAnsi="宋体"/>
                <w:color w:val="000000"/>
              </w:rPr>
              <w:t>地面建筑</w:t>
            </w:r>
          </w:p>
        </w:tc>
        <w:tc>
          <w:tcPr>
            <w:tcW w:w="1107" w:type="dxa"/>
            <w:noWrap w:val="0"/>
            <w:vAlign w:val="center"/>
          </w:tcPr>
          <w:p w14:paraId="4AEA399C">
            <w:pPr>
              <w:jc w:val="center"/>
              <w:rPr>
                <w:rFonts w:hint="eastAsia" w:ascii="宋体" w:hAnsi="宋体"/>
                <w:color w:val="000000"/>
              </w:rPr>
            </w:pPr>
          </w:p>
        </w:tc>
        <w:tc>
          <w:tcPr>
            <w:tcW w:w="1758" w:type="dxa"/>
            <w:noWrap w:val="0"/>
            <w:vAlign w:val="center"/>
          </w:tcPr>
          <w:p w14:paraId="7986128B">
            <w:pPr>
              <w:jc w:val="center"/>
              <w:rPr>
                <w:rFonts w:hint="eastAsia" w:ascii="宋体" w:hAnsi="宋体"/>
                <w:color w:val="000000"/>
              </w:rPr>
            </w:pPr>
          </w:p>
        </w:tc>
        <w:tc>
          <w:tcPr>
            <w:tcW w:w="1692" w:type="dxa"/>
            <w:noWrap w:val="0"/>
            <w:vAlign w:val="center"/>
          </w:tcPr>
          <w:p w14:paraId="68C5B6A5">
            <w:pPr>
              <w:rPr>
                <w:rFonts w:hint="eastAsia" w:ascii="宋体" w:hAnsi="宋体"/>
                <w:color w:val="000000"/>
              </w:rPr>
            </w:pPr>
          </w:p>
        </w:tc>
      </w:tr>
      <w:tr w14:paraId="5C566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74FF526">
            <w:pPr>
              <w:rPr>
                <w:rFonts w:hint="eastAsia" w:ascii="宋体" w:hAnsi="宋体"/>
                <w:color w:val="000000"/>
              </w:rPr>
            </w:pPr>
            <w:r>
              <w:rPr>
                <w:rFonts w:hint="eastAsia" w:ascii="宋体" w:hAnsi="宋体"/>
                <w:color w:val="000000"/>
              </w:rPr>
              <w:t>14.1</w:t>
            </w:r>
          </w:p>
        </w:tc>
        <w:tc>
          <w:tcPr>
            <w:tcW w:w="3369" w:type="dxa"/>
            <w:noWrap w:val="0"/>
            <w:vAlign w:val="center"/>
          </w:tcPr>
          <w:p w14:paraId="455CF7E7">
            <w:pPr>
              <w:ind w:firstLine="420" w:firstLineChars="200"/>
              <w:rPr>
                <w:rFonts w:hint="eastAsia" w:ascii="宋体" w:hAnsi="宋体"/>
                <w:color w:val="000000"/>
              </w:rPr>
            </w:pPr>
            <w:r>
              <w:rPr>
                <w:rFonts w:hint="eastAsia" w:ascii="宋体" w:hAnsi="宋体"/>
                <w:color w:val="000000"/>
              </w:rPr>
              <w:t>工业建（构）筑物总体积</w:t>
            </w:r>
          </w:p>
        </w:tc>
        <w:tc>
          <w:tcPr>
            <w:tcW w:w="1107" w:type="dxa"/>
            <w:noWrap w:val="0"/>
            <w:vAlign w:val="center"/>
          </w:tcPr>
          <w:p w14:paraId="7F86976C">
            <w:pPr>
              <w:jc w:val="center"/>
              <w:rPr>
                <w:rFonts w:hint="eastAsia" w:ascii="宋体" w:hAnsi="宋体"/>
                <w:color w:val="000000"/>
              </w:rPr>
            </w:pPr>
            <w:r>
              <w:rPr>
                <w:rFonts w:hint="eastAsia" w:ascii="宋体" w:hAnsi="宋体"/>
                <w:color w:val="000000"/>
              </w:rPr>
              <w:t>m</w:t>
            </w:r>
            <w:r>
              <w:rPr>
                <w:rFonts w:hint="eastAsia" w:ascii="宋体" w:hAnsi="宋体"/>
                <w:color w:val="000000"/>
                <w:vertAlign w:val="superscript"/>
              </w:rPr>
              <w:t>3</w:t>
            </w:r>
          </w:p>
        </w:tc>
        <w:tc>
          <w:tcPr>
            <w:tcW w:w="1758" w:type="dxa"/>
            <w:noWrap w:val="0"/>
            <w:vAlign w:val="center"/>
          </w:tcPr>
          <w:p w14:paraId="497AC060">
            <w:pPr>
              <w:jc w:val="center"/>
              <w:rPr>
                <w:rFonts w:hint="eastAsia" w:ascii="宋体" w:hAnsi="宋体"/>
                <w:color w:val="000000"/>
              </w:rPr>
            </w:pPr>
            <w:r>
              <w:rPr>
                <w:rFonts w:hint="eastAsia" w:ascii="宋体" w:hAnsi="宋体"/>
                <w:color w:val="000000"/>
              </w:rPr>
              <w:t>20441.7</w:t>
            </w:r>
          </w:p>
        </w:tc>
        <w:tc>
          <w:tcPr>
            <w:tcW w:w="1692" w:type="dxa"/>
            <w:noWrap w:val="0"/>
            <w:vAlign w:val="center"/>
          </w:tcPr>
          <w:p w14:paraId="2A539BF4">
            <w:pPr>
              <w:rPr>
                <w:rFonts w:hint="eastAsia" w:ascii="宋体" w:hAnsi="宋体"/>
                <w:color w:val="000000"/>
              </w:rPr>
            </w:pPr>
          </w:p>
        </w:tc>
      </w:tr>
      <w:tr w14:paraId="721CC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647FD2A">
            <w:pPr>
              <w:rPr>
                <w:rFonts w:hint="eastAsia" w:ascii="宋体" w:hAnsi="宋体"/>
                <w:color w:val="000000"/>
              </w:rPr>
            </w:pPr>
            <w:r>
              <w:rPr>
                <w:rFonts w:hint="eastAsia" w:ascii="宋体" w:hAnsi="宋体"/>
                <w:color w:val="000000"/>
              </w:rPr>
              <w:t>14.2</w:t>
            </w:r>
          </w:p>
        </w:tc>
        <w:tc>
          <w:tcPr>
            <w:tcW w:w="3369" w:type="dxa"/>
            <w:noWrap w:val="0"/>
            <w:vAlign w:val="center"/>
          </w:tcPr>
          <w:p w14:paraId="7458064B">
            <w:pPr>
              <w:ind w:firstLine="420" w:firstLineChars="200"/>
              <w:rPr>
                <w:rFonts w:hint="eastAsia" w:ascii="宋体" w:hAnsi="宋体"/>
                <w:color w:val="000000"/>
              </w:rPr>
            </w:pPr>
            <w:r>
              <w:rPr>
                <w:rFonts w:hint="eastAsia" w:ascii="宋体" w:hAnsi="宋体"/>
                <w:color w:val="000000"/>
              </w:rPr>
              <w:t>行政公共建筑物总面积</w:t>
            </w:r>
          </w:p>
        </w:tc>
        <w:tc>
          <w:tcPr>
            <w:tcW w:w="1107" w:type="dxa"/>
            <w:noWrap w:val="0"/>
            <w:vAlign w:val="center"/>
          </w:tcPr>
          <w:p w14:paraId="690471B8">
            <w:pPr>
              <w:jc w:val="center"/>
              <w:rPr>
                <w:rFonts w:hint="eastAsia" w:ascii="宋体" w:hAnsi="宋体"/>
                <w:color w:val="000000"/>
              </w:rPr>
            </w:pPr>
            <w:r>
              <w:rPr>
                <w:rFonts w:hint="eastAsia" w:ascii="宋体" w:hAnsi="宋体"/>
                <w:color w:val="000000"/>
              </w:rPr>
              <w:t>m</w:t>
            </w:r>
            <w:r>
              <w:rPr>
                <w:rFonts w:hint="eastAsia" w:ascii="宋体" w:hAnsi="宋体"/>
                <w:color w:val="000000"/>
                <w:szCs w:val="21"/>
                <w:vertAlign w:val="superscript"/>
              </w:rPr>
              <w:t>2</w:t>
            </w:r>
          </w:p>
        </w:tc>
        <w:tc>
          <w:tcPr>
            <w:tcW w:w="1758" w:type="dxa"/>
            <w:noWrap w:val="0"/>
            <w:vAlign w:val="center"/>
          </w:tcPr>
          <w:p w14:paraId="34A54538">
            <w:pPr>
              <w:jc w:val="center"/>
              <w:rPr>
                <w:rFonts w:hint="eastAsia" w:ascii="宋体" w:hAnsi="宋体"/>
                <w:color w:val="000000"/>
              </w:rPr>
            </w:pPr>
            <w:r>
              <w:rPr>
                <w:rFonts w:hint="eastAsia" w:ascii="宋体" w:hAnsi="宋体"/>
                <w:color w:val="000000"/>
              </w:rPr>
              <w:t>300</w:t>
            </w:r>
          </w:p>
        </w:tc>
        <w:tc>
          <w:tcPr>
            <w:tcW w:w="1692" w:type="dxa"/>
            <w:noWrap w:val="0"/>
            <w:vAlign w:val="center"/>
          </w:tcPr>
          <w:p w14:paraId="7CF12AB0">
            <w:pPr>
              <w:rPr>
                <w:rFonts w:hint="eastAsia" w:ascii="宋体" w:hAnsi="宋体"/>
                <w:color w:val="000000"/>
              </w:rPr>
            </w:pPr>
          </w:p>
        </w:tc>
      </w:tr>
      <w:tr w14:paraId="313FC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08B78951">
            <w:pPr>
              <w:rPr>
                <w:rFonts w:hint="eastAsia" w:ascii="宋体" w:hAnsi="宋体"/>
                <w:color w:val="000000"/>
              </w:rPr>
            </w:pPr>
            <w:r>
              <w:rPr>
                <w:rFonts w:hint="eastAsia" w:ascii="宋体" w:hAnsi="宋体"/>
                <w:color w:val="000000"/>
              </w:rPr>
              <w:t>15</w:t>
            </w:r>
          </w:p>
        </w:tc>
        <w:tc>
          <w:tcPr>
            <w:tcW w:w="3369" w:type="dxa"/>
            <w:noWrap w:val="0"/>
            <w:vAlign w:val="center"/>
          </w:tcPr>
          <w:p w14:paraId="4051E863">
            <w:pPr>
              <w:rPr>
                <w:rFonts w:hint="eastAsia" w:ascii="宋体" w:hAnsi="宋体"/>
                <w:color w:val="000000"/>
              </w:rPr>
            </w:pPr>
            <w:r>
              <w:rPr>
                <w:rFonts w:hint="eastAsia" w:ascii="宋体" w:hAnsi="宋体"/>
                <w:color w:val="000000"/>
              </w:rPr>
              <w:t>人员配置</w:t>
            </w:r>
          </w:p>
        </w:tc>
        <w:tc>
          <w:tcPr>
            <w:tcW w:w="1107" w:type="dxa"/>
            <w:noWrap w:val="0"/>
            <w:vAlign w:val="center"/>
          </w:tcPr>
          <w:p w14:paraId="014B9512">
            <w:pPr>
              <w:jc w:val="center"/>
              <w:rPr>
                <w:rFonts w:hint="eastAsia" w:ascii="宋体" w:hAnsi="宋体"/>
                <w:color w:val="000000"/>
              </w:rPr>
            </w:pPr>
            <w:r>
              <w:rPr>
                <w:rFonts w:hint="eastAsia" w:ascii="宋体" w:hAnsi="宋体"/>
                <w:color w:val="000000"/>
              </w:rPr>
              <w:t>—</w:t>
            </w:r>
          </w:p>
        </w:tc>
        <w:tc>
          <w:tcPr>
            <w:tcW w:w="1758" w:type="dxa"/>
            <w:noWrap w:val="0"/>
            <w:vAlign w:val="center"/>
          </w:tcPr>
          <w:p w14:paraId="70F4D94A">
            <w:pPr>
              <w:jc w:val="center"/>
              <w:rPr>
                <w:rFonts w:hint="eastAsia" w:ascii="宋体" w:hAnsi="宋体"/>
                <w:color w:val="000000"/>
              </w:rPr>
            </w:pPr>
            <w:r>
              <w:rPr>
                <w:rFonts w:hint="eastAsia" w:ascii="宋体" w:hAnsi="宋体"/>
                <w:color w:val="000000"/>
              </w:rPr>
              <w:t>—</w:t>
            </w:r>
          </w:p>
        </w:tc>
        <w:tc>
          <w:tcPr>
            <w:tcW w:w="1692" w:type="dxa"/>
            <w:noWrap w:val="0"/>
            <w:vAlign w:val="center"/>
          </w:tcPr>
          <w:p w14:paraId="0619D98B">
            <w:pPr>
              <w:rPr>
                <w:rFonts w:hint="eastAsia" w:ascii="宋体" w:hAnsi="宋体"/>
                <w:color w:val="000000"/>
              </w:rPr>
            </w:pPr>
          </w:p>
        </w:tc>
      </w:tr>
      <w:tr w14:paraId="77864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E6603BF">
            <w:pPr>
              <w:rPr>
                <w:rFonts w:hint="eastAsia" w:ascii="宋体" w:hAnsi="宋体"/>
                <w:color w:val="000000"/>
              </w:rPr>
            </w:pPr>
            <w:r>
              <w:rPr>
                <w:rFonts w:hint="eastAsia" w:ascii="宋体" w:hAnsi="宋体"/>
                <w:color w:val="000000"/>
              </w:rPr>
              <w:t>15.1</w:t>
            </w:r>
          </w:p>
        </w:tc>
        <w:tc>
          <w:tcPr>
            <w:tcW w:w="3369" w:type="dxa"/>
            <w:noWrap w:val="0"/>
            <w:vAlign w:val="center"/>
          </w:tcPr>
          <w:p w14:paraId="4882AD45">
            <w:pPr>
              <w:ind w:firstLine="420" w:firstLineChars="200"/>
              <w:rPr>
                <w:rFonts w:hint="eastAsia" w:ascii="宋体" w:hAnsi="宋体"/>
                <w:color w:val="000000"/>
              </w:rPr>
            </w:pPr>
            <w:r>
              <w:rPr>
                <w:rFonts w:hint="eastAsia" w:ascii="宋体" w:hAnsi="宋体"/>
                <w:color w:val="000000"/>
              </w:rPr>
              <w:t>在籍员工总人数</w:t>
            </w:r>
          </w:p>
        </w:tc>
        <w:tc>
          <w:tcPr>
            <w:tcW w:w="1107" w:type="dxa"/>
            <w:noWrap w:val="0"/>
            <w:vAlign w:val="center"/>
          </w:tcPr>
          <w:p w14:paraId="763EFB40">
            <w:pPr>
              <w:jc w:val="center"/>
              <w:rPr>
                <w:rFonts w:hint="eastAsia" w:ascii="宋体" w:hAnsi="宋体"/>
                <w:color w:val="000000"/>
              </w:rPr>
            </w:pPr>
            <w:r>
              <w:rPr>
                <w:rFonts w:hint="eastAsia" w:ascii="宋体" w:hAnsi="宋体"/>
                <w:color w:val="000000"/>
              </w:rPr>
              <w:t>人</w:t>
            </w:r>
          </w:p>
        </w:tc>
        <w:tc>
          <w:tcPr>
            <w:tcW w:w="1758" w:type="dxa"/>
            <w:noWrap w:val="0"/>
            <w:vAlign w:val="center"/>
          </w:tcPr>
          <w:p w14:paraId="107D66CF">
            <w:pPr>
              <w:jc w:val="center"/>
              <w:rPr>
                <w:rFonts w:hint="eastAsia" w:ascii="宋体" w:hAnsi="宋体"/>
              </w:rPr>
            </w:pPr>
            <w:r>
              <w:rPr>
                <w:rFonts w:hint="eastAsia" w:ascii="宋体" w:hAnsi="宋体"/>
              </w:rPr>
              <w:t>352</w:t>
            </w:r>
          </w:p>
        </w:tc>
        <w:tc>
          <w:tcPr>
            <w:tcW w:w="1692" w:type="dxa"/>
            <w:noWrap w:val="0"/>
            <w:vAlign w:val="center"/>
          </w:tcPr>
          <w:p w14:paraId="4969F533">
            <w:pPr>
              <w:rPr>
                <w:rFonts w:hint="eastAsia" w:ascii="宋体" w:hAnsi="宋体"/>
                <w:color w:val="000000"/>
              </w:rPr>
            </w:pPr>
          </w:p>
        </w:tc>
      </w:tr>
      <w:tr w14:paraId="49E3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0FDA789">
            <w:pPr>
              <w:rPr>
                <w:rFonts w:hint="eastAsia" w:ascii="宋体" w:hAnsi="宋体"/>
                <w:color w:val="000000"/>
              </w:rPr>
            </w:pPr>
            <w:r>
              <w:rPr>
                <w:rFonts w:hint="eastAsia" w:ascii="宋体" w:hAnsi="宋体"/>
                <w:color w:val="000000"/>
              </w:rPr>
              <w:t>15.1.1</w:t>
            </w:r>
          </w:p>
        </w:tc>
        <w:tc>
          <w:tcPr>
            <w:tcW w:w="3369" w:type="dxa"/>
            <w:noWrap w:val="0"/>
            <w:vAlign w:val="center"/>
          </w:tcPr>
          <w:p w14:paraId="5DAD7BFD">
            <w:pPr>
              <w:ind w:firstLine="420" w:firstLineChars="200"/>
              <w:rPr>
                <w:rFonts w:hint="eastAsia" w:ascii="宋体" w:hAnsi="宋体"/>
                <w:color w:val="000000"/>
              </w:rPr>
            </w:pPr>
            <w:r>
              <w:rPr>
                <w:rFonts w:hint="eastAsia" w:ascii="宋体" w:hAnsi="宋体"/>
                <w:color w:val="000000"/>
              </w:rPr>
              <w:t>其中：生产员工</w:t>
            </w:r>
          </w:p>
        </w:tc>
        <w:tc>
          <w:tcPr>
            <w:tcW w:w="1107" w:type="dxa"/>
            <w:noWrap w:val="0"/>
            <w:vAlign w:val="center"/>
          </w:tcPr>
          <w:p w14:paraId="7CB73DE0">
            <w:pPr>
              <w:jc w:val="center"/>
              <w:rPr>
                <w:rFonts w:hint="eastAsia" w:ascii="宋体" w:hAnsi="宋体"/>
                <w:color w:val="000000"/>
              </w:rPr>
            </w:pPr>
            <w:r>
              <w:rPr>
                <w:rFonts w:hint="eastAsia" w:ascii="宋体" w:hAnsi="宋体"/>
                <w:color w:val="000000"/>
              </w:rPr>
              <w:t>人</w:t>
            </w:r>
          </w:p>
        </w:tc>
        <w:tc>
          <w:tcPr>
            <w:tcW w:w="1758" w:type="dxa"/>
            <w:noWrap w:val="0"/>
            <w:vAlign w:val="center"/>
          </w:tcPr>
          <w:p w14:paraId="7D36A2DE">
            <w:pPr>
              <w:jc w:val="center"/>
              <w:rPr>
                <w:rFonts w:hint="eastAsia" w:ascii="宋体" w:hAnsi="宋体"/>
              </w:rPr>
            </w:pPr>
            <w:r>
              <w:rPr>
                <w:rFonts w:hint="eastAsia" w:ascii="宋体" w:hAnsi="宋体"/>
              </w:rPr>
              <w:t>223</w:t>
            </w:r>
          </w:p>
        </w:tc>
        <w:tc>
          <w:tcPr>
            <w:tcW w:w="1692" w:type="dxa"/>
            <w:noWrap w:val="0"/>
            <w:vAlign w:val="center"/>
          </w:tcPr>
          <w:p w14:paraId="2826E55B">
            <w:pPr>
              <w:rPr>
                <w:rFonts w:hint="eastAsia" w:ascii="宋体" w:hAnsi="宋体"/>
                <w:color w:val="000000"/>
              </w:rPr>
            </w:pPr>
          </w:p>
        </w:tc>
      </w:tr>
      <w:tr w14:paraId="6A058B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D6A3F1C">
            <w:pPr>
              <w:rPr>
                <w:rFonts w:hint="eastAsia" w:ascii="宋体" w:hAnsi="宋体"/>
                <w:color w:val="000000"/>
              </w:rPr>
            </w:pPr>
            <w:r>
              <w:rPr>
                <w:rFonts w:hint="eastAsia" w:ascii="宋体" w:hAnsi="宋体"/>
                <w:color w:val="000000"/>
              </w:rPr>
              <w:t>15.2</w:t>
            </w:r>
          </w:p>
        </w:tc>
        <w:tc>
          <w:tcPr>
            <w:tcW w:w="3369" w:type="dxa"/>
            <w:noWrap w:val="0"/>
            <w:vAlign w:val="center"/>
          </w:tcPr>
          <w:p w14:paraId="309F4D11">
            <w:pPr>
              <w:ind w:firstLine="420" w:firstLineChars="200"/>
              <w:rPr>
                <w:rFonts w:hint="eastAsia" w:ascii="宋体" w:hAnsi="宋体"/>
                <w:color w:val="000000"/>
              </w:rPr>
            </w:pPr>
            <w:r>
              <w:rPr>
                <w:rFonts w:hint="eastAsia" w:ascii="宋体" w:hAnsi="宋体"/>
                <w:color w:val="000000"/>
              </w:rPr>
              <w:t>原煤生产效率</w:t>
            </w:r>
          </w:p>
        </w:tc>
        <w:tc>
          <w:tcPr>
            <w:tcW w:w="1107" w:type="dxa"/>
            <w:noWrap w:val="0"/>
            <w:vAlign w:val="center"/>
          </w:tcPr>
          <w:p w14:paraId="7FD17A81">
            <w:pPr>
              <w:jc w:val="center"/>
              <w:rPr>
                <w:rFonts w:hint="eastAsia" w:ascii="宋体" w:hAnsi="宋体"/>
                <w:color w:val="000000"/>
              </w:rPr>
            </w:pPr>
            <w:r>
              <w:rPr>
                <w:rFonts w:hint="eastAsia" w:ascii="宋体" w:hAnsi="宋体"/>
                <w:color w:val="000000"/>
              </w:rPr>
              <w:t>t/工</w:t>
            </w:r>
          </w:p>
        </w:tc>
        <w:tc>
          <w:tcPr>
            <w:tcW w:w="1758" w:type="dxa"/>
            <w:noWrap w:val="0"/>
            <w:vAlign w:val="center"/>
          </w:tcPr>
          <w:p w14:paraId="2897E3E3">
            <w:pPr>
              <w:jc w:val="center"/>
              <w:rPr>
                <w:rFonts w:hint="eastAsia" w:ascii="宋体" w:hAnsi="宋体"/>
              </w:rPr>
            </w:pPr>
            <w:r>
              <w:rPr>
                <w:rFonts w:hint="eastAsia" w:ascii="宋体" w:hAnsi="宋体"/>
              </w:rPr>
              <w:t>4.08</w:t>
            </w:r>
          </w:p>
        </w:tc>
        <w:tc>
          <w:tcPr>
            <w:tcW w:w="1692" w:type="dxa"/>
            <w:noWrap w:val="0"/>
            <w:vAlign w:val="center"/>
          </w:tcPr>
          <w:p w14:paraId="17D69F9E">
            <w:pPr>
              <w:rPr>
                <w:rFonts w:hint="eastAsia" w:ascii="宋体" w:hAnsi="宋体"/>
                <w:color w:val="000000"/>
              </w:rPr>
            </w:pPr>
          </w:p>
        </w:tc>
      </w:tr>
      <w:tr w14:paraId="21492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34D3FBC8">
            <w:pPr>
              <w:rPr>
                <w:rFonts w:hint="eastAsia" w:ascii="宋体" w:hAnsi="宋体"/>
                <w:color w:val="000000"/>
              </w:rPr>
            </w:pPr>
            <w:r>
              <w:rPr>
                <w:rFonts w:hint="eastAsia" w:ascii="宋体" w:hAnsi="宋体"/>
                <w:color w:val="000000"/>
              </w:rPr>
              <w:t>16</w:t>
            </w:r>
          </w:p>
        </w:tc>
        <w:tc>
          <w:tcPr>
            <w:tcW w:w="3369" w:type="dxa"/>
            <w:noWrap w:val="0"/>
            <w:vAlign w:val="center"/>
          </w:tcPr>
          <w:p w14:paraId="1C84653A">
            <w:pPr>
              <w:rPr>
                <w:rFonts w:hint="eastAsia" w:ascii="宋体" w:hAnsi="宋体"/>
                <w:color w:val="000000"/>
              </w:rPr>
            </w:pPr>
            <w:r>
              <w:rPr>
                <w:rFonts w:hint="eastAsia" w:ascii="宋体" w:hAnsi="宋体"/>
                <w:color w:val="000000"/>
              </w:rPr>
              <w:t>项目投资</w:t>
            </w:r>
          </w:p>
        </w:tc>
        <w:tc>
          <w:tcPr>
            <w:tcW w:w="1107" w:type="dxa"/>
            <w:noWrap w:val="0"/>
            <w:vAlign w:val="center"/>
          </w:tcPr>
          <w:p w14:paraId="00EF3F2E">
            <w:pPr>
              <w:jc w:val="center"/>
              <w:rPr>
                <w:rFonts w:hint="eastAsia" w:ascii="宋体" w:hAnsi="宋体"/>
                <w:color w:val="000000"/>
              </w:rPr>
            </w:pPr>
            <w:r>
              <w:rPr>
                <w:rFonts w:hint="eastAsia" w:ascii="宋体" w:hAnsi="宋体"/>
                <w:color w:val="000000"/>
              </w:rPr>
              <w:t>—</w:t>
            </w:r>
          </w:p>
        </w:tc>
        <w:tc>
          <w:tcPr>
            <w:tcW w:w="1758" w:type="dxa"/>
            <w:noWrap w:val="0"/>
            <w:vAlign w:val="center"/>
          </w:tcPr>
          <w:p w14:paraId="0E219E60">
            <w:pPr>
              <w:jc w:val="center"/>
              <w:rPr>
                <w:rFonts w:hint="eastAsia" w:ascii="宋体" w:hAnsi="宋体"/>
                <w:color w:val="000000"/>
              </w:rPr>
            </w:pPr>
            <w:r>
              <w:rPr>
                <w:rFonts w:hint="eastAsia" w:ascii="宋体" w:hAnsi="宋体"/>
                <w:color w:val="000000"/>
              </w:rPr>
              <w:t>—</w:t>
            </w:r>
          </w:p>
        </w:tc>
        <w:tc>
          <w:tcPr>
            <w:tcW w:w="1692" w:type="dxa"/>
            <w:noWrap w:val="0"/>
            <w:vAlign w:val="center"/>
          </w:tcPr>
          <w:p w14:paraId="7CBAD13F">
            <w:pPr>
              <w:rPr>
                <w:rFonts w:hint="eastAsia" w:ascii="宋体" w:hAnsi="宋体"/>
                <w:color w:val="000000"/>
              </w:rPr>
            </w:pPr>
          </w:p>
        </w:tc>
      </w:tr>
      <w:tr w14:paraId="3C28E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1432826">
            <w:pPr>
              <w:rPr>
                <w:rFonts w:hint="eastAsia" w:ascii="宋体" w:hAnsi="宋体"/>
              </w:rPr>
            </w:pPr>
            <w:r>
              <w:rPr>
                <w:rFonts w:hint="eastAsia" w:ascii="宋体" w:hAnsi="宋体"/>
              </w:rPr>
              <w:t>16.1</w:t>
            </w:r>
          </w:p>
        </w:tc>
        <w:tc>
          <w:tcPr>
            <w:tcW w:w="3369" w:type="dxa"/>
            <w:noWrap w:val="0"/>
            <w:vAlign w:val="center"/>
          </w:tcPr>
          <w:p w14:paraId="1E4333B5">
            <w:pPr>
              <w:rPr>
                <w:rFonts w:hint="eastAsia" w:ascii="宋体" w:hAnsi="宋体"/>
              </w:rPr>
            </w:pPr>
            <w:r>
              <w:rPr>
                <w:rFonts w:hint="eastAsia" w:ascii="宋体" w:hAnsi="宋体"/>
              </w:rPr>
              <w:t xml:space="preserve">    建设项目总资金</w:t>
            </w:r>
          </w:p>
        </w:tc>
        <w:tc>
          <w:tcPr>
            <w:tcW w:w="1107" w:type="dxa"/>
            <w:noWrap w:val="0"/>
            <w:vAlign w:val="center"/>
          </w:tcPr>
          <w:p w14:paraId="2EDC7D6E">
            <w:pPr>
              <w:jc w:val="center"/>
              <w:rPr>
                <w:rFonts w:hint="eastAsia" w:ascii="宋体" w:hAnsi="宋体"/>
              </w:rPr>
            </w:pPr>
            <w:r>
              <w:rPr>
                <w:rFonts w:hint="eastAsia" w:ascii="宋体" w:hAnsi="宋体"/>
              </w:rPr>
              <w:t>万元</w:t>
            </w:r>
          </w:p>
        </w:tc>
        <w:tc>
          <w:tcPr>
            <w:tcW w:w="1758" w:type="dxa"/>
            <w:noWrap w:val="0"/>
            <w:vAlign w:val="center"/>
          </w:tcPr>
          <w:p w14:paraId="13452E4B">
            <w:pPr>
              <w:jc w:val="center"/>
              <w:rPr>
                <w:rFonts w:hint="eastAsia" w:ascii="宋体" w:hAnsi="宋体"/>
              </w:rPr>
            </w:pPr>
            <w:r>
              <w:rPr>
                <w:rFonts w:hint="eastAsia" w:ascii="宋体" w:hAnsi="宋体"/>
              </w:rPr>
              <w:t>10265.62</w:t>
            </w:r>
          </w:p>
        </w:tc>
        <w:tc>
          <w:tcPr>
            <w:tcW w:w="1692" w:type="dxa"/>
            <w:noWrap w:val="0"/>
            <w:vAlign w:val="center"/>
          </w:tcPr>
          <w:p w14:paraId="71D15D65">
            <w:pPr>
              <w:rPr>
                <w:rFonts w:hint="eastAsia"/>
              </w:rPr>
            </w:pPr>
          </w:p>
        </w:tc>
      </w:tr>
      <w:tr w14:paraId="2A0D9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6A88D3CE">
            <w:pPr>
              <w:rPr>
                <w:rFonts w:hint="eastAsia" w:ascii="宋体" w:hAnsi="宋体"/>
              </w:rPr>
            </w:pPr>
            <w:r>
              <w:rPr>
                <w:rFonts w:hint="eastAsia" w:ascii="宋体" w:hAnsi="宋体"/>
              </w:rPr>
              <w:t>16.1.1</w:t>
            </w:r>
          </w:p>
        </w:tc>
        <w:tc>
          <w:tcPr>
            <w:tcW w:w="3369" w:type="dxa"/>
            <w:noWrap w:val="0"/>
            <w:vAlign w:val="center"/>
          </w:tcPr>
          <w:p w14:paraId="4E96C2F4">
            <w:pPr>
              <w:rPr>
                <w:rFonts w:hint="eastAsia" w:ascii="宋体" w:hAnsi="宋体"/>
              </w:rPr>
            </w:pPr>
            <w:r>
              <w:rPr>
                <w:rFonts w:hint="eastAsia" w:ascii="宋体" w:hAnsi="宋体"/>
              </w:rPr>
              <w:t xml:space="preserve">    铺底流动资金</w:t>
            </w:r>
          </w:p>
        </w:tc>
        <w:tc>
          <w:tcPr>
            <w:tcW w:w="1107" w:type="dxa"/>
            <w:noWrap w:val="0"/>
            <w:vAlign w:val="center"/>
          </w:tcPr>
          <w:p w14:paraId="31067BE4">
            <w:pPr>
              <w:jc w:val="center"/>
              <w:rPr>
                <w:rFonts w:hint="eastAsia" w:ascii="宋体" w:hAnsi="宋体"/>
              </w:rPr>
            </w:pPr>
            <w:r>
              <w:rPr>
                <w:rFonts w:hint="eastAsia" w:ascii="宋体" w:hAnsi="宋体"/>
              </w:rPr>
              <w:t>万元</w:t>
            </w:r>
          </w:p>
        </w:tc>
        <w:tc>
          <w:tcPr>
            <w:tcW w:w="1758" w:type="dxa"/>
            <w:noWrap w:val="0"/>
            <w:vAlign w:val="center"/>
          </w:tcPr>
          <w:p w14:paraId="7B737803">
            <w:pPr>
              <w:jc w:val="center"/>
              <w:rPr>
                <w:rFonts w:hint="eastAsia" w:ascii="宋体" w:hAnsi="宋体"/>
              </w:rPr>
            </w:pPr>
            <w:r>
              <w:rPr>
                <w:rFonts w:hint="eastAsia" w:ascii="宋体" w:hAnsi="宋体"/>
              </w:rPr>
              <w:t>385.2</w:t>
            </w:r>
          </w:p>
        </w:tc>
        <w:tc>
          <w:tcPr>
            <w:tcW w:w="1692" w:type="dxa"/>
            <w:noWrap w:val="0"/>
            <w:vAlign w:val="center"/>
          </w:tcPr>
          <w:p w14:paraId="3217E488">
            <w:pPr>
              <w:rPr>
                <w:rFonts w:hint="eastAsia"/>
              </w:rPr>
            </w:pPr>
          </w:p>
        </w:tc>
      </w:tr>
      <w:tr w14:paraId="6A609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99EA85A">
            <w:pPr>
              <w:rPr>
                <w:rFonts w:hint="eastAsia" w:ascii="宋体" w:hAnsi="宋体"/>
              </w:rPr>
            </w:pPr>
            <w:r>
              <w:rPr>
                <w:rFonts w:hint="eastAsia" w:ascii="宋体" w:hAnsi="宋体"/>
              </w:rPr>
              <w:t>16.2</w:t>
            </w:r>
          </w:p>
        </w:tc>
        <w:tc>
          <w:tcPr>
            <w:tcW w:w="3369" w:type="dxa"/>
            <w:noWrap w:val="0"/>
            <w:vAlign w:val="center"/>
          </w:tcPr>
          <w:p w14:paraId="67A51957">
            <w:pPr>
              <w:rPr>
                <w:rFonts w:hint="eastAsia" w:ascii="宋体" w:hAnsi="宋体"/>
              </w:rPr>
            </w:pPr>
            <w:r>
              <w:rPr>
                <w:rFonts w:hint="eastAsia" w:ascii="宋体" w:hAnsi="宋体"/>
              </w:rPr>
              <w:t xml:space="preserve">    吨煤投资（16.1/6.1）</w:t>
            </w:r>
          </w:p>
        </w:tc>
        <w:tc>
          <w:tcPr>
            <w:tcW w:w="1107" w:type="dxa"/>
            <w:noWrap w:val="0"/>
            <w:vAlign w:val="center"/>
          </w:tcPr>
          <w:p w14:paraId="52AC0A9C">
            <w:pPr>
              <w:jc w:val="center"/>
              <w:rPr>
                <w:rFonts w:hint="eastAsia" w:ascii="宋体" w:hAnsi="宋体"/>
              </w:rPr>
            </w:pPr>
            <w:r>
              <w:rPr>
                <w:rFonts w:hint="eastAsia" w:ascii="宋体" w:hAnsi="宋体"/>
              </w:rPr>
              <w:t>元/吨</w:t>
            </w:r>
          </w:p>
        </w:tc>
        <w:tc>
          <w:tcPr>
            <w:tcW w:w="1758" w:type="dxa"/>
            <w:noWrap w:val="0"/>
            <w:vAlign w:val="center"/>
          </w:tcPr>
          <w:p w14:paraId="01BFE21A">
            <w:pPr>
              <w:jc w:val="center"/>
              <w:rPr>
                <w:rFonts w:hint="eastAsia" w:ascii="宋体" w:hAnsi="宋体"/>
              </w:rPr>
            </w:pPr>
            <w:r>
              <w:rPr>
                <w:rFonts w:hint="eastAsia" w:ascii="宋体" w:hAnsi="宋体"/>
              </w:rPr>
              <w:t>342.19</w:t>
            </w:r>
          </w:p>
        </w:tc>
        <w:tc>
          <w:tcPr>
            <w:tcW w:w="1692" w:type="dxa"/>
            <w:noWrap w:val="0"/>
            <w:vAlign w:val="center"/>
          </w:tcPr>
          <w:p w14:paraId="144F8620">
            <w:pPr>
              <w:rPr>
                <w:rFonts w:hint="eastAsia"/>
              </w:rPr>
            </w:pPr>
          </w:p>
        </w:tc>
      </w:tr>
      <w:tr w14:paraId="01E3C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34DA4AA6">
            <w:pPr>
              <w:rPr>
                <w:rFonts w:hint="eastAsia" w:ascii="宋体" w:hAnsi="宋体"/>
              </w:rPr>
            </w:pPr>
            <w:r>
              <w:rPr>
                <w:rFonts w:hint="eastAsia" w:ascii="宋体" w:hAnsi="宋体"/>
              </w:rPr>
              <w:t>17</w:t>
            </w:r>
          </w:p>
        </w:tc>
        <w:tc>
          <w:tcPr>
            <w:tcW w:w="3369" w:type="dxa"/>
            <w:noWrap w:val="0"/>
            <w:vAlign w:val="center"/>
          </w:tcPr>
          <w:p w14:paraId="60CC99B1">
            <w:pPr>
              <w:rPr>
                <w:rFonts w:hint="eastAsia" w:ascii="宋体" w:hAnsi="宋体"/>
              </w:rPr>
            </w:pPr>
            <w:r>
              <w:rPr>
                <w:rFonts w:hint="eastAsia" w:ascii="宋体" w:hAnsi="宋体"/>
              </w:rPr>
              <w:t>原煤成本与售价</w:t>
            </w:r>
          </w:p>
        </w:tc>
        <w:tc>
          <w:tcPr>
            <w:tcW w:w="1107" w:type="dxa"/>
            <w:noWrap w:val="0"/>
            <w:vAlign w:val="center"/>
          </w:tcPr>
          <w:p w14:paraId="461546D4">
            <w:pPr>
              <w:jc w:val="center"/>
              <w:rPr>
                <w:rFonts w:hint="eastAsia" w:ascii="宋体" w:hAnsi="宋体"/>
              </w:rPr>
            </w:pPr>
            <w:r>
              <w:rPr>
                <w:rFonts w:hint="eastAsia" w:ascii="宋体" w:hAnsi="宋体"/>
              </w:rPr>
              <w:t>—</w:t>
            </w:r>
          </w:p>
        </w:tc>
        <w:tc>
          <w:tcPr>
            <w:tcW w:w="1758" w:type="dxa"/>
            <w:noWrap w:val="0"/>
            <w:vAlign w:val="center"/>
          </w:tcPr>
          <w:p w14:paraId="27CC2EDA">
            <w:pPr>
              <w:jc w:val="center"/>
              <w:rPr>
                <w:rFonts w:hint="eastAsia" w:ascii="宋体" w:hAnsi="宋体"/>
              </w:rPr>
            </w:pPr>
            <w:r>
              <w:rPr>
                <w:rFonts w:hint="eastAsia" w:ascii="宋体" w:hAnsi="宋体"/>
              </w:rPr>
              <w:t>—</w:t>
            </w:r>
          </w:p>
        </w:tc>
        <w:tc>
          <w:tcPr>
            <w:tcW w:w="1692" w:type="dxa"/>
            <w:noWrap w:val="0"/>
            <w:vAlign w:val="center"/>
          </w:tcPr>
          <w:p w14:paraId="7367E1F8">
            <w:pPr>
              <w:rPr>
                <w:rFonts w:hint="eastAsia"/>
              </w:rPr>
            </w:pPr>
          </w:p>
        </w:tc>
      </w:tr>
      <w:tr w14:paraId="1F003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E7FBCF5">
            <w:pPr>
              <w:rPr>
                <w:rFonts w:hint="eastAsia" w:ascii="宋体" w:hAnsi="宋体"/>
              </w:rPr>
            </w:pPr>
            <w:r>
              <w:rPr>
                <w:rFonts w:hint="eastAsia" w:ascii="宋体" w:hAnsi="宋体"/>
              </w:rPr>
              <w:t>17.1</w:t>
            </w:r>
          </w:p>
        </w:tc>
        <w:tc>
          <w:tcPr>
            <w:tcW w:w="3369" w:type="dxa"/>
            <w:noWrap w:val="0"/>
            <w:vAlign w:val="center"/>
          </w:tcPr>
          <w:p w14:paraId="1356DD85">
            <w:pPr>
              <w:rPr>
                <w:rFonts w:hint="eastAsia" w:ascii="宋体" w:hAnsi="宋体"/>
              </w:rPr>
            </w:pPr>
            <w:r>
              <w:rPr>
                <w:rFonts w:hint="eastAsia" w:ascii="宋体" w:hAnsi="宋体"/>
              </w:rPr>
              <w:t xml:space="preserve">    原煤生产成本</w:t>
            </w:r>
          </w:p>
        </w:tc>
        <w:tc>
          <w:tcPr>
            <w:tcW w:w="1107" w:type="dxa"/>
            <w:noWrap w:val="0"/>
            <w:vAlign w:val="center"/>
          </w:tcPr>
          <w:p w14:paraId="74C72FA2">
            <w:pPr>
              <w:jc w:val="center"/>
              <w:rPr>
                <w:rFonts w:hint="eastAsia" w:ascii="宋体" w:hAnsi="宋体"/>
              </w:rPr>
            </w:pPr>
            <w:r>
              <w:rPr>
                <w:rFonts w:hint="eastAsia" w:ascii="宋体" w:hAnsi="宋体"/>
              </w:rPr>
              <w:t>元/吨</w:t>
            </w:r>
          </w:p>
        </w:tc>
        <w:tc>
          <w:tcPr>
            <w:tcW w:w="1758" w:type="dxa"/>
            <w:noWrap w:val="0"/>
            <w:vAlign w:val="center"/>
          </w:tcPr>
          <w:p w14:paraId="72E3B569">
            <w:pPr>
              <w:jc w:val="center"/>
              <w:rPr>
                <w:rFonts w:hint="eastAsia" w:ascii="宋体" w:hAnsi="宋体"/>
              </w:rPr>
            </w:pPr>
            <w:r>
              <w:rPr>
                <w:rFonts w:hint="eastAsia" w:ascii="宋体" w:hAnsi="宋体"/>
              </w:rPr>
              <w:t>194.57</w:t>
            </w:r>
          </w:p>
        </w:tc>
        <w:tc>
          <w:tcPr>
            <w:tcW w:w="1692" w:type="dxa"/>
            <w:noWrap w:val="0"/>
            <w:vAlign w:val="center"/>
          </w:tcPr>
          <w:p w14:paraId="7A646E54">
            <w:pPr>
              <w:rPr>
                <w:rFonts w:hint="eastAsia"/>
              </w:rPr>
            </w:pPr>
          </w:p>
        </w:tc>
      </w:tr>
      <w:tr w14:paraId="71DF8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49F3CA3A">
            <w:pPr>
              <w:rPr>
                <w:rFonts w:hint="eastAsia" w:ascii="宋体" w:hAnsi="宋体"/>
              </w:rPr>
            </w:pPr>
            <w:r>
              <w:rPr>
                <w:rFonts w:hint="eastAsia" w:ascii="宋体" w:hAnsi="宋体"/>
              </w:rPr>
              <w:t>17.2</w:t>
            </w:r>
          </w:p>
        </w:tc>
        <w:tc>
          <w:tcPr>
            <w:tcW w:w="3369" w:type="dxa"/>
            <w:noWrap w:val="0"/>
            <w:vAlign w:val="center"/>
          </w:tcPr>
          <w:p w14:paraId="6FC3AA17">
            <w:pPr>
              <w:rPr>
                <w:rFonts w:hint="eastAsia" w:ascii="宋体" w:hAnsi="宋体"/>
              </w:rPr>
            </w:pPr>
            <w:r>
              <w:rPr>
                <w:rFonts w:hint="eastAsia" w:ascii="宋体" w:hAnsi="宋体"/>
              </w:rPr>
              <w:t xml:space="preserve">    原煤平均售价</w:t>
            </w:r>
          </w:p>
        </w:tc>
        <w:tc>
          <w:tcPr>
            <w:tcW w:w="1107" w:type="dxa"/>
            <w:noWrap w:val="0"/>
            <w:vAlign w:val="center"/>
          </w:tcPr>
          <w:p w14:paraId="7B256887">
            <w:pPr>
              <w:jc w:val="center"/>
              <w:rPr>
                <w:rFonts w:hint="eastAsia" w:ascii="宋体" w:hAnsi="宋体"/>
              </w:rPr>
            </w:pPr>
            <w:r>
              <w:rPr>
                <w:rFonts w:hint="eastAsia" w:ascii="宋体" w:hAnsi="宋体"/>
              </w:rPr>
              <w:t>元/</w:t>
            </w:r>
            <w:r>
              <w:rPr>
                <w:rFonts w:hint="eastAsia" w:ascii="宋体" w:hAnsi="宋体" w:cs="宋体"/>
              </w:rPr>
              <w:t>吨</w:t>
            </w:r>
          </w:p>
        </w:tc>
        <w:tc>
          <w:tcPr>
            <w:tcW w:w="1758" w:type="dxa"/>
            <w:noWrap w:val="0"/>
            <w:vAlign w:val="center"/>
          </w:tcPr>
          <w:p w14:paraId="53B8E3F6">
            <w:pPr>
              <w:jc w:val="center"/>
              <w:rPr>
                <w:rFonts w:hint="eastAsia" w:ascii="宋体" w:hAnsi="宋体"/>
              </w:rPr>
            </w:pPr>
            <w:r>
              <w:rPr>
                <w:rFonts w:hint="eastAsia" w:ascii="宋体" w:hAnsi="宋体"/>
              </w:rPr>
              <w:t>350</w:t>
            </w:r>
          </w:p>
        </w:tc>
        <w:tc>
          <w:tcPr>
            <w:tcW w:w="1692" w:type="dxa"/>
            <w:noWrap w:val="0"/>
            <w:vAlign w:val="center"/>
          </w:tcPr>
          <w:p w14:paraId="5AED7240">
            <w:pPr>
              <w:rPr>
                <w:rFonts w:hint="eastAsia"/>
              </w:rPr>
            </w:pPr>
          </w:p>
        </w:tc>
      </w:tr>
      <w:tr w14:paraId="5457D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70" w:hRule="atLeast"/>
          <w:jc w:val="center"/>
        </w:trPr>
        <w:tc>
          <w:tcPr>
            <w:tcW w:w="1072" w:type="dxa"/>
            <w:noWrap w:val="0"/>
            <w:vAlign w:val="center"/>
          </w:tcPr>
          <w:p w14:paraId="56625189">
            <w:pPr>
              <w:rPr>
                <w:rFonts w:hint="eastAsia" w:ascii="宋体" w:hAnsi="宋体"/>
              </w:rPr>
            </w:pPr>
            <w:r>
              <w:rPr>
                <w:rFonts w:hint="eastAsia" w:ascii="宋体" w:hAnsi="宋体"/>
              </w:rPr>
              <w:t>18</w:t>
            </w:r>
          </w:p>
        </w:tc>
        <w:tc>
          <w:tcPr>
            <w:tcW w:w="3369" w:type="dxa"/>
            <w:noWrap w:val="0"/>
            <w:vAlign w:val="center"/>
          </w:tcPr>
          <w:p w14:paraId="69C32BC1">
            <w:pPr>
              <w:rPr>
                <w:rFonts w:hint="eastAsia" w:ascii="宋体" w:hAnsi="宋体"/>
              </w:rPr>
            </w:pPr>
            <w:r>
              <w:rPr>
                <w:rFonts w:hint="eastAsia" w:ascii="宋体" w:hAnsi="宋体"/>
              </w:rPr>
              <w:t>项目剩余建设期</w:t>
            </w:r>
          </w:p>
        </w:tc>
        <w:tc>
          <w:tcPr>
            <w:tcW w:w="1107" w:type="dxa"/>
            <w:noWrap w:val="0"/>
            <w:vAlign w:val="center"/>
          </w:tcPr>
          <w:p w14:paraId="5C1E7DDD">
            <w:pPr>
              <w:jc w:val="center"/>
              <w:rPr>
                <w:rFonts w:hint="eastAsia" w:ascii="宋体" w:hAnsi="宋体"/>
              </w:rPr>
            </w:pPr>
            <w:r>
              <w:rPr>
                <w:rFonts w:hint="eastAsia" w:ascii="宋体" w:hAnsi="宋体"/>
              </w:rPr>
              <w:t>月</w:t>
            </w:r>
          </w:p>
        </w:tc>
        <w:tc>
          <w:tcPr>
            <w:tcW w:w="1758" w:type="dxa"/>
            <w:noWrap w:val="0"/>
            <w:vAlign w:val="center"/>
          </w:tcPr>
          <w:p w14:paraId="2EFCAE77">
            <w:pPr>
              <w:jc w:val="center"/>
              <w:rPr>
                <w:rFonts w:hint="eastAsia" w:ascii="宋体" w:hAnsi="宋体"/>
              </w:rPr>
            </w:pPr>
            <w:r>
              <w:rPr>
                <w:rFonts w:hint="eastAsia" w:ascii="宋体" w:hAnsi="宋体"/>
              </w:rPr>
              <w:t>15</w:t>
            </w:r>
          </w:p>
        </w:tc>
        <w:tc>
          <w:tcPr>
            <w:tcW w:w="1692" w:type="dxa"/>
            <w:noWrap w:val="0"/>
            <w:vAlign w:val="center"/>
          </w:tcPr>
          <w:p w14:paraId="09844C81">
            <w:pPr>
              <w:rPr>
                <w:rFonts w:hint="eastAsia"/>
              </w:rPr>
            </w:pPr>
          </w:p>
        </w:tc>
      </w:tr>
    </w:tbl>
    <w:p w14:paraId="7644FE7E">
      <w:pPr>
        <w:spacing w:line="500" w:lineRule="exact"/>
        <w:ind w:firstLine="480" w:firstLineChars="200"/>
        <w:rPr>
          <w:rFonts w:hint="eastAsia" w:ascii="宋体" w:hAnsi="宋体"/>
          <w:sz w:val="24"/>
        </w:rPr>
      </w:pPr>
    </w:p>
    <w:sectPr>
      <w:pgSz w:w="11906" w:h="16838"/>
      <w:pgMar w:top="1304" w:right="1418" w:bottom="1304" w:left="1418" w:header="1134"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方正宋体_GB18030">
    <w:altName w:val="宋体"/>
    <w:panose1 w:val="00000000000000000000"/>
    <w:charset w:val="86"/>
    <w:family w:val="script"/>
    <w:pitch w:val="default"/>
    <w:sig w:usb0="00002003" w:usb1="090E0000" w:usb2="00000010" w:usb3="00000000" w:csb0="003C0041" w:csb1="00000000"/>
  </w:font>
  <w:font w:name="楷体_GB2312">
    <w:panose1 w:val="02010609030101010101"/>
    <w:charset w:val="86"/>
    <w:family w:val="modern"/>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ItalicT">
    <w:altName w:val="QIJIC"/>
    <w:panose1 w:val="00000400000000000000"/>
    <w:charset w:val="00"/>
    <w:family w:val="auto"/>
    <w:pitch w:val="default"/>
    <w:sig w:usb0="00000207" w:usb1="00000000" w:usb2="00000000"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QIJIC">
    <w:panose1 w:val="02000509000000000000"/>
    <w:charset w:val="88"/>
    <w:family w:val="auto"/>
    <w:pitch w:val="default"/>
    <w:sig w:usb0="00000000" w:usb1="0A010000" w:usb2="0000000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A2BB0">
    <w:pPr>
      <w:pStyle w:val="36"/>
      <w:framePr w:wrap="around" w:vAnchor="text" w:hAnchor="margin" w:xAlign="center" w:y="1"/>
      <w:rPr>
        <w:rStyle w:val="72"/>
      </w:rPr>
    </w:pPr>
    <w:r>
      <w:fldChar w:fldCharType="begin"/>
    </w:r>
    <w:r>
      <w:rPr>
        <w:rStyle w:val="72"/>
      </w:rPr>
      <w:instrText xml:space="preserve">PAGE  </w:instrText>
    </w:r>
    <w:r>
      <w:fldChar w:fldCharType="separate"/>
    </w:r>
    <w:r>
      <w:rPr>
        <w:rStyle w:val="72"/>
        <w:lang/>
      </w:rPr>
      <w:t>1</w:t>
    </w:r>
    <w:r>
      <w:fldChar w:fldCharType="end"/>
    </w:r>
  </w:p>
  <w:p w14:paraId="50C9BF25">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E6A3A">
    <w:pPr>
      <w:pStyle w:val="36"/>
      <w:framePr w:wrap="around" w:vAnchor="text" w:hAnchor="margin" w:xAlign="center" w:y="1"/>
      <w:rPr>
        <w:rStyle w:val="72"/>
      </w:rPr>
    </w:pPr>
    <w:r>
      <w:fldChar w:fldCharType="begin"/>
    </w:r>
    <w:r>
      <w:rPr>
        <w:rStyle w:val="72"/>
      </w:rPr>
      <w:instrText xml:space="preserve">PAGE  </w:instrText>
    </w:r>
    <w:r>
      <w:fldChar w:fldCharType="end"/>
    </w:r>
  </w:p>
  <w:p w14:paraId="40CDE3BB">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F203">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E176D">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9B3F">
    <w:pPr>
      <w:pStyle w:val="36"/>
      <w:framePr w:wrap="around" w:vAnchor="text" w:hAnchor="margin" w:xAlign="center" w:y="1"/>
      <w:rPr>
        <w:rStyle w:val="72"/>
      </w:rPr>
    </w:pPr>
    <w:r>
      <w:fldChar w:fldCharType="begin"/>
    </w:r>
    <w:r>
      <w:rPr>
        <w:rStyle w:val="72"/>
      </w:rPr>
      <w:instrText xml:space="preserve">PAGE  </w:instrText>
    </w:r>
    <w:r>
      <w:fldChar w:fldCharType="end"/>
    </w:r>
  </w:p>
  <w:p w14:paraId="5C692D05">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3F66A">
    <w:pPr>
      <w:pStyle w:val="36"/>
      <w:jc w:val="center"/>
      <w:rPr>
        <w:rFonts w:hint="eastAsia" w:ascii="宋体" w:hAnsi="宋体"/>
      </w:rPr>
    </w:pPr>
    <w:r>
      <w:rPr>
        <w:rFonts w:ascii="宋体" w:hAnsi="宋体"/>
      </w:rPr>
      <w:fldChar w:fldCharType="begin"/>
    </w:r>
    <w:r>
      <w:rPr>
        <w:rStyle w:val="72"/>
        <w:rFonts w:ascii="宋体" w:hAnsi="宋体"/>
      </w:rPr>
      <w:instrText xml:space="preserve"> PAGE </w:instrText>
    </w:r>
    <w:r>
      <w:rPr>
        <w:rFonts w:ascii="宋体" w:hAnsi="宋体"/>
      </w:rPr>
      <w:fldChar w:fldCharType="separate"/>
    </w:r>
    <w:r>
      <w:rPr>
        <w:rStyle w:val="72"/>
        <w:rFonts w:ascii="宋体" w:hAnsi="宋体"/>
        <w:lang/>
      </w:rPr>
      <w:t>5</w:t>
    </w:r>
    <w:r>
      <w:rPr>
        <w:rFonts w:ascii="宋体" w:hAnsi="宋体"/>
      </w:rPr>
      <w:fldChar w:fldCharType="end"/>
    </w:r>
    <w:r>
      <w:rPr>
        <w:rFonts w:ascii="宋体" w:hAnsi="宋体"/>
        <w:lang/>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-20320</wp:posOffset>
              </wp:positionV>
              <wp:extent cx="5283200" cy="0"/>
              <wp:effectExtent l="0" t="4445" r="0" b="5080"/>
              <wp:wrapNone/>
              <wp:docPr id="64" name="直线 10"/>
              <wp:cNvGraphicFramePr/>
              <a:graphic xmlns:a="http://schemas.openxmlformats.org/drawingml/2006/main">
                <a:graphicData uri="http://schemas.microsoft.com/office/word/2010/wordprocessingShape">
                  <wps:wsp>
                    <wps:cNvSpPr/>
                    <wps:spPr>
                      <a:xfrm>
                        <a:off x="0" y="0"/>
                        <a:ext cx="5283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0.1pt;margin-top:-1.6pt;height:0pt;width:416pt;z-index:251659264;mso-width-relative:page;mso-height-relative:page;" filled="f" stroked="t" coordsize="21600,21600" o:gfxdata="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oUx+0gAAAAYB&#10;AAAPAAAAAAAAAAEAIAAAACIAAABkcnMvZG93bnJldi54bWxQSwECFAAUAAAACACHTuJANXN3Z+gB&#10;AADdAwAADgAAAAAAAAABACAAAAAhAQAAZHJzL2Uyb0RvYy54bWxQSwUGAAAAAAYABgBZAQAAewUA&#10;AAAA&#10;">
              <v:fill on="f" focussize="0,0"/>
              <v:stroke color="#000000" joinstyle="round"/>
              <v:imagedata o:title=""/>
              <o:lock v:ext="edit" aspectratio="f"/>
            </v:lin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CFA0">
    <w:pPr>
      <w:pStyle w:val="36"/>
      <w:framePr w:wrap="around" w:vAnchor="text" w:hAnchor="margin" w:xAlign="center" w:y="1"/>
      <w:rPr>
        <w:rStyle w:val="72"/>
      </w:rPr>
    </w:pPr>
    <w:r>
      <w:fldChar w:fldCharType="begin"/>
    </w:r>
    <w:r>
      <w:rPr>
        <w:rStyle w:val="72"/>
      </w:rPr>
      <w:instrText xml:space="preserve">PAGE  </w:instrText>
    </w:r>
    <w:r>
      <w:fldChar w:fldCharType="end"/>
    </w:r>
  </w:p>
  <w:p w14:paraId="4B47B613">
    <w:pPr>
      <w:pStyle w:val="3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26B6">
    <w:pPr>
      <w:pStyle w:val="3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979FD">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D9907">
    <w:pPr>
      <w:pStyle w:val="3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5F761">
    <w:pPr>
      <w:pStyle w:val="38"/>
      <w:rPr>
        <w:rFonts w:hint="eastAsia" w:ascii="黑体" w:eastAsia="黑体"/>
      </w:rPr>
    </w:pPr>
    <w:r>
      <w:rPr>
        <w:rFonts w:hint="eastAsia" w:ascii="黑体" w:eastAsia="黑体"/>
      </w:rPr>
      <w:t>水城县玉舍大坪煤矿                                                              开采方案设计（变更）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1965CC"/>
    <w:multiLevelType w:val="multilevel"/>
    <w:tmpl w:val="211965CC"/>
    <w:lvl w:ilvl="0" w:tentative="0">
      <w:start w:val="1"/>
      <w:numFmt w:val="decimal"/>
      <w:pStyle w:val="200"/>
      <w:lvlText w:val="%1."/>
      <w:lvlJc w:val="left"/>
      <w:pPr>
        <w:tabs>
          <w:tab w:val="left" w:pos="425"/>
        </w:tabs>
        <w:ind w:left="425" w:hanging="425"/>
      </w:pPr>
      <w:rPr>
        <w:rFonts w:hint="eastAsia"/>
        <w:sz w:val="28"/>
        <w:szCs w:val="28"/>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3A93684D"/>
    <w:multiLevelType w:val="multilevel"/>
    <w:tmpl w:val="3A93684D"/>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ascii="楷体_GB2312" w:hAnsi="Times New Roman" w:eastAsia="楷体_GB2312" w:cs="Times New Roman"/>
      </w:rPr>
    </w:lvl>
    <w:lvl w:ilvl="2" w:tentative="0">
      <w:start w:val="1"/>
      <w:numFmt w:val="decimalEnclosedCircle"/>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eastAsia"/>
      </w:rPr>
    </w:lvl>
    <w:lvl w:ilvl="4" w:tentative="0">
      <w:start w:val="1"/>
      <w:numFmt w:val="decimal"/>
      <w:lvlText w:val="%5．"/>
      <w:lvlJc w:val="left"/>
      <w:pPr>
        <w:tabs>
          <w:tab w:val="left" w:pos="2400"/>
        </w:tabs>
        <w:ind w:left="2400" w:hanging="720"/>
      </w:pPr>
      <w:rPr>
        <w:rFonts w:hint="eastAsia"/>
      </w:rPr>
    </w:lvl>
    <w:lvl w:ilvl="5" w:tentative="0">
      <w:start w:val="1"/>
      <w:numFmt w:val="decimal"/>
      <w:lvlText w:val="%6)"/>
      <w:lvlJc w:val="left"/>
      <w:pPr>
        <w:tabs>
          <w:tab w:val="left" w:pos="2550"/>
        </w:tabs>
        <w:ind w:left="2550" w:hanging="450"/>
      </w:pPr>
      <w:rPr>
        <w:rFonts w:hint="default"/>
      </w:rPr>
    </w:lvl>
    <w:lvl w:ilvl="6" w:tentative="0">
      <w:start w:val="3"/>
      <w:numFmt w:val="japaneseCounting"/>
      <w:lvlText w:val="（%7）"/>
      <w:lvlJc w:val="left"/>
      <w:pPr>
        <w:tabs>
          <w:tab w:val="left" w:pos="3240"/>
        </w:tabs>
        <w:ind w:left="3240" w:hanging="720"/>
      </w:pPr>
      <w:rPr>
        <w:rFonts w:hint="default"/>
      </w:r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B164084"/>
    <w:multiLevelType w:val="multilevel"/>
    <w:tmpl w:val="4B164084"/>
    <w:lvl w:ilvl="0" w:tentative="0">
      <w:start w:val="1"/>
      <w:numFmt w:val="decimal"/>
      <w:pStyle w:val="294"/>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751B57E8"/>
    <w:multiLevelType w:val="multilevel"/>
    <w:tmpl w:val="751B57E8"/>
    <w:lvl w:ilvl="0" w:tentative="0">
      <w:start w:val="1"/>
      <w:numFmt w:val="decimal"/>
      <w:pStyle w:val="210"/>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
  <w:drawingGridVerticalSpacing w:val="31"/>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C05"/>
    <w:rsid w:val="00001184"/>
    <w:rsid w:val="00001244"/>
    <w:rsid w:val="00001A6A"/>
    <w:rsid w:val="00002D77"/>
    <w:rsid w:val="00003064"/>
    <w:rsid w:val="00003CD3"/>
    <w:rsid w:val="00003FD9"/>
    <w:rsid w:val="0000466C"/>
    <w:rsid w:val="00004C7A"/>
    <w:rsid w:val="000050A0"/>
    <w:rsid w:val="000051E6"/>
    <w:rsid w:val="000057A0"/>
    <w:rsid w:val="000058C3"/>
    <w:rsid w:val="00005E00"/>
    <w:rsid w:val="00006106"/>
    <w:rsid w:val="00006FE3"/>
    <w:rsid w:val="000106CF"/>
    <w:rsid w:val="0001087E"/>
    <w:rsid w:val="00011A61"/>
    <w:rsid w:val="00012662"/>
    <w:rsid w:val="00012EE1"/>
    <w:rsid w:val="00013801"/>
    <w:rsid w:val="00015101"/>
    <w:rsid w:val="000155EC"/>
    <w:rsid w:val="00016A9D"/>
    <w:rsid w:val="00016B0E"/>
    <w:rsid w:val="00016E76"/>
    <w:rsid w:val="00016EDC"/>
    <w:rsid w:val="00017119"/>
    <w:rsid w:val="0001782B"/>
    <w:rsid w:val="00020D9A"/>
    <w:rsid w:val="00021825"/>
    <w:rsid w:val="00021A59"/>
    <w:rsid w:val="00021E48"/>
    <w:rsid w:val="00022B70"/>
    <w:rsid w:val="00023438"/>
    <w:rsid w:val="00023752"/>
    <w:rsid w:val="000240C4"/>
    <w:rsid w:val="0002435F"/>
    <w:rsid w:val="00024C5F"/>
    <w:rsid w:val="000253A7"/>
    <w:rsid w:val="000258DB"/>
    <w:rsid w:val="00026974"/>
    <w:rsid w:val="00026B5F"/>
    <w:rsid w:val="000277D4"/>
    <w:rsid w:val="00030586"/>
    <w:rsid w:val="0003118D"/>
    <w:rsid w:val="00031388"/>
    <w:rsid w:val="0003166C"/>
    <w:rsid w:val="0003335C"/>
    <w:rsid w:val="00033F95"/>
    <w:rsid w:val="00034F8A"/>
    <w:rsid w:val="00036A47"/>
    <w:rsid w:val="00037313"/>
    <w:rsid w:val="000373A1"/>
    <w:rsid w:val="0003746C"/>
    <w:rsid w:val="000377B5"/>
    <w:rsid w:val="0004034F"/>
    <w:rsid w:val="000405A9"/>
    <w:rsid w:val="0004080E"/>
    <w:rsid w:val="00040B00"/>
    <w:rsid w:val="000411F1"/>
    <w:rsid w:val="0004173B"/>
    <w:rsid w:val="0004254A"/>
    <w:rsid w:val="00043151"/>
    <w:rsid w:val="0004326A"/>
    <w:rsid w:val="0004342B"/>
    <w:rsid w:val="00043A8F"/>
    <w:rsid w:val="00043BFB"/>
    <w:rsid w:val="00045D64"/>
    <w:rsid w:val="00046665"/>
    <w:rsid w:val="00047249"/>
    <w:rsid w:val="0004773F"/>
    <w:rsid w:val="0004778D"/>
    <w:rsid w:val="00047913"/>
    <w:rsid w:val="00047C7F"/>
    <w:rsid w:val="000507A2"/>
    <w:rsid w:val="000507AB"/>
    <w:rsid w:val="00050B2E"/>
    <w:rsid w:val="00051136"/>
    <w:rsid w:val="000513C5"/>
    <w:rsid w:val="0005147A"/>
    <w:rsid w:val="00051950"/>
    <w:rsid w:val="00052335"/>
    <w:rsid w:val="00054101"/>
    <w:rsid w:val="00054ACF"/>
    <w:rsid w:val="00054C8D"/>
    <w:rsid w:val="0005571B"/>
    <w:rsid w:val="00055840"/>
    <w:rsid w:val="00055E0C"/>
    <w:rsid w:val="00056026"/>
    <w:rsid w:val="000561DC"/>
    <w:rsid w:val="0005663F"/>
    <w:rsid w:val="00057793"/>
    <w:rsid w:val="0006012D"/>
    <w:rsid w:val="000619BB"/>
    <w:rsid w:val="0006218D"/>
    <w:rsid w:val="00062423"/>
    <w:rsid w:val="00062BDA"/>
    <w:rsid w:val="00062D3D"/>
    <w:rsid w:val="000639BC"/>
    <w:rsid w:val="000640F3"/>
    <w:rsid w:val="00064421"/>
    <w:rsid w:val="00064D52"/>
    <w:rsid w:val="00066183"/>
    <w:rsid w:val="000707A6"/>
    <w:rsid w:val="000707B6"/>
    <w:rsid w:val="00070925"/>
    <w:rsid w:val="000709C9"/>
    <w:rsid w:val="000714DA"/>
    <w:rsid w:val="000718E9"/>
    <w:rsid w:val="00071F45"/>
    <w:rsid w:val="000726A4"/>
    <w:rsid w:val="0007274A"/>
    <w:rsid w:val="00072CD3"/>
    <w:rsid w:val="00072E05"/>
    <w:rsid w:val="00073224"/>
    <w:rsid w:val="000739AC"/>
    <w:rsid w:val="00073D52"/>
    <w:rsid w:val="000744FA"/>
    <w:rsid w:val="00076BA3"/>
    <w:rsid w:val="00077745"/>
    <w:rsid w:val="00080518"/>
    <w:rsid w:val="00080C0D"/>
    <w:rsid w:val="000810D5"/>
    <w:rsid w:val="0008148D"/>
    <w:rsid w:val="000817A0"/>
    <w:rsid w:val="00081DD2"/>
    <w:rsid w:val="00082697"/>
    <w:rsid w:val="0008277A"/>
    <w:rsid w:val="00082AA3"/>
    <w:rsid w:val="00082D4B"/>
    <w:rsid w:val="00083915"/>
    <w:rsid w:val="00084A70"/>
    <w:rsid w:val="00084E16"/>
    <w:rsid w:val="000856BB"/>
    <w:rsid w:val="00085AD3"/>
    <w:rsid w:val="0008602C"/>
    <w:rsid w:val="00086873"/>
    <w:rsid w:val="00086E29"/>
    <w:rsid w:val="00087ABD"/>
    <w:rsid w:val="00087D1E"/>
    <w:rsid w:val="00090CAB"/>
    <w:rsid w:val="000912F4"/>
    <w:rsid w:val="00092976"/>
    <w:rsid w:val="00094100"/>
    <w:rsid w:val="00094827"/>
    <w:rsid w:val="00094ACD"/>
    <w:rsid w:val="00094C43"/>
    <w:rsid w:val="0009503B"/>
    <w:rsid w:val="0009523C"/>
    <w:rsid w:val="00095520"/>
    <w:rsid w:val="0009682E"/>
    <w:rsid w:val="0009769D"/>
    <w:rsid w:val="000A0149"/>
    <w:rsid w:val="000A0650"/>
    <w:rsid w:val="000A122F"/>
    <w:rsid w:val="000A1E5E"/>
    <w:rsid w:val="000A250D"/>
    <w:rsid w:val="000A2835"/>
    <w:rsid w:val="000A360B"/>
    <w:rsid w:val="000A4520"/>
    <w:rsid w:val="000A477E"/>
    <w:rsid w:val="000A494B"/>
    <w:rsid w:val="000A4F3A"/>
    <w:rsid w:val="000A515A"/>
    <w:rsid w:val="000A5506"/>
    <w:rsid w:val="000A571A"/>
    <w:rsid w:val="000A5F4A"/>
    <w:rsid w:val="000A6220"/>
    <w:rsid w:val="000A6881"/>
    <w:rsid w:val="000A6B0E"/>
    <w:rsid w:val="000A6DA5"/>
    <w:rsid w:val="000B075E"/>
    <w:rsid w:val="000B191C"/>
    <w:rsid w:val="000B1947"/>
    <w:rsid w:val="000B232E"/>
    <w:rsid w:val="000B30E5"/>
    <w:rsid w:val="000B4ED3"/>
    <w:rsid w:val="000B72F8"/>
    <w:rsid w:val="000B77A6"/>
    <w:rsid w:val="000B7AA6"/>
    <w:rsid w:val="000B7D1E"/>
    <w:rsid w:val="000C0537"/>
    <w:rsid w:val="000C0C9C"/>
    <w:rsid w:val="000C0EF7"/>
    <w:rsid w:val="000C0FA8"/>
    <w:rsid w:val="000C1BFA"/>
    <w:rsid w:val="000C2481"/>
    <w:rsid w:val="000C3BAF"/>
    <w:rsid w:val="000C55A9"/>
    <w:rsid w:val="000C55EB"/>
    <w:rsid w:val="000C66EE"/>
    <w:rsid w:val="000D08E5"/>
    <w:rsid w:val="000D0E2D"/>
    <w:rsid w:val="000D1131"/>
    <w:rsid w:val="000D1DFE"/>
    <w:rsid w:val="000D2529"/>
    <w:rsid w:val="000D2CDB"/>
    <w:rsid w:val="000D3392"/>
    <w:rsid w:val="000D34FE"/>
    <w:rsid w:val="000D3704"/>
    <w:rsid w:val="000D3D92"/>
    <w:rsid w:val="000D57F9"/>
    <w:rsid w:val="000D5D0C"/>
    <w:rsid w:val="000D61B6"/>
    <w:rsid w:val="000D713C"/>
    <w:rsid w:val="000D7871"/>
    <w:rsid w:val="000E12F5"/>
    <w:rsid w:val="000E1554"/>
    <w:rsid w:val="000E1CD0"/>
    <w:rsid w:val="000E2513"/>
    <w:rsid w:val="000E4E5A"/>
    <w:rsid w:val="000E4FBB"/>
    <w:rsid w:val="000E5D80"/>
    <w:rsid w:val="000E63BC"/>
    <w:rsid w:val="000E6DB8"/>
    <w:rsid w:val="000E7889"/>
    <w:rsid w:val="000F0572"/>
    <w:rsid w:val="000F12D2"/>
    <w:rsid w:val="000F2A5C"/>
    <w:rsid w:val="000F3EA1"/>
    <w:rsid w:val="000F41FB"/>
    <w:rsid w:val="000F421A"/>
    <w:rsid w:val="000F5566"/>
    <w:rsid w:val="000F56D4"/>
    <w:rsid w:val="000F7361"/>
    <w:rsid w:val="000F737D"/>
    <w:rsid w:val="000F7397"/>
    <w:rsid w:val="000F7B9E"/>
    <w:rsid w:val="00100061"/>
    <w:rsid w:val="00100FBC"/>
    <w:rsid w:val="001010AA"/>
    <w:rsid w:val="00102E0E"/>
    <w:rsid w:val="0010324B"/>
    <w:rsid w:val="00103487"/>
    <w:rsid w:val="0010368D"/>
    <w:rsid w:val="00103F3E"/>
    <w:rsid w:val="0010418E"/>
    <w:rsid w:val="00104BBC"/>
    <w:rsid w:val="00104E1E"/>
    <w:rsid w:val="00104E45"/>
    <w:rsid w:val="0010501A"/>
    <w:rsid w:val="00105108"/>
    <w:rsid w:val="00107D43"/>
    <w:rsid w:val="00107F46"/>
    <w:rsid w:val="00110226"/>
    <w:rsid w:val="0011031F"/>
    <w:rsid w:val="00110369"/>
    <w:rsid w:val="00111775"/>
    <w:rsid w:val="00111CB7"/>
    <w:rsid w:val="00112650"/>
    <w:rsid w:val="001127F9"/>
    <w:rsid w:val="00112D48"/>
    <w:rsid w:val="001132AA"/>
    <w:rsid w:val="001141ED"/>
    <w:rsid w:val="00114BE8"/>
    <w:rsid w:val="00114CE4"/>
    <w:rsid w:val="00114F6C"/>
    <w:rsid w:val="001150D7"/>
    <w:rsid w:val="001156B3"/>
    <w:rsid w:val="00115A33"/>
    <w:rsid w:val="00115CA6"/>
    <w:rsid w:val="00116055"/>
    <w:rsid w:val="001161D0"/>
    <w:rsid w:val="00116B65"/>
    <w:rsid w:val="00116C36"/>
    <w:rsid w:val="00116E36"/>
    <w:rsid w:val="00120768"/>
    <w:rsid w:val="001208F5"/>
    <w:rsid w:val="00120B11"/>
    <w:rsid w:val="00121AAD"/>
    <w:rsid w:val="001221E3"/>
    <w:rsid w:val="00124507"/>
    <w:rsid w:val="0012537D"/>
    <w:rsid w:val="001268D5"/>
    <w:rsid w:val="00127212"/>
    <w:rsid w:val="00131DDF"/>
    <w:rsid w:val="001322CC"/>
    <w:rsid w:val="00132780"/>
    <w:rsid w:val="0013297D"/>
    <w:rsid w:val="00132B6C"/>
    <w:rsid w:val="00133008"/>
    <w:rsid w:val="0013307B"/>
    <w:rsid w:val="001341C8"/>
    <w:rsid w:val="0013469E"/>
    <w:rsid w:val="00135B87"/>
    <w:rsid w:val="00135BA4"/>
    <w:rsid w:val="001366D4"/>
    <w:rsid w:val="00137B6E"/>
    <w:rsid w:val="00137C05"/>
    <w:rsid w:val="001407A1"/>
    <w:rsid w:val="00141722"/>
    <w:rsid w:val="00141F33"/>
    <w:rsid w:val="001424AA"/>
    <w:rsid w:val="00142876"/>
    <w:rsid w:val="00142F0B"/>
    <w:rsid w:val="00143633"/>
    <w:rsid w:val="001441D9"/>
    <w:rsid w:val="00144335"/>
    <w:rsid w:val="00145251"/>
    <w:rsid w:val="00145994"/>
    <w:rsid w:val="00146655"/>
    <w:rsid w:val="001467CC"/>
    <w:rsid w:val="00146C9A"/>
    <w:rsid w:val="0014779B"/>
    <w:rsid w:val="001477E8"/>
    <w:rsid w:val="001504BE"/>
    <w:rsid w:val="00150674"/>
    <w:rsid w:val="00150986"/>
    <w:rsid w:val="00150C00"/>
    <w:rsid w:val="0015184B"/>
    <w:rsid w:val="0015354E"/>
    <w:rsid w:val="00154F19"/>
    <w:rsid w:val="0015575A"/>
    <w:rsid w:val="00155FDF"/>
    <w:rsid w:val="0015758F"/>
    <w:rsid w:val="00160AAC"/>
    <w:rsid w:val="00161DF8"/>
    <w:rsid w:val="00162386"/>
    <w:rsid w:val="00162EE1"/>
    <w:rsid w:val="00162FF4"/>
    <w:rsid w:val="001636CB"/>
    <w:rsid w:val="00163877"/>
    <w:rsid w:val="00163A48"/>
    <w:rsid w:val="00164B2F"/>
    <w:rsid w:val="00164BB7"/>
    <w:rsid w:val="00165F4F"/>
    <w:rsid w:val="00166A5D"/>
    <w:rsid w:val="00167764"/>
    <w:rsid w:val="00170481"/>
    <w:rsid w:val="001706C0"/>
    <w:rsid w:val="00171250"/>
    <w:rsid w:val="001713E3"/>
    <w:rsid w:val="00171921"/>
    <w:rsid w:val="00171A90"/>
    <w:rsid w:val="00172738"/>
    <w:rsid w:val="001728DF"/>
    <w:rsid w:val="0017306A"/>
    <w:rsid w:val="001730A8"/>
    <w:rsid w:val="0017338E"/>
    <w:rsid w:val="00173417"/>
    <w:rsid w:val="00174F4D"/>
    <w:rsid w:val="00176192"/>
    <w:rsid w:val="001762EA"/>
    <w:rsid w:val="00176A72"/>
    <w:rsid w:val="00180279"/>
    <w:rsid w:val="00180FCB"/>
    <w:rsid w:val="00182B7C"/>
    <w:rsid w:val="00182C44"/>
    <w:rsid w:val="00183229"/>
    <w:rsid w:val="001836C1"/>
    <w:rsid w:val="0018429D"/>
    <w:rsid w:val="001842C3"/>
    <w:rsid w:val="00184CF7"/>
    <w:rsid w:val="00184E17"/>
    <w:rsid w:val="00185048"/>
    <w:rsid w:val="00185453"/>
    <w:rsid w:val="00185938"/>
    <w:rsid w:val="00185F02"/>
    <w:rsid w:val="0018766E"/>
    <w:rsid w:val="00187A0E"/>
    <w:rsid w:val="00187E11"/>
    <w:rsid w:val="00190E0B"/>
    <w:rsid w:val="001913CF"/>
    <w:rsid w:val="0019181A"/>
    <w:rsid w:val="001921B8"/>
    <w:rsid w:val="00192AA4"/>
    <w:rsid w:val="00193918"/>
    <w:rsid w:val="0019458C"/>
    <w:rsid w:val="0019470B"/>
    <w:rsid w:val="001974FA"/>
    <w:rsid w:val="0019763A"/>
    <w:rsid w:val="001A055A"/>
    <w:rsid w:val="001A0B1A"/>
    <w:rsid w:val="001A1C38"/>
    <w:rsid w:val="001A2110"/>
    <w:rsid w:val="001A4018"/>
    <w:rsid w:val="001A5204"/>
    <w:rsid w:val="001A5E6C"/>
    <w:rsid w:val="001A61A3"/>
    <w:rsid w:val="001A7224"/>
    <w:rsid w:val="001A734E"/>
    <w:rsid w:val="001A78B7"/>
    <w:rsid w:val="001A79B7"/>
    <w:rsid w:val="001B0523"/>
    <w:rsid w:val="001B057D"/>
    <w:rsid w:val="001B06EB"/>
    <w:rsid w:val="001B08F5"/>
    <w:rsid w:val="001B0D3A"/>
    <w:rsid w:val="001B0DE3"/>
    <w:rsid w:val="001B23D0"/>
    <w:rsid w:val="001B2711"/>
    <w:rsid w:val="001B3A57"/>
    <w:rsid w:val="001B3D12"/>
    <w:rsid w:val="001B3F4D"/>
    <w:rsid w:val="001B6CFE"/>
    <w:rsid w:val="001B7323"/>
    <w:rsid w:val="001B7429"/>
    <w:rsid w:val="001B7DE6"/>
    <w:rsid w:val="001C01EE"/>
    <w:rsid w:val="001C1054"/>
    <w:rsid w:val="001C1C4C"/>
    <w:rsid w:val="001C1DFD"/>
    <w:rsid w:val="001C26BF"/>
    <w:rsid w:val="001C3158"/>
    <w:rsid w:val="001C3966"/>
    <w:rsid w:val="001C41AC"/>
    <w:rsid w:val="001C7411"/>
    <w:rsid w:val="001C75D3"/>
    <w:rsid w:val="001C78B2"/>
    <w:rsid w:val="001C7F5B"/>
    <w:rsid w:val="001D017B"/>
    <w:rsid w:val="001D0A07"/>
    <w:rsid w:val="001D0A38"/>
    <w:rsid w:val="001D1F84"/>
    <w:rsid w:val="001D22B0"/>
    <w:rsid w:val="001D387C"/>
    <w:rsid w:val="001D46FE"/>
    <w:rsid w:val="001D4DBE"/>
    <w:rsid w:val="001D4DF6"/>
    <w:rsid w:val="001D4EFD"/>
    <w:rsid w:val="001D57AF"/>
    <w:rsid w:val="001D58CE"/>
    <w:rsid w:val="001D6739"/>
    <w:rsid w:val="001D6A55"/>
    <w:rsid w:val="001E0274"/>
    <w:rsid w:val="001E0CD5"/>
    <w:rsid w:val="001E23E2"/>
    <w:rsid w:val="001E27F6"/>
    <w:rsid w:val="001E326F"/>
    <w:rsid w:val="001E32FF"/>
    <w:rsid w:val="001E4231"/>
    <w:rsid w:val="001E4A4C"/>
    <w:rsid w:val="001E4A88"/>
    <w:rsid w:val="001E4DE0"/>
    <w:rsid w:val="001E4E18"/>
    <w:rsid w:val="001E4E5B"/>
    <w:rsid w:val="001E53E0"/>
    <w:rsid w:val="001E5E7A"/>
    <w:rsid w:val="001E5EE3"/>
    <w:rsid w:val="001E7AFB"/>
    <w:rsid w:val="001F08BE"/>
    <w:rsid w:val="001F0B36"/>
    <w:rsid w:val="001F1113"/>
    <w:rsid w:val="001F1426"/>
    <w:rsid w:val="001F1EF6"/>
    <w:rsid w:val="001F23DB"/>
    <w:rsid w:val="001F25FF"/>
    <w:rsid w:val="001F2618"/>
    <w:rsid w:val="001F2FBA"/>
    <w:rsid w:val="001F3754"/>
    <w:rsid w:val="001F3E06"/>
    <w:rsid w:val="001F3F42"/>
    <w:rsid w:val="001F3F6F"/>
    <w:rsid w:val="001F4190"/>
    <w:rsid w:val="001F57C7"/>
    <w:rsid w:val="001F5D2E"/>
    <w:rsid w:val="001F619F"/>
    <w:rsid w:val="001F61B1"/>
    <w:rsid w:val="001F7F16"/>
    <w:rsid w:val="00200272"/>
    <w:rsid w:val="00200936"/>
    <w:rsid w:val="00200D47"/>
    <w:rsid w:val="00201FE7"/>
    <w:rsid w:val="002023ED"/>
    <w:rsid w:val="00202E9C"/>
    <w:rsid w:val="00203E38"/>
    <w:rsid w:val="002040FB"/>
    <w:rsid w:val="00204CE3"/>
    <w:rsid w:val="00204E0C"/>
    <w:rsid w:val="00205042"/>
    <w:rsid w:val="002060C5"/>
    <w:rsid w:val="00206641"/>
    <w:rsid w:val="00206A62"/>
    <w:rsid w:val="00207225"/>
    <w:rsid w:val="0021044F"/>
    <w:rsid w:val="00210799"/>
    <w:rsid w:val="0021131B"/>
    <w:rsid w:val="00211827"/>
    <w:rsid w:val="00211EDD"/>
    <w:rsid w:val="002134C6"/>
    <w:rsid w:val="00215284"/>
    <w:rsid w:val="0021528D"/>
    <w:rsid w:val="0021622C"/>
    <w:rsid w:val="00216EE8"/>
    <w:rsid w:val="002203B3"/>
    <w:rsid w:val="002204BF"/>
    <w:rsid w:val="00220962"/>
    <w:rsid w:val="00221150"/>
    <w:rsid w:val="002213F9"/>
    <w:rsid w:val="002227AE"/>
    <w:rsid w:val="00222DB4"/>
    <w:rsid w:val="002232E1"/>
    <w:rsid w:val="002245FF"/>
    <w:rsid w:val="00224A66"/>
    <w:rsid w:val="00224CDC"/>
    <w:rsid w:val="00225002"/>
    <w:rsid w:val="00225177"/>
    <w:rsid w:val="002253BF"/>
    <w:rsid w:val="00225451"/>
    <w:rsid w:val="00227E81"/>
    <w:rsid w:val="0023325C"/>
    <w:rsid w:val="00233731"/>
    <w:rsid w:val="002345C2"/>
    <w:rsid w:val="00234AB2"/>
    <w:rsid w:val="00234E08"/>
    <w:rsid w:val="00235AA0"/>
    <w:rsid w:val="00236FB7"/>
    <w:rsid w:val="002377DE"/>
    <w:rsid w:val="00240294"/>
    <w:rsid w:val="0024073B"/>
    <w:rsid w:val="00240CB0"/>
    <w:rsid w:val="002416B0"/>
    <w:rsid w:val="002421A6"/>
    <w:rsid w:val="00243158"/>
    <w:rsid w:val="002439AC"/>
    <w:rsid w:val="002446A1"/>
    <w:rsid w:val="00246A17"/>
    <w:rsid w:val="00246AE9"/>
    <w:rsid w:val="002507B1"/>
    <w:rsid w:val="00250ABF"/>
    <w:rsid w:val="00251A14"/>
    <w:rsid w:val="00251B6B"/>
    <w:rsid w:val="0025432C"/>
    <w:rsid w:val="002543C2"/>
    <w:rsid w:val="002546E7"/>
    <w:rsid w:val="00254729"/>
    <w:rsid w:val="00254795"/>
    <w:rsid w:val="00254C26"/>
    <w:rsid w:val="00255188"/>
    <w:rsid w:val="002560E6"/>
    <w:rsid w:val="00256386"/>
    <w:rsid w:val="00257777"/>
    <w:rsid w:val="0026010F"/>
    <w:rsid w:val="00260B64"/>
    <w:rsid w:val="00261820"/>
    <w:rsid w:val="00261A2F"/>
    <w:rsid w:val="00262184"/>
    <w:rsid w:val="00263518"/>
    <w:rsid w:val="00263CDC"/>
    <w:rsid w:val="00264A81"/>
    <w:rsid w:val="00264EF8"/>
    <w:rsid w:val="0026525F"/>
    <w:rsid w:val="00270BB2"/>
    <w:rsid w:val="00271161"/>
    <w:rsid w:val="0027122C"/>
    <w:rsid w:val="0027123A"/>
    <w:rsid w:val="00271EC7"/>
    <w:rsid w:val="00273FED"/>
    <w:rsid w:val="00275214"/>
    <w:rsid w:val="00275682"/>
    <w:rsid w:val="00275E3E"/>
    <w:rsid w:val="00275E4B"/>
    <w:rsid w:val="0027636E"/>
    <w:rsid w:val="00277532"/>
    <w:rsid w:val="0027766F"/>
    <w:rsid w:val="00277694"/>
    <w:rsid w:val="00277D60"/>
    <w:rsid w:val="0028054F"/>
    <w:rsid w:val="00280620"/>
    <w:rsid w:val="00281385"/>
    <w:rsid w:val="0028268C"/>
    <w:rsid w:val="00283394"/>
    <w:rsid w:val="002865A6"/>
    <w:rsid w:val="00286E7F"/>
    <w:rsid w:val="00290B50"/>
    <w:rsid w:val="00291A80"/>
    <w:rsid w:val="00291D43"/>
    <w:rsid w:val="00292F7D"/>
    <w:rsid w:val="002939B0"/>
    <w:rsid w:val="00293BDF"/>
    <w:rsid w:val="00294C9F"/>
    <w:rsid w:val="00295086"/>
    <w:rsid w:val="002955B6"/>
    <w:rsid w:val="002958E5"/>
    <w:rsid w:val="00295AD3"/>
    <w:rsid w:val="00296044"/>
    <w:rsid w:val="0029695D"/>
    <w:rsid w:val="002969B4"/>
    <w:rsid w:val="00296CA5"/>
    <w:rsid w:val="00296E46"/>
    <w:rsid w:val="002A0149"/>
    <w:rsid w:val="002A0E90"/>
    <w:rsid w:val="002A27AD"/>
    <w:rsid w:val="002A35AD"/>
    <w:rsid w:val="002A3BD9"/>
    <w:rsid w:val="002A3DB2"/>
    <w:rsid w:val="002A4448"/>
    <w:rsid w:val="002A4752"/>
    <w:rsid w:val="002A4BFB"/>
    <w:rsid w:val="002A4CBF"/>
    <w:rsid w:val="002A4D06"/>
    <w:rsid w:val="002A4E2A"/>
    <w:rsid w:val="002A51FB"/>
    <w:rsid w:val="002A6601"/>
    <w:rsid w:val="002A66BC"/>
    <w:rsid w:val="002A6E6C"/>
    <w:rsid w:val="002A72A3"/>
    <w:rsid w:val="002A7659"/>
    <w:rsid w:val="002A7CDF"/>
    <w:rsid w:val="002B03B2"/>
    <w:rsid w:val="002B09DB"/>
    <w:rsid w:val="002B1C82"/>
    <w:rsid w:val="002B3D9B"/>
    <w:rsid w:val="002B449C"/>
    <w:rsid w:val="002B461A"/>
    <w:rsid w:val="002B5BAD"/>
    <w:rsid w:val="002B5CFC"/>
    <w:rsid w:val="002B64A2"/>
    <w:rsid w:val="002B74F5"/>
    <w:rsid w:val="002B79A5"/>
    <w:rsid w:val="002B7EED"/>
    <w:rsid w:val="002C03E1"/>
    <w:rsid w:val="002C0A9F"/>
    <w:rsid w:val="002C0C55"/>
    <w:rsid w:val="002C32A6"/>
    <w:rsid w:val="002C39E8"/>
    <w:rsid w:val="002C3DD7"/>
    <w:rsid w:val="002C3F6C"/>
    <w:rsid w:val="002C4ED4"/>
    <w:rsid w:val="002C54BD"/>
    <w:rsid w:val="002C5B03"/>
    <w:rsid w:val="002C5CBF"/>
    <w:rsid w:val="002C6FC5"/>
    <w:rsid w:val="002C721C"/>
    <w:rsid w:val="002C7CD6"/>
    <w:rsid w:val="002D048F"/>
    <w:rsid w:val="002D0561"/>
    <w:rsid w:val="002D1B3A"/>
    <w:rsid w:val="002D1E9B"/>
    <w:rsid w:val="002D1F59"/>
    <w:rsid w:val="002D34FF"/>
    <w:rsid w:val="002D3D80"/>
    <w:rsid w:val="002D432B"/>
    <w:rsid w:val="002D45E2"/>
    <w:rsid w:val="002D5302"/>
    <w:rsid w:val="002D5A74"/>
    <w:rsid w:val="002D6C89"/>
    <w:rsid w:val="002D6D84"/>
    <w:rsid w:val="002D77DA"/>
    <w:rsid w:val="002E0B44"/>
    <w:rsid w:val="002E19F5"/>
    <w:rsid w:val="002E3333"/>
    <w:rsid w:val="002E39E6"/>
    <w:rsid w:val="002E5261"/>
    <w:rsid w:val="002E6001"/>
    <w:rsid w:val="002E70A1"/>
    <w:rsid w:val="002E7E03"/>
    <w:rsid w:val="002F0848"/>
    <w:rsid w:val="002F1CA5"/>
    <w:rsid w:val="002F264A"/>
    <w:rsid w:val="002F26C6"/>
    <w:rsid w:val="002F3628"/>
    <w:rsid w:val="002F3DA2"/>
    <w:rsid w:val="002F4273"/>
    <w:rsid w:val="002F4EFD"/>
    <w:rsid w:val="002F567B"/>
    <w:rsid w:val="002F7375"/>
    <w:rsid w:val="002F7604"/>
    <w:rsid w:val="002F7E26"/>
    <w:rsid w:val="00301A85"/>
    <w:rsid w:val="003035AF"/>
    <w:rsid w:val="00304B5C"/>
    <w:rsid w:val="003060A5"/>
    <w:rsid w:val="00307961"/>
    <w:rsid w:val="00310230"/>
    <w:rsid w:val="00310731"/>
    <w:rsid w:val="0031086A"/>
    <w:rsid w:val="003109DB"/>
    <w:rsid w:val="00310D23"/>
    <w:rsid w:val="003115FE"/>
    <w:rsid w:val="0031207A"/>
    <w:rsid w:val="00313812"/>
    <w:rsid w:val="00313871"/>
    <w:rsid w:val="00314B4D"/>
    <w:rsid w:val="003152A9"/>
    <w:rsid w:val="00316718"/>
    <w:rsid w:val="00316B38"/>
    <w:rsid w:val="00316C31"/>
    <w:rsid w:val="00316F84"/>
    <w:rsid w:val="00317E5B"/>
    <w:rsid w:val="0032068F"/>
    <w:rsid w:val="003212FB"/>
    <w:rsid w:val="0032217F"/>
    <w:rsid w:val="00323BAC"/>
    <w:rsid w:val="00324328"/>
    <w:rsid w:val="0032549C"/>
    <w:rsid w:val="0032658F"/>
    <w:rsid w:val="00326825"/>
    <w:rsid w:val="00326BF1"/>
    <w:rsid w:val="00327D17"/>
    <w:rsid w:val="00331A36"/>
    <w:rsid w:val="00331E70"/>
    <w:rsid w:val="00332238"/>
    <w:rsid w:val="003326AA"/>
    <w:rsid w:val="00332BFD"/>
    <w:rsid w:val="003337A3"/>
    <w:rsid w:val="00333816"/>
    <w:rsid w:val="003341D0"/>
    <w:rsid w:val="00334515"/>
    <w:rsid w:val="00336020"/>
    <w:rsid w:val="003373DC"/>
    <w:rsid w:val="00337AE0"/>
    <w:rsid w:val="00342148"/>
    <w:rsid w:val="003421FE"/>
    <w:rsid w:val="00342FFC"/>
    <w:rsid w:val="003442BE"/>
    <w:rsid w:val="003449B8"/>
    <w:rsid w:val="00344EBD"/>
    <w:rsid w:val="003452FA"/>
    <w:rsid w:val="003460DC"/>
    <w:rsid w:val="00347E37"/>
    <w:rsid w:val="003501A3"/>
    <w:rsid w:val="003504DF"/>
    <w:rsid w:val="003507CF"/>
    <w:rsid w:val="0035197B"/>
    <w:rsid w:val="00353DAD"/>
    <w:rsid w:val="00353F82"/>
    <w:rsid w:val="00354A68"/>
    <w:rsid w:val="00354FD7"/>
    <w:rsid w:val="00355B34"/>
    <w:rsid w:val="00356AC0"/>
    <w:rsid w:val="00357540"/>
    <w:rsid w:val="00357E26"/>
    <w:rsid w:val="003603D2"/>
    <w:rsid w:val="003605D0"/>
    <w:rsid w:val="00361DF9"/>
    <w:rsid w:val="00362141"/>
    <w:rsid w:val="003623BC"/>
    <w:rsid w:val="003624A3"/>
    <w:rsid w:val="00363C65"/>
    <w:rsid w:val="00364806"/>
    <w:rsid w:val="00365A4E"/>
    <w:rsid w:val="00365FD7"/>
    <w:rsid w:val="00366194"/>
    <w:rsid w:val="0036628C"/>
    <w:rsid w:val="00366AAF"/>
    <w:rsid w:val="00366ED9"/>
    <w:rsid w:val="003711A7"/>
    <w:rsid w:val="00371A72"/>
    <w:rsid w:val="00372482"/>
    <w:rsid w:val="003727A7"/>
    <w:rsid w:val="00372DB6"/>
    <w:rsid w:val="003734FE"/>
    <w:rsid w:val="003751C3"/>
    <w:rsid w:val="003756E6"/>
    <w:rsid w:val="00375885"/>
    <w:rsid w:val="00375A4A"/>
    <w:rsid w:val="00375CAC"/>
    <w:rsid w:val="00376CCA"/>
    <w:rsid w:val="0038042D"/>
    <w:rsid w:val="00380ECD"/>
    <w:rsid w:val="0038186B"/>
    <w:rsid w:val="00381EBC"/>
    <w:rsid w:val="00382A2A"/>
    <w:rsid w:val="003834DF"/>
    <w:rsid w:val="00384A7C"/>
    <w:rsid w:val="00384E3E"/>
    <w:rsid w:val="00385196"/>
    <w:rsid w:val="0038698B"/>
    <w:rsid w:val="0038776E"/>
    <w:rsid w:val="003900C5"/>
    <w:rsid w:val="003907B3"/>
    <w:rsid w:val="0039091D"/>
    <w:rsid w:val="003921FF"/>
    <w:rsid w:val="00393CCC"/>
    <w:rsid w:val="00394E09"/>
    <w:rsid w:val="00395396"/>
    <w:rsid w:val="00396A60"/>
    <w:rsid w:val="00396BCE"/>
    <w:rsid w:val="003970BB"/>
    <w:rsid w:val="003A0CC6"/>
    <w:rsid w:val="003A0EE0"/>
    <w:rsid w:val="003A13A2"/>
    <w:rsid w:val="003A172D"/>
    <w:rsid w:val="003A175A"/>
    <w:rsid w:val="003A2048"/>
    <w:rsid w:val="003A2634"/>
    <w:rsid w:val="003A2CD1"/>
    <w:rsid w:val="003A3097"/>
    <w:rsid w:val="003A4720"/>
    <w:rsid w:val="003A493C"/>
    <w:rsid w:val="003A4B41"/>
    <w:rsid w:val="003A4EDF"/>
    <w:rsid w:val="003A5635"/>
    <w:rsid w:val="003A5997"/>
    <w:rsid w:val="003A5BD2"/>
    <w:rsid w:val="003A66A7"/>
    <w:rsid w:val="003A68BA"/>
    <w:rsid w:val="003A7B60"/>
    <w:rsid w:val="003A7F42"/>
    <w:rsid w:val="003B0556"/>
    <w:rsid w:val="003B1953"/>
    <w:rsid w:val="003B340E"/>
    <w:rsid w:val="003B3829"/>
    <w:rsid w:val="003B40E9"/>
    <w:rsid w:val="003B4223"/>
    <w:rsid w:val="003B4744"/>
    <w:rsid w:val="003B5736"/>
    <w:rsid w:val="003B6AEB"/>
    <w:rsid w:val="003B7325"/>
    <w:rsid w:val="003B778A"/>
    <w:rsid w:val="003B7AA3"/>
    <w:rsid w:val="003B7FB9"/>
    <w:rsid w:val="003B7FC3"/>
    <w:rsid w:val="003C1652"/>
    <w:rsid w:val="003C2A90"/>
    <w:rsid w:val="003C3FEF"/>
    <w:rsid w:val="003C473C"/>
    <w:rsid w:val="003C4BF9"/>
    <w:rsid w:val="003C5220"/>
    <w:rsid w:val="003C5C15"/>
    <w:rsid w:val="003C6353"/>
    <w:rsid w:val="003C76BE"/>
    <w:rsid w:val="003C7736"/>
    <w:rsid w:val="003D048B"/>
    <w:rsid w:val="003D203F"/>
    <w:rsid w:val="003D2AE3"/>
    <w:rsid w:val="003D2BEF"/>
    <w:rsid w:val="003D2C13"/>
    <w:rsid w:val="003D33B7"/>
    <w:rsid w:val="003D36FA"/>
    <w:rsid w:val="003D4966"/>
    <w:rsid w:val="003D5827"/>
    <w:rsid w:val="003D5D0D"/>
    <w:rsid w:val="003D7690"/>
    <w:rsid w:val="003E2876"/>
    <w:rsid w:val="003E2A3D"/>
    <w:rsid w:val="003E327B"/>
    <w:rsid w:val="003E3B46"/>
    <w:rsid w:val="003E4F41"/>
    <w:rsid w:val="003E6063"/>
    <w:rsid w:val="003E60BC"/>
    <w:rsid w:val="003E6478"/>
    <w:rsid w:val="003E6A27"/>
    <w:rsid w:val="003E720C"/>
    <w:rsid w:val="003E75A7"/>
    <w:rsid w:val="003F1CC5"/>
    <w:rsid w:val="003F2807"/>
    <w:rsid w:val="003F292C"/>
    <w:rsid w:val="003F2FDE"/>
    <w:rsid w:val="003F30C7"/>
    <w:rsid w:val="003F31FE"/>
    <w:rsid w:val="003F3981"/>
    <w:rsid w:val="003F3FB7"/>
    <w:rsid w:val="003F4EDC"/>
    <w:rsid w:val="003F54D1"/>
    <w:rsid w:val="003F58C7"/>
    <w:rsid w:val="003F5ADA"/>
    <w:rsid w:val="003F6212"/>
    <w:rsid w:val="003F6290"/>
    <w:rsid w:val="0040075B"/>
    <w:rsid w:val="00401B14"/>
    <w:rsid w:val="00401EF8"/>
    <w:rsid w:val="00404F47"/>
    <w:rsid w:val="004058DA"/>
    <w:rsid w:val="004059AA"/>
    <w:rsid w:val="00406BE4"/>
    <w:rsid w:val="00407D70"/>
    <w:rsid w:val="00411A06"/>
    <w:rsid w:val="00411DED"/>
    <w:rsid w:val="004138FA"/>
    <w:rsid w:val="00413C67"/>
    <w:rsid w:val="00414531"/>
    <w:rsid w:val="00414620"/>
    <w:rsid w:val="004151ED"/>
    <w:rsid w:val="00416375"/>
    <w:rsid w:val="004165B6"/>
    <w:rsid w:val="00416B81"/>
    <w:rsid w:val="00421AB5"/>
    <w:rsid w:val="0042227D"/>
    <w:rsid w:val="00422867"/>
    <w:rsid w:val="00423376"/>
    <w:rsid w:val="00423BF6"/>
    <w:rsid w:val="00424409"/>
    <w:rsid w:val="00424E4D"/>
    <w:rsid w:val="004250C8"/>
    <w:rsid w:val="004252D6"/>
    <w:rsid w:val="0042601E"/>
    <w:rsid w:val="004264DE"/>
    <w:rsid w:val="004265F5"/>
    <w:rsid w:val="00426610"/>
    <w:rsid w:val="004268B9"/>
    <w:rsid w:val="00427027"/>
    <w:rsid w:val="0042713C"/>
    <w:rsid w:val="00427A46"/>
    <w:rsid w:val="00430B99"/>
    <w:rsid w:val="00431FD2"/>
    <w:rsid w:val="004320CA"/>
    <w:rsid w:val="00433BFA"/>
    <w:rsid w:val="00434252"/>
    <w:rsid w:val="004346E0"/>
    <w:rsid w:val="004348CF"/>
    <w:rsid w:val="00434BB7"/>
    <w:rsid w:val="004354AE"/>
    <w:rsid w:val="0043649B"/>
    <w:rsid w:val="00436930"/>
    <w:rsid w:val="0043781F"/>
    <w:rsid w:val="00437B1A"/>
    <w:rsid w:val="004400E9"/>
    <w:rsid w:val="004410C1"/>
    <w:rsid w:val="00442400"/>
    <w:rsid w:val="0044289E"/>
    <w:rsid w:val="004435B5"/>
    <w:rsid w:val="00443833"/>
    <w:rsid w:val="00443853"/>
    <w:rsid w:val="00443AD0"/>
    <w:rsid w:val="00443DFB"/>
    <w:rsid w:val="004448D2"/>
    <w:rsid w:val="00445208"/>
    <w:rsid w:val="0044572F"/>
    <w:rsid w:val="00446D8C"/>
    <w:rsid w:val="00446F93"/>
    <w:rsid w:val="00447631"/>
    <w:rsid w:val="0045031F"/>
    <w:rsid w:val="0045137B"/>
    <w:rsid w:val="00451814"/>
    <w:rsid w:val="00452E2B"/>
    <w:rsid w:val="0045385E"/>
    <w:rsid w:val="0045447E"/>
    <w:rsid w:val="00455B08"/>
    <w:rsid w:val="00456063"/>
    <w:rsid w:val="00456EE5"/>
    <w:rsid w:val="00457462"/>
    <w:rsid w:val="00457B73"/>
    <w:rsid w:val="004612C9"/>
    <w:rsid w:val="0046158C"/>
    <w:rsid w:val="00461D46"/>
    <w:rsid w:val="00461FAB"/>
    <w:rsid w:val="004636FC"/>
    <w:rsid w:val="00463FAB"/>
    <w:rsid w:val="004640B7"/>
    <w:rsid w:val="004640BF"/>
    <w:rsid w:val="00464368"/>
    <w:rsid w:val="00464787"/>
    <w:rsid w:val="004647C7"/>
    <w:rsid w:val="00464F46"/>
    <w:rsid w:val="0046536C"/>
    <w:rsid w:val="00465EC6"/>
    <w:rsid w:val="0046664C"/>
    <w:rsid w:val="004666EF"/>
    <w:rsid w:val="00466961"/>
    <w:rsid w:val="004673E6"/>
    <w:rsid w:val="00467CCE"/>
    <w:rsid w:val="00471621"/>
    <w:rsid w:val="00472CFD"/>
    <w:rsid w:val="0047635A"/>
    <w:rsid w:val="00476497"/>
    <w:rsid w:val="00477201"/>
    <w:rsid w:val="00477574"/>
    <w:rsid w:val="00477940"/>
    <w:rsid w:val="00477F2F"/>
    <w:rsid w:val="004802B1"/>
    <w:rsid w:val="004802FE"/>
    <w:rsid w:val="0048034D"/>
    <w:rsid w:val="00480840"/>
    <w:rsid w:val="004808F3"/>
    <w:rsid w:val="004812B7"/>
    <w:rsid w:val="0048134C"/>
    <w:rsid w:val="00481A22"/>
    <w:rsid w:val="00481C73"/>
    <w:rsid w:val="00482523"/>
    <w:rsid w:val="00482945"/>
    <w:rsid w:val="00483EB1"/>
    <w:rsid w:val="00483FDE"/>
    <w:rsid w:val="0048511D"/>
    <w:rsid w:val="00485574"/>
    <w:rsid w:val="00486AC2"/>
    <w:rsid w:val="00487087"/>
    <w:rsid w:val="00487ED7"/>
    <w:rsid w:val="00487F4B"/>
    <w:rsid w:val="00490558"/>
    <w:rsid w:val="00490CA5"/>
    <w:rsid w:val="0049179D"/>
    <w:rsid w:val="00491939"/>
    <w:rsid w:val="00491D94"/>
    <w:rsid w:val="00491F20"/>
    <w:rsid w:val="0049201D"/>
    <w:rsid w:val="00492780"/>
    <w:rsid w:val="00492FBB"/>
    <w:rsid w:val="00493C4E"/>
    <w:rsid w:val="00494C4E"/>
    <w:rsid w:val="0049549A"/>
    <w:rsid w:val="00495571"/>
    <w:rsid w:val="00497CE0"/>
    <w:rsid w:val="004A0251"/>
    <w:rsid w:val="004A0255"/>
    <w:rsid w:val="004A029A"/>
    <w:rsid w:val="004A070C"/>
    <w:rsid w:val="004A13C5"/>
    <w:rsid w:val="004A1631"/>
    <w:rsid w:val="004A1C90"/>
    <w:rsid w:val="004A22E7"/>
    <w:rsid w:val="004A2F76"/>
    <w:rsid w:val="004A3AB8"/>
    <w:rsid w:val="004A5F7F"/>
    <w:rsid w:val="004A70B3"/>
    <w:rsid w:val="004A71B2"/>
    <w:rsid w:val="004A73B9"/>
    <w:rsid w:val="004A74E3"/>
    <w:rsid w:val="004A78B1"/>
    <w:rsid w:val="004B254B"/>
    <w:rsid w:val="004B3887"/>
    <w:rsid w:val="004B5756"/>
    <w:rsid w:val="004B6457"/>
    <w:rsid w:val="004B66FD"/>
    <w:rsid w:val="004B6786"/>
    <w:rsid w:val="004B6A51"/>
    <w:rsid w:val="004C0AF1"/>
    <w:rsid w:val="004C1B7D"/>
    <w:rsid w:val="004C1D47"/>
    <w:rsid w:val="004C2812"/>
    <w:rsid w:val="004C2B87"/>
    <w:rsid w:val="004C33B4"/>
    <w:rsid w:val="004C3C6A"/>
    <w:rsid w:val="004C49B9"/>
    <w:rsid w:val="004C5016"/>
    <w:rsid w:val="004C59B9"/>
    <w:rsid w:val="004C5C0E"/>
    <w:rsid w:val="004C616C"/>
    <w:rsid w:val="004C6CE7"/>
    <w:rsid w:val="004C7312"/>
    <w:rsid w:val="004C74C1"/>
    <w:rsid w:val="004C7555"/>
    <w:rsid w:val="004C7DC7"/>
    <w:rsid w:val="004D0715"/>
    <w:rsid w:val="004D0A70"/>
    <w:rsid w:val="004D1026"/>
    <w:rsid w:val="004D1BE8"/>
    <w:rsid w:val="004D29FB"/>
    <w:rsid w:val="004D370B"/>
    <w:rsid w:val="004D44BF"/>
    <w:rsid w:val="004D45F1"/>
    <w:rsid w:val="004D49FE"/>
    <w:rsid w:val="004D4E66"/>
    <w:rsid w:val="004D56E3"/>
    <w:rsid w:val="004D69C4"/>
    <w:rsid w:val="004D747B"/>
    <w:rsid w:val="004D7F86"/>
    <w:rsid w:val="004E0058"/>
    <w:rsid w:val="004E0165"/>
    <w:rsid w:val="004E05B2"/>
    <w:rsid w:val="004E07E1"/>
    <w:rsid w:val="004E1E48"/>
    <w:rsid w:val="004E1F26"/>
    <w:rsid w:val="004E25AF"/>
    <w:rsid w:val="004E280E"/>
    <w:rsid w:val="004E2870"/>
    <w:rsid w:val="004E2F03"/>
    <w:rsid w:val="004E4701"/>
    <w:rsid w:val="004E4735"/>
    <w:rsid w:val="004E6DE7"/>
    <w:rsid w:val="004E6F10"/>
    <w:rsid w:val="004E74F2"/>
    <w:rsid w:val="004F08B2"/>
    <w:rsid w:val="004F1CB2"/>
    <w:rsid w:val="004F1D97"/>
    <w:rsid w:val="004F36D2"/>
    <w:rsid w:val="004F3AA2"/>
    <w:rsid w:val="004F5A8F"/>
    <w:rsid w:val="004F7BE5"/>
    <w:rsid w:val="004F7DC0"/>
    <w:rsid w:val="00500C61"/>
    <w:rsid w:val="00501670"/>
    <w:rsid w:val="00501F4F"/>
    <w:rsid w:val="0050322F"/>
    <w:rsid w:val="00503893"/>
    <w:rsid w:val="0050425B"/>
    <w:rsid w:val="00504652"/>
    <w:rsid w:val="0050556B"/>
    <w:rsid w:val="005059EF"/>
    <w:rsid w:val="00506A4A"/>
    <w:rsid w:val="00510CA0"/>
    <w:rsid w:val="0051129E"/>
    <w:rsid w:val="005123C8"/>
    <w:rsid w:val="00513139"/>
    <w:rsid w:val="00514974"/>
    <w:rsid w:val="00514D22"/>
    <w:rsid w:val="00515652"/>
    <w:rsid w:val="00515E25"/>
    <w:rsid w:val="005160D8"/>
    <w:rsid w:val="005164DC"/>
    <w:rsid w:val="00516A22"/>
    <w:rsid w:val="00517128"/>
    <w:rsid w:val="00517BA1"/>
    <w:rsid w:val="00517C97"/>
    <w:rsid w:val="0052082B"/>
    <w:rsid w:val="00521813"/>
    <w:rsid w:val="00521D98"/>
    <w:rsid w:val="0052280B"/>
    <w:rsid w:val="00522872"/>
    <w:rsid w:val="00522B41"/>
    <w:rsid w:val="00524C35"/>
    <w:rsid w:val="005251AB"/>
    <w:rsid w:val="005252C5"/>
    <w:rsid w:val="00525795"/>
    <w:rsid w:val="00525B0B"/>
    <w:rsid w:val="00526A70"/>
    <w:rsid w:val="00526E81"/>
    <w:rsid w:val="00526F7F"/>
    <w:rsid w:val="0052799F"/>
    <w:rsid w:val="00527BD9"/>
    <w:rsid w:val="005307D5"/>
    <w:rsid w:val="00530B31"/>
    <w:rsid w:val="00531389"/>
    <w:rsid w:val="00532054"/>
    <w:rsid w:val="00533351"/>
    <w:rsid w:val="00533B6B"/>
    <w:rsid w:val="00534101"/>
    <w:rsid w:val="0053440E"/>
    <w:rsid w:val="00534895"/>
    <w:rsid w:val="00535112"/>
    <w:rsid w:val="00535DAF"/>
    <w:rsid w:val="005366D7"/>
    <w:rsid w:val="005369B0"/>
    <w:rsid w:val="00537344"/>
    <w:rsid w:val="00537395"/>
    <w:rsid w:val="00537877"/>
    <w:rsid w:val="00537A4C"/>
    <w:rsid w:val="00537E8D"/>
    <w:rsid w:val="00537EE5"/>
    <w:rsid w:val="00540374"/>
    <w:rsid w:val="00540687"/>
    <w:rsid w:val="005416F8"/>
    <w:rsid w:val="00542229"/>
    <w:rsid w:val="00542A7C"/>
    <w:rsid w:val="00542B5E"/>
    <w:rsid w:val="00542E88"/>
    <w:rsid w:val="00542F95"/>
    <w:rsid w:val="00543188"/>
    <w:rsid w:val="005443D9"/>
    <w:rsid w:val="005447C8"/>
    <w:rsid w:val="00544F25"/>
    <w:rsid w:val="005451C9"/>
    <w:rsid w:val="00545EC8"/>
    <w:rsid w:val="0054606F"/>
    <w:rsid w:val="005462FF"/>
    <w:rsid w:val="00546410"/>
    <w:rsid w:val="005466E9"/>
    <w:rsid w:val="005474AB"/>
    <w:rsid w:val="00550321"/>
    <w:rsid w:val="00554C69"/>
    <w:rsid w:val="005550AE"/>
    <w:rsid w:val="0055533E"/>
    <w:rsid w:val="00555A28"/>
    <w:rsid w:val="00555FF2"/>
    <w:rsid w:val="005576F9"/>
    <w:rsid w:val="0056064F"/>
    <w:rsid w:val="0056415C"/>
    <w:rsid w:val="00564A43"/>
    <w:rsid w:val="00564D9E"/>
    <w:rsid w:val="00564EE2"/>
    <w:rsid w:val="005653B8"/>
    <w:rsid w:val="0056568F"/>
    <w:rsid w:val="00565AD3"/>
    <w:rsid w:val="00565CC2"/>
    <w:rsid w:val="00566AFE"/>
    <w:rsid w:val="00566E1F"/>
    <w:rsid w:val="0056734F"/>
    <w:rsid w:val="0056743C"/>
    <w:rsid w:val="00570B77"/>
    <w:rsid w:val="005719E2"/>
    <w:rsid w:val="005720BA"/>
    <w:rsid w:val="0057301F"/>
    <w:rsid w:val="0057342D"/>
    <w:rsid w:val="00573AC6"/>
    <w:rsid w:val="00573DD9"/>
    <w:rsid w:val="00576BDC"/>
    <w:rsid w:val="00576CAC"/>
    <w:rsid w:val="00577393"/>
    <w:rsid w:val="005775CA"/>
    <w:rsid w:val="00577C0C"/>
    <w:rsid w:val="00580346"/>
    <w:rsid w:val="00580BBF"/>
    <w:rsid w:val="00580D8A"/>
    <w:rsid w:val="00581132"/>
    <w:rsid w:val="00581BCA"/>
    <w:rsid w:val="00581D01"/>
    <w:rsid w:val="0058246B"/>
    <w:rsid w:val="0058312A"/>
    <w:rsid w:val="00583189"/>
    <w:rsid w:val="00584109"/>
    <w:rsid w:val="005846AE"/>
    <w:rsid w:val="00584D75"/>
    <w:rsid w:val="00584E99"/>
    <w:rsid w:val="0058563F"/>
    <w:rsid w:val="005857B3"/>
    <w:rsid w:val="00585F0F"/>
    <w:rsid w:val="00586FA7"/>
    <w:rsid w:val="00590AF5"/>
    <w:rsid w:val="00591574"/>
    <w:rsid w:val="00591A65"/>
    <w:rsid w:val="00591BEB"/>
    <w:rsid w:val="00592177"/>
    <w:rsid w:val="00593190"/>
    <w:rsid w:val="00593A84"/>
    <w:rsid w:val="00594D42"/>
    <w:rsid w:val="005958D9"/>
    <w:rsid w:val="00595A0E"/>
    <w:rsid w:val="0059603B"/>
    <w:rsid w:val="0059698B"/>
    <w:rsid w:val="00597196"/>
    <w:rsid w:val="005A0FBB"/>
    <w:rsid w:val="005A1EA0"/>
    <w:rsid w:val="005A3852"/>
    <w:rsid w:val="005A3CEC"/>
    <w:rsid w:val="005A3DE4"/>
    <w:rsid w:val="005A3E5D"/>
    <w:rsid w:val="005A4A12"/>
    <w:rsid w:val="005A4BC4"/>
    <w:rsid w:val="005A5856"/>
    <w:rsid w:val="005A6DC9"/>
    <w:rsid w:val="005A7276"/>
    <w:rsid w:val="005A7387"/>
    <w:rsid w:val="005A7A93"/>
    <w:rsid w:val="005B0A7D"/>
    <w:rsid w:val="005B1E2B"/>
    <w:rsid w:val="005B28A8"/>
    <w:rsid w:val="005B2923"/>
    <w:rsid w:val="005B292E"/>
    <w:rsid w:val="005B2CCE"/>
    <w:rsid w:val="005B3DDF"/>
    <w:rsid w:val="005B4043"/>
    <w:rsid w:val="005B4380"/>
    <w:rsid w:val="005B449C"/>
    <w:rsid w:val="005B4A9C"/>
    <w:rsid w:val="005B4BE2"/>
    <w:rsid w:val="005B4FA0"/>
    <w:rsid w:val="005B552C"/>
    <w:rsid w:val="005B5A5D"/>
    <w:rsid w:val="005B6A67"/>
    <w:rsid w:val="005B7824"/>
    <w:rsid w:val="005B79AE"/>
    <w:rsid w:val="005B7B35"/>
    <w:rsid w:val="005B7FCF"/>
    <w:rsid w:val="005C0738"/>
    <w:rsid w:val="005C0F63"/>
    <w:rsid w:val="005C1DDF"/>
    <w:rsid w:val="005C43E9"/>
    <w:rsid w:val="005C48B4"/>
    <w:rsid w:val="005C48FF"/>
    <w:rsid w:val="005C4D82"/>
    <w:rsid w:val="005C655B"/>
    <w:rsid w:val="005C6BAA"/>
    <w:rsid w:val="005C7A74"/>
    <w:rsid w:val="005D00E4"/>
    <w:rsid w:val="005D050D"/>
    <w:rsid w:val="005D051E"/>
    <w:rsid w:val="005D0634"/>
    <w:rsid w:val="005D15C6"/>
    <w:rsid w:val="005D25AD"/>
    <w:rsid w:val="005D283C"/>
    <w:rsid w:val="005D3839"/>
    <w:rsid w:val="005D38CF"/>
    <w:rsid w:val="005D44C4"/>
    <w:rsid w:val="005D5204"/>
    <w:rsid w:val="005D5726"/>
    <w:rsid w:val="005D68CD"/>
    <w:rsid w:val="005D6B05"/>
    <w:rsid w:val="005D6F32"/>
    <w:rsid w:val="005E03CC"/>
    <w:rsid w:val="005E1015"/>
    <w:rsid w:val="005E1842"/>
    <w:rsid w:val="005E1E47"/>
    <w:rsid w:val="005E217D"/>
    <w:rsid w:val="005E253B"/>
    <w:rsid w:val="005E2E52"/>
    <w:rsid w:val="005E499B"/>
    <w:rsid w:val="005E49A1"/>
    <w:rsid w:val="005E56BE"/>
    <w:rsid w:val="005E5B8D"/>
    <w:rsid w:val="005E617A"/>
    <w:rsid w:val="005E7418"/>
    <w:rsid w:val="005E7837"/>
    <w:rsid w:val="005F042B"/>
    <w:rsid w:val="005F062D"/>
    <w:rsid w:val="005F10F9"/>
    <w:rsid w:val="005F1158"/>
    <w:rsid w:val="005F147B"/>
    <w:rsid w:val="005F14D0"/>
    <w:rsid w:val="005F30F2"/>
    <w:rsid w:val="005F3758"/>
    <w:rsid w:val="005F3F04"/>
    <w:rsid w:val="005F41E4"/>
    <w:rsid w:val="005F4995"/>
    <w:rsid w:val="005F4AAC"/>
    <w:rsid w:val="005F4F02"/>
    <w:rsid w:val="005F4F19"/>
    <w:rsid w:val="005F5AA1"/>
    <w:rsid w:val="005F5D1D"/>
    <w:rsid w:val="005F5EAD"/>
    <w:rsid w:val="005F619E"/>
    <w:rsid w:val="005F63E6"/>
    <w:rsid w:val="005F6CD9"/>
    <w:rsid w:val="005F6DF5"/>
    <w:rsid w:val="005F7A67"/>
    <w:rsid w:val="006005B0"/>
    <w:rsid w:val="00600BF1"/>
    <w:rsid w:val="00600DF2"/>
    <w:rsid w:val="00602870"/>
    <w:rsid w:val="00604B71"/>
    <w:rsid w:val="00604DAA"/>
    <w:rsid w:val="0060558D"/>
    <w:rsid w:val="00605B4B"/>
    <w:rsid w:val="0060633C"/>
    <w:rsid w:val="006079FF"/>
    <w:rsid w:val="00610058"/>
    <w:rsid w:val="00610463"/>
    <w:rsid w:val="00610B2C"/>
    <w:rsid w:val="00610E90"/>
    <w:rsid w:val="00610FC8"/>
    <w:rsid w:val="0061150B"/>
    <w:rsid w:val="0061166E"/>
    <w:rsid w:val="006117A1"/>
    <w:rsid w:val="00612659"/>
    <w:rsid w:val="00612DF7"/>
    <w:rsid w:val="00613245"/>
    <w:rsid w:val="00613743"/>
    <w:rsid w:val="00613E44"/>
    <w:rsid w:val="006149B3"/>
    <w:rsid w:val="00616AFD"/>
    <w:rsid w:val="00616E79"/>
    <w:rsid w:val="006172CC"/>
    <w:rsid w:val="00617556"/>
    <w:rsid w:val="00617855"/>
    <w:rsid w:val="00617ABE"/>
    <w:rsid w:val="006204AD"/>
    <w:rsid w:val="00620670"/>
    <w:rsid w:val="00620B01"/>
    <w:rsid w:val="00620F35"/>
    <w:rsid w:val="00621015"/>
    <w:rsid w:val="006216A7"/>
    <w:rsid w:val="0062170F"/>
    <w:rsid w:val="006217AB"/>
    <w:rsid w:val="00621823"/>
    <w:rsid w:val="00621A50"/>
    <w:rsid w:val="0062235C"/>
    <w:rsid w:val="006224C9"/>
    <w:rsid w:val="00622EF4"/>
    <w:rsid w:val="00623094"/>
    <w:rsid w:val="0062344F"/>
    <w:rsid w:val="00623EE2"/>
    <w:rsid w:val="00625C9F"/>
    <w:rsid w:val="00625D27"/>
    <w:rsid w:val="00626D80"/>
    <w:rsid w:val="00627BFB"/>
    <w:rsid w:val="00627EA6"/>
    <w:rsid w:val="006312AD"/>
    <w:rsid w:val="006315F4"/>
    <w:rsid w:val="00632405"/>
    <w:rsid w:val="00632936"/>
    <w:rsid w:val="0063313E"/>
    <w:rsid w:val="00633229"/>
    <w:rsid w:val="00633AC3"/>
    <w:rsid w:val="0063459A"/>
    <w:rsid w:val="00634743"/>
    <w:rsid w:val="00635138"/>
    <w:rsid w:val="006357E7"/>
    <w:rsid w:val="006369AC"/>
    <w:rsid w:val="00636AC3"/>
    <w:rsid w:val="00637048"/>
    <w:rsid w:val="00637306"/>
    <w:rsid w:val="00640446"/>
    <w:rsid w:val="006426BA"/>
    <w:rsid w:val="00643261"/>
    <w:rsid w:val="006436FB"/>
    <w:rsid w:val="00644049"/>
    <w:rsid w:val="00644C5A"/>
    <w:rsid w:val="00645242"/>
    <w:rsid w:val="00645420"/>
    <w:rsid w:val="0064620B"/>
    <w:rsid w:val="00646CD2"/>
    <w:rsid w:val="006475AC"/>
    <w:rsid w:val="006477F6"/>
    <w:rsid w:val="00647AE5"/>
    <w:rsid w:val="00647C57"/>
    <w:rsid w:val="006506A5"/>
    <w:rsid w:val="006507DD"/>
    <w:rsid w:val="00650CC4"/>
    <w:rsid w:val="006511F7"/>
    <w:rsid w:val="00651257"/>
    <w:rsid w:val="00651377"/>
    <w:rsid w:val="00651ED4"/>
    <w:rsid w:val="006521FC"/>
    <w:rsid w:val="00652C6C"/>
    <w:rsid w:val="0065310A"/>
    <w:rsid w:val="00653DB7"/>
    <w:rsid w:val="00653F2D"/>
    <w:rsid w:val="00654945"/>
    <w:rsid w:val="00654E8C"/>
    <w:rsid w:val="006553A2"/>
    <w:rsid w:val="00655694"/>
    <w:rsid w:val="0065585D"/>
    <w:rsid w:val="006566E9"/>
    <w:rsid w:val="0065755C"/>
    <w:rsid w:val="00657938"/>
    <w:rsid w:val="006615AA"/>
    <w:rsid w:val="00661E53"/>
    <w:rsid w:val="00661FB8"/>
    <w:rsid w:val="00662201"/>
    <w:rsid w:val="0066267D"/>
    <w:rsid w:val="00663758"/>
    <w:rsid w:val="00663809"/>
    <w:rsid w:val="006640D8"/>
    <w:rsid w:val="00664805"/>
    <w:rsid w:val="006652F7"/>
    <w:rsid w:val="00665B94"/>
    <w:rsid w:val="0066725C"/>
    <w:rsid w:val="0067189E"/>
    <w:rsid w:val="00672487"/>
    <w:rsid w:val="00673DE2"/>
    <w:rsid w:val="006744BA"/>
    <w:rsid w:val="00675672"/>
    <w:rsid w:val="00676C49"/>
    <w:rsid w:val="006770A6"/>
    <w:rsid w:val="006772AC"/>
    <w:rsid w:val="0067758F"/>
    <w:rsid w:val="00677F10"/>
    <w:rsid w:val="0068022C"/>
    <w:rsid w:val="006805DD"/>
    <w:rsid w:val="00680A3F"/>
    <w:rsid w:val="00681CCE"/>
    <w:rsid w:val="00682060"/>
    <w:rsid w:val="0068263F"/>
    <w:rsid w:val="006829B8"/>
    <w:rsid w:val="00683030"/>
    <w:rsid w:val="006831D9"/>
    <w:rsid w:val="00684EA2"/>
    <w:rsid w:val="0068540B"/>
    <w:rsid w:val="00686E89"/>
    <w:rsid w:val="00686EB4"/>
    <w:rsid w:val="0068763E"/>
    <w:rsid w:val="00690B33"/>
    <w:rsid w:val="00690D53"/>
    <w:rsid w:val="00692579"/>
    <w:rsid w:val="00692CA8"/>
    <w:rsid w:val="00692FFE"/>
    <w:rsid w:val="006933D4"/>
    <w:rsid w:val="0069435C"/>
    <w:rsid w:val="00694668"/>
    <w:rsid w:val="0069523B"/>
    <w:rsid w:val="00695F1E"/>
    <w:rsid w:val="006967CA"/>
    <w:rsid w:val="006977A8"/>
    <w:rsid w:val="006A1F1E"/>
    <w:rsid w:val="006A2809"/>
    <w:rsid w:val="006A3011"/>
    <w:rsid w:val="006A310D"/>
    <w:rsid w:val="006A4048"/>
    <w:rsid w:val="006A5C2A"/>
    <w:rsid w:val="006A6203"/>
    <w:rsid w:val="006A6FB6"/>
    <w:rsid w:val="006A7478"/>
    <w:rsid w:val="006B0F27"/>
    <w:rsid w:val="006B19F3"/>
    <w:rsid w:val="006B1B52"/>
    <w:rsid w:val="006B1E34"/>
    <w:rsid w:val="006B2174"/>
    <w:rsid w:val="006B26F6"/>
    <w:rsid w:val="006B26FB"/>
    <w:rsid w:val="006B2E81"/>
    <w:rsid w:val="006B3D5A"/>
    <w:rsid w:val="006B42A1"/>
    <w:rsid w:val="006B4497"/>
    <w:rsid w:val="006B4C15"/>
    <w:rsid w:val="006B5A67"/>
    <w:rsid w:val="006B5C6C"/>
    <w:rsid w:val="006B5F8C"/>
    <w:rsid w:val="006B63C0"/>
    <w:rsid w:val="006B72F5"/>
    <w:rsid w:val="006C1133"/>
    <w:rsid w:val="006C14C0"/>
    <w:rsid w:val="006C1B93"/>
    <w:rsid w:val="006C3F39"/>
    <w:rsid w:val="006C44DF"/>
    <w:rsid w:val="006C536B"/>
    <w:rsid w:val="006C5F4C"/>
    <w:rsid w:val="006C700B"/>
    <w:rsid w:val="006C7089"/>
    <w:rsid w:val="006D0AAA"/>
    <w:rsid w:val="006D1490"/>
    <w:rsid w:val="006D16B4"/>
    <w:rsid w:val="006D1831"/>
    <w:rsid w:val="006D1BAF"/>
    <w:rsid w:val="006D2D01"/>
    <w:rsid w:val="006D3423"/>
    <w:rsid w:val="006D3575"/>
    <w:rsid w:val="006D3EC2"/>
    <w:rsid w:val="006D6225"/>
    <w:rsid w:val="006D6503"/>
    <w:rsid w:val="006D6CE2"/>
    <w:rsid w:val="006D7E42"/>
    <w:rsid w:val="006D7EBD"/>
    <w:rsid w:val="006E0F1F"/>
    <w:rsid w:val="006E14AF"/>
    <w:rsid w:val="006E1CE4"/>
    <w:rsid w:val="006E411F"/>
    <w:rsid w:val="006E42DB"/>
    <w:rsid w:val="006E4CE4"/>
    <w:rsid w:val="006E6221"/>
    <w:rsid w:val="006E645D"/>
    <w:rsid w:val="006E6953"/>
    <w:rsid w:val="006E73DA"/>
    <w:rsid w:val="006E7774"/>
    <w:rsid w:val="006F09AC"/>
    <w:rsid w:val="006F1A3B"/>
    <w:rsid w:val="006F3A4D"/>
    <w:rsid w:val="006F3A7A"/>
    <w:rsid w:val="006F5394"/>
    <w:rsid w:val="006F5CD7"/>
    <w:rsid w:val="006F5FE2"/>
    <w:rsid w:val="006F6BCB"/>
    <w:rsid w:val="006F744A"/>
    <w:rsid w:val="006F745A"/>
    <w:rsid w:val="006F778F"/>
    <w:rsid w:val="00700CFB"/>
    <w:rsid w:val="00701061"/>
    <w:rsid w:val="00701256"/>
    <w:rsid w:val="0070194A"/>
    <w:rsid w:val="007020D5"/>
    <w:rsid w:val="00702189"/>
    <w:rsid w:val="007029E5"/>
    <w:rsid w:val="00702F59"/>
    <w:rsid w:val="00703272"/>
    <w:rsid w:val="00704B88"/>
    <w:rsid w:val="0070663E"/>
    <w:rsid w:val="007101D5"/>
    <w:rsid w:val="00711950"/>
    <w:rsid w:val="0071208A"/>
    <w:rsid w:val="00712AD0"/>
    <w:rsid w:val="00713CB7"/>
    <w:rsid w:val="0071430C"/>
    <w:rsid w:val="00715313"/>
    <w:rsid w:val="007157EA"/>
    <w:rsid w:val="007163B7"/>
    <w:rsid w:val="00717FEE"/>
    <w:rsid w:val="00720F02"/>
    <w:rsid w:val="00722D20"/>
    <w:rsid w:val="0072353B"/>
    <w:rsid w:val="007243E5"/>
    <w:rsid w:val="00724499"/>
    <w:rsid w:val="00724CB4"/>
    <w:rsid w:val="00726C96"/>
    <w:rsid w:val="00726CDE"/>
    <w:rsid w:val="007271E5"/>
    <w:rsid w:val="007302B9"/>
    <w:rsid w:val="0073100C"/>
    <w:rsid w:val="0073152E"/>
    <w:rsid w:val="0073154A"/>
    <w:rsid w:val="00732176"/>
    <w:rsid w:val="00735459"/>
    <w:rsid w:val="007357EB"/>
    <w:rsid w:val="00735C79"/>
    <w:rsid w:val="007365C4"/>
    <w:rsid w:val="00736870"/>
    <w:rsid w:val="00737764"/>
    <w:rsid w:val="00737D27"/>
    <w:rsid w:val="00737D4F"/>
    <w:rsid w:val="00737E5E"/>
    <w:rsid w:val="007405AC"/>
    <w:rsid w:val="00741A85"/>
    <w:rsid w:val="00741F62"/>
    <w:rsid w:val="007423FB"/>
    <w:rsid w:val="0074307D"/>
    <w:rsid w:val="007431C1"/>
    <w:rsid w:val="00743502"/>
    <w:rsid w:val="00743DF7"/>
    <w:rsid w:val="0074425A"/>
    <w:rsid w:val="007442E3"/>
    <w:rsid w:val="007443B8"/>
    <w:rsid w:val="007445E7"/>
    <w:rsid w:val="00744B57"/>
    <w:rsid w:val="00745CF3"/>
    <w:rsid w:val="00747785"/>
    <w:rsid w:val="007505C5"/>
    <w:rsid w:val="00750E8F"/>
    <w:rsid w:val="007513DF"/>
    <w:rsid w:val="00751579"/>
    <w:rsid w:val="00751999"/>
    <w:rsid w:val="00751E26"/>
    <w:rsid w:val="00751EA2"/>
    <w:rsid w:val="007522CC"/>
    <w:rsid w:val="00753067"/>
    <w:rsid w:val="00753251"/>
    <w:rsid w:val="00753E1C"/>
    <w:rsid w:val="00753FEC"/>
    <w:rsid w:val="00754DA7"/>
    <w:rsid w:val="0075545B"/>
    <w:rsid w:val="00755840"/>
    <w:rsid w:val="00756355"/>
    <w:rsid w:val="00756D2D"/>
    <w:rsid w:val="007577C8"/>
    <w:rsid w:val="00757BD0"/>
    <w:rsid w:val="007611DA"/>
    <w:rsid w:val="007612E1"/>
    <w:rsid w:val="0076188F"/>
    <w:rsid w:val="00762E78"/>
    <w:rsid w:val="00762F93"/>
    <w:rsid w:val="007633FA"/>
    <w:rsid w:val="00763F8F"/>
    <w:rsid w:val="00764EE1"/>
    <w:rsid w:val="00766A4C"/>
    <w:rsid w:val="00771813"/>
    <w:rsid w:val="00772565"/>
    <w:rsid w:val="007735C5"/>
    <w:rsid w:val="0077443C"/>
    <w:rsid w:val="007749CA"/>
    <w:rsid w:val="0077545D"/>
    <w:rsid w:val="007758A6"/>
    <w:rsid w:val="00775C83"/>
    <w:rsid w:val="00775E28"/>
    <w:rsid w:val="00776144"/>
    <w:rsid w:val="00777145"/>
    <w:rsid w:val="007772CF"/>
    <w:rsid w:val="00777301"/>
    <w:rsid w:val="007773DE"/>
    <w:rsid w:val="007807A4"/>
    <w:rsid w:val="00780AF1"/>
    <w:rsid w:val="007819C6"/>
    <w:rsid w:val="00782DC3"/>
    <w:rsid w:val="00783FED"/>
    <w:rsid w:val="007840DC"/>
    <w:rsid w:val="0078543E"/>
    <w:rsid w:val="00787980"/>
    <w:rsid w:val="00790BE5"/>
    <w:rsid w:val="00790C49"/>
    <w:rsid w:val="00791204"/>
    <w:rsid w:val="0079194E"/>
    <w:rsid w:val="007919E1"/>
    <w:rsid w:val="00793820"/>
    <w:rsid w:val="00794DF7"/>
    <w:rsid w:val="00794FD9"/>
    <w:rsid w:val="007951DC"/>
    <w:rsid w:val="007966EF"/>
    <w:rsid w:val="00797171"/>
    <w:rsid w:val="007A08F3"/>
    <w:rsid w:val="007A2061"/>
    <w:rsid w:val="007A27BC"/>
    <w:rsid w:val="007A4580"/>
    <w:rsid w:val="007A5189"/>
    <w:rsid w:val="007A523F"/>
    <w:rsid w:val="007A5D66"/>
    <w:rsid w:val="007A5F74"/>
    <w:rsid w:val="007A6CD9"/>
    <w:rsid w:val="007A6E6B"/>
    <w:rsid w:val="007A7295"/>
    <w:rsid w:val="007A7ACB"/>
    <w:rsid w:val="007B058F"/>
    <w:rsid w:val="007B0913"/>
    <w:rsid w:val="007B0B12"/>
    <w:rsid w:val="007B0E27"/>
    <w:rsid w:val="007B2481"/>
    <w:rsid w:val="007B24DE"/>
    <w:rsid w:val="007B4285"/>
    <w:rsid w:val="007B53B5"/>
    <w:rsid w:val="007B63E5"/>
    <w:rsid w:val="007B6D94"/>
    <w:rsid w:val="007B74E6"/>
    <w:rsid w:val="007B75D9"/>
    <w:rsid w:val="007B789D"/>
    <w:rsid w:val="007B7E27"/>
    <w:rsid w:val="007C0301"/>
    <w:rsid w:val="007C0320"/>
    <w:rsid w:val="007C0C7C"/>
    <w:rsid w:val="007C29E1"/>
    <w:rsid w:val="007C4753"/>
    <w:rsid w:val="007C4F58"/>
    <w:rsid w:val="007C5421"/>
    <w:rsid w:val="007C5723"/>
    <w:rsid w:val="007C6DDA"/>
    <w:rsid w:val="007C6E24"/>
    <w:rsid w:val="007C6E32"/>
    <w:rsid w:val="007C73C1"/>
    <w:rsid w:val="007C743E"/>
    <w:rsid w:val="007C7872"/>
    <w:rsid w:val="007D09B8"/>
    <w:rsid w:val="007D0C99"/>
    <w:rsid w:val="007D1000"/>
    <w:rsid w:val="007D1ECF"/>
    <w:rsid w:val="007D28AE"/>
    <w:rsid w:val="007D31BB"/>
    <w:rsid w:val="007D37DA"/>
    <w:rsid w:val="007D39FA"/>
    <w:rsid w:val="007D5A29"/>
    <w:rsid w:val="007D5AA6"/>
    <w:rsid w:val="007D6680"/>
    <w:rsid w:val="007D7FC3"/>
    <w:rsid w:val="007E027A"/>
    <w:rsid w:val="007E03B0"/>
    <w:rsid w:val="007E0D20"/>
    <w:rsid w:val="007E0FB5"/>
    <w:rsid w:val="007E1F65"/>
    <w:rsid w:val="007E3113"/>
    <w:rsid w:val="007E51D1"/>
    <w:rsid w:val="007E5834"/>
    <w:rsid w:val="007E5EDB"/>
    <w:rsid w:val="007E64C3"/>
    <w:rsid w:val="007E68CC"/>
    <w:rsid w:val="007E7E42"/>
    <w:rsid w:val="007F0623"/>
    <w:rsid w:val="007F0E59"/>
    <w:rsid w:val="007F1794"/>
    <w:rsid w:val="007F1E00"/>
    <w:rsid w:val="007F2458"/>
    <w:rsid w:val="007F34B8"/>
    <w:rsid w:val="007F3CFB"/>
    <w:rsid w:val="007F40C7"/>
    <w:rsid w:val="007F46FF"/>
    <w:rsid w:val="007F5BFF"/>
    <w:rsid w:val="007F6055"/>
    <w:rsid w:val="007F61AF"/>
    <w:rsid w:val="007F62E5"/>
    <w:rsid w:val="007F7714"/>
    <w:rsid w:val="00800096"/>
    <w:rsid w:val="008000FF"/>
    <w:rsid w:val="00800C08"/>
    <w:rsid w:val="008013AD"/>
    <w:rsid w:val="00801481"/>
    <w:rsid w:val="00802249"/>
    <w:rsid w:val="00802511"/>
    <w:rsid w:val="008031D8"/>
    <w:rsid w:val="008038E3"/>
    <w:rsid w:val="00805198"/>
    <w:rsid w:val="008051A9"/>
    <w:rsid w:val="00805A2B"/>
    <w:rsid w:val="0080693B"/>
    <w:rsid w:val="00806CA0"/>
    <w:rsid w:val="00806F69"/>
    <w:rsid w:val="00807988"/>
    <w:rsid w:val="008100CE"/>
    <w:rsid w:val="00812221"/>
    <w:rsid w:val="00813883"/>
    <w:rsid w:val="008146E3"/>
    <w:rsid w:val="008146EF"/>
    <w:rsid w:val="00814B97"/>
    <w:rsid w:val="00814ED3"/>
    <w:rsid w:val="00815CEC"/>
    <w:rsid w:val="00816BD1"/>
    <w:rsid w:val="0081726A"/>
    <w:rsid w:val="00817282"/>
    <w:rsid w:val="00817D1B"/>
    <w:rsid w:val="008203F8"/>
    <w:rsid w:val="008204FF"/>
    <w:rsid w:val="00820CA2"/>
    <w:rsid w:val="00821067"/>
    <w:rsid w:val="00822A92"/>
    <w:rsid w:val="008240E0"/>
    <w:rsid w:val="008251A3"/>
    <w:rsid w:val="00825B69"/>
    <w:rsid w:val="00825F57"/>
    <w:rsid w:val="008263F5"/>
    <w:rsid w:val="00826445"/>
    <w:rsid w:val="00826556"/>
    <w:rsid w:val="00827362"/>
    <w:rsid w:val="0082799B"/>
    <w:rsid w:val="00827E4F"/>
    <w:rsid w:val="008300B0"/>
    <w:rsid w:val="008308D7"/>
    <w:rsid w:val="00830AF2"/>
    <w:rsid w:val="008315C3"/>
    <w:rsid w:val="008318DC"/>
    <w:rsid w:val="00831B2A"/>
    <w:rsid w:val="008325AB"/>
    <w:rsid w:val="00832790"/>
    <w:rsid w:val="00832C56"/>
    <w:rsid w:val="00833266"/>
    <w:rsid w:val="00833553"/>
    <w:rsid w:val="008368EF"/>
    <w:rsid w:val="008369F2"/>
    <w:rsid w:val="00836BB8"/>
    <w:rsid w:val="00836CC9"/>
    <w:rsid w:val="00836D0C"/>
    <w:rsid w:val="00837716"/>
    <w:rsid w:val="00837827"/>
    <w:rsid w:val="00840200"/>
    <w:rsid w:val="008404D2"/>
    <w:rsid w:val="008412F0"/>
    <w:rsid w:val="00841DE3"/>
    <w:rsid w:val="00842104"/>
    <w:rsid w:val="0084258D"/>
    <w:rsid w:val="00842B80"/>
    <w:rsid w:val="00843FDC"/>
    <w:rsid w:val="00844154"/>
    <w:rsid w:val="008446FD"/>
    <w:rsid w:val="00845E83"/>
    <w:rsid w:val="0084605C"/>
    <w:rsid w:val="00846A6F"/>
    <w:rsid w:val="0084729F"/>
    <w:rsid w:val="00847C45"/>
    <w:rsid w:val="00850C74"/>
    <w:rsid w:val="008517E6"/>
    <w:rsid w:val="00851E67"/>
    <w:rsid w:val="008526BA"/>
    <w:rsid w:val="00852A37"/>
    <w:rsid w:val="00852AE1"/>
    <w:rsid w:val="008532E4"/>
    <w:rsid w:val="008536D5"/>
    <w:rsid w:val="008541F0"/>
    <w:rsid w:val="008542CC"/>
    <w:rsid w:val="008552E8"/>
    <w:rsid w:val="00855445"/>
    <w:rsid w:val="008564DA"/>
    <w:rsid w:val="008572E5"/>
    <w:rsid w:val="00861EA1"/>
    <w:rsid w:val="0086280C"/>
    <w:rsid w:val="00862893"/>
    <w:rsid w:val="00862C47"/>
    <w:rsid w:val="00863114"/>
    <w:rsid w:val="00863E99"/>
    <w:rsid w:val="0086439B"/>
    <w:rsid w:val="00864DB2"/>
    <w:rsid w:val="00866504"/>
    <w:rsid w:val="00874607"/>
    <w:rsid w:val="00875BAD"/>
    <w:rsid w:val="008768C1"/>
    <w:rsid w:val="00876F78"/>
    <w:rsid w:val="0087703C"/>
    <w:rsid w:val="00877470"/>
    <w:rsid w:val="008774BE"/>
    <w:rsid w:val="00877B43"/>
    <w:rsid w:val="00877DF6"/>
    <w:rsid w:val="00877E45"/>
    <w:rsid w:val="00880719"/>
    <w:rsid w:val="00880A02"/>
    <w:rsid w:val="00880A08"/>
    <w:rsid w:val="008818FF"/>
    <w:rsid w:val="0088244F"/>
    <w:rsid w:val="00882A6F"/>
    <w:rsid w:val="00883479"/>
    <w:rsid w:val="00884097"/>
    <w:rsid w:val="008840C2"/>
    <w:rsid w:val="008847A8"/>
    <w:rsid w:val="00886FA3"/>
    <w:rsid w:val="00887650"/>
    <w:rsid w:val="00891CB9"/>
    <w:rsid w:val="00892804"/>
    <w:rsid w:val="00893B19"/>
    <w:rsid w:val="0089452F"/>
    <w:rsid w:val="00894D60"/>
    <w:rsid w:val="008953DA"/>
    <w:rsid w:val="0089573F"/>
    <w:rsid w:val="00895D71"/>
    <w:rsid w:val="008962EA"/>
    <w:rsid w:val="008969D2"/>
    <w:rsid w:val="00896C9D"/>
    <w:rsid w:val="00896D01"/>
    <w:rsid w:val="00896E27"/>
    <w:rsid w:val="008971B7"/>
    <w:rsid w:val="0089726F"/>
    <w:rsid w:val="0089773F"/>
    <w:rsid w:val="008A01EA"/>
    <w:rsid w:val="008A09F3"/>
    <w:rsid w:val="008A0F17"/>
    <w:rsid w:val="008A0FB9"/>
    <w:rsid w:val="008A2375"/>
    <w:rsid w:val="008A272B"/>
    <w:rsid w:val="008A2A3C"/>
    <w:rsid w:val="008A2FAF"/>
    <w:rsid w:val="008A35F1"/>
    <w:rsid w:val="008A377D"/>
    <w:rsid w:val="008A4AB1"/>
    <w:rsid w:val="008A4C08"/>
    <w:rsid w:val="008A570F"/>
    <w:rsid w:val="008A7197"/>
    <w:rsid w:val="008A71BE"/>
    <w:rsid w:val="008A7679"/>
    <w:rsid w:val="008A76EB"/>
    <w:rsid w:val="008B206B"/>
    <w:rsid w:val="008B2137"/>
    <w:rsid w:val="008B2975"/>
    <w:rsid w:val="008B2C8A"/>
    <w:rsid w:val="008B33F9"/>
    <w:rsid w:val="008B4AEB"/>
    <w:rsid w:val="008B4DFC"/>
    <w:rsid w:val="008B5849"/>
    <w:rsid w:val="008B6034"/>
    <w:rsid w:val="008C18A1"/>
    <w:rsid w:val="008C1D68"/>
    <w:rsid w:val="008C2EAC"/>
    <w:rsid w:val="008C3CDB"/>
    <w:rsid w:val="008C52B5"/>
    <w:rsid w:val="008C5330"/>
    <w:rsid w:val="008C5D36"/>
    <w:rsid w:val="008C63C3"/>
    <w:rsid w:val="008C6807"/>
    <w:rsid w:val="008C7306"/>
    <w:rsid w:val="008C7E63"/>
    <w:rsid w:val="008D1033"/>
    <w:rsid w:val="008D11EA"/>
    <w:rsid w:val="008D3B3F"/>
    <w:rsid w:val="008D4100"/>
    <w:rsid w:val="008D4B2E"/>
    <w:rsid w:val="008D590E"/>
    <w:rsid w:val="008D5EA0"/>
    <w:rsid w:val="008D6450"/>
    <w:rsid w:val="008D6D13"/>
    <w:rsid w:val="008D740B"/>
    <w:rsid w:val="008D7AF6"/>
    <w:rsid w:val="008E166E"/>
    <w:rsid w:val="008E1812"/>
    <w:rsid w:val="008E3332"/>
    <w:rsid w:val="008E3479"/>
    <w:rsid w:val="008E6777"/>
    <w:rsid w:val="008E6C2F"/>
    <w:rsid w:val="008E779E"/>
    <w:rsid w:val="008E7B10"/>
    <w:rsid w:val="008F003C"/>
    <w:rsid w:val="008F0646"/>
    <w:rsid w:val="008F1017"/>
    <w:rsid w:val="008F28C5"/>
    <w:rsid w:val="008F2D2A"/>
    <w:rsid w:val="008F2E1E"/>
    <w:rsid w:val="008F32B3"/>
    <w:rsid w:val="008F4B28"/>
    <w:rsid w:val="008F53ED"/>
    <w:rsid w:val="008F60B0"/>
    <w:rsid w:val="008F61B7"/>
    <w:rsid w:val="008F67C1"/>
    <w:rsid w:val="008F6952"/>
    <w:rsid w:val="008F69A0"/>
    <w:rsid w:val="008F6A07"/>
    <w:rsid w:val="008F71BD"/>
    <w:rsid w:val="008F79C8"/>
    <w:rsid w:val="0090095D"/>
    <w:rsid w:val="009009E5"/>
    <w:rsid w:val="00901252"/>
    <w:rsid w:val="0090171F"/>
    <w:rsid w:val="00901EF3"/>
    <w:rsid w:val="009023B3"/>
    <w:rsid w:val="00902FE5"/>
    <w:rsid w:val="00904B2E"/>
    <w:rsid w:val="00906500"/>
    <w:rsid w:val="00907647"/>
    <w:rsid w:val="00907795"/>
    <w:rsid w:val="009109DC"/>
    <w:rsid w:val="00910B79"/>
    <w:rsid w:val="009118B7"/>
    <w:rsid w:val="00912F49"/>
    <w:rsid w:val="009130B3"/>
    <w:rsid w:val="00913229"/>
    <w:rsid w:val="009136A2"/>
    <w:rsid w:val="00913A43"/>
    <w:rsid w:val="00913C16"/>
    <w:rsid w:val="009141F7"/>
    <w:rsid w:val="009150D8"/>
    <w:rsid w:val="00915194"/>
    <w:rsid w:val="0091548D"/>
    <w:rsid w:val="0091578A"/>
    <w:rsid w:val="0091612A"/>
    <w:rsid w:val="00916E87"/>
    <w:rsid w:val="00917E93"/>
    <w:rsid w:val="00920653"/>
    <w:rsid w:val="00921394"/>
    <w:rsid w:val="0092379A"/>
    <w:rsid w:val="00923947"/>
    <w:rsid w:val="009245FD"/>
    <w:rsid w:val="00925280"/>
    <w:rsid w:val="00925870"/>
    <w:rsid w:val="00925D62"/>
    <w:rsid w:val="009267A1"/>
    <w:rsid w:val="00926CA8"/>
    <w:rsid w:val="00926FD9"/>
    <w:rsid w:val="009271AD"/>
    <w:rsid w:val="00927C1A"/>
    <w:rsid w:val="009303D3"/>
    <w:rsid w:val="0093079F"/>
    <w:rsid w:val="0093088A"/>
    <w:rsid w:val="00930C2D"/>
    <w:rsid w:val="00931595"/>
    <w:rsid w:val="00931F03"/>
    <w:rsid w:val="00932F37"/>
    <w:rsid w:val="00933575"/>
    <w:rsid w:val="00933896"/>
    <w:rsid w:val="00933BC3"/>
    <w:rsid w:val="009345DA"/>
    <w:rsid w:val="009351CB"/>
    <w:rsid w:val="00935E2D"/>
    <w:rsid w:val="00936EDE"/>
    <w:rsid w:val="009375C9"/>
    <w:rsid w:val="009377CC"/>
    <w:rsid w:val="00940856"/>
    <w:rsid w:val="0094172C"/>
    <w:rsid w:val="00941744"/>
    <w:rsid w:val="00941BE9"/>
    <w:rsid w:val="00942FEE"/>
    <w:rsid w:val="00943350"/>
    <w:rsid w:val="00943671"/>
    <w:rsid w:val="00943CE6"/>
    <w:rsid w:val="00943D5A"/>
    <w:rsid w:val="009441A1"/>
    <w:rsid w:val="00944F5C"/>
    <w:rsid w:val="00947037"/>
    <w:rsid w:val="0094783D"/>
    <w:rsid w:val="00947A94"/>
    <w:rsid w:val="00951C0A"/>
    <w:rsid w:val="00952B00"/>
    <w:rsid w:val="00952BAC"/>
    <w:rsid w:val="00952CFB"/>
    <w:rsid w:val="00953360"/>
    <w:rsid w:val="00954953"/>
    <w:rsid w:val="00954F07"/>
    <w:rsid w:val="00955239"/>
    <w:rsid w:val="00955656"/>
    <w:rsid w:val="00955BC2"/>
    <w:rsid w:val="00955F38"/>
    <w:rsid w:val="00956195"/>
    <w:rsid w:val="00957C1D"/>
    <w:rsid w:val="00963728"/>
    <w:rsid w:val="00964D3B"/>
    <w:rsid w:val="00964E00"/>
    <w:rsid w:val="0096576C"/>
    <w:rsid w:val="00966C44"/>
    <w:rsid w:val="0096758D"/>
    <w:rsid w:val="00967DE8"/>
    <w:rsid w:val="00967F2F"/>
    <w:rsid w:val="00970F71"/>
    <w:rsid w:val="00972EF7"/>
    <w:rsid w:val="00973303"/>
    <w:rsid w:val="00973C0A"/>
    <w:rsid w:val="00974860"/>
    <w:rsid w:val="00974DF5"/>
    <w:rsid w:val="00975DF7"/>
    <w:rsid w:val="00975F30"/>
    <w:rsid w:val="00975F5A"/>
    <w:rsid w:val="0097779C"/>
    <w:rsid w:val="00977A2F"/>
    <w:rsid w:val="00977D2D"/>
    <w:rsid w:val="00980148"/>
    <w:rsid w:val="00980A08"/>
    <w:rsid w:val="00980F67"/>
    <w:rsid w:val="009827CE"/>
    <w:rsid w:val="00982A3D"/>
    <w:rsid w:val="00982DD2"/>
    <w:rsid w:val="0098384F"/>
    <w:rsid w:val="00983918"/>
    <w:rsid w:val="00984F2F"/>
    <w:rsid w:val="00985CE2"/>
    <w:rsid w:val="00986176"/>
    <w:rsid w:val="0098662A"/>
    <w:rsid w:val="00987133"/>
    <w:rsid w:val="00990509"/>
    <w:rsid w:val="0099120B"/>
    <w:rsid w:val="00991ABB"/>
    <w:rsid w:val="00992CBC"/>
    <w:rsid w:val="00993BD1"/>
    <w:rsid w:val="00993D81"/>
    <w:rsid w:val="00993EDD"/>
    <w:rsid w:val="00994421"/>
    <w:rsid w:val="00995350"/>
    <w:rsid w:val="00995665"/>
    <w:rsid w:val="00997461"/>
    <w:rsid w:val="009975DE"/>
    <w:rsid w:val="00997924"/>
    <w:rsid w:val="009A005C"/>
    <w:rsid w:val="009A00EA"/>
    <w:rsid w:val="009A08C3"/>
    <w:rsid w:val="009A16B9"/>
    <w:rsid w:val="009A1B67"/>
    <w:rsid w:val="009A2715"/>
    <w:rsid w:val="009A38A2"/>
    <w:rsid w:val="009A43A5"/>
    <w:rsid w:val="009A4A8F"/>
    <w:rsid w:val="009A4D23"/>
    <w:rsid w:val="009A6DB1"/>
    <w:rsid w:val="009A7D0A"/>
    <w:rsid w:val="009B2A08"/>
    <w:rsid w:val="009B2A30"/>
    <w:rsid w:val="009B3151"/>
    <w:rsid w:val="009B3CB8"/>
    <w:rsid w:val="009B480A"/>
    <w:rsid w:val="009B6151"/>
    <w:rsid w:val="009B6D0B"/>
    <w:rsid w:val="009B72B3"/>
    <w:rsid w:val="009C04D7"/>
    <w:rsid w:val="009C08E6"/>
    <w:rsid w:val="009C1410"/>
    <w:rsid w:val="009C1424"/>
    <w:rsid w:val="009C2F22"/>
    <w:rsid w:val="009C3C0B"/>
    <w:rsid w:val="009C49C1"/>
    <w:rsid w:val="009C4A91"/>
    <w:rsid w:val="009C50FD"/>
    <w:rsid w:val="009C5307"/>
    <w:rsid w:val="009C5962"/>
    <w:rsid w:val="009C60AA"/>
    <w:rsid w:val="009C656C"/>
    <w:rsid w:val="009D0129"/>
    <w:rsid w:val="009D0604"/>
    <w:rsid w:val="009D0AB5"/>
    <w:rsid w:val="009D1E76"/>
    <w:rsid w:val="009D3AC5"/>
    <w:rsid w:val="009D3E4C"/>
    <w:rsid w:val="009D4354"/>
    <w:rsid w:val="009D4FD9"/>
    <w:rsid w:val="009D5048"/>
    <w:rsid w:val="009D5C3C"/>
    <w:rsid w:val="009D6246"/>
    <w:rsid w:val="009D6898"/>
    <w:rsid w:val="009D6E52"/>
    <w:rsid w:val="009D6FAB"/>
    <w:rsid w:val="009D7A16"/>
    <w:rsid w:val="009E04DF"/>
    <w:rsid w:val="009E0893"/>
    <w:rsid w:val="009E15BE"/>
    <w:rsid w:val="009E2398"/>
    <w:rsid w:val="009E350A"/>
    <w:rsid w:val="009E3857"/>
    <w:rsid w:val="009E42FB"/>
    <w:rsid w:val="009E4EF7"/>
    <w:rsid w:val="009E576C"/>
    <w:rsid w:val="009E5B83"/>
    <w:rsid w:val="009E63F5"/>
    <w:rsid w:val="009E6436"/>
    <w:rsid w:val="009E646D"/>
    <w:rsid w:val="009E7839"/>
    <w:rsid w:val="009E7B80"/>
    <w:rsid w:val="009E7DB4"/>
    <w:rsid w:val="009F09AD"/>
    <w:rsid w:val="009F117B"/>
    <w:rsid w:val="009F2CAD"/>
    <w:rsid w:val="009F2D1C"/>
    <w:rsid w:val="009F3202"/>
    <w:rsid w:val="009F4043"/>
    <w:rsid w:val="009F53DC"/>
    <w:rsid w:val="009F550E"/>
    <w:rsid w:val="009F5944"/>
    <w:rsid w:val="009F68C5"/>
    <w:rsid w:val="009F7468"/>
    <w:rsid w:val="009F7C87"/>
    <w:rsid w:val="00A010A1"/>
    <w:rsid w:val="00A015F5"/>
    <w:rsid w:val="00A019D9"/>
    <w:rsid w:val="00A01FE9"/>
    <w:rsid w:val="00A025B5"/>
    <w:rsid w:val="00A02EFF"/>
    <w:rsid w:val="00A02F4A"/>
    <w:rsid w:val="00A04B5C"/>
    <w:rsid w:val="00A05A70"/>
    <w:rsid w:val="00A05BDD"/>
    <w:rsid w:val="00A061D6"/>
    <w:rsid w:val="00A074C0"/>
    <w:rsid w:val="00A07F95"/>
    <w:rsid w:val="00A1077E"/>
    <w:rsid w:val="00A10C28"/>
    <w:rsid w:val="00A12A17"/>
    <w:rsid w:val="00A13AF7"/>
    <w:rsid w:val="00A14033"/>
    <w:rsid w:val="00A14282"/>
    <w:rsid w:val="00A1465E"/>
    <w:rsid w:val="00A17F1E"/>
    <w:rsid w:val="00A209DE"/>
    <w:rsid w:val="00A2127A"/>
    <w:rsid w:val="00A21987"/>
    <w:rsid w:val="00A22621"/>
    <w:rsid w:val="00A226A0"/>
    <w:rsid w:val="00A22823"/>
    <w:rsid w:val="00A22C75"/>
    <w:rsid w:val="00A232B2"/>
    <w:rsid w:val="00A23EBC"/>
    <w:rsid w:val="00A24E0C"/>
    <w:rsid w:val="00A24EB9"/>
    <w:rsid w:val="00A2506E"/>
    <w:rsid w:val="00A258BD"/>
    <w:rsid w:val="00A25A59"/>
    <w:rsid w:val="00A260DF"/>
    <w:rsid w:val="00A277A7"/>
    <w:rsid w:val="00A30147"/>
    <w:rsid w:val="00A302BD"/>
    <w:rsid w:val="00A307B5"/>
    <w:rsid w:val="00A30BDD"/>
    <w:rsid w:val="00A30E15"/>
    <w:rsid w:val="00A3161D"/>
    <w:rsid w:val="00A31F36"/>
    <w:rsid w:val="00A35013"/>
    <w:rsid w:val="00A359B9"/>
    <w:rsid w:val="00A35C5A"/>
    <w:rsid w:val="00A3694A"/>
    <w:rsid w:val="00A36D3D"/>
    <w:rsid w:val="00A37D0C"/>
    <w:rsid w:val="00A403D5"/>
    <w:rsid w:val="00A4057A"/>
    <w:rsid w:val="00A40922"/>
    <w:rsid w:val="00A40B58"/>
    <w:rsid w:val="00A4272E"/>
    <w:rsid w:val="00A452D7"/>
    <w:rsid w:val="00A46A32"/>
    <w:rsid w:val="00A474A9"/>
    <w:rsid w:val="00A47823"/>
    <w:rsid w:val="00A4792E"/>
    <w:rsid w:val="00A51B63"/>
    <w:rsid w:val="00A52108"/>
    <w:rsid w:val="00A52461"/>
    <w:rsid w:val="00A524E1"/>
    <w:rsid w:val="00A52A85"/>
    <w:rsid w:val="00A52EC3"/>
    <w:rsid w:val="00A52F4F"/>
    <w:rsid w:val="00A537E5"/>
    <w:rsid w:val="00A53B30"/>
    <w:rsid w:val="00A5413A"/>
    <w:rsid w:val="00A55323"/>
    <w:rsid w:val="00A56457"/>
    <w:rsid w:val="00A566E1"/>
    <w:rsid w:val="00A60213"/>
    <w:rsid w:val="00A61CFA"/>
    <w:rsid w:val="00A61F64"/>
    <w:rsid w:val="00A6225B"/>
    <w:rsid w:val="00A629DA"/>
    <w:rsid w:val="00A63D52"/>
    <w:rsid w:val="00A63E16"/>
    <w:rsid w:val="00A651EC"/>
    <w:rsid w:val="00A6574E"/>
    <w:rsid w:val="00A657FA"/>
    <w:rsid w:val="00A70705"/>
    <w:rsid w:val="00A71804"/>
    <w:rsid w:val="00A71F69"/>
    <w:rsid w:val="00A72C2F"/>
    <w:rsid w:val="00A733F0"/>
    <w:rsid w:val="00A73565"/>
    <w:rsid w:val="00A735CB"/>
    <w:rsid w:val="00A73953"/>
    <w:rsid w:val="00A73A15"/>
    <w:rsid w:val="00A74098"/>
    <w:rsid w:val="00A742A7"/>
    <w:rsid w:val="00A7433B"/>
    <w:rsid w:val="00A75C6A"/>
    <w:rsid w:val="00A76008"/>
    <w:rsid w:val="00A76601"/>
    <w:rsid w:val="00A766E4"/>
    <w:rsid w:val="00A774AA"/>
    <w:rsid w:val="00A80D47"/>
    <w:rsid w:val="00A810AA"/>
    <w:rsid w:val="00A81D76"/>
    <w:rsid w:val="00A81E7D"/>
    <w:rsid w:val="00A8213C"/>
    <w:rsid w:val="00A8243C"/>
    <w:rsid w:val="00A8252F"/>
    <w:rsid w:val="00A829ED"/>
    <w:rsid w:val="00A82D0D"/>
    <w:rsid w:val="00A83ADC"/>
    <w:rsid w:val="00A8419A"/>
    <w:rsid w:val="00A84AB8"/>
    <w:rsid w:val="00A84CB3"/>
    <w:rsid w:val="00A84FB1"/>
    <w:rsid w:val="00A85412"/>
    <w:rsid w:val="00A85E8A"/>
    <w:rsid w:val="00A86223"/>
    <w:rsid w:val="00A86DE9"/>
    <w:rsid w:val="00A87D6E"/>
    <w:rsid w:val="00A911A0"/>
    <w:rsid w:val="00A918C4"/>
    <w:rsid w:val="00A91E0D"/>
    <w:rsid w:val="00A92509"/>
    <w:rsid w:val="00A9272C"/>
    <w:rsid w:val="00A928D6"/>
    <w:rsid w:val="00A93880"/>
    <w:rsid w:val="00A93989"/>
    <w:rsid w:val="00A93D69"/>
    <w:rsid w:val="00A94217"/>
    <w:rsid w:val="00A955B2"/>
    <w:rsid w:val="00A95A8F"/>
    <w:rsid w:val="00A96494"/>
    <w:rsid w:val="00A974D7"/>
    <w:rsid w:val="00A9794D"/>
    <w:rsid w:val="00A97E05"/>
    <w:rsid w:val="00AA023C"/>
    <w:rsid w:val="00AA1217"/>
    <w:rsid w:val="00AA201E"/>
    <w:rsid w:val="00AA2236"/>
    <w:rsid w:val="00AA2A57"/>
    <w:rsid w:val="00AA2CCA"/>
    <w:rsid w:val="00AA339F"/>
    <w:rsid w:val="00AA41BB"/>
    <w:rsid w:val="00AA45C3"/>
    <w:rsid w:val="00AA5EE9"/>
    <w:rsid w:val="00AA6335"/>
    <w:rsid w:val="00AA6878"/>
    <w:rsid w:val="00AA69FC"/>
    <w:rsid w:val="00AA6ED9"/>
    <w:rsid w:val="00AA74DB"/>
    <w:rsid w:val="00AA7E0C"/>
    <w:rsid w:val="00AB1166"/>
    <w:rsid w:val="00AB2295"/>
    <w:rsid w:val="00AB25A6"/>
    <w:rsid w:val="00AB29A0"/>
    <w:rsid w:val="00AB2FCB"/>
    <w:rsid w:val="00AB374A"/>
    <w:rsid w:val="00AB42D8"/>
    <w:rsid w:val="00AB4BAF"/>
    <w:rsid w:val="00AB51FE"/>
    <w:rsid w:val="00AB601E"/>
    <w:rsid w:val="00AB60E2"/>
    <w:rsid w:val="00AB616D"/>
    <w:rsid w:val="00AB66DE"/>
    <w:rsid w:val="00AB66F5"/>
    <w:rsid w:val="00AB6FA7"/>
    <w:rsid w:val="00AB71C5"/>
    <w:rsid w:val="00AB7334"/>
    <w:rsid w:val="00AB7482"/>
    <w:rsid w:val="00AB7A1A"/>
    <w:rsid w:val="00AC1D4F"/>
    <w:rsid w:val="00AC2868"/>
    <w:rsid w:val="00AC3CC0"/>
    <w:rsid w:val="00AC48AC"/>
    <w:rsid w:val="00AC5694"/>
    <w:rsid w:val="00AD0FEE"/>
    <w:rsid w:val="00AD1696"/>
    <w:rsid w:val="00AD20B7"/>
    <w:rsid w:val="00AD2E10"/>
    <w:rsid w:val="00AD3361"/>
    <w:rsid w:val="00AD3433"/>
    <w:rsid w:val="00AD39EB"/>
    <w:rsid w:val="00AD4A61"/>
    <w:rsid w:val="00AD6058"/>
    <w:rsid w:val="00AD619F"/>
    <w:rsid w:val="00AD72BA"/>
    <w:rsid w:val="00AD7372"/>
    <w:rsid w:val="00AD7DD7"/>
    <w:rsid w:val="00AE0BD5"/>
    <w:rsid w:val="00AE112D"/>
    <w:rsid w:val="00AE1356"/>
    <w:rsid w:val="00AE15E4"/>
    <w:rsid w:val="00AE16CC"/>
    <w:rsid w:val="00AE1E95"/>
    <w:rsid w:val="00AE2943"/>
    <w:rsid w:val="00AE312F"/>
    <w:rsid w:val="00AE3C76"/>
    <w:rsid w:val="00AE531D"/>
    <w:rsid w:val="00AE54FF"/>
    <w:rsid w:val="00AE5BCB"/>
    <w:rsid w:val="00AE5EDB"/>
    <w:rsid w:val="00AE5FAF"/>
    <w:rsid w:val="00AE6D66"/>
    <w:rsid w:val="00AE7D9A"/>
    <w:rsid w:val="00AE7F84"/>
    <w:rsid w:val="00AF09BE"/>
    <w:rsid w:val="00AF0B4C"/>
    <w:rsid w:val="00AF1019"/>
    <w:rsid w:val="00AF129C"/>
    <w:rsid w:val="00AF1974"/>
    <w:rsid w:val="00AF21D8"/>
    <w:rsid w:val="00AF594B"/>
    <w:rsid w:val="00AF5E6E"/>
    <w:rsid w:val="00AF63C6"/>
    <w:rsid w:val="00AF6B04"/>
    <w:rsid w:val="00AF77C5"/>
    <w:rsid w:val="00B014B6"/>
    <w:rsid w:val="00B017E3"/>
    <w:rsid w:val="00B01E6A"/>
    <w:rsid w:val="00B02B43"/>
    <w:rsid w:val="00B02D07"/>
    <w:rsid w:val="00B03952"/>
    <w:rsid w:val="00B03B58"/>
    <w:rsid w:val="00B06D01"/>
    <w:rsid w:val="00B06ED5"/>
    <w:rsid w:val="00B07F38"/>
    <w:rsid w:val="00B108F7"/>
    <w:rsid w:val="00B10D93"/>
    <w:rsid w:val="00B10F33"/>
    <w:rsid w:val="00B11A1E"/>
    <w:rsid w:val="00B12133"/>
    <w:rsid w:val="00B126ED"/>
    <w:rsid w:val="00B12802"/>
    <w:rsid w:val="00B13C9C"/>
    <w:rsid w:val="00B13E4E"/>
    <w:rsid w:val="00B15B87"/>
    <w:rsid w:val="00B16516"/>
    <w:rsid w:val="00B16E29"/>
    <w:rsid w:val="00B16F31"/>
    <w:rsid w:val="00B170EF"/>
    <w:rsid w:val="00B1733A"/>
    <w:rsid w:val="00B17AAA"/>
    <w:rsid w:val="00B2022F"/>
    <w:rsid w:val="00B208FF"/>
    <w:rsid w:val="00B20D92"/>
    <w:rsid w:val="00B21200"/>
    <w:rsid w:val="00B22715"/>
    <w:rsid w:val="00B23B47"/>
    <w:rsid w:val="00B2424F"/>
    <w:rsid w:val="00B2438D"/>
    <w:rsid w:val="00B2467B"/>
    <w:rsid w:val="00B256F6"/>
    <w:rsid w:val="00B26250"/>
    <w:rsid w:val="00B26B71"/>
    <w:rsid w:val="00B2786C"/>
    <w:rsid w:val="00B30D31"/>
    <w:rsid w:val="00B314A4"/>
    <w:rsid w:val="00B32062"/>
    <w:rsid w:val="00B32F9D"/>
    <w:rsid w:val="00B3302C"/>
    <w:rsid w:val="00B3313E"/>
    <w:rsid w:val="00B33576"/>
    <w:rsid w:val="00B33C17"/>
    <w:rsid w:val="00B34DBD"/>
    <w:rsid w:val="00B35C49"/>
    <w:rsid w:val="00B3633F"/>
    <w:rsid w:val="00B36D43"/>
    <w:rsid w:val="00B37F84"/>
    <w:rsid w:val="00B4048E"/>
    <w:rsid w:val="00B409BF"/>
    <w:rsid w:val="00B40BD0"/>
    <w:rsid w:val="00B41204"/>
    <w:rsid w:val="00B42337"/>
    <w:rsid w:val="00B431F4"/>
    <w:rsid w:val="00B4342A"/>
    <w:rsid w:val="00B45E24"/>
    <w:rsid w:val="00B46302"/>
    <w:rsid w:val="00B46A92"/>
    <w:rsid w:val="00B46B0B"/>
    <w:rsid w:val="00B500D8"/>
    <w:rsid w:val="00B50D8B"/>
    <w:rsid w:val="00B50F42"/>
    <w:rsid w:val="00B53127"/>
    <w:rsid w:val="00B53348"/>
    <w:rsid w:val="00B536AE"/>
    <w:rsid w:val="00B54E74"/>
    <w:rsid w:val="00B55E1E"/>
    <w:rsid w:val="00B56CF6"/>
    <w:rsid w:val="00B57553"/>
    <w:rsid w:val="00B577ED"/>
    <w:rsid w:val="00B6076C"/>
    <w:rsid w:val="00B62435"/>
    <w:rsid w:val="00B62C6D"/>
    <w:rsid w:val="00B63098"/>
    <w:rsid w:val="00B631D7"/>
    <w:rsid w:val="00B632A0"/>
    <w:rsid w:val="00B644BB"/>
    <w:rsid w:val="00B64ABC"/>
    <w:rsid w:val="00B6520D"/>
    <w:rsid w:val="00B6523F"/>
    <w:rsid w:val="00B65960"/>
    <w:rsid w:val="00B675A5"/>
    <w:rsid w:val="00B71558"/>
    <w:rsid w:val="00B7162A"/>
    <w:rsid w:val="00B718C6"/>
    <w:rsid w:val="00B71CCA"/>
    <w:rsid w:val="00B71D82"/>
    <w:rsid w:val="00B733A2"/>
    <w:rsid w:val="00B73D0E"/>
    <w:rsid w:val="00B7506D"/>
    <w:rsid w:val="00B75A47"/>
    <w:rsid w:val="00B7628C"/>
    <w:rsid w:val="00B764DF"/>
    <w:rsid w:val="00B76859"/>
    <w:rsid w:val="00B76DE2"/>
    <w:rsid w:val="00B771B7"/>
    <w:rsid w:val="00B778E7"/>
    <w:rsid w:val="00B82020"/>
    <w:rsid w:val="00B82274"/>
    <w:rsid w:val="00B82373"/>
    <w:rsid w:val="00B8270D"/>
    <w:rsid w:val="00B82D62"/>
    <w:rsid w:val="00B83A6B"/>
    <w:rsid w:val="00B83D2A"/>
    <w:rsid w:val="00B8487F"/>
    <w:rsid w:val="00B84957"/>
    <w:rsid w:val="00B85090"/>
    <w:rsid w:val="00B855F1"/>
    <w:rsid w:val="00B85E7D"/>
    <w:rsid w:val="00B86996"/>
    <w:rsid w:val="00B87907"/>
    <w:rsid w:val="00B87E2B"/>
    <w:rsid w:val="00B9002D"/>
    <w:rsid w:val="00B913B6"/>
    <w:rsid w:val="00B93EEF"/>
    <w:rsid w:val="00B95EC9"/>
    <w:rsid w:val="00B9697B"/>
    <w:rsid w:val="00B97F70"/>
    <w:rsid w:val="00BA0B5A"/>
    <w:rsid w:val="00BA1F6B"/>
    <w:rsid w:val="00BA4767"/>
    <w:rsid w:val="00BA5106"/>
    <w:rsid w:val="00BA5179"/>
    <w:rsid w:val="00BA5EA8"/>
    <w:rsid w:val="00BA6733"/>
    <w:rsid w:val="00BA7363"/>
    <w:rsid w:val="00BB239D"/>
    <w:rsid w:val="00BB4035"/>
    <w:rsid w:val="00BB5367"/>
    <w:rsid w:val="00BB6339"/>
    <w:rsid w:val="00BB6603"/>
    <w:rsid w:val="00BB67CB"/>
    <w:rsid w:val="00BB7EC4"/>
    <w:rsid w:val="00BC0B4C"/>
    <w:rsid w:val="00BC0DCA"/>
    <w:rsid w:val="00BC109E"/>
    <w:rsid w:val="00BC18C3"/>
    <w:rsid w:val="00BC322E"/>
    <w:rsid w:val="00BC3E72"/>
    <w:rsid w:val="00BC4621"/>
    <w:rsid w:val="00BC4E1E"/>
    <w:rsid w:val="00BC564C"/>
    <w:rsid w:val="00BC6440"/>
    <w:rsid w:val="00BC681E"/>
    <w:rsid w:val="00BC716C"/>
    <w:rsid w:val="00BD0D1B"/>
    <w:rsid w:val="00BD1233"/>
    <w:rsid w:val="00BD13ED"/>
    <w:rsid w:val="00BD16F9"/>
    <w:rsid w:val="00BD1C69"/>
    <w:rsid w:val="00BD217E"/>
    <w:rsid w:val="00BD2499"/>
    <w:rsid w:val="00BD310F"/>
    <w:rsid w:val="00BD488B"/>
    <w:rsid w:val="00BD4C52"/>
    <w:rsid w:val="00BD54BC"/>
    <w:rsid w:val="00BD558B"/>
    <w:rsid w:val="00BD57BE"/>
    <w:rsid w:val="00BD5DB0"/>
    <w:rsid w:val="00BD648A"/>
    <w:rsid w:val="00BD6E03"/>
    <w:rsid w:val="00BD725D"/>
    <w:rsid w:val="00BD75FA"/>
    <w:rsid w:val="00BD7A96"/>
    <w:rsid w:val="00BD7C95"/>
    <w:rsid w:val="00BE1241"/>
    <w:rsid w:val="00BE26D3"/>
    <w:rsid w:val="00BE2F5E"/>
    <w:rsid w:val="00BE30D4"/>
    <w:rsid w:val="00BE4E06"/>
    <w:rsid w:val="00BE50C3"/>
    <w:rsid w:val="00BE5C68"/>
    <w:rsid w:val="00BE6A90"/>
    <w:rsid w:val="00BE70A2"/>
    <w:rsid w:val="00BE72F9"/>
    <w:rsid w:val="00BF0201"/>
    <w:rsid w:val="00BF09D2"/>
    <w:rsid w:val="00BF1260"/>
    <w:rsid w:val="00BF237C"/>
    <w:rsid w:val="00BF2D5A"/>
    <w:rsid w:val="00BF30C3"/>
    <w:rsid w:val="00BF4197"/>
    <w:rsid w:val="00BF4D27"/>
    <w:rsid w:val="00BF4D9A"/>
    <w:rsid w:val="00BF515C"/>
    <w:rsid w:val="00BF51C6"/>
    <w:rsid w:val="00BF635B"/>
    <w:rsid w:val="00BF6996"/>
    <w:rsid w:val="00BF7BE3"/>
    <w:rsid w:val="00BF7C46"/>
    <w:rsid w:val="00C00481"/>
    <w:rsid w:val="00C0048B"/>
    <w:rsid w:val="00C01815"/>
    <w:rsid w:val="00C01E6D"/>
    <w:rsid w:val="00C028F6"/>
    <w:rsid w:val="00C03103"/>
    <w:rsid w:val="00C04F13"/>
    <w:rsid w:val="00C05CEF"/>
    <w:rsid w:val="00C06286"/>
    <w:rsid w:val="00C07D2B"/>
    <w:rsid w:val="00C10976"/>
    <w:rsid w:val="00C115A4"/>
    <w:rsid w:val="00C11B52"/>
    <w:rsid w:val="00C11C1C"/>
    <w:rsid w:val="00C12711"/>
    <w:rsid w:val="00C12818"/>
    <w:rsid w:val="00C1291D"/>
    <w:rsid w:val="00C13D84"/>
    <w:rsid w:val="00C14391"/>
    <w:rsid w:val="00C14D74"/>
    <w:rsid w:val="00C14E76"/>
    <w:rsid w:val="00C15793"/>
    <w:rsid w:val="00C15867"/>
    <w:rsid w:val="00C175CC"/>
    <w:rsid w:val="00C1762A"/>
    <w:rsid w:val="00C17797"/>
    <w:rsid w:val="00C2017F"/>
    <w:rsid w:val="00C2063C"/>
    <w:rsid w:val="00C2183D"/>
    <w:rsid w:val="00C21AF4"/>
    <w:rsid w:val="00C22957"/>
    <w:rsid w:val="00C22B20"/>
    <w:rsid w:val="00C23A90"/>
    <w:rsid w:val="00C23B33"/>
    <w:rsid w:val="00C24D44"/>
    <w:rsid w:val="00C25493"/>
    <w:rsid w:val="00C25E4C"/>
    <w:rsid w:val="00C2634F"/>
    <w:rsid w:val="00C278B2"/>
    <w:rsid w:val="00C27ED8"/>
    <w:rsid w:val="00C300E2"/>
    <w:rsid w:val="00C32259"/>
    <w:rsid w:val="00C32266"/>
    <w:rsid w:val="00C32876"/>
    <w:rsid w:val="00C33A18"/>
    <w:rsid w:val="00C344BE"/>
    <w:rsid w:val="00C34AFD"/>
    <w:rsid w:val="00C36310"/>
    <w:rsid w:val="00C417A0"/>
    <w:rsid w:val="00C41B32"/>
    <w:rsid w:val="00C42730"/>
    <w:rsid w:val="00C42EDB"/>
    <w:rsid w:val="00C43019"/>
    <w:rsid w:val="00C43022"/>
    <w:rsid w:val="00C432D0"/>
    <w:rsid w:val="00C448F5"/>
    <w:rsid w:val="00C453AF"/>
    <w:rsid w:val="00C462AD"/>
    <w:rsid w:val="00C46724"/>
    <w:rsid w:val="00C46D70"/>
    <w:rsid w:val="00C47DEB"/>
    <w:rsid w:val="00C50788"/>
    <w:rsid w:val="00C50FDB"/>
    <w:rsid w:val="00C51775"/>
    <w:rsid w:val="00C51795"/>
    <w:rsid w:val="00C51E21"/>
    <w:rsid w:val="00C52A76"/>
    <w:rsid w:val="00C55E79"/>
    <w:rsid w:val="00C5664B"/>
    <w:rsid w:val="00C5665E"/>
    <w:rsid w:val="00C568DB"/>
    <w:rsid w:val="00C60272"/>
    <w:rsid w:val="00C60975"/>
    <w:rsid w:val="00C60CB9"/>
    <w:rsid w:val="00C61E20"/>
    <w:rsid w:val="00C622FF"/>
    <w:rsid w:val="00C625D2"/>
    <w:rsid w:val="00C63A0F"/>
    <w:rsid w:val="00C65AD0"/>
    <w:rsid w:val="00C663D4"/>
    <w:rsid w:val="00C664BB"/>
    <w:rsid w:val="00C66584"/>
    <w:rsid w:val="00C66724"/>
    <w:rsid w:val="00C66E57"/>
    <w:rsid w:val="00C67005"/>
    <w:rsid w:val="00C674FB"/>
    <w:rsid w:val="00C67816"/>
    <w:rsid w:val="00C70367"/>
    <w:rsid w:val="00C70634"/>
    <w:rsid w:val="00C7109B"/>
    <w:rsid w:val="00C71CAB"/>
    <w:rsid w:val="00C725DF"/>
    <w:rsid w:val="00C7277F"/>
    <w:rsid w:val="00C72AE4"/>
    <w:rsid w:val="00C73443"/>
    <w:rsid w:val="00C756EF"/>
    <w:rsid w:val="00C75C5B"/>
    <w:rsid w:val="00C765B2"/>
    <w:rsid w:val="00C7678B"/>
    <w:rsid w:val="00C76B46"/>
    <w:rsid w:val="00C76E9A"/>
    <w:rsid w:val="00C77A38"/>
    <w:rsid w:val="00C81391"/>
    <w:rsid w:val="00C829AB"/>
    <w:rsid w:val="00C836F8"/>
    <w:rsid w:val="00C83859"/>
    <w:rsid w:val="00C83DE2"/>
    <w:rsid w:val="00C85370"/>
    <w:rsid w:val="00C85760"/>
    <w:rsid w:val="00C87C3B"/>
    <w:rsid w:val="00C9012F"/>
    <w:rsid w:val="00C906A4"/>
    <w:rsid w:val="00C91DFD"/>
    <w:rsid w:val="00C93692"/>
    <w:rsid w:val="00C93829"/>
    <w:rsid w:val="00C93FCF"/>
    <w:rsid w:val="00C94BA0"/>
    <w:rsid w:val="00C9541C"/>
    <w:rsid w:val="00C95501"/>
    <w:rsid w:val="00C95C98"/>
    <w:rsid w:val="00C95EBF"/>
    <w:rsid w:val="00C96235"/>
    <w:rsid w:val="00C963CF"/>
    <w:rsid w:val="00CA07FF"/>
    <w:rsid w:val="00CA1FE1"/>
    <w:rsid w:val="00CA3B5A"/>
    <w:rsid w:val="00CA4A95"/>
    <w:rsid w:val="00CA4AA5"/>
    <w:rsid w:val="00CA530E"/>
    <w:rsid w:val="00CA584E"/>
    <w:rsid w:val="00CA6A21"/>
    <w:rsid w:val="00CB0B23"/>
    <w:rsid w:val="00CB0DD2"/>
    <w:rsid w:val="00CB1084"/>
    <w:rsid w:val="00CB14D9"/>
    <w:rsid w:val="00CB1A33"/>
    <w:rsid w:val="00CB1C9F"/>
    <w:rsid w:val="00CB415A"/>
    <w:rsid w:val="00CB45F4"/>
    <w:rsid w:val="00CB4BE2"/>
    <w:rsid w:val="00CB4D2B"/>
    <w:rsid w:val="00CB4EB1"/>
    <w:rsid w:val="00CB5190"/>
    <w:rsid w:val="00CB5EF0"/>
    <w:rsid w:val="00CB621B"/>
    <w:rsid w:val="00CB6442"/>
    <w:rsid w:val="00CB6618"/>
    <w:rsid w:val="00CB6F20"/>
    <w:rsid w:val="00CB71E9"/>
    <w:rsid w:val="00CC0957"/>
    <w:rsid w:val="00CC0E02"/>
    <w:rsid w:val="00CC1044"/>
    <w:rsid w:val="00CC149B"/>
    <w:rsid w:val="00CC14A8"/>
    <w:rsid w:val="00CC1F11"/>
    <w:rsid w:val="00CC2D1F"/>
    <w:rsid w:val="00CC3F78"/>
    <w:rsid w:val="00CC411A"/>
    <w:rsid w:val="00CC46F7"/>
    <w:rsid w:val="00CC4C01"/>
    <w:rsid w:val="00CC5046"/>
    <w:rsid w:val="00CC53A7"/>
    <w:rsid w:val="00CC56E6"/>
    <w:rsid w:val="00CC6308"/>
    <w:rsid w:val="00CC6AB2"/>
    <w:rsid w:val="00CC75F3"/>
    <w:rsid w:val="00CC7B8B"/>
    <w:rsid w:val="00CC7C56"/>
    <w:rsid w:val="00CD088B"/>
    <w:rsid w:val="00CD09C9"/>
    <w:rsid w:val="00CD2E3C"/>
    <w:rsid w:val="00CD3DCD"/>
    <w:rsid w:val="00CD3E80"/>
    <w:rsid w:val="00CD487D"/>
    <w:rsid w:val="00CD535A"/>
    <w:rsid w:val="00CD694D"/>
    <w:rsid w:val="00CD733F"/>
    <w:rsid w:val="00CD777E"/>
    <w:rsid w:val="00CE014A"/>
    <w:rsid w:val="00CE0D9A"/>
    <w:rsid w:val="00CE112D"/>
    <w:rsid w:val="00CE2BB3"/>
    <w:rsid w:val="00CE32B2"/>
    <w:rsid w:val="00CE4185"/>
    <w:rsid w:val="00CE4769"/>
    <w:rsid w:val="00CE477C"/>
    <w:rsid w:val="00CE526A"/>
    <w:rsid w:val="00CE548C"/>
    <w:rsid w:val="00CE5BD3"/>
    <w:rsid w:val="00CE6739"/>
    <w:rsid w:val="00CF03C8"/>
    <w:rsid w:val="00CF07CB"/>
    <w:rsid w:val="00CF0BE3"/>
    <w:rsid w:val="00CF51AB"/>
    <w:rsid w:val="00CF601D"/>
    <w:rsid w:val="00CF60F5"/>
    <w:rsid w:val="00CF6DEF"/>
    <w:rsid w:val="00CF73B6"/>
    <w:rsid w:val="00D007A7"/>
    <w:rsid w:val="00D0093B"/>
    <w:rsid w:val="00D01548"/>
    <w:rsid w:val="00D01748"/>
    <w:rsid w:val="00D037AB"/>
    <w:rsid w:val="00D03DE2"/>
    <w:rsid w:val="00D04574"/>
    <w:rsid w:val="00D05BFA"/>
    <w:rsid w:val="00D06048"/>
    <w:rsid w:val="00D06282"/>
    <w:rsid w:val="00D06C45"/>
    <w:rsid w:val="00D11067"/>
    <w:rsid w:val="00D116D8"/>
    <w:rsid w:val="00D11FEB"/>
    <w:rsid w:val="00D122FF"/>
    <w:rsid w:val="00D133A5"/>
    <w:rsid w:val="00D13576"/>
    <w:rsid w:val="00D13C68"/>
    <w:rsid w:val="00D14C63"/>
    <w:rsid w:val="00D161A6"/>
    <w:rsid w:val="00D16246"/>
    <w:rsid w:val="00D162A7"/>
    <w:rsid w:val="00D16A70"/>
    <w:rsid w:val="00D176C8"/>
    <w:rsid w:val="00D211D2"/>
    <w:rsid w:val="00D216E4"/>
    <w:rsid w:val="00D22718"/>
    <w:rsid w:val="00D2283E"/>
    <w:rsid w:val="00D239F4"/>
    <w:rsid w:val="00D24523"/>
    <w:rsid w:val="00D255FE"/>
    <w:rsid w:val="00D25618"/>
    <w:rsid w:val="00D2644D"/>
    <w:rsid w:val="00D26479"/>
    <w:rsid w:val="00D26D82"/>
    <w:rsid w:val="00D335EA"/>
    <w:rsid w:val="00D344FF"/>
    <w:rsid w:val="00D34B30"/>
    <w:rsid w:val="00D34B50"/>
    <w:rsid w:val="00D34DD9"/>
    <w:rsid w:val="00D35942"/>
    <w:rsid w:val="00D3645B"/>
    <w:rsid w:val="00D3688A"/>
    <w:rsid w:val="00D36A3D"/>
    <w:rsid w:val="00D37B3E"/>
    <w:rsid w:val="00D40A84"/>
    <w:rsid w:val="00D410A4"/>
    <w:rsid w:val="00D4196A"/>
    <w:rsid w:val="00D430F4"/>
    <w:rsid w:val="00D44200"/>
    <w:rsid w:val="00D44487"/>
    <w:rsid w:val="00D444BB"/>
    <w:rsid w:val="00D44B70"/>
    <w:rsid w:val="00D44F01"/>
    <w:rsid w:val="00D45A3D"/>
    <w:rsid w:val="00D46664"/>
    <w:rsid w:val="00D46AB0"/>
    <w:rsid w:val="00D46EFC"/>
    <w:rsid w:val="00D47386"/>
    <w:rsid w:val="00D47545"/>
    <w:rsid w:val="00D47B17"/>
    <w:rsid w:val="00D50E34"/>
    <w:rsid w:val="00D51377"/>
    <w:rsid w:val="00D52A66"/>
    <w:rsid w:val="00D52C1C"/>
    <w:rsid w:val="00D54269"/>
    <w:rsid w:val="00D54388"/>
    <w:rsid w:val="00D549B4"/>
    <w:rsid w:val="00D575BE"/>
    <w:rsid w:val="00D576D8"/>
    <w:rsid w:val="00D579B0"/>
    <w:rsid w:val="00D600AC"/>
    <w:rsid w:val="00D605E0"/>
    <w:rsid w:val="00D60CBE"/>
    <w:rsid w:val="00D60DB3"/>
    <w:rsid w:val="00D61A19"/>
    <w:rsid w:val="00D61B27"/>
    <w:rsid w:val="00D626E1"/>
    <w:rsid w:val="00D627DD"/>
    <w:rsid w:val="00D634CB"/>
    <w:rsid w:val="00D650F0"/>
    <w:rsid w:val="00D65899"/>
    <w:rsid w:val="00D67250"/>
    <w:rsid w:val="00D6737E"/>
    <w:rsid w:val="00D6741F"/>
    <w:rsid w:val="00D70569"/>
    <w:rsid w:val="00D70C45"/>
    <w:rsid w:val="00D70D9D"/>
    <w:rsid w:val="00D71970"/>
    <w:rsid w:val="00D71A2F"/>
    <w:rsid w:val="00D72092"/>
    <w:rsid w:val="00D72779"/>
    <w:rsid w:val="00D732BE"/>
    <w:rsid w:val="00D73C93"/>
    <w:rsid w:val="00D741C5"/>
    <w:rsid w:val="00D74CAD"/>
    <w:rsid w:val="00D75596"/>
    <w:rsid w:val="00D757CC"/>
    <w:rsid w:val="00D76B34"/>
    <w:rsid w:val="00D7710C"/>
    <w:rsid w:val="00D77299"/>
    <w:rsid w:val="00D776B8"/>
    <w:rsid w:val="00D777EF"/>
    <w:rsid w:val="00D77BEF"/>
    <w:rsid w:val="00D80954"/>
    <w:rsid w:val="00D80DF1"/>
    <w:rsid w:val="00D81B80"/>
    <w:rsid w:val="00D83113"/>
    <w:rsid w:val="00D834E2"/>
    <w:rsid w:val="00D83AD7"/>
    <w:rsid w:val="00D83DB7"/>
    <w:rsid w:val="00D85253"/>
    <w:rsid w:val="00D86B42"/>
    <w:rsid w:val="00D874B7"/>
    <w:rsid w:val="00D902F6"/>
    <w:rsid w:val="00D9237E"/>
    <w:rsid w:val="00D92B39"/>
    <w:rsid w:val="00D93660"/>
    <w:rsid w:val="00D94CB5"/>
    <w:rsid w:val="00D963E6"/>
    <w:rsid w:val="00D96673"/>
    <w:rsid w:val="00D9711E"/>
    <w:rsid w:val="00D9763C"/>
    <w:rsid w:val="00DA012C"/>
    <w:rsid w:val="00DA0EC4"/>
    <w:rsid w:val="00DA105B"/>
    <w:rsid w:val="00DA1ED9"/>
    <w:rsid w:val="00DA272F"/>
    <w:rsid w:val="00DA2F6F"/>
    <w:rsid w:val="00DA3665"/>
    <w:rsid w:val="00DA3A66"/>
    <w:rsid w:val="00DA4302"/>
    <w:rsid w:val="00DA5B02"/>
    <w:rsid w:val="00DA5EA1"/>
    <w:rsid w:val="00DA5EE6"/>
    <w:rsid w:val="00DA5F0A"/>
    <w:rsid w:val="00DA68C7"/>
    <w:rsid w:val="00DB07AE"/>
    <w:rsid w:val="00DB0BD2"/>
    <w:rsid w:val="00DB0C06"/>
    <w:rsid w:val="00DB11A7"/>
    <w:rsid w:val="00DB1326"/>
    <w:rsid w:val="00DB25DA"/>
    <w:rsid w:val="00DB29C0"/>
    <w:rsid w:val="00DB2B3B"/>
    <w:rsid w:val="00DB2E29"/>
    <w:rsid w:val="00DB33B8"/>
    <w:rsid w:val="00DB346C"/>
    <w:rsid w:val="00DB358E"/>
    <w:rsid w:val="00DB370A"/>
    <w:rsid w:val="00DB45F1"/>
    <w:rsid w:val="00DB52F7"/>
    <w:rsid w:val="00DB59C6"/>
    <w:rsid w:val="00DB5C7F"/>
    <w:rsid w:val="00DB6E85"/>
    <w:rsid w:val="00DB7967"/>
    <w:rsid w:val="00DB7B4F"/>
    <w:rsid w:val="00DC06E0"/>
    <w:rsid w:val="00DC330E"/>
    <w:rsid w:val="00DC34AB"/>
    <w:rsid w:val="00DC366F"/>
    <w:rsid w:val="00DC3D5C"/>
    <w:rsid w:val="00DC3EA7"/>
    <w:rsid w:val="00DC4146"/>
    <w:rsid w:val="00DC4DD5"/>
    <w:rsid w:val="00DC6548"/>
    <w:rsid w:val="00DC68CC"/>
    <w:rsid w:val="00DC786A"/>
    <w:rsid w:val="00DC7B9E"/>
    <w:rsid w:val="00DD1CC8"/>
    <w:rsid w:val="00DD22E5"/>
    <w:rsid w:val="00DD3A2B"/>
    <w:rsid w:val="00DD3D36"/>
    <w:rsid w:val="00DD4A11"/>
    <w:rsid w:val="00DD5865"/>
    <w:rsid w:val="00DD67FA"/>
    <w:rsid w:val="00DD68CE"/>
    <w:rsid w:val="00DD7330"/>
    <w:rsid w:val="00DD74CB"/>
    <w:rsid w:val="00DE12B4"/>
    <w:rsid w:val="00DE1855"/>
    <w:rsid w:val="00DE1EFB"/>
    <w:rsid w:val="00DE2B1F"/>
    <w:rsid w:val="00DE2E32"/>
    <w:rsid w:val="00DE327D"/>
    <w:rsid w:val="00DE3FF0"/>
    <w:rsid w:val="00DE51CA"/>
    <w:rsid w:val="00DE556A"/>
    <w:rsid w:val="00DE57B7"/>
    <w:rsid w:val="00DE5E2A"/>
    <w:rsid w:val="00DE62AA"/>
    <w:rsid w:val="00DE6510"/>
    <w:rsid w:val="00DE6A97"/>
    <w:rsid w:val="00DE7299"/>
    <w:rsid w:val="00DE7A09"/>
    <w:rsid w:val="00DE7F07"/>
    <w:rsid w:val="00DE7FCE"/>
    <w:rsid w:val="00DF12AB"/>
    <w:rsid w:val="00DF15EA"/>
    <w:rsid w:val="00DF2D97"/>
    <w:rsid w:val="00DF3782"/>
    <w:rsid w:val="00DF6F2E"/>
    <w:rsid w:val="00DF72BB"/>
    <w:rsid w:val="00DF7639"/>
    <w:rsid w:val="00DF7658"/>
    <w:rsid w:val="00E0052D"/>
    <w:rsid w:val="00E00CC3"/>
    <w:rsid w:val="00E01EA8"/>
    <w:rsid w:val="00E01EAB"/>
    <w:rsid w:val="00E0256D"/>
    <w:rsid w:val="00E03040"/>
    <w:rsid w:val="00E030BE"/>
    <w:rsid w:val="00E03263"/>
    <w:rsid w:val="00E03A1C"/>
    <w:rsid w:val="00E044FD"/>
    <w:rsid w:val="00E0472F"/>
    <w:rsid w:val="00E04A9D"/>
    <w:rsid w:val="00E04DF4"/>
    <w:rsid w:val="00E060EB"/>
    <w:rsid w:val="00E06AE6"/>
    <w:rsid w:val="00E073FD"/>
    <w:rsid w:val="00E10CAA"/>
    <w:rsid w:val="00E11CCC"/>
    <w:rsid w:val="00E12EB3"/>
    <w:rsid w:val="00E13271"/>
    <w:rsid w:val="00E13DD5"/>
    <w:rsid w:val="00E14DC9"/>
    <w:rsid w:val="00E150DC"/>
    <w:rsid w:val="00E168D1"/>
    <w:rsid w:val="00E17F41"/>
    <w:rsid w:val="00E22C3A"/>
    <w:rsid w:val="00E23C1D"/>
    <w:rsid w:val="00E24203"/>
    <w:rsid w:val="00E244B7"/>
    <w:rsid w:val="00E2585D"/>
    <w:rsid w:val="00E25DEF"/>
    <w:rsid w:val="00E261CD"/>
    <w:rsid w:val="00E275F0"/>
    <w:rsid w:val="00E308BF"/>
    <w:rsid w:val="00E31588"/>
    <w:rsid w:val="00E31CC0"/>
    <w:rsid w:val="00E32842"/>
    <w:rsid w:val="00E328E7"/>
    <w:rsid w:val="00E3341F"/>
    <w:rsid w:val="00E3394E"/>
    <w:rsid w:val="00E35700"/>
    <w:rsid w:val="00E35F86"/>
    <w:rsid w:val="00E373ED"/>
    <w:rsid w:val="00E37505"/>
    <w:rsid w:val="00E379C6"/>
    <w:rsid w:val="00E37E65"/>
    <w:rsid w:val="00E40C56"/>
    <w:rsid w:val="00E42A01"/>
    <w:rsid w:val="00E44D50"/>
    <w:rsid w:val="00E452DE"/>
    <w:rsid w:val="00E4534A"/>
    <w:rsid w:val="00E46071"/>
    <w:rsid w:val="00E47F68"/>
    <w:rsid w:val="00E50154"/>
    <w:rsid w:val="00E5044D"/>
    <w:rsid w:val="00E50960"/>
    <w:rsid w:val="00E50CE8"/>
    <w:rsid w:val="00E5113A"/>
    <w:rsid w:val="00E51466"/>
    <w:rsid w:val="00E51DC1"/>
    <w:rsid w:val="00E51FB8"/>
    <w:rsid w:val="00E54C74"/>
    <w:rsid w:val="00E550FA"/>
    <w:rsid w:val="00E5546E"/>
    <w:rsid w:val="00E563B5"/>
    <w:rsid w:val="00E56A03"/>
    <w:rsid w:val="00E576FA"/>
    <w:rsid w:val="00E624B6"/>
    <w:rsid w:val="00E62580"/>
    <w:rsid w:val="00E63277"/>
    <w:rsid w:val="00E63815"/>
    <w:rsid w:val="00E63AFA"/>
    <w:rsid w:val="00E6492B"/>
    <w:rsid w:val="00E64D97"/>
    <w:rsid w:val="00E65D42"/>
    <w:rsid w:val="00E66F85"/>
    <w:rsid w:val="00E70C4D"/>
    <w:rsid w:val="00E70E9A"/>
    <w:rsid w:val="00E7109B"/>
    <w:rsid w:val="00E711BC"/>
    <w:rsid w:val="00E71575"/>
    <w:rsid w:val="00E7193D"/>
    <w:rsid w:val="00E71C76"/>
    <w:rsid w:val="00E72EA7"/>
    <w:rsid w:val="00E73E4D"/>
    <w:rsid w:val="00E7429D"/>
    <w:rsid w:val="00E74D30"/>
    <w:rsid w:val="00E763F5"/>
    <w:rsid w:val="00E764CF"/>
    <w:rsid w:val="00E76ACB"/>
    <w:rsid w:val="00E77E72"/>
    <w:rsid w:val="00E80A1F"/>
    <w:rsid w:val="00E829C0"/>
    <w:rsid w:val="00E8314F"/>
    <w:rsid w:val="00E837D4"/>
    <w:rsid w:val="00E846AB"/>
    <w:rsid w:val="00E84EE4"/>
    <w:rsid w:val="00E85C15"/>
    <w:rsid w:val="00E85D4D"/>
    <w:rsid w:val="00E86F2E"/>
    <w:rsid w:val="00E87D0F"/>
    <w:rsid w:val="00E90E43"/>
    <w:rsid w:val="00E942A9"/>
    <w:rsid w:val="00E94538"/>
    <w:rsid w:val="00E94ADE"/>
    <w:rsid w:val="00E94AF0"/>
    <w:rsid w:val="00E94E90"/>
    <w:rsid w:val="00E9594A"/>
    <w:rsid w:val="00E95A68"/>
    <w:rsid w:val="00E95FEC"/>
    <w:rsid w:val="00E96DDA"/>
    <w:rsid w:val="00E96EFD"/>
    <w:rsid w:val="00E975A1"/>
    <w:rsid w:val="00EA1295"/>
    <w:rsid w:val="00EA14C5"/>
    <w:rsid w:val="00EA18A7"/>
    <w:rsid w:val="00EA1B75"/>
    <w:rsid w:val="00EA350C"/>
    <w:rsid w:val="00EA475B"/>
    <w:rsid w:val="00EA4C1B"/>
    <w:rsid w:val="00EA5874"/>
    <w:rsid w:val="00EA5A17"/>
    <w:rsid w:val="00EA61B0"/>
    <w:rsid w:val="00EA6783"/>
    <w:rsid w:val="00EA71E9"/>
    <w:rsid w:val="00EA76B5"/>
    <w:rsid w:val="00EB03D4"/>
    <w:rsid w:val="00EB2770"/>
    <w:rsid w:val="00EB28B8"/>
    <w:rsid w:val="00EB2C84"/>
    <w:rsid w:val="00EB2D7D"/>
    <w:rsid w:val="00EB339C"/>
    <w:rsid w:val="00EB402D"/>
    <w:rsid w:val="00EB44A8"/>
    <w:rsid w:val="00EB5299"/>
    <w:rsid w:val="00EB535F"/>
    <w:rsid w:val="00EB67C8"/>
    <w:rsid w:val="00EB7799"/>
    <w:rsid w:val="00EB79F3"/>
    <w:rsid w:val="00EC03BF"/>
    <w:rsid w:val="00EC0669"/>
    <w:rsid w:val="00EC06C7"/>
    <w:rsid w:val="00EC1284"/>
    <w:rsid w:val="00EC12AF"/>
    <w:rsid w:val="00EC1709"/>
    <w:rsid w:val="00EC1E0C"/>
    <w:rsid w:val="00EC3125"/>
    <w:rsid w:val="00EC3E81"/>
    <w:rsid w:val="00EC4280"/>
    <w:rsid w:val="00EC5DC3"/>
    <w:rsid w:val="00EC61FF"/>
    <w:rsid w:val="00EC69A9"/>
    <w:rsid w:val="00EC7429"/>
    <w:rsid w:val="00EC769A"/>
    <w:rsid w:val="00EC76A3"/>
    <w:rsid w:val="00ED0999"/>
    <w:rsid w:val="00ED09B9"/>
    <w:rsid w:val="00ED2CA7"/>
    <w:rsid w:val="00ED33C2"/>
    <w:rsid w:val="00ED4051"/>
    <w:rsid w:val="00ED5874"/>
    <w:rsid w:val="00ED62FA"/>
    <w:rsid w:val="00ED6876"/>
    <w:rsid w:val="00ED6DB8"/>
    <w:rsid w:val="00ED78A5"/>
    <w:rsid w:val="00EE0399"/>
    <w:rsid w:val="00EE0C61"/>
    <w:rsid w:val="00EE0FA0"/>
    <w:rsid w:val="00EE1778"/>
    <w:rsid w:val="00EE182C"/>
    <w:rsid w:val="00EE1DA6"/>
    <w:rsid w:val="00EE2CD7"/>
    <w:rsid w:val="00EE37E4"/>
    <w:rsid w:val="00EE43CC"/>
    <w:rsid w:val="00EE490F"/>
    <w:rsid w:val="00EE4D6D"/>
    <w:rsid w:val="00EE7520"/>
    <w:rsid w:val="00EF0018"/>
    <w:rsid w:val="00EF030D"/>
    <w:rsid w:val="00EF15A7"/>
    <w:rsid w:val="00EF24F5"/>
    <w:rsid w:val="00EF337E"/>
    <w:rsid w:val="00EF4179"/>
    <w:rsid w:val="00EF5022"/>
    <w:rsid w:val="00EF5858"/>
    <w:rsid w:val="00EF586F"/>
    <w:rsid w:val="00EF6956"/>
    <w:rsid w:val="00EF72EF"/>
    <w:rsid w:val="00F0014A"/>
    <w:rsid w:val="00F0140C"/>
    <w:rsid w:val="00F01BCB"/>
    <w:rsid w:val="00F021D7"/>
    <w:rsid w:val="00F03834"/>
    <w:rsid w:val="00F044A9"/>
    <w:rsid w:val="00F054CA"/>
    <w:rsid w:val="00F05C0B"/>
    <w:rsid w:val="00F06B61"/>
    <w:rsid w:val="00F07132"/>
    <w:rsid w:val="00F0744A"/>
    <w:rsid w:val="00F1034A"/>
    <w:rsid w:val="00F10474"/>
    <w:rsid w:val="00F10B16"/>
    <w:rsid w:val="00F1203C"/>
    <w:rsid w:val="00F12A1C"/>
    <w:rsid w:val="00F12A65"/>
    <w:rsid w:val="00F13056"/>
    <w:rsid w:val="00F13353"/>
    <w:rsid w:val="00F13421"/>
    <w:rsid w:val="00F1512F"/>
    <w:rsid w:val="00F15186"/>
    <w:rsid w:val="00F151AB"/>
    <w:rsid w:val="00F15384"/>
    <w:rsid w:val="00F153FA"/>
    <w:rsid w:val="00F1690B"/>
    <w:rsid w:val="00F20368"/>
    <w:rsid w:val="00F218AC"/>
    <w:rsid w:val="00F218BC"/>
    <w:rsid w:val="00F24277"/>
    <w:rsid w:val="00F24F95"/>
    <w:rsid w:val="00F26630"/>
    <w:rsid w:val="00F269E6"/>
    <w:rsid w:val="00F275C9"/>
    <w:rsid w:val="00F3093B"/>
    <w:rsid w:val="00F30A5B"/>
    <w:rsid w:val="00F30CB1"/>
    <w:rsid w:val="00F31F35"/>
    <w:rsid w:val="00F323B4"/>
    <w:rsid w:val="00F323D7"/>
    <w:rsid w:val="00F32AB5"/>
    <w:rsid w:val="00F331BF"/>
    <w:rsid w:val="00F333B6"/>
    <w:rsid w:val="00F34A6D"/>
    <w:rsid w:val="00F35C05"/>
    <w:rsid w:val="00F3649B"/>
    <w:rsid w:val="00F373D5"/>
    <w:rsid w:val="00F37D92"/>
    <w:rsid w:val="00F4009D"/>
    <w:rsid w:val="00F40461"/>
    <w:rsid w:val="00F40AF1"/>
    <w:rsid w:val="00F412B4"/>
    <w:rsid w:val="00F413A6"/>
    <w:rsid w:val="00F41E87"/>
    <w:rsid w:val="00F4233B"/>
    <w:rsid w:val="00F4241C"/>
    <w:rsid w:val="00F42689"/>
    <w:rsid w:val="00F42988"/>
    <w:rsid w:val="00F447D6"/>
    <w:rsid w:val="00F449B9"/>
    <w:rsid w:val="00F44E1C"/>
    <w:rsid w:val="00F44E33"/>
    <w:rsid w:val="00F4505C"/>
    <w:rsid w:val="00F450F2"/>
    <w:rsid w:val="00F46073"/>
    <w:rsid w:val="00F4653E"/>
    <w:rsid w:val="00F46876"/>
    <w:rsid w:val="00F46F62"/>
    <w:rsid w:val="00F4757A"/>
    <w:rsid w:val="00F500D6"/>
    <w:rsid w:val="00F50163"/>
    <w:rsid w:val="00F503F3"/>
    <w:rsid w:val="00F50E23"/>
    <w:rsid w:val="00F511E4"/>
    <w:rsid w:val="00F52541"/>
    <w:rsid w:val="00F53F89"/>
    <w:rsid w:val="00F541C3"/>
    <w:rsid w:val="00F545C6"/>
    <w:rsid w:val="00F54BF8"/>
    <w:rsid w:val="00F54FFC"/>
    <w:rsid w:val="00F55200"/>
    <w:rsid w:val="00F56C6E"/>
    <w:rsid w:val="00F56E5C"/>
    <w:rsid w:val="00F572B5"/>
    <w:rsid w:val="00F60C4E"/>
    <w:rsid w:val="00F62270"/>
    <w:rsid w:val="00F626E5"/>
    <w:rsid w:val="00F65126"/>
    <w:rsid w:val="00F6616B"/>
    <w:rsid w:val="00F6655E"/>
    <w:rsid w:val="00F66948"/>
    <w:rsid w:val="00F67E17"/>
    <w:rsid w:val="00F70B34"/>
    <w:rsid w:val="00F70F97"/>
    <w:rsid w:val="00F71060"/>
    <w:rsid w:val="00F71423"/>
    <w:rsid w:val="00F71E35"/>
    <w:rsid w:val="00F7278E"/>
    <w:rsid w:val="00F72970"/>
    <w:rsid w:val="00F72B30"/>
    <w:rsid w:val="00F74603"/>
    <w:rsid w:val="00F756A4"/>
    <w:rsid w:val="00F75DED"/>
    <w:rsid w:val="00F769C1"/>
    <w:rsid w:val="00F76CD2"/>
    <w:rsid w:val="00F77691"/>
    <w:rsid w:val="00F80059"/>
    <w:rsid w:val="00F813E3"/>
    <w:rsid w:val="00F824BE"/>
    <w:rsid w:val="00F854DD"/>
    <w:rsid w:val="00F90758"/>
    <w:rsid w:val="00F90814"/>
    <w:rsid w:val="00F93E9B"/>
    <w:rsid w:val="00F944A6"/>
    <w:rsid w:val="00F94B3D"/>
    <w:rsid w:val="00F94D24"/>
    <w:rsid w:val="00F94F63"/>
    <w:rsid w:val="00F95264"/>
    <w:rsid w:val="00F953E3"/>
    <w:rsid w:val="00F9655E"/>
    <w:rsid w:val="00F96DF9"/>
    <w:rsid w:val="00F9780A"/>
    <w:rsid w:val="00FA0D99"/>
    <w:rsid w:val="00FA1369"/>
    <w:rsid w:val="00FA2E88"/>
    <w:rsid w:val="00FA36D3"/>
    <w:rsid w:val="00FA3FA1"/>
    <w:rsid w:val="00FA56A3"/>
    <w:rsid w:val="00FA56AA"/>
    <w:rsid w:val="00FA5AC8"/>
    <w:rsid w:val="00FA6125"/>
    <w:rsid w:val="00FA7CF7"/>
    <w:rsid w:val="00FB0465"/>
    <w:rsid w:val="00FB173C"/>
    <w:rsid w:val="00FB1CD8"/>
    <w:rsid w:val="00FB264B"/>
    <w:rsid w:val="00FB276F"/>
    <w:rsid w:val="00FB2A29"/>
    <w:rsid w:val="00FB2F0C"/>
    <w:rsid w:val="00FB3EC1"/>
    <w:rsid w:val="00FB49DC"/>
    <w:rsid w:val="00FB5566"/>
    <w:rsid w:val="00FB567F"/>
    <w:rsid w:val="00FB5721"/>
    <w:rsid w:val="00FB58DE"/>
    <w:rsid w:val="00FB5E98"/>
    <w:rsid w:val="00FB65DA"/>
    <w:rsid w:val="00FB6FB1"/>
    <w:rsid w:val="00FB71A4"/>
    <w:rsid w:val="00FB7C79"/>
    <w:rsid w:val="00FC0C2B"/>
    <w:rsid w:val="00FC0F99"/>
    <w:rsid w:val="00FC1389"/>
    <w:rsid w:val="00FC1CFE"/>
    <w:rsid w:val="00FC212C"/>
    <w:rsid w:val="00FC287F"/>
    <w:rsid w:val="00FC34E5"/>
    <w:rsid w:val="00FC3EB9"/>
    <w:rsid w:val="00FC4B67"/>
    <w:rsid w:val="00FC582B"/>
    <w:rsid w:val="00FC5868"/>
    <w:rsid w:val="00FC63E7"/>
    <w:rsid w:val="00FC68BE"/>
    <w:rsid w:val="00FC6AC7"/>
    <w:rsid w:val="00FD0010"/>
    <w:rsid w:val="00FD04D4"/>
    <w:rsid w:val="00FD0681"/>
    <w:rsid w:val="00FD0E67"/>
    <w:rsid w:val="00FD135E"/>
    <w:rsid w:val="00FD2759"/>
    <w:rsid w:val="00FD28C3"/>
    <w:rsid w:val="00FD2A39"/>
    <w:rsid w:val="00FD3614"/>
    <w:rsid w:val="00FD38E7"/>
    <w:rsid w:val="00FD41B9"/>
    <w:rsid w:val="00FD4AD0"/>
    <w:rsid w:val="00FD4E22"/>
    <w:rsid w:val="00FD6A37"/>
    <w:rsid w:val="00FD7E0B"/>
    <w:rsid w:val="00FE066C"/>
    <w:rsid w:val="00FE0D0E"/>
    <w:rsid w:val="00FE165B"/>
    <w:rsid w:val="00FE34D1"/>
    <w:rsid w:val="00FE4C4A"/>
    <w:rsid w:val="00FE53AB"/>
    <w:rsid w:val="00FE5928"/>
    <w:rsid w:val="00FE59F6"/>
    <w:rsid w:val="00FE5EF2"/>
    <w:rsid w:val="00FE7BCC"/>
    <w:rsid w:val="00FF1057"/>
    <w:rsid w:val="00FF17DD"/>
    <w:rsid w:val="00FF2E68"/>
    <w:rsid w:val="00FF2EC1"/>
    <w:rsid w:val="00FF345D"/>
    <w:rsid w:val="00FF394F"/>
    <w:rsid w:val="00FF4D97"/>
    <w:rsid w:val="00FF507A"/>
    <w:rsid w:val="00FF507F"/>
    <w:rsid w:val="00FF5389"/>
    <w:rsid w:val="00FF54E0"/>
    <w:rsid w:val="321942E9"/>
    <w:rsid w:val="3D6C167F"/>
    <w:rsid w:val="712D28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name="index 1"/>
    <w:lsdException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name="index 8"/>
    <w:lsdException w:unhideWhenUsed="0" w:uiPriority="0" w:semiHidden="0"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name="footnote text"/>
    <w:lsdException w:unhideWhenUsed="0" w:uiPriority="0" w:name="annotation text"/>
    <w:lsdException w:unhideWhenUsed="0" w:uiPriority="0" w:semiHidden="0" w:name="header"/>
    <w:lsdException w:unhideWhenUsed="0" w:uiPriority="0" w:semiHidden="0" w:name="footer"/>
    <w:lsdException w:unhideWhenUsed="0" w:uiPriority="0" w:name="index heading"/>
    <w:lsdException w:qFormat="1" w:unhideWhenUsed="0" w:uiPriority="0" w:semiHidden="0" w:name="caption"/>
    <w:lsdException w:unhideWhenUsed="0" w:uiPriority="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name="endnote reference"/>
    <w:lsdException w:unhideWhenUsed="0" w:uiPriority="0" w:name="endnote text"/>
    <w:lsdException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21"/>
      <w:szCs w:val="24"/>
      <w:lang w:val="en-US" w:eastAsia="zh-CN" w:bidi="ar-SA"/>
    </w:rPr>
  </w:style>
  <w:style w:type="paragraph" w:styleId="2">
    <w:name w:val="heading 1"/>
    <w:basedOn w:val="1"/>
    <w:next w:val="1"/>
    <w:link w:val="162"/>
    <w:uiPriority w:val="0"/>
    <w:pPr>
      <w:keepNext/>
      <w:ind w:firstLine="560" w:firstLineChars="200"/>
      <w:jc w:val="center"/>
      <w:outlineLvl w:val="0"/>
    </w:pPr>
    <w:rPr>
      <w:rFonts w:ascii="宋体" w:hAnsi="宋体"/>
      <w:sz w:val="28"/>
    </w:rPr>
  </w:style>
  <w:style w:type="paragraph" w:styleId="3">
    <w:name w:val="heading 2"/>
    <w:basedOn w:val="1"/>
    <w:next w:val="1"/>
    <w:link w:val="168"/>
    <w:uiPriority w:val="0"/>
    <w:pPr>
      <w:keepNext/>
      <w:ind w:firstLine="560" w:firstLineChars="200"/>
      <w:outlineLvl w:val="1"/>
    </w:pPr>
    <w:rPr>
      <w:rFonts w:ascii="宋体" w:hAnsi="宋体"/>
      <w:sz w:val="28"/>
    </w:rPr>
  </w:style>
  <w:style w:type="paragraph" w:styleId="4">
    <w:name w:val="heading 3"/>
    <w:basedOn w:val="1"/>
    <w:next w:val="1"/>
    <w:link w:val="121"/>
    <w:uiPriority w:val="0"/>
    <w:pPr>
      <w:keepNext/>
      <w:jc w:val="center"/>
      <w:outlineLvl w:val="2"/>
    </w:pPr>
    <w:rPr>
      <w:rFonts w:ascii="宋体" w:hAnsi="宋体"/>
      <w:sz w:val="28"/>
    </w:rPr>
  </w:style>
  <w:style w:type="paragraph" w:styleId="5">
    <w:name w:val="heading 4"/>
    <w:basedOn w:val="1"/>
    <w:next w:val="1"/>
    <w:link w:val="145"/>
    <w:uiPriority w:val="0"/>
    <w:pPr>
      <w:keepNext/>
      <w:spacing w:line="360" w:lineRule="auto"/>
      <w:outlineLvl w:val="3"/>
    </w:pPr>
    <w:rPr>
      <w:rFonts w:ascii="宋体" w:hAnsi="宋体"/>
      <w:sz w:val="28"/>
    </w:rPr>
  </w:style>
  <w:style w:type="paragraph" w:styleId="6">
    <w:name w:val="heading 5"/>
    <w:basedOn w:val="1"/>
    <w:next w:val="1"/>
    <w:link w:val="149"/>
    <w:uiPriority w:val="0"/>
    <w:pPr>
      <w:keepNext/>
      <w:ind w:firstLine="2520" w:firstLineChars="900"/>
      <w:outlineLvl w:val="4"/>
    </w:pPr>
    <w:rPr>
      <w:rFonts w:ascii="宋体" w:hAnsi="宋体"/>
      <w:sz w:val="28"/>
    </w:rPr>
  </w:style>
  <w:style w:type="paragraph" w:styleId="7">
    <w:name w:val="heading 6"/>
    <w:basedOn w:val="1"/>
    <w:next w:val="1"/>
    <w:link w:val="146"/>
    <w:uiPriority w:val="0"/>
    <w:pPr>
      <w:keepNext/>
      <w:ind w:firstLine="3080" w:firstLineChars="1100"/>
      <w:outlineLvl w:val="5"/>
    </w:pPr>
    <w:rPr>
      <w:rFonts w:ascii="宋体" w:hAnsi="宋体"/>
      <w:sz w:val="28"/>
    </w:rPr>
  </w:style>
  <w:style w:type="paragraph" w:styleId="8">
    <w:name w:val="heading 7"/>
    <w:basedOn w:val="1"/>
    <w:next w:val="1"/>
    <w:link w:val="151"/>
    <w:uiPriority w:val="0"/>
    <w:pPr>
      <w:keepNext/>
      <w:keepLines/>
      <w:spacing w:before="240" w:after="64" w:line="320" w:lineRule="auto"/>
      <w:outlineLvl w:val="6"/>
    </w:pPr>
    <w:rPr>
      <w:b/>
      <w:bCs/>
      <w:sz w:val="24"/>
    </w:rPr>
  </w:style>
  <w:style w:type="paragraph" w:styleId="9">
    <w:name w:val="heading 8"/>
    <w:basedOn w:val="1"/>
    <w:next w:val="1"/>
    <w:uiPriority w:val="0"/>
    <w:pPr>
      <w:keepNext/>
      <w:keepLines/>
      <w:spacing w:before="240" w:after="64" w:line="320" w:lineRule="auto"/>
      <w:outlineLvl w:val="7"/>
    </w:pPr>
    <w:rPr>
      <w:rFonts w:ascii="Arial" w:hAnsi="Arial" w:eastAsia="黑体"/>
      <w:sz w:val="24"/>
    </w:rPr>
  </w:style>
  <w:style w:type="paragraph" w:styleId="10">
    <w:name w:val="heading 9"/>
    <w:basedOn w:val="1"/>
    <w:next w:val="1"/>
    <w:uiPriority w:val="0"/>
    <w:pPr>
      <w:keepNext/>
      <w:keepLines/>
      <w:spacing w:before="240" w:after="64" w:line="320" w:lineRule="auto"/>
      <w:outlineLvl w:val="8"/>
    </w:pPr>
    <w:rPr>
      <w:rFonts w:ascii="Arial" w:hAnsi="Arial" w:eastAsia="黑体"/>
      <w:szCs w:val="21"/>
    </w:rPr>
  </w:style>
  <w:style w:type="character" w:default="1" w:styleId="68">
    <w:name w:val="Default Paragraph Font"/>
    <w:link w:val="69"/>
    <w:semiHidden/>
    <w:uiPriority w:val="0"/>
  </w:style>
  <w:style w:type="table" w:default="1" w:styleId="62">
    <w:name w:val="Normal Table"/>
    <w:semiHidden/>
    <w:uiPriority w:val="0"/>
    <w:tblPr>
      <w:tblStyle w:val="62"/>
      <w:tblCellMar>
        <w:top w:w="0" w:type="dxa"/>
        <w:left w:w="108" w:type="dxa"/>
        <w:bottom w:w="0" w:type="dxa"/>
        <w:right w:w="108" w:type="dxa"/>
      </w:tblCellMar>
    </w:tblPr>
  </w:style>
  <w:style w:type="paragraph" w:styleId="11">
    <w:name w:val="List 3"/>
    <w:basedOn w:val="1"/>
    <w:uiPriority w:val="0"/>
    <w:pPr>
      <w:ind w:left="100" w:leftChars="400" w:hanging="200" w:hangingChars="200"/>
    </w:pPr>
  </w:style>
  <w:style w:type="paragraph" w:styleId="12">
    <w:name w:val="toc 7"/>
    <w:basedOn w:val="1"/>
    <w:next w:val="1"/>
    <w:semiHidden/>
    <w:uiPriority w:val="0"/>
    <w:pPr>
      <w:ind w:left="2520" w:leftChars="1200"/>
    </w:pPr>
  </w:style>
  <w:style w:type="paragraph" w:styleId="13">
    <w:name w:val="table of authorities"/>
    <w:basedOn w:val="1"/>
    <w:next w:val="1"/>
    <w:semiHidden/>
    <w:uiPriority w:val="0"/>
    <w:pPr>
      <w:ind w:left="420" w:leftChars="200"/>
    </w:pPr>
  </w:style>
  <w:style w:type="paragraph" w:styleId="14">
    <w:name w:val="index 8"/>
    <w:basedOn w:val="1"/>
    <w:next w:val="1"/>
    <w:semiHidden/>
    <w:uiPriority w:val="0"/>
    <w:pPr>
      <w:ind w:left="1400" w:leftChars="1400"/>
    </w:pPr>
  </w:style>
  <w:style w:type="paragraph" w:styleId="15">
    <w:name w:val="Normal Indent"/>
    <w:basedOn w:val="1"/>
    <w:link w:val="102"/>
    <w:uiPriority w:val="0"/>
    <w:pPr>
      <w:ind w:firstLine="420" w:firstLineChars="200"/>
    </w:pPr>
    <w:rPr>
      <w:sz w:val="28"/>
      <w:szCs w:val="20"/>
    </w:rPr>
  </w:style>
  <w:style w:type="paragraph" w:styleId="16">
    <w:name w:val="caption"/>
    <w:basedOn w:val="1"/>
    <w:next w:val="1"/>
    <w:qFormat/>
    <w:uiPriority w:val="0"/>
    <w:pPr>
      <w:widowControl/>
      <w:spacing w:line="360" w:lineRule="auto"/>
      <w:ind w:firstLine="567"/>
      <w:jc w:val="left"/>
    </w:pPr>
    <w:rPr>
      <w:rFonts w:ascii="Arial" w:hAnsi="Arial" w:eastAsia="黑体" w:cs="Arial"/>
      <w:kern w:val="0"/>
      <w:sz w:val="20"/>
      <w:szCs w:val="20"/>
    </w:rPr>
  </w:style>
  <w:style w:type="paragraph" w:styleId="17">
    <w:name w:val="List Bullet"/>
    <w:basedOn w:val="1"/>
    <w:uiPriority w:val="0"/>
    <w:pPr>
      <w:tabs>
        <w:tab w:val="left" w:pos="360"/>
      </w:tabs>
      <w:ind w:left="360" w:hanging="360" w:hangingChars="200"/>
    </w:pPr>
  </w:style>
  <w:style w:type="paragraph" w:styleId="18">
    <w:name w:val="envelope address"/>
    <w:basedOn w:val="1"/>
    <w:uiPriority w:val="0"/>
    <w:pPr>
      <w:framePr w:w="5040" w:h="1980" w:hRule="exact" w:hSpace="180" w:wrap="around" w:vAnchor="page" w:hAnchor="page" w:x="1702" w:y="1759"/>
      <w:snapToGrid w:val="0"/>
      <w:jc w:val="left"/>
    </w:pPr>
    <w:rPr>
      <w:rFonts w:ascii="Arial" w:hAnsi="Arial" w:cs="Arial"/>
      <w:sz w:val="24"/>
    </w:rPr>
  </w:style>
  <w:style w:type="paragraph" w:styleId="19">
    <w:name w:val="Document Map"/>
    <w:basedOn w:val="1"/>
    <w:link w:val="94"/>
    <w:semiHidden/>
    <w:uiPriority w:val="0"/>
    <w:pPr>
      <w:shd w:val="clear" w:color="auto" w:fill="000080"/>
    </w:pPr>
  </w:style>
  <w:style w:type="paragraph" w:styleId="20">
    <w:name w:val="annotation text"/>
    <w:basedOn w:val="1"/>
    <w:semiHidden/>
    <w:uiPriority w:val="0"/>
    <w:pPr>
      <w:jc w:val="left"/>
    </w:pPr>
  </w:style>
  <w:style w:type="paragraph" w:styleId="21">
    <w:name w:val="Body Text 3"/>
    <w:basedOn w:val="1"/>
    <w:uiPriority w:val="0"/>
    <w:rPr>
      <w:sz w:val="28"/>
    </w:rPr>
  </w:style>
  <w:style w:type="paragraph" w:styleId="22">
    <w:name w:val="Body Text"/>
    <w:basedOn w:val="1"/>
    <w:link w:val="116"/>
    <w:uiPriority w:val="0"/>
    <w:pPr>
      <w:spacing w:line="360" w:lineRule="auto"/>
    </w:pPr>
    <w:rPr>
      <w:sz w:val="24"/>
    </w:rPr>
  </w:style>
  <w:style w:type="paragraph" w:styleId="23">
    <w:name w:val="Body Text Indent"/>
    <w:basedOn w:val="1"/>
    <w:link w:val="169"/>
    <w:uiPriority w:val="0"/>
    <w:pPr>
      <w:spacing w:line="360" w:lineRule="auto"/>
      <w:ind w:firstLine="480" w:firstLineChars="200"/>
    </w:pPr>
    <w:rPr>
      <w:rFonts w:ascii="宋体" w:hAnsi="宋体"/>
      <w:sz w:val="24"/>
    </w:rPr>
  </w:style>
  <w:style w:type="paragraph" w:styleId="24">
    <w:name w:val="List 2"/>
    <w:basedOn w:val="1"/>
    <w:uiPriority w:val="0"/>
    <w:pPr>
      <w:ind w:left="100" w:leftChars="200" w:hanging="200" w:hangingChars="200"/>
    </w:pPr>
  </w:style>
  <w:style w:type="paragraph" w:styleId="25">
    <w:name w:val="List Continue"/>
    <w:basedOn w:val="1"/>
    <w:uiPriority w:val="0"/>
    <w:pPr>
      <w:spacing w:after="120"/>
      <w:ind w:left="420" w:leftChars="200"/>
    </w:pPr>
    <w:rPr>
      <w:bCs/>
      <w:sz w:val="28"/>
    </w:rPr>
  </w:style>
  <w:style w:type="paragraph" w:styleId="26">
    <w:name w:val="Block Text"/>
    <w:basedOn w:val="1"/>
    <w:uiPriority w:val="0"/>
    <w:pPr>
      <w:spacing w:line="320" w:lineRule="exact"/>
      <w:ind w:left="-2" w:leftChars="-1" w:right="-44" w:rightChars="-21" w:firstLine="21" w:firstLineChars="10"/>
      <w:jc w:val="center"/>
    </w:pPr>
    <w:rPr>
      <w:rFonts w:ascii="宋体" w:hAnsi="宋体"/>
    </w:rPr>
  </w:style>
  <w:style w:type="paragraph" w:styleId="27">
    <w:name w:val="toc 5"/>
    <w:basedOn w:val="1"/>
    <w:next w:val="1"/>
    <w:semiHidden/>
    <w:uiPriority w:val="0"/>
    <w:pPr>
      <w:ind w:left="1680" w:leftChars="800"/>
    </w:pPr>
  </w:style>
  <w:style w:type="paragraph" w:styleId="28">
    <w:name w:val="toc 3"/>
    <w:basedOn w:val="1"/>
    <w:next w:val="1"/>
    <w:semiHidden/>
    <w:uiPriority w:val="0"/>
    <w:pPr>
      <w:ind w:left="840" w:leftChars="400"/>
    </w:pPr>
  </w:style>
  <w:style w:type="paragraph" w:styleId="29">
    <w:name w:val="Plain Text"/>
    <w:basedOn w:val="1"/>
    <w:link w:val="111"/>
    <w:uiPriority w:val="0"/>
    <w:rPr>
      <w:rFonts w:ascii="宋体" w:hAnsi="Courier New" w:cs="Courier New"/>
      <w:szCs w:val="21"/>
    </w:rPr>
  </w:style>
  <w:style w:type="paragraph" w:styleId="30">
    <w:name w:val="toc 8"/>
    <w:basedOn w:val="1"/>
    <w:next w:val="1"/>
    <w:semiHidden/>
    <w:uiPriority w:val="0"/>
    <w:pPr>
      <w:ind w:left="2940" w:leftChars="1400"/>
    </w:pPr>
  </w:style>
  <w:style w:type="paragraph" w:styleId="31">
    <w:name w:val="Date"/>
    <w:basedOn w:val="1"/>
    <w:next w:val="1"/>
    <w:link w:val="143"/>
    <w:uiPriority w:val="0"/>
    <w:pPr>
      <w:ind w:left="100" w:leftChars="2500"/>
    </w:pPr>
    <w:rPr>
      <w:rFonts w:ascii="宋体" w:hAnsi="宋体"/>
      <w:sz w:val="30"/>
    </w:rPr>
  </w:style>
  <w:style w:type="paragraph" w:styleId="32">
    <w:name w:val="Body Text Indent 2"/>
    <w:basedOn w:val="1"/>
    <w:link w:val="167"/>
    <w:uiPriority w:val="0"/>
    <w:pPr>
      <w:spacing w:line="360" w:lineRule="auto"/>
      <w:ind w:firstLine="560"/>
    </w:pPr>
    <w:rPr>
      <w:sz w:val="24"/>
    </w:rPr>
  </w:style>
  <w:style w:type="paragraph" w:styleId="33">
    <w:name w:val="endnote text"/>
    <w:basedOn w:val="1"/>
    <w:semiHidden/>
    <w:uiPriority w:val="0"/>
    <w:pPr>
      <w:widowControl/>
      <w:spacing w:line="1644" w:lineRule="atLeast"/>
      <w:ind w:firstLine="419"/>
      <w:jc w:val="left"/>
      <w:textAlignment w:val="baseline"/>
    </w:pPr>
    <w:rPr>
      <w:color w:val="000000"/>
      <w:kern w:val="0"/>
      <w:szCs w:val="20"/>
      <w:u w:val="none" w:color="000000"/>
    </w:rPr>
  </w:style>
  <w:style w:type="paragraph" w:styleId="34">
    <w:name w:val="List Continue 5"/>
    <w:basedOn w:val="1"/>
    <w:uiPriority w:val="0"/>
    <w:pPr>
      <w:spacing w:after="120"/>
      <w:ind w:left="2100" w:leftChars="1000"/>
    </w:pPr>
  </w:style>
  <w:style w:type="paragraph" w:styleId="35">
    <w:name w:val="Balloon Text"/>
    <w:basedOn w:val="1"/>
    <w:semiHidden/>
    <w:uiPriority w:val="0"/>
    <w:rPr>
      <w:sz w:val="18"/>
      <w:szCs w:val="18"/>
    </w:rPr>
  </w:style>
  <w:style w:type="paragraph" w:styleId="36">
    <w:name w:val="footer"/>
    <w:basedOn w:val="1"/>
    <w:link w:val="160"/>
    <w:uiPriority w:val="0"/>
    <w:pPr>
      <w:tabs>
        <w:tab w:val="center" w:pos="4153"/>
        <w:tab w:val="right" w:pos="8306"/>
      </w:tabs>
      <w:snapToGrid w:val="0"/>
      <w:jc w:val="left"/>
    </w:pPr>
    <w:rPr>
      <w:sz w:val="18"/>
      <w:szCs w:val="18"/>
    </w:rPr>
  </w:style>
  <w:style w:type="paragraph" w:styleId="37">
    <w:name w:val="envelope return"/>
    <w:basedOn w:val="1"/>
    <w:uiPriority w:val="0"/>
    <w:pPr>
      <w:framePr w:w="4320" w:h="1440" w:hRule="exact" w:hSpace="180" w:wrap="around" w:vAnchor="page" w:hAnchor="page" w:x="1702" w:y="3970"/>
      <w:snapToGrid w:val="0"/>
    </w:pPr>
    <w:rPr>
      <w:rFonts w:ascii="Arial" w:hAnsi="Arial" w:cs="Arial"/>
    </w:rPr>
  </w:style>
  <w:style w:type="paragraph" w:styleId="38">
    <w:name w:val="header"/>
    <w:basedOn w:val="1"/>
    <w:link w:val="91"/>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uiPriority w:val="0"/>
    <w:pPr>
      <w:ind w:left="100" w:leftChars="2100"/>
    </w:pPr>
  </w:style>
  <w:style w:type="paragraph" w:styleId="40">
    <w:name w:val="toc 1"/>
    <w:basedOn w:val="1"/>
    <w:next w:val="1"/>
    <w:semiHidden/>
    <w:uiPriority w:val="0"/>
  </w:style>
  <w:style w:type="paragraph" w:styleId="41">
    <w:name w:val="List Continue 4"/>
    <w:basedOn w:val="1"/>
    <w:uiPriority w:val="0"/>
    <w:pPr>
      <w:spacing w:after="120"/>
      <w:ind w:left="1680" w:leftChars="800"/>
    </w:pPr>
  </w:style>
  <w:style w:type="paragraph" w:styleId="42">
    <w:name w:val="toc 4"/>
    <w:basedOn w:val="1"/>
    <w:next w:val="1"/>
    <w:semiHidden/>
    <w:uiPriority w:val="0"/>
    <w:pPr>
      <w:ind w:left="1260" w:leftChars="600"/>
    </w:pPr>
  </w:style>
  <w:style w:type="paragraph" w:styleId="43">
    <w:name w:val="index heading"/>
    <w:basedOn w:val="1"/>
    <w:next w:val="44"/>
    <w:semiHidden/>
    <w:uiPriority w:val="0"/>
    <w:pPr>
      <w:adjustRightInd w:val="0"/>
      <w:spacing w:line="380" w:lineRule="exact"/>
      <w:ind w:firstLine="539"/>
      <w:textAlignment w:val="baseline"/>
    </w:pPr>
    <w:rPr>
      <w:kern w:val="0"/>
      <w:sz w:val="24"/>
      <w:szCs w:val="20"/>
    </w:rPr>
  </w:style>
  <w:style w:type="paragraph" w:styleId="44">
    <w:name w:val="index 1"/>
    <w:basedOn w:val="1"/>
    <w:next w:val="1"/>
    <w:semiHidden/>
    <w:uiPriority w:val="0"/>
  </w:style>
  <w:style w:type="paragraph" w:styleId="45">
    <w:name w:val="List"/>
    <w:basedOn w:val="1"/>
    <w:uiPriority w:val="0"/>
    <w:pPr>
      <w:jc w:val="center"/>
    </w:pPr>
    <w:rPr>
      <w:sz w:val="24"/>
      <w:szCs w:val="20"/>
    </w:rPr>
  </w:style>
  <w:style w:type="paragraph" w:styleId="46">
    <w:name w:val="footnote text"/>
    <w:basedOn w:val="1"/>
    <w:semiHidden/>
    <w:uiPriority w:val="0"/>
    <w:pPr>
      <w:widowControl/>
      <w:spacing w:line="1439" w:lineRule="atLeast"/>
      <w:ind w:firstLine="419"/>
      <w:jc w:val="left"/>
      <w:textAlignment w:val="baseline"/>
    </w:pPr>
    <w:rPr>
      <w:color w:val="000000"/>
      <w:kern w:val="0"/>
      <w:sz w:val="18"/>
      <w:szCs w:val="20"/>
      <w:u w:val="none" w:color="000000"/>
    </w:rPr>
  </w:style>
  <w:style w:type="paragraph" w:styleId="47">
    <w:name w:val="toc 6"/>
    <w:basedOn w:val="1"/>
    <w:next w:val="1"/>
    <w:semiHidden/>
    <w:uiPriority w:val="0"/>
    <w:pPr>
      <w:ind w:left="2100" w:leftChars="1000"/>
    </w:pPr>
  </w:style>
  <w:style w:type="paragraph" w:styleId="48">
    <w:name w:val="List 5"/>
    <w:basedOn w:val="1"/>
    <w:uiPriority w:val="0"/>
    <w:pPr>
      <w:ind w:left="100" w:leftChars="800" w:hanging="200" w:hangingChars="200"/>
    </w:pPr>
  </w:style>
  <w:style w:type="paragraph" w:styleId="49">
    <w:name w:val="Body Text Indent 3"/>
    <w:basedOn w:val="1"/>
    <w:link w:val="114"/>
    <w:uiPriority w:val="0"/>
    <w:pPr>
      <w:spacing w:line="360" w:lineRule="auto"/>
      <w:ind w:firstLine="480" w:firstLineChars="200"/>
    </w:pPr>
    <w:rPr>
      <w:color w:val="000000"/>
      <w:sz w:val="24"/>
    </w:rPr>
  </w:style>
  <w:style w:type="paragraph" w:styleId="50">
    <w:name w:val="table of figures"/>
    <w:basedOn w:val="1"/>
    <w:next w:val="1"/>
    <w:semiHidden/>
    <w:uiPriority w:val="0"/>
    <w:pPr>
      <w:ind w:left="840" w:leftChars="200" w:hanging="420" w:hangingChars="200"/>
    </w:pPr>
  </w:style>
  <w:style w:type="paragraph" w:styleId="51">
    <w:name w:val="toc 2"/>
    <w:basedOn w:val="1"/>
    <w:next w:val="1"/>
    <w:semiHidden/>
    <w:uiPriority w:val="0"/>
    <w:pPr>
      <w:ind w:left="420" w:leftChars="200"/>
    </w:pPr>
  </w:style>
  <w:style w:type="paragraph" w:styleId="52">
    <w:name w:val="toc 9"/>
    <w:basedOn w:val="1"/>
    <w:next w:val="1"/>
    <w:semiHidden/>
    <w:uiPriority w:val="0"/>
    <w:pPr>
      <w:ind w:left="3360" w:leftChars="1600"/>
    </w:pPr>
  </w:style>
  <w:style w:type="paragraph" w:styleId="53">
    <w:name w:val="Body Text 2"/>
    <w:basedOn w:val="1"/>
    <w:uiPriority w:val="0"/>
    <w:pPr>
      <w:keepLines/>
      <w:spacing w:line="360" w:lineRule="auto"/>
    </w:pPr>
    <w:rPr>
      <w:color w:val="000000"/>
      <w:sz w:val="24"/>
    </w:rPr>
  </w:style>
  <w:style w:type="paragraph" w:styleId="54">
    <w:name w:val="List 4"/>
    <w:basedOn w:val="1"/>
    <w:uiPriority w:val="0"/>
    <w:pPr>
      <w:ind w:left="100" w:leftChars="600" w:hanging="200" w:hangingChars="200"/>
    </w:pPr>
  </w:style>
  <w:style w:type="paragraph" w:styleId="55">
    <w:name w:val="List Continue 2"/>
    <w:basedOn w:val="1"/>
    <w:uiPriority w:val="0"/>
    <w:pPr>
      <w:spacing w:after="120"/>
      <w:ind w:left="840" w:leftChars="400"/>
    </w:pPr>
  </w:style>
  <w:style w:type="paragraph" w:styleId="56">
    <w:name w:val="Normal (Web)"/>
    <w:basedOn w:val="1"/>
    <w:uiPriority w:val="0"/>
    <w:pPr>
      <w:widowControl/>
      <w:spacing w:before="100" w:beforeAutospacing="1" w:after="100" w:afterAutospacing="1"/>
      <w:jc w:val="left"/>
    </w:pPr>
    <w:rPr>
      <w:rFonts w:ascii="宋体" w:hAnsi="宋体" w:cs="宋体"/>
      <w:kern w:val="0"/>
      <w:sz w:val="24"/>
    </w:rPr>
  </w:style>
  <w:style w:type="paragraph" w:styleId="57">
    <w:name w:val="List Continue 3"/>
    <w:basedOn w:val="1"/>
    <w:uiPriority w:val="0"/>
    <w:pPr>
      <w:spacing w:after="120"/>
      <w:ind w:left="1260" w:leftChars="600"/>
    </w:pPr>
  </w:style>
  <w:style w:type="paragraph" w:styleId="58">
    <w:name w:val="index 2"/>
    <w:basedOn w:val="1"/>
    <w:next w:val="1"/>
    <w:semiHidden/>
    <w:uiPriority w:val="0"/>
    <w:pPr>
      <w:ind w:left="200" w:leftChars="200"/>
    </w:pPr>
  </w:style>
  <w:style w:type="paragraph" w:styleId="59">
    <w:name w:val="Title"/>
    <w:basedOn w:val="1"/>
    <w:uiPriority w:val="0"/>
    <w:pPr>
      <w:spacing w:before="240" w:after="60"/>
      <w:jc w:val="center"/>
      <w:outlineLvl w:val="0"/>
    </w:pPr>
    <w:rPr>
      <w:rFonts w:ascii="Arial" w:hAnsi="Arial" w:cs="Arial"/>
      <w:b/>
      <w:bCs/>
      <w:sz w:val="32"/>
      <w:szCs w:val="32"/>
    </w:rPr>
  </w:style>
  <w:style w:type="paragraph" w:styleId="60">
    <w:name w:val="annotation subject"/>
    <w:basedOn w:val="20"/>
    <w:next w:val="20"/>
    <w:semiHidden/>
    <w:uiPriority w:val="0"/>
    <w:rPr>
      <w:b/>
      <w:bCs/>
    </w:rPr>
  </w:style>
  <w:style w:type="paragraph" w:styleId="61">
    <w:name w:val="Body Text First Indent"/>
    <w:basedOn w:val="22"/>
    <w:uiPriority w:val="0"/>
    <w:pPr>
      <w:spacing w:after="120" w:line="240" w:lineRule="auto"/>
      <w:ind w:firstLine="420" w:firstLineChars="100"/>
    </w:pPr>
    <w:rPr>
      <w:sz w:val="21"/>
    </w:rPr>
  </w:style>
  <w:style w:type="table" w:styleId="63">
    <w:name w:val="Table Grid"/>
    <w:basedOn w:val="62"/>
    <w:uiPriority w:val="0"/>
    <w:pPr>
      <w:widowControl w:val="0"/>
      <w:jc w:val="both"/>
    </w:p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uiPriority w:val="0"/>
    <w:pPr>
      <w:widowControl w:val="0"/>
      <w:jc w:val="both"/>
    </w:p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List 5"/>
    <w:basedOn w:val="62"/>
    <w:semiHidden/>
    <w:uiPriority w:val="0"/>
    <w:pPr>
      <w:widowControl w:val="0"/>
      <w:jc w:val="both"/>
    </w:pPr>
    <w:tblPr>
      <w:tblStyle w:val="62"/>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blStyle w:val="62"/>
      </w:tblPr>
      <w:tcPr>
        <w:tcBorders>
          <w:top w:val="nil"/>
          <w:left w:val="single" w:color="000000" w:sz="12" w:space="0"/>
          <w:bottom w:val="nil"/>
          <w:right w:val="nil"/>
          <w:insideH w:val="nil"/>
          <w:insideV w:val="nil"/>
          <w:tl2br w:val="nil"/>
          <w:tr2bl w:val="nil"/>
        </w:tcBorders>
      </w:tcPr>
    </w:tblStylePr>
    <w:tblStylePr w:type="firstCol">
      <w:rPr>
        <w:b/>
        <w:bCs/>
      </w:rPr>
      <w:tblPr>
        <w:tblStyle w:val="62"/>
      </w:tblPr>
      <w:tcPr>
        <w:tcBorders>
          <w:top w:val="nil"/>
          <w:left w:val="nil"/>
          <w:bottom w:val="nil"/>
          <w:right w:val="nil"/>
          <w:insideH w:val="nil"/>
          <w:insideV w:val="nil"/>
          <w:tl2br w:val="nil"/>
          <w:tr2bl w:val="nil"/>
        </w:tcBorders>
      </w:tcPr>
    </w:tblStylePr>
  </w:style>
  <w:style w:type="table" w:styleId="66">
    <w:name w:val="Table Grid 5"/>
    <w:basedOn w:val="62"/>
    <w:uiPriority w:val="0"/>
    <w:pPr>
      <w:widowControl w:val="0"/>
      <w:jc w:val="both"/>
    </w:pPr>
    <w:tblPr>
      <w:tblStyle w:val="62"/>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blStyle w:val="62"/>
      </w:tblPr>
      <w:tcPr>
        <w:tcBorders>
          <w:top w:val="nil"/>
          <w:left w:val="single" w:color="000000" w:sz="12" w:space="0"/>
          <w:bottom w:val="nil"/>
          <w:right w:val="nil"/>
          <w:insideH w:val="nil"/>
          <w:insideV w:val="nil"/>
          <w:tl2br w:val="nil"/>
          <w:tr2bl w:val="nil"/>
        </w:tcBorders>
      </w:tcPr>
    </w:tblStylePr>
    <w:tblStylePr w:type="lastRow">
      <w:rPr>
        <w:b/>
        <w:bCs/>
      </w:rPr>
      <w:tblPr>
        <w:tblStyle w:val="62"/>
      </w:tblPr>
      <w:tcPr>
        <w:tcBorders>
          <w:top w:val="nil"/>
          <w:left w:val="nil"/>
          <w:bottom w:val="nil"/>
          <w:right w:val="nil"/>
          <w:insideH w:val="nil"/>
          <w:insideV w:val="nil"/>
          <w:tl2br w:val="nil"/>
          <w:tr2bl w:val="nil"/>
        </w:tcBorders>
      </w:tcPr>
    </w:tblStylePr>
    <w:tblStylePr w:type="lastCol">
      <w:rPr>
        <w:b/>
        <w:bCs/>
      </w:rPr>
      <w:tblPr>
        <w:tblStyle w:val="62"/>
      </w:tblPr>
      <w:tcPr>
        <w:tcBorders>
          <w:top w:val="nil"/>
          <w:left w:val="nil"/>
          <w:bottom w:val="nil"/>
          <w:right w:val="nil"/>
          <w:insideH w:val="nil"/>
          <w:insideV w:val="nil"/>
          <w:tl2br w:val="nil"/>
          <w:tr2bl w:val="nil"/>
        </w:tcBorders>
      </w:tcPr>
    </w:tblStylePr>
    <w:tblStylePr w:type="nwCell">
      <w:tblPr>
        <w:tblStyle w:val="62"/>
      </w:tblPr>
      <w:tcPr>
        <w:tcBorders>
          <w:top w:val="nil"/>
          <w:left w:val="nil"/>
          <w:bottom w:val="nil"/>
          <w:right w:val="nil"/>
          <w:insideH w:val="nil"/>
          <w:insideV w:val="nil"/>
          <w:tl2br w:val="single" w:color="000000" w:sz="6" w:space="0"/>
          <w:tr2bl w:val="nil"/>
        </w:tcBorders>
      </w:tcPr>
    </w:tblStylePr>
  </w:style>
  <w:style w:type="table" w:styleId="67">
    <w:name w:val="Table Grid 7"/>
    <w:basedOn w:val="62"/>
    <w:uiPriority w:val="0"/>
    <w:pPr>
      <w:widowControl w:val="0"/>
      <w:jc w:val="both"/>
    </w:pPr>
    <w:rPr>
      <w:b/>
      <w:bCs/>
    </w:rPr>
    <w:tblPr>
      <w:tblStyle w:val="62"/>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blStyle w:val="62"/>
      </w:tblPr>
      <w:tcPr>
        <w:tcBorders>
          <w:top w:val="nil"/>
          <w:left w:val="single" w:color="000000" w:sz="12" w:space="0"/>
          <w:bottom w:val="nil"/>
          <w:right w:val="nil"/>
          <w:insideH w:val="nil"/>
          <w:insideV w:val="nil"/>
          <w:tl2br w:val="nil"/>
          <w:tr2bl w:val="nil"/>
        </w:tcBorders>
      </w:tcPr>
    </w:tblStylePr>
    <w:tblStylePr w:type="lastRow">
      <w:rPr>
        <w:b w:val="0"/>
        <w:bCs w:val="0"/>
      </w:rPr>
      <w:tblPr>
        <w:tblStyle w:val="62"/>
      </w:tblPr>
      <w:tcPr>
        <w:tcBorders>
          <w:top w:val="single" w:color="000000" w:sz="6" w:space="0"/>
          <w:left w:val="nil"/>
          <w:bottom w:val="nil"/>
          <w:right w:val="nil"/>
          <w:insideH w:val="nil"/>
          <w:insideV w:val="nil"/>
          <w:tl2br w:val="nil"/>
          <w:tr2bl w:val="nil"/>
        </w:tcBorders>
      </w:tcPr>
    </w:tblStylePr>
    <w:tblStylePr w:type="firstCol">
      <w:rPr>
        <w:b w:val="0"/>
        <w:bCs w:val="0"/>
      </w:rPr>
      <w:tblPr>
        <w:tblStyle w:val="62"/>
      </w:tblPr>
      <w:tcPr>
        <w:tcBorders>
          <w:top w:val="nil"/>
          <w:left w:val="nil"/>
          <w:bottom w:val="nil"/>
          <w:right w:val="nil"/>
          <w:insideH w:val="nil"/>
          <w:insideV w:val="nil"/>
          <w:tl2br w:val="nil"/>
          <w:tr2bl w:val="nil"/>
        </w:tcBorders>
      </w:tcPr>
    </w:tblStylePr>
    <w:tblStylePr w:type="lastCol">
      <w:rPr>
        <w:b w:val="0"/>
        <w:bCs w:val="0"/>
      </w:rPr>
      <w:tblPr>
        <w:tblStyle w:val="62"/>
      </w:tblPr>
      <w:tcPr>
        <w:tcBorders>
          <w:top w:val="nil"/>
          <w:left w:val="nil"/>
          <w:bottom w:val="nil"/>
          <w:right w:val="nil"/>
          <w:insideH w:val="nil"/>
          <w:insideV w:val="nil"/>
          <w:tl2br w:val="nil"/>
          <w:tr2bl w:val="nil"/>
        </w:tcBorders>
      </w:tcPr>
    </w:tblStylePr>
    <w:tblStylePr w:type="nwCell">
      <w:tblPr>
        <w:tblStyle w:val="62"/>
      </w:tblPr>
      <w:tcPr>
        <w:tcBorders>
          <w:top w:val="nil"/>
          <w:left w:val="nil"/>
          <w:bottom w:val="nil"/>
          <w:right w:val="nil"/>
          <w:insideH w:val="nil"/>
          <w:insideV w:val="nil"/>
          <w:tl2br w:val="single" w:color="000000" w:sz="6" w:space="0"/>
          <w:tr2bl w:val="nil"/>
        </w:tcBorders>
      </w:tcPr>
    </w:tblStylePr>
  </w:style>
  <w:style w:type="paragraph" w:customStyle="1" w:styleId="69">
    <w:name w:val=" Char4 Char Char Char"/>
    <w:basedOn w:val="1"/>
    <w:link w:val="68"/>
    <w:semiHidden/>
    <w:uiPriority w:val="0"/>
    <w:pPr>
      <w:adjustRightInd w:val="0"/>
      <w:snapToGrid w:val="0"/>
      <w:spacing w:line="360" w:lineRule="auto"/>
      <w:ind w:firstLine="200" w:firstLineChars="200"/>
    </w:pPr>
    <w:rPr>
      <w:rFonts w:ascii="宋体" w:hAnsi="宋体" w:cs="宋体"/>
      <w:sz w:val="24"/>
      <w:szCs w:val="26"/>
    </w:rPr>
  </w:style>
  <w:style w:type="character" w:styleId="70">
    <w:name w:val="Strong"/>
    <w:basedOn w:val="68"/>
    <w:uiPriority w:val="0"/>
    <w:rPr>
      <w:b/>
      <w:bCs/>
    </w:rPr>
  </w:style>
  <w:style w:type="character" w:styleId="71">
    <w:name w:val="endnote reference"/>
    <w:basedOn w:val="68"/>
    <w:semiHidden/>
    <w:uiPriority w:val="0"/>
    <w:rPr>
      <w:rFonts w:ascii="Times New Roman" w:eastAsia="宋体"/>
      <w:color w:val="000000"/>
      <w:spacing w:val="0"/>
      <w:w w:val="100"/>
      <w:sz w:val="21"/>
      <w:u w:val="none" w:color="000000"/>
      <w:vertAlign w:val="superscript"/>
      <w:lang w:val="en-US" w:eastAsia="zh-CN"/>
    </w:rPr>
  </w:style>
  <w:style w:type="character" w:styleId="72">
    <w:name w:val="page number"/>
    <w:basedOn w:val="68"/>
    <w:uiPriority w:val="0"/>
  </w:style>
  <w:style w:type="character" w:styleId="73">
    <w:name w:val="FollowedHyperlink"/>
    <w:basedOn w:val="68"/>
    <w:uiPriority w:val="0"/>
    <w:rPr>
      <w:color w:val="800080"/>
      <w:u w:val="single"/>
    </w:rPr>
  </w:style>
  <w:style w:type="character" w:styleId="74">
    <w:name w:val="Hyperlink"/>
    <w:basedOn w:val="68"/>
    <w:uiPriority w:val="0"/>
    <w:rPr>
      <w:color w:val="0000FF"/>
      <w:u w:val="single"/>
    </w:rPr>
  </w:style>
  <w:style w:type="character" w:styleId="75">
    <w:name w:val="annotation reference"/>
    <w:basedOn w:val="68"/>
    <w:semiHidden/>
    <w:uiPriority w:val="0"/>
    <w:rPr>
      <w:sz w:val="21"/>
      <w:szCs w:val="21"/>
    </w:rPr>
  </w:style>
  <w:style w:type="character" w:styleId="76">
    <w:name w:val="footnote reference"/>
    <w:basedOn w:val="68"/>
    <w:semiHidden/>
    <w:uiPriority w:val="0"/>
    <w:rPr>
      <w:rFonts w:ascii="Times New Roman" w:eastAsia="宋体"/>
      <w:color w:val="000000"/>
      <w:spacing w:val="0"/>
      <w:w w:val="100"/>
      <w:sz w:val="21"/>
      <w:u w:val="none" w:color="000000"/>
      <w:vertAlign w:val="superscript"/>
      <w:lang w:val="en-US" w:eastAsia="zh-CN"/>
    </w:rPr>
  </w:style>
  <w:style w:type="character" w:customStyle="1" w:styleId="77">
    <w:name w:val=" Char Char1"/>
    <w:basedOn w:val="68"/>
    <w:uiPriority w:val="0"/>
    <w:rPr>
      <w:rFonts w:eastAsia="宋体"/>
      <w:kern w:val="2"/>
      <w:sz w:val="18"/>
      <w:szCs w:val="18"/>
      <w:lang w:val="en-US" w:eastAsia="zh-CN" w:bidi="ar-SA"/>
    </w:rPr>
  </w:style>
  <w:style w:type="character" w:customStyle="1" w:styleId="78">
    <w:name w:val="样式1 Char"/>
    <w:basedOn w:val="68"/>
    <w:link w:val="79"/>
    <w:uiPriority w:val="0"/>
    <w:rPr>
      <w:rFonts w:ascii="Arial" w:hAnsi="Arial" w:eastAsia="宋体"/>
      <w:b/>
      <w:bCs/>
      <w:spacing w:val="20"/>
      <w:sz w:val="28"/>
      <w:szCs w:val="28"/>
      <w:lang w:val="en-US" w:eastAsia="zh-CN" w:bidi="ar-SA"/>
    </w:rPr>
  </w:style>
  <w:style w:type="paragraph" w:customStyle="1" w:styleId="79">
    <w:name w:val="样式1"/>
    <w:basedOn w:val="3"/>
    <w:link w:val="78"/>
    <w:uiPriority w:val="0"/>
    <w:pPr>
      <w:keepLines/>
      <w:widowControl/>
      <w:spacing w:before="120" w:after="120"/>
      <w:ind w:firstLine="539" w:firstLineChars="0"/>
      <w:jc w:val="left"/>
    </w:pPr>
    <w:rPr>
      <w:rFonts w:ascii="Arial" w:hAnsi="Arial"/>
      <w:b/>
      <w:bCs/>
      <w:spacing w:val="20"/>
      <w:kern w:val="0"/>
      <w:szCs w:val="28"/>
    </w:rPr>
  </w:style>
  <w:style w:type="character" w:customStyle="1" w:styleId="80">
    <w:name w:val="习水正文 Char Char"/>
    <w:basedOn w:val="68"/>
    <w:link w:val="81"/>
    <w:uiPriority w:val="0"/>
    <w:rPr>
      <w:rFonts w:eastAsia="仿宋_GB2312"/>
      <w:kern w:val="2"/>
      <w:sz w:val="28"/>
      <w:szCs w:val="28"/>
      <w:lang w:val="en-US" w:eastAsia="zh-CN" w:bidi="ar-SA"/>
    </w:rPr>
  </w:style>
  <w:style w:type="paragraph" w:customStyle="1" w:styleId="81">
    <w:name w:val="习水正文"/>
    <w:basedOn w:val="1"/>
    <w:link w:val="80"/>
    <w:uiPriority w:val="0"/>
    <w:pPr>
      <w:ind w:firstLine="560" w:firstLineChars="200"/>
    </w:pPr>
    <w:rPr>
      <w:rFonts w:eastAsia="仿宋_GB2312"/>
      <w:sz w:val="28"/>
      <w:szCs w:val="28"/>
    </w:rPr>
  </w:style>
  <w:style w:type="character" w:customStyle="1" w:styleId="82">
    <w:name w:val="unnamed4"/>
    <w:basedOn w:val="68"/>
    <w:uiPriority w:val="0"/>
  </w:style>
  <w:style w:type="character" w:customStyle="1" w:styleId="83">
    <w:name w:val="条标题1.1.1 Char1"/>
    <w:aliases w:val="条标题1.1.1 Char Char Char"/>
    <w:basedOn w:val="68"/>
    <w:uiPriority w:val="0"/>
    <w:rPr>
      <w:rFonts w:ascii="宋体" w:eastAsia="宋体"/>
      <w:b/>
      <w:color w:val="000000"/>
      <w:sz w:val="32"/>
      <w:lang w:val="en-US" w:eastAsia="zh-CN" w:bidi="ar-SA"/>
    </w:rPr>
  </w:style>
  <w:style w:type="character" w:customStyle="1" w:styleId="84">
    <w:name w:val="a1 Char2"/>
    <w:basedOn w:val="68"/>
    <w:uiPriority w:val="0"/>
    <w:rPr>
      <w:rFonts w:ascii="宋体" w:eastAsia="宋体"/>
      <w:kern w:val="2"/>
      <w:sz w:val="24"/>
      <w:lang w:val="en-US" w:eastAsia="zh-CN" w:bidi="ar-SA"/>
    </w:rPr>
  </w:style>
  <w:style w:type="character" w:customStyle="1" w:styleId="85">
    <w:name w:val="a11"/>
    <w:basedOn w:val="68"/>
    <w:uiPriority w:val="0"/>
    <w:rPr>
      <w:color w:val="000000"/>
      <w:u w:val="none"/>
    </w:rPr>
  </w:style>
  <w:style w:type="character" w:customStyle="1" w:styleId="86">
    <w:name w:val="节标题 1.1 Char1"/>
    <w:aliases w:val="b2 Char Char1"/>
    <w:basedOn w:val="68"/>
    <w:uiPriority w:val="0"/>
    <w:rPr>
      <w:rFonts w:ascii="Arial" w:hAnsi="Arial" w:eastAsia="黑体"/>
      <w:b/>
      <w:kern w:val="2"/>
      <w:sz w:val="32"/>
      <w:lang w:val="en-US" w:eastAsia="zh-CN" w:bidi="ar-SA"/>
    </w:rPr>
  </w:style>
  <w:style w:type="character" w:customStyle="1" w:styleId="87">
    <w:name w:val=" Char Char11"/>
    <w:basedOn w:val="68"/>
    <w:uiPriority w:val="0"/>
    <w:rPr>
      <w:rFonts w:eastAsia="宋体"/>
      <w:b/>
      <w:bCs/>
      <w:kern w:val="2"/>
      <w:sz w:val="28"/>
      <w:szCs w:val="28"/>
      <w:lang w:val="en-US" w:eastAsia="zh-CN" w:bidi="ar-SA"/>
    </w:rPr>
  </w:style>
  <w:style w:type="character" w:customStyle="1" w:styleId="88">
    <w:name w:val="a1 Char"/>
    <w:basedOn w:val="68"/>
    <w:link w:val="89"/>
    <w:uiPriority w:val="0"/>
    <w:rPr>
      <w:rFonts w:ascii="宋体" w:eastAsia="宋体"/>
      <w:kern w:val="2"/>
      <w:sz w:val="24"/>
      <w:lang w:val="en-US" w:eastAsia="zh-CN" w:bidi="ar-SA"/>
    </w:rPr>
  </w:style>
  <w:style w:type="paragraph" w:customStyle="1" w:styleId="89">
    <w:name w:val="a1"/>
    <w:basedOn w:val="1"/>
    <w:link w:val="88"/>
    <w:uiPriority w:val="0"/>
    <w:pPr>
      <w:spacing w:line="360" w:lineRule="auto"/>
      <w:ind w:firstLine="493"/>
    </w:pPr>
    <w:rPr>
      <w:rFonts w:ascii="宋体"/>
      <w:sz w:val="24"/>
      <w:szCs w:val="20"/>
    </w:rPr>
  </w:style>
  <w:style w:type="character" w:customStyle="1" w:styleId="90">
    <w:name w:val=" Char Char10"/>
    <w:basedOn w:val="68"/>
    <w:uiPriority w:val="0"/>
    <w:rPr>
      <w:rFonts w:ascii="Arial" w:hAnsi="Arial" w:eastAsia="黑体"/>
      <w:b/>
      <w:kern w:val="2"/>
      <w:sz w:val="24"/>
      <w:lang w:val="en-US" w:eastAsia="zh-CN" w:bidi="ar-SA"/>
    </w:rPr>
  </w:style>
  <w:style w:type="character" w:customStyle="1" w:styleId="91">
    <w:name w:val="En-tête 1.1 Char Char1"/>
    <w:basedOn w:val="68"/>
    <w:link w:val="38"/>
    <w:uiPriority w:val="0"/>
    <w:rPr>
      <w:rFonts w:eastAsia="宋体"/>
      <w:kern w:val="2"/>
      <w:sz w:val="18"/>
      <w:szCs w:val="18"/>
      <w:lang w:val="en-US" w:eastAsia="zh-CN" w:bidi="ar-SA"/>
    </w:rPr>
  </w:style>
  <w:style w:type="character" w:customStyle="1" w:styleId="92">
    <w:name w:val="正文文字 Char Char"/>
    <w:basedOn w:val="68"/>
    <w:uiPriority w:val="0"/>
    <w:rPr>
      <w:rFonts w:eastAsia="宋体"/>
      <w:kern w:val="2"/>
      <w:sz w:val="21"/>
      <w:szCs w:val="24"/>
      <w:lang w:val="en-US" w:eastAsia="zh-CN" w:bidi="ar-SA"/>
    </w:rPr>
  </w:style>
  <w:style w:type="character" w:customStyle="1" w:styleId="93">
    <w:name w:val="正文（首行缩进两字） Char"/>
    <w:basedOn w:val="68"/>
    <w:uiPriority w:val="0"/>
    <w:rPr>
      <w:rFonts w:eastAsia="宋体"/>
      <w:kern w:val="2"/>
      <w:sz w:val="21"/>
      <w:szCs w:val="24"/>
      <w:lang w:val="en-US" w:eastAsia="zh-CN" w:bidi="ar-SA"/>
    </w:rPr>
  </w:style>
  <w:style w:type="character" w:customStyle="1" w:styleId="94">
    <w:name w:val=" Char Char8"/>
    <w:basedOn w:val="68"/>
    <w:link w:val="19"/>
    <w:semiHidden/>
    <w:uiPriority w:val="0"/>
    <w:rPr>
      <w:rFonts w:eastAsia="宋体"/>
      <w:kern w:val="2"/>
      <w:sz w:val="21"/>
      <w:szCs w:val="24"/>
      <w:lang w:val="en-US" w:eastAsia="zh-CN" w:bidi="ar-SA"/>
    </w:rPr>
  </w:style>
  <w:style w:type="character" w:customStyle="1" w:styleId="95">
    <w:name w:val="a2 Char"/>
    <w:basedOn w:val="68"/>
    <w:link w:val="96"/>
    <w:uiPriority w:val="0"/>
    <w:rPr>
      <w:rFonts w:ascii="宋体" w:eastAsia="宋体"/>
      <w:kern w:val="2"/>
      <w:sz w:val="21"/>
      <w:lang w:val="en-US" w:eastAsia="zh-CN" w:bidi="ar-SA"/>
    </w:rPr>
  </w:style>
  <w:style w:type="paragraph" w:customStyle="1" w:styleId="96">
    <w:name w:val="a2"/>
    <w:basedOn w:val="89"/>
    <w:link w:val="95"/>
    <w:uiPriority w:val="0"/>
    <w:pPr>
      <w:spacing w:before="120" w:beforeLines="50" w:line="240" w:lineRule="auto"/>
      <w:ind w:firstLine="0"/>
      <w:jc w:val="center"/>
    </w:pPr>
    <w:rPr>
      <w:sz w:val="21"/>
    </w:rPr>
  </w:style>
  <w:style w:type="character" w:customStyle="1" w:styleId="97">
    <w:name w:val="官寨标题4 Char"/>
    <w:basedOn w:val="68"/>
    <w:uiPriority w:val="0"/>
    <w:rPr>
      <w:rFonts w:eastAsia="宋体"/>
      <w:bCs/>
      <w:snapToGrid w:val="0"/>
      <w:color w:val="000000"/>
      <w:sz w:val="28"/>
      <w:szCs w:val="28"/>
      <w:lang w:val="en-US" w:eastAsia="zh-CN" w:bidi="ar-SA"/>
    </w:rPr>
  </w:style>
  <w:style w:type="character" w:customStyle="1" w:styleId="98">
    <w:name w:val=" Char Char2"/>
    <w:basedOn w:val="68"/>
    <w:uiPriority w:val="0"/>
    <w:rPr>
      <w:rFonts w:ascii="宋体" w:hAnsi="Courier New" w:eastAsia="宋体"/>
      <w:kern w:val="2"/>
      <w:sz w:val="21"/>
      <w:lang w:val="en-US" w:eastAsia="zh-CN" w:bidi="ar-SA"/>
    </w:rPr>
  </w:style>
  <w:style w:type="character" w:customStyle="1" w:styleId="99">
    <w:name w:val="正文文本缩进 Char"/>
    <w:basedOn w:val="68"/>
    <w:uiPriority w:val="0"/>
    <w:rPr>
      <w:rFonts w:eastAsia="宋体"/>
      <w:kern w:val="2"/>
      <w:sz w:val="24"/>
      <w:szCs w:val="24"/>
      <w:lang w:val="en-US" w:eastAsia="zh-CN" w:bidi="ar-SA"/>
    </w:rPr>
  </w:style>
  <w:style w:type="character" w:customStyle="1" w:styleId="100">
    <w:name w:val="a2 Char Char"/>
    <w:basedOn w:val="68"/>
    <w:uiPriority w:val="0"/>
    <w:rPr>
      <w:rFonts w:ascii="宋体" w:eastAsia="宋体"/>
      <w:kern w:val="2"/>
      <w:sz w:val="21"/>
      <w:lang w:val="en-US" w:eastAsia="zh-CN" w:bidi="ar-SA"/>
    </w:rPr>
  </w:style>
  <w:style w:type="character" w:customStyle="1" w:styleId="101">
    <w:name w:val="style41"/>
    <w:basedOn w:val="68"/>
    <w:uiPriority w:val="0"/>
    <w:rPr>
      <w:sz w:val="18"/>
      <w:szCs w:val="18"/>
    </w:rPr>
  </w:style>
  <w:style w:type="character" w:customStyle="1" w:styleId="102">
    <w:name w:val="正文（首行缩进两字） Char2"/>
    <w:aliases w:val="首行缩进两字 Char1,特点 Char Char1,正文（首行缩进两字） Char Char Char Char Char Char Char Char1,特点 Char Char Char Char,特点 Char Char Char Char Char Char,特点 Char Char Char Char Char Char Char Char Char,特点 Char Char Char Char Ch Char,表正文 Char,正文非缩进 Char"/>
    <w:basedOn w:val="68"/>
    <w:link w:val="15"/>
    <w:uiPriority w:val="0"/>
    <w:rPr>
      <w:rFonts w:eastAsia="宋体"/>
      <w:kern w:val="2"/>
      <w:sz w:val="28"/>
      <w:lang w:val="en-US" w:eastAsia="zh-CN" w:bidi="ar-SA"/>
    </w:rPr>
  </w:style>
  <w:style w:type="character" w:customStyle="1" w:styleId="103">
    <w:name w:val="a1 Char Char Char"/>
    <w:basedOn w:val="68"/>
    <w:link w:val="104"/>
    <w:uiPriority w:val="0"/>
    <w:rPr>
      <w:rFonts w:ascii="宋体" w:eastAsia="宋体"/>
      <w:kern w:val="2"/>
      <w:sz w:val="24"/>
      <w:szCs w:val="24"/>
      <w:lang w:val="en-US" w:eastAsia="zh-CN" w:bidi="ar-SA"/>
    </w:rPr>
  </w:style>
  <w:style w:type="paragraph" w:customStyle="1" w:styleId="104">
    <w:name w:val="a1 Char Char"/>
    <w:basedOn w:val="1"/>
    <w:link w:val="103"/>
    <w:uiPriority w:val="0"/>
    <w:pPr>
      <w:spacing w:line="360" w:lineRule="auto"/>
      <w:ind w:firstLine="520"/>
    </w:pPr>
    <w:rPr>
      <w:rFonts w:ascii="宋体"/>
      <w:sz w:val="24"/>
    </w:rPr>
  </w:style>
  <w:style w:type="character" w:customStyle="1" w:styleId="105">
    <w:name w:val="ggg Char"/>
    <w:basedOn w:val="68"/>
    <w:link w:val="106"/>
    <w:uiPriority w:val="0"/>
    <w:rPr>
      <w:rFonts w:eastAsia="宋体"/>
      <w:kern w:val="2"/>
      <w:sz w:val="24"/>
      <w:szCs w:val="24"/>
      <w:lang w:val="en-US" w:eastAsia="zh-CN" w:bidi="ar-SA"/>
    </w:rPr>
  </w:style>
  <w:style w:type="paragraph" w:customStyle="1" w:styleId="106">
    <w:name w:val="ggg"/>
    <w:basedOn w:val="1"/>
    <w:link w:val="105"/>
    <w:uiPriority w:val="0"/>
    <w:pPr>
      <w:spacing w:line="360" w:lineRule="auto"/>
      <w:ind w:firstLine="200" w:firstLineChars="200"/>
    </w:pPr>
    <w:rPr>
      <w:sz w:val="24"/>
    </w:rPr>
  </w:style>
  <w:style w:type="character" w:customStyle="1" w:styleId="107">
    <w:name w:val="Char Char15"/>
    <w:basedOn w:val="68"/>
    <w:locked/>
    <w:uiPriority w:val="0"/>
    <w:rPr>
      <w:rFonts w:eastAsia="宋体"/>
      <w:b/>
      <w:kern w:val="44"/>
      <w:sz w:val="44"/>
      <w:lang w:val="en-US" w:eastAsia="zh-CN" w:bidi="ar-SA"/>
    </w:rPr>
  </w:style>
  <w:style w:type="character" w:customStyle="1" w:styleId="108">
    <w:name w:val="标准样式 Char1"/>
    <w:basedOn w:val="68"/>
    <w:link w:val="109"/>
    <w:uiPriority w:val="0"/>
    <w:rPr>
      <w:rFonts w:ascii="宋体" w:eastAsia="宋体"/>
      <w:kern w:val="2"/>
      <w:sz w:val="28"/>
      <w:szCs w:val="24"/>
      <w:lang w:val="en-US" w:eastAsia="zh-CN" w:bidi="ar-SA"/>
    </w:rPr>
  </w:style>
  <w:style w:type="paragraph" w:customStyle="1" w:styleId="109">
    <w:name w:val="标准样式"/>
    <w:basedOn w:val="1"/>
    <w:link w:val="108"/>
    <w:uiPriority w:val="0"/>
    <w:pPr>
      <w:spacing w:line="600" w:lineRule="exact"/>
      <w:ind w:firstLine="567"/>
    </w:pPr>
    <w:rPr>
      <w:rFonts w:ascii="宋体"/>
      <w:sz w:val="28"/>
    </w:rPr>
  </w:style>
  <w:style w:type="character" w:customStyle="1" w:styleId="110">
    <w:name w:val="b1501"/>
    <w:basedOn w:val="68"/>
    <w:uiPriority w:val="0"/>
    <w:rPr>
      <w:sz w:val="21"/>
      <w:szCs w:val="21"/>
    </w:rPr>
  </w:style>
  <w:style w:type="character" w:customStyle="1" w:styleId="111">
    <w:name w:val="纯文本 Char"/>
    <w:basedOn w:val="68"/>
    <w:link w:val="29"/>
    <w:uiPriority w:val="0"/>
    <w:rPr>
      <w:rFonts w:ascii="宋体" w:hAnsi="Courier New" w:eastAsia="宋体" w:cs="Courier New"/>
      <w:kern w:val="2"/>
      <w:sz w:val="21"/>
      <w:szCs w:val="21"/>
      <w:lang w:val="en-US" w:eastAsia="zh-CN" w:bidi="ar-SA"/>
    </w:rPr>
  </w:style>
  <w:style w:type="character" w:customStyle="1" w:styleId="112">
    <w:name w:val="普通文字 Char Char"/>
    <w:basedOn w:val="68"/>
    <w:uiPriority w:val="0"/>
    <w:rPr>
      <w:rFonts w:ascii="宋体" w:hAnsi="Courier New" w:eastAsia="宋体" w:cs="Courier New"/>
      <w:szCs w:val="21"/>
    </w:rPr>
  </w:style>
  <w:style w:type="character" w:customStyle="1" w:styleId="113">
    <w:name w:val="样式 仿宋_GB2312 二号"/>
    <w:basedOn w:val="68"/>
    <w:uiPriority w:val="0"/>
    <w:rPr>
      <w:rFonts w:ascii="Times New Roman" w:hAnsi="Times New Roman" w:eastAsia="仿宋_GB2312"/>
      <w:sz w:val="28"/>
      <w:szCs w:val="28"/>
    </w:rPr>
  </w:style>
  <w:style w:type="character" w:customStyle="1" w:styleId="114">
    <w:name w:val=" Char Char9"/>
    <w:basedOn w:val="68"/>
    <w:link w:val="49"/>
    <w:uiPriority w:val="0"/>
    <w:rPr>
      <w:rFonts w:eastAsia="宋体"/>
      <w:color w:val="000000"/>
      <w:kern w:val="2"/>
      <w:sz w:val="24"/>
      <w:szCs w:val="24"/>
      <w:lang w:val="en-US" w:eastAsia="zh-CN" w:bidi="ar-SA"/>
    </w:rPr>
  </w:style>
  <w:style w:type="character" w:customStyle="1" w:styleId="115">
    <w:name w:val=" Char1 Char Char"/>
    <w:basedOn w:val="68"/>
    <w:uiPriority w:val="0"/>
    <w:rPr>
      <w:rFonts w:eastAsia="宋体"/>
      <w:sz w:val="24"/>
      <w:szCs w:val="24"/>
      <w:lang w:val="en-US" w:eastAsia="zh-CN" w:bidi="ar-SA"/>
    </w:rPr>
  </w:style>
  <w:style w:type="character" w:customStyle="1" w:styleId="116">
    <w:name w:val=" Char Char Char"/>
    <w:basedOn w:val="68"/>
    <w:link w:val="22"/>
    <w:uiPriority w:val="0"/>
    <w:rPr>
      <w:rFonts w:eastAsia="宋体"/>
      <w:kern w:val="2"/>
      <w:sz w:val="24"/>
      <w:szCs w:val="24"/>
      <w:lang w:val="en-US" w:eastAsia="zh-CN" w:bidi="ar-SA"/>
    </w:rPr>
  </w:style>
  <w:style w:type="character" w:customStyle="1" w:styleId="117">
    <w:name w:val="普通文字 Char Char Char Char Char Char Char Char Char Char Char Char C Char Char"/>
    <w:basedOn w:val="68"/>
    <w:semiHidden/>
    <w:uiPriority w:val="0"/>
    <w:rPr>
      <w:rFonts w:ascii="宋体" w:hAnsi="Courier New" w:eastAsia="宋体"/>
      <w:kern w:val="2"/>
      <w:sz w:val="21"/>
      <w:lang w:val="en-US" w:eastAsia="zh-CN" w:bidi="ar-SA"/>
    </w:rPr>
  </w:style>
  <w:style w:type="character" w:customStyle="1" w:styleId="118">
    <w:name w:val="标题 2 Char Char Char Char Char Char Char Char Char Char Char Char Char Char Char Char Char Char"/>
    <w:basedOn w:val="68"/>
    <w:uiPriority w:val="0"/>
    <w:rPr>
      <w:rFonts w:ascii="Arial" w:hAnsi="Arial" w:eastAsia="黑体"/>
      <w:b/>
      <w:kern w:val="2"/>
      <w:sz w:val="28"/>
      <w:szCs w:val="24"/>
      <w:lang w:val="en-US" w:eastAsia="zh-CN" w:bidi="ar-SA"/>
    </w:rPr>
  </w:style>
  <w:style w:type="character" w:customStyle="1" w:styleId="119">
    <w:name w:val="qk1"/>
    <w:basedOn w:val="68"/>
    <w:uiPriority w:val="0"/>
    <w:rPr>
      <w:color w:val="000000"/>
      <w:sz w:val="23"/>
      <w:szCs w:val="23"/>
      <w:u w:val="none"/>
    </w:rPr>
  </w:style>
  <w:style w:type="character" w:customStyle="1" w:styleId="120">
    <w:name w:val="链接"/>
    <w:basedOn w:val="68"/>
    <w:uiPriority w:val="0"/>
    <w:rPr>
      <w:rFonts w:ascii="Times New Roman" w:eastAsia="宋体"/>
      <w:color w:val="0000FF"/>
      <w:sz w:val="21"/>
      <w:u w:val="single" w:color="0000FF"/>
      <w:vertAlign w:val="baseline"/>
      <w:lang w:val="en-US" w:eastAsia="zh-CN"/>
    </w:rPr>
  </w:style>
  <w:style w:type="character" w:customStyle="1" w:styleId="121">
    <w:name w:val="条标题1.1.1 Char Char"/>
    <w:basedOn w:val="68"/>
    <w:link w:val="4"/>
    <w:uiPriority w:val="0"/>
    <w:rPr>
      <w:rFonts w:ascii="宋体" w:hAnsi="宋体" w:eastAsia="宋体"/>
      <w:kern w:val="2"/>
      <w:sz w:val="28"/>
      <w:szCs w:val="24"/>
      <w:lang w:val="en-US" w:eastAsia="zh-CN" w:bidi="ar-SA"/>
    </w:rPr>
  </w:style>
  <w:style w:type="character" w:customStyle="1" w:styleId="122">
    <w:name w:val="普通文字 Char Char Char Char Char Char Char Char1"/>
    <w:aliases w:val="普通文字 Char Char Char Char Char Char Char Char Char Char Char Char Char Char1,普通文字 Char Char Char Char Char Char Char Char Char Char Char Char C Char Char1,普通文字 Char Char Char Char Char2, Char Char Char Char2"/>
    <w:basedOn w:val="68"/>
    <w:uiPriority w:val="0"/>
    <w:rPr>
      <w:rFonts w:ascii="宋体" w:hAnsi="Courier New" w:eastAsia="宋体"/>
      <w:kern w:val="2"/>
      <w:sz w:val="21"/>
      <w:lang w:val="en-US" w:eastAsia="zh-CN" w:bidi="ar-SA"/>
    </w:rPr>
  </w:style>
  <w:style w:type="character" w:customStyle="1" w:styleId="123">
    <w:name w:val=" Char Char13"/>
    <w:basedOn w:val="68"/>
    <w:uiPriority w:val="0"/>
    <w:rPr>
      <w:rFonts w:ascii="宋体" w:eastAsia="宋体"/>
      <w:b/>
      <w:color w:val="000000"/>
      <w:sz w:val="32"/>
      <w:lang w:val="en-US" w:eastAsia="zh-CN" w:bidi="ar-SA"/>
    </w:rPr>
  </w:style>
  <w:style w:type="character" w:customStyle="1" w:styleId="124">
    <w:name w:val="样式 小四"/>
    <w:basedOn w:val="68"/>
    <w:uiPriority w:val="0"/>
    <w:rPr>
      <w:rFonts w:eastAsia="宋体"/>
      <w:sz w:val="24"/>
    </w:rPr>
  </w:style>
  <w:style w:type="character" w:customStyle="1" w:styleId="125">
    <w:name w:val=" Char Char3"/>
    <w:basedOn w:val="68"/>
    <w:locked/>
    <w:uiPriority w:val="0"/>
    <w:rPr>
      <w:rFonts w:ascii="宋体" w:hAnsi="宋体" w:eastAsia="宋体"/>
      <w:b/>
      <w:bCs/>
      <w:kern w:val="2"/>
      <w:sz w:val="30"/>
      <w:szCs w:val="32"/>
      <w:lang w:val="en-US" w:eastAsia="zh-CN" w:bidi="ar-SA"/>
    </w:rPr>
  </w:style>
  <w:style w:type="character" w:customStyle="1" w:styleId="126">
    <w:name w:val="title"/>
    <w:basedOn w:val="68"/>
    <w:uiPriority w:val="0"/>
  </w:style>
  <w:style w:type="character" w:customStyle="1" w:styleId="127">
    <w:name w:val="标题 3 Char"/>
    <w:basedOn w:val="68"/>
    <w:uiPriority w:val="0"/>
    <w:rPr>
      <w:rFonts w:eastAsia="宋体"/>
      <w:b/>
      <w:bCs/>
      <w:color w:val="000000"/>
      <w:sz w:val="32"/>
      <w:szCs w:val="32"/>
      <w:u w:val="none" w:color="000000"/>
      <w:lang w:val="en-US" w:eastAsia="zh-CN" w:bidi="ar-SA"/>
    </w:rPr>
  </w:style>
  <w:style w:type="character" w:customStyle="1" w:styleId="128">
    <w:name w:val="a1 Char1"/>
    <w:basedOn w:val="68"/>
    <w:uiPriority w:val="0"/>
    <w:rPr>
      <w:rFonts w:ascii="宋体" w:eastAsia="宋体"/>
      <w:kern w:val="2"/>
      <w:sz w:val="24"/>
      <w:lang w:val="en-US" w:eastAsia="zh-CN" w:bidi="ar-SA"/>
    </w:rPr>
  </w:style>
  <w:style w:type="character" w:customStyle="1" w:styleId="129">
    <w:name w:val="1 Char"/>
    <w:basedOn w:val="68"/>
    <w:link w:val="130"/>
    <w:uiPriority w:val="0"/>
    <w:rPr>
      <w:rFonts w:ascii="宋体" w:hAnsi="Courier New" w:eastAsia="宋体" w:cs="Courier New"/>
      <w:kern w:val="2"/>
      <w:sz w:val="21"/>
      <w:szCs w:val="21"/>
      <w:lang w:val="en-US" w:eastAsia="zh-CN" w:bidi="ar-SA"/>
    </w:rPr>
  </w:style>
  <w:style w:type="paragraph" w:customStyle="1" w:styleId="130">
    <w:name w:val="1"/>
    <w:basedOn w:val="1"/>
    <w:next w:val="29"/>
    <w:link w:val="129"/>
    <w:uiPriority w:val="0"/>
    <w:rPr>
      <w:rFonts w:ascii="宋体" w:hAnsi="Courier New" w:cs="Courier New"/>
      <w:szCs w:val="21"/>
    </w:rPr>
  </w:style>
  <w:style w:type="character" w:customStyle="1" w:styleId="131">
    <w:name w:val="正文三 Char"/>
    <w:basedOn w:val="68"/>
    <w:link w:val="132"/>
    <w:uiPriority w:val="0"/>
    <w:rPr>
      <w:rFonts w:eastAsia="宋体"/>
      <w:kern w:val="2"/>
      <w:sz w:val="24"/>
      <w:szCs w:val="24"/>
      <w:lang w:val="en-US" w:eastAsia="zh-CN" w:bidi="ar-SA"/>
    </w:rPr>
  </w:style>
  <w:style w:type="paragraph" w:customStyle="1" w:styleId="132">
    <w:name w:val="正文三"/>
    <w:basedOn w:val="1"/>
    <w:link w:val="131"/>
    <w:uiPriority w:val="0"/>
    <w:pPr>
      <w:spacing w:line="300" w:lineRule="auto"/>
    </w:pPr>
    <w:rPr>
      <w:sz w:val="24"/>
    </w:rPr>
  </w:style>
  <w:style w:type="character" w:customStyle="1" w:styleId="133">
    <w:name w:val="样式 标题 2 + 宋体 四号 Char"/>
    <w:basedOn w:val="68"/>
    <w:link w:val="134"/>
    <w:uiPriority w:val="0"/>
    <w:rPr>
      <w:rFonts w:ascii="宋体" w:hAnsi="宋体" w:eastAsia="宋体"/>
      <w:b/>
      <w:bCs/>
      <w:sz w:val="28"/>
      <w:szCs w:val="30"/>
      <w:lang w:val="en-US" w:eastAsia="zh-CN" w:bidi="ar-SA"/>
    </w:rPr>
  </w:style>
  <w:style w:type="paragraph" w:customStyle="1" w:styleId="134">
    <w:name w:val="样式 标题 2 + 宋体 四号"/>
    <w:basedOn w:val="3"/>
    <w:link w:val="133"/>
    <w:uiPriority w:val="0"/>
    <w:pPr>
      <w:keepLines/>
      <w:adjustRightInd w:val="0"/>
      <w:spacing w:line="360" w:lineRule="auto"/>
      <w:ind w:firstLine="200"/>
      <w:textAlignment w:val="baseline"/>
    </w:pPr>
    <w:rPr>
      <w:b/>
      <w:bCs/>
      <w:kern w:val="0"/>
      <w:szCs w:val="30"/>
    </w:rPr>
  </w:style>
  <w:style w:type="character" w:customStyle="1" w:styleId="135">
    <w:name w:val="txt141"/>
    <w:basedOn w:val="68"/>
    <w:uiPriority w:val="0"/>
    <w:rPr>
      <w:sz w:val="21"/>
      <w:szCs w:val="21"/>
      <w:u w:val="none"/>
    </w:rPr>
  </w:style>
  <w:style w:type="character" w:customStyle="1" w:styleId="136">
    <w:name w:val="a1 Char Char1"/>
    <w:basedOn w:val="68"/>
    <w:uiPriority w:val="0"/>
    <w:rPr>
      <w:rFonts w:ascii="宋体" w:eastAsia="宋体"/>
      <w:kern w:val="2"/>
      <w:sz w:val="24"/>
      <w:szCs w:val="24"/>
      <w:lang w:val="en-US" w:eastAsia="zh-CN" w:bidi="ar-SA"/>
    </w:rPr>
  </w:style>
  <w:style w:type="character" w:customStyle="1" w:styleId="137">
    <w:name w:val=" Char Char14"/>
    <w:basedOn w:val="68"/>
    <w:uiPriority w:val="0"/>
    <w:rPr>
      <w:rFonts w:ascii="Arial" w:hAnsi="Arial" w:eastAsia="黑体"/>
      <w:b/>
      <w:kern w:val="2"/>
      <w:sz w:val="32"/>
      <w:lang w:val="en-US" w:eastAsia="zh-CN" w:bidi="ar-SA"/>
    </w:rPr>
  </w:style>
  <w:style w:type="character" w:customStyle="1" w:styleId="138">
    <w:name w:val="标题 3一 Char Char"/>
    <w:basedOn w:val="68"/>
    <w:uiPriority w:val="0"/>
    <w:rPr>
      <w:rFonts w:eastAsia="宋体"/>
      <w:b/>
      <w:bCs/>
      <w:kern w:val="2"/>
      <w:sz w:val="32"/>
      <w:szCs w:val="32"/>
      <w:lang w:val="en-US" w:eastAsia="zh-CN" w:bidi="ar-SA"/>
    </w:rPr>
  </w:style>
  <w:style w:type="character" w:customStyle="1" w:styleId="139">
    <w:name w:val=" Char Char7"/>
    <w:basedOn w:val="68"/>
    <w:uiPriority w:val="0"/>
    <w:rPr>
      <w:rFonts w:ascii="宋体" w:hAnsi="Courier New" w:eastAsia="宋体" w:cs="Courier New"/>
      <w:kern w:val="2"/>
      <w:sz w:val="21"/>
      <w:szCs w:val="21"/>
      <w:lang w:val="en-US" w:eastAsia="zh-CN" w:bidi="ar-SA"/>
    </w:rPr>
  </w:style>
  <w:style w:type="character" w:customStyle="1" w:styleId="140">
    <w:name w:val="a3 Char Char"/>
    <w:basedOn w:val="68"/>
    <w:link w:val="141"/>
    <w:uiPriority w:val="0"/>
    <w:rPr>
      <w:rFonts w:eastAsia="宋体"/>
      <w:kern w:val="2"/>
      <w:sz w:val="21"/>
      <w:szCs w:val="24"/>
      <w:lang w:val="en-US" w:eastAsia="zh-CN" w:bidi="ar-SA"/>
    </w:rPr>
  </w:style>
  <w:style w:type="paragraph" w:customStyle="1" w:styleId="141">
    <w:name w:val="a3 Char"/>
    <w:basedOn w:val="1"/>
    <w:link w:val="140"/>
    <w:uiPriority w:val="0"/>
    <w:pPr>
      <w:jc w:val="center"/>
    </w:pPr>
  </w:style>
  <w:style w:type="character" w:customStyle="1" w:styleId="142">
    <w:name w:val="a1 Char3"/>
    <w:basedOn w:val="68"/>
    <w:uiPriority w:val="0"/>
    <w:rPr>
      <w:rFonts w:ascii="宋体" w:eastAsia="宋体"/>
      <w:kern w:val="2"/>
      <w:sz w:val="24"/>
      <w:szCs w:val="24"/>
      <w:lang w:val="en-US" w:eastAsia="zh-CN" w:bidi="ar-SA"/>
    </w:rPr>
  </w:style>
  <w:style w:type="character" w:customStyle="1" w:styleId="143">
    <w:name w:val=" Char Char6"/>
    <w:basedOn w:val="68"/>
    <w:link w:val="31"/>
    <w:uiPriority w:val="0"/>
    <w:rPr>
      <w:rFonts w:ascii="宋体" w:hAnsi="宋体" w:eastAsia="宋体"/>
      <w:kern w:val="2"/>
      <w:sz w:val="30"/>
      <w:szCs w:val="24"/>
      <w:lang w:val="en-US" w:eastAsia="zh-CN" w:bidi="ar-SA"/>
    </w:rPr>
  </w:style>
  <w:style w:type="character" w:customStyle="1" w:styleId="144">
    <w:name w:val=" Char Char15"/>
    <w:basedOn w:val="68"/>
    <w:uiPriority w:val="0"/>
    <w:rPr>
      <w:rFonts w:eastAsia="宋体"/>
      <w:b/>
      <w:bCs/>
      <w:kern w:val="44"/>
      <w:sz w:val="32"/>
      <w:szCs w:val="44"/>
      <w:lang w:val="en-US" w:eastAsia="zh-CN" w:bidi="ar-SA"/>
    </w:rPr>
  </w:style>
  <w:style w:type="character" w:customStyle="1" w:styleId="145">
    <w:name w:val="标题 4 Char Char1"/>
    <w:aliases w:val="标题 4 Char Char Char Char"/>
    <w:basedOn w:val="68"/>
    <w:link w:val="5"/>
    <w:uiPriority w:val="0"/>
    <w:rPr>
      <w:rFonts w:ascii="宋体" w:hAnsi="宋体" w:eastAsia="宋体"/>
      <w:kern w:val="2"/>
      <w:sz w:val="28"/>
      <w:szCs w:val="24"/>
      <w:lang w:val="en-US" w:eastAsia="zh-CN" w:bidi="ar-SA"/>
    </w:rPr>
  </w:style>
  <w:style w:type="character" w:customStyle="1" w:styleId="146">
    <w:name w:val="标题 6 Char Char Char"/>
    <w:aliases w:val="标题 6 Char Char1,标题 6 Char Char Char Char Char Char Char Char Char Char Char Char Char Char Char Char Char Char Char Char Char Char Char Char Char Char Char Char"/>
    <w:basedOn w:val="68"/>
    <w:link w:val="7"/>
    <w:uiPriority w:val="0"/>
    <w:rPr>
      <w:rFonts w:ascii="宋体" w:hAnsi="宋体" w:eastAsia="宋体"/>
      <w:kern w:val="2"/>
      <w:sz w:val="28"/>
      <w:szCs w:val="24"/>
      <w:lang w:val="en-US" w:eastAsia="zh-CN" w:bidi="ar-SA"/>
    </w:rPr>
  </w:style>
  <w:style w:type="character" w:customStyle="1" w:styleId="147">
    <w:name w:val="eng1"/>
    <w:basedOn w:val="68"/>
    <w:uiPriority w:val="0"/>
    <w:rPr>
      <w:rFonts w:hint="default" w:ascii="Verdana" w:hAnsi="Verdana"/>
      <w:sz w:val="11"/>
      <w:szCs w:val="11"/>
    </w:rPr>
  </w:style>
  <w:style w:type="character" w:customStyle="1" w:styleId="148">
    <w:name w:val="官寨正文 Char Char"/>
    <w:basedOn w:val="68"/>
    <w:uiPriority w:val="0"/>
    <w:rPr>
      <w:rFonts w:ascii="宋体" w:hAnsi="宋体" w:eastAsia="宋体"/>
      <w:bCs/>
      <w:color w:val="FF0000"/>
      <w:kern w:val="2"/>
      <w:sz w:val="28"/>
      <w:szCs w:val="28"/>
      <w:lang w:val="en-US" w:eastAsia="zh-CN" w:bidi="ar-SA"/>
    </w:rPr>
  </w:style>
  <w:style w:type="character" w:customStyle="1" w:styleId="149">
    <w:name w:val="标题 5 Char Char1"/>
    <w:aliases w:val="标题 5 Char Char Char1,标题 5 Char Char Char Char,标题 51 Char,标题 51 Char Char Char Char"/>
    <w:basedOn w:val="68"/>
    <w:link w:val="6"/>
    <w:uiPriority w:val="0"/>
    <w:rPr>
      <w:rFonts w:ascii="宋体" w:hAnsi="宋体" w:eastAsia="宋体"/>
      <w:kern w:val="2"/>
      <w:sz w:val="28"/>
      <w:szCs w:val="24"/>
      <w:lang w:val="en-US" w:eastAsia="zh-CN" w:bidi="ar-SA"/>
    </w:rPr>
  </w:style>
  <w:style w:type="character" w:customStyle="1" w:styleId="150">
    <w:name w:val="纯文本 Char2"/>
    <w:basedOn w:val="68"/>
    <w:uiPriority w:val="0"/>
    <w:rPr>
      <w:rFonts w:ascii="宋体" w:hAnsi="Courier New" w:eastAsia="宋体"/>
      <w:kern w:val="2"/>
      <w:sz w:val="21"/>
      <w:lang w:val="en-US" w:eastAsia="zh-CN" w:bidi="ar-SA"/>
    </w:rPr>
  </w:style>
  <w:style w:type="character" w:customStyle="1" w:styleId="151">
    <w:name w:val="标题 7 Char"/>
    <w:link w:val="8"/>
    <w:uiPriority w:val="0"/>
    <w:rPr>
      <w:rFonts w:eastAsia="宋体"/>
      <w:b/>
      <w:bCs/>
      <w:kern w:val="2"/>
      <w:sz w:val="24"/>
      <w:szCs w:val="24"/>
      <w:lang w:val="en-US" w:eastAsia="zh-CN" w:bidi="ar-SA"/>
    </w:rPr>
  </w:style>
  <w:style w:type="character" w:customStyle="1" w:styleId="152">
    <w:name w:val="Char Char14"/>
    <w:basedOn w:val="68"/>
    <w:locked/>
    <w:uiPriority w:val="0"/>
    <w:rPr>
      <w:rFonts w:ascii="Arial" w:hAnsi="Arial" w:eastAsia="黑体"/>
      <w:b/>
      <w:kern w:val="2"/>
      <w:sz w:val="32"/>
      <w:lang w:val="en-US" w:eastAsia="zh-CN" w:bidi="ar-SA"/>
    </w:rPr>
  </w:style>
  <w:style w:type="character" w:customStyle="1" w:styleId="153">
    <w:name w:val="首行缩进两字 Char2"/>
    <w:aliases w:val="特点 Char Char2,正文（首行缩进两字） Char Char3,正文（首行缩进两字） Char Char Char Char Char Char Char Char2,特点 Char Char Char Char1,正文（首行缩进两字） Char Char4"/>
    <w:basedOn w:val="68"/>
    <w:uiPriority w:val="0"/>
    <w:rPr>
      <w:rFonts w:eastAsia="宋体"/>
      <w:sz w:val="24"/>
      <w:szCs w:val="24"/>
      <w:lang w:val="en-US" w:eastAsia="zh-CN" w:bidi="ar-SA"/>
    </w:rPr>
  </w:style>
  <w:style w:type="character" w:customStyle="1" w:styleId="154">
    <w:name w:val="条标题1.1.1 Char2"/>
    <w:aliases w:val="条标题1.1.1 Char Char Char1"/>
    <w:basedOn w:val="68"/>
    <w:uiPriority w:val="0"/>
    <w:rPr>
      <w:rFonts w:ascii="宋体" w:eastAsia="宋体"/>
      <w:b/>
      <w:color w:val="000000"/>
      <w:sz w:val="32"/>
      <w:lang w:val="en-US" w:eastAsia="zh-CN" w:bidi="ar-SA"/>
    </w:rPr>
  </w:style>
  <w:style w:type="character" w:customStyle="1" w:styleId="155">
    <w:name w:val="unnamed1"/>
    <w:basedOn w:val="68"/>
    <w:uiPriority w:val="0"/>
  </w:style>
  <w:style w:type="character" w:customStyle="1" w:styleId="156">
    <w:name w:val=" Char Char12"/>
    <w:basedOn w:val="68"/>
    <w:uiPriority w:val="0"/>
    <w:rPr>
      <w:rFonts w:ascii="宋体" w:hAnsi="宋体" w:eastAsia="宋体"/>
      <w:b/>
      <w:bCs/>
      <w:kern w:val="2"/>
      <w:sz w:val="28"/>
      <w:szCs w:val="24"/>
      <w:lang w:val="en-US" w:eastAsia="zh-CN" w:bidi="ar-SA"/>
    </w:rPr>
  </w:style>
  <w:style w:type="character" w:customStyle="1" w:styleId="157">
    <w:name w:val="样式 宋体"/>
    <w:basedOn w:val="68"/>
    <w:uiPriority w:val="0"/>
    <w:rPr>
      <w:rFonts w:hint="default" w:ascii="Times New Roman" w:hAnsi="Times New Roman" w:eastAsia="宋体" w:cs="Times New Roman"/>
      <w:color w:val="auto"/>
      <w:sz w:val="24"/>
      <w:szCs w:val="24"/>
      <w:u w:val="none"/>
      <w:vertAlign w:val="baseline"/>
    </w:rPr>
  </w:style>
  <w:style w:type="character" w:customStyle="1" w:styleId="158">
    <w:name w:val="e011"/>
    <w:basedOn w:val="68"/>
    <w:uiPriority w:val="0"/>
    <w:rPr>
      <w:sz w:val="16"/>
      <w:szCs w:val="16"/>
    </w:rPr>
  </w:style>
  <w:style w:type="character" w:customStyle="1" w:styleId="159">
    <w:name w:val="lawtext1"/>
    <w:basedOn w:val="68"/>
    <w:uiPriority w:val="0"/>
    <w:rPr>
      <w:color w:val="000000"/>
      <w:sz w:val="21"/>
      <w:szCs w:val="21"/>
      <w:u w:val="none"/>
    </w:rPr>
  </w:style>
  <w:style w:type="character" w:customStyle="1" w:styleId="160">
    <w:name w:val=" Char Char5"/>
    <w:basedOn w:val="68"/>
    <w:link w:val="36"/>
    <w:uiPriority w:val="0"/>
    <w:rPr>
      <w:rFonts w:eastAsia="宋体"/>
      <w:kern w:val="2"/>
      <w:sz w:val="18"/>
      <w:szCs w:val="18"/>
      <w:lang w:val="en-US" w:eastAsia="zh-CN" w:bidi="ar-SA"/>
    </w:rPr>
  </w:style>
  <w:style w:type="character" w:customStyle="1" w:styleId="161">
    <w:name w:val=" Char Char4"/>
    <w:basedOn w:val="68"/>
    <w:uiPriority w:val="0"/>
    <w:rPr>
      <w:rFonts w:ascii="宋体" w:hAnsi="Times New Roman" w:eastAsia="宋体" w:cs="Times New Roman"/>
      <w:kern w:val="0"/>
      <w:sz w:val="24"/>
      <w:szCs w:val="20"/>
    </w:rPr>
  </w:style>
  <w:style w:type="character" w:customStyle="1" w:styleId="162">
    <w:name w:val="标题 1 Char"/>
    <w:basedOn w:val="68"/>
    <w:link w:val="2"/>
    <w:uiPriority w:val="0"/>
    <w:rPr>
      <w:rFonts w:ascii="宋体" w:hAnsi="宋体" w:eastAsia="宋体"/>
      <w:kern w:val="2"/>
      <w:sz w:val="28"/>
      <w:szCs w:val="24"/>
      <w:lang w:val="en-US" w:eastAsia="zh-CN" w:bidi="ar-SA"/>
    </w:rPr>
  </w:style>
  <w:style w:type="character" w:customStyle="1" w:styleId="163">
    <w:name w:val="官寨正文 Char"/>
    <w:basedOn w:val="68"/>
    <w:uiPriority w:val="0"/>
    <w:rPr>
      <w:rFonts w:eastAsia="仿宋_GB2312"/>
      <w:bCs/>
      <w:kern w:val="2"/>
      <w:sz w:val="28"/>
      <w:szCs w:val="28"/>
      <w:lang w:val="en-US" w:eastAsia="zh-CN" w:bidi="ar-SA"/>
    </w:rPr>
  </w:style>
  <w:style w:type="character" w:customStyle="1" w:styleId="164">
    <w:name w:val="样式2 Char"/>
    <w:basedOn w:val="68"/>
    <w:link w:val="165"/>
    <w:uiPriority w:val="0"/>
    <w:rPr>
      <w:rFonts w:ascii="宋体" w:eastAsia="宋体"/>
      <w:sz w:val="28"/>
      <w:lang w:val="en-US" w:eastAsia="zh-CN" w:bidi="ar-SA"/>
    </w:rPr>
  </w:style>
  <w:style w:type="paragraph" w:customStyle="1" w:styleId="165">
    <w:name w:val="样式2"/>
    <w:basedOn w:val="1"/>
    <w:link w:val="164"/>
    <w:uiPriority w:val="0"/>
    <w:pPr>
      <w:autoSpaceDE w:val="0"/>
      <w:autoSpaceDN w:val="0"/>
      <w:adjustRightInd w:val="0"/>
      <w:spacing w:line="360" w:lineRule="exact"/>
      <w:ind w:firstLine="550"/>
      <w:textAlignment w:val="bottom"/>
    </w:pPr>
    <w:rPr>
      <w:rFonts w:ascii="宋体"/>
      <w:kern w:val="0"/>
      <w:sz w:val="28"/>
      <w:szCs w:val="20"/>
    </w:rPr>
  </w:style>
  <w:style w:type="character" w:customStyle="1" w:styleId="166">
    <w:name w:val="普通文字 Char"/>
    <w:aliases w:val="普通文字 Char Char Char Char Char Char Char Char,普通文字 Char Char Char Char Char Char Char Char Char Char Char Char Char Char,普通文字 Char Char Char Char Char Char Char Char Char Char Char Char C Char Char Char,普通文字 Char Char Char Char Char1,Char Char1"/>
    <w:basedOn w:val="68"/>
    <w:uiPriority w:val="0"/>
    <w:rPr>
      <w:rFonts w:ascii="宋体" w:hAnsi="Courier New" w:eastAsia="宋体" w:cs="Courier New"/>
      <w:kern w:val="2"/>
      <w:sz w:val="21"/>
      <w:szCs w:val="21"/>
      <w:lang w:val="en-US" w:eastAsia="zh-CN" w:bidi="ar-SA"/>
    </w:rPr>
  </w:style>
  <w:style w:type="character" w:customStyle="1" w:styleId="167">
    <w:name w:val="正文文本缩进 2 Char"/>
    <w:basedOn w:val="68"/>
    <w:link w:val="32"/>
    <w:uiPriority w:val="0"/>
    <w:rPr>
      <w:rFonts w:eastAsia="宋体"/>
      <w:kern w:val="2"/>
      <w:sz w:val="24"/>
      <w:szCs w:val="24"/>
      <w:lang w:val="en-US" w:eastAsia="zh-CN" w:bidi="ar-SA"/>
    </w:rPr>
  </w:style>
  <w:style w:type="character" w:customStyle="1" w:styleId="168">
    <w:name w:val="节标题 1.1 Char"/>
    <w:aliases w:val="b2 Char Char"/>
    <w:basedOn w:val="68"/>
    <w:link w:val="3"/>
    <w:locked/>
    <w:uiPriority w:val="0"/>
    <w:rPr>
      <w:rFonts w:ascii="宋体" w:hAnsi="宋体" w:eastAsia="宋体"/>
      <w:kern w:val="2"/>
      <w:sz w:val="28"/>
      <w:szCs w:val="24"/>
      <w:lang w:val="en-US" w:eastAsia="zh-CN" w:bidi="ar-SA"/>
    </w:rPr>
  </w:style>
  <w:style w:type="character" w:customStyle="1" w:styleId="169">
    <w:name w:val=" Char Char"/>
    <w:basedOn w:val="68"/>
    <w:link w:val="23"/>
    <w:uiPriority w:val="0"/>
    <w:rPr>
      <w:rFonts w:ascii="宋体" w:hAnsi="宋体" w:eastAsia="宋体"/>
      <w:kern w:val="2"/>
      <w:sz w:val="24"/>
      <w:szCs w:val="24"/>
      <w:lang w:val="en-US" w:eastAsia="zh-CN" w:bidi="ar-SA"/>
    </w:rPr>
  </w:style>
  <w:style w:type="character" w:customStyle="1" w:styleId="170">
    <w:name w:val="样式 宋体 小四1 Char"/>
    <w:basedOn w:val="68"/>
    <w:link w:val="171"/>
    <w:uiPriority w:val="0"/>
    <w:rPr>
      <w:rFonts w:ascii="宋体" w:hAnsi="宋体" w:eastAsia="宋体"/>
      <w:sz w:val="24"/>
      <w:szCs w:val="24"/>
      <w:lang w:val="en-US" w:eastAsia="zh-CN" w:bidi="ar-SA"/>
    </w:rPr>
  </w:style>
  <w:style w:type="paragraph" w:customStyle="1" w:styleId="171">
    <w:name w:val="样式 宋体 小四1"/>
    <w:basedOn w:val="1"/>
    <w:link w:val="170"/>
    <w:uiPriority w:val="0"/>
    <w:pPr>
      <w:adjustRightInd w:val="0"/>
      <w:spacing w:line="360" w:lineRule="auto"/>
      <w:ind w:right="-386" w:firstLine="200" w:firstLineChars="200"/>
      <w:jc w:val="left"/>
      <w:textAlignment w:val="baseline"/>
    </w:pPr>
    <w:rPr>
      <w:rFonts w:ascii="宋体" w:hAnsi="宋体"/>
      <w:kern w:val="0"/>
      <w:sz w:val="24"/>
    </w:rPr>
  </w:style>
  <w:style w:type="character" w:customStyle="1" w:styleId="172">
    <w:name w:val="标题 2 Char"/>
    <w:aliases w:val="b2 Char"/>
    <w:basedOn w:val="68"/>
    <w:uiPriority w:val="0"/>
    <w:rPr>
      <w:rFonts w:ascii="Arial" w:hAnsi="Arial" w:eastAsia="黑体"/>
      <w:b/>
      <w:bCs/>
      <w:kern w:val="2"/>
      <w:sz w:val="32"/>
      <w:szCs w:val="32"/>
      <w:lang w:val="en-US" w:eastAsia="zh-CN" w:bidi="ar-SA"/>
    </w:rPr>
  </w:style>
  <w:style w:type="paragraph" w:customStyle="1" w:styleId="173">
    <w:name w:val="xl82"/>
    <w:basedOn w:val="1"/>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74">
    <w:name w:val="font1"/>
    <w:basedOn w:val="1"/>
    <w:uiPriority w:val="0"/>
    <w:pPr>
      <w:widowControl/>
      <w:spacing w:before="100" w:beforeAutospacing="1" w:after="100" w:afterAutospacing="1"/>
      <w:jc w:val="left"/>
    </w:pPr>
    <w:rPr>
      <w:rFonts w:hint="eastAsia" w:ascii="宋体" w:hAnsi="宋体"/>
      <w:b/>
      <w:bCs/>
      <w:kern w:val="0"/>
      <w:sz w:val="24"/>
    </w:rPr>
  </w:style>
  <w:style w:type="paragraph" w:customStyle="1" w:styleId="175">
    <w:name w:val="xl86"/>
    <w:basedOn w:val="1"/>
    <w:uiPriority w:val="0"/>
    <w:pPr>
      <w:widowControl/>
      <w:pBdr>
        <w:bottom w:val="single" w:color="auto" w:sz="8" w:space="0"/>
      </w:pBdr>
      <w:spacing w:before="100" w:beforeAutospacing="1" w:after="100" w:afterAutospacing="1"/>
      <w:jc w:val="left"/>
      <w:textAlignment w:val="center"/>
    </w:pPr>
    <w:rPr>
      <w:rFonts w:ascii="宋体" w:hAnsi="宋体"/>
      <w:kern w:val="0"/>
      <w:sz w:val="24"/>
    </w:rPr>
  </w:style>
  <w:style w:type="paragraph" w:customStyle="1" w:styleId="176">
    <w:name w:val="xl80"/>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olor w:val="000000"/>
      <w:kern w:val="0"/>
      <w:sz w:val="20"/>
      <w:szCs w:val="20"/>
    </w:rPr>
  </w:style>
  <w:style w:type="paragraph" w:customStyle="1" w:styleId="177">
    <w:name w:val="样式 样式 宋体 小四 行距: 固定值 20 磅 首行缩进:  2 字符1 +"/>
    <w:basedOn w:val="1"/>
    <w:uiPriority w:val="0"/>
    <w:pPr>
      <w:spacing w:line="400" w:lineRule="exact"/>
      <w:ind w:firstLine="480" w:firstLineChars="200"/>
    </w:pPr>
    <w:rPr>
      <w:rFonts w:ascii="宋体" w:hAnsi="宋体" w:cs="宋体"/>
      <w:kern w:val="0"/>
      <w:sz w:val="24"/>
    </w:rPr>
  </w:style>
  <w:style w:type="paragraph" w:customStyle="1" w:styleId="178">
    <w:name w:val="A"/>
    <w:basedOn w:val="1"/>
    <w:uiPriority w:val="0"/>
    <w:pPr>
      <w:autoSpaceDE w:val="0"/>
      <w:autoSpaceDN w:val="0"/>
      <w:adjustRightInd w:val="0"/>
      <w:spacing w:before="156" w:beforeLines="50" w:after="156" w:afterLines="50" w:line="520" w:lineRule="exact"/>
      <w:jc w:val="center"/>
    </w:pPr>
    <w:rPr>
      <w:rFonts w:ascii="宋体"/>
      <w:b/>
      <w:bCs/>
      <w:color w:val="000000"/>
      <w:kern w:val="0"/>
      <w:sz w:val="32"/>
      <w:szCs w:val="21"/>
    </w:rPr>
  </w:style>
  <w:style w:type="paragraph" w:customStyle="1" w:styleId="179">
    <w:name w:val="xl85"/>
    <w:basedOn w:val="1"/>
    <w:uiPriority w:val="0"/>
    <w:pPr>
      <w:widowControl/>
      <w:pBdr>
        <w:top w:val="single" w:color="auto" w:sz="8" w:space="0"/>
        <w:left w:val="single" w:color="auto" w:sz="4" w:space="0"/>
        <w:bottom w:val="single" w:color="auto" w:sz="8" w:space="0"/>
        <w:right w:val="single" w:color="auto" w:sz="8" w:space="0"/>
      </w:pBdr>
      <w:spacing w:before="100" w:beforeAutospacing="1" w:after="100" w:afterAutospacing="1"/>
      <w:jc w:val="center"/>
    </w:pPr>
    <w:rPr>
      <w:rFonts w:ascii="宋体" w:hAnsi="宋体"/>
      <w:b/>
      <w:bCs/>
      <w:kern w:val="0"/>
      <w:sz w:val="24"/>
    </w:rPr>
  </w:style>
  <w:style w:type="paragraph" w:customStyle="1" w:styleId="180">
    <w:name w:val="xl78"/>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b/>
      <w:bCs/>
      <w:color w:val="000000"/>
      <w:kern w:val="0"/>
      <w:sz w:val="24"/>
    </w:rPr>
  </w:style>
  <w:style w:type="paragraph" w:customStyle="1" w:styleId="181">
    <w:name w:val="xl88"/>
    <w:basedOn w:val="1"/>
    <w:uiPriority w:val="0"/>
    <w:pPr>
      <w:widowControl/>
      <w:spacing w:before="100" w:beforeAutospacing="1" w:after="100" w:afterAutospacing="1"/>
      <w:jc w:val="center"/>
    </w:pPr>
    <w:rPr>
      <w:rFonts w:ascii="宋体" w:hAnsi="宋体"/>
      <w:color w:val="000000"/>
      <w:kern w:val="0"/>
      <w:sz w:val="20"/>
      <w:szCs w:val="20"/>
    </w:rPr>
  </w:style>
  <w:style w:type="paragraph" w:customStyle="1" w:styleId="182">
    <w:name w:val="xl84"/>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4"/>
    </w:rPr>
  </w:style>
  <w:style w:type="paragraph" w:customStyle="1" w:styleId="183">
    <w:name w:val="font11"/>
    <w:basedOn w:val="1"/>
    <w:uiPriority w:val="0"/>
    <w:pPr>
      <w:widowControl/>
      <w:spacing w:before="100" w:beforeAutospacing="1" w:after="100" w:afterAutospacing="1"/>
      <w:jc w:val="left"/>
    </w:pPr>
    <w:rPr>
      <w:rFonts w:hint="eastAsia" w:ascii="宋体" w:hAnsi="宋体"/>
      <w:b/>
      <w:bCs/>
      <w:kern w:val="0"/>
      <w:sz w:val="40"/>
      <w:szCs w:val="40"/>
    </w:rPr>
  </w:style>
  <w:style w:type="paragraph" w:customStyle="1" w:styleId="184">
    <w:name w:val="xl87"/>
    <w:basedOn w:val="1"/>
    <w:uiPriority w:val="0"/>
    <w:pPr>
      <w:widowControl/>
      <w:pBdr>
        <w:bottom w:val="single" w:color="auto" w:sz="8" w:space="0"/>
      </w:pBdr>
      <w:spacing w:before="100" w:beforeAutospacing="1" w:after="100" w:afterAutospacing="1"/>
      <w:jc w:val="left"/>
      <w:textAlignment w:val="center"/>
    </w:pPr>
    <w:rPr>
      <w:kern w:val="0"/>
      <w:sz w:val="24"/>
    </w:rPr>
  </w:style>
  <w:style w:type="paragraph" w:customStyle="1" w:styleId="185">
    <w:name w:val="xl8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olor w:val="000000"/>
      <w:kern w:val="0"/>
      <w:sz w:val="20"/>
      <w:szCs w:val="20"/>
    </w:rPr>
  </w:style>
  <w:style w:type="paragraph" w:customStyle="1" w:styleId="186">
    <w:name w:val="B"/>
    <w:basedOn w:val="1"/>
    <w:uiPriority w:val="0"/>
    <w:pPr>
      <w:autoSpaceDE w:val="0"/>
      <w:autoSpaceDN w:val="0"/>
      <w:adjustRightInd w:val="0"/>
      <w:spacing w:after="156" w:afterLines="50" w:line="520" w:lineRule="exact"/>
      <w:jc w:val="center"/>
    </w:pPr>
    <w:rPr>
      <w:rFonts w:ascii="宋体"/>
      <w:b/>
      <w:bCs/>
      <w:color w:val="000000"/>
      <w:kern w:val="0"/>
      <w:sz w:val="28"/>
      <w:szCs w:val="21"/>
    </w:rPr>
  </w:style>
  <w:style w:type="paragraph" w:customStyle="1" w:styleId="187">
    <w:name w:val="Balloon Text"/>
    <w:basedOn w:val="1"/>
    <w:semiHidden/>
    <w:uiPriority w:val="0"/>
    <w:rPr>
      <w:sz w:val="16"/>
      <w:szCs w:val="16"/>
    </w:rPr>
  </w:style>
  <w:style w:type="paragraph" w:customStyle="1" w:styleId="188">
    <w:name w:val=" Char Char Char Char Char Char Char Char Char Char Char Char Char Char Char Char Char Char Char"/>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189">
    <w:name w:val="表4"/>
    <w:basedOn w:val="1"/>
    <w:next w:val="1"/>
    <w:uiPriority w:val="0"/>
    <w:pPr>
      <w:adjustRightInd w:val="0"/>
      <w:snapToGrid w:val="0"/>
      <w:spacing w:line="400" w:lineRule="exact"/>
      <w:jc w:val="center"/>
    </w:pPr>
    <w:rPr>
      <w:rFonts w:ascii="宋体" w:hAnsi="宋体"/>
      <w:sz w:val="24"/>
      <w:szCs w:val="20"/>
      <w:lang w:val="zh-CN"/>
    </w:rPr>
  </w:style>
  <w:style w:type="paragraph" w:customStyle="1" w:styleId="190">
    <w:name w:val="3 Char Char Char Char Char"/>
    <w:basedOn w:val="1"/>
    <w:uiPriority w:val="0"/>
    <w:pPr>
      <w:spacing w:line="460" w:lineRule="exact"/>
      <w:ind w:firstLine="461" w:firstLineChars="192"/>
    </w:pPr>
    <w:rPr>
      <w:color w:val="FF0000"/>
      <w:sz w:val="24"/>
    </w:rPr>
  </w:style>
  <w:style w:type="paragraph" w:customStyle="1" w:styleId="191">
    <w:name w:val=" Char Char Char Char"/>
    <w:basedOn w:val="1"/>
    <w:next w:val="1"/>
    <w:uiPriority w:val="0"/>
    <w:pPr>
      <w:spacing w:line="360" w:lineRule="auto"/>
      <w:ind w:firstLine="200" w:firstLineChars="200"/>
    </w:pPr>
    <w:rPr>
      <w:rFonts w:ascii="宋体" w:hAnsi="宋体" w:cs="宋体"/>
      <w:sz w:val="24"/>
    </w:rPr>
  </w:style>
  <w:style w:type="paragraph" w:customStyle="1" w:styleId="192">
    <w:name w:val="3 Char Char Char"/>
    <w:basedOn w:val="1"/>
    <w:uiPriority w:val="0"/>
    <w:pPr>
      <w:spacing w:line="460" w:lineRule="exact"/>
      <w:ind w:firstLine="461" w:firstLineChars="192"/>
    </w:pPr>
    <w:rPr>
      <w:color w:val="FF0000"/>
      <w:sz w:val="24"/>
      <w:szCs w:val="20"/>
    </w:rPr>
  </w:style>
  <w:style w:type="paragraph" w:customStyle="1" w:styleId="193">
    <w:name w:val="三级标题"/>
    <w:basedOn w:val="1"/>
    <w:uiPriority w:val="0"/>
    <w:rPr>
      <w:rFonts w:eastAsia="黑体"/>
      <w:bCs/>
      <w:sz w:val="28"/>
    </w:rPr>
  </w:style>
  <w:style w:type="paragraph" w:customStyle="1" w:styleId="194">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95">
    <w:name w:val=" Char2 Char Char Char"/>
    <w:basedOn w:val="1"/>
    <w:next w:val="1"/>
    <w:uiPriority w:val="0"/>
    <w:pPr>
      <w:spacing w:line="360" w:lineRule="auto"/>
      <w:ind w:firstLine="200" w:firstLineChars="200"/>
    </w:pPr>
    <w:rPr>
      <w:rFonts w:ascii="宋体" w:hAnsi="宋体" w:cs="宋体"/>
      <w:sz w:val="24"/>
    </w:rPr>
  </w:style>
  <w:style w:type="paragraph" w:customStyle="1" w:styleId="196">
    <w:name w:val="Char1"/>
    <w:basedOn w:val="1"/>
    <w:next w:val="1"/>
    <w:uiPriority w:val="0"/>
    <w:pPr>
      <w:spacing w:line="360" w:lineRule="auto"/>
      <w:ind w:firstLine="200" w:firstLineChars="200"/>
    </w:pPr>
    <w:rPr>
      <w:rFonts w:ascii="宋体" w:hAnsi="宋体" w:cs="宋体"/>
      <w:sz w:val="24"/>
    </w:rPr>
  </w:style>
  <w:style w:type="paragraph" w:customStyle="1" w:styleId="197">
    <w:name w:val="表3"/>
    <w:basedOn w:val="1"/>
    <w:next w:val="1"/>
    <w:uiPriority w:val="0"/>
    <w:pPr>
      <w:keepNext/>
      <w:keepLines/>
      <w:adjustRightInd w:val="0"/>
      <w:snapToGrid w:val="0"/>
      <w:ind w:left="1" w:leftChars="-51" w:hanging="108" w:hangingChars="45"/>
      <w:jc w:val="center"/>
    </w:pPr>
    <w:rPr>
      <w:rFonts w:ascii="宋体" w:hAnsi="宋体"/>
      <w:sz w:val="24"/>
      <w:szCs w:val="32"/>
      <w:lang w:val="zh-CN"/>
    </w:rPr>
  </w:style>
  <w:style w:type="paragraph" w:customStyle="1" w:styleId="198">
    <w:name w:val="目录2"/>
    <w:basedOn w:val="1"/>
    <w:next w:val="1"/>
    <w:uiPriority w:val="0"/>
    <w:pPr>
      <w:widowControl/>
      <w:tabs>
        <w:tab w:val="left" w:leader="dot" w:pos="8469"/>
      </w:tabs>
      <w:spacing w:line="1610" w:lineRule="atLeast"/>
      <w:ind w:left="419" w:firstLine="419"/>
      <w:textAlignment w:val="baseline"/>
    </w:pPr>
    <w:rPr>
      <w:color w:val="000000"/>
      <w:kern w:val="0"/>
      <w:szCs w:val="20"/>
      <w:u w:val="none" w:color="000000"/>
    </w:rPr>
  </w:style>
  <w:style w:type="paragraph" w:customStyle="1" w:styleId="199">
    <w:name w:val="xl93"/>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200">
    <w:name w:val="New title 1"/>
    <w:basedOn w:val="1"/>
    <w:uiPriority w:val="0"/>
    <w:pPr>
      <w:numPr>
        <w:ilvl w:val="0"/>
        <w:numId w:val="1"/>
      </w:numPr>
      <w:tabs>
        <w:tab w:val="clear" w:pos="425"/>
      </w:tabs>
      <w:ind w:left="0" w:firstLine="0"/>
    </w:pPr>
    <w:rPr>
      <w:rFonts w:eastAsia="黑体"/>
      <w:kern w:val="0"/>
      <w:sz w:val="32"/>
      <w:szCs w:val="21"/>
    </w:rPr>
  </w:style>
  <w:style w:type="paragraph" w:customStyle="1" w:styleId="201">
    <w:name w:val="xl54"/>
    <w:basedOn w:val="1"/>
    <w:uiPriority w:val="0"/>
    <w:pPr>
      <w:widowControl/>
      <w:spacing w:before="100" w:beforeAutospacing="1" w:after="100" w:afterAutospacing="1"/>
      <w:jc w:val="left"/>
    </w:pPr>
    <w:rPr>
      <w:rFonts w:eastAsia="Arial Unicode MS"/>
      <w:kern w:val="0"/>
      <w:sz w:val="24"/>
    </w:rPr>
  </w:style>
  <w:style w:type="paragraph" w:customStyle="1" w:styleId="202">
    <w:name w:val="3 Char Char Char Char"/>
    <w:basedOn w:val="1"/>
    <w:uiPriority w:val="0"/>
    <w:pPr>
      <w:spacing w:line="460" w:lineRule="exact"/>
      <w:ind w:firstLine="461" w:firstLineChars="192"/>
    </w:pPr>
    <w:rPr>
      <w:color w:val="FF0000"/>
      <w:sz w:val="24"/>
    </w:rPr>
  </w:style>
  <w:style w:type="paragraph" w:customStyle="1" w:styleId="203">
    <w:name w:val="默认段落字体 Para Char"/>
    <w:basedOn w:val="1"/>
    <w:next w:val="1"/>
    <w:uiPriority w:val="0"/>
    <w:pPr>
      <w:spacing w:line="360" w:lineRule="auto"/>
      <w:ind w:firstLine="200" w:firstLineChars="200"/>
    </w:pPr>
    <w:rPr>
      <w:szCs w:val="20"/>
    </w:rPr>
  </w:style>
  <w:style w:type="paragraph" w:customStyle="1" w:styleId="204">
    <w:name w:val="xl49"/>
    <w:basedOn w:val="1"/>
    <w:uiPriority w:val="0"/>
    <w:pPr>
      <w:widowControl/>
      <w:spacing w:before="100" w:beforeAutospacing="1" w:after="100" w:afterAutospacing="1"/>
      <w:jc w:val="center"/>
      <w:textAlignment w:val="bottom"/>
    </w:pPr>
    <w:rPr>
      <w:rFonts w:ascii="Arial Unicode MS" w:hAnsi="Arial Unicode MS" w:eastAsia="Arial Unicode MS" w:cs="Arial Unicode MS"/>
      <w:b/>
      <w:bCs/>
      <w:kern w:val="0"/>
      <w:sz w:val="28"/>
      <w:szCs w:val="28"/>
    </w:rPr>
  </w:style>
  <w:style w:type="paragraph" w:customStyle="1" w:styleId="205">
    <w:name w:val="xl46"/>
    <w:basedOn w:val="1"/>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206">
    <w:name w:val="bt3"/>
    <w:basedOn w:val="29"/>
    <w:uiPriority w:val="0"/>
    <w:pPr>
      <w:spacing w:line="360" w:lineRule="auto"/>
      <w:ind w:firstLine="472" w:firstLineChars="196"/>
      <w:outlineLvl w:val="2"/>
    </w:pPr>
    <w:rPr>
      <w:rFonts w:hAnsi="宋体" w:cs="宋体"/>
      <w:b/>
      <w:color w:val="FF0000"/>
      <w:sz w:val="24"/>
      <w:szCs w:val="24"/>
    </w:rPr>
  </w:style>
  <w:style w:type="paragraph" w:customStyle="1" w:styleId="207">
    <w:name w:val="目录4"/>
    <w:basedOn w:val="1"/>
    <w:next w:val="1"/>
    <w:uiPriority w:val="0"/>
    <w:pPr>
      <w:widowControl/>
      <w:tabs>
        <w:tab w:val="left" w:leader="dot" w:pos="8469"/>
      </w:tabs>
      <w:spacing w:line="1610" w:lineRule="atLeast"/>
      <w:ind w:left="419" w:firstLine="629"/>
      <w:textAlignment w:val="baseline"/>
    </w:pPr>
    <w:rPr>
      <w:color w:val="000000"/>
      <w:kern w:val="0"/>
      <w:szCs w:val="20"/>
      <w:u w:val="none" w:color="000000"/>
    </w:rPr>
  </w:style>
  <w:style w:type="paragraph" w:customStyle="1" w:styleId="208">
    <w:name w:val="样式4"/>
    <w:basedOn w:val="1"/>
    <w:uiPriority w:val="0"/>
    <w:pPr>
      <w:adjustRightInd w:val="0"/>
      <w:spacing w:line="380" w:lineRule="exact"/>
      <w:ind w:firstLine="539"/>
      <w:textAlignment w:val="baseline"/>
    </w:pPr>
    <w:rPr>
      <w:kern w:val="0"/>
      <w:sz w:val="24"/>
    </w:rPr>
  </w:style>
  <w:style w:type="paragraph" w:customStyle="1" w:styleId="209">
    <w:name w:val="xl68"/>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olor w:val="000000"/>
      <w:kern w:val="0"/>
      <w:sz w:val="20"/>
      <w:szCs w:val="20"/>
    </w:rPr>
  </w:style>
  <w:style w:type="paragraph" w:customStyle="1" w:styleId="210">
    <w:name w:val="标题3"/>
    <w:basedOn w:val="211"/>
    <w:uiPriority w:val="0"/>
    <w:pPr>
      <w:numPr>
        <w:ilvl w:val="0"/>
        <w:numId w:val="2"/>
      </w:numPr>
      <w:tabs>
        <w:tab w:val="left" w:pos="1280"/>
      </w:tabs>
      <w:spacing w:before="50" w:beforeLines="50" w:after="50" w:afterLines="50" w:line="360" w:lineRule="auto"/>
      <w:jc w:val="both"/>
      <w:outlineLvl w:val="0"/>
    </w:pPr>
    <w:rPr>
      <w:rFonts w:eastAsia="仿宋_GB2312" w:cs="宋体"/>
      <w:b w:val="0"/>
      <w:kern w:val="44"/>
    </w:rPr>
  </w:style>
  <w:style w:type="paragraph" w:customStyle="1" w:styleId="211">
    <w:name w:val="标题2"/>
    <w:basedOn w:val="1"/>
    <w:uiPriority w:val="0"/>
    <w:pPr>
      <w:keepNext/>
      <w:keepLines/>
      <w:tabs>
        <w:tab w:val="left" w:pos="1280"/>
      </w:tabs>
      <w:spacing w:before="120" w:after="120" w:line="377" w:lineRule="auto"/>
      <w:ind w:left="1280" w:hanging="720"/>
      <w:jc w:val="center"/>
      <w:outlineLvl w:val="4"/>
    </w:pPr>
    <w:rPr>
      <w:b/>
      <w:bCs/>
      <w:sz w:val="28"/>
      <w:szCs w:val="28"/>
    </w:rPr>
  </w:style>
  <w:style w:type="paragraph" w:customStyle="1" w:styleId="212">
    <w:name w:val="xl55"/>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13">
    <w:name w:val="文章附标题"/>
    <w:basedOn w:val="1"/>
    <w:next w:val="1"/>
    <w:uiPriority w:val="0"/>
    <w:pPr>
      <w:widowControl/>
      <w:spacing w:before="187" w:after="175" w:line="2619" w:lineRule="atLeast"/>
      <w:jc w:val="center"/>
      <w:textAlignment w:val="baseline"/>
    </w:pPr>
    <w:rPr>
      <w:color w:val="000000"/>
      <w:kern w:val="0"/>
      <w:sz w:val="36"/>
      <w:szCs w:val="20"/>
      <w:u w:val="none" w:color="000000"/>
    </w:rPr>
  </w:style>
  <w:style w:type="paragraph" w:customStyle="1" w:styleId="214">
    <w:name w:val="font0"/>
    <w:basedOn w:val="1"/>
    <w:uiPriority w:val="0"/>
    <w:pPr>
      <w:widowControl/>
      <w:spacing w:before="100" w:beforeAutospacing="1" w:after="100" w:afterAutospacing="1"/>
      <w:jc w:val="left"/>
    </w:pPr>
    <w:rPr>
      <w:rFonts w:hint="eastAsia" w:ascii="宋体" w:hAnsi="宋体" w:cs="Arial Unicode MS"/>
      <w:kern w:val="0"/>
      <w:sz w:val="24"/>
    </w:rPr>
  </w:style>
  <w:style w:type="paragraph" w:customStyle="1" w:styleId="215">
    <w:name w:val="xl79"/>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olor w:val="000000"/>
      <w:kern w:val="0"/>
      <w:sz w:val="20"/>
      <w:szCs w:val="20"/>
    </w:rPr>
  </w:style>
  <w:style w:type="paragraph" w:customStyle="1" w:styleId="216">
    <w:name w:val="表"/>
    <w:basedOn w:val="1"/>
    <w:uiPriority w:val="0"/>
    <w:pPr>
      <w:jc w:val="center"/>
    </w:pPr>
    <w:rPr>
      <w:rFonts w:ascii="宋体" w:hAnsi="宋体"/>
      <w:color w:val="008000"/>
    </w:rPr>
  </w:style>
  <w:style w:type="paragraph" w:customStyle="1" w:styleId="217">
    <w:name w:val="xl81"/>
    <w:basedOn w:val="1"/>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218">
    <w:name w:val="无列表1"/>
    <w:uiPriority w:val="0"/>
    <w:pPr>
      <w:spacing w:line="1644" w:lineRule="atLeast"/>
      <w:ind w:firstLine="419"/>
      <w:jc w:val="both"/>
      <w:textAlignment w:val="baseline"/>
    </w:pPr>
    <w:rPr>
      <w:color w:val="000000"/>
      <w:sz w:val="21"/>
      <w:u w:val="none" w:color="000000"/>
      <w:lang w:val="en-US" w:eastAsia="zh-CN" w:bidi="ar-SA"/>
    </w:rPr>
  </w:style>
  <w:style w:type="paragraph" w:customStyle="1" w:styleId="219">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20">
    <w:name w:val="xl33"/>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221">
    <w:name w:val="xl43"/>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eastAsia="Arial Unicode MS"/>
      <w:kern w:val="0"/>
      <w:sz w:val="24"/>
    </w:rPr>
  </w:style>
  <w:style w:type="paragraph" w:customStyle="1" w:styleId="222">
    <w:name w:val="xl41"/>
    <w:basedOn w:val="1"/>
    <w:uiPriority w:val="0"/>
    <w:pPr>
      <w:widowControl/>
      <w:pBdr>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23">
    <w:name w:val="font7"/>
    <w:basedOn w:val="1"/>
    <w:uiPriority w:val="0"/>
    <w:pPr>
      <w:widowControl/>
      <w:spacing w:before="100" w:beforeAutospacing="1" w:after="100" w:afterAutospacing="1"/>
      <w:jc w:val="left"/>
    </w:pPr>
    <w:rPr>
      <w:kern w:val="0"/>
      <w:sz w:val="24"/>
    </w:rPr>
  </w:style>
  <w:style w:type="paragraph" w:customStyle="1" w:styleId="224">
    <w:name w:val="4"/>
    <w:basedOn w:val="15"/>
    <w:uiPriority w:val="0"/>
    <w:pPr>
      <w:spacing w:line="400" w:lineRule="exact"/>
      <w:ind w:firstLine="0" w:firstLineChars="0"/>
    </w:pPr>
    <w:rPr>
      <w:sz w:val="24"/>
      <w:szCs w:val="24"/>
    </w:rPr>
  </w:style>
  <w:style w:type="paragraph" w:customStyle="1" w:styleId="225">
    <w:name w:val="官寨标题3"/>
    <w:basedOn w:val="4"/>
    <w:uiPriority w:val="0"/>
    <w:pPr>
      <w:keepLines/>
      <w:pageBreakBefore/>
      <w:widowControl/>
      <w:spacing w:after="240" w:line="360" w:lineRule="auto"/>
    </w:pPr>
    <w:rPr>
      <w:rFonts w:cs="宋体"/>
      <w:b/>
      <w:bCs/>
      <w:kern w:val="0"/>
      <w:sz w:val="30"/>
      <w:szCs w:val="30"/>
    </w:rPr>
  </w:style>
  <w:style w:type="paragraph" w:customStyle="1" w:styleId="226">
    <w:name w:val="xl48"/>
    <w:basedOn w:val="1"/>
    <w:uiPriority w:val="0"/>
    <w:pPr>
      <w:widowControl/>
      <w:pBdr>
        <w:top w:val="single" w:color="auto" w:sz="8" w:space="0"/>
        <w:right w:val="single" w:color="auto" w:sz="8"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27">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4"/>
    </w:rPr>
  </w:style>
  <w:style w:type="paragraph" w:customStyle="1" w:styleId="228">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29">
    <w:name w:val="正文格式"/>
    <w:basedOn w:val="1"/>
    <w:uiPriority w:val="0"/>
    <w:pPr>
      <w:spacing w:line="288" w:lineRule="auto"/>
      <w:ind w:firstLine="425"/>
    </w:pPr>
    <w:rPr>
      <w:rFonts w:ascii="宋体"/>
      <w:sz w:val="24"/>
    </w:rPr>
  </w:style>
  <w:style w:type="paragraph" w:customStyle="1" w:styleId="230">
    <w:name w:val="样式 小四 行距: 1.5 倍行距"/>
    <w:basedOn w:val="1"/>
    <w:uiPriority w:val="0"/>
    <w:pPr>
      <w:spacing w:line="360" w:lineRule="auto"/>
      <w:ind w:firstLine="200" w:firstLineChars="200"/>
    </w:pPr>
    <w:rPr>
      <w:rFonts w:cs="宋体"/>
      <w:sz w:val="24"/>
      <w:szCs w:val="20"/>
    </w:rPr>
  </w:style>
  <w:style w:type="paragraph" w:customStyle="1" w:styleId="231">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232">
    <w:name w:val="xl42"/>
    <w:basedOn w:val="1"/>
    <w:uiPriority w:val="0"/>
    <w:pPr>
      <w:widowControl/>
      <w:pBdr>
        <w:left w:val="single" w:color="auto" w:sz="4" w:space="0"/>
        <w:bottom w:val="single" w:color="auto" w:sz="4" w:space="0"/>
        <w:right w:val="single" w:color="auto" w:sz="8" w:space="0"/>
      </w:pBdr>
      <w:spacing w:before="100" w:beforeAutospacing="1" w:after="100" w:afterAutospacing="1"/>
      <w:jc w:val="left"/>
    </w:pPr>
    <w:rPr>
      <w:rFonts w:eastAsia="Arial Unicode MS"/>
      <w:kern w:val="0"/>
      <w:sz w:val="24"/>
    </w:rPr>
  </w:style>
  <w:style w:type="paragraph" w:customStyle="1" w:styleId="233">
    <w:name w:val="报告正文h"/>
    <w:basedOn w:val="1"/>
    <w:uiPriority w:val="0"/>
    <w:pPr>
      <w:spacing w:line="560" w:lineRule="exact"/>
      <w:ind w:firstLine="560" w:firstLineChars="200"/>
    </w:pPr>
    <w:rPr>
      <w:rFonts w:ascii="仿宋_GB2312" w:eastAsia="仿宋_GB2312" w:cs="宋体"/>
      <w:bCs/>
      <w:color w:val="000000"/>
      <w:sz w:val="28"/>
      <w:szCs w:val="28"/>
    </w:rPr>
  </w:style>
  <w:style w:type="paragraph" w:customStyle="1" w:styleId="234">
    <w:name w:val="安全"/>
    <w:basedOn w:val="1"/>
    <w:uiPriority w:val="0"/>
    <w:pPr>
      <w:tabs>
        <w:tab w:val="right" w:leader="dot" w:pos="9554"/>
      </w:tabs>
      <w:adjustRightInd w:val="0"/>
      <w:snapToGrid w:val="0"/>
      <w:spacing w:line="460" w:lineRule="atLeast"/>
      <w:jc w:val="center"/>
    </w:pPr>
    <w:rPr>
      <w:rFonts w:ascii="宋体" w:hAnsi="宋体"/>
      <w:b/>
      <w:sz w:val="32"/>
      <w:szCs w:val="32"/>
      <w:lang/>
    </w:rPr>
  </w:style>
  <w:style w:type="paragraph" w:customStyle="1" w:styleId="235">
    <w:name w:val="谢桂秀"/>
    <w:basedOn w:val="1"/>
    <w:uiPriority w:val="0"/>
    <w:pPr>
      <w:spacing w:line="0" w:lineRule="atLeast"/>
      <w:ind w:firstLine="499" w:firstLineChars="227"/>
    </w:pPr>
    <w:rPr>
      <w:rFonts w:ascii="宋体" w:hAnsi="宋体"/>
      <w:szCs w:val="20"/>
    </w:rPr>
  </w:style>
  <w:style w:type="paragraph" w:customStyle="1" w:styleId="236">
    <w:name w:val="样式 小四 首行缩进:  0.85 厘米 行距: 固定值 22 磅"/>
    <w:basedOn w:val="1"/>
    <w:uiPriority w:val="0"/>
    <w:pPr>
      <w:spacing w:line="440" w:lineRule="exact"/>
      <w:ind w:firstLine="480"/>
    </w:pPr>
    <w:rPr>
      <w:rFonts w:cs="宋体"/>
      <w:sz w:val="24"/>
      <w:szCs w:val="20"/>
    </w:rPr>
  </w:style>
  <w:style w:type="paragraph" w:customStyle="1" w:styleId="237">
    <w:name w:val="xl60"/>
    <w:basedOn w:val="1"/>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238">
    <w:name w:val="bm"/>
    <w:basedOn w:val="29"/>
    <w:uiPriority w:val="0"/>
    <w:pPr>
      <w:jc w:val="center"/>
    </w:pPr>
    <w:rPr>
      <w:rFonts w:ascii="黑体" w:hAnsi="宋体" w:eastAsia="黑体" w:cs="宋体"/>
      <w:sz w:val="18"/>
      <w:szCs w:val="18"/>
    </w:rPr>
  </w:style>
  <w:style w:type="paragraph" w:customStyle="1" w:styleId="239">
    <w:name w:val="目录1"/>
    <w:basedOn w:val="1"/>
    <w:next w:val="1"/>
    <w:uiPriority w:val="0"/>
    <w:pPr>
      <w:widowControl/>
      <w:tabs>
        <w:tab w:val="left" w:leader="dot" w:pos="8469"/>
      </w:tabs>
      <w:spacing w:after="102" w:line="1508" w:lineRule="atLeast"/>
      <w:ind w:firstLine="419"/>
      <w:jc w:val="left"/>
      <w:textAlignment w:val="baseline"/>
    </w:pPr>
    <w:rPr>
      <w:color w:val="000000"/>
      <w:kern w:val="0"/>
      <w:szCs w:val="20"/>
      <w:u w:val="none" w:color="000000"/>
    </w:rPr>
  </w:style>
  <w:style w:type="paragraph" w:customStyle="1" w:styleId="240">
    <w:name w:val="正文A"/>
    <w:basedOn w:val="1"/>
    <w:uiPriority w:val="0"/>
    <w:pPr>
      <w:widowControl/>
      <w:spacing w:line="833" w:lineRule="atLeast"/>
      <w:ind w:firstLine="623"/>
      <w:textAlignment w:val="baseline"/>
    </w:pPr>
    <w:rPr>
      <w:color w:val="000000"/>
      <w:kern w:val="0"/>
      <w:sz w:val="31"/>
      <w:szCs w:val="20"/>
      <w:u w:val="none" w:color="000000"/>
    </w:rPr>
  </w:style>
  <w:style w:type="paragraph" w:customStyle="1" w:styleId="241">
    <w:name w:val=" Char Char Char2 Char Char Char Char"/>
    <w:basedOn w:val="1"/>
    <w:uiPriority w:val="0"/>
    <w:pPr>
      <w:tabs>
        <w:tab w:val="left" w:pos="360"/>
      </w:tabs>
      <w:ind w:firstLine="420"/>
    </w:pPr>
    <w:rPr>
      <w:rFonts w:ascii="Arial" w:hAnsi="Arial" w:cs="Arial"/>
      <w:sz w:val="20"/>
      <w:szCs w:val="20"/>
    </w:rPr>
  </w:style>
  <w:style w:type="paragraph" w:customStyle="1" w:styleId="242">
    <w:name w:val="xl35"/>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3">
    <w:name w:val="样式3"/>
    <w:basedOn w:val="1"/>
    <w:next w:val="1"/>
    <w:uiPriority w:val="0"/>
    <w:pPr>
      <w:autoSpaceDE w:val="0"/>
      <w:autoSpaceDN w:val="0"/>
      <w:adjustRightInd w:val="0"/>
      <w:spacing w:before="120" w:after="120"/>
      <w:ind w:firstLine="539"/>
      <w:jc w:val="left"/>
      <w:textAlignment w:val="baseline"/>
      <w:outlineLvl w:val="0"/>
    </w:pPr>
    <w:rPr>
      <w:rFonts w:ascii="宋体"/>
      <w:b/>
      <w:kern w:val="0"/>
      <w:sz w:val="28"/>
      <w:szCs w:val="20"/>
    </w:rPr>
  </w:style>
  <w:style w:type="paragraph" w:customStyle="1" w:styleId="244">
    <w:name w:val="目录3"/>
    <w:basedOn w:val="1"/>
    <w:next w:val="1"/>
    <w:uiPriority w:val="0"/>
    <w:pPr>
      <w:widowControl/>
      <w:tabs>
        <w:tab w:val="left" w:leader="dot" w:pos="8469"/>
      </w:tabs>
      <w:spacing w:line="1610" w:lineRule="atLeast"/>
      <w:ind w:left="419" w:firstLine="419"/>
      <w:textAlignment w:val="baseline"/>
    </w:pPr>
    <w:rPr>
      <w:color w:val="000000"/>
      <w:kern w:val="0"/>
      <w:szCs w:val="20"/>
      <w:u w:val="none" w:color="000000"/>
    </w:rPr>
  </w:style>
  <w:style w:type="paragraph" w:customStyle="1" w:styleId="245">
    <w:name w:val="xl92"/>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6">
    <w:name w:val="New title 3"/>
    <w:basedOn w:val="1"/>
    <w:uiPriority w:val="0"/>
    <w:pPr>
      <w:ind w:firstLine="420" w:firstLineChars="200"/>
      <w:jc w:val="center"/>
    </w:pPr>
    <w:rPr>
      <w:b/>
      <w:sz w:val="24"/>
      <w:szCs w:val="21"/>
    </w:rPr>
  </w:style>
  <w:style w:type="paragraph" w:customStyle="1" w:styleId="247">
    <w:name w:val="xl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8">
    <w:name w:val="a3"/>
    <w:basedOn w:val="1"/>
    <w:uiPriority w:val="0"/>
    <w:pPr>
      <w:jc w:val="center"/>
    </w:pPr>
    <w:rPr>
      <w:sz w:val="28"/>
      <w:szCs w:val="20"/>
    </w:rPr>
  </w:style>
  <w:style w:type="paragraph" w:customStyle="1" w:styleId="249">
    <w:name w:val="xl32"/>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eastAsia="Arial Unicode MS"/>
      <w:kern w:val="0"/>
      <w:sz w:val="24"/>
    </w:rPr>
  </w:style>
  <w:style w:type="paragraph" w:customStyle="1" w:styleId="250">
    <w:name w:val="xl26"/>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51">
    <w:name w:val="章标题"/>
    <w:basedOn w:val="1"/>
    <w:next w:val="252"/>
    <w:uiPriority w:val="0"/>
    <w:pPr>
      <w:widowControl/>
      <w:spacing w:before="158" w:after="153" w:line="2262" w:lineRule="atLeast"/>
      <w:jc w:val="center"/>
      <w:textAlignment w:val="baseline"/>
    </w:pPr>
    <w:rPr>
      <w:rFonts w:ascii="Arial" w:eastAsia="黑体"/>
      <w:color w:val="000000"/>
      <w:kern w:val="0"/>
      <w:sz w:val="31"/>
      <w:szCs w:val="20"/>
      <w:u w:val="none" w:color="000000"/>
    </w:rPr>
  </w:style>
  <w:style w:type="paragraph" w:customStyle="1" w:styleId="252">
    <w:name w:val="节标题"/>
    <w:basedOn w:val="1"/>
    <w:next w:val="1"/>
    <w:uiPriority w:val="0"/>
    <w:pPr>
      <w:autoSpaceDE w:val="0"/>
      <w:autoSpaceDN w:val="0"/>
      <w:adjustRightInd w:val="0"/>
      <w:spacing w:line="289" w:lineRule="atLeast"/>
      <w:jc w:val="center"/>
    </w:pPr>
    <w:rPr>
      <w:color w:val="000000"/>
      <w:kern w:val="0"/>
      <w:sz w:val="28"/>
      <w:szCs w:val="28"/>
      <w:lang w:val="zh-CN"/>
    </w:rPr>
  </w:style>
  <w:style w:type="paragraph" w:customStyle="1" w:styleId="253">
    <w:name w:val="标题1"/>
    <w:basedOn w:val="2"/>
    <w:uiPriority w:val="0"/>
    <w:pPr>
      <w:keepLines/>
      <w:tabs>
        <w:tab w:val="left" w:pos="1440"/>
      </w:tabs>
      <w:spacing w:line="480" w:lineRule="auto"/>
      <w:ind w:left="4710" w:firstLine="0" w:firstLineChars="0"/>
    </w:pPr>
    <w:rPr>
      <w:rFonts w:ascii="Times New Roman" w:hAnsi="Times New Roman"/>
      <w:b/>
      <w:kern w:val="44"/>
      <w:sz w:val="30"/>
    </w:rPr>
  </w:style>
  <w:style w:type="paragraph" w:customStyle="1" w:styleId="254">
    <w:name w:val="xl63"/>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b/>
      <w:bCs/>
      <w:color w:val="000000"/>
      <w:kern w:val="0"/>
      <w:sz w:val="24"/>
    </w:rPr>
  </w:style>
  <w:style w:type="paragraph" w:customStyle="1" w:styleId="255">
    <w:name w:val="A3"/>
    <w:basedOn w:val="1"/>
    <w:uiPriority w:val="0"/>
    <w:pPr>
      <w:tabs>
        <w:tab w:val="left" w:pos="960"/>
      </w:tabs>
      <w:spacing w:line="300" w:lineRule="auto"/>
      <w:ind w:left="960" w:hanging="435"/>
    </w:pPr>
    <w:rPr>
      <w:b/>
      <w:sz w:val="30"/>
    </w:rPr>
  </w:style>
  <w:style w:type="paragraph" w:customStyle="1" w:styleId="256">
    <w:name w:val="0"/>
    <w:basedOn w:val="1"/>
    <w:uiPriority w:val="0"/>
    <w:pPr>
      <w:widowControl/>
    </w:pPr>
    <w:rPr>
      <w:kern w:val="0"/>
      <w:szCs w:val="21"/>
    </w:rPr>
  </w:style>
  <w:style w:type="paragraph" w:customStyle="1" w:styleId="257">
    <w:name w:val="小节标题"/>
    <w:basedOn w:val="1"/>
    <w:next w:val="1"/>
    <w:uiPriority w:val="0"/>
    <w:pPr>
      <w:widowControl/>
      <w:spacing w:before="175" w:after="102" w:line="1644" w:lineRule="atLeast"/>
      <w:textAlignment w:val="baseline"/>
    </w:pPr>
    <w:rPr>
      <w:rFonts w:eastAsia="黑体"/>
      <w:color w:val="000000"/>
      <w:kern w:val="0"/>
      <w:szCs w:val="20"/>
      <w:u w:val="none" w:color="000000"/>
    </w:rPr>
  </w:style>
  <w:style w:type="paragraph" w:customStyle="1" w:styleId="258">
    <w:name w:val="Body Text Indent 3"/>
    <w:basedOn w:val="1"/>
    <w:uiPriority w:val="0"/>
    <w:pPr>
      <w:adjustRightInd w:val="0"/>
      <w:spacing w:line="440" w:lineRule="exact"/>
      <w:ind w:firstLine="480"/>
      <w:textAlignment w:val="baseline"/>
    </w:pPr>
    <w:rPr>
      <w:rFonts w:ascii="宋体" w:hAnsi="宋体"/>
      <w:sz w:val="24"/>
      <w:szCs w:val="20"/>
    </w:rPr>
  </w:style>
  <w:style w:type="paragraph" w:customStyle="1" w:styleId="259">
    <w:name w:val="xl50"/>
    <w:basedOn w:val="1"/>
    <w:uiPriority w:val="0"/>
    <w:pPr>
      <w:widowControl/>
      <w:pBdr>
        <w:top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60">
    <w:name w:val="列出段落"/>
    <w:basedOn w:val="1"/>
    <w:qFormat/>
    <w:uiPriority w:val="0"/>
    <w:pPr>
      <w:spacing w:line="300" w:lineRule="auto"/>
      <w:ind w:firstLine="420" w:firstLineChars="200"/>
    </w:pPr>
    <w:rPr>
      <w:rFonts w:ascii="Calibri" w:hAnsi="Calibri"/>
      <w:szCs w:val="22"/>
    </w:rPr>
  </w:style>
  <w:style w:type="paragraph" w:customStyle="1" w:styleId="261">
    <w:name w:val="总章"/>
    <w:basedOn w:val="1"/>
    <w:uiPriority w:val="0"/>
    <w:pPr>
      <w:widowControl/>
      <w:tabs>
        <w:tab w:val="left" w:pos="719"/>
      </w:tabs>
      <w:spacing w:before="17" w:after="5" w:line="600" w:lineRule="atLeast"/>
      <w:ind w:firstLine="419"/>
      <w:jc w:val="center"/>
      <w:textAlignment w:val="baseline"/>
    </w:pPr>
    <w:rPr>
      <w:rFonts w:eastAsia="华文细黑"/>
      <w:i/>
      <w:color w:val="000000"/>
      <w:spacing w:val="39"/>
      <w:kern w:val="0"/>
      <w:sz w:val="36"/>
      <w:szCs w:val="20"/>
      <w:u w:val="none" w:color="000000"/>
    </w:rPr>
  </w:style>
  <w:style w:type="paragraph" w:customStyle="1" w:styleId="262">
    <w:name w:val=" Char"/>
    <w:basedOn w:val="1"/>
    <w:next w:val="1"/>
    <w:uiPriority w:val="0"/>
    <w:pPr>
      <w:spacing w:line="360" w:lineRule="auto"/>
      <w:ind w:firstLine="200" w:firstLineChars="200"/>
    </w:pPr>
    <w:rPr>
      <w:rFonts w:ascii="宋体" w:hAnsi="宋体" w:cs="宋体"/>
      <w:sz w:val="24"/>
    </w:rPr>
  </w:style>
  <w:style w:type="paragraph" w:customStyle="1" w:styleId="263">
    <w:name w:val="普通表格1"/>
    <w:uiPriority w:val="0"/>
    <w:pPr>
      <w:spacing w:line="1644" w:lineRule="atLeast"/>
      <w:ind w:firstLine="419"/>
      <w:jc w:val="both"/>
      <w:textAlignment w:val="baseline"/>
    </w:pPr>
    <w:rPr>
      <w:color w:val="000000"/>
      <w:sz w:val="21"/>
      <w:u w:val="none" w:color="000000"/>
      <w:lang w:val="en-US" w:eastAsia="zh-CN" w:bidi="ar-SA"/>
    </w:rPr>
  </w:style>
  <w:style w:type="paragraph" w:customStyle="1" w:styleId="264">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65">
    <w:name w:val="xl5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266">
    <w:name w:val="xl47"/>
    <w:basedOn w:val="1"/>
    <w:uiPriority w:val="0"/>
    <w:pPr>
      <w:widowControl/>
      <w:pBdr>
        <w:top w:val="single" w:color="auto" w:sz="8" w:space="0"/>
        <w:lef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67">
    <w:name w:val="xl97"/>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18"/>
      <w:szCs w:val="18"/>
    </w:rPr>
  </w:style>
  <w:style w:type="paragraph" w:customStyle="1" w:styleId="268">
    <w:name w:val="font6"/>
    <w:basedOn w:val="1"/>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69">
    <w:name w:val="font5"/>
    <w:basedOn w:val="1"/>
    <w:uiPriority w:val="0"/>
    <w:pPr>
      <w:widowControl/>
      <w:spacing w:before="100" w:beforeAutospacing="1" w:after="100" w:afterAutospacing="1"/>
      <w:jc w:val="left"/>
    </w:pPr>
    <w:rPr>
      <w:rFonts w:hint="eastAsia" w:ascii="宋体" w:hAnsi="宋体" w:cs="Arial Unicode MS"/>
      <w:kern w:val="0"/>
      <w:sz w:val="24"/>
    </w:rPr>
  </w:style>
  <w:style w:type="paragraph" w:customStyle="1" w:styleId="270">
    <w:name w:val="xl38"/>
    <w:basedOn w:val="1"/>
    <w:uiPriority w:val="0"/>
    <w:pPr>
      <w:widowControl/>
      <w:pBdr>
        <w:top w:val="single" w:color="auto" w:sz="8"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71">
    <w:name w:val="font8"/>
    <w:basedOn w:val="1"/>
    <w:uiPriority w:val="0"/>
    <w:pPr>
      <w:widowControl/>
      <w:spacing w:before="100" w:beforeAutospacing="1" w:after="100" w:afterAutospacing="1"/>
      <w:jc w:val="left"/>
    </w:pPr>
    <w:rPr>
      <w:rFonts w:hint="eastAsia" w:ascii="宋体" w:hAnsi="宋体" w:cs="Arial Unicode MS"/>
      <w:kern w:val="0"/>
      <w:sz w:val="24"/>
    </w:rPr>
  </w:style>
  <w:style w:type="paragraph" w:customStyle="1" w:styleId="272">
    <w:name w:val="xl24"/>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273">
    <w:name w:val="样式 仿宋_GB2312 二号 居中"/>
    <w:basedOn w:val="1"/>
    <w:uiPriority w:val="0"/>
    <w:pPr>
      <w:jc w:val="center"/>
      <w:outlineLvl w:val="0"/>
    </w:pPr>
    <w:rPr>
      <w:rFonts w:ascii="仿宋_GB2312" w:hAnsi="仿宋_GB2312" w:eastAsia="仿宋_GB2312" w:cs="宋体"/>
      <w:sz w:val="44"/>
      <w:szCs w:val="20"/>
    </w:rPr>
  </w:style>
  <w:style w:type="paragraph" w:customStyle="1" w:styleId="274">
    <w:name w:val="xl36"/>
    <w:basedOn w:val="1"/>
    <w:uiPriority w:val="0"/>
    <w:pPr>
      <w:widowControl/>
      <w:pBdr>
        <w:left w:val="single" w:color="auto" w:sz="4" w:space="0"/>
        <w:bottom w:val="single" w:color="auto" w:sz="4" w:space="0"/>
      </w:pBdr>
      <w:spacing w:before="100" w:beforeAutospacing="1" w:after="100" w:afterAutospacing="1"/>
      <w:jc w:val="center"/>
    </w:pPr>
    <w:rPr>
      <w:rFonts w:eastAsia="Arial Unicode MS"/>
      <w:kern w:val="0"/>
      <w:sz w:val="24"/>
    </w:rPr>
  </w:style>
  <w:style w:type="paragraph" w:customStyle="1" w:styleId="275">
    <w:name w:val="font9"/>
    <w:basedOn w:val="1"/>
    <w:uiPriority w:val="0"/>
    <w:pPr>
      <w:widowControl/>
      <w:spacing w:before="100" w:beforeAutospacing="1" w:after="100" w:afterAutospacing="1"/>
      <w:jc w:val="left"/>
    </w:pPr>
    <w:rPr>
      <w:rFonts w:eastAsia="Arial Unicode MS"/>
      <w:kern w:val="0"/>
      <w:sz w:val="20"/>
      <w:szCs w:val="20"/>
    </w:rPr>
  </w:style>
  <w:style w:type="paragraph" w:customStyle="1" w:styleId="276">
    <w:name w:val="xl37"/>
    <w:basedOn w:val="1"/>
    <w:uiPriority w:val="0"/>
    <w:pPr>
      <w:widowControl/>
      <w:pBdr>
        <w:top w:val="single" w:color="auto" w:sz="8"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77">
    <w:name w:val="官寨正文"/>
    <w:basedOn w:val="32"/>
    <w:uiPriority w:val="0"/>
    <w:pPr>
      <w:snapToGrid w:val="0"/>
      <w:spacing w:line="480" w:lineRule="exact"/>
      <w:ind w:firstLine="480" w:firstLineChars="200"/>
    </w:pPr>
    <w:rPr>
      <w:rFonts w:ascii="宋体" w:hAnsi="宋体"/>
      <w:color w:val="000000"/>
    </w:rPr>
  </w:style>
  <w:style w:type="paragraph" w:customStyle="1" w:styleId="278">
    <w:name w:val="font10"/>
    <w:basedOn w:val="1"/>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279">
    <w:name w:val="xl40"/>
    <w:basedOn w:val="1"/>
    <w:uiPriority w:val="0"/>
    <w:pPr>
      <w:widowControl/>
      <w:pBdr>
        <w:top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80">
    <w:name w:val="xl39"/>
    <w:basedOn w:val="1"/>
    <w:uiPriority w:val="0"/>
    <w:pPr>
      <w:widowControl/>
      <w:pBdr>
        <w:lef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81">
    <w:name w:val="xl2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82">
    <w:name w:val="xl98"/>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283">
    <w:name w:val="xl29"/>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84">
    <w:name w:val="2"/>
    <w:basedOn w:val="1"/>
    <w:next w:val="29"/>
    <w:uiPriority w:val="0"/>
    <w:rPr>
      <w:rFonts w:ascii="宋体" w:hAnsi="Courier New" w:cs="Courier New"/>
      <w:szCs w:val="21"/>
    </w:rPr>
  </w:style>
  <w:style w:type="paragraph" w:customStyle="1" w:styleId="285">
    <w:name w:val="xl44"/>
    <w:basedOn w:val="1"/>
    <w:uiPriority w:val="0"/>
    <w:pPr>
      <w:widowControl/>
      <w:spacing w:before="100" w:beforeAutospacing="1" w:after="100" w:afterAutospacing="1"/>
      <w:jc w:val="left"/>
      <w:textAlignment w:val="bottom"/>
    </w:pPr>
    <w:rPr>
      <w:rFonts w:eastAsia="Arial Unicode MS"/>
      <w:kern w:val="0"/>
      <w:sz w:val="20"/>
      <w:szCs w:val="20"/>
    </w:rPr>
  </w:style>
  <w:style w:type="paragraph" w:customStyle="1" w:styleId="286">
    <w:name w:val="xl30"/>
    <w:basedOn w:val="1"/>
    <w:uiPriority w:val="0"/>
    <w:pPr>
      <w:widowControl/>
      <w:pBdr>
        <w:left w:val="single" w:color="auto" w:sz="8" w:space="0"/>
        <w:right w:val="single" w:color="auto" w:sz="4" w:space="0"/>
      </w:pBdr>
      <w:spacing w:before="100" w:beforeAutospacing="1" w:after="100" w:afterAutospacing="1"/>
      <w:jc w:val="center"/>
    </w:pPr>
    <w:rPr>
      <w:rFonts w:eastAsia="Arial Unicode MS"/>
      <w:kern w:val="0"/>
      <w:sz w:val="24"/>
    </w:rPr>
  </w:style>
  <w:style w:type="paragraph" w:customStyle="1" w:styleId="287">
    <w:name w:val="xl45"/>
    <w:basedOn w:val="1"/>
    <w:uiPriority w:val="0"/>
    <w:pPr>
      <w:widowControl/>
      <w:pBdr>
        <w:right w:val="single" w:color="auto" w:sz="4" w:space="0"/>
      </w:pBdr>
      <w:spacing w:before="100" w:beforeAutospacing="1" w:after="100" w:afterAutospacing="1"/>
      <w:jc w:val="center"/>
    </w:pPr>
    <w:rPr>
      <w:rFonts w:eastAsia="Arial Unicode MS"/>
      <w:kern w:val="0"/>
      <w:sz w:val="24"/>
    </w:rPr>
  </w:style>
  <w:style w:type="paragraph" w:customStyle="1" w:styleId="288">
    <w:name w:val="xl31"/>
    <w:basedOn w:val="1"/>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89">
    <w:name w:val="文章总标题"/>
    <w:basedOn w:val="1"/>
    <w:next w:val="213"/>
    <w:uiPriority w:val="0"/>
    <w:pPr>
      <w:widowControl/>
      <w:spacing w:before="566" w:after="544" w:line="3962" w:lineRule="atLeast"/>
      <w:jc w:val="center"/>
      <w:textAlignment w:val="baseline"/>
    </w:pPr>
    <w:rPr>
      <w:rFonts w:ascii="Arial" w:eastAsia="黑体"/>
      <w:color w:val="000000"/>
      <w:kern w:val="0"/>
      <w:sz w:val="54"/>
      <w:szCs w:val="20"/>
      <w:u w:val="none" w:color="000000"/>
    </w:rPr>
  </w:style>
  <w:style w:type="paragraph" w:customStyle="1" w:styleId="290">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91">
    <w:name w:val="xl61"/>
    <w:basedOn w:val="1"/>
    <w:uiPriority w:val="0"/>
    <w:pPr>
      <w:widowControl/>
      <w:spacing w:before="100" w:beforeAutospacing="1" w:after="100" w:afterAutospacing="1"/>
      <w:jc w:val="left"/>
      <w:textAlignment w:val="center"/>
    </w:pPr>
    <w:rPr>
      <w:rFonts w:ascii="宋体" w:hAnsi="宋体"/>
      <w:b/>
      <w:bCs/>
      <w:kern w:val="0"/>
      <w:sz w:val="24"/>
    </w:rPr>
  </w:style>
  <w:style w:type="paragraph" w:customStyle="1" w:styleId="292">
    <w:name w:val="样式5"/>
    <w:basedOn w:val="3"/>
    <w:uiPriority w:val="0"/>
    <w:pPr>
      <w:keepLines/>
      <w:spacing w:before="260" w:after="260" w:line="360" w:lineRule="auto"/>
      <w:ind w:firstLine="0" w:firstLineChars="0"/>
      <w:jc w:val="center"/>
    </w:pPr>
    <w:rPr>
      <w:b/>
      <w:color w:val="000000"/>
      <w:sz w:val="30"/>
      <w:szCs w:val="30"/>
    </w:rPr>
  </w:style>
  <w:style w:type="paragraph" w:customStyle="1" w:styleId="293">
    <w:name w:val="xl95"/>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94">
    <w:name w:val="样式 标题2 + 段前: 0.5 行 段后: 0.5 行"/>
    <w:basedOn w:val="211"/>
    <w:uiPriority w:val="0"/>
    <w:pPr>
      <w:numPr>
        <w:ilvl w:val="0"/>
        <w:numId w:val="3"/>
      </w:numPr>
      <w:spacing w:before="176" w:beforeLines="50" w:after="176" w:afterLines="50" w:line="360" w:lineRule="auto"/>
      <w:jc w:val="both"/>
      <w:outlineLvl w:val="0"/>
    </w:pPr>
    <w:rPr>
      <w:rFonts w:eastAsia="仿宋_GB2312" w:cs="宋体"/>
      <w:bCs w:val="0"/>
      <w:kern w:val="44"/>
      <w:szCs w:val="24"/>
    </w:rPr>
  </w:style>
  <w:style w:type="paragraph" w:customStyle="1" w:styleId="295">
    <w:name w:val="xl52"/>
    <w:basedOn w:val="1"/>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296">
    <w:name w:val="亲启"/>
    <w:uiPriority w:val="0"/>
    <w:pPr>
      <w:widowControl w:val="0"/>
      <w:jc w:val="both"/>
    </w:pPr>
    <w:rPr>
      <w:kern w:val="2"/>
      <w:sz w:val="21"/>
      <w:szCs w:val="24"/>
      <w:lang w:val="en-US" w:eastAsia="zh-CN" w:bidi="ar-SA"/>
    </w:rPr>
  </w:style>
  <w:style w:type="paragraph" w:customStyle="1" w:styleId="297">
    <w:name w:val=" Char Char Char Char Char Char Char Char Char Char Char Char Char Char Char Char Char Char Char Char Char Char Char Char Char Char Char Char"/>
    <w:basedOn w:val="1"/>
    <w:uiPriority w:val="0"/>
    <w:pPr>
      <w:tabs>
        <w:tab w:val="left" w:pos="360"/>
      </w:tabs>
      <w:ind w:firstLine="420"/>
    </w:pPr>
    <w:rPr>
      <w:rFonts w:ascii="Arial" w:hAnsi="Arial" w:cs="Arial"/>
      <w:sz w:val="20"/>
      <w:szCs w:val="20"/>
    </w:rPr>
  </w:style>
  <w:style w:type="paragraph" w:customStyle="1" w:styleId="298">
    <w:name w:val="xl53"/>
    <w:basedOn w:val="1"/>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299">
    <w:name w:val="3"/>
    <w:basedOn w:val="1"/>
    <w:uiPriority w:val="0"/>
    <w:pPr>
      <w:spacing w:line="460" w:lineRule="exact"/>
      <w:ind w:firstLine="461" w:firstLineChars="192"/>
    </w:pPr>
    <w:rPr>
      <w:color w:val="FF0000"/>
      <w:sz w:val="24"/>
      <w:szCs w:val="20"/>
    </w:rPr>
  </w:style>
  <w:style w:type="paragraph" w:customStyle="1" w:styleId="300">
    <w:name w:val="目录标题"/>
    <w:basedOn w:val="1"/>
    <w:next w:val="1"/>
    <w:uiPriority w:val="0"/>
    <w:pPr>
      <w:widowControl/>
      <w:spacing w:before="215" w:after="419" w:line="3055" w:lineRule="atLeast"/>
      <w:ind w:firstLine="419"/>
      <w:jc w:val="center"/>
      <w:textAlignment w:val="baseline"/>
    </w:pPr>
    <w:rPr>
      <w:rFonts w:ascii="Arial" w:eastAsia="黑体"/>
      <w:color w:val="000000"/>
      <w:kern w:val="0"/>
      <w:sz w:val="42"/>
      <w:szCs w:val="20"/>
      <w:u w:val="none" w:color="000000"/>
    </w:rPr>
  </w:style>
  <w:style w:type="paragraph" w:customStyle="1" w:styleId="301">
    <w:name w:val="xl67"/>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302">
    <w:name w:val="xl62"/>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color w:val="000000"/>
      <w:kern w:val="0"/>
      <w:sz w:val="24"/>
    </w:rPr>
  </w:style>
  <w:style w:type="paragraph" w:customStyle="1" w:styleId="303">
    <w:name w:val="xl51"/>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04">
    <w:name w:val="xl58"/>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05">
    <w:name w:val="xl59"/>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306">
    <w:name w:val="Char"/>
    <w:basedOn w:val="1"/>
    <w:next w:val="1"/>
    <w:uiPriority w:val="0"/>
    <w:pPr>
      <w:spacing w:line="360" w:lineRule="auto"/>
      <w:ind w:firstLine="200" w:firstLineChars="200"/>
    </w:pPr>
    <w:rPr>
      <w:rFonts w:ascii="宋体" w:hAnsi="宋体" w:cs="宋体"/>
      <w:sz w:val="24"/>
    </w:rPr>
  </w:style>
  <w:style w:type="paragraph" w:customStyle="1" w:styleId="307">
    <w:name w:val="xl109"/>
    <w:basedOn w:val="1"/>
    <w:uiPriority w:val="0"/>
    <w:pPr>
      <w:widowControl/>
      <w:pBdr>
        <w:top w:val="single" w:color="auto" w:sz="4" w:space="0"/>
        <w:left w:val="single" w:color="auto" w:sz="4" w:space="0"/>
        <w:bottom w:val="single" w:color="auto" w:sz="12"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08">
    <w:name w:val=" Char Char Char Char Char Char Char"/>
    <w:basedOn w:val="1"/>
    <w:next w:val="1"/>
    <w:uiPriority w:val="0"/>
    <w:pPr>
      <w:spacing w:line="360" w:lineRule="auto"/>
      <w:ind w:firstLine="200" w:firstLineChars="200"/>
    </w:pPr>
    <w:rPr>
      <w:szCs w:val="20"/>
    </w:rPr>
  </w:style>
  <w:style w:type="paragraph" w:customStyle="1" w:styleId="309">
    <w:name w:val="6"/>
    <w:basedOn w:val="1"/>
    <w:next w:val="22"/>
    <w:uiPriority w:val="0"/>
    <w:pPr>
      <w:spacing w:line="440" w:lineRule="exact"/>
    </w:pPr>
    <w:rPr>
      <w:rFonts w:ascii="宋体" w:hAnsi="宋体"/>
      <w:sz w:val="24"/>
      <w:szCs w:val="20"/>
    </w:rPr>
  </w:style>
  <w:style w:type="paragraph" w:customStyle="1" w:styleId="310">
    <w:name w:val="样式 首行缩进:  0.85 厘米"/>
    <w:basedOn w:val="1"/>
    <w:uiPriority w:val="0"/>
    <w:pPr>
      <w:adjustRightInd w:val="0"/>
      <w:spacing w:line="440" w:lineRule="exact"/>
      <w:ind w:firstLine="510"/>
    </w:pPr>
    <w:rPr>
      <w:rFonts w:cs="宋体"/>
      <w:sz w:val="24"/>
      <w:szCs w:val="20"/>
    </w:rPr>
  </w:style>
  <w:style w:type="paragraph" w:customStyle="1" w:styleId="311">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000000"/>
      <w:kern w:val="0"/>
      <w:sz w:val="20"/>
      <w:szCs w:val="20"/>
    </w:rPr>
  </w:style>
  <w:style w:type="paragraph" w:customStyle="1" w:styleId="312">
    <w:name w:val="标题4"/>
    <w:basedOn w:val="210"/>
    <w:uiPriority w:val="0"/>
    <w:pPr>
      <w:numPr>
        <w:ilvl w:val="0"/>
        <w:numId w:val="0"/>
      </w:numPr>
      <w:ind w:left="1280" w:hanging="720"/>
    </w:pPr>
    <w:rPr>
      <w:rFonts w:cs="Times New Roman"/>
      <w:bCs w:val="0"/>
    </w:rPr>
  </w:style>
  <w:style w:type="paragraph" w:customStyle="1" w:styleId="313">
    <w:name w:val="xl66"/>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314">
    <w:name w:val="5"/>
    <w:basedOn w:val="1"/>
    <w:next w:val="23"/>
    <w:uiPriority w:val="0"/>
    <w:pPr>
      <w:tabs>
        <w:tab w:val="left" w:pos="180"/>
        <w:tab w:val="left" w:pos="720"/>
      </w:tabs>
      <w:ind w:left="-178" w:leftChars="-171" w:hanging="181" w:hangingChars="86"/>
    </w:pPr>
  </w:style>
  <w:style w:type="paragraph" w:customStyle="1" w:styleId="315">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6">
    <w:name w:val="xl72"/>
    <w:basedOn w:val="1"/>
    <w:uiPriority w:val="0"/>
    <w:pPr>
      <w:widowControl/>
      <w:pBdr>
        <w:top w:val="single" w:color="auto" w:sz="4" w:space="0"/>
        <w:left w:val="single" w:color="auto" w:sz="8" w:space="0"/>
        <w:bottom w:val="single" w:color="auto" w:sz="4" w:space="0"/>
        <w:right w:val="single" w:color="auto" w:sz="4" w:space="0"/>
      </w:pBdr>
      <w:shd w:val="clear" w:color="auto" w:fill="FF0000"/>
      <w:spacing w:before="100" w:beforeAutospacing="1" w:after="100" w:afterAutospacing="1"/>
      <w:jc w:val="center"/>
    </w:pPr>
    <w:rPr>
      <w:rFonts w:ascii="宋体" w:hAnsi="宋体"/>
      <w:kern w:val="0"/>
      <w:sz w:val="24"/>
    </w:rPr>
  </w:style>
  <w:style w:type="paragraph" w:customStyle="1" w:styleId="317">
    <w:name w:val="三"/>
    <w:basedOn w:val="29"/>
    <w:uiPriority w:val="0"/>
    <w:pPr>
      <w:spacing w:line="400" w:lineRule="exact"/>
    </w:pPr>
    <w:rPr>
      <w:rFonts w:ascii="Times New Roman" w:hAnsi="Times New Roman" w:cs="Times New Roman"/>
      <w:b/>
      <w:bCs/>
      <w:sz w:val="28"/>
    </w:rPr>
  </w:style>
  <w:style w:type="paragraph" w:customStyle="1" w:styleId="318">
    <w:name w:val="xl73"/>
    <w:basedOn w:val="1"/>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kern w:val="0"/>
      <w:sz w:val="24"/>
    </w:rPr>
  </w:style>
  <w:style w:type="paragraph" w:customStyle="1" w:styleId="319">
    <w:name w:val="xl74"/>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20">
    <w:name w:val="xl75"/>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21">
    <w:name w:val="xl76"/>
    <w:basedOn w:val="1"/>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宋体" w:hAnsi="宋体"/>
      <w:kern w:val="0"/>
      <w:sz w:val="24"/>
    </w:rPr>
  </w:style>
  <w:style w:type="paragraph" w:customStyle="1" w:styleId="322">
    <w:name w:val="xl77"/>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b/>
      <w:bCs/>
      <w:color w:val="000000"/>
      <w:kern w:val="0"/>
      <w:sz w:val="24"/>
    </w:rPr>
  </w:style>
  <w:style w:type="paragraph" w:customStyle="1" w:styleId="323">
    <w:name w:val="font12"/>
    <w:basedOn w:val="1"/>
    <w:uiPriority w:val="0"/>
    <w:pPr>
      <w:widowControl/>
      <w:spacing w:before="100" w:beforeAutospacing="1" w:after="100" w:afterAutospacing="1"/>
      <w:jc w:val="left"/>
    </w:pPr>
    <w:rPr>
      <w:rFonts w:hint="eastAsia" w:ascii="宋体" w:hAnsi="宋体"/>
      <w:b/>
      <w:bCs/>
      <w:kern w:val="0"/>
      <w:sz w:val="36"/>
      <w:szCs w:val="36"/>
    </w:rPr>
  </w:style>
  <w:style w:type="paragraph" w:customStyle="1" w:styleId="324">
    <w:name w:val="font13"/>
    <w:basedOn w:val="1"/>
    <w:uiPriority w:val="0"/>
    <w:pPr>
      <w:widowControl/>
      <w:spacing w:before="100" w:beforeAutospacing="1" w:after="100" w:afterAutospacing="1"/>
      <w:jc w:val="left"/>
    </w:pPr>
    <w:rPr>
      <w:rFonts w:hint="eastAsia" w:ascii="宋体" w:hAnsi="宋体"/>
      <w:kern w:val="0"/>
      <w:sz w:val="24"/>
    </w:rPr>
  </w:style>
  <w:style w:type="paragraph" w:customStyle="1" w:styleId="325">
    <w:name w:val="表格1"/>
    <w:basedOn w:val="1"/>
    <w:next w:val="1"/>
    <w:qFormat/>
    <w:uiPriority w:val="0"/>
    <w:pPr>
      <w:jc w:val="center"/>
    </w:pPr>
    <w:rPr>
      <w:sz w:val="24"/>
    </w:rPr>
  </w:style>
  <w:style w:type="paragraph" w:customStyle="1" w:styleId="326">
    <w:name w:val="AB"/>
    <w:basedOn w:val="1"/>
    <w:uiPriority w:val="0"/>
    <w:pPr>
      <w:spacing w:line="360" w:lineRule="auto"/>
      <w:ind w:firstLine="520"/>
    </w:pPr>
    <w:rPr>
      <w:sz w:val="24"/>
    </w:rPr>
  </w:style>
  <w:style w:type="paragraph" w:customStyle="1" w:styleId="327">
    <w:name w:val="font14"/>
    <w:basedOn w:val="1"/>
    <w:uiPriority w:val="0"/>
    <w:pPr>
      <w:widowControl/>
      <w:spacing w:before="100" w:beforeAutospacing="1" w:after="100" w:afterAutospacing="1"/>
      <w:jc w:val="left"/>
    </w:pPr>
    <w:rPr>
      <w:rFonts w:hint="eastAsia" w:ascii="宋体" w:hAnsi="宋体"/>
      <w:kern w:val="0"/>
      <w:sz w:val="28"/>
      <w:szCs w:val="28"/>
    </w:rPr>
  </w:style>
  <w:style w:type="paragraph" w:customStyle="1" w:styleId="328">
    <w:name w:val="样式 样式 宋体 小四1 + 加宽量  0.3 磅"/>
    <w:basedOn w:val="1"/>
    <w:next w:val="1"/>
    <w:uiPriority w:val="0"/>
    <w:pPr>
      <w:adjustRightInd w:val="0"/>
      <w:spacing w:line="360" w:lineRule="auto"/>
      <w:ind w:firstLine="567"/>
      <w:textAlignment w:val="baseline"/>
    </w:pPr>
    <w:rPr>
      <w:spacing w:val="6"/>
      <w:sz w:val="24"/>
      <w:szCs w:val="20"/>
    </w:rPr>
  </w:style>
  <w:style w:type="paragraph" w:customStyle="1" w:styleId="329">
    <w:name w:val="font15"/>
    <w:basedOn w:val="1"/>
    <w:uiPriority w:val="0"/>
    <w:pPr>
      <w:widowControl/>
      <w:spacing w:before="100" w:beforeAutospacing="1" w:after="100" w:afterAutospacing="1"/>
      <w:jc w:val="left"/>
    </w:pPr>
    <w:rPr>
      <w:kern w:val="0"/>
      <w:sz w:val="28"/>
      <w:szCs w:val="28"/>
    </w:rPr>
  </w:style>
  <w:style w:type="paragraph" w:styleId="330">
    <w:name w:val=""/>
    <w:basedOn w:val="1"/>
    <w:next w:val="1"/>
    <w:uiPriority w:val="0"/>
    <w:pPr>
      <w:pBdr>
        <w:bottom w:val="single" w:color="auto" w:sz="6" w:space="1"/>
      </w:pBdr>
      <w:jc w:val="center"/>
    </w:pPr>
    <w:rPr>
      <w:rFonts w:ascii="Arial" w:hAnsi="Arial" w:cs="Arial"/>
      <w:vanish/>
      <w:sz w:val="16"/>
      <w:szCs w:val="16"/>
    </w:rPr>
  </w:style>
  <w:style w:type="paragraph" w:customStyle="1" w:styleId="331">
    <w:name w:val="3 Char"/>
    <w:basedOn w:val="1"/>
    <w:uiPriority w:val="0"/>
    <w:pPr>
      <w:spacing w:line="460" w:lineRule="exact"/>
      <w:ind w:firstLine="461" w:firstLineChars="192"/>
    </w:pPr>
    <w:rPr>
      <w:color w:val="FF0000"/>
      <w:sz w:val="24"/>
      <w:szCs w:val="20"/>
    </w:rPr>
  </w:style>
  <w:style w:type="paragraph" w:customStyle="1" w:styleId="332">
    <w:name w:val="样式 标题 3 + 宋体"/>
    <w:basedOn w:val="4"/>
    <w:uiPriority w:val="0"/>
    <w:pPr>
      <w:keepLines/>
      <w:spacing w:line="360" w:lineRule="auto"/>
      <w:ind w:firstLine="200" w:firstLineChars="200"/>
      <w:jc w:val="both"/>
    </w:pPr>
    <w:rPr>
      <w:b/>
      <w:bCs/>
      <w:sz w:val="24"/>
      <w:szCs w:val="32"/>
    </w:rPr>
  </w:style>
  <w:style w:type="paragraph" w:customStyle="1" w:styleId="333">
    <w:name w:val="表号"/>
    <w:uiPriority w:val="0"/>
    <w:pPr>
      <w:adjustRightInd w:val="0"/>
      <w:snapToGrid w:val="0"/>
      <w:spacing w:line="240" w:lineRule="atLeast"/>
      <w:jc w:val="both"/>
      <w:outlineLvl w:val="4"/>
    </w:pPr>
    <w:rPr>
      <w:sz w:val="21"/>
      <w:szCs w:val="24"/>
      <w:lang w:val="en-US" w:eastAsia="zh-CN" w:bidi="ar-SA"/>
    </w:rPr>
  </w:style>
  <w:style w:type="paragraph" w:customStyle="1" w:styleId="334">
    <w:name w:val=" Char1"/>
    <w:basedOn w:val="1"/>
    <w:uiPriority w:val="0"/>
    <w:pPr>
      <w:spacing w:line="360" w:lineRule="auto"/>
      <w:ind w:firstLine="200" w:firstLineChars="200"/>
    </w:pPr>
    <w:rPr>
      <w:rFonts w:ascii="宋体" w:hAnsi="宋体" w:cs="宋体"/>
      <w:sz w:val="24"/>
    </w:rPr>
  </w:style>
  <w:style w:type="paragraph" w:customStyle="1" w:styleId="335">
    <w:name w:val="正文（一）"/>
    <w:basedOn w:val="1"/>
    <w:uiPriority w:val="0"/>
    <w:pPr>
      <w:adjustRightInd w:val="0"/>
      <w:snapToGrid w:val="0"/>
      <w:spacing w:line="400" w:lineRule="atLeast"/>
      <w:ind w:firstLine="384" w:firstLineChars="160"/>
    </w:pPr>
    <w:rPr>
      <w:color w:val="993300"/>
      <w:sz w:val="24"/>
    </w:rPr>
  </w:style>
  <w:style w:type="paragraph" w:customStyle="1" w:styleId="336">
    <w:name w:val=" Char Char Char1 Char"/>
    <w:basedOn w:val="1"/>
    <w:next w:val="1"/>
    <w:uiPriority w:val="0"/>
    <w:pPr>
      <w:spacing w:line="360" w:lineRule="auto"/>
      <w:ind w:firstLine="200" w:firstLineChars="200"/>
    </w:pPr>
    <w:rPr>
      <w:rFonts w:ascii="宋体" w:hAnsi="宋体" w:cs="宋体"/>
      <w:sz w:val="24"/>
    </w:rPr>
  </w:style>
  <w:style w:type="paragraph" w:customStyle="1" w:styleId="337">
    <w:name w:val="style2"/>
    <w:basedOn w:val="1"/>
    <w:uiPriority w:val="0"/>
    <w:pPr>
      <w:widowControl/>
      <w:spacing w:before="100" w:beforeAutospacing="1" w:after="100" w:afterAutospacing="1" w:line="330" w:lineRule="atLeast"/>
      <w:jc w:val="left"/>
    </w:pPr>
    <w:rPr>
      <w:rFonts w:ascii="宋体" w:hAnsi="宋体" w:cs="宋体"/>
      <w:b/>
      <w:bCs/>
      <w:kern w:val="0"/>
      <w:sz w:val="22"/>
      <w:szCs w:val="22"/>
    </w:rPr>
  </w:style>
  <w:style w:type="paragraph" w:customStyle="1" w:styleId="338">
    <w:name w:val="样式 样式 首行缩进:  1.92 字符 + 首行缩进:  2 字符"/>
    <w:basedOn w:val="1"/>
    <w:next w:val="1"/>
    <w:uiPriority w:val="0"/>
    <w:pPr>
      <w:adjustRightInd w:val="0"/>
      <w:spacing w:line="360" w:lineRule="auto"/>
      <w:ind w:firstLine="567"/>
      <w:textAlignment w:val="baseline"/>
    </w:pPr>
    <w:rPr>
      <w:kern w:val="0"/>
      <w:sz w:val="24"/>
      <w:szCs w:val="20"/>
    </w:rPr>
  </w:style>
  <w:style w:type="paragraph" w:customStyle="1" w:styleId="339">
    <w:name w:val="制度范本"/>
    <w:basedOn w:val="1"/>
    <w:uiPriority w:val="0"/>
    <w:rPr>
      <w:szCs w:val="20"/>
    </w:rPr>
  </w:style>
  <w:style w:type="paragraph" w:customStyle="1" w:styleId="340">
    <w:name w:val="xl103"/>
    <w:basedOn w:val="1"/>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41">
    <w:name w:val="样式 正文文本缩进 2 + 宋体 小四 左侧:  0 厘米 行距: 1.5 倍行距"/>
    <w:basedOn w:val="1"/>
    <w:next w:val="1"/>
    <w:uiPriority w:val="0"/>
    <w:pPr>
      <w:adjustRightInd w:val="0"/>
      <w:spacing w:line="360" w:lineRule="auto"/>
      <w:ind w:firstLine="200" w:firstLineChars="200"/>
      <w:jc w:val="left"/>
      <w:textAlignment w:val="baseline"/>
    </w:pPr>
    <w:rPr>
      <w:rFonts w:ascii="宋体" w:hAnsi="宋体" w:cs="宋体"/>
      <w:kern w:val="0"/>
      <w:sz w:val="24"/>
      <w:szCs w:val="20"/>
    </w:rPr>
  </w:style>
  <w:style w:type="paragraph" w:customStyle="1" w:styleId="342">
    <w:name w:val="正文二"/>
    <w:basedOn w:val="1"/>
    <w:uiPriority w:val="0"/>
    <w:pPr>
      <w:widowControl/>
      <w:spacing w:line="504" w:lineRule="atLeast"/>
      <w:ind w:firstLine="589"/>
      <w:textAlignment w:val="baseline"/>
    </w:pPr>
    <w:rPr>
      <w:color w:val="000000"/>
      <w:kern w:val="0"/>
      <w:sz w:val="30"/>
    </w:rPr>
  </w:style>
  <w:style w:type="paragraph" w:customStyle="1" w:styleId="343">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344">
    <w:name w:val="PP 行"/>
    <w:basedOn w:val="39"/>
    <w:uiPriority w:val="0"/>
  </w:style>
  <w:style w:type="paragraph" w:customStyle="1" w:styleId="345">
    <w:name w:val="正文一"/>
    <w:basedOn w:val="1"/>
    <w:uiPriority w:val="0"/>
    <w:pPr>
      <w:spacing w:line="300" w:lineRule="auto"/>
      <w:ind w:firstLine="200" w:firstLineChars="200"/>
    </w:pPr>
    <w:rPr>
      <w:rFonts w:ascii="宋体" w:hAnsi="宋体"/>
      <w:sz w:val="32"/>
      <w:szCs w:val="20"/>
    </w:rPr>
  </w:style>
  <w:style w:type="paragraph" w:customStyle="1" w:styleId="346">
    <w:name w:val="xl1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347">
    <w:name w:val="xl23"/>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48">
    <w:name w:val="第二节"/>
    <w:basedOn w:val="1"/>
    <w:uiPriority w:val="0"/>
  </w:style>
  <w:style w:type="paragraph" w:customStyle="1" w:styleId="349">
    <w:name w:val="样式 宋体 小四 行距: 1.5 倍行距"/>
    <w:basedOn w:val="1"/>
    <w:uiPriority w:val="0"/>
    <w:pPr>
      <w:adjustRightInd w:val="0"/>
      <w:spacing w:line="360" w:lineRule="auto"/>
      <w:ind w:firstLine="567"/>
      <w:textAlignment w:val="baseline"/>
    </w:pPr>
    <w:rPr>
      <w:rFonts w:ascii="宋体" w:hAnsi="宋体" w:cs="宋体"/>
      <w:kern w:val="0"/>
      <w:sz w:val="24"/>
      <w:szCs w:val="20"/>
    </w:rPr>
  </w:style>
  <w:style w:type="paragraph" w:customStyle="1" w:styleId="350">
    <w:name w:val="xl91"/>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51">
    <w:name w:val="Char Char Char"/>
    <w:basedOn w:val="1"/>
    <w:uiPriority w:val="0"/>
  </w:style>
  <w:style w:type="paragraph" w:customStyle="1" w:styleId="352">
    <w:name w:val="xl108"/>
    <w:basedOn w:val="1"/>
    <w:uiPriority w:val="0"/>
    <w:pPr>
      <w:widowControl/>
      <w:pBdr>
        <w:top w:val="single" w:color="auto" w:sz="4" w:space="0"/>
        <w:left w:val="single" w:color="auto" w:sz="4" w:space="0"/>
        <w:bottom w:val="single" w:color="auto" w:sz="12"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353">
    <w:name w:val="表格"/>
    <w:basedOn w:val="1"/>
    <w:uiPriority w:val="0"/>
    <w:pPr>
      <w:widowControl/>
      <w:spacing w:line="360" w:lineRule="auto"/>
      <w:ind w:firstLine="567"/>
      <w:jc w:val="left"/>
    </w:pPr>
    <w:rPr>
      <w:rFonts w:ascii="宋体" w:hAnsi="宋体" w:cs="宋体"/>
      <w:bCs/>
      <w:kern w:val="0"/>
      <w:sz w:val="24"/>
    </w:rPr>
  </w:style>
  <w:style w:type="paragraph" w:customStyle="1" w:styleId="354">
    <w:name w:val="表内容"/>
    <w:basedOn w:val="1"/>
    <w:uiPriority w:val="0"/>
    <w:pPr>
      <w:spacing w:line="288" w:lineRule="auto"/>
      <w:jc w:val="center"/>
    </w:pPr>
  </w:style>
  <w:style w:type="paragraph" w:customStyle="1" w:styleId="355">
    <w:name w:val="样式 标题 2 + 宋体 四号 行距: 固定值 26 磅"/>
    <w:basedOn w:val="3"/>
    <w:uiPriority w:val="0"/>
    <w:pPr>
      <w:keepLines/>
      <w:widowControl/>
      <w:spacing w:line="520" w:lineRule="exact"/>
      <w:ind w:firstLine="562"/>
      <w:outlineLvl w:val="9"/>
    </w:pPr>
    <w:rPr>
      <w:rFonts w:cs="宋体"/>
      <w:b/>
      <w:bCs/>
      <w:szCs w:val="20"/>
    </w:rPr>
  </w:style>
  <w:style w:type="paragraph" w:customStyle="1" w:styleId="356">
    <w:name w:val=" Char2 Char Char"/>
    <w:basedOn w:val="1"/>
    <w:next w:val="1"/>
    <w:uiPriority w:val="0"/>
    <w:pPr>
      <w:spacing w:line="360" w:lineRule="auto"/>
      <w:ind w:firstLine="200" w:firstLineChars="200"/>
    </w:pPr>
    <w:rPr>
      <w:rFonts w:ascii="宋体" w:hAnsi="宋体" w:cs="宋体"/>
      <w:sz w:val="24"/>
    </w:rPr>
  </w:style>
  <w:style w:type="paragraph" w:customStyle="1" w:styleId="357">
    <w:name w:val="大标题"/>
    <w:basedOn w:val="1"/>
    <w:uiPriority w:val="0"/>
    <w:pPr>
      <w:widowControl/>
      <w:ind w:firstLine="458" w:firstLineChars="166"/>
      <w:jc w:val="left"/>
    </w:pPr>
    <w:rPr>
      <w:rFonts w:ascii="宋体" w:hAnsi="宋体" w:cs="宋体"/>
      <w:b/>
      <w:bCs/>
      <w:kern w:val="0"/>
      <w:sz w:val="28"/>
    </w:rPr>
  </w:style>
  <w:style w:type="paragraph" w:customStyle="1" w:styleId="358">
    <w:name w:val="xl110"/>
    <w:basedOn w:val="1"/>
    <w:uiPriority w:val="0"/>
    <w:pPr>
      <w:widowControl/>
      <w:pBdr>
        <w:top w:val="single" w:color="auto" w:sz="4" w:space="0"/>
        <w:left w:val="single" w:color="auto" w:sz="4" w:space="0"/>
        <w:bottom w:val="single" w:color="auto" w:sz="12"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59">
    <w:name w:val="ÕýÎÄ"/>
    <w:uiPriority w:val="0"/>
    <w:pPr>
      <w:widowControl w:val="0"/>
      <w:overflowPunct w:val="0"/>
      <w:autoSpaceDE w:val="0"/>
      <w:autoSpaceDN w:val="0"/>
      <w:adjustRightInd w:val="0"/>
      <w:spacing w:line="425" w:lineRule="atLeast"/>
      <w:jc w:val="both"/>
      <w:textAlignment w:val="baseline"/>
    </w:pPr>
    <w:rPr>
      <w:color w:val="000000"/>
      <w:sz w:val="21"/>
      <w:lang w:val="en-US" w:eastAsia="zh-CN" w:bidi="ar-SA"/>
    </w:rPr>
  </w:style>
  <w:style w:type="paragraph" w:customStyle="1" w:styleId="360">
    <w:name w:val="New title 2"/>
    <w:uiPriority w:val="0"/>
    <w:pPr>
      <w:jc w:val="center"/>
    </w:pPr>
    <w:rPr>
      <w:rFonts w:eastAsia="黑体"/>
      <w:b/>
      <w:sz w:val="30"/>
      <w:szCs w:val="21"/>
      <w:lang w:val="en-US" w:eastAsia="zh-CN" w:bidi="ar-SA"/>
    </w:rPr>
  </w:style>
  <w:style w:type="paragraph" w:customStyle="1" w:styleId="361">
    <w:name w:val="样式 宋体 三号 自动设置 左 首行缩进:  1.2 厘米 段前: 5 磅 段后: 5 磅 行距: 固定值 24 磅"/>
    <w:basedOn w:val="1"/>
    <w:uiPriority w:val="0"/>
    <w:pPr>
      <w:spacing w:before="100" w:after="100" w:line="480" w:lineRule="exact"/>
      <w:ind w:firstLine="680"/>
      <w:jc w:val="left"/>
    </w:pPr>
    <w:rPr>
      <w:rFonts w:ascii="宋体" w:hAnsi="宋体"/>
      <w:kern w:val="0"/>
      <w:sz w:val="32"/>
      <w:szCs w:val="32"/>
    </w:rPr>
  </w:style>
  <w:style w:type="paragraph" w:customStyle="1" w:styleId="362">
    <w:name w:val="xl111"/>
    <w:basedOn w:val="1"/>
    <w:uiPriority w:val="0"/>
    <w:pPr>
      <w:widowControl/>
      <w:pBdr>
        <w:top w:val="single" w:color="auto" w:sz="4" w:space="0"/>
        <w:left w:val="single" w:color="auto" w:sz="4" w:space="0"/>
        <w:bottom w:val="single" w:color="auto" w:sz="12"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63">
    <w:name w:val="xl22"/>
    <w:basedOn w:val="1"/>
    <w:uiPriority w:val="0"/>
    <w:pPr>
      <w:widowControl/>
      <w:spacing w:before="100" w:beforeAutospacing="1" w:after="100" w:afterAutospacing="1"/>
      <w:jc w:val="center"/>
      <w:textAlignment w:val="top"/>
    </w:pPr>
    <w:rPr>
      <w:rFonts w:ascii="宋体" w:hAnsi="宋体" w:cs="宋体"/>
      <w:b/>
      <w:bCs/>
      <w:kern w:val="0"/>
      <w:sz w:val="36"/>
      <w:szCs w:val="36"/>
    </w:rPr>
  </w:style>
  <w:style w:type="paragraph" w:customStyle="1" w:styleId="364">
    <w:name w:val="样式 首行缩进:  2 字符"/>
    <w:basedOn w:val="1"/>
    <w:next w:val="1"/>
    <w:uiPriority w:val="0"/>
    <w:rPr>
      <w:rFonts w:cs="宋体"/>
      <w:szCs w:val="20"/>
    </w:rPr>
  </w:style>
  <w:style w:type="paragraph" w:customStyle="1" w:styleId="365">
    <w:name w:val="章"/>
    <w:basedOn w:val="1"/>
    <w:uiPriority w:val="0"/>
    <w:pPr>
      <w:jc w:val="center"/>
    </w:pPr>
    <w:rPr>
      <w:b/>
      <w:bCs/>
      <w:sz w:val="32"/>
    </w:rPr>
  </w:style>
  <w:style w:type="paragraph" w:customStyle="1" w:styleId="366">
    <w:name w:val="样式 样式 样式 宋体 三号 自动设置 左 首行缩进:  1.2 厘米 段前: 5 磅 段后: 5 磅 行距: 固定值 24 磅..."/>
    <w:basedOn w:val="1"/>
    <w:uiPriority w:val="0"/>
    <w:pPr>
      <w:pBdr>
        <w:bottom w:val="single" w:color="auto" w:sz="4" w:space="2"/>
      </w:pBdr>
      <w:spacing w:before="100" w:after="100" w:line="480" w:lineRule="exact"/>
      <w:jc w:val="left"/>
    </w:pPr>
    <w:rPr>
      <w:rFonts w:ascii="宋体" w:hAnsi="宋体"/>
      <w:kern w:val="0"/>
      <w:sz w:val="24"/>
      <w:u w:val="single"/>
    </w:rPr>
  </w:style>
  <w:style w:type="paragraph" w:customStyle="1" w:styleId="367">
    <w:name w:val="xl101"/>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68">
    <w:name w:val="样式 正文 +"/>
    <w:basedOn w:val="1"/>
    <w:uiPriority w:val="0"/>
    <w:pPr>
      <w:spacing w:line="480" w:lineRule="exact"/>
      <w:ind w:left="17" w:firstLine="480" w:firstLineChars="200"/>
    </w:pPr>
    <w:rPr>
      <w:bCs/>
      <w:kern w:val="0"/>
      <w:sz w:val="24"/>
    </w:rPr>
  </w:style>
  <w:style w:type="paragraph" w:customStyle="1" w:styleId="369">
    <w:name w:val="xl1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370">
    <w:name w:val="白布正文"/>
    <w:basedOn w:val="1"/>
    <w:uiPriority w:val="0"/>
    <w:pPr>
      <w:snapToGrid w:val="0"/>
      <w:ind w:firstLine="480" w:firstLineChars="200"/>
    </w:pPr>
    <w:rPr>
      <w:rFonts w:ascii="宋体" w:hAnsi="宋体"/>
      <w:sz w:val="24"/>
    </w:rPr>
  </w:style>
  <w:style w:type="paragraph" w:customStyle="1" w:styleId="371">
    <w:name w:val="xl104"/>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72">
    <w:name w:val="简单回函地址"/>
    <w:basedOn w:val="1"/>
    <w:uiPriority w:val="0"/>
  </w:style>
  <w:style w:type="paragraph" w:customStyle="1" w:styleId="373">
    <w:name w:val="样式 首行缩进:  1.92 字符"/>
    <w:basedOn w:val="1"/>
    <w:uiPriority w:val="0"/>
    <w:pPr>
      <w:adjustRightInd w:val="0"/>
      <w:spacing w:line="360" w:lineRule="auto"/>
      <w:ind w:firstLine="200" w:firstLineChars="200"/>
      <w:textAlignment w:val="baseline"/>
    </w:pPr>
    <w:rPr>
      <w:rFonts w:cs="宋体"/>
      <w:kern w:val="0"/>
      <w:sz w:val="24"/>
      <w:szCs w:val="20"/>
    </w:rPr>
  </w:style>
  <w:style w:type="paragraph" w:customStyle="1" w:styleId="374">
    <w:name w:val="xl89"/>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75">
    <w:name w:val="修订"/>
    <w:semiHidden/>
    <w:uiPriority w:val="0"/>
    <w:rPr>
      <w:rFonts w:ascii="宋体" w:hAnsi="宋体" w:cs="宋体"/>
      <w:sz w:val="24"/>
      <w:szCs w:val="24"/>
      <w:lang w:val="en-US" w:eastAsia="zh-CN" w:bidi="ar-SA"/>
    </w:rPr>
  </w:style>
  <w:style w:type="paragraph" w:customStyle="1" w:styleId="376">
    <w:name w:val="xl90"/>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377">
    <w:name w:val="ggg1"/>
    <w:basedOn w:val="1"/>
    <w:uiPriority w:val="0"/>
    <w:pPr>
      <w:spacing w:line="360" w:lineRule="auto"/>
    </w:pPr>
    <w:rPr>
      <w:sz w:val="24"/>
    </w:rPr>
  </w:style>
  <w:style w:type="paragraph" w:customStyle="1" w:styleId="378">
    <w:name w:val="xl94"/>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79">
    <w:name w:val="8"/>
    <w:basedOn w:val="1"/>
    <w:next w:val="22"/>
    <w:uiPriority w:val="0"/>
    <w:rPr>
      <w:sz w:val="28"/>
    </w:rPr>
  </w:style>
  <w:style w:type="paragraph" w:customStyle="1" w:styleId="380">
    <w:name w:val="xl96"/>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81">
    <w:name w:val="7"/>
    <w:basedOn w:val="1"/>
    <w:next w:val="22"/>
    <w:uiPriority w:val="0"/>
    <w:pPr>
      <w:spacing w:line="440" w:lineRule="exact"/>
    </w:pPr>
    <w:rPr>
      <w:rFonts w:ascii="宋体" w:hAnsi="宋体"/>
      <w:sz w:val="24"/>
      <w:szCs w:val="20"/>
    </w:rPr>
  </w:style>
  <w:style w:type="paragraph" w:customStyle="1" w:styleId="382">
    <w:name w:val="style1"/>
    <w:basedOn w:val="1"/>
    <w:uiPriority w:val="0"/>
    <w:pPr>
      <w:widowControl/>
      <w:spacing w:before="100" w:beforeAutospacing="1" w:after="100" w:afterAutospacing="1" w:line="330" w:lineRule="atLeast"/>
      <w:jc w:val="left"/>
    </w:pPr>
    <w:rPr>
      <w:rFonts w:ascii="宋体" w:hAnsi="宋体" w:cs="宋体"/>
      <w:b/>
      <w:bCs/>
      <w:kern w:val="0"/>
      <w:sz w:val="22"/>
      <w:szCs w:val="22"/>
    </w:rPr>
  </w:style>
  <w:style w:type="paragraph" w:customStyle="1" w:styleId="383">
    <w:name w:val="xl99"/>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84">
    <w:name w:val="样式 样式 宋体 小四1 + 首行缩进:  2 字符"/>
    <w:basedOn w:val="1"/>
    <w:uiPriority w:val="0"/>
    <w:pPr>
      <w:adjustRightInd w:val="0"/>
      <w:spacing w:line="360" w:lineRule="auto"/>
      <w:ind w:firstLine="567"/>
      <w:textAlignment w:val="baseline"/>
    </w:pPr>
    <w:rPr>
      <w:rFonts w:cs="宋体"/>
      <w:kern w:val="0"/>
      <w:sz w:val="24"/>
      <w:szCs w:val="20"/>
    </w:rPr>
  </w:style>
  <w:style w:type="paragraph" w:customStyle="1" w:styleId="385">
    <w:name w:val="xl100"/>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386">
    <w:name w:val="xl114"/>
    <w:basedOn w:val="1"/>
    <w:uiPriority w:val="0"/>
    <w:pPr>
      <w:widowControl/>
      <w:pBdr>
        <w:top w:val="single" w:color="auto" w:sz="4" w:space="0"/>
        <w:left w:val="single" w:color="auto" w:sz="4" w:space="0"/>
        <w:bottom w:val="single" w:color="auto" w:sz="12" w:space="0"/>
        <w:right w:val="single" w:color="auto" w:sz="12" w:space="0"/>
      </w:pBdr>
      <w:spacing w:before="100" w:beforeAutospacing="1" w:after="100" w:afterAutospacing="1"/>
      <w:jc w:val="left"/>
      <w:textAlignment w:val="center"/>
    </w:pPr>
    <w:rPr>
      <w:rFonts w:ascii="宋体" w:hAnsi="宋体" w:cs="宋体"/>
      <w:kern w:val="0"/>
      <w:sz w:val="20"/>
      <w:szCs w:val="20"/>
    </w:rPr>
  </w:style>
  <w:style w:type="paragraph" w:customStyle="1" w:styleId="387">
    <w:name w:val="节"/>
    <w:basedOn w:val="2"/>
    <w:uiPriority w:val="0"/>
    <w:pPr>
      <w:keepLines/>
      <w:spacing w:before="100" w:beforeLines="100" w:beforeAutospacing="1" w:after="100" w:afterLines="100" w:afterAutospacing="1" w:line="500" w:lineRule="exact"/>
      <w:ind w:firstLine="0" w:firstLineChars="0"/>
    </w:pPr>
    <w:rPr>
      <w:b/>
      <w:bCs/>
      <w:kern w:val="44"/>
      <w:sz w:val="30"/>
      <w:szCs w:val="44"/>
    </w:rPr>
  </w:style>
  <w:style w:type="paragraph" w:customStyle="1" w:styleId="388">
    <w:name w:val="表5"/>
    <w:basedOn w:val="1"/>
    <w:next w:val="1"/>
    <w:uiPriority w:val="0"/>
    <w:pPr>
      <w:keepNext/>
      <w:tabs>
        <w:tab w:val="left" w:pos="1580"/>
        <w:tab w:val="left" w:pos="2330"/>
      </w:tabs>
      <w:snapToGrid w:val="0"/>
      <w:ind w:right="210" w:rightChars="100"/>
      <w:jc w:val="center"/>
    </w:pPr>
    <w:rPr>
      <w:rFonts w:ascii="仿宋_GB2312" w:hAnsi="宋体" w:eastAsia="仿宋_GB2312"/>
      <w:sz w:val="24"/>
    </w:rPr>
  </w:style>
  <w:style w:type="paragraph" w:customStyle="1" w:styleId="389">
    <w:name w:val="表头"/>
    <w:basedOn w:val="229"/>
    <w:uiPriority w:val="0"/>
    <w:pPr>
      <w:spacing w:before="176" w:beforeLines="50" w:line="240" w:lineRule="auto"/>
      <w:ind w:firstLine="0"/>
      <w:jc w:val="center"/>
    </w:pPr>
    <w:rPr>
      <w:rFonts w:ascii="黑体" w:eastAsia="黑体"/>
      <w:sz w:val="21"/>
    </w:rPr>
  </w:style>
  <w:style w:type="paragraph" w:styleId="390">
    <w:name w:val=""/>
    <w:basedOn w:val="1"/>
    <w:next w:val="1"/>
    <w:uiPriority w:val="0"/>
    <w:pPr>
      <w:pBdr>
        <w:top w:val="single" w:color="auto" w:sz="6" w:space="1"/>
      </w:pBdr>
      <w:jc w:val="center"/>
    </w:pPr>
    <w:rPr>
      <w:rFonts w:ascii="Arial" w:hAnsi="Arial" w:cs="Arial"/>
      <w:vanish/>
      <w:sz w:val="16"/>
      <w:szCs w:val="16"/>
    </w:rPr>
  </w:style>
  <w:style w:type="paragraph" w:customStyle="1" w:styleId="391">
    <w:name w:val="Char4 Char Char Char"/>
    <w:basedOn w:val="1"/>
    <w:uiPriority w:val="0"/>
    <w:pPr>
      <w:adjustRightInd w:val="0"/>
      <w:snapToGrid w:val="0"/>
      <w:spacing w:line="360" w:lineRule="auto"/>
      <w:ind w:firstLine="200" w:firstLineChars="200"/>
    </w:pPr>
    <w:rPr>
      <w:szCs w:val="20"/>
    </w:rPr>
  </w:style>
  <w:style w:type="paragraph" w:customStyle="1" w:styleId="392">
    <w:name w:val="_Style 25"/>
    <w:basedOn w:val="1"/>
    <w:next w:val="29"/>
    <w:uiPriority w:val="0"/>
    <w:rPr>
      <w:rFonts w:ascii="宋体" w:hAnsi="Courier New"/>
      <w:szCs w:val="20"/>
    </w:rPr>
  </w:style>
  <w:style w:type="paragraph" w:customStyle="1" w:styleId="393">
    <w:name w:val="谢桂菊"/>
    <w:basedOn w:val="1"/>
    <w:uiPriority w:val="0"/>
    <w:pPr>
      <w:widowControl/>
      <w:spacing w:line="493" w:lineRule="atLeast"/>
      <w:ind w:firstLine="419"/>
      <w:textAlignment w:val="baseline"/>
    </w:pPr>
    <w:rPr>
      <w:rFonts w:ascii="宋体"/>
      <w:color w:val="000000"/>
      <w:kern w:val="0"/>
      <w:sz w:val="31"/>
      <w:szCs w:val="20"/>
      <w:u w:val="none" w:color="000000"/>
    </w:rPr>
  </w:style>
  <w:style w:type="paragraph" w:customStyle="1" w:styleId="394">
    <w:name w:val="一"/>
    <w:basedOn w:val="29"/>
    <w:uiPriority w:val="0"/>
    <w:pPr>
      <w:spacing w:before="156" w:beforeLines="50" w:after="156" w:afterLines="50" w:line="480" w:lineRule="exact"/>
      <w:jc w:val="center"/>
    </w:pPr>
    <w:rPr>
      <w:b/>
      <w:bCs/>
      <w:sz w:val="32"/>
    </w:rPr>
  </w:style>
  <w:style w:type="paragraph" w:customStyle="1" w:styleId="395">
    <w:name w:val="xl112"/>
    <w:basedOn w:val="1"/>
    <w:uiPriority w:val="0"/>
    <w:pPr>
      <w:widowControl/>
      <w:pBdr>
        <w:top w:val="single" w:color="auto" w:sz="4" w:space="0"/>
        <w:left w:val="single" w:color="auto" w:sz="4" w:space="0"/>
        <w:bottom w:val="single" w:color="auto" w:sz="12"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96">
    <w:name w:val="xl113"/>
    <w:basedOn w:val="1"/>
    <w:uiPriority w:val="0"/>
    <w:pPr>
      <w:widowControl/>
      <w:pBdr>
        <w:top w:val="single" w:color="auto" w:sz="4" w:space="0"/>
        <w:left w:val="single" w:color="auto" w:sz="4" w:space="0"/>
        <w:bottom w:val="single" w:color="auto" w:sz="12"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97">
    <w:name w:val="官寨标题4"/>
    <w:basedOn w:val="5"/>
    <w:uiPriority w:val="0"/>
    <w:pPr>
      <w:keepLines/>
      <w:spacing w:before="120" w:after="120"/>
      <w:ind w:firstLine="560" w:firstLineChars="200"/>
      <w:jc w:val="left"/>
    </w:pPr>
    <w:rPr>
      <w:rFonts w:ascii="Times New Roman" w:hAnsi="Times New Roman"/>
      <w:bCs/>
      <w:snapToGrid w:val="0"/>
      <w:color w:val="000000"/>
      <w:kern w:val="0"/>
      <w:szCs w:val="28"/>
    </w:rPr>
  </w:style>
  <w:style w:type="paragraph" w:customStyle="1" w:styleId="398">
    <w:name w:val="样式 标题 4白布标题 4 + 首行缩进:  1.65 厘米"/>
    <w:basedOn w:val="5"/>
    <w:uiPriority w:val="0"/>
    <w:pPr>
      <w:keepLines/>
      <w:spacing w:before="480" w:beforeLines="200" w:after="700"/>
      <w:ind w:hanging="21"/>
      <w:jc w:val="center"/>
    </w:pPr>
    <w:rPr>
      <w:rFonts w:ascii="Times New Roman" w:hAnsi="Times New Roman" w:cs="宋体"/>
      <w:b/>
      <w:bCs/>
      <w:spacing w:val="-8"/>
      <w:kern w:val="0"/>
      <w:szCs w:val="20"/>
    </w:rPr>
  </w:style>
  <w:style w:type="paragraph" w:customStyle="1" w:styleId="399">
    <w:name w:val="小标题"/>
    <w:basedOn w:val="1"/>
    <w:uiPriority w:val="0"/>
    <w:pPr>
      <w:spacing w:line="400" w:lineRule="exact"/>
      <w:ind w:firstLine="200" w:firstLineChars="200"/>
      <w:outlineLvl w:val="2"/>
    </w:pPr>
    <w:rPr>
      <w:rFonts w:eastAsia="仿宋_GB2312" w:cs="方正宋体_GB18030"/>
      <w:b/>
      <w:bCs/>
      <w:sz w:val="32"/>
      <w:szCs w:val="32"/>
    </w:rPr>
  </w:style>
  <w:style w:type="paragraph" w:customStyle="1" w:styleId="400">
    <w:name w:val="样式 节 + 段前: 0.5 行 段后: 0.5 行"/>
    <w:basedOn w:val="387"/>
    <w:uiPriority w:val="0"/>
    <w:pPr>
      <w:keepNext w:val="0"/>
      <w:keepLines w:val="0"/>
      <w:spacing w:before="50" w:beforeLines="50" w:beforeAutospacing="0" w:after="50" w:afterLines="50" w:afterAutospacing="0" w:line="400" w:lineRule="exact"/>
      <w:outlineLvl w:val="1"/>
    </w:pPr>
    <w:rPr>
      <w:rFonts w:ascii="Times New Roman" w:hAnsi="Times New Roman" w:eastAsia="仿宋_GB2312" w:cs="宋体"/>
      <w:kern w:val="2"/>
      <w:sz w:val="36"/>
      <w:szCs w:val="36"/>
    </w:rPr>
  </w:style>
  <w:style w:type="paragraph" w:customStyle="1" w:styleId="401">
    <w:name w:val="样式 小标题 + 首行缩进:  2 字符"/>
    <w:basedOn w:val="399"/>
    <w:uiPriority w:val="0"/>
    <w:pPr>
      <w:ind w:firstLine="0" w:firstLineChars="0"/>
      <w:outlineLvl w:val="1"/>
    </w:pPr>
    <w:rPr>
      <w:rFonts w:cs="宋体"/>
      <w:szCs w:val="20"/>
    </w:rPr>
  </w:style>
  <w:style w:type="paragraph" w:customStyle="1" w:styleId="402">
    <w:name w:val=" Char Char1 Char"/>
    <w:basedOn w:val="1"/>
    <w:semiHidden/>
    <w:uiPriority w:val="0"/>
    <w:pPr>
      <w:adjustRightInd w:val="0"/>
      <w:snapToGrid w:val="0"/>
      <w:spacing w:line="360" w:lineRule="auto"/>
      <w:ind w:firstLine="200" w:firstLineChars="200"/>
    </w:pPr>
    <w:rPr>
      <w:rFonts w:ascii="宋体" w:hAnsi="宋体" w:cs="宋体"/>
      <w:sz w:val="24"/>
      <w:szCs w:val="26"/>
    </w:rPr>
  </w:style>
  <w:style w:type="paragraph" w:customStyle="1" w:styleId="403">
    <w:name w:val="样式 样式 节 + 段前: 0.5 行 段后: 0.5 行 + 段前: 0.5 行 段后: 0.5 行"/>
    <w:basedOn w:val="400"/>
    <w:uiPriority w:val="0"/>
    <w:pPr>
      <w:spacing w:before="156" w:after="156"/>
    </w:pPr>
  </w:style>
  <w:style w:type="table" w:customStyle="1" w:styleId="404">
    <w:name w:val="网格型1"/>
    <w:basedOn w:val="62"/>
    <w:uiPriority w:val="0"/>
    <w:pPr>
      <w:widowControl w:val="0"/>
      <w:jc w:val="both"/>
    </w:p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oleObject" Target="embeddings/oleObject46.bin"/><Relationship Id="rId97" Type="http://schemas.openxmlformats.org/officeDocument/2006/relationships/oleObject" Target="embeddings/oleObject45.bin"/><Relationship Id="rId96" Type="http://schemas.openxmlformats.org/officeDocument/2006/relationships/oleObject" Target="embeddings/oleObject44.bin"/><Relationship Id="rId95" Type="http://schemas.openxmlformats.org/officeDocument/2006/relationships/oleObject" Target="embeddings/oleObject43.bin"/><Relationship Id="rId94" Type="http://schemas.openxmlformats.org/officeDocument/2006/relationships/oleObject" Target="embeddings/oleObject42.bin"/><Relationship Id="rId93" Type="http://schemas.openxmlformats.org/officeDocument/2006/relationships/oleObject" Target="embeddings/oleObject41.bin"/><Relationship Id="rId92" Type="http://schemas.openxmlformats.org/officeDocument/2006/relationships/oleObject" Target="embeddings/oleObject40.bin"/><Relationship Id="rId91" Type="http://schemas.openxmlformats.org/officeDocument/2006/relationships/oleObject" Target="embeddings/oleObject39.bin"/><Relationship Id="rId90" Type="http://schemas.openxmlformats.org/officeDocument/2006/relationships/oleObject" Target="embeddings/oleObject38.bin"/><Relationship Id="rId9" Type="http://schemas.openxmlformats.org/officeDocument/2006/relationships/footer" Target="footer4.xml"/><Relationship Id="rId89" Type="http://schemas.openxmlformats.org/officeDocument/2006/relationships/oleObject" Target="embeddings/oleObject37.bin"/><Relationship Id="rId88" Type="http://schemas.openxmlformats.org/officeDocument/2006/relationships/oleObject" Target="embeddings/oleObject36.bin"/><Relationship Id="rId87" Type="http://schemas.openxmlformats.org/officeDocument/2006/relationships/oleObject" Target="embeddings/oleObject35.bin"/><Relationship Id="rId86" Type="http://schemas.openxmlformats.org/officeDocument/2006/relationships/oleObject" Target="embeddings/oleObject34.bin"/><Relationship Id="rId85" Type="http://schemas.openxmlformats.org/officeDocument/2006/relationships/oleObject" Target="embeddings/oleObject33.bin"/><Relationship Id="rId84" Type="http://schemas.openxmlformats.org/officeDocument/2006/relationships/oleObject" Target="embeddings/oleObject32.bin"/><Relationship Id="rId83" Type="http://schemas.openxmlformats.org/officeDocument/2006/relationships/oleObject" Target="embeddings/oleObject31.bin"/><Relationship Id="rId82" Type="http://schemas.openxmlformats.org/officeDocument/2006/relationships/oleObject" Target="embeddings/oleObject30.bin"/><Relationship Id="rId81" Type="http://schemas.openxmlformats.org/officeDocument/2006/relationships/oleObject" Target="embeddings/oleObject29.bin"/><Relationship Id="rId80" Type="http://schemas.openxmlformats.org/officeDocument/2006/relationships/oleObject" Target="embeddings/oleObject28.bin"/><Relationship Id="rId8" Type="http://schemas.openxmlformats.org/officeDocument/2006/relationships/footer" Target="footer3.xml"/><Relationship Id="rId79" Type="http://schemas.openxmlformats.org/officeDocument/2006/relationships/oleObject" Target="embeddings/oleObject27.bin"/><Relationship Id="rId78" Type="http://schemas.openxmlformats.org/officeDocument/2006/relationships/image" Target="media/image38.wmf"/><Relationship Id="rId77" Type="http://schemas.openxmlformats.org/officeDocument/2006/relationships/oleObject" Target="embeddings/oleObject26.bin"/><Relationship Id="rId76" Type="http://schemas.openxmlformats.org/officeDocument/2006/relationships/image" Target="media/image37.wmf"/><Relationship Id="rId75" Type="http://schemas.openxmlformats.org/officeDocument/2006/relationships/oleObject" Target="embeddings/oleObject25.bin"/><Relationship Id="rId74" Type="http://schemas.openxmlformats.org/officeDocument/2006/relationships/image" Target="media/image36.wmf"/><Relationship Id="rId73" Type="http://schemas.openxmlformats.org/officeDocument/2006/relationships/oleObject" Target="embeddings/oleObject24.bin"/><Relationship Id="rId72" Type="http://schemas.openxmlformats.org/officeDocument/2006/relationships/image" Target="media/image35.png"/><Relationship Id="rId71" Type="http://schemas.openxmlformats.org/officeDocument/2006/relationships/image" Target="media/image34.emf"/><Relationship Id="rId70" Type="http://schemas.openxmlformats.org/officeDocument/2006/relationships/oleObject" Target="embeddings/oleObject23.bin"/><Relationship Id="rId7" Type="http://schemas.openxmlformats.org/officeDocument/2006/relationships/footer" Target="footer2.xml"/><Relationship Id="rId69" Type="http://schemas.openxmlformats.org/officeDocument/2006/relationships/image" Target="media/image33.wmf"/><Relationship Id="rId68" Type="http://schemas.openxmlformats.org/officeDocument/2006/relationships/image" Target="media/image32.wmf"/><Relationship Id="rId67" Type="http://schemas.openxmlformats.org/officeDocument/2006/relationships/image" Target="media/image31.wmf"/><Relationship Id="rId66" Type="http://schemas.openxmlformats.org/officeDocument/2006/relationships/image" Target="media/image30.wmf"/><Relationship Id="rId65" Type="http://schemas.openxmlformats.org/officeDocument/2006/relationships/image" Target="media/image29.wmf"/><Relationship Id="rId64" Type="http://schemas.openxmlformats.org/officeDocument/2006/relationships/image" Target="media/image28.wmf"/><Relationship Id="rId63" Type="http://schemas.openxmlformats.org/officeDocument/2006/relationships/image" Target="media/image27.wmf"/><Relationship Id="rId62" Type="http://schemas.openxmlformats.org/officeDocument/2006/relationships/image" Target="media/image26.wmf"/><Relationship Id="rId61" Type="http://schemas.openxmlformats.org/officeDocument/2006/relationships/image" Target="media/image25.wmf"/><Relationship Id="rId60" Type="http://schemas.openxmlformats.org/officeDocument/2006/relationships/image" Target="media/image24.wmf"/><Relationship Id="rId6" Type="http://schemas.openxmlformats.org/officeDocument/2006/relationships/footer" Target="footer1.xml"/><Relationship Id="rId59" Type="http://schemas.openxmlformats.org/officeDocument/2006/relationships/image" Target="media/image23.wmf"/><Relationship Id="rId58" Type="http://schemas.openxmlformats.org/officeDocument/2006/relationships/oleObject" Target="embeddings/oleObject22.bin"/><Relationship Id="rId57" Type="http://schemas.openxmlformats.org/officeDocument/2006/relationships/image" Target="media/image22.wmf"/><Relationship Id="rId56" Type="http://schemas.openxmlformats.org/officeDocument/2006/relationships/oleObject" Target="embeddings/oleObject21.bin"/><Relationship Id="rId55" Type="http://schemas.openxmlformats.org/officeDocument/2006/relationships/image" Target="media/image21.wmf"/><Relationship Id="rId54" Type="http://schemas.openxmlformats.org/officeDocument/2006/relationships/oleObject" Target="embeddings/oleObject20.bin"/><Relationship Id="rId53" Type="http://schemas.openxmlformats.org/officeDocument/2006/relationships/image" Target="media/image20.wmf"/><Relationship Id="rId52" Type="http://schemas.openxmlformats.org/officeDocument/2006/relationships/oleObject" Target="embeddings/oleObject19.bin"/><Relationship Id="rId51" Type="http://schemas.openxmlformats.org/officeDocument/2006/relationships/image" Target="media/image19.wmf"/><Relationship Id="rId50" Type="http://schemas.openxmlformats.org/officeDocument/2006/relationships/oleObject" Target="embeddings/oleObject18.bin"/><Relationship Id="rId5" Type="http://schemas.openxmlformats.org/officeDocument/2006/relationships/header" Target="header3.xml"/><Relationship Id="rId49" Type="http://schemas.openxmlformats.org/officeDocument/2006/relationships/image" Target="media/image18.wmf"/><Relationship Id="rId48" Type="http://schemas.openxmlformats.org/officeDocument/2006/relationships/oleObject" Target="embeddings/oleObject17.bin"/><Relationship Id="rId47" Type="http://schemas.openxmlformats.org/officeDocument/2006/relationships/image" Target="media/image17.wmf"/><Relationship Id="rId46" Type="http://schemas.openxmlformats.org/officeDocument/2006/relationships/oleObject" Target="embeddings/oleObject16.bin"/><Relationship Id="rId45" Type="http://schemas.openxmlformats.org/officeDocument/2006/relationships/image" Target="media/image16.wmf"/><Relationship Id="rId44" Type="http://schemas.openxmlformats.org/officeDocument/2006/relationships/oleObject" Target="embeddings/oleObject15.bin"/><Relationship Id="rId43" Type="http://schemas.openxmlformats.org/officeDocument/2006/relationships/image" Target="media/image15.wmf"/><Relationship Id="rId42" Type="http://schemas.openxmlformats.org/officeDocument/2006/relationships/oleObject" Target="embeddings/oleObject14.bin"/><Relationship Id="rId41" Type="http://schemas.openxmlformats.org/officeDocument/2006/relationships/image" Target="media/image14.wmf"/><Relationship Id="rId40" Type="http://schemas.openxmlformats.org/officeDocument/2006/relationships/oleObject" Target="embeddings/oleObject13.bin"/><Relationship Id="rId4" Type="http://schemas.openxmlformats.org/officeDocument/2006/relationships/header" Target="header2.xml"/><Relationship Id="rId39" Type="http://schemas.openxmlformats.org/officeDocument/2006/relationships/image" Target="media/image13.wmf"/><Relationship Id="rId38" Type="http://schemas.openxmlformats.org/officeDocument/2006/relationships/oleObject" Target="embeddings/oleObject12.bin"/><Relationship Id="rId37" Type="http://schemas.openxmlformats.org/officeDocument/2006/relationships/image" Target="media/image12.wmf"/><Relationship Id="rId36" Type="http://schemas.openxmlformats.org/officeDocument/2006/relationships/oleObject" Target="embeddings/oleObject11.bin"/><Relationship Id="rId35" Type="http://schemas.openxmlformats.org/officeDocument/2006/relationships/image" Target="media/image11.wmf"/><Relationship Id="rId34" Type="http://schemas.openxmlformats.org/officeDocument/2006/relationships/oleObject" Target="embeddings/oleObject10.bin"/><Relationship Id="rId33" Type="http://schemas.openxmlformats.org/officeDocument/2006/relationships/image" Target="media/image10.wmf"/><Relationship Id="rId32" Type="http://schemas.openxmlformats.org/officeDocument/2006/relationships/oleObject" Target="embeddings/oleObject9.bin"/><Relationship Id="rId31" Type="http://schemas.openxmlformats.org/officeDocument/2006/relationships/image" Target="media/image9.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8.wmf"/><Relationship Id="rId28" Type="http://schemas.openxmlformats.org/officeDocument/2006/relationships/oleObject" Target="embeddings/oleObject7.bin"/><Relationship Id="rId27" Type="http://schemas.openxmlformats.org/officeDocument/2006/relationships/image" Target="media/image7.wmf"/><Relationship Id="rId26" Type="http://schemas.openxmlformats.org/officeDocument/2006/relationships/oleObject" Target="embeddings/oleObject6.bin"/><Relationship Id="rId25" Type="http://schemas.openxmlformats.org/officeDocument/2006/relationships/image" Target="media/image6.wmf"/><Relationship Id="rId246" Type="http://schemas.openxmlformats.org/officeDocument/2006/relationships/fontTable" Target="fontTable.xml"/><Relationship Id="rId245" Type="http://schemas.openxmlformats.org/officeDocument/2006/relationships/numbering" Target="numbering.xml"/><Relationship Id="rId244" Type="http://schemas.openxmlformats.org/officeDocument/2006/relationships/customXml" Target="../customXml/item1.xml"/><Relationship Id="rId243" Type="http://schemas.openxmlformats.org/officeDocument/2006/relationships/image" Target="media/image125.wmf"/><Relationship Id="rId242" Type="http://schemas.openxmlformats.org/officeDocument/2006/relationships/image" Target="media/image124.wmf"/><Relationship Id="rId241" Type="http://schemas.openxmlformats.org/officeDocument/2006/relationships/image" Target="media/image123.png"/><Relationship Id="rId240" Type="http://schemas.openxmlformats.org/officeDocument/2006/relationships/image" Target="media/image122.png"/><Relationship Id="rId24" Type="http://schemas.openxmlformats.org/officeDocument/2006/relationships/oleObject" Target="embeddings/oleObject5.bin"/><Relationship Id="rId239" Type="http://schemas.openxmlformats.org/officeDocument/2006/relationships/image" Target="media/image121.wmf"/><Relationship Id="rId238" Type="http://schemas.openxmlformats.org/officeDocument/2006/relationships/oleObject" Target="embeddings/oleObject103.bin"/><Relationship Id="rId237" Type="http://schemas.openxmlformats.org/officeDocument/2006/relationships/image" Target="media/image120.wmf"/><Relationship Id="rId236" Type="http://schemas.openxmlformats.org/officeDocument/2006/relationships/oleObject" Target="embeddings/oleObject102.bin"/><Relationship Id="rId235" Type="http://schemas.openxmlformats.org/officeDocument/2006/relationships/image" Target="media/image119.png"/><Relationship Id="rId234" Type="http://schemas.openxmlformats.org/officeDocument/2006/relationships/image" Target="media/image118.wmf"/><Relationship Id="rId233" Type="http://schemas.openxmlformats.org/officeDocument/2006/relationships/image" Target="media/image117.wmf"/><Relationship Id="rId232" Type="http://schemas.openxmlformats.org/officeDocument/2006/relationships/image" Target="media/image116.wmf"/><Relationship Id="rId231" Type="http://schemas.openxmlformats.org/officeDocument/2006/relationships/image" Target="media/image115.png"/><Relationship Id="rId230" Type="http://schemas.openxmlformats.org/officeDocument/2006/relationships/image" Target="media/image114.wmf"/><Relationship Id="rId23" Type="http://schemas.openxmlformats.org/officeDocument/2006/relationships/image" Target="media/image5.wmf"/><Relationship Id="rId229" Type="http://schemas.openxmlformats.org/officeDocument/2006/relationships/oleObject" Target="embeddings/oleObject101.bin"/><Relationship Id="rId228" Type="http://schemas.openxmlformats.org/officeDocument/2006/relationships/oleObject" Target="embeddings/oleObject100.bin"/><Relationship Id="rId227" Type="http://schemas.openxmlformats.org/officeDocument/2006/relationships/image" Target="media/image113.emf"/><Relationship Id="rId226" Type="http://schemas.openxmlformats.org/officeDocument/2006/relationships/image" Target="media/image112.wmf"/><Relationship Id="rId225" Type="http://schemas.openxmlformats.org/officeDocument/2006/relationships/oleObject" Target="embeddings/oleObject99.bin"/><Relationship Id="rId224" Type="http://schemas.openxmlformats.org/officeDocument/2006/relationships/image" Target="media/image111.wmf"/><Relationship Id="rId223" Type="http://schemas.openxmlformats.org/officeDocument/2006/relationships/oleObject" Target="embeddings/oleObject98.bin"/><Relationship Id="rId222" Type="http://schemas.openxmlformats.org/officeDocument/2006/relationships/image" Target="media/image110.wmf"/><Relationship Id="rId221" Type="http://schemas.openxmlformats.org/officeDocument/2006/relationships/oleObject" Target="embeddings/oleObject97.bin"/><Relationship Id="rId220" Type="http://schemas.openxmlformats.org/officeDocument/2006/relationships/image" Target="media/image109.wmf"/><Relationship Id="rId22" Type="http://schemas.openxmlformats.org/officeDocument/2006/relationships/oleObject" Target="embeddings/oleObject4.bin"/><Relationship Id="rId219" Type="http://schemas.openxmlformats.org/officeDocument/2006/relationships/oleObject" Target="embeddings/oleObject96.bin"/><Relationship Id="rId218" Type="http://schemas.openxmlformats.org/officeDocument/2006/relationships/image" Target="media/image108.png"/><Relationship Id="rId217" Type="http://schemas.openxmlformats.org/officeDocument/2006/relationships/image" Target="media/image107.wmf"/><Relationship Id="rId216" Type="http://schemas.openxmlformats.org/officeDocument/2006/relationships/image" Target="media/image106.png"/><Relationship Id="rId215" Type="http://schemas.openxmlformats.org/officeDocument/2006/relationships/image" Target="media/image105.emf"/><Relationship Id="rId214" Type="http://schemas.openxmlformats.org/officeDocument/2006/relationships/oleObject" Target="embeddings/oleObject95.bin"/><Relationship Id="rId213" Type="http://schemas.openxmlformats.org/officeDocument/2006/relationships/image" Target="media/image104.wmf"/><Relationship Id="rId212" Type="http://schemas.openxmlformats.org/officeDocument/2006/relationships/oleObject" Target="embeddings/oleObject94.bin"/><Relationship Id="rId211" Type="http://schemas.openxmlformats.org/officeDocument/2006/relationships/image" Target="media/image103.wmf"/><Relationship Id="rId210" Type="http://schemas.openxmlformats.org/officeDocument/2006/relationships/oleObject" Target="embeddings/oleObject93.bin"/><Relationship Id="rId21" Type="http://schemas.openxmlformats.org/officeDocument/2006/relationships/image" Target="media/image4.wmf"/><Relationship Id="rId209" Type="http://schemas.openxmlformats.org/officeDocument/2006/relationships/image" Target="media/image102.wmf"/><Relationship Id="rId208" Type="http://schemas.openxmlformats.org/officeDocument/2006/relationships/oleObject" Target="embeddings/oleObject92.bin"/><Relationship Id="rId207" Type="http://schemas.openxmlformats.org/officeDocument/2006/relationships/image" Target="media/image101.wmf"/><Relationship Id="rId206" Type="http://schemas.openxmlformats.org/officeDocument/2006/relationships/oleObject" Target="embeddings/oleObject91.bin"/><Relationship Id="rId205" Type="http://schemas.openxmlformats.org/officeDocument/2006/relationships/image" Target="media/image100.wmf"/><Relationship Id="rId204" Type="http://schemas.openxmlformats.org/officeDocument/2006/relationships/oleObject" Target="embeddings/oleObject90.bin"/><Relationship Id="rId203" Type="http://schemas.openxmlformats.org/officeDocument/2006/relationships/image" Target="media/image99.wmf"/><Relationship Id="rId202" Type="http://schemas.openxmlformats.org/officeDocument/2006/relationships/oleObject" Target="embeddings/oleObject89.bin"/><Relationship Id="rId201" Type="http://schemas.openxmlformats.org/officeDocument/2006/relationships/image" Target="media/image98.wmf"/><Relationship Id="rId200" Type="http://schemas.openxmlformats.org/officeDocument/2006/relationships/oleObject" Target="embeddings/oleObject88.bin"/><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87.bin"/><Relationship Id="rId197" Type="http://schemas.openxmlformats.org/officeDocument/2006/relationships/image" Target="media/image96.png"/><Relationship Id="rId196" Type="http://schemas.openxmlformats.org/officeDocument/2006/relationships/image" Target="media/image95.wmf"/><Relationship Id="rId195" Type="http://schemas.openxmlformats.org/officeDocument/2006/relationships/oleObject" Target="embeddings/oleObject86.bin"/><Relationship Id="rId194" Type="http://schemas.openxmlformats.org/officeDocument/2006/relationships/image" Target="media/image94.wmf"/><Relationship Id="rId193" Type="http://schemas.openxmlformats.org/officeDocument/2006/relationships/oleObject" Target="embeddings/oleObject85.bin"/><Relationship Id="rId192" Type="http://schemas.openxmlformats.org/officeDocument/2006/relationships/image" Target="media/image93.wmf"/><Relationship Id="rId191" Type="http://schemas.openxmlformats.org/officeDocument/2006/relationships/oleObject" Target="embeddings/oleObject84.bin"/><Relationship Id="rId190" Type="http://schemas.openxmlformats.org/officeDocument/2006/relationships/image" Target="media/image92.wmf"/><Relationship Id="rId19" Type="http://schemas.openxmlformats.org/officeDocument/2006/relationships/image" Target="media/image3.wmf"/><Relationship Id="rId189" Type="http://schemas.openxmlformats.org/officeDocument/2006/relationships/oleObject" Target="embeddings/oleObject83.bin"/><Relationship Id="rId188" Type="http://schemas.openxmlformats.org/officeDocument/2006/relationships/image" Target="media/image91.wmf"/><Relationship Id="rId187" Type="http://schemas.openxmlformats.org/officeDocument/2006/relationships/oleObject" Target="embeddings/oleObject82.bin"/><Relationship Id="rId186" Type="http://schemas.openxmlformats.org/officeDocument/2006/relationships/image" Target="media/image90.wmf"/><Relationship Id="rId185" Type="http://schemas.openxmlformats.org/officeDocument/2006/relationships/oleObject" Target="embeddings/oleObject81.bin"/><Relationship Id="rId184" Type="http://schemas.openxmlformats.org/officeDocument/2006/relationships/image" Target="media/image89.wmf"/><Relationship Id="rId183" Type="http://schemas.openxmlformats.org/officeDocument/2006/relationships/oleObject" Target="embeddings/oleObject80.bin"/><Relationship Id="rId182" Type="http://schemas.openxmlformats.org/officeDocument/2006/relationships/image" Target="media/image88.wmf"/><Relationship Id="rId181" Type="http://schemas.openxmlformats.org/officeDocument/2006/relationships/oleObject" Target="embeddings/oleObject79.bin"/><Relationship Id="rId180" Type="http://schemas.openxmlformats.org/officeDocument/2006/relationships/image" Target="media/image87.wmf"/><Relationship Id="rId18" Type="http://schemas.openxmlformats.org/officeDocument/2006/relationships/oleObject" Target="embeddings/oleObject2.bin"/><Relationship Id="rId179" Type="http://schemas.openxmlformats.org/officeDocument/2006/relationships/oleObject" Target="embeddings/oleObject78.bin"/><Relationship Id="rId178" Type="http://schemas.openxmlformats.org/officeDocument/2006/relationships/image" Target="media/image86.wmf"/><Relationship Id="rId177" Type="http://schemas.openxmlformats.org/officeDocument/2006/relationships/oleObject" Target="embeddings/oleObject77.bin"/><Relationship Id="rId176" Type="http://schemas.openxmlformats.org/officeDocument/2006/relationships/image" Target="media/image85.emf"/><Relationship Id="rId175" Type="http://schemas.openxmlformats.org/officeDocument/2006/relationships/oleObject" Target="embeddings/oleObject76.bin"/><Relationship Id="rId174" Type="http://schemas.openxmlformats.org/officeDocument/2006/relationships/image" Target="media/image84.png"/><Relationship Id="rId173" Type="http://schemas.openxmlformats.org/officeDocument/2006/relationships/image" Target="media/image83.png"/><Relationship Id="rId172" Type="http://schemas.openxmlformats.org/officeDocument/2006/relationships/image" Target="media/image82.emf"/><Relationship Id="rId171" Type="http://schemas.openxmlformats.org/officeDocument/2006/relationships/image" Target="media/image81.emf"/><Relationship Id="rId170" Type="http://schemas.openxmlformats.org/officeDocument/2006/relationships/image" Target="media/image80.wmf"/><Relationship Id="rId17" Type="http://schemas.openxmlformats.org/officeDocument/2006/relationships/image" Target="media/image2.wmf"/><Relationship Id="rId169" Type="http://schemas.openxmlformats.org/officeDocument/2006/relationships/image" Target="media/image79.wmf"/><Relationship Id="rId168" Type="http://schemas.openxmlformats.org/officeDocument/2006/relationships/image" Target="media/image78.wmf"/><Relationship Id="rId167" Type="http://schemas.openxmlformats.org/officeDocument/2006/relationships/image" Target="media/image77.wmf"/><Relationship Id="rId166" Type="http://schemas.openxmlformats.org/officeDocument/2006/relationships/image" Target="media/image76.wmf"/><Relationship Id="rId165" Type="http://schemas.openxmlformats.org/officeDocument/2006/relationships/image" Target="media/image75.wmf"/><Relationship Id="rId164" Type="http://schemas.openxmlformats.org/officeDocument/2006/relationships/image" Target="media/image74.wmf"/><Relationship Id="rId163" Type="http://schemas.openxmlformats.org/officeDocument/2006/relationships/image" Target="media/image73.wmf"/><Relationship Id="rId162" Type="http://schemas.openxmlformats.org/officeDocument/2006/relationships/image" Target="media/image72.wmf"/><Relationship Id="rId161" Type="http://schemas.openxmlformats.org/officeDocument/2006/relationships/image" Target="media/image71.png"/><Relationship Id="rId160" Type="http://schemas.openxmlformats.org/officeDocument/2006/relationships/image" Target="media/image70.png"/><Relationship Id="rId16" Type="http://schemas.openxmlformats.org/officeDocument/2006/relationships/oleObject" Target="embeddings/oleObject1.bin"/><Relationship Id="rId159" Type="http://schemas.openxmlformats.org/officeDocument/2006/relationships/image" Target="media/image69.wmf"/><Relationship Id="rId158" Type="http://schemas.openxmlformats.org/officeDocument/2006/relationships/image" Target="media/image68.wmf"/><Relationship Id="rId157" Type="http://schemas.openxmlformats.org/officeDocument/2006/relationships/image" Target="media/image67.wmf"/><Relationship Id="rId156" Type="http://schemas.openxmlformats.org/officeDocument/2006/relationships/image" Target="media/image66.wmf"/><Relationship Id="rId155" Type="http://schemas.openxmlformats.org/officeDocument/2006/relationships/image" Target="media/image65.wmf"/><Relationship Id="rId154" Type="http://schemas.openxmlformats.org/officeDocument/2006/relationships/image" Target="media/image64.emf"/><Relationship Id="rId153" Type="http://schemas.openxmlformats.org/officeDocument/2006/relationships/oleObject" Target="embeddings/oleObject75.bin"/><Relationship Id="rId152" Type="http://schemas.openxmlformats.org/officeDocument/2006/relationships/image" Target="media/image63.emf"/><Relationship Id="rId151" Type="http://schemas.openxmlformats.org/officeDocument/2006/relationships/oleObject" Target="embeddings/oleObject74.bin"/><Relationship Id="rId150" Type="http://schemas.openxmlformats.org/officeDocument/2006/relationships/image" Target="media/image62.wmf"/><Relationship Id="rId15" Type="http://schemas.openxmlformats.org/officeDocument/2006/relationships/image" Target="media/image1.jpeg"/><Relationship Id="rId149" Type="http://schemas.openxmlformats.org/officeDocument/2006/relationships/image" Target="media/image61.wmf"/><Relationship Id="rId148" Type="http://schemas.openxmlformats.org/officeDocument/2006/relationships/image" Target="media/image60.wmf"/><Relationship Id="rId147" Type="http://schemas.openxmlformats.org/officeDocument/2006/relationships/oleObject" Target="embeddings/oleObject73.bin"/><Relationship Id="rId146" Type="http://schemas.openxmlformats.org/officeDocument/2006/relationships/oleObject" Target="embeddings/oleObject72.bin"/><Relationship Id="rId145" Type="http://schemas.openxmlformats.org/officeDocument/2006/relationships/image" Target="media/image59.wmf"/><Relationship Id="rId144" Type="http://schemas.openxmlformats.org/officeDocument/2006/relationships/oleObject" Target="embeddings/oleObject71.bin"/><Relationship Id="rId143" Type="http://schemas.openxmlformats.org/officeDocument/2006/relationships/image" Target="media/image58.wmf"/><Relationship Id="rId142" Type="http://schemas.openxmlformats.org/officeDocument/2006/relationships/oleObject" Target="embeddings/oleObject70.bin"/><Relationship Id="rId141" Type="http://schemas.openxmlformats.org/officeDocument/2006/relationships/image" Target="media/image57.wmf"/><Relationship Id="rId140" Type="http://schemas.openxmlformats.org/officeDocument/2006/relationships/oleObject" Target="embeddings/oleObject69.bin"/><Relationship Id="rId14" Type="http://schemas.openxmlformats.org/officeDocument/2006/relationships/theme" Target="theme/theme1.xml"/><Relationship Id="rId139" Type="http://schemas.openxmlformats.org/officeDocument/2006/relationships/image" Target="media/image56.wmf"/><Relationship Id="rId138" Type="http://schemas.openxmlformats.org/officeDocument/2006/relationships/oleObject" Target="embeddings/oleObject68.bin"/><Relationship Id="rId137" Type="http://schemas.openxmlformats.org/officeDocument/2006/relationships/image" Target="http://www.safety.com.cn/standard/tu/aq1018-2006-5.gif" TargetMode="External"/><Relationship Id="rId136" Type="http://schemas.openxmlformats.org/officeDocument/2006/relationships/image" Target="media/image55.png"/><Relationship Id="rId135" Type="http://schemas.openxmlformats.org/officeDocument/2006/relationships/image" Target="media/image54.wmf"/><Relationship Id="rId134" Type="http://schemas.openxmlformats.org/officeDocument/2006/relationships/oleObject" Target="embeddings/oleObject67.bin"/><Relationship Id="rId133" Type="http://schemas.openxmlformats.org/officeDocument/2006/relationships/image" Target="media/image53.wmf"/><Relationship Id="rId132" Type="http://schemas.openxmlformats.org/officeDocument/2006/relationships/oleObject" Target="embeddings/oleObject66.bin"/><Relationship Id="rId131" Type="http://schemas.openxmlformats.org/officeDocument/2006/relationships/image" Target="media/image52.wmf"/><Relationship Id="rId130" Type="http://schemas.openxmlformats.org/officeDocument/2006/relationships/oleObject" Target="embeddings/oleObject65.bin"/><Relationship Id="rId13" Type="http://schemas.openxmlformats.org/officeDocument/2006/relationships/footer" Target="footer7.xml"/><Relationship Id="rId129" Type="http://schemas.openxmlformats.org/officeDocument/2006/relationships/image" Target="media/image51.wmf"/><Relationship Id="rId128" Type="http://schemas.openxmlformats.org/officeDocument/2006/relationships/oleObject" Target="embeddings/oleObject64.bin"/><Relationship Id="rId127" Type="http://schemas.openxmlformats.org/officeDocument/2006/relationships/image" Target="media/image50.wmf"/><Relationship Id="rId126" Type="http://schemas.openxmlformats.org/officeDocument/2006/relationships/oleObject" Target="embeddings/oleObject63.bin"/><Relationship Id="rId125" Type="http://schemas.openxmlformats.org/officeDocument/2006/relationships/image" Target="media/image49.wmf"/><Relationship Id="rId124" Type="http://schemas.openxmlformats.org/officeDocument/2006/relationships/oleObject" Target="embeddings/oleObject62.bin"/><Relationship Id="rId123" Type="http://schemas.openxmlformats.org/officeDocument/2006/relationships/image" Target="media/image48.wmf"/><Relationship Id="rId122" Type="http://schemas.openxmlformats.org/officeDocument/2006/relationships/oleObject" Target="embeddings/oleObject61.bin"/><Relationship Id="rId121" Type="http://schemas.openxmlformats.org/officeDocument/2006/relationships/image" Target="media/image47.wmf"/><Relationship Id="rId120" Type="http://schemas.openxmlformats.org/officeDocument/2006/relationships/oleObject" Target="embeddings/oleObject60.bin"/><Relationship Id="rId12" Type="http://schemas.openxmlformats.org/officeDocument/2006/relationships/footer" Target="footer6.xml"/><Relationship Id="rId119" Type="http://schemas.openxmlformats.org/officeDocument/2006/relationships/oleObject" Target="embeddings/oleObject59.bin"/><Relationship Id="rId118" Type="http://schemas.openxmlformats.org/officeDocument/2006/relationships/image" Target="media/image46.wmf"/><Relationship Id="rId117" Type="http://schemas.openxmlformats.org/officeDocument/2006/relationships/oleObject" Target="embeddings/oleObject58.bin"/><Relationship Id="rId116" Type="http://schemas.openxmlformats.org/officeDocument/2006/relationships/oleObject" Target="embeddings/oleObject57.bin"/><Relationship Id="rId115" Type="http://schemas.openxmlformats.org/officeDocument/2006/relationships/image" Target="media/image45.wmf"/><Relationship Id="rId114" Type="http://schemas.openxmlformats.org/officeDocument/2006/relationships/oleObject" Target="embeddings/oleObject56.bin"/><Relationship Id="rId113" Type="http://schemas.openxmlformats.org/officeDocument/2006/relationships/image" Target="media/image44.wmf"/><Relationship Id="rId112" Type="http://schemas.openxmlformats.org/officeDocument/2006/relationships/oleObject" Target="embeddings/oleObject55.bin"/><Relationship Id="rId111" Type="http://schemas.openxmlformats.org/officeDocument/2006/relationships/image" Target="media/image43.wmf"/><Relationship Id="rId110" Type="http://schemas.openxmlformats.org/officeDocument/2006/relationships/oleObject" Target="embeddings/oleObject54.bin"/><Relationship Id="rId11" Type="http://schemas.openxmlformats.org/officeDocument/2006/relationships/header" Target="header4.xml"/><Relationship Id="rId109" Type="http://schemas.openxmlformats.org/officeDocument/2006/relationships/image" Target="media/image42.wmf"/><Relationship Id="rId108" Type="http://schemas.openxmlformats.org/officeDocument/2006/relationships/oleObject" Target="embeddings/oleObject53.bin"/><Relationship Id="rId107" Type="http://schemas.openxmlformats.org/officeDocument/2006/relationships/image" Target="media/image41.wmf"/><Relationship Id="rId106" Type="http://schemas.openxmlformats.org/officeDocument/2006/relationships/oleObject" Target="embeddings/oleObject52.bin"/><Relationship Id="rId105" Type="http://schemas.openxmlformats.org/officeDocument/2006/relationships/image" Target="media/image40.wmf"/><Relationship Id="rId104" Type="http://schemas.openxmlformats.org/officeDocument/2006/relationships/oleObject" Target="embeddings/oleObject51.bin"/><Relationship Id="rId103" Type="http://schemas.openxmlformats.org/officeDocument/2006/relationships/image" Target="media/image39.wmf"/><Relationship Id="rId102" Type="http://schemas.openxmlformats.org/officeDocument/2006/relationships/oleObject" Target="embeddings/oleObject50.bin"/><Relationship Id="rId101" Type="http://schemas.openxmlformats.org/officeDocument/2006/relationships/oleObject" Target="embeddings/oleObject49.bin"/><Relationship Id="rId100" Type="http://schemas.openxmlformats.org/officeDocument/2006/relationships/oleObject" Target="embeddings/oleObject48.bin"/><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cumt</Company>
  <Pages>298</Pages>
  <Words>26157</Words>
  <Characters>30990</Characters>
  <Lines>1623</Lines>
  <Paragraphs>456</Paragraphs>
  <TotalTime>0</TotalTime>
  <ScaleCrop>false</ScaleCrop>
  <LinksUpToDate>false</LinksUpToDate>
  <CharactersWithSpaces>31264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2010-04-18T08:29:00Z</dcterms:created>
  <dc:creator>mly</dc:creator>
  <cp:lastModifiedBy>wai523</cp:lastModifiedBy>
  <cp:lastPrinted>2017-05-06T02:08:33Z</cp:lastPrinted>
  <dcterms:modified xsi:type="dcterms:W3CDTF">2026-02-02T08:19:55Z</dcterms:modified>
  <dc:title>贵 州 省 大 方 县</dc:title>
  <cp:revision>837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D6278F5509CF446E9BE2AF2FEF1B3217_13</vt:lpwstr>
  </property>
</Properties>
</file>