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EE536" w14:textId="77777777" w:rsidR="00B420F1" w:rsidRDefault="00B420F1">
      <w:pPr>
        <w:ind w:firstLine="420"/>
        <w:jc w:val="both"/>
        <w:rPr>
          <w:rFonts w:ascii="宋体" w:eastAsia="宋体" w:hAnsi="宋体" w:hint="eastAsia"/>
          <w:color w:val="000000" w:themeColor="text1"/>
        </w:rPr>
      </w:pPr>
    </w:p>
    <w:p w14:paraId="67BC2A66" w14:textId="77777777" w:rsidR="00B420F1" w:rsidRDefault="00B420F1">
      <w:pPr>
        <w:ind w:firstLine="420"/>
        <w:jc w:val="both"/>
        <w:rPr>
          <w:rFonts w:ascii="宋体" w:eastAsia="宋体" w:hAnsi="宋体" w:hint="eastAsia"/>
          <w:color w:val="000000" w:themeColor="text1"/>
        </w:rPr>
      </w:pPr>
    </w:p>
    <w:p w14:paraId="38B36678" w14:textId="77777777" w:rsidR="00B420F1" w:rsidRDefault="00B420F1">
      <w:pPr>
        <w:ind w:firstLine="420"/>
        <w:jc w:val="both"/>
        <w:rPr>
          <w:rFonts w:ascii="宋体" w:eastAsia="宋体" w:hAnsi="宋体" w:hint="eastAsia"/>
          <w:color w:val="000000" w:themeColor="text1"/>
        </w:rPr>
      </w:pPr>
    </w:p>
    <w:p w14:paraId="556ED425" w14:textId="77777777" w:rsidR="00B420F1" w:rsidRDefault="00B420F1">
      <w:pPr>
        <w:ind w:firstLine="420"/>
        <w:jc w:val="both"/>
        <w:rPr>
          <w:rFonts w:ascii="宋体" w:eastAsia="宋体" w:hAnsi="宋体" w:hint="eastAsia"/>
          <w:color w:val="000000" w:themeColor="text1"/>
        </w:rPr>
      </w:pPr>
    </w:p>
    <w:p w14:paraId="17CD8562" w14:textId="77777777" w:rsidR="00B420F1" w:rsidRDefault="00B420F1">
      <w:pPr>
        <w:ind w:firstLine="420"/>
        <w:jc w:val="both"/>
        <w:rPr>
          <w:rFonts w:ascii="宋体" w:eastAsia="宋体" w:hAnsi="宋体" w:hint="eastAsia"/>
          <w:color w:val="000000" w:themeColor="text1"/>
        </w:rPr>
      </w:pPr>
    </w:p>
    <w:p w14:paraId="4282B055" w14:textId="77777777" w:rsidR="00B420F1" w:rsidRDefault="00B420F1">
      <w:pPr>
        <w:ind w:firstLine="420"/>
        <w:jc w:val="both"/>
        <w:rPr>
          <w:rFonts w:ascii="宋体" w:eastAsia="宋体" w:hAnsi="宋体" w:hint="eastAsia"/>
          <w:color w:val="000000" w:themeColor="text1"/>
        </w:rPr>
      </w:pPr>
    </w:p>
    <w:p w14:paraId="2AB37B68" w14:textId="77777777" w:rsidR="00B420F1" w:rsidRDefault="00B420F1">
      <w:pPr>
        <w:ind w:firstLine="420"/>
        <w:jc w:val="both"/>
        <w:rPr>
          <w:rFonts w:ascii="宋体" w:eastAsia="宋体" w:hAnsi="宋体" w:hint="eastAsia"/>
          <w:color w:val="000000" w:themeColor="text1"/>
        </w:rPr>
      </w:pPr>
    </w:p>
    <w:p w14:paraId="4292060B" w14:textId="77777777" w:rsidR="00B420F1" w:rsidRDefault="00B420F1">
      <w:pPr>
        <w:ind w:firstLine="420"/>
        <w:jc w:val="both"/>
        <w:rPr>
          <w:rFonts w:ascii="宋体" w:eastAsia="宋体" w:hAnsi="宋体" w:hint="eastAsia"/>
          <w:color w:val="000000" w:themeColor="text1"/>
        </w:rPr>
      </w:pPr>
    </w:p>
    <w:p w14:paraId="76FEB5D9" w14:textId="77777777" w:rsidR="00B420F1" w:rsidRDefault="00B420F1">
      <w:pPr>
        <w:ind w:firstLine="420"/>
        <w:jc w:val="both"/>
        <w:rPr>
          <w:rFonts w:ascii="宋体" w:eastAsia="宋体" w:hAnsi="宋体" w:hint="eastAsia"/>
          <w:color w:val="000000" w:themeColor="text1"/>
        </w:rPr>
      </w:pPr>
    </w:p>
    <w:p w14:paraId="24934E94" w14:textId="77777777" w:rsidR="00B420F1" w:rsidRDefault="00917C7B">
      <w:pPr>
        <w:ind w:firstLineChars="0" w:firstLine="0"/>
        <w:jc w:val="center"/>
        <w:rPr>
          <w:rFonts w:ascii="宋体" w:eastAsia="宋体" w:hAnsi="宋体" w:hint="eastAsia"/>
          <w:b/>
          <w:color w:val="000000" w:themeColor="text1"/>
          <w:sz w:val="52"/>
          <w:szCs w:val="52"/>
        </w:rPr>
      </w:pPr>
      <w:r>
        <w:rPr>
          <w:rFonts w:ascii="宋体" w:eastAsia="宋体" w:hAnsi="宋体" w:hint="eastAsia"/>
          <w:b/>
          <w:color w:val="000000" w:themeColor="text1"/>
          <w:sz w:val="52"/>
          <w:szCs w:val="52"/>
        </w:rPr>
        <w:t>广州越秀国际会议中心</w:t>
      </w:r>
    </w:p>
    <w:p w14:paraId="423A4A46" w14:textId="77777777" w:rsidR="00B420F1" w:rsidRDefault="00917C7B">
      <w:pPr>
        <w:ind w:firstLineChars="0" w:firstLine="0"/>
        <w:jc w:val="center"/>
        <w:rPr>
          <w:rFonts w:ascii="宋体" w:eastAsia="宋体" w:hAnsi="宋体" w:hint="eastAsia"/>
          <w:b/>
          <w:color w:val="000000" w:themeColor="text1"/>
          <w:sz w:val="52"/>
          <w:szCs w:val="52"/>
        </w:rPr>
      </w:pPr>
      <w:r>
        <w:rPr>
          <w:rFonts w:ascii="宋体" w:eastAsia="宋体" w:hAnsi="宋体" w:hint="eastAsia"/>
          <w:b/>
          <w:color w:val="000000" w:themeColor="text1"/>
          <w:sz w:val="52"/>
          <w:szCs w:val="52"/>
        </w:rPr>
        <w:t>2026-2028年绿化养护服务合同</w:t>
      </w:r>
    </w:p>
    <w:p w14:paraId="51403659" w14:textId="77777777" w:rsidR="00B420F1" w:rsidRDefault="00B420F1">
      <w:pPr>
        <w:ind w:firstLine="420"/>
        <w:jc w:val="both"/>
        <w:rPr>
          <w:rFonts w:ascii="宋体" w:eastAsia="宋体" w:hAnsi="宋体" w:hint="eastAsia"/>
          <w:color w:val="000000" w:themeColor="text1"/>
        </w:rPr>
      </w:pPr>
    </w:p>
    <w:p w14:paraId="2771C2C9" w14:textId="77777777" w:rsidR="00B420F1" w:rsidRDefault="00B420F1">
      <w:pPr>
        <w:ind w:firstLine="420"/>
        <w:jc w:val="both"/>
        <w:rPr>
          <w:rFonts w:ascii="宋体" w:eastAsia="宋体" w:hAnsi="宋体" w:hint="eastAsia"/>
          <w:color w:val="000000" w:themeColor="text1"/>
        </w:rPr>
      </w:pPr>
    </w:p>
    <w:p w14:paraId="524A5350" w14:textId="77777777" w:rsidR="00B420F1" w:rsidRDefault="00B420F1">
      <w:pPr>
        <w:ind w:firstLine="420"/>
        <w:jc w:val="both"/>
        <w:rPr>
          <w:rFonts w:ascii="宋体" w:eastAsia="宋体" w:hAnsi="宋体" w:hint="eastAsia"/>
          <w:color w:val="000000" w:themeColor="text1"/>
        </w:rPr>
      </w:pPr>
    </w:p>
    <w:p w14:paraId="086B0A0B" w14:textId="77777777" w:rsidR="00B420F1" w:rsidRDefault="00B420F1">
      <w:pPr>
        <w:ind w:firstLine="420"/>
        <w:jc w:val="both"/>
        <w:rPr>
          <w:rFonts w:ascii="宋体" w:eastAsia="宋体" w:hAnsi="宋体" w:hint="eastAsia"/>
          <w:color w:val="000000" w:themeColor="text1"/>
        </w:rPr>
      </w:pPr>
    </w:p>
    <w:p w14:paraId="0D6D03A4" w14:textId="77777777" w:rsidR="00B420F1" w:rsidRDefault="00B420F1">
      <w:pPr>
        <w:ind w:firstLine="420"/>
        <w:jc w:val="both"/>
        <w:rPr>
          <w:rFonts w:ascii="宋体" w:eastAsia="宋体" w:hAnsi="宋体" w:hint="eastAsia"/>
          <w:color w:val="000000" w:themeColor="text1"/>
        </w:rPr>
      </w:pPr>
    </w:p>
    <w:p w14:paraId="2A317489" w14:textId="77777777" w:rsidR="00B420F1" w:rsidRDefault="00B420F1">
      <w:pPr>
        <w:ind w:firstLine="420"/>
        <w:jc w:val="both"/>
        <w:rPr>
          <w:rFonts w:ascii="宋体" w:eastAsia="宋体" w:hAnsi="宋体" w:hint="eastAsia"/>
          <w:color w:val="000000" w:themeColor="text1"/>
        </w:rPr>
      </w:pPr>
    </w:p>
    <w:p w14:paraId="465069F6" w14:textId="77777777" w:rsidR="00B420F1" w:rsidRDefault="00B420F1">
      <w:pPr>
        <w:ind w:firstLine="420"/>
        <w:jc w:val="both"/>
        <w:rPr>
          <w:rFonts w:ascii="宋体" w:eastAsia="宋体" w:hAnsi="宋体" w:hint="eastAsia"/>
          <w:color w:val="000000" w:themeColor="text1"/>
        </w:rPr>
      </w:pPr>
    </w:p>
    <w:p w14:paraId="15FDD311" w14:textId="77777777" w:rsidR="00B420F1" w:rsidRDefault="00B420F1">
      <w:pPr>
        <w:ind w:firstLine="420"/>
        <w:jc w:val="both"/>
        <w:rPr>
          <w:rFonts w:ascii="宋体" w:eastAsia="宋体" w:hAnsi="宋体" w:hint="eastAsia"/>
          <w:color w:val="000000" w:themeColor="text1"/>
        </w:rPr>
      </w:pPr>
    </w:p>
    <w:p w14:paraId="4596FEB4" w14:textId="77777777" w:rsidR="00B420F1" w:rsidRDefault="00B420F1">
      <w:pPr>
        <w:ind w:firstLine="420"/>
        <w:jc w:val="both"/>
        <w:rPr>
          <w:rFonts w:ascii="宋体" w:eastAsia="宋体" w:hAnsi="宋体" w:hint="eastAsia"/>
          <w:color w:val="000000" w:themeColor="text1"/>
        </w:rPr>
      </w:pPr>
    </w:p>
    <w:p w14:paraId="4CB61CD3" w14:textId="77777777" w:rsidR="00B420F1" w:rsidRDefault="00B420F1">
      <w:pPr>
        <w:ind w:firstLine="420"/>
        <w:jc w:val="both"/>
        <w:rPr>
          <w:rFonts w:ascii="宋体" w:eastAsia="宋体" w:hAnsi="宋体" w:hint="eastAsia"/>
          <w:color w:val="000000" w:themeColor="text1"/>
        </w:rPr>
      </w:pPr>
    </w:p>
    <w:p w14:paraId="017CB7E7" w14:textId="77777777" w:rsidR="00B420F1" w:rsidRDefault="00B420F1">
      <w:pPr>
        <w:ind w:firstLine="420"/>
        <w:jc w:val="both"/>
        <w:rPr>
          <w:rFonts w:ascii="宋体" w:eastAsia="宋体" w:hAnsi="宋体" w:hint="eastAsia"/>
          <w:color w:val="000000" w:themeColor="text1"/>
        </w:rPr>
      </w:pPr>
    </w:p>
    <w:p w14:paraId="28A7C5F4" w14:textId="77777777" w:rsidR="00B420F1" w:rsidRDefault="00B420F1">
      <w:pPr>
        <w:ind w:firstLine="420"/>
        <w:jc w:val="both"/>
        <w:rPr>
          <w:rFonts w:ascii="宋体" w:eastAsia="宋体" w:hAnsi="宋体" w:hint="eastAsia"/>
          <w:color w:val="000000" w:themeColor="text1"/>
        </w:rPr>
      </w:pPr>
    </w:p>
    <w:p w14:paraId="4761DB7C" w14:textId="77777777" w:rsidR="00B420F1" w:rsidRDefault="00B420F1">
      <w:pPr>
        <w:ind w:firstLineChars="0" w:firstLine="0"/>
        <w:jc w:val="both"/>
        <w:rPr>
          <w:rFonts w:ascii="宋体" w:eastAsia="宋体" w:hAnsi="宋体" w:hint="eastAsia"/>
          <w:color w:val="000000" w:themeColor="text1"/>
        </w:rPr>
      </w:pPr>
    </w:p>
    <w:p w14:paraId="102E1215" w14:textId="77777777" w:rsidR="00B420F1" w:rsidRDefault="00B420F1">
      <w:pPr>
        <w:ind w:firstLineChars="0" w:firstLine="0"/>
        <w:rPr>
          <w:rFonts w:ascii="宋体" w:eastAsia="宋体" w:hAnsi="宋体" w:hint="eastAsia"/>
          <w:color w:val="000000" w:themeColor="text1"/>
        </w:rPr>
      </w:pPr>
      <w:bookmarkStart w:id="0" w:name="_Toc72393401"/>
      <w:bookmarkStart w:id="1" w:name="_Toc69875520"/>
      <w:bookmarkStart w:id="2" w:name="_Toc96422945"/>
    </w:p>
    <w:p w14:paraId="52786C52" w14:textId="77777777" w:rsidR="00B420F1" w:rsidRDefault="00B420F1">
      <w:pPr>
        <w:ind w:firstLineChars="0" w:firstLine="0"/>
        <w:rPr>
          <w:rFonts w:ascii="宋体" w:eastAsia="宋体" w:hAnsi="宋体" w:hint="eastAsia"/>
          <w:color w:val="000000" w:themeColor="text1"/>
          <w:sz w:val="18"/>
          <w:szCs w:val="18"/>
        </w:rPr>
      </w:pPr>
    </w:p>
    <w:p w14:paraId="70E06492" w14:textId="77777777" w:rsidR="00B420F1" w:rsidRDefault="00917C7B">
      <w:pPr>
        <w:tabs>
          <w:tab w:val="clear" w:pos="1197"/>
        </w:tabs>
        <w:spacing w:line="240" w:lineRule="auto"/>
        <w:ind w:firstLineChars="0" w:firstLine="0"/>
        <w:rPr>
          <w:rFonts w:ascii="宋体" w:eastAsia="宋体" w:hAnsi="宋体" w:hint="eastAsia"/>
          <w:color w:val="000000" w:themeColor="text1"/>
        </w:rPr>
      </w:pPr>
      <w:r>
        <w:rPr>
          <w:rFonts w:ascii="宋体" w:eastAsia="宋体" w:hAnsi="宋体" w:hint="eastAsia"/>
          <w:color w:val="000000" w:themeColor="text1"/>
        </w:rPr>
        <w:br w:type="page"/>
      </w:r>
    </w:p>
    <w:p w14:paraId="6B7F2C9F" w14:textId="77777777" w:rsidR="00B420F1" w:rsidRDefault="00B420F1">
      <w:pPr>
        <w:ind w:firstLineChars="0" w:firstLine="0"/>
        <w:jc w:val="both"/>
        <w:rPr>
          <w:rFonts w:ascii="宋体" w:eastAsia="宋体" w:hAnsi="宋体" w:hint="eastAsia"/>
          <w:color w:val="000000" w:themeColor="text1"/>
        </w:rPr>
        <w:sectPr w:rsidR="00B420F1">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37" w:footer="992" w:gutter="170"/>
          <w:cols w:space="720"/>
          <w:docGrid w:type="lines" w:linePitch="291" w:charSpace="-3935"/>
        </w:sectPr>
      </w:pPr>
    </w:p>
    <w:p w14:paraId="08DFCC12"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lastRenderedPageBreak/>
        <w:t>甲方：</w:t>
      </w:r>
      <w:r>
        <w:rPr>
          <w:rFonts w:ascii="宋体" w:eastAsia="宋体" w:hAnsi="宋体"/>
          <w:color w:val="000000" w:themeColor="text1"/>
        </w:rPr>
        <w:cr/>
        <w:t>统一社会信用代码：</w:t>
      </w:r>
      <w:r>
        <w:rPr>
          <w:rFonts w:ascii="宋体" w:eastAsia="宋体" w:hAnsi="宋体"/>
          <w:color w:val="000000" w:themeColor="text1"/>
        </w:rPr>
        <w:cr/>
        <w:t>地址：</w:t>
      </w:r>
      <w:r>
        <w:rPr>
          <w:rFonts w:ascii="宋体" w:eastAsia="宋体" w:hAnsi="宋体"/>
          <w:color w:val="000000" w:themeColor="text1"/>
        </w:rPr>
        <w:cr/>
        <w:t>联系方式：</w:t>
      </w:r>
      <w:r>
        <w:rPr>
          <w:rFonts w:ascii="宋体" w:eastAsia="宋体" w:hAnsi="宋体"/>
          <w:color w:val="000000" w:themeColor="text1"/>
        </w:rPr>
        <w:cr/>
        <w:t> </w:t>
      </w:r>
      <w:r>
        <w:rPr>
          <w:rFonts w:ascii="宋体" w:eastAsia="宋体" w:hAnsi="宋体"/>
          <w:color w:val="000000" w:themeColor="text1"/>
        </w:rPr>
        <w:cr/>
      </w:r>
      <w:r>
        <w:rPr>
          <w:rFonts w:ascii="宋体" w:eastAsia="宋体" w:hAnsi="宋体"/>
          <w:color w:val="000000" w:themeColor="text1"/>
        </w:rPr>
        <w:t>乙方：</w:t>
      </w:r>
      <w:r>
        <w:rPr>
          <w:rFonts w:ascii="宋体" w:eastAsia="宋体" w:hAnsi="宋体"/>
          <w:color w:val="000000" w:themeColor="text1"/>
        </w:rPr>
        <w:cr/>
        <w:t>统一社会信用代码：</w:t>
      </w:r>
      <w:r>
        <w:rPr>
          <w:rFonts w:ascii="宋体" w:eastAsia="宋体" w:hAnsi="宋体"/>
          <w:color w:val="000000" w:themeColor="text1"/>
        </w:rPr>
        <w:cr/>
        <w:t xml:space="preserve">地址： </w:t>
      </w:r>
      <w:r>
        <w:rPr>
          <w:rFonts w:ascii="宋体" w:eastAsia="宋体" w:hAnsi="宋体"/>
          <w:color w:val="000000" w:themeColor="text1"/>
        </w:rPr>
        <w:cr/>
        <w:t>联系方式：</w:t>
      </w:r>
    </w:p>
    <w:p w14:paraId="0CA48F35" w14:textId="77777777" w:rsidR="00B420F1" w:rsidRDefault="00B420F1">
      <w:pPr>
        <w:ind w:firstLine="420"/>
        <w:jc w:val="both"/>
        <w:rPr>
          <w:rFonts w:ascii="宋体" w:eastAsia="宋体" w:hAnsi="宋体" w:hint="eastAsia"/>
          <w:color w:val="000000" w:themeColor="text1"/>
        </w:rPr>
        <w:sectPr w:rsidR="00B420F1">
          <w:type w:val="continuous"/>
          <w:pgSz w:w="11906" w:h="16838"/>
          <w:pgMar w:top="1440" w:right="1080" w:bottom="1440" w:left="1080" w:header="737" w:footer="992" w:gutter="170"/>
          <w:cols w:num="2" w:space="720"/>
          <w:docGrid w:type="lines" w:linePitch="291" w:charSpace="-3935"/>
        </w:sectPr>
      </w:pPr>
    </w:p>
    <w:p w14:paraId="20168E5E"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本合同签署前，双方已就合同中涉及到双方的权利、义务、责任条款进行了充分地沟通和协商，并已明确了解己方应承担的责任及风险。</w:t>
      </w:r>
    </w:p>
    <w:p w14:paraId="1C6062C6" w14:textId="77777777" w:rsidR="00B420F1" w:rsidRDefault="00917C7B">
      <w:pPr>
        <w:ind w:left="11" w:firstLine="420"/>
        <w:jc w:val="both"/>
        <w:rPr>
          <w:rFonts w:ascii="宋体" w:eastAsia="宋体" w:hAnsi="宋体" w:hint="eastAsia"/>
          <w:color w:val="000000" w:themeColor="text1"/>
        </w:rPr>
      </w:pPr>
      <w:r>
        <w:rPr>
          <w:rFonts w:ascii="宋体" w:eastAsia="宋体" w:hAnsi="宋体" w:hint="eastAsia"/>
          <w:color w:val="000000" w:themeColor="text1"/>
        </w:rPr>
        <w:t>依照《中华人民共和国民法典》的有关规定，甲乙双方本着诚实信用、平等合作、互惠互利的原则，经充分友好协商，就甲方委托乙方提供绿化养护服务事宜达成一致意见，签订本合同，以资共同遵守。</w:t>
      </w:r>
    </w:p>
    <w:p w14:paraId="38BA095E" w14:textId="77777777" w:rsidR="00B420F1" w:rsidRDefault="00B420F1">
      <w:pPr>
        <w:ind w:left="11" w:firstLine="420"/>
        <w:jc w:val="both"/>
        <w:rPr>
          <w:rFonts w:ascii="宋体" w:eastAsia="宋体" w:hAnsi="宋体" w:hint="eastAsia"/>
          <w:color w:val="000000" w:themeColor="text1"/>
        </w:rPr>
      </w:pPr>
    </w:p>
    <w:p w14:paraId="540620E8"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合同概况</w:t>
      </w:r>
      <w:bookmarkEnd w:id="0"/>
      <w:bookmarkEnd w:id="1"/>
      <w:bookmarkEnd w:id="2"/>
    </w:p>
    <w:p w14:paraId="0A29423F" w14:textId="77777777" w:rsidR="00B420F1" w:rsidRDefault="00917C7B">
      <w:pPr>
        <w:ind w:firstLine="422"/>
        <w:jc w:val="both"/>
        <w:rPr>
          <w:rFonts w:ascii="宋体" w:eastAsia="宋体" w:hAnsi="宋体" w:hint="eastAsia"/>
          <w:color w:val="000000" w:themeColor="text1"/>
          <w:u w:val="single"/>
        </w:rPr>
      </w:pPr>
      <w:proofErr w:type="gramStart"/>
      <w:r>
        <w:rPr>
          <w:rFonts w:ascii="宋体" w:eastAsia="宋体" w:hAnsi="宋体" w:hint="eastAsia"/>
          <w:b/>
          <w:bCs/>
          <w:color w:val="000000" w:themeColor="text1"/>
        </w:rPr>
        <w:t>1.1 项目</w:t>
      </w:r>
      <w:proofErr w:type="gramEnd"/>
      <w:r>
        <w:rPr>
          <w:rFonts w:ascii="宋体" w:eastAsia="宋体" w:hAnsi="宋体" w:hint="eastAsia"/>
          <w:b/>
          <w:bCs/>
          <w:color w:val="000000" w:themeColor="text1"/>
        </w:rPr>
        <w:t>名称：</w:t>
      </w:r>
      <w:r>
        <w:rPr>
          <w:rFonts w:ascii="宋体" w:eastAsia="宋体" w:hAnsi="宋体" w:hint="eastAsia"/>
          <w:color w:val="000000" w:themeColor="text1"/>
          <w:u w:val="single"/>
        </w:rPr>
        <w:t>广州越秀国际会议中心2026-2028年绿化养护服务；</w:t>
      </w:r>
    </w:p>
    <w:p w14:paraId="6BDF15D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1.2 项目地点：</w:t>
      </w:r>
      <w:r>
        <w:rPr>
          <w:rFonts w:ascii="宋体" w:eastAsia="宋体" w:hAnsi="宋体" w:hint="eastAsia"/>
          <w:color w:val="000000" w:themeColor="text1"/>
          <w:u w:val="single"/>
        </w:rPr>
        <w:t>广州市越秀区流花路1</w:t>
      </w:r>
      <w:r>
        <w:rPr>
          <w:rFonts w:ascii="宋体" w:eastAsia="宋体" w:hAnsi="宋体"/>
          <w:color w:val="000000" w:themeColor="text1"/>
          <w:u w:val="single"/>
        </w:rPr>
        <w:t>19</w:t>
      </w:r>
      <w:r>
        <w:rPr>
          <w:rFonts w:ascii="宋体" w:eastAsia="宋体" w:hAnsi="宋体" w:hint="eastAsia"/>
          <w:color w:val="000000" w:themeColor="text1"/>
          <w:u w:val="single"/>
        </w:rPr>
        <w:t>号101房；</w:t>
      </w:r>
    </w:p>
    <w:p w14:paraId="6854F633" w14:textId="77777777" w:rsidR="00B420F1" w:rsidRDefault="00917C7B">
      <w:pPr>
        <w:ind w:firstLine="422"/>
        <w:jc w:val="both"/>
        <w:rPr>
          <w:rFonts w:ascii="宋体" w:eastAsia="宋体" w:hAnsi="宋体" w:hint="eastAsia"/>
          <w:color w:val="000000" w:themeColor="text1"/>
        </w:rPr>
      </w:pPr>
      <w:proofErr w:type="gramStart"/>
      <w:r>
        <w:rPr>
          <w:rFonts w:ascii="宋体" w:eastAsia="宋体" w:hAnsi="宋体" w:hint="eastAsia"/>
          <w:b/>
          <w:bCs/>
          <w:color w:val="000000" w:themeColor="text1"/>
        </w:rPr>
        <w:t>1.3 服务</w:t>
      </w:r>
      <w:proofErr w:type="gramEnd"/>
      <w:r>
        <w:rPr>
          <w:rFonts w:ascii="宋体" w:eastAsia="宋体" w:hAnsi="宋体" w:hint="eastAsia"/>
          <w:b/>
          <w:bCs/>
          <w:color w:val="000000" w:themeColor="text1"/>
        </w:rPr>
        <w:t>范围：</w:t>
      </w:r>
      <w:r>
        <w:rPr>
          <w:rFonts w:ascii="宋体" w:eastAsia="宋体" w:hAnsi="宋体" w:hint="eastAsia"/>
          <w:color w:val="000000" w:themeColor="text1"/>
          <w:u w:val="single"/>
        </w:rPr>
        <w:t>广州越秀国际会议中心外围及7楼空中花园平台绿化养护工作；</w:t>
      </w:r>
    </w:p>
    <w:p w14:paraId="1E75E55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1.4 服务内容</w:t>
      </w:r>
    </w:p>
    <w:p w14:paraId="2BECC44D"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乙方按建设部颁布的《园林绿化养护标准》绿化维护、养护验收标准，以及甲方所提出的工作内容、工作细则及工作标准，对服务范围内的所有绿化苗木进行整体养护、死株更新等工作（包括但不限于除草、杀虫、施肥、修剪、培土、浇灌、枯枝死树的更换、绿化场地卫生、绿化垃圾清运等）。 </w:t>
      </w:r>
    </w:p>
    <w:p w14:paraId="35339B8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1.5</w:t>
      </w:r>
      <w:bookmarkStart w:id="3" w:name="_Toc72393402"/>
      <w:bookmarkStart w:id="4" w:name="_Toc96422946"/>
      <w:bookmarkStart w:id="5" w:name="_Toc69875521"/>
      <w:r>
        <w:rPr>
          <w:rFonts w:ascii="宋体" w:eastAsia="宋体" w:hAnsi="宋体" w:hint="eastAsia"/>
          <w:b/>
          <w:bCs/>
          <w:color w:val="000000" w:themeColor="text1"/>
        </w:rPr>
        <w:t>服务期限：</w:t>
      </w:r>
      <w:r>
        <w:rPr>
          <w:rFonts w:ascii="宋体" w:eastAsia="宋体" w:hAnsi="宋体" w:hint="eastAsia"/>
          <w:color w:val="000000" w:themeColor="text1"/>
        </w:rPr>
        <w:t>自</w:t>
      </w:r>
      <w:r>
        <w:rPr>
          <w:rFonts w:ascii="宋体" w:eastAsia="宋体" w:hAnsi="宋体"/>
          <w:color w:val="000000" w:themeColor="text1"/>
          <w:u w:val="single"/>
        </w:rPr>
        <w:t>202</w:t>
      </w:r>
      <w:r>
        <w:rPr>
          <w:rFonts w:ascii="宋体" w:eastAsia="宋体" w:hAnsi="宋体" w:hint="eastAsia"/>
          <w:color w:val="000000" w:themeColor="text1"/>
          <w:u w:val="single"/>
        </w:rPr>
        <w:t>6</w:t>
      </w:r>
      <w:r>
        <w:rPr>
          <w:rFonts w:ascii="宋体" w:eastAsia="宋体" w:hAnsi="宋体" w:hint="eastAsia"/>
          <w:color w:val="000000" w:themeColor="text1"/>
        </w:rPr>
        <w:t>年</w:t>
      </w:r>
      <w:r>
        <w:rPr>
          <w:rFonts w:ascii="宋体" w:eastAsia="宋体" w:hAnsi="宋体"/>
          <w:color w:val="000000" w:themeColor="text1"/>
          <w:u w:val="single"/>
        </w:rPr>
        <w:t>0</w:t>
      </w:r>
      <w:r>
        <w:rPr>
          <w:rFonts w:ascii="宋体" w:eastAsia="宋体" w:hAnsi="宋体" w:hint="eastAsia"/>
          <w:color w:val="000000" w:themeColor="text1"/>
          <w:u w:val="single"/>
        </w:rPr>
        <w:t>8</w:t>
      </w:r>
      <w:r>
        <w:rPr>
          <w:rFonts w:ascii="宋体" w:eastAsia="宋体" w:hAnsi="宋体" w:hint="eastAsia"/>
          <w:color w:val="000000" w:themeColor="text1"/>
        </w:rPr>
        <w:t>月</w:t>
      </w:r>
      <w:r>
        <w:rPr>
          <w:rFonts w:ascii="宋体" w:eastAsia="宋体" w:hAnsi="宋体"/>
          <w:color w:val="000000" w:themeColor="text1"/>
          <w:u w:val="single"/>
        </w:rPr>
        <w:t>1</w:t>
      </w:r>
      <w:r>
        <w:rPr>
          <w:rFonts w:ascii="宋体" w:eastAsia="宋体" w:hAnsi="宋体" w:hint="eastAsia"/>
          <w:color w:val="000000" w:themeColor="text1"/>
          <w:u w:val="single"/>
        </w:rPr>
        <w:t>7</w:t>
      </w:r>
      <w:r>
        <w:rPr>
          <w:rFonts w:ascii="宋体" w:eastAsia="宋体" w:hAnsi="宋体" w:hint="eastAsia"/>
          <w:color w:val="000000" w:themeColor="text1"/>
        </w:rPr>
        <w:t>日起至</w:t>
      </w:r>
      <w:r>
        <w:rPr>
          <w:rFonts w:ascii="宋体" w:eastAsia="宋体" w:hAnsi="宋体"/>
          <w:color w:val="000000" w:themeColor="text1"/>
          <w:u w:val="single"/>
        </w:rPr>
        <w:t>202</w:t>
      </w:r>
      <w:r>
        <w:rPr>
          <w:rFonts w:ascii="宋体" w:eastAsia="宋体" w:hAnsi="宋体" w:hint="eastAsia"/>
          <w:color w:val="000000" w:themeColor="text1"/>
          <w:u w:val="single"/>
        </w:rPr>
        <w:t>8</w:t>
      </w:r>
      <w:r>
        <w:rPr>
          <w:rFonts w:ascii="宋体" w:eastAsia="宋体" w:hAnsi="宋体" w:hint="eastAsia"/>
          <w:color w:val="000000" w:themeColor="text1"/>
        </w:rPr>
        <w:t>年</w:t>
      </w:r>
      <w:r>
        <w:rPr>
          <w:rFonts w:ascii="宋体" w:eastAsia="宋体" w:hAnsi="宋体"/>
          <w:color w:val="000000" w:themeColor="text1"/>
          <w:u w:val="single"/>
        </w:rPr>
        <w:t>0</w:t>
      </w:r>
      <w:r>
        <w:rPr>
          <w:rFonts w:ascii="宋体" w:eastAsia="宋体" w:hAnsi="宋体" w:hint="eastAsia"/>
          <w:color w:val="000000" w:themeColor="text1"/>
          <w:u w:val="single"/>
        </w:rPr>
        <w:t>8</w:t>
      </w:r>
      <w:r>
        <w:rPr>
          <w:rFonts w:ascii="宋体" w:eastAsia="宋体" w:hAnsi="宋体" w:hint="eastAsia"/>
          <w:color w:val="000000" w:themeColor="text1"/>
        </w:rPr>
        <w:t>月</w:t>
      </w:r>
      <w:r>
        <w:rPr>
          <w:rFonts w:ascii="宋体" w:eastAsia="宋体" w:hAnsi="宋体"/>
          <w:color w:val="000000" w:themeColor="text1"/>
          <w:u w:val="single"/>
        </w:rPr>
        <w:t>1</w:t>
      </w:r>
      <w:r>
        <w:rPr>
          <w:rFonts w:ascii="宋体" w:eastAsia="宋体" w:hAnsi="宋体" w:hint="eastAsia"/>
          <w:color w:val="000000" w:themeColor="text1"/>
          <w:u w:val="single"/>
        </w:rPr>
        <w:t>6</w:t>
      </w:r>
      <w:r>
        <w:rPr>
          <w:rFonts w:ascii="宋体" w:eastAsia="宋体" w:hAnsi="宋体" w:hint="eastAsia"/>
          <w:color w:val="000000" w:themeColor="text1"/>
        </w:rPr>
        <w:t>日止。</w:t>
      </w:r>
    </w:p>
    <w:p w14:paraId="17E391C5" w14:textId="77777777" w:rsidR="00B420F1" w:rsidRDefault="00B420F1">
      <w:pPr>
        <w:ind w:firstLineChars="0" w:firstLine="0"/>
        <w:jc w:val="both"/>
        <w:rPr>
          <w:rFonts w:ascii="宋体" w:eastAsia="宋体" w:hAnsi="宋体" w:hint="eastAsia"/>
          <w:color w:val="000000" w:themeColor="text1"/>
        </w:rPr>
      </w:pPr>
    </w:p>
    <w:p w14:paraId="105BFDB9"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承包方式及费用结算 </w:t>
      </w:r>
    </w:p>
    <w:p w14:paraId="34215CCD" w14:textId="77777777" w:rsidR="00B420F1" w:rsidRDefault="00917C7B">
      <w:pPr>
        <w:ind w:firstLine="422"/>
        <w:jc w:val="both"/>
        <w:rPr>
          <w:rFonts w:ascii="宋体" w:eastAsia="宋体" w:hAnsi="宋体" w:hint="eastAsia"/>
          <w:b/>
          <w:color w:val="000000" w:themeColor="text1"/>
        </w:rPr>
      </w:pPr>
      <w:r>
        <w:rPr>
          <w:rFonts w:ascii="宋体" w:eastAsia="宋体" w:hAnsi="宋体" w:hint="eastAsia"/>
          <w:b/>
          <w:color w:val="000000" w:themeColor="text1"/>
        </w:rPr>
        <w:t>2.1承包方式</w:t>
      </w:r>
    </w:p>
    <w:p w14:paraId="7EF1FFF5" w14:textId="5876E1CF"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采用每月固定综合价格【含税】包干。每月固定单价包人工，包养护所需的肥料、物料、药品、工具以及机械设备等，包质量，包安全，包人员保险，包文明施工，包验收，包税金等乙方为履行本合同项下服务所产生的一切费用。</w:t>
      </w:r>
    </w:p>
    <w:p w14:paraId="24F551E4"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.2</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费用结算</w:t>
      </w:r>
    </w:p>
    <w:p w14:paraId="72536347"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b/>
          <w:bCs/>
          <w:color w:val="000000" w:themeColor="text1"/>
        </w:rPr>
        <w:t xml:space="preserve">2.2.1 </w:t>
      </w:r>
      <w:r>
        <w:rPr>
          <w:rFonts w:ascii="宋体" w:eastAsia="宋体" w:hAnsi="宋体" w:hint="eastAsia"/>
          <w:b/>
          <w:bCs/>
          <w:color w:val="000000" w:themeColor="text1"/>
        </w:rPr>
        <w:t>服务费用</w:t>
      </w:r>
    </w:p>
    <w:p w14:paraId="041497A1"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本合同内乙方应提供的服务费用含税金额为人民币【</w:t>
      </w:r>
      <w:r>
        <w:rPr>
          <w:rFonts w:ascii="宋体" w:eastAsia="宋体" w:hAnsi="宋体" w:hint="eastAsia"/>
          <w:color w:val="000000" w:themeColor="text1"/>
        </w:rPr>
        <w:t xml:space="preserve"> </w:t>
      </w:r>
      <w:r>
        <w:rPr>
          <w:rFonts w:ascii="宋体" w:eastAsia="宋体" w:hAnsi="宋体"/>
          <w:color w:val="000000" w:themeColor="text1"/>
        </w:rPr>
        <w:t>】（￥</w:t>
      </w:r>
      <w:r>
        <w:rPr>
          <w:rFonts w:ascii="宋体" w:eastAsia="宋体" w:hAnsi="宋体" w:hint="eastAsia"/>
          <w:color w:val="000000" w:themeColor="text1"/>
        </w:rPr>
        <w:t xml:space="preserve"> 元</w:t>
      </w:r>
      <w:r>
        <w:rPr>
          <w:rFonts w:ascii="宋体" w:eastAsia="宋体" w:hAnsi="宋体"/>
          <w:color w:val="000000" w:themeColor="text1"/>
        </w:rPr>
        <w:t>），不含税金额为人民币【</w:t>
      </w:r>
      <w:r>
        <w:rPr>
          <w:rFonts w:ascii="宋体" w:eastAsia="宋体" w:hAnsi="宋体" w:hint="eastAsia"/>
          <w:color w:val="000000" w:themeColor="text1"/>
        </w:rPr>
        <w:t xml:space="preserve"> </w:t>
      </w:r>
      <w:r>
        <w:rPr>
          <w:rFonts w:ascii="宋体" w:eastAsia="宋体" w:hAnsi="宋体"/>
          <w:color w:val="000000" w:themeColor="text1"/>
        </w:rPr>
        <w:t>】（￥</w:t>
      </w:r>
      <w:r>
        <w:rPr>
          <w:rFonts w:ascii="宋体" w:eastAsia="宋体" w:hAnsi="宋体" w:hint="eastAsia"/>
          <w:color w:val="000000" w:themeColor="text1"/>
        </w:rPr>
        <w:t xml:space="preserve"> 元</w:t>
      </w:r>
      <w:r>
        <w:rPr>
          <w:rFonts w:ascii="宋体" w:eastAsia="宋体" w:hAnsi="宋体"/>
          <w:color w:val="000000" w:themeColor="text1"/>
        </w:rPr>
        <w:t>），按照增值税税率【</w:t>
      </w:r>
      <w:r>
        <w:rPr>
          <w:rFonts w:ascii="宋体" w:eastAsia="宋体" w:hAnsi="宋体" w:hint="eastAsia"/>
          <w:color w:val="000000" w:themeColor="text1"/>
        </w:rPr>
        <w:t xml:space="preserve"> </w:t>
      </w:r>
      <w:r>
        <w:rPr>
          <w:rFonts w:ascii="宋体" w:eastAsia="宋体" w:hAnsi="宋体"/>
          <w:color w:val="000000" w:themeColor="text1"/>
        </w:rPr>
        <w:t>】%计算，增值税税金为人民币【</w:t>
      </w:r>
      <w:r>
        <w:rPr>
          <w:rFonts w:ascii="宋体" w:eastAsia="宋体" w:hAnsi="宋体" w:hint="eastAsia"/>
          <w:color w:val="000000" w:themeColor="text1"/>
        </w:rPr>
        <w:t xml:space="preserve"> </w:t>
      </w:r>
      <w:r>
        <w:rPr>
          <w:rFonts w:ascii="宋体" w:eastAsia="宋体" w:hAnsi="宋体"/>
          <w:color w:val="000000" w:themeColor="text1"/>
        </w:rPr>
        <w:t>】元。固定服务费（含税）为¥</w:t>
      </w:r>
      <w:r>
        <w:rPr>
          <w:rFonts w:ascii="宋体" w:eastAsia="宋体" w:hAnsi="宋体" w:hint="eastAsia"/>
          <w:color w:val="000000" w:themeColor="text1"/>
        </w:rPr>
        <w:t xml:space="preserve"> </w:t>
      </w:r>
      <w:r>
        <w:rPr>
          <w:rFonts w:ascii="宋体" w:eastAsia="宋体" w:hAnsi="宋体"/>
          <w:color w:val="000000" w:themeColor="text1"/>
        </w:rPr>
        <w:t>元/月，其中不含税服务费为¥</w:t>
      </w:r>
      <w:r>
        <w:rPr>
          <w:rFonts w:ascii="宋体" w:eastAsia="宋体" w:hAnsi="宋体" w:hint="eastAsia"/>
          <w:color w:val="000000" w:themeColor="text1"/>
        </w:rPr>
        <w:t xml:space="preserve"> </w:t>
      </w:r>
      <w:r>
        <w:rPr>
          <w:rFonts w:ascii="宋体" w:eastAsia="宋体" w:hAnsi="宋体"/>
          <w:color w:val="000000" w:themeColor="text1"/>
        </w:rPr>
        <w:t>元/月。</w:t>
      </w:r>
      <w:r>
        <w:rPr>
          <w:rFonts w:ascii="宋体" w:eastAsia="宋体" w:hAnsi="宋体" w:hint="eastAsia"/>
          <w:color w:val="000000" w:themeColor="text1"/>
        </w:rPr>
        <w:t>每</w:t>
      </w:r>
      <w:r>
        <w:rPr>
          <w:rFonts w:ascii="宋体" w:eastAsia="宋体" w:hAnsi="宋体"/>
          <w:color w:val="000000" w:themeColor="text1"/>
        </w:rPr>
        <w:t>年暂定更换时花的面积为550平方米，更换时花费用（含税）为¥</w:t>
      </w:r>
      <w:r>
        <w:rPr>
          <w:rFonts w:ascii="宋体" w:eastAsia="宋体" w:hAnsi="宋体" w:hint="eastAsia"/>
          <w:color w:val="000000" w:themeColor="text1"/>
        </w:rPr>
        <w:t xml:space="preserve"> </w:t>
      </w:r>
      <w:r>
        <w:rPr>
          <w:rFonts w:ascii="宋体" w:eastAsia="宋体" w:hAnsi="宋体"/>
          <w:color w:val="000000" w:themeColor="text1"/>
        </w:rPr>
        <w:t>元/平方米，其中不含税费用为¥</w:t>
      </w:r>
      <w:r>
        <w:rPr>
          <w:rFonts w:ascii="宋体" w:eastAsia="宋体" w:hAnsi="宋体" w:hint="eastAsia"/>
          <w:color w:val="000000" w:themeColor="text1"/>
        </w:rPr>
        <w:t xml:space="preserve"> </w:t>
      </w:r>
      <w:r>
        <w:rPr>
          <w:rFonts w:ascii="宋体" w:eastAsia="宋体" w:hAnsi="宋体"/>
          <w:color w:val="000000" w:themeColor="text1"/>
        </w:rPr>
        <w:t>元/平方米，根据甲方要求的位置及数量据实更换，据实核算费用，时花清单详见附件2。</w:t>
      </w:r>
      <w:r>
        <w:rPr>
          <w:rFonts w:ascii="宋体" w:eastAsia="宋体" w:hAnsi="宋体" w:hint="eastAsia"/>
          <w:color w:val="000000" w:themeColor="text1"/>
        </w:rPr>
        <w:lastRenderedPageBreak/>
        <w:t>每</w:t>
      </w:r>
      <w:r>
        <w:rPr>
          <w:rFonts w:ascii="宋体" w:eastAsia="宋体" w:hAnsi="宋体"/>
          <w:color w:val="000000" w:themeColor="text1"/>
        </w:rPr>
        <w:t>年暂定更换</w:t>
      </w:r>
      <w:r>
        <w:rPr>
          <w:rFonts w:ascii="宋体" w:eastAsia="宋体" w:hAnsi="宋体" w:hint="eastAsia"/>
          <w:color w:val="000000" w:themeColor="text1"/>
        </w:rPr>
        <w:t>草坪</w:t>
      </w:r>
      <w:r>
        <w:rPr>
          <w:rFonts w:ascii="宋体" w:eastAsia="宋体" w:hAnsi="宋体"/>
          <w:color w:val="000000" w:themeColor="text1"/>
        </w:rPr>
        <w:t>的面积为</w:t>
      </w:r>
      <w:r>
        <w:rPr>
          <w:rFonts w:ascii="宋体" w:eastAsia="宋体" w:hAnsi="宋体" w:hint="eastAsia"/>
          <w:color w:val="000000" w:themeColor="text1"/>
        </w:rPr>
        <w:t>200</w:t>
      </w:r>
      <w:r>
        <w:rPr>
          <w:rFonts w:ascii="宋体" w:eastAsia="宋体" w:hAnsi="宋体"/>
          <w:color w:val="000000" w:themeColor="text1"/>
        </w:rPr>
        <w:t>平方米，更换</w:t>
      </w:r>
      <w:r>
        <w:rPr>
          <w:rFonts w:ascii="宋体" w:eastAsia="宋体" w:hAnsi="宋体" w:hint="eastAsia"/>
          <w:color w:val="000000" w:themeColor="text1"/>
        </w:rPr>
        <w:t>草坪</w:t>
      </w:r>
      <w:r>
        <w:rPr>
          <w:rFonts w:ascii="宋体" w:eastAsia="宋体" w:hAnsi="宋体"/>
          <w:color w:val="000000" w:themeColor="text1"/>
        </w:rPr>
        <w:t>费用（含税）为¥</w:t>
      </w:r>
      <w:r>
        <w:rPr>
          <w:rFonts w:ascii="宋体" w:eastAsia="宋体" w:hAnsi="宋体" w:hint="eastAsia"/>
          <w:color w:val="000000" w:themeColor="text1"/>
        </w:rPr>
        <w:t xml:space="preserve"> </w:t>
      </w:r>
      <w:r>
        <w:rPr>
          <w:rFonts w:ascii="宋体" w:eastAsia="宋体" w:hAnsi="宋体"/>
          <w:color w:val="000000" w:themeColor="text1"/>
        </w:rPr>
        <w:t>元/平方米，其中不含税费用为¥</w:t>
      </w:r>
      <w:r>
        <w:rPr>
          <w:rFonts w:ascii="宋体" w:eastAsia="宋体" w:hAnsi="宋体" w:hint="eastAsia"/>
          <w:color w:val="000000" w:themeColor="text1"/>
        </w:rPr>
        <w:t xml:space="preserve"> </w:t>
      </w:r>
      <w:r>
        <w:rPr>
          <w:rFonts w:ascii="宋体" w:eastAsia="宋体" w:hAnsi="宋体"/>
          <w:color w:val="000000" w:themeColor="text1"/>
        </w:rPr>
        <w:t>元/平方米，根据甲方要求的位置及数量据</w:t>
      </w:r>
      <w:r>
        <w:rPr>
          <w:rFonts w:ascii="宋体" w:eastAsia="宋体" w:hAnsi="宋体" w:hint="eastAsia"/>
          <w:color w:val="000000" w:themeColor="text1"/>
        </w:rPr>
        <w:t>实更换，据实核算费用。如果在本合同期间，相关税法对税项和税率进行调整，则前述税金根据届时生效的税项和税率进行调整。在税项和税率调整的情况下，服务费用的不含税金额应保持不变。由于乙方原因导致甲方无法实现增值税专用发票的正常抵扣，乙方应向甲方另外支付双倍的应抵未抵增值税额。合同履行期间国家税项和</w:t>
      </w:r>
      <w:r>
        <w:rPr>
          <w:rFonts w:ascii="宋体" w:eastAsia="宋体" w:hAnsi="宋体"/>
          <w:color w:val="000000" w:themeColor="text1"/>
        </w:rPr>
        <w:t>/或税率调整的，则按照届时适用的税项和税率调整服务费金额。</w:t>
      </w:r>
    </w:p>
    <w:p w14:paraId="2509A048" w14:textId="77777777" w:rsidR="00B420F1" w:rsidRDefault="00917C7B">
      <w:pPr>
        <w:ind w:firstLine="422"/>
        <w:jc w:val="both"/>
        <w:rPr>
          <w:rFonts w:ascii="宋体" w:eastAsia="宋体" w:hAnsi="宋体" w:hint="eastAsia"/>
          <w:b/>
          <w:bCs/>
          <w:color w:val="000000" w:themeColor="text1"/>
        </w:rPr>
      </w:pPr>
      <w:r>
        <w:rPr>
          <w:rFonts w:ascii="宋体" w:eastAsia="宋体" w:hAnsi="宋体"/>
          <w:b/>
          <w:bCs/>
          <w:color w:val="000000" w:themeColor="text1"/>
        </w:rPr>
        <w:t xml:space="preserve">2.2.2 </w:t>
      </w:r>
      <w:r>
        <w:rPr>
          <w:rFonts w:ascii="宋体" w:eastAsia="宋体" w:hAnsi="宋体" w:hint="eastAsia"/>
          <w:b/>
          <w:bCs/>
          <w:color w:val="000000" w:themeColor="text1"/>
        </w:rPr>
        <w:t>费用说明</w:t>
      </w:r>
    </w:p>
    <w:p w14:paraId="7D56A4BF"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2.2.2.1</w:t>
      </w:r>
      <w:r>
        <w:rPr>
          <w:rFonts w:ascii="宋体" w:eastAsia="宋体" w:hAnsi="宋体" w:hint="eastAsia"/>
          <w:color w:val="000000" w:themeColor="text1"/>
        </w:rPr>
        <w:t>含税服务费包括乙方按照本合同约定的绿化养护范围、内容和要求提供服务所发生的劳务费、材料费、服务成本、利润、税金、服务人员工资、保险等与本合同服务涉及的化学肥料、药剂、工具和机械费用等全部费用；</w:t>
      </w:r>
    </w:p>
    <w:p w14:paraId="7FFB353C"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2.2.2.2</w:t>
      </w:r>
      <w:r>
        <w:rPr>
          <w:rFonts w:ascii="宋体" w:eastAsia="宋体" w:hAnsi="宋体" w:hint="eastAsia"/>
          <w:color w:val="000000" w:themeColor="text1"/>
        </w:rPr>
        <w:t>实际服务时间不满1个月的，按实际服务天数折算后支付服务费；</w:t>
      </w:r>
    </w:p>
    <w:p w14:paraId="633636C1" w14:textId="77777777" w:rsidR="00B420F1" w:rsidRDefault="00917C7B">
      <w:pPr>
        <w:ind w:firstLine="420"/>
        <w:jc w:val="both"/>
        <w:rPr>
          <w:rFonts w:ascii="宋体" w:eastAsia="宋体" w:hAnsi="宋体" w:hint="eastAsia"/>
          <w:color w:val="000000" w:themeColor="text1"/>
        </w:rPr>
      </w:pPr>
      <w:r>
        <w:rPr>
          <w:rFonts w:ascii="宋体" w:eastAsia="宋体" w:hAnsi="宋体"/>
          <w:color w:val="000000" w:themeColor="text1"/>
        </w:rPr>
        <w:t>2.2.2.3</w:t>
      </w:r>
      <w:r>
        <w:rPr>
          <w:rFonts w:ascii="宋体" w:eastAsia="宋体" w:hAnsi="宋体" w:hint="eastAsia"/>
          <w:color w:val="000000" w:themeColor="text1"/>
        </w:rPr>
        <w:t>乙方凭与本服务项目相关的合法有效发票收款，并须在合同内指定收款账户，甲方通过银行划账方式支付款项，乙方指定收款账户信息如下：</w:t>
      </w:r>
    </w:p>
    <w:p w14:paraId="31DF82F9"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开户银行：</w:t>
      </w:r>
      <w:r>
        <w:rPr>
          <w:rFonts w:ascii="宋体" w:eastAsia="宋体" w:hAnsi="宋体"/>
          <w:color w:val="000000" w:themeColor="text1"/>
        </w:rPr>
        <w:t xml:space="preserve"> </w:t>
      </w:r>
    </w:p>
    <w:p w14:paraId="66B063C5"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 xml:space="preserve">开户名称： </w:t>
      </w:r>
    </w:p>
    <w:p w14:paraId="17F06A30" w14:textId="77777777" w:rsidR="00B420F1" w:rsidRDefault="00917C7B">
      <w:pPr>
        <w:ind w:firstLine="420"/>
        <w:rPr>
          <w:rFonts w:ascii="宋体" w:eastAsia="宋体" w:hAnsi="宋体" w:hint="eastAsia"/>
          <w:color w:val="000000" w:themeColor="text1"/>
        </w:rPr>
      </w:pPr>
      <w:r>
        <w:rPr>
          <w:rFonts w:ascii="宋体" w:eastAsia="宋体" w:hAnsi="宋体" w:hint="eastAsia"/>
          <w:color w:val="000000" w:themeColor="text1"/>
        </w:rPr>
        <w:t>开户账号：</w:t>
      </w:r>
    </w:p>
    <w:p w14:paraId="7D26834F" w14:textId="77777777" w:rsidR="00B420F1" w:rsidRDefault="00917C7B">
      <w:pPr>
        <w:ind w:firstLine="404"/>
        <w:rPr>
          <w:rFonts w:ascii="宋体" w:eastAsia="宋体" w:hAnsi="宋体" w:cstheme="minorEastAsia" w:hint="eastAsia"/>
          <w:color w:val="000000" w:themeColor="text1"/>
          <w:spacing w:val="-4"/>
        </w:rPr>
      </w:pPr>
      <w:r>
        <w:rPr>
          <w:rFonts w:ascii="宋体" w:eastAsia="宋体" w:hAnsi="宋体" w:cstheme="minorEastAsia" w:hint="eastAsia"/>
          <w:color w:val="000000" w:themeColor="text1"/>
          <w:spacing w:val="-4"/>
        </w:rPr>
        <w:t>乙方上述收款信息如有变更，应至少提前7个工作日书面通知甲方，否则甲方有权按照上述信息付款，乙方自行承担因未及时通知造成的一切不利后果。</w:t>
      </w:r>
    </w:p>
    <w:p w14:paraId="49885FAA" w14:textId="77777777" w:rsidR="00B420F1" w:rsidRDefault="00917C7B">
      <w:pPr>
        <w:tabs>
          <w:tab w:val="left" w:pos="289"/>
          <w:tab w:val="left" w:pos="327"/>
          <w:tab w:val="left" w:pos="840"/>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.3</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试用期</w:t>
      </w:r>
    </w:p>
    <w:p w14:paraId="0FCAE13D" w14:textId="77777777" w:rsidR="00B420F1" w:rsidRDefault="00917C7B">
      <w:pPr>
        <w:tabs>
          <w:tab w:val="left" w:pos="289"/>
          <w:tab w:val="left" w:pos="327"/>
          <w:tab w:val="left" w:pos="840"/>
        </w:tabs>
        <w:ind w:firstLine="420"/>
        <w:jc w:val="both"/>
        <w:rPr>
          <w:rFonts w:ascii="宋体" w:eastAsia="宋体" w:hAnsi="宋体" w:hint="eastAsia"/>
          <w:color w:val="000000" w:themeColor="text1"/>
        </w:rPr>
      </w:pPr>
      <w:r>
        <w:rPr>
          <w:rFonts w:ascii="宋体" w:eastAsia="宋体" w:hAnsi="宋体" w:hint="eastAsia"/>
          <w:color w:val="000000" w:themeColor="text1"/>
        </w:rPr>
        <w:t>自本合同生效之日起</w:t>
      </w:r>
      <w:r>
        <w:rPr>
          <w:rFonts w:ascii="宋体" w:eastAsia="宋体" w:hAnsi="宋体"/>
          <w:bCs/>
          <w:color w:val="000000" w:themeColor="text1"/>
        </w:rPr>
        <w:t>3</w:t>
      </w:r>
      <w:r>
        <w:rPr>
          <w:rFonts w:ascii="宋体" w:eastAsia="宋体" w:hAnsi="宋体" w:hint="eastAsia"/>
          <w:color w:val="000000" w:themeColor="text1"/>
        </w:rPr>
        <w:t>个月为试用期，期间服务费支付标准不变。试用期满后，如乙方的服务符合合同约定，达到合同规定的服务目标，经甲方审核同意后可继续提供服务，否则，甲方有权立即解除合同，而不承担任何经济赔偿，乙方对此表示认可。</w:t>
      </w:r>
    </w:p>
    <w:p w14:paraId="752FAAE3" w14:textId="77777777" w:rsidR="00B420F1" w:rsidRDefault="00917C7B">
      <w:pPr>
        <w:tabs>
          <w:tab w:val="left" w:pos="289"/>
          <w:tab w:val="left" w:pos="327"/>
          <w:tab w:val="left" w:pos="945"/>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.4</w:t>
      </w:r>
      <w:r>
        <w:rPr>
          <w:rFonts w:ascii="宋体" w:eastAsia="宋体" w:hAnsi="宋体" w:hint="eastAsia"/>
          <w:b/>
          <w:bCs/>
          <w:color w:val="000000" w:themeColor="text1"/>
        </w:rPr>
        <w:t xml:space="preserve"> </w:t>
      </w:r>
      <w:r>
        <w:rPr>
          <w:rFonts w:ascii="宋体" w:eastAsia="宋体" w:hAnsi="宋体"/>
          <w:b/>
          <w:bCs/>
          <w:color w:val="000000" w:themeColor="text1"/>
        </w:rPr>
        <w:t xml:space="preserve"> </w:t>
      </w:r>
      <w:r>
        <w:rPr>
          <w:rFonts w:ascii="宋体" w:eastAsia="宋体" w:hAnsi="宋体" w:hint="eastAsia"/>
          <w:b/>
          <w:bCs/>
          <w:color w:val="000000" w:themeColor="text1"/>
        </w:rPr>
        <w:t>结算方式</w:t>
      </w:r>
    </w:p>
    <w:p w14:paraId="40BBBC7A"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合同费用按月结算，每月5日前乙方应先与甲方物业部相互核对上一个月的绿化养护评分表等资料，以及对上一个月可能发生的应扣罚金额进行核对，所有以上资料需要甲方物业部、乙方签字确认后，交给甲方复核，无误后乙方开具增值税专用发票。否则，甲方有权拒付服务费，由此而产生的一切后果和责任全部由乙方承担。</w:t>
      </w:r>
    </w:p>
    <w:p w14:paraId="7D3A7174" w14:textId="77777777" w:rsidR="00B420F1" w:rsidRDefault="00917C7B">
      <w:pPr>
        <w:widowControl w:val="0"/>
        <w:ind w:firstLine="422"/>
        <w:jc w:val="both"/>
        <w:rPr>
          <w:rFonts w:ascii="宋体" w:eastAsia="宋体" w:hAnsi="宋体" w:hint="eastAsia"/>
          <w:color w:val="000000" w:themeColor="text1"/>
        </w:rPr>
      </w:pPr>
      <w:bookmarkStart w:id="6" w:name="_Toc96422948"/>
      <w:bookmarkEnd w:id="3"/>
      <w:bookmarkEnd w:id="4"/>
      <w:bookmarkEnd w:id="5"/>
      <w:proofErr w:type="gramStart"/>
      <w:r>
        <w:rPr>
          <w:rFonts w:ascii="宋体" w:eastAsia="宋体" w:hAnsi="宋体" w:hint="eastAsia"/>
          <w:b/>
          <w:bCs/>
          <w:color w:val="000000" w:themeColor="text1"/>
        </w:rPr>
        <w:t>2.</w:t>
      </w:r>
      <w:r>
        <w:rPr>
          <w:rFonts w:ascii="宋体" w:eastAsia="宋体" w:hAnsi="宋体"/>
          <w:b/>
          <w:bCs/>
          <w:color w:val="000000" w:themeColor="text1"/>
        </w:rPr>
        <w:t>5</w:t>
      </w:r>
      <w:r>
        <w:rPr>
          <w:rFonts w:ascii="宋体" w:eastAsia="宋体" w:hAnsi="宋体" w:hint="eastAsia"/>
          <w:color w:val="000000" w:themeColor="text1"/>
        </w:rPr>
        <w:t xml:space="preserve"> 乙方</w:t>
      </w:r>
      <w:proofErr w:type="gramEnd"/>
      <w:r>
        <w:rPr>
          <w:rFonts w:ascii="宋体" w:eastAsia="宋体" w:hAnsi="宋体" w:hint="eastAsia"/>
          <w:color w:val="000000" w:themeColor="text1"/>
        </w:rPr>
        <w:t>应当对其开具的发票合规性负责，如果因乙方开具的发票不合规而导致甲方无法税前扣除或遭受其他损失的，乙方应承担赔偿责任，且甲方有权要求乙方重新开具有效增值税专用发票。若乙方开具的发票不符规定，甲方有权延迟支付款项，直至收到符合规定的发票为止，因此而延期支付合同款的，不视为甲方违约。</w:t>
      </w:r>
    </w:p>
    <w:p w14:paraId="461F66E0"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2.</w:t>
      </w:r>
      <w:r>
        <w:rPr>
          <w:rFonts w:ascii="宋体" w:eastAsia="宋体" w:hAnsi="宋体"/>
          <w:b/>
          <w:bCs/>
          <w:color w:val="000000" w:themeColor="text1"/>
        </w:rPr>
        <w:t>6</w:t>
      </w:r>
      <w:r>
        <w:rPr>
          <w:rFonts w:ascii="宋体" w:eastAsia="宋体" w:hAnsi="宋体" w:hint="eastAsia"/>
          <w:color w:val="000000" w:themeColor="text1"/>
        </w:rPr>
        <w:t xml:space="preserve"> 所有款项都必须由乙方提出申请并报送进度报表，经甲方审核后支付。如因乙方未能及时提供（或未能按甲方指示提供）合法有效的发票、验收资料、付款申请资料等相关材料导致款项无法按本合同支付的责任由乙方承担，且乙方仍须按本合同的约定履行义务。</w:t>
      </w:r>
    </w:p>
    <w:p w14:paraId="3DBA8368" w14:textId="77777777" w:rsidR="00B420F1" w:rsidRDefault="00917C7B">
      <w:pPr>
        <w:widowControl w:val="0"/>
        <w:ind w:firstLine="422"/>
        <w:jc w:val="both"/>
        <w:rPr>
          <w:rFonts w:ascii="宋体" w:eastAsia="宋体" w:hAnsi="宋体" w:hint="eastAsia"/>
          <w:b/>
          <w:bCs/>
          <w:color w:val="000000" w:themeColor="text1"/>
        </w:rPr>
      </w:pPr>
      <w:r>
        <w:rPr>
          <w:rFonts w:ascii="宋体" w:eastAsia="宋体" w:hAnsi="宋体" w:hint="eastAsia"/>
          <w:b/>
          <w:bCs/>
          <w:color w:val="000000" w:themeColor="text1"/>
        </w:rPr>
        <w:t>2.</w:t>
      </w:r>
      <w:r>
        <w:rPr>
          <w:rFonts w:ascii="宋体" w:eastAsia="宋体" w:hAnsi="宋体"/>
          <w:b/>
          <w:bCs/>
          <w:color w:val="000000" w:themeColor="text1"/>
        </w:rPr>
        <w:t>7</w:t>
      </w:r>
      <w:r>
        <w:rPr>
          <w:rFonts w:ascii="宋体" w:eastAsia="宋体" w:hAnsi="宋体" w:hint="eastAsia"/>
          <w:b/>
          <w:bCs/>
          <w:color w:val="000000" w:themeColor="text1"/>
        </w:rPr>
        <w:t xml:space="preserve"> 验收与结算</w:t>
      </w:r>
    </w:p>
    <w:p w14:paraId="374FF311" w14:textId="77777777" w:rsidR="00B420F1" w:rsidRDefault="00917C7B">
      <w:pPr>
        <w:widowControl w:val="0"/>
        <w:ind w:firstLine="420"/>
        <w:jc w:val="both"/>
        <w:rPr>
          <w:rFonts w:ascii="宋体" w:eastAsia="宋体" w:hAnsi="宋体" w:hint="eastAsia"/>
          <w:color w:val="000000" w:themeColor="text1"/>
        </w:rPr>
      </w:pPr>
      <w:r>
        <w:rPr>
          <w:rFonts w:ascii="宋体" w:eastAsia="宋体" w:hAnsi="宋体" w:hint="eastAsia"/>
          <w:color w:val="000000" w:themeColor="text1"/>
        </w:rPr>
        <w:t>双方办理结算手续前，必须由甲方组织的验收小组验收，并填写验收清单方能办理合同结算手续。验收时，对合同执行中未达到合同要求的，乙方应及时整改，乙方拒绝整改或者无法整改的，甲方有权扣除或减少相应款项。</w:t>
      </w:r>
    </w:p>
    <w:p w14:paraId="112C9531" w14:textId="77777777" w:rsidR="00B420F1" w:rsidRDefault="00B420F1">
      <w:pPr>
        <w:widowControl w:val="0"/>
        <w:ind w:firstLine="420"/>
        <w:jc w:val="both"/>
        <w:rPr>
          <w:rFonts w:ascii="宋体" w:eastAsia="宋体" w:hAnsi="宋体" w:hint="eastAsia"/>
          <w:color w:val="000000" w:themeColor="text1"/>
        </w:rPr>
      </w:pPr>
    </w:p>
    <w:p w14:paraId="76642D3F"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服务质量标准及措施要求</w:t>
      </w:r>
    </w:p>
    <w:p w14:paraId="7C28CFC8"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3.1 </w:t>
      </w:r>
      <w:r>
        <w:rPr>
          <w:rFonts w:ascii="宋体" w:eastAsia="宋体" w:hAnsi="宋体" w:hint="eastAsia"/>
          <w:bCs/>
        </w:rPr>
        <w:t>驻场专业绿化养护人员1名，月休4天，每日工作八小时，</w:t>
      </w:r>
      <w:r>
        <w:rPr>
          <w:rFonts w:ascii="宋体" w:eastAsia="宋体" w:hAnsi="宋体" w:hint="eastAsia"/>
          <w:color w:val="000000" w:themeColor="text1"/>
        </w:rPr>
        <w:t>如果质量效果达不到甲方要求，乙方应无条件免费增加服务时间及服务人数。</w:t>
      </w:r>
    </w:p>
    <w:p w14:paraId="44B81C4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3.2 绿化工程养护及修剪措施要求</w:t>
      </w:r>
    </w:p>
    <w:p w14:paraId="6621839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3.2.1 灌木和花卉管养的标准是生长良好，花繁叶茂造型美观，具有一定的艺术感和立体感。</w:t>
      </w:r>
    </w:p>
    <w:p w14:paraId="2EC13F3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3.2.2 生长势：生长势中等，生长量达到该种类、该规格的平均年生长量；萌蘖及枝叶生长正常，叶色较鲜艳， 无枯枝残叶，植株基本整齐。花卉适时开花，花坛轮廓完美，无残缺，绿篱无断层。</w:t>
      </w:r>
    </w:p>
    <w:p w14:paraId="46A3369D"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3.2.3 修剪：考虑每种植物的生长发育特点，既造型美观又能适时开花，花灌木和草本花卉必须在花芽分化前进行修剪，以免把花芽剪除，花谢后要及时剪掉残花老枝。绿篱和花坛整形要符合造景要求。在生长期应视实际情况而适当增加修剪次数。</w:t>
      </w:r>
    </w:p>
    <w:p w14:paraId="7E72F4C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3.2.4 绿篱一般生长季节4-10月每月修剪整形2次，非生长季节每季修剪2-3次。</w:t>
      </w:r>
    </w:p>
    <w:p w14:paraId="1B249A82"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 乔木从5月开始每月修剪1次，主要修4米以下的阴枝、下垂枝、干枯枝、侧缘线以及下缘线，下缘线高1.8-2.5m，开花植物应在花芽萌动前进行 ：</w:t>
      </w:r>
    </w:p>
    <w:p w14:paraId="66483395"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3.2.5.1 具有明显主干的高大落叶乔木应保持原有树形，适当疏枝，对保留的主侧枝应在健壮芽上短截，可见去枝条1/5-1/3； </w:t>
      </w:r>
    </w:p>
    <w:p w14:paraId="7AEFCA78"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3.2.5.2 无明显主干、枝条茂盛的落叶乔木，对干茎10cm以上树木，可疏枝保持原树形，对主干茎5-10cm的苗木，可选留主干上的几个侧枝，保持原有树形进行短截；</w:t>
      </w:r>
    </w:p>
    <w:p w14:paraId="5C375AA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 xml:space="preserve">3.2.5.3 长绿针叶树，不易修剪，只剪除病虫枝、枯死枝、生长衰弱枝、过密的轮生枝和下垂枝； </w:t>
      </w:r>
    </w:p>
    <w:p w14:paraId="529D724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3.2.5.4 用作行道树的乔木，定干高度宜大于3cm，第一分枝点以下枝条应全部剪除，分枝点以上枝条酌情疏剪，并应保持树冠原型；</w:t>
      </w:r>
    </w:p>
    <w:p w14:paraId="7D364E81"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3.2.5.5 珍贵树种的树冠易作少量修剪。</w:t>
      </w:r>
    </w:p>
    <w:p w14:paraId="276EB1F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3.3 </w:t>
      </w:r>
      <w:r>
        <w:rPr>
          <w:rFonts w:ascii="宋体" w:eastAsia="宋体" w:hAnsi="宋体" w:hint="eastAsia"/>
          <w:color w:val="000000" w:themeColor="text1"/>
        </w:rPr>
        <w:t>草坪养护及修剪措施要求：</w:t>
      </w:r>
    </w:p>
    <w:p w14:paraId="5CADF10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lastRenderedPageBreak/>
        <w:t>3.3.1 修剪频度：春夏季勤修剪，根据草坪生长情况，在生长季每月至少剪两次，秋季每月剪一次，冬季不修剪。</w:t>
      </w:r>
    </w:p>
    <w:p w14:paraId="1804580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3.3.2 剪草质量标准：</w:t>
      </w:r>
    </w:p>
    <w:p w14:paraId="79B21779"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3.3.2.1 保持草坪高度为60-80mm；</w:t>
      </w:r>
    </w:p>
    <w:p w14:paraId="403B84BA"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3.3.2.2 叶剪割后整体效果平整，无明显起伏和漏剪，剪口平齐；</w:t>
      </w:r>
    </w:p>
    <w:p w14:paraId="465FB28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3.3.2.3 障碍物处及树头边缘补剪部位，无明显漏剪痕迹；</w:t>
      </w:r>
    </w:p>
    <w:p w14:paraId="604FDE05"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3.3.2.4 四周不规则及转弯位无明显交错痕迹；</w:t>
      </w:r>
    </w:p>
    <w:p w14:paraId="730559E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 xml:space="preserve">3.3.2.5 现场清理干净，无遗漏草屑、杂物。 </w:t>
      </w:r>
    </w:p>
    <w:p w14:paraId="2F55F471" w14:textId="77777777" w:rsidR="00B420F1" w:rsidRDefault="00917C7B">
      <w:pPr>
        <w:pStyle w:val="Default"/>
        <w:spacing w:line="360" w:lineRule="auto"/>
        <w:ind w:firstLineChars="200" w:firstLine="422"/>
        <w:jc w:val="both"/>
        <w:rPr>
          <w:rFonts w:hAnsi="宋体" w:cs="Times New Roman" w:hint="eastAsia"/>
          <w:color w:val="000000" w:themeColor="text1"/>
          <w:kern w:val="2"/>
          <w:sz w:val="21"/>
          <w:szCs w:val="21"/>
        </w:rPr>
      </w:pPr>
      <w:r>
        <w:rPr>
          <w:rFonts w:hAnsi="宋体" w:cs="Times New Roman" w:hint="eastAsia"/>
          <w:b/>
          <w:color w:val="000000" w:themeColor="text1"/>
          <w:kern w:val="2"/>
          <w:sz w:val="21"/>
          <w:szCs w:val="21"/>
        </w:rPr>
        <w:t>3.4</w:t>
      </w:r>
      <w:r>
        <w:rPr>
          <w:rFonts w:hAnsi="宋体" w:cs="Times New Roman" w:hint="eastAsia"/>
          <w:color w:val="000000" w:themeColor="text1"/>
          <w:kern w:val="2"/>
          <w:sz w:val="21"/>
          <w:szCs w:val="21"/>
        </w:rPr>
        <w:t xml:space="preserve"> 灌溉、施肥要求：根据植物的生长及开花特性进行合理灌溉和施肥，在雨水缺少的季节，每天的淋水量要求不低于该种类该规格的蒸腾量。灌溉时间夏季在早晚（早上</w:t>
      </w:r>
      <w:r>
        <w:rPr>
          <w:rFonts w:hAnsi="宋体" w:cs="Times New Roman"/>
          <w:color w:val="000000" w:themeColor="text1"/>
          <w:kern w:val="2"/>
          <w:sz w:val="21"/>
          <w:szCs w:val="21"/>
        </w:rPr>
        <w:t>10</w:t>
      </w:r>
      <w:r>
        <w:rPr>
          <w:rFonts w:hAnsi="宋体" w:cs="Times New Roman" w:hint="eastAsia"/>
          <w:color w:val="000000" w:themeColor="text1"/>
          <w:kern w:val="2"/>
          <w:sz w:val="21"/>
          <w:szCs w:val="21"/>
        </w:rPr>
        <w:t>点前及下午</w:t>
      </w:r>
      <w:r>
        <w:rPr>
          <w:rFonts w:hAnsi="宋体" w:cs="Times New Roman"/>
          <w:color w:val="000000" w:themeColor="text1"/>
          <w:kern w:val="2"/>
          <w:sz w:val="21"/>
          <w:szCs w:val="21"/>
        </w:rPr>
        <w:t>3</w:t>
      </w:r>
      <w:r>
        <w:rPr>
          <w:rFonts w:hAnsi="宋体" w:cs="Times New Roman" w:hint="eastAsia"/>
          <w:color w:val="000000" w:themeColor="text1"/>
          <w:kern w:val="2"/>
          <w:sz w:val="21"/>
          <w:szCs w:val="21"/>
        </w:rPr>
        <w:t>点后）、冬季在中午（10：00—16：00）为宜，夏季中午、冬季下午不浇水。</w:t>
      </w:r>
    </w:p>
    <w:p w14:paraId="0F8F5584" w14:textId="63C1B271"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 xml:space="preserve">3.4.1 浇水不遗漏，每次浇透浇足，见干见湿。新栽大树及时喷雾。浇水深度，树木3㎝，草坪2㎝。 目视、手测，浇水时间抽查可根据气候土壤深度综合控制水分。 </w:t>
      </w:r>
    </w:p>
    <w:p w14:paraId="08D060DA"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3.4.</w:t>
      </w:r>
      <w:proofErr w:type="gramStart"/>
      <w:r>
        <w:rPr>
          <w:rFonts w:hAnsi="宋体" w:cs="Times New Roman" w:hint="eastAsia"/>
          <w:color w:val="000000" w:themeColor="text1"/>
          <w:kern w:val="2"/>
          <w:sz w:val="21"/>
          <w:szCs w:val="21"/>
        </w:rPr>
        <w:t>2 盆栽</w:t>
      </w:r>
      <w:proofErr w:type="gramEnd"/>
      <w:r>
        <w:rPr>
          <w:rFonts w:hAnsi="宋体" w:cs="Times New Roman" w:hint="eastAsia"/>
          <w:color w:val="000000" w:themeColor="text1"/>
          <w:kern w:val="2"/>
          <w:sz w:val="21"/>
          <w:szCs w:val="21"/>
        </w:rPr>
        <w:t>浇水：按见干见湿原则浇水，盆栽无干枯、遗漏现象。 目视检查 室外草花夏季2次/日。</w:t>
      </w:r>
    </w:p>
    <w:p w14:paraId="3D205201" w14:textId="77777777" w:rsidR="00B420F1" w:rsidRDefault="00917C7B">
      <w:pPr>
        <w:pStyle w:val="Default"/>
        <w:spacing w:line="360" w:lineRule="auto"/>
        <w:ind w:firstLineChars="200" w:firstLine="420"/>
        <w:jc w:val="both"/>
        <w:rPr>
          <w:rFonts w:hAnsi="宋体" w:cs="Times New Roman" w:hint="eastAsia"/>
          <w:color w:val="000000" w:themeColor="text1"/>
          <w:kern w:val="2"/>
          <w:sz w:val="21"/>
          <w:szCs w:val="21"/>
        </w:rPr>
      </w:pPr>
      <w:r>
        <w:rPr>
          <w:rFonts w:hAnsi="宋体" w:cs="Times New Roman" w:hint="eastAsia"/>
          <w:color w:val="000000" w:themeColor="text1"/>
          <w:kern w:val="2"/>
          <w:sz w:val="21"/>
          <w:szCs w:val="21"/>
        </w:rPr>
        <w:t>3.4.3 叶面清洁度：浇水配合冲洗叶面，保证植株光亮、清洁，无大面积尘埃泥土污染现象。目视检查与浇水同步，施肥后要喷水。 对于广场上外摆盆景的浇水时间需在甲方非正常营业时间进行，以免造成地面有过多积水。</w:t>
      </w:r>
    </w:p>
    <w:p w14:paraId="1BF6BCCB"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3.4.</w:t>
      </w:r>
      <w:proofErr w:type="gramStart"/>
      <w:r>
        <w:rPr>
          <w:rFonts w:ascii="宋体" w:eastAsia="宋体" w:hAnsi="宋体" w:hint="eastAsia"/>
          <w:color w:val="000000" w:themeColor="text1"/>
        </w:rPr>
        <w:t>4 根据</w:t>
      </w:r>
      <w:proofErr w:type="gramEnd"/>
      <w:r>
        <w:rPr>
          <w:rFonts w:ascii="宋体" w:eastAsia="宋体" w:hAnsi="宋体" w:hint="eastAsia"/>
          <w:color w:val="000000" w:themeColor="text1"/>
        </w:rPr>
        <w:t>绿化生长情况，施肥分基肥和追肥两类。基肥需采用有机肥，在植物休眠期进行。追肥一般采用化肥和复合肥，在植物生长期进行。基肥充分腐熟后按一定比例与细土混合后施用，化肥应溶解后再施用。干施化肥一定要注意均匀，用量不宜过多，施用后必须充分浇水。</w:t>
      </w:r>
    </w:p>
    <w:p w14:paraId="63B575B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3.4.5 施肥次数：乔木每年施基肥1次，追肥1次；灌木每年施基肥1次，追肥2次；绿篱每年施基肥2次，追肥4次；草坪每年结合打孔施基肥2次，追肥不少于9次；草花以施叶面肥为主，每半月1次。施肥的肥料及病虫剂都必须符合国家对其卫生、安全和环保规定要求。</w:t>
      </w:r>
    </w:p>
    <w:p w14:paraId="4371A94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3.5 </w:t>
      </w:r>
      <w:r>
        <w:rPr>
          <w:rFonts w:ascii="宋体" w:eastAsia="宋体" w:hAnsi="宋体" w:hint="eastAsia"/>
          <w:color w:val="000000" w:themeColor="text1"/>
        </w:rPr>
        <w:t>除杂草要求：经常除杂草和松土，除杂松土时要保护根系，不能伤根及造成根系裸露，更不能造成黄土裸露。</w:t>
      </w:r>
    </w:p>
    <w:p w14:paraId="7A77BA5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3.6 </w:t>
      </w:r>
      <w:r>
        <w:rPr>
          <w:rFonts w:ascii="宋体" w:eastAsia="宋体" w:hAnsi="宋体" w:hint="eastAsia"/>
          <w:color w:val="000000" w:themeColor="text1"/>
        </w:rPr>
        <w:t xml:space="preserve">补植要求：及时清理死苗，并在两周内补植回原来的种类并力求规格与原来植株接近，以保证良好的景观效果。补植要按照种植规范进行，施足基肥并加强淋水等保养措施，保证成活率达95%以上，裸露面积控制在总面积的0.5%以下，缺株在0.5%以下。 </w:t>
      </w:r>
    </w:p>
    <w:p w14:paraId="5E33B81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3.7 </w:t>
      </w:r>
      <w:r>
        <w:rPr>
          <w:rFonts w:ascii="宋体" w:eastAsia="宋体" w:hAnsi="宋体" w:hint="eastAsia"/>
          <w:color w:val="000000" w:themeColor="text1"/>
        </w:rPr>
        <w:t>病虫害防治要求：及时做好病虫害的防治工作，以防为主，精心管养，使植物增强抗病虫能力，经常检查，早发现早处理。采取综合防治、化学防治、物理人工防治和生物防治等方法防止病虫害蔓延和影响植物生长。必须使用对人体无害并尽量使用环保药剂，并提供药剂合格证，做到除病灭虫、保证花卉</w:t>
      </w:r>
      <w:r>
        <w:rPr>
          <w:rFonts w:ascii="宋体" w:eastAsia="宋体" w:hAnsi="宋体" w:hint="eastAsia"/>
          <w:color w:val="000000" w:themeColor="text1"/>
        </w:rPr>
        <w:lastRenderedPageBreak/>
        <w:t>生长不受害</w:t>
      </w:r>
      <w:proofErr w:type="gramStart"/>
      <w:r>
        <w:rPr>
          <w:rFonts w:ascii="宋体" w:eastAsia="宋体" w:hAnsi="宋体" w:hint="eastAsia"/>
          <w:color w:val="000000" w:themeColor="text1"/>
        </w:rPr>
        <w:t>； 喷</w:t>
      </w:r>
      <w:proofErr w:type="gramEnd"/>
      <w:r>
        <w:rPr>
          <w:rFonts w:ascii="宋体" w:eastAsia="宋体" w:hAnsi="宋体" w:hint="eastAsia"/>
          <w:color w:val="000000" w:themeColor="text1"/>
        </w:rPr>
        <w:t>药时应保证人、畜、花的安全，对喷药的天气要求、药剂浓度、实施人的安全保护等方面做明确规定，并在喷药之前提前3天上报甲方。甲方将有关注意事项提前通知住（商）户。</w:t>
      </w:r>
    </w:p>
    <w:p w14:paraId="012A8EE6" w14:textId="18E776A4" w:rsidR="00B420F1" w:rsidRDefault="00917C7B">
      <w:pPr>
        <w:ind w:firstLine="422"/>
        <w:jc w:val="both"/>
        <w:rPr>
          <w:rFonts w:ascii="宋体" w:eastAsia="宋体" w:hAnsi="宋体" w:hint="eastAsia"/>
          <w:color w:val="000000" w:themeColor="text1"/>
        </w:rPr>
      </w:pPr>
      <w:proofErr w:type="gramStart"/>
      <w:r>
        <w:rPr>
          <w:rFonts w:ascii="宋体" w:eastAsia="宋体" w:hAnsi="宋体" w:hint="eastAsia"/>
          <w:b/>
          <w:color w:val="000000" w:themeColor="text1"/>
        </w:rPr>
        <w:t xml:space="preserve">3.8 </w:t>
      </w:r>
      <w:r>
        <w:rPr>
          <w:rFonts w:ascii="宋体" w:eastAsia="宋体" w:hAnsi="宋体" w:hint="eastAsia"/>
          <w:color w:val="000000" w:themeColor="text1"/>
        </w:rPr>
        <w:t>防</w:t>
      </w:r>
      <w:proofErr w:type="gramEnd"/>
      <w:r>
        <w:rPr>
          <w:rFonts w:ascii="宋体" w:eastAsia="宋体" w:hAnsi="宋体" w:hint="eastAsia"/>
          <w:color w:val="000000" w:themeColor="text1"/>
        </w:rPr>
        <w:t>台风、防寒防冻要求：每年台风前（6-7月）要对乔木合理修剪，加固护树桩或支架，台风后立即扶树、护树、清理断枝、落叶。对于一些冬季新种的植物，用稻草包扎，树干基部、怕冻地花及露天阴生植物可用薄膜遮盖。</w:t>
      </w:r>
    </w:p>
    <w:p w14:paraId="58B8ABAD" w14:textId="02BF200A" w:rsidR="00B420F1" w:rsidRDefault="00917C7B">
      <w:pPr>
        <w:ind w:firstLine="422"/>
        <w:jc w:val="both"/>
        <w:rPr>
          <w:rFonts w:ascii="宋体" w:eastAsia="宋体" w:hAnsi="宋体" w:hint="eastAsia"/>
          <w:color w:val="000000" w:themeColor="text1"/>
        </w:rPr>
      </w:pPr>
      <w:proofErr w:type="gramStart"/>
      <w:r>
        <w:rPr>
          <w:rFonts w:ascii="宋体" w:eastAsia="宋体" w:hAnsi="宋体" w:hint="eastAsia"/>
          <w:b/>
          <w:color w:val="000000" w:themeColor="text1"/>
        </w:rPr>
        <w:t xml:space="preserve">3.9 </w:t>
      </w:r>
      <w:r>
        <w:rPr>
          <w:rFonts w:ascii="宋体" w:eastAsia="宋体" w:hAnsi="宋体"/>
          <w:color w:val="000000" w:themeColor="text1"/>
        </w:rPr>
        <w:t>本</w:t>
      </w:r>
      <w:proofErr w:type="gramEnd"/>
      <w:r>
        <w:rPr>
          <w:rFonts w:ascii="宋体" w:eastAsia="宋体" w:hAnsi="宋体"/>
          <w:color w:val="000000" w:themeColor="text1"/>
        </w:rPr>
        <w:t>项目绿化养护过程中产生的绿化垃圾，全部由</w:t>
      </w:r>
      <w:r>
        <w:rPr>
          <w:rFonts w:ascii="宋体" w:eastAsia="宋体" w:hAnsi="宋体" w:hint="eastAsia"/>
          <w:color w:val="000000" w:themeColor="text1"/>
        </w:rPr>
        <w:t>乙方</w:t>
      </w:r>
      <w:r>
        <w:rPr>
          <w:rFonts w:ascii="宋体" w:eastAsia="宋体" w:hAnsi="宋体"/>
          <w:color w:val="000000" w:themeColor="text1"/>
        </w:rPr>
        <w:t>负责清理处置</w:t>
      </w:r>
      <w:r>
        <w:rPr>
          <w:rFonts w:ascii="宋体" w:eastAsia="宋体" w:hAnsi="宋体" w:hint="eastAsia"/>
          <w:color w:val="000000" w:themeColor="text1"/>
        </w:rPr>
        <w:t>。</w:t>
      </w:r>
    </w:p>
    <w:p w14:paraId="3F9EE670" w14:textId="77777777" w:rsidR="00B420F1" w:rsidRDefault="00B420F1">
      <w:pPr>
        <w:ind w:firstLineChars="0" w:firstLine="0"/>
        <w:jc w:val="both"/>
        <w:rPr>
          <w:rFonts w:ascii="宋体" w:eastAsia="宋体" w:hAnsi="宋体" w:hint="eastAsia"/>
          <w:color w:val="000000" w:themeColor="text1"/>
        </w:rPr>
      </w:pPr>
    </w:p>
    <w:p w14:paraId="4DFB2CC8"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甲方的权利义务</w:t>
      </w:r>
      <w:bookmarkEnd w:id="6"/>
    </w:p>
    <w:p w14:paraId="37F1C32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4.1 </w:t>
      </w:r>
      <w:r>
        <w:rPr>
          <w:rFonts w:ascii="宋体" w:eastAsia="宋体" w:hAnsi="宋体" w:hint="eastAsia"/>
          <w:color w:val="000000" w:themeColor="text1"/>
        </w:rPr>
        <w:t>甲方免费提供必要的水电设施，但乙方必须节约用水和正确使用水、电设备。</w:t>
      </w:r>
    </w:p>
    <w:p w14:paraId="50D9A356"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4.2 </w:t>
      </w:r>
      <w:r>
        <w:rPr>
          <w:rFonts w:ascii="宋体" w:eastAsia="宋体" w:hAnsi="宋体" w:hint="eastAsia"/>
          <w:color w:val="000000" w:themeColor="text1"/>
        </w:rPr>
        <w:t>审核乙方报送的请款单，并按合同约定及时支付服务费。</w:t>
      </w:r>
    </w:p>
    <w:p w14:paraId="485BFC1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4.3 </w:t>
      </w:r>
      <w:r>
        <w:rPr>
          <w:rFonts w:ascii="宋体" w:eastAsia="宋体" w:hAnsi="宋体" w:hint="eastAsia"/>
          <w:color w:val="000000" w:themeColor="text1"/>
        </w:rPr>
        <w:t>甲方有权要求乙方提供年度养护计划、季度养护计划、月度养护计划、半月度养护计划，经甲方审核通过后方可按计划进行养护工作。按计划实施养护计划后，甲方有权要求乙方提供季度、半年度、年度相关养护报告并予以存档。</w:t>
      </w:r>
    </w:p>
    <w:p w14:paraId="0BE32D77"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4.4 </w:t>
      </w:r>
      <w:r>
        <w:rPr>
          <w:rFonts w:ascii="宋体" w:eastAsia="宋体" w:hAnsi="宋体" w:hint="eastAsia"/>
          <w:color w:val="000000" w:themeColor="text1"/>
        </w:rPr>
        <w:t>乙方人员出现违法、违规行为，或令甲方之公共设备、财产，以及客户之财产受损时，甲方有权要求乙方配合对当事人进行调查，直至分清责任为止。期间所产生的相关费用，由责任方承担。</w:t>
      </w:r>
    </w:p>
    <w:p w14:paraId="2553F4AA"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4.5 </w:t>
      </w:r>
      <w:r>
        <w:rPr>
          <w:rFonts w:ascii="宋体" w:eastAsia="宋体" w:hAnsi="宋体" w:hint="eastAsia"/>
          <w:color w:val="000000" w:themeColor="text1"/>
        </w:rPr>
        <w:t>甲方有权对乙方之日常管理、制度实施情况及服务质量跟踪抽查，并提出修正意见；并有权对服务的时间和内容提出临时的要求，乙方须予以配合。</w:t>
      </w:r>
    </w:p>
    <w:p w14:paraId="20DDEDB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4.6</w:t>
      </w:r>
      <w:r>
        <w:rPr>
          <w:rFonts w:ascii="宋体" w:eastAsia="宋体" w:hAnsi="宋体" w:hint="eastAsia"/>
          <w:color w:val="000000" w:themeColor="text1"/>
        </w:rPr>
        <w:t xml:space="preserve"> 甲方有权按实际情况及监管标准，对乙方之实际工作成效进行评核。如乙方不能依合约条款及监管标准，按质按量完成工作，甲方有权直接从应付服务费中扣除相关费用作为乙方违约之补偿。由此给甲方造成的影响或后果，由乙方承担。</w:t>
      </w:r>
    </w:p>
    <w:p w14:paraId="7CF50B52"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4.7 </w:t>
      </w:r>
      <w:r>
        <w:rPr>
          <w:rFonts w:ascii="宋体" w:eastAsia="宋体" w:hAnsi="宋体" w:hint="eastAsia"/>
          <w:color w:val="000000" w:themeColor="text1"/>
        </w:rPr>
        <w:t>乙方工作人员，不遵守养护规程，专业技能水平及服务意识考核不达标者，甲方有权要求乙方立即更换工作人员。</w:t>
      </w:r>
    </w:p>
    <w:p w14:paraId="5FC04F6F"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4.8 </w:t>
      </w:r>
      <w:r>
        <w:rPr>
          <w:rFonts w:ascii="宋体" w:eastAsia="宋体" w:hAnsi="宋体" w:hint="eastAsia"/>
          <w:color w:val="000000" w:themeColor="text1"/>
        </w:rPr>
        <w:t>指导和监督乙方严格执行合同规定的各项条款，甲方对乙方的工作质量、服务态度进行监督检查，发现有不符合要求的，有权要求乙方整改。</w:t>
      </w:r>
    </w:p>
    <w:p w14:paraId="6FB43EE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4.9 </w:t>
      </w:r>
      <w:r>
        <w:rPr>
          <w:rFonts w:ascii="宋体" w:eastAsia="宋体" w:hAnsi="宋体" w:hint="eastAsia"/>
          <w:color w:val="000000" w:themeColor="text1"/>
        </w:rPr>
        <w:t>在提前30天书面通知乙方的情况下，甲方有权解除本合同，且不构成违约，甲方无需对合同解除向乙方承担违约或任何赔偿责任。</w:t>
      </w:r>
    </w:p>
    <w:p w14:paraId="70DDD4C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4.10</w:t>
      </w:r>
      <w:r>
        <w:rPr>
          <w:rFonts w:ascii="宋体" w:eastAsia="宋体" w:hAnsi="宋体"/>
          <w:b/>
          <w:color w:val="000000" w:themeColor="text1"/>
        </w:rPr>
        <w:t xml:space="preserve"> </w:t>
      </w:r>
      <w:r>
        <w:rPr>
          <w:rFonts w:ascii="宋体" w:eastAsia="宋体" w:hAnsi="宋体" w:hint="eastAsia"/>
          <w:color w:val="000000" w:themeColor="text1"/>
        </w:rPr>
        <w:t>甲方如认为有必要时可要求乙方派员参与本项目绿化养护的管理工作。在处理特殊事件（如节假日、领导参观等）和紧急突发事故时，甲方对乙方及乙方委派到本项目的相关人员有合理指挥权。</w:t>
      </w:r>
    </w:p>
    <w:p w14:paraId="093873E5" w14:textId="77777777" w:rsidR="00B420F1" w:rsidRDefault="00B420F1">
      <w:pPr>
        <w:ind w:firstLineChars="0" w:firstLine="0"/>
        <w:jc w:val="both"/>
        <w:rPr>
          <w:rFonts w:ascii="宋体" w:eastAsia="宋体" w:hAnsi="宋体" w:hint="eastAsia"/>
          <w:b/>
          <w:color w:val="000000" w:themeColor="text1"/>
          <w:sz w:val="24"/>
          <w:szCs w:val="24"/>
        </w:rPr>
      </w:pPr>
      <w:bookmarkStart w:id="7" w:name="_Toc96422949"/>
    </w:p>
    <w:p w14:paraId="55C2C213"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乙方的权利义务</w:t>
      </w:r>
      <w:bookmarkEnd w:id="7"/>
    </w:p>
    <w:p w14:paraId="2B9C415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 xml:space="preserve">5.1 </w:t>
      </w:r>
      <w:r>
        <w:rPr>
          <w:rFonts w:ascii="宋体" w:eastAsia="宋体" w:hAnsi="宋体" w:hint="eastAsia"/>
          <w:color w:val="000000" w:themeColor="text1"/>
        </w:rPr>
        <w:t>乙方人员的工资、劳动保险、员工福利、食宿等全部由乙方负责。</w:t>
      </w:r>
    </w:p>
    <w:p w14:paraId="2483C322" w14:textId="77777777" w:rsidR="00B420F1" w:rsidRDefault="00917C7B">
      <w:pPr>
        <w:ind w:firstLine="422"/>
        <w:jc w:val="both"/>
        <w:rPr>
          <w:rFonts w:ascii="宋体" w:eastAsia="宋体" w:hAnsi="宋体" w:hint="eastAsia"/>
          <w:color w:val="000000" w:themeColor="text1"/>
        </w:rPr>
      </w:pPr>
      <w:proofErr w:type="gramStart"/>
      <w:r>
        <w:rPr>
          <w:rFonts w:ascii="宋体" w:eastAsia="宋体" w:hAnsi="宋体" w:hint="eastAsia"/>
          <w:b/>
          <w:bCs/>
          <w:color w:val="000000" w:themeColor="text1"/>
        </w:rPr>
        <w:t xml:space="preserve">5.2 </w:t>
      </w:r>
      <w:r>
        <w:rPr>
          <w:rFonts w:ascii="宋体" w:eastAsia="宋体" w:hAnsi="宋体" w:hint="eastAsia"/>
          <w:color w:val="000000" w:themeColor="text1"/>
        </w:rPr>
        <w:t>乙方</w:t>
      </w:r>
      <w:proofErr w:type="gramEnd"/>
      <w:r>
        <w:rPr>
          <w:rFonts w:ascii="宋体" w:eastAsia="宋体" w:hAnsi="宋体" w:hint="eastAsia"/>
          <w:color w:val="000000" w:themeColor="text1"/>
        </w:rPr>
        <w:t>需建立工作台帐，按照养护计划，实施养护工作，经甲方相关部门书面确认后，方可存档，该工作台帐作为甲方对乙方考核的重要指标之一。</w:t>
      </w:r>
    </w:p>
    <w:p w14:paraId="6DE1B3F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5.3 </w:t>
      </w:r>
      <w:r>
        <w:rPr>
          <w:rFonts w:ascii="宋体" w:eastAsia="宋体" w:hAnsi="宋体" w:hint="eastAsia"/>
          <w:color w:val="000000" w:themeColor="text1"/>
        </w:rPr>
        <w:t>乙方每月25日提交本月工作总结，下月工作计划，本月工作总结应按计划保养率达到100%，经甲方相关部门对乙方相关保养项目审核确认后作为当月月服务费的结算依据。</w:t>
      </w:r>
    </w:p>
    <w:p w14:paraId="06C2B313"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5.4 </w:t>
      </w:r>
      <w:r>
        <w:rPr>
          <w:rFonts w:ascii="宋体" w:eastAsia="宋体" w:hAnsi="宋体" w:hint="eastAsia"/>
          <w:color w:val="000000" w:themeColor="text1"/>
        </w:rPr>
        <w:t>养护前做好相关的工作牌，并挂放施工现场，保养完成后清理现场，经甲方相关部门验收合格后，填写单据由甲方指定代表签字确定。</w:t>
      </w:r>
    </w:p>
    <w:p w14:paraId="765CA25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5.5 </w:t>
      </w:r>
      <w:r>
        <w:rPr>
          <w:rFonts w:ascii="宋体" w:eastAsia="宋体" w:hAnsi="宋体" w:hint="eastAsia"/>
          <w:color w:val="000000" w:themeColor="text1"/>
        </w:rPr>
        <w:t>养护管理人员、专业操作人员须按照国家有关规定取得相关资质证书及相关岗位证书，方可上岗作业, 并须于本合同签订之日将人员的相关岗位技术证书、身份证、上岗证等的复印件交甲方备案。</w:t>
      </w:r>
    </w:p>
    <w:p w14:paraId="5ACDA80B" w14:textId="793CC46B" w:rsidR="00B420F1" w:rsidRDefault="00917C7B">
      <w:pPr>
        <w:ind w:firstLine="422"/>
        <w:jc w:val="both"/>
        <w:rPr>
          <w:rFonts w:ascii="宋体" w:eastAsia="宋体" w:hAnsi="宋体" w:hint="eastAsia"/>
          <w:color w:val="000000" w:themeColor="text1"/>
          <w:lang w:val="zh-CN"/>
        </w:rPr>
      </w:pPr>
      <w:proofErr w:type="gramStart"/>
      <w:r>
        <w:rPr>
          <w:rFonts w:ascii="宋体" w:eastAsia="宋体" w:hAnsi="宋体" w:hint="eastAsia"/>
          <w:b/>
          <w:color w:val="000000" w:themeColor="text1"/>
        </w:rPr>
        <w:t>5.6</w:t>
      </w:r>
      <w:r>
        <w:rPr>
          <w:rFonts w:ascii="宋体" w:eastAsia="宋体" w:hAnsi="宋体" w:hint="eastAsia"/>
          <w:color w:val="000000" w:themeColor="text1"/>
        </w:rPr>
        <w:t xml:space="preserve"> 乙方</w:t>
      </w:r>
      <w:proofErr w:type="gramEnd"/>
      <w:r>
        <w:rPr>
          <w:rFonts w:ascii="宋体" w:eastAsia="宋体" w:hAnsi="宋体" w:hint="eastAsia"/>
          <w:color w:val="000000" w:themeColor="text1"/>
        </w:rPr>
        <w:t>驻场专业绿化养护人员为</w:t>
      </w:r>
      <w:r>
        <w:rPr>
          <w:rFonts w:ascii="宋体" w:eastAsia="宋体" w:hAnsi="宋体" w:hint="eastAsia"/>
          <w:color w:val="000000" w:themeColor="text1"/>
          <w:u w:val="single"/>
        </w:rPr>
        <w:t>1</w:t>
      </w:r>
      <w:r>
        <w:rPr>
          <w:rFonts w:ascii="宋体" w:eastAsia="宋体" w:hAnsi="宋体" w:hint="eastAsia"/>
          <w:color w:val="000000" w:themeColor="text1"/>
        </w:rPr>
        <w:t>人（月休四天，每天工作八小时），乙方管理人员在接到甲方通知后</w:t>
      </w:r>
      <w:r>
        <w:rPr>
          <w:rFonts w:ascii="宋体" w:eastAsia="宋体" w:hAnsi="宋体"/>
          <w:color w:val="000000" w:themeColor="text1"/>
        </w:rPr>
        <w:t>2</w:t>
      </w:r>
      <w:r>
        <w:rPr>
          <w:rFonts w:ascii="宋体" w:eastAsia="宋体" w:hAnsi="宋体" w:hint="eastAsia"/>
          <w:color w:val="000000" w:themeColor="text1"/>
        </w:rPr>
        <w:t>小时内乙方必须赶到现场，并及时向甲方汇报处理情况及进展，经甲方确认后方视为完成。如因乙方原因不能及时到场，甲方有权另聘第三方单位处理，此费用从应付服务费中扣除。乙方所安排驻场人员应为与乙方存在劳动关系人员，乙方委派相关人员驻场不视为其余甲方存在任何事实劳动或劳务关系。</w:t>
      </w:r>
    </w:p>
    <w:p w14:paraId="1EB49B52"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5.7 </w:t>
      </w:r>
      <w:r>
        <w:rPr>
          <w:rFonts w:ascii="宋体" w:eastAsia="宋体" w:hAnsi="宋体" w:hint="eastAsia"/>
          <w:color w:val="000000" w:themeColor="text1"/>
        </w:rPr>
        <w:t>乙方必须严格按照与甲方签订的服务合同开展养护工作；严格遵守甲方相关管理规定及各项规章制度；密切配合甲方工作。</w:t>
      </w:r>
    </w:p>
    <w:p w14:paraId="11B74CCB"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color w:val="000000" w:themeColor="text1"/>
        </w:rPr>
        <w:t xml:space="preserve">5.8 </w:t>
      </w:r>
      <w:r>
        <w:rPr>
          <w:rFonts w:ascii="宋体" w:eastAsia="宋体" w:hAnsi="宋体" w:hint="eastAsia"/>
          <w:color w:val="000000" w:themeColor="text1"/>
        </w:rPr>
        <w:t>乙方必须保证养护范围内的绿化植物长势良好，保证旺盛的生命力，如有枯萎、局部泛黄、死叶、老化等现象，乙方须及时修剪整形，保持苗木长势良好，修剪需符合整体的美观，修剪后达不到甲方质量要求，乙方有义务在两天内进行更换，更换后的植物须与原植物的品种、质量相同。在养护期间内，如非乙方原因造成植物死亡的，乙方可以不负责承担更换责任（注：对于养护原因需更换的绿植，更换后的植物须与原植物的品种、质量相同）。</w:t>
      </w:r>
    </w:p>
    <w:p w14:paraId="4009BD78"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5.9 </w:t>
      </w:r>
      <w:r>
        <w:rPr>
          <w:rFonts w:ascii="宋体" w:eastAsia="宋体" w:hAnsi="宋体" w:hint="eastAsia"/>
          <w:color w:val="000000" w:themeColor="text1"/>
        </w:rPr>
        <w:t>乙方调整更换绿植，须经过甲方同意，未经同意不得随意更换苗木、花卉等。甲方在过节或举办活动时摆放的时花，由乙方负责养护。</w:t>
      </w:r>
    </w:p>
    <w:p w14:paraId="50B68780" w14:textId="77777777" w:rsidR="00B420F1" w:rsidRDefault="00917C7B">
      <w:pPr>
        <w:ind w:firstLine="422"/>
        <w:jc w:val="both"/>
        <w:rPr>
          <w:rFonts w:ascii="宋体" w:eastAsia="宋体" w:hAnsi="宋体" w:hint="eastAsia"/>
          <w:color w:val="000000" w:themeColor="text1"/>
        </w:rPr>
      </w:pPr>
      <w:proofErr w:type="gramStart"/>
      <w:r>
        <w:rPr>
          <w:rFonts w:ascii="宋体" w:eastAsia="宋体" w:hAnsi="宋体" w:hint="eastAsia"/>
          <w:b/>
          <w:color w:val="000000" w:themeColor="text1"/>
        </w:rPr>
        <w:t xml:space="preserve">5.10 </w:t>
      </w:r>
      <w:r>
        <w:rPr>
          <w:rFonts w:ascii="宋体" w:eastAsia="宋体" w:hAnsi="宋体" w:hint="eastAsia"/>
          <w:color w:val="000000" w:themeColor="text1"/>
        </w:rPr>
        <w:t>乙方</w:t>
      </w:r>
      <w:proofErr w:type="gramEnd"/>
      <w:r>
        <w:rPr>
          <w:rFonts w:ascii="宋体" w:eastAsia="宋体" w:hAnsi="宋体" w:hint="eastAsia"/>
          <w:color w:val="000000" w:themeColor="text1"/>
        </w:rPr>
        <w:t>在使用消杀方面药物时须符合国家有关药物管理规定，以免对人体产生危害。</w:t>
      </w:r>
    </w:p>
    <w:p w14:paraId="05790A5A"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5.11 </w:t>
      </w:r>
      <w:r>
        <w:rPr>
          <w:rFonts w:ascii="宋体" w:eastAsia="宋体" w:hAnsi="宋体" w:hint="eastAsia"/>
          <w:color w:val="000000" w:themeColor="text1"/>
        </w:rPr>
        <w:t>未经甲方同意，乙方不得在甲方管辖范围内从事与甲方相同之服务项目（含有偿家具清洁、有偿绿化养护）以保障甲方横向经营项目利益。</w:t>
      </w:r>
    </w:p>
    <w:p w14:paraId="0F8ED1CD"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.12</w:t>
      </w:r>
      <w:r>
        <w:rPr>
          <w:rFonts w:ascii="宋体" w:eastAsia="宋体" w:hAnsi="宋体" w:hint="eastAsia"/>
          <w:color w:val="000000" w:themeColor="text1"/>
        </w:rPr>
        <w:t>在履行本合同期间，若乙方人员和第三方发生人身意外伤害、安全事故或遭受其他财产损失的，一切责任由乙方承担，与甲方无关，因此给甲方造成损失的，乙方应当予以赔偿。</w:t>
      </w:r>
    </w:p>
    <w:p w14:paraId="7513544D"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.13</w:t>
      </w:r>
      <w:r>
        <w:rPr>
          <w:rFonts w:ascii="宋体" w:eastAsia="宋体" w:hAnsi="宋体" w:hint="eastAsia"/>
          <w:color w:val="000000" w:themeColor="text1"/>
        </w:rPr>
        <w:t>乙方使用的材料设备必须符合国家相关规定，主要材料品牌需经甲方同意审批后方能使用。</w:t>
      </w:r>
    </w:p>
    <w:p w14:paraId="0195FBF9"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w:t>
      </w:r>
      <w:r>
        <w:rPr>
          <w:rFonts w:ascii="宋体" w:eastAsia="宋体" w:hAnsi="宋体"/>
          <w:b/>
          <w:bCs/>
          <w:color w:val="000000" w:themeColor="text1"/>
        </w:rPr>
        <w:t>.14</w:t>
      </w:r>
      <w:r>
        <w:rPr>
          <w:rFonts w:ascii="宋体" w:eastAsia="宋体" w:hAnsi="宋体" w:hint="eastAsia"/>
          <w:color w:val="000000" w:themeColor="text1"/>
        </w:rPr>
        <w:t>乙方进场前须在甲方现场配备绿化养护设备、工具、易耗品等物料，配备的设备、工具、易耗品等物料须满足现场养护需求，如甲方有增加数量需求，对新增的物料不承担费用。且设备的保管、维修费用由乙方自行承担。</w:t>
      </w:r>
    </w:p>
    <w:p w14:paraId="71F02571"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lastRenderedPageBreak/>
        <w:t>5</w:t>
      </w:r>
      <w:r>
        <w:rPr>
          <w:rFonts w:ascii="宋体" w:eastAsia="宋体" w:hAnsi="宋体"/>
          <w:b/>
          <w:bCs/>
          <w:color w:val="000000" w:themeColor="text1"/>
        </w:rPr>
        <w:t>.15</w:t>
      </w:r>
      <w:r>
        <w:rPr>
          <w:rFonts w:ascii="宋体" w:eastAsia="宋体" w:hAnsi="宋体" w:hint="eastAsia"/>
          <w:color w:val="000000" w:themeColor="text1"/>
        </w:rPr>
        <w:t>乙方在养护期间须按照甲方养护标准及流程操作，如因乙方养护不当，如过度施肥、浇热水、撒盐、泼酸泼碱、过度修剪、剥皮断根等极其恶劣手段，造成甲方植物损伤或枯亡，乙方负责赔偿甲方损失。</w:t>
      </w:r>
    </w:p>
    <w:p w14:paraId="24D963C7"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5.16</w:t>
      </w:r>
      <w:r>
        <w:rPr>
          <w:rFonts w:ascii="宋体" w:eastAsia="宋体" w:hAnsi="宋体" w:hint="eastAsia"/>
          <w:color w:val="000000" w:themeColor="text1"/>
        </w:rPr>
        <w:t>在提供服务过程中，乙方有权拒绝不符合安全生产法律法规规定的有关工作，且无需承担违约责任。</w:t>
      </w:r>
    </w:p>
    <w:p w14:paraId="42D594BF" w14:textId="77777777" w:rsidR="00B420F1" w:rsidRDefault="00B420F1">
      <w:pPr>
        <w:ind w:firstLineChars="0" w:firstLine="0"/>
        <w:jc w:val="both"/>
        <w:rPr>
          <w:rFonts w:ascii="宋体" w:eastAsia="宋体" w:hAnsi="宋体" w:hint="eastAsia"/>
          <w:color w:val="000000" w:themeColor="text1"/>
        </w:rPr>
      </w:pPr>
    </w:p>
    <w:p w14:paraId="16B839DB"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合同廉洁条款</w:t>
      </w:r>
    </w:p>
    <w:p w14:paraId="34905190"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proofErr w:type="gramStart"/>
      <w:r>
        <w:rPr>
          <w:rFonts w:ascii="宋体" w:eastAsia="宋体" w:hAnsi="宋体" w:hint="eastAsia"/>
          <w:b/>
          <w:bCs/>
          <w:color w:val="000000" w:themeColor="text1"/>
        </w:rPr>
        <w:t>6</w:t>
      </w:r>
      <w:r>
        <w:rPr>
          <w:rFonts w:ascii="宋体" w:eastAsia="宋体" w:hAnsi="宋体"/>
          <w:b/>
          <w:bCs/>
          <w:color w:val="000000" w:themeColor="text1"/>
        </w:rPr>
        <w:t xml:space="preserve">.1  </w:t>
      </w:r>
      <w:r>
        <w:rPr>
          <w:rFonts w:ascii="宋体" w:eastAsia="宋体" w:hAnsi="宋体" w:hint="eastAsia"/>
          <w:color w:val="000000" w:themeColor="text1"/>
        </w:rPr>
        <w:t>甲方及其业务人员应当保持与乙方正常工作交往</w:t>
      </w:r>
      <w:proofErr w:type="gramEnd"/>
      <w:r>
        <w:rPr>
          <w:rFonts w:ascii="宋体" w:eastAsia="宋体" w:hAnsi="宋体" w:hint="eastAsia"/>
          <w:color w:val="000000" w:themeColor="text1"/>
        </w:rPr>
        <w:t>，不得以任何理由向乙方索取贿赂或谋取不正当利益，包括但不限于利用职务上的便利收受他人钱财、物品、购物卡</w:t>
      </w:r>
      <w:r>
        <w:rPr>
          <w:rFonts w:ascii="宋体" w:eastAsia="宋体" w:hAnsi="宋体"/>
          <w:color w:val="000000" w:themeColor="text1"/>
        </w:rPr>
        <w:t>/</w:t>
      </w:r>
      <w:r>
        <w:rPr>
          <w:rFonts w:ascii="宋体" w:eastAsia="宋体" w:hAnsi="宋体" w:hint="eastAsia"/>
          <w:color w:val="000000" w:themeColor="text1"/>
        </w:rPr>
        <w:t>券、有价证券等财物，接受乙方的旅游、超规格宴请、娱乐等安排，收受各种名义的提成、回扣归个人所有，以明显不合理低价的形式购买乙方商品，借用乙方的钱财、物品，要求乙方报销任何应由个人支付的费用，索取或变相索取其他财物、好处。</w:t>
      </w:r>
    </w:p>
    <w:p w14:paraId="1F95D456" w14:textId="77777777" w:rsidR="00B420F1" w:rsidRDefault="00917C7B">
      <w:pPr>
        <w:tabs>
          <w:tab w:val="left" w:pos="289"/>
          <w:tab w:val="left" w:pos="327"/>
          <w:tab w:val="left" w:pos="945"/>
        </w:tabs>
        <w:ind w:firstLine="422"/>
        <w:jc w:val="both"/>
        <w:rPr>
          <w:rFonts w:ascii="宋体" w:eastAsia="宋体" w:hAnsi="宋体" w:hint="eastAsia"/>
          <w:b/>
          <w:bCs/>
          <w:color w:val="000000" w:themeColor="text1"/>
        </w:rPr>
      </w:pPr>
      <w:r>
        <w:rPr>
          <w:rFonts w:ascii="宋体" w:eastAsia="宋体" w:hAnsi="宋体" w:hint="eastAsia"/>
          <w:b/>
          <w:bCs/>
          <w:color w:val="000000" w:themeColor="text1"/>
        </w:rPr>
        <w:t>6</w:t>
      </w:r>
      <w:r>
        <w:rPr>
          <w:rFonts w:ascii="宋体" w:eastAsia="宋体" w:hAnsi="宋体"/>
          <w:b/>
          <w:bCs/>
          <w:color w:val="000000" w:themeColor="text1"/>
        </w:rPr>
        <w:t xml:space="preserve">.2  </w:t>
      </w:r>
      <w:r>
        <w:rPr>
          <w:rFonts w:ascii="宋体" w:eastAsia="宋体" w:hAnsi="宋体" w:hint="eastAsia"/>
          <w:b/>
          <w:bCs/>
          <w:color w:val="000000" w:themeColor="text1"/>
        </w:rPr>
        <w:t>乙方及其业务人员应当遵守下列条款</w:t>
      </w:r>
    </w:p>
    <w:p w14:paraId="51FFA49C"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.2.1</w:t>
      </w:r>
      <w:r>
        <w:rPr>
          <w:rFonts w:ascii="宋体" w:eastAsia="宋体" w:hAnsi="宋体" w:hint="eastAsia"/>
          <w:color w:val="000000" w:themeColor="text1"/>
        </w:rPr>
        <w:t>不得以任何名义向甲方及其业务人员（含亲属，下同）提供礼金、有价证券和贵重物品，不得为甲方及其业务人员报销任何个人消费的费用；不得以任何形式向甲方及其业务人员行贿。</w:t>
      </w:r>
    </w:p>
    <w:p w14:paraId="575AC572"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.2.2</w:t>
      </w:r>
      <w:r>
        <w:rPr>
          <w:rFonts w:ascii="宋体" w:eastAsia="宋体" w:hAnsi="宋体" w:hint="eastAsia"/>
          <w:color w:val="000000" w:themeColor="text1"/>
        </w:rPr>
        <w:t>不得以考察、参观、洽谈业务等借口，邀请甲方及其业务人员参加可能对公正履行合同有影响的宴请、外出旅游和进入高档娱乐场所等活动。</w:t>
      </w:r>
    </w:p>
    <w:p w14:paraId="505578E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.2.3</w:t>
      </w:r>
      <w:r>
        <w:rPr>
          <w:rFonts w:ascii="宋体" w:eastAsia="宋体" w:hAnsi="宋体" w:hint="eastAsia"/>
          <w:color w:val="000000" w:themeColor="text1"/>
        </w:rPr>
        <w:t>不得为甲方及其业务人员的住房装修、婚丧嫁娶、家属或亲友的工作安排及出国出境提供方便。</w:t>
      </w:r>
    </w:p>
    <w:p w14:paraId="7A0C5BF5"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.2.4</w:t>
      </w:r>
      <w:r>
        <w:rPr>
          <w:rFonts w:ascii="宋体" w:eastAsia="宋体" w:hAnsi="宋体" w:hint="eastAsia"/>
          <w:color w:val="000000" w:themeColor="text1"/>
        </w:rPr>
        <w:t>不得接受甲方及其业务人员的家属或亲友从事与本合同有关的经济活动。</w:t>
      </w:r>
    </w:p>
    <w:p w14:paraId="4730B3A0"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.2.5</w:t>
      </w:r>
      <w:r>
        <w:rPr>
          <w:rFonts w:ascii="宋体" w:eastAsia="宋体" w:hAnsi="宋体" w:hint="eastAsia"/>
          <w:color w:val="000000" w:themeColor="text1"/>
        </w:rPr>
        <w:t>不得为谋取不正当利益擅自与甲方业务人员就供应关系的各项相关事项进行私下商谈或者损害甲方公司利益。</w:t>
      </w:r>
    </w:p>
    <w:p w14:paraId="3267D113"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.2.6</w:t>
      </w:r>
      <w:r>
        <w:rPr>
          <w:rFonts w:ascii="宋体" w:eastAsia="宋体" w:hAnsi="宋体" w:hint="eastAsia"/>
          <w:color w:val="000000" w:themeColor="text1"/>
        </w:rPr>
        <w:t>乙方如发现甲方及其业务人员有索取贿赂等谋取不正当利益的行为，应当主动向甲方办公室部门举报。若发现了未及时向甲方办公室部门反馈，或协助甲方及其业务人员获取不正当利益的视同违反廉洁义务。</w:t>
      </w:r>
    </w:p>
    <w:p w14:paraId="53CC987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.2.7</w:t>
      </w:r>
      <w:r>
        <w:rPr>
          <w:rFonts w:ascii="宋体" w:eastAsia="宋体" w:hAnsi="宋体" w:hint="eastAsia"/>
          <w:color w:val="000000" w:themeColor="text1"/>
        </w:rPr>
        <w:t>甲方办公室部门对涉嫌不廉洁商业行为进行调查时，乙方有配合甲方提供证据和作证的义务。</w:t>
      </w:r>
      <w:r>
        <w:rPr>
          <w:rFonts w:ascii="宋体" w:eastAsia="宋体" w:hAnsi="宋体"/>
          <w:color w:val="000000" w:themeColor="text1"/>
        </w:rPr>
        <w:t xml:space="preserve"> </w:t>
      </w:r>
    </w:p>
    <w:p w14:paraId="6B023A3D"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 xml:space="preserve">6.3  </w:t>
      </w:r>
      <w:r>
        <w:rPr>
          <w:rFonts w:ascii="宋体" w:eastAsia="宋体" w:hAnsi="宋体" w:hint="eastAsia"/>
          <w:color w:val="000000" w:themeColor="text1"/>
        </w:rPr>
        <w:t>甲方业务人员违反廉洁义务，一经查实，甲方将依纪依法依规对相关人员进行严肃处理。</w:t>
      </w:r>
    </w:p>
    <w:p w14:paraId="4F811FA9"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 xml:space="preserve">6.4  </w:t>
      </w:r>
      <w:r>
        <w:rPr>
          <w:rFonts w:ascii="宋体" w:eastAsia="宋体" w:hAnsi="宋体" w:hint="eastAsia"/>
          <w:color w:val="000000" w:themeColor="text1"/>
        </w:rPr>
        <w:t>乙方业务人员违反廉洁义务，一经查实，甲方有权追究乙方如下责任：</w:t>
      </w:r>
    </w:p>
    <w:p w14:paraId="27A866A5"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6.4.1</w:t>
      </w:r>
      <w:r>
        <w:rPr>
          <w:rFonts w:ascii="宋体" w:eastAsia="宋体" w:hAnsi="宋体" w:hint="eastAsia"/>
          <w:color w:val="000000" w:themeColor="text1"/>
        </w:rPr>
        <w:t>要求支付惩罚性违约金，标准为乙方诈骗、共同侵占、行贿受贿等违纪金额的</w:t>
      </w:r>
      <w:r>
        <w:rPr>
          <w:rFonts w:ascii="宋体" w:eastAsia="宋体" w:hAnsi="宋体"/>
          <w:color w:val="000000" w:themeColor="text1"/>
        </w:rPr>
        <w:t>10倍，或乙方与甲方本合同项下总价款的30%，或一次性支付</w:t>
      </w:r>
      <w:r>
        <w:rPr>
          <w:rFonts w:ascii="宋体" w:eastAsia="宋体" w:hAnsi="宋体" w:hint="eastAsia"/>
          <w:color w:val="000000" w:themeColor="text1"/>
        </w:rPr>
        <w:t>5万元（取三者中金额最大项作为最终违约金金额），甲方有权直接在应付款项中予以扣减，不足部分由乙方补足。</w:t>
      </w:r>
    </w:p>
    <w:p w14:paraId="02769007"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6.4.2</w:t>
      </w:r>
      <w:r>
        <w:rPr>
          <w:rFonts w:ascii="宋体" w:eastAsia="宋体" w:hAnsi="宋体" w:hint="eastAsia"/>
          <w:color w:val="000000" w:themeColor="text1"/>
        </w:rPr>
        <w:t>若乙方违反廉洁义务，甲方有权解除合作协议，因此增加的成本或造成的经济损失由乙方承担。</w:t>
      </w:r>
    </w:p>
    <w:p w14:paraId="198005FB" w14:textId="77777777" w:rsidR="00B420F1" w:rsidRDefault="00917C7B">
      <w:pPr>
        <w:tabs>
          <w:tab w:val="left" w:pos="289"/>
          <w:tab w:val="left" w:pos="327"/>
          <w:tab w:val="left" w:pos="945"/>
        </w:tabs>
        <w:ind w:firstLine="420"/>
        <w:jc w:val="both"/>
        <w:rPr>
          <w:rFonts w:ascii="宋体" w:eastAsia="宋体" w:hAnsi="宋体" w:hint="eastAsia"/>
          <w:color w:val="000000" w:themeColor="text1"/>
        </w:rPr>
      </w:pPr>
      <w:r>
        <w:rPr>
          <w:rFonts w:ascii="宋体" w:eastAsia="宋体" w:hAnsi="宋体"/>
          <w:color w:val="000000" w:themeColor="text1"/>
        </w:rPr>
        <w:t>6.4.3</w:t>
      </w:r>
      <w:r>
        <w:rPr>
          <w:rFonts w:ascii="宋体" w:eastAsia="宋体" w:hAnsi="宋体" w:hint="eastAsia"/>
          <w:color w:val="000000" w:themeColor="text1"/>
        </w:rPr>
        <w:t>乙方积极配合甲方办公室部门开展调查的，甲方将酌情从轻、减轻或者免除处罚。</w:t>
      </w:r>
    </w:p>
    <w:p w14:paraId="5F7232D2" w14:textId="77777777" w:rsidR="00B420F1" w:rsidRDefault="00B420F1">
      <w:pPr>
        <w:tabs>
          <w:tab w:val="left" w:pos="289"/>
          <w:tab w:val="left" w:pos="327"/>
          <w:tab w:val="left" w:pos="945"/>
        </w:tabs>
        <w:ind w:firstLineChars="0" w:firstLine="0"/>
        <w:jc w:val="both"/>
        <w:rPr>
          <w:rFonts w:ascii="宋体" w:eastAsia="宋体" w:hAnsi="宋体" w:hint="eastAsia"/>
          <w:color w:val="000000" w:themeColor="text1"/>
        </w:rPr>
      </w:pPr>
    </w:p>
    <w:p w14:paraId="3B147B74" w14:textId="77777777" w:rsidR="00B420F1" w:rsidRDefault="00917C7B">
      <w:pPr>
        <w:pStyle w:val="a8"/>
        <w:widowControl w:val="0"/>
        <w:numPr>
          <w:ilvl w:val="0"/>
          <w:numId w:val="1"/>
        </w:numPr>
        <w:adjustRightInd w:val="0"/>
        <w:snapToGrid w:val="0"/>
        <w:ind w:firstLineChars="180" w:firstLine="379"/>
        <w:jc w:val="both"/>
        <w:rPr>
          <w:rFonts w:ascii="宋体" w:eastAsia="宋体" w:hAnsi="宋体" w:cs="宋体" w:hint="eastAsia"/>
          <w:b/>
          <w:bCs/>
          <w:color w:val="000000" w:themeColor="text1"/>
        </w:rPr>
      </w:pPr>
      <w:r>
        <w:rPr>
          <w:rFonts w:ascii="宋体" w:eastAsia="宋体" w:hAnsi="宋体" w:cs="宋体" w:hint="eastAsia"/>
          <w:b/>
          <w:bCs/>
          <w:color w:val="000000" w:themeColor="text1"/>
        </w:rPr>
        <w:t>不可抗力</w:t>
      </w:r>
    </w:p>
    <w:p w14:paraId="1BD0F0D4"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7.1</w:t>
      </w:r>
      <w:r>
        <w:rPr>
          <w:rFonts w:ascii="宋体" w:eastAsia="宋体" w:hAnsi="宋体" w:hint="eastAsia"/>
          <w:color w:val="000000" w:themeColor="text1"/>
        </w:rPr>
        <w:t>“不可抗力”是指合同双方不能合理控制、不可预见或即使预见亦无法避免的事件，该事件妨碍、影响或延误任何一方根据合同履行其全部或部分义务。前述事件但不限于：战争、严重火灾、洪水、台风、地震等。</w:t>
      </w:r>
    </w:p>
    <w:p w14:paraId="39B3A6C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7.2</w:t>
      </w:r>
      <w:r>
        <w:rPr>
          <w:rFonts w:ascii="宋体" w:eastAsia="宋体" w:hAnsi="宋体" w:hint="eastAsia"/>
          <w:color w:val="000000" w:themeColor="text1"/>
        </w:rPr>
        <w:t>出现不可抗力事件时，知情方应及时、充分地向对方以书面形式发通知，并告知对方该类事件对本合同可能产生的影响，并应当在合理期限内提供相关证明。由于以上所述不可抗力事件致使合同的部分或全部不能履行或延迟履行，则双方于彼此间不承担任何违约责任。</w:t>
      </w:r>
    </w:p>
    <w:p w14:paraId="3C119E6C"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7.3</w:t>
      </w:r>
      <w:r>
        <w:rPr>
          <w:rFonts w:ascii="宋体" w:eastAsia="宋体" w:hAnsi="宋体" w:hint="eastAsia"/>
          <w:color w:val="000000" w:themeColor="text1"/>
        </w:rPr>
        <w:t>由于不可抗力因素致使合同无法履行时，双方应及时协商解决。因合同当事人一方迟延履行合同后发生不可抗力的，不能免除迟延履行方的相应责任。</w:t>
      </w:r>
    </w:p>
    <w:p w14:paraId="0AF75A52" w14:textId="77777777" w:rsidR="00B420F1" w:rsidRDefault="00B420F1">
      <w:pPr>
        <w:ind w:firstLineChars="0" w:firstLine="0"/>
        <w:jc w:val="both"/>
        <w:rPr>
          <w:rFonts w:ascii="宋体" w:eastAsia="宋体" w:hAnsi="宋体" w:hint="eastAsia"/>
          <w:color w:val="000000" w:themeColor="text1"/>
        </w:rPr>
      </w:pPr>
    </w:p>
    <w:p w14:paraId="4E50C166" w14:textId="77777777" w:rsidR="00B420F1" w:rsidRDefault="00917C7B">
      <w:pPr>
        <w:pStyle w:val="a8"/>
        <w:widowControl w:val="0"/>
        <w:numPr>
          <w:ilvl w:val="0"/>
          <w:numId w:val="1"/>
        </w:numPr>
        <w:adjustRightInd w:val="0"/>
        <w:snapToGrid w:val="0"/>
        <w:ind w:leftChars="180" w:left="378" w:firstLineChars="0" w:firstLine="0"/>
        <w:jc w:val="both"/>
        <w:rPr>
          <w:rFonts w:ascii="宋体" w:eastAsia="宋体" w:hAnsi="宋体" w:cs="宋体" w:hint="eastAsia"/>
          <w:b/>
          <w:bCs/>
          <w:color w:val="000000" w:themeColor="text1"/>
        </w:rPr>
      </w:pPr>
      <w:r>
        <w:rPr>
          <w:rFonts w:ascii="宋体" w:eastAsia="宋体" w:hAnsi="宋体" w:cs="宋体" w:hint="eastAsia"/>
          <w:b/>
          <w:bCs/>
          <w:color w:val="000000" w:themeColor="text1"/>
        </w:rPr>
        <w:t>违约责任</w:t>
      </w:r>
    </w:p>
    <w:p w14:paraId="0B183615"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8.1 </w:t>
      </w:r>
      <w:r>
        <w:rPr>
          <w:rFonts w:ascii="宋体" w:eastAsia="宋体" w:hAnsi="宋体" w:hint="eastAsia"/>
          <w:color w:val="000000" w:themeColor="text1"/>
        </w:rPr>
        <w:t>由于乙方未能按照本合同履行职责，造成客户投诉、业主/租户/第三人家庭人身、财物损失及公共区域人身、财物损失和其他相关责任一切由乙方全额承担赔偿。由此造成甲方损失的，甲方有权向乙方追偿，且有权从应付服务费中直接抵扣损失。</w:t>
      </w:r>
    </w:p>
    <w:p w14:paraId="3ADF76CE" w14:textId="77777777" w:rsidR="00B420F1" w:rsidRDefault="00917C7B">
      <w:pPr>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8.2 </w:t>
      </w:r>
      <w:r>
        <w:rPr>
          <w:rFonts w:ascii="宋体" w:eastAsia="宋体" w:hAnsi="宋体" w:hint="eastAsia"/>
          <w:color w:val="000000" w:themeColor="text1"/>
        </w:rPr>
        <w:t>由于乙方疏忽、拖延、服务力度或技术不到位等原因造成甲方损失的，由乙方负责赔偿，并承担由此造成的不良后果，甲方有权从应付服务费中直接抵扣损失。</w:t>
      </w:r>
    </w:p>
    <w:p w14:paraId="29DD9900"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8.3 </w:t>
      </w:r>
      <w:r>
        <w:rPr>
          <w:rFonts w:ascii="宋体" w:eastAsia="宋体" w:hAnsi="宋体" w:hint="eastAsia"/>
          <w:color w:val="000000" w:themeColor="text1"/>
        </w:rPr>
        <w:t>甲方连续两个月检查乙方履约不合格，甲方有权解除合同，扣减当月服务费，若因此造成甲方损失的，乙方须承担赔偿责任，甲方有权从应付服务费中直接抵扣损失。</w:t>
      </w:r>
    </w:p>
    <w:p w14:paraId="35435883" w14:textId="77777777" w:rsidR="00B420F1" w:rsidRDefault="00917C7B">
      <w:pPr>
        <w:tabs>
          <w:tab w:val="left" w:pos="289"/>
          <w:tab w:val="left" w:pos="327"/>
          <w:tab w:val="left" w:pos="945"/>
        </w:tabs>
        <w:ind w:firstLine="422"/>
        <w:jc w:val="both"/>
        <w:rPr>
          <w:rFonts w:ascii="宋体" w:eastAsia="宋体" w:hAnsi="宋体" w:hint="eastAsia"/>
          <w:color w:val="000000" w:themeColor="text1"/>
        </w:rPr>
      </w:pPr>
      <w:r>
        <w:rPr>
          <w:rFonts w:ascii="宋体" w:eastAsia="宋体" w:hAnsi="宋体" w:hint="eastAsia"/>
          <w:b/>
          <w:bCs/>
          <w:color w:val="000000" w:themeColor="text1"/>
        </w:rPr>
        <w:t>8</w:t>
      </w:r>
      <w:r>
        <w:rPr>
          <w:rFonts w:ascii="宋体" w:eastAsia="宋体" w:hAnsi="宋体"/>
          <w:b/>
          <w:bCs/>
          <w:color w:val="000000" w:themeColor="text1"/>
        </w:rPr>
        <w:t>.4</w:t>
      </w:r>
      <w:r>
        <w:rPr>
          <w:rFonts w:ascii="宋体" w:eastAsia="宋体" w:hAnsi="宋体" w:hint="eastAsia"/>
          <w:b/>
          <w:bCs/>
          <w:color w:val="000000" w:themeColor="text1"/>
        </w:rPr>
        <w:t xml:space="preserve"> </w:t>
      </w:r>
      <w:r>
        <w:rPr>
          <w:rFonts w:ascii="宋体" w:eastAsia="宋体" w:hAnsi="宋体" w:hint="eastAsia"/>
          <w:color w:val="000000" w:themeColor="text1"/>
        </w:rPr>
        <w:t>乙方中途单方拒绝履行合同或因乙方原因导致甲方解除本合同的，则应支付甲方相当于本合同总价的</w:t>
      </w:r>
      <w:r>
        <w:rPr>
          <w:rFonts w:ascii="宋体" w:eastAsia="宋体" w:hAnsi="宋体"/>
          <w:color w:val="000000" w:themeColor="text1"/>
          <w:u w:val="single"/>
        </w:rPr>
        <w:t>20</w:t>
      </w:r>
      <w:r>
        <w:rPr>
          <w:rFonts w:ascii="宋体" w:eastAsia="宋体" w:hAnsi="宋体" w:hint="eastAsia"/>
          <w:color w:val="000000" w:themeColor="text1"/>
        </w:rPr>
        <w:t>%作为违约金，如乙方的单方行为将造成或已造成甲方的损失，甲方有权追索赔偿，并有权随时终止合同或要求乙方继续履行合同，合同另有约定或甲方严重违约的除外。</w:t>
      </w:r>
    </w:p>
    <w:p w14:paraId="73A76650" w14:textId="2B484432" w:rsidR="00B420F1" w:rsidRDefault="00917C7B">
      <w:pPr>
        <w:tabs>
          <w:tab w:val="left" w:pos="289"/>
          <w:tab w:val="left" w:pos="327"/>
          <w:tab w:val="left" w:pos="945"/>
        </w:tabs>
        <w:ind w:firstLine="422"/>
        <w:jc w:val="both"/>
        <w:rPr>
          <w:rFonts w:ascii="宋体" w:eastAsia="宋体" w:hAnsi="宋体" w:hint="eastAsia"/>
        </w:rPr>
      </w:pPr>
      <w:r>
        <w:rPr>
          <w:rFonts w:ascii="宋体" w:eastAsia="宋体" w:hAnsi="宋体" w:hint="eastAsia"/>
          <w:b/>
          <w:bCs/>
          <w:color w:val="000000" w:themeColor="text1"/>
        </w:rPr>
        <w:t>8.5</w:t>
      </w:r>
      <w:r>
        <w:rPr>
          <w:rFonts w:ascii="宋体" w:eastAsia="宋体" w:hAnsi="宋体" w:hint="eastAsia"/>
          <w:color w:val="000000" w:themeColor="text1"/>
        </w:rPr>
        <w:t xml:space="preserve"> </w:t>
      </w:r>
      <w:r>
        <w:rPr>
          <w:rFonts w:ascii="宋体" w:eastAsia="宋体" w:hAnsi="宋体" w:hint="eastAsia"/>
        </w:rPr>
        <w:t>如乙方未能提供符合要求的服务质量或请款文件的，导致验收不合格的，甲方有权延迟或减少服务费用支付直至乙方整改完毕，乙方应承担甲方损失的赔偿责任。经甲方通知后乙方应及时予以补救，乙方仍未整改或未提供补救措施的，甲方有权扣除当月服务费用的20%作为违约金。</w:t>
      </w:r>
    </w:p>
    <w:p w14:paraId="780D0B43"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8.6甲方未按合同约定，逾期支付养护费用，应每逾期一天按照应付而未付金额的0.1%向乙方支付违约金。甲方逾期付款超过30天的，乙方有权单方面解除合同，甲方除应支付正常养护费用、逾期付款违约金外，还应向乙方支付一个月养护费用的非正常终止合同赔偿金。</w:t>
      </w:r>
    </w:p>
    <w:p w14:paraId="27760174"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8.7 如非甲乙双方的原因，造成苗木非正常死亡或丢失，双方就具体补苗事宜进行协商处理。</w:t>
      </w:r>
    </w:p>
    <w:p w14:paraId="75227935" w14:textId="77777777" w:rsidR="00B420F1" w:rsidRDefault="00917C7B">
      <w:pPr>
        <w:tabs>
          <w:tab w:val="left" w:pos="289"/>
          <w:tab w:val="left" w:pos="327"/>
          <w:tab w:val="left" w:pos="945"/>
        </w:tabs>
        <w:ind w:firstLine="420"/>
        <w:jc w:val="both"/>
        <w:rPr>
          <w:rFonts w:ascii="宋体" w:eastAsia="宋体" w:hAnsi="宋体" w:hint="eastAsia"/>
        </w:rPr>
      </w:pPr>
      <w:r>
        <w:rPr>
          <w:rFonts w:ascii="宋体" w:eastAsia="宋体" w:hAnsi="宋体" w:hint="eastAsia"/>
        </w:rPr>
        <w:t>8.8因白蚁、红火蚁虫害对植物造成的损害及相关损失，不由乙方负责。如需乙方进行修补工作，双方另行商定相关费用。</w:t>
      </w:r>
    </w:p>
    <w:p w14:paraId="4690DDB1" w14:textId="77777777" w:rsidR="00B420F1" w:rsidRDefault="00B420F1">
      <w:pPr>
        <w:tabs>
          <w:tab w:val="left" w:pos="289"/>
          <w:tab w:val="left" w:pos="327"/>
          <w:tab w:val="left" w:pos="945"/>
        </w:tabs>
        <w:ind w:firstLineChars="0" w:firstLine="0"/>
        <w:jc w:val="both"/>
        <w:rPr>
          <w:rFonts w:ascii="宋体" w:eastAsia="宋体" w:hAnsi="宋体" w:hint="eastAsia"/>
          <w:color w:val="000000" w:themeColor="text1"/>
        </w:rPr>
      </w:pPr>
    </w:p>
    <w:p w14:paraId="3E959775" w14:textId="77777777" w:rsidR="00B420F1" w:rsidRDefault="00917C7B">
      <w:pPr>
        <w:pStyle w:val="a8"/>
        <w:widowControl w:val="0"/>
        <w:numPr>
          <w:ilvl w:val="0"/>
          <w:numId w:val="1"/>
        </w:numPr>
        <w:topLinePunct/>
        <w:autoSpaceDE w:val="0"/>
        <w:autoSpaceDN w:val="0"/>
        <w:adjustRightInd w:val="0"/>
        <w:snapToGrid w:val="0"/>
        <w:ind w:firstLine="422"/>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争议解决</w:t>
      </w:r>
    </w:p>
    <w:p w14:paraId="0BE03A46" w14:textId="77777777" w:rsidR="00B420F1" w:rsidRDefault="00917C7B">
      <w:pPr>
        <w:topLinePunct/>
        <w:autoSpaceDE w:val="0"/>
        <w:autoSpaceDN w:val="0"/>
        <w:ind w:firstLine="422"/>
        <w:rPr>
          <w:rFonts w:ascii="宋体" w:eastAsia="宋体" w:hAnsi="宋体" w:cstheme="minorEastAsia" w:hint="eastAsia"/>
          <w:color w:val="000000" w:themeColor="text1"/>
        </w:rPr>
      </w:pPr>
      <w:r>
        <w:rPr>
          <w:rFonts w:ascii="宋体" w:eastAsia="宋体" w:hAnsi="宋体" w:cstheme="minorEastAsia" w:hint="eastAsia"/>
          <w:b/>
          <w:bCs/>
          <w:color w:val="000000" w:themeColor="text1"/>
        </w:rPr>
        <w:t xml:space="preserve">9.1 </w:t>
      </w:r>
      <w:r>
        <w:rPr>
          <w:rFonts w:ascii="宋体" w:eastAsia="宋体" w:hAnsi="宋体" w:cstheme="minorEastAsia" w:hint="eastAsia"/>
          <w:color w:val="000000" w:themeColor="text1"/>
        </w:rPr>
        <w:t>本合同的生效、解释、执行、管辖、争议的解决均适用中华人民共和国法律。</w:t>
      </w:r>
    </w:p>
    <w:p w14:paraId="34284FF2" w14:textId="77777777" w:rsidR="00B420F1" w:rsidRDefault="00917C7B">
      <w:pPr>
        <w:tabs>
          <w:tab w:val="left" w:pos="289"/>
          <w:tab w:val="left" w:pos="327"/>
          <w:tab w:val="left" w:pos="945"/>
        </w:tabs>
        <w:topLinePunct/>
        <w:autoSpaceDE w:val="0"/>
        <w:autoSpaceDN w:val="0"/>
        <w:ind w:firstLine="422"/>
        <w:rPr>
          <w:rFonts w:ascii="宋体" w:eastAsia="宋体" w:hAnsi="宋体" w:cs="宋体" w:hint="eastAsia"/>
          <w:b/>
          <w:bCs/>
          <w:color w:val="000000" w:themeColor="text1"/>
        </w:rPr>
      </w:pPr>
      <w:r>
        <w:rPr>
          <w:rFonts w:ascii="宋体" w:eastAsia="宋体" w:hAnsi="宋体" w:cstheme="minorEastAsia" w:hint="eastAsia"/>
          <w:b/>
          <w:bCs/>
          <w:color w:val="000000" w:themeColor="text1"/>
        </w:rPr>
        <w:t xml:space="preserve">9.2 </w:t>
      </w:r>
      <w:r>
        <w:rPr>
          <w:rFonts w:ascii="宋体" w:eastAsia="宋体" w:hAnsi="宋体" w:cstheme="minorEastAsia" w:hint="eastAsia"/>
          <w:color w:val="000000" w:themeColor="text1"/>
        </w:rPr>
        <w:t>因本合同引起的或与本合同有关的任何争议，甲、乙双方应及时协商解决；协商不成的，双方一致同意将争议提交至甲方所在地人民法院诉讼处理。</w:t>
      </w:r>
    </w:p>
    <w:p w14:paraId="098FB974" w14:textId="77777777" w:rsidR="00B420F1" w:rsidRDefault="00B420F1">
      <w:pPr>
        <w:pStyle w:val="a8"/>
        <w:widowControl w:val="0"/>
        <w:numPr>
          <w:ilvl w:val="255"/>
          <w:numId w:val="0"/>
        </w:numPr>
        <w:adjustRightInd w:val="0"/>
        <w:snapToGrid w:val="0"/>
        <w:jc w:val="both"/>
        <w:rPr>
          <w:rFonts w:ascii="宋体" w:eastAsia="宋体" w:hAnsi="宋体" w:cs="宋体" w:hint="eastAsia"/>
          <w:b/>
          <w:bCs/>
          <w:color w:val="000000" w:themeColor="text1"/>
        </w:rPr>
      </w:pPr>
    </w:p>
    <w:p w14:paraId="69CA5601" w14:textId="77777777" w:rsidR="00B420F1" w:rsidRDefault="00917C7B">
      <w:pPr>
        <w:pStyle w:val="a8"/>
        <w:widowControl w:val="0"/>
        <w:numPr>
          <w:ilvl w:val="0"/>
          <w:numId w:val="1"/>
        </w:numPr>
        <w:adjustRightInd w:val="0"/>
        <w:snapToGrid w:val="0"/>
        <w:ind w:firstLine="422"/>
        <w:jc w:val="both"/>
        <w:rPr>
          <w:rFonts w:ascii="宋体" w:eastAsia="宋体" w:hAnsi="宋体" w:cs="宋体" w:hint="eastAsia"/>
          <w:b/>
          <w:bCs/>
          <w:color w:val="000000" w:themeColor="text1"/>
        </w:rPr>
      </w:pPr>
      <w:r>
        <w:rPr>
          <w:rFonts w:ascii="宋体" w:eastAsia="宋体" w:hAnsi="宋体" w:cs="宋体" w:hint="eastAsia"/>
          <w:b/>
          <w:bCs/>
          <w:color w:val="000000" w:themeColor="text1"/>
        </w:rPr>
        <w:t xml:space="preserve"> 其他条款</w:t>
      </w:r>
    </w:p>
    <w:p w14:paraId="12524D6A"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10.1 </w:t>
      </w:r>
      <w:r>
        <w:rPr>
          <w:rFonts w:ascii="宋体" w:eastAsia="宋体" w:hAnsi="宋体" w:hint="eastAsia"/>
          <w:color w:val="000000" w:themeColor="text1"/>
        </w:rPr>
        <w:t>甲方发给乙方的文件或电子邮件均以合同签章处乙方的地址、电话及电邮地址为准，若乙方变更地址、电话或电邮地址，应即时以书面形式通知甲方，否则，合同中乙方的地址、电话及电邮地址将被视为有效，甲方按合同中乙方的地址、电话及电邮地址发给乙方的文件或电邮视为甲方已完成文件送达。</w:t>
      </w:r>
    </w:p>
    <w:p w14:paraId="7A70A84E"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10.2 </w:t>
      </w:r>
      <w:r>
        <w:rPr>
          <w:rFonts w:ascii="宋体" w:eastAsia="宋体" w:hAnsi="宋体" w:hint="eastAsia"/>
          <w:color w:val="000000" w:themeColor="text1"/>
        </w:rPr>
        <w:t>本合同的未尽事宜，由双方协商解决并另行签订补充协议。补充协议经双方签字并盖章确认后作为本合同不可分割的组成部分，具有同等法律效力。</w:t>
      </w:r>
    </w:p>
    <w:p w14:paraId="4EF5BF82" w14:textId="77777777" w:rsidR="00B420F1" w:rsidRDefault="00917C7B">
      <w:pPr>
        <w:widowControl w:val="0"/>
        <w:ind w:firstLine="422"/>
        <w:jc w:val="both"/>
        <w:rPr>
          <w:rFonts w:ascii="宋体" w:eastAsia="宋体" w:hAnsi="宋体" w:hint="eastAsia"/>
          <w:color w:val="000000" w:themeColor="text1"/>
        </w:rPr>
      </w:pPr>
      <w:r>
        <w:rPr>
          <w:rFonts w:ascii="宋体" w:eastAsia="宋体" w:hAnsi="宋体" w:hint="eastAsia"/>
          <w:b/>
          <w:bCs/>
          <w:color w:val="000000" w:themeColor="text1"/>
        </w:rPr>
        <w:t xml:space="preserve">10.3 </w:t>
      </w:r>
      <w:r>
        <w:rPr>
          <w:rFonts w:ascii="宋体" w:eastAsia="宋体" w:hAnsi="宋体" w:hint="eastAsia"/>
          <w:color w:val="000000" w:themeColor="text1"/>
        </w:rPr>
        <w:t>本合同一式肆份，甲乙双方各执贰份，均具同等法律效力，自双方盖章之日起生效，履行完本合同规定的权利和义务后自行失效。</w:t>
      </w:r>
    </w:p>
    <w:p w14:paraId="44C0ABC7" w14:textId="77777777" w:rsidR="00B420F1" w:rsidRDefault="00B420F1">
      <w:pPr>
        <w:tabs>
          <w:tab w:val="left" w:pos="289"/>
          <w:tab w:val="left" w:pos="327"/>
          <w:tab w:val="left" w:pos="945"/>
        </w:tabs>
        <w:ind w:firstLine="420"/>
        <w:jc w:val="both"/>
        <w:rPr>
          <w:rFonts w:ascii="宋体" w:eastAsia="宋体" w:hAnsi="宋体" w:hint="eastAsia"/>
          <w:color w:val="000000" w:themeColor="text1"/>
        </w:rPr>
      </w:pPr>
    </w:p>
    <w:p w14:paraId="2E8ACB0F" w14:textId="77777777" w:rsidR="00B420F1" w:rsidRDefault="00917C7B">
      <w:pPr>
        <w:snapToGrid w:val="0"/>
        <w:ind w:firstLine="422"/>
        <w:rPr>
          <w:rFonts w:ascii="宋体" w:eastAsia="宋体" w:hAnsi="宋体" w:cstheme="minorEastAsia" w:hint="eastAsia"/>
          <w:color w:val="000000" w:themeColor="text1"/>
        </w:rPr>
      </w:pPr>
      <w:r>
        <w:rPr>
          <w:rFonts w:ascii="宋体" w:eastAsia="宋体" w:hAnsi="宋体" w:hint="eastAsia"/>
          <w:b/>
          <w:color w:val="000000" w:themeColor="text1"/>
        </w:rPr>
        <w:t>附件</w:t>
      </w:r>
      <w:r>
        <w:rPr>
          <w:rFonts w:ascii="宋体" w:eastAsia="宋体" w:hAnsi="宋体" w:cstheme="minorEastAsia" w:hint="eastAsia"/>
          <w:b/>
          <w:color w:val="000000" w:themeColor="text1"/>
        </w:rPr>
        <w:t>（附件是合同的不可分割的组成部分，与合同具有同等法律效力）</w:t>
      </w:r>
    </w:p>
    <w:p w14:paraId="1D9CC928"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附件1：报价清单</w:t>
      </w:r>
    </w:p>
    <w:p w14:paraId="22DDBAAE"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w:t>
      </w:r>
      <w:bookmarkStart w:id="8" w:name="OLE_LINK3"/>
      <w:r>
        <w:rPr>
          <w:rFonts w:ascii="宋体" w:eastAsia="宋体" w:hAnsi="宋体" w:hint="eastAsia"/>
          <w:color w:val="000000" w:themeColor="text1"/>
        </w:rPr>
        <w:t>2：</w:t>
      </w:r>
      <w:bookmarkEnd w:id="8"/>
      <w:r>
        <w:rPr>
          <w:rFonts w:ascii="宋体" w:eastAsia="宋体" w:hAnsi="宋体" w:hint="eastAsia"/>
          <w:color w:val="000000" w:themeColor="text1"/>
        </w:rPr>
        <w:t>可选择供应的时花品种清单</w:t>
      </w:r>
    </w:p>
    <w:p w14:paraId="2F4F7310"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附件3：拟投入设备工具清单</w:t>
      </w:r>
    </w:p>
    <w:p w14:paraId="15FDFC17"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w:t>
      </w:r>
      <w:r>
        <w:rPr>
          <w:rFonts w:ascii="宋体" w:eastAsia="宋体" w:hAnsi="宋体"/>
          <w:color w:val="000000" w:themeColor="text1"/>
        </w:rPr>
        <w:t>4</w:t>
      </w:r>
      <w:r>
        <w:rPr>
          <w:rFonts w:ascii="宋体" w:eastAsia="宋体" w:hAnsi="宋体" w:hint="eastAsia"/>
          <w:color w:val="000000" w:themeColor="text1"/>
        </w:rPr>
        <w:t>：绿化养护评分表</w:t>
      </w:r>
    </w:p>
    <w:p w14:paraId="4BBCB893"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附件5：绿化养护技术要求及标准</w:t>
      </w:r>
    </w:p>
    <w:p w14:paraId="2201BE6A"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附件6：绿化养护工作月历</w:t>
      </w:r>
    </w:p>
    <w:p w14:paraId="37F2A846" w14:textId="77777777" w:rsidR="00B420F1" w:rsidRDefault="00917C7B">
      <w:pPr>
        <w:ind w:firstLine="420"/>
        <w:jc w:val="both"/>
        <w:rPr>
          <w:rFonts w:ascii="宋体" w:eastAsia="宋体" w:hAnsi="宋体" w:hint="eastAsia"/>
          <w:color w:val="000000" w:themeColor="text1"/>
        </w:rPr>
      </w:pPr>
      <w:r>
        <w:rPr>
          <w:rFonts w:ascii="宋体" w:eastAsia="宋体" w:hAnsi="宋体" w:hint="eastAsia"/>
          <w:color w:val="000000" w:themeColor="text1"/>
        </w:rPr>
        <w:t>附件7：广州越秀国际会议中心树木清单</w:t>
      </w:r>
    </w:p>
    <w:p w14:paraId="732E4F02" w14:textId="77777777" w:rsidR="00B420F1" w:rsidRDefault="00917C7B">
      <w:pPr>
        <w:ind w:firstLine="420"/>
        <w:jc w:val="both"/>
        <w:rPr>
          <w:rFonts w:ascii="宋体" w:eastAsia="宋体" w:hAnsi="宋体" w:hint="eastAsia"/>
          <w:b/>
          <w:color w:val="000000" w:themeColor="text1"/>
          <w:sz w:val="24"/>
          <w:szCs w:val="24"/>
        </w:rPr>
      </w:pPr>
      <w:r>
        <w:rPr>
          <w:rFonts w:ascii="宋体" w:eastAsia="宋体" w:hAnsi="宋体" w:hint="eastAsia"/>
          <w:color w:val="000000" w:themeColor="text1"/>
        </w:rPr>
        <w:t>附件8：合规及廉政协议</w:t>
      </w:r>
    </w:p>
    <w:p w14:paraId="5299E7CD" w14:textId="77777777" w:rsidR="00B420F1" w:rsidRDefault="00917C7B">
      <w:pPr>
        <w:ind w:firstLine="420"/>
        <w:jc w:val="both"/>
        <w:rPr>
          <w:rFonts w:ascii="宋体" w:eastAsia="宋体" w:hAnsi="宋体" w:hint="eastAsia"/>
          <w:bCs/>
          <w:color w:val="000000" w:themeColor="text1"/>
        </w:rPr>
      </w:pPr>
      <w:r>
        <w:rPr>
          <w:rFonts w:ascii="宋体" w:eastAsia="宋体" w:hAnsi="宋体" w:hint="eastAsia"/>
          <w:bCs/>
          <w:color w:val="000000" w:themeColor="text1"/>
        </w:rPr>
        <w:t>（以下无正文）</w:t>
      </w:r>
    </w:p>
    <w:p w14:paraId="755E88D9" w14:textId="77777777" w:rsidR="00B420F1" w:rsidRDefault="00917C7B">
      <w:pPr>
        <w:tabs>
          <w:tab w:val="clear" w:pos="1197"/>
        </w:tabs>
        <w:spacing w:line="240" w:lineRule="auto"/>
        <w:ind w:firstLineChars="0" w:firstLine="0"/>
        <w:rPr>
          <w:rFonts w:ascii="宋体" w:eastAsia="宋体" w:hAnsi="宋体" w:hint="eastAsia"/>
          <w:color w:val="000000" w:themeColor="text1"/>
        </w:rPr>
      </w:pPr>
      <w:r>
        <w:rPr>
          <w:rFonts w:ascii="宋体" w:eastAsia="宋体" w:hAnsi="宋体"/>
          <w:color w:val="000000" w:themeColor="text1"/>
        </w:rPr>
        <w:br w:type="page"/>
      </w:r>
    </w:p>
    <w:p w14:paraId="46B4E3D1"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lastRenderedPageBreak/>
        <w:t>此页无正文，为《广州越秀国际会议中心2026-2028年绿化养护服务合同》之签署页</w:t>
      </w:r>
    </w:p>
    <w:p w14:paraId="2494B3DA" w14:textId="77777777" w:rsidR="00B420F1" w:rsidRDefault="00B420F1">
      <w:pPr>
        <w:ind w:firstLineChars="0" w:firstLine="0"/>
        <w:rPr>
          <w:rFonts w:ascii="宋体" w:eastAsia="宋体" w:hAnsi="宋体" w:hint="eastAsia"/>
          <w:color w:val="000000" w:themeColor="text1"/>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0"/>
        <w:gridCol w:w="3102"/>
        <w:gridCol w:w="1758"/>
        <w:gridCol w:w="2988"/>
      </w:tblGrid>
      <w:tr w:rsidR="00B420F1" w14:paraId="73C0F7BB" w14:textId="77777777">
        <w:trPr>
          <w:trHeight w:val="490"/>
        </w:trPr>
        <w:tc>
          <w:tcPr>
            <w:tcW w:w="4862" w:type="dxa"/>
            <w:gridSpan w:val="2"/>
            <w:vAlign w:val="center"/>
          </w:tcPr>
          <w:p w14:paraId="77C46D63" w14:textId="77777777" w:rsidR="00B420F1" w:rsidRDefault="00917C7B">
            <w:pPr>
              <w:ind w:firstLineChars="0" w:firstLine="0"/>
              <w:rPr>
                <w:rFonts w:ascii="宋体" w:eastAsia="宋体" w:hAnsi="宋体" w:cs="宋体" w:hint="eastAsia"/>
                <w:b/>
                <w:bCs/>
                <w:color w:val="000000" w:themeColor="text1"/>
              </w:rPr>
            </w:pPr>
            <w:r>
              <w:rPr>
                <w:rFonts w:ascii="宋体" w:eastAsia="宋体" w:hAnsi="宋体" w:cs="宋体" w:hint="eastAsia"/>
                <w:b/>
                <w:bCs/>
                <w:color w:val="000000" w:themeColor="text1"/>
              </w:rPr>
              <w:t>甲             方（盖章）</w:t>
            </w:r>
          </w:p>
        </w:tc>
        <w:tc>
          <w:tcPr>
            <w:tcW w:w="4746" w:type="dxa"/>
            <w:gridSpan w:val="2"/>
            <w:vAlign w:val="center"/>
          </w:tcPr>
          <w:p w14:paraId="45A55BD6"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b/>
                <w:color w:val="000000" w:themeColor="text1"/>
              </w:rPr>
              <w:t>乙</w:t>
            </w:r>
            <w:r>
              <w:rPr>
                <w:rFonts w:ascii="宋体" w:eastAsia="宋体" w:hAnsi="宋体" w:cs="宋体"/>
                <w:b/>
                <w:color w:val="000000" w:themeColor="text1"/>
              </w:rPr>
              <w:t xml:space="preserve">             </w:t>
            </w:r>
            <w:r>
              <w:rPr>
                <w:rFonts w:ascii="宋体" w:eastAsia="宋体" w:hAnsi="宋体" w:cs="宋体" w:hint="eastAsia"/>
                <w:b/>
                <w:color w:val="000000" w:themeColor="text1"/>
              </w:rPr>
              <w:t>方（盖章）</w:t>
            </w:r>
          </w:p>
        </w:tc>
      </w:tr>
      <w:tr w:rsidR="00B420F1" w14:paraId="26216E81" w14:textId="77777777">
        <w:trPr>
          <w:trHeight w:val="540"/>
        </w:trPr>
        <w:tc>
          <w:tcPr>
            <w:tcW w:w="1760" w:type="dxa"/>
            <w:vAlign w:val="center"/>
          </w:tcPr>
          <w:p w14:paraId="4CECBCB7"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单位名称</w:t>
            </w:r>
          </w:p>
        </w:tc>
        <w:tc>
          <w:tcPr>
            <w:tcW w:w="3102" w:type="dxa"/>
            <w:vAlign w:val="center"/>
          </w:tcPr>
          <w:p w14:paraId="31109505"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p>
        </w:tc>
        <w:tc>
          <w:tcPr>
            <w:tcW w:w="1758" w:type="dxa"/>
            <w:vAlign w:val="center"/>
          </w:tcPr>
          <w:p w14:paraId="6431A0CE"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单位名称</w:t>
            </w:r>
          </w:p>
        </w:tc>
        <w:tc>
          <w:tcPr>
            <w:tcW w:w="2988" w:type="dxa"/>
            <w:vAlign w:val="center"/>
          </w:tcPr>
          <w:p w14:paraId="5EF2DD52" w14:textId="77777777" w:rsidR="00B420F1" w:rsidRDefault="00B420F1">
            <w:pPr>
              <w:ind w:firstLineChars="0" w:firstLine="0"/>
              <w:rPr>
                <w:rFonts w:ascii="宋体" w:eastAsia="宋体" w:hAnsi="宋体" w:cs="宋体" w:hint="eastAsia"/>
                <w:color w:val="000000" w:themeColor="text1"/>
              </w:rPr>
            </w:pPr>
          </w:p>
        </w:tc>
      </w:tr>
      <w:tr w:rsidR="00B420F1" w14:paraId="5B0B1E7F" w14:textId="77777777">
        <w:trPr>
          <w:trHeight w:val="490"/>
        </w:trPr>
        <w:tc>
          <w:tcPr>
            <w:tcW w:w="1760" w:type="dxa"/>
            <w:vAlign w:val="center"/>
          </w:tcPr>
          <w:p w14:paraId="6B990AED"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日期</w:t>
            </w:r>
          </w:p>
        </w:tc>
        <w:tc>
          <w:tcPr>
            <w:tcW w:w="3102" w:type="dxa"/>
            <w:vAlign w:val="center"/>
          </w:tcPr>
          <w:p w14:paraId="69450B8C" w14:textId="77777777" w:rsidR="00B420F1" w:rsidRDefault="00917C7B">
            <w:pPr>
              <w:ind w:firstLineChars="0" w:firstLine="0"/>
              <w:rPr>
                <w:rFonts w:ascii="宋体" w:eastAsia="宋体" w:hAnsi="宋体" w:cs="宋体" w:hint="eastAsia"/>
                <w:color w:val="000000" w:themeColor="text1"/>
              </w:rPr>
            </w:pP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r>
              <w:rPr>
                <w:rFonts w:ascii="宋体" w:eastAsia="宋体" w:hAnsi="宋体" w:cs="宋体" w:hint="eastAsia"/>
                <w:color w:val="000000" w:themeColor="text1"/>
              </w:rPr>
              <w:t xml:space="preserve">  </w:t>
            </w:r>
            <w:r>
              <w:rPr>
                <w:rFonts w:ascii="宋体" w:eastAsia="宋体" w:hAnsi="宋体" w:cs="宋体"/>
                <w:color w:val="000000" w:themeColor="text1"/>
              </w:rPr>
              <w:t xml:space="preserve">   </w:t>
            </w:r>
          </w:p>
        </w:tc>
        <w:tc>
          <w:tcPr>
            <w:tcW w:w="1758" w:type="dxa"/>
            <w:vAlign w:val="center"/>
          </w:tcPr>
          <w:p w14:paraId="18D8F7F7" w14:textId="77777777" w:rsidR="00B420F1" w:rsidRDefault="00917C7B">
            <w:pPr>
              <w:ind w:firstLineChars="0" w:firstLine="0"/>
              <w:jc w:val="distribute"/>
              <w:rPr>
                <w:rFonts w:ascii="宋体" w:eastAsia="宋体" w:hAnsi="宋体" w:cs="宋体" w:hint="eastAsia"/>
                <w:color w:val="000000" w:themeColor="text1"/>
              </w:rPr>
            </w:pPr>
            <w:r>
              <w:rPr>
                <w:rFonts w:ascii="宋体" w:eastAsia="宋体" w:hAnsi="宋体" w:cs="宋体" w:hint="eastAsia"/>
                <w:color w:val="000000" w:themeColor="text1"/>
              </w:rPr>
              <w:t>日期</w:t>
            </w:r>
          </w:p>
        </w:tc>
        <w:tc>
          <w:tcPr>
            <w:tcW w:w="2988" w:type="dxa"/>
            <w:vAlign w:val="center"/>
          </w:tcPr>
          <w:p w14:paraId="56AD8D1B" w14:textId="77777777" w:rsidR="00B420F1" w:rsidRDefault="00B420F1">
            <w:pPr>
              <w:ind w:firstLineChars="0" w:firstLine="0"/>
              <w:rPr>
                <w:rFonts w:ascii="宋体" w:eastAsia="宋体" w:hAnsi="宋体" w:cs="宋体" w:hint="eastAsia"/>
                <w:color w:val="000000" w:themeColor="text1"/>
              </w:rPr>
            </w:pPr>
          </w:p>
        </w:tc>
      </w:tr>
    </w:tbl>
    <w:p w14:paraId="549DD83C" w14:textId="77777777" w:rsidR="00B420F1" w:rsidRDefault="00B420F1">
      <w:pPr>
        <w:ind w:firstLineChars="0" w:firstLine="0"/>
        <w:rPr>
          <w:rFonts w:ascii="宋体" w:eastAsia="宋体" w:hAnsi="宋体" w:hint="eastAsia"/>
          <w:color w:val="000000" w:themeColor="text1"/>
        </w:rPr>
      </w:pPr>
    </w:p>
    <w:p w14:paraId="467D576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br w:type="page"/>
      </w:r>
    </w:p>
    <w:p w14:paraId="518FE470" w14:textId="77777777" w:rsidR="00B420F1" w:rsidRDefault="00917C7B">
      <w:pPr>
        <w:ind w:firstLineChars="0" w:firstLine="0"/>
        <w:jc w:val="both"/>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附件1：报价清单</w:t>
      </w:r>
    </w:p>
    <w:p w14:paraId="183B6F7C" w14:textId="77777777" w:rsidR="00B420F1" w:rsidRDefault="00917C7B">
      <w:pPr>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t xml:space="preserve"> </w:t>
      </w:r>
    </w:p>
    <w:p w14:paraId="3B30B6DF" w14:textId="77777777" w:rsidR="00B420F1" w:rsidRDefault="00B420F1">
      <w:pPr>
        <w:ind w:firstLineChars="0" w:firstLine="0"/>
        <w:rPr>
          <w:rFonts w:ascii="宋体" w:eastAsia="宋体" w:hAnsi="宋体" w:hint="eastAsia"/>
          <w:b/>
          <w:color w:val="000000" w:themeColor="text1"/>
          <w:sz w:val="22"/>
          <w:szCs w:val="22"/>
        </w:rPr>
        <w:sectPr w:rsidR="00B420F1">
          <w:type w:val="continuous"/>
          <w:pgSz w:w="11906" w:h="16838"/>
          <w:pgMar w:top="1440" w:right="1080" w:bottom="1440" w:left="1080" w:header="737" w:footer="992" w:gutter="170"/>
          <w:cols w:space="720"/>
          <w:docGrid w:type="lines" w:linePitch="291" w:charSpace="-3935"/>
        </w:sectPr>
      </w:pPr>
    </w:p>
    <w:p w14:paraId="56E46626" w14:textId="77777777" w:rsidR="00B420F1" w:rsidRDefault="00917C7B">
      <w:pPr>
        <w:tabs>
          <w:tab w:val="left" w:pos="839"/>
        </w:tabs>
        <w:ind w:firstLineChars="0" w:firstLine="0"/>
        <w:rPr>
          <w:rFonts w:ascii="宋体" w:eastAsia="宋体" w:hAnsi="宋体" w:hint="eastAsia"/>
          <w:b/>
          <w:bCs/>
          <w:color w:val="000000" w:themeColor="text1"/>
        </w:rPr>
      </w:pPr>
      <w:r>
        <w:rPr>
          <w:rFonts w:ascii="宋体" w:eastAsia="宋体" w:hAnsi="宋体" w:hint="eastAsia"/>
          <w:b/>
          <w:color w:val="000000" w:themeColor="text1"/>
          <w:sz w:val="22"/>
          <w:szCs w:val="22"/>
        </w:rPr>
        <w:lastRenderedPageBreak/>
        <w:t>附件</w:t>
      </w:r>
      <w:r>
        <w:rPr>
          <w:rFonts w:ascii="宋体" w:eastAsia="宋体" w:hAnsi="宋体"/>
          <w:b/>
          <w:color w:val="000000" w:themeColor="text1"/>
          <w:sz w:val="22"/>
          <w:szCs w:val="22"/>
        </w:rPr>
        <w:t>2</w:t>
      </w:r>
      <w:r>
        <w:rPr>
          <w:rFonts w:ascii="宋体" w:eastAsia="宋体" w:hAnsi="宋体" w:hint="eastAsia"/>
          <w:b/>
          <w:color w:val="000000" w:themeColor="text1"/>
          <w:sz w:val="22"/>
          <w:szCs w:val="22"/>
        </w:rPr>
        <w:t>：可选择供应的时花品种清单（</w:t>
      </w:r>
      <w:r>
        <w:rPr>
          <w:rFonts w:ascii="宋体" w:eastAsia="宋体" w:hAnsi="宋体"/>
          <w:b/>
          <w:bCs/>
          <w:color w:val="000000" w:themeColor="text1"/>
        </w:rPr>
        <w:t>本清单内</w:t>
      </w:r>
      <w:r>
        <w:rPr>
          <w:rFonts w:ascii="宋体" w:eastAsia="宋体" w:hAnsi="宋体" w:hint="eastAsia"/>
          <w:b/>
          <w:bCs/>
          <w:color w:val="000000" w:themeColor="text1"/>
        </w:rPr>
        <w:t>包含三款基础品种时花（</w:t>
      </w:r>
      <w:r>
        <w:rPr>
          <w:rFonts w:ascii="宋体" w:eastAsia="宋体" w:hAnsi="宋体"/>
          <w:b/>
          <w:bCs/>
          <w:color w:val="000000" w:themeColor="text1"/>
        </w:rPr>
        <w:t>百日草、一串红、鸡冠花</w:t>
      </w:r>
      <w:r>
        <w:rPr>
          <w:rFonts w:ascii="宋体" w:eastAsia="宋体" w:hAnsi="宋体" w:hint="eastAsia"/>
          <w:b/>
          <w:bCs/>
          <w:color w:val="000000" w:themeColor="text1"/>
        </w:rPr>
        <w:t>）</w:t>
      </w:r>
      <w:r>
        <w:rPr>
          <w:rFonts w:ascii="宋体" w:eastAsia="宋体" w:hAnsi="宋体"/>
          <w:b/>
          <w:bCs/>
          <w:color w:val="000000" w:themeColor="text1"/>
        </w:rPr>
        <w:t>，</w:t>
      </w:r>
      <w:r>
        <w:rPr>
          <w:rFonts w:ascii="宋体" w:eastAsia="宋体" w:hAnsi="宋体" w:hint="eastAsia"/>
          <w:b/>
          <w:bCs/>
          <w:color w:val="000000" w:themeColor="text1"/>
        </w:rPr>
        <w:t>以及乙方增补可</w:t>
      </w:r>
      <w:r>
        <w:rPr>
          <w:rFonts w:ascii="宋体" w:eastAsia="宋体" w:hAnsi="宋体"/>
          <w:b/>
          <w:bCs/>
          <w:color w:val="000000" w:themeColor="text1"/>
        </w:rPr>
        <w:t>供</w:t>
      </w:r>
      <w:r>
        <w:rPr>
          <w:rFonts w:ascii="宋体" w:eastAsia="宋体" w:hAnsi="宋体" w:hint="eastAsia"/>
          <w:b/>
          <w:bCs/>
          <w:color w:val="000000" w:themeColor="text1"/>
        </w:rPr>
        <w:t>甲方</w:t>
      </w:r>
      <w:r>
        <w:rPr>
          <w:rFonts w:ascii="宋体" w:eastAsia="宋体" w:hAnsi="宋体"/>
          <w:b/>
          <w:bCs/>
          <w:color w:val="000000" w:themeColor="text1"/>
        </w:rPr>
        <w:t>选择的时花品种，</w:t>
      </w:r>
      <w:r>
        <w:rPr>
          <w:rFonts w:ascii="宋体" w:eastAsia="宋体" w:hAnsi="宋体" w:hint="eastAsia"/>
          <w:b/>
          <w:bCs/>
          <w:color w:val="000000" w:themeColor="text1"/>
        </w:rPr>
        <w:t>甲方</w:t>
      </w:r>
      <w:r>
        <w:rPr>
          <w:rFonts w:ascii="宋体" w:eastAsia="宋体" w:hAnsi="宋体"/>
          <w:b/>
          <w:bCs/>
          <w:color w:val="000000" w:themeColor="text1"/>
        </w:rPr>
        <w:t>根据项目情况、展会活动、季节更替、景观升级等需求</w:t>
      </w:r>
      <w:r>
        <w:rPr>
          <w:rFonts w:ascii="宋体" w:eastAsia="宋体" w:hAnsi="宋体" w:hint="eastAsia"/>
          <w:b/>
          <w:bCs/>
          <w:color w:val="000000" w:themeColor="text1"/>
        </w:rPr>
        <w:t>进行</w:t>
      </w:r>
      <w:r>
        <w:rPr>
          <w:rFonts w:ascii="宋体" w:eastAsia="宋体" w:hAnsi="宋体"/>
          <w:b/>
          <w:bCs/>
          <w:color w:val="000000" w:themeColor="text1"/>
        </w:rPr>
        <w:t>选用，据实结算；</w:t>
      </w:r>
      <w:r>
        <w:rPr>
          <w:rFonts w:ascii="宋体" w:eastAsia="宋体" w:hAnsi="宋体" w:hint="eastAsia"/>
          <w:b/>
          <w:color w:val="000000" w:themeColor="text1"/>
          <w:sz w:val="22"/>
          <w:szCs w:val="22"/>
        </w:rPr>
        <w:t>）</w:t>
      </w:r>
    </w:p>
    <w:tbl>
      <w:tblPr>
        <w:tblStyle w:val="a7"/>
        <w:tblW w:w="0" w:type="auto"/>
        <w:jc w:val="center"/>
        <w:tblLook w:val="04A0" w:firstRow="1" w:lastRow="0" w:firstColumn="1" w:lastColumn="0" w:noHBand="0" w:noVBand="1"/>
      </w:tblPr>
      <w:tblGrid>
        <w:gridCol w:w="663"/>
        <w:gridCol w:w="1081"/>
        <w:gridCol w:w="1204"/>
        <w:gridCol w:w="1387"/>
        <w:gridCol w:w="1201"/>
        <w:gridCol w:w="2639"/>
        <w:gridCol w:w="1356"/>
      </w:tblGrid>
      <w:tr w:rsidR="00B420F1" w14:paraId="3AD675B5" w14:textId="77777777">
        <w:trPr>
          <w:jc w:val="center"/>
        </w:trPr>
        <w:tc>
          <w:tcPr>
            <w:tcW w:w="663" w:type="dxa"/>
            <w:vAlign w:val="center"/>
          </w:tcPr>
          <w:p w14:paraId="132F912E"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序号</w:t>
            </w:r>
          </w:p>
        </w:tc>
        <w:tc>
          <w:tcPr>
            <w:tcW w:w="1081" w:type="dxa"/>
            <w:vAlign w:val="center"/>
          </w:tcPr>
          <w:p w14:paraId="22E14F3B"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时花名称</w:t>
            </w:r>
          </w:p>
        </w:tc>
        <w:tc>
          <w:tcPr>
            <w:tcW w:w="1204" w:type="dxa"/>
            <w:vAlign w:val="center"/>
          </w:tcPr>
          <w:p w14:paraId="38A942C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时花颜色</w:t>
            </w:r>
          </w:p>
        </w:tc>
        <w:tc>
          <w:tcPr>
            <w:tcW w:w="1387" w:type="dxa"/>
            <w:vAlign w:val="center"/>
          </w:tcPr>
          <w:p w14:paraId="5073BCE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高度</w:t>
            </w:r>
          </w:p>
        </w:tc>
        <w:tc>
          <w:tcPr>
            <w:tcW w:w="1201" w:type="dxa"/>
            <w:vAlign w:val="center"/>
          </w:tcPr>
          <w:p w14:paraId="032310B6"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花期</w:t>
            </w:r>
          </w:p>
        </w:tc>
        <w:tc>
          <w:tcPr>
            <w:tcW w:w="2639" w:type="dxa"/>
            <w:vAlign w:val="center"/>
          </w:tcPr>
          <w:p w14:paraId="7344D65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图片</w:t>
            </w:r>
          </w:p>
        </w:tc>
        <w:tc>
          <w:tcPr>
            <w:tcW w:w="1356" w:type="dxa"/>
            <w:vAlign w:val="center"/>
          </w:tcPr>
          <w:p w14:paraId="32DF47E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生长习性</w:t>
            </w:r>
          </w:p>
        </w:tc>
      </w:tr>
      <w:tr w:rsidR="00B420F1" w14:paraId="2152D6F5" w14:textId="77777777">
        <w:trPr>
          <w:jc w:val="center"/>
        </w:trPr>
        <w:tc>
          <w:tcPr>
            <w:tcW w:w="663" w:type="dxa"/>
            <w:vAlign w:val="center"/>
          </w:tcPr>
          <w:p w14:paraId="506E863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1</w:t>
            </w:r>
          </w:p>
        </w:tc>
        <w:tc>
          <w:tcPr>
            <w:tcW w:w="1081" w:type="dxa"/>
            <w:vAlign w:val="center"/>
          </w:tcPr>
          <w:p w14:paraId="3B1F76D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百日草</w:t>
            </w:r>
          </w:p>
        </w:tc>
        <w:tc>
          <w:tcPr>
            <w:tcW w:w="1204" w:type="dxa"/>
            <w:vAlign w:val="center"/>
          </w:tcPr>
          <w:p w14:paraId="411F234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红色、黄色等</w:t>
            </w:r>
          </w:p>
        </w:tc>
        <w:tc>
          <w:tcPr>
            <w:tcW w:w="1387" w:type="dxa"/>
            <w:vAlign w:val="center"/>
          </w:tcPr>
          <w:p w14:paraId="6298EFF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203BF2FD"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6 月至10 月</w:t>
            </w:r>
          </w:p>
        </w:tc>
        <w:tc>
          <w:tcPr>
            <w:tcW w:w="2639" w:type="dxa"/>
            <w:vAlign w:val="center"/>
          </w:tcPr>
          <w:p w14:paraId="36E5963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Times New Roman" w:eastAsia="宋体" w:hAnsi="Times New Roman"/>
                <w:noProof/>
                <w:szCs w:val="22"/>
              </w:rPr>
              <w:drawing>
                <wp:inline distT="0" distB="0" distL="0" distR="0" wp14:anchorId="6EB98191" wp14:editId="5DAC7DA7">
                  <wp:extent cx="1513840" cy="976630"/>
                  <wp:effectExtent l="0" t="0" r="0" b="0"/>
                  <wp:docPr id="591806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6267" name="图片 1"/>
                          <pic:cNvPicPr>
                            <a:picLocks noChangeAspect="1"/>
                          </pic:cNvPicPr>
                        </pic:nvPicPr>
                        <pic:blipFill>
                          <a:blip r:embed="rId14"/>
                          <a:stretch>
                            <a:fillRect/>
                          </a:stretch>
                        </pic:blipFill>
                        <pic:spPr>
                          <a:xfrm>
                            <a:off x="0" y="0"/>
                            <a:ext cx="1526400" cy="984443"/>
                          </a:xfrm>
                          <a:prstGeom prst="rect">
                            <a:avLst/>
                          </a:prstGeom>
                        </pic:spPr>
                      </pic:pic>
                    </a:graphicData>
                  </a:graphic>
                </wp:inline>
              </w:drawing>
            </w:r>
          </w:p>
        </w:tc>
        <w:tc>
          <w:tcPr>
            <w:tcW w:w="1356" w:type="dxa"/>
            <w:vAlign w:val="center"/>
          </w:tcPr>
          <w:p w14:paraId="20C0D90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喜阳光，耐热不耐寒</w:t>
            </w:r>
          </w:p>
        </w:tc>
      </w:tr>
      <w:tr w:rsidR="00B420F1" w14:paraId="1AF252D5" w14:textId="77777777">
        <w:trPr>
          <w:jc w:val="center"/>
        </w:trPr>
        <w:tc>
          <w:tcPr>
            <w:tcW w:w="663" w:type="dxa"/>
            <w:vAlign w:val="center"/>
          </w:tcPr>
          <w:p w14:paraId="020D40B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2</w:t>
            </w:r>
          </w:p>
        </w:tc>
        <w:tc>
          <w:tcPr>
            <w:tcW w:w="1081" w:type="dxa"/>
            <w:vAlign w:val="center"/>
          </w:tcPr>
          <w:p w14:paraId="51773E9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一串红</w:t>
            </w:r>
          </w:p>
        </w:tc>
        <w:tc>
          <w:tcPr>
            <w:tcW w:w="1204" w:type="dxa"/>
            <w:vAlign w:val="center"/>
          </w:tcPr>
          <w:p w14:paraId="66A8BF22"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w:t>
            </w:r>
          </w:p>
        </w:tc>
        <w:tc>
          <w:tcPr>
            <w:tcW w:w="1387" w:type="dxa"/>
            <w:vAlign w:val="center"/>
          </w:tcPr>
          <w:p w14:paraId="72B9667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4D9E0C9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3月至10月</w:t>
            </w:r>
          </w:p>
        </w:tc>
        <w:tc>
          <w:tcPr>
            <w:tcW w:w="2639" w:type="dxa"/>
            <w:vAlign w:val="center"/>
          </w:tcPr>
          <w:p w14:paraId="43562A2A"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cs="宋体"/>
                <w:noProof/>
                <w:sz w:val="24"/>
                <w:szCs w:val="24"/>
              </w:rPr>
              <w:drawing>
                <wp:inline distT="0" distB="0" distL="114300" distR="114300" wp14:anchorId="3D5D51C0" wp14:editId="401603AC">
                  <wp:extent cx="1411605" cy="1049020"/>
                  <wp:effectExtent l="0" t="0" r="5715" b="254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5"/>
                          <a:stretch>
                            <a:fillRect/>
                          </a:stretch>
                        </pic:blipFill>
                        <pic:spPr>
                          <a:xfrm>
                            <a:off x="0" y="0"/>
                            <a:ext cx="1411605" cy="1049020"/>
                          </a:xfrm>
                          <a:prstGeom prst="rect">
                            <a:avLst/>
                          </a:prstGeom>
                          <a:noFill/>
                          <a:ln w="9525">
                            <a:noFill/>
                          </a:ln>
                        </pic:spPr>
                      </pic:pic>
                    </a:graphicData>
                  </a:graphic>
                </wp:inline>
              </w:drawing>
            </w:r>
          </w:p>
        </w:tc>
        <w:tc>
          <w:tcPr>
            <w:tcW w:w="1356" w:type="dxa"/>
            <w:vAlign w:val="center"/>
          </w:tcPr>
          <w:p w14:paraId="5B9C6C4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喜阳光，耐热不耐寒，需排水良好土壤。</w:t>
            </w:r>
          </w:p>
        </w:tc>
      </w:tr>
      <w:tr w:rsidR="00B420F1" w14:paraId="1F517478" w14:textId="77777777">
        <w:trPr>
          <w:jc w:val="center"/>
        </w:trPr>
        <w:tc>
          <w:tcPr>
            <w:tcW w:w="663" w:type="dxa"/>
            <w:vAlign w:val="center"/>
          </w:tcPr>
          <w:p w14:paraId="5D607EF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3</w:t>
            </w:r>
          </w:p>
        </w:tc>
        <w:tc>
          <w:tcPr>
            <w:tcW w:w="1081" w:type="dxa"/>
            <w:vAlign w:val="center"/>
          </w:tcPr>
          <w:p w14:paraId="59F3651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鸡寇花</w:t>
            </w:r>
          </w:p>
        </w:tc>
        <w:tc>
          <w:tcPr>
            <w:tcW w:w="1204" w:type="dxa"/>
            <w:vAlign w:val="center"/>
          </w:tcPr>
          <w:p w14:paraId="69799591"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红色、紫色、黄色、橙色、白色等</w:t>
            </w:r>
          </w:p>
        </w:tc>
        <w:tc>
          <w:tcPr>
            <w:tcW w:w="1387" w:type="dxa"/>
            <w:vAlign w:val="center"/>
          </w:tcPr>
          <w:p w14:paraId="786BCBB1"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H:0.3-0.6M</w:t>
            </w:r>
          </w:p>
        </w:tc>
        <w:tc>
          <w:tcPr>
            <w:tcW w:w="1201" w:type="dxa"/>
            <w:vAlign w:val="center"/>
          </w:tcPr>
          <w:p w14:paraId="5A723458"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4月至9月</w:t>
            </w:r>
          </w:p>
        </w:tc>
        <w:tc>
          <w:tcPr>
            <w:tcW w:w="2639" w:type="dxa"/>
            <w:vAlign w:val="center"/>
          </w:tcPr>
          <w:p w14:paraId="6A4EF54C"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Times New Roman" w:eastAsia="宋体" w:hAnsi="Times New Roman"/>
                <w:noProof/>
                <w:szCs w:val="22"/>
              </w:rPr>
              <w:drawing>
                <wp:inline distT="0" distB="0" distL="114300" distR="114300" wp14:anchorId="2797BDEB" wp14:editId="035DB173">
                  <wp:extent cx="1440180" cy="971550"/>
                  <wp:effectExtent l="0" t="0" r="7620" b="38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6"/>
                          <a:stretch>
                            <a:fillRect/>
                          </a:stretch>
                        </pic:blipFill>
                        <pic:spPr>
                          <a:xfrm>
                            <a:off x="0" y="0"/>
                            <a:ext cx="1440180" cy="971550"/>
                          </a:xfrm>
                          <a:prstGeom prst="rect">
                            <a:avLst/>
                          </a:prstGeom>
                          <a:noFill/>
                          <a:ln w="9525">
                            <a:noFill/>
                          </a:ln>
                        </pic:spPr>
                      </pic:pic>
                    </a:graphicData>
                  </a:graphic>
                </wp:inline>
              </w:drawing>
            </w:r>
          </w:p>
        </w:tc>
        <w:tc>
          <w:tcPr>
            <w:tcW w:w="1356" w:type="dxa"/>
            <w:vAlign w:val="center"/>
          </w:tcPr>
          <w:p w14:paraId="722562F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b/>
                <w:bCs/>
                <w:color w:val="000000"/>
              </w:rPr>
              <w:t>喜阳光，耐热耐旱，怕涝，适合肥沃土壤。</w:t>
            </w:r>
          </w:p>
        </w:tc>
      </w:tr>
      <w:tr w:rsidR="00B420F1" w14:paraId="29C4C35A" w14:textId="77777777">
        <w:trPr>
          <w:jc w:val="center"/>
        </w:trPr>
        <w:tc>
          <w:tcPr>
            <w:tcW w:w="663" w:type="dxa"/>
            <w:vAlign w:val="center"/>
          </w:tcPr>
          <w:p w14:paraId="12EDECFF"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4</w:t>
            </w:r>
          </w:p>
        </w:tc>
        <w:tc>
          <w:tcPr>
            <w:tcW w:w="1081" w:type="dxa"/>
            <w:vAlign w:val="center"/>
          </w:tcPr>
          <w:p w14:paraId="4CA9BE7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6FCAE2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46B2D11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550CF411"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6CFC024B"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AF0FA7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2545F571" w14:textId="77777777">
        <w:trPr>
          <w:jc w:val="center"/>
        </w:trPr>
        <w:tc>
          <w:tcPr>
            <w:tcW w:w="663" w:type="dxa"/>
            <w:vAlign w:val="center"/>
          </w:tcPr>
          <w:p w14:paraId="7C8728A9"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5</w:t>
            </w:r>
          </w:p>
        </w:tc>
        <w:tc>
          <w:tcPr>
            <w:tcW w:w="1081" w:type="dxa"/>
            <w:vAlign w:val="center"/>
          </w:tcPr>
          <w:p w14:paraId="682FDAD8"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0EEB8FA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DF1A9F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3B125574"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49650C32"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4491B7D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46B88D69" w14:textId="77777777">
        <w:trPr>
          <w:jc w:val="center"/>
        </w:trPr>
        <w:tc>
          <w:tcPr>
            <w:tcW w:w="663" w:type="dxa"/>
            <w:vAlign w:val="center"/>
          </w:tcPr>
          <w:p w14:paraId="07E5B716"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6</w:t>
            </w:r>
          </w:p>
        </w:tc>
        <w:tc>
          <w:tcPr>
            <w:tcW w:w="1081" w:type="dxa"/>
            <w:vAlign w:val="center"/>
          </w:tcPr>
          <w:p w14:paraId="12AD81F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55F9256"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E7DAA28"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5F5B43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E0FB392"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0B6898BF"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659ADD94" w14:textId="77777777">
        <w:trPr>
          <w:jc w:val="center"/>
        </w:trPr>
        <w:tc>
          <w:tcPr>
            <w:tcW w:w="663" w:type="dxa"/>
            <w:vAlign w:val="center"/>
          </w:tcPr>
          <w:p w14:paraId="3115CD90"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7</w:t>
            </w:r>
          </w:p>
        </w:tc>
        <w:tc>
          <w:tcPr>
            <w:tcW w:w="1081" w:type="dxa"/>
            <w:vAlign w:val="center"/>
          </w:tcPr>
          <w:p w14:paraId="2C7BCDA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248E40D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005932A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78F9B26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1E3EAD15"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6582CA61"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311218EF" w14:textId="77777777">
        <w:trPr>
          <w:jc w:val="center"/>
        </w:trPr>
        <w:tc>
          <w:tcPr>
            <w:tcW w:w="663" w:type="dxa"/>
            <w:vAlign w:val="center"/>
          </w:tcPr>
          <w:p w14:paraId="013357A7"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8</w:t>
            </w:r>
          </w:p>
        </w:tc>
        <w:tc>
          <w:tcPr>
            <w:tcW w:w="1081" w:type="dxa"/>
            <w:vAlign w:val="center"/>
          </w:tcPr>
          <w:p w14:paraId="29B64FD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5221274C"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CED653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A4FCB0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22D07FE"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498481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627D0BFE" w14:textId="77777777">
        <w:trPr>
          <w:jc w:val="center"/>
        </w:trPr>
        <w:tc>
          <w:tcPr>
            <w:tcW w:w="663" w:type="dxa"/>
            <w:vAlign w:val="center"/>
          </w:tcPr>
          <w:p w14:paraId="1E53685C"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9</w:t>
            </w:r>
          </w:p>
        </w:tc>
        <w:tc>
          <w:tcPr>
            <w:tcW w:w="1081" w:type="dxa"/>
            <w:vAlign w:val="center"/>
          </w:tcPr>
          <w:p w14:paraId="00D75B9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60E1F60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7A8C85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011A3D0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66A2CD7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0EB21FD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1A8F54B8" w14:textId="77777777">
        <w:trPr>
          <w:jc w:val="center"/>
        </w:trPr>
        <w:tc>
          <w:tcPr>
            <w:tcW w:w="663" w:type="dxa"/>
            <w:vAlign w:val="center"/>
          </w:tcPr>
          <w:p w14:paraId="7241FDA4"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10</w:t>
            </w:r>
          </w:p>
        </w:tc>
        <w:tc>
          <w:tcPr>
            <w:tcW w:w="1081" w:type="dxa"/>
            <w:vAlign w:val="center"/>
          </w:tcPr>
          <w:p w14:paraId="68AC6BC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39AF53B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162A48B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6F34CD7A"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57BBAD37"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55F10666"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438CA422" w14:textId="77777777">
        <w:trPr>
          <w:jc w:val="center"/>
        </w:trPr>
        <w:tc>
          <w:tcPr>
            <w:tcW w:w="663" w:type="dxa"/>
            <w:vAlign w:val="center"/>
          </w:tcPr>
          <w:p w14:paraId="07B1CC45" w14:textId="77777777" w:rsidR="00B420F1" w:rsidRDefault="00917C7B">
            <w:pPr>
              <w:widowControl w:val="0"/>
              <w:tabs>
                <w:tab w:val="clear" w:pos="1197"/>
                <w:tab w:val="left" w:pos="839"/>
              </w:tabs>
              <w:ind w:firstLineChars="0" w:firstLine="0"/>
              <w:jc w:val="center"/>
              <w:rPr>
                <w:rFonts w:ascii="宋体" w:eastAsia="宋体" w:hAnsi="宋体" w:hint="eastAsia"/>
                <w:b/>
                <w:bCs/>
                <w:color w:val="000000"/>
              </w:rPr>
            </w:pPr>
            <w:r>
              <w:rPr>
                <w:rFonts w:ascii="宋体" w:eastAsia="宋体" w:hAnsi="宋体" w:hint="eastAsia"/>
                <w:b/>
                <w:bCs/>
                <w:color w:val="000000"/>
              </w:rPr>
              <w:t>……</w:t>
            </w:r>
          </w:p>
        </w:tc>
        <w:tc>
          <w:tcPr>
            <w:tcW w:w="1081" w:type="dxa"/>
            <w:vAlign w:val="center"/>
          </w:tcPr>
          <w:p w14:paraId="4AF63A1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631FB26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520C6479"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4077593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3DA7467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5547EE4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743062DC" w14:textId="77777777">
        <w:trPr>
          <w:jc w:val="center"/>
        </w:trPr>
        <w:tc>
          <w:tcPr>
            <w:tcW w:w="663" w:type="dxa"/>
            <w:vAlign w:val="center"/>
          </w:tcPr>
          <w:p w14:paraId="058188B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081" w:type="dxa"/>
            <w:vAlign w:val="center"/>
          </w:tcPr>
          <w:p w14:paraId="5567931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018226A2"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910C973"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140D2E40"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58B41ACD"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1075043D"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r w:rsidR="00B420F1" w14:paraId="0011D011" w14:textId="77777777">
        <w:trPr>
          <w:jc w:val="center"/>
        </w:trPr>
        <w:tc>
          <w:tcPr>
            <w:tcW w:w="663" w:type="dxa"/>
            <w:vAlign w:val="center"/>
          </w:tcPr>
          <w:p w14:paraId="7F4D95C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081" w:type="dxa"/>
            <w:vAlign w:val="center"/>
          </w:tcPr>
          <w:p w14:paraId="5E7880F5"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4" w:type="dxa"/>
            <w:vAlign w:val="center"/>
          </w:tcPr>
          <w:p w14:paraId="4FF82CB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387" w:type="dxa"/>
            <w:vAlign w:val="center"/>
          </w:tcPr>
          <w:p w14:paraId="7ED85007"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1201" w:type="dxa"/>
            <w:vAlign w:val="center"/>
          </w:tcPr>
          <w:p w14:paraId="4B831DCB"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c>
          <w:tcPr>
            <w:tcW w:w="2639" w:type="dxa"/>
            <w:vAlign w:val="center"/>
          </w:tcPr>
          <w:p w14:paraId="001ADB54" w14:textId="77777777" w:rsidR="00B420F1" w:rsidRDefault="00B420F1">
            <w:pPr>
              <w:widowControl w:val="0"/>
              <w:tabs>
                <w:tab w:val="clear" w:pos="1197"/>
                <w:tab w:val="left" w:pos="839"/>
              </w:tabs>
              <w:ind w:firstLineChars="0" w:firstLine="0"/>
              <w:jc w:val="center"/>
              <w:rPr>
                <w:rFonts w:ascii="Times New Roman" w:eastAsia="宋体" w:hAnsi="Times New Roman"/>
                <w:szCs w:val="22"/>
              </w:rPr>
            </w:pPr>
          </w:p>
        </w:tc>
        <w:tc>
          <w:tcPr>
            <w:tcW w:w="1356" w:type="dxa"/>
            <w:vAlign w:val="center"/>
          </w:tcPr>
          <w:p w14:paraId="215CCC2E" w14:textId="77777777" w:rsidR="00B420F1" w:rsidRDefault="00B420F1">
            <w:pPr>
              <w:widowControl w:val="0"/>
              <w:tabs>
                <w:tab w:val="clear" w:pos="1197"/>
                <w:tab w:val="left" w:pos="839"/>
              </w:tabs>
              <w:ind w:firstLineChars="0" w:firstLine="0"/>
              <w:jc w:val="center"/>
              <w:rPr>
                <w:rFonts w:ascii="宋体" w:eastAsia="宋体" w:hAnsi="宋体" w:hint="eastAsia"/>
                <w:b/>
                <w:bCs/>
                <w:color w:val="000000"/>
              </w:rPr>
            </w:pPr>
          </w:p>
        </w:tc>
      </w:tr>
    </w:tbl>
    <w:p w14:paraId="4667C563" w14:textId="77777777" w:rsidR="00B420F1" w:rsidRDefault="00B420F1">
      <w:pPr>
        <w:ind w:firstLineChars="0" w:firstLine="0"/>
        <w:jc w:val="both"/>
        <w:rPr>
          <w:rFonts w:ascii="宋体" w:eastAsia="宋体" w:hAnsi="宋体" w:hint="eastAsia"/>
          <w:b/>
          <w:color w:val="000000" w:themeColor="text1"/>
          <w:sz w:val="22"/>
          <w:szCs w:val="22"/>
        </w:rPr>
      </w:pPr>
    </w:p>
    <w:p w14:paraId="160C3D10"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6E8F449C"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br w:type="page"/>
      </w:r>
    </w:p>
    <w:p w14:paraId="0947FE8D"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w:t>
      </w:r>
      <w:r>
        <w:rPr>
          <w:rFonts w:ascii="宋体" w:eastAsia="宋体" w:hAnsi="宋体"/>
          <w:b/>
          <w:color w:val="000000" w:themeColor="text1"/>
          <w:sz w:val="22"/>
          <w:szCs w:val="22"/>
        </w:rPr>
        <w:t>3</w:t>
      </w:r>
      <w:r>
        <w:rPr>
          <w:rFonts w:ascii="宋体" w:eastAsia="宋体" w:hAnsi="宋体" w:hint="eastAsia"/>
          <w:b/>
          <w:color w:val="000000" w:themeColor="text1"/>
          <w:sz w:val="22"/>
          <w:szCs w:val="22"/>
        </w:rPr>
        <w:t xml:space="preserve">：拟投入设备工具清单 </w:t>
      </w:r>
    </w:p>
    <w:p w14:paraId="29FD0DAA"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6C01ED33" w14:textId="77777777" w:rsidR="00B420F1" w:rsidRDefault="00B420F1">
      <w:pPr>
        <w:tabs>
          <w:tab w:val="clear" w:pos="1197"/>
        </w:tabs>
        <w:spacing w:line="240" w:lineRule="auto"/>
        <w:ind w:firstLineChars="0" w:firstLine="0"/>
        <w:rPr>
          <w:rFonts w:ascii="宋体" w:eastAsia="宋体" w:hAnsi="宋体" w:hint="eastAsia"/>
          <w:b/>
          <w:color w:val="000000" w:themeColor="text1"/>
          <w:sz w:val="22"/>
          <w:szCs w:val="22"/>
        </w:rPr>
      </w:pPr>
    </w:p>
    <w:p w14:paraId="20F5B172" w14:textId="77777777" w:rsidR="00B420F1" w:rsidRDefault="00917C7B">
      <w:pPr>
        <w:ind w:firstLineChars="0" w:firstLine="0"/>
        <w:jc w:val="both"/>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t>附件</w:t>
      </w:r>
      <w:r>
        <w:rPr>
          <w:rFonts w:ascii="宋体" w:eastAsia="宋体" w:hAnsi="宋体"/>
          <w:b/>
          <w:color w:val="000000" w:themeColor="text1"/>
          <w:sz w:val="22"/>
          <w:szCs w:val="22"/>
        </w:rPr>
        <w:t>4</w:t>
      </w:r>
      <w:r>
        <w:rPr>
          <w:rFonts w:ascii="宋体" w:eastAsia="宋体" w:hAnsi="宋体" w:hint="eastAsia"/>
          <w:b/>
          <w:color w:val="000000" w:themeColor="text1"/>
          <w:sz w:val="22"/>
          <w:szCs w:val="22"/>
        </w:rPr>
        <w:t>：绿化养护评分表</w:t>
      </w:r>
    </w:p>
    <w:tbl>
      <w:tblPr>
        <w:tblW w:w="9940" w:type="dxa"/>
        <w:tblLook w:val="04A0" w:firstRow="1" w:lastRow="0" w:firstColumn="1" w:lastColumn="0" w:noHBand="0" w:noVBand="1"/>
      </w:tblPr>
      <w:tblGrid>
        <w:gridCol w:w="1080"/>
        <w:gridCol w:w="1360"/>
        <w:gridCol w:w="5340"/>
        <w:gridCol w:w="1080"/>
        <w:gridCol w:w="1080"/>
      </w:tblGrid>
      <w:tr w:rsidR="00B420F1" w14:paraId="133CA916" w14:textId="77777777">
        <w:trPr>
          <w:trHeight w:val="285"/>
        </w:trPr>
        <w:tc>
          <w:tcPr>
            <w:tcW w:w="1080" w:type="dxa"/>
            <w:tcBorders>
              <w:top w:val="single" w:sz="4" w:space="0" w:color="auto"/>
              <w:left w:val="single" w:sz="4" w:space="0" w:color="auto"/>
              <w:bottom w:val="single" w:sz="4" w:space="0" w:color="auto"/>
              <w:right w:val="single" w:sz="4" w:space="0" w:color="auto"/>
            </w:tcBorders>
            <w:vAlign w:val="center"/>
          </w:tcPr>
          <w:p w14:paraId="0CA515E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序号</w:t>
            </w:r>
          </w:p>
        </w:tc>
        <w:tc>
          <w:tcPr>
            <w:tcW w:w="1360" w:type="dxa"/>
            <w:tcBorders>
              <w:top w:val="single" w:sz="4" w:space="0" w:color="auto"/>
              <w:left w:val="nil"/>
              <w:bottom w:val="single" w:sz="4" w:space="0" w:color="auto"/>
              <w:right w:val="single" w:sz="4" w:space="0" w:color="auto"/>
            </w:tcBorders>
            <w:vAlign w:val="center"/>
          </w:tcPr>
          <w:p w14:paraId="34459D8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评分项目</w:t>
            </w:r>
          </w:p>
        </w:tc>
        <w:tc>
          <w:tcPr>
            <w:tcW w:w="5340" w:type="dxa"/>
            <w:tcBorders>
              <w:top w:val="single" w:sz="4" w:space="0" w:color="auto"/>
              <w:left w:val="nil"/>
              <w:bottom w:val="single" w:sz="4" w:space="0" w:color="auto"/>
              <w:right w:val="single" w:sz="4" w:space="0" w:color="auto"/>
            </w:tcBorders>
            <w:vAlign w:val="center"/>
          </w:tcPr>
          <w:p w14:paraId="6DB810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评分具体内容</w:t>
            </w:r>
          </w:p>
        </w:tc>
        <w:tc>
          <w:tcPr>
            <w:tcW w:w="1080" w:type="dxa"/>
            <w:tcBorders>
              <w:top w:val="single" w:sz="4" w:space="0" w:color="auto"/>
              <w:left w:val="nil"/>
              <w:bottom w:val="single" w:sz="4" w:space="0" w:color="auto"/>
              <w:right w:val="single" w:sz="4" w:space="0" w:color="auto"/>
            </w:tcBorders>
            <w:vAlign w:val="center"/>
          </w:tcPr>
          <w:p w14:paraId="496CC90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得分</w:t>
            </w:r>
          </w:p>
        </w:tc>
        <w:tc>
          <w:tcPr>
            <w:tcW w:w="1080" w:type="dxa"/>
            <w:tcBorders>
              <w:top w:val="single" w:sz="4" w:space="0" w:color="auto"/>
              <w:left w:val="nil"/>
              <w:bottom w:val="single" w:sz="4" w:space="0" w:color="auto"/>
              <w:right w:val="single" w:sz="4" w:space="0" w:color="auto"/>
            </w:tcBorders>
            <w:vAlign w:val="center"/>
          </w:tcPr>
          <w:p w14:paraId="6D69E9D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扣分</w:t>
            </w:r>
          </w:p>
        </w:tc>
      </w:tr>
      <w:tr w:rsidR="00B420F1" w14:paraId="63ED2F1D" w14:textId="77777777">
        <w:trPr>
          <w:trHeight w:val="570"/>
        </w:trPr>
        <w:tc>
          <w:tcPr>
            <w:tcW w:w="1080" w:type="dxa"/>
            <w:tcBorders>
              <w:top w:val="nil"/>
              <w:left w:val="single" w:sz="4" w:space="0" w:color="auto"/>
              <w:bottom w:val="single" w:sz="4" w:space="0" w:color="auto"/>
              <w:right w:val="single" w:sz="4" w:space="0" w:color="auto"/>
            </w:tcBorders>
            <w:vAlign w:val="center"/>
          </w:tcPr>
          <w:p w14:paraId="192F6BA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w:t>
            </w:r>
          </w:p>
        </w:tc>
        <w:tc>
          <w:tcPr>
            <w:tcW w:w="1360" w:type="dxa"/>
            <w:tcBorders>
              <w:top w:val="nil"/>
              <w:left w:val="nil"/>
              <w:bottom w:val="single" w:sz="4" w:space="0" w:color="auto"/>
              <w:right w:val="single" w:sz="4" w:space="0" w:color="auto"/>
            </w:tcBorders>
            <w:vAlign w:val="center"/>
          </w:tcPr>
          <w:p w14:paraId="4B4214D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业户投诉</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4126BC9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服务中心每接到1宗有效投诉，扣1分</w:t>
            </w:r>
          </w:p>
        </w:tc>
        <w:tc>
          <w:tcPr>
            <w:tcW w:w="1080" w:type="dxa"/>
            <w:tcBorders>
              <w:top w:val="nil"/>
              <w:left w:val="nil"/>
              <w:bottom w:val="single" w:sz="4" w:space="0" w:color="auto"/>
              <w:right w:val="single" w:sz="4" w:space="0" w:color="auto"/>
            </w:tcBorders>
            <w:vAlign w:val="center"/>
          </w:tcPr>
          <w:p w14:paraId="061E056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8C260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0083F3A"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1D3566C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2</w:t>
            </w:r>
          </w:p>
        </w:tc>
        <w:tc>
          <w:tcPr>
            <w:tcW w:w="1360" w:type="dxa"/>
            <w:vMerge w:val="restart"/>
            <w:tcBorders>
              <w:top w:val="nil"/>
              <w:left w:val="single" w:sz="4" w:space="0" w:color="auto"/>
              <w:bottom w:val="single" w:sz="4" w:space="0" w:color="auto"/>
              <w:right w:val="single" w:sz="4" w:space="0" w:color="auto"/>
            </w:tcBorders>
            <w:vAlign w:val="center"/>
          </w:tcPr>
          <w:p w14:paraId="24B54BD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整改通知书</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5A2C607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服务中心每开出一张整改通知书，扣1分</w:t>
            </w:r>
          </w:p>
        </w:tc>
        <w:tc>
          <w:tcPr>
            <w:tcW w:w="1080" w:type="dxa"/>
            <w:tcBorders>
              <w:top w:val="nil"/>
              <w:left w:val="nil"/>
              <w:bottom w:val="single" w:sz="4" w:space="0" w:color="auto"/>
              <w:right w:val="single" w:sz="4" w:space="0" w:color="auto"/>
            </w:tcBorders>
            <w:vAlign w:val="center"/>
          </w:tcPr>
          <w:p w14:paraId="737E50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FF2C8A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665999B"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76E736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734D2B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2990FD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接到整改通知书后不按要求整改或整改后不回复的，每次扣1~3分</w:t>
            </w:r>
          </w:p>
        </w:tc>
        <w:tc>
          <w:tcPr>
            <w:tcW w:w="1080" w:type="dxa"/>
            <w:tcBorders>
              <w:top w:val="nil"/>
              <w:left w:val="nil"/>
              <w:bottom w:val="single" w:sz="4" w:space="0" w:color="auto"/>
              <w:right w:val="single" w:sz="4" w:space="0" w:color="auto"/>
            </w:tcBorders>
            <w:vAlign w:val="center"/>
          </w:tcPr>
          <w:p w14:paraId="7501481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D37F2A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B97A7E1"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32C2C97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3</w:t>
            </w:r>
          </w:p>
        </w:tc>
        <w:tc>
          <w:tcPr>
            <w:tcW w:w="1360" w:type="dxa"/>
            <w:vMerge w:val="restart"/>
            <w:tcBorders>
              <w:top w:val="nil"/>
              <w:left w:val="single" w:sz="4" w:space="0" w:color="auto"/>
              <w:bottom w:val="single" w:sz="4" w:space="0" w:color="auto"/>
              <w:right w:val="single" w:sz="4" w:space="0" w:color="auto"/>
            </w:tcBorders>
            <w:vAlign w:val="center"/>
          </w:tcPr>
          <w:p w14:paraId="75B6D0E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服务人员的行为规范</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0178705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未穿工衣、不注重仪容仪表、着装不整洁、不带工卡的，每宗扣0.5分</w:t>
            </w:r>
          </w:p>
        </w:tc>
        <w:tc>
          <w:tcPr>
            <w:tcW w:w="1080" w:type="dxa"/>
            <w:tcBorders>
              <w:top w:val="nil"/>
              <w:left w:val="nil"/>
              <w:bottom w:val="single" w:sz="4" w:space="0" w:color="auto"/>
              <w:right w:val="single" w:sz="4" w:space="0" w:color="auto"/>
            </w:tcBorders>
            <w:vAlign w:val="center"/>
          </w:tcPr>
          <w:p w14:paraId="047A14A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A77A8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20CBDF5"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41023E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A3F15F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13B4B0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工作中吃零食、吸烟、做与工作无关的事，每宗扣0.2-0.5分</w:t>
            </w:r>
          </w:p>
        </w:tc>
        <w:tc>
          <w:tcPr>
            <w:tcW w:w="1080" w:type="dxa"/>
            <w:tcBorders>
              <w:top w:val="nil"/>
              <w:left w:val="nil"/>
              <w:bottom w:val="single" w:sz="4" w:space="0" w:color="auto"/>
              <w:right w:val="single" w:sz="4" w:space="0" w:color="auto"/>
            </w:tcBorders>
            <w:vAlign w:val="center"/>
          </w:tcPr>
          <w:p w14:paraId="7ABAF7C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71C0872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7C580D2"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3DDFFFB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5561498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04D8B5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工作中大声喧哗、叫喊、争吵、长时间聊天、偷懒的，每宗扣0.2-0.5分</w:t>
            </w:r>
          </w:p>
        </w:tc>
        <w:tc>
          <w:tcPr>
            <w:tcW w:w="1080" w:type="dxa"/>
            <w:tcBorders>
              <w:top w:val="nil"/>
              <w:left w:val="nil"/>
              <w:bottom w:val="single" w:sz="4" w:space="0" w:color="auto"/>
              <w:right w:val="single" w:sz="4" w:space="0" w:color="auto"/>
            </w:tcBorders>
            <w:vAlign w:val="center"/>
          </w:tcPr>
          <w:p w14:paraId="09E677C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8D962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C49296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EEBFCC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E4CA41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D3F41A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与业户或甲方发生争吵、态度恶劣或不服从甲方合理指令的，扣1~3分</w:t>
            </w:r>
          </w:p>
        </w:tc>
        <w:tc>
          <w:tcPr>
            <w:tcW w:w="1080" w:type="dxa"/>
            <w:tcBorders>
              <w:top w:val="nil"/>
              <w:left w:val="nil"/>
              <w:bottom w:val="single" w:sz="4" w:space="0" w:color="auto"/>
              <w:right w:val="single" w:sz="4" w:space="0" w:color="auto"/>
            </w:tcBorders>
            <w:vAlign w:val="center"/>
          </w:tcPr>
          <w:p w14:paraId="4EC6419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6CE1D5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0A944EC"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2DC69CE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4</w:t>
            </w:r>
          </w:p>
        </w:tc>
        <w:tc>
          <w:tcPr>
            <w:tcW w:w="1360" w:type="dxa"/>
            <w:vMerge w:val="restart"/>
            <w:tcBorders>
              <w:top w:val="nil"/>
              <w:left w:val="single" w:sz="4" w:space="0" w:color="auto"/>
              <w:bottom w:val="single" w:sz="4" w:space="0" w:color="auto"/>
              <w:right w:val="single" w:sz="4" w:space="0" w:color="auto"/>
            </w:tcBorders>
            <w:vAlign w:val="center"/>
          </w:tcPr>
          <w:p w14:paraId="377F0CA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植物长势</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01489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养护不当导致植物出现枯枝死叉、枯黄的，每宗扣0.5-1分</w:t>
            </w:r>
          </w:p>
        </w:tc>
        <w:tc>
          <w:tcPr>
            <w:tcW w:w="1080" w:type="dxa"/>
            <w:tcBorders>
              <w:top w:val="nil"/>
              <w:left w:val="nil"/>
              <w:bottom w:val="single" w:sz="4" w:space="0" w:color="auto"/>
              <w:right w:val="single" w:sz="4" w:space="0" w:color="auto"/>
            </w:tcBorders>
            <w:vAlign w:val="center"/>
          </w:tcPr>
          <w:p w14:paraId="4EE06E6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2F7349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2FE5B2A5"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8C5D0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7E9063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1A15F5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养护不当导致植物枯死的，除了负责更换恢复原状外，每宗扣3-5分</w:t>
            </w:r>
          </w:p>
        </w:tc>
        <w:tc>
          <w:tcPr>
            <w:tcW w:w="1080" w:type="dxa"/>
            <w:tcBorders>
              <w:top w:val="nil"/>
              <w:left w:val="nil"/>
              <w:bottom w:val="single" w:sz="4" w:space="0" w:color="auto"/>
              <w:right w:val="single" w:sz="4" w:space="0" w:color="auto"/>
            </w:tcBorders>
            <w:vAlign w:val="center"/>
          </w:tcPr>
          <w:p w14:paraId="76D2D51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1456FF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93C72CA"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1A03423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5</w:t>
            </w:r>
          </w:p>
        </w:tc>
        <w:tc>
          <w:tcPr>
            <w:tcW w:w="1360" w:type="dxa"/>
            <w:vMerge w:val="restart"/>
            <w:tcBorders>
              <w:top w:val="nil"/>
              <w:left w:val="single" w:sz="4" w:space="0" w:color="auto"/>
              <w:bottom w:val="single" w:sz="4" w:space="0" w:color="auto"/>
              <w:right w:val="single" w:sz="4" w:space="0" w:color="auto"/>
            </w:tcBorders>
            <w:vAlign w:val="center"/>
          </w:tcPr>
          <w:p w14:paraId="0A0F8BB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水肥管理</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116F1E7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植物出现明显缺水或缺肥状态的，每宗扣0.5-1分</w:t>
            </w:r>
          </w:p>
        </w:tc>
        <w:tc>
          <w:tcPr>
            <w:tcW w:w="1080" w:type="dxa"/>
            <w:tcBorders>
              <w:top w:val="nil"/>
              <w:left w:val="nil"/>
              <w:bottom w:val="single" w:sz="4" w:space="0" w:color="auto"/>
              <w:right w:val="single" w:sz="4" w:space="0" w:color="auto"/>
            </w:tcBorders>
            <w:vAlign w:val="center"/>
          </w:tcPr>
          <w:p w14:paraId="6EF02C7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EE6D9C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DF61749"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2F0C99A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116EA50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5CBEF5A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植物出现涝害未及时查找原因给予排除的，每宗扣0.5-1分</w:t>
            </w:r>
          </w:p>
        </w:tc>
        <w:tc>
          <w:tcPr>
            <w:tcW w:w="1080" w:type="dxa"/>
            <w:tcBorders>
              <w:top w:val="nil"/>
              <w:left w:val="nil"/>
              <w:bottom w:val="single" w:sz="4" w:space="0" w:color="auto"/>
              <w:right w:val="single" w:sz="4" w:space="0" w:color="auto"/>
            </w:tcBorders>
            <w:vAlign w:val="center"/>
          </w:tcPr>
          <w:p w14:paraId="24E40E1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BFE830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65FF447"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74E820A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838F43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BFEBF1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工作中不规范浇水，浪费水资源的，每宗扣1分</w:t>
            </w:r>
          </w:p>
        </w:tc>
        <w:tc>
          <w:tcPr>
            <w:tcW w:w="1080" w:type="dxa"/>
            <w:tcBorders>
              <w:top w:val="nil"/>
              <w:left w:val="nil"/>
              <w:bottom w:val="single" w:sz="4" w:space="0" w:color="auto"/>
              <w:right w:val="single" w:sz="4" w:space="0" w:color="auto"/>
            </w:tcBorders>
            <w:vAlign w:val="center"/>
          </w:tcPr>
          <w:p w14:paraId="46F4F97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F143C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8C55724"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2A2AFB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E0D56B4"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0C4162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没按季节需要或植物需要进行施肥的，每次扣0.5-1分</w:t>
            </w:r>
          </w:p>
        </w:tc>
        <w:tc>
          <w:tcPr>
            <w:tcW w:w="1080" w:type="dxa"/>
            <w:tcBorders>
              <w:top w:val="nil"/>
              <w:left w:val="nil"/>
              <w:bottom w:val="single" w:sz="4" w:space="0" w:color="auto"/>
              <w:right w:val="single" w:sz="4" w:space="0" w:color="auto"/>
            </w:tcBorders>
            <w:vAlign w:val="center"/>
          </w:tcPr>
          <w:p w14:paraId="2D938D9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0AAEFF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3897DDD"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15ACA33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6</w:t>
            </w:r>
          </w:p>
        </w:tc>
        <w:tc>
          <w:tcPr>
            <w:tcW w:w="1360" w:type="dxa"/>
            <w:vMerge w:val="restart"/>
            <w:tcBorders>
              <w:top w:val="nil"/>
              <w:left w:val="single" w:sz="4" w:space="0" w:color="auto"/>
              <w:bottom w:val="single" w:sz="4" w:space="0" w:color="auto"/>
              <w:right w:val="single" w:sz="4" w:space="0" w:color="auto"/>
            </w:tcBorders>
            <w:vAlign w:val="center"/>
          </w:tcPr>
          <w:p w14:paraId="1AFE7C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病虫害防治</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FF9313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没有使用符合环境14001质量体系标准农药的，每宗扣1分</w:t>
            </w:r>
          </w:p>
        </w:tc>
        <w:tc>
          <w:tcPr>
            <w:tcW w:w="1080" w:type="dxa"/>
            <w:tcBorders>
              <w:top w:val="nil"/>
              <w:left w:val="nil"/>
              <w:bottom w:val="single" w:sz="4" w:space="0" w:color="auto"/>
              <w:right w:val="single" w:sz="4" w:space="0" w:color="auto"/>
            </w:tcBorders>
            <w:vAlign w:val="center"/>
          </w:tcPr>
          <w:p w14:paraId="05E1612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259A13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F99B1B5"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3CAE4F7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62A78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669D0C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病虫害未做到事先预防或预防不及时的，每宗扣1分</w:t>
            </w:r>
          </w:p>
        </w:tc>
        <w:tc>
          <w:tcPr>
            <w:tcW w:w="1080" w:type="dxa"/>
            <w:tcBorders>
              <w:top w:val="nil"/>
              <w:left w:val="nil"/>
              <w:bottom w:val="single" w:sz="4" w:space="0" w:color="auto"/>
              <w:right w:val="single" w:sz="4" w:space="0" w:color="auto"/>
            </w:tcBorders>
            <w:vAlign w:val="center"/>
          </w:tcPr>
          <w:p w14:paraId="447C315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B7EEEB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33DA349"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643601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1C95AF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44B4B4E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病虫害较严重造成植物观赏价值降低或丧失的，扣3-5分</w:t>
            </w:r>
          </w:p>
        </w:tc>
        <w:tc>
          <w:tcPr>
            <w:tcW w:w="1080" w:type="dxa"/>
            <w:tcBorders>
              <w:top w:val="nil"/>
              <w:left w:val="nil"/>
              <w:bottom w:val="single" w:sz="4" w:space="0" w:color="auto"/>
              <w:right w:val="single" w:sz="4" w:space="0" w:color="auto"/>
            </w:tcBorders>
            <w:vAlign w:val="center"/>
          </w:tcPr>
          <w:p w14:paraId="638D4B6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E92727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4330825"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3EADE48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7</w:t>
            </w:r>
          </w:p>
        </w:tc>
        <w:tc>
          <w:tcPr>
            <w:tcW w:w="1360" w:type="dxa"/>
            <w:vMerge w:val="restart"/>
            <w:tcBorders>
              <w:top w:val="nil"/>
              <w:left w:val="single" w:sz="4" w:space="0" w:color="auto"/>
              <w:bottom w:val="single" w:sz="4" w:space="0" w:color="auto"/>
              <w:right w:val="single" w:sz="4" w:space="0" w:color="auto"/>
            </w:tcBorders>
            <w:vAlign w:val="center"/>
          </w:tcPr>
          <w:p w14:paraId="302449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修剪造型</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7B334A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绿篱不及时修剪，植物徒长枝达15cm以上的，每宗扣0.5-1分</w:t>
            </w:r>
          </w:p>
        </w:tc>
        <w:tc>
          <w:tcPr>
            <w:tcW w:w="1080" w:type="dxa"/>
            <w:tcBorders>
              <w:top w:val="nil"/>
              <w:left w:val="nil"/>
              <w:bottom w:val="single" w:sz="4" w:space="0" w:color="auto"/>
              <w:right w:val="single" w:sz="4" w:space="0" w:color="auto"/>
            </w:tcBorders>
            <w:vAlign w:val="center"/>
          </w:tcPr>
          <w:p w14:paraId="79B2845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08B89D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F89FB94"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4CC388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9A158A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DD2CEB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枯枝、阴枝、下垂枝、病虫枝修剪不及时的，每宗扣0.2-1分</w:t>
            </w:r>
          </w:p>
        </w:tc>
        <w:tc>
          <w:tcPr>
            <w:tcW w:w="1080" w:type="dxa"/>
            <w:tcBorders>
              <w:top w:val="nil"/>
              <w:left w:val="nil"/>
              <w:bottom w:val="single" w:sz="4" w:space="0" w:color="auto"/>
              <w:right w:val="single" w:sz="4" w:space="0" w:color="auto"/>
            </w:tcBorders>
            <w:vAlign w:val="center"/>
          </w:tcPr>
          <w:p w14:paraId="0B5035D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F2E554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987EA14"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7B85297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E95A09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D3F78C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树形修剪不规范造成观赏效果降低的，每宗扣0.5-1.5分</w:t>
            </w:r>
          </w:p>
        </w:tc>
        <w:tc>
          <w:tcPr>
            <w:tcW w:w="1080" w:type="dxa"/>
            <w:tcBorders>
              <w:top w:val="nil"/>
              <w:left w:val="nil"/>
              <w:bottom w:val="single" w:sz="4" w:space="0" w:color="auto"/>
              <w:right w:val="single" w:sz="4" w:space="0" w:color="auto"/>
            </w:tcBorders>
            <w:vAlign w:val="center"/>
          </w:tcPr>
          <w:p w14:paraId="5709710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041708F"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B8AFEB5"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3E2BC9B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0E68A7C"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75B8D7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草坪高度超8㎡及其它植物修剪不及时的扣0.5-1分</w:t>
            </w:r>
          </w:p>
        </w:tc>
        <w:tc>
          <w:tcPr>
            <w:tcW w:w="1080" w:type="dxa"/>
            <w:tcBorders>
              <w:top w:val="nil"/>
              <w:left w:val="nil"/>
              <w:bottom w:val="single" w:sz="4" w:space="0" w:color="auto"/>
              <w:right w:val="single" w:sz="4" w:space="0" w:color="auto"/>
            </w:tcBorders>
            <w:vAlign w:val="center"/>
          </w:tcPr>
          <w:p w14:paraId="2E4DEC1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7E66DF2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229A377"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2E5A3A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8</w:t>
            </w:r>
          </w:p>
        </w:tc>
        <w:tc>
          <w:tcPr>
            <w:tcW w:w="1360" w:type="dxa"/>
            <w:vMerge w:val="restart"/>
            <w:tcBorders>
              <w:top w:val="nil"/>
              <w:left w:val="single" w:sz="4" w:space="0" w:color="auto"/>
              <w:bottom w:val="single" w:sz="4" w:space="0" w:color="auto"/>
              <w:right w:val="single" w:sz="4" w:space="0" w:color="auto"/>
            </w:tcBorders>
            <w:vAlign w:val="center"/>
          </w:tcPr>
          <w:p w14:paraId="5677853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中耕除草</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423DEB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绿地泥土出现板结仍未计划改善的每处扣0.5分</w:t>
            </w:r>
          </w:p>
        </w:tc>
        <w:tc>
          <w:tcPr>
            <w:tcW w:w="1080" w:type="dxa"/>
            <w:tcBorders>
              <w:top w:val="nil"/>
              <w:left w:val="nil"/>
              <w:bottom w:val="single" w:sz="4" w:space="0" w:color="auto"/>
              <w:right w:val="single" w:sz="4" w:space="0" w:color="auto"/>
            </w:tcBorders>
            <w:vAlign w:val="center"/>
          </w:tcPr>
          <w:p w14:paraId="5C70AAF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5BCF3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281BB9"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1270B2F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88EAA6B"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42C78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地被没有明显的杂草，纯度低于95%的扣0.5分</w:t>
            </w:r>
          </w:p>
        </w:tc>
        <w:tc>
          <w:tcPr>
            <w:tcW w:w="1080" w:type="dxa"/>
            <w:tcBorders>
              <w:top w:val="nil"/>
              <w:left w:val="nil"/>
              <w:bottom w:val="single" w:sz="4" w:space="0" w:color="auto"/>
              <w:right w:val="single" w:sz="4" w:space="0" w:color="auto"/>
            </w:tcBorders>
            <w:vAlign w:val="center"/>
          </w:tcPr>
          <w:p w14:paraId="191A97F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C449C2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B535D87" w14:textId="77777777">
        <w:trPr>
          <w:trHeight w:val="285"/>
        </w:trPr>
        <w:tc>
          <w:tcPr>
            <w:tcW w:w="1080" w:type="dxa"/>
            <w:vMerge w:val="restart"/>
            <w:tcBorders>
              <w:top w:val="nil"/>
              <w:left w:val="single" w:sz="4" w:space="0" w:color="auto"/>
              <w:bottom w:val="single" w:sz="4" w:space="0" w:color="auto"/>
              <w:right w:val="single" w:sz="4" w:space="0" w:color="auto"/>
            </w:tcBorders>
            <w:vAlign w:val="center"/>
          </w:tcPr>
          <w:p w14:paraId="20BC7CF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9</w:t>
            </w:r>
          </w:p>
        </w:tc>
        <w:tc>
          <w:tcPr>
            <w:tcW w:w="1360" w:type="dxa"/>
            <w:vMerge w:val="restart"/>
            <w:tcBorders>
              <w:top w:val="nil"/>
              <w:left w:val="single" w:sz="4" w:space="0" w:color="auto"/>
              <w:bottom w:val="single" w:sz="4" w:space="0" w:color="auto"/>
              <w:right w:val="single" w:sz="4" w:space="0" w:color="auto"/>
            </w:tcBorders>
            <w:vAlign w:val="center"/>
          </w:tcPr>
          <w:p w14:paraId="7A12299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补种补栽</w:t>
            </w:r>
            <w:r>
              <w:rPr>
                <w:rFonts w:ascii="宋体" w:eastAsia="宋体" w:hAnsi="宋体" w:cs="宋体" w:hint="eastAsia"/>
                <w:color w:val="000000"/>
                <w:kern w:val="0"/>
              </w:rPr>
              <w:br/>
              <w:t>（10分）</w:t>
            </w:r>
          </w:p>
        </w:tc>
        <w:tc>
          <w:tcPr>
            <w:tcW w:w="5340" w:type="dxa"/>
            <w:tcBorders>
              <w:top w:val="nil"/>
              <w:left w:val="nil"/>
              <w:bottom w:val="single" w:sz="4" w:space="0" w:color="auto"/>
              <w:right w:val="single" w:sz="4" w:space="0" w:color="auto"/>
            </w:tcBorders>
            <w:vAlign w:val="center"/>
          </w:tcPr>
          <w:p w14:paraId="25D2E30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单块区域绿地裸露面积在0.5㎡以下的扣0.5分</w:t>
            </w:r>
          </w:p>
        </w:tc>
        <w:tc>
          <w:tcPr>
            <w:tcW w:w="1080" w:type="dxa"/>
            <w:tcBorders>
              <w:top w:val="nil"/>
              <w:left w:val="nil"/>
              <w:bottom w:val="single" w:sz="4" w:space="0" w:color="auto"/>
              <w:right w:val="single" w:sz="4" w:space="0" w:color="auto"/>
            </w:tcBorders>
            <w:vAlign w:val="center"/>
          </w:tcPr>
          <w:p w14:paraId="265CFEA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8A133F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EE9EBFD"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0837D2D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0A16BC8"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BB0CF6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单块区域绿地裸露面积在0.5㎡以上的扣1分</w:t>
            </w:r>
          </w:p>
        </w:tc>
        <w:tc>
          <w:tcPr>
            <w:tcW w:w="1080" w:type="dxa"/>
            <w:tcBorders>
              <w:top w:val="nil"/>
              <w:left w:val="nil"/>
              <w:bottom w:val="single" w:sz="4" w:space="0" w:color="auto"/>
              <w:right w:val="single" w:sz="4" w:space="0" w:color="auto"/>
            </w:tcBorders>
            <w:vAlign w:val="center"/>
          </w:tcPr>
          <w:p w14:paraId="391113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F1AB6F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7111960"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F0EFC9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CFDD34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409E0B4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属合同约定补充范围无正当理由不予及时补种的，每次扣0.5-1分</w:t>
            </w:r>
          </w:p>
        </w:tc>
        <w:tc>
          <w:tcPr>
            <w:tcW w:w="1080" w:type="dxa"/>
            <w:tcBorders>
              <w:top w:val="nil"/>
              <w:left w:val="nil"/>
              <w:bottom w:val="single" w:sz="4" w:space="0" w:color="auto"/>
              <w:right w:val="single" w:sz="4" w:space="0" w:color="auto"/>
            </w:tcBorders>
            <w:vAlign w:val="center"/>
          </w:tcPr>
          <w:p w14:paraId="0A23722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CDEB6A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092A9C" w14:textId="77777777">
        <w:trPr>
          <w:trHeight w:val="570"/>
        </w:trPr>
        <w:tc>
          <w:tcPr>
            <w:tcW w:w="1080" w:type="dxa"/>
            <w:tcBorders>
              <w:top w:val="nil"/>
              <w:left w:val="single" w:sz="4" w:space="0" w:color="auto"/>
              <w:bottom w:val="single" w:sz="4" w:space="0" w:color="auto"/>
              <w:right w:val="single" w:sz="4" w:space="0" w:color="auto"/>
            </w:tcBorders>
            <w:vAlign w:val="center"/>
          </w:tcPr>
          <w:p w14:paraId="46075E60"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10</w:t>
            </w:r>
          </w:p>
        </w:tc>
        <w:tc>
          <w:tcPr>
            <w:tcW w:w="1360" w:type="dxa"/>
            <w:tcBorders>
              <w:top w:val="nil"/>
              <w:left w:val="nil"/>
              <w:bottom w:val="single" w:sz="4" w:space="0" w:color="auto"/>
              <w:right w:val="single" w:sz="4" w:space="0" w:color="auto"/>
            </w:tcBorders>
            <w:vAlign w:val="center"/>
          </w:tcPr>
          <w:p w14:paraId="23BC754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防风抗涝</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0FECB81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防风抗涝措施不及时、不规范或措施不当造成损失的，每宗扣1-3分</w:t>
            </w:r>
          </w:p>
        </w:tc>
        <w:tc>
          <w:tcPr>
            <w:tcW w:w="1080" w:type="dxa"/>
            <w:tcBorders>
              <w:top w:val="nil"/>
              <w:left w:val="nil"/>
              <w:bottom w:val="single" w:sz="4" w:space="0" w:color="auto"/>
              <w:right w:val="single" w:sz="4" w:space="0" w:color="auto"/>
            </w:tcBorders>
            <w:vAlign w:val="center"/>
          </w:tcPr>
          <w:p w14:paraId="075EBE7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8BCD37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414E06B2" w14:textId="77777777">
        <w:trPr>
          <w:trHeight w:val="570"/>
        </w:trPr>
        <w:tc>
          <w:tcPr>
            <w:tcW w:w="1080" w:type="dxa"/>
            <w:tcBorders>
              <w:top w:val="nil"/>
              <w:left w:val="single" w:sz="4" w:space="0" w:color="auto"/>
              <w:bottom w:val="single" w:sz="4" w:space="0" w:color="auto"/>
              <w:right w:val="single" w:sz="4" w:space="0" w:color="auto"/>
            </w:tcBorders>
            <w:vAlign w:val="center"/>
          </w:tcPr>
          <w:p w14:paraId="7DB48D3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11</w:t>
            </w:r>
          </w:p>
        </w:tc>
        <w:tc>
          <w:tcPr>
            <w:tcW w:w="1360" w:type="dxa"/>
            <w:tcBorders>
              <w:top w:val="nil"/>
              <w:left w:val="nil"/>
              <w:bottom w:val="single" w:sz="4" w:space="0" w:color="auto"/>
              <w:right w:val="single" w:sz="4" w:space="0" w:color="auto"/>
            </w:tcBorders>
            <w:vAlign w:val="center"/>
          </w:tcPr>
          <w:p w14:paraId="129A826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绿地卫生</w:t>
            </w:r>
            <w:r>
              <w:rPr>
                <w:rFonts w:ascii="宋体" w:eastAsia="宋体" w:hAnsi="宋体" w:cs="宋体" w:hint="eastAsia"/>
                <w:color w:val="000000"/>
                <w:kern w:val="0"/>
              </w:rPr>
              <w:br/>
              <w:t>（2分）</w:t>
            </w:r>
          </w:p>
        </w:tc>
        <w:tc>
          <w:tcPr>
            <w:tcW w:w="5340" w:type="dxa"/>
            <w:tcBorders>
              <w:top w:val="nil"/>
              <w:left w:val="nil"/>
              <w:bottom w:val="single" w:sz="4" w:space="0" w:color="auto"/>
              <w:right w:val="single" w:sz="4" w:space="0" w:color="auto"/>
            </w:tcBorders>
            <w:vAlign w:val="center"/>
          </w:tcPr>
          <w:p w14:paraId="4C8A446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绿地清洁不及时、不按要求清理到指定地点的，每宗扣0.2-0.5分</w:t>
            </w:r>
          </w:p>
        </w:tc>
        <w:tc>
          <w:tcPr>
            <w:tcW w:w="1080" w:type="dxa"/>
            <w:tcBorders>
              <w:top w:val="nil"/>
              <w:left w:val="nil"/>
              <w:bottom w:val="single" w:sz="4" w:space="0" w:color="auto"/>
              <w:right w:val="single" w:sz="4" w:space="0" w:color="auto"/>
            </w:tcBorders>
            <w:vAlign w:val="center"/>
          </w:tcPr>
          <w:p w14:paraId="6F6FBF3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D08AFD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10E7DAB" w14:textId="77777777">
        <w:trPr>
          <w:trHeight w:val="570"/>
        </w:trPr>
        <w:tc>
          <w:tcPr>
            <w:tcW w:w="1080" w:type="dxa"/>
            <w:vMerge w:val="restart"/>
            <w:tcBorders>
              <w:top w:val="nil"/>
              <w:left w:val="single" w:sz="4" w:space="0" w:color="auto"/>
              <w:bottom w:val="single" w:sz="4" w:space="0" w:color="auto"/>
              <w:right w:val="single" w:sz="4" w:space="0" w:color="auto"/>
            </w:tcBorders>
            <w:vAlign w:val="center"/>
          </w:tcPr>
          <w:p w14:paraId="6963BAB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12</w:t>
            </w:r>
          </w:p>
        </w:tc>
        <w:tc>
          <w:tcPr>
            <w:tcW w:w="1360" w:type="dxa"/>
            <w:vMerge w:val="restart"/>
            <w:tcBorders>
              <w:top w:val="nil"/>
              <w:left w:val="single" w:sz="4" w:space="0" w:color="auto"/>
              <w:bottom w:val="single" w:sz="4" w:space="0" w:color="auto"/>
              <w:right w:val="single" w:sz="4" w:space="0" w:color="auto"/>
            </w:tcBorders>
            <w:vAlign w:val="center"/>
          </w:tcPr>
          <w:p w14:paraId="31FF1FC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其他</w:t>
            </w:r>
            <w:r>
              <w:rPr>
                <w:rFonts w:ascii="宋体" w:eastAsia="宋体" w:hAnsi="宋体" w:cs="宋体" w:hint="eastAsia"/>
                <w:color w:val="000000"/>
                <w:kern w:val="0"/>
              </w:rPr>
              <w:br/>
              <w:t>（13分）</w:t>
            </w:r>
          </w:p>
        </w:tc>
        <w:tc>
          <w:tcPr>
            <w:tcW w:w="5340" w:type="dxa"/>
            <w:tcBorders>
              <w:top w:val="nil"/>
              <w:left w:val="nil"/>
              <w:bottom w:val="single" w:sz="4" w:space="0" w:color="auto"/>
              <w:right w:val="single" w:sz="4" w:space="0" w:color="auto"/>
            </w:tcBorders>
            <w:vAlign w:val="center"/>
          </w:tcPr>
          <w:p w14:paraId="2373D81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公司不按要求为驻场提供养护设备、器材、物料的，每项每次扣1分</w:t>
            </w:r>
          </w:p>
        </w:tc>
        <w:tc>
          <w:tcPr>
            <w:tcW w:w="1080" w:type="dxa"/>
            <w:tcBorders>
              <w:top w:val="nil"/>
              <w:left w:val="nil"/>
              <w:bottom w:val="single" w:sz="4" w:space="0" w:color="auto"/>
              <w:right w:val="single" w:sz="4" w:space="0" w:color="auto"/>
            </w:tcBorders>
            <w:vAlign w:val="center"/>
          </w:tcPr>
          <w:p w14:paraId="2E358AF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572066A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CD5DA87"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73F7C5A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366DB9C"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C03A2D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工具房内吸烟及绿化工具摆放不整齐的，每项扣0.2分</w:t>
            </w:r>
          </w:p>
        </w:tc>
        <w:tc>
          <w:tcPr>
            <w:tcW w:w="1080" w:type="dxa"/>
            <w:tcBorders>
              <w:top w:val="nil"/>
              <w:left w:val="nil"/>
              <w:bottom w:val="single" w:sz="4" w:space="0" w:color="auto"/>
              <w:right w:val="single" w:sz="4" w:space="0" w:color="auto"/>
            </w:tcBorders>
            <w:vAlign w:val="center"/>
          </w:tcPr>
          <w:p w14:paraId="528B3AF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2630C2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11A1391"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632D6D3E"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60C4DBA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7B2AB63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养护作业中不注重节能降耗和环境保护的造成资源浪费的每次扣1-3分</w:t>
            </w:r>
          </w:p>
        </w:tc>
        <w:tc>
          <w:tcPr>
            <w:tcW w:w="1080" w:type="dxa"/>
            <w:tcBorders>
              <w:top w:val="nil"/>
              <w:left w:val="nil"/>
              <w:bottom w:val="single" w:sz="4" w:space="0" w:color="auto"/>
              <w:right w:val="single" w:sz="4" w:space="0" w:color="auto"/>
            </w:tcBorders>
            <w:vAlign w:val="center"/>
          </w:tcPr>
          <w:p w14:paraId="309CFFB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120B286A"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5FD00C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706D903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641A4E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0F61257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工作不当造成公共设备、设施损坏的扣1-5分，并负责赔偿或修复</w:t>
            </w:r>
          </w:p>
        </w:tc>
        <w:tc>
          <w:tcPr>
            <w:tcW w:w="1080" w:type="dxa"/>
            <w:tcBorders>
              <w:top w:val="nil"/>
              <w:left w:val="nil"/>
              <w:bottom w:val="single" w:sz="4" w:space="0" w:color="auto"/>
              <w:right w:val="single" w:sz="4" w:space="0" w:color="auto"/>
            </w:tcBorders>
            <w:vAlign w:val="center"/>
          </w:tcPr>
          <w:p w14:paraId="1CE7FCE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ADD471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8207DF2"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36143181"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FBBFFD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A5212F4"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未经甲方允许使用驻场养护人员为业户提供特约服务的每次扣3-5分</w:t>
            </w:r>
          </w:p>
        </w:tc>
        <w:tc>
          <w:tcPr>
            <w:tcW w:w="1080" w:type="dxa"/>
            <w:tcBorders>
              <w:top w:val="nil"/>
              <w:left w:val="nil"/>
              <w:bottom w:val="single" w:sz="4" w:space="0" w:color="auto"/>
              <w:right w:val="single" w:sz="4" w:space="0" w:color="auto"/>
            </w:tcBorders>
            <w:vAlign w:val="center"/>
          </w:tcPr>
          <w:p w14:paraId="29ADD13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C3F014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B918300"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18C8A80"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47AA255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56685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未按IS014001环境管理体系对环境因素进行识别与控制的扣1分</w:t>
            </w:r>
          </w:p>
        </w:tc>
        <w:tc>
          <w:tcPr>
            <w:tcW w:w="1080" w:type="dxa"/>
            <w:tcBorders>
              <w:top w:val="nil"/>
              <w:left w:val="nil"/>
              <w:bottom w:val="single" w:sz="4" w:space="0" w:color="auto"/>
              <w:right w:val="single" w:sz="4" w:space="0" w:color="auto"/>
            </w:tcBorders>
            <w:vAlign w:val="center"/>
          </w:tcPr>
          <w:p w14:paraId="292D4F8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A5009B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6077C97A"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185B88D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0A9C907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335F1D9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随意丢弃对环境能够产生影响的农药、汽油、柴油容器的扣1分</w:t>
            </w:r>
          </w:p>
        </w:tc>
        <w:tc>
          <w:tcPr>
            <w:tcW w:w="1080" w:type="dxa"/>
            <w:tcBorders>
              <w:top w:val="nil"/>
              <w:left w:val="nil"/>
              <w:bottom w:val="single" w:sz="4" w:space="0" w:color="auto"/>
              <w:right w:val="single" w:sz="4" w:space="0" w:color="auto"/>
            </w:tcBorders>
            <w:vAlign w:val="center"/>
          </w:tcPr>
          <w:p w14:paraId="62FE12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81B758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5F7F628" w14:textId="77777777">
        <w:trPr>
          <w:trHeight w:val="285"/>
        </w:trPr>
        <w:tc>
          <w:tcPr>
            <w:tcW w:w="1080" w:type="dxa"/>
            <w:vMerge/>
            <w:tcBorders>
              <w:top w:val="nil"/>
              <w:left w:val="single" w:sz="4" w:space="0" w:color="auto"/>
              <w:bottom w:val="single" w:sz="4" w:space="0" w:color="auto"/>
              <w:right w:val="single" w:sz="4" w:space="0" w:color="auto"/>
            </w:tcBorders>
            <w:vAlign w:val="center"/>
          </w:tcPr>
          <w:p w14:paraId="6E793192"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3A6FAF9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9B00F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未按要求提交总结、计划、员工资料等每次扣0.5分</w:t>
            </w:r>
          </w:p>
        </w:tc>
        <w:tc>
          <w:tcPr>
            <w:tcW w:w="1080" w:type="dxa"/>
            <w:tcBorders>
              <w:top w:val="nil"/>
              <w:left w:val="nil"/>
              <w:bottom w:val="single" w:sz="4" w:space="0" w:color="auto"/>
              <w:right w:val="single" w:sz="4" w:space="0" w:color="auto"/>
            </w:tcBorders>
            <w:vAlign w:val="center"/>
          </w:tcPr>
          <w:p w14:paraId="2260737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693A205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09C2622C"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4AB581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7C5F320F"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6B10632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对计划内工作未按计划完成的根据周、月、季每项每次扣1-3分</w:t>
            </w:r>
          </w:p>
        </w:tc>
        <w:tc>
          <w:tcPr>
            <w:tcW w:w="1080" w:type="dxa"/>
            <w:tcBorders>
              <w:top w:val="nil"/>
              <w:left w:val="nil"/>
              <w:bottom w:val="single" w:sz="4" w:space="0" w:color="auto"/>
              <w:right w:val="single" w:sz="4" w:space="0" w:color="auto"/>
            </w:tcBorders>
            <w:vAlign w:val="center"/>
          </w:tcPr>
          <w:p w14:paraId="6EB7E89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2062CF9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5FF48127"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013CD9B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167865D9"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23E7E3B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私自将甲方现场相关绿植挖出挪作他用的，每宗扣2-5分</w:t>
            </w:r>
          </w:p>
        </w:tc>
        <w:tc>
          <w:tcPr>
            <w:tcW w:w="1080" w:type="dxa"/>
            <w:tcBorders>
              <w:top w:val="nil"/>
              <w:left w:val="nil"/>
              <w:bottom w:val="single" w:sz="4" w:space="0" w:color="auto"/>
              <w:right w:val="single" w:sz="4" w:space="0" w:color="auto"/>
            </w:tcBorders>
            <w:vAlign w:val="center"/>
          </w:tcPr>
          <w:p w14:paraId="1216C293"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0E33454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18859EE1"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420B8FA5"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50928043"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F4F6395"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未经甲方允许，私自将广场专用设备及工具挪作他用的，每宗扣0.2-0.5分</w:t>
            </w:r>
          </w:p>
        </w:tc>
        <w:tc>
          <w:tcPr>
            <w:tcW w:w="1080" w:type="dxa"/>
            <w:tcBorders>
              <w:top w:val="nil"/>
              <w:left w:val="nil"/>
              <w:bottom w:val="single" w:sz="4" w:space="0" w:color="auto"/>
              <w:right w:val="single" w:sz="4" w:space="0" w:color="auto"/>
            </w:tcBorders>
            <w:vAlign w:val="center"/>
          </w:tcPr>
          <w:p w14:paraId="43AC0B6B"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A3EDBDE"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2AF92B56" w14:textId="77777777">
        <w:trPr>
          <w:trHeight w:val="570"/>
        </w:trPr>
        <w:tc>
          <w:tcPr>
            <w:tcW w:w="1080" w:type="dxa"/>
            <w:vMerge/>
            <w:tcBorders>
              <w:top w:val="nil"/>
              <w:left w:val="single" w:sz="4" w:space="0" w:color="auto"/>
              <w:bottom w:val="single" w:sz="4" w:space="0" w:color="auto"/>
              <w:right w:val="single" w:sz="4" w:space="0" w:color="auto"/>
            </w:tcBorders>
            <w:vAlign w:val="center"/>
          </w:tcPr>
          <w:p w14:paraId="592CDF4D"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1360" w:type="dxa"/>
            <w:vMerge/>
            <w:tcBorders>
              <w:top w:val="nil"/>
              <w:left w:val="single" w:sz="4" w:space="0" w:color="auto"/>
              <w:bottom w:val="single" w:sz="4" w:space="0" w:color="auto"/>
              <w:right w:val="single" w:sz="4" w:space="0" w:color="auto"/>
            </w:tcBorders>
            <w:vAlign w:val="center"/>
          </w:tcPr>
          <w:p w14:paraId="297F6457" w14:textId="77777777" w:rsidR="00B420F1" w:rsidRDefault="00B420F1">
            <w:pPr>
              <w:tabs>
                <w:tab w:val="clear" w:pos="1197"/>
              </w:tabs>
              <w:spacing w:line="240" w:lineRule="auto"/>
              <w:ind w:firstLineChars="0" w:firstLine="0"/>
              <w:rPr>
                <w:rFonts w:ascii="宋体" w:eastAsia="宋体" w:hAnsi="宋体" w:cs="宋体" w:hint="eastAsia"/>
                <w:color w:val="000000"/>
                <w:kern w:val="0"/>
              </w:rPr>
            </w:pPr>
          </w:p>
        </w:tc>
        <w:tc>
          <w:tcPr>
            <w:tcW w:w="5340" w:type="dxa"/>
            <w:tcBorders>
              <w:top w:val="nil"/>
              <w:left w:val="nil"/>
              <w:bottom w:val="single" w:sz="4" w:space="0" w:color="auto"/>
              <w:right w:val="single" w:sz="4" w:space="0" w:color="auto"/>
            </w:tcBorders>
            <w:vAlign w:val="center"/>
          </w:tcPr>
          <w:p w14:paraId="17392F8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不按要求设置工作提示牌的扣0.5分，造成他人人身伤害的扣1-5分，并负责承担相应赔偿及法律责任</w:t>
            </w:r>
          </w:p>
        </w:tc>
        <w:tc>
          <w:tcPr>
            <w:tcW w:w="1080" w:type="dxa"/>
            <w:tcBorders>
              <w:top w:val="nil"/>
              <w:left w:val="nil"/>
              <w:bottom w:val="single" w:sz="4" w:space="0" w:color="auto"/>
              <w:right w:val="single" w:sz="4" w:space="0" w:color="auto"/>
            </w:tcBorders>
            <w:vAlign w:val="center"/>
          </w:tcPr>
          <w:p w14:paraId="07E02FCC"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3E9666F9"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7E5D6CF1" w14:textId="77777777">
        <w:trPr>
          <w:trHeight w:val="570"/>
        </w:trPr>
        <w:tc>
          <w:tcPr>
            <w:tcW w:w="1080" w:type="dxa"/>
            <w:tcBorders>
              <w:top w:val="nil"/>
              <w:left w:val="single" w:sz="4" w:space="0" w:color="auto"/>
              <w:bottom w:val="single" w:sz="4" w:space="0" w:color="auto"/>
              <w:right w:val="single" w:sz="4" w:space="0" w:color="auto"/>
            </w:tcBorders>
            <w:vAlign w:val="center"/>
          </w:tcPr>
          <w:p w14:paraId="340043A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13</w:t>
            </w:r>
          </w:p>
        </w:tc>
        <w:tc>
          <w:tcPr>
            <w:tcW w:w="1360" w:type="dxa"/>
            <w:tcBorders>
              <w:top w:val="nil"/>
              <w:left w:val="nil"/>
              <w:bottom w:val="single" w:sz="4" w:space="0" w:color="auto"/>
              <w:right w:val="single" w:sz="4" w:space="0" w:color="auto"/>
            </w:tcBorders>
            <w:vAlign w:val="center"/>
          </w:tcPr>
          <w:p w14:paraId="09304D77"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其他</w:t>
            </w:r>
            <w:r>
              <w:rPr>
                <w:rFonts w:ascii="宋体" w:eastAsia="宋体" w:hAnsi="宋体" w:cs="宋体" w:hint="eastAsia"/>
                <w:color w:val="000000"/>
                <w:kern w:val="0"/>
              </w:rPr>
              <w:br/>
              <w:t>（5分）</w:t>
            </w:r>
          </w:p>
        </w:tc>
        <w:tc>
          <w:tcPr>
            <w:tcW w:w="5340" w:type="dxa"/>
            <w:tcBorders>
              <w:top w:val="nil"/>
              <w:left w:val="nil"/>
              <w:bottom w:val="single" w:sz="4" w:space="0" w:color="auto"/>
              <w:right w:val="single" w:sz="4" w:space="0" w:color="auto"/>
            </w:tcBorders>
            <w:vAlign w:val="center"/>
          </w:tcPr>
          <w:p w14:paraId="1D188202"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甲方现场出现乙方无法合理解释或无能力解决的绿化管理问题，严重影响观赏效果的，扣3-5分</w:t>
            </w:r>
          </w:p>
        </w:tc>
        <w:tc>
          <w:tcPr>
            <w:tcW w:w="1080" w:type="dxa"/>
            <w:tcBorders>
              <w:top w:val="nil"/>
              <w:left w:val="nil"/>
              <w:bottom w:val="single" w:sz="4" w:space="0" w:color="auto"/>
              <w:right w:val="single" w:sz="4" w:space="0" w:color="auto"/>
            </w:tcBorders>
            <w:vAlign w:val="center"/>
          </w:tcPr>
          <w:p w14:paraId="50404DE8"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c>
          <w:tcPr>
            <w:tcW w:w="1080" w:type="dxa"/>
            <w:tcBorders>
              <w:top w:val="nil"/>
              <w:left w:val="nil"/>
              <w:bottom w:val="single" w:sz="4" w:space="0" w:color="auto"/>
              <w:right w:val="single" w:sz="4" w:space="0" w:color="auto"/>
            </w:tcBorders>
            <w:vAlign w:val="center"/>
          </w:tcPr>
          <w:p w14:paraId="4DF9AC8D"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 xml:space="preserve">　</w:t>
            </w:r>
          </w:p>
        </w:tc>
      </w:tr>
      <w:tr w:rsidR="00B420F1" w14:paraId="3EFEC9D6" w14:textId="77777777">
        <w:trPr>
          <w:trHeight w:val="285"/>
        </w:trPr>
        <w:tc>
          <w:tcPr>
            <w:tcW w:w="1080" w:type="dxa"/>
            <w:tcBorders>
              <w:top w:val="nil"/>
              <w:left w:val="single" w:sz="4" w:space="0" w:color="auto"/>
              <w:bottom w:val="single" w:sz="4" w:space="0" w:color="auto"/>
              <w:right w:val="single" w:sz="4" w:space="0" w:color="auto"/>
            </w:tcBorders>
            <w:vAlign w:val="center"/>
          </w:tcPr>
          <w:p w14:paraId="612963F1"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14</w:t>
            </w:r>
          </w:p>
        </w:tc>
        <w:tc>
          <w:tcPr>
            <w:tcW w:w="1360" w:type="dxa"/>
            <w:tcBorders>
              <w:top w:val="nil"/>
              <w:left w:val="nil"/>
              <w:bottom w:val="single" w:sz="4" w:space="0" w:color="auto"/>
              <w:right w:val="single" w:sz="4" w:space="0" w:color="auto"/>
            </w:tcBorders>
            <w:vAlign w:val="center"/>
          </w:tcPr>
          <w:p w14:paraId="0BEC0146" w14:textId="77777777" w:rsidR="00B420F1" w:rsidRDefault="00917C7B">
            <w:pPr>
              <w:tabs>
                <w:tab w:val="clear" w:pos="1197"/>
              </w:tabs>
              <w:spacing w:line="240" w:lineRule="auto"/>
              <w:ind w:firstLineChars="0" w:firstLine="0"/>
              <w:jc w:val="center"/>
              <w:rPr>
                <w:rFonts w:ascii="宋体" w:eastAsia="宋体" w:hAnsi="宋体" w:cs="宋体" w:hint="eastAsia"/>
                <w:color w:val="000000"/>
                <w:kern w:val="0"/>
              </w:rPr>
            </w:pPr>
            <w:r>
              <w:rPr>
                <w:rFonts w:ascii="宋体" w:eastAsia="宋体" w:hAnsi="宋体" w:cs="宋体" w:hint="eastAsia"/>
                <w:color w:val="000000"/>
                <w:kern w:val="0"/>
              </w:rPr>
              <w:t>合计</w:t>
            </w:r>
          </w:p>
        </w:tc>
        <w:tc>
          <w:tcPr>
            <w:tcW w:w="7500" w:type="dxa"/>
            <w:gridSpan w:val="3"/>
            <w:tcBorders>
              <w:top w:val="nil"/>
              <w:left w:val="nil"/>
              <w:bottom w:val="single" w:sz="4" w:space="0" w:color="auto"/>
              <w:right w:val="single" w:sz="4" w:space="0" w:color="auto"/>
            </w:tcBorders>
            <w:vAlign w:val="center"/>
          </w:tcPr>
          <w:p w14:paraId="77F9A368" w14:textId="77777777" w:rsidR="00B420F1" w:rsidRDefault="00917C7B">
            <w:pPr>
              <w:tabs>
                <w:tab w:val="clear" w:pos="1197"/>
              </w:tabs>
              <w:spacing w:line="240" w:lineRule="auto"/>
              <w:ind w:firstLineChars="0" w:firstLine="0"/>
              <w:rPr>
                <w:rFonts w:ascii="宋体" w:eastAsia="宋体" w:hAnsi="宋体" w:cs="宋体" w:hint="eastAsia"/>
                <w:color w:val="000000"/>
                <w:kern w:val="0"/>
              </w:rPr>
            </w:pPr>
            <w:r>
              <w:rPr>
                <w:rFonts w:ascii="宋体" w:eastAsia="宋体" w:hAnsi="宋体" w:cs="宋体" w:hint="eastAsia"/>
                <w:color w:val="000000"/>
                <w:kern w:val="0"/>
              </w:rPr>
              <w:t>得分：        分；应扣养护费：       元</w:t>
            </w:r>
          </w:p>
        </w:tc>
      </w:tr>
    </w:tbl>
    <w:p w14:paraId="4F91F6BA"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外委单位签字确认并盖章</w:t>
      </w:r>
      <w:proofErr w:type="gramStart"/>
      <w:r>
        <w:rPr>
          <w:rFonts w:ascii="宋体" w:eastAsia="宋体" w:hAnsi="宋体" w:hint="eastAsia"/>
          <w:bCs/>
          <w:color w:val="000000" w:themeColor="text1"/>
        </w:rPr>
        <w:t xml:space="preserve">： </w:t>
      </w:r>
      <w:r>
        <w:rPr>
          <w:rFonts w:ascii="宋体" w:eastAsia="宋体" w:hAnsi="宋体"/>
          <w:bCs/>
          <w:color w:val="000000" w:themeColor="text1"/>
        </w:rPr>
        <w:t xml:space="preserve">                                </w:t>
      </w:r>
      <w:r>
        <w:rPr>
          <w:rFonts w:ascii="宋体" w:eastAsia="宋体" w:hAnsi="宋体" w:hint="eastAsia"/>
          <w:bCs/>
          <w:color w:val="000000" w:themeColor="text1"/>
        </w:rPr>
        <w:t>甲方</w:t>
      </w:r>
      <w:proofErr w:type="gramEnd"/>
      <w:r>
        <w:rPr>
          <w:rFonts w:ascii="宋体" w:eastAsia="宋体" w:hAnsi="宋体" w:hint="eastAsia"/>
          <w:bCs/>
          <w:color w:val="000000" w:themeColor="text1"/>
        </w:rPr>
        <w:t>负责人签字确认：</w:t>
      </w:r>
    </w:p>
    <w:p w14:paraId="2DB30B33" w14:textId="77777777" w:rsidR="00B420F1" w:rsidRDefault="00917C7B">
      <w:pPr>
        <w:ind w:firstLineChars="400" w:firstLine="840"/>
        <w:jc w:val="both"/>
        <w:rPr>
          <w:rFonts w:ascii="宋体" w:eastAsia="宋体" w:hAnsi="宋体" w:hint="eastAsia"/>
          <w:bCs/>
          <w:color w:val="000000" w:themeColor="text1"/>
        </w:rPr>
      </w:pPr>
      <w:r>
        <w:rPr>
          <w:rFonts w:ascii="宋体" w:eastAsia="宋体" w:hAnsi="宋体" w:hint="eastAsia"/>
          <w:bCs/>
          <w:color w:val="000000" w:themeColor="text1"/>
        </w:rPr>
        <w:t xml:space="preserve">年 </w:t>
      </w:r>
      <w:r>
        <w:rPr>
          <w:rFonts w:ascii="宋体" w:eastAsia="宋体" w:hAnsi="宋体"/>
          <w:bCs/>
          <w:color w:val="000000" w:themeColor="text1"/>
        </w:rPr>
        <w:t xml:space="preserve">   </w:t>
      </w:r>
      <w:r>
        <w:rPr>
          <w:rFonts w:ascii="宋体" w:eastAsia="宋体" w:hAnsi="宋体" w:hint="eastAsia"/>
          <w:bCs/>
          <w:color w:val="000000" w:themeColor="text1"/>
        </w:rPr>
        <w:t xml:space="preserve">月 </w:t>
      </w:r>
      <w:r>
        <w:rPr>
          <w:rFonts w:ascii="宋体" w:eastAsia="宋体" w:hAnsi="宋体"/>
          <w:bCs/>
          <w:color w:val="000000" w:themeColor="text1"/>
        </w:rPr>
        <w:t xml:space="preserve">   </w:t>
      </w:r>
      <w:r>
        <w:rPr>
          <w:rFonts w:ascii="宋体" w:eastAsia="宋体" w:hAnsi="宋体" w:hint="eastAsia"/>
          <w:bCs/>
          <w:color w:val="000000" w:themeColor="text1"/>
        </w:rPr>
        <w:t xml:space="preserve">日 </w:t>
      </w:r>
      <w:r>
        <w:rPr>
          <w:rFonts w:ascii="宋体" w:eastAsia="宋体" w:hAnsi="宋体"/>
          <w:bCs/>
          <w:color w:val="000000" w:themeColor="text1"/>
        </w:rPr>
        <w:t xml:space="preserve">                                          </w:t>
      </w:r>
      <w:r>
        <w:rPr>
          <w:rFonts w:ascii="宋体" w:eastAsia="宋体" w:hAnsi="宋体" w:hint="eastAsia"/>
          <w:bCs/>
          <w:color w:val="000000" w:themeColor="text1"/>
        </w:rPr>
        <w:t xml:space="preserve">年 </w:t>
      </w:r>
      <w:r>
        <w:rPr>
          <w:rFonts w:ascii="宋体" w:eastAsia="宋体" w:hAnsi="宋体"/>
          <w:bCs/>
          <w:color w:val="000000" w:themeColor="text1"/>
        </w:rPr>
        <w:t xml:space="preserve">   </w:t>
      </w:r>
      <w:r>
        <w:rPr>
          <w:rFonts w:ascii="宋体" w:eastAsia="宋体" w:hAnsi="宋体" w:hint="eastAsia"/>
          <w:bCs/>
          <w:color w:val="000000" w:themeColor="text1"/>
        </w:rPr>
        <w:t xml:space="preserve">月 </w:t>
      </w:r>
      <w:r>
        <w:rPr>
          <w:rFonts w:ascii="宋体" w:eastAsia="宋体" w:hAnsi="宋体"/>
          <w:bCs/>
          <w:color w:val="000000" w:themeColor="text1"/>
        </w:rPr>
        <w:t xml:space="preserve">   </w:t>
      </w:r>
      <w:r>
        <w:rPr>
          <w:rFonts w:ascii="宋体" w:eastAsia="宋体" w:hAnsi="宋体" w:hint="eastAsia"/>
          <w:bCs/>
          <w:color w:val="000000" w:themeColor="text1"/>
        </w:rPr>
        <w:t>日</w:t>
      </w:r>
    </w:p>
    <w:p w14:paraId="48C15DE5"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注：</w:t>
      </w:r>
    </w:p>
    <w:p w14:paraId="3D3C0723"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1、评分单位（主合同甲方）：广州城投智奥发展有限公司</w:t>
      </w:r>
    </w:p>
    <w:p w14:paraId="42EAA79A"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 xml:space="preserve">2、被评分单位（主合同乙方）： </w:t>
      </w:r>
    </w:p>
    <w:p w14:paraId="3F2C8946"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3、评分：以1</w:t>
      </w:r>
      <w:r>
        <w:rPr>
          <w:rFonts w:ascii="宋体" w:eastAsia="宋体" w:hAnsi="宋体"/>
          <w:bCs/>
          <w:color w:val="000000" w:themeColor="text1"/>
        </w:rPr>
        <w:t>00</w:t>
      </w:r>
      <w:r>
        <w:rPr>
          <w:rFonts w:ascii="宋体" w:eastAsia="宋体" w:hAnsi="宋体" w:hint="eastAsia"/>
          <w:bCs/>
          <w:color w:val="000000" w:themeColor="text1"/>
        </w:rPr>
        <w:t>分为基准分；按本表评分具体内容进行扣分：得分9</w:t>
      </w:r>
      <w:r>
        <w:rPr>
          <w:rFonts w:ascii="宋体" w:eastAsia="宋体" w:hAnsi="宋体"/>
          <w:bCs/>
          <w:color w:val="000000" w:themeColor="text1"/>
        </w:rPr>
        <w:t>0</w:t>
      </w:r>
      <w:r>
        <w:rPr>
          <w:rFonts w:ascii="宋体" w:eastAsia="宋体" w:hAnsi="宋体" w:hint="eastAsia"/>
          <w:bCs/>
          <w:color w:val="000000" w:themeColor="text1"/>
        </w:rPr>
        <w:t>分（含9</w:t>
      </w:r>
      <w:r>
        <w:rPr>
          <w:rFonts w:ascii="宋体" w:eastAsia="宋体" w:hAnsi="宋体"/>
          <w:bCs/>
          <w:color w:val="000000" w:themeColor="text1"/>
        </w:rPr>
        <w:t>0</w:t>
      </w:r>
      <w:r>
        <w:rPr>
          <w:rFonts w:ascii="宋体" w:eastAsia="宋体" w:hAnsi="宋体" w:hint="eastAsia"/>
          <w:bCs/>
          <w:color w:val="000000" w:themeColor="text1"/>
        </w:rPr>
        <w:t>分）以上为合格，得分9</w:t>
      </w:r>
      <w:r>
        <w:rPr>
          <w:rFonts w:ascii="宋体" w:eastAsia="宋体" w:hAnsi="宋体"/>
          <w:bCs/>
          <w:color w:val="000000" w:themeColor="text1"/>
        </w:rPr>
        <w:t>0</w:t>
      </w:r>
      <w:r>
        <w:rPr>
          <w:rFonts w:ascii="宋体" w:eastAsia="宋体" w:hAnsi="宋体" w:hint="eastAsia"/>
          <w:bCs/>
          <w:color w:val="000000" w:themeColor="text1"/>
        </w:rPr>
        <w:t>分以下为不合格。</w:t>
      </w:r>
    </w:p>
    <w:p w14:paraId="2A9B2377" w14:textId="77777777" w:rsidR="00B420F1" w:rsidRDefault="00917C7B">
      <w:pPr>
        <w:ind w:firstLineChars="0" w:firstLine="0"/>
        <w:jc w:val="both"/>
        <w:rPr>
          <w:rFonts w:ascii="宋体" w:eastAsia="宋体" w:hAnsi="宋体" w:hint="eastAsia"/>
          <w:bCs/>
          <w:color w:val="000000" w:themeColor="text1"/>
        </w:rPr>
      </w:pPr>
      <w:r>
        <w:rPr>
          <w:rFonts w:ascii="宋体" w:eastAsia="宋体" w:hAnsi="宋体" w:hint="eastAsia"/>
          <w:bCs/>
          <w:color w:val="000000" w:themeColor="text1"/>
        </w:rPr>
        <w:t>4、评分结果处理：甲方每月根据得分情况与乙方核算服务费用，当次得分在9</w:t>
      </w:r>
      <w:r>
        <w:rPr>
          <w:rFonts w:ascii="宋体" w:eastAsia="宋体" w:hAnsi="宋体"/>
          <w:bCs/>
          <w:color w:val="000000" w:themeColor="text1"/>
        </w:rPr>
        <w:t>0</w:t>
      </w:r>
      <w:r>
        <w:rPr>
          <w:rFonts w:ascii="宋体" w:eastAsia="宋体" w:hAnsi="宋体" w:hint="eastAsia"/>
          <w:bCs/>
          <w:color w:val="000000" w:themeColor="text1"/>
        </w:rPr>
        <w:t>分（含9</w:t>
      </w:r>
      <w:r>
        <w:rPr>
          <w:rFonts w:ascii="宋体" w:eastAsia="宋体" w:hAnsi="宋体"/>
          <w:bCs/>
          <w:color w:val="000000" w:themeColor="text1"/>
        </w:rPr>
        <w:t>0</w:t>
      </w:r>
      <w:r>
        <w:rPr>
          <w:rFonts w:ascii="宋体" w:eastAsia="宋体" w:hAnsi="宋体" w:hint="eastAsia"/>
          <w:bCs/>
          <w:color w:val="000000" w:themeColor="text1"/>
        </w:rPr>
        <w:t>分）以上为合格范围内的，甲方按合同与乙方结算当月1</w:t>
      </w:r>
      <w:r>
        <w:rPr>
          <w:rFonts w:ascii="宋体" w:eastAsia="宋体" w:hAnsi="宋体"/>
          <w:bCs/>
          <w:color w:val="000000" w:themeColor="text1"/>
        </w:rPr>
        <w:t>00%</w:t>
      </w:r>
      <w:r>
        <w:rPr>
          <w:rFonts w:ascii="宋体" w:eastAsia="宋体" w:hAnsi="宋体" w:hint="eastAsia"/>
          <w:bCs/>
          <w:color w:val="000000" w:themeColor="text1"/>
        </w:rPr>
        <w:t>的服务费用。如当次得分低于9</w:t>
      </w:r>
      <w:r>
        <w:rPr>
          <w:rFonts w:ascii="宋体" w:eastAsia="宋体" w:hAnsi="宋体"/>
          <w:bCs/>
          <w:color w:val="000000" w:themeColor="text1"/>
        </w:rPr>
        <w:t>0</w:t>
      </w:r>
      <w:r>
        <w:rPr>
          <w:rFonts w:ascii="宋体" w:eastAsia="宋体" w:hAnsi="宋体" w:hint="eastAsia"/>
          <w:bCs/>
          <w:color w:val="000000" w:themeColor="text1"/>
        </w:rPr>
        <w:t>分的，每低1分（以9</w:t>
      </w:r>
      <w:r>
        <w:rPr>
          <w:rFonts w:ascii="宋体" w:eastAsia="宋体" w:hAnsi="宋体"/>
          <w:bCs/>
          <w:color w:val="000000" w:themeColor="text1"/>
        </w:rPr>
        <w:t>0</w:t>
      </w:r>
      <w:r>
        <w:rPr>
          <w:rFonts w:ascii="宋体" w:eastAsia="宋体" w:hAnsi="宋体" w:hint="eastAsia"/>
          <w:bCs/>
          <w:color w:val="000000" w:themeColor="text1"/>
        </w:rPr>
        <w:lastRenderedPageBreak/>
        <w:t>分开始计算），甲方按合同每月定价扣取费用￥5</w:t>
      </w:r>
      <w:r>
        <w:rPr>
          <w:rFonts w:ascii="宋体" w:eastAsia="宋体" w:hAnsi="宋体"/>
          <w:bCs/>
          <w:color w:val="000000" w:themeColor="text1"/>
        </w:rPr>
        <w:t>0</w:t>
      </w:r>
      <w:r>
        <w:rPr>
          <w:rFonts w:ascii="宋体" w:eastAsia="宋体" w:hAnsi="宋体" w:hint="eastAsia"/>
          <w:bCs/>
          <w:color w:val="000000" w:themeColor="text1"/>
        </w:rPr>
        <w:t>元/分，依此类推，如考评得分低于8</w:t>
      </w:r>
      <w:r>
        <w:rPr>
          <w:rFonts w:ascii="宋体" w:eastAsia="宋体" w:hAnsi="宋体"/>
          <w:bCs/>
          <w:color w:val="000000" w:themeColor="text1"/>
        </w:rPr>
        <w:t>5</w:t>
      </w:r>
      <w:r>
        <w:rPr>
          <w:rFonts w:ascii="宋体" w:eastAsia="宋体" w:hAnsi="宋体" w:hint="eastAsia"/>
          <w:bCs/>
          <w:color w:val="000000" w:themeColor="text1"/>
        </w:rPr>
        <w:t>分（不含8</w:t>
      </w:r>
      <w:r>
        <w:rPr>
          <w:rFonts w:ascii="宋体" w:eastAsia="宋体" w:hAnsi="宋体"/>
          <w:bCs/>
          <w:color w:val="000000" w:themeColor="text1"/>
        </w:rPr>
        <w:t>5</w:t>
      </w:r>
      <w:r>
        <w:rPr>
          <w:rFonts w:ascii="宋体" w:eastAsia="宋体" w:hAnsi="宋体" w:hint="eastAsia"/>
          <w:bCs/>
          <w:color w:val="000000" w:themeColor="text1"/>
        </w:rPr>
        <w:t>分）的，每低1分（以8</w:t>
      </w:r>
      <w:r>
        <w:rPr>
          <w:rFonts w:ascii="宋体" w:eastAsia="宋体" w:hAnsi="宋体"/>
          <w:bCs/>
          <w:color w:val="000000" w:themeColor="text1"/>
        </w:rPr>
        <w:t>5</w:t>
      </w:r>
      <w:r>
        <w:rPr>
          <w:rFonts w:ascii="宋体" w:eastAsia="宋体" w:hAnsi="宋体" w:hint="eastAsia"/>
          <w:bCs/>
          <w:color w:val="000000" w:themeColor="text1"/>
        </w:rPr>
        <w:t>分开始计算），甲方按合同每月定价扣取费用￥1</w:t>
      </w:r>
      <w:r>
        <w:rPr>
          <w:rFonts w:ascii="宋体" w:eastAsia="宋体" w:hAnsi="宋体"/>
          <w:bCs/>
          <w:color w:val="000000" w:themeColor="text1"/>
        </w:rPr>
        <w:t>00</w:t>
      </w:r>
      <w:r>
        <w:rPr>
          <w:rFonts w:ascii="宋体" w:eastAsia="宋体" w:hAnsi="宋体" w:hint="eastAsia"/>
          <w:bCs/>
          <w:color w:val="000000" w:themeColor="text1"/>
        </w:rPr>
        <w:t>元/分，依此类推。</w:t>
      </w:r>
    </w:p>
    <w:p w14:paraId="1CAC4853" w14:textId="77777777" w:rsidR="00B420F1" w:rsidRDefault="00917C7B">
      <w:pPr>
        <w:tabs>
          <w:tab w:val="clear" w:pos="1197"/>
        </w:tabs>
        <w:spacing w:line="240" w:lineRule="auto"/>
        <w:ind w:firstLineChars="0" w:firstLine="0"/>
        <w:rPr>
          <w:rFonts w:ascii="宋体" w:eastAsia="宋体" w:hAnsi="宋体" w:hint="eastAsia"/>
          <w:b/>
          <w:color w:val="000000" w:themeColor="text1"/>
        </w:rPr>
      </w:pPr>
      <w:r>
        <w:rPr>
          <w:rFonts w:ascii="宋体" w:eastAsia="宋体" w:hAnsi="宋体"/>
          <w:b/>
          <w:color w:val="000000" w:themeColor="text1"/>
        </w:rPr>
        <w:br w:type="page"/>
      </w:r>
    </w:p>
    <w:p w14:paraId="185F658E"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color w:val="000000" w:themeColor="text1"/>
        </w:rPr>
        <w:lastRenderedPageBreak/>
        <w:t>附件5：</w:t>
      </w:r>
      <w:r>
        <w:rPr>
          <w:rFonts w:ascii="宋体" w:eastAsia="宋体" w:hAnsi="宋体" w:hint="eastAsia"/>
          <w:b/>
          <w:bCs/>
          <w:color w:val="000000" w:themeColor="text1"/>
        </w:rPr>
        <w:t>绿化养护技术要求及标准</w:t>
      </w:r>
    </w:p>
    <w:p w14:paraId="1EC7C46A" w14:textId="77777777" w:rsidR="00B420F1" w:rsidRDefault="00917C7B">
      <w:pPr>
        <w:pStyle w:val="a8"/>
        <w:numPr>
          <w:ilvl w:val="0"/>
          <w:numId w:val="2"/>
        </w:numPr>
        <w:ind w:firstLineChars="0"/>
        <w:jc w:val="both"/>
        <w:rPr>
          <w:rFonts w:ascii="宋体" w:eastAsia="宋体" w:hAnsi="宋体" w:hint="eastAsia"/>
          <w:b/>
          <w:bCs/>
          <w:color w:val="000000" w:themeColor="text1"/>
        </w:rPr>
      </w:pPr>
      <w:r>
        <w:rPr>
          <w:rFonts w:ascii="宋体" w:eastAsia="宋体" w:hAnsi="宋体" w:hint="eastAsia"/>
          <w:b/>
          <w:bCs/>
          <w:color w:val="000000" w:themeColor="text1"/>
        </w:rPr>
        <w:t>树木养护管理</w:t>
      </w:r>
    </w:p>
    <w:tbl>
      <w:tblPr>
        <w:tblStyle w:val="a7"/>
        <w:tblW w:w="9918" w:type="dxa"/>
        <w:jc w:val="center"/>
        <w:tblLook w:val="04A0" w:firstRow="1" w:lastRow="0" w:firstColumn="1" w:lastColumn="0" w:noHBand="0" w:noVBand="1"/>
      </w:tblPr>
      <w:tblGrid>
        <w:gridCol w:w="2382"/>
        <w:gridCol w:w="2149"/>
        <w:gridCol w:w="2617"/>
        <w:gridCol w:w="2770"/>
      </w:tblGrid>
      <w:tr w:rsidR="00B420F1" w14:paraId="47D1C431" w14:textId="77777777">
        <w:trPr>
          <w:jc w:val="center"/>
        </w:trPr>
        <w:tc>
          <w:tcPr>
            <w:tcW w:w="2382" w:type="dxa"/>
            <w:vAlign w:val="center"/>
          </w:tcPr>
          <w:p w14:paraId="70C6E97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种类</w:t>
            </w:r>
          </w:p>
        </w:tc>
        <w:tc>
          <w:tcPr>
            <w:tcW w:w="2149" w:type="dxa"/>
            <w:vAlign w:val="center"/>
          </w:tcPr>
          <w:p w14:paraId="19F6E3E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淋水</w:t>
            </w:r>
          </w:p>
        </w:tc>
        <w:tc>
          <w:tcPr>
            <w:tcW w:w="2617" w:type="dxa"/>
            <w:vAlign w:val="center"/>
          </w:tcPr>
          <w:p w14:paraId="2F91E9F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除草松土</w:t>
            </w:r>
          </w:p>
        </w:tc>
        <w:tc>
          <w:tcPr>
            <w:tcW w:w="2770" w:type="dxa"/>
            <w:vAlign w:val="center"/>
          </w:tcPr>
          <w:p w14:paraId="0BC9626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追肥</w:t>
            </w:r>
          </w:p>
        </w:tc>
      </w:tr>
      <w:tr w:rsidR="00B420F1" w14:paraId="4F65A9EF" w14:textId="77777777">
        <w:trPr>
          <w:jc w:val="center"/>
        </w:trPr>
        <w:tc>
          <w:tcPr>
            <w:tcW w:w="2382" w:type="dxa"/>
            <w:vAlign w:val="center"/>
          </w:tcPr>
          <w:p w14:paraId="5560686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一般树木</w:t>
            </w:r>
          </w:p>
          <w:p w14:paraId="6E92717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（细叶榕、凤凰木、朴树、细叶榄仁、大叶紫薇、麻楝、美丽异木棉、玉堂春、鸡蛋花）</w:t>
            </w:r>
          </w:p>
        </w:tc>
        <w:tc>
          <w:tcPr>
            <w:tcW w:w="2149" w:type="dxa"/>
            <w:vAlign w:val="center"/>
          </w:tcPr>
          <w:p w14:paraId="0317BC9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Align w:val="center"/>
          </w:tcPr>
          <w:p w14:paraId="40AAEF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除草：铲除树干周围0</w:t>
            </w:r>
            <w:r>
              <w:rPr>
                <w:rFonts w:ascii="宋体" w:eastAsia="宋体" w:hAnsi="宋体"/>
                <w:color w:val="000000" w:themeColor="text1"/>
              </w:rPr>
              <w:t>.5-1.0</w:t>
            </w:r>
            <w:r>
              <w:rPr>
                <w:rFonts w:ascii="宋体" w:eastAsia="宋体" w:hAnsi="宋体" w:hint="eastAsia"/>
                <w:color w:val="000000" w:themeColor="text1"/>
              </w:rPr>
              <w:t>米的杂草；</w:t>
            </w:r>
          </w:p>
          <w:p w14:paraId="78B125F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松土：结合除草进行。疏松树干周围0</w:t>
            </w:r>
            <w:r>
              <w:rPr>
                <w:rFonts w:ascii="宋体" w:eastAsia="宋体" w:hAnsi="宋体"/>
                <w:color w:val="000000" w:themeColor="text1"/>
              </w:rPr>
              <w:t>.5-1.0</w:t>
            </w:r>
            <w:r>
              <w:rPr>
                <w:rFonts w:ascii="宋体" w:eastAsia="宋体" w:hAnsi="宋体" w:hint="eastAsia"/>
                <w:color w:val="000000" w:themeColor="text1"/>
              </w:rPr>
              <w:t>米已铲草的土壤，深度5</w:t>
            </w:r>
            <w:r>
              <w:rPr>
                <w:rFonts w:ascii="宋体" w:eastAsia="宋体" w:hAnsi="宋体"/>
                <w:color w:val="000000" w:themeColor="text1"/>
              </w:rPr>
              <w:t>-10</w:t>
            </w:r>
            <w:r>
              <w:rPr>
                <w:rFonts w:ascii="宋体" w:eastAsia="宋体" w:hAnsi="宋体" w:hint="eastAsia"/>
                <w:color w:val="000000" w:themeColor="text1"/>
              </w:rPr>
              <w:t>cm。乔木每年1次</w:t>
            </w:r>
          </w:p>
        </w:tc>
        <w:tc>
          <w:tcPr>
            <w:tcW w:w="2770" w:type="dxa"/>
            <w:vAlign w:val="center"/>
          </w:tcPr>
          <w:p w14:paraId="3F0B142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肥料：泥炭土、复合肥。年追肥次数：1次泥炭土、1次复合肥。</w:t>
            </w:r>
          </w:p>
          <w:p w14:paraId="271113A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施用量：泥炭土小树3公斤/棵、大树5公斤/棵；复合肥小树0</w:t>
            </w:r>
            <w:r>
              <w:rPr>
                <w:rFonts w:ascii="宋体" w:eastAsia="宋体" w:hAnsi="宋体"/>
                <w:color w:val="000000" w:themeColor="text1"/>
              </w:rPr>
              <w:t>.3</w:t>
            </w:r>
            <w:r>
              <w:rPr>
                <w:rFonts w:ascii="宋体" w:eastAsia="宋体" w:hAnsi="宋体" w:hint="eastAsia"/>
                <w:color w:val="000000" w:themeColor="text1"/>
              </w:rPr>
              <w:t>公斤/棵、大树0</w:t>
            </w:r>
            <w:r>
              <w:rPr>
                <w:rFonts w:ascii="宋体" w:eastAsia="宋体" w:hAnsi="宋体"/>
                <w:color w:val="000000" w:themeColor="text1"/>
              </w:rPr>
              <w:t>.5</w:t>
            </w:r>
            <w:r>
              <w:rPr>
                <w:rFonts w:ascii="宋体" w:eastAsia="宋体" w:hAnsi="宋体" w:hint="eastAsia"/>
                <w:color w:val="000000" w:themeColor="text1"/>
              </w:rPr>
              <w:t>公斤/棵。</w:t>
            </w:r>
          </w:p>
          <w:p w14:paraId="552CC92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施肥时间：泥炭土在旱春根系生长前施；复合肥等在树木生长期施。</w:t>
            </w:r>
          </w:p>
          <w:p w14:paraId="322EFB2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施肥方法：环状沟施。</w:t>
            </w:r>
          </w:p>
        </w:tc>
      </w:tr>
      <w:tr w:rsidR="00B420F1" w14:paraId="1EB9C617" w14:textId="77777777">
        <w:trPr>
          <w:jc w:val="center"/>
        </w:trPr>
        <w:tc>
          <w:tcPr>
            <w:tcW w:w="2382" w:type="dxa"/>
            <w:vAlign w:val="center"/>
          </w:tcPr>
          <w:p w14:paraId="0A351A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造型植物</w:t>
            </w:r>
          </w:p>
          <w:p w14:paraId="3244ABC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（罗汉松）</w:t>
            </w:r>
          </w:p>
        </w:tc>
        <w:tc>
          <w:tcPr>
            <w:tcW w:w="2149" w:type="dxa"/>
            <w:vAlign w:val="center"/>
          </w:tcPr>
          <w:p w14:paraId="0F7FEB9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restart"/>
            <w:vAlign w:val="center"/>
          </w:tcPr>
          <w:p w14:paraId="397E771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除草：铲除株杆周围0</w:t>
            </w:r>
            <w:r>
              <w:rPr>
                <w:rFonts w:ascii="宋体" w:eastAsia="宋体" w:hAnsi="宋体"/>
                <w:color w:val="000000" w:themeColor="text1"/>
              </w:rPr>
              <w:t>.5</w:t>
            </w:r>
            <w:r>
              <w:rPr>
                <w:rFonts w:ascii="宋体" w:eastAsia="宋体" w:hAnsi="宋体" w:hint="eastAsia"/>
                <w:color w:val="000000" w:themeColor="text1"/>
              </w:rPr>
              <w:t>米的杂草；</w:t>
            </w:r>
          </w:p>
          <w:p w14:paraId="43ACA39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松土：结合除草进行。疏松树干周围0</w:t>
            </w:r>
            <w:r>
              <w:rPr>
                <w:rFonts w:ascii="宋体" w:eastAsia="宋体" w:hAnsi="宋体"/>
                <w:color w:val="000000" w:themeColor="text1"/>
              </w:rPr>
              <w:t>.5</w:t>
            </w:r>
            <w:r>
              <w:rPr>
                <w:rFonts w:ascii="宋体" w:eastAsia="宋体" w:hAnsi="宋体" w:hint="eastAsia"/>
                <w:color w:val="000000" w:themeColor="text1"/>
              </w:rPr>
              <w:t>米已铲草的土壤，深度5</w:t>
            </w:r>
            <w:r>
              <w:rPr>
                <w:rFonts w:ascii="宋体" w:eastAsia="宋体" w:hAnsi="宋体"/>
                <w:color w:val="000000" w:themeColor="text1"/>
              </w:rPr>
              <w:t>-10</w:t>
            </w:r>
            <w:r>
              <w:rPr>
                <w:rFonts w:ascii="宋体" w:eastAsia="宋体" w:hAnsi="宋体" w:hint="eastAsia"/>
                <w:color w:val="000000" w:themeColor="text1"/>
              </w:rPr>
              <w:t>cm。每年2</w:t>
            </w:r>
            <w:r>
              <w:rPr>
                <w:rFonts w:ascii="宋体" w:eastAsia="宋体" w:hAnsi="宋体"/>
                <w:color w:val="000000" w:themeColor="text1"/>
              </w:rPr>
              <w:t>-3</w:t>
            </w:r>
            <w:r>
              <w:rPr>
                <w:rFonts w:ascii="宋体" w:eastAsia="宋体" w:hAnsi="宋体" w:hint="eastAsia"/>
                <w:color w:val="000000" w:themeColor="text1"/>
              </w:rPr>
              <w:t>次。</w:t>
            </w:r>
          </w:p>
        </w:tc>
        <w:tc>
          <w:tcPr>
            <w:tcW w:w="2770" w:type="dxa"/>
            <w:vAlign w:val="center"/>
          </w:tcPr>
          <w:p w14:paraId="510DEFEA" w14:textId="77777777" w:rsidR="00B420F1" w:rsidRDefault="00B420F1">
            <w:pPr>
              <w:ind w:firstLineChars="0" w:firstLine="0"/>
              <w:jc w:val="center"/>
              <w:rPr>
                <w:rFonts w:ascii="宋体" w:eastAsia="宋体" w:hAnsi="宋体" w:hint="eastAsia"/>
                <w:color w:val="000000" w:themeColor="text1"/>
              </w:rPr>
            </w:pPr>
          </w:p>
        </w:tc>
      </w:tr>
      <w:tr w:rsidR="00B420F1" w14:paraId="06DE736E" w14:textId="77777777">
        <w:trPr>
          <w:jc w:val="center"/>
        </w:trPr>
        <w:tc>
          <w:tcPr>
            <w:tcW w:w="2382" w:type="dxa"/>
            <w:vAlign w:val="center"/>
          </w:tcPr>
          <w:p w14:paraId="57F1314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绿篱</w:t>
            </w:r>
          </w:p>
          <w:p w14:paraId="5AFC513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（假连翘、胡椒木、金山棕、日本满天星、黄金叶）</w:t>
            </w:r>
          </w:p>
        </w:tc>
        <w:tc>
          <w:tcPr>
            <w:tcW w:w="2149" w:type="dxa"/>
            <w:vAlign w:val="center"/>
          </w:tcPr>
          <w:p w14:paraId="1CC4EF2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ign w:val="center"/>
          </w:tcPr>
          <w:p w14:paraId="4A172672"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752AD29B" w14:textId="77777777" w:rsidR="00B420F1" w:rsidRDefault="00B420F1">
            <w:pPr>
              <w:ind w:firstLineChars="0" w:firstLine="0"/>
              <w:jc w:val="center"/>
              <w:rPr>
                <w:rFonts w:ascii="宋体" w:eastAsia="宋体" w:hAnsi="宋体" w:hint="eastAsia"/>
                <w:color w:val="000000" w:themeColor="text1"/>
              </w:rPr>
            </w:pPr>
          </w:p>
        </w:tc>
      </w:tr>
      <w:tr w:rsidR="00B420F1" w14:paraId="72B716B6" w14:textId="77777777">
        <w:trPr>
          <w:jc w:val="center"/>
        </w:trPr>
        <w:tc>
          <w:tcPr>
            <w:tcW w:w="2382" w:type="dxa"/>
            <w:vAlign w:val="center"/>
          </w:tcPr>
          <w:p w14:paraId="1EFF04D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花灌木</w:t>
            </w:r>
          </w:p>
          <w:p w14:paraId="3868DF8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（勒杜鹃、紫薇）</w:t>
            </w:r>
          </w:p>
        </w:tc>
        <w:tc>
          <w:tcPr>
            <w:tcW w:w="2149" w:type="dxa"/>
            <w:vAlign w:val="center"/>
          </w:tcPr>
          <w:p w14:paraId="2A5425D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雨季不需浇水；旱季每周一次水。在花芽分化期适当控水。</w:t>
            </w:r>
          </w:p>
        </w:tc>
        <w:tc>
          <w:tcPr>
            <w:tcW w:w="2617" w:type="dxa"/>
            <w:vMerge/>
            <w:vAlign w:val="center"/>
          </w:tcPr>
          <w:p w14:paraId="793BB2B7"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024416FD"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在营养生长期（萌芽、抽枝）施一次氮肥，0</w:t>
            </w:r>
            <w:r>
              <w:rPr>
                <w:rFonts w:ascii="宋体" w:eastAsia="宋体" w:hAnsi="宋体"/>
                <w:color w:val="000000" w:themeColor="text1"/>
              </w:rPr>
              <w:t>.1</w:t>
            </w:r>
            <w:r>
              <w:rPr>
                <w:rFonts w:ascii="宋体" w:eastAsia="宋体" w:hAnsi="宋体" w:hint="eastAsia"/>
                <w:color w:val="000000" w:themeColor="text1"/>
              </w:rPr>
              <w:t>公斤/棵；在花芽分化期、花前、花后各施一次磷钾肥，0</w:t>
            </w:r>
            <w:r>
              <w:rPr>
                <w:rFonts w:ascii="宋体" w:eastAsia="宋体" w:hAnsi="宋体"/>
                <w:color w:val="000000" w:themeColor="text1"/>
              </w:rPr>
              <w:t>.1</w:t>
            </w:r>
            <w:r>
              <w:rPr>
                <w:rFonts w:ascii="宋体" w:eastAsia="宋体" w:hAnsi="宋体" w:hint="eastAsia"/>
                <w:color w:val="000000" w:themeColor="text1"/>
              </w:rPr>
              <w:t>公斤/棵/次。</w:t>
            </w:r>
          </w:p>
          <w:p w14:paraId="093288C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方法：沟施或穴施。</w:t>
            </w:r>
          </w:p>
        </w:tc>
      </w:tr>
      <w:tr w:rsidR="00B420F1" w14:paraId="260216C4" w14:textId="77777777">
        <w:trPr>
          <w:jc w:val="center"/>
        </w:trPr>
        <w:tc>
          <w:tcPr>
            <w:tcW w:w="2382" w:type="dxa"/>
            <w:vAlign w:val="center"/>
          </w:tcPr>
          <w:p w14:paraId="74EF26B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草本花卉</w:t>
            </w:r>
          </w:p>
          <w:p w14:paraId="15AD06A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（石竹、一串红、孔雀草、可爱花）</w:t>
            </w:r>
          </w:p>
        </w:tc>
        <w:tc>
          <w:tcPr>
            <w:tcW w:w="2149" w:type="dxa"/>
            <w:vAlign w:val="center"/>
          </w:tcPr>
          <w:p w14:paraId="29E6371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旱季定期淋水</w:t>
            </w:r>
          </w:p>
        </w:tc>
        <w:tc>
          <w:tcPr>
            <w:tcW w:w="2617" w:type="dxa"/>
            <w:vMerge/>
            <w:vAlign w:val="center"/>
          </w:tcPr>
          <w:p w14:paraId="7FDBA306"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280A163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勒杜鹃施肥方式宜以水肥为主，施肥频率5</w:t>
            </w:r>
            <w:r>
              <w:rPr>
                <w:rFonts w:ascii="宋体" w:eastAsia="宋体" w:hAnsi="宋体"/>
                <w:color w:val="000000" w:themeColor="text1"/>
              </w:rPr>
              <w:t>d</w:t>
            </w:r>
            <w:r>
              <w:rPr>
                <w:rFonts w:ascii="宋体" w:eastAsia="宋体" w:hAnsi="宋体" w:hint="eastAsia"/>
                <w:color w:val="000000" w:themeColor="text1"/>
              </w:rPr>
              <w:t>～7</w:t>
            </w:r>
            <w:r>
              <w:rPr>
                <w:rFonts w:ascii="宋体" w:eastAsia="宋体" w:hAnsi="宋体"/>
                <w:color w:val="000000" w:themeColor="text1"/>
              </w:rPr>
              <w:t>d</w:t>
            </w:r>
            <w:r>
              <w:rPr>
                <w:rFonts w:ascii="宋体" w:eastAsia="宋体" w:hAnsi="宋体" w:hint="eastAsia"/>
                <w:color w:val="000000" w:themeColor="text1"/>
              </w:rPr>
              <w:t>一次，浓度0</w:t>
            </w:r>
            <w:r>
              <w:rPr>
                <w:rFonts w:ascii="宋体" w:eastAsia="宋体" w:hAnsi="宋体"/>
                <w:color w:val="000000" w:themeColor="text1"/>
              </w:rPr>
              <w:t>.15%</w:t>
            </w:r>
            <w:r>
              <w:rPr>
                <w:rFonts w:ascii="宋体" w:eastAsia="宋体" w:hAnsi="宋体" w:hint="eastAsia"/>
                <w:color w:val="000000" w:themeColor="text1"/>
              </w:rPr>
              <w:t>～0</w:t>
            </w:r>
            <w:r>
              <w:rPr>
                <w:rFonts w:ascii="宋体" w:eastAsia="宋体" w:hAnsi="宋体"/>
                <w:color w:val="000000" w:themeColor="text1"/>
              </w:rPr>
              <w:t>.2%</w:t>
            </w:r>
            <w:r>
              <w:rPr>
                <w:rFonts w:ascii="宋体" w:eastAsia="宋体" w:hAnsi="宋体" w:hint="eastAsia"/>
                <w:color w:val="000000" w:themeColor="text1"/>
              </w:rPr>
              <w:t>。营养生长期宜在氮磷钾平衡非</w:t>
            </w:r>
            <w:r>
              <w:rPr>
                <w:rFonts w:ascii="宋体" w:eastAsia="宋体" w:hAnsi="宋体" w:hint="eastAsia"/>
                <w:color w:val="000000" w:themeColor="text1"/>
              </w:rPr>
              <w:lastRenderedPageBreak/>
              <w:t>合肥的增加氮肥含量，可选用N</w:t>
            </w:r>
            <w:r>
              <w:rPr>
                <w:rFonts w:ascii="宋体" w:eastAsia="宋体" w:hAnsi="宋体"/>
                <w:color w:val="000000" w:themeColor="text1"/>
              </w:rPr>
              <w:t>-P-K</w:t>
            </w:r>
            <w:r>
              <w:rPr>
                <w:rFonts w:ascii="宋体" w:eastAsia="宋体" w:hAnsi="宋体" w:hint="eastAsia"/>
                <w:color w:val="000000" w:themeColor="text1"/>
              </w:rPr>
              <w:t>：2</w:t>
            </w:r>
            <w:r>
              <w:rPr>
                <w:rFonts w:ascii="宋体" w:eastAsia="宋体" w:hAnsi="宋体"/>
                <w:color w:val="000000" w:themeColor="text1"/>
              </w:rPr>
              <w:t>50-150-150</w:t>
            </w:r>
            <w:r>
              <w:rPr>
                <w:rFonts w:ascii="宋体" w:eastAsia="宋体" w:hAnsi="宋体" w:hint="eastAsia"/>
                <w:color w:val="000000" w:themeColor="text1"/>
              </w:rPr>
              <w:t>肥料；促花及开花季节，宜在氮磷钾平衡复合肥的基础上适当增加磷钾肥的量，可选用N</w:t>
            </w:r>
            <w:r>
              <w:rPr>
                <w:rFonts w:ascii="宋体" w:eastAsia="宋体" w:hAnsi="宋体"/>
                <w:color w:val="000000" w:themeColor="text1"/>
              </w:rPr>
              <w:t>-P-K:150-200-250</w:t>
            </w:r>
            <w:r>
              <w:rPr>
                <w:rFonts w:ascii="宋体" w:eastAsia="宋体" w:hAnsi="宋体" w:hint="eastAsia"/>
                <w:color w:val="000000" w:themeColor="text1"/>
              </w:rPr>
              <w:t>肥料。冬季到来前适当增施钾肥以增强植株抗寒能力。要在早上施肥。</w:t>
            </w:r>
          </w:p>
        </w:tc>
      </w:tr>
      <w:tr w:rsidR="00B420F1" w14:paraId="7A0C9BD9" w14:textId="77777777">
        <w:trPr>
          <w:jc w:val="center"/>
        </w:trPr>
        <w:tc>
          <w:tcPr>
            <w:tcW w:w="2382" w:type="dxa"/>
            <w:vAlign w:val="center"/>
          </w:tcPr>
          <w:p w14:paraId="3930233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lastRenderedPageBreak/>
              <w:t>草坪</w:t>
            </w:r>
          </w:p>
          <w:p w14:paraId="06C2B4F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（兰引三号、台湾草）</w:t>
            </w:r>
          </w:p>
        </w:tc>
        <w:tc>
          <w:tcPr>
            <w:tcW w:w="2149" w:type="dxa"/>
            <w:vAlign w:val="center"/>
          </w:tcPr>
          <w:p w14:paraId="76A4467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旱季多浇水</w:t>
            </w:r>
          </w:p>
        </w:tc>
        <w:tc>
          <w:tcPr>
            <w:tcW w:w="2617" w:type="dxa"/>
            <w:vMerge/>
            <w:vAlign w:val="center"/>
          </w:tcPr>
          <w:p w14:paraId="1730E116" w14:textId="77777777" w:rsidR="00B420F1" w:rsidRDefault="00B420F1">
            <w:pPr>
              <w:ind w:firstLineChars="0" w:firstLine="0"/>
              <w:jc w:val="center"/>
              <w:rPr>
                <w:rFonts w:ascii="宋体" w:eastAsia="宋体" w:hAnsi="宋体" w:hint="eastAsia"/>
                <w:color w:val="000000" w:themeColor="text1"/>
              </w:rPr>
            </w:pPr>
          </w:p>
        </w:tc>
        <w:tc>
          <w:tcPr>
            <w:tcW w:w="2770" w:type="dxa"/>
            <w:vAlign w:val="center"/>
          </w:tcPr>
          <w:p w14:paraId="4937BAF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6</w:t>
            </w:r>
            <w:r>
              <w:rPr>
                <w:rFonts w:ascii="宋体" w:eastAsia="宋体" w:hAnsi="宋体"/>
                <w:color w:val="000000" w:themeColor="text1"/>
              </w:rPr>
              <w:t>-8</w:t>
            </w:r>
            <w:r>
              <w:rPr>
                <w:rFonts w:ascii="宋体" w:eastAsia="宋体" w:hAnsi="宋体" w:hint="eastAsia"/>
                <w:color w:val="000000" w:themeColor="text1"/>
              </w:rPr>
              <w:t>月高温施肥，氮肥</w:t>
            </w:r>
          </w:p>
        </w:tc>
      </w:tr>
    </w:tbl>
    <w:p w14:paraId="50C3D947" w14:textId="77777777" w:rsidR="00B420F1" w:rsidRDefault="00917C7B">
      <w:pPr>
        <w:pStyle w:val="a8"/>
        <w:numPr>
          <w:ilvl w:val="0"/>
          <w:numId w:val="2"/>
        </w:numPr>
        <w:ind w:firstLineChars="0"/>
        <w:jc w:val="both"/>
        <w:rPr>
          <w:rFonts w:ascii="宋体" w:eastAsia="宋体" w:hAnsi="宋体" w:hint="eastAsia"/>
          <w:b/>
          <w:bCs/>
          <w:color w:val="000000" w:themeColor="text1"/>
        </w:rPr>
      </w:pPr>
      <w:r>
        <w:rPr>
          <w:rFonts w:ascii="宋体" w:eastAsia="宋体" w:hAnsi="宋体" w:hint="eastAsia"/>
          <w:b/>
          <w:bCs/>
          <w:color w:val="000000" w:themeColor="text1"/>
        </w:rPr>
        <w:t>续表</w:t>
      </w:r>
    </w:p>
    <w:tbl>
      <w:tblPr>
        <w:tblStyle w:val="a7"/>
        <w:tblW w:w="9918" w:type="dxa"/>
        <w:jc w:val="center"/>
        <w:tblLook w:val="04A0" w:firstRow="1" w:lastRow="0" w:firstColumn="1" w:lastColumn="0" w:noHBand="0" w:noVBand="1"/>
      </w:tblPr>
      <w:tblGrid>
        <w:gridCol w:w="2405"/>
        <w:gridCol w:w="2194"/>
        <w:gridCol w:w="3051"/>
        <w:gridCol w:w="1134"/>
        <w:gridCol w:w="1134"/>
      </w:tblGrid>
      <w:tr w:rsidR="00B420F1" w14:paraId="3BDA35B3" w14:textId="77777777">
        <w:trPr>
          <w:jc w:val="center"/>
        </w:trPr>
        <w:tc>
          <w:tcPr>
            <w:tcW w:w="2405" w:type="dxa"/>
            <w:vAlign w:val="center"/>
          </w:tcPr>
          <w:p w14:paraId="047365F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种类</w:t>
            </w:r>
          </w:p>
        </w:tc>
        <w:tc>
          <w:tcPr>
            <w:tcW w:w="2194" w:type="dxa"/>
            <w:vAlign w:val="center"/>
          </w:tcPr>
          <w:p w14:paraId="5A1B812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修剪</w:t>
            </w:r>
          </w:p>
        </w:tc>
        <w:tc>
          <w:tcPr>
            <w:tcW w:w="3051" w:type="dxa"/>
            <w:vAlign w:val="center"/>
          </w:tcPr>
          <w:p w14:paraId="6C36BFDC"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树体保护</w:t>
            </w:r>
          </w:p>
          <w:p w14:paraId="0B6B3D1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（防灼、防病虫、防台风、防寒）</w:t>
            </w:r>
          </w:p>
        </w:tc>
        <w:tc>
          <w:tcPr>
            <w:tcW w:w="1134" w:type="dxa"/>
            <w:vAlign w:val="center"/>
          </w:tcPr>
          <w:p w14:paraId="2C13004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补植</w:t>
            </w:r>
          </w:p>
        </w:tc>
        <w:tc>
          <w:tcPr>
            <w:tcW w:w="1134" w:type="dxa"/>
            <w:vAlign w:val="center"/>
          </w:tcPr>
          <w:p w14:paraId="6FFF9A9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其它</w:t>
            </w:r>
          </w:p>
        </w:tc>
      </w:tr>
      <w:tr w:rsidR="00B420F1" w14:paraId="2F103135" w14:textId="77777777">
        <w:trPr>
          <w:jc w:val="center"/>
        </w:trPr>
        <w:tc>
          <w:tcPr>
            <w:tcW w:w="2405" w:type="dxa"/>
            <w:vAlign w:val="center"/>
          </w:tcPr>
          <w:p w14:paraId="3D4AD95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一般树木</w:t>
            </w:r>
          </w:p>
          <w:p w14:paraId="7B8092C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（细叶榕、凤凰木、朴树、细叶榄仁、大叶紫薇、麻楝、美丽异木棉、玉堂春、鸡蛋花）</w:t>
            </w:r>
          </w:p>
        </w:tc>
        <w:tc>
          <w:tcPr>
            <w:tcW w:w="2194" w:type="dxa"/>
            <w:vAlign w:val="center"/>
          </w:tcPr>
          <w:p w14:paraId="0E8AE02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常规修剪：疏剪干枯枝、病老枝、重叠枝、逆生枝、平行枝、直立枝、主干萌生枝等。</w:t>
            </w:r>
          </w:p>
        </w:tc>
        <w:tc>
          <w:tcPr>
            <w:tcW w:w="3051" w:type="dxa"/>
            <w:vAlign w:val="center"/>
          </w:tcPr>
          <w:p w14:paraId="00C5797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在秋季涂白防日灼、病虫：用生石灰、硫磺、食盐、水等配制药液。加强巡查，发现病虫害时及时防治。</w:t>
            </w:r>
          </w:p>
          <w:p w14:paraId="32D12FB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在台风季节防台风：对浅根树、树坛低洼树培土护根；对易风倒、风折的树立支柱、疏剪树冠。</w:t>
            </w:r>
          </w:p>
        </w:tc>
        <w:tc>
          <w:tcPr>
            <w:tcW w:w="1134" w:type="dxa"/>
            <w:vAlign w:val="center"/>
          </w:tcPr>
          <w:p w14:paraId="1E20010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4CD5544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0D6A43E1" w14:textId="77777777">
        <w:trPr>
          <w:jc w:val="center"/>
        </w:trPr>
        <w:tc>
          <w:tcPr>
            <w:tcW w:w="2405" w:type="dxa"/>
            <w:vAlign w:val="center"/>
          </w:tcPr>
          <w:p w14:paraId="1B3C799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造型植物</w:t>
            </w:r>
          </w:p>
          <w:p w14:paraId="7A11B70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（罗汉松）</w:t>
            </w:r>
          </w:p>
        </w:tc>
        <w:tc>
          <w:tcPr>
            <w:tcW w:w="2194" w:type="dxa"/>
            <w:vAlign w:val="center"/>
          </w:tcPr>
          <w:p w14:paraId="14A7563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定时修剪</w:t>
            </w:r>
          </w:p>
        </w:tc>
        <w:tc>
          <w:tcPr>
            <w:tcW w:w="3051" w:type="dxa"/>
            <w:vAlign w:val="center"/>
          </w:tcPr>
          <w:p w14:paraId="72A371B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034D7ADB"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4E6ED83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40016558" w14:textId="77777777">
        <w:trPr>
          <w:jc w:val="center"/>
        </w:trPr>
        <w:tc>
          <w:tcPr>
            <w:tcW w:w="2405" w:type="dxa"/>
            <w:vAlign w:val="center"/>
          </w:tcPr>
          <w:p w14:paraId="40BABD3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绿篱</w:t>
            </w:r>
          </w:p>
          <w:p w14:paraId="56F8F25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（假连翘、胡椒木、金山棕、日本满天星、黄金叶）</w:t>
            </w:r>
          </w:p>
        </w:tc>
        <w:tc>
          <w:tcPr>
            <w:tcW w:w="2194" w:type="dxa"/>
            <w:vAlign w:val="center"/>
          </w:tcPr>
          <w:p w14:paraId="2774EE6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定时修剪</w:t>
            </w:r>
          </w:p>
        </w:tc>
        <w:tc>
          <w:tcPr>
            <w:tcW w:w="3051" w:type="dxa"/>
            <w:vAlign w:val="center"/>
          </w:tcPr>
          <w:p w14:paraId="4BEA011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6B38A0E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7680A33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41415698" w14:textId="77777777">
        <w:trPr>
          <w:jc w:val="center"/>
        </w:trPr>
        <w:tc>
          <w:tcPr>
            <w:tcW w:w="2405" w:type="dxa"/>
            <w:vAlign w:val="center"/>
          </w:tcPr>
          <w:p w14:paraId="1099B30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lastRenderedPageBreak/>
              <w:t>花灌木</w:t>
            </w:r>
          </w:p>
          <w:p w14:paraId="73757651"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（勒杜鹃、紫薇）</w:t>
            </w:r>
          </w:p>
        </w:tc>
        <w:tc>
          <w:tcPr>
            <w:tcW w:w="2194" w:type="dxa"/>
            <w:vAlign w:val="center"/>
          </w:tcPr>
          <w:p w14:paraId="7C4907C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大红紫薇：在早春萌芽前重剪或回缩剪。</w:t>
            </w:r>
          </w:p>
          <w:p w14:paraId="18BC04A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紫荆：在早春萌芽前重剪或回缩剪。</w:t>
            </w:r>
          </w:p>
        </w:tc>
        <w:tc>
          <w:tcPr>
            <w:tcW w:w="3051" w:type="dxa"/>
            <w:vAlign w:val="center"/>
          </w:tcPr>
          <w:p w14:paraId="000A7C4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主要是防治病虫。红花的主要病害有锈病、褐斑病、枯萎病、叶斑病等紫荆的主要病虫害有白粉病、褐斑病、煤污病、绒蚧、蚜虫，在危害期间要及时喷药防治。</w:t>
            </w:r>
          </w:p>
        </w:tc>
        <w:tc>
          <w:tcPr>
            <w:tcW w:w="1134" w:type="dxa"/>
            <w:vAlign w:val="center"/>
          </w:tcPr>
          <w:p w14:paraId="2D4E062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无</w:t>
            </w:r>
          </w:p>
        </w:tc>
        <w:tc>
          <w:tcPr>
            <w:tcW w:w="1134" w:type="dxa"/>
            <w:vAlign w:val="center"/>
          </w:tcPr>
          <w:p w14:paraId="254E207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无</w:t>
            </w:r>
          </w:p>
        </w:tc>
      </w:tr>
      <w:tr w:rsidR="00B420F1" w14:paraId="2281D081" w14:textId="77777777">
        <w:trPr>
          <w:jc w:val="center"/>
        </w:trPr>
        <w:tc>
          <w:tcPr>
            <w:tcW w:w="2405" w:type="dxa"/>
            <w:vAlign w:val="center"/>
          </w:tcPr>
          <w:p w14:paraId="02A3D06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草本花卉</w:t>
            </w:r>
          </w:p>
          <w:p w14:paraId="617DAD7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（石竹、一串红、孔雀草、可爱花）</w:t>
            </w:r>
          </w:p>
        </w:tc>
        <w:tc>
          <w:tcPr>
            <w:tcW w:w="2194" w:type="dxa"/>
            <w:vAlign w:val="center"/>
          </w:tcPr>
          <w:p w14:paraId="2D74B01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3051" w:type="dxa"/>
            <w:vAlign w:val="center"/>
          </w:tcPr>
          <w:p w14:paraId="7093FE2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788A06E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62383CD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r w:rsidR="00B420F1" w14:paraId="6BF908C7" w14:textId="77777777">
        <w:trPr>
          <w:jc w:val="center"/>
        </w:trPr>
        <w:tc>
          <w:tcPr>
            <w:tcW w:w="2405" w:type="dxa"/>
            <w:vAlign w:val="center"/>
          </w:tcPr>
          <w:p w14:paraId="6928AFA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草坪</w:t>
            </w:r>
          </w:p>
          <w:p w14:paraId="58E70B0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（兰引三号、台湾草）</w:t>
            </w:r>
          </w:p>
        </w:tc>
        <w:tc>
          <w:tcPr>
            <w:tcW w:w="2194" w:type="dxa"/>
            <w:vAlign w:val="center"/>
          </w:tcPr>
          <w:p w14:paraId="32A0082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常规修剪：疏草、复壮</w:t>
            </w:r>
          </w:p>
        </w:tc>
        <w:tc>
          <w:tcPr>
            <w:tcW w:w="3051" w:type="dxa"/>
            <w:vAlign w:val="center"/>
          </w:tcPr>
          <w:p w14:paraId="40669C5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3B89527C"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c>
          <w:tcPr>
            <w:tcW w:w="1134" w:type="dxa"/>
            <w:vAlign w:val="center"/>
          </w:tcPr>
          <w:p w14:paraId="1E2E2974"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w:t>
            </w:r>
          </w:p>
        </w:tc>
      </w:tr>
    </w:tbl>
    <w:p w14:paraId="4BD298A1" w14:textId="77777777" w:rsidR="00B420F1" w:rsidRDefault="00B420F1">
      <w:pPr>
        <w:ind w:firstLineChars="0" w:firstLine="0"/>
        <w:jc w:val="both"/>
        <w:rPr>
          <w:rFonts w:ascii="宋体" w:eastAsia="宋体" w:hAnsi="宋体" w:hint="eastAsia"/>
          <w:b/>
          <w:bCs/>
          <w:color w:val="000000" w:themeColor="text1"/>
        </w:rPr>
      </w:pPr>
    </w:p>
    <w:p w14:paraId="69362656" w14:textId="77777777" w:rsidR="00B420F1" w:rsidRDefault="00917C7B">
      <w:pPr>
        <w:tabs>
          <w:tab w:val="clear" w:pos="1197"/>
        </w:tabs>
        <w:spacing w:line="240" w:lineRule="auto"/>
        <w:ind w:firstLineChars="0" w:firstLine="0"/>
        <w:rPr>
          <w:rFonts w:ascii="宋体" w:eastAsia="宋体" w:hAnsi="宋体" w:hint="eastAsia"/>
          <w:b/>
          <w:bCs/>
          <w:color w:val="000000" w:themeColor="text1"/>
        </w:rPr>
      </w:pPr>
      <w:r>
        <w:rPr>
          <w:rFonts w:ascii="宋体" w:eastAsia="宋体" w:hAnsi="宋体" w:hint="eastAsia"/>
          <w:b/>
          <w:bCs/>
          <w:color w:val="000000" w:themeColor="text1"/>
        </w:rPr>
        <w:br w:type="page"/>
      </w:r>
    </w:p>
    <w:p w14:paraId="5D69A6E1"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lastRenderedPageBreak/>
        <w:t>附件6：绿化养护工作月历</w:t>
      </w:r>
    </w:p>
    <w:tbl>
      <w:tblPr>
        <w:tblStyle w:val="a7"/>
        <w:tblW w:w="0" w:type="auto"/>
        <w:jc w:val="center"/>
        <w:tblLook w:val="04A0" w:firstRow="1" w:lastRow="0" w:firstColumn="1" w:lastColumn="0" w:noHBand="0" w:noVBand="1"/>
      </w:tblPr>
      <w:tblGrid>
        <w:gridCol w:w="1696"/>
        <w:gridCol w:w="7835"/>
      </w:tblGrid>
      <w:tr w:rsidR="00B420F1" w14:paraId="03CC963E" w14:textId="77777777">
        <w:trPr>
          <w:jc w:val="center"/>
        </w:trPr>
        <w:tc>
          <w:tcPr>
            <w:tcW w:w="1696" w:type="dxa"/>
            <w:vAlign w:val="center"/>
          </w:tcPr>
          <w:p w14:paraId="3933E65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月份</w:t>
            </w:r>
          </w:p>
        </w:tc>
        <w:tc>
          <w:tcPr>
            <w:tcW w:w="7835" w:type="dxa"/>
            <w:vAlign w:val="center"/>
          </w:tcPr>
          <w:p w14:paraId="1717B6CD"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计划内容</w:t>
            </w:r>
          </w:p>
        </w:tc>
      </w:tr>
      <w:tr w:rsidR="00B420F1" w14:paraId="6EB2FBA0" w14:textId="77777777">
        <w:trPr>
          <w:jc w:val="center"/>
        </w:trPr>
        <w:tc>
          <w:tcPr>
            <w:tcW w:w="1696" w:type="dxa"/>
            <w:vAlign w:val="center"/>
          </w:tcPr>
          <w:p w14:paraId="5AAC6BBD"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1月</w:t>
            </w:r>
          </w:p>
        </w:tc>
        <w:tc>
          <w:tcPr>
            <w:tcW w:w="7835" w:type="dxa"/>
            <w:vAlign w:val="center"/>
          </w:tcPr>
          <w:p w14:paraId="23AE19BD"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冬季修剪：小乔木枯、残、病枝及妨碍架空线和建筑物的枝杈进行修剪；</w:t>
            </w:r>
          </w:p>
          <w:p w14:paraId="691E2699"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防治虫害：冬季消灭虫害有利时期，可在疏松的土壤中挖集刺蛾的虫蛹、虫茧，集中烧死，注意介壳虫的活动；</w:t>
            </w:r>
          </w:p>
          <w:p w14:paraId="44BBAB9A" w14:textId="77777777" w:rsidR="00B420F1" w:rsidRDefault="00917C7B">
            <w:pPr>
              <w:pStyle w:val="a8"/>
              <w:numPr>
                <w:ilvl w:val="0"/>
                <w:numId w:val="3"/>
              </w:numPr>
              <w:ind w:firstLineChars="0"/>
              <w:rPr>
                <w:rFonts w:ascii="宋体" w:eastAsia="宋体" w:hAnsi="宋体" w:hint="eastAsia"/>
                <w:color w:val="000000" w:themeColor="text1"/>
              </w:rPr>
            </w:pPr>
            <w:r>
              <w:rPr>
                <w:rFonts w:ascii="宋体" w:eastAsia="宋体" w:hAnsi="宋体" w:hint="eastAsia"/>
                <w:color w:val="000000" w:themeColor="text1"/>
              </w:rPr>
              <w:t>绿地养护：绿地、花坛主题挑出大型野草，草坪及时挑草，切边，绿地要注意防冻浇水；</w:t>
            </w:r>
          </w:p>
        </w:tc>
      </w:tr>
      <w:tr w:rsidR="00B420F1" w14:paraId="4FF2DDB7" w14:textId="77777777">
        <w:trPr>
          <w:jc w:val="center"/>
        </w:trPr>
        <w:tc>
          <w:tcPr>
            <w:tcW w:w="1696" w:type="dxa"/>
            <w:vAlign w:val="center"/>
          </w:tcPr>
          <w:p w14:paraId="636C0A4E"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2月</w:t>
            </w:r>
          </w:p>
        </w:tc>
        <w:tc>
          <w:tcPr>
            <w:tcW w:w="7835" w:type="dxa"/>
            <w:vAlign w:val="center"/>
          </w:tcPr>
          <w:p w14:paraId="42D442CE"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养护基本与1月份相同；</w:t>
            </w:r>
          </w:p>
          <w:p w14:paraId="6413A4F6"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修剪：进行园林树木的冬季整形修剪，继续对大小乔木进行修剪，月底前把树木修剪完。</w:t>
            </w:r>
          </w:p>
          <w:p w14:paraId="60AC602F" w14:textId="77777777" w:rsidR="00B420F1" w:rsidRDefault="00917C7B">
            <w:pPr>
              <w:pStyle w:val="a8"/>
              <w:numPr>
                <w:ilvl w:val="0"/>
                <w:numId w:val="4"/>
              </w:numPr>
              <w:ind w:firstLineChars="0"/>
              <w:rPr>
                <w:rFonts w:ascii="宋体" w:eastAsia="宋体" w:hAnsi="宋体" w:hint="eastAsia"/>
                <w:color w:val="000000" w:themeColor="text1"/>
              </w:rPr>
            </w:pPr>
            <w:r>
              <w:rPr>
                <w:rFonts w:ascii="宋体" w:eastAsia="宋体" w:hAnsi="宋体" w:hint="eastAsia"/>
                <w:color w:val="000000" w:themeColor="text1"/>
              </w:rPr>
              <w:t>病虫害防治。</w:t>
            </w:r>
          </w:p>
        </w:tc>
      </w:tr>
      <w:tr w:rsidR="00B420F1" w14:paraId="06FC9BAC" w14:textId="77777777">
        <w:trPr>
          <w:jc w:val="center"/>
        </w:trPr>
        <w:tc>
          <w:tcPr>
            <w:tcW w:w="1696" w:type="dxa"/>
            <w:vAlign w:val="center"/>
          </w:tcPr>
          <w:p w14:paraId="33308BE0"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3月</w:t>
            </w:r>
          </w:p>
        </w:tc>
        <w:tc>
          <w:tcPr>
            <w:tcW w:w="7835" w:type="dxa"/>
            <w:vAlign w:val="center"/>
          </w:tcPr>
          <w:p w14:paraId="6872D46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w:t>
            </w:r>
            <w:r>
              <w:rPr>
                <w:rFonts w:ascii="宋体" w:eastAsia="宋体" w:hAnsi="宋体" w:hint="eastAsia"/>
                <w:color w:val="000000" w:themeColor="text1"/>
              </w:rPr>
              <w:t>、</w:t>
            </w:r>
            <w:r>
              <w:rPr>
                <w:rFonts w:ascii="宋体" w:eastAsia="宋体" w:hAnsi="宋体"/>
                <w:color w:val="000000" w:themeColor="text1"/>
              </w:rPr>
              <w:t>春灌：因春季干旱多风，蒸发量大，防止春旱，对绿地应及时灌水</w:t>
            </w:r>
            <w:r>
              <w:rPr>
                <w:rFonts w:ascii="宋体" w:eastAsia="宋体" w:hAnsi="宋体" w:hint="eastAsia"/>
                <w:color w:val="000000" w:themeColor="text1"/>
              </w:rPr>
              <w:t>；</w:t>
            </w:r>
          </w:p>
          <w:p w14:paraId="184B974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w:t>
            </w:r>
            <w:r>
              <w:rPr>
                <w:rFonts w:ascii="宋体" w:eastAsia="宋体" w:hAnsi="宋体" w:hint="eastAsia"/>
                <w:color w:val="000000" w:themeColor="text1"/>
              </w:rPr>
              <w:t>、</w:t>
            </w:r>
            <w:r>
              <w:rPr>
                <w:rFonts w:ascii="宋体" w:eastAsia="宋体" w:hAnsi="宋体"/>
                <w:color w:val="000000" w:themeColor="text1"/>
              </w:rPr>
              <w:t>施肥：土壤过冬之后，对植物施基肥</w:t>
            </w:r>
            <w:r>
              <w:rPr>
                <w:rFonts w:ascii="宋体" w:eastAsia="宋体" w:hAnsi="宋体" w:hint="eastAsia"/>
                <w:color w:val="000000" w:themeColor="text1"/>
              </w:rPr>
              <w:t>；</w:t>
            </w:r>
          </w:p>
          <w:p w14:paraId="26F7AEE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w:t>
            </w:r>
            <w:r>
              <w:rPr>
                <w:rFonts w:ascii="宋体" w:eastAsia="宋体" w:hAnsi="宋体" w:hint="eastAsia"/>
                <w:color w:val="000000" w:themeColor="text1"/>
              </w:rPr>
              <w:t>、</w:t>
            </w:r>
            <w:r>
              <w:rPr>
                <w:rFonts w:ascii="宋体" w:eastAsia="宋体" w:hAnsi="宋体"/>
                <w:color w:val="000000" w:themeColor="text1"/>
              </w:rPr>
              <w:t>防病虫害，天气渐暖，许多病虫害即将发生，要维护修理好各种除虫防病器械并准备好药品注意蚜虫、草履蚧的发生，做到及时防治</w:t>
            </w:r>
            <w:r>
              <w:rPr>
                <w:rFonts w:ascii="宋体" w:eastAsia="宋体" w:hAnsi="宋体" w:hint="eastAsia"/>
                <w:color w:val="000000" w:themeColor="text1"/>
              </w:rPr>
              <w:t>；</w:t>
            </w:r>
          </w:p>
        </w:tc>
      </w:tr>
      <w:tr w:rsidR="00B420F1" w14:paraId="1F0EEB30" w14:textId="77777777">
        <w:trPr>
          <w:jc w:val="center"/>
        </w:trPr>
        <w:tc>
          <w:tcPr>
            <w:tcW w:w="1696" w:type="dxa"/>
            <w:vAlign w:val="center"/>
          </w:tcPr>
          <w:p w14:paraId="23ECD639"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4月</w:t>
            </w:r>
          </w:p>
        </w:tc>
        <w:tc>
          <w:tcPr>
            <w:tcW w:w="7835" w:type="dxa"/>
            <w:vAlign w:val="center"/>
          </w:tcPr>
          <w:p w14:paraId="4FE3202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w:t>
            </w:r>
            <w:r>
              <w:rPr>
                <w:rFonts w:ascii="宋体" w:eastAsia="宋体" w:hAnsi="宋体" w:hint="eastAsia"/>
                <w:color w:val="000000" w:themeColor="text1"/>
              </w:rPr>
              <w:t>、</w:t>
            </w:r>
            <w:r>
              <w:rPr>
                <w:rFonts w:ascii="宋体" w:eastAsia="宋体" w:hAnsi="宋体"/>
                <w:color w:val="000000" w:themeColor="text1"/>
              </w:rPr>
              <w:t>灌水：春雨不足时期，要对绿化带进行浇灌措施；</w:t>
            </w:r>
          </w:p>
          <w:p w14:paraId="57552AAB" w14:textId="0E6CFE5F"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w:t>
            </w:r>
            <w:r>
              <w:rPr>
                <w:rFonts w:ascii="宋体" w:eastAsia="宋体" w:hAnsi="宋体" w:hint="eastAsia"/>
                <w:color w:val="000000" w:themeColor="text1"/>
              </w:rPr>
              <w:t>、</w:t>
            </w:r>
            <w:r>
              <w:rPr>
                <w:rFonts w:ascii="宋体" w:eastAsia="宋体" w:hAnsi="宋体"/>
                <w:color w:val="000000" w:themeColor="text1"/>
              </w:rPr>
              <w:t>施肥：对红花继木等小灌木追施速效氮肥，或根据要求进行</w:t>
            </w:r>
            <w:r w:rsidR="00E52DBB">
              <w:rPr>
                <w:rFonts w:ascii="宋体" w:eastAsia="宋体" w:hAnsi="宋体" w:hint="eastAsia"/>
                <w:color w:val="000000" w:themeColor="text1"/>
              </w:rPr>
              <w:t>叶面</w:t>
            </w:r>
            <w:r>
              <w:rPr>
                <w:rFonts w:ascii="宋体" w:eastAsia="宋体" w:hAnsi="宋体"/>
                <w:color w:val="000000" w:themeColor="text1"/>
              </w:rPr>
              <w:t>喷施；</w:t>
            </w:r>
          </w:p>
          <w:p w14:paraId="7952CC4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w:t>
            </w:r>
            <w:r>
              <w:rPr>
                <w:rFonts w:ascii="宋体" w:eastAsia="宋体" w:hAnsi="宋体" w:hint="eastAsia"/>
                <w:color w:val="000000" w:themeColor="text1"/>
              </w:rPr>
              <w:t>、</w:t>
            </w:r>
            <w:r>
              <w:rPr>
                <w:rFonts w:ascii="宋体" w:eastAsia="宋体" w:hAnsi="宋体"/>
                <w:color w:val="000000" w:themeColor="text1"/>
              </w:rPr>
              <w:t>修剪：进行对冬季死亡的植物枯枝修剪，可以修剪常绿绿篱；</w:t>
            </w:r>
          </w:p>
          <w:p w14:paraId="787441D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w:t>
            </w:r>
            <w:r>
              <w:rPr>
                <w:rFonts w:ascii="宋体" w:eastAsia="宋体" w:hAnsi="宋体" w:hint="eastAsia"/>
                <w:color w:val="000000" w:themeColor="text1"/>
              </w:rPr>
              <w:t>、</w:t>
            </w:r>
            <w:r>
              <w:rPr>
                <w:rFonts w:ascii="宋体" w:eastAsia="宋体" w:hAnsi="宋体"/>
                <w:color w:val="000000" w:themeColor="text1"/>
              </w:rPr>
              <w:t>防治病虫害；</w:t>
            </w:r>
          </w:p>
        </w:tc>
      </w:tr>
      <w:tr w:rsidR="00B420F1" w14:paraId="33B27CF8" w14:textId="77777777">
        <w:trPr>
          <w:jc w:val="center"/>
        </w:trPr>
        <w:tc>
          <w:tcPr>
            <w:tcW w:w="1696" w:type="dxa"/>
            <w:vAlign w:val="center"/>
          </w:tcPr>
          <w:p w14:paraId="1A6163AF"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5月</w:t>
            </w:r>
          </w:p>
        </w:tc>
        <w:tc>
          <w:tcPr>
            <w:tcW w:w="7835" w:type="dxa"/>
            <w:vAlign w:val="center"/>
          </w:tcPr>
          <w:p w14:paraId="253A02D9"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1、浇水此月是植物展叶盛期，需水量大，适当浇水；</w:t>
            </w:r>
          </w:p>
          <w:p w14:paraId="3D8C033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2、修剪对春季开花的灌木进行花后修剪和绿篱修剪，按技术操作要求，对行道树进行剥芽修剪，对发生萌蘖的小苗根部随时修剪剥除；</w:t>
            </w:r>
          </w:p>
          <w:p w14:paraId="3F65352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3、施肥继续加强新栽树木的养护管理工作，做好补苗、间苗、定苗工作，增施追肥、勤施薄肥；</w:t>
            </w:r>
          </w:p>
          <w:p w14:paraId="28B49B3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w:t>
            </w:r>
          </w:p>
        </w:tc>
      </w:tr>
      <w:tr w:rsidR="00B420F1" w14:paraId="65473DA0" w14:textId="77777777">
        <w:trPr>
          <w:jc w:val="center"/>
        </w:trPr>
        <w:tc>
          <w:tcPr>
            <w:tcW w:w="1696" w:type="dxa"/>
            <w:vAlign w:val="center"/>
          </w:tcPr>
          <w:p w14:paraId="61710B96"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6月</w:t>
            </w:r>
          </w:p>
        </w:tc>
        <w:tc>
          <w:tcPr>
            <w:tcW w:w="7835" w:type="dxa"/>
            <w:vAlign w:val="center"/>
          </w:tcPr>
          <w:p w14:paraId="48D65CF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1、浇水：植物需水量较大，要及时浇水；</w:t>
            </w:r>
          </w:p>
          <w:p w14:paraId="62BA84D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2、施肥除草：结合松土除草，浇水施肥到达最好的效果；</w:t>
            </w:r>
          </w:p>
          <w:p w14:paraId="2888178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3、修剪：对绿篱，球状类及部分花灌木实施修剪；</w:t>
            </w:r>
          </w:p>
          <w:p w14:paraId="07FAAE6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w:t>
            </w:r>
          </w:p>
          <w:p w14:paraId="370210B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5、做好树木防汛防台工作，对松动、倾斜的树木进行扶正，加固，重新包扎；</w:t>
            </w:r>
          </w:p>
        </w:tc>
      </w:tr>
      <w:tr w:rsidR="00B420F1" w14:paraId="4448A9E3" w14:textId="77777777">
        <w:trPr>
          <w:jc w:val="center"/>
        </w:trPr>
        <w:tc>
          <w:tcPr>
            <w:tcW w:w="1696" w:type="dxa"/>
            <w:vAlign w:val="center"/>
          </w:tcPr>
          <w:p w14:paraId="79140F78"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lastRenderedPageBreak/>
              <w:t>7月</w:t>
            </w:r>
          </w:p>
        </w:tc>
        <w:tc>
          <w:tcPr>
            <w:tcW w:w="7835" w:type="dxa"/>
            <w:vAlign w:val="center"/>
          </w:tcPr>
          <w:p w14:paraId="11A2617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1、除草本月气温炎热、杂草生长快，要继续中耕除草、疏松土壤；</w:t>
            </w:r>
          </w:p>
          <w:p w14:paraId="1D81B0E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2、病虫害防治；</w:t>
            </w:r>
          </w:p>
          <w:p w14:paraId="136B666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3、施追肥：在下雨天前干施氮肥速效肥；</w:t>
            </w:r>
          </w:p>
          <w:p w14:paraId="1A436B6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4、中耕除草，松土，特别加强花后苗木的施肥，以补充体内营养；</w:t>
            </w:r>
          </w:p>
          <w:p w14:paraId="277B67C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5、绿篱整形修剪的植物加强修剪；</w:t>
            </w:r>
          </w:p>
        </w:tc>
      </w:tr>
      <w:tr w:rsidR="00B420F1" w14:paraId="05CBB750" w14:textId="77777777">
        <w:trPr>
          <w:jc w:val="center"/>
        </w:trPr>
        <w:tc>
          <w:tcPr>
            <w:tcW w:w="1696" w:type="dxa"/>
            <w:vAlign w:val="center"/>
          </w:tcPr>
          <w:p w14:paraId="32AA4195"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8月</w:t>
            </w:r>
          </w:p>
        </w:tc>
        <w:tc>
          <w:tcPr>
            <w:tcW w:w="7835" w:type="dxa"/>
            <w:vAlign w:val="center"/>
          </w:tcPr>
          <w:p w14:paraId="48A2BBF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1、排涝大雨过后，对低洼积水处要及时排涝；</w:t>
            </w:r>
          </w:p>
          <w:p w14:paraId="261277A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2、修剪除一般树木修剪以外，要对绿篱进行造型修剪；</w:t>
            </w:r>
          </w:p>
          <w:p w14:paraId="2D84477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3、中耕除草：杂草生长旺季，要及时除草，并可结合除草进行施肥；</w:t>
            </w:r>
          </w:p>
          <w:p w14:paraId="46B649E4"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4、防治病虫害：潮湿天气要注意腐烂病；</w:t>
            </w:r>
          </w:p>
          <w:p w14:paraId="5A3D895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5、在长期不下雨阶段要做好抗旱浇水工作；</w:t>
            </w:r>
          </w:p>
        </w:tc>
      </w:tr>
      <w:tr w:rsidR="00B420F1" w14:paraId="750EF0AF" w14:textId="77777777">
        <w:trPr>
          <w:jc w:val="center"/>
        </w:trPr>
        <w:tc>
          <w:tcPr>
            <w:tcW w:w="1696" w:type="dxa"/>
            <w:vAlign w:val="center"/>
          </w:tcPr>
          <w:p w14:paraId="73443B92"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9月</w:t>
            </w:r>
          </w:p>
        </w:tc>
        <w:tc>
          <w:tcPr>
            <w:tcW w:w="7835" w:type="dxa"/>
            <w:vAlign w:val="center"/>
          </w:tcPr>
          <w:p w14:paraId="1BAE432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1、修剪：绿篱造型修剪，绿地内除草；</w:t>
            </w:r>
          </w:p>
          <w:p w14:paraId="075222D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2、施肥：对一些生长比较弱，枝条不够充实的树木，应追加磷钾肥；</w:t>
            </w:r>
          </w:p>
        </w:tc>
      </w:tr>
      <w:tr w:rsidR="00B420F1" w14:paraId="64584D29" w14:textId="77777777">
        <w:trPr>
          <w:jc w:val="center"/>
        </w:trPr>
        <w:tc>
          <w:tcPr>
            <w:tcW w:w="1696" w:type="dxa"/>
            <w:vAlign w:val="center"/>
          </w:tcPr>
          <w:p w14:paraId="59346953"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0</w:t>
            </w:r>
            <w:r>
              <w:rPr>
                <w:rFonts w:ascii="宋体" w:eastAsia="宋体" w:hAnsi="宋体" w:hint="eastAsia"/>
                <w:color w:val="000000" w:themeColor="text1"/>
              </w:rPr>
              <w:t>月</w:t>
            </w:r>
          </w:p>
        </w:tc>
        <w:tc>
          <w:tcPr>
            <w:tcW w:w="7835" w:type="dxa"/>
            <w:vAlign w:val="center"/>
          </w:tcPr>
          <w:p w14:paraId="4AB989D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1、修剪：绿篱造型修剪，绿地内除草；</w:t>
            </w:r>
          </w:p>
          <w:p w14:paraId="4AE8E9A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2、施肥：对一些生长比较弱，枝条不够充实的树木，应追加磷钾肥；</w:t>
            </w:r>
          </w:p>
        </w:tc>
      </w:tr>
      <w:tr w:rsidR="00B420F1" w14:paraId="59527CB6" w14:textId="77777777">
        <w:trPr>
          <w:jc w:val="center"/>
        </w:trPr>
        <w:tc>
          <w:tcPr>
            <w:tcW w:w="1696" w:type="dxa"/>
            <w:vAlign w:val="center"/>
          </w:tcPr>
          <w:p w14:paraId="2A94FF27"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1</w:t>
            </w:r>
            <w:r>
              <w:rPr>
                <w:rFonts w:ascii="宋体" w:eastAsia="宋体" w:hAnsi="宋体" w:hint="eastAsia"/>
                <w:color w:val="000000" w:themeColor="text1"/>
              </w:rPr>
              <w:t>月</w:t>
            </w:r>
          </w:p>
        </w:tc>
        <w:tc>
          <w:tcPr>
            <w:tcW w:w="7835" w:type="dxa"/>
            <w:vAlign w:val="center"/>
          </w:tcPr>
          <w:p w14:paraId="310D4C2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1、进行冬季树木整形修剪，剪除病枝、枯枝、虫卵枝及竞争枝、过密枝十一等</w:t>
            </w:r>
            <w:r>
              <w:rPr>
                <w:rFonts w:ascii="宋体" w:eastAsia="宋体" w:hAnsi="宋体" w:hint="eastAsia"/>
                <w:color w:val="000000" w:themeColor="text1"/>
              </w:rPr>
              <w:t>；</w:t>
            </w:r>
          </w:p>
          <w:p w14:paraId="662FCEA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2、做好防寒工作，对部分树木进行涂白，或用草绳包扎，或设风障；</w:t>
            </w:r>
          </w:p>
          <w:p w14:paraId="5317F65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3、进行冬翻，改良土壤；</w:t>
            </w:r>
          </w:p>
        </w:tc>
      </w:tr>
      <w:tr w:rsidR="00B420F1" w14:paraId="1809DE69" w14:textId="77777777">
        <w:trPr>
          <w:jc w:val="center"/>
        </w:trPr>
        <w:tc>
          <w:tcPr>
            <w:tcW w:w="1696" w:type="dxa"/>
            <w:vAlign w:val="center"/>
          </w:tcPr>
          <w:p w14:paraId="4C873DCA" w14:textId="77777777" w:rsidR="00B420F1" w:rsidRDefault="00917C7B">
            <w:pPr>
              <w:ind w:firstLineChars="0" w:firstLine="0"/>
              <w:jc w:val="center"/>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2</w:t>
            </w:r>
            <w:r>
              <w:rPr>
                <w:rFonts w:ascii="宋体" w:eastAsia="宋体" w:hAnsi="宋体" w:hint="eastAsia"/>
                <w:color w:val="000000" w:themeColor="text1"/>
              </w:rPr>
              <w:t>月</w:t>
            </w:r>
          </w:p>
        </w:tc>
        <w:tc>
          <w:tcPr>
            <w:tcW w:w="7835" w:type="dxa"/>
            <w:vAlign w:val="center"/>
          </w:tcPr>
          <w:p w14:paraId="7B5A48E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1、冬季修剪常绿灌木、乔木进行修剪；</w:t>
            </w:r>
          </w:p>
          <w:p w14:paraId="51AB633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2、消灭越冬的病虫害；</w:t>
            </w:r>
          </w:p>
          <w:p w14:paraId="370A0FB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3、做好明年调整工作准备，对养护区进行观察，进行明年的补种计划；</w:t>
            </w:r>
          </w:p>
        </w:tc>
      </w:tr>
    </w:tbl>
    <w:p w14:paraId="4DA63072" w14:textId="77777777" w:rsidR="00B420F1" w:rsidRDefault="00B420F1">
      <w:pPr>
        <w:ind w:firstLineChars="0" w:firstLine="0"/>
        <w:jc w:val="both"/>
        <w:rPr>
          <w:rFonts w:ascii="宋体" w:eastAsia="宋体" w:hAnsi="宋体" w:hint="eastAsia"/>
          <w:b/>
          <w:bCs/>
          <w:color w:val="000000" w:themeColor="text1"/>
        </w:rPr>
      </w:pPr>
    </w:p>
    <w:p w14:paraId="7B9D5822" w14:textId="77777777" w:rsidR="00B420F1" w:rsidRDefault="00917C7B">
      <w:pPr>
        <w:tabs>
          <w:tab w:val="clear" w:pos="1197"/>
        </w:tabs>
        <w:spacing w:line="240" w:lineRule="auto"/>
        <w:ind w:firstLineChars="0" w:firstLine="0"/>
        <w:rPr>
          <w:rFonts w:ascii="宋体" w:eastAsia="宋体" w:hAnsi="宋体" w:hint="eastAsia"/>
          <w:b/>
          <w:bCs/>
          <w:color w:val="000000" w:themeColor="text1"/>
        </w:rPr>
      </w:pPr>
      <w:r>
        <w:rPr>
          <w:rFonts w:ascii="宋体" w:eastAsia="宋体" w:hAnsi="宋体"/>
          <w:b/>
          <w:bCs/>
          <w:color w:val="000000" w:themeColor="text1"/>
        </w:rPr>
        <w:br w:type="page"/>
      </w:r>
    </w:p>
    <w:p w14:paraId="5E4AFE92"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lastRenderedPageBreak/>
        <w:t>附件7：广州越秀国际会议中心树木清单</w:t>
      </w: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4B65802F" w14:textId="77777777">
        <w:trPr>
          <w:jc w:val="center"/>
        </w:trPr>
        <w:tc>
          <w:tcPr>
            <w:tcW w:w="703" w:type="dxa"/>
            <w:vAlign w:val="center"/>
          </w:tcPr>
          <w:p w14:paraId="7E15085E"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07EEFC7B"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7658B7BF"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448E1C03"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1AD58239"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0BF1841A" w14:textId="77777777" w:rsidR="00B420F1" w:rsidRDefault="00917C7B">
            <w:pPr>
              <w:ind w:firstLineChars="0" w:firstLine="0"/>
              <w:jc w:val="both"/>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4958BBD6" w14:textId="77777777">
        <w:trPr>
          <w:trHeight w:val="2326"/>
          <w:jc w:val="center"/>
        </w:trPr>
        <w:tc>
          <w:tcPr>
            <w:tcW w:w="703" w:type="dxa"/>
            <w:vAlign w:val="center"/>
          </w:tcPr>
          <w:p w14:paraId="0FF36165"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1</w:t>
            </w:r>
          </w:p>
        </w:tc>
        <w:tc>
          <w:tcPr>
            <w:tcW w:w="1275" w:type="dxa"/>
            <w:vAlign w:val="center"/>
          </w:tcPr>
          <w:p w14:paraId="06EC1CC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2B1819BE"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LHSM-001</w:t>
            </w:r>
          </w:p>
        </w:tc>
        <w:tc>
          <w:tcPr>
            <w:tcW w:w="1419" w:type="dxa"/>
            <w:vAlign w:val="center"/>
          </w:tcPr>
          <w:p w14:paraId="56A04AA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5E5C4D6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-左侧</w:t>
            </w:r>
          </w:p>
        </w:tc>
        <w:tc>
          <w:tcPr>
            <w:tcW w:w="3546" w:type="dxa"/>
            <w:vAlign w:val="center"/>
          </w:tcPr>
          <w:p w14:paraId="1611F10A"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3C6D2A6C" wp14:editId="43013A11">
                  <wp:extent cx="2076450" cy="1390015"/>
                  <wp:effectExtent l="19050" t="19050" r="19050"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cstate="email"/>
                          <a:stretch>
                            <a:fillRect/>
                          </a:stretch>
                        </pic:blipFill>
                        <pic:spPr>
                          <a:xfrm>
                            <a:off x="0" y="0"/>
                            <a:ext cx="2109312" cy="1412013"/>
                          </a:xfrm>
                          <a:prstGeom prst="rect">
                            <a:avLst/>
                          </a:prstGeom>
                          <a:ln>
                            <a:solidFill>
                              <a:schemeClr val="accent1"/>
                            </a:solidFill>
                          </a:ln>
                        </pic:spPr>
                      </pic:pic>
                    </a:graphicData>
                  </a:graphic>
                </wp:inline>
              </w:drawing>
            </w:r>
          </w:p>
        </w:tc>
      </w:tr>
      <w:tr w:rsidR="00B420F1" w14:paraId="1505F2F6" w14:textId="77777777">
        <w:trPr>
          <w:trHeight w:val="1267"/>
          <w:jc w:val="center"/>
        </w:trPr>
        <w:tc>
          <w:tcPr>
            <w:tcW w:w="703" w:type="dxa"/>
            <w:vAlign w:val="center"/>
          </w:tcPr>
          <w:p w14:paraId="6C2AEB3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p>
        </w:tc>
        <w:tc>
          <w:tcPr>
            <w:tcW w:w="1275" w:type="dxa"/>
            <w:vAlign w:val="center"/>
          </w:tcPr>
          <w:p w14:paraId="458E7B1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06150098"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LHSM-002</w:t>
            </w:r>
          </w:p>
        </w:tc>
        <w:tc>
          <w:tcPr>
            <w:tcW w:w="1419" w:type="dxa"/>
            <w:vAlign w:val="center"/>
          </w:tcPr>
          <w:p w14:paraId="6EC4758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01DD794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北塔大门外</w:t>
            </w:r>
            <w:r>
              <w:rPr>
                <w:rFonts w:ascii="宋体" w:eastAsia="宋体" w:hAnsi="宋体"/>
                <w:color w:val="000000" w:themeColor="text1"/>
              </w:rPr>
              <w:t>-左侧</w:t>
            </w:r>
          </w:p>
        </w:tc>
        <w:tc>
          <w:tcPr>
            <w:tcW w:w="3546" w:type="dxa"/>
            <w:vAlign w:val="center"/>
          </w:tcPr>
          <w:p w14:paraId="2881C241"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211D66EF" wp14:editId="0002A09E">
                  <wp:extent cx="2076450" cy="1543050"/>
                  <wp:effectExtent l="19050" t="19050" r="19050" b="190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2076450" cy="1543050"/>
                          </a:xfrm>
                          <a:prstGeom prst="rect">
                            <a:avLst/>
                          </a:prstGeom>
                          <a:ln>
                            <a:solidFill>
                              <a:schemeClr val="accent1"/>
                            </a:solidFill>
                          </a:ln>
                        </pic:spPr>
                      </pic:pic>
                    </a:graphicData>
                  </a:graphic>
                </wp:inline>
              </w:drawing>
            </w:r>
          </w:p>
        </w:tc>
      </w:tr>
      <w:tr w:rsidR="00B420F1" w14:paraId="04CEAB75" w14:textId="77777777">
        <w:trPr>
          <w:jc w:val="center"/>
        </w:trPr>
        <w:tc>
          <w:tcPr>
            <w:tcW w:w="703" w:type="dxa"/>
            <w:vAlign w:val="center"/>
          </w:tcPr>
          <w:p w14:paraId="20468C7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3</w:t>
            </w:r>
          </w:p>
        </w:tc>
        <w:tc>
          <w:tcPr>
            <w:tcW w:w="1275" w:type="dxa"/>
            <w:vAlign w:val="center"/>
          </w:tcPr>
          <w:p w14:paraId="4D8703C0"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凤凰木</w:t>
            </w:r>
          </w:p>
        </w:tc>
        <w:tc>
          <w:tcPr>
            <w:tcW w:w="1134" w:type="dxa"/>
            <w:vAlign w:val="center"/>
          </w:tcPr>
          <w:p w14:paraId="4FA7ACC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LHSM-003</w:t>
            </w:r>
          </w:p>
        </w:tc>
        <w:tc>
          <w:tcPr>
            <w:tcW w:w="1419" w:type="dxa"/>
            <w:vAlign w:val="center"/>
          </w:tcPr>
          <w:p w14:paraId="6E9C017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2020</w:t>
            </w:r>
            <w:r>
              <w:rPr>
                <w:rFonts w:ascii="宋体" w:eastAsia="宋体" w:hAnsi="宋体" w:hint="eastAsia"/>
                <w:color w:val="000000" w:themeColor="text1"/>
              </w:rPr>
              <w:t>年1</w:t>
            </w:r>
            <w:r>
              <w:rPr>
                <w:rFonts w:ascii="宋体" w:eastAsia="宋体" w:hAnsi="宋体"/>
                <w:color w:val="000000" w:themeColor="text1"/>
              </w:rPr>
              <w:t>1</w:t>
            </w:r>
            <w:r>
              <w:rPr>
                <w:rFonts w:ascii="宋体" w:eastAsia="宋体" w:hAnsi="宋体" w:hint="eastAsia"/>
                <w:color w:val="000000" w:themeColor="text1"/>
              </w:rPr>
              <w:t>月</w:t>
            </w:r>
          </w:p>
        </w:tc>
        <w:tc>
          <w:tcPr>
            <w:tcW w:w="2124" w:type="dxa"/>
            <w:vAlign w:val="center"/>
          </w:tcPr>
          <w:p w14:paraId="71F134C1"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监控室对面</w:t>
            </w:r>
          </w:p>
        </w:tc>
        <w:tc>
          <w:tcPr>
            <w:tcW w:w="3546" w:type="dxa"/>
            <w:vAlign w:val="center"/>
          </w:tcPr>
          <w:p w14:paraId="4D81BA23"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7FD86CF1" wp14:editId="2CD84573">
                  <wp:extent cx="2066290" cy="1562100"/>
                  <wp:effectExtent l="19050" t="19050" r="10160" b="190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cstate="screen"/>
                          <a:srcRect/>
                          <a:stretch>
                            <a:fillRect/>
                          </a:stretch>
                        </pic:blipFill>
                        <pic:spPr>
                          <a:xfrm>
                            <a:off x="0" y="0"/>
                            <a:ext cx="2107646" cy="1592878"/>
                          </a:xfrm>
                          <a:prstGeom prst="rect">
                            <a:avLst/>
                          </a:prstGeom>
                          <a:ln>
                            <a:solidFill>
                              <a:schemeClr val="accent1"/>
                            </a:solidFill>
                          </a:ln>
                        </pic:spPr>
                      </pic:pic>
                    </a:graphicData>
                  </a:graphic>
                </wp:inline>
              </w:drawing>
            </w:r>
          </w:p>
        </w:tc>
      </w:tr>
      <w:tr w:rsidR="00B420F1" w14:paraId="0F47D7F3" w14:textId="77777777">
        <w:trPr>
          <w:jc w:val="center"/>
        </w:trPr>
        <w:tc>
          <w:tcPr>
            <w:tcW w:w="703" w:type="dxa"/>
            <w:vAlign w:val="center"/>
          </w:tcPr>
          <w:p w14:paraId="079459B6"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4</w:t>
            </w:r>
          </w:p>
        </w:tc>
        <w:tc>
          <w:tcPr>
            <w:tcW w:w="1275" w:type="dxa"/>
            <w:vAlign w:val="center"/>
          </w:tcPr>
          <w:p w14:paraId="6142430D"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461342CF"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LHSM-004</w:t>
            </w:r>
          </w:p>
        </w:tc>
        <w:tc>
          <w:tcPr>
            <w:tcW w:w="1419" w:type="dxa"/>
            <w:vAlign w:val="center"/>
          </w:tcPr>
          <w:p w14:paraId="6BF6C70E"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53F4557"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-左侧</w:t>
            </w:r>
          </w:p>
        </w:tc>
        <w:tc>
          <w:tcPr>
            <w:tcW w:w="3546" w:type="dxa"/>
            <w:vAlign w:val="center"/>
          </w:tcPr>
          <w:p w14:paraId="1754121E"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7FED23C4" wp14:editId="478211FC">
                  <wp:extent cx="2047875" cy="1390650"/>
                  <wp:effectExtent l="19050" t="19050" r="28575"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cstate="screen"/>
                          <a:stretch>
                            <a:fillRect/>
                          </a:stretch>
                        </pic:blipFill>
                        <pic:spPr>
                          <a:xfrm>
                            <a:off x="0" y="0"/>
                            <a:ext cx="2063025" cy="1400938"/>
                          </a:xfrm>
                          <a:prstGeom prst="rect">
                            <a:avLst/>
                          </a:prstGeom>
                          <a:ln>
                            <a:solidFill>
                              <a:schemeClr val="accent1"/>
                            </a:solidFill>
                          </a:ln>
                        </pic:spPr>
                      </pic:pic>
                    </a:graphicData>
                  </a:graphic>
                </wp:inline>
              </w:drawing>
            </w:r>
          </w:p>
        </w:tc>
      </w:tr>
      <w:tr w:rsidR="00B420F1" w14:paraId="347CD4FC" w14:textId="77777777">
        <w:trPr>
          <w:trHeight w:val="1900"/>
          <w:jc w:val="center"/>
        </w:trPr>
        <w:tc>
          <w:tcPr>
            <w:tcW w:w="703" w:type="dxa"/>
            <w:vAlign w:val="center"/>
          </w:tcPr>
          <w:p w14:paraId="523450F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5</w:t>
            </w:r>
          </w:p>
        </w:tc>
        <w:tc>
          <w:tcPr>
            <w:tcW w:w="1275" w:type="dxa"/>
            <w:vAlign w:val="center"/>
          </w:tcPr>
          <w:p w14:paraId="3C128C03"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2E923418"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color w:val="000000" w:themeColor="text1"/>
              </w:rPr>
              <w:t>LHSM-005</w:t>
            </w:r>
          </w:p>
        </w:tc>
        <w:tc>
          <w:tcPr>
            <w:tcW w:w="1419" w:type="dxa"/>
            <w:vAlign w:val="center"/>
          </w:tcPr>
          <w:p w14:paraId="39E550DD"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D5C0774" w14:textId="77777777" w:rsidR="00B420F1" w:rsidRDefault="00917C7B">
            <w:pPr>
              <w:ind w:firstLineChars="0" w:firstLine="0"/>
              <w:jc w:val="both"/>
              <w:rPr>
                <w:rFonts w:ascii="宋体" w:eastAsia="宋体" w:hAnsi="宋体" w:hint="eastAsia"/>
                <w:color w:val="000000" w:themeColor="text1"/>
              </w:rPr>
            </w:pPr>
            <w:r>
              <w:rPr>
                <w:rFonts w:ascii="宋体" w:eastAsia="宋体" w:hAnsi="宋体" w:hint="eastAsia"/>
                <w:color w:val="000000" w:themeColor="text1"/>
              </w:rPr>
              <w:t>东大门外</w:t>
            </w:r>
            <w:r>
              <w:rPr>
                <w:rFonts w:ascii="宋体" w:eastAsia="宋体" w:hAnsi="宋体"/>
                <w:color w:val="000000" w:themeColor="text1"/>
              </w:rPr>
              <w:t>-右侧</w:t>
            </w:r>
          </w:p>
        </w:tc>
        <w:tc>
          <w:tcPr>
            <w:tcW w:w="3546" w:type="dxa"/>
            <w:vAlign w:val="center"/>
          </w:tcPr>
          <w:p w14:paraId="3E96A676" w14:textId="77777777" w:rsidR="00B420F1" w:rsidRDefault="00917C7B">
            <w:pPr>
              <w:ind w:firstLineChars="0" w:firstLine="0"/>
              <w:jc w:val="both"/>
              <w:rPr>
                <w:rFonts w:ascii="宋体" w:eastAsia="宋体" w:hAnsi="宋体" w:hint="eastAsia"/>
                <w:color w:val="000000" w:themeColor="text1"/>
              </w:rPr>
            </w:pPr>
            <w:r>
              <w:rPr>
                <w:noProof/>
                <w:color w:val="000000" w:themeColor="text1"/>
              </w:rPr>
              <w:drawing>
                <wp:inline distT="0" distB="0" distL="0" distR="0" wp14:anchorId="63F8CD15" wp14:editId="5AE084FB">
                  <wp:extent cx="2057400" cy="1371600"/>
                  <wp:effectExtent l="19050" t="19050" r="19050" b="190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cstate="screen"/>
                          <a:stretch>
                            <a:fillRect/>
                          </a:stretch>
                        </pic:blipFill>
                        <pic:spPr>
                          <a:xfrm>
                            <a:off x="0" y="0"/>
                            <a:ext cx="2070635" cy="1380423"/>
                          </a:xfrm>
                          <a:prstGeom prst="rect">
                            <a:avLst/>
                          </a:prstGeom>
                          <a:ln>
                            <a:solidFill>
                              <a:schemeClr val="accent1"/>
                            </a:solidFill>
                          </a:ln>
                        </pic:spPr>
                      </pic:pic>
                    </a:graphicData>
                  </a:graphic>
                </wp:inline>
              </w:drawing>
            </w:r>
          </w:p>
        </w:tc>
      </w:tr>
    </w:tbl>
    <w:p w14:paraId="3403926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54ADEFC" w14:textId="77777777">
        <w:trPr>
          <w:jc w:val="center"/>
        </w:trPr>
        <w:tc>
          <w:tcPr>
            <w:tcW w:w="703" w:type="dxa"/>
            <w:vAlign w:val="center"/>
          </w:tcPr>
          <w:p w14:paraId="08143E81"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0BAEA07A"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54F11FB"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0571A3BA"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3A2CC5E"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7871C06" w14:textId="77777777" w:rsidR="00B420F1" w:rsidRDefault="00917C7B">
            <w:pPr>
              <w:ind w:firstLineChars="0" w:firstLine="0"/>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52C38C32" w14:textId="77777777">
        <w:trPr>
          <w:trHeight w:val="2468"/>
          <w:jc w:val="center"/>
        </w:trPr>
        <w:tc>
          <w:tcPr>
            <w:tcW w:w="703" w:type="dxa"/>
            <w:vAlign w:val="center"/>
          </w:tcPr>
          <w:p w14:paraId="445923F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6</w:t>
            </w:r>
          </w:p>
        </w:tc>
        <w:tc>
          <w:tcPr>
            <w:tcW w:w="1275" w:type="dxa"/>
            <w:vAlign w:val="center"/>
          </w:tcPr>
          <w:p w14:paraId="2AC694D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罗汉松</w:t>
            </w:r>
          </w:p>
        </w:tc>
        <w:tc>
          <w:tcPr>
            <w:tcW w:w="1134" w:type="dxa"/>
            <w:vAlign w:val="center"/>
          </w:tcPr>
          <w:p w14:paraId="1F483C6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LHSM-006</w:t>
            </w:r>
          </w:p>
        </w:tc>
        <w:tc>
          <w:tcPr>
            <w:tcW w:w="1419" w:type="dxa"/>
            <w:vAlign w:val="center"/>
          </w:tcPr>
          <w:p w14:paraId="31429F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3F0A7E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西大门外</w:t>
            </w:r>
            <w:r>
              <w:rPr>
                <w:rFonts w:ascii="宋体" w:eastAsia="宋体" w:hAnsi="宋体"/>
                <w:color w:val="000000" w:themeColor="text1"/>
              </w:rPr>
              <w:t>-右侧</w:t>
            </w:r>
          </w:p>
        </w:tc>
        <w:tc>
          <w:tcPr>
            <w:tcW w:w="3546" w:type="dxa"/>
            <w:vAlign w:val="center"/>
          </w:tcPr>
          <w:p w14:paraId="226689D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25A6FAA" wp14:editId="127ACED6">
                  <wp:extent cx="2105025" cy="1466215"/>
                  <wp:effectExtent l="0" t="0" r="0" b="63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2" cstate="screen"/>
                          <a:stretch>
                            <a:fillRect/>
                          </a:stretch>
                        </pic:blipFill>
                        <pic:spPr>
                          <a:xfrm>
                            <a:off x="0" y="0"/>
                            <a:ext cx="2144986" cy="1494277"/>
                          </a:xfrm>
                          <a:prstGeom prst="rect">
                            <a:avLst/>
                          </a:prstGeom>
                        </pic:spPr>
                      </pic:pic>
                    </a:graphicData>
                  </a:graphic>
                </wp:inline>
              </w:drawing>
            </w:r>
          </w:p>
        </w:tc>
      </w:tr>
      <w:tr w:rsidR="00B420F1" w14:paraId="445F7A3F" w14:textId="77777777">
        <w:trPr>
          <w:trHeight w:val="2412"/>
          <w:jc w:val="center"/>
        </w:trPr>
        <w:tc>
          <w:tcPr>
            <w:tcW w:w="703" w:type="dxa"/>
            <w:vAlign w:val="center"/>
          </w:tcPr>
          <w:p w14:paraId="32E63AB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7</w:t>
            </w:r>
          </w:p>
        </w:tc>
        <w:tc>
          <w:tcPr>
            <w:tcW w:w="1275" w:type="dxa"/>
            <w:vAlign w:val="center"/>
          </w:tcPr>
          <w:p w14:paraId="4568906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洋木棉</w:t>
            </w:r>
          </w:p>
        </w:tc>
        <w:tc>
          <w:tcPr>
            <w:tcW w:w="1134" w:type="dxa"/>
            <w:vAlign w:val="center"/>
          </w:tcPr>
          <w:p w14:paraId="577858D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LHSM-007</w:t>
            </w:r>
          </w:p>
        </w:tc>
        <w:tc>
          <w:tcPr>
            <w:tcW w:w="1419" w:type="dxa"/>
            <w:vAlign w:val="center"/>
          </w:tcPr>
          <w:p w14:paraId="3EF439D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A5CE1B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越秀公园地铁B出口上方即V</w:t>
            </w:r>
            <w:r>
              <w:rPr>
                <w:rFonts w:ascii="宋体" w:eastAsia="宋体" w:hAnsi="宋体"/>
                <w:color w:val="000000" w:themeColor="text1"/>
              </w:rPr>
              <w:t>IP</w:t>
            </w:r>
            <w:r>
              <w:rPr>
                <w:rFonts w:ascii="宋体" w:eastAsia="宋体" w:hAnsi="宋体" w:hint="eastAsia"/>
                <w:color w:val="000000" w:themeColor="text1"/>
              </w:rPr>
              <w:t>停车场旁</w:t>
            </w:r>
          </w:p>
        </w:tc>
        <w:tc>
          <w:tcPr>
            <w:tcW w:w="3546" w:type="dxa"/>
            <w:vAlign w:val="center"/>
          </w:tcPr>
          <w:p w14:paraId="184C5B83" w14:textId="77777777" w:rsidR="00B420F1" w:rsidRDefault="00917C7B">
            <w:pPr>
              <w:ind w:firstLineChars="0" w:firstLine="0"/>
              <w:rPr>
                <w:rFonts w:ascii="宋体" w:eastAsia="宋体" w:hAnsi="宋体" w:hint="eastAsia"/>
                <w:color w:val="000000" w:themeColor="text1"/>
              </w:rPr>
            </w:pPr>
            <w:r>
              <w:rPr>
                <w:rFonts w:ascii="宋体" w:eastAsia="宋体" w:hAnsi="宋体"/>
                <w:noProof/>
                <w:color w:val="000000" w:themeColor="text1"/>
              </w:rPr>
              <w:drawing>
                <wp:inline distT="0" distB="0" distL="0" distR="0" wp14:anchorId="0C5DA7CF" wp14:editId="7FFB6F49">
                  <wp:extent cx="2105025" cy="13995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144450" cy="1425777"/>
                          </a:xfrm>
                          <a:prstGeom prst="rect">
                            <a:avLst/>
                          </a:prstGeom>
                          <a:noFill/>
                          <a:ln>
                            <a:noFill/>
                          </a:ln>
                        </pic:spPr>
                      </pic:pic>
                    </a:graphicData>
                  </a:graphic>
                </wp:inline>
              </w:drawing>
            </w:r>
          </w:p>
        </w:tc>
      </w:tr>
      <w:tr w:rsidR="00B420F1" w14:paraId="71449309" w14:textId="77777777">
        <w:trPr>
          <w:trHeight w:val="2545"/>
          <w:jc w:val="center"/>
        </w:trPr>
        <w:tc>
          <w:tcPr>
            <w:tcW w:w="703" w:type="dxa"/>
            <w:vAlign w:val="center"/>
          </w:tcPr>
          <w:p w14:paraId="1DE18B9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8</w:t>
            </w:r>
          </w:p>
        </w:tc>
        <w:tc>
          <w:tcPr>
            <w:tcW w:w="1275" w:type="dxa"/>
            <w:vAlign w:val="center"/>
          </w:tcPr>
          <w:p w14:paraId="70B41AD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玉堂春</w:t>
            </w:r>
          </w:p>
        </w:tc>
        <w:tc>
          <w:tcPr>
            <w:tcW w:w="1134" w:type="dxa"/>
            <w:vAlign w:val="center"/>
          </w:tcPr>
          <w:p w14:paraId="487733F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LHSM-008</w:t>
            </w:r>
          </w:p>
        </w:tc>
        <w:tc>
          <w:tcPr>
            <w:tcW w:w="1419" w:type="dxa"/>
            <w:vAlign w:val="center"/>
          </w:tcPr>
          <w:p w14:paraId="2010DC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1F3710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344CBA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BE94179" wp14:editId="6E81A5D5">
                  <wp:extent cx="2076450" cy="1561465"/>
                  <wp:effectExtent l="19050" t="19050" r="19050" b="19685"/>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4" cstate="screen"/>
                          <a:stretch>
                            <a:fillRect/>
                          </a:stretch>
                        </pic:blipFill>
                        <pic:spPr>
                          <a:xfrm>
                            <a:off x="0" y="0"/>
                            <a:ext cx="2112532" cy="1588645"/>
                          </a:xfrm>
                          <a:prstGeom prst="rect">
                            <a:avLst/>
                          </a:prstGeom>
                          <a:ln>
                            <a:solidFill>
                              <a:schemeClr val="accent1"/>
                            </a:solidFill>
                          </a:ln>
                        </pic:spPr>
                      </pic:pic>
                    </a:graphicData>
                  </a:graphic>
                </wp:inline>
              </w:drawing>
            </w:r>
          </w:p>
        </w:tc>
      </w:tr>
      <w:tr w:rsidR="00B420F1" w14:paraId="72813BDD" w14:textId="77777777">
        <w:trPr>
          <w:trHeight w:val="2398"/>
          <w:jc w:val="center"/>
        </w:trPr>
        <w:tc>
          <w:tcPr>
            <w:tcW w:w="703" w:type="dxa"/>
            <w:vAlign w:val="center"/>
          </w:tcPr>
          <w:p w14:paraId="6EC9BF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9</w:t>
            </w:r>
          </w:p>
        </w:tc>
        <w:tc>
          <w:tcPr>
            <w:tcW w:w="1275" w:type="dxa"/>
            <w:vAlign w:val="center"/>
          </w:tcPr>
          <w:p w14:paraId="4CBBB5C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朴树</w:t>
            </w:r>
          </w:p>
        </w:tc>
        <w:tc>
          <w:tcPr>
            <w:tcW w:w="1134" w:type="dxa"/>
            <w:vAlign w:val="center"/>
          </w:tcPr>
          <w:p w14:paraId="5839429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LHSM-009</w:t>
            </w:r>
          </w:p>
        </w:tc>
        <w:tc>
          <w:tcPr>
            <w:tcW w:w="1419" w:type="dxa"/>
            <w:vAlign w:val="center"/>
          </w:tcPr>
          <w:p w14:paraId="27BBCC7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AA064A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2642FA1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C3C55A" wp14:editId="3776F9F8">
                  <wp:extent cx="2057400" cy="1400175"/>
                  <wp:effectExtent l="19050" t="19050" r="19050" b="2857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5" cstate="screen"/>
                          <a:stretch>
                            <a:fillRect/>
                          </a:stretch>
                        </pic:blipFill>
                        <pic:spPr>
                          <a:xfrm>
                            <a:off x="0" y="0"/>
                            <a:ext cx="2069363" cy="1408316"/>
                          </a:xfrm>
                          <a:prstGeom prst="rect">
                            <a:avLst/>
                          </a:prstGeom>
                          <a:ln>
                            <a:solidFill>
                              <a:schemeClr val="accent1"/>
                            </a:solidFill>
                          </a:ln>
                        </pic:spPr>
                      </pic:pic>
                    </a:graphicData>
                  </a:graphic>
                </wp:inline>
              </w:drawing>
            </w:r>
          </w:p>
        </w:tc>
      </w:tr>
      <w:tr w:rsidR="00B420F1" w14:paraId="5EE518F1" w14:textId="77777777">
        <w:trPr>
          <w:trHeight w:val="2687"/>
          <w:jc w:val="center"/>
        </w:trPr>
        <w:tc>
          <w:tcPr>
            <w:tcW w:w="703" w:type="dxa"/>
            <w:vAlign w:val="center"/>
          </w:tcPr>
          <w:p w14:paraId="62E2829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0</w:t>
            </w:r>
          </w:p>
        </w:tc>
        <w:tc>
          <w:tcPr>
            <w:tcW w:w="1275" w:type="dxa"/>
            <w:vAlign w:val="center"/>
          </w:tcPr>
          <w:p w14:paraId="26B9F8F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791B29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LHSM-010</w:t>
            </w:r>
          </w:p>
        </w:tc>
        <w:tc>
          <w:tcPr>
            <w:tcW w:w="1419" w:type="dxa"/>
            <w:vAlign w:val="center"/>
          </w:tcPr>
          <w:p w14:paraId="3B7E0D6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DD5C0A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C4C870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A6064B3" wp14:editId="0F041D6B">
                  <wp:extent cx="2076450" cy="1600200"/>
                  <wp:effectExtent l="0" t="0" r="0"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6" cstate="screen"/>
                          <a:stretch>
                            <a:fillRect/>
                          </a:stretch>
                        </pic:blipFill>
                        <pic:spPr>
                          <a:xfrm>
                            <a:off x="0" y="0"/>
                            <a:ext cx="2079955" cy="1602901"/>
                          </a:xfrm>
                          <a:prstGeom prst="rect">
                            <a:avLst/>
                          </a:prstGeom>
                        </pic:spPr>
                      </pic:pic>
                    </a:graphicData>
                  </a:graphic>
                </wp:inline>
              </w:drawing>
            </w:r>
          </w:p>
        </w:tc>
      </w:tr>
    </w:tbl>
    <w:p w14:paraId="15FAC9FE"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CEA0C18" w14:textId="77777777">
        <w:trPr>
          <w:jc w:val="center"/>
        </w:trPr>
        <w:tc>
          <w:tcPr>
            <w:tcW w:w="703" w:type="dxa"/>
            <w:vAlign w:val="center"/>
          </w:tcPr>
          <w:p w14:paraId="5123D317"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6665ED9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6F58008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1E19635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4F048C8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7C8F9F9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DBCC012" w14:textId="77777777">
        <w:trPr>
          <w:trHeight w:val="2468"/>
          <w:jc w:val="center"/>
        </w:trPr>
        <w:tc>
          <w:tcPr>
            <w:tcW w:w="703" w:type="dxa"/>
            <w:vAlign w:val="center"/>
          </w:tcPr>
          <w:p w14:paraId="29DEBD0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1</w:t>
            </w:r>
          </w:p>
        </w:tc>
        <w:tc>
          <w:tcPr>
            <w:tcW w:w="1275" w:type="dxa"/>
            <w:vAlign w:val="center"/>
          </w:tcPr>
          <w:p w14:paraId="610673E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F9883B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LHSM-011</w:t>
            </w:r>
          </w:p>
        </w:tc>
        <w:tc>
          <w:tcPr>
            <w:tcW w:w="1419" w:type="dxa"/>
            <w:vAlign w:val="center"/>
          </w:tcPr>
          <w:p w14:paraId="2902ACF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6B19E1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70B0B4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BE9450C" wp14:editId="2F0AB986">
                  <wp:extent cx="2105025" cy="147574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7" cstate="email"/>
                          <a:stretch>
                            <a:fillRect/>
                          </a:stretch>
                        </pic:blipFill>
                        <pic:spPr>
                          <a:xfrm>
                            <a:off x="0" y="0"/>
                            <a:ext cx="2131388" cy="1494394"/>
                          </a:xfrm>
                          <a:prstGeom prst="rect">
                            <a:avLst/>
                          </a:prstGeom>
                        </pic:spPr>
                      </pic:pic>
                    </a:graphicData>
                  </a:graphic>
                </wp:inline>
              </w:drawing>
            </w:r>
          </w:p>
        </w:tc>
      </w:tr>
      <w:tr w:rsidR="00B420F1" w14:paraId="4AF8537D" w14:textId="77777777">
        <w:trPr>
          <w:trHeight w:val="2412"/>
          <w:jc w:val="center"/>
        </w:trPr>
        <w:tc>
          <w:tcPr>
            <w:tcW w:w="703" w:type="dxa"/>
            <w:vAlign w:val="center"/>
          </w:tcPr>
          <w:p w14:paraId="1D21302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2</w:t>
            </w:r>
          </w:p>
        </w:tc>
        <w:tc>
          <w:tcPr>
            <w:tcW w:w="1275" w:type="dxa"/>
            <w:vAlign w:val="center"/>
          </w:tcPr>
          <w:p w14:paraId="1D4047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60A314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LHSM-012</w:t>
            </w:r>
          </w:p>
        </w:tc>
        <w:tc>
          <w:tcPr>
            <w:tcW w:w="1419" w:type="dxa"/>
            <w:vAlign w:val="center"/>
          </w:tcPr>
          <w:p w14:paraId="1010650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00186C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359C5F1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497C0D31" wp14:editId="3712DD87">
                  <wp:extent cx="2114550" cy="1438275"/>
                  <wp:effectExtent l="0" t="0" r="0" b="952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8" cstate="screen"/>
                          <a:stretch>
                            <a:fillRect/>
                          </a:stretch>
                        </pic:blipFill>
                        <pic:spPr>
                          <a:xfrm>
                            <a:off x="0" y="0"/>
                            <a:ext cx="2117876" cy="1440537"/>
                          </a:xfrm>
                          <a:prstGeom prst="rect">
                            <a:avLst/>
                          </a:prstGeom>
                        </pic:spPr>
                      </pic:pic>
                    </a:graphicData>
                  </a:graphic>
                </wp:inline>
              </w:drawing>
            </w:r>
          </w:p>
        </w:tc>
      </w:tr>
      <w:tr w:rsidR="00B420F1" w14:paraId="4D316277" w14:textId="77777777">
        <w:trPr>
          <w:trHeight w:val="2545"/>
          <w:jc w:val="center"/>
        </w:trPr>
        <w:tc>
          <w:tcPr>
            <w:tcW w:w="703" w:type="dxa"/>
            <w:vAlign w:val="center"/>
          </w:tcPr>
          <w:p w14:paraId="33A7B85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3</w:t>
            </w:r>
          </w:p>
        </w:tc>
        <w:tc>
          <w:tcPr>
            <w:tcW w:w="1275" w:type="dxa"/>
            <w:vAlign w:val="center"/>
          </w:tcPr>
          <w:p w14:paraId="44583BA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07F518D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LHSM-013</w:t>
            </w:r>
          </w:p>
        </w:tc>
        <w:tc>
          <w:tcPr>
            <w:tcW w:w="1419" w:type="dxa"/>
            <w:vAlign w:val="center"/>
          </w:tcPr>
          <w:p w14:paraId="60C59E4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856FFC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5C9EA51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9C95DE1" wp14:editId="6D2378C5">
                  <wp:extent cx="2095500" cy="160020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9" cstate="screen"/>
                          <a:stretch>
                            <a:fillRect/>
                          </a:stretch>
                        </pic:blipFill>
                        <pic:spPr>
                          <a:xfrm>
                            <a:off x="0" y="0"/>
                            <a:ext cx="2104131" cy="1606791"/>
                          </a:xfrm>
                          <a:prstGeom prst="rect">
                            <a:avLst/>
                          </a:prstGeom>
                        </pic:spPr>
                      </pic:pic>
                    </a:graphicData>
                  </a:graphic>
                </wp:inline>
              </w:drawing>
            </w:r>
          </w:p>
        </w:tc>
      </w:tr>
      <w:tr w:rsidR="00B420F1" w14:paraId="51124CE7" w14:textId="77777777">
        <w:trPr>
          <w:trHeight w:val="2398"/>
          <w:jc w:val="center"/>
        </w:trPr>
        <w:tc>
          <w:tcPr>
            <w:tcW w:w="703" w:type="dxa"/>
            <w:vAlign w:val="center"/>
          </w:tcPr>
          <w:p w14:paraId="7A9B3EA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4</w:t>
            </w:r>
          </w:p>
        </w:tc>
        <w:tc>
          <w:tcPr>
            <w:tcW w:w="1275" w:type="dxa"/>
            <w:vAlign w:val="center"/>
          </w:tcPr>
          <w:p w14:paraId="30BF7B3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3CE5B74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LHSM-014</w:t>
            </w:r>
          </w:p>
        </w:tc>
        <w:tc>
          <w:tcPr>
            <w:tcW w:w="1419" w:type="dxa"/>
            <w:vAlign w:val="center"/>
          </w:tcPr>
          <w:p w14:paraId="53B50CA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3B2ADF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58C9CEE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4DD1D53" wp14:editId="31BAA117">
                  <wp:extent cx="2076450" cy="156210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0" cstate="screen"/>
                          <a:stretch>
                            <a:fillRect/>
                          </a:stretch>
                        </pic:blipFill>
                        <pic:spPr>
                          <a:xfrm>
                            <a:off x="0" y="0"/>
                            <a:ext cx="2081480" cy="1565884"/>
                          </a:xfrm>
                          <a:prstGeom prst="rect">
                            <a:avLst/>
                          </a:prstGeom>
                        </pic:spPr>
                      </pic:pic>
                    </a:graphicData>
                  </a:graphic>
                </wp:inline>
              </w:drawing>
            </w:r>
          </w:p>
        </w:tc>
      </w:tr>
      <w:tr w:rsidR="00B420F1" w14:paraId="4A9CDFEC" w14:textId="77777777">
        <w:trPr>
          <w:trHeight w:val="2687"/>
          <w:jc w:val="center"/>
        </w:trPr>
        <w:tc>
          <w:tcPr>
            <w:tcW w:w="703" w:type="dxa"/>
            <w:vAlign w:val="center"/>
          </w:tcPr>
          <w:p w14:paraId="461D187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5</w:t>
            </w:r>
          </w:p>
        </w:tc>
        <w:tc>
          <w:tcPr>
            <w:tcW w:w="1275" w:type="dxa"/>
            <w:vAlign w:val="center"/>
          </w:tcPr>
          <w:p w14:paraId="6540E30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0551594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LHSM-015</w:t>
            </w:r>
          </w:p>
        </w:tc>
        <w:tc>
          <w:tcPr>
            <w:tcW w:w="1419" w:type="dxa"/>
            <w:vAlign w:val="center"/>
          </w:tcPr>
          <w:p w14:paraId="1CDBEB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BD97E5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21D02EB7"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FC2C213" wp14:editId="4D9C411F">
                  <wp:extent cx="2076450" cy="158115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1" cstate="screen"/>
                          <a:stretch>
                            <a:fillRect/>
                          </a:stretch>
                        </pic:blipFill>
                        <pic:spPr>
                          <a:xfrm>
                            <a:off x="0" y="0"/>
                            <a:ext cx="2087038" cy="1589212"/>
                          </a:xfrm>
                          <a:prstGeom prst="rect">
                            <a:avLst/>
                          </a:prstGeom>
                        </pic:spPr>
                      </pic:pic>
                    </a:graphicData>
                  </a:graphic>
                </wp:inline>
              </w:drawing>
            </w:r>
          </w:p>
        </w:tc>
      </w:tr>
    </w:tbl>
    <w:p w14:paraId="7F473879"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7570F46D" w14:textId="77777777">
        <w:trPr>
          <w:jc w:val="center"/>
        </w:trPr>
        <w:tc>
          <w:tcPr>
            <w:tcW w:w="703" w:type="dxa"/>
            <w:vAlign w:val="center"/>
          </w:tcPr>
          <w:p w14:paraId="6A4E6EB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DF97C8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72A328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8E18B2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3FA4721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22BADB0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7CC33894" w14:textId="77777777">
        <w:trPr>
          <w:trHeight w:val="2468"/>
          <w:jc w:val="center"/>
        </w:trPr>
        <w:tc>
          <w:tcPr>
            <w:tcW w:w="703" w:type="dxa"/>
            <w:vAlign w:val="center"/>
          </w:tcPr>
          <w:p w14:paraId="095E00D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6</w:t>
            </w:r>
          </w:p>
        </w:tc>
        <w:tc>
          <w:tcPr>
            <w:tcW w:w="1275" w:type="dxa"/>
            <w:vAlign w:val="center"/>
          </w:tcPr>
          <w:p w14:paraId="7653330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70DAC96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LHSM-016</w:t>
            </w:r>
          </w:p>
        </w:tc>
        <w:tc>
          <w:tcPr>
            <w:tcW w:w="1419" w:type="dxa"/>
            <w:vAlign w:val="center"/>
          </w:tcPr>
          <w:p w14:paraId="146E218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00A1F0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7F550C3B"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7B2384" wp14:editId="550E7650">
                  <wp:extent cx="2094865" cy="1438275"/>
                  <wp:effectExtent l="0" t="0" r="635"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32" cstate="screen"/>
                          <a:stretch>
                            <a:fillRect/>
                          </a:stretch>
                        </pic:blipFill>
                        <pic:spPr>
                          <a:xfrm>
                            <a:off x="0" y="0"/>
                            <a:ext cx="2118256" cy="1453937"/>
                          </a:xfrm>
                          <a:prstGeom prst="rect">
                            <a:avLst/>
                          </a:prstGeom>
                        </pic:spPr>
                      </pic:pic>
                    </a:graphicData>
                  </a:graphic>
                </wp:inline>
              </w:drawing>
            </w:r>
          </w:p>
        </w:tc>
      </w:tr>
      <w:tr w:rsidR="00B420F1" w14:paraId="5CE84EC3" w14:textId="77777777">
        <w:trPr>
          <w:trHeight w:val="2412"/>
          <w:jc w:val="center"/>
        </w:trPr>
        <w:tc>
          <w:tcPr>
            <w:tcW w:w="703" w:type="dxa"/>
            <w:vAlign w:val="center"/>
          </w:tcPr>
          <w:p w14:paraId="685E7D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7</w:t>
            </w:r>
          </w:p>
        </w:tc>
        <w:tc>
          <w:tcPr>
            <w:tcW w:w="1275" w:type="dxa"/>
            <w:vAlign w:val="center"/>
          </w:tcPr>
          <w:p w14:paraId="0BFE9B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41A38CE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LHSM-017</w:t>
            </w:r>
          </w:p>
        </w:tc>
        <w:tc>
          <w:tcPr>
            <w:tcW w:w="1419" w:type="dxa"/>
            <w:vAlign w:val="center"/>
          </w:tcPr>
          <w:p w14:paraId="3A624C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812DE4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越秀会议中心监控室旁</w:t>
            </w:r>
          </w:p>
        </w:tc>
        <w:tc>
          <w:tcPr>
            <w:tcW w:w="3546" w:type="dxa"/>
            <w:vAlign w:val="center"/>
          </w:tcPr>
          <w:p w14:paraId="36E727A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6DDC28A" wp14:editId="247CFC0E">
                  <wp:extent cx="2076450" cy="14478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3" cstate="screen"/>
                          <a:stretch>
                            <a:fillRect/>
                          </a:stretch>
                        </pic:blipFill>
                        <pic:spPr>
                          <a:xfrm>
                            <a:off x="0" y="0"/>
                            <a:ext cx="2083700" cy="1452855"/>
                          </a:xfrm>
                          <a:prstGeom prst="rect">
                            <a:avLst/>
                          </a:prstGeom>
                        </pic:spPr>
                      </pic:pic>
                    </a:graphicData>
                  </a:graphic>
                </wp:inline>
              </w:drawing>
            </w:r>
          </w:p>
        </w:tc>
      </w:tr>
      <w:tr w:rsidR="00B420F1" w14:paraId="5F5CB3EC" w14:textId="77777777">
        <w:trPr>
          <w:trHeight w:val="2545"/>
          <w:jc w:val="center"/>
        </w:trPr>
        <w:tc>
          <w:tcPr>
            <w:tcW w:w="703" w:type="dxa"/>
            <w:vAlign w:val="center"/>
          </w:tcPr>
          <w:p w14:paraId="572271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1</w:t>
            </w:r>
            <w:r>
              <w:rPr>
                <w:rFonts w:ascii="宋体" w:eastAsia="宋体" w:hAnsi="宋体"/>
                <w:color w:val="000000" w:themeColor="text1"/>
              </w:rPr>
              <w:t>8</w:t>
            </w:r>
          </w:p>
        </w:tc>
        <w:tc>
          <w:tcPr>
            <w:tcW w:w="1275" w:type="dxa"/>
            <w:vAlign w:val="center"/>
          </w:tcPr>
          <w:p w14:paraId="5F6F9D5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57F4D65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LHSM-018</w:t>
            </w:r>
          </w:p>
        </w:tc>
        <w:tc>
          <w:tcPr>
            <w:tcW w:w="1419" w:type="dxa"/>
            <w:vAlign w:val="center"/>
          </w:tcPr>
          <w:p w14:paraId="66D0CF5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3AEBB0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14A02D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9DE6958" wp14:editId="147C4105">
                  <wp:extent cx="2094865" cy="1457325"/>
                  <wp:effectExtent l="0" t="0" r="635" b="952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4" cstate="screen"/>
                          <a:stretch>
                            <a:fillRect/>
                          </a:stretch>
                        </pic:blipFill>
                        <pic:spPr>
                          <a:xfrm>
                            <a:off x="0" y="0"/>
                            <a:ext cx="2100957" cy="1461563"/>
                          </a:xfrm>
                          <a:prstGeom prst="rect">
                            <a:avLst/>
                          </a:prstGeom>
                        </pic:spPr>
                      </pic:pic>
                    </a:graphicData>
                  </a:graphic>
                </wp:inline>
              </w:drawing>
            </w:r>
          </w:p>
        </w:tc>
      </w:tr>
      <w:tr w:rsidR="00B420F1" w14:paraId="1087CC4D" w14:textId="77777777">
        <w:trPr>
          <w:trHeight w:val="2398"/>
          <w:jc w:val="center"/>
        </w:trPr>
        <w:tc>
          <w:tcPr>
            <w:tcW w:w="703" w:type="dxa"/>
            <w:vAlign w:val="center"/>
          </w:tcPr>
          <w:p w14:paraId="026F443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1</w:t>
            </w:r>
            <w:r>
              <w:rPr>
                <w:rFonts w:ascii="宋体" w:eastAsia="宋体" w:hAnsi="宋体"/>
                <w:color w:val="000000" w:themeColor="text1"/>
              </w:rPr>
              <w:t>9</w:t>
            </w:r>
          </w:p>
        </w:tc>
        <w:tc>
          <w:tcPr>
            <w:tcW w:w="1275" w:type="dxa"/>
            <w:vAlign w:val="center"/>
          </w:tcPr>
          <w:p w14:paraId="0197F56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3DAD3B1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LHSM-019</w:t>
            </w:r>
          </w:p>
        </w:tc>
        <w:tc>
          <w:tcPr>
            <w:tcW w:w="1419" w:type="dxa"/>
            <w:vAlign w:val="center"/>
          </w:tcPr>
          <w:p w14:paraId="39C0E2A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7C4E13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700B0B5"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DD70D71" wp14:editId="3E2BA3D5">
                  <wp:extent cx="2094865" cy="1438275"/>
                  <wp:effectExtent l="0" t="0" r="635" b="952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35" cstate="email"/>
                          <a:stretch>
                            <a:fillRect/>
                          </a:stretch>
                        </pic:blipFill>
                        <pic:spPr>
                          <a:xfrm>
                            <a:off x="0" y="0"/>
                            <a:ext cx="2102301" cy="1443380"/>
                          </a:xfrm>
                          <a:prstGeom prst="rect">
                            <a:avLst/>
                          </a:prstGeom>
                        </pic:spPr>
                      </pic:pic>
                    </a:graphicData>
                  </a:graphic>
                </wp:inline>
              </w:drawing>
            </w:r>
          </w:p>
        </w:tc>
      </w:tr>
      <w:tr w:rsidR="00B420F1" w14:paraId="16D0BBE8" w14:textId="77777777">
        <w:trPr>
          <w:trHeight w:val="2687"/>
          <w:jc w:val="center"/>
        </w:trPr>
        <w:tc>
          <w:tcPr>
            <w:tcW w:w="703" w:type="dxa"/>
            <w:vAlign w:val="center"/>
          </w:tcPr>
          <w:p w14:paraId="44B5507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w:t>
            </w:r>
          </w:p>
        </w:tc>
        <w:tc>
          <w:tcPr>
            <w:tcW w:w="1275" w:type="dxa"/>
            <w:vAlign w:val="center"/>
          </w:tcPr>
          <w:p w14:paraId="7ADC71F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760D0C49"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LHSM-020</w:t>
            </w:r>
          </w:p>
        </w:tc>
        <w:tc>
          <w:tcPr>
            <w:tcW w:w="1419" w:type="dxa"/>
            <w:vAlign w:val="center"/>
          </w:tcPr>
          <w:p w14:paraId="6D9D3A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3DD864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2474258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B38FEEB" wp14:editId="44983D5C">
                  <wp:extent cx="2094865" cy="1676400"/>
                  <wp:effectExtent l="0" t="0" r="635"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6" cstate="screen"/>
                          <a:stretch>
                            <a:fillRect/>
                          </a:stretch>
                        </pic:blipFill>
                        <pic:spPr>
                          <a:xfrm>
                            <a:off x="0" y="0"/>
                            <a:ext cx="2105689" cy="1685062"/>
                          </a:xfrm>
                          <a:prstGeom prst="rect">
                            <a:avLst/>
                          </a:prstGeom>
                        </pic:spPr>
                      </pic:pic>
                    </a:graphicData>
                  </a:graphic>
                </wp:inline>
              </w:drawing>
            </w:r>
          </w:p>
        </w:tc>
      </w:tr>
    </w:tbl>
    <w:p w14:paraId="60C5838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3F5ADBCB" w14:textId="77777777">
        <w:trPr>
          <w:jc w:val="center"/>
        </w:trPr>
        <w:tc>
          <w:tcPr>
            <w:tcW w:w="703" w:type="dxa"/>
            <w:vAlign w:val="center"/>
          </w:tcPr>
          <w:p w14:paraId="1453C07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6C0C4B3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2EAE1B4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68584EC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1ED2EAA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1C81EC81"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6FA38E79" w14:textId="77777777">
        <w:trPr>
          <w:trHeight w:val="2468"/>
          <w:jc w:val="center"/>
        </w:trPr>
        <w:tc>
          <w:tcPr>
            <w:tcW w:w="703" w:type="dxa"/>
            <w:vAlign w:val="center"/>
          </w:tcPr>
          <w:p w14:paraId="1BAEC6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1</w:t>
            </w:r>
          </w:p>
        </w:tc>
        <w:tc>
          <w:tcPr>
            <w:tcW w:w="1275" w:type="dxa"/>
            <w:vAlign w:val="center"/>
          </w:tcPr>
          <w:p w14:paraId="1B0D67F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6C5A18C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LHSM-021</w:t>
            </w:r>
          </w:p>
        </w:tc>
        <w:tc>
          <w:tcPr>
            <w:tcW w:w="1419" w:type="dxa"/>
            <w:vAlign w:val="center"/>
          </w:tcPr>
          <w:p w14:paraId="5774ED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BBD6B4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CC8D51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F76D0E9" wp14:editId="2C392FFF">
                  <wp:extent cx="2095500" cy="144780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37" cstate="screen"/>
                          <a:stretch>
                            <a:fillRect/>
                          </a:stretch>
                        </pic:blipFill>
                        <pic:spPr>
                          <a:xfrm>
                            <a:off x="0" y="0"/>
                            <a:ext cx="2097030" cy="1448857"/>
                          </a:xfrm>
                          <a:prstGeom prst="rect">
                            <a:avLst/>
                          </a:prstGeom>
                        </pic:spPr>
                      </pic:pic>
                    </a:graphicData>
                  </a:graphic>
                </wp:inline>
              </w:drawing>
            </w:r>
          </w:p>
        </w:tc>
      </w:tr>
      <w:tr w:rsidR="00B420F1" w14:paraId="32D0B877" w14:textId="77777777">
        <w:trPr>
          <w:trHeight w:val="2412"/>
          <w:jc w:val="center"/>
        </w:trPr>
        <w:tc>
          <w:tcPr>
            <w:tcW w:w="703" w:type="dxa"/>
            <w:vAlign w:val="center"/>
          </w:tcPr>
          <w:p w14:paraId="709D9DE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2</w:t>
            </w:r>
            <w:r>
              <w:rPr>
                <w:rFonts w:ascii="宋体" w:eastAsia="宋体" w:hAnsi="宋体"/>
                <w:color w:val="000000" w:themeColor="text1"/>
              </w:rPr>
              <w:t>2</w:t>
            </w:r>
          </w:p>
        </w:tc>
        <w:tc>
          <w:tcPr>
            <w:tcW w:w="1275" w:type="dxa"/>
            <w:vAlign w:val="center"/>
          </w:tcPr>
          <w:p w14:paraId="69C0BB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鸡蛋花树</w:t>
            </w:r>
          </w:p>
        </w:tc>
        <w:tc>
          <w:tcPr>
            <w:tcW w:w="1134" w:type="dxa"/>
            <w:vAlign w:val="center"/>
          </w:tcPr>
          <w:p w14:paraId="21F5844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LHSM-022</w:t>
            </w:r>
          </w:p>
        </w:tc>
        <w:tc>
          <w:tcPr>
            <w:tcW w:w="1419" w:type="dxa"/>
            <w:vAlign w:val="center"/>
          </w:tcPr>
          <w:p w14:paraId="62E07F3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97C6E1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越秀会议中心越秀会议中心卸货平台对面</w:t>
            </w:r>
          </w:p>
        </w:tc>
        <w:tc>
          <w:tcPr>
            <w:tcW w:w="3546" w:type="dxa"/>
            <w:vAlign w:val="center"/>
          </w:tcPr>
          <w:p w14:paraId="15993D4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8F309B4" wp14:editId="0EC7FD7C">
                  <wp:extent cx="2076450" cy="1418590"/>
                  <wp:effectExtent l="0" t="0" r="0" b="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8" cstate="screen"/>
                          <a:stretch>
                            <a:fillRect/>
                          </a:stretch>
                        </pic:blipFill>
                        <pic:spPr>
                          <a:xfrm>
                            <a:off x="0" y="0"/>
                            <a:ext cx="2107493" cy="1440060"/>
                          </a:xfrm>
                          <a:prstGeom prst="rect">
                            <a:avLst/>
                          </a:prstGeom>
                        </pic:spPr>
                      </pic:pic>
                    </a:graphicData>
                  </a:graphic>
                </wp:inline>
              </w:drawing>
            </w:r>
          </w:p>
        </w:tc>
      </w:tr>
      <w:tr w:rsidR="00B420F1" w14:paraId="740C9A64" w14:textId="77777777">
        <w:trPr>
          <w:trHeight w:val="2545"/>
          <w:jc w:val="center"/>
        </w:trPr>
        <w:tc>
          <w:tcPr>
            <w:tcW w:w="703" w:type="dxa"/>
            <w:vAlign w:val="center"/>
          </w:tcPr>
          <w:p w14:paraId="0C4187B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3</w:t>
            </w:r>
          </w:p>
        </w:tc>
        <w:tc>
          <w:tcPr>
            <w:tcW w:w="1275" w:type="dxa"/>
            <w:vAlign w:val="center"/>
          </w:tcPr>
          <w:p w14:paraId="49016E0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56E79D0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LHSM-023</w:t>
            </w:r>
          </w:p>
        </w:tc>
        <w:tc>
          <w:tcPr>
            <w:tcW w:w="1419" w:type="dxa"/>
            <w:vAlign w:val="center"/>
          </w:tcPr>
          <w:p w14:paraId="0E7FC0C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61364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10B92D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9542F47" wp14:editId="1DA6773C">
                  <wp:extent cx="2056765" cy="1457325"/>
                  <wp:effectExtent l="0" t="0" r="6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39" cstate="screen"/>
                          <a:stretch>
                            <a:fillRect/>
                          </a:stretch>
                        </pic:blipFill>
                        <pic:spPr>
                          <a:xfrm>
                            <a:off x="0" y="0"/>
                            <a:ext cx="2083180" cy="1475781"/>
                          </a:xfrm>
                          <a:prstGeom prst="rect">
                            <a:avLst/>
                          </a:prstGeom>
                        </pic:spPr>
                      </pic:pic>
                    </a:graphicData>
                  </a:graphic>
                </wp:inline>
              </w:drawing>
            </w:r>
          </w:p>
        </w:tc>
      </w:tr>
      <w:tr w:rsidR="00B420F1" w14:paraId="6773CAE1" w14:textId="77777777">
        <w:trPr>
          <w:trHeight w:val="2398"/>
          <w:jc w:val="center"/>
        </w:trPr>
        <w:tc>
          <w:tcPr>
            <w:tcW w:w="703" w:type="dxa"/>
            <w:vAlign w:val="center"/>
          </w:tcPr>
          <w:p w14:paraId="228BE43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4</w:t>
            </w:r>
          </w:p>
        </w:tc>
        <w:tc>
          <w:tcPr>
            <w:tcW w:w="1275" w:type="dxa"/>
            <w:vAlign w:val="center"/>
          </w:tcPr>
          <w:p w14:paraId="6BBDFAF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7253089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LHSM-024</w:t>
            </w:r>
          </w:p>
        </w:tc>
        <w:tc>
          <w:tcPr>
            <w:tcW w:w="1419" w:type="dxa"/>
            <w:vAlign w:val="center"/>
          </w:tcPr>
          <w:p w14:paraId="767E52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722FB1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44074F2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638F45E" wp14:editId="22037D23">
                  <wp:extent cx="1790700" cy="1162050"/>
                  <wp:effectExtent l="133350" t="114300" r="152400" b="17145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40" cstate="screen"/>
                          <a:stretch>
                            <a:fillRect/>
                          </a:stretch>
                        </pic:blipFill>
                        <pic:spPr>
                          <a:xfrm rot="10800000" flipV="1">
                            <a:off x="0" y="0"/>
                            <a:ext cx="1797651" cy="1166561"/>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B420F1" w14:paraId="73B67D9D" w14:textId="77777777">
        <w:trPr>
          <w:trHeight w:val="2687"/>
          <w:jc w:val="center"/>
        </w:trPr>
        <w:tc>
          <w:tcPr>
            <w:tcW w:w="703" w:type="dxa"/>
            <w:vAlign w:val="center"/>
          </w:tcPr>
          <w:p w14:paraId="603AF96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5</w:t>
            </w:r>
          </w:p>
        </w:tc>
        <w:tc>
          <w:tcPr>
            <w:tcW w:w="1275" w:type="dxa"/>
            <w:vAlign w:val="center"/>
          </w:tcPr>
          <w:p w14:paraId="517F7C5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22D2538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LHSM-025</w:t>
            </w:r>
          </w:p>
        </w:tc>
        <w:tc>
          <w:tcPr>
            <w:tcW w:w="1419" w:type="dxa"/>
            <w:vAlign w:val="center"/>
          </w:tcPr>
          <w:p w14:paraId="79DC0D4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9F7555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709087C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AE46A06" wp14:editId="27C45EDE">
                  <wp:extent cx="2105025" cy="1533525"/>
                  <wp:effectExtent l="0" t="0" r="9525" b="952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41" cstate="screen"/>
                          <a:stretch>
                            <a:fillRect/>
                          </a:stretch>
                        </pic:blipFill>
                        <pic:spPr>
                          <a:xfrm>
                            <a:off x="0" y="0"/>
                            <a:ext cx="2119120" cy="1543793"/>
                          </a:xfrm>
                          <a:prstGeom prst="rect">
                            <a:avLst/>
                          </a:prstGeom>
                        </pic:spPr>
                      </pic:pic>
                    </a:graphicData>
                  </a:graphic>
                </wp:inline>
              </w:drawing>
            </w:r>
          </w:p>
        </w:tc>
      </w:tr>
    </w:tbl>
    <w:p w14:paraId="3AFDEE71"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63043F8F" w14:textId="77777777">
        <w:trPr>
          <w:jc w:val="center"/>
        </w:trPr>
        <w:tc>
          <w:tcPr>
            <w:tcW w:w="703" w:type="dxa"/>
            <w:vAlign w:val="center"/>
          </w:tcPr>
          <w:p w14:paraId="3AB1290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397F284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5E3879D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7A61AD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A60BB17"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6BF64D6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6CE8B9F1" w14:textId="77777777">
        <w:trPr>
          <w:trHeight w:val="2468"/>
          <w:jc w:val="center"/>
        </w:trPr>
        <w:tc>
          <w:tcPr>
            <w:tcW w:w="703" w:type="dxa"/>
            <w:vAlign w:val="center"/>
          </w:tcPr>
          <w:p w14:paraId="3507346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2</w:t>
            </w:r>
            <w:r>
              <w:rPr>
                <w:rFonts w:ascii="宋体" w:eastAsia="宋体" w:hAnsi="宋体"/>
                <w:color w:val="000000" w:themeColor="text1"/>
              </w:rPr>
              <w:t>6</w:t>
            </w:r>
          </w:p>
        </w:tc>
        <w:tc>
          <w:tcPr>
            <w:tcW w:w="1275" w:type="dxa"/>
            <w:vAlign w:val="center"/>
          </w:tcPr>
          <w:p w14:paraId="7071488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44F7397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LHSM-026</w:t>
            </w:r>
          </w:p>
        </w:tc>
        <w:tc>
          <w:tcPr>
            <w:tcW w:w="1419" w:type="dxa"/>
            <w:vAlign w:val="center"/>
          </w:tcPr>
          <w:p w14:paraId="5B64FB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C1412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391EC7E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37839B3" wp14:editId="264A53B5">
                  <wp:extent cx="2076450" cy="1438275"/>
                  <wp:effectExtent l="0" t="0" r="0" b="952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2" cstate="screen"/>
                          <a:stretch>
                            <a:fillRect/>
                          </a:stretch>
                        </pic:blipFill>
                        <pic:spPr>
                          <a:xfrm>
                            <a:off x="0" y="0"/>
                            <a:ext cx="2076450" cy="1438275"/>
                          </a:xfrm>
                          <a:prstGeom prst="rect">
                            <a:avLst/>
                          </a:prstGeom>
                        </pic:spPr>
                      </pic:pic>
                    </a:graphicData>
                  </a:graphic>
                </wp:inline>
              </w:drawing>
            </w:r>
          </w:p>
        </w:tc>
      </w:tr>
      <w:tr w:rsidR="00B420F1" w14:paraId="5474B18B" w14:textId="77777777">
        <w:trPr>
          <w:trHeight w:val="2412"/>
          <w:jc w:val="center"/>
        </w:trPr>
        <w:tc>
          <w:tcPr>
            <w:tcW w:w="703" w:type="dxa"/>
            <w:vAlign w:val="center"/>
          </w:tcPr>
          <w:p w14:paraId="3732538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7</w:t>
            </w:r>
          </w:p>
        </w:tc>
        <w:tc>
          <w:tcPr>
            <w:tcW w:w="1275" w:type="dxa"/>
            <w:vAlign w:val="center"/>
          </w:tcPr>
          <w:p w14:paraId="20BA469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小叶榄仁</w:t>
            </w:r>
          </w:p>
        </w:tc>
        <w:tc>
          <w:tcPr>
            <w:tcW w:w="1134" w:type="dxa"/>
            <w:vAlign w:val="center"/>
          </w:tcPr>
          <w:p w14:paraId="25320630"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LHSM-027</w:t>
            </w:r>
          </w:p>
        </w:tc>
        <w:tc>
          <w:tcPr>
            <w:tcW w:w="1419" w:type="dxa"/>
            <w:vAlign w:val="center"/>
          </w:tcPr>
          <w:p w14:paraId="0B242D4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5EA3F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685C21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C7A0BC4" wp14:editId="41221CD8">
                  <wp:extent cx="2076450" cy="1437640"/>
                  <wp:effectExtent l="0" t="0" r="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43" cstate="screen"/>
                          <a:stretch>
                            <a:fillRect/>
                          </a:stretch>
                        </pic:blipFill>
                        <pic:spPr>
                          <a:xfrm>
                            <a:off x="0" y="0"/>
                            <a:ext cx="2103027" cy="1456230"/>
                          </a:xfrm>
                          <a:prstGeom prst="rect">
                            <a:avLst/>
                          </a:prstGeom>
                        </pic:spPr>
                      </pic:pic>
                    </a:graphicData>
                  </a:graphic>
                </wp:inline>
              </w:drawing>
            </w:r>
          </w:p>
        </w:tc>
      </w:tr>
      <w:tr w:rsidR="00B420F1" w14:paraId="1739DD2E" w14:textId="77777777">
        <w:trPr>
          <w:trHeight w:val="2545"/>
          <w:jc w:val="center"/>
        </w:trPr>
        <w:tc>
          <w:tcPr>
            <w:tcW w:w="703" w:type="dxa"/>
            <w:vAlign w:val="center"/>
          </w:tcPr>
          <w:p w14:paraId="1BCC07A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8</w:t>
            </w:r>
          </w:p>
        </w:tc>
        <w:tc>
          <w:tcPr>
            <w:tcW w:w="1275" w:type="dxa"/>
            <w:vAlign w:val="center"/>
          </w:tcPr>
          <w:p w14:paraId="7D4D4EB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火焰树</w:t>
            </w:r>
          </w:p>
        </w:tc>
        <w:tc>
          <w:tcPr>
            <w:tcW w:w="1134" w:type="dxa"/>
            <w:vAlign w:val="center"/>
          </w:tcPr>
          <w:p w14:paraId="19D13778"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LHSM-028</w:t>
            </w:r>
          </w:p>
        </w:tc>
        <w:tc>
          <w:tcPr>
            <w:tcW w:w="1419" w:type="dxa"/>
            <w:vAlign w:val="center"/>
          </w:tcPr>
          <w:p w14:paraId="0A49B59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8C8F24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6004122B"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4B95E9D" wp14:editId="666F8633">
                  <wp:extent cx="2076450" cy="142875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4" cstate="screen"/>
                          <a:stretch>
                            <a:fillRect/>
                          </a:stretch>
                        </pic:blipFill>
                        <pic:spPr>
                          <a:xfrm>
                            <a:off x="0" y="0"/>
                            <a:ext cx="2078431" cy="1430113"/>
                          </a:xfrm>
                          <a:prstGeom prst="rect">
                            <a:avLst/>
                          </a:prstGeom>
                        </pic:spPr>
                      </pic:pic>
                    </a:graphicData>
                  </a:graphic>
                </wp:inline>
              </w:drawing>
            </w:r>
          </w:p>
        </w:tc>
      </w:tr>
      <w:tr w:rsidR="00B420F1" w14:paraId="6EDF8D09" w14:textId="77777777">
        <w:trPr>
          <w:trHeight w:val="2398"/>
          <w:jc w:val="center"/>
        </w:trPr>
        <w:tc>
          <w:tcPr>
            <w:tcW w:w="703" w:type="dxa"/>
            <w:vAlign w:val="center"/>
          </w:tcPr>
          <w:p w14:paraId="21E6F4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9</w:t>
            </w:r>
          </w:p>
        </w:tc>
        <w:tc>
          <w:tcPr>
            <w:tcW w:w="1275" w:type="dxa"/>
            <w:vAlign w:val="center"/>
          </w:tcPr>
          <w:p w14:paraId="3433DF4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火焰树</w:t>
            </w:r>
          </w:p>
        </w:tc>
        <w:tc>
          <w:tcPr>
            <w:tcW w:w="1134" w:type="dxa"/>
            <w:vAlign w:val="center"/>
          </w:tcPr>
          <w:p w14:paraId="4508DBC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LHSM-029</w:t>
            </w:r>
          </w:p>
        </w:tc>
        <w:tc>
          <w:tcPr>
            <w:tcW w:w="1419" w:type="dxa"/>
            <w:vAlign w:val="center"/>
          </w:tcPr>
          <w:p w14:paraId="7FE4B50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402269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越秀公园地铁</w:t>
            </w:r>
            <w:r>
              <w:rPr>
                <w:rFonts w:ascii="宋体" w:eastAsia="宋体" w:hAnsi="宋体"/>
                <w:color w:val="000000" w:themeColor="text1"/>
              </w:rPr>
              <w:t>B出口上方即VIP停车场旁</w:t>
            </w:r>
          </w:p>
        </w:tc>
        <w:tc>
          <w:tcPr>
            <w:tcW w:w="3546" w:type="dxa"/>
            <w:vAlign w:val="center"/>
          </w:tcPr>
          <w:p w14:paraId="619010C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F7C3236" wp14:editId="3A9F19BC">
                  <wp:extent cx="2085975" cy="1409700"/>
                  <wp:effectExtent l="0" t="0" r="9525" b="0"/>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5" cstate="screen"/>
                          <a:stretch>
                            <a:fillRect/>
                          </a:stretch>
                        </pic:blipFill>
                        <pic:spPr>
                          <a:xfrm>
                            <a:off x="0" y="0"/>
                            <a:ext cx="2088066" cy="1411113"/>
                          </a:xfrm>
                          <a:prstGeom prst="rect">
                            <a:avLst/>
                          </a:prstGeom>
                        </pic:spPr>
                      </pic:pic>
                    </a:graphicData>
                  </a:graphic>
                </wp:inline>
              </w:drawing>
            </w:r>
          </w:p>
        </w:tc>
      </w:tr>
      <w:tr w:rsidR="00B420F1" w14:paraId="63AAA78D" w14:textId="77777777">
        <w:trPr>
          <w:trHeight w:val="2687"/>
          <w:jc w:val="center"/>
        </w:trPr>
        <w:tc>
          <w:tcPr>
            <w:tcW w:w="703" w:type="dxa"/>
            <w:vAlign w:val="center"/>
          </w:tcPr>
          <w:p w14:paraId="113272B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0</w:t>
            </w:r>
          </w:p>
        </w:tc>
        <w:tc>
          <w:tcPr>
            <w:tcW w:w="1275" w:type="dxa"/>
            <w:vAlign w:val="center"/>
          </w:tcPr>
          <w:p w14:paraId="5767348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2D57611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LHSM-030</w:t>
            </w:r>
          </w:p>
        </w:tc>
        <w:tc>
          <w:tcPr>
            <w:tcW w:w="1419" w:type="dxa"/>
            <w:vAlign w:val="center"/>
          </w:tcPr>
          <w:p w14:paraId="0C3533E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0142E3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越秀会议中心西大门外</w:t>
            </w:r>
            <w:r>
              <w:rPr>
                <w:rFonts w:ascii="宋体" w:eastAsia="宋体" w:hAnsi="宋体"/>
                <w:color w:val="000000" w:themeColor="text1"/>
              </w:rPr>
              <w:t>-右侧</w:t>
            </w:r>
          </w:p>
        </w:tc>
        <w:tc>
          <w:tcPr>
            <w:tcW w:w="3546" w:type="dxa"/>
            <w:vAlign w:val="center"/>
          </w:tcPr>
          <w:p w14:paraId="513E721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4AB0C27" wp14:editId="30FDF941">
                  <wp:extent cx="2066925" cy="1600200"/>
                  <wp:effectExtent l="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46" cstate="screen"/>
                          <a:stretch>
                            <a:fillRect/>
                          </a:stretch>
                        </pic:blipFill>
                        <pic:spPr>
                          <a:xfrm>
                            <a:off x="0" y="0"/>
                            <a:ext cx="2080019" cy="1610337"/>
                          </a:xfrm>
                          <a:prstGeom prst="rect">
                            <a:avLst/>
                          </a:prstGeom>
                        </pic:spPr>
                      </pic:pic>
                    </a:graphicData>
                  </a:graphic>
                </wp:inline>
              </w:drawing>
            </w:r>
          </w:p>
        </w:tc>
      </w:tr>
    </w:tbl>
    <w:p w14:paraId="24EAC0F7"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256A3C1D" w14:textId="77777777">
        <w:trPr>
          <w:jc w:val="center"/>
        </w:trPr>
        <w:tc>
          <w:tcPr>
            <w:tcW w:w="703" w:type="dxa"/>
            <w:vAlign w:val="center"/>
          </w:tcPr>
          <w:p w14:paraId="5CF9770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lastRenderedPageBreak/>
              <w:t>序号</w:t>
            </w:r>
          </w:p>
        </w:tc>
        <w:tc>
          <w:tcPr>
            <w:tcW w:w="1275" w:type="dxa"/>
            <w:vAlign w:val="center"/>
          </w:tcPr>
          <w:p w14:paraId="69593E2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1FB372B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4244573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52D3453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0E13B74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201E58A" w14:textId="77777777">
        <w:trPr>
          <w:trHeight w:val="2468"/>
          <w:jc w:val="center"/>
        </w:trPr>
        <w:tc>
          <w:tcPr>
            <w:tcW w:w="703" w:type="dxa"/>
            <w:vAlign w:val="center"/>
          </w:tcPr>
          <w:p w14:paraId="7790F5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1</w:t>
            </w:r>
          </w:p>
        </w:tc>
        <w:tc>
          <w:tcPr>
            <w:tcW w:w="1275" w:type="dxa"/>
            <w:vAlign w:val="center"/>
          </w:tcPr>
          <w:p w14:paraId="0F36A92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3F0468A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LHSM-031</w:t>
            </w:r>
          </w:p>
        </w:tc>
        <w:tc>
          <w:tcPr>
            <w:tcW w:w="1419" w:type="dxa"/>
            <w:vAlign w:val="center"/>
          </w:tcPr>
          <w:p w14:paraId="2730AC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153F4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越秀会议中心西大门外</w:t>
            </w:r>
            <w:r>
              <w:rPr>
                <w:rFonts w:ascii="宋体" w:eastAsia="宋体" w:hAnsi="宋体"/>
                <w:color w:val="000000" w:themeColor="text1"/>
              </w:rPr>
              <w:t>-右侧</w:t>
            </w:r>
          </w:p>
        </w:tc>
        <w:tc>
          <w:tcPr>
            <w:tcW w:w="3546" w:type="dxa"/>
            <w:vAlign w:val="center"/>
          </w:tcPr>
          <w:p w14:paraId="5CCEBBA7"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A4FF839" wp14:editId="08F272BC">
                  <wp:extent cx="2066925" cy="1447800"/>
                  <wp:effectExtent l="0" t="0" r="9525" b="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47" cstate="screen"/>
                          <a:stretch>
                            <a:fillRect/>
                          </a:stretch>
                        </pic:blipFill>
                        <pic:spPr>
                          <a:xfrm>
                            <a:off x="0" y="0"/>
                            <a:ext cx="2076504" cy="1454510"/>
                          </a:xfrm>
                          <a:prstGeom prst="rect">
                            <a:avLst/>
                          </a:prstGeom>
                        </pic:spPr>
                      </pic:pic>
                    </a:graphicData>
                  </a:graphic>
                </wp:inline>
              </w:drawing>
            </w:r>
          </w:p>
        </w:tc>
      </w:tr>
      <w:tr w:rsidR="00B420F1" w14:paraId="4D050EB0" w14:textId="77777777">
        <w:trPr>
          <w:trHeight w:val="2412"/>
          <w:jc w:val="center"/>
        </w:trPr>
        <w:tc>
          <w:tcPr>
            <w:tcW w:w="703" w:type="dxa"/>
            <w:vAlign w:val="center"/>
          </w:tcPr>
          <w:p w14:paraId="1DCF99E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2</w:t>
            </w:r>
          </w:p>
        </w:tc>
        <w:tc>
          <w:tcPr>
            <w:tcW w:w="1275" w:type="dxa"/>
            <w:vAlign w:val="center"/>
          </w:tcPr>
          <w:p w14:paraId="404F0FC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341E0BC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LHSM-032</w:t>
            </w:r>
          </w:p>
        </w:tc>
        <w:tc>
          <w:tcPr>
            <w:tcW w:w="1419" w:type="dxa"/>
            <w:vAlign w:val="center"/>
          </w:tcPr>
          <w:p w14:paraId="7FB5D4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DAA5B4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B7CC7A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8284979" wp14:editId="1C97831F">
                  <wp:extent cx="2085975" cy="1390015"/>
                  <wp:effectExtent l="0" t="0" r="0" b="63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8" cstate="screen"/>
                          <a:stretch>
                            <a:fillRect/>
                          </a:stretch>
                        </pic:blipFill>
                        <pic:spPr>
                          <a:xfrm>
                            <a:off x="0" y="0"/>
                            <a:ext cx="2107225" cy="1404568"/>
                          </a:xfrm>
                          <a:prstGeom prst="rect">
                            <a:avLst/>
                          </a:prstGeom>
                        </pic:spPr>
                      </pic:pic>
                    </a:graphicData>
                  </a:graphic>
                </wp:inline>
              </w:drawing>
            </w:r>
          </w:p>
        </w:tc>
      </w:tr>
      <w:tr w:rsidR="00B420F1" w14:paraId="095CEBEC" w14:textId="77777777">
        <w:trPr>
          <w:trHeight w:val="2545"/>
          <w:jc w:val="center"/>
        </w:trPr>
        <w:tc>
          <w:tcPr>
            <w:tcW w:w="703" w:type="dxa"/>
            <w:vAlign w:val="center"/>
          </w:tcPr>
          <w:p w14:paraId="561163C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3</w:t>
            </w:r>
          </w:p>
        </w:tc>
        <w:tc>
          <w:tcPr>
            <w:tcW w:w="1275" w:type="dxa"/>
            <w:vAlign w:val="center"/>
          </w:tcPr>
          <w:p w14:paraId="742DD4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1D3B8BEE"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LHSM-033</w:t>
            </w:r>
          </w:p>
        </w:tc>
        <w:tc>
          <w:tcPr>
            <w:tcW w:w="1419" w:type="dxa"/>
            <w:vAlign w:val="center"/>
          </w:tcPr>
          <w:p w14:paraId="1073E8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9B020A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04E2BC4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B8DFFC5" wp14:editId="119A1BA9">
                  <wp:extent cx="2105025" cy="145669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49" cstate="screen"/>
                          <a:stretch>
                            <a:fillRect/>
                          </a:stretch>
                        </pic:blipFill>
                        <pic:spPr>
                          <a:xfrm>
                            <a:off x="0" y="0"/>
                            <a:ext cx="2139301" cy="1480576"/>
                          </a:xfrm>
                          <a:prstGeom prst="rect">
                            <a:avLst/>
                          </a:prstGeom>
                        </pic:spPr>
                      </pic:pic>
                    </a:graphicData>
                  </a:graphic>
                </wp:inline>
              </w:drawing>
            </w:r>
          </w:p>
        </w:tc>
      </w:tr>
      <w:tr w:rsidR="00B420F1" w14:paraId="38AAF63C" w14:textId="77777777">
        <w:trPr>
          <w:trHeight w:val="2398"/>
          <w:jc w:val="center"/>
        </w:trPr>
        <w:tc>
          <w:tcPr>
            <w:tcW w:w="703" w:type="dxa"/>
            <w:vAlign w:val="center"/>
          </w:tcPr>
          <w:p w14:paraId="4CD37C3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4</w:t>
            </w:r>
          </w:p>
        </w:tc>
        <w:tc>
          <w:tcPr>
            <w:tcW w:w="1275" w:type="dxa"/>
            <w:vAlign w:val="center"/>
          </w:tcPr>
          <w:p w14:paraId="6850849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73FBB3C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LHSM-034</w:t>
            </w:r>
          </w:p>
        </w:tc>
        <w:tc>
          <w:tcPr>
            <w:tcW w:w="1419" w:type="dxa"/>
            <w:vAlign w:val="center"/>
          </w:tcPr>
          <w:p w14:paraId="1A2CBD1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15F3FD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7E20500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023D5DE" wp14:editId="59D09DAF">
                  <wp:extent cx="2085975" cy="1381125"/>
                  <wp:effectExtent l="0" t="0" r="0" b="952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50" cstate="screen"/>
                          <a:stretch>
                            <a:fillRect/>
                          </a:stretch>
                        </pic:blipFill>
                        <pic:spPr>
                          <a:xfrm>
                            <a:off x="0" y="0"/>
                            <a:ext cx="2094914" cy="1387044"/>
                          </a:xfrm>
                          <a:prstGeom prst="rect">
                            <a:avLst/>
                          </a:prstGeom>
                        </pic:spPr>
                      </pic:pic>
                    </a:graphicData>
                  </a:graphic>
                </wp:inline>
              </w:drawing>
            </w:r>
          </w:p>
        </w:tc>
      </w:tr>
      <w:tr w:rsidR="00B420F1" w14:paraId="0D4057F6" w14:textId="77777777">
        <w:trPr>
          <w:trHeight w:val="2687"/>
          <w:jc w:val="center"/>
        </w:trPr>
        <w:tc>
          <w:tcPr>
            <w:tcW w:w="703" w:type="dxa"/>
            <w:vAlign w:val="center"/>
          </w:tcPr>
          <w:p w14:paraId="11B51F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5</w:t>
            </w:r>
          </w:p>
        </w:tc>
        <w:tc>
          <w:tcPr>
            <w:tcW w:w="1275" w:type="dxa"/>
            <w:vAlign w:val="center"/>
          </w:tcPr>
          <w:p w14:paraId="6C8A65E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1474650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LHSM-035</w:t>
            </w:r>
          </w:p>
        </w:tc>
        <w:tc>
          <w:tcPr>
            <w:tcW w:w="1419" w:type="dxa"/>
            <w:vAlign w:val="center"/>
          </w:tcPr>
          <w:p w14:paraId="5053843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F0537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7621E44D"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33E1BF7" wp14:editId="70C3A0F4">
                  <wp:extent cx="2076450" cy="158115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51" cstate="screen"/>
                          <a:stretch>
                            <a:fillRect/>
                          </a:stretch>
                        </pic:blipFill>
                        <pic:spPr>
                          <a:xfrm>
                            <a:off x="0" y="0"/>
                            <a:ext cx="2090419" cy="1591787"/>
                          </a:xfrm>
                          <a:prstGeom prst="rect">
                            <a:avLst/>
                          </a:prstGeom>
                        </pic:spPr>
                      </pic:pic>
                    </a:graphicData>
                  </a:graphic>
                </wp:inline>
              </w:drawing>
            </w:r>
          </w:p>
        </w:tc>
      </w:tr>
    </w:tbl>
    <w:p w14:paraId="787B20C0"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6E4EFB51" w14:textId="77777777">
        <w:trPr>
          <w:jc w:val="center"/>
        </w:trPr>
        <w:tc>
          <w:tcPr>
            <w:tcW w:w="703" w:type="dxa"/>
            <w:vAlign w:val="center"/>
          </w:tcPr>
          <w:p w14:paraId="26A4624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lastRenderedPageBreak/>
              <w:t>序号</w:t>
            </w:r>
          </w:p>
        </w:tc>
        <w:tc>
          <w:tcPr>
            <w:tcW w:w="1275" w:type="dxa"/>
            <w:vAlign w:val="center"/>
          </w:tcPr>
          <w:p w14:paraId="0B5B39CE"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45C5388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3A17533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BE01E3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FF46838"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2C5F4110" w14:textId="77777777">
        <w:trPr>
          <w:trHeight w:val="2468"/>
          <w:jc w:val="center"/>
        </w:trPr>
        <w:tc>
          <w:tcPr>
            <w:tcW w:w="703" w:type="dxa"/>
            <w:vAlign w:val="center"/>
          </w:tcPr>
          <w:p w14:paraId="670C3D7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6</w:t>
            </w:r>
          </w:p>
        </w:tc>
        <w:tc>
          <w:tcPr>
            <w:tcW w:w="1275" w:type="dxa"/>
            <w:vAlign w:val="center"/>
          </w:tcPr>
          <w:p w14:paraId="5BA020B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桂花</w:t>
            </w:r>
          </w:p>
        </w:tc>
        <w:tc>
          <w:tcPr>
            <w:tcW w:w="1134" w:type="dxa"/>
            <w:vAlign w:val="center"/>
          </w:tcPr>
          <w:p w14:paraId="291384F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LHSM-036</w:t>
            </w:r>
          </w:p>
        </w:tc>
        <w:tc>
          <w:tcPr>
            <w:tcW w:w="1419" w:type="dxa"/>
            <w:vAlign w:val="center"/>
          </w:tcPr>
          <w:p w14:paraId="6CE1B17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29619D4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w:t>
            </w:r>
            <w:r>
              <w:rPr>
                <w:rFonts w:ascii="宋体" w:eastAsia="宋体" w:hAnsi="宋体"/>
                <w:color w:val="000000" w:themeColor="text1"/>
              </w:rPr>
              <w:t>7楼空中花园</w:t>
            </w:r>
          </w:p>
        </w:tc>
        <w:tc>
          <w:tcPr>
            <w:tcW w:w="3546" w:type="dxa"/>
            <w:vAlign w:val="center"/>
          </w:tcPr>
          <w:p w14:paraId="20DBD3F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C02A2C2" wp14:editId="2C2AB888">
                  <wp:extent cx="2095500" cy="145669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2" cstate="screen"/>
                          <a:stretch>
                            <a:fillRect/>
                          </a:stretch>
                        </pic:blipFill>
                        <pic:spPr>
                          <a:xfrm>
                            <a:off x="0" y="0"/>
                            <a:ext cx="2123038" cy="1476035"/>
                          </a:xfrm>
                          <a:prstGeom prst="rect">
                            <a:avLst/>
                          </a:prstGeom>
                        </pic:spPr>
                      </pic:pic>
                    </a:graphicData>
                  </a:graphic>
                </wp:inline>
              </w:drawing>
            </w:r>
          </w:p>
        </w:tc>
      </w:tr>
      <w:tr w:rsidR="00B420F1" w14:paraId="74865F9C" w14:textId="77777777">
        <w:trPr>
          <w:trHeight w:val="2412"/>
          <w:jc w:val="center"/>
        </w:trPr>
        <w:tc>
          <w:tcPr>
            <w:tcW w:w="703" w:type="dxa"/>
            <w:vAlign w:val="center"/>
          </w:tcPr>
          <w:p w14:paraId="5D4FBB3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7</w:t>
            </w:r>
          </w:p>
        </w:tc>
        <w:tc>
          <w:tcPr>
            <w:tcW w:w="1275" w:type="dxa"/>
            <w:vAlign w:val="center"/>
          </w:tcPr>
          <w:p w14:paraId="56CEBE0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545C9BC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LHSM-037</w:t>
            </w:r>
          </w:p>
        </w:tc>
        <w:tc>
          <w:tcPr>
            <w:tcW w:w="1419" w:type="dxa"/>
            <w:vAlign w:val="center"/>
          </w:tcPr>
          <w:p w14:paraId="7FD048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4776D7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24AF4F6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DF5FAE4" wp14:editId="60A6F396">
                  <wp:extent cx="2095500" cy="1409065"/>
                  <wp:effectExtent l="0" t="0" r="0" b="635"/>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53" cstate="screen"/>
                          <a:stretch>
                            <a:fillRect/>
                          </a:stretch>
                        </pic:blipFill>
                        <pic:spPr>
                          <a:xfrm>
                            <a:off x="0" y="0"/>
                            <a:ext cx="2123549" cy="1428227"/>
                          </a:xfrm>
                          <a:prstGeom prst="rect">
                            <a:avLst/>
                          </a:prstGeom>
                        </pic:spPr>
                      </pic:pic>
                    </a:graphicData>
                  </a:graphic>
                </wp:inline>
              </w:drawing>
            </w:r>
          </w:p>
        </w:tc>
      </w:tr>
      <w:tr w:rsidR="00B420F1" w14:paraId="46908D43" w14:textId="77777777">
        <w:trPr>
          <w:trHeight w:val="2545"/>
          <w:jc w:val="center"/>
        </w:trPr>
        <w:tc>
          <w:tcPr>
            <w:tcW w:w="703" w:type="dxa"/>
            <w:vAlign w:val="center"/>
          </w:tcPr>
          <w:p w14:paraId="620ED62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8</w:t>
            </w:r>
          </w:p>
        </w:tc>
        <w:tc>
          <w:tcPr>
            <w:tcW w:w="1275" w:type="dxa"/>
            <w:vAlign w:val="center"/>
          </w:tcPr>
          <w:p w14:paraId="6E3AD1B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618C25C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LHSM-038</w:t>
            </w:r>
          </w:p>
        </w:tc>
        <w:tc>
          <w:tcPr>
            <w:tcW w:w="1419" w:type="dxa"/>
            <w:vAlign w:val="center"/>
          </w:tcPr>
          <w:p w14:paraId="58915A0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B3743C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72306B4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FDBBDF2" wp14:editId="2C12E1CE">
                  <wp:extent cx="2066925" cy="1476375"/>
                  <wp:effectExtent l="0" t="0" r="9525"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pic:cNvPicPr>
                        </pic:nvPicPr>
                        <pic:blipFill>
                          <a:blip r:embed="rId54" cstate="screen"/>
                          <a:stretch>
                            <a:fillRect/>
                          </a:stretch>
                        </pic:blipFill>
                        <pic:spPr>
                          <a:xfrm>
                            <a:off x="0" y="0"/>
                            <a:ext cx="2074022" cy="1481444"/>
                          </a:xfrm>
                          <a:prstGeom prst="rect">
                            <a:avLst/>
                          </a:prstGeom>
                        </pic:spPr>
                      </pic:pic>
                    </a:graphicData>
                  </a:graphic>
                </wp:inline>
              </w:drawing>
            </w:r>
          </w:p>
        </w:tc>
      </w:tr>
      <w:tr w:rsidR="00B420F1" w14:paraId="3E1B27CA" w14:textId="77777777">
        <w:trPr>
          <w:trHeight w:val="2398"/>
          <w:jc w:val="center"/>
        </w:trPr>
        <w:tc>
          <w:tcPr>
            <w:tcW w:w="703" w:type="dxa"/>
            <w:vAlign w:val="center"/>
          </w:tcPr>
          <w:p w14:paraId="3288109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3</w:t>
            </w:r>
            <w:r>
              <w:rPr>
                <w:rFonts w:ascii="宋体" w:eastAsia="宋体" w:hAnsi="宋体"/>
                <w:color w:val="000000" w:themeColor="text1"/>
              </w:rPr>
              <w:t>9</w:t>
            </w:r>
          </w:p>
        </w:tc>
        <w:tc>
          <w:tcPr>
            <w:tcW w:w="1275" w:type="dxa"/>
            <w:vAlign w:val="center"/>
          </w:tcPr>
          <w:p w14:paraId="28F1551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4D5AEE5C"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LHSM-039</w:t>
            </w:r>
          </w:p>
        </w:tc>
        <w:tc>
          <w:tcPr>
            <w:tcW w:w="1419" w:type="dxa"/>
            <w:vAlign w:val="center"/>
          </w:tcPr>
          <w:p w14:paraId="34771B6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8644D4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越秀会议中心监控室对面</w:t>
            </w:r>
          </w:p>
        </w:tc>
        <w:tc>
          <w:tcPr>
            <w:tcW w:w="3546" w:type="dxa"/>
            <w:vAlign w:val="center"/>
          </w:tcPr>
          <w:p w14:paraId="1AF4D850"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B6D5D19" wp14:editId="5D9969F0">
                  <wp:extent cx="2047875" cy="1495425"/>
                  <wp:effectExtent l="0" t="0" r="9525" b="952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55" cstate="screen"/>
                          <a:stretch>
                            <a:fillRect/>
                          </a:stretch>
                        </pic:blipFill>
                        <pic:spPr>
                          <a:xfrm>
                            <a:off x="0" y="0"/>
                            <a:ext cx="2054551" cy="1500300"/>
                          </a:xfrm>
                          <a:prstGeom prst="rect">
                            <a:avLst/>
                          </a:prstGeom>
                        </pic:spPr>
                      </pic:pic>
                    </a:graphicData>
                  </a:graphic>
                </wp:inline>
              </w:drawing>
            </w:r>
          </w:p>
        </w:tc>
      </w:tr>
      <w:tr w:rsidR="00B420F1" w14:paraId="4410557F" w14:textId="77777777">
        <w:trPr>
          <w:trHeight w:val="2687"/>
          <w:jc w:val="center"/>
        </w:trPr>
        <w:tc>
          <w:tcPr>
            <w:tcW w:w="703" w:type="dxa"/>
            <w:vAlign w:val="center"/>
          </w:tcPr>
          <w:p w14:paraId="32D2491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0</w:t>
            </w:r>
          </w:p>
        </w:tc>
        <w:tc>
          <w:tcPr>
            <w:tcW w:w="1275" w:type="dxa"/>
            <w:vAlign w:val="center"/>
          </w:tcPr>
          <w:p w14:paraId="484B205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0523B44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LHSM-040</w:t>
            </w:r>
          </w:p>
        </w:tc>
        <w:tc>
          <w:tcPr>
            <w:tcW w:w="1419" w:type="dxa"/>
            <w:vAlign w:val="center"/>
          </w:tcPr>
          <w:p w14:paraId="45C783A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121337B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064C9C2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181FEB7" wp14:editId="5315AD36">
                  <wp:extent cx="2076450" cy="156210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56" cstate="screen"/>
                          <a:stretch>
                            <a:fillRect/>
                          </a:stretch>
                        </pic:blipFill>
                        <pic:spPr>
                          <a:xfrm>
                            <a:off x="0" y="0"/>
                            <a:ext cx="2078787" cy="1563858"/>
                          </a:xfrm>
                          <a:prstGeom prst="rect">
                            <a:avLst/>
                          </a:prstGeom>
                        </pic:spPr>
                      </pic:pic>
                    </a:graphicData>
                  </a:graphic>
                </wp:inline>
              </w:drawing>
            </w:r>
          </w:p>
        </w:tc>
      </w:tr>
    </w:tbl>
    <w:p w14:paraId="41ACB93C"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765181E8" w14:textId="77777777">
        <w:trPr>
          <w:jc w:val="center"/>
        </w:trPr>
        <w:tc>
          <w:tcPr>
            <w:tcW w:w="703" w:type="dxa"/>
            <w:vAlign w:val="center"/>
          </w:tcPr>
          <w:p w14:paraId="1A4B134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4D306F60"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562DA01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2F64B4D5"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457A149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77759E9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0418D180" w14:textId="77777777">
        <w:trPr>
          <w:trHeight w:val="2468"/>
          <w:jc w:val="center"/>
        </w:trPr>
        <w:tc>
          <w:tcPr>
            <w:tcW w:w="703" w:type="dxa"/>
            <w:vAlign w:val="center"/>
          </w:tcPr>
          <w:p w14:paraId="2FF1A21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1</w:t>
            </w:r>
          </w:p>
        </w:tc>
        <w:tc>
          <w:tcPr>
            <w:tcW w:w="1275" w:type="dxa"/>
            <w:vAlign w:val="center"/>
          </w:tcPr>
          <w:p w14:paraId="63E3E2C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387F123B"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LHSM-041</w:t>
            </w:r>
          </w:p>
        </w:tc>
        <w:tc>
          <w:tcPr>
            <w:tcW w:w="1419" w:type="dxa"/>
            <w:vAlign w:val="center"/>
          </w:tcPr>
          <w:p w14:paraId="7DEB2E8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265141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3AC0736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1A2DEB1" wp14:editId="6045D942">
                  <wp:extent cx="2085340" cy="142875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7" cstate="screen"/>
                          <a:stretch>
                            <a:fillRect/>
                          </a:stretch>
                        </pic:blipFill>
                        <pic:spPr>
                          <a:xfrm>
                            <a:off x="0" y="0"/>
                            <a:ext cx="2110990" cy="1446100"/>
                          </a:xfrm>
                          <a:prstGeom prst="rect">
                            <a:avLst/>
                          </a:prstGeom>
                        </pic:spPr>
                      </pic:pic>
                    </a:graphicData>
                  </a:graphic>
                </wp:inline>
              </w:drawing>
            </w:r>
          </w:p>
        </w:tc>
      </w:tr>
      <w:tr w:rsidR="00B420F1" w14:paraId="5B65C549" w14:textId="77777777">
        <w:trPr>
          <w:trHeight w:val="2412"/>
          <w:jc w:val="center"/>
        </w:trPr>
        <w:tc>
          <w:tcPr>
            <w:tcW w:w="703" w:type="dxa"/>
            <w:vAlign w:val="center"/>
          </w:tcPr>
          <w:p w14:paraId="4729D81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2</w:t>
            </w:r>
          </w:p>
        </w:tc>
        <w:tc>
          <w:tcPr>
            <w:tcW w:w="1275" w:type="dxa"/>
            <w:vAlign w:val="center"/>
          </w:tcPr>
          <w:p w14:paraId="2B54CEB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紫荆</w:t>
            </w:r>
          </w:p>
        </w:tc>
        <w:tc>
          <w:tcPr>
            <w:tcW w:w="1134" w:type="dxa"/>
            <w:vAlign w:val="center"/>
          </w:tcPr>
          <w:p w14:paraId="6F8B17D2"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LHSM-042</w:t>
            </w:r>
          </w:p>
        </w:tc>
        <w:tc>
          <w:tcPr>
            <w:tcW w:w="1419" w:type="dxa"/>
            <w:vAlign w:val="center"/>
          </w:tcPr>
          <w:p w14:paraId="461DCF3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0A381F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BBDCCC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2AC9237" wp14:editId="61723A18">
                  <wp:extent cx="2085340" cy="139065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58" cstate="screen"/>
                          <a:stretch>
                            <a:fillRect/>
                          </a:stretch>
                        </pic:blipFill>
                        <pic:spPr>
                          <a:xfrm>
                            <a:off x="0" y="0"/>
                            <a:ext cx="2087715" cy="1392234"/>
                          </a:xfrm>
                          <a:prstGeom prst="rect">
                            <a:avLst/>
                          </a:prstGeom>
                        </pic:spPr>
                      </pic:pic>
                    </a:graphicData>
                  </a:graphic>
                </wp:inline>
              </w:drawing>
            </w:r>
          </w:p>
        </w:tc>
      </w:tr>
      <w:tr w:rsidR="00B420F1" w14:paraId="4979613E" w14:textId="77777777">
        <w:trPr>
          <w:trHeight w:val="2545"/>
          <w:jc w:val="center"/>
        </w:trPr>
        <w:tc>
          <w:tcPr>
            <w:tcW w:w="703" w:type="dxa"/>
            <w:vAlign w:val="center"/>
          </w:tcPr>
          <w:p w14:paraId="6A4E627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3</w:t>
            </w:r>
          </w:p>
        </w:tc>
        <w:tc>
          <w:tcPr>
            <w:tcW w:w="1275" w:type="dxa"/>
            <w:vAlign w:val="center"/>
          </w:tcPr>
          <w:p w14:paraId="5C234DD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16DDAD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LHSM-043</w:t>
            </w:r>
          </w:p>
        </w:tc>
        <w:tc>
          <w:tcPr>
            <w:tcW w:w="1419" w:type="dxa"/>
            <w:vAlign w:val="center"/>
          </w:tcPr>
          <w:p w14:paraId="7E714A9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B48411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DF56039"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62B9D22" wp14:editId="02380935">
                  <wp:extent cx="2085340" cy="1476375"/>
                  <wp:effectExtent l="0" t="0" r="0" b="9525"/>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59" cstate="screen"/>
                          <a:stretch>
                            <a:fillRect/>
                          </a:stretch>
                        </pic:blipFill>
                        <pic:spPr>
                          <a:xfrm>
                            <a:off x="0" y="0"/>
                            <a:ext cx="2094458" cy="1482830"/>
                          </a:xfrm>
                          <a:prstGeom prst="rect">
                            <a:avLst/>
                          </a:prstGeom>
                        </pic:spPr>
                      </pic:pic>
                    </a:graphicData>
                  </a:graphic>
                </wp:inline>
              </w:drawing>
            </w:r>
          </w:p>
        </w:tc>
      </w:tr>
      <w:tr w:rsidR="00B420F1" w14:paraId="41A736E6" w14:textId="77777777">
        <w:trPr>
          <w:trHeight w:val="2398"/>
          <w:jc w:val="center"/>
        </w:trPr>
        <w:tc>
          <w:tcPr>
            <w:tcW w:w="703" w:type="dxa"/>
            <w:vAlign w:val="center"/>
          </w:tcPr>
          <w:p w14:paraId="50946F2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4</w:t>
            </w:r>
          </w:p>
        </w:tc>
        <w:tc>
          <w:tcPr>
            <w:tcW w:w="1275" w:type="dxa"/>
            <w:vAlign w:val="center"/>
          </w:tcPr>
          <w:p w14:paraId="6978E6A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E35C3C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LHSM-044</w:t>
            </w:r>
          </w:p>
        </w:tc>
        <w:tc>
          <w:tcPr>
            <w:tcW w:w="1419" w:type="dxa"/>
            <w:vAlign w:val="center"/>
          </w:tcPr>
          <w:p w14:paraId="4FA46FB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25F028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41F07AE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AC5E070" wp14:editId="54400CA5">
                  <wp:extent cx="2066925" cy="1695450"/>
                  <wp:effectExtent l="0" t="0" r="9525"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60" cstate="screen"/>
                          <a:stretch>
                            <a:fillRect/>
                          </a:stretch>
                        </pic:blipFill>
                        <pic:spPr>
                          <a:xfrm>
                            <a:off x="0" y="0"/>
                            <a:ext cx="2070866" cy="1698683"/>
                          </a:xfrm>
                          <a:prstGeom prst="rect">
                            <a:avLst/>
                          </a:prstGeom>
                        </pic:spPr>
                      </pic:pic>
                    </a:graphicData>
                  </a:graphic>
                </wp:inline>
              </w:drawing>
            </w:r>
          </w:p>
        </w:tc>
      </w:tr>
      <w:tr w:rsidR="00B420F1" w14:paraId="46F2A71D" w14:textId="77777777">
        <w:trPr>
          <w:trHeight w:val="2687"/>
          <w:jc w:val="center"/>
        </w:trPr>
        <w:tc>
          <w:tcPr>
            <w:tcW w:w="703" w:type="dxa"/>
            <w:vAlign w:val="center"/>
          </w:tcPr>
          <w:p w14:paraId="46F1E6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4</w:t>
            </w:r>
            <w:r>
              <w:rPr>
                <w:rFonts w:ascii="宋体" w:eastAsia="宋体" w:hAnsi="宋体"/>
                <w:color w:val="000000" w:themeColor="text1"/>
              </w:rPr>
              <w:t>5</w:t>
            </w:r>
          </w:p>
        </w:tc>
        <w:tc>
          <w:tcPr>
            <w:tcW w:w="1275" w:type="dxa"/>
            <w:vAlign w:val="center"/>
          </w:tcPr>
          <w:p w14:paraId="4929767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56B3AEF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LHSM-045</w:t>
            </w:r>
          </w:p>
        </w:tc>
        <w:tc>
          <w:tcPr>
            <w:tcW w:w="1419" w:type="dxa"/>
            <w:vAlign w:val="center"/>
          </w:tcPr>
          <w:p w14:paraId="464C28D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72C7F4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C0E2D7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3831EC42" wp14:editId="6E418367">
                  <wp:extent cx="2057400" cy="154305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61" cstate="screen"/>
                          <a:stretch>
                            <a:fillRect/>
                          </a:stretch>
                        </pic:blipFill>
                        <pic:spPr>
                          <a:xfrm>
                            <a:off x="0" y="0"/>
                            <a:ext cx="2061989" cy="1546492"/>
                          </a:xfrm>
                          <a:prstGeom prst="rect">
                            <a:avLst/>
                          </a:prstGeom>
                        </pic:spPr>
                      </pic:pic>
                    </a:graphicData>
                  </a:graphic>
                </wp:inline>
              </w:drawing>
            </w:r>
          </w:p>
        </w:tc>
      </w:tr>
    </w:tbl>
    <w:p w14:paraId="6601D3A2" w14:textId="77777777" w:rsidR="00B420F1" w:rsidRDefault="00B420F1">
      <w:pPr>
        <w:ind w:firstLineChars="0" w:firstLine="0"/>
        <w:jc w:val="center"/>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4412FDA5" w14:textId="77777777">
        <w:trPr>
          <w:jc w:val="center"/>
        </w:trPr>
        <w:tc>
          <w:tcPr>
            <w:tcW w:w="703" w:type="dxa"/>
            <w:vAlign w:val="center"/>
          </w:tcPr>
          <w:p w14:paraId="6F20CE5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899777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1288D43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26412BF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D40D6E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2B8262B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36138734" w14:textId="77777777">
        <w:trPr>
          <w:trHeight w:val="2468"/>
          <w:jc w:val="center"/>
        </w:trPr>
        <w:tc>
          <w:tcPr>
            <w:tcW w:w="703" w:type="dxa"/>
            <w:vAlign w:val="center"/>
          </w:tcPr>
          <w:p w14:paraId="27998EF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6</w:t>
            </w:r>
          </w:p>
        </w:tc>
        <w:tc>
          <w:tcPr>
            <w:tcW w:w="1275" w:type="dxa"/>
            <w:vAlign w:val="center"/>
          </w:tcPr>
          <w:p w14:paraId="490F56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大花紫薇</w:t>
            </w:r>
          </w:p>
        </w:tc>
        <w:tc>
          <w:tcPr>
            <w:tcW w:w="1134" w:type="dxa"/>
            <w:vAlign w:val="center"/>
          </w:tcPr>
          <w:p w14:paraId="6C85B155"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LHSM-046</w:t>
            </w:r>
          </w:p>
        </w:tc>
        <w:tc>
          <w:tcPr>
            <w:tcW w:w="1419" w:type="dxa"/>
            <w:vAlign w:val="center"/>
          </w:tcPr>
          <w:p w14:paraId="5FF10CC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D8414B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0F1BBC4D"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25B080B" wp14:editId="59507120">
                  <wp:extent cx="2047240" cy="140970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2" cstate="screen"/>
                          <a:stretch>
                            <a:fillRect/>
                          </a:stretch>
                        </pic:blipFill>
                        <pic:spPr>
                          <a:xfrm>
                            <a:off x="0" y="0"/>
                            <a:ext cx="2068210" cy="1423851"/>
                          </a:xfrm>
                          <a:prstGeom prst="rect">
                            <a:avLst/>
                          </a:prstGeom>
                        </pic:spPr>
                      </pic:pic>
                    </a:graphicData>
                  </a:graphic>
                </wp:inline>
              </w:drawing>
            </w:r>
          </w:p>
        </w:tc>
      </w:tr>
      <w:tr w:rsidR="00B420F1" w14:paraId="17E5170A" w14:textId="77777777">
        <w:trPr>
          <w:trHeight w:val="2412"/>
          <w:jc w:val="center"/>
        </w:trPr>
        <w:tc>
          <w:tcPr>
            <w:tcW w:w="703" w:type="dxa"/>
            <w:vAlign w:val="center"/>
          </w:tcPr>
          <w:p w14:paraId="2636965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7</w:t>
            </w:r>
          </w:p>
        </w:tc>
        <w:tc>
          <w:tcPr>
            <w:tcW w:w="1275" w:type="dxa"/>
            <w:vAlign w:val="center"/>
          </w:tcPr>
          <w:p w14:paraId="1731F67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72C85CC3"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LHSM-047</w:t>
            </w:r>
          </w:p>
        </w:tc>
        <w:tc>
          <w:tcPr>
            <w:tcW w:w="1419" w:type="dxa"/>
            <w:vAlign w:val="center"/>
          </w:tcPr>
          <w:p w14:paraId="0B9B8D8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990D15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3BC3FB6"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7E10BE60" wp14:editId="63645C56">
                  <wp:extent cx="2057400" cy="1381125"/>
                  <wp:effectExtent l="0" t="0" r="0" b="952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63" cstate="screen"/>
                          <a:stretch>
                            <a:fillRect/>
                          </a:stretch>
                        </pic:blipFill>
                        <pic:spPr>
                          <a:xfrm>
                            <a:off x="0" y="0"/>
                            <a:ext cx="2063595" cy="1385284"/>
                          </a:xfrm>
                          <a:prstGeom prst="rect">
                            <a:avLst/>
                          </a:prstGeom>
                        </pic:spPr>
                      </pic:pic>
                    </a:graphicData>
                  </a:graphic>
                </wp:inline>
              </w:drawing>
            </w:r>
          </w:p>
        </w:tc>
      </w:tr>
      <w:tr w:rsidR="00B420F1" w14:paraId="42A0CE0D" w14:textId="77777777">
        <w:trPr>
          <w:trHeight w:val="2545"/>
          <w:jc w:val="center"/>
        </w:trPr>
        <w:tc>
          <w:tcPr>
            <w:tcW w:w="703" w:type="dxa"/>
            <w:vAlign w:val="center"/>
          </w:tcPr>
          <w:p w14:paraId="4AB1A01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4</w:t>
            </w:r>
            <w:r>
              <w:rPr>
                <w:rFonts w:ascii="宋体" w:eastAsia="宋体" w:hAnsi="宋体"/>
                <w:color w:val="000000" w:themeColor="text1"/>
              </w:rPr>
              <w:t>8</w:t>
            </w:r>
          </w:p>
        </w:tc>
        <w:tc>
          <w:tcPr>
            <w:tcW w:w="1275" w:type="dxa"/>
            <w:vAlign w:val="center"/>
          </w:tcPr>
          <w:p w14:paraId="1B577AC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060F129F"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LHSM-048</w:t>
            </w:r>
          </w:p>
        </w:tc>
        <w:tc>
          <w:tcPr>
            <w:tcW w:w="1419" w:type="dxa"/>
            <w:vAlign w:val="center"/>
          </w:tcPr>
          <w:p w14:paraId="0B4A12D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33C0801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7AFFCE78"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C374C00" wp14:editId="106B600A">
                  <wp:extent cx="2075815" cy="1476375"/>
                  <wp:effectExtent l="0" t="0" r="635" b="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4" cstate="screen"/>
                          <a:stretch>
                            <a:fillRect/>
                          </a:stretch>
                        </pic:blipFill>
                        <pic:spPr>
                          <a:xfrm>
                            <a:off x="0" y="0"/>
                            <a:ext cx="2093152" cy="1488437"/>
                          </a:xfrm>
                          <a:prstGeom prst="rect">
                            <a:avLst/>
                          </a:prstGeom>
                        </pic:spPr>
                      </pic:pic>
                    </a:graphicData>
                  </a:graphic>
                </wp:inline>
              </w:drawing>
            </w:r>
          </w:p>
        </w:tc>
      </w:tr>
      <w:tr w:rsidR="00B420F1" w14:paraId="55E45123" w14:textId="77777777">
        <w:trPr>
          <w:trHeight w:val="2398"/>
          <w:jc w:val="center"/>
        </w:trPr>
        <w:tc>
          <w:tcPr>
            <w:tcW w:w="703" w:type="dxa"/>
            <w:vAlign w:val="center"/>
          </w:tcPr>
          <w:p w14:paraId="2E0D975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4</w:t>
            </w:r>
            <w:r>
              <w:rPr>
                <w:rFonts w:ascii="宋体" w:eastAsia="宋体" w:hAnsi="宋体"/>
                <w:color w:val="000000" w:themeColor="text1"/>
              </w:rPr>
              <w:t>9</w:t>
            </w:r>
          </w:p>
        </w:tc>
        <w:tc>
          <w:tcPr>
            <w:tcW w:w="1275" w:type="dxa"/>
            <w:vAlign w:val="center"/>
          </w:tcPr>
          <w:p w14:paraId="5A73136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0BBB745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LHSM-049</w:t>
            </w:r>
          </w:p>
        </w:tc>
        <w:tc>
          <w:tcPr>
            <w:tcW w:w="1419" w:type="dxa"/>
            <w:vAlign w:val="center"/>
          </w:tcPr>
          <w:p w14:paraId="316AEA00"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D9FC4E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2552005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0250106A" wp14:editId="54926F80">
                  <wp:extent cx="2104390" cy="1390650"/>
                  <wp:effectExtent l="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65" cstate="screen"/>
                          <a:stretch>
                            <a:fillRect/>
                          </a:stretch>
                        </pic:blipFill>
                        <pic:spPr>
                          <a:xfrm>
                            <a:off x="0" y="0"/>
                            <a:ext cx="2115193" cy="1397766"/>
                          </a:xfrm>
                          <a:prstGeom prst="rect">
                            <a:avLst/>
                          </a:prstGeom>
                        </pic:spPr>
                      </pic:pic>
                    </a:graphicData>
                  </a:graphic>
                </wp:inline>
              </w:drawing>
            </w:r>
          </w:p>
        </w:tc>
      </w:tr>
      <w:tr w:rsidR="00B420F1" w14:paraId="7576EB2E" w14:textId="77777777">
        <w:trPr>
          <w:trHeight w:val="2687"/>
          <w:jc w:val="center"/>
        </w:trPr>
        <w:tc>
          <w:tcPr>
            <w:tcW w:w="703" w:type="dxa"/>
            <w:vAlign w:val="center"/>
          </w:tcPr>
          <w:p w14:paraId="3309A0C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0</w:t>
            </w:r>
          </w:p>
        </w:tc>
        <w:tc>
          <w:tcPr>
            <w:tcW w:w="1275" w:type="dxa"/>
            <w:vAlign w:val="center"/>
          </w:tcPr>
          <w:p w14:paraId="1368DB5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38B265A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LHSM-050</w:t>
            </w:r>
          </w:p>
        </w:tc>
        <w:tc>
          <w:tcPr>
            <w:tcW w:w="1419" w:type="dxa"/>
            <w:vAlign w:val="center"/>
          </w:tcPr>
          <w:p w14:paraId="2EF380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EA7DC93"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8C5C082"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10CC55CD" wp14:editId="0A044ADB">
                  <wp:extent cx="2075815" cy="1495425"/>
                  <wp:effectExtent l="0" t="0" r="635"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66" cstate="screen"/>
                          <a:stretch>
                            <a:fillRect/>
                          </a:stretch>
                        </pic:blipFill>
                        <pic:spPr>
                          <a:xfrm>
                            <a:off x="0" y="0"/>
                            <a:ext cx="2093781" cy="1508053"/>
                          </a:xfrm>
                          <a:prstGeom prst="rect">
                            <a:avLst/>
                          </a:prstGeom>
                        </pic:spPr>
                      </pic:pic>
                    </a:graphicData>
                  </a:graphic>
                </wp:inline>
              </w:drawing>
            </w:r>
          </w:p>
        </w:tc>
      </w:tr>
    </w:tbl>
    <w:p w14:paraId="6E292723" w14:textId="77777777" w:rsidR="00B420F1" w:rsidRDefault="00B420F1">
      <w:pPr>
        <w:ind w:firstLineChars="0" w:firstLine="0"/>
        <w:jc w:val="both"/>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3A3F9631" w14:textId="77777777">
        <w:trPr>
          <w:jc w:val="center"/>
        </w:trPr>
        <w:tc>
          <w:tcPr>
            <w:tcW w:w="703" w:type="dxa"/>
            <w:vAlign w:val="center"/>
          </w:tcPr>
          <w:p w14:paraId="3BCF6B6B"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1F58AB8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27B95B12"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0CE79324"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2B047823"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6581A90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40A6D9F2" w14:textId="77777777">
        <w:trPr>
          <w:trHeight w:val="2468"/>
          <w:jc w:val="center"/>
        </w:trPr>
        <w:tc>
          <w:tcPr>
            <w:tcW w:w="703" w:type="dxa"/>
            <w:vAlign w:val="center"/>
          </w:tcPr>
          <w:p w14:paraId="3471A54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1</w:t>
            </w:r>
          </w:p>
        </w:tc>
        <w:tc>
          <w:tcPr>
            <w:tcW w:w="1275" w:type="dxa"/>
            <w:vAlign w:val="center"/>
          </w:tcPr>
          <w:p w14:paraId="06DF4A1A"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3F2A73BA"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LHSM-051</w:t>
            </w:r>
          </w:p>
        </w:tc>
        <w:tc>
          <w:tcPr>
            <w:tcW w:w="1419" w:type="dxa"/>
            <w:vAlign w:val="center"/>
          </w:tcPr>
          <w:p w14:paraId="5AA68DD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429B96A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5EFEEBE"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1B85B92" wp14:editId="789DC9BA">
                  <wp:extent cx="2075815" cy="1419225"/>
                  <wp:effectExtent l="0" t="0" r="635"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67" cstate="screen"/>
                          <a:stretch>
                            <a:fillRect/>
                          </a:stretch>
                        </pic:blipFill>
                        <pic:spPr>
                          <a:xfrm>
                            <a:off x="0" y="0"/>
                            <a:ext cx="2088737" cy="1427946"/>
                          </a:xfrm>
                          <a:prstGeom prst="rect">
                            <a:avLst/>
                          </a:prstGeom>
                        </pic:spPr>
                      </pic:pic>
                    </a:graphicData>
                  </a:graphic>
                </wp:inline>
              </w:drawing>
            </w:r>
          </w:p>
        </w:tc>
      </w:tr>
      <w:tr w:rsidR="00B420F1" w14:paraId="4D10DD00" w14:textId="77777777">
        <w:trPr>
          <w:trHeight w:val="2412"/>
          <w:jc w:val="center"/>
        </w:trPr>
        <w:tc>
          <w:tcPr>
            <w:tcW w:w="703" w:type="dxa"/>
            <w:vAlign w:val="center"/>
          </w:tcPr>
          <w:p w14:paraId="5C03FA7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2</w:t>
            </w:r>
          </w:p>
        </w:tc>
        <w:tc>
          <w:tcPr>
            <w:tcW w:w="1275" w:type="dxa"/>
            <w:vAlign w:val="center"/>
          </w:tcPr>
          <w:p w14:paraId="1FACBA78"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407A3E26"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LHSM-052</w:t>
            </w:r>
          </w:p>
        </w:tc>
        <w:tc>
          <w:tcPr>
            <w:tcW w:w="1419" w:type="dxa"/>
            <w:vAlign w:val="center"/>
          </w:tcPr>
          <w:p w14:paraId="2CAF064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518FCC45"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49C590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850CEAB" wp14:editId="2F1557C1">
                  <wp:extent cx="2075180" cy="1419225"/>
                  <wp:effectExtent l="0" t="0" r="127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68" cstate="screen"/>
                          <a:stretch>
                            <a:fillRect/>
                          </a:stretch>
                        </pic:blipFill>
                        <pic:spPr>
                          <a:xfrm>
                            <a:off x="0" y="0"/>
                            <a:ext cx="2093625" cy="1431745"/>
                          </a:xfrm>
                          <a:prstGeom prst="rect">
                            <a:avLst/>
                          </a:prstGeom>
                        </pic:spPr>
                      </pic:pic>
                    </a:graphicData>
                  </a:graphic>
                </wp:inline>
              </w:drawing>
            </w:r>
          </w:p>
        </w:tc>
      </w:tr>
      <w:tr w:rsidR="00B420F1" w14:paraId="04AC4D95" w14:textId="77777777">
        <w:trPr>
          <w:trHeight w:val="2545"/>
          <w:jc w:val="center"/>
        </w:trPr>
        <w:tc>
          <w:tcPr>
            <w:tcW w:w="703" w:type="dxa"/>
            <w:vAlign w:val="center"/>
          </w:tcPr>
          <w:p w14:paraId="1AFB395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lastRenderedPageBreak/>
              <w:t>5</w:t>
            </w:r>
            <w:r>
              <w:rPr>
                <w:rFonts w:ascii="宋体" w:eastAsia="宋体" w:hAnsi="宋体"/>
                <w:color w:val="000000" w:themeColor="text1"/>
              </w:rPr>
              <w:t>3</w:t>
            </w:r>
          </w:p>
        </w:tc>
        <w:tc>
          <w:tcPr>
            <w:tcW w:w="1275" w:type="dxa"/>
            <w:vAlign w:val="center"/>
          </w:tcPr>
          <w:p w14:paraId="32D2BCFB"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59A8B9E1"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LHSM-053</w:t>
            </w:r>
          </w:p>
        </w:tc>
        <w:tc>
          <w:tcPr>
            <w:tcW w:w="1419" w:type="dxa"/>
            <w:vAlign w:val="center"/>
          </w:tcPr>
          <w:p w14:paraId="38EFDEA1"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653CA3E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626981FA"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60D45496" wp14:editId="4CBDF7A7">
                  <wp:extent cx="2104390" cy="1419225"/>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69" cstate="screen"/>
                          <a:stretch>
                            <a:fillRect/>
                          </a:stretch>
                        </pic:blipFill>
                        <pic:spPr>
                          <a:xfrm>
                            <a:off x="0" y="0"/>
                            <a:ext cx="2137458" cy="1441092"/>
                          </a:xfrm>
                          <a:prstGeom prst="rect">
                            <a:avLst/>
                          </a:prstGeom>
                        </pic:spPr>
                      </pic:pic>
                    </a:graphicData>
                  </a:graphic>
                </wp:inline>
              </w:drawing>
            </w:r>
          </w:p>
        </w:tc>
      </w:tr>
      <w:tr w:rsidR="00B420F1" w14:paraId="209BDECF" w14:textId="77777777">
        <w:trPr>
          <w:trHeight w:val="2398"/>
          <w:jc w:val="center"/>
        </w:trPr>
        <w:tc>
          <w:tcPr>
            <w:tcW w:w="703" w:type="dxa"/>
            <w:vAlign w:val="center"/>
          </w:tcPr>
          <w:p w14:paraId="612906F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4</w:t>
            </w:r>
          </w:p>
        </w:tc>
        <w:tc>
          <w:tcPr>
            <w:tcW w:w="1275" w:type="dxa"/>
            <w:vAlign w:val="center"/>
          </w:tcPr>
          <w:p w14:paraId="7DFD60FC"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7C7E9E47"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LHSM-054</w:t>
            </w:r>
          </w:p>
        </w:tc>
        <w:tc>
          <w:tcPr>
            <w:tcW w:w="1419" w:type="dxa"/>
            <w:vAlign w:val="center"/>
          </w:tcPr>
          <w:p w14:paraId="208AF80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E596C6D"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17A14334"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ED2907E" wp14:editId="5EFE0EE8">
                  <wp:extent cx="2085340" cy="1400175"/>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70" cstate="screen"/>
                          <a:stretch>
                            <a:fillRect/>
                          </a:stretch>
                        </pic:blipFill>
                        <pic:spPr>
                          <a:xfrm>
                            <a:off x="0" y="0"/>
                            <a:ext cx="2106844" cy="1414446"/>
                          </a:xfrm>
                          <a:prstGeom prst="rect">
                            <a:avLst/>
                          </a:prstGeom>
                        </pic:spPr>
                      </pic:pic>
                    </a:graphicData>
                  </a:graphic>
                </wp:inline>
              </w:drawing>
            </w:r>
          </w:p>
        </w:tc>
      </w:tr>
      <w:tr w:rsidR="00B420F1" w14:paraId="4C47CC6D" w14:textId="77777777">
        <w:trPr>
          <w:trHeight w:val="2254"/>
          <w:jc w:val="center"/>
        </w:trPr>
        <w:tc>
          <w:tcPr>
            <w:tcW w:w="703" w:type="dxa"/>
            <w:vAlign w:val="center"/>
          </w:tcPr>
          <w:p w14:paraId="16BF788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5</w:t>
            </w:r>
          </w:p>
        </w:tc>
        <w:tc>
          <w:tcPr>
            <w:tcW w:w="1275" w:type="dxa"/>
            <w:vAlign w:val="center"/>
          </w:tcPr>
          <w:p w14:paraId="4A7F97E7"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麻楝</w:t>
            </w:r>
          </w:p>
        </w:tc>
        <w:tc>
          <w:tcPr>
            <w:tcW w:w="1134" w:type="dxa"/>
            <w:vAlign w:val="center"/>
          </w:tcPr>
          <w:p w14:paraId="1BF34FFD" w14:textId="77777777" w:rsidR="00B420F1" w:rsidRDefault="00917C7B">
            <w:pPr>
              <w:ind w:firstLineChars="0" w:firstLine="0"/>
              <w:rPr>
                <w:rFonts w:ascii="宋体" w:eastAsia="宋体" w:hAnsi="宋体" w:hint="eastAsia"/>
                <w:color w:val="000000" w:themeColor="text1"/>
              </w:rPr>
            </w:pPr>
            <w:r>
              <w:rPr>
                <w:rFonts w:ascii="宋体" w:eastAsia="宋体" w:hAnsi="宋体"/>
                <w:color w:val="000000" w:themeColor="text1"/>
              </w:rPr>
              <w:t>LHSM-055</w:t>
            </w:r>
          </w:p>
        </w:tc>
        <w:tc>
          <w:tcPr>
            <w:tcW w:w="1419" w:type="dxa"/>
            <w:vAlign w:val="center"/>
          </w:tcPr>
          <w:p w14:paraId="605052E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2</w:t>
            </w:r>
            <w:r>
              <w:rPr>
                <w:rFonts w:ascii="宋体" w:eastAsia="宋体" w:hAnsi="宋体"/>
                <w:color w:val="000000" w:themeColor="text1"/>
              </w:rPr>
              <w:t>021</w:t>
            </w:r>
            <w:r>
              <w:rPr>
                <w:rFonts w:ascii="宋体" w:eastAsia="宋体" w:hAnsi="宋体" w:hint="eastAsia"/>
                <w:color w:val="000000" w:themeColor="text1"/>
              </w:rPr>
              <w:t>年5月</w:t>
            </w:r>
          </w:p>
        </w:tc>
        <w:tc>
          <w:tcPr>
            <w:tcW w:w="2124" w:type="dxa"/>
            <w:vAlign w:val="center"/>
          </w:tcPr>
          <w:p w14:paraId="048A733E"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越秀会议中心卸货平台对面</w:t>
            </w:r>
          </w:p>
        </w:tc>
        <w:tc>
          <w:tcPr>
            <w:tcW w:w="3546" w:type="dxa"/>
            <w:vAlign w:val="center"/>
          </w:tcPr>
          <w:p w14:paraId="4E73D1E3"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538ED204" wp14:editId="291BC756">
                  <wp:extent cx="2056765" cy="1219200"/>
                  <wp:effectExtent l="0" t="0" r="63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71" cstate="screen"/>
                          <a:stretch>
                            <a:fillRect/>
                          </a:stretch>
                        </pic:blipFill>
                        <pic:spPr>
                          <a:xfrm>
                            <a:off x="0" y="0"/>
                            <a:ext cx="2070031" cy="1227064"/>
                          </a:xfrm>
                          <a:prstGeom prst="rect">
                            <a:avLst/>
                          </a:prstGeom>
                        </pic:spPr>
                      </pic:pic>
                    </a:graphicData>
                  </a:graphic>
                </wp:inline>
              </w:drawing>
            </w:r>
          </w:p>
        </w:tc>
      </w:tr>
    </w:tbl>
    <w:p w14:paraId="797A5F11" w14:textId="77777777" w:rsidR="00B420F1" w:rsidRDefault="00B420F1">
      <w:pPr>
        <w:ind w:firstLineChars="0" w:firstLine="0"/>
        <w:jc w:val="both"/>
        <w:rPr>
          <w:rFonts w:ascii="宋体" w:eastAsia="宋体" w:hAnsi="宋体" w:hint="eastAsia"/>
          <w:color w:val="000000" w:themeColor="text1"/>
        </w:rPr>
      </w:pPr>
    </w:p>
    <w:tbl>
      <w:tblPr>
        <w:tblStyle w:val="a7"/>
        <w:tblW w:w="10201" w:type="dxa"/>
        <w:jc w:val="center"/>
        <w:tblLook w:val="04A0" w:firstRow="1" w:lastRow="0" w:firstColumn="1" w:lastColumn="0" w:noHBand="0" w:noVBand="1"/>
      </w:tblPr>
      <w:tblGrid>
        <w:gridCol w:w="703"/>
        <w:gridCol w:w="1275"/>
        <w:gridCol w:w="1134"/>
        <w:gridCol w:w="1419"/>
        <w:gridCol w:w="2124"/>
        <w:gridCol w:w="3546"/>
      </w:tblGrid>
      <w:tr w:rsidR="00B420F1" w14:paraId="084AE786" w14:textId="77777777">
        <w:trPr>
          <w:jc w:val="center"/>
        </w:trPr>
        <w:tc>
          <w:tcPr>
            <w:tcW w:w="703" w:type="dxa"/>
            <w:vAlign w:val="center"/>
          </w:tcPr>
          <w:p w14:paraId="669DF779"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序号</w:t>
            </w:r>
          </w:p>
        </w:tc>
        <w:tc>
          <w:tcPr>
            <w:tcW w:w="1275" w:type="dxa"/>
            <w:vAlign w:val="center"/>
          </w:tcPr>
          <w:p w14:paraId="552BD72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树木名称</w:t>
            </w:r>
          </w:p>
        </w:tc>
        <w:tc>
          <w:tcPr>
            <w:tcW w:w="1134" w:type="dxa"/>
            <w:vAlign w:val="center"/>
          </w:tcPr>
          <w:p w14:paraId="0DEA49EA"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树木编号</w:t>
            </w:r>
          </w:p>
        </w:tc>
        <w:tc>
          <w:tcPr>
            <w:tcW w:w="1419" w:type="dxa"/>
            <w:vAlign w:val="center"/>
          </w:tcPr>
          <w:p w14:paraId="70225FCF"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栽种日期</w:t>
            </w:r>
          </w:p>
        </w:tc>
        <w:tc>
          <w:tcPr>
            <w:tcW w:w="2124" w:type="dxa"/>
            <w:vAlign w:val="center"/>
          </w:tcPr>
          <w:p w14:paraId="71C2852D"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栽种位置</w:t>
            </w:r>
          </w:p>
        </w:tc>
        <w:tc>
          <w:tcPr>
            <w:tcW w:w="3546" w:type="dxa"/>
            <w:vAlign w:val="center"/>
          </w:tcPr>
          <w:p w14:paraId="4E7C0EA6" w14:textId="77777777" w:rsidR="00B420F1" w:rsidRDefault="00917C7B">
            <w:pPr>
              <w:ind w:firstLineChars="0" w:firstLine="0"/>
              <w:jc w:val="center"/>
              <w:rPr>
                <w:rFonts w:ascii="宋体" w:eastAsia="宋体" w:hAnsi="宋体" w:hint="eastAsia"/>
                <w:b/>
                <w:bCs/>
                <w:color w:val="000000" w:themeColor="text1"/>
              </w:rPr>
            </w:pPr>
            <w:r>
              <w:rPr>
                <w:rFonts w:ascii="宋体" w:eastAsia="宋体" w:hAnsi="宋体" w:hint="eastAsia"/>
                <w:b/>
                <w:bCs/>
                <w:color w:val="000000" w:themeColor="text1"/>
              </w:rPr>
              <w:t>树木照片</w:t>
            </w:r>
          </w:p>
        </w:tc>
      </w:tr>
      <w:tr w:rsidR="00B420F1" w14:paraId="18E96B74" w14:textId="77777777">
        <w:trPr>
          <w:trHeight w:val="2468"/>
          <w:jc w:val="center"/>
        </w:trPr>
        <w:tc>
          <w:tcPr>
            <w:tcW w:w="703" w:type="dxa"/>
            <w:vAlign w:val="center"/>
          </w:tcPr>
          <w:p w14:paraId="3CA0C4C4"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5</w:t>
            </w:r>
            <w:r>
              <w:rPr>
                <w:rFonts w:ascii="宋体" w:eastAsia="宋体" w:hAnsi="宋体"/>
                <w:color w:val="000000" w:themeColor="text1"/>
              </w:rPr>
              <w:t>6</w:t>
            </w:r>
          </w:p>
        </w:tc>
        <w:tc>
          <w:tcPr>
            <w:tcW w:w="1275" w:type="dxa"/>
            <w:vAlign w:val="center"/>
          </w:tcPr>
          <w:p w14:paraId="7EA958CF"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绿黄葛树</w:t>
            </w:r>
          </w:p>
        </w:tc>
        <w:tc>
          <w:tcPr>
            <w:tcW w:w="1134" w:type="dxa"/>
            <w:vAlign w:val="center"/>
          </w:tcPr>
          <w:p w14:paraId="41C0F396"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w:t>
            </w:r>
          </w:p>
        </w:tc>
        <w:tc>
          <w:tcPr>
            <w:tcW w:w="1419" w:type="dxa"/>
            <w:vAlign w:val="center"/>
          </w:tcPr>
          <w:p w14:paraId="224D9B09"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w:t>
            </w:r>
          </w:p>
        </w:tc>
        <w:tc>
          <w:tcPr>
            <w:tcW w:w="2124" w:type="dxa"/>
            <w:vAlign w:val="center"/>
          </w:tcPr>
          <w:p w14:paraId="16415E12" w14:textId="77777777" w:rsidR="00B420F1" w:rsidRDefault="00917C7B">
            <w:pPr>
              <w:ind w:firstLineChars="0" w:firstLine="0"/>
              <w:rPr>
                <w:rFonts w:ascii="宋体" w:eastAsia="宋体" w:hAnsi="宋体" w:hint="eastAsia"/>
                <w:color w:val="000000" w:themeColor="text1"/>
              </w:rPr>
            </w:pPr>
            <w:r>
              <w:rPr>
                <w:rFonts w:ascii="宋体" w:eastAsia="宋体" w:hAnsi="宋体" w:hint="eastAsia"/>
                <w:color w:val="000000" w:themeColor="text1"/>
              </w:rPr>
              <w:t>流花古桥上</w:t>
            </w:r>
          </w:p>
        </w:tc>
        <w:tc>
          <w:tcPr>
            <w:tcW w:w="3546" w:type="dxa"/>
            <w:vAlign w:val="center"/>
          </w:tcPr>
          <w:p w14:paraId="64C29C0C" w14:textId="77777777" w:rsidR="00B420F1" w:rsidRDefault="00917C7B">
            <w:pPr>
              <w:ind w:firstLineChars="0" w:firstLine="0"/>
              <w:rPr>
                <w:rFonts w:ascii="宋体" w:eastAsia="宋体" w:hAnsi="宋体" w:hint="eastAsia"/>
                <w:color w:val="000000" w:themeColor="text1"/>
              </w:rPr>
            </w:pPr>
            <w:r>
              <w:rPr>
                <w:noProof/>
                <w:color w:val="000000" w:themeColor="text1"/>
              </w:rPr>
              <w:drawing>
                <wp:inline distT="0" distB="0" distL="0" distR="0" wp14:anchorId="29BAE697" wp14:editId="022CF91D">
                  <wp:extent cx="1818640" cy="1200150"/>
                  <wp:effectExtent l="152400" t="114300" r="143510" b="17145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72" cstate="screen"/>
                          <a:stretch>
                            <a:fillRect/>
                          </a:stretch>
                        </pic:blipFill>
                        <pic:spPr>
                          <a:xfrm>
                            <a:off x="0" y="0"/>
                            <a:ext cx="1853025" cy="122250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4DCBF49E" w14:textId="77777777" w:rsidR="00B420F1" w:rsidRDefault="00B420F1">
      <w:pPr>
        <w:ind w:firstLineChars="0" w:firstLine="0"/>
        <w:jc w:val="both"/>
        <w:rPr>
          <w:rFonts w:ascii="宋体" w:eastAsia="宋体" w:hAnsi="宋体" w:hint="eastAsia"/>
          <w:color w:val="000000" w:themeColor="text1"/>
        </w:rPr>
      </w:pPr>
    </w:p>
    <w:p w14:paraId="24742313" w14:textId="77777777" w:rsidR="00B420F1" w:rsidRDefault="00917C7B">
      <w:pPr>
        <w:tabs>
          <w:tab w:val="clear" w:pos="1197"/>
        </w:tabs>
        <w:spacing w:line="240" w:lineRule="auto"/>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br w:type="page"/>
      </w:r>
    </w:p>
    <w:p w14:paraId="167242EE" w14:textId="77777777" w:rsidR="00B420F1" w:rsidRDefault="00917C7B">
      <w:pPr>
        <w:ind w:firstLineChars="0" w:firstLine="0"/>
        <w:rPr>
          <w:rFonts w:ascii="宋体" w:eastAsia="宋体" w:hAnsi="宋体" w:hint="eastAsia"/>
          <w:b/>
          <w:color w:val="000000" w:themeColor="text1"/>
          <w:sz w:val="22"/>
          <w:szCs w:val="22"/>
        </w:rPr>
      </w:pPr>
      <w:r>
        <w:rPr>
          <w:rFonts w:ascii="宋体" w:eastAsia="宋体" w:hAnsi="宋体" w:hint="eastAsia"/>
          <w:b/>
          <w:color w:val="000000" w:themeColor="text1"/>
          <w:sz w:val="22"/>
          <w:szCs w:val="22"/>
        </w:rPr>
        <w:lastRenderedPageBreak/>
        <w:t>附件8：合规及廉政协议</w:t>
      </w:r>
    </w:p>
    <w:p w14:paraId="387E72B0" w14:textId="77777777" w:rsidR="00B420F1" w:rsidRDefault="00917C7B">
      <w:pPr>
        <w:tabs>
          <w:tab w:val="left" w:pos="6284"/>
        </w:tabs>
        <w:adjustRightInd w:val="0"/>
        <w:snapToGrid w:val="0"/>
        <w:spacing w:line="240" w:lineRule="auto"/>
        <w:ind w:firstLine="803"/>
        <w:jc w:val="center"/>
        <w:rPr>
          <w:rFonts w:ascii="仿宋" w:eastAsia="仿宋" w:hAnsi="仿宋" w:cs="Arial" w:hint="eastAsia"/>
          <w:b/>
          <w:sz w:val="40"/>
          <w:szCs w:val="40"/>
        </w:rPr>
      </w:pPr>
      <w:r>
        <w:rPr>
          <w:rFonts w:ascii="仿宋" w:eastAsia="仿宋" w:hAnsi="仿宋" w:cs="Arial" w:hint="eastAsia"/>
          <w:b/>
          <w:sz w:val="40"/>
          <w:szCs w:val="40"/>
        </w:rPr>
        <w:t>《合规及廉政协议》</w:t>
      </w:r>
    </w:p>
    <w:p w14:paraId="660295B0"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0C357348"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79944BAC" w14:textId="77777777" w:rsidR="00B420F1" w:rsidRDefault="00917C7B">
      <w:pPr>
        <w:tabs>
          <w:tab w:val="left" w:pos="6284"/>
        </w:tabs>
        <w:adjustRightInd w:val="0"/>
        <w:snapToGrid w:val="0"/>
        <w:spacing w:line="240" w:lineRule="auto"/>
        <w:ind w:firstLine="361"/>
        <w:jc w:val="center"/>
        <w:rPr>
          <w:rFonts w:ascii="仿宋" w:eastAsia="仿宋" w:hAnsi="仿宋" w:cs="MS Mincho" w:hint="eastAsia"/>
          <w:b/>
          <w:bCs/>
          <w:sz w:val="18"/>
          <w:szCs w:val="18"/>
        </w:rPr>
      </w:pPr>
      <w:r>
        <w:rPr>
          <w:rFonts w:ascii="仿宋" w:eastAsia="仿宋" w:hAnsi="仿宋" w:cs="MS Mincho" w:hint="eastAsia"/>
          <w:b/>
          <w:bCs/>
          <w:sz w:val="18"/>
          <w:szCs w:val="18"/>
        </w:rPr>
        <w:t>合同编号：______________________________________</w:t>
      </w:r>
    </w:p>
    <w:p w14:paraId="4928005E"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1EA2EBCB" w14:textId="77777777" w:rsidR="00B420F1" w:rsidRDefault="00B420F1">
      <w:pPr>
        <w:tabs>
          <w:tab w:val="left" w:pos="6284"/>
        </w:tabs>
        <w:adjustRightInd w:val="0"/>
        <w:snapToGrid w:val="0"/>
        <w:spacing w:line="240" w:lineRule="auto"/>
        <w:ind w:firstLine="361"/>
        <w:jc w:val="center"/>
        <w:rPr>
          <w:rFonts w:ascii="仿宋" w:eastAsia="仿宋" w:hAnsi="仿宋" w:cs="MS Mincho" w:hint="eastAsia"/>
          <w:b/>
          <w:bCs/>
          <w:sz w:val="18"/>
          <w:szCs w:val="18"/>
        </w:rPr>
      </w:pPr>
    </w:p>
    <w:p w14:paraId="6B3C95D2"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rPr>
        <w:t>甲方</w:t>
      </w:r>
      <w:r>
        <w:rPr>
          <w:rFonts w:ascii="仿宋" w:eastAsia="仿宋" w:hAnsi="仿宋" w:hint="eastAsia"/>
        </w:rPr>
        <w:t>（</w:t>
      </w:r>
      <w:r>
        <w:rPr>
          <w:rFonts w:ascii="仿宋" w:eastAsia="仿宋" w:hAnsi="仿宋" w:cs="宋体" w:hint="eastAsia"/>
        </w:rPr>
        <w:t>采购方）</w:t>
      </w:r>
      <w:r>
        <w:rPr>
          <w:rFonts w:ascii="仿宋" w:eastAsia="仿宋" w:hAnsi="仿宋"/>
        </w:rPr>
        <w:t>：</w:t>
      </w:r>
      <w:r>
        <w:rPr>
          <w:rFonts w:ascii="仿宋" w:eastAsia="仿宋" w:hAnsi="仿宋" w:cs="Tahoma"/>
          <w:color w:val="181C25"/>
          <w:shd w:val="clear" w:color="auto" w:fill="FFFFFF"/>
        </w:rPr>
        <w:t>广州城投智奥发展有限公司</w:t>
      </w:r>
    </w:p>
    <w:p w14:paraId="0E4C99A5"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统一社会信用代码：</w:t>
      </w:r>
    </w:p>
    <w:p w14:paraId="2BAF0843"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联系人：               联系电话：</w:t>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hint="eastAsia"/>
          <w:color w:val="181C25"/>
          <w:shd w:val="clear" w:color="auto" w:fill="FFFFFF"/>
        </w:rPr>
        <w:t>联系邮箱：</w:t>
      </w:r>
    </w:p>
    <w:p w14:paraId="74DCCA74" w14:textId="77777777" w:rsidR="00B420F1" w:rsidRDefault="00B420F1">
      <w:pPr>
        <w:pStyle w:val="10"/>
        <w:spacing w:line="400" w:lineRule="exact"/>
        <w:ind w:firstLine="420"/>
        <w:rPr>
          <w:rFonts w:ascii="仿宋" w:eastAsia="仿宋" w:hAnsi="仿宋" w:hint="eastAsia"/>
        </w:rPr>
      </w:pPr>
    </w:p>
    <w:p w14:paraId="554FB55B" w14:textId="77777777" w:rsidR="00B420F1" w:rsidRDefault="00917C7B">
      <w:pPr>
        <w:pStyle w:val="10"/>
        <w:spacing w:line="400" w:lineRule="exact"/>
        <w:ind w:firstLine="420"/>
        <w:rPr>
          <w:rFonts w:ascii="仿宋" w:eastAsia="仿宋" w:hAnsi="仿宋" w:cs="Arial" w:hint="eastAsia"/>
        </w:rPr>
      </w:pPr>
      <w:r>
        <w:rPr>
          <w:rFonts w:ascii="仿宋" w:eastAsia="仿宋" w:hAnsi="仿宋" w:cs="Arial"/>
        </w:rPr>
        <w:t>乙方</w:t>
      </w:r>
      <w:r>
        <w:rPr>
          <w:rFonts w:ascii="仿宋" w:eastAsia="仿宋" w:hAnsi="仿宋" w:cs="Arial" w:hint="eastAsia"/>
        </w:rPr>
        <w:t>（供应方）</w:t>
      </w:r>
      <w:r>
        <w:rPr>
          <w:rFonts w:ascii="仿宋" w:eastAsia="仿宋" w:hAnsi="仿宋" w:cs="Arial"/>
        </w:rPr>
        <w:t xml:space="preserve">： </w:t>
      </w:r>
    </w:p>
    <w:p w14:paraId="6DED4F94" w14:textId="77777777" w:rsidR="00B420F1" w:rsidRDefault="00917C7B">
      <w:pPr>
        <w:pStyle w:val="10"/>
        <w:spacing w:line="400" w:lineRule="exact"/>
        <w:ind w:firstLine="420"/>
        <w:rPr>
          <w:rFonts w:ascii="仿宋" w:eastAsia="仿宋" w:hAnsi="仿宋" w:cs="Tahoma" w:hint="eastAsia"/>
          <w:color w:val="181C25"/>
          <w:shd w:val="clear" w:color="auto" w:fill="FFFFFF"/>
        </w:rPr>
      </w:pPr>
      <w:r>
        <w:rPr>
          <w:rFonts w:ascii="仿宋" w:eastAsia="仿宋" w:hAnsi="仿宋" w:cs="Tahoma" w:hint="eastAsia"/>
          <w:color w:val="181C25"/>
          <w:shd w:val="clear" w:color="auto" w:fill="FFFFFF"/>
        </w:rPr>
        <w:t>统一社会信用代码：</w:t>
      </w:r>
    </w:p>
    <w:p w14:paraId="4412D3B5" w14:textId="77777777" w:rsidR="00B420F1" w:rsidRDefault="00917C7B">
      <w:pPr>
        <w:pStyle w:val="10"/>
        <w:spacing w:line="400" w:lineRule="exact"/>
        <w:ind w:firstLine="420"/>
        <w:rPr>
          <w:rFonts w:ascii="仿宋" w:eastAsia="仿宋" w:hAnsi="仿宋" w:hint="eastAsia"/>
        </w:rPr>
      </w:pPr>
      <w:r>
        <w:rPr>
          <w:rFonts w:ascii="仿宋" w:eastAsia="仿宋" w:hAnsi="仿宋" w:cs="Tahoma" w:hint="eastAsia"/>
          <w:color w:val="181C25"/>
          <w:shd w:val="clear" w:color="auto" w:fill="FFFFFF"/>
        </w:rPr>
        <w:t>联系人：               联系电话：</w:t>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color w:val="181C25"/>
          <w:shd w:val="clear" w:color="auto" w:fill="FFFFFF"/>
        </w:rPr>
        <w:tab/>
      </w:r>
      <w:r>
        <w:rPr>
          <w:rFonts w:ascii="仿宋" w:eastAsia="仿宋" w:hAnsi="仿宋" w:cs="Tahoma" w:hint="eastAsia"/>
          <w:color w:val="181C25"/>
          <w:shd w:val="clear" w:color="auto" w:fill="FFFFFF"/>
        </w:rPr>
        <w:t>联系邮箱：</w:t>
      </w:r>
    </w:p>
    <w:p w14:paraId="215092CF" w14:textId="77777777" w:rsidR="00B420F1" w:rsidRDefault="00B420F1">
      <w:pPr>
        <w:tabs>
          <w:tab w:val="left" w:pos="1440"/>
          <w:tab w:val="left" w:pos="2160"/>
        </w:tabs>
        <w:spacing w:line="240" w:lineRule="auto"/>
        <w:ind w:firstLine="420"/>
        <w:rPr>
          <w:rFonts w:ascii="仿宋" w:eastAsia="仿宋" w:hAnsi="仿宋" w:cs="Arial" w:hint="eastAsia"/>
        </w:rPr>
      </w:pPr>
    </w:p>
    <w:p w14:paraId="2B1CD0B0" w14:textId="77777777" w:rsidR="00B420F1" w:rsidRDefault="00917C7B">
      <w:pPr>
        <w:tabs>
          <w:tab w:val="left" w:pos="1440"/>
          <w:tab w:val="left" w:pos="2160"/>
        </w:tabs>
        <w:adjustRightInd w:val="0"/>
        <w:snapToGrid w:val="0"/>
        <w:spacing w:line="400" w:lineRule="exact"/>
        <w:ind w:firstLine="420"/>
        <w:rPr>
          <w:rFonts w:ascii="仿宋" w:eastAsia="仿宋" w:hAnsi="仿宋" w:cs="Arial" w:hint="eastAsia"/>
        </w:rPr>
      </w:pPr>
      <w:r>
        <w:rPr>
          <w:rFonts w:ascii="仿宋" w:eastAsia="仿宋" w:hAnsi="仿宋" w:cs="Arial" w:hint="eastAsia"/>
        </w:rPr>
        <w:t>为保障采购方与供应方之间框架采购合同（合同编号：__________，以下</w:t>
      </w:r>
      <w:proofErr w:type="gramStart"/>
      <w:r>
        <w:rPr>
          <w:rFonts w:ascii="仿宋" w:eastAsia="仿宋" w:hAnsi="仿宋" w:cs="Arial" w:hint="eastAsia"/>
        </w:rPr>
        <w:t>简称 “</w:t>
      </w:r>
      <w:proofErr w:type="gramEnd"/>
      <w:r>
        <w:rPr>
          <w:rFonts w:ascii="仿宋" w:eastAsia="仿宋" w:hAnsi="仿宋" w:cs="Arial" w:hint="eastAsia"/>
        </w:rPr>
        <w:t>主合同”）的合法合规履行，维护双方合作的公平、公正、廉洁性，防范商业风险与利益冲突，乙方自愿作出如下不可撤销的合规及廉洁承诺，作为主合同以及甲方与乙方已经签署或将来签署的所有合同、订单及补充协议（统称“主合同”）的有效附件，与主合同具有同等法律效力：</w:t>
      </w:r>
    </w:p>
    <w:p w14:paraId="0B7EC057" w14:textId="77777777" w:rsidR="00B420F1" w:rsidRDefault="00B420F1">
      <w:pPr>
        <w:tabs>
          <w:tab w:val="left" w:pos="1440"/>
          <w:tab w:val="left" w:pos="2160"/>
        </w:tabs>
        <w:adjustRightInd w:val="0"/>
        <w:snapToGrid w:val="0"/>
        <w:spacing w:line="400" w:lineRule="exact"/>
        <w:ind w:firstLine="420"/>
        <w:rPr>
          <w:rFonts w:ascii="仿宋" w:eastAsia="仿宋" w:hAnsi="仿宋" w:cs="Arial" w:hint="eastAsia"/>
        </w:rPr>
      </w:pPr>
    </w:p>
    <w:p w14:paraId="18A57943"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合规经营承诺</w:t>
      </w:r>
    </w:p>
    <w:p w14:paraId="1F29C6E6" w14:textId="77777777" w:rsidR="00B420F1" w:rsidRDefault="00B420F1">
      <w:pPr>
        <w:adjustRightInd w:val="0"/>
        <w:snapToGrid w:val="0"/>
        <w:spacing w:line="400" w:lineRule="exact"/>
        <w:ind w:firstLine="422"/>
        <w:rPr>
          <w:rFonts w:ascii="仿宋" w:eastAsia="仿宋" w:hAnsi="仿宋" w:cs="宋体" w:hint="eastAsia"/>
          <w:b/>
        </w:rPr>
      </w:pPr>
    </w:p>
    <w:p w14:paraId="20C02AF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rPr>
      </w:pPr>
      <w:r>
        <w:rPr>
          <w:rFonts w:ascii="仿宋" w:eastAsia="仿宋" w:hAnsi="仿宋" w:cs="Arial" w:hint="eastAsia"/>
          <w:lang w:eastAsia="zh-CN"/>
        </w:rPr>
        <w:t xml:space="preserve"> 乙方保证自身具备履行主合同所需的全部合法资质（包括但不限于营业执照、行业许可、生产经营资质等），且资质文件真实、有效、无过期，不存在被吊销、注销或暂停的情形。</w:t>
      </w:r>
    </w:p>
    <w:p w14:paraId="073C1AAC" w14:textId="77777777" w:rsidR="00B420F1" w:rsidRDefault="00B420F1">
      <w:pPr>
        <w:pStyle w:val="1-21"/>
        <w:adjustRightInd w:val="0"/>
        <w:snapToGrid w:val="0"/>
        <w:spacing w:after="0" w:line="400" w:lineRule="exact"/>
        <w:ind w:left="0" w:firstLine="420"/>
        <w:rPr>
          <w:rFonts w:ascii="仿宋" w:eastAsia="仿宋" w:hAnsi="仿宋" w:cs="宋体" w:hint="eastAsia"/>
          <w:lang w:eastAsia="zh-CN"/>
        </w:rPr>
      </w:pPr>
    </w:p>
    <w:p w14:paraId="27D7F806"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rPr>
      </w:pPr>
      <w:r>
        <w:rPr>
          <w:rFonts w:ascii="仿宋" w:eastAsia="仿宋" w:hAnsi="仿宋" w:cs="Arial" w:hint="eastAsia"/>
          <w:lang w:eastAsia="zh-CN"/>
        </w:rPr>
        <w:t xml:space="preserve"> 乙方承诺严格遵守中华人民共和国《民法典》《反不正当竞争法》《反垄断法》《知识产权法》《环境保护法》《安全生产法》等相关法律法规及行业监管规定，依法开展生产经营活动，不得从事任何违法违规的商业行为。</w:t>
      </w:r>
    </w:p>
    <w:p w14:paraId="2352D938" w14:textId="77777777" w:rsidR="00B420F1" w:rsidRDefault="00B420F1">
      <w:pPr>
        <w:pStyle w:val="1-21"/>
        <w:adjustRightInd w:val="0"/>
        <w:snapToGrid w:val="0"/>
        <w:spacing w:after="0" w:line="400" w:lineRule="exact"/>
        <w:ind w:left="0" w:firstLine="420"/>
        <w:rPr>
          <w:rFonts w:ascii="仿宋" w:eastAsia="仿宋" w:hAnsi="仿宋" w:cs="宋体" w:hint="eastAsia"/>
          <w:lang w:eastAsia="zh-CN"/>
        </w:rPr>
      </w:pPr>
    </w:p>
    <w:p w14:paraId="3C64076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乙方保证提供给甲方的产品 / 服务符合国家、行业质量标准、安全标准及环保标准，不存在质量瑕疵、安全隐患或违反环保要求的情形，相关检测报告、合格证明文件真实有效。</w:t>
      </w:r>
    </w:p>
    <w:p w14:paraId="647D780C"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C735EF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双方承诺在商业活动中遵循公平竞争原则，不实施任何形式的串通投标、围标、价格操纵或其他破坏市场秩序的行为。</w:t>
      </w:r>
    </w:p>
    <w:p w14:paraId="310E23AF" w14:textId="77777777" w:rsidR="00B420F1" w:rsidRDefault="00B420F1">
      <w:pPr>
        <w:pStyle w:val="a8"/>
        <w:adjustRightInd w:val="0"/>
        <w:snapToGrid w:val="0"/>
        <w:spacing w:line="400" w:lineRule="exact"/>
        <w:rPr>
          <w:rFonts w:ascii="仿宋" w:eastAsia="仿宋" w:hAnsi="仿宋" w:cs="Arial" w:hint="eastAsia"/>
        </w:rPr>
      </w:pPr>
    </w:p>
    <w:p w14:paraId="067BCC24"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lastRenderedPageBreak/>
        <w:t>廉洁从业承诺</w:t>
      </w:r>
    </w:p>
    <w:p w14:paraId="56533334" w14:textId="77777777" w:rsidR="00B420F1" w:rsidRDefault="00B420F1">
      <w:pPr>
        <w:adjustRightInd w:val="0"/>
        <w:snapToGrid w:val="0"/>
        <w:spacing w:line="400" w:lineRule="exact"/>
        <w:ind w:firstLine="422"/>
        <w:rPr>
          <w:rFonts w:ascii="仿宋" w:eastAsia="仿宋" w:hAnsi="仿宋" w:cs="宋体" w:hint="eastAsia"/>
          <w:b/>
        </w:rPr>
      </w:pPr>
    </w:p>
    <w:p w14:paraId="50E03F96"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45F43456"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禁止商业贿赂：</w:t>
      </w:r>
      <w:r>
        <w:rPr>
          <w:rFonts w:ascii="仿宋" w:eastAsia="仿宋" w:hAnsi="仿宋" w:cs="Arial" w:hint="eastAsia"/>
          <w:lang w:eastAsia="zh-CN"/>
        </w:rPr>
        <w:t>双方及其董事、监事、高级管理人员、雇员及任何关联方（下称“双方人员”）均不得以任何形式向对方人员谋取不正当商业利益或提供、给予、承诺以下利益，乙方不得为获取商业机会或竞争优势，向任何政府公职人员、行业协会人员或甲方的代理人提供、给予、承诺以下利益：</w:t>
      </w:r>
    </w:p>
    <w:p w14:paraId="44888EB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（1）现金、礼金、有价证券、支付凭证、贵重物品；</w:t>
      </w:r>
    </w:p>
    <w:p w14:paraId="45D833F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（2）佣金、回扣、不当折扣或馈赠；</w:t>
      </w:r>
    </w:p>
    <w:p w14:paraId="124F3027"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（3）旅游、宴请、娱乐等高消费活动安排；</w:t>
      </w:r>
    </w:p>
    <w:p w14:paraId="02F7075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（4）为对方人员报销应由其个人负担的费用；</w:t>
      </w:r>
    </w:p>
    <w:p w14:paraId="59E1267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（5）为对方人员的亲属安排工作、提供不当便利或利益；</w:t>
      </w:r>
    </w:p>
    <w:p w14:paraId="2D8C795F"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（6）借款、投资机会或其他变相输送利益的行为。</w:t>
      </w:r>
    </w:p>
    <w:p w14:paraId="01190476"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7CCD944"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规范业务交往：</w:t>
      </w:r>
      <w:r>
        <w:rPr>
          <w:rFonts w:ascii="仿宋" w:eastAsia="仿宋" w:hAnsi="仿宋" w:cs="Arial" w:hint="eastAsia"/>
          <w:lang w:eastAsia="zh-CN"/>
        </w:rPr>
        <w:t>双方人员的业务交往应限于正常工作范围。任何一方不得要求或默许对方为其个人或特定关系人谋取合同约定外的任何私利。</w:t>
      </w:r>
    </w:p>
    <w:p w14:paraId="48B7DA99"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049FD2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w:t>
      </w:r>
      <w:r>
        <w:rPr>
          <w:rFonts w:ascii="仿宋" w:eastAsia="仿宋" w:hAnsi="仿宋" w:cs="Arial" w:hint="eastAsia"/>
          <w:b/>
          <w:bCs/>
          <w:lang w:eastAsia="zh-CN"/>
        </w:rPr>
        <w:t>保密义务：</w:t>
      </w:r>
      <w:r>
        <w:rPr>
          <w:rFonts w:ascii="仿宋" w:eastAsia="仿宋" w:hAnsi="仿宋" w:cs="Arial" w:hint="eastAsia"/>
          <w:lang w:eastAsia="zh-CN"/>
        </w:rPr>
        <w:t>未经对方书面同意，任何一方不得向第三方泄露因本次合作获知的对方商业秘密或未公开信息，亦不得将此等信息用于履行本合同之外的目的。</w:t>
      </w:r>
    </w:p>
    <w:p w14:paraId="41822F71" w14:textId="77777777" w:rsidR="00B420F1" w:rsidRDefault="00B420F1">
      <w:pPr>
        <w:pStyle w:val="a8"/>
        <w:adjustRightInd w:val="0"/>
        <w:snapToGrid w:val="0"/>
        <w:spacing w:line="400" w:lineRule="exact"/>
        <w:rPr>
          <w:rFonts w:ascii="仿宋" w:eastAsia="仿宋" w:hAnsi="仿宋" w:cs="Arial" w:hint="eastAsia"/>
        </w:rPr>
      </w:pPr>
    </w:p>
    <w:p w14:paraId="3A62CD34"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利益冲突规避承诺</w:t>
      </w:r>
    </w:p>
    <w:p w14:paraId="7B6724D8" w14:textId="77777777" w:rsidR="00B420F1" w:rsidRDefault="00B420F1">
      <w:pPr>
        <w:adjustRightInd w:val="0"/>
        <w:snapToGrid w:val="0"/>
        <w:spacing w:line="400" w:lineRule="exact"/>
        <w:ind w:firstLine="422"/>
        <w:rPr>
          <w:rFonts w:ascii="仿宋" w:eastAsia="仿宋" w:hAnsi="仿宋" w:cs="宋体" w:hint="eastAsia"/>
          <w:b/>
        </w:rPr>
      </w:pPr>
    </w:p>
    <w:p w14:paraId="3EFD7452"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C643F63"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利益冲突定义</w:t>
      </w:r>
      <w:r>
        <w:rPr>
          <w:rFonts w:ascii="仿宋" w:eastAsia="仿宋" w:hAnsi="仿宋" w:cs="Arial" w:hint="eastAsia"/>
          <w:lang w:eastAsia="zh-CN"/>
        </w:rPr>
        <w:t>：本协议所称“利益冲突”，指一方人员因其个人利益、家庭利益、或其他关联方利益，可能影响其公正履行职务，进而损害对方公司利益的情形。包括但不限于：</w:t>
      </w:r>
    </w:p>
    <w:p w14:paraId="4CE08B63"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（1）一方人员或其近亲属在对方公司或其竞争对手处持有股权、担任职务或存在其他重大利益关系；</w:t>
      </w:r>
    </w:p>
    <w:p w14:paraId="5D50274F"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（2）一方人员或其近亲属，从与本次合作相关的第三方处收受超出正常范围的私人利益；</w:t>
      </w:r>
    </w:p>
    <w:p w14:paraId="6700F37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（3）一方人员利用因本次合作获知的信息、职权或商业机会，为本人或关联方谋取私利；</w:t>
      </w:r>
    </w:p>
    <w:p w14:paraId="2A88058D"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（4）其他可能影响商业决策独立性与客观性的情形。</w:t>
      </w:r>
    </w:p>
    <w:p w14:paraId="3F49C159" w14:textId="77777777" w:rsidR="00B420F1" w:rsidRDefault="00B420F1">
      <w:pPr>
        <w:pStyle w:val="1-11"/>
        <w:adjustRightInd w:val="0"/>
        <w:snapToGrid w:val="0"/>
        <w:spacing w:line="400" w:lineRule="exact"/>
        <w:ind w:firstLine="420"/>
        <w:rPr>
          <w:rFonts w:ascii="仿宋" w:eastAsia="仿宋" w:hAnsi="仿宋" w:cs="Arial" w:hint="eastAsia"/>
          <w:lang w:eastAsia="zh-CN"/>
        </w:rPr>
      </w:pPr>
    </w:p>
    <w:p w14:paraId="0B8B45FB"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主动披露义务：</w:t>
      </w:r>
      <w:r>
        <w:rPr>
          <w:rFonts w:ascii="仿宋" w:eastAsia="仿宋" w:hAnsi="仿宋" w:cs="Arial" w:hint="eastAsia"/>
          <w:lang w:eastAsia="zh-CN"/>
        </w:rPr>
        <w:t>双方人员一旦知悉存在或潜在的利益冲突情形，应立即通过书面形式向本方合规部门报告，并抄送对方指定的受理部门（见第六条）。披露义务是持续性的，在合作期间任何时间发现新情况均需补充披露。</w:t>
      </w:r>
    </w:p>
    <w:p w14:paraId="79086F11" w14:textId="77777777" w:rsidR="00B420F1" w:rsidRDefault="00B420F1">
      <w:pPr>
        <w:pStyle w:val="a8"/>
        <w:adjustRightInd w:val="0"/>
        <w:snapToGrid w:val="0"/>
        <w:spacing w:line="400" w:lineRule="exact"/>
        <w:rPr>
          <w:rFonts w:ascii="仿宋" w:eastAsia="仿宋" w:hAnsi="仿宋" w:cs="Arial" w:hint="eastAsia"/>
        </w:rPr>
      </w:pPr>
    </w:p>
    <w:p w14:paraId="5399EAEB"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b/>
          <w:bCs/>
          <w:lang w:eastAsia="zh-CN"/>
        </w:rPr>
      </w:pPr>
      <w:r>
        <w:rPr>
          <w:rFonts w:ascii="仿宋" w:eastAsia="仿宋" w:hAnsi="仿宋" w:cs="Arial" w:hint="eastAsia"/>
          <w:b/>
          <w:bCs/>
          <w:lang w:eastAsia="zh-CN"/>
        </w:rPr>
        <w:lastRenderedPageBreak/>
        <w:t>回避与处理：</w:t>
      </w:r>
      <w:r>
        <w:rPr>
          <w:rFonts w:ascii="仿宋" w:eastAsia="仿宋" w:hAnsi="仿宋" w:cs="Arial" w:hint="eastAsia"/>
          <w:lang w:eastAsia="zh-CN"/>
        </w:rPr>
        <w:t>收到利益冲突披露后，受影响的一方应评估该利益冲突的性质与程度，并有权要求相关人员在特定事项（如采购决策、合同谈判、验收付款等）中予以回避。双方应协商采取调整职责、更换对接人员或其他合理措施，以消除或降低利益冲突的影响。</w:t>
      </w:r>
    </w:p>
    <w:p w14:paraId="52D60A11" w14:textId="77777777" w:rsidR="00B420F1" w:rsidRDefault="00B420F1">
      <w:pPr>
        <w:pStyle w:val="1-21"/>
        <w:adjustRightInd w:val="0"/>
        <w:snapToGrid w:val="0"/>
        <w:spacing w:after="0" w:line="400" w:lineRule="exact"/>
        <w:ind w:left="0" w:firstLine="422"/>
        <w:rPr>
          <w:rFonts w:ascii="仿宋" w:eastAsia="仿宋" w:hAnsi="仿宋" w:cs="Arial" w:hint="eastAsia"/>
          <w:b/>
          <w:bCs/>
          <w:lang w:eastAsia="zh-CN"/>
        </w:rPr>
      </w:pPr>
    </w:p>
    <w:p w14:paraId="784D2010"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b/>
          <w:bCs/>
          <w:lang w:eastAsia="zh-CN"/>
        </w:rPr>
      </w:pPr>
      <w:r>
        <w:rPr>
          <w:rFonts w:ascii="仿宋" w:eastAsia="仿宋" w:hAnsi="仿宋" w:cs="Arial"/>
          <w:b/>
          <w:bCs/>
          <w:lang w:eastAsia="zh-CN"/>
        </w:rPr>
        <w:t>禁止隐瞒：</w:t>
      </w:r>
      <w:r>
        <w:rPr>
          <w:rFonts w:ascii="仿宋" w:eastAsia="仿宋" w:hAnsi="仿宋" w:cs="Arial"/>
          <w:lang w:eastAsia="zh-CN"/>
        </w:rPr>
        <w:t>任何一方均不得故意隐瞒已知的利益冲突情况。故意隐瞒将被视为严重违约</w:t>
      </w:r>
      <w:r>
        <w:rPr>
          <w:rFonts w:ascii="仿宋" w:eastAsia="仿宋" w:hAnsi="仿宋" w:cs="Arial"/>
          <w:b/>
          <w:bCs/>
          <w:lang w:eastAsia="zh-CN"/>
        </w:rPr>
        <w:t>。</w:t>
      </w:r>
    </w:p>
    <w:p w14:paraId="41D4099D" w14:textId="77777777" w:rsidR="00B420F1" w:rsidRDefault="00B420F1">
      <w:pPr>
        <w:pStyle w:val="1-21"/>
        <w:adjustRightInd w:val="0"/>
        <w:snapToGrid w:val="0"/>
        <w:spacing w:after="0" w:line="400" w:lineRule="exact"/>
        <w:ind w:left="0" w:firstLine="422"/>
        <w:rPr>
          <w:rFonts w:ascii="仿宋" w:eastAsia="仿宋" w:hAnsi="仿宋" w:cs="Arial" w:hint="eastAsia"/>
          <w:b/>
          <w:bCs/>
          <w:lang w:eastAsia="zh-CN"/>
        </w:rPr>
      </w:pPr>
    </w:p>
    <w:p w14:paraId="7E8192FD"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知识产权保护承诺</w:t>
      </w:r>
    </w:p>
    <w:p w14:paraId="4BF0F4A3" w14:textId="77777777" w:rsidR="00B420F1" w:rsidRDefault="00B420F1">
      <w:pPr>
        <w:adjustRightInd w:val="0"/>
        <w:snapToGrid w:val="0"/>
        <w:spacing w:line="400" w:lineRule="exact"/>
        <w:ind w:firstLine="422"/>
        <w:rPr>
          <w:rFonts w:ascii="仿宋" w:eastAsia="仿宋" w:hAnsi="仿宋" w:cs="宋体" w:hint="eastAsia"/>
          <w:b/>
        </w:rPr>
      </w:pPr>
    </w:p>
    <w:p w14:paraId="75E5ED73"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0D3459F"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w:t>
      </w:r>
      <w:r>
        <w:rPr>
          <w:rFonts w:ascii="仿宋" w:eastAsia="仿宋" w:hAnsi="仿宋" w:cs="Arial" w:hint="eastAsia"/>
          <w:lang w:eastAsia="zh-CN"/>
        </w:rPr>
        <w:t>双方确认，任何一方在双方合作开始之前独立拥有的知识产权（“背景知识产权”），其所有权仍归原所有方。除非另有书面约定，本协议的签订不意味着任何背景知识产权的许可或转让。</w:t>
      </w:r>
    </w:p>
    <w:p w14:paraId="1422AD85" w14:textId="77777777" w:rsidR="00B420F1" w:rsidRDefault="00B420F1">
      <w:pPr>
        <w:pStyle w:val="1-21"/>
        <w:adjustRightInd w:val="0"/>
        <w:snapToGrid w:val="0"/>
        <w:spacing w:after="0" w:line="400" w:lineRule="exact"/>
        <w:ind w:left="360" w:firstLine="420"/>
        <w:rPr>
          <w:rFonts w:ascii="仿宋" w:eastAsia="仿宋" w:hAnsi="仿宋" w:cs="Arial" w:hint="eastAsia"/>
          <w:lang w:eastAsia="zh-CN"/>
        </w:rPr>
      </w:pPr>
    </w:p>
    <w:p w14:paraId="1167891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乙方承诺，其为履行主合同而向甲方提供的或应用于合同标的物（包括但不限于产品、技术方案、软件、文档、设计等）中的所有知识产权，均为其合法拥有或已获得充分授权，且有权按主合同约定进行使用、交付或许可。乙方保证其提供的成果不会侵犯任何第三方的专利权、商标权、著作权、商业秘密等合法权益。</w:t>
      </w:r>
    </w:p>
    <w:p w14:paraId="4C0396B7"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40B9D661"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若因乙方违反第4.2条保证，导致甲方因使用乙方提供的成果而遭受任何第三方提出的知识产权侵权指控或索赔，乙方应负责解决，并承担由此产生的全部费用（包括但不限于与第三方协商解决的和解费、赔偿金）以及甲方为应对该指控所支出的所有合理律师费、诉讼费等，同时赔偿甲方因此遭受的全部损失（包括直接损失和间接损失）。同时，乙方应采取补救措施，包括但不限于为甲方取得合法使用权或更换为不侵权的替代品。</w:t>
      </w:r>
    </w:p>
    <w:p w14:paraId="3462104B"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117EAE8"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对于在合作过程中知悉的对方的知识产权信息，包括技术资料、源代码、设计图纸、商业秘密等，接收方应承担严格的保密义务，仅可为履行主合同之目的在必要范围内使用，不得复制、披露或用于任何其他目的。此义务不因主合同或本协议的终止而失效。保密义务持续至</w:t>
      </w:r>
      <w:r>
        <w:rPr>
          <w:rFonts w:ascii="仿宋" w:eastAsia="仿宋" w:hAnsi="仿宋" w:cs="Arial"/>
          <w:lang w:eastAsia="zh-CN"/>
        </w:rPr>
        <w:t>该等信息成为公开信息</w:t>
      </w:r>
      <w:r>
        <w:rPr>
          <w:rFonts w:ascii="仿宋" w:eastAsia="仿宋" w:hAnsi="仿宋" w:cs="Arial" w:hint="eastAsia"/>
          <w:lang w:eastAsia="zh-CN"/>
        </w:rPr>
        <w:t>。</w:t>
      </w:r>
    </w:p>
    <w:p w14:paraId="7D9BA211"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6A55392"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双方在主合同项下合作产生的智力成果（“合作成果”）的所有权及知识产权归属，应根据主合同的明确约定确定。</w:t>
      </w:r>
    </w:p>
    <w:p w14:paraId="1F83E960"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229CB97B"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lang w:eastAsia="zh-CN"/>
        </w:rPr>
        <w:t>未经采购方书面同意，供应商不得将采购方提供的技术资料、图纸、数据等用于与主合同无关的其他用途，不得转让给第三方</w:t>
      </w:r>
      <w:r>
        <w:rPr>
          <w:rFonts w:ascii="仿宋" w:eastAsia="仿宋" w:hAnsi="仿宋" w:cs="Arial" w:hint="eastAsia"/>
          <w:lang w:eastAsia="zh-CN"/>
        </w:rPr>
        <w:t>。</w:t>
      </w:r>
    </w:p>
    <w:p w14:paraId="71846099" w14:textId="77777777" w:rsidR="00B420F1" w:rsidRDefault="00B420F1">
      <w:pPr>
        <w:pStyle w:val="1-11"/>
        <w:adjustRightInd w:val="0"/>
        <w:snapToGrid w:val="0"/>
        <w:spacing w:line="400" w:lineRule="exact"/>
        <w:ind w:firstLine="420"/>
        <w:rPr>
          <w:rFonts w:ascii="仿宋" w:eastAsia="仿宋" w:hAnsi="仿宋" w:cs="Arial" w:hint="eastAsia"/>
          <w:lang w:eastAsia="zh-CN"/>
        </w:rPr>
      </w:pPr>
    </w:p>
    <w:p w14:paraId="7E7AC145"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双方权利和义务</w:t>
      </w:r>
    </w:p>
    <w:p w14:paraId="46555F4A"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54357106" w14:textId="77777777" w:rsidR="00B420F1" w:rsidRDefault="00B420F1">
      <w:pPr>
        <w:pStyle w:val="a8"/>
        <w:adjustRightInd w:val="0"/>
        <w:snapToGrid w:val="0"/>
        <w:spacing w:line="400" w:lineRule="exact"/>
        <w:ind w:firstLine="422"/>
        <w:rPr>
          <w:rFonts w:ascii="仿宋" w:eastAsia="仿宋" w:hAnsi="仿宋" w:cs="Arial" w:hint="eastAsia"/>
          <w:b/>
          <w:bCs/>
        </w:rPr>
      </w:pPr>
    </w:p>
    <w:p w14:paraId="213DD689" w14:textId="77777777" w:rsidR="00B420F1" w:rsidRDefault="00917C7B">
      <w:pPr>
        <w:pStyle w:val="1-21"/>
        <w:numPr>
          <w:ilvl w:val="1"/>
          <w:numId w:val="6"/>
        </w:numPr>
        <w:adjustRightInd w:val="0"/>
        <w:snapToGrid w:val="0"/>
        <w:spacing w:after="0" w:line="400" w:lineRule="exact"/>
        <w:ind w:left="0" w:firstLine="422"/>
        <w:rPr>
          <w:rFonts w:ascii="仿宋" w:eastAsia="仿宋" w:hAnsi="仿宋" w:cs="Arial" w:hint="eastAsia"/>
          <w:lang w:eastAsia="zh-CN"/>
        </w:rPr>
      </w:pPr>
      <w:r>
        <w:rPr>
          <w:rFonts w:ascii="仿宋" w:eastAsia="仿宋" w:hAnsi="仿宋" w:cs="Arial" w:hint="eastAsia"/>
          <w:b/>
          <w:bCs/>
          <w:lang w:eastAsia="zh-CN"/>
        </w:rPr>
        <w:t xml:space="preserve"> </w:t>
      </w:r>
      <w:r>
        <w:rPr>
          <w:rFonts w:ascii="仿宋" w:eastAsia="仿宋" w:hAnsi="仿宋" w:cs="Arial" w:hint="eastAsia"/>
          <w:lang w:eastAsia="zh-CN"/>
        </w:rPr>
        <w:t>双方均有权对涉及本次合作的商业活动进行合法监督，并有权就疑似违反本协议的行为向对方指定的受理部门进行查询或举报。</w:t>
      </w:r>
    </w:p>
    <w:p w14:paraId="5C5C1A10"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5460BEEA"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如一方收到关于对方人员涉嫌违反本协议的举报或质疑，收到方应予以充分重视，并积极配合提供必要的说明、信息或资料，以便查明事实。</w:t>
      </w:r>
    </w:p>
    <w:p w14:paraId="1E88EE74"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06308AA5"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任何一方人员若遭遇对方人员明示或暗示索要不正当利益，应予以拒绝，并有权且应当立即向对方指定部门举报。</w:t>
      </w:r>
    </w:p>
    <w:p w14:paraId="0F439FC1" w14:textId="77777777" w:rsidR="00B420F1" w:rsidRDefault="00B420F1">
      <w:pPr>
        <w:adjustRightInd w:val="0"/>
        <w:snapToGrid w:val="0"/>
        <w:spacing w:line="400" w:lineRule="exact"/>
        <w:ind w:firstLine="420"/>
        <w:rPr>
          <w:rFonts w:ascii="仿宋" w:eastAsia="仿宋" w:hAnsi="仿宋" w:cs="Arial" w:hint="eastAsia"/>
        </w:rPr>
      </w:pPr>
    </w:p>
    <w:p w14:paraId="3054715A"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举报、披露与保密联系方式</w:t>
      </w:r>
    </w:p>
    <w:p w14:paraId="328D530D" w14:textId="77777777" w:rsidR="00B420F1" w:rsidRDefault="00B420F1">
      <w:pPr>
        <w:adjustRightInd w:val="0"/>
        <w:snapToGrid w:val="0"/>
        <w:spacing w:line="400" w:lineRule="exact"/>
        <w:ind w:left="1260" w:firstLine="422"/>
        <w:rPr>
          <w:rFonts w:ascii="仿宋" w:eastAsia="仿宋" w:hAnsi="仿宋" w:cs="宋体" w:hint="eastAsia"/>
          <w:b/>
        </w:rPr>
      </w:pPr>
    </w:p>
    <w:p w14:paraId="72B7ECE4"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1507D87F"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为确保本协议项下的廉洁监督、利益冲突披露及知识产权侵权反馈渠道畅通、处理及时，并保护举报人及信息接收方的合法权益，双方确认并指定以下唯一正式联络渠道，用于与本协议相关的所有正式通知、查询、举报及信息披露：</w:t>
      </w:r>
    </w:p>
    <w:p w14:paraId="690948BD"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734"/>
      </w:tblGrid>
      <w:tr w:rsidR="00B420F1" w14:paraId="1C253ED9" w14:textId="77777777">
        <w:trPr>
          <w:jc w:val="center"/>
        </w:trPr>
        <w:tc>
          <w:tcPr>
            <w:tcW w:w="4927" w:type="dxa"/>
            <w:vAlign w:val="center"/>
          </w:tcPr>
          <w:p w14:paraId="24387B3D" w14:textId="77777777" w:rsidR="00B420F1" w:rsidRDefault="00917C7B">
            <w:pPr>
              <w:pStyle w:val="1-21"/>
              <w:adjustRightInd w:val="0"/>
              <w:snapToGrid w:val="0"/>
              <w:spacing w:after="0" w:line="400" w:lineRule="exact"/>
              <w:ind w:left="0" w:firstLine="422"/>
              <w:jc w:val="center"/>
              <w:rPr>
                <w:rFonts w:ascii="仿宋" w:eastAsia="仿宋" w:hAnsi="仿宋" w:cs="Arial" w:hint="eastAsia"/>
                <w:b/>
                <w:bCs/>
                <w:lang w:eastAsia="zh-CN"/>
              </w:rPr>
            </w:pPr>
            <w:r>
              <w:rPr>
                <w:rFonts w:ascii="仿宋" w:eastAsia="仿宋" w:hAnsi="仿宋" w:cs="Arial" w:hint="eastAsia"/>
                <w:b/>
                <w:bCs/>
                <w:lang w:eastAsia="zh-CN"/>
              </w:rPr>
              <w:t>甲方指定联系方式</w:t>
            </w:r>
          </w:p>
        </w:tc>
        <w:tc>
          <w:tcPr>
            <w:tcW w:w="4927" w:type="dxa"/>
            <w:vAlign w:val="center"/>
          </w:tcPr>
          <w:p w14:paraId="25DCA150" w14:textId="77777777" w:rsidR="00B420F1" w:rsidRDefault="00917C7B">
            <w:pPr>
              <w:pStyle w:val="1-21"/>
              <w:adjustRightInd w:val="0"/>
              <w:snapToGrid w:val="0"/>
              <w:spacing w:after="0" w:line="400" w:lineRule="exact"/>
              <w:ind w:left="0" w:firstLine="422"/>
              <w:jc w:val="center"/>
              <w:rPr>
                <w:rFonts w:ascii="仿宋" w:eastAsia="仿宋" w:hAnsi="仿宋" w:cs="Arial" w:hint="eastAsia"/>
                <w:b/>
                <w:bCs/>
                <w:lang w:eastAsia="zh-CN"/>
              </w:rPr>
            </w:pPr>
            <w:r>
              <w:rPr>
                <w:rFonts w:ascii="仿宋" w:eastAsia="仿宋" w:hAnsi="仿宋" w:cs="Arial" w:hint="eastAsia"/>
                <w:b/>
                <w:bCs/>
                <w:lang w:eastAsia="zh-CN"/>
              </w:rPr>
              <w:t>乙方指定联系方式</w:t>
            </w:r>
          </w:p>
        </w:tc>
      </w:tr>
      <w:tr w:rsidR="00B420F1" w14:paraId="69154E22" w14:textId="77777777">
        <w:trPr>
          <w:jc w:val="center"/>
        </w:trPr>
        <w:tc>
          <w:tcPr>
            <w:tcW w:w="4927" w:type="dxa"/>
          </w:tcPr>
          <w:p w14:paraId="5BE8DAEE"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受理部门：合规风控</w:t>
            </w:r>
          </w:p>
        </w:tc>
        <w:tc>
          <w:tcPr>
            <w:tcW w:w="4927" w:type="dxa"/>
          </w:tcPr>
          <w:p w14:paraId="0F23BCF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受理部门：</w:t>
            </w:r>
          </w:p>
        </w:tc>
      </w:tr>
      <w:tr w:rsidR="00B420F1" w14:paraId="50DFFE7A" w14:textId="77777777">
        <w:trPr>
          <w:jc w:val="center"/>
        </w:trPr>
        <w:tc>
          <w:tcPr>
            <w:tcW w:w="4927" w:type="dxa"/>
          </w:tcPr>
          <w:p w14:paraId="71635899"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 系 人：吴逸晟</w:t>
            </w:r>
          </w:p>
        </w:tc>
        <w:tc>
          <w:tcPr>
            <w:tcW w:w="4927" w:type="dxa"/>
          </w:tcPr>
          <w:p w14:paraId="0B4AD527"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 系 人：</w:t>
            </w:r>
          </w:p>
        </w:tc>
      </w:tr>
      <w:tr w:rsidR="00B420F1" w14:paraId="345F5315" w14:textId="77777777">
        <w:trPr>
          <w:jc w:val="center"/>
        </w:trPr>
        <w:tc>
          <w:tcPr>
            <w:tcW w:w="4927" w:type="dxa"/>
          </w:tcPr>
          <w:p w14:paraId="3C3268D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联系电话：</w:t>
            </w:r>
            <w:r>
              <w:rPr>
                <w:rFonts w:ascii="仿宋" w:eastAsia="仿宋" w:hAnsi="仿宋" w:cs="Arial"/>
                <w:lang w:eastAsia="zh-CN"/>
              </w:rPr>
              <w:t>13140728128</w:t>
            </w:r>
          </w:p>
        </w:tc>
        <w:tc>
          <w:tcPr>
            <w:tcW w:w="4927" w:type="dxa"/>
          </w:tcPr>
          <w:p w14:paraId="74EC9D66"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联系电话：</w:t>
            </w:r>
          </w:p>
        </w:tc>
      </w:tr>
      <w:tr w:rsidR="00B420F1" w14:paraId="3987ACE7" w14:textId="77777777">
        <w:trPr>
          <w:jc w:val="center"/>
        </w:trPr>
        <w:tc>
          <w:tcPr>
            <w:tcW w:w="4927" w:type="dxa"/>
          </w:tcPr>
          <w:p w14:paraId="48031E60"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proofErr w:type="gramStart"/>
            <w:r>
              <w:rPr>
                <w:rFonts w:ascii="仿宋" w:eastAsia="仿宋" w:hAnsi="仿宋" w:cs="Arial" w:hint="eastAsia"/>
                <w:lang w:eastAsia="zh-CN"/>
              </w:rPr>
              <w:t>邮    箱</w:t>
            </w:r>
            <w:proofErr w:type="gramEnd"/>
            <w:r>
              <w:rPr>
                <w:rFonts w:ascii="仿宋" w:eastAsia="仿宋" w:hAnsi="仿宋" w:cs="Arial" w:hint="eastAsia"/>
                <w:lang w:eastAsia="zh-CN"/>
              </w:rPr>
              <w:t>：</w:t>
            </w:r>
            <w:r>
              <w:rPr>
                <w:rFonts w:ascii="仿宋" w:eastAsia="仿宋" w:hAnsi="仿宋" w:cs="Arial"/>
                <w:lang w:eastAsia="zh-CN"/>
              </w:rPr>
              <w:t>eason.wu@gyicc.com</w:t>
            </w:r>
          </w:p>
        </w:tc>
        <w:tc>
          <w:tcPr>
            <w:tcW w:w="4927" w:type="dxa"/>
          </w:tcPr>
          <w:p w14:paraId="3AB1293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proofErr w:type="gramStart"/>
            <w:r>
              <w:rPr>
                <w:rFonts w:ascii="仿宋" w:eastAsia="仿宋" w:hAnsi="仿宋" w:cs="Arial" w:hint="eastAsia"/>
                <w:lang w:eastAsia="zh-CN"/>
              </w:rPr>
              <w:t>邮    箱</w:t>
            </w:r>
            <w:proofErr w:type="gramEnd"/>
            <w:r>
              <w:rPr>
                <w:rFonts w:ascii="仿宋" w:eastAsia="仿宋" w:hAnsi="仿宋" w:cs="Arial" w:hint="eastAsia"/>
                <w:lang w:eastAsia="zh-CN"/>
              </w:rPr>
              <w:t>：</w:t>
            </w:r>
          </w:p>
        </w:tc>
      </w:tr>
      <w:tr w:rsidR="00B420F1" w14:paraId="6AF27833" w14:textId="77777777">
        <w:trPr>
          <w:jc w:val="center"/>
        </w:trPr>
        <w:tc>
          <w:tcPr>
            <w:tcW w:w="4927" w:type="dxa"/>
          </w:tcPr>
          <w:p w14:paraId="2500E60C"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邮寄地址：广州市越秀区流花路119号101房</w:t>
            </w:r>
          </w:p>
        </w:tc>
        <w:tc>
          <w:tcPr>
            <w:tcW w:w="4927" w:type="dxa"/>
          </w:tcPr>
          <w:p w14:paraId="2E8622D1" w14:textId="77777777" w:rsidR="00B420F1" w:rsidRDefault="00917C7B">
            <w:pPr>
              <w:pStyle w:val="1-21"/>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邮寄地址：</w:t>
            </w:r>
          </w:p>
        </w:tc>
      </w:tr>
    </w:tbl>
    <w:p w14:paraId="72FA3948"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047469A2"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双方通过上述渠道进行的任何沟通，均视为正式、有效的业务沟通。接收方应对举报人、披露人的身份信息及举报、披露内容严格保密，仅限于处理该事项的必要人员知悉，但因法律法规要求、司法机关调查或甲方内部合规调查必须知悉的情况除外。未经法律法规要求或举报人/披露人同意，不得向无关第三方泄露。接收方应在收到举报或披露后，按照内部规定启动处理程序，并在合理期限内（一般为3个工作日内）向提交方反馈受理确认；对于实质性调查结论，可在调查结束后另行通报。</w:t>
      </w:r>
    </w:p>
    <w:p w14:paraId="010523AD"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3D3663B0"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lastRenderedPageBreak/>
        <w:t xml:space="preserve"> 任何一方变更上述联系方式，应</w:t>
      </w:r>
      <w:proofErr w:type="gramStart"/>
      <w:r>
        <w:rPr>
          <w:rFonts w:ascii="仿宋" w:eastAsia="仿宋" w:hAnsi="仿宋" w:cs="Arial" w:hint="eastAsia"/>
          <w:lang w:eastAsia="zh-CN"/>
        </w:rPr>
        <w:t>提前 【</w:t>
      </w:r>
      <w:proofErr w:type="gramEnd"/>
      <w:r>
        <w:rPr>
          <w:rFonts w:ascii="仿宋" w:eastAsia="仿宋" w:hAnsi="仿宋" w:cs="Arial" w:hint="eastAsia"/>
          <w:lang w:eastAsia="zh-CN"/>
        </w:rPr>
        <w:t>5</w:t>
      </w:r>
      <w:proofErr w:type="gramStart"/>
      <w:r>
        <w:rPr>
          <w:rFonts w:ascii="仿宋" w:eastAsia="仿宋" w:hAnsi="仿宋" w:cs="Arial" w:hint="eastAsia"/>
          <w:lang w:eastAsia="zh-CN"/>
        </w:rPr>
        <w:t>】 个</w:t>
      </w:r>
      <w:proofErr w:type="gramEnd"/>
      <w:r>
        <w:rPr>
          <w:rFonts w:ascii="仿宋" w:eastAsia="仿宋" w:hAnsi="仿宋" w:cs="Arial" w:hint="eastAsia"/>
          <w:lang w:eastAsia="zh-CN"/>
        </w:rPr>
        <w:t>工作日以书面形式（包括加盖公章的函件或通过原指定邮箱发送的通知）通知对方。因未及时通知而造成的文件送达延误或信息泄露等后果，由变更方自行承担。</w:t>
      </w:r>
    </w:p>
    <w:p w14:paraId="6A9B277C" w14:textId="77777777" w:rsidR="00B420F1" w:rsidRDefault="00B420F1">
      <w:pPr>
        <w:adjustRightInd w:val="0"/>
        <w:snapToGrid w:val="0"/>
        <w:spacing w:line="400" w:lineRule="exact"/>
        <w:ind w:firstLine="420"/>
        <w:rPr>
          <w:rFonts w:ascii="仿宋" w:eastAsia="仿宋" w:hAnsi="仿宋" w:cs="宋体" w:hint="eastAsia"/>
        </w:rPr>
      </w:pPr>
    </w:p>
    <w:p w14:paraId="5D46AF77"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违约责任</w:t>
      </w:r>
    </w:p>
    <w:p w14:paraId="7BC645E3" w14:textId="77777777" w:rsidR="00B420F1" w:rsidRDefault="00B420F1">
      <w:pPr>
        <w:adjustRightInd w:val="0"/>
        <w:snapToGrid w:val="0"/>
        <w:spacing w:line="400" w:lineRule="exact"/>
        <w:ind w:firstLine="420"/>
        <w:rPr>
          <w:rFonts w:ascii="仿宋" w:eastAsia="仿宋" w:hAnsi="仿宋" w:cs="宋体" w:hint="eastAsia"/>
          <w:bCs/>
        </w:rPr>
      </w:pPr>
    </w:p>
    <w:p w14:paraId="0074179F" w14:textId="77777777" w:rsidR="00B420F1" w:rsidRDefault="00B420F1">
      <w:pPr>
        <w:pStyle w:val="a8"/>
        <w:numPr>
          <w:ilvl w:val="0"/>
          <w:numId w:val="6"/>
        </w:numPr>
        <w:tabs>
          <w:tab w:val="clear" w:pos="1197"/>
        </w:tabs>
        <w:spacing w:after="200" w:line="252" w:lineRule="auto"/>
        <w:ind w:firstLineChars="0" w:firstLine="420"/>
        <w:contextualSpacing/>
        <w:rPr>
          <w:rFonts w:ascii="仿宋" w:eastAsia="仿宋" w:hAnsi="仿宋" w:cs="Arial" w:hint="eastAsia"/>
          <w:vanish/>
        </w:rPr>
      </w:pPr>
    </w:p>
    <w:p w14:paraId="00BACF82" w14:textId="77777777" w:rsidR="00B420F1" w:rsidRDefault="00917C7B">
      <w:pPr>
        <w:pStyle w:val="1-21"/>
        <w:numPr>
          <w:ilvl w:val="1"/>
          <w:numId w:val="6"/>
        </w:numPr>
        <w:ind w:firstLine="420"/>
        <w:rPr>
          <w:rFonts w:ascii="仿宋" w:eastAsia="仿宋" w:hAnsi="仿宋" w:cs="Arial" w:hint="eastAsia"/>
          <w:lang w:eastAsia="zh-CN"/>
        </w:rPr>
      </w:pPr>
      <w:r>
        <w:rPr>
          <w:rFonts w:ascii="仿宋" w:eastAsia="仿宋" w:hAnsi="仿宋" w:cs="Arial" w:hint="eastAsia"/>
          <w:lang w:eastAsia="zh-CN"/>
        </w:rPr>
        <w:t>若乙方违反本协议第一条或第四条，导致甲方被行政处罚、被第三方索赔或遭受其他损失的，乙方应赔偿甲方因此遭受的全部损失（包括但不限于罚款、赔偿金、商誉损失及维权费用）。</w:t>
      </w:r>
    </w:p>
    <w:p w14:paraId="19B7702B" w14:textId="77777777" w:rsidR="00B420F1" w:rsidRDefault="00B420F1">
      <w:pPr>
        <w:adjustRightInd w:val="0"/>
        <w:snapToGrid w:val="0"/>
        <w:spacing w:line="400" w:lineRule="exact"/>
        <w:ind w:firstLine="420"/>
        <w:rPr>
          <w:rFonts w:ascii="仿宋" w:eastAsia="仿宋" w:hAnsi="仿宋" w:cs="Arial" w:hint="eastAsia"/>
        </w:rPr>
      </w:pPr>
    </w:p>
    <w:p w14:paraId="2D56DA9A" w14:textId="77777777" w:rsidR="00B420F1" w:rsidRDefault="00917C7B">
      <w:pPr>
        <w:pStyle w:val="1-21"/>
        <w:numPr>
          <w:ilvl w:val="1"/>
          <w:numId w:val="6"/>
        </w:numPr>
        <w:ind w:firstLine="420"/>
        <w:rPr>
          <w:rFonts w:ascii="仿宋" w:eastAsia="仿宋" w:hAnsi="仿宋" w:cs="Arial" w:hint="eastAsia"/>
          <w:lang w:eastAsia="zh-CN"/>
        </w:rPr>
      </w:pPr>
      <w:r>
        <w:rPr>
          <w:rFonts w:ascii="仿宋" w:eastAsia="仿宋" w:hAnsi="仿宋" w:cs="Arial" w:hint="eastAsia"/>
          <w:lang w:eastAsia="zh-CN"/>
        </w:rPr>
        <w:t>廉洁惩罚条款：若乙方违反本协议第二条或第三条，实施了商业贿赂、利益输送或故意隐瞒利益冲突行为：</w:t>
      </w:r>
    </w:p>
    <w:p w14:paraId="780D213E" w14:textId="77777777" w:rsidR="00B420F1" w:rsidRDefault="00917C7B">
      <w:pPr>
        <w:adjustRightInd w:val="0"/>
        <w:snapToGrid w:val="0"/>
        <w:spacing w:line="400" w:lineRule="exact"/>
        <w:ind w:firstLineChars="100" w:firstLine="210"/>
        <w:rPr>
          <w:rFonts w:ascii="仿宋" w:eastAsia="仿宋" w:hAnsi="仿宋" w:cs="Arial" w:hint="eastAsia"/>
        </w:rPr>
      </w:pPr>
      <w:r>
        <w:rPr>
          <w:rFonts w:ascii="仿宋" w:eastAsia="仿宋" w:hAnsi="仿宋" w:cs="Arial" w:hint="eastAsia"/>
        </w:rPr>
        <w:t>7.2.1 违约金：乙方应向甲方支付主合同总金额的30%作为违约金。</w:t>
      </w:r>
    </w:p>
    <w:p w14:paraId="2AC1412C" w14:textId="77777777" w:rsidR="00B420F1" w:rsidRDefault="00917C7B">
      <w:pPr>
        <w:adjustRightInd w:val="0"/>
        <w:snapToGrid w:val="0"/>
        <w:spacing w:line="400" w:lineRule="exact"/>
        <w:ind w:leftChars="90" w:left="189" w:firstLine="420"/>
        <w:rPr>
          <w:rFonts w:ascii="仿宋" w:eastAsia="仿宋" w:hAnsi="仿宋" w:cs="Arial" w:hint="eastAsia"/>
        </w:rPr>
      </w:pPr>
      <w:r>
        <w:rPr>
          <w:rFonts w:ascii="仿宋" w:eastAsia="仿宋" w:hAnsi="仿宋" w:cs="Arial" w:hint="eastAsia"/>
        </w:rPr>
        <w:t>7.2.2 解除合同：甲方有权单方面立即解除主合同及所有相关订单，无需承担任何违约责任。</w:t>
      </w:r>
    </w:p>
    <w:p w14:paraId="52EDF798" w14:textId="77777777" w:rsidR="00B420F1" w:rsidRDefault="00917C7B">
      <w:pPr>
        <w:adjustRightInd w:val="0"/>
        <w:snapToGrid w:val="0"/>
        <w:spacing w:line="400" w:lineRule="exact"/>
        <w:ind w:leftChars="90" w:left="189" w:firstLine="420"/>
        <w:rPr>
          <w:rFonts w:ascii="仿宋" w:eastAsia="仿宋" w:hAnsi="仿宋" w:cs="Arial" w:hint="eastAsia"/>
        </w:rPr>
      </w:pPr>
      <w:r>
        <w:rPr>
          <w:rFonts w:ascii="仿宋" w:eastAsia="仿宋" w:hAnsi="仿宋" w:cs="Arial" w:hint="eastAsia"/>
        </w:rPr>
        <w:t>7.2.3 扣留款项：甲方有权暂停支付乙方所有未结货款或服务费，并直接从中扣除上述违约金及赔偿金。</w:t>
      </w:r>
    </w:p>
    <w:p w14:paraId="58D8BD6F" w14:textId="0DC84343" w:rsidR="00B420F1" w:rsidRDefault="00917C7B" w:rsidP="00A20B33">
      <w:pPr>
        <w:adjustRightInd w:val="0"/>
        <w:snapToGrid w:val="0"/>
        <w:spacing w:line="400" w:lineRule="exact"/>
        <w:ind w:firstLineChars="0" w:firstLine="0"/>
        <w:rPr>
          <w:rFonts w:ascii="仿宋" w:eastAsia="仿宋" w:hAnsi="仿宋" w:cs="Arial" w:hint="eastAsia"/>
        </w:rPr>
      </w:pPr>
      <w:r>
        <w:rPr>
          <w:rFonts w:ascii="仿宋" w:eastAsia="仿宋" w:hAnsi="仿宋" w:cs="Arial" w:hint="eastAsia"/>
        </w:rPr>
        <w:t>7.2.4 黑名单：甲方有权将乙方列入甲方供应商黑名单，并在3年内或永久拒绝乙方及其关联方参与甲方的任何采购活动。</w:t>
      </w:r>
    </w:p>
    <w:p w14:paraId="0DE83EDE" w14:textId="77777777" w:rsidR="00B420F1" w:rsidRDefault="00917C7B">
      <w:pPr>
        <w:numPr>
          <w:ilvl w:val="0"/>
          <w:numId w:val="5"/>
        </w:numPr>
        <w:tabs>
          <w:tab w:val="clear" w:pos="1197"/>
        </w:tabs>
        <w:adjustRightInd w:val="0"/>
        <w:snapToGrid w:val="0"/>
        <w:spacing w:line="400" w:lineRule="exact"/>
        <w:ind w:firstLineChars="0" w:firstLine="422"/>
        <w:rPr>
          <w:rFonts w:ascii="仿宋" w:eastAsia="仿宋" w:hAnsi="仿宋" w:cs="宋体" w:hint="eastAsia"/>
          <w:b/>
        </w:rPr>
      </w:pPr>
      <w:r>
        <w:rPr>
          <w:rFonts w:ascii="仿宋" w:eastAsia="仿宋" w:hAnsi="仿宋" w:cs="宋体" w:hint="eastAsia"/>
          <w:b/>
        </w:rPr>
        <w:t>其他约定</w:t>
      </w:r>
    </w:p>
    <w:p w14:paraId="21C08193" w14:textId="77777777" w:rsidR="00B420F1" w:rsidRDefault="00B420F1">
      <w:pPr>
        <w:pStyle w:val="a8"/>
        <w:numPr>
          <w:ilvl w:val="0"/>
          <w:numId w:val="6"/>
        </w:numPr>
        <w:tabs>
          <w:tab w:val="clear" w:pos="1197"/>
        </w:tabs>
        <w:adjustRightInd w:val="0"/>
        <w:snapToGrid w:val="0"/>
        <w:spacing w:line="400" w:lineRule="exact"/>
        <w:ind w:firstLineChars="0" w:firstLine="420"/>
        <w:contextualSpacing/>
        <w:rPr>
          <w:rFonts w:ascii="仿宋" w:eastAsia="仿宋" w:hAnsi="仿宋" w:cs="Arial" w:hint="eastAsia"/>
          <w:vanish/>
        </w:rPr>
      </w:pPr>
    </w:p>
    <w:p w14:paraId="71379D58"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本协议作为主合同的附件，与主合同具有同等法律效力。主合同变更或终止不影响本协议效力。本协议中关于廉洁、保密、争议解决的条款，在主合同终止后 【五】 年内持续有效。</w:t>
      </w:r>
    </w:p>
    <w:p w14:paraId="7D9C3AF7" w14:textId="77777777" w:rsidR="00B420F1" w:rsidRDefault="00B420F1">
      <w:pPr>
        <w:pStyle w:val="1-21"/>
        <w:adjustRightInd w:val="0"/>
        <w:snapToGrid w:val="0"/>
        <w:spacing w:after="0" w:line="400" w:lineRule="exact"/>
        <w:ind w:left="0" w:firstLine="420"/>
        <w:rPr>
          <w:rFonts w:ascii="仿宋" w:eastAsia="仿宋" w:hAnsi="仿宋" w:cs="Arial" w:hint="eastAsia"/>
          <w:lang w:eastAsia="zh-CN"/>
        </w:rPr>
      </w:pPr>
    </w:p>
    <w:p w14:paraId="6D8F1BA0"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Arial" w:hint="eastAsia"/>
          <w:lang w:eastAsia="zh-CN"/>
        </w:rPr>
      </w:pPr>
      <w:r>
        <w:rPr>
          <w:rFonts w:ascii="仿宋" w:eastAsia="仿宋" w:hAnsi="仿宋" w:cs="Arial" w:hint="eastAsia"/>
          <w:lang w:eastAsia="zh-CN"/>
        </w:rPr>
        <w:t xml:space="preserve"> 本协议未尽事宜，由双方协商解决。因本协议产生的或与本协议有关的任何争议，双方应首先友好协商；协商不成的，任何一方均有权向甲方所在地有管辖权的人民法院提起诉讼。</w:t>
      </w:r>
    </w:p>
    <w:p w14:paraId="2623B9BE" w14:textId="77777777" w:rsidR="00B420F1" w:rsidRDefault="00B420F1" w:rsidP="00A20B33">
      <w:pPr>
        <w:pStyle w:val="10"/>
        <w:adjustRightInd w:val="0"/>
        <w:snapToGrid w:val="0"/>
        <w:spacing w:line="400" w:lineRule="exact"/>
        <w:rPr>
          <w:rFonts w:ascii="仿宋" w:eastAsia="仿宋" w:hAnsi="仿宋" w:cs="Arial" w:hint="eastAsia"/>
        </w:rPr>
      </w:pPr>
    </w:p>
    <w:p w14:paraId="4399882A" w14:textId="77777777" w:rsidR="00B420F1" w:rsidRDefault="00917C7B">
      <w:pPr>
        <w:pStyle w:val="1-21"/>
        <w:numPr>
          <w:ilvl w:val="1"/>
          <w:numId w:val="6"/>
        </w:numPr>
        <w:adjustRightInd w:val="0"/>
        <w:snapToGrid w:val="0"/>
        <w:spacing w:after="0" w:line="400" w:lineRule="exact"/>
        <w:ind w:left="0" w:firstLine="420"/>
        <w:rPr>
          <w:rFonts w:ascii="仿宋" w:eastAsia="仿宋" w:hAnsi="仿宋" w:cs="宋体" w:hint="eastAsia"/>
          <w:lang w:eastAsia="zh-CN" w:bidi="ar-SA"/>
        </w:rPr>
      </w:pPr>
      <w:r>
        <w:rPr>
          <w:rFonts w:ascii="仿宋" w:eastAsia="仿宋" w:hAnsi="仿宋" w:cs="Arial" w:hint="eastAsia"/>
          <w:lang w:eastAsia="zh-CN"/>
        </w:rPr>
        <w:t>本协议一式肆份，甲乙双方各执贰份，自双方加盖公章之日起生效。</w:t>
      </w:r>
    </w:p>
    <w:p w14:paraId="74097A70" w14:textId="77777777" w:rsidR="00B420F1" w:rsidRDefault="00B420F1">
      <w:pPr>
        <w:widowControl w:val="0"/>
        <w:spacing w:line="240" w:lineRule="auto"/>
        <w:ind w:firstLine="420"/>
        <w:jc w:val="both"/>
        <w:rPr>
          <w:rFonts w:ascii="仿宋" w:eastAsia="仿宋" w:hAnsi="仿宋" w:cs="Arial" w:hint="eastAsia"/>
        </w:rPr>
      </w:pPr>
    </w:p>
    <w:p w14:paraId="2AAB09F5" w14:textId="77777777" w:rsidR="00B420F1" w:rsidRDefault="00917C7B">
      <w:pPr>
        <w:widowControl w:val="0"/>
        <w:spacing w:line="240" w:lineRule="auto"/>
        <w:ind w:firstLine="420"/>
        <w:jc w:val="both"/>
        <w:rPr>
          <w:rFonts w:ascii="仿宋" w:eastAsia="仿宋" w:hAnsi="仿宋" w:cs="Arial" w:hint="eastAsia"/>
        </w:rPr>
      </w:pPr>
      <w:r>
        <w:rPr>
          <w:rFonts w:ascii="仿宋" w:eastAsia="仿宋" w:hAnsi="仿宋" w:cs="Arial" w:hint="eastAsia"/>
        </w:rPr>
        <w:t>（以下无正文）</w:t>
      </w:r>
    </w:p>
    <w:p w14:paraId="7EA9CBCD" w14:textId="77777777" w:rsidR="00B420F1" w:rsidRDefault="00B420F1">
      <w:pPr>
        <w:widowControl w:val="0"/>
        <w:spacing w:line="240" w:lineRule="auto"/>
        <w:ind w:firstLine="420"/>
        <w:jc w:val="both"/>
        <w:rPr>
          <w:rFonts w:ascii="仿宋" w:eastAsia="仿宋" w:hAnsi="仿宋" w:cs="Arial" w:hint="eastAsia"/>
        </w:rPr>
      </w:pPr>
    </w:p>
    <w:tbl>
      <w:tblPr>
        <w:tblW w:w="0" w:type="auto"/>
        <w:jc w:val="center"/>
        <w:tblLayout w:type="fixed"/>
        <w:tblLook w:val="04A0" w:firstRow="1" w:lastRow="0" w:firstColumn="1" w:lastColumn="0" w:noHBand="0" w:noVBand="1"/>
      </w:tblPr>
      <w:tblGrid>
        <w:gridCol w:w="5382"/>
        <w:gridCol w:w="5245"/>
      </w:tblGrid>
      <w:tr w:rsidR="00B420F1" w14:paraId="61A7719B" w14:textId="77777777">
        <w:trPr>
          <w:trHeight w:val="498"/>
          <w:jc w:val="center"/>
        </w:trPr>
        <w:tc>
          <w:tcPr>
            <w:tcW w:w="5382" w:type="dxa"/>
          </w:tcPr>
          <w:p w14:paraId="52FC6278" w14:textId="77777777" w:rsidR="00B420F1" w:rsidRDefault="00917C7B">
            <w:pPr>
              <w:pStyle w:val="10"/>
              <w:ind w:firstLineChars="200" w:firstLine="440"/>
              <w:rPr>
                <w:rFonts w:ascii="仿宋" w:eastAsia="仿宋" w:hAnsi="仿宋" w:cs="Arial" w:hint="eastAsia"/>
                <w:sz w:val="22"/>
                <w:szCs w:val="22"/>
                <w:lang w:bidi="en-US"/>
              </w:rPr>
            </w:pPr>
            <w:r>
              <w:rPr>
                <w:rFonts w:ascii="仿宋" w:eastAsia="仿宋" w:hAnsi="仿宋" w:cs="Arial"/>
                <w:sz w:val="22"/>
                <w:szCs w:val="22"/>
                <w:lang w:bidi="en-US"/>
              </w:rPr>
              <w:t>甲方</w:t>
            </w:r>
            <w:r>
              <w:rPr>
                <w:rFonts w:ascii="仿宋" w:eastAsia="仿宋" w:hAnsi="仿宋" w:cs="Arial" w:hint="eastAsia"/>
                <w:sz w:val="22"/>
                <w:szCs w:val="22"/>
                <w:lang w:bidi="en-US"/>
              </w:rPr>
              <w:t>: 广州城投智奥发展有限公司</w:t>
            </w:r>
          </w:p>
          <w:p w14:paraId="375A7E1F" w14:textId="77777777" w:rsidR="00B420F1" w:rsidRDefault="00917C7B">
            <w:pPr>
              <w:pStyle w:val="10"/>
              <w:ind w:firstLineChars="200" w:firstLine="440"/>
              <w:rPr>
                <w:rFonts w:ascii="仿宋" w:eastAsia="仿宋" w:hAnsi="仿宋" w:cs="Arial" w:hint="eastAsia"/>
                <w:sz w:val="22"/>
                <w:szCs w:val="22"/>
                <w:lang w:bidi="en-US"/>
              </w:rPr>
            </w:pPr>
            <w:r>
              <w:rPr>
                <w:rFonts w:ascii="仿宋" w:eastAsia="仿宋" w:hAnsi="仿宋" w:cs="Arial" w:hint="eastAsia"/>
                <w:sz w:val="22"/>
                <w:szCs w:val="22"/>
                <w:lang w:bidi="en-US"/>
              </w:rPr>
              <w:t>地址: 广州市越秀区流花路119号101房</w:t>
            </w:r>
          </w:p>
          <w:p w14:paraId="25A52DA6" w14:textId="77777777" w:rsidR="00B420F1" w:rsidRDefault="00917C7B">
            <w:pPr>
              <w:pStyle w:val="10"/>
              <w:ind w:firstLineChars="200" w:firstLine="440"/>
              <w:jc w:val="both"/>
              <w:rPr>
                <w:rFonts w:ascii="仿宋" w:eastAsia="仿宋" w:hAnsi="仿宋" w:cs="Arial" w:hint="eastAsia"/>
                <w:sz w:val="22"/>
                <w:szCs w:val="22"/>
                <w:lang w:bidi="en-US"/>
              </w:rPr>
            </w:pPr>
            <w:r>
              <w:rPr>
                <w:rFonts w:ascii="仿宋" w:eastAsia="仿宋" w:hAnsi="仿宋" w:cs="Arial"/>
                <w:sz w:val="22"/>
                <w:szCs w:val="22"/>
                <w:lang w:bidi="en-US"/>
              </w:rPr>
              <w:t>盖章</w:t>
            </w:r>
            <w:r>
              <w:rPr>
                <w:rFonts w:ascii="仿宋" w:eastAsia="仿宋" w:hAnsi="仿宋" w:cs="Arial" w:hint="eastAsia"/>
                <w:sz w:val="22"/>
                <w:szCs w:val="22"/>
                <w:lang w:bidi="en-US"/>
              </w:rPr>
              <w:t>:</w:t>
            </w:r>
          </w:p>
          <w:p w14:paraId="4CD51098" w14:textId="77777777" w:rsidR="00B420F1" w:rsidRDefault="00917C7B">
            <w:pPr>
              <w:pStyle w:val="10"/>
              <w:ind w:firstLineChars="200" w:firstLine="440"/>
              <w:rPr>
                <w:rFonts w:ascii="仿宋" w:eastAsia="仿宋" w:hAnsi="仿宋" w:hint="eastAsia"/>
              </w:rPr>
            </w:pPr>
            <w:r>
              <w:rPr>
                <w:rFonts w:ascii="仿宋" w:eastAsia="仿宋" w:hAnsi="仿宋" w:cs="Arial"/>
                <w:sz w:val="22"/>
                <w:szCs w:val="22"/>
                <w:lang w:bidi="en-US"/>
              </w:rPr>
              <w:t>日期:</w:t>
            </w:r>
          </w:p>
        </w:tc>
        <w:tc>
          <w:tcPr>
            <w:tcW w:w="5245" w:type="dxa"/>
          </w:tcPr>
          <w:p w14:paraId="24EA8883" w14:textId="77777777" w:rsidR="00B420F1" w:rsidRDefault="00917C7B">
            <w:pPr>
              <w:pStyle w:val="1-11"/>
              <w:ind w:firstLine="420"/>
              <w:jc w:val="both"/>
              <w:rPr>
                <w:rFonts w:ascii="仿宋" w:eastAsia="仿宋" w:hAnsi="仿宋" w:hint="eastAsia"/>
                <w:lang w:eastAsia="zh-CN"/>
              </w:rPr>
            </w:pPr>
            <w:r>
              <w:rPr>
                <w:rFonts w:ascii="仿宋" w:eastAsia="仿宋" w:hAnsi="仿宋" w:cs="Arial"/>
                <w:lang w:eastAsia="zh-CN"/>
              </w:rPr>
              <w:t>乙方</w:t>
            </w:r>
            <w:r>
              <w:rPr>
                <w:rFonts w:ascii="仿宋" w:eastAsia="仿宋" w:hAnsi="仿宋" w:cs="Arial" w:hint="eastAsia"/>
                <w:lang w:eastAsia="zh-CN"/>
              </w:rPr>
              <w:t>:</w:t>
            </w:r>
            <w:r>
              <w:rPr>
                <w:rFonts w:ascii="仿宋" w:eastAsia="仿宋" w:hAnsi="仿宋" w:cs="Arial"/>
                <w:lang w:eastAsia="zh-CN"/>
              </w:rPr>
              <w:t xml:space="preserve"> </w:t>
            </w:r>
          </w:p>
          <w:p w14:paraId="5483D5A4" w14:textId="77777777" w:rsidR="00B420F1" w:rsidRDefault="00917C7B">
            <w:pPr>
              <w:pStyle w:val="1-11"/>
              <w:ind w:firstLine="420"/>
              <w:jc w:val="both"/>
              <w:rPr>
                <w:rFonts w:ascii="仿宋" w:eastAsia="仿宋" w:hAnsi="仿宋" w:hint="eastAsia"/>
                <w:lang w:eastAsia="zh-CN"/>
              </w:rPr>
            </w:pPr>
            <w:r>
              <w:rPr>
                <w:rFonts w:ascii="仿宋" w:eastAsia="仿宋" w:hAnsi="仿宋" w:hint="eastAsia"/>
                <w:lang w:eastAsia="zh-CN"/>
              </w:rPr>
              <w:t>地址:</w:t>
            </w:r>
            <w:r>
              <w:rPr>
                <w:rFonts w:ascii="仿宋" w:eastAsia="仿宋" w:hAnsi="仿宋"/>
                <w:lang w:eastAsia="zh-CN"/>
              </w:rPr>
              <w:t xml:space="preserve"> </w:t>
            </w:r>
          </w:p>
          <w:p w14:paraId="60A7DC6D" w14:textId="77777777" w:rsidR="00B420F1" w:rsidRDefault="00917C7B">
            <w:pPr>
              <w:pStyle w:val="10"/>
              <w:ind w:firstLine="420"/>
              <w:jc w:val="both"/>
              <w:rPr>
                <w:rFonts w:ascii="仿宋" w:eastAsia="仿宋" w:hAnsi="仿宋" w:hint="eastAsia"/>
              </w:rPr>
            </w:pPr>
            <w:r>
              <w:rPr>
                <w:rFonts w:ascii="仿宋" w:eastAsia="仿宋" w:hAnsi="仿宋"/>
              </w:rPr>
              <w:t>盖章</w:t>
            </w:r>
            <w:r>
              <w:rPr>
                <w:rFonts w:ascii="仿宋" w:eastAsia="仿宋" w:hAnsi="仿宋" w:hint="eastAsia"/>
              </w:rPr>
              <w:t>:</w:t>
            </w:r>
          </w:p>
          <w:p w14:paraId="22C0385C" w14:textId="77777777" w:rsidR="00B420F1" w:rsidRDefault="00917C7B">
            <w:pPr>
              <w:pStyle w:val="10"/>
              <w:ind w:firstLine="420"/>
              <w:rPr>
                <w:rFonts w:ascii="仿宋" w:eastAsia="仿宋" w:hAnsi="仿宋" w:hint="eastAsia"/>
              </w:rPr>
            </w:pPr>
            <w:r>
              <w:rPr>
                <w:rFonts w:ascii="仿宋" w:eastAsia="仿宋" w:hAnsi="仿宋"/>
              </w:rPr>
              <w:t>日期:</w:t>
            </w:r>
          </w:p>
          <w:p w14:paraId="433EF771" w14:textId="77777777" w:rsidR="00B420F1" w:rsidRDefault="00B420F1">
            <w:pPr>
              <w:pStyle w:val="10"/>
              <w:ind w:firstLine="420"/>
              <w:rPr>
                <w:rFonts w:ascii="仿宋" w:eastAsia="仿宋" w:hAnsi="仿宋" w:hint="eastAsia"/>
              </w:rPr>
            </w:pPr>
          </w:p>
        </w:tc>
      </w:tr>
    </w:tbl>
    <w:p w14:paraId="6FBE330E" w14:textId="77777777" w:rsidR="00B420F1" w:rsidRDefault="00B420F1" w:rsidP="00A20B33">
      <w:pPr>
        <w:tabs>
          <w:tab w:val="clear" w:pos="1197"/>
          <w:tab w:val="left" w:pos="5190"/>
        </w:tabs>
        <w:ind w:firstLineChars="0" w:firstLine="0"/>
        <w:rPr>
          <w:rFonts w:ascii="宋体" w:eastAsia="宋体" w:hAnsi="宋体" w:hint="eastAsia"/>
        </w:rPr>
      </w:pPr>
    </w:p>
    <w:sectPr w:rsidR="00B420F1">
      <w:headerReference w:type="even" r:id="rId73"/>
      <w:headerReference w:type="default" r:id="rId74"/>
      <w:headerReference w:type="first" r:id="rId75"/>
      <w:pgSz w:w="11906" w:h="16838"/>
      <w:pgMar w:top="1418" w:right="1106" w:bottom="1418" w:left="1089" w:header="851" w:footer="992" w:gutter="170"/>
      <w:cols w:space="720"/>
      <w:docGrid w:type="lines" w:linePitch="291" w:charSpace="-39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D2ECE" w14:textId="77777777" w:rsidR="00974791" w:rsidRDefault="00974791">
      <w:pPr>
        <w:spacing w:line="240" w:lineRule="auto"/>
        <w:ind w:firstLine="420"/>
      </w:pPr>
      <w:r>
        <w:separator/>
      </w:r>
    </w:p>
  </w:endnote>
  <w:endnote w:type="continuationSeparator" w:id="0">
    <w:p w14:paraId="5A69B070" w14:textId="77777777" w:rsidR="00974791" w:rsidRDefault="00974791">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00"/>
    <w:family w:val="auto"/>
    <w:pitch w:val="default"/>
  </w:font>
  <w:font w:name="华文楷体">
    <w:altName w:val="宋体"/>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D8A2" w14:textId="77777777" w:rsidR="00B420F1" w:rsidRDefault="00B420F1">
    <w:pPr>
      <w:pStyle w:val="a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836640"/>
    </w:sdtPr>
    <w:sdtContent>
      <w:p w14:paraId="3223C9DC" w14:textId="15DB3870" w:rsidR="00B420F1" w:rsidRDefault="00917C7B">
        <w:pPr>
          <w:pStyle w:val="a3"/>
          <w:ind w:firstLine="360"/>
          <w:jc w:val="center"/>
        </w:pPr>
        <w:r>
          <w:rPr>
            <w:rFonts w:hint="eastAsia"/>
          </w:rPr>
          <w:t>第</w:t>
        </w:r>
        <w:r>
          <w:fldChar w:fldCharType="begin"/>
        </w:r>
        <w:r>
          <w:instrText>PAGE   \* MERGEFORMAT</w:instrText>
        </w:r>
        <w:r>
          <w:fldChar w:fldCharType="separate"/>
        </w:r>
        <w:r>
          <w:rPr>
            <w:lang w:val="zh-CN"/>
          </w:rPr>
          <w:t>2</w:t>
        </w:r>
        <w:r>
          <w:fldChar w:fldCharType="end"/>
        </w:r>
        <w:r>
          <w:rPr>
            <w:rFonts w:hint="eastAsia"/>
          </w:rPr>
          <w:t>页，共</w:t>
        </w:r>
        <w:r w:rsidR="00A20B33">
          <w:rPr>
            <w:rFonts w:hint="eastAsia"/>
          </w:rPr>
          <w:t>39</w:t>
        </w:r>
        <w:r>
          <w:rPr>
            <w:rFonts w:hint="eastAsia"/>
          </w:rPr>
          <w:t>页</w:t>
        </w:r>
      </w:p>
    </w:sdtContent>
  </w:sdt>
  <w:p w14:paraId="2203B9D7" w14:textId="77777777" w:rsidR="00B420F1" w:rsidRDefault="00B420F1">
    <w:pPr>
      <w:pStyle w:val="a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A5C76" w14:textId="77777777" w:rsidR="00B420F1" w:rsidRDefault="00B420F1">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771BF" w14:textId="77777777" w:rsidR="00974791" w:rsidRDefault="00974791">
      <w:pPr>
        <w:ind w:firstLine="420"/>
      </w:pPr>
      <w:r>
        <w:separator/>
      </w:r>
    </w:p>
  </w:footnote>
  <w:footnote w:type="continuationSeparator" w:id="0">
    <w:p w14:paraId="7D9DC3EF" w14:textId="77777777" w:rsidR="00974791" w:rsidRDefault="00974791">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B7DE" w14:textId="77777777" w:rsidR="00B420F1" w:rsidRDefault="00B420F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8414A" w14:textId="77777777" w:rsidR="00B420F1" w:rsidRDefault="00917C7B">
    <w:pPr>
      <w:pStyle w:val="a5"/>
      <w:ind w:firstLineChars="0" w:firstLine="0"/>
      <w:jc w:val="left"/>
      <w:rPr>
        <w:rFonts w:ascii="宋体" w:eastAsia="宋体" w:hAnsi="宋体" w:hint="eastAsia"/>
      </w:rPr>
    </w:pPr>
    <w:r>
      <w:rPr>
        <w:noProof/>
      </w:rPr>
      <w:drawing>
        <wp:inline distT="0" distB="0" distL="0" distR="0" wp14:anchorId="3B04EFB9" wp14:editId="476D5C61">
          <wp:extent cx="1133475" cy="428625"/>
          <wp:effectExtent l="0" t="0" r="9525" b="9525"/>
          <wp:docPr id="60" name="图片 8"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徽标&#10;&#10;中度可信度描述已自动生成"/>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133501" cy="428635"/>
                  </a:xfrm>
                  <a:prstGeom prst="rect">
                    <a:avLst/>
                  </a:prstGeom>
                  <a:noFill/>
                  <a:ln>
                    <a:noFill/>
                  </a:ln>
                </pic:spPr>
              </pic:pic>
            </a:graphicData>
          </a:graphic>
        </wp:inline>
      </w:drawing>
    </w:r>
    <w:r>
      <w:rPr>
        <w:rFonts w:ascii="宋体" w:eastAsia="宋体" w:hAnsi="宋体" w:hint="eastAsia"/>
      </w:rPr>
      <w:t xml:space="preserve"> </w:t>
    </w:r>
    <w:r>
      <w:rPr>
        <w:rFonts w:ascii="宋体" w:eastAsia="宋体" w:hAnsi="宋体"/>
      </w:rPr>
      <w:t xml:space="preserve">                                  </w:t>
    </w:r>
    <w:r>
      <w:rPr>
        <w:rFonts w:ascii="宋体" w:eastAsia="宋体" w:hAnsi="宋体" w:hint="eastAsia"/>
      </w:rPr>
      <w:t>广州越秀国际会议中心2026-2028年绿化养护服务合同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7792F" w14:textId="77777777" w:rsidR="00B420F1" w:rsidRDefault="00B420F1">
    <w:pPr>
      <w:pStyle w:val="a5"/>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B5AA" w14:textId="77777777" w:rsidR="00B420F1" w:rsidRDefault="00B420F1">
    <w:pPr>
      <w:pStyle w:val="a5"/>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BF0C" w14:textId="77777777" w:rsidR="00B420F1" w:rsidRDefault="00917C7B">
    <w:pPr>
      <w:pStyle w:val="a5"/>
      <w:ind w:firstLineChars="111" w:firstLine="200"/>
      <w:jc w:val="left"/>
      <w:rPr>
        <w:rFonts w:ascii="宋体" w:eastAsia="宋体" w:hAnsi="宋体" w:hint="eastAsia"/>
      </w:rPr>
    </w:pPr>
    <w:r>
      <w:rPr>
        <w:noProof/>
      </w:rPr>
      <w:drawing>
        <wp:inline distT="0" distB="0" distL="0" distR="0" wp14:anchorId="497DDCB7" wp14:editId="7C892C66">
          <wp:extent cx="1133475" cy="428625"/>
          <wp:effectExtent l="0" t="0" r="9525" b="9525"/>
          <wp:docPr id="1" name="图片 8" descr="徽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徽标&#10;&#10;中度可信度描述已自动生成"/>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1133501" cy="428635"/>
                  </a:xfrm>
                  <a:prstGeom prst="rect">
                    <a:avLst/>
                  </a:prstGeom>
                  <a:noFill/>
                  <a:ln>
                    <a:noFill/>
                  </a:ln>
                </pic:spPr>
              </pic:pic>
            </a:graphicData>
          </a:graphic>
        </wp:inline>
      </w:drawing>
    </w:r>
    <w:r>
      <w:rPr>
        <w:rFonts w:ascii="宋体" w:eastAsia="宋体" w:hAnsi="宋体" w:hint="eastAsia"/>
      </w:rPr>
      <w:t xml:space="preserve">                                广州越秀国际会议中心2026-2028</w:t>
    </w:r>
    <w:r>
      <w:rPr>
        <w:rFonts w:ascii="宋体" w:eastAsia="宋体" w:hAnsi="宋体" w:hint="eastAsia"/>
      </w:rPr>
      <w:t>年绿化养护服务合同</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FF8A" w14:textId="77777777" w:rsidR="00B420F1" w:rsidRDefault="00B420F1">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C77FD"/>
    <w:multiLevelType w:val="multilevel"/>
    <w:tmpl w:val="0ABC77F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9A04833"/>
    <w:multiLevelType w:val="multilevel"/>
    <w:tmpl w:val="19A048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34253EDE"/>
    <w:multiLevelType w:val="multilevel"/>
    <w:tmpl w:val="34253ED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b w:val="0"/>
        <w:bCs w:val="0"/>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3" w15:restartNumberingAfterBreak="0">
    <w:nsid w:val="61DF6ACA"/>
    <w:multiLevelType w:val="multilevel"/>
    <w:tmpl w:val="61DF6ACA"/>
    <w:lvl w:ilvl="0">
      <w:start w:val="1"/>
      <w:numFmt w:val="japaneseCounting"/>
      <w:lvlText w:val="第%1条"/>
      <w:lvlJc w:val="left"/>
      <w:pPr>
        <w:ind w:left="1260" w:hanging="12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0F232E5"/>
    <w:multiLevelType w:val="multilevel"/>
    <w:tmpl w:val="70F232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51C5314"/>
    <w:multiLevelType w:val="singleLevel"/>
    <w:tmpl w:val="751C5314"/>
    <w:lvl w:ilvl="0">
      <w:start w:val="1"/>
      <w:numFmt w:val="chineseCounting"/>
      <w:suff w:val="space"/>
      <w:lvlText w:val="第%1条"/>
      <w:lvlJc w:val="left"/>
      <w:rPr>
        <w:rFonts w:hint="eastAsia"/>
      </w:rPr>
    </w:lvl>
  </w:abstractNum>
  <w:num w:numId="1" w16cid:durableId="1242131952">
    <w:abstractNumId w:val="5"/>
  </w:num>
  <w:num w:numId="2" w16cid:durableId="844973780">
    <w:abstractNumId w:val="1"/>
  </w:num>
  <w:num w:numId="3" w16cid:durableId="1874072301">
    <w:abstractNumId w:val="0"/>
  </w:num>
  <w:num w:numId="4" w16cid:durableId="1071806979">
    <w:abstractNumId w:val="4"/>
  </w:num>
  <w:num w:numId="5" w16cid:durableId="1971205301">
    <w:abstractNumId w:val="3"/>
  </w:num>
  <w:num w:numId="6" w16cid:durableId="18917625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DF4"/>
    <w:rsid w:val="00023209"/>
    <w:rsid w:val="000444AC"/>
    <w:rsid w:val="00052A8A"/>
    <w:rsid w:val="00063516"/>
    <w:rsid w:val="00067C76"/>
    <w:rsid w:val="00072639"/>
    <w:rsid w:val="0008126E"/>
    <w:rsid w:val="00081D7A"/>
    <w:rsid w:val="000C3018"/>
    <w:rsid w:val="000E337A"/>
    <w:rsid w:val="00105135"/>
    <w:rsid w:val="001210D0"/>
    <w:rsid w:val="00134DF4"/>
    <w:rsid w:val="00155B1C"/>
    <w:rsid w:val="00164425"/>
    <w:rsid w:val="00185692"/>
    <w:rsid w:val="00185F6E"/>
    <w:rsid w:val="001A212A"/>
    <w:rsid w:val="001B024C"/>
    <w:rsid w:val="001B419A"/>
    <w:rsid w:val="001E123D"/>
    <w:rsid w:val="001F6B73"/>
    <w:rsid w:val="00204A20"/>
    <w:rsid w:val="0025512B"/>
    <w:rsid w:val="00260678"/>
    <w:rsid w:val="002645C8"/>
    <w:rsid w:val="00275A55"/>
    <w:rsid w:val="0027752B"/>
    <w:rsid w:val="00290E64"/>
    <w:rsid w:val="00291F51"/>
    <w:rsid w:val="002C3D00"/>
    <w:rsid w:val="002D584F"/>
    <w:rsid w:val="002E2AE4"/>
    <w:rsid w:val="002E7697"/>
    <w:rsid w:val="002F36BA"/>
    <w:rsid w:val="00300AA8"/>
    <w:rsid w:val="00321DB3"/>
    <w:rsid w:val="00343EF5"/>
    <w:rsid w:val="00352751"/>
    <w:rsid w:val="00373FF3"/>
    <w:rsid w:val="0039171B"/>
    <w:rsid w:val="00394772"/>
    <w:rsid w:val="003A0AED"/>
    <w:rsid w:val="003D0FD2"/>
    <w:rsid w:val="003D295B"/>
    <w:rsid w:val="003E33FC"/>
    <w:rsid w:val="003E55E3"/>
    <w:rsid w:val="003F3B35"/>
    <w:rsid w:val="004128B1"/>
    <w:rsid w:val="004263C8"/>
    <w:rsid w:val="00432319"/>
    <w:rsid w:val="004362FB"/>
    <w:rsid w:val="00450BE6"/>
    <w:rsid w:val="00462296"/>
    <w:rsid w:val="004752EC"/>
    <w:rsid w:val="00477179"/>
    <w:rsid w:val="00496A6F"/>
    <w:rsid w:val="004A1CF8"/>
    <w:rsid w:val="004C53BA"/>
    <w:rsid w:val="004F301C"/>
    <w:rsid w:val="004F49D8"/>
    <w:rsid w:val="00515E4C"/>
    <w:rsid w:val="005171EE"/>
    <w:rsid w:val="0051740A"/>
    <w:rsid w:val="00545A4F"/>
    <w:rsid w:val="00564C33"/>
    <w:rsid w:val="00565E0B"/>
    <w:rsid w:val="00584544"/>
    <w:rsid w:val="005B42C9"/>
    <w:rsid w:val="005C0745"/>
    <w:rsid w:val="005C408C"/>
    <w:rsid w:val="005D7515"/>
    <w:rsid w:val="005E1F86"/>
    <w:rsid w:val="005E78FD"/>
    <w:rsid w:val="0060287E"/>
    <w:rsid w:val="006106F0"/>
    <w:rsid w:val="00644C66"/>
    <w:rsid w:val="00644EF7"/>
    <w:rsid w:val="006536DD"/>
    <w:rsid w:val="00670BB4"/>
    <w:rsid w:val="0068078E"/>
    <w:rsid w:val="0069136A"/>
    <w:rsid w:val="00695A55"/>
    <w:rsid w:val="006A6BFE"/>
    <w:rsid w:val="006A75C3"/>
    <w:rsid w:val="006B7B53"/>
    <w:rsid w:val="006D4200"/>
    <w:rsid w:val="007112B4"/>
    <w:rsid w:val="00743159"/>
    <w:rsid w:val="00763ED3"/>
    <w:rsid w:val="007847FE"/>
    <w:rsid w:val="00792AB3"/>
    <w:rsid w:val="007B2DBB"/>
    <w:rsid w:val="007D3CA8"/>
    <w:rsid w:val="007E6946"/>
    <w:rsid w:val="007F0DD2"/>
    <w:rsid w:val="007F16A5"/>
    <w:rsid w:val="007F3429"/>
    <w:rsid w:val="00816561"/>
    <w:rsid w:val="00840676"/>
    <w:rsid w:val="00844A92"/>
    <w:rsid w:val="00845F56"/>
    <w:rsid w:val="00860159"/>
    <w:rsid w:val="00875631"/>
    <w:rsid w:val="008772FC"/>
    <w:rsid w:val="008849C0"/>
    <w:rsid w:val="00896206"/>
    <w:rsid w:val="008C604A"/>
    <w:rsid w:val="008D22E4"/>
    <w:rsid w:val="008D62D7"/>
    <w:rsid w:val="008E1701"/>
    <w:rsid w:val="008F4C01"/>
    <w:rsid w:val="00910915"/>
    <w:rsid w:val="00917C7B"/>
    <w:rsid w:val="00920EE2"/>
    <w:rsid w:val="009211C9"/>
    <w:rsid w:val="00940879"/>
    <w:rsid w:val="009637EA"/>
    <w:rsid w:val="00974791"/>
    <w:rsid w:val="00985EBE"/>
    <w:rsid w:val="009A7961"/>
    <w:rsid w:val="009B18DC"/>
    <w:rsid w:val="009B5B69"/>
    <w:rsid w:val="009C3B5F"/>
    <w:rsid w:val="009E47FF"/>
    <w:rsid w:val="009F50B0"/>
    <w:rsid w:val="00A12DD0"/>
    <w:rsid w:val="00A20B33"/>
    <w:rsid w:val="00A42C2C"/>
    <w:rsid w:val="00A651EA"/>
    <w:rsid w:val="00A71D9A"/>
    <w:rsid w:val="00A835BA"/>
    <w:rsid w:val="00A93156"/>
    <w:rsid w:val="00AC7514"/>
    <w:rsid w:val="00B04ADB"/>
    <w:rsid w:val="00B05DFB"/>
    <w:rsid w:val="00B17678"/>
    <w:rsid w:val="00B262DE"/>
    <w:rsid w:val="00B35F38"/>
    <w:rsid w:val="00B37E41"/>
    <w:rsid w:val="00B420F1"/>
    <w:rsid w:val="00B511E5"/>
    <w:rsid w:val="00B75C06"/>
    <w:rsid w:val="00B77CEC"/>
    <w:rsid w:val="00B81EDF"/>
    <w:rsid w:val="00B86995"/>
    <w:rsid w:val="00B91784"/>
    <w:rsid w:val="00BA4B9C"/>
    <w:rsid w:val="00BB39C0"/>
    <w:rsid w:val="00BE19C1"/>
    <w:rsid w:val="00BE5143"/>
    <w:rsid w:val="00BF6803"/>
    <w:rsid w:val="00C10647"/>
    <w:rsid w:val="00C12451"/>
    <w:rsid w:val="00C14D14"/>
    <w:rsid w:val="00C1790C"/>
    <w:rsid w:val="00C32B00"/>
    <w:rsid w:val="00C44305"/>
    <w:rsid w:val="00C60554"/>
    <w:rsid w:val="00C93F1C"/>
    <w:rsid w:val="00CA5DA5"/>
    <w:rsid w:val="00CD0D16"/>
    <w:rsid w:val="00CE2B6F"/>
    <w:rsid w:val="00CE32F0"/>
    <w:rsid w:val="00D008EE"/>
    <w:rsid w:val="00D0113A"/>
    <w:rsid w:val="00D1606B"/>
    <w:rsid w:val="00D16DDA"/>
    <w:rsid w:val="00D32830"/>
    <w:rsid w:val="00D45569"/>
    <w:rsid w:val="00D52F7C"/>
    <w:rsid w:val="00D54170"/>
    <w:rsid w:val="00D60E79"/>
    <w:rsid w:val="00D70F8A"/>
    <w:rsid w:val="00DA520F"/>
    <w:rsid w:val="00DB6E7F"/>
    <w:rsid w:val="00DC2744"/>
    <w:rsid w:val="00DD4247"/>
    <w:rsid w:val="00DF0187"/>
    <w:rsid w:val="00E13D09"/>
    <w:rsid w:val="00E21FB6"/>
    <w:rsid w:val="00E23BF9"/>
    <w:rsid w:val="00E32418"/>
    <w:rsid w:val="00E33262"/>
    <w:rsid w:val="00E52DBB"/>
    <w:rsid w:val="00E531AE"/>
    <w:rsid w:val="00E54F9C"/>
    <w:rsid w:val="00E56083"/>
    <w:rsid w:val="00EA0771"/>
    <w:rsid w:val="00EB01A8"/>
    <w:rsid w:val="00EB1DEC"/>
    <w:rsid w:val="00EB202B"/>
    <w:rsid w:val="00EE1DD1"/>
    <w:rsid w:val="00EF2E5A"/>
    <w:rsid w:val="00F11617"/>
    <w:rsid w:val="00F11A37"/>
    <w:rsid w:val="00F137DE"/>
    <w:rsid w:val="00F22F49"/>
    <w:rsid w:val="00F2674A"/>
    <w:rsid w:val="00F35DC4"/>
    <w:rsid w:val="00F75EF8"/>
    <w:rsid w:val="00F77D43"/>
    <w:rsid w:val="00FA2C18"/>
    <w:rsid w:val="00FE7C8D"/>
    <w:rsid w:val="20E83F33"/>
    <w:rsid w:val="21442319"/>
    <w:rsid w:val="71A312CF"/>
    <w:rsid w:val="74E0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95563"/>
  <w15:docId w15:val="{B4B2D105-6671-4CF8-9F35-F1F197F8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tabs>
        <w:tab w:val="left" w:pos="1197"/>
      </w:tabs>
      <w:spacing w:line="360" w:lineRule="auto"/>
      <w:ind w:firstLineChars="200" w:firstLine="382"/>
    </w:pPr>
    <w:rPr>
      <w:rFonts w:ascii="楷体_GB2312" w:eastAsia="楷体_GB2312" w:hAnsi="华文楷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8">
    <w:name w:val="List Paragraph"/>
    <w:basedOn w:val="a"/>
    <w:unhideWhenUsed/>
    <w:qFormat/>
    <w:pPr>
      <w:ind w:firstLine="420"/>
    </w:pPr>
  </w:style>
  <w:style w:type="character" w:customStyle="1" w:styleId="opexactqawordwordtext">
    <w:name w:val="op_exactqa_word_word_text"/>
    <w:basedOn w:val="a0"/>
  </w:style>
  <w:style w:type="paragraph" w:customStyle="1" w:styleId="1">
    <w:name w:val="修订1"/>
    <w:hidden/>
    <w:uiPriority w:val="99"/>
    <w:semiHidden/>
    <w:rPr>
      <w:rFonts w:ascii="楷体_GB2312" w:eastAsia="楷体_GB2312" w:hAnsi="华文楷体"/>
      <w:kern w:val="2"/>
      <w:sz w:val="21"/>
      <w:szCs w:val="21"/>
    </w:rPr>
  </w:style>
  <w:style w:type="paragraph" w:customStyle="1" w:styleId="2">
    <w:name w:val="修订2"/>
    <w:hidden/>
    <w:uiPriority w:val="99"/>
    <w:unhideWhenUsed/>
    <w:rPr>
      <w:rFonts w:ascii="楷体_GB2312" w:eastAsia="楷体_GB2312" w:hAnsi="华文楷体"/>
      <w:kern w:val="2"/>
      <w:sz w:val="21"/>
      <w:szCs w:val="21"/>
    </w:rPr>
  </w:style>
  <w:style w:type="character" w:customStyle="1" w:styleId="Char">
    <w:name w:val="无间隔 Char"/>
    <w:link w:val="10"/>
    <w:uiPriority w:val="1"/>
  </w:style>
  <w:style w:type="paragraph" w:customStyle="1" w:styleId="10">
    <w:name w:val="无间隔1"/>
    <w:basedOn w:val="a"/>
    <w:link w:val="Char"/>
    <w:uiPriority w:val="1"/>
    <w:qFormat/>
    <w:pPr>
      <w:tabs>
        <w:tab w:val="clear" w:pos="1197"/>
      </w:tabs>
      <w:spacing w:line="240" w:lineRule="auto"/>
      <w:ind w:firstLineChars="0" w:firstLine="0"/>
    </w:pPr>
    <w:rPr>
      <w:rFonts w:ascii="Times New Roman" w:eastAsia="宋体" w:hAnsi="Times New Roman"/>
      <w:kern w:val="0"/>
      <w:sz w:val="20"/>
      <w:szCs w:val="20"/>
    </w:rPr>
  </w:style>
  <w:style w:type="character" w:customStyle="1" w:styleId="1-1">
    <w:name w:val="中等深浅底纹 1 - 着色 1 字符"/>
    <w:link w:val="1-11"/>
    <w:uiPriority w:val="1"/>
    <w:rPr>
      <w:sz w:val="22"/>
      <w:szCs w:val="22"/>
      <w:lang w:eastAsia="en-US" w:bidi="en-US"/>
    </w:rPr>
  </w:style>
  <w:style w:type="paragraph" w:customStyle="1" w:styleId="1-11">
    <w:name w:val="中等深浅底纹 1 - 着色 11"/>
    <w:basedOn w:val="a"/>
    <w:link w:val="1-1"/>
    <w:uiPriority w:val="1"/>
    <w:qFormat/>
    <w:pPr>
      <w:tabs>
        <w:tab w:val="clear" w:pos="1197"/>
      </w:tabs>
      <w:spacing w:line="240" w:lineRule="auto"/>
      <w:ind w:firstLineChars="0" w:firstLine="0"/>
    </w:pPr>
    <w:rPr>
      <w:rFonts w:ascii="Times New Roman" w:eastAsia="宋体" w:hAnsi="Times New Roman"/>
      <w:kern w:val="0"/>
      <w:sz w:val="22"/>
      <w:szCs w:val="22"/>
      <w:lang w:eastAsia="en-US" w:bidi="en-US"/>
    </w:rPr>
  </w:style>
  <w:style w:type="paragraph" w:customStyle="1" w:styleId="1-21">
    <w:name w:val="中等深浅网格 1 - 着色 21"/>
    <w:basedOn w:val="a"/>
    <w:qFormat/>
    <w:pPr>
      <w:tabs>
        <w:tab w:val="clear" w:pos="1197"/>
      </w:tabs>
      <w:spacing w:after="200" w:line="252" w:lineRule="auto"/>
      <w:ind w:left="720" w:firstLineChars="0" w:firstLine="0"/>
      <w:contextualSpacing/>
    </w:pPr>
    <w:rPr>
      <w:rFonts w:ascii="Times New Roman" w:eastAsia="宋体" w:hAnsi="Times New Roman"/>
      <w:kern w:val="0"/>
      <w:sz w:val="22"/>
      <w:szCs w:val="22"/>
      <w:lang w:eastAsia="en-US" w:bidi="en-US"/>
    </w:rPr>
  </w:style>
  <w:style w:type="paragraph" w:styleId="a9">
    <w:name w:val="Revision"/>
    <w:hidden/>
    <w:uiPriority w:val="99"/>
    <w:unhideWhenUsed/>
    <w:rsid w:val="00E52DBB"/>
    <w:rPr>
      <w:rFonts w:ascii="楷体_GB2312" w:eastAsia="楷体_GB2312" w:hAnsi="华文楷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1FB38-B8E9-44D6-A670-0CDC94567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3014</Words>
  <Characters>17182</Characters>
  <Application>Microsoft Office Word</Application>
  <DocSecurity>0</DocSecurity>
  <Lines>143</Lines>
  <Paragraphs>40</Paragraphs>
  <ScaleCrop>false</ScaleCrop>
  <Company/>
  <LinksUpToDate>false</LinksUpToDate>
  <CharactersWithSpaces>20156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 TAN</dc:creator>
  <cp:lastModifiedBy>David HUANG</cp:lastModifiedBy>
  <cp:revision>115</cp:revision>
  <dcterms:created xsi:type="dcterms:W3CDTF">2022-05-05T07:24:00Z</dcterms:created>
  <dcterms:modified xsi:type="dcterms:W3CDTF">2026-07-22T01:55:00Z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eyJoZGlkIjoiMTNhZWU3OGViNTIwODg0MzQ1Y2MwZDM3OTlkODRjZTIiLCJ1c2VySWQiOiIxNzU2MTc2ODI2In0=</vt:lpwstr>
  </property>
  <property fmtid="{D5CDD505-2E9C-101B-9397-08002B2CF9AE}" pid="3" name="KSOProductBuildVer">
    <vt:lpwstr>2052-12.1.0.21541</vt:lpwstr>
  </property>
  <property fmtid="{D5CDD505-2E9C-101B-9397-08002B2CF9AE}" pid="4" name="ICV">
    <vt:lpwstr>F23AAA0BD8C74A169A377877B5081B72_13</vt:lpwstr>
  </property>
</Properties>
</file>